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2.vsdx" ContentType="application/vnd.ms-visio.drawing"/>
  <Override PartName="/word/embeddings/Microsoft_Visio___3.vsdx" ContentType="application/vnd.ms-visio.drawing"/>
  <Override PartName="/word/embeddings/Microsoft_Visio___4.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B2A307C">
      <w:pPr>
        <w:tabs>
          <w:tab w:val="left" w:pos="5245"/>
        </w:tabs>
        <w:spacing w:line="720" w:lineRule="auto"/>
        <w:ind w:firstLine="964"/>
        <w:jc w:val="center"/>
        <w:rPr>
          <w:rFonts w:cs="黑体"/>
          <w:b/>
          <w:color w:val="auto"/>
          <w:sz w:val="48"/>
          <w:szCs w:val="52"/>
        </w:rPr>
      </w:pPr>
      <w:bookmarkStart w:id="0" w:name="_Hlk126165377"/>
      <w:bookmarkEnd w:id="0"/>
      <w:bookmarkStart w:id="1" w:name="_Toc136878407"/>
      <w:bookmarkStart w:id="2" w:name="_Toc53605130"/>
      <w:bookmarkStart w:id="3" w:name="_Toc58769341"/>
      <w:bookmarkStart w:id="4" w:name="_Toc57218168"/>
      <w:bookmarkStart w:id="5" w:name="_Toc55483145"/>
      <w:bookmarkStart w:id="6" w:name="文字1"/>
    </w:p>
    <w:p w14:paraId="19FA4267">
      <w:pPr>
        <w:tabs>
          <w:tab w:val="left" w:pos="5245"/>
        </w:tabs>
        <w:spacing w:line="720" w:lineRule="auto"/>
        <w:ind w:firstLine="964"/>
        <w:jc w:val="center"/>
        <w:rPr>
          <w:rFonts w:cs="黑体"/>
          <w:b/>
          <w:color w:val="auto"/>
          <w:sz w:val="48"/>
          <w:szCs w:val="52"/>
        </w:rPr>
      </w:pPr>
    </w:p>
    <w:p w14:paraId="2C92D226">
      <w:pPr>
        <w:spacing w:line="240" w:lineRule="auto"/>
        <w:ind w:firstLine="0" w:firstLineChars="0"/>
        <w:jc w:val="center"/>
        <w:rPr>
          <w:rFonts w:ascii="宋体" w:hAnsi="宋体" w:cs="华文行楷"/>
          <w:b/>
          <w:color w:val="auto"/>
          <w:sz w:val="60"/>
          <w:szCs w:val="60"/>
        </w:rPr>
      </w:pPr>
      <w:r>
        <w:rPr>
          <w:rFonts w:hint="eastAsia" w:ascii="宋体" w:hAnsi="宋体" w:cs="华文行楷"/>
          <w:b/>
          <w:color w:val="auto"/>
          <w:sz w:val="60"/>
          <w:szCs w:val="60"/>
        </w:rPr>
        <w:t>广西东油沥青有限公司5万吨级</w:t>
      </w:r>
    </w:p>
    <w:p w14:paraId="1794D220">
      <w:pPr>
        <w:spacing w:line="780" w:lineRule="auto"/>
        <w:ind w:firstLine="0" w:firstLineChars="0"/>
        <w:jc w:val="center"/>
        <w:rPr>
          <w:rFonts w:ascii="宋体" w:hAnsi="宋体" w:cs="宋体"/>
          <w:b/>
          <w:color w:val="auto"/>
        </w:rPr>
      </w:pPr>
      <w:r>
        <w:rPr>
          <w:rFonts w:hint="eastAsia" w:ascii="宋体" w:hAnsi="宋体" w:cs="华文行楷"/>
          <w:b/>
          <w:color w:val="auto"/>
          <w:sz w:val="60"/>
          <w:szCs w:val="60"/>
        </w:rPr>
        <w:t>油气码头增加货种项目</w:t>
      </w:r>
    </w:p>
    <w:p w14:paraId="434DD2B1">
      <w:pPr>
        <w:spacing w:line="780" w:lineRule="auto"/>
        <w:ind w:firstLine="0" w:firstLineChars="0"/>
        <w:jc w:val="center"/>
        <w:rPr>
          <w:b/>
          <w:color w:val="auto"/>
          <w:sz w:val="72"/>
        </w:rPr>
      </w:pPr>
      <w:r>
        <w:rPr>
          <w:b/>
          <w:color w:val="auto"/>
          <w:sz w:val="72"/>
        </w:rPr>
        <w:t>环境影响报告书</w:t>
      </w:r>
    </w:p>
    <w:p w14:paraId="1B98AB91">
      <w:pPr>
        <w:pStyle w:val="18"/>
        <w:spacing w:after="120" w:line="360" w:lineRule="auto"/>
        <w:jc w:val="center"/>
        <w:rPr>
          <w:rFonts w:ascii="华文楷体" w:hAnsi="华文楷体" w:eastAsia="华文楷体" w:cs="华文楷体"/>
          <w:b/>
          <w:color w:val="auto"/>
          <w:kern w:val="2"/>
          <w:sz w:val="44"/>
          <w:szCs w:val="44"/>
        </w:rPr>
      </w:pPr>
      <w:r>
        <w:rPr>
          <w:rFonts w:hint="eastAsia" w:ascii="华文楷体" w:hAnsi="华文楷体" w:eastAsia="华文楷体" w:cs="华文楷体"/>
          <w:b/>
          <w:color w:val="auto"/>
          <w:kern w:val="2"/>
          <w:sz w:val="44"/>
          <w:szCs w:val="44"/>
        </w:rPr>
        <w:t>（</w:t>
      </w:r>
      <w:r>
        <w:rPr>
          <w:rFonts w:hint="eastAsia" w:ascii="华文楷体" w:hAnsi="华文楷体" w:eastAsia="华文楷体" w:cs="华文楷体"/>
          <w:b/>
          <w:color w:val="auto"/>
          <w:kern w:val="2"/>
          <w:sz w:val="44"/>
          <w:szCs w:val="44"/>
          <w:lang w:eastAsia="zh-CN"/>
        </w:rPr>
        <w:t>公示</w:t>
      </w:r>
      <w:r>
        <w:rPr>
          <w:rFonts w:hint="eastAsia" w:ascii="华文楷体" w:hAnsi="华文楷体" w:eastAsia="华文楷体" w:cs="华文楷体"/>
          <w:b/>
          <w:color w:val="auto"/>
          <w:kern w:val="2"/>
          <w:sz w:val="44"/>
          <w:szCs w:val="44"/>
        </w:rPr>
        <w:t>稿）</w:t>
      </w:r>
    </w:p>
    <w:p w14:paraId="4AFA964B">
      <w:pPr>
        <w:spacing w:line="240" w:lineRule="auto"/>
        <w:ind w:firstLine="0" w:firstLineChars="0"/>
        <w:jc w:val="center"/>
        <w:rPr>
          <w:color w:val="auto"/>
          <w:sz w:val="28"/>
          <w:szCs w:val="28"/>
        </w:rPr>
      </w:pPr>
    </w:p>
    <w:p w14:paraId="0A649311">
      <w:pPr>
        <w:spacing w:line="240" w:lineRule="auto"/>
        <w:ind w:firstLine="0" w:firstLineChars="0"/>
        <w:jc w:val="center"/>
        <w:rPr>
          <w:color w:val="auto"/>
          <w:sz w:val="72"/>
        </w:rPr>
      </w:pPr>
    </w:p>
    <w:p w14:paraId="4F6AA228">
      <w:pPr>
        <w:spacing w:line="240" w:lineRule="auto"/>
        <w:ind w:firstLine="0" w:firstLineChars="0"/>
        <w:jc w:val="center"/>
        <w:rPr>
          <w:color w:val="auto"/>
          <w:sz w:val="72"/>
        </w:rPr>
      </w:pPr>
    </w:p>
    <w:p w14:paraId="48DBAE19">
      <w:pPr>
        <w:spacing w:line="240" w:lineRule="auto"/>
        <w:ind w:firstLine="0" w:firstLineChars="0"/>
        <w:jc w:val="center"/>
        <w:rPr>
          <w:color w:val="auto"/>
          <w:sz w:val="72"/>
        </w:rPr>
      </w:pPr>
    </w:p>
    <w:p w14:paraId="2EB2DF8E">
      <w:pPr>
        <w:spacing w:line="240" w:lineRule="auto"/>
        <w:ind w:firstLine="0" w:firstLineChars="0"/>
        <w:jc w:val="center"/>
        <w:rPr>
          <w:color w:val="auto"/>
          <w:sz w:val="72"/>
        </w:rPr>
      </w:pPr>
    </w:p>
    <w:p w14:paraId="1F3728B3">
      <w:pPr>
        <w:spacing w:line="240" w:lineRule="auto"/>
        <w:ind w:firstLine="0" w:firstLineChars="0"/>
        <w:jc w:val="center"/>
        <w:rPr>
          <w:color w:val="auto"/>
          <w:sz w:val="72"/>
        </w:rPr>
      </w:pPr>
    </w:p>
    <w:p w14:paraId="222113E6">
      <w:pPr>
        <w:ind w:firstLine="643"/>
        <w:rPr>
          <w:rFonts w:ascii="宋体" w:hAnsi="宋体" w:cs="华文新魏"/>
          <w:b/>
          <w:color w:val="auto"/>
          <w:sz w:val="32"/>
          <w:szCs w:val="32"/>
        </w:rPr>
      </w:pPr>
      <w:r>
        <w:rPr>
          <w:rFonts w:hint="eastAsia" w:ascii="宋体" w:hAnsi="宋体" w:cs="华文新魏"/>
          <w:b/>
          <w:color w:val="auto"/>
          <w:sz w:val="32"/>
          <w:szCs w:val="32"/>
        </w:rPr>
        <w:t>建设单位：广西东油沥青有限公司</w:t>
      </w:r>
    </w:p>
    <w:p w14:paraId="6A053339">
      <w:pPr>
        <w:ind w:firstLine="643"/>
        <w:rPr>
          <w:rFonts w:ascii="宋体" w:hAnsi="宋体" w:cs="华文新魏"/>
          <w:b/>
          <w:color w:val="auto"/>
          <w:sz w:val="32"/>
          <w:szCs w:val="32"/>
        </w:rPr>
      </w:pPr>
      <w:r>
        <w:rPr>
          <w:rFonts w:hint="eastAsia" w:ascii="宋体" w:hAnsi="宋体" w:cs="华文新魏"/>
          <w:b/>
          <w:color w:val="auto"/>
          <w:sz w:val="32"/>
          <w:szCs w:val="32"/>
        </w:rPr>
        <w:t>编制单位：广西欣文环保</w:t>
      </w:r>
      <w:r>
        <w:rPr>
          <w:rFonts w:ascii="宋体" w:hAnsi="宋体" w:cs="华文新魏"/>
          <w:b/>
          <w:color w:val="auto"/>
          <w:sz w:val="32"/>
          <w:szCs w:val="32"/>
        </w:rPr>
        <w:t>科技</w:t>
      </w:r>
      <w:r>
        <w:rPr>
          <w:rFonts w:hint="eastAsia" w:ascii="宋体" w:hAnsi="宋体" w:cs="华文新魏"/>
          <w:b/>
          <w:color w:val="auto"/>
          <w:sz w:val="32"/>
          <w:szCs w:val="32"/>
        </w:rPr>
        <w:t>有限公司</w:t>
      </w:r>
    </w:p>
    <w:p w14:paraId="648AF549">
      <w:pPr>
        <w:ind w:firstLine="640"/>
        <w:jc w:val="center"/>
        <w:rPr>
          <w:rFonts w:ascii="宋体" w:hAnsi="宋体"/>
          <w:color w:val="auto"/>
          <w:sz w:val="32"/>
          <w:szCs w:val="32"/>
        </w:rPr>
      </w:pPr>
    </w:p>
    <w:p w14:paraId="41F0DAB8">
      <w:pPr>
        <w:ind w:firstLine="0" w:firstLineChars="0"/>
        <w:jc w:val="center"/>
        <w:rPr>
          <w:color w:val="auto"/>
        </w:rPr>
      </w:pPr>
      <w:r>
        <w:rPr>
          <w:rFonts w:hint="eastAsia" w:ascii="宋体" w:hAnsi="宋体" w:cs="华文中宋"/>
          <w:color w:val="auto"/>
          <w:sz w:val="32"/>
          <w:szCs w:val="32"/>
        </w:rPr>
        <w:t>二〇二六年</w:t>
      </w:r>
      <w:r>
        <w:rPr>
          <w:rFonts w:hint="eastAsia" w:ascii="宋体" w:hAnsi="宋体" w:cs="华文中宋"/>
          <w:color w:val="auto"/>
          <w:sz w:val="32"/>
          <w:szCs w:val="32"/>
          <w:lang w:eastAsia="zh-CN"/>
        </w:rPr>
        <w:t>三</w:t>
      </w:r>
      <w:r>
        <w:rPr>
          <w:rFonts w:hint="eastAsia" w:ascii="宋体" w:hAnsi="宋体" w:cs="华文中宋"/>
          <w:color w:val="auto"/>
          <w:sz w:val="32"/>
          <w:szCs w:val="32"/>
        </w:rPr>
        <w:t>月</w:t>
      </w:r>
    </w:p>
    <w:p w14:paraId="6400E5E1">
      <w:pPr>
        <w:widowControl/>
        <w:spacing w:line="240" w:lineRule="auto"/>
        <w:ind w:firstLine="0" w:firstLineChars="0"/>
        <w:jc w:val="left"/>
        <w:rPr>
          <w:color w:val="auto"/>
        </w:rPr>
        <w:sectPr>
          <w:footerReference r:id="rId5" w:type="default"/>
          <w:pgSz w:w="11906" w:h="16838"/>
          <w:pgMar w:top="1440" w:right="1418" w:bottom="1440" w:left="1418" w:header="851" w:footer="851" w:gutter="0"/>
          <w:pgNumType w:fmt="numberInDash" w:start="1"/>
          <w:cols w:space="720" w:num="1"/>
          <w:docGrid w:type="lines" w:linePitch="326" w:charSpace="0"/>
        </w:sectPr>
      </w:pPr>
    </w:p>
    <w:p w14:paraId="117FC547">
      <w:pPr>
        <w:pStyle w:val="108"/>
        <w:ind w:firstLine="0"/>
        <w:rPr>
          <w:color w:val="auto"/>
          <w:sz w:val="36"/>
          <w:szCs w:val="36"/>
        </w:rPr>
      </w:pPr>
      <w:bookmarkStart w:id="7" w:name="_Toc223258148"/>
      <w:bookmarkStart w:id="8" w:name="_Toc223258406"/>
      <w:bookmarkStart w:id="9" w:name="_Toc216103160"/>
      <w:bookmarkStart w:id="10" w:name="_Toc223595739"/>
      <w:r>
        <w:rPr>
          <w:color w:val="auto"/>
          <w:sz w:val="36"/>
          <w:szCs w:val="36"/>
        </w:rPr>
        <w:t>概述</w:t>
      </w:r>
      <w:bookmarkEnd w:id="1"/>
      <w:bookmarkEnd w:id="2"/>
      <w:bookmarkEnd w:id="3"/>
      <w:bookmarkEnd w:id="4"/>
      <w:bookmarkEnd w:id="5"/>
      <w:bookmarkEnd w:id="7"/>
      <w:bookmarkEnd w:id="8"/>
      <w:bookmarkEnd w:id="9"/>
      <w:bookmarkEnd w:id="10"/>
    </w:p>
    <w:p w14:paraId="6DBFF4C7">
      <w:pPr>
        <w:autoSpaceDE w:val="0"/>
        <w:autoSpaceDN w:val="0"/>
        <w:ind w:firstLine="482"/>
        <w:jc w:val="left"/>
        <w:outlineLvl w:val="0"/>
        <w:rPr>
          <w:b/>
          <w:color w:val="auto"/>
        </w:rPr>
      </w:pPr>
      <w:bookmarkStart w:id="11" w:name="_Toc223258407"/>
      <w:bookmarkStart w:id="12" w:name="_Toc223258149"/>
      <w:bookmarkStart w:id="13" w:name="_Toc223595740"/>
      <w:r>
        <w:rPr>
          <w:rFonts w:hint="eastAsia"/>
          <w:b/>
          <w:color w:val="auto"/>
        </w:rPr>
        <w:t>一</w:t>
      </w:r>
      <w:r>
        <w:rPr>
          <w:b/>
          <w:color w:val="auto"/>
        </w:rPr>
        <w:t>、建设</w:t>
      </w:r>
      <w:r>
        <w:rPr>
          <w:rFonts w:hint="eastAsia"/>
          <w:b/>
          <w:color w:val="auto"/>
        </w:rPr>
        <w:t>单位</w:t>
      </w:r>
      <w:r>
        <w:rPr>
          <w:b/>
          <w:color w:val="auto"/>
        </w:rPr>
        <w:t>概况</w:t>
      </w:r>
      <w:bookmarkEnd w:id="11"/>
      <w:bookmarkEnd w:id="12"/>
      <w:bookmarkEnd w:id="13"/>
    </w:p>
    <w:p w14:paraId="781E7B23">
      <w:pPr>
        <w:ind w:firstLine="480"/>
        <w:rPr>
          <w:color w:val="auto"/>
        </w:rPr>
      </w:pPr>
      <w:r>
        <w:rPr>
          <w:rFonts w:hint="eastAsia"/>
          <w:color w:val="auto"/>
        </w:rPr>
        <w:t>广西</w:t>
      </w:r>
      <w:r>
        <w:rPr>
          <w:color w:val="auto"/>
        </w:rPr>
        <w:t>东油</w:t>
      </w:r>
      <w:r>
        <w:rPr>
          <w:rFonts w:hint="eastAsia"/>
          <w:color w:val="auto"/>
        </w:rPr>
        <w:t>沥青</w:t>
      </w:r>
      <w:r>
        <w:rPr>
          <w:color w:val="auto"/>
        </w:rPr>
        <w:t>有限公司</w:t>
      </w:r>
      <w:r>
        <w:rPr>
          <w:rFonts w:hint="eastAsia"/>
          <w:color w:val="auto"/>
        </w:rPr>
        <w:t>5万吨级</w:t>
      </w:r>
      <w:r>
        <w:rPr>
          <w:color w:val="auto"/>
        </w:rPr>
        <w:t>油气码头增加货种</w:t>
      </w:r>
      <w:r>
        <w:rPr>
          <w:rFonts w:hint="eastAsia"/>
          <w:color w:val="auto"/>
        </w:rPr>
        <w:t>项目</w:t>
      </w:r>
      <w:r>
        <w:rPr>
          <w:color w:val="auto"/>
        </w:rPr>
        <w:t>位于</w:t>
      </w:r>
      <w:r>
        <w:rPr>
          <w:rFonts w:hint="eastAsia"/>
          <w:color w:val="auto"/>
        </w:rPr>
        <w:t>广西钦州港鹰岭作业区广西东油沥青有限公司</w:t>
      </w:r>
      <w:r>
        <w:rPr>
          <w:color w:val="auto"/>
        </w:rPr>
        <w:t>5</w:t>
      </w:r>
      <w:r>
        <w:rPr>
          <w:rFonts w:hint="eastAsia"/>
          <w:color w:val="auto"/>
        </w:rPr>
        <w:t>万吨级</w:t>
      </w:r>
      <w:r>
        <w:rPr>
          <w:color w:val="auto"/>
        </w:rPr>
        <w:t>油气码头</w:t>
      </w:r>
      <w:r>
        <w:rPr>
          <w:rFonts w:hint="eastAsia"/>
          <w:color w:val="auto"/>
        </w:rPr>
        <w:t>，建设</w:t>
      </w:r>
      <w:r>
        <w:rPr>
          <w:color w:val="auto"/>
        </w:rPr>
        <w:t>单位为</w:t>
      </w:r>
      <w:r>
        <w:rPr>
          <w:rFonts w:hint="eastAsia"/>
          <w:color w:val="auto"/>
        </w:rPr>
        <w:t>广西东油沥青有限公司。项目东侧为广西天盛港务有限责任公司码头及库区，西侧为钦州国星油气有限公司码头及库区，南面</w:t>
      </w:r>
      <w:r>
        <w:rPr>
          <w:color w:val="auto"/>
        </w:rPr>
        <w:t>为</w:t>
      </w:r>
      <w:r>
        <w:rPr>
          <w:rFonts w:hint="eastAsia"/>
          <w:color w:val="auto"/>
        </w:rPr>
        <w:t>航道。</w:t>
      </w:r>
    </w:p>
    <w:p w14:paraId="4466EFDE">
      <w:pPr>
        <w:autoSpaceDE w:val="0"/>
        <w:autoSpaceDN w:val="0"/>
        <w:ind w:firstLine="480"/>
        <w:rPr>
          <w:color w:val="auto"/>
        </w:rPr>
      </w:pPr>
      <w:r>
        <w:rPr>
          <w:rFonts w:hint="eastAsia"/>
          <w:color w:val="auto"/>
        </w:rPr>
        <w:t>广西东油沥青有限公司5万吨级油气码头（6#泊位）于200</w:t>
      </w:r>
      <w:r>
        <w:rPr>
          <w:color w:val="auto"/>
        </w:rPr>
        <w:t>6</w:t>
      </w:r>
      <w:r>
        <w:rPr>
          <w:rFonts w:hint="eastAsia"/>
          <w:color w:val="auto"/>
        </w:rPr>
        <w:t>年开始投入使用，</w:t>
      </w:r>
      <w:r>
        <w:rPr>
          <w:color w:val="auto"/>
        </w:rPr>
        <w:t>设计年通过能力121万吨</w:t>
      </w:r>
      <w:r>
        <w:rPr>
          <w:rFonts w:hint="eastAsia"/>
          <w:color w:val="auto"/>
        </w:rPr>
        <w:t>，。根据《广西东油沥青5万吨级油码头工程主体结构监测报告（2025年度）》（广西交科集团有限公司，2025年5月19日），实际泊位长度为300m，引桥长193m，桥面宽6m，引桥末端与库区之间设一段长29.26m的实体引堤连接，堤顶宽6m。6#泊位</w:t>
      </w:r>
      <w:r>
        <w:rPr>
          <w:color w:val="auto"/>
        </w:rPr>
        <w:t>靠泊的代表船型有</w:t>
      </w:r>
      <w:r>
        <w:rPr>
          <w:rFonts w:hint="eastAsia"/>
          <w:color w:val="auto"/>
        </w:rPr>
        <w:t>300</w:t>
      </w:r>
      <w:r>
        <w:rPr>
          <w:color w:val="auto"/>
        </w:rPr>
        <w:t>0</w:t>
      </w:r>
      <w:r>
        <w:rPr>
          <w:rFonts w:hint="eastAsia"/>
          <w:color w:val="auto"/>
        </w:rPr>
        <w:t>吨</w:t>
      </w:r>
      <w:r>
        <w:rPr>
          <w:color w:val="auto"/>
        </w:rPr>
        <w:t>~5</w:t>
      </w:r>
      <w:r>
        <w:rPr>
          <w:rFonts w:hint="eastAsia"/>
          <w:color w:val="auto"/>
        </w:rPr>
        <w:t>万</w:t>
      </w:r>
      <w:r>
        <w:rPr>
          <w:color w:val="auto"/>
        </w:rPr>
        <w:t>吨级的油船</w:t>
      </w:r>
      <w:r>
        <w:rPr>
          <w:rFonts w:hint="eastAsia"/>
          <w:color w:val="auto"/>
        </w:rPr>
        <w:t>/化学品船</w:t>
      </w:r>
      <w:r>
        <w:rPr>
          <w:color w:val="auto"/>
        </w:rPr>
        <w:t>。</w:t>
      </w:r>
      <w:r>
        <w:rPr>
          <w:rFonts w:hint="eastAsia"/>
          <w:color w:val="auto"/>
        </w:rPr>
        <w:t>主要水工建筑物包括码头平台、引桥、消防平台等。根据广西东油</w:t>
      </w:r>
      <w:r>
        <w:rPr>
          <w:color w:val="auto"/>
        </w:rPr>
        <w:t>沥青有限公司</w:t>
      </w:r>
      <w:r>
        <w:rPr>
          <w:rFonts w:hint="eastAsia"/>
          <w:color w:val="auto"/>
        </w:rPr>
        <w:t>取得的《港口经营许可证》（（桂）港经证（0170）号），《港口危险货物作业附证》（（桂）港经证（0170）号-M001），6</w:t>
      </w:r>
      <w:r>
        <w:rPr>
          <w:color w:val="auto"/>
        </w:rPr>
        <w:t>#</w:t>
      </w:r>
      <w:r>
        <w:rPr>
          <w:rFonts w:hint="eastAsia"/>
          <w:color w:val="auto"/>
        </w:rPr>
        <w:t>泊位目前可装卸的货种有：原油、汽油、柴油、重油、甲醇、石油沥青、燃料油、航煤、白油。</w:t>
      </w:r>
    </w:p>
    <w:p w14:paraId="3C0CDEC2">
      <w:pPr>
        <w:ind w:firstLine="480"/>
        <w:rPr>
          <w:color w:val="auto"/>
        </w:rPr>
      </w:pPr>
      <w:r>
        <w:rPr>
          <w:rFonts w:hint="eastAsia"/>
          <w:color w:val="auto"/>
        </w:rPr>
        <w:t>广西东油沥青有限公司库区</w:t>
      </w:r>
      <w:r>
        <w:rPr>
          <w:color w:val="auto"/>
        </w:rPr>
        <w:t>与油气码头同步建设和投产使用，</w:t>
      </w:r>
      <w:r>
        <w:rPr>
          <w:rFonts w:hint="eastAsia"/>
          <w:color w:val="auto"/>
        </w:rPr>
        <w:t>库区</w:t>
      </w:r>
      <w:r>
        <w:rPr>
          <w:color w:val="auto"/>
        </w:rPr>
        <w:t>占地面积</w:t>
      </w:r>
      <w:r>
        <w:rPr>
          <w:rFonts w:hint="eastAsia"/>
          <w:color w:val="auto"/>
        </w:rPr>
        <w:t>18</w:t>
      </w:r>
      <w:r>
        <w:rPr>
          <w:color w:val="auto"/>
        </w:rPr>
        <w:t>0511.26m</w:t>
      </w:r>
      <w:r>
        <w:rPr>
          <w:color w:val="auto"/>
          <w:vertAlign w:val="superscript"/>
        </w:rPr>
        <w:t>2</w:t>
      </w:r>
      <w:r>
        <w:rPr>
          <w:rFonts w:hint="eastAsia"/>
          <w:color w:val="auto"/>
        </w:rPr>
        <w:t>，库区共设置五个罐组，分别为原油罐组、汽油罐组、柴油罐组、重油罐组、混合罐组，总库容35.5万m</w:t>
      </w:r>
      <w:r>
        <w:rPr>
          <w:rFonts w:hint="eastAsia"/>
          <w:color w:val="auto"/>
          <w:vertAlign w:val="superscript"/>
        </w:rPr>
        <w:t>3</w:t>
      </w:r>
      <w:r>
        <w:rPr>
          <w:rFonts w:hint="eastAsia"/>
          <w:color w:val="auto"/>
        </w:rPr>
        <w:t>。转运物料种类包括原油、汽油、柴油、重油、甲醇、</w:t>
      </w:r>
      <w:r>
        <w:rPr>
          <w:color w:val="auto"/>
        </w:rPr>
        <w:t>燃料油</w:t>
      </w:r>
      <w:r>
        <w:rPr>
          <w:rFonts w:hint="eastAsia"/>
          <w:color w:val="auto"/>
        </w:rPr>
        <w:t>。还</w:t>
      </w:r>
      <w:r>
        <w:rPr>
          <w:color w:val="auto"/>
        </w:rPr>
        <w:t>配备有</w:t>
      </w:r>
      <w:r>
        <w:rPr>
          <w:rFonts w:hint="eastAsia"/>
          <w:color w:val="auto"/>
        </w:rPr>
        <w:t>输油管线、汽车罐车装车设施、铁路装卸设施以及消防站、配电室等配套设施或建（构）筑物。</w:t>
      </w:r>
    </w:p>
    <w:p w14:paraId="54CA7A6A">
      <w:pPr>
        <w:ind w:firstLine="480"/>
        <w:rPr>
          <w:color w:val="auto"/>
        </w:rPr>
      </w:pPr>
      <w:r>
        <w:rPr>
          <w:rFonts w:hint="eastAsia"/>
          <w:color w:val="auto"/>
        </w:rPr>
        <w:t>广西东油沥青有限公司5万吨级油气码头及</w:t>
      </w:r>
      <w:r>
        <w:rPr>
          <w:color w:val="auto"/>
        </w:rPr>
        <w:t>库区</w:t>
      </w:r>
      <w:r>
        <w:rPr>
          <w:rFonts w:hint="eastAsia"/>
          <w:color w:val="auto"/>
        </w:rPr>
        <w:t>工程改扩建情况如下：</w:t>
      </w:r>
    </w:p>
    <w:p w14:paraId="76C70859">
      <w:pPr>
        <w:ind w:firstLine="482"/>
        <w:rPr>
          <w:b/>
          <w:bCs/>
          <w:color w:val="auto"/>
        </w:rPr>
      </w:pPr>
      <w:r>
        <w:rPr>
          <w:rFonts w:hint="eastAsia"/>
          <w:b/>
          <w:bCs/>
          <w:color w:val="auto"/>
        </w:rPr>
        <w:t>（1）钦州港广西</w:t>
      </w:r>
      <w:r>
        <w:rPr>
          <w:b/>
          <w:bCs/>
          <w:color w:val="auto"/>
        </w:rPr>
        <w:t>钦州宏基油气</w:t>
      </w:r>
      <w:r>
        <w:rPr>
          <w:rFonts w:hint="eastAsia"/>
          <w:b/>
          <w:bCs/>
          <w:color w:val="auto"/>
        </w:rPr>
        <w:t>股份</w:t>
      </w:r>
      <w:r>
        <w:rPr>
          <w:b/>
          <w:bCs/>
          <w:color w:val="auto"/>
        </w:rPr>
        <w:t>有限公司五万吨级</w:t>
      </w:r>
      <w:r>
        <w:rPr>
          <w:rFonts w:hint="eastAsia"/>
          <w:b/>
          <w:bCs/>
          <w:color w:val="auto"/>
        </w:rPr>
        <w:t>油气</w:t>
      </w:r>
      <w:r>
        <w:rPr>
          <w:b/>
          <w:bCs/>
          <w:color w:val="auto"/>
        </w:rPr>
        <w:t>码头及</w:t>
      </w:r>
      <w:r>
        <w:rPr>
          <w:rFonts w:hint="eastAsia"/>
          <w:b/>
          <w:bCs/>
          <w:color w:val="auto"/>
        </w:rPr>
        <w:t>油气库工程</w:t>
      </w:r>
    </w:p>
    <w:p w14:paraId="4C984859">
      <w:pPr>
        <w:ind w:firstLine="480"/>
        <w:rPr>
          <w:color w:val="auto"/>
        </w:rPr>
      </w:pPr>
      <w:r>
        <w:rPr>
          <w:rFonts w:hint="eastAsia"/>
          <w:color w:val="auto"/>
        </w:rPr>
        <w:t>钦州港广西钦州宏基油气股份有限公司五万吨级油气码头及油气库工程拟</w:t>
      </w:r>
      <w:r>
        <w:rPr>
          <w:color w:val="auto"/>
        </w:rPr>
        <w:t>建设五万吨级油气码头及原油储罐</w:t>
      </w:r>
      <w:r>
        <w:rPr>
          <w:rFonts w:hint="eastAsia"/>
          <w:color w:val="auto"/>
        </w:rPr>
        <w:t>80000</w:t>
      </w:r>
      <w:r>
        <w:rPr>
          <w:color w:val="auto"/>
        </w:rPr>
        <w:t>m</w:t>
      </w:r>
      <w:r>
        <w:rPr>
          <w:color w:val="auto"/>
          <w:vertAlign w:val="superscript"/>
        </w:rPr>
        <w:t>3</w:t>
      </w:r>
      <w:r>
        <w:rPr>
          <w:rFonts w:hint="eastAsia"/>
          <w:color w:val="auto"/>
        </w:rPr>
        <w:t>（</w:t>
      </w:r>
      <w:r>
        <w:rPr>
          <w:color w:val="auto"/>
        </w:rPr>
        <w:t>8</w:t>
      </w:r>
      <w:r>
        <w:rPr>
          <w:rFonts w:hint="eastAsia"/>
          <w:color w:val="auto"/>
        </w:rPr>
        <w:t>个</w:t>
      </w:r>
      <w:r>
        <w:rPr>
          <w:color w:val="auto"/>
        </w:rPr>
        <w:t>1</w:t>
      </w:r>
      <w:r>
        <w:rPr>
          <w:rFonts w:hint="eastAsia"/>
          <w:color w:val="auto"/>
        </w:rPr>
        <w:t>0000</w:t>
      </w:r>
      <w:r>
        <w:rPr>
          <w:color w:val="auto"/>
        </w:rPr>
        <w:t>m</w:t>
      </w:r>
      <w:r>
        <w:rPr>
          <w:color w:val="auto"/>
          <w:vertAlign w:val="superscript"/>
        </w:rPr>
        <w:t>3</w:t>
      </w:r>
      <w:r>
        <w:rPr>
          <w:rFonts w:hint="eastAsia"/>
          <w:color w:val="auto"/>
        </w:rPr>
        <w:t>）、</w:t>
      </w:r>
      <w:r>
        <w:rPr>
          <w:color w:val="auto"/>
        </w:rPr>
        <w:t>润滑油储罐</w:t>
      </w:r>
      <w:r>
        <w:rPr>
          <w:rFonts w:hint="eastAsia"/>
          <w:color w:val="auto"/>
        </w:rPr>
        <w:t>30000</w:t>
      </w:r>
      <w:r>
        <w:rPr>
          <w:color w:val="auto"/>
        </w:rPr>
        <w:t>m</w:t>
      </w:r>
      <w:r>
        <w:rPr>
          <w:color w:val="auto"/>
          <w:vertAlign w:val="superscript"/>
        </w:rPr>
        <w:t>3</w:t>
      </w:r>
      <w:r>
        <w:rPr>
          <w:rFonts w:hint="eastAsia"/>
          <w:color w:val="auto"/>
        </w:rPr>
        <w:t>（</w:t>
      </w:r>
      <w:r>
        <w:rPr>
          <w:color w:val="auto"/>
        </w:rPr>
        <w:t>6</w:t>
      </w:r>
      <w:r>
        <w:rPr>
          <w:rFonts w:hint="eastAsia"/>
          <w:color w:val="auto"/>
        </w:rPr>
        <w:t>个</w:t>
      </w:r>
      <w:r>
        <w:rPr>
          <w:color w:val="auto"/>
        </w:rPr>
        <w:t>2</w:t>
      </w:r>
      <w:r>
        <w:rPr>
          <w:rFonts w:hint="eastAsia"/>
          <w:color w:val="auto"/>
        </w:rPr>
        <w:t>000</w:t>
      </w:r>
      <w:r>
        <w:rPr>
          <w:color w:val="auto"/>
        </w:rPr>
        <w:t>m</w:t>
      </w:r>
      <w:r>
        <w:rPr>
          <w:color w:val="auto"/>
          <w:vertAlign w:val="superscript"/>
        </w:rPr>
        <w:t>3</w:t>
      </w:r>
      <w:r>
        <w:rPr>
          <w:rFonts w:hint="eastAsia"/>
          <w:color w:val="auto"/>
        </w:rPr>
        <w:t>、</w:t>
      </w:r>
      <w:r>
        <w:rPr>
          <w:color w:val="auto"/>
        </w:rPr>
        <w:t>8</w:t>
      </w:r>
      <w:r>
        <w:rPr>
          <w:rFonts w:hint="eastAsia"/>
          <w:color w:val="auto"/>
        </w:rPr>
        <w:t>个</w:t>
      </w:r>
      <w:r>
        <w:rPr>
          <w:color w:val="auto"/>
        </w:rPr>
        <w:t>1</w:t>
      </w:r>
      <w:r>
        <w:rPr>
          <w:rFonts w:hint="eastAsia"/>
          <w:color w:val="auto"/>
        </w:rPr>
        <w:t>000</w:t>
      </w:r>
      <w:r>
        <w:rPr>
          <w:color w:val="auto"/>
        </w:rPr>
        <w:t>m</w:t>
      </w:r>
      <w:r>
        <w:rPr>
          <w:color w:val="auto"/>
          <w:vertAlign w:val="superscript"/>
        </w:rPr>
        <w:t>3</w:t>
      </w:r>
      <w:r>
        <w:rPr>
          <w:rFonts w:hint="eastAsia"/>
          <w:color w:val="auto"/>
        </w:rPr>
        <w:t>、</w:t>
      </w:r>
      <w:r>
        <w:rPr>
          <w:color w:val="auto"/>
        </w:rPr>
        <w:t>20</w:t>
      </w:r>
      <w:r>
        <w:rPr>
          <w:rFonts w:hint="eastAsia"/>
          <w:color w:val="auto"/>
        </w:rPr>
        <w:t>个</w:t>
      </w:r>
      <w:r>
        <w:rPr>
          <w:color w:val="auto"/>
        </w:rPr>
        <w:t>5</w:t>
      </w:r>
      <w:r>
        <w:rPr>
          <w:rFonts w:hint="eastAsia"/>
          <w:color w:val="auto"/>
        </w:rPr>
        <w:t>00</w:t>
      </w:r>
      <w:r>
        <w:rPr>
          <w:color w:val="auto"/>
        </w:rPr>
        <w:t>m</w:t>
      </w:r>
      <w:r>
        <w:rPr>
          <w:color w:val="auto"/>
          <w:vertAlign w:val="superscript"/>
        </w:rPr>
        <w:t>3</w:t>
      </w:r>
      <w:r>
        <w:rPr>
          <w:rFonts w:hint="eastAsia"/>
          <w:color w:val="auto"/>
        </w:rPr>
        <w:t>）</w:t>
      </w:r>
      <w:r>
        <w:rPr>
          <w:color w:val="auto"/>
        </w:rPr>
        <w:t>、</w:t>
      </w:r>
      <w:r>
        <w:rPr>
          <w:rFonts w:hint="eastAsia"/>
          <w:color w:val="auto"/>
        </w:rPr>
        <w:t>冷冻</w:t>
      </w:r>
      <w:r>
        <w:rPr>
          <w:color w:val="auto"/>
        </w:rPr>
        <w:t>液化气储罐</w:t>
      </w:r>
      <w:r>
        <w:rPr>
          <w:rFonts w:hint="eastAsia"/>
          <w:color w:val="auto"/>
        </w:rPr>
        <w:t>60000</w:t>
      </w:r>
      <w:r>
        <w:rPr>
          <w:color w:val="auto"/>
        </w:rPr>
        <w:t>m</w:t>
      </w:r>
      <w:r>
        <w:rPr>
          <w:color w:val="auto"/>
          <w:vertAlign w:val="superscript"/>
        </w:rPr>
        <w:t>3</w:t>
      </w:r>
      <w:bookmarkStart w:id="14" w:name="OLE_LINK1"/>
      <w:bookmarkStart w:id="15" w:name="OLE_LINK4"/>
      <w:r>
        <w:rPr>
          <w:rFonts w:hint="eastAsia"/>
          <w:color w:val="auto"/>
        </w:rPr>
        <w:t>（</w:t>
      </w:r>
      <w:r>
        <w:rPr>
          <w:color w:val="auto"/>
        </w:rPr>
        <w:t>2</w:t>
      </w:r>
      <w:r>
        <w:rPr>
          <w:rFonts w:hint="eastAsia"/>
          <w:color w:val="auto"/>
        </w:rPr>
        <w:t>个</w:t>
      </w:r>
      <w:r>
        <w:rPr>
          <w:color w:val="auto"/>
        </w:rPr>
        <w:t>2</w:t>
      </w:r>
      <w:r>
        <w:rPr>
          <w:rFonts w:hint="eastAsia"/>
          <w:color w:val="auto"/>
        </w:rPr>
        <w:t>0</w:t>
      </w:r>
      <w:r>
        <w:rPr>
          <w:color w:val="auto"/>
        </w:rPr>
        <w:t>0</w:t>
      </w:r>
      <w:r>
        <w:rPr>
          <w:rFonts w:hint="eastAsia"/>
          <w:color w:val="auto"/>
        </w:rPr>
        <w:t>00</w:t>
      </w:r>
      <w:r>
        <w:rPr>
          <w:color w:val="auto"/>
        </w:rPr>
        <w:t>m</w:t>
      </w:r>
      <w:r>
        <w:rPr>
          <w:color w:val="auto"/>
          <w:vertAlign w:val="superscript"/>
        </w:rPr>
        <w:t>3</w:t>
      </w:r>
      <w:r>
        <w:rPr>
          <w:rFonts w:hint="eastAsia"/>
          <w:color w:val="auto"/>
        </w:rPr>
        <w:t>、</w:t>
      </w:r>
      <w:r>
        <w:rPr>
          <w:color w:val="auto"/>
        </w:rPr>
        <w:t>2</w:t>
      </w:r>
      <w:r>
        <w:rPr>
          <w:rFonts w:hint="eastAsia"/>
          <w:color w:val="auto"/>
        </w:rPr>
        <w:t>个</w:t>
      </w:r>
      <w:r>
        <w:rPr>
          <w:color w:val="auto"/>
        </w:rPr>
        <w:t>10</w:t>
      </w:r>
      <w:r>
        <w:rPr>
          <w:rFonts w:hint="eastAsia"/>
          <w:color w:val="auto"/>
        </w:rPr>
        <w:t>000</w:t>
      </w:r>
      <w:r>
        <w:rPr>
          <w:color w:val="auto"/>
        </w:rPr>
        <w:t>m</w:t>
      </w:r>
      <w:r>
        <w:rPr>
          <w:color w:val="auto"/>
          <w:vertAlign w:val="superscript"/>
        </w:rPr>
        <w:t>3</w:t>
      </w:r>
      <w:r>
        <w:rPr>
          <w:rFonts w:hint="eastAsia"/>
          <w:color w:val="auto"/>
        </w:rPr>
        <w:t>）</w:t>
      </w:r>
      <w:bookmarkEnd w:id="14"/>
      <w:bookmarkEnd w:id="15"/>
      <w:r>
        <w:rPr>
          <w:rFonts w:hint="eastAsia"/>
          <w:color w:val="auto"/>
        </w:rPr>
        <w:t>、</w:t>
      </w:r>
      <w:r>
        <w:rPr>
          <w:color w:val="auto"/>
        </w:rPr>
        <w:t>常温液化气储罐</w:t>
      </w:r>
      <w:r>
        <w:rPr>
          <w:rFonts w:hint="eastAsia"/>
          <w:color w:val="auto"/>
        </w:rPr>
        <w:t>2000</w:t>
      </w:r>
      <w:r>
        <w:rPr>
          <w:color w:val="auto"/>
        </w:rPr>
        <w:t>m</w:t>
      </w:r>
      <w:r>
        <w:rPr>
          <w:color w:val="auto"/>
          <w:vertAlign w:val="superscript"/>
        </w:rPr>
        <w:t>3</w:t>
      </w:r>
      <w:r>
        <w:rPr>
          <w:rFonts w:hint="eastAsia"/>
          <w:color w:val="auto"/>
        </w:rPr>
        <w:t>（</w:t>
      </w:r>
      <w:r>
        <w:rPr>
          <w:color w:val="auto"/>
        </w:rPr>
        <w:t>2</w:t>
      </w:r>
      <w:r>
        <w:rPr>
          <w:rFonts w:hint="eastAsia"/>
          <w:color w:val="auto"/>
        </w:rPr>
        <w:t>个</w:t>
      </w:r>
      <w:r>
        <w:rPr>
          <w:color w:val="auto"/>
        </w:rPr>
        <w:t>10</w:t>
      </w:r>
      <w:r>
        <w:rPr>
          <w:rFonts w:hint="eastAsia"/>
          <w:color w:val="auto"/>
        </w:rPr>
        <w:t>00</w:t>
      </w:r>
      <w:r>
        <w:rPr>
          <w:color w:val="auto"/>
        </w:rPr>
        <w:t>m</w:t>
      </w:r>
      <w:r>
        <w:rPr>
          <w:color w:val="auto"/>
          <w:vertAlign w:val="superscript"/>
        </w:rPr>
        <w:t>3</w:t>
      </w:r>
      <w:r>
        <w:rPr>
          <w:rFonts w:hint="eastAsia"/>
          <w:color w:val="auto"/>
        </w:rPr>
        <w:t>），</w:t>
      </w:r>
      <w:r>
        <w:rPr>
          <w:color w:val="auto"/>
        </w:rPr>
        <w:t>总库容</w:t>
      </w:r>
      <w:r>
        <w:rPr>
          <w:rFonts w:hint="eastAsia"/>
          <w:color w:val="auto"/>
        </w:rPr>
        <w:t>17.2万</w:t>
      </w:r>
      <w:r>
        <w:rPr>
          <w:color w:val="auto"/>
        </w:rPr>
        <w:t>m</w:t>
      </w:r>
      <w:r>
        <w:rPr>
          <w:color w:val="auto"/>
          <w:vertAlign w:val="superscript"/>
        </w:rPr>
        <w:t>3</w:t>
      </w:r>
      <w:r>
        <w:rPr>
          <w:rFonts w:hint="eastAsia"/>
          <w:color w:val="auto"/>
        </w:rPr>
        <w:t>。主要</w:t>
      </w:r>
      <w:r>
        <w:rPr>
          <w:color w:val="auto"/>
        </w:rPr>
        <w:t>装卸和储存货种为原油、润滑油、冷冻液化气、常温液化气。</w:t>
      </w:r>
    </w:p>
    <w:p w14:paraId="091C6EA7">
      <w:pPr>
        <w:ind w:firstLine="480"/>
        <w:rPr>
          <w:color w:val="auto"/>
        </w:rPr>
      </w:pPr>
      <w:r>
        <w:rPr>
          <w:rFonts w:hint="eastAsia"/>
          <w:color w:val="auto"/>
        </w:rPr>
        <w:t>钦州港广西钦州宏基油气股份有限公司五万吨级油气码头及油气库工程为广西东油沥青有限公司五万吨级油气码头及库区工程的</w:t>
      </w:r>
      <w:r>
        <w:rPr>
          <w:color w:val="auto"/>
        </w:rPr>
        <w:t>前身。</w:t>
      </w:r>
      <w:r>
        <w:rPr>
          <w:rFonts w:hint="eastAsia"/>
          <w:color w:val="auto"/>
        </w:rPr>
        <w:t>2</w:t>
      </w:r>
      <w:r>
        <w:rPr>
          <w:color w:val="auto"/>
        </w:rPr>
        <w:t>001</w:t>
      </w:r>
      <w:r>
        <w:rPr>
          <w:rFonts w:hint="eastAsia"/>
          <w:color w:val="auto"/>
        </w:rPr>
        <w:t>年12月由</w:t>
      </w:r>
      <w:r>
        <w:rPr>
          <w:color w:val="auto"/>
        </w:rPr>
        <w:t>钦州市环境科学研究所编制完成</w:t>
      </w:r>
      <w:r>
        <w:rPr>
          <w:rFonts w:hint="eastAsia"/>
          <w:color w:val="auto"/>
        </w:rPr>
        <w:t>《钦州港广西钦州宏基油气股份有限公司五万吨级油气码头及油气库工程环境</w:t>
      </w:r>
      <w:r>
        <w:rPr>
          <w:color w:val="auto"/>
        </w:rPr>
        <w:t>影响报告书</w:t>
      </w:r>
      <w:r>
        <w:rPr>
          <w:rFonts w:hint="eastAsia"/>
          <w:color w:val="auto"/>
        </w:rPr>
        <w:t>》</w:t>
      </w:r>
      <w:r>
        <w:rPr>
          <w:color w:val="auto"/>
        </w:rPr>
        <w:t>，</w:t>
      </w:r>
      <w:r>
        <w:rPr>
          <w:rFonts w:hint="eastAsia"/>
          <w:color w:val="auto"/>
        </w:rPr>
        <w:t>2002年1月</w:t>
      </w:r>
      <w:r>
        <w:rPr>
          <w:color w:val="auto"/>
        </w:rPr>
        <w:t>17日</w:t>
      </w:r>
      <w:r>
        <w:rPr>
          <w:rFonts w:hint="eastAsia"/>
          <w:color w:val="auto"/>
        </w:rPr>
        <w:t>广西</w:t>
      </w:r>
      <w:r>
        <w:rPr>
          <w:color w:val="auto"/>
        </w:rPr>
        <w:t>壮族自治区环境保护局</w:t>
      </w:r>
      <w:r>
        <w:rPr>
          <w:rFonts w:hint="eastAsia"/>
          <w:color w:val="auto"/>
        </w:rPr>
        <w:t>以</w:t>
      </w:r>
      <w:r>
        <w:rPr>
          <w:color w:val="auto"/>
        </w:rPr>
        <w:t>桂环管字</w:t>
      </w:r>
      <w:r>
        <w:rPr>
          <w:rFonts w:hint="eastAsia"/>
          <w:color w:val="auto"/>
        </w:rPr>
        <w:t>〔2002〕12号予以</w:t>
      </w:r>
      <w:r>
        <w:rPr>
          <w:color w:val="auto"/>
        </w:rPr>
        <w:t>批复</w:t>
      </w:r>
      <w:r>
        <w:rPr>
          <w:rFonts w:hint="eastAsia"/>
          <w:color w:val="auto"/>
        </w:rPr>
        <w:t>。</w:t>
      </w:r>
    </w:p>
    <w:p w14:paraId="22CDBADC">
      <w:pPr>
        <w:ind w:firstLine="482"/>
        <w:rPr>
          <w:b/>
          <w:bCs/>
          <w:color w:val="auto"/>
        </w:rPr>
      </w:pPr>
      <w:r>
        <w:rPr>
          <w:rFonts w:hint="eastAsia"/>
          <w:b/>
          <w:bCs/>
          <w:color w:val="auto"/>
        </w:rPr>
        <w:t>（2）广西东油沥青有限公司五万吨级油气码头及库区工程</w:t>
      </w:r>
    </w:p>
    <w:p w14:paraId="49865A9F">
      <w:pPr>
        <w:ind w:firstLine="480"/>
        <w:rPr>
          <w:color w:val="auto"/>
        </w:rPr>
      </w:pPr>
      <w:r>
        <w:rPr>
          <w:rFonts w:hint="eastAsia"/>
          <w:color w:val="auto"/>
        </w:rPr>
        <w:t>钦州港广西钦州宏基油气股份有限公司五万吨级油气码头及油气库工程项目</w:t>
      </w:r>
      <w:r>
        <w:rPr>
          <w:color w:val="auto"/>
        </w:rPr>
        <w:t>实施过程中，业主变更为广西东油沥青有限公司</w:t>
      </w:r>
      <w:r>
        <w:rPr>
          <w:rFonts w:hint="eastAsia"/>
          <w:color w:val="auto"/>
        </w:rPr>
        <w:t>（以下</w:t>
      </w:r>
      <w:r>
        <w:rPr>
          <w:color w:val="auto"/>
        </w:rPr>
        <w:t>简称“</w:t>
      </w:r>
      <w:r>
        <w:rPr>
          <w:rFonts w:hint="eastAsia"/>
          <w:color w:val="auto"/>
        </w:rPr>
        <w:t>公司</w:t>
      </w:r>
      <w:r>
        <w:rPr>
          <w:color w:val="auto"/>
        </w:rPr>
        <w:t>”</w:t>
      </w:r>
      <w:r>
        <w:rPr>
          <w:rFonts w:hint="eastAsia"/>
          <w:color w:val="auto"/>
        </w:rPr>
        <w:t>）</w:t>
      </w:r>
      <w:r>
        <w:rPr>
          <w:color w:val="auto"/>
        </w:rPr>
        <w:t>，</w:t>
      </w:r>
      <w:r>
        <w:rPr>
          <w:rFonts w:hint="eastAsia"/>
          <w:color w:val="auto"/>
        </w:rPr>
        <w:t>公司</w:t>
      </w:r>
      <w:r>
        <w:rPr>
          <w:color w:val="auto"/>
        </w:rPr>
        <w:t>根据自身的发展需要，对</w:t>
      </w:r>
      <w:r>
        <w:rPr>
          <w:rFonts w:hint="eastAsia"/>
          <w:color w:val="auto"/>
        </w:rPr>
        <w:t>主体工程</w:t>
      </w:r>
      <w:r>
        <w:rPr>
          <w:color w:val="auto"/>
        </w:rPr>
        <w:t>的建设内容进行了调整</w:t>
      </w:r>
      <w:r>
        <w:rPr>
          <w:rFonts w:hint="eastAsia"/>
          <w:color w:val="auto"/>
        </w:rPr>
        <w:t>后继续建设</w:t>
      </w:r>
      <w:r>
        <w:rPr>
          <w:color w:val="auto"/>
        </w:rPr>
        <w:t>。</w:t>
      </w:r>
    </w:p>
    <w:p w14:paraId="424F514A">
      <w:pPr>
        <w:ind w:firstLine="480"/>
        <w:rPr>
          <w:color w:val="auto"/>
        </w:rPr>
      </w:pPr>
      <w:r>
        <w:rPr>
          <w:color w:val="auto"/>
        </w:rPr>
        <w:t>针对调整的内容，公司委托广西壮族自治区交通科学研究所</w:t>
      </w:r>
      <w:r>
        <w:rPr>
          <w:rFonts w:hint="eastAsia"/>
          <w:color w:val="auto"/>
        </w:rPr>
        <w:t>编制</w:t>
      </w:r>
      <w:r>
        <w:rPr>
          <w:color w:val="auto"/>
        </w:rPr>
        <w:t>了《</w:t>
      </w:r>
      <w:r>
        <w:rPr>
          <w:rFonts w:hint="eastAsia"/>
          <w:color w:val="auto"/>
        </w:rPr>
        <w:t>广西东油沥青有限公司五万吨级油气码头及库区工程环境</w:t>
      </w:r>
      <w:r>
        <w:rPr>
          <w:color w:val="auto"/>
        </w:rPr>
        <w:t>影响报告书》</w:t>
      </w:r>
      <w:r>
        <w:rPr>
          <w:rFonts w:hint="eastAsia"/>
          <w:color w:val="auto"/>
        </w:rPr>
        <w:t>，</w:t>
      </w:r>
      <w:r>
        <w:rPr>
          <w:color w:val="auto"/>
        </w:rPr>
        <w:t>并于</w:t>
      </w:r>
      <w:r>
        <w:rPr>
          <w:rFonts w:hint="eastAsia"/>
          <w:color w:val="auto"/>
        </w:rPr>
        <w:t>2008年9月12日</w:t>
      </w:r>
      <w:r>
        <w:rPr>
          <w:color w:val="auto"/>
        </w:rPr>
        <w:t>取得了广西壮族自治区环境保护局的</w:t>
      </w:r>
      <w:r>
        <w:rPr>
          <w:rFonts w:hint="eastAsia"/>
          <w:color w:val="auto"/>
        </w:rPr>
        <w:t>批复</w:t>
      </w:r>
      <w:r>
        <w:rPr>
          <w:color w:val="auto"/>
        </w:rPr>
        <w:t>，批文号为：桂环管字</w:t>
      </w:r>
      <w:r>
        <w:rPr>
          <w:rFonts w:hint="eastAsia"/>
          <w:color w:val="auto"/>
        </w:rPr>
        <w:t>〔200</w:t>
      </w:r>
      <w:r>
        <w:rPr>
          <w:color w:val="auto"/>
        </w:rPr>
        <w:t>8</w:t>
      </w:r>
      <w:r>
        <w:rPr>
          <w:rFonts w:hint="eastAsia"/>
          <w:color w:val="auto"/>
        </w:rPr>
        <w:t>〕</w:t>
      </w:r>
      <w:r>
        <w:rPr>
          <w:color w:val="auto"/>
        </w:rPr>
        <w:t>246</w:t>
      </w:r>
      <w:r>
        <w:rPr>
          <w:rFonts w:hint="eastAsia"/>
          <w:color w:val="auto"/>
        </w:rPr>
        <w:t>号。主体工程2006年基本完成，2006年6月起正式投入试运行。混合</w:t>
      </w:r>
      <w:r>
        <w:rPr>
          <w:color w:val="auto"/>
        </w:rPr>
        <w:t>罐组于</w:t>
      </w:r>
      <w:r>
        <w:rPr>
          <w:rFonts w:hint="eastAsia"/>
          <w:color w:val="auto"/>
        </w:rPr>
        <w:t>2008年8月</w:t>
      </w:r>
      <w:r>
        <w:rPr>
          <w:color w:val="auto"/>
        </w:rPr>
        <w:t>完工，</w:t>
      </w:r>
      <w:r>
        <w:rPr>
          <w:rFonts w:hint="eastAsia"/>
          <w:color w:val="auto"/>
        </w:rPr>
        <w:t>11月</w:t>
      </w:r>
      <w:r>
        <w:rPr>
          <w:color w:val="auto"/>
        </w:rPr>
        <w:t>正式投入试运行。</w:t>
      </w:r>
      <w:r>
        <w:rPr>
          <w:rFonts w:hint="eastAsia"/>
          <w:color w:val="auto"/>
        </w:rPr>
        <w:t>2006年1月24日取得海域使用权证书。</w:t>
      </w:r>
    </w:p>
    <w:p w14:paraId="77EE6151">
      <w:pPr>
        <w:ind w:firstLine="480"/>
        <w:rPr>
          <w:color w:val="auto"/>
        </w:rPr>
      </w:pPr>
      <w:r>
        <w:rPr>
          <w:rFonts w:hint="eastAsia"/>
          <w:color w:val="auto"/>
        </w:rPr>
        <w:t>公司于20</w:t>
      </w:r>
      <w:r>
        <w:rPr>
          <w:color w:val="auto"/>
        </w:rPr>
        <w:t>1</w:t>
      </w:r>
      <w:r>
        <w:rPr>
          <w:rFonts w:hint="eastAsia"/>
          <w:color w:val="auto"/>
        </w:rPr>
        <w:t>0年申请</w:t>
      </w:r>
      <w:r>
        <w:rPr>
          <w:color w:val="auto"/>
        </w:rPr>
        <w:t>项目验收，并于</w:t>
      </w:r>
      <w:r>
        <w:rPr>
          <w:rFonts w:hint="eastAsia"/>
          <w:color w:val="auto"/>
        </w:rPr>
        <w:t>2010年11月2日取得</w:t>
      </w:r>
      <w:r>
        <w:rPr>
          <w:color w:val="auto"/>
        </w:rPr>
        <w:t>了</w:t>
      </w:r>
      <w:r>
        <w:rPr>
          <w:rFonts w:hint="eastAsia"/>
          <w:color w:val="auto"/>
        </w:rPr>
        <w:t>广西</w:t>
      </w:r>
      <w:r>
        <w:rPr>
          <w:color w:val="auto"/>
        </w:rPr>
        <w:t>壮族自治区环境保护厅的验收批复</w:t>
      </w:r>
      <w:r>
        <w:rPr>
          <w:rFonts w:hint="eastAsia"/>
          <w:color w:val="auto"/>
        </w:rPr>
        <w:t>，</w:t>
      </w:r>
      <w:r>
        <w:rPr>
          <w:color w:val="auto"/>
        </w:rPr>
        <w:t>批文号为：桂环</w:t>
      </w:r>
      <w:r>
        <w:rPr>
          <w:rFonts w:hint="eastAsia"/>
          <w:color w:val="auto"/>
        </w:rPr>
        <w:t>验</w:t>
      </w:r>
      <w:r>
        <w:rPr>
          <w:color w:val="auto"/>
        </w:rPr>
        <w:t>字</w:t>
      </w:r>
      <w:r>
        <w:rPr>
          <w:rFonts w:hint="eastAsia"/>
          <w:color w:val="auto"/>
        </w:rPr>
        <w:t>〔2010〕</w:t>
      </w:r>
      <w:r>
        <w:rPr>
          <w:color w:val="auto"/>
        </w:rPr>
        <w:t>114</w:t>
      </w:r>
      <w:r>
        <w:rPr>
          <w:rFonts w:hint="eastAsia"/>
          <w:color w:val="auto"/>
        </w:rPr>
        <w:t>号。</w:t>
      </w:r>
    </w:p>
    <w:p w14:paraId="0F184DAD">
      <w:pPr>
        <w:ind w:firstLine="480"/>
        <w:rPr>
          <w:color w:val="auto"/>
        </w:rPr>
      </w:pPr>
      <w:r>
        <w:rPr>
          <w:rFonts w:hint="eastAsia"/>
          <w:color w:val="auto"/>
        </w:rPr>
        <w:t>调整内容</w:t>
      </w:r>
      <w:r>
        <w:rPr>
          <w:color w:val="auto"/>
        </w:rPr>
        <w:t>为</w:t>
      </w:r>
      <w:r>
        <w:rPr>
          <w:rFonts w:hint="eastAsia"/>
          <w:color w:val="auto"/>
        </w:rPr>
        <w:t>：码头</w:t>
      </w:r>
      <w:r>
        <w:rPr>
          <w:color w:val="auto"/>
        </w:rPr>
        <w:t>规模及建设内容保持不变，仍为五万吨级油气码头；</w:t>
      </w:r>
      <w:r>
        <w:rPr>
          <w:rFonts w:hint="eastAsia"/>
          <w:color w:val="auto"/>
        </w:rPr>
        <w:t>取消34个</w:t>
      </w:r>
      <w:r>
        <w:rPr>
          <w:color w:val="auto"/>
        </w:rPr>
        <w:t>润滑油储罐，更改为</w:t>
      </w:r>
      <w:r>
        <w:rPr>
          <w:rFonts w:hint="eastAsia"/>
          <w:color w:val="auto"/>
        </w:rPr>
        <w:t>11个</w:t>
      </w:r>
      <w:r>
        <w:rPr>
          <w:color w:val="auto"/>
        </w:rPr>
        <w:t>汽油储罐和</w:t>
      </w:r>
      <w:r>
        <w:rPr>
          <w:rFonts w:hint="eastAsia"/>
          <w:color w:val="auto"/>
        </w:rPr>
        <w:t>10个</w:t>
      </w:r>
      <w:r>
        <w:rPr>
          <w:color w:val="auto"/>
        </w:rPr>
        <w:t>柴油储罐</w:t>
      </w:r>
      <w:r>
        <w:rPr>
          <w:rFonts w:hint="eastAsia"/>
          <w:color w:val="auto"/>
        </w:rPr>
        <w:t>；</w:t>
      </w:r>
      <w:r>
        <w:rPr>
          <w:color w:val="auto"/>
        </w:rPr>
        <w:t>原油储罐由</w:t>
      </w:r>
      <w:r>
        <w:rPr>
          <w:rFonts w:hint="eastAsia"/>
          <w:color w:val="auto"/>
        </w:rPr>
        <w:t>8个</w:t>
      </w:r>
      <w:r>
        <w:rPr>
          <w:color w:val="auto"/>
        </w:rPr>
        <w:t>减少为</w:t>
      </w:r>
      <w:r>
        <w:rPr>
          <w:rFonts w:hint="eastAsia"/>
          <w:color w:val="auto"/>
        </w:rPr>
        <w:t>3个，</w:t>
      </w:r>
      <w:r>
        <w:rPr>
          <w:color w:val="auto"/>
        </w:rPr>
        <w:t>增加</w:t>
      </w:r>
      <w:r>
        <w:rPr>
          <w:rFonts w:hint="eastAsia"/>
          <w:color w:val="auto"/>
        </w:rPr>
        <w:t>3个</w:t>
      </w:r>
      <w:r>
        <w:rPr>
          <w:color w:val="auto"/>
        </w:rPr>
        <w:t>重油（</w:t>
      </w:r>
      <w:r>
        <w:rPr>
          <w:rFonts w:hint="eastAsia"/>
          <w:color w:val="auto"/>
        </w:rPr>
        <w:t>燃料油</w:t>
      </w:r>
      <w:r>
        <w:rPr>
          <w:color w:val="auto"/>
        </w:rPr>
        <w:t>）</w:t>
      </w:r>
      <w:r>
        <w:rPr>
          <w:rFonts w:hint="eastAsia"/>
          <w:color w:val="auto"/>
        </w:rPr>
        <w:t>储罐</w:t>
      </w:r>
      <w:r>
        <w:rPr>
          <w:color w:val="auto"/>
        </w:rPr>
        <w:t>；增加</w:t>
      </w:r>
      <w:r>
        <w:rPr>
          <w:rFonts w:hint="eastAsia"/>
          <w:color w:val="auto"/>
        </w:rPr>
        <w:t>1个</w:t>
      </w:r>
      <w:r>
        <w:rPr>
          <w:color w:val="auto"/>
        </w:rPr>
        <w:t>甲醇储罐。</w:t>
      </w:r>
    </w:p>
    <w:p w14:paraId="32689308">
      <w:pPr>
        <w:ind w:firstLine="480"/>
        <w:rPr>
          <w:color w:val="auto"/>
        </w:rPr>
      </w:pPr>
      <w:r>
        <w:rPr>
          <w:rFonts w:hint="eastAsia"/>
          <w:color w:val="auto"/>
        </w:rPr>
        <w:t>经</w:t>
      </w:r>
      <w:r>
        <w:rPr>
          <w:color w:val="auto"/>
        </w:rPr>
        <w:t>调整</w:t>
      </w:r>
      <w:r>
        <w:rPr>
          <w:rFonts w:hint="eastAsia"/>
          <w:color w:val="auto"/>
        </w:rPr>
        <w:t>后</w:t>
      </w:r>
      <w:r>
        <w:rPr>
          <w:color w:val="auto"/>
        </w:rPr>
        <w:t>，工程的建设内容为：五万吨级油气码头，</w:t>
      </w:r>
      <w:r>
        <w:rPr>
          <w:rFonts w:hint="eastAsia"/>
          <w:color w:val="auto"/>
        </w:rPr>
        <w:t>原油储罐12万</w:t>
      </w:r>
      <w:r>
        <w:rPr>
          <w:color w:val="auto"/>
        </w:rPr>
        <w:t>m</w:t>
      </w:r>
      <w:r>
        <w:rPr>
          <w:color w:val="auto"/>
          <w:vertAlign w:val="superscript"/>
        </w:rPr>
        <w:t>3</w:t>
      </w:r>
      <w:r>
        <w:rPr>
          <w:rFonts w:hint="eastAsia"/>
          <w:color w:val="auto"/>
        </w:rPr>
        <w:t>（</w:t>
      </w:r>
      <w:r>
        <w:rPr>
          <w:color w:val="auto"/>
        </w:rPr>
        <w:t>3</w:t>
      </w:r>
      <w:r>
        <w:rPr>
          <w:rFonts w:hint="eastAsia"/>
          <w:color w:val="auto"/>
        </w:rPr>
        <w:t>个</w:t>
      </w:r>
      <w:r>
        <w:rPr>
          <w:color w:val="auto"/>
        </w:rPr>
        <w:t>4</w:t>
      </w:r>
      <w:r>
        <w:rPr>
          <w:rFonts w:hint="eastAsia"/>
          <w:color w:val="auto"/>
        </w:rPr>
        <w:t>0000</w:t>
      </w:r>
      <w:r>
        <w:rPr>
          <w:color w:val="auto"/>
        </w:rPr>
        <w:t>m</w:t>
      </w:r>
      <w:r>
        <w:rPr>
          <w:color w:val="auto"/>
          <w:vertAlign w:val="superscript"/>
        </w:rPr>
        <w:t>3</w:t>
      </w:r>
      <w:r>
        <w:rPr>
          <w:rFonts w:hint="eastAsia"/>
          <w:color w:val="auto"/>
        </w:rPr>
        <w:t>）、汽</w:t>
      </w:r>
      <w:r>
        <w:rPr>
          <w:color w:val="auto"/>
        </w:rPr>
        <w:t>油储罐11</w:t>
      </w:r>
      <w:r>
        <w:rPr>
          <w:rFonts w:hint="eastAsia"/>
          <w:color w:val="auto"/>
        </w:rPr>
        <w:t>万</w:t>
      </w:r>
      <w:r>
        <w:rPr>
          <w:color w:val="auto"/>
        </w:rPr>
        <w:t>m</w:t>
      </w:r>
      <w:r>
        <w:rPr>
          <w:color w:val="auto"/>
          <w:vertAlign w:val="superscript"/>
        </w:rPr>
        <w:t>3</w:t>
      </w:r>
      <w:r>
        <w:rPr>
          <w:rFonts w:hint="eastAsia"/>
          <w:color w:val="auto"/>
        </w:rPr>
        <w:t>（</w:t>
      </w:r>
      <w:r>
        <w:rPr>
          <w:color w:val="auto"/>
        </w:rPr>
        <w:t>11</w:t>
      </w:r>
      <w:r>
        <w:rPr>
          <w:rFonts w:hint="eastAsia"/>
          <w:color w:val="auto"/>
        </w:rPr>
        <w:t>个</w:t>
      </w:r>
      <w:r>
        <w:rPr>
          <w:color w:val="auto"/>
        </w:rPr>
        <w:t>10</w:t>
      </w:r>
      <w:r>
        <w:rPr>
          <w:rFonts w:hint="eastAsia"/>
          <w:color w:val="auto"/>
        </w:rPr>
        <w:t>000</w:t>
      </w:r>
      <w:r>
        <w:rPr>
          <w:color w:val="auto"/>
        </w:rPr>
        <w:t>m</w:t>
      </w:r>
      <w:r>
        <w:rPr>
          <w:color w:val="auto"/>
          <w:vertAlign w:val="superscript"/>
        </w:rPr>
        <w:t>3</w:t>
      </w:r>
      <w:r>
        <w:rPr>
          <w:rFonts w:hint="eastAsia"/>
          <w:color w:val="auto"/>
        </w:rPr>
        <w:t>）</w:t>
      </w:r>
      <w:r>
        <w:rPr>
          <w:color w:val="auto"/>
        </w:rPr>
        <w:t>、</w:t>
      </w:r>
      <w:r>
        <w:rPr>
          <w:rFonts w:hint="eastAsia"/>
          <w:color w:val="auto"/>
        </w:rPr>
        <w:t>柴油</w:t>
      </w:r>
      <w:r>
        <w:rPr>
          <w:color w:val="auto"/>
        </w:rPr>
        <w:t>储罐10</w:t>
      </w:r>
      <w:r>
        <w:rPr>
          <w:rFonts w:hint="eastAsia"/>
          <w:color w:val="auto"/>
        </w:rPr>
        <w:t>万</w:t>
      </w:r>
      <w:r>
        <w:rPr>
          <w:color w:val="auto"/>
        </w:rPr>
        <w:t>m</w:t>
      </w:r>
      <w:r>
        <w:rPr>
          <w:color w:val="auto"/>
          <w:vertAlign w:val="superscript"/>
        </w:rPr>
        <w:t>3</w:t>
      </w:r>
      <w:r>
        <w:rPr>
          <w:rFonts w:hint="eastAsia"/>
          <w:color w:val="auto"/>
        </w:rPr>
        <w:t>（</w:t>
      </w:r>
      <w:r>
        <w:rPr>
          <w:color w:val="auto"/>
        </w:rPr>
        <w:t>10</w:t>
      </w:r>
      <w:r>
        <w:rPr>
          <w:rFonts w:hint="eastAsia"/>
          <w:color w:val="auto"/>
        </w:rPr>
        <w:t>个</w:t>
      </w:r>
      <w:r>
        <w:rPr>
          <w:color w:val="auto"/>
        </w:rPr>
        <w:t>1</w:t>
      </w:r>
      <w:r>
        <w:rPr>
          <w:rFonts w:hint="eastAsia"/>
          <w:color w:val="auto"/>
        </w:rPr>
        <w:t>0</w:t>
      </w:r>
      <w:r>
        <w:rPr>
          <w:color w:val="auto"/>
        </w:rPr>
        <w:t>0</w:t>
      </w:r>
      <w:r>
        <w:rPr>
          <w:rFonts w:hint="eastAsia"/>
          <w:color w:val="auto"/>
        </w:rPr>
        <w:t>00</w:t>
      </w:r>
      <w:r>
        <w:rPr>
          <w:color w:val="auto"/>
        </w:rPr>
        <w:t>m</w:t>
      </w:r>
      <w:r>
        <w:rPr>
          <w:color w:val="auto"/>
          <w:vertAlign w:val="superscript"/>
        </w:rPr>
        <w:t>3</w:t>
      </w:r>
      <w:r>
        <w:rPr>
          <w:rFonts w:hint="eastAsia"/>
          <w:color w:val="auto"/>
        </w:rPr>
        <w:t>）、重油</w:t>
      </w:r>
      <w:r>
        <w:rPr>
          <w:color w:val="auto"/>
        </w:rPr>
        <w:t>储罐1.5</w:t>
      </w:r>
      <w:r>
        <w:rPr>
          <w:rFonts w:hint="eastAsia"/>
          <w:color w:val="auto"/>
        </w:rPr>
        <w:t>万</w:t>
      </w:r>
      <w:r>
        <w:rPr>
          <w:color w:val="auto"/>
        </w:rPr>
        <w:t>m</w:t>
      </w:r>
      <w:r>
        <w:rPr>
          <w:color w:val="auto"/>
          <w:vertAlign w:val="superscript"/>
        </w:rPr>
        <w:t>3</w:t>
      </w:r>
      <w:r>
        <w:rPr>
          <w:rFonts w:hint="eastAsia"/>
          <w:color w:val="auto"/>
        </w:rPr>
        <w:t>（</w:t>
      </w:r>
      <w:r>
        <w:rPr>
          <w:color w:val="auto"/>
        </w:rPr>
        <w:t>3</w:t>
      </w:r>
      <w:r>
        <w:rPr>
          <w:rFonts w:hint="eastAsia"/>
          <w:color w:val="auto"/>
        </w:rPr>
        <w:t>个</w:t>
      </w:r>
      <w:r>
        <w:rPr>
          <w:color w:val="auto"/>
        </w:rPr>
        <w:t>50</w:t>
      </w:r>
      <w:r>
        <w:rPr>
          <w:rFonts w:hint="eastAsia"/>
          <w:color w:val="auto"/>
        </w:rPr>
        <w:t>00</w:t>
      </w:r>
      <w:r>
        <w:rPr>
          <w:color w:val="auto"/>
        </w:rPr>
        <w:t>m</w:t>
      </w:r>
      <w:r>
        <w:rPr>
          <w:color w:val="auto"/>
          <w:vertAlign w:val="superscript"/>
        </w:rPr>
        <w:t>3</w:t>
      </w:r>
      <w:r>
        <w:rPr>
          <w:rFonts w:hint="eastAsia"/>
          <w:color w:val="auto"/>
        </w:rPr>
        <w:t>）、甲醇</w:t>
      </w:r>
      <w:r>
        <w:rPr>
          <w:color w:val="auto"/>
        </w:rPr>
        <w:t>储罐1</w:t>
      </w:r>
      <w:r>
        <w:rPr>
          <w:rFonts w:hint="eastAsia"/>
          <w:color w:val="auto"/>
        </w:rPr>
        <w:t>万</w:t>
      </w:r>
      <w:r>
        <w:rPr>
          <w:color w:val="auto"/>
        </w:rPr>
        <w:t>m</w:t>
      </w:r>
      <w:r>
        <w:rPr>
          <w:color w:val="auto"/>
          <w:vertAlign w:val="superscript"/>
        </w:rPr>
        <w:t>3</w:t>
      </w:r>
      <w:r>
        <w:rPr>
          <w:rFonts w:hint="eastAsia"/>
          <w:color w:val="auto"/>
        </w:rPr>
        <w:t>（</w:t>
      </w:r>
      <w:r>
        <w:rPr>
          <w:color w:val="auto"/>
        </w:rPr>
        <w:t>1</w:t>
      </w:r>
      <w:r>
        <w:rPr>
          <w:rFonts w:hint="eastAsia"/>
          <w:color w:val="auto"/>
        </w:rPr>
        <w:t>个</w:t>
      </w:r>
      <w:r>
        <w:rPr>
          <w:color w:val="auto"/>
        </w:rPr>
        <w:t>100</w:t>
      </w:r>
      <w:r>
        <w:rPr>
          <w:rFonts w:hint="eastAsia"/>
          <w:color w:val="auto"/>
        </w:rPr>
        <w:t>00</w:t>
      </w:r>
      <w:r>
        <w:rPr>
          <w:color w:val="auto"/>
        </w:rPr>
        <w:t>m</w:t>
      </w:r>
      <w:r>
        <w:rPr>
          <w:color w:val="auto"/>
          <w:vertAlign w:val="superscript"/>
        </w:rPr>
        <w:t>3</w:t>
      </w:r>
      <w:r>
        <w:rPr>
          <w:rFonts w:hint="eastAsia"/>
          <w:color w:val="auto"/>
        </w:rPr>
        <w:t>），</w:t>
      </w:r>
      <w:r>
        <w:rPr>
          <w:color w:val="auto"/>
        </w:rPr>
        <w:t>总库容35.5</w:t>
      </w:r>
      <w:r>
        <w:rPr>
          <w:rFonts w:hint="eastAsia"/>
          <w:color w:val="auto"/>
        </w:rPr>
        <w:t>万</w:t>
      </w:r>
      <w:r>
        <w:rPr>
          <w:color w:val="auto"/>
        </w:rPr>
        <w:t>m</w:t>
      </w:r>
      <w:r>
        <w:rPr>
          <w:color w:val="auto"/>
          <w:vertAlign w:val="superscript"/>
        </w:rPr>
        <w:t>3</w:t>
      </w:r>
      <w:r>
        <w:rPr>
          <w:rFonts w:hint="eastAsia"/>
          <w:color w:val="auto"/>
        </w:rPr>
        <w:t>。共</w:t>
      </w:r>
      <w:r>
        <w:rPr>
          <w:color w:val="auto"/>
        </w:rPr>
        <w:t>分为</w:t>
      </w:r>
      <w:r>
        <w:rPr>
          <w:rFonts w:hint="eastAsia"/>
          <w:color w:val="auto"/>
        </w:rPr>
        <w:t>5个</w:t>
      </w:r>
      <w:r>
        <w:rPr>
          <w:color w:val="auto"/>
        </w:rPr>
        <w:t>罐组</w:t>
      </w:r>
      <w:r>
        <w:rPr>
          <w:rFonts w:hint="eastAsia"/>
          <w:color w:val="auto"/>
        </w:rPr>
        <w:t>：原油罐组、汽油罐组、柴油罐组、重油罐组、混合罐组，主要</w:t>
      </w:r>
      <w:r>
        <w:rPr>
          <w:color w:val="auto"/>
        </w:rPr>
        <w:t>装卸和储存货种为原油、</w:t>
      </w:r>
      <w:r>
        <w:rPr>
          <w:rFonts w:hint="eastAsia"/>
          <w:color w:val="auto"/>
        </w:rPr>
        <w:t>汽油</w:t>
      </w:r>
      <w:r>
        <w:rPr>
          <w:color w:val="auto"/>
        </w:rPr>
        <w:t>、柴油、重油、甲醇</w:t>
      </w:r>
      <w:r>
        <w:rPr>
          <w:rFonts w:hint="eastAsia"/>
          <w:color w:val="auto"/>
        </w:rPr>
        <w:t>、</w:t>
      </w:r>
      <w:r>
        <w:rPr>
          <w:color w:val="auto"/>
        </w:rPr>
        <w:t>燃料油</w:t>
      </w:r>
      <w:r>
        <w:rPr>
          <w:rFonts w:hint="eastAsia"/>
          <w:color w:val="auto"/>
        </w:rPr>
        <w:t>。</w:t>
      </w:r>
    </w:p>
    <w:p w14:paraId="70DD61AF">
      <w:pPr>
        <w:ind w:firstLine="482"/>
        <w:rPr>
          <w:b/>
          <w:bCs/>
          <w:color w:val="auto"/>
        </w:rPr>
      </w:pPr>
      <w:r>
        <w:rPr>
          <w:rFonts w:hint="eastAsia"/>
          <w:b/>
          <w:bCs/>
          <w:color w:val="auto"/>
        </w:rPr>
        <w:t>（3）广西东油沥青有限公司5万吨级油气码头油库新建汽油装船油气回收系统项目</w:t>
      </w:r>
    </w:p>
    <w:p w14:paraId="77F97739">
      <w:pPr>
        <w:ind w:firstLine="480"/>
        <w:rPr>
          <w:color w:val="auto"/>
        </w:rPr>
      </w:pPr>
      <w:r>
        <w:rPr>
          <w:rFonts w:hint="eastAsia"/>
          <w:color w:val="auto"/>
        </w:rPr>
        <w:t>2019年，广西东油沥青有限公司在现有库区南侧码头区域，新增1套800m</w:t>
      </w:r>
      <w:r>
        <w:rPr>
          <w:rFonts w:hint="eastAsia"/>
          <w:color w:val="auto"/>
          <w:vertAlign w:val="superscript"/>
        </w:rPr>
        <w:t>3</w:t>
      </w:r>
      <w:r>
        <w:rPr>
          <w:rFonts w:hint="eastAsia"/>
          <w:color w:val="auto"/>
        </w:rPr>
        <w:t>h汽油装船油气回收系统，并配套建设其他相关设施。</w:t>
      </w:r>
      <w:r>
        <w:rPr>
          <w:color w:val="auto"/>
        </w:rPr>
        <w:t>该项目《</w:t>
      </w:r>
      <w:r>
        <w:rPr>
          <w:rFonts w:hint="eastAsia"/>
          <w:color w:val="auto"/>
        </w:rPr>
        <w:t>广西东油沥青有限公司5万吨级油气码头油库新建汽油装船油气回收系统项目</w:t>
      </w:r>
      <w:r>
        <w:rPr>
          <w:color w:val="auto"/>
        </w:rPr>
        <w:t>环境影响报告</w:t>
      </w:r>
      <w:r>
        <w:rPr>
          <w:rFonts w:hint="eastAsia"/>
          <w:color w:val="auto"/>
        </w:rPr>
        <w:t>表</w:t>
      </w:r>
      <w:r>
        <w:rPr>
          <w:color w:val="auto"/>
        </w:rPr>
        <w:t>》</w:t>
      </w:r>
      <w:r>
        <w:rPr>
          <w:rFonts w:hint="eastAsia"/>
          <w:color w:val="auto"/>
        </w:rPr>
        <w:t>2019年10月</w:t>
      </w:r>
      <w:r>
        <w:rPr>
          <w:color w:val="auto"/>
        </w:rPr>
        <w:t>由</w:t>
      </w:r>
      <w:r>
        <w:rPr>
          <w:rFonts w:hint="eastAsia"/>
          <w:color w:val="auto"/>
        </w:rPr>
        <w:t>青岛</w:t>
      </w:r>
      <w:r>
        <w:rPr>
          <w:color w:val="auto"/>
        </w:rPr>
        <w:t>中油华东院安全环保有限公司编制完成，</w:t>
      </w:r>
      <w:r>
        <w:rPr>
          <w:rFonts w:hint="eastAsia"/>
          <w:color w:val="auto"/>
        </w:rPr>
        <w:t>并</w:t>
      </w:r>
      <w:r>
        <w:rPr>
          <w:color w:val="auto"/>
        </w:rPr>
        <w:t>于</w:t>
      </w:r>
      <w:r>
        <w:rPr>
          <w:rFonts w:hint="eastAsia"/>
          <w:color w:val="auto"/>
        </w:rPr>
        <w:t>2019年12月9日</w:t>
      </w:r>
      <w:r>
        <w:rPr>
          <w:color w:val="auto"/>
        </w:rPr>
        <w:t>取得</w:t>
      </w:r>
      <w:r>
        <w:rPr>
          <w:rFonts w:hint="eastAsia"/>
          <w:color w:val="auto"/>
        </w:rPr>
        <w:t>钦州市</w:t>
      </w:r>
      <w:r>
        <w:rPr>
          <w:color w:val="auto"/>
        </w:rPr>
        <w:t>生态环境局</w:t>
      </w:r>
      <w:r>
        <w:rPr>
          <w:rFonts w:hint="eastAsia"/>
          <w:color w:val="auto"/>
        </w:rPr>
        <w:t>的批复</w:t>
      </w:r>
      <w:r>
        <w:rPr>
          <w:color w:val="auto"/>
        </w:rPr>
        <w:t>，批文号：</w:t>
      </w:r>
      <w:r>
        <w:rPr>
          <w:rFonts w:hint="eastAsia"/>
          <w:color w:val="auto"/>
        </w:rPr>
        <w:t>钦港</w:t>
      </w:r>
      <w:r>
        <w:rPr>
          <w:color w:val="auto"/>
        </w:rPr>
        <w:t>环管字〔2019〕21号</w:t>
      </w:r>
      <w:r>
        <w:rPr>
          <w:rFonts w:hint="eastAsia"/>
          <w:color w:val="auto"/>
        </w:rPr>
        <w:t>。2021年11月15日</w:t>
      </w:r>
      <w:r>
        <w:rPr>
          <w:color w:val="auto"/>
        </w:rPr>
        <w:t>，</w:t>
      </w:r>
      <w:r>
        <w:rPr>
          <w:rFonts w:hint="eastAsia"/>
          <w:color w:val="auto"/>
        </w:rPr>
        <w:t>广西东油沥青有限公司5万吨级油气码头油库新建汽油装船油气回收系统项目</w:t>
      </w:r>
      <w:r>
        <w:rPr>
          <w:color w:val="auto"/>
        </w:rPr>
        <w:t>完成竣工环境保护设施验收核查。</w:t>
      </w:r>
    </w:p>
    <w:p w14:paraId="385FC144">
      <w:pPr>
        <w:ind w:firstLine="482"/>
        <w:rPr>
          <w:b/>
          <w:bCs/>
          <w:color w:val="auto"/>
        </w:rPr>
      </w:pPr>
      <w:r>
        <w:rPr>
          <w:rFonts w:hint="eastAsia"/>
          <w:b/>
          <w:bCs/>
          <w:color w:val="auto"/>
        </w:rPr>
        <w:t>（4）广西东油沥青有限公司5万吨级油气码头油库甲醇储存、装车系统改造</w:t>
      </w:r>
      <w:r>
        <w:rPr>
          <w:b/>
          <w:bCs/>
          <w:color w:val="auto"/>
        </w:rPr>
        <w:t>项目</w:t>
      </w:r>
    </w:p>
    <w:p w14:paraId="4C861569">
      <w:pPr>
        <w:ind w:firstLine="480"/>
        <w:rPr>
          <w:color w:val="auto"/>
        </w:rPr>
      </w:pPr>
      <w:r>
        <w:rPr>
          <w:rFonts w:hint="eastAsia"/>
          <w:color w:val="auto"/>
        </w:rPr>
        <w:t>2019年，广西东油沥青有限公司在</w:t>
      </w:r>
      <w:r>
        <w:rPr>
          <w:color w:val="auto"/>
        </w:rPr>
        <w:t>码头库区内增加</w:t>
      </w:r>
      <w:r>
        <w:rPr>
          <w:rFonts w:hint="eastAsia"/>
          <w:color w:val="auto"/>
        </w:rPr>
        <w:t>1套600m</w:t>
      </w:r>
      <w:r>
        <w:rPr>
          <w:rFonts w:hint="eastAsia"/>
          <w:color w:val="auto"/>
          <w:vertAlign w:val="superscript"/>
        </w:rPr>
        <w:t>3</w:t>
      </w:r>
      <w:r>
        <w:rPr>
          <w:rFonts w:hint="eastAsia"/>
          <w:color w:val="auto"/>
        </w:rPr>
        <w:t>/h的制氮系统；</w:t>
      </w:r>
      <w:r>
        <w:rPr>
          <w:color w:val="auto"/>
        </w:rPr>
        <w:t>将混合罐组中的三座汽油储罐改造为甲醇储罐，</w:t>
      </w:r>
      <w:r>
        <w:rPr>
          <w:rFonts w:hint="eastAsia"/>
          <w:color w:val="auto"/>
        </w:rPr>
        <w:t>并</w:t>
      </w:r>
      <w:r>
        <w:rPr>
          <w:color w:val="auto"/>
        </w:rPr>
        <w:t>对</w:t>
      </w:r>
      <w:r>
        <w:rPr>
          <w:rFonts w:hint="eastAsia"/>
          <w:color w:val="auto"/>
        </w:rPr>
        <w:t>库区内</w:t>
      </w:r>
      <w:r>
        <w:rPr>
          <w:color w:val="auto"/>
        </w:rPr>
        <w:t>的</w:t>
      </w:r>
      <w:r>
        <w:rPr>
          <w:rFonts w:hint="eastAsia"/>
          <w:color w:val="auto"/>
        </w:rPr>
        <w:t>甲醇</w:t>
      </w:r>
      <w:r>
        <w:rPr>
          <w:color w:val="auto"/>
        </w:rPr>
        <w:t>储罐采取氮封措施</w:t>
      </w:r>
      <w:r>
        <w:rPr>
          <w:rFonts w:hint="eastAsia"/>
          <w:color w:val="auto"/>
        </w:rPr>
        <w:t>；拆除汽车装车棚内11#、12#重油装车系统，新增2套甲醇装车鹤管；）新增1套300m</w:t>
      </w:r>
      <w:r>
        <w:rPr>
          <w:rFonts w:hint="eastAsia"/>
          <w:color w:val="auto"/>
          <w:vertAlign w:val="superscript"/>
        </w:rPr>
        <w:t>3</w:t>
      </w:r>
      <w:r>
        <w:rPr>
          <w:rFonts w:hint="eastAsia"/>
          <w:color w:val="auto"/>
        </w:rPr>
        <w:t>/h的甲醇装车油气回收装置；并配套建设其他相关设施。</w:t>
      </w:r>
      <w:r>
        <w:rPr>
          <w:color w:val="auto"/>
        </w:rPr>
        <w:t>该项目《</w:t>
      </w:r>
      <w:r>
        <w:rPr>
          <w:rFonts w:hint="eastAsia"/>
          <w:color w:val="auto"/>
        </w:rPr>
        <w:t>广西东油沥青有限公司5万吨级油气码头油库甲醇储存、装车系统改造项目</w:t>
      </w:r>
      <w:r>
        <w:rPr>
          <w:color w:val="auto"/>
        </w:rPr>
        <w:t>环境影响报告</w:t>
      </w:r>
      <w:r>
        <w:rPr>
          <w:rFonts w:hint="eastAsia"/>
          <w:color w:val="auto"/>
        </w:rPr>
        <w:t>表</w:t>
      </w:r>
      <w:r>
        <w:rPr>
          <w:color w:val="auto"/>
        </w:rPr>
        <w:t>》</w:t>
      </w:r>
      <w:r>
        <w:rPr>
          <w:rFonts w:hint="eastAsia"/>
          <w:color w:val="auto"/>
        </w:rPr>
        <w:t>2019年10月</w:t>
      </w:r>
      <w:r>
        <w:rPr>
          <w:color w:val="auto"/>
        </w:rPr>
        <w:t>由</w:t>
      </w:r>
      <w:r>
        <w:rPr>
          <w:rFonts w:hint="eastAsia"/>
          <w:color w:val="auto"/>
        </w:rPr>
        <w:t>青岛</w:t>
      </w:r>
      <w:r>
        <w:rPr>
          <w:color w:val="auto"/>
        </w:rPr>
        <w:t>中油华东院安全环保有限公司编制完成，</w:t>
      </w:r>
      <w:r>
        <w:rPr>
          <w:rFonts w:hint="eastAsia"/>
          <w:color w:val="auto"/>
        </w:rPr>
        <w:t>并</w:t>
      </w:r>
      <w:r>
        <w:rPr>
          <w:color w:val="auto"/>
        </w:rPr>
        <w:t>于</w:t>
      </w:r>
      <w:r>
        <w:rPr>
          <w:rFonts w:hint="eastAsia"/>
          <w:color w:val="auto"/>
        </w:rPr>
        <w:t>2019年12月9日</w:t>
      </w:r>
      <w:r>
        <w:rPr>
          <w:color w:val="auto"/>
        </w:rPr>
        <w:t>取得</w:t>
      </w:r>
      <w:r>
        <w:rPr>
          <w:rFonts w:hint="eastAsia"/>
          <w:color w:val="auto"/>
        </w:rPr>
        <w:t>钦州市</w:t>
      </w:r>
      <w:r>
        <w:rPr>
          <w:color w:val="auto"/>
        </w:rPr>
        <w:t>生态环境局</w:t>
      </w:r>
      <w:r>
        <w:rPr>
          <w:rFonts w:hint="eastAsia"/>
          <w:color w:val="auto"/>
        </w:rPr>
        <w:t>的批复</w:t>
      </w:r>
      <w:r>
        <w:rPr>
          <w:color w:val="auto"/>
        </w:rPr>
        <w:t>，批文号：</w:t>
      </w:r>
      <w:r>
        <w:rPr>
          <w:rFonts w:hint="eastAsia"/>
          <w:color w:val="auto"/>
        </w:rPr>
        <w:t>钦港</w:t>
      </w:r>
      <w:r>
        <w:rPr>
          <w:color w:val="auto"/>
        </w:rPr>
        <w:t>环管字〔2019〕22号</w:t>
      </w:r>
      <w:r>
        <w:rPr>
          <w:rFonts w:hint="eastAsia"/>
          <w:color w:val="auto"/>
        </w:rPr>
        <w:t>。2021年11月15日</w:t>
      </w:r>
      <w:r>
        <w:rPr>
          <w:color w:val="auto"/>
        </w:rPr>
        <w:t>，</w:t>
      </w:r>
      <w:r>
        <w:rPr>
          <w:rFonts w:hint="eastAsia"/>
          <w:color w:val="auto"/>
        </w:rPr>
        <w:t>广西东油沥青有限公司5万吨级油气码头油库甲醇储存、装车系统改造项目项目</w:t>
      </w:r>
      <w:r>
        <w:rPr>
          <w:color w:val="auto"/>
        </w:rPr>
        <w:t>完成竣工环境保护设施验收核查。</w:t>
      </w:r>
    </w:p>
    <w:p w14:paraId="4EF03077">
      <w:pPr>
        <w:widowControl/>
        <w:ind w:firstLine="482"/>
        <w:jc w:val="left"/>
        <w:outlineLvl w:val="0"/>
        <w:rPr>
          <w:color w:val="auto"/>
        </w:rPr>
      </w:pPr>
      <w:bookmarkStart w:id="16" w:name="_Toc223258150"/>
      <w:bookmarkStart w:id="17" w:name="_Toc223258408"/>
      <w:bookmarkStart w:id="18" w:name="_Toc223595741"/>
      <w:bookmarkStart w:id="19" w:name="_Toc21569"/>
      <w:r>
        <w:rPr>
          <w:rFonts w:hint="eastAsia" w:cs="宋体"/>
          <w:b/>
          <w:bCs/>
          <w:color w:val="auto"/>
          <w:lang w:bidi="ar"/>
        </w:rPr>
        <w:t>二、项目由来</w:t>
      </w:r>
      <w:bookmarkEnd w:id="16"/>
      <w:bookmarkEnd w:id="17"/>
      <w:bookmarkEnd w:id="18"/>
      <w:bookmarkEnd w:id="19"/>
    </w:p>
    <w:p w14:paraId="46A9F0E4">
      <w:pPr>
        <w:ind w:firstLine="480"/>
        <w:rPr>
          <w:rFonts w:cs="宋体"/>
          <w:color w:val="auto"/>
          <w:lang w:bidi="ar"/>
        </w:rPr>
      </w:pPr>
      <w:r>
        <w:rPr>
          <w:color w:val="auto"/>
        </w:rPr>
        <w:t>随着市场需求的变化，</w:t>
      </w:r>
      <w:r>
        <w:rPr>
          <w:rFonts w:hint="eastAsia"/>
          <w:color w:val="auto"/>
        </w:rPr>
        <w:t>广西东油沥青有限公司拟在</w:t>
      </w:r>
      <w:r>
        <w:rPr>
          <w:color w:val="auto"/>
        </w:rPr>
        <w:t>原批复内容</w:t>
      </w:r>
      <w:r>
        <w:rPr>
          <w:rFonts w:hint="eastAsia"/>
          <w:color w:val="auto"/>
        </w:rPr>
        <w:t>建设</w:t>
      </w:r>
      <w:r>
        <w:rPr>
          <w:rFonts w:hint="eastAsia" w:cs="宋体"/>
          <w:color w:val="auto"/>
          <w:lang w:bidi="ar"/>
        </w:rPr>
        <w:t>“</w:t>
      </w:r>
      <w:r>
        <w:rPr>
          <w:rFonts w:hint="eastAsia"/>
          <w:color w:val="auto"/>
        </w:rPr>
        <w:t>广西东油沥青有限公司5万吨级油气码头增加</w:t>
      </w:r>
      <w:r>
        <w:rPr>
          <w:color w:val="auto"/>
        </w:rPr>
        <w:t>货种项目</w:t>
      </w:r>
      <w:r>
        <w:rPr>
          <w:rFonts w:hint="eastAsia"/>
          <w:color w:val="auto"/>
        </w:rPr>
        <w:t>”（以下</w:t>
      </w:r>
      <w:r>
        <w:rPr>
          <w:color w:val="auto"/>
        </w:rPr>
        <w:t>简称“</w:t>
      </w:r>
      <w:r>
        <w:rPr>
          <w:rFonts w:hint="eastAsia"/>
          <w:color w:val="auto"/>
        </w:rPr>
        <w:t>扩建</w:t>
      </w:r>
      <w:r>
        <w:rPr>
          <w:color w:val="auto"/>
        </w:rPr>
        <w:t>项目”</w:t>
      </w:r>
      <w:r>
        <w:rPr>
          <w:rFonts w:hint="eastAsia"/>
          <w:color w:val="auto"/>
        </w:rPr>
        <w:t>），</w:t>
      </w:r>
      <w:r>
        <w:rPr>
          <w:color w:val="auto"/>
        </w:rPr>
        <w:t>项目代码：</w:t>
      </w:r>
      <w:r>
        <w:rPr>
          <w:rFonts w:cs="宋体"/>
          <w:color w:val="auto"/>
          <w:lang w:bidi="ar"/>
        </w:rPr>
        <w:t>2601-450704-04-05-387355</w:t>
      </w:r>
      <w:r>
        <w:rPr>
          <w:rFonts w:hint="eastAsia" w:cs="宋体"/>
          <w:color w:val="auto"/>
          <w:lang w:bidi="ar"/>
        </w:rPr>
        <w:t>。</w:t>
      </w:r>
    </w:p>
    <w:p w14:paraId="140405B8">
      <w:pPr>
        <w:autoSpaceDE w:val="0"/>
        <w:autoSpaceDN w:val="0"/>
        <w:ind w:firstLine="480"/>
        <w:rPr>
          <w:color w:val="auto"/>
        </w:rPr>
      </w:pPr>
      <w:r>
        <w:rPr>
          <w:rFonts w:hint="eastAsia"/>
          <w:color w:val="auto"/>
        </w:rPr>
        <w:t>扩建项目</w:t>
      </w:r>
      <w:r>
        <w:rPr>
          <w:color w:val="auto"/>
        </w:rPr>
        <w:t>不改变码头水工</w:t>
      </w:r>
      <w:r>
        <w:rPr>
          <w:rFonts w:hint="eastAsia"/>
          <w:color w:val="auto"/>
        </w:rPr>
        <w:t>建筑</w:t>
      </w:r>
      <w:r>
        <w:rPr>
          <w:color w:val="auto"/>
        </w:rPr>
        <w:t>的类型和</w:t>
      </w:r>
      <w:r>
        <w:rPr>
          <w:rFonts w:hint="eastAsia"/>
          <w:color w:val="auto"/>
        </w:rPr>
        <w:t>结构</w:t>
      </w:r>
      <w:r>
        <w:rPr>
          <w:color w:val="auto"/>
        </w:rPr>
        <w:t>，后方库区不新增占地面积。新增</w:t>
      </w:r>
      <w:r>
        <w:rPr>
          <w:rFonts w:hint="eastAsia"/>
          <w:color w:val="auto"/>
        </w:rPr>
        <w:t>甲基叔丁基醚（MTBE）、石脑油、蜡油、渣油、异辛烷（烷基化油）5个货种的</w:t>
      </w:r>
      <w:r>
        <w:rPr>
          <w:color w:val="auto"/>
        </w:rPr>
        <w:t>装卸</w:t>
      </w:r>
      <w:r>
        <w:rPr>
          <w:rFonts w:hint="eastAsia"/>
          <w:color w:val="auto"/>
        </w:rPr>
        <w:t>和</w:t>
      </w:r>
      <w:r>
        <w:rPr>
          <w:color w:val="auto"/>
        </w:rPr>
        <w:t>储存，吞吐量为</w:t>
      </w:r>
      <w:r>
        <w:rPr>
          <w:rFonts w:hint="eastAsia"/>
          <w:color w:val="auto"/>
        </w:rPr>
        <w:t>50万吨/年，均</w:t>
      </w:r>
      <w:r>
        <w:rPr>
          <w:color w:val="auto"/>
        </w:rPr>
        <w:t>利用</w:t>
      </w:r>
      <w:r>
        <w:rPr>
          <w:rFonts w:hint="eastAsia"/>
          <w:color w:val="auto"/>
        </w:rPr>
        <w:t>现有</w:t>
      </w:r>
      <w:r>
        <w:rPr>
          <w:color w:val="auto"/>
        </w:rPr>
        <w:t>的装卸和储存设施。</w:t>
      </w:r>
      <w:r>
        <w:rPr>
          <w:rFonts w:hint="eastAsia"/>
          <w:color w:val="auto"/>
        </w:rPr>
        <w:t>货种调整后不会突破121万吨/年的设计吞吐量</w:t>
      </w:r>
      <w:r>
        <w:rPr>
          <w:color w:val="auto"/>
        </w:rPr>
        <w:t>。</w:t>
      </w:r>
      <w:r>
        <w:rPr>
          <w:rFonts w:hint="eastAsia"/>
          <w:color w:val="auto"/>
        </w:rPr>
        <w:t>并在库区汽油泵棚输送泵P301/1、2泵出口处新增一条DN150管道跨接至厂内柴油长输线（DN150），长度约</w:t>
      </w:r>
      <w:r>
        <w:rPr>
          <w:color w:val="auto"/>
        </w:rPr>
        <w:t>5</w:t>
      </w:r>
      <w:r>
        <w:rPr>
          <w:rFonts w:hint="eastAsia"/>
          <w:color w:val="auto"/>
        </w:rPr>
        <w:t>7</w:t>
      </w:r>
      <w:r>
        <w:rPr>
          <w:color w:val="auto"/>
        </w:rPr>
        <w:t>m</w:t>
      </w:r>
      <w:r>
        <w:rPr>
          <w:rFonts w:hint="eastAsia"/>
          <w:color w:val="auto"/>
        </w:rPr>
        <w:t>。</w:t>
      </w:r>
    </w:p>
    <w:p w14:paraId="733BC173">
      <w:pPr>
        <w:ind w:firstLine="480"/>
        <w:rPr>
          <w:color w:val="auto"/>
        </w:rPr>
      </w:pPr>
      <w:r>
        <w:rPr>
          <w:rFonts w:hint="eastAsia"/>
          <w:color w:val="auto"/>
        </w:rPr>
        <w:t>石脑油、异辛烷（烷基化油）、蜡油、渣油进行</w:t>
      </w:r>
      <w:r>
        <w:rPr>
          <w:color w:val="auto"/>
        </w:rPr>
        <w:t>卸船作业，</w:t>
      </w:r>
      <w:r>
        <w:rPr>
          <w:rFonts w:hint="eastAsia"/>
          <w:color w:val="auto"/>
        </w:rPr>
        <w:t>甲基叔丁基醚（MTBE）进行</w:t>
      </w:r>
      <w:r>
        <w:rPr>
          <w:color w:val="auto"/>
        </w:rPr>
        <w:t>装船作业。</w:t>
      </w:r>
    </w:p>
    <w:p w14:paraId="56794606">
      <w:pPr>
        <w:ind w:firstLine="480"/>
        <w:rPr>
          <w:color w:val="auto"/>
        </w:rPr>
      </w:pPr>
      <w:r>
        <w:rPr>
          <w:rFonts w:hint="eastAsia"/>
          <w:color w:val="auto"/>
        </w:rPr>
        <w:t>石脑油、异辛烷（烷基化油）利用汽油装卸</w:t>
      </w:r>
      <w:r>
        <w:rPr>
          <w:color w:val="auto"/>
        </w:rPr>
        <w:t>臂和</w:t>
      </w:r>
      <w:r>
        <w:rPr>
          <w:rFonts w:hint="eastAsia"/>
          <w:color w:val="auto"/>
        </w:rPr>
        <w:t>管线</w:t>
      </w:r>
      <w:r>
        <w:rPr>
          <w:color w:val="auto"/>
        </w:rPr>
        <w:t>，将</w:t>
      </w:r>
      <w:r>
        <w:rPr>
          <w:rFonts w:hint="eastAsia"/>
          <w:color w:val="auto"/>
        </w:rPr>
        <w:t>卸船</w:t>
      </w:r>
      <w:r>
        <w:rPr>
          <w:color w:val="auto"/>
        </w:rPr>
        <w:t>物料输送至后方库区</w:t>
      </w:r>
      <w:r>
        <w:rPr>
          <w:rFonts w:hint="eastAsia"/>
          <w:color w:val="auto"/>
        </w:rPr>
        <w:t>3#罐组</w:t>
      </w:r>
      <w:r>
        <w:rPr>
          <w:color w:val="auto"/>
        </w:rPr>
        <w:t>中</w:t>
      </w:r>
      <w:r>
        <w:rPr>
          <w:rFonts w:hint="eastAsia"/>
          <w:color w:val="auto"/>
        </w:rPr>
        <w:t>的</w:t>
      </w:r>
      <w:r>
        <w:rPr>
          <w:color w:val="auto"/>
        </w:rPr>
        <w:t>现有汽油储罐</w:t>
      </w:r>
      <w:r>
        <w:rPr>
          <w:rFonts w:hint="eastAsia"/>
          <w:color w:val="auto"/>
        </w:rPr>
        <w:t>进行</w:t>
      </w:r>
      <w:r>
        <w:rPr>
          <w:color w:val="auto"/>
        </w:rPr>
        <w:t>储存，</w:t>
      </w:r>
      <w:r>
        <w:rPr>
          <w:rFonts w:hint="eastAsia"/>
          <w:color w:val="auto"/>
        </w:rPr>
        <w:t>蜡油、渣油利用</w:t>
      </w:r>
      <w:r>
        <w:rPr>
          <w:color w:val="auto"/>
        </w:rPr>
        <w:t>现有</w:t>
      </w:r>
      <w:r>
        <w:rPr>
          <w:rFonts w:hint="eastAsia"/>
          <w:color w:val="auto"/>
        </w:rPr>
        <w:t>原油输油臂和</w:t>
      </w:r>
      <w:r>
        <w:rPr>
          <w:color w:val="auto"/>
        </w:rPr>
        <w:t>管线</w:t>
      </w:r>
      <w:r>
        <w:rPr>
          <w:rFonts w:hint="eastAsia"/>
          <w:color w:val="auto"/>
        </w:rPr>
        <w:t>，</w:t>
      </w:r>
      <w:r>
        <w:rPr>
          <w:color w:val="auto"/>
        </w:rPr>
        <w:t>将货种输送至后方库区</w:t>
      </w:r>
      <w:r>
        <w:rPr>
          <w:rFonts w:hint="eastAsia"/>
          <w:color w:val="auto"/>
        </w:rPr>
        <w:t>1#罐组</w:t>
      </w:r>
      <w:r>
        <w:rPr>
          <w:color w:val="auto"/>
        </w:rPr>
        <w:t>中</w:t>
      </w:r>
      <w:r>
        <w:rPr>
          <w:rFonts w:hint="eastAsia"/>
          <w:color w:val="auto"/>
        </w:rPr>
        <w:t>现有原油</w:t>
      </w:r>
      <w:r>
        <w:rPr>
          <w:color w:val="auto"/>
        </w:rPr>
        <w:t>储罐进行储存。储存在储罐中的</w:t>
      </w:r>
      <w:r>
        <w:rPr>
          <w:rFonts w:hint="eastAsia"/>
          <w:color w:val="auto"/>
        </w:rPr>
        <w:t>石脑油、蜡油、渣油、异辛烷（烷基化油）</w:t>
      </w:r>
      <w:r>
        <w:rPr>
          <w:color w:val="auto"/>
        </w:rPr>
        <w:t>，</w:t>
      </w:r>
      <w:r>
        <w:rPr>
          <w:rFonts w:hint="eastAsia"/>
          <w:color w:val="auto"/>
        </w:rPr>
        <w:t>经长输管线</w:t>
      </w:r>
      <w:r>
        <w:rPr>
          <w:color w:val="auto"/>
        </w:rPr>
        <w:t>输送至广西石化</w:t>
      </w:r>
      <w:r>
        <w:rPr>
          <w:rFonts w:hint="eastAsia"/>
          <w:color w:val="auto"/>
        </w:rPr>
        <w:t>罐区。甲基叔丁基醚（MTBE）从广西石化经长输管线输送至项目现有储罐中，经码头装船出口。</w:t>
      </w:r>
    </w:p>
    <w:p w14:paraId="756D2511">
      <w:pPr>
        <w:ind w:firstLine="482"/>
        <w:jc w:val="center"/>
        <w:rPr>
          <w:b/>
          <w:bCs/>
          <w:color w:val="auto"/>
        </w:rPr>
      </w:pPr>
      <w:r>
        <w:rPr>
          <w:rFonts w:hint="eastAsia"/>
          <w:b/>
          <w:bCs/>
          <w:color w:val="auto"/>
        </w:rPr>
        <w:t>表1装卸危险货种变化情况一览表</w:t>
      </w:r>
    </w:p>
    <w:tbl>
      <w:tblPr>
        <w:tblStyle w:val="4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8"/>
        <w:gridCol w:w="1798"/>
        <w:gridCol w:w="4448"/>
        <w:gridCol w:w="1580"/>
      </w:tblGrid>
      <w:tr w14:paraId="47EC8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488" w:type="dxa"/>
            <w:tcMar>
              <w:left w:w="0" w:type="dxa"/>
              <w:right w:w="0" w:type="dxa"/>
            </w:tcMar>
            <w:vAlign w:val="center"/>
          </w:tcPr>
          <w:p w14:paraId="77340338">
            <w:pPr>
              <w:pStyle w:val="87"/>
              <w:keepNext w:val="0"/>
              <w:keepLines w:val="0"/>
              <w:suppressLineNumbers w:val="0"/>
              <w:spacing w:before="0" w:beforeAutospacing="0" w:after="0" w:afterAutospacing="0"/>
              <w:ind w:left="0" w:right="0"/>
              <w:rPr>
                <w:rFonts w:hint="default"/>
                <w:color w:val="auto"/>
              </w:rPr>
            </w:pPr>
            <w:r>
              <w:rPr>
                <w:rFonts w:hint="eastAsia"/>
                <w:color w:val="auto"/>
              </w:rPr>
              <w:t>本扩建项目</w:t>
            </w:r>
          </w:p>
        </w:tc>
        <w:tc>
          <w:tcPr>
            <w:tcW w:w="1740" w:type="dxa"/>
            <w:vAlign w:val="center"/>
          </w:tcPr>
          <w:p w14:paraId="216C79E6">
            <w:pPr>
              <w:pStyle w:val="87"/>
              <w:keepNext w:val="0"/>
              <w:keepLines w:val="0"/>
              <w:suppressLineNumbers w:val="0"/>
              <w:spacing w:before="0" w:beforeAutospacing="0" w:after="0" w:afterAutospacing="0"/>
              <w:ind w:left="0" w:right="0"/>
              <w:rPr>
                <w:rFonts w:hint="default"/>
                <w:color w:val="auto"/>
              </w:rPr>
            </w:pPr>
            <w:r>
              <w:rPr>
                <w:rFonts w:hint="eastAsia"/>
                <w:color w:val="auto"/>
              </w:rPr>
              <w:t>危险货种数量</w:t>
            </w:r>
          </w:p>
        </w:tc>
        <w:tc>
          <w:tcPr>
            <w:tcW w:w="4305" w:type="dxa"/>
            <w:tcMar>
              <w:left w:w="0" w:type="dxa"/>
              <w:right w:w="0" w:type="dxa"/>
            </w:tcMar>
            <w:vAlign w:val="center"/>
          </w:tcPr>
          <w:p w14:paraId="598D3E73">
            <w:pPr>
              <w:pStyle w:val="87"/>
              <w:keepNext w:val="0"/>
              <w:keepLines w:val="0"/>
              <w:suppressLineNumbers w:val="0"/>
              <w:spacing w:before="0" w:beforeAutospacing="0" w:after="0" w:afterAutospacing="0"/>
              <w:ind w:left="0" w:right="0"/>
              <w:rPr>
                <w:rFonts w:hint="default"/>
                <w:color w:val="auto"/>
              </w:rPr>
            </w:pPr>
            <w:r>
              <w:rPr>
                <w:rFonts w:hint="eastAsia"/>
                <w:color w:val="auto"/>
              </w:rPr>
              <w:t>货种种类</w:t>
            </w:r>
          </w:p>
        </w:tc>
        <w:tc>
          <w:tcPr>
            <w:tcW w:w="1529" w:type="dxa"/>
            <w:tcMar>
              <w:left w:w="0" w:type="dxa"/>
              <w:right w:w="0" w:type="dxa"/>
            </w:tcMar>
            <w:vAlign w:val="center"/>
          </w:tcPr>
          <w:p w14:paraId="1AA1B013">
            <w:pPr>
              <w:pStyle w:val="87"/>
              <w:keepNext w:val="0"/>
              <w:keepLines w:val="0"/>
              <w:suppressLineNumbers w:val="0"/>
              <w:spacing w:before="0" w:beforeAutospacing="0" w:after="0" w:afterAutospacing="0"/>
              <w:ind w:left="0" w:right="0"/>
              <w:rPr>
                <w:rFonts w:hint="default"/>
                <w:color w:val="auto"/>
              </w:rPr>
            </w:pPr>
            <w:r>
              <w:rPr>
                <w:rFonts w:hint="eastAsia"/>
                <w:color w:val="auto"/>
              </w:rPr>
              <w:t>吞吐量</w:t>
            </w:r>
          </w:p>
        </w:tc>
      </w:tr>
      <w:tr w14:paraId="16428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8" w:type="dxa"/>
            <w:tcMar>
              <w:left w:w="0" w:type="dxa"/>
              <w:right w:w="0" w:type="dxa"/>
            </w:tcMar>
            <w:vAlign w:val="center"/>
          </w:tcPr>
          <w:p w14:paraId="58944E14">
            <w:pPr>
              <w:pStyle w:val="87"/>
              <w:keepNext w:val="0"/>
              <w:keepLines w:val="0"/>
              <w:suppressLineNumbers w:val="0"/>
              <w:spacing w:before="0" w:beforeAutospacing="0" w:after="0" w:afterAutospacing="0"/>
              <w:ind w:left="0" w:right="0"/>
              <w:rPr>
                <w:rFonts w:hint="default"/>
                <w:color w:val="auto"/>
              </w:rPr>
            </w:pPr>
            <w:r>
              <w:rPr>
                <w:rFonts w:hint="eastAsia"/>
                <w:color w:val="auto"/>
              </w:rPr>
              <w:t>已批复货种</w:t>
            </w:r>
          </w:p>
        </w:tc>
        <w:tc>
          <w:tcPr>
            <w:tcW w:w="1740" w:type="dxa"/>
            <w:vAlign w:val="center"/>
          </w:tcPr>
          <w:p w14:paraId="4C843D0A">
            <w:pPr>
              <w:pStyle w:val="87"/>
              <w:keepNext w:val="0"/>
              <w:keepLines w:val="0"/>
              <w:suppressLineNumbers w:val="0"/>
              <w:spacing w:before="0" w:beforeAutospacing="0" w:after="0" w:afterAutospacing="0"/>
              <w:ind w:left="0" w:right="0"/>
              <w:rPr>
                <w:rFonts w:hint="default"/>
                <w:color w:val="auto"/>
              </w:rPr>
            </w:pPr>
            <w:r>
              <w:rPr>
                <w:rFonts w:hint="eastAsia"/>
                <w:color w:val="auto"/>
              </w:rPr>
              <w:t>1类，</w:t>
            </w:r>
            <w:r>
              <w:rPr>
                <w:rFonts w:hint="default"/>
                <w:color w:val="auto"/>
              </w:rPr>
              <w:t>6</w:t>
            </w:r>
            <w:r>
              <w:rPr>
                <w:rFonts w:hint="eastAsia"/>
                <w:color w:val="auto"/>
              </w:rPr>
              <w:t>种</w:t>
            </w:r>
          </w:p>
        </w:tc>
        <w:tc>
          <w:tcPr>
            <w:tcW w:w="4305" w:type="dxa"/>
            <w:tcMar>
              <w:left w:w="0" w:type="dxa"/>
              <w:right w:w="0" w:type="dxa"/>
            </w:tcMar>
            <w:vAlign w:val="center"/>
          </w:tcPr>
          <w:p w14:paraId="0826986E">
            <w:pPr>
              <w:pStyle w:val="87"/>
              <w:keepNext w:val="0"/>
              <w:keepLines w:val="0"/>
              <w:suppressLineNumbers w:val="0"/>
              <w:spacing w:before="0" w:beforeAutospacing="0" w:after="0" w:afterAutospacing="0"/>
              <w:ind w:left="0" w:right="0"/>
              <w:rPr>
                <w:rFonts w:hint="default"/>
                <w:color w:val="auto"/>
              </w:rPr>
            </w:pPr>
            <w:r>
              <w:rPr>
                <w:rFonts w:hint="eastAsia"/>
                <w:color w:val="auto"/>
              </w:rPr>
              <w:t>第3类，</w:t>
            </w:r>
            <w:r>
              <w:rPr>
                <w:rFonts w:hint="default"/>
                <w:color w:val="auto"/>
              </w:rPr>
              <w:t>5</w:t>
            </w:r>
            <w:r>
              <w:rPr>
                <w:rFonts w:hint="eastAsia"/>
                <w:color w:val="auto"/>
              </w:rPr>
              <w:t>种，原油、汽油、柴油、重油、甲醇、</w:t>
            </w:r>
            <w:r>
              <w:rPr>
                <w:rFonts w:hint="default"/>
                <w:color w:val="auto"/>
              </w:rPr>
              <w:t>燃料油</w:t>
            </w:r>
            <w:r>
              <w:rPr>
                <w:rFonts w:hint="eastAsia"/>
                <w:color w:val="auto"/>
              </w:rPr>
              <w:t>。</w:t>
            </w:r>
          </w:p>
        </w:tc>
        <w:tc>
          <w:tcPr>
            <w:tcW w:w="1529" w:type="dxa"/>
            <w:tcMar>
              <w:left w:w="0" w:type="dxa"/>
              <w:right w:w="0" w:type="dxa"/>
            </w:tcMar>
            <w:vAlign w:val="center"/>
          </w:tcPr>
          <w:p w14:paraId="4BB267BC">
            <w:pPr>
              <w:pStyle w:val="87"/>
              <w:keepNext w:val="0"/>
              <w:keepLines w:val="0"/>
              <w:suppressLineNumbers w:val="0"/>
              <w:spacing w:before="0" w:beforeAutospacing="0" w:after="0" w:afterAutospacing="0"/>
              <w:ind w:left="0" w:right="0"/>
              <w:rPr>
                <w:rFonts w:hint="default"/>
                <w:color w:val="auto"/>
              </w:rPr>
            </w:pPr>
            <w:r>
              <w:rPr>
                <w:rFonts w:hint="default"/>
                <w:color w:val="auto"/>
              </w:rPr>
              <w:t>60.7</w:t>
            </w:r>
            <w:r>
              <w:rPr>
                <w:rFonts w:hint="eastAsia"/>
                <w:color w:val="auto"/>
              </w:rPr>
              <w:t>万吨/年</w:t>
            </w:r>
          </w:p>
        </w:tc>
      </w:tr>
      <w:tr w14:paraId="6DCD2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8" w:type="dxa"/>
            <w:tcMar>
              <w:left w:w="0" w:type="dxa"/>
              <w:right w:w="0" w:type="dxa"/>
            </w:tcMar>
            <w:vAlign w:val="center"/>
          </w:tcPr>
          <w:p w14:paraId="10EF1B61">
            <w:pPr>
              <w:pStyle w:val="87"/>
              <w:keepNext w:val="0"/>
              <w:keepLines w:val="0"/>
              <w:suppressLineNumbers w:val="0"/>
              <w:spacing w:before="0" w:beforeAutospacing="0" w:after="0" w:afterAutospacing="0"/>
              <w:ind w:left="0" w:right="0"/>
              <w:rPr>
                <w:rFonts w:hint="default"/>
                <w:color w:val="auto"/>
              </w:rPr>
            </w:pPr>
            <w:r>
              <w:rPr>
                <w:rFonts w:hint="eastAsia"/>
                <w:color w:val="auto"/>
              </w:rPr>
              <w:t>本次变更后</w:t>
            </w:r>
          </w:p>
        </w:tc>
        <w:tc>
          <w:tcPr>
            <w:tcW w:w="1740" w:type="dxa"/>
            <w:vAlign w:val="center"/>
          </w:tcPr>
          <w:p w14:paraId="3FFA0199">
            <w:pPr>
              <w:pStyle w:val="87"/>
              <w:keepNext w:val="0"/>
              <w:keepLines w:val="0"/>
              <w:suppressLineNumbers w:val="0"/>
              <w:spacing w:before="0" w:beforeAutospacing="0" w:after="0" w:afterAutospacing="0"/>
              <w:ind w:left="0" w:right="0"/>
              <w:rPr>
                <w:rFonts w:hint="default"/>
                <w:color w:val="auto"/>
              </w:rPr>
            </w:pPr>
            <w:r>
              <w:rPr>
                <w:rFonts w:hint="default"/>
                <w:color w:val="auto"/>
              </w:rPr>
              <w:t>1</w:t>
            </w:r>
            <w:r>
              <w:rPr>
                <w:rFonts w:hint="eastAsia"/>
                <w:color w:val="auto"/>
              </w:rPr>
              <w:t>类，</w:t>
            </w:r>
            <w:r>
              <w:rPr>
                <w:rFonts w:hint="default"/>
                <w:color w:val="auto"/>
              </w:rPr>
              <w:t>11</w:t>
            </w:r>
            <w:r>
              <w:rPr>
                <w:rFonts w:hint="eastAsia"/>
                <w:color w:val="auto"/>
              </w:rPr>
              <w:t>种</w:t>
            </w:r>
          </w:p>
        </w:tc>
        <w:tc>
          <w:tcPr>
            <w:tcW w:w="4305" w:type="dxa"/>
            <w:tcMar>
              <w:left w:w="0" w:type="dxa"/>
              <w:right w:w="0" w:type="dxa"/>
            </w:tcMar>
            <w:vAlign w:val="center"/>
          </w:tcPr>
          <w:p w14:paraId="751C2E9C">
            <w:pPr>
              <w:pStyle w:val="87"/>
              <w:keepNext w:val="0"/>
              <w:keepLines w:val="0"/>
              <w:suppressLineNumbers w:val="0"/>
              <w:spacing w:before="0" w:beforeAutospacing="0" w:after="0" w:afterAutospacing="0"/>
              <w:ind w:left="0" w:right="0"/>
              <w:rPr>
                <w:rFonts w:hint="default"/>
                <w:color w:val="auto"/>
              </w:rPr>
            </w:pPr>
            <w:r>
              <w:rPr>
                <w:rFonts w:hint="eastAsia"/>
                <w:color w:val="auto"/>
              </w:rPr>
              <w:t>第3类，</w:t>
            </w:r>
            <w:r>
              <w:rPr>
                <w:rFonts w:hint="default"/>
                <w:color w:val="auto"/>
              </w:rPr>
              <w:t>10</w:t>
            </w:r>
            <w:r>
              <w:rPr>
                <w:rFonts w:hint="eastAsia"/>
                <w:color w:val="auto"/>
              </w:rPr>
              <w:t>种，原油、汽油、柴油、重油、甲醇、燃料油</w:t>
            </w:r>
            <w:r>
              <w:rPr>
                <w:rFonts w:hint="default"/>
                <w:color w:val="auto"/>
              </w:rPr>
              <w:t>、</w:t>
            </w:r>
            <w:r>
              <w:rPr>
                <w:rFonts w:hint="eastAsia"/>
                <w:color w:val="auto"/>
              </w:rPr>
              <w:t>甲基叔丁基醚（MTBE）、异辛烷（烷基化油）、石脑油、蜡油、渣油。</w:t>
            </w:r>
          </w:p>
        </w:tc>
        <w:tc>
          <w:tcPr>
            <w:tcW w:w="1529" w:type="dxa"/>
            <w:tcMar>
              <w:left w:w="0" w:type="dxa"/>
              <w:right w:w="0" w:type="dxa"/>
            </w:tcMar>
            <w:vAlign w:val="center"/>
          </w:tcPr>
          <w:p w14:paraId="55350351">
            <w:pPr>
              <w:pStyle w:val="87"/>
              <w:keepNext w:val="0"/>
              <w:keepLines w:val="0"/>
              <w:suppressLineNumbers w:val="0"/>
              <w:spacing w:before="0" w:beforeAutospacing="0" w:after="0" w:afterAutospacing="0"/>
              <w:ind w:left="0" w:right="0"/>
              <w:rPr>
                <w:rFonts w:hint="default"/>
                <w:color w:val="auto"/>
              </w:rPr>
            </w:pPr>
            <w:r>
              <w:rPr>
                <w:rFonts w:hint="default"/>
                <w:color w:val="auto"/>
              </w:rPr>
              <w:t>110.7</w:t>
            </w:r>
            <w:r>
              <w:rPr>
                <w:rFonts w:hint="eastAsia"/>
                <w:color w:val="auto"/>
              </w:rPr>
              <w:t>万吨/年</w:t>
            </w:r>
          </w:p>
        </w:tc>
      </w:tr>
    </w:tbl>
    <w:p w14:paraId="71C2AD06">
      <w:pPr>
        <w:ind w:firstLine="482"/>
        <w:outlineLvl w:val="0"/>
        <w:rPr>
          <w:b/>
          <w:bCs/>
          <w:color w:val="auto"/>
        </w:rPr>
      </w:pPr>
      <w:bookmarkStart w:id="20" w:name="_Toc223258151"/>
      <w:bookmarkStart w:id="21" w:name="_Toc223595742"/>
      <w:bookmarkStart w:id="22" w:name="_Toc26300"/>
      <w:bookmarkStart w:id="23" w:name="_Toc223258409"/>
      <w:r>
        <w:rPr>
          <w:rFonts w:hint="eastAsia"/>
          <w:b/>
          <w:bCs/>
          <w:color w:val="auto"/>
        </w:rPr>
        <w:t>三</w:t>
      </w:r>
      <w:r>
        <w:rPr>
          <w:b/>
          <w:bCs/>
          <w:color w:val="auto"/>
        </w:rPr>
        <w:t>、建设项目特点</w:t>
      </w:r>
      <w:bookmarkEnd w:id="20"/>
      <w:bookmarkEnd w:id="21"/>
      <w:bookmarkEnd w:id="22"/>
      <w:bookmarkEnd w:id="23"/>
    </w:p>
    <w:p w14:paraId="5474BCFC">
      <w:pPr>
        <w:ind w:firstLine="480"/>
        <w:rPr>
          <w:color w:val="auto"/>
          <w:szCs w:val="28"/>
        </w:rPr>
      </w:pPr>
      <w:r>
        <w:rPr>
          <w:rFonts w:hint="eastAsia"/>
          <w:color w:val="auto"/>
        </w:rPr>
        <w:t>1、本扩建项目变更后，广西东油沥青有限公司5万吨级油气码头（即6#泊位）涉及的建设标准、用海范围、水工结构等维持原状不改变，码头</w:t>
      </w:r>
      <w:r>
        <w:rPr>
          <w:color w:val="auto"/>
        </w:rPr>
        <w:t>年设计通过能力121万吨保持不变</w:t>
      </w:r>
      <w:r>
        <w:rPr>
          <w:rFonts w:hint="eastAsia"/>
          <w:color w:val="auto"/>
          <w:szCs w:val="28"/>
        </w:rPr>
        <w:t>。</w:t>
      </w:r>
    </w:p>
    <w:p w14:paraId="1D82E87D">
      <w:pPr>
        <w:ind w:firstLine="480"/>
        <w:rPr>
          <w:color w:val="auto"/>
        </w:rPr>
      </w:pPr>
      <w:r>
        <w:rPr>
          <w:rFonts w:hint="eastAsia"/>
          <w:color w:val="auto"/>
          <w:szCs w:val="28"/>
        </w:rPr>
        <w:t>2、</w:t>
      </w:r>
      <w:r>
        <w:rPr>
          <w:rFonts w:hint="eastAsia"/>
          <w:color w:val="auto"/>
        </w:rPr>
        <w:t>本扩建项目</w:t>
      </w:r>
      <w:r>
        <w:rPr>
          <w:rFonts w:hint="eastAsia" w:cs="宋体"/>
          <w:bCs/>
          <w:color w:val="auto"/>
        </w:rPr>
        <w:t>新增石脑油跨接线57</w:t>
      </w:r>
      <w:r>
        <w:rPr>
          <w:rFonts w:cs="宋体"/>
          <w:bCs/>
          <w:color w:val="auto"/>
        </w:rPr>
        <w:t>m，连接</w:t>
      </w:r>
      <w:r>
        <w:rPr>
          <w:rFonts w:hint="eastAsia" w:cs="宋体"/>
          <w:bCs/>
          <w:color w:val="auto"/>
        </w:rPr>
        <w:t>厂内已建</w:t>
      </w:r>
      <w:r>
        <w:rPr>
          <w:rFonts w:cs="宋体"/>
          <w:bCs/>
          <w:color w:val="auto"/>
        </w:rPr>
        <w:t>的柴油长输线，</w:t>
      </w:r>
      <w:r>
        <w:rPr>
          <w:rFonts w:hint="eastAsia" w:cs="宋体"/>
          <w:bCs/>
          <w:color w:val="auto"/>
        </w:rPr>
        <w:t>将</w:t>
      </w:r>
      <w:r>
        <w:rPr>
          <w:rFonts w:cs="宋体"/>
          <w:bCs/>
          <w:color w:val="auto"/>
        </w:rPr>
        <w:t>石脑油输送</w:t>
      </w:r>
      <w:r>
        <w:rPr>
          <w:rFonts w:hint="eastAsia" w:cs="宋体"/>
          <w:bCs/>
          <w:color w:val="auto"/>
        </w:rPr>
        <w:t>至</w:t>
      </w:r>
      <w:r>
        <w:rPr>
          <w:rFonts w:cs="宋体"/>
          <w:bCs/>
          <w:color w:val="auto"/>
        </w:rPr>
        <w:t>广西石化</w:t>
      </w:r>
      <w:r>
        <w:rPr>
          <w:rFonts w:hint="eastAsia"/>
          <w:color w:val="auto"/>
        </w:rPr>
        <w:t>罐区</w:t>
      </w:r>
      <w:r>
        <w:rPr>
          <w:rFonts w:hint="eastAsia" w:cs="宋体"/>
          <w:bCs/>
          <w:color w:val="auto"/>
        </w:rPr>
        <w:t>。</w:t>
      </w:r>
      <w:r>
        <w:rPr>
          <w:rFonts w:hint="eastAsia"/>
          <w:color w:val="auto"/>
          <w:szCs w:val="28"/>
        </w:rPr>
        <w:t>本次</w:t>
      </w:r>
      <w:r>
        <w:rPr>
          <w:rFonts w:hint="eastAsia"/>
          <w:color w:val="auto"/>
        </w:rPr>
        <w:t>评价范围为码头及</w:t>
      </w:r>
      <w:r>
        <w:rPr>
          <w:color w:val="auto"/>
        </w:rPr>
        <w:t>后方库区</w:t>
      </w:r>
      <w:r>
        <w:rPr>
          <w:rFonts w:hint="eastAsia"/>
          <w:color w:val="auto"/>
        </w:rPr>
        <w:t>的管线和装卸臂，不包括与广西石化连接的管线。</w:t>
      </w:r>
    </w:p>
    <w:p w14:paraId="421DCE30">
      <w:pPr>
        <w:ind w:firstLine="480"/>
        <w:rPr>
          <w:bCs/>
          <w:color w:val="auto"/>
        </w:rPr>
      </w:pPr>
      <w:r>
        <w:rPr>
          <w:rFonts w:hint="eastAsia"/>
          <w:color w:val="auto"/>
        </w:rPr>
        <w:t>3、本扩建项目新增甲基叔丁基醚（MTBE）、石脑油、蜡油、渣油</w:t>
      </w:r>
      <w:r>
        <w:rPr>
          <w:rFonts w:hint="eastAsia"/>
          <w:color w:val="auto"/>
          <w:szCs w:val="22"/>
        </w:rPr>
        <w:t>危险货物主要依托现有工程</w:t>
      </w:r>
      <w:r>
        <w:rPr>
          <w:rFonts w:hint="eastAsia"/>
          <w:color w:val="auto"/>
        </w:rPr>
        <w:t>装卸臂及</w:t>
      </w:r>
      <w:r>
        <w:rPr>
          <w:bCs/>
          <w:color w:val="auto"/>
        </w:rPr>
        <w:t>管线</w:t>
      </w:r>
      <w:r>
        <w:rPr>
          <w:rFonts w:hint="eastAsia"/>
          <w:bCs/>
          <w:color w:val="auto"/>
        </w:rPr>
        <w:t>进行装卸，不增加装卸设施设备。</w:t>
      </w:r>
    </w:p>
    <w:p w14:paraId="0C7BEBEB">
      <w:pPr>
        <w:ind w:firstLine="482"/>
        <w:outlineLvl w:val="0"/>
        <w:rPr>
          <w:b/>
          <w:bCs/>
          <w:color w:val="auto"/>
        </w:rPr>
      </w:pPr>
      <w:bookmarkStart w:id="24" w:name="_Toc20994"/>
      <w:bookmarkStart w:id="25" w:name="_Toc223258152"/>
      <w:bookmarkStart w:id="26" w:name="_Toc27706"/>
      <w:bookmarkStart w:id="27" w:name="_Toc223258410"/>
      <w:bookmarkStart w:id="28" w:name="_Toc223595743"/>
      <w:r>
        <w:rPr>
          <w:rFonts w:hint="eastAsia"/>
          <w:b/>
          <w:bCs/>
          <w:color w:val="auto"/>
        </w:rPr>
        <w:t>四</w:t>
      </w:r>
      <w:r>
        <w:rPr>
          <w:b/>
          <w:bCs/>
          <w:color w:val="auto"/>
        </w:rPr>
        <w:t>、</w:t>
      </w:r>
      <w:bookmarkEnd w:id="24"/>
      <w:r>
        <w:rPr>
          <w:rFonts w:hint="eastAsia"/>
          <w:b/>
          <w:bCs/>
          <w:color w:val="auto"/>
        </w:rPr>
        <w:t>环境影响评价的工作过程</w:t>
      </w:r>
      <w:bookmarkEnd w:id="25"/>
      <w:bookmarkEnd w:id="26"/>
      <w:bookmarkEnd w:id="27"/>
      <w:bookmarkEnd w:id="28"/>
    </w:p>
    <w:p w14:paraId="0916601B">
      <w:pPr>
        <w:ind w:firstLine="480"/>
        <w:rPr>
          <w:color w:val="auto"/>
        </w:rPr>
      </w:pPr>
      <w:r>
        <w:rPr>
          <w:rFonts w:hint="eastAsia" w:ascii="宋体" w:hAnsi="宋体"/>
          <w:color w:val="auto"/>
        </w:rPr>
        <w:t>根据《建设项目环境影响评价分类管理名录（</w:t>
      </w:r>
      <w:r>
        <w:rPr>
          <w:rFonts w:hint="eastAsia"/>
          <w:color w:val="auto"/>
        </w:rPr>
        <w:t>2021</w:t>
      </w:r>
      <w:r>
        <w:rPr>
          <w:rFonts w:hint="eastAsia" w:ascii="宋体" w:hAnsi="宋体"/>
          <w:color w:val="auto"/>
        </w:rPr>
        <w:t>年版）》（部令第</w:t>
      </w:r>
      <w:r>
        <w:rPr>
          <w:rFonts w:hint="eastAsia"/>
          <w:color w:val="auto"/>
        </w:rPr>
        <w:t>16</w:t>
      </w:r>
      <w:r>
        <w:rPr>
          <w:rFonts w:hint="eastAsia" w:ascii="宋体" w:hAnsi="宋体"/>
          <w:color w:val="auto"/>
        </w:rPr>
        <w:t>号），本项目属于五十二、交通运输业、管道运输业</w:t>
      </w:r>
      <w:r>
        <w:rPr>
          <w:rFonts w:hint="eastAsia"/>
          <w:color w:val="auto"/>
        </w:rPr>
        <w:t>138.</w:t>
      </w:r>
      <w:r>
        <w:rPr>
          <w:rFonts w:hint="eastAsia" w:ascii="宋体" w:hAnsi="宋体"/>
          <w:color w:val="auto"/>
        </w:rPr>
        <w:t>油气、液体化工码头，新建：岸线、水工构筑物、吞吐量、储运量增加的扩建；装卸货种变化的扩建，应编制环境影响报告书。以及五十三</w:t>
      </w:r>
      <w:r>
        <w:rPr>
          <w:rFonts w:ascii="宋体" w:hAnsi="宋体"/>
          <w:color w:val="auto"/>
        </w:rPr>
        <w:t>、</w:t>
      </w:r>
      <w:r>
        <w:rPr>
          <w:rFonts w:hint="eastAsia" w:ascii="宋体" w:hAnsi="宋体"/>
          <w:color w:val="auto"/>
        </w:rPr>
        <w:t>装卸</w:t>
      </w:r>
      <w:r>
        <w:rPr>
          <w:rFonts w:ascii="宋体" w:hAnsi="宋体"/>
          <w:color w:val="auto"/>
        </w:rPr>
        <w:t>搬运和仓储业</w:t>
      </w:r>
      <w:r>
        <w:rPr>
          <w:rFonts w:hint="eastAsia" w:ascii="宋体" w:hAnsi="宋体"/>
          <w:color w:val="auto"/>
        </w:rPr>
        <w:t>149危险品仓储594（不含加油站的油库；不含加气站的气库）中</w:t>
      </w:r>
      <w:r>
        <w:rPr>
          <w:rFonts w:ascii="宋体" w:hAnsi="宋体"/>
          <w:color w:val="auto"/>
        </w:rPr>
        <w:t>的其他，需编制环境影响报告表</w:t>
      </w:r>
      <w:r>
        <w:rPr>
          <w:rFonts w:hint="eastAsia" w:ascii="宋体" w:hAnsi="宋体"/>
          <w:color w:val="auto"/>
        </w:rPr>
        <w:t>。</w:t>
      </w:r>
      <w:r>
        <w:rPr>
          <w:rFonts w:ascii="宋体" w:hAnsi="宋体"/>
          <w:color w:val="auto"/>
        </w:rPr>
        <w:t>根据</w:t>
      </w:r>
      <w:r>
        <w:rPr>
          <w:rFonts w:hint="eastAsia" w:ascii="宋体" w:hAnsi="宋体"/>
          <w:color w:val="auto"/>
        </w:rPr>
        <w:t>《建设项目环境影响评价分类管理名录（</w:t>
      </w:r>
      <w:r>
        <w:rPr>
          <w:rFonts w:hint="eastAsia"/>
          <w:color w:val="auto"/>
        </w:rPr>
        <w:t>2021</w:t>
      </w:r>
      <w:r>
        <w:rPr>
          <w:rFonts w:hint="eastAsia" w:ascii="宋体" w:hAnsi="宋体"/>
          <w:color w:val="auto"/>
        </w:rPr>
        <w:t>年版）》中“建设内容涉及本名录中两个及以上项目类别的建设项目，其环境影响评价类别按照其中单项等级最高的确定。”。</w:t>
      </w:r>
      <w:r>
        <w:rPr>
          <w:rFonts w:ascii="宋体" w:hAnsi="宋体"/>
          <w:color w:val="auto"/>
        </w:rPr>
        <w:t>因此</w:t>
      </w:r>
      <w:r>
        <w:rPr>
          <w:rFonts w:hint="eastAsia" w:ascii="宋体" w:hAnsi="宋体"/>
          <w:color w:val="auto"/>
        </w:rPr>
        <w:t>，</w:t>
      </w:r>
      <w:r>
        <w:rPr>
          <w:rFonts w:ascii="宋体" w:hAnsi="宋体"/>
          <w:color w:val="auto"/>
        </w:rPr>
        <w:t>本次扩建项目</w:t>
      </w:r>
      <w:r>
        <w:rPr>
          <w:rFonts w:hint="eastAsia" w:ascii="宋体" w:hAnsi="宋体"/>
          <w:color w:val="auto"/>
        </w:rPr>
        <w:t>应编制环境影响报告书。</w:t>
      </w:r>
    </w:p>
    <w:p w14:paraId="3A719518">
      <w:pPr>
        <w:ind w:firstLine="480"/>
        <w:rPr>
          <w:color w:val="auto"/>
        </w:rPr>
      </w:pPr>
      <w:r>
        <w:rPr>
          <w:rFonts w:hint="eastAsia" w:ascii="宋体" w:hAnsi="宋体"/>
          <w:color w:val="auto"/>
        </w:rPr>
        <w:t>根据《中华人民共和国环境保护法》、《中华人民共和国环境影响评价法》、《建设项目环境保护管理条例》等有关规定，建设单位于</w:t>
      </w:r>
      <w:r>
        <w:rPr>
          <w:rFonts w:hint="eastAsia"/>
          <w:color w:val="auto"/>
        </w:rPr>
        <w:t>202</w:t>
      </w:r>
      <w:r>
        <w:rPr>
          <w:color w:val="auto"/>
        </w:rPr>
        <w:t>6</w:t>
      </w:r>
      <w:r>
        <w:rPr>
          <w:rFonts w:hint="eastAsia" w:ascii="宋体" w:hAnsi="宋体"/>
          <w:color w:val="auto"/>
        </w:rPr>
        <w:t>年</w:t>
      </w:r>
      <w:r>
        <w:rPr>
          <w:color w:val="auto"/>
        </w:rPr>
        <w:t>1</w:t>
      </w:r>
      <w:r>
        <w:rPr>
          <w:rFonts w:hint="eastAsia" w:ascii="宋体" w:hAnsi="宋体"/>
          <w:color w:val="auto"/>
        </w:rPr>
        <w:t>月委托广西欣文环保科技有限公司开展环境影响评价。环评单位接受委托后，环评工作组成员对项目场址及周边环境敏感目标及污染源进行了现场调查。通过现场调查、相关部门咨询及资料收集和分析，结合项目排污特征及周边环境敏感点、污染源分布及相关规划情况，确定环境影响评价工作等级，在此基础上制订了项目环境质量现状监测方案并委托</w:t>
      </w:r>
      <w:r>
        <w:rPr>
          <w:rFonts w:hint="eastAsia"/>
          <w:color w:val="auto"/>
        </w:rPr>
        <w:t>广西广西恒沁检测科技有限公司</w:t>
      </w:r>
      <w:r>
        <w:rPr>
          <w:rFonts w:hint="eastAsia" w:ascii="宋体" w:hAnsi="宋体"/>
          <w:color w:val="auto"/>
        </w:rPr>
        <w:t>进行现场监测，获得区域环境质量现状数据。</w:t>
      </w:r>
    </w:p>
    <w:p w14:paraId="327196C8">
      <w:pPr>
        <w:ind w:firstLine="480"/>
        <w:rPr>
          <w:color w:val="auto"/>
        </w:rPr>
      </w:pPr>
      <w:r>
        <w:rPr>
          <w:rFonts w:hint="eastAsia" w:ascii="宋体" w:hAnsi="宋体"/>
          <w:color w:val="auto"/>
        </w:rPr>
        <w:t>在现场踏勘及调查、环境质量现状监测、公众参与调查的基础上，结合本工程的实际情况，根据环境影响评价有关技术导则、规范进行了环境影响预测及评价，制定了相应的环境保护措施，编制完成了《广西东油沥青有限公司5万吨级油气码头增加货种项目环境影响报告书》。</w:t>
      </w:r>
    </w:p>
    <w:p w14:paraId="3376C473">
      <w:pPr>
        <w:widowControl/>
        <w:ind w:firstLine="480"/>
        <w:jc w:val="center"/>
        <w:rPr>
          <w:color w:val="auto"/>
        </w:rPr>
      </w:pPr>
      <w:r>
        <w:rPr>
          <w:color w:val="auto"/>
        </w:rPr>
        <w:drawing>
          <wp:inline distT="0" distB="0" distL="0" distR="0">
            <wp:extent cx="4328795" cy="6889115"/>
            <wp:effectExtent l="0" t="0" r="0" b="0"/>
            <wp:docPr id="10871282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128272" name="图片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4328795" cy="6889115"/>
                    </a:xfrm>
                    <a:prstGeom prst="rect">
                      <a:avLst/>
                    </a:prstGeom>
                    <a:noFill/>
                  </pic:spPr>
                </pic:pic>
              </a:graphicData>
            </a:graphic>
          </wp:inline>
        </w:drawing>
      </w:r>
    </w:p>
    <w:p w14:paraId="6E5B4E1C">
      <w:pPr>
        <w:pStyle w:val="172"/>
        <w:ind w:firstLine="0" w:firstLineChars="0"/>
        <w:jc w:val="center"/>
        <w:rPr>
          <w:rFonts w:ascii="Times New Roman" w:hAnsi="Times New Roman" w:cs="Times New Roman"/>
          <w:b/>
          <w:bCs/>
          <w:snapToGrid w:val="0"/>
          <w:color w:val="auto"/>
        </w:rPr>
      </w:pPr>
      <w:r>
        <w:rPr>
          <w:rFonts w:ascii="Times New Roman" w:hAnsi="Times New Roman" w:cs="Times New Roman"/>
          <w:b/>
          <w:bCs/>
          <w:snapToGrid w:val="0"/>
          <w:color w:val="auto"/>
        </w:rPr>
        <w:t>图1环境影响评价工作流程图</w:t>
      </w:r>
    </w:p>
    <w:p w14:paraId="3FD07C50">
      <w:pPr>
        <w:ind w:firstLine="482"/>
        <w:outlineLvl w:val="0"/>
        <w:rPr>
          <w:b/>
          <w:bCs/>
          <w:color w:val="auto"/>
        </w:rPr>
      </w:pPr>
      <w:bookmarkStart w:id="29" w:name="_Toc24481"/>
      <w:bookmarkStart w:id="30" w:name="_Toc223258153"/>
      <w:bookmarkStart w:id="31" w:name="_Toc223258411"/>
      <w:bookmarkStart w:id="32" w:name="_Toc223595744"/>
      <w:r>
        <w:rPr>
          <w:rFonts w:hint="eastAsia"/>
          <w:b/>
          <w:bCs/>
          <w:color w:val="auto"/>
        </w:rPr>
        <w:t>五</w:t>
      </w:r>
      <w:r>
        <w:rPr>
          <w:b/>
          <w:bCs/>
          <w:color w:val="auto"/>
        </w:rPr>
        <w:t>、分析判定</w:t>
      </w:r>
      <w:r>
        <w:rPr>
          <w:rFonts w:hint="eastAsia"/>
          <w:b/>
          <w:bCs/>
          <w:color w:val="auto"/>
        </w:rPr>
        <w:t>相关</w:t>
      </w:r>
      <w:r>
        <w:rPr>
          <w:b/>
          <w:bCs/>
          <w:color w:val="auto"/>
        </w:rPr>
        <w:t>情况</w:t>
      </w:r>
      <w:bookmarkEnd w:id="29"/>
      <w:bookmarkEnd w:id="30"/>
      <w:bookmarkEnd w:id="31"/>
      <w:bookmarkEnd w:id="32"/>
    </w:p>
    <w:p w14:paraId="3C3DD185">
      <w:pPr>
        <w:ind w:left="482" w:firstLine="0" w:firstLineChars="0"/>
        <w:outlineLvl w:val="1"/>
        <w:rPr>
          <w:b/>
          <w:color w:val="auto"/>
        </w:rPr>
      </w:pPr>
      <w:bookmarkStart w:id="33" w:name="_Toc223258412"/>
      <w:bookmarkStart w:id="34" w:name="_Toc223258154"/>
      <w:bookmarkStart w:id="35" w:name="_Toc223595745"/>
      <w:r>
        <w:rPr>
          <w:rFonts w:hint="eastAsia"/>
          <w:b/>
          <w:color w:val="auto"/>
        </w:rPr>
        <w:t>1、</w:t>
      </w:r>
      <w:r>
        <w:rPr>
          <w:b/>
          <w:color w:val="auto"/>
        </w:rPr>
        <w:t>产业政策相符性分析</w:t>
      </w:r>
      <w:bookmarkEnd w:id="33"/>
      <w:bookmarkEnd w:id="34"/>
      <w:bookmarkEnd w:id="35"/>
    </w:p>
    <w:p w14:paraId="2A9BA798">
      <w:pPr>
        <w:ind w:firstLine="480"/>
        <w:rPr>
          <w:rFonts w:hint="eastAsia" w:eastAsia="宋体"/>
          <w:color w:val="auto"/>
          <w:lang w:eastAsia="zh-CN"/>
        </w:rPr>
      </w:pPr>
      <w:r>
        <w:rPr>
          <w:rFonts w:hint="eastAsia"/>
          <w:color w:val="auto"/>
        </w:rPr>
        <w:t>扩建</w:t>
      </w:r>
      <w:r>
        <w:rPr>
          <w:color w:val="auto"/>
        </w:rPr>
        <w:t>项目为</w:t>
      </w:r>
      <w:r>
        <w:rPr>
          <w:rFonts w:hint="eastAsia"/>
          <w:color w:val="auto"/>
        </w:rPr>
        <w:t>码头新增货种</w:t>
      </w:r>
      <w:r>
        <w:rPr>
          <w:color w:val="auto"/>
        </w:rPr>
        <w:t>项目</w:t>
      </w:r>
      <w:r>
        <w:rPr>
          <w:rFonts w:hint="eastAsia"/>
          <w:color w:val="auto"/>
        </w:rPr>
        <w:t>，码头为液体化工</w:t>
      </w:r>
      <w:r>
        <w:rPr>
          <w:color w:val="auto"/>
        </w:rPr>
        <w:t>码头</w:t>
      </w:r>
      <w:r>
        <w:rPr>
          <w:rFonts w:hint="eastAsia"/>
          <w:color w:val="auto"/>
        </w:rPr>
        <w:t>。</w:t>
      </w:r>
      <w:r>
        <w:rPr>
          <w:color w:val="auto"/>
        </w:rPr>
        <w:t>根据</w:t>
      </w:r>
      <w:r>
        <w:rPr>
          <w:rFonts w:hint="eastAsia"/>
          <w:color w:val="auto"/>
        </w:rPr>
        <w:t>《产业结构调整指导目录（2024年本）》中“第一类鼓励类”中的“二十五、水运2、港口枢纽建设：码头泊位建设”</w:t>
      </w:r>
      <w:r>
        <w:rPr>
          <w:color w:val="auto"/>
        </w:rPr>
        <w:t>，符合国家产业政策。</w:t>
      </w:r>
    </w:p>
    <w:p w14:paraId="3079489D">
      <w:pPr>
        <w:ind w:left="482" w:firstLine="0" w:firstLineChars="0"/>
        <w:outlineLvl w:val="1"/>
        <w:rPr>
          <w:b/>
          <w:color w:val="auto"/>
        </w:rPr>
      </w:pPr>
      <w:bookmarkStart w:id="36" w:name="_Toc223258413"/>
      <w:bookmarkStart w:id="37" w:name="_Toc223595746"/>
      <w:bookmarkStart w:id="38" w:name="_Toc223258155"/>
      <w:bookmarkStart w:id="39" w:name="_Toc29131803"/>
      <w:bookmarkStart w:id="40" w:name="_Toc25436943"/>
      <w:bookmarkStart w:id="41" w:name="_Toc26909989"/>
      <w:bookmarkStart w:id="42" w:name="_Toc2483"/>
      <w:r>
        <w:rPr>
          <w:rFonts w:hint="eastAsia"/>
          <w:b/>
          <w:color w:val="auto"/>
        </w:rPr>
        <w:t>2、与《北部湾港总体规划（2035年）》及规划环评相符性分析</w:t>
      </w:r>
      <w:bookmarkEnd w:id="36"/>
      <w:bookmarkEnd w:id="37"/>
      <w:bookmarkEnd w:id="38"/>
    </w:p>
    <w:p w14:paraId="1158B415">
      <w:pPr>
        <w:ind w:firstLine="480"/>
        <w:rPr>
          <w:rFonts w:hint="eastAsia" w:eastAsia="宋体"/>
          <w:color w:val="auto"/>
          <w:lang w:eastAsia="zh-CN"/>
        </w:rPr>
      </w:pPr>
      <w:r>
        <w:rPr>
          <w:rFonts w:hint="eastAsia"/>
          <w:color w:val="auto"/>
          <w:lang w:eastAsia="zh-CN"/>
        </w:rPr>
        <w:t>（</w:t>
      </w:r>
      <w:r>
        <w:rPr>
          <w:rFonts w:hint="eastAsia"/>
          <w:color w:val="auto"/>
          <w:lang w:val="en-US" w:eastAsia="zh-CN"/>
        </w:rPr>
        <w:t>1</w:t>
      </w:r>
      <w:r>
        <w:rPr>
          <w:rFonts w:hint="eastAsia"/>
          <w:color w:val="auto"/>
          <w:lang w:eastAsia="zh-CN"/>
        </w:rPr>
        <w:t>）与《北部湾港总体规划（2035年）》相符性</w:t>
      </w:r>
    </w:p>
    <w:p w14:paraId="37E37312">
      <w:pPr>
        <w:ind w:firstLine="480"/>
        <w:rPr>
          <w:color w:val="auto"/>
        </w:rPr>
      </w:pPr>
      <w:r>
        <w:rPr>
          <w:rFonts w:hint="eastAsia"/>
          <w:color w:val="auto"/>
        </w:rPr>
        <w:t>《北部湾港总体规划（2035年）》已获交通运输部、自治区人民政府联合批复，明确了北部湾港从现在到2035年发展的时间表和路线图，为北部湾港的未来发展擘画蓝图。根据各港区现状基础、区位条件、发展潜力和北部湾港口的性质功能，以及主要运输系统港口布局结论，规划北部湾港形成“一港三域五核五区多港点”的总体格局。“一港”即北部湾港，“三域”包括防城港、钦州、北海三大港域，“五核”为渔澫、企沙、金谷、大榄坪、铁山西五大核心港区，“五区”为企沙南、三墩、石步岭、铁山东、涠洲岛五个其他港区，并结合地方需求布局若干中小港点。</w:t>
      </w:r>
    </w:p>
    <w:p w14:paraId="2BC250AF">
      <w:pPr>
        <w:ind w:firstLine="480"/>
        <w:rPr>
          <w:color w:val="auto"/>
        </w:rPr>
      </w:pPr>
      <w:r>
        <w:rPr>
          <w:rFonts w:hint="eastAsia"/>
          <w:color w:val="auto"/>
        </w:rPr>
        <w:t>按照一体化发展、港产城联动协同的目标，规划三大港域主体功能如下：防城港域规划建设大宗能源原材料接卸储存中转基地，钦州港域规划建设集装箱核心枢纽和海河联运枢纽，北海港域以服务临港产业为主，发展邮轮客运。钦州港划分为金谷港区、大榄坪港区、三墩港区等重点发展枢纽港区，以及龙门港点、茅岭港点、平山港点、沙井港点和三娘湾港点等。</w:t>
      </w:r>
    </w:p>
    <w:p w14:paraId="589E0691">
      <w:pPr>
        <w:ind w:firstLine="480"/>
        <w:rPr>
          <w:color w:val="auto"/>
        </w:rPr>
      </w:pPr>
      <w:r>
        <w:rPr>
          <w:rFonts w:hint="eastAsia"/>
          <w:color w:val="auto"/>
        </w:rPr>
        <w:t>金谷</w:t>
      </w:r>
      <w:r>
        <w:rPr>
          <w:color w:val="auto"/>
        </w:rPr>
        <w:t>港区主要服务临港产业发展和平陆运河江海联运，以内谈、粮食、非金属矿石等干散货和油品、液体化工品运输为主。</w:t>
      </w:r>
    </w:p>
    <w:p w14:paraId="6B2E5809">
      <w:pPr>
        <w:ind w:firstLine="480"/>
        <w:rPr>
          <w:rFonts w:hint="eastAsia"/>
          <w:color w:val="auto"/>
          <w:u w:val="single"/>
          <w:lang w:val="en-US" w:eastAsia="zh-CN"/>
        </w:rPr>
      </w:pPr>
      <w:r>
        <w:rPr>
          <w:rFonts w:hint="eastAsia"/>
          <w:color w:val="auto"/>
          <w:u w:val="single"/>
        </w:rPr>
        <w:t>金谷</w:t>
      </w:r>
      <w:r>
        <w:rPr>
          <w:color w:val="auto"/>
          <w:u w:val="single"/>
        </w:rPr>
        <w:t>港区</w:t>
      </w:r>
      <w:r>
        <w:rPr>
          <w:rFonts w:hint="eastAsia"/>
          <w:color w:val="auto"/>
          <w:u w:val="single"/>
          <w:lang w:val="en-US" w:eastAsia="zh-CN"/>
        </w:rPr>
        <w:t>规划由勒沟、果子山、鹰岭、金鼓江和金鼓江北作业区组成。本项目位于鹰岭作业区。</w:t>
      </w:r>
    </w:p>
    <w:p w14:paraId="162F4481">
      <w:pPr>
        <w:ind w:firstLine="480"/>
        <w:rPr>
          <w:rFonts w:hint="default"/>
          <w:color w:val="auto"/>
          <w:u w:val="single"/>
          <w:lang w:val="en-US" w:eastAsia="zh-CN"/>
        </w:rPr>
      </w:pPr>
      <w:r>
        <w:rPr>
          <w:rFonts w:hint="eastAsia"/>
          <w:color w:val="auto"/>
          <w:u w:val="single"/>
          <w:lang w:val="en-US" w:eastAsia="zh-CN"/>
        </w:rPr>
        <w:t>鹰岭作业区</w:t>
      </w:r>
      <w:r>
        <w:rPr>
          <w:rFonts w:hint="default"/>
          <w:color w:val="auto"/>
          <w:u w:val="single"/>
          <w:lang w:val="en-US" w:eastAsia="zh-CN"/>
        </w:rPr>
        <w:t>位于金鼓江口西侧、鲎壳山至钦州燃煤电厂处，以油品运输为主的液体散货作业区，均已开发，建有9个2万吨~10万吨级、4个3000~5000吨级油品泊位，形成码头岸线3.3公里，陆域面积15万平方米，码头年通过能力约2700万吨。</w:t>
      </w:r>
    </w:p>
    <w:p w14:paraId="4514992A">
      <w:pPr>
        <w:ind w:firstLine="480"/>
        <w:rPr>
          <w:rFonts w:hint="default"/>
          <w:color w:val="auto"/>
          <w:u w:val="single"/>
          <w:lang w:val="en-US" w:eastAsia="zh-CN"/>
        </w:rPr>
      </w:pPr>
      <w:r>
        <w:rPr>
          <w:rFonts w:hint="default"/>
          <w:color w:val="auto"/>
          <w:u w:val="single"/>
          <w:lang w:val="en-US" w:eastAsia="zh-CN"/>
        </w:rPr>
        <w:t>已建国星码头距离进港航道较近、不满足码头防火要求，规划将此码头拆除后重建，新建码头前沿线按与相邻码头前沿线齐平的原则布置。</w:t>
      </w:r>
    </w:p>
    <w:p w14:paraId="416EBCF8">
      <w:pPr>
        <w:ind w:firstLine="480"/>
        <w:rPr>
          <w:color w:val="auto"/>
          <w:u w:val="single"/>
        </w:rPr>
      </w:pPr>
      <w:r>
        <w:rPr>
          <w:rFonts w:hint="eastAsia"/>
          <w:color w:val="auto"/>
          <w:u w:val="single"/>
        </w:rPr>
        <w:t>本项目在鹰岭作业区</w:t>
      </w:r>
      <w:r>
        <w:rPr>
          <w:color w:val="auto"/>
          <w:u w:val="single"/>
        </w:rPr>
        <w:t>6</w:t>
      </w:r>
      <w:r>
        <w:rPr>
          <w:rFonts w:hint="eastAsia"/>
          <w:color w:val="auto"/>
          <w:u w:val="single"/>
        </w:rPr>
        <w:t>#码头</w:t>
      </w:r>
      <w:r>
        <w:rPr>
          <w:rFonts w:hint="eastAsia"/>
          <w:color w:val="auto"/>
          <w:u w:val="single"/>
          <w:lang w:eastAsia="zh-CN"/>
        </w:rPr>
        <w:t>，</w:t>
      </w:r>
      <w:r>
        <w:rPr>
          <w:rFonts w:hint="eastAsia"/>
          <w:color w:val="auto"/>
          <w:u w:val="single"/>
          <w:lang w:val="en-US" w:eastAsia="zh-CN"/>
        </w:rPr>
        <w:t>为现有5万吨级液体化工码头，以油品运输为主，本次扩建</w:t>
      </w:r>
      <w:r>
        <w:rPr>
          <w:rFonts w:hint="eastAsia"/>
          <w:color w:val="auto"/>
          <w:u w:val="single"/>
        </w:rPr>
        <w:t>新增甲基叔丁基醚（MTBE）、石脑油、蜡油、渣油、异辛烷（烷基化油）的</w:t>
      </w:r>
      <w:r>
        <w:rPr>
          <w:color w:val="auto"/>
          <w:u w:val="single"/>
        </w:rPr>
        <w:t>卸船，本项目为</w:t>
      </w:r>
      <w:r>
        <w:rPr>
          <w:rFonts w:hint="eastAsia"/>
          <w:color w:val="auto"/>
          <w:u w:val="single"/>
        </w:rPr>
        <w:t>油气、液体化工码头</w:t>
      </w:r>
      <w:r>
        <w:rPr>
          <w:color w:val="auto"/>
          <w:u w:val="single"/>
        </w:rPr>
        <w:t>的</w:t>
      </w:r>
      <w:r>
        <w:rPr>
          <w:rFonts w:hint="eastAsia"/>
          <w:color w:val="auto"/>
          <w:u w:val="single"/>
        </w:rPr>
        <w:t>扩建，符合《北部湾港总体规划（2035年）》。</w:t>
      </w:r>
    </w:p>
    <w:p w14:paraId="50545D32">
      <w:pPr>
        <w:pStyle w:val="14"/>
        <w:rPr>
          <w:color w:val="auto"/>
        </w:rPr>
      </w:pPr>
      <w:r>
        <w:rPr>
          <w:rFonts w:hint="eastAsia"/>
          <w:color w:val="auto"/>
        </w:rPr>
        <w:t>表1与《北部湾港总体规划（2035年）》符合性分析</w:t>
      </w:r>
    </w:p>
    <w:tbl>
      <w:tblPr>
        <w:tblStyle w:val="43"/>
        <w:tblW w:w="5189"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28" w:type="dxa"/>
          <w:bottom w:w="0" w:type="dxa"/>
          <w:right w:w="28" w:type="dxa"/>
        </w:tblCellMar>
      </w:tblPr>
      <w:tblGrid>
        <w:gridCol w:w="1012"/>
        <w:gridCol w:w="7207"/>
        <w:gridCol w:w="1547"/>
      </w:tblGrid>
      <w:tr w14:paraId="2405F72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454" w:hRule="atLeast"/>
          <w:tblHeader/>
        </w:trPr>
        <w:tc>
          <w:tcPr>
            <w:tcW w:w="4208" w:type="pct"/>
            <w:gridSpan w:val="2"/>
            <w:vAlign w:val="center"/>
          </w:tcPr>
          <w:p w14:paraId="4F881E9B">
            <w:pPr>
              <w:pStyle w:val="91"/>
              <w:keepNext w:val="0"/>
              <w:keepLines w:val="0"/>
              <w:suppressLineNumbers w:val="0"/>
              <w:spacing w:before="0" w:beforeAutospacing="0" w:after="0" w:afterAutospacing="0"/>
              <w:ind w:left="0" w:right="0"/>
              <w:jc w:val="center"/>
              <w:rPr>
                <w:rFonts w:hint="default"/>
                <w:b/>
                <w:color w:val="auto"/>
              </w:rPr>
            </w:pPr>
            <w:bookmarkStart w:id="43" w:name="_Toc223258156"/>
            <w:bookmarkStart w:id="44" w:name="_Toc223258414"/>
            <w:r>
              <w:rPr>
                <w:rFonts w:hint="eastAsia"/>
                <w:b/>
                <w:color w:val="auto"/>
              </w:rPr>
              <w:t>环境准入要求</w:t>
            </w:r>
            <w:bookmarkEnd w:id="43"/>
            <w:bookmarkEnd w:id="44"/>
          </w:p>
        </w:tc>
        <w:tc>
          <w:tcPr>
            <w:tcW w:w="792" w:type="pct"/>
            <w:vAlign w:val="center"/>
          </w:tcPr>
          <w:p w14:paraId="340AF92D">
            <w:pPr>
              <w:pStyle w:val="91"/>
              <w:keepNext w:val="0"/>
              <w:keepLines w:val="0"/>
              <w:suppressLineNumbers w:val="0"/>
              <w:spacing w:before="0" w:beforeAutospacing="0" w:after="0" w:afterAutospacing="0"/>
              <w:ind w:left="0" w:right="0"/>
              <w:jc w:val="center"/>
              <w:rPr>
                <w:rFonts w:hint="default"/>
                <w:b/>
                <w:color w:val="auto"/>
              </w:rPr>
            </w:pPr>
            <w:bookmarkStart w:id="45" w:name="_Toc223258157"/>
            <w:bookmarkStart w:id="46" w:name="_Toc223258415"/>
            <w:r>
              <w:rPr>
                <w:rFonts w:hint="eastAsia"/>
                <w:b/>
                <w:color w:val="auto"/>
              </w:rPr>
              <w:t>相符性分析</w:t>
            </w:r>
            <w:bookmarkEnd w:id="45"/>
            <w:bookmarkEnd w:id="46"/>
          </w:p>
        </w:tc>
      </w:tr>
      <w:tr w14:paraId="29D493F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276" w:hRule="atLeast"/>
        </w:trPr>
        <w:tc>
          <w:tcPr>
            <w:tcW w:w="518" w:type="pct"/>
            <w:vMerge w:val="restart"/>
            <w:vAlign w:val="center"/>
          </w:tcPr>
          <w:p w14:paraId="13E7A222">
            <w:pPr>
              <w:pStyle w:val="91"/>
              <w:keepNext w:val="0"/>
              <w:keepLines w:val="0"/>
              <w:suppressLineNumbers w:val="0"/>
              <w:spacing w:before="0" w:beforeAutospacing="0" w:after="0" w:afterAutospacing="0"/>
              <w:ind w:left="0" w:right="0"/>
              <w:jc w:val="both"/>
              <w:rPr>
                <w:rFonts w:hint="default"/>
                <w:color w:val="auto"/>
                <w:szCs w:val="20"/>
              </w:rPr>
            </w:pPr>
            <w:bookmarkStart w:id="47" w:name="_Toc223258416"/>
            <w:bookmarkStart w:id="48" w:name="_Toc223258158"/>
            <w:r>
              <w:rPr>
                <w:rFonts w:hint="eastAsia"/>
                <w:color w:val="auto"/>
                <w:szCs w:val="20"/>
              </w:rPr>
              <w:t>空间布局约束</w:t>
            </w:r>
            <w:bookmarkEnd w:id="47"/>
            <w:bookmarkEnd w:id="48"/>
          </w:p>
        </w:tc>
        <w:tc>
          <w:tcPr>
            <w:tcW w:w="3690" w:type="pct"/>
            <w:vAlign w:val="center"/>
          </w:tcPr>
          <w:p w14:paraId="3843BBB5">
            <w:pPr>
              <w:pStyle w:val="91"/>
              <w:keepNext w:val="0"/>
              <w:keepLines w:val="0"/>
              <w:suppressLineNumbers w:val="0"/>
              <w:spacing w:before="0" w:beforeAutospacing="0" w:after="0" w:afterAutospacing="0"/>
              <w:ind w:left="0" w:right="0"/>
              <w:jc w:val="both"/>
              <w:rPr>
                <w:rFonts w:hint="eastAsia" w:eastAsia="宋体"/>
                <w:color w:val="auto"/>
                <w:szCs w:val="20"/>
                <w:lang w:eastAsia="zh-CN"/>
              </w:rPr>
            </w:pPr>
            <w:bookmarkStart w:id="49" w:name="_Toc223258159"/>
            <w:bookmarkStart w:id="50" w:name="_Toc223258417"/>
            <w:r>
              <w:rPr>
                <w:rFonts w:hint="eastAsia"/>
                <w:color w:val="auto"/>
                <w:szCs w:val="20"/>
              </w:rPr>
              <w:t>①产业准入</w:t>
            </w:r>
            <w:bookmarkEnd w:id="49"/>
            <w:bookmarkEnd w:id="50"/>
          </w:p>
          <w:p w14:paraId="1984E1ED">
            <w:pPr>
              <w:pStyle w:val="91"/>
              <w:keepNext w:val="0"/>
              <w:keepLines w:val="0"/>
              <w:suppressLineNumbers w:val="0"/>
              <w:spacing w:before="0" w:beforeAutospacing="0" w:after="0" w:afterAutospacing="0"/>
              <w:ind w:left="0" w:right="0"/>
              <w:jc w:val="both"/>
              <w:rPr>
                <w:rFonts w:hint="default"/>
                <w:color w:val="auto"/>
                <w:szCs w:val="20"/>
              </w:rPr>
            </w:pPr>
            <w:bookmarkStart w:id="51" w:name="_Toc223258160"/>
            <w:bookmarkStart w:id="52" w:name="_Toc223258418"/>
            <w:r>
              <w:rPr>
                <w:rFonts w:hint="eastAsia"/>
                <w:color w:val="auto"/>
                <w:szCs w:val="20"/>
              </w:rPr>
              <w:t>北部湾港各港区应禁止发展《产业结构调整指导目录》中淘汰类、限制类水运和造修船工艺项目，主要有：废旧船舶滩涂拆解工艺、船长大于</w:t>
            </w:r>
            <w:r>
              <w:rPr>
                <w:rFonts w:hint="default"/>
                <w:color w:val="auto"/>
                <w:szCs w:val="20"/>
              </w:rPr>
              <w:t>90</w:t>
            </w:r>
            <w:r>
              <w:rPr>
                <w:rFonts w:hint="eastAsia"/>
                <w:color w:val="auto"/>
                <w:szCs w:val="20"/>
              </w:rPr>
              <w:t>米的船舶整体建造工艺。</w:t>
            </w:r>
            <w:bookmarkEnd w:id="51"/>
            <w:bookmarkEnd w:id="52"/>
          </w:p>
        </w:tc>
        <w:tc>
          <w:tcPr>
            <w:tcW w:w="792" w:type="pct"/>
            <w:vAlign w:val="center"/>
          </w:tcPr>
          <w:p w14:paraId="19DC0C67">
            <w:pPr>
              <w:pStyle w:val="91"/>
              <w:keepNext w:val="0"/>
              <w:keepLines w:val="0"/>
              <w:suppressLineNumbers w:val="0"/>
              <w:spacing w:before="0" w:beforeAutospacing="0" w:after="0" w:afterAutospacing="0"/>
              <w:ind w:left="0" w:right="0"/>
              <w:jc w:val="both"/>
              <w:rPr>
                <w:rFonts w:hint="default"/>
                <w:color w:val="auto"/>
                <w:szCs w:val="20"/>
              </w:rPr>
            </w:pPr>
            <w:bookmarkStart w:id="53" w:name="_Toc223258419"/>
            <w:bookmarkStart w:id="54" w:name="_Toc223258161"/>
            <w:r>
              <w:rPr>
                <w:rFonts w:hint="eastAsia"/>
                <w:color w:val="auto"/>
                <w:szCs w:val="20"/>
              </w:rPr>
              <w:t>本项目属于《产业结构调整指导目录（2024年本）》鼓励类，符合</w:t>
            </w:r>
            <w:bookmarkEnd w:id="53"/>
            <w:bookmarkEnd w:id="54"/>
          </w:p>
        </w:tc>
      </w:tr>
      <w:tr w14:paraId="012B0BB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454" w:hRule="atLeast"/>
        </w:trPr>
        <w:tc>
          <w:tcPr>
            <w:tcW w:w="518" w:type="pct"/>
            <w:vMerge w:val="continue"/>
            <w:vAlign w:val="center"/>
          </w:tcPr>
          <w:p w14:paraId="5B3CA485">
            <w:pPr>
              <w:pStyle w:val="91"/>
              <w:keepNext w:val="0"/>
              <w:keepLines w:val="0"/>
              <w:suppressLineNumbers w:val="0"/>
              <w:spacing w:before="0" w:beforeAutospacing="0" w:after="0" w:afterAutospacing="0"/>
              <w:ind w:left="0" w:right="0"/>
              <w:jc w:val="both"/>
              <w:rPr>
                <w:rFonts w:hint="default"/>
                <w:color w:val="auto"/>
                <w:szCs w:val="20"/>
              </w:rPr>
            </w:pPr>
          </w:p>
        </w:tc>
        <w:tc>
          <w:tcPr>
            <w:tcW w:w="3690" w:type="pct"/>
            <w:vAlign w:val="center"/>
          </w:tcPr>
          <w:p w14:paraId="40807AF4">
            <w:pPr>
              <w:pStyle w:val="91"/>
              <w:keepNext w:val="0"/>
              <w:keepLines w:val="0"/>
              <w:suppressLineNumbers w:val="0"/>
              <w:spacing w:before="0" w:beforeAutospacing="0" w:after="0" w:afterAutospacing="0"/>
              <w:ind w:left="0" w:right="0"/>
              <w:jc w:val="both"/>
              <w:rPr>
                <w:rFonts w:hint="default"/>
                <w:color w:val="auto"/>
                <w:szCs w:val="20"/>
              </w:rPr>
            </w:pPr>
            <w:bookmarkStart w:id="55" w:name="_Toc223258420"/>
            <w:bookmarkStart w:id="56" w:name="_Toc223258162"/>
            <w:r>
              <w:rPr>
                <w:rFonts w:hint="eastAsia"/>
                <w:color w:val="auto"/>
                <w:szCs w:val="20"/>
              </w:rPr>
              <w:t>②污染控制标准</w:t>
            </w:r>
            <w:bookmarkEnd w:id="55"/>
            <w:bookmarkEnd w:id="56"/>
          </w:p>
          <w:p w14:paraId="1BF9A70D">
            <w:pPr>
              <w:pStyle w:val="91"/>
              <w:keepNext w:val="0"/>
              <w:keepLines w:val="0"/>
              <w:suppressLineNumbers w:val="0"/>
              <w:spacing w:before="0" w:beforeAutospacing="0" w:after="0" w:afterAutospacing="0"/>
              <w:ind w:left="0" w:right="0"/>
              <w:jc w:val="both"/>
              <w:rPr>
                <w:rFonts w:hint="default"/>
                <w:color w:val="auto"/>
                <w:szCs w:val="20"/>
              </w:rPr>
            </w:pPr>
            <w:bookmarkStart w:id="57" w:name="_Toc223258163"/>
            <w:bookmarkStart w:id="58" w:name="_Toc223258421"/>
            <w:r>
              <w:rPr>
                <w:rFonts w:hint="eastAsia"/>
                <w:color w:val="auto"/>
                <w:szCs w:val="20"/>
              </w:rPr>
              <w:t>油品及液体化工品码头：</w:t>
            </w:r>
            <w:r>
              <w:rPr>
                <w:rFonts w:hint="default"/>
                <w:color w:val="auto"/>
                <w:szCs w:val="20"/>
              </w:rPr>
              <w:t>VOCs</w:t>
            </w:r>
            <w:r>
              <w:rPr>
                <w:rFonts w:hint="eastAsia"/>
                <w:color w:val="auto"/>
                <w:szCs w:val="20"/>
              </w:rPr>
              <w:t>（大气污染物）；</w:t>
            </w:r>
            <w:r>
              <w:rPr>
                <w:rFonts w:hint="default"/>
                <w:color w:val="auto"/>
                <w:szCs w:val="20"/>
              </w:rPr>
              <w:t>COD</w:t>
            </w:r>
            <w:r>
              <w:rPr>
                <w:rFonts w:hint="eastAsia"/>
                <w:color w:val="auto"/>
                <w:szCs w:val="20"/>
              </w:rPr>
              <w:t>、石油类（水污染物）。各类码头主要污染物排放浓度应满足表2.3-2，不满足污染控制标准的建设项目禁止开发建设。</w:t>
            </w:r>
            <w:bookmarkEnd w:id="57"/>
            <w:bookmarkEnd w:id="58"/>
          </w:p>
        </w:tc>
        <w:tc>
          <w:tcPr>
            <w:tcW w:w="792" w:type="pct"/>
            <w:vAlign w:val="center"/>
          </w:tcPr>
          <w:p w14:paraId="538A7157">
            <w:pPr>
              <w:pStyle w:val="91"/>
              <w:keepNext w:val="0"/>
              <w:keepLines w:val="0"/>
              <w:suppressLineNumbers w:val="0"/>
              <w:spacing w:before="0" w:beforeAutospacing="0" w:after="0" w:afterAutospacing="0"/>
              <w:ind w:left="0" w:right="0"/>
              <w:jc w:val="both"/>
              <w:rPr>
                <w:rFonts w:hint="default"/>
                <w:color w:val="auto"/>
                <w:szCs w:val="20"/>
              </w:rPr>
            </w:pPr>
            <w:bookmarkStart w:id="59" w:name="_Toc223258422"/>
            <w:bookmarkStart w:id="60" w:name="_Toc223258164"/>
            <w:r>
              <w:rPr>
                <w:rFonts w:hint="eastAsia"/>
                <w:color w:val="auto"/>
                <w:szCs w:val="20"/>
              </w:rPr>
              <w:t>本项目非甲烷总烃排放满足排放标准，不涉及水污染排放，符合。</w:t>
            </w:r>
            <w:bookmarkEnd w:id="59"/>
            <w:bookmarkEnd w:id="60"/>
          </w:p>
        </w:tc>
      </w:tr>
      <w:tr w14:paraId="1035858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454" w:hRule="atLeast"/>
        </w:trPr>
        <w:tc>
          <w:tcPr>
            <w:tcW w:w="518" w:type="pct"/>
            <w:vMerge w:val="continue"/>
            <w:vAlign w:val="center"/>
          </w:tcPr>
          <w:p w14:paraId="6B6D6802">
            <w:pPr>
              <w:pStyle w:val="91"/>
              <w:keepNext w:val="0"/>
              <w:keepLines w:val="0"/>
              <w:suppressLineNumbers w:val="0"/>
              <w:spacing w:before="0" w:beforeAutospacing="0" w:after="0" w:afterAutospacing="0"/>
              <w:ind w:left="0" w:right="0"/>
              <w:jc w:val="both"/>
              <w:rPr>
                <w:rFonts w:hint="default"/>
                <w:color w:val="auto"/>
                <w:szCs w:val="20"/>
              </w:rPr>
            </w:pPr>
          </w:p>
        </w:tc>
        <w:tc>
          <w:tcPr>
            <w:tcW w:w="3690" w:type="pct"/>
            <w:vAlign w:val="center"/>
          </w:tcPr>
          <w:p w14:paraId="5F3C1095">
            <w:pPr>
              <w:pStyle w:val="91"/>
              <w:keepNext w:val="0"/>
              <w:keepLines w:val="0"/>
              <w:suppressLineNumbers w:val="0"/>
              <w:spacing w:before="0" w:beforeAutospacing="0" w:after="0" w:afterAutospacing="0"/>
              <w:ind w:left="0" w:right="0"/>
              <w:jc w:val="both"/>
              <w:rPr>
                <w:rFonts w:hint="eastAsia" w:eastAsia="宋体"/>
                <w:color w:val="auto"/>
                <w:szCs w:val="20"/>
                <w:lang w:eastAsia="zh-CN"/>
              </w:rPr>
            </w:pPr>
            <w:bookmarkStart w:id="61" w:name="_Toc223258423"/>
            <w:bookmarkStart w:id="62" w:name="_Toc223258165"/>
            <w:r>
              <w:rPr>
                <w:rFonts w:hint="eastAsia"/>
                <w:color w:val="auto"/>
                <w:szCs w:val="20"/>
              </w:rPr>
              <w:t>③生态保护</w:t>
            </w:r>
            <w:bookmarkEnd w:id="61"/>
            <w:bookmarkEnd w:id="62"/>
          </w:p>
          <w:p w14:paraId="1E551340">
            <w:pPr>
              <w:pStyle w:val="91"/>
              <w:keepNext w:val="0"/>
              <w:keepLines w:val="0"/>
              <w:suppressLineNumbers w:val="0"/>
              <w:spacing w:before="0" w:beforeAutospacing="0" w:after="0" w:afterAutospacing="0"/>
              <w:ind w:left="0" w:right="0"/>
              <w:jc w:val="both"/>
              <w:rPr>
                <w:rFonts w:hint="default"/>
                <w:color w:val="auto"/>
                <w:szCs w:val="20"/>
              </w:rPr>
            </w:pPr>
            <w:bookmarkStart w:id="63" w:name="_Toc223258166"/>
            <w:bookmarkStart w:id="64" w:name="_Toc223258424"/>
            <w:r>
              <w:rPr>
                <w:rFonts w:hint="eastAsia"/>
                <w:color w:val="auto"/>
                <w:szCs w:val="20"/>
              </w:rPr>
              <w:t>在本规划实施过程中，可能影响到广西山口红树林国家级自然保护区、广西合浦儒艮国家级自然保护区、广西涠洲岛自治区级自然保护区、广西茅尾海红树林自治区级自然保护区、广西北仑河口国家级自然保护区、北部湾二长棘鲷长毛对虾国家级水产种质资源保护区，以及现状红树林和中华白海豚、中国鲎、珊瑚礁、海草床等敏感生物的港口、航道及锚地建设项目，应编制专题报告，并取得相关主管部门意见依法办理有关手续。</w:t>
            </w:r>
            <w:bookmarkEnd w:id="63"/>
            <w:bookmarkEnd w:id="64"/>
          </w:p>
        </w:tc>
        <w:tc>
          <w:tcPr>
            <w:tcW w:w="792" w:type="pct"/>
            <w:vAlign w:val="center"/>
          </w:tcPr>
          <w:p w14:paraId="40D0400A">
            <w:pPr>
              <w:pStyle w:val="91"/>
              <w:keepNext w:val="0"/>
              <w:keepLines w:val="0"/>
              <w:suppressLineNumbers w:val="0"/>
              <w:spacing w:before="0" w:beforeAutospacing="0" w:after="0" w:afterAutospacing="0"/>
              <w:ind w:left="0" w:right="0"/>
              <w:jc w:val="both"/>
              <w:rPr>
                <w:rFonts w:hint="default"/>
                <w:color w:val="auto"/>
                <w:szCs w:val="20"/>
              </w:rPr>
            </w:pPr>
            <w:bookmarkStart w:id="65" w:name="_Toc223258425"/>
            <w:bookmarkStart w:id="66" w:name="_Toc223258167"/>
            <w:r>
              <w:rPr>
                <w:rFonts w:hint="eastAsia"/>
                <w:color w:val="auto"/>
                <w:szCs w:val="20"/>
              </w:rPr>
              <w:t>本项目不涉及以上保护区，符合。</w:t>
            </w:r>
            <w:bookmarkEnd w:id="65"/>
            <w:bookmarkEnd w:id="66"/>
          </w:p>
        </w:tc>
      </w:tr>
      <w:tr w14:paraId="59D2957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454" w:hRule="atLeast"/>
        </w:trPr>
        <w:tc>
          <w:tcPr>
            <w:tcW w:w="518" w:type="pct"/>
            <w:vMerge w:val="continue"/>
            <w:vAlign w:val="center"/>
          </w:tcPr>
          <w:p w14:paraId="7050EB07">
            <w:pPr>
              <w:pStyle w:val="91"/>
              <w:keepNext w:val="0"/>
              <w:keepLines w:val="0"/>
              <w:suppressLineNumbers w:val="0"/>
              <w:spacing w:before="0" w:beforeAutospacing="0" w:after="0" w:afterAutospacing="0"/>
              <w:ind w:left="0" w:right="0"/>
              <w:rPr>
                <w:rFonts w:hint="default"/>
                <w:color w:val="auto"/>
                <w:szCs w:val="20"/>
              </w:rPr>
            </w:pPr>
          </w:p>
        </w:tc>
        <w:tc>
          <w:tcPr>
            <w:tcW w:w="3690" w:type="pct"/>
            <w:vAlign w:val="center"/>
          </w:tcPr>
          <w:p w14:paraId="6B555AF6">
            <w:pPr>
              <w:pStyle w:val="91"/>
              <w:keepNext w:val="0"/>
              <w:keepLines w:val="0"/>
              <w:suppressLineNumbers w:val="0"/>
              <w:spacing w:before="0" w:beforeAutospacing="0" w:after="0" w:afterAutospacing="0"/>
              <w:ind w:left="0" w:right="0"/>
              <w:jc w:val="both"/>
              <w:rPr>
                <w:rFonts w:hint="default"/>
                <w:color w:val="auto"/>
                <w:szCs w:val="20"/>
              </w:rPr>
            </w:pPr>
            <w:bookmarkStart w:id="67" w:name="_Toc223258426"/>
            <w:bookmarkStart w:id="68" w:name="_Toc223258168"/>
            <w:r>
              <w:rPr>
                <w:rFonts w:hint="eastAsia"/>
                <w:color w:val="auto"/>
                <w:szCs w:val="20"/>
              </w:rPr>
              <w:t>④到港船舶</w:t>
            </w:r>
            <w:bookmarkEnd w:id="67"/>
            <w:bookmarkEnd w:id="68"/>
          </w:p>
          <w:p w14:paraId="448F6D1A">
            <w:pPr>
              <w:pStyle w:val="91"/>
              <w:keepNext w:val="0"/>
              <w:keepLines w:val="0"/>
              <w:suppressLineNumbers w:val="0"/>
              <w:spacing w:before="0" w:beforeAutospacing="0" w:after="0" w:afterAutospacing="0"/>
              <w:ind w:left="0" w:right="0"/>
              <w:jc w:val="both"/>
              <w:rPr>
                <w:rFonts w:hint="default"/>
                <w:color w:val="auto"/>
                <w:szCs w:val="20"/>
              </w:rPr>
            </w:pPr>
            <w:bookmarkStart w:id="69" w:name="_Toc223258169"/>
            <w:bookmarkStart w:id="70" w:name="_Toc223258427"/>
            <w:r>
              <w:rPr>
                <w:rFonts w:hint="eastAsia"/>
                <w:color w:val="auto"/>
                <w:szCs w:val="20"/>
              </w:rPr>
              <w:t>I.各港区应禁止淘汰类船舶进港</w:t>
            </w:r>
            <w:bookmarkEnd w:id="69"/>
            <w:bookmarkEnd w:id="70"/>
          </w:p>
          <w:p w14:paraId="4D596146">
            <w:pPr>
              <w:pStyle w:val="91"/>
              <w:keepNext w:val="0"/>
              <w:keepLines w:val="0"/>
              <w:suppressLineNumbers w:val="0"/>
              <w:spacing w:before="0" w:beforeAutospacing="0" w:after="0" w:afterAutospacing="0"/>
              <w:ind w:left="0" w:right="0"/>
              <w:jc w:val="both"/>
              <w:rPr>
                <w:rFonts w:hint="default"/>
                <w:color w:val="auto"/>
                <w:szCs w:val="20"/>
              </w:rPr>
            </w:pPr>
            <w:bookmarkStart w:id="71" w:name="_Toc223258428"/>
            <w:bookmarkStart w:id="72" w:name="_Toc223258170"/>
            <w:r>
              <w:rPr>
                <w:rFonts w:hint="eastAsia"/>
                <w:color w:val="auto"/>
                <w:szCs w:val="20"/>
              </w:rPr>
              <w:t>根据《产业结构调整指导目录》，淘汰类船舶有：采用整体造船法建造的钢制运输船舶；不符合规范的改装船舶和已到报废期限的船舶、单壳油船、挂桨机船。</w:t>
            </w:r>
            <w:bookmarkEnd w:id="71"/>
            <w:bookmarkEnd w:id="72"/>
          </w:p>
          <w:p w14:paraId="78F5AAAB">
            <w:pPr>
              <w:pStyle w:val="91"/>
              <w:keepNext w:val="0"/>
              <w:keepLines w:val="0"/>
              <w:suppressLineNumbers w:val="0"/>
              <w:spacing w:before="0" w:beforeAutospacing="0" w:after="0" w:afterAutospacing="0"/>
              <w:ind w:left="0" w:right="0"/>
              <w:jc w:val="both"/>
              <w:rPr>
                <w:rFonts w:hint="default"/>
                <w:color w:val="auto"/>
                <w:szCs w:val="20"/>
              </w:rPr>
            </w:pPr>
            <w:bookmarkStart w:id="73" w:name="_Toc223258429"/>
            <w:bookmarkStart w:id="74" w:name="_Toc223258171"/>
            <w:r>
              <w:rPr>
                <w:rFonts w:hint="eastAsia"/>
                <w:color w:val="auto"/>
                <w:szCs w:val="20"/>
              </w:rPr>
              <w:t>II.船舶污染物排放标准</w:t>
            </w:r>
            <w:bookmarkEnd w:id="73"/>
            <w:bookmarkEnd w:id="74"/>
          </w:p>
          <w:p w14:paraId="03A16613">
            <w:pPr>
              <w:pStyle w:val="91"/>
              <w:keepNext w:val="0"/>
              <w:keepLines w:val="0"/>
              <w:suppressLineNumbers w:val="0"/>
              <w:spacing w:before="0" w:beforeAutospacing="0" w:after="0" w:afterAutospacing="0"/>
              <w:ind w:left="0" w:right="0"/>
              <w:jc w:val="both"/>
              <w:rPr>
                <w:rFonts w:hint="default"/>
                <w:color w:val="auto"/>
                <w:szCs w:val="20"/>
              </w:rPr>
            </w:pPr>
            <w:bookmarkStart w:id="75" w:name="_Toc223258430"/>
            <w:bookmarkStart w:id="76" w:name="_Toc223258172"/>
            <w:r>
              <w:rPr>
                <w:rFonts w:hint="eastAsia"/>
                <w:color w:val="auto"/>
                <w:szCs w:val="20"/>
              </w:rPr>
              <w:t>北部湾港进出港船舶污染物排放应符合《船舶水污染物排放控制标准》（GB3552-2018）要求。此外，进出港船舶应达到73/78防污染公约的各项附则的要求；还应符合《沿海海域船舶排污设备铅封管理规定》等我国现行的船舶污染物管理要求。北部湾港位于船舶大气污染物排放控制区，船舶应严格执行《交通运输部关于印发船舶大气污染物排放控制区实施方案的通知》（交海发〔2018〕168号）相应时段管理要求。国际航行船舶其压载水管理要符合我国缔结或加入的有关国际公约及国内有关法律法规的要求，不符合要求船舶禁止入港。</w:t>
            </w:r>
            <w:bookmarkEnd w:id="75"/>
            <w:bookmarkEnd w:id="76"/>
          </w:p>
        </w:tc>
        <w:tc>
          <w:tcPr>
            <w:tcW w:w="792" w:type="pct"/>
            <w:vAlign w:val="center"/>
          </w:tcPr>
          <w:p w14:paraId="61D5956E">
            <w:pPr>
              <w:pStyle w:val="91"/>
              <w:keepNext w:val="0"/>
              <w:keepLines w:val="0"/>
              <w:suppressLineNumbers w:val="0"/>
              <w:spacing w:before="0" w:beforeAutospacing="0" w:after="0" w:afterAutospacing="0"/>
              <w:ind w:left="0" w:right="0"/>
              <w:jc w:val="both"/>
              <w:rPr>
                <w:rFonts w:hint="default"/>
                <w:color w:val="auto"/>
                <w:szCs w:val="20"/>
              </w:rPr>
            </w:pPr>
            <w:bookmarkStart w:id="77" w:name="_Toc223258431"/>
            <w:bookmarkStart w:id="78" w:name="_Toc223258173"/>
            <w:r>
              <w:rPr>
                <w:rFonts w:hint="eastAsia"/>
                <w:color w:val="auto"/>
                <w:szCs w:val="20"/>
              </w:rPr>
              <w:t>本项目到港船舶不属于淘汰类船舶，含油污水由</w:t>
            </w:r>
            <w:bookmarkEnd w:id="77"/>
            <w:bookmarkEnd w:id="78"/>
            <w:bookmarkStart w:id="79" w:name="_Toc223258432"/>
            <w:bookmarkStart w:id="80" w:name="_Toc223258174"/>
            <w:r>
              <w:rPr>
                <w:rFonts w:hint="eastAsia"/>
                <w:color w:val="auto"/>
                <w:szCs w:val="20"/>
              </w:rPr>
              <w:t>有资质单位处理，到港船舶生活污水由船舶公司委托有资质单位接收处置。符合。</w:t>
            </w:r>
            <w:bookmarkEnd w:id="79"/>
            <w:bookmarkEnd w:id="80"/>
          </w:p>
        </w:tc>
      </w:tr>
      <w:tr w14:paraId="68B6354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454" w:hRule="atLeast"/>
        </w:trPr>
        <w:tc>
          <w:tcPr>
            <w:tcW w:w="518" w:type="pct"/>
            <w:vMerge w:val="continue"/>
            <w:vAlign w:val="center"/>
          </w:tcPr>
          <w:p w14:paraId="7EBC133F">
            <w:pPr>
              <w:pStyle w:val="91"/>
              <w:keepNext w:val="0"/>
              <w:keepLines w:val="0"/>
              <w:suppressLineNumbers w:val="0"/>
              <w:spacing w:before="0" w:beforeAutospacing="0" w:after="0" w:afterAutospacing="0"/>
              <w:ind w:left="0" w:right="0"/>
              <w:rPr>
                <w:rFonts w:hint="default"/>
                <w:color w:val="auto"/>
                <w:szCs w:val="20"/>
              </w:rPr>
            </w:pPr>
          </w:p>
        </w:tc>
        <w:tc>
          <w:tcPr>
            <w:tcW w:w="3690" w:type="pct"/>
            <w:vAlign w:val="center"/>
          </w:tcPr>
          <w:p w14:paraId="103B5A1E">
            <w:pPr>
              <w:pStyle w:val="91"/>
              <w:keepNext w:val="0"/>
              <w:keepLines w:val="0"/>
              <w:suppressLineNumbers w:val="0"/>
              <w:spacing w:before="0" w:beforeAutospacing="0" w:after="0" w:afterAutospacing="0"/>
              <w:ind w:left="0" w:right="0"/>
              <w:jc w:val="both"/>
              <w:rPr>
                <w:rFonts w:hint="default"/>
                <w:color w:val="auto"/>
                <w:szCs w:val="20"/>
              </w:rPr>
            </w:pPr>
            <w:bookmarkStart w:id="81" w:name="_Toc223258175"/>
            <w:bookmarkStart w:id="82" w:name="_Toc223258433"/>
            <w:r>
              <w:rPr>
                <w:rFonts w:hint="eastAsia"/>
                <w:color w:val="auto"/>
                <w:szCs w:val="20"/>
              </w:rPr>
              <w:t>⑤货种</w:t>
            </w:r>
            <w:bookmarkEnd w:id="81"/>
            <w:bookmarkEnd w:id="82"/>
          </w:p>
          <w:p w14:paraId="4FFCD8AF">
            <w:pPr>
              <w:pStyle w:val="91"/>
              <w:keepNext w:val="0"/>
              <w:keepLines w:val="0"/>
              <w:suppressLineNumbers w:val="0"/>
              <w:spacing w:before="0" w:beforeAutospacing="0" w:after="0" w:afterAutospacing="0"/>
              <w:ind w:left="0" w:right="0"/>
              <w:jc w:val="both"/>
              <w:rPr>
                <w:rFonts w:hint="default"/>
                <w:color w:val="auto"/>
                <w:szCs w:val="20"/>
              </w:rPr>
            </w:pPr>
            <w:bookmarkStart w:id="83" w:name="_Toc223258176"/>
            <w:bookmarkStart w:id="84" w:name="_Toc223258434"/>
            <w:r>
              <w:rPr>
                <w:rFonts w:hint="eastAsia"/>
                <w:color w:val="auto"/>
                <w:szCs w:val="20"/>
              </w:rPr>
              <w:t>北部湾港应禁止运输《产业结构调整指导目录》淘汰类的设备、产品以及原辅材料。</w:t>
            </w:r>
            <w:bookmarkEnd w:id="83"/>
            <w:bookmarkEnd w:id="84"/>
          </w:p>
        </w:tc>
        <w:tc>
          <w:tcPr>
            <w:tcW w:w="792" w:type="pct"/>
            <w:vAlign w:val="center"/>
          </w:tcPr>
          <w:p w14:paraId="32119CB9">
            <w:pPr>
              <w:pStyle w:val="91"/>
              <w:keepNext w:val="0"/>
              <w:keepLines w:val="0"/>
              <w:suppressLineNumbers w:val="0"/>
              <w:spacing w:before="0" w:beforeAutospacing="0" w:after="0" w:afterAutospacing="0"/>
              <w:ind w:left="0" w:right="0"/>
              <w:jc w:val="both"/>
              <w:rPr>
                <w:rFonts w:hint="default"/>
                <w:color w:val="auto"/>
                <w:szCs w:val="20"/>
              </w:rPr>
            </w:pPr>
            <w:bookmarkStart w:id="85" w:name="_Toc223258435"/>
            <w:bookmarkStart w:id="86" w:name="_Toc223258177"/>
            <w:r>
              <w:rPr>
                <w:rFonts w:hint="eastAsia"/>
                <w:color w:val="auto"/>
                <w:szCs w:val="20"/>
              </w:rPr>
              <w:t>本项目货种不涉及《产业结构调整指导目录》淘汰类产品。符合</w:t>
            </w:r>
            <w:bookmarkEnd w:id="85"/>
            <w:bookmarkEnd w:id="86"/>
          </w:p>
        </w:tc>
      </w:tr>
      <w:tr w14:paraId="1A4E3D8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454" w:hRule="atLeast"/>
        </w:trPr>
        <w:tc>
          <w:tcPr>
            <w:tcW w:w="518" w:type="pct"/>
            <w:vAlign w:val="center"/>
          </w:tcPr>
          <w:p w14:paraId="3127D1D8">
            <w:pPr>
              <w:pStyle w:val="91"/>
              <w:keepNext w:val="0"/>
              <w:keepLines w:val="0"/>
              <w:suppressLineNumbers w:val="0"/>
              <w:spacing w:before="0" w:beforeAutospacing="0" w:after="0" w:afterAutospacing="0"/>
              <w:ind w:left="0" w:right="0"/>
              <w:rPr>
                <w:rFonts w:hint="default"/>
                <w:color w:val="auto"/>
                <w:szCs w:val="20"/>
              </w:rPr>
            </w:pPr>
            <w:bookmarkStart w:id="87" w:name="_Toc223258436"/>
            <w:bookmarkStart w:id="88" w:name="_Toc223258178"/>
            <w:r>
              <w:rPr>
                <w:rFonts w:hint="eastAsia"/>
                <w:color w:val="auto"/>
                <w:szCs w:val="20"/>
              </w:rPr>
              <w:t>环境风险防控</w:t>
            </w:r>
            <w:bookmarkEnd w:id="87"/>
            <w:bookmarkEnd w:id="88"/>
          </w:p>
        </w:tc>
        <w:tc>
          <w:tcPr>
            <w:tcW w:w="3690" w:type="pct"/>
            <w:vAlign w:val="center"/>
          </w:tcPr>
          <w:p w14:paraId="5FAA2382">
            <w:pPr>
              <w:pStyle w:val="91"/>
              <w:keepNext w:val="0"/>
              <w:keepLines w:val="0"/>
              <w:suppressLineNumbers w:val="0"/>
              <w:spacing w:before="0" w:beforeAutospacing="0" w:after="0" w:afterAutospacing="0"/>
              <w:ind w:left="0" w:right="0"/>
              <w:jc w:val="both"/>
              <w:rPr>
                <w:rFonts w:hint="default"/>
                <w:color w:val="auto"/>
                <w:szCs w:val="20"/>
              </w:rPr>
            </w:pPr>
            <w:bookmarkStart w:id="89" w:name="_Toc223258437"/>
            <w:bookmarkStart w:id="90" w:name="_Toc223258179"/>
            <w:r>
              <w:rPr>
                <w:rFonts w:hint="eastAsia"/>
                <w:color w:val="auto"/>
                <w:szCs w:val="20"/>
              </w:rPr>
              <w:t>北部湾港液体散货区的危险品堆存区与居住区至少保留1km安全距离，以降低环境风险事故风险。各港区需配备必要的导助航等安全保障设施，并加强码头装卸作业的安全管理和防护措施，减少事故隐患。</w:t>
            </w:r>
            <w:bookmarkEnd w:id="89"/>
            <w:bookmarkEnd w:id="90"/>
          </w:p>
        </w:tc>
        <w:tc>
          <w:tcPr>
            <w:tcW w:w="792" w:type="pct"/>
            <w:vAlign w:val="center"/>
          </w:tcPr>
          <w:p w14:paraId="1D211C7A">
            <w:pPr>
              <w:pStyle w:val="91"/>
              <w:keepNext w:val="0"/>
              <w:keepLines w:val="0"/>
              <w:suppressLineNumbers w:val="0"/>
              <w:spacing w:before="0" w:beforeAutospacing="0" w:after="0" w:afterAutospacing="0"/>
              <w:ind w:left="0" w:right="0"/>
              <w:jc w:val="both"/>
              <w:rPr>
                <w:rFonts w:hint="default"/>
                <w:color w:val="auto"/>
                <w:szCs w:val="20"/>
              </w:rPr>
            </w:pPr>
            <w:bookmarkStart w:id="91" w:name="_Toc223258180"/>
            <w:bookmarkStart w:id="92" w:name="_Toc223258438"/>
            <w:r>
              <w:rPr>
                <w:rFonts w:hint="eastAsia"/>
                <w:color w:val="auto"/>
                <w:szCs w:val="20"/>
              </w:rPr>
              <w:t>本项目周边1km内无居民区，符合。</w:t>
            </w:r>
            <w:bookmarkEnd w:id="91"/>
            <w:bookmarkEnd w:id="92"/>
          </w:p>
        </w:tc>
      </w:tr>
      <w:tr w14:paraId="0DD9D94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454" w:hRule="atLeast"/>
        </w:trPr>
        <w:tc>
          <w:tcPr>
            <w:tcW w:w="518" w:type="pct"/>
            <w:vAlign w:val="center"/>
          </w:tcPr>
          <w:p w14:paraId="469B2947">
            <w:pPr>
              <w:pStyle w:val="91"/>
              <w:keepNext w:val="0"/>
              <w:keepLines w:val="0"/>
              <w:suppressLineNumbers w:val="0"/>
              <w:spacing w:before="0" w:beforeAutospacing="0" w:after="0" w:afterAutospacing="0"/>
              <w:ind w:left="0" w:right="0"/>
              <w:rPr>
                <w:rFonts w:hint="default"/>
                <w:color w:val="auto"/>
                <w:szCs w:val="20"/>
              </w:rPr>
            </w:pPr>
            <w:bookmarkStart w:id="93" w:name="_Toc223258181"/>
            <w:bookmarkStart w:id="94" w:name="_Toc223258439"/>
            <w:r>
              <w:rPr>
                <w:rFonts w:hint="eastAsia"/>
                <w:color w:val="auto"/>
                <w:szCs w:val="20"/>
              </w:rPr>
              <w:t>资源开发效率要求</w:t>
            </w:r>
            <w:bookmarkEnd w:id="93"/>
            <w:bookmarkEnd w:id="94"/>
          </w:p>
        </w:tc>
        <w:tc>
          <w:tcPr>
            <w:tcW w:w="3690" w:type="pct"/>
            <w:vAlign w:val="center"/>
          </w:tcPr>
          <w:p w14:paraId="498B5C56">
            <w:pPr>
              <w:pStyle w:val="91"/>
              <w:keepNext w:val="0"/>
              <w:keepLines w:val="0"/>
              <w:suppressLineNumbers w:val="0"/>
              <w:spacing w:before="0" w:beforeAutospacing="0" w:after="0" w:afterAutospacing="0"/>
              <w:ind w:left="0" w:right="0"/>
              <w:jc w:val="both"/>
              <w:rPr>
                <w:rFonts w:hint="default"/>
                <w:color w:val="auto"/>
                <w:szCs w:val="20"/>
              </w:rPr>
            </w:pPr>
            <w:bookmarkStart w:id="95" w:name="_Toc223258440"/>
            <w:bookmarkStart w:id="96" w:name="_Toc223258182"/>
            <w:r>
              <w:rPr>
                <w:rFonts w:hint="eastAsia"/>
                <w:color w:val="auto"/>
                <w:szCs w:val="20"/>
              </w:rPr>
              <w:t>严格控制北部湾港各港区尤其是新建港区的开发规模与强度，集约节约利用岸线、土地等资源，合理安排港口开发建设时序，持续提高资源利用效率。严禁各港区建设项目占用自然岸线，确保规划区域自然岸线数量不减少。</w:t>
            </w:r>
            <w:bookmarkEnd w:id="95"/>
            <w:bookmarkEnd w:id="96"/>
          </w:p>
        </w:tc>
        <w:tc>
          <w:tcPr>
            <w:tcW w:w="792" w:type="pct"/>
            <w:vAlign w:val="center"/>
          </w:tcPr>
          <w:p w14:paraId="02623D64">
            <w:pPr>
              <w:pStyle w:val="91"/>
              <w:keepNext w:val="0"/>
              <w:keepLines w:val="0"/>
              <w:suppressLineNumbers w:val="0"/>
              <w:spacing w:before="0" w:beforeAutospacing="0" w:after="0" w:afterAutospacing="0"/>
              <w:ind w:left="0" w:right="0"/>
              <w:jc w:val="both"/>
              <w:rPr>
                <w:rFonts w:hint="default"/>
                <w:color w:val="auto"/>
                <w:szCs w:val="20"/>
              </w:rPr>
            </w:pPr>
            <w:bookmarkStart w:id="97" w:name="_Toc223258183"/>
            <w:bookmarkStart w:id="98" w:name="_Toc223258441"/>
            <w:r>
              <w:rPr>
                <w:rFonts w:hint="eastAsia"/>
                <w:color w:val="auto"/>
                <w:szCs w:val="20"/>
              </w:rPr>
              <w:t>本项目利用原有码头设施，不涉及水工建设，不占用自然岸线，符合。</w:t>
            </w:r>
            <w:bookmarkEnd w:id="97"/>
            <w:bookmarkEnd w:id="98"/>
          </w:p>
        </w:tc>
      </w:tr>
    </w:tbl>
    <w:p w14:paraId="5DF21730">
      <w:pPr>
        <w:rPr>
          <w:rFonts w:hint="eastAsia"/>
          <w:color w:val="auto"/>
          <w:u w:val="single"/>
          <w:lang w:eastAsia="zh-CN"/>
        </w:rPr>
      </w:pPr>
      <w:bookmarkStart w:id="99" w:name="_Toc223258184"/>
      <w:bookmarkStart w:id="100" w:name="_Toc223595747"/>
      <w:bookmarkStart w:id="101" w:name="_Toc223258442"/>
      <w:r>
        <w:rPr>
          <w:rFonts w:hint="eastAsia"/>
          <w:color w:val="auto"/>
          <w:u w:val="single"/>
          <w:lang w:eastAsia="zh-CN"/>
        </w:rPr>
        <w:t>（</w:t>
      </w:r>
      <w:r>
        <w:rPr>
          <w:rFonts w:hint="eastAsia"/>
          <w:color w:val="auto"/>
          <w:u w:val="single"/>
          <w:lang w:val="en-US" w:eastAsia="zh-CN"/>
        </w:rPr>
        <w:t>2</w:t>
      </w:r>
      <w:r>
        <w:rPr>
          <w:rFonts w:hint="eastAsia"/>
          <w:color w:val="auto"/>
          <w:u w:val="single"/>
          <w:lang w:eastAsia="zh-CN"/>
        </w:rPr>
        <w:t>）与规划环评审查意见相符性</w:t>
      </w:r>
    </w:p>
    <w:p w14:paraId="765D891F">
      <w:pPr>
        <w:rPr>
          <w:rFonts w:hint="eastAsia" w:eastAsia="宋体"/>
          <w:color w:val="auto"/>
          <w:u w:val="single"/>
          <w:lang w:eastAsia="zh-CN"/>
        </w:rPr>
      </w:pPr>
      <w:r>
        <w:rPr>
          <w:rFonts w:hint="eastAsia"/>
          <w:color w:val="auto"/>
          <w:u w:val="single"/>
          <w:lang w:eastAsia="zh-CN"/>
        </w:rPr>
        <w:t>中华人民共和国生态环境部于2023年11月13日出具了《关于北部湾港总体规划（2035年）环境影响报告书的审查意见》（环审〔2023〕125号）（附件13），本项目与《北部湾港总体规划（2035年）环境影响报告书》及审查意见相符性分析详见下表。</w:t>
      </w:r>
    </w:p>
    <w:p w14:paraId="797067BB">
      <w:pPr>
        <w:ind w:left="482" w:firstLine="0" w:firstLineChars="0"/>
        <w:outlineLvl w:val="1"/>
        <w:rPr>
          <w:color w:val="auto"/>
        </w:rPr>
      </w:pPr>
      <w:r>
        <w:rPr>
          <w:rFonts w:hint="eastAsia"/>
          <w:b/>
          <w:color w:val="auto"/>
        </w:rPr>
        <w:t>3、与</w:t>
      </w:r>
      <w:r>
        <w:rPr>
          <w:b/>
          <w:color w:val="auto"/>
        </w:rPr>
        <w:t>《广西钦州石化产业园总体发展规划》（2020-2035）相符性</w:t>
      </w:r>
      <w:bookmarkEnd w:id="99"/>
      <w:bookmarkEnd w:id="100"/>
      <w:bookmarkEnd w:id="101"/>
    </w:p>
    <w:p w14:paraId="68486EF6">
      <w:pPr>
        <w:ind w:firstLine="480"/>
        <w:rPr>
          <w:color w:val="auto"/>
        </w:rPr>
      </w:pPr>
      <w:r>
        <w:rPr>
          <w:rFonts w:hint="eastAsia"/>
          <w:color w:val="auto"/>
        </w:rPr>
        <w:t>（1）</w:t>
      </w:r>
      <w:r>
        <w:rPr>
          <w:color w:val="auto"/>
        </w:rPr>
        <w:t>与规划相符性分析</w:t>
      </w:r>
    </w:p>
    <w:p w14:paraId="3DD5C14A">
      <w:pPr>
        <w:ind w:firstLine="480"/>
        <w:rPr>
          <w:color w:val="auto"/>
        </w:rPr>
      </w:pPr>
      <w:r>
        <w:rPr>
          <w:color w:val="auto"/>
        </w:rPr>
        <w:t>根据《广西钦州石化产业园总体发展规划》（2020-2035），钦州石化产业园总体上规划为“一园、两轴、三片、十区、多点”的空间结构：</w:t>
      </w:r>
    </w:p>
    <w:p w14:paraId="4C64F944">
      <w:pPr>
        <w:ind w:firstLine="480"/>
        <w:rPr>
          <w:color w:val="auto"/>
        </w:rPr>
      </w:pPr>
      <w:r>
        <w:rPr>
          <w:rFonts w:hint="eastAsia" w:ascii="宋体" w:hAnsi="宋体" w:cs="宋体"/>
          <w:color w:val="auto"/>
          <w:lang w:eastAsia="ja-JP"/>
        </w:rPr>
        <w:t>①</w:t>
      </w:r>
      <w:r>
        <w:rPr>
          <w:color w:val="auto"/>
        </w:rPr>
        <w:t>“一园”即钦州石化产业园整体。</w:t>
      </w:r>
    </w:p>
    <w:p w14:paraId="58BB872F">
      <w:pPr>
        <w:ind w:firstLine="480"/>
        <w:rPr>
          <w:color w:val="auto"/>
        </w:rPr>
      </w:pPr>
      <w:r>
        <w:rPr>
          <w:rFonts w:hint="eastAsia" w:ascii="宋体" w:hAnsi="宋体" w:cs="宋体"/>
          <w:color w:val="auto"/>
          <w:lang w:eastAsia="ja-JP"/>
        </w:rPr>
        <w:t>②</w:t>
      </w:r>
      <w:r>
        <w:rPr>
          <w:color w:val="auto"/>
        </w:rPr>
        <w:t>“两轴”即依托环北大道和三墩公路打造两条产业空间轴，将三个片区串联发展。</w:t>
      </w:r>
    </w:p>
    <w:p w14:paraId="2D3DFBFA">
      <w:pPr>
        <w:ind w:firstLine="480"/>
        <w:rPr>
          <w:color w:val="auto"/>
        </w:rPr>
      </w:pPr>
      <w:r>
        <w:rPr>
          <w:rFonts w:hint="eastAsia" w:ascii="宋体" w:hAnsi="宋体" w:cs="宋体"/>
          <w:color w:val="auto"/>
          <w:lang w:eastAsia="ja-JP"/>
        </w:rPr>
        <w:t>③</w:t>
      </w:r>
      <w:r>
        <w:rPr>
          <w:color w:val="auto"/>
        </w:rPr>
        <w:t>“三片”即金谷片区、鹿耳片区和三墩片区。</w:t>
      </w:r>
    </w:p>
    <w:p w14:paraId="3DF880DC">
      <w:pPr>
        <w:ind w:firstLine="480"/>
        <w:rPr>
          <w:color w:val="auto"/>
        </w:rPr>
      </w:pPr>
      <w:r>
        <w:rPr>
          <w:rFonts w:hint="eastAsia" w:ascii="宋体" w:hAnsi="宋体" w:cs="宋体"/>
          <w:color w:val="auto"/>
          <w:lang w:eastAsia="ja-JP"/>
        </w:rPr>
        <w:t>④</w:t>
      </w:r>
      <w:r>
        <w:rPr>
          <w:color w:val="auto"/>
        </w:rPr>
        <w:t>“十区”即广西石化炼化一体化项目区、华谊化工新材料一体化项目区、芳烃及下游深加工产业区、特种聚氨酯与高端材料产业区、金谷现有项目区、金谷预留发展区、鹿耳特种功能材料及专用化学品项目区、三墩炼化一体化项目区、三墩芳烃、烯烃及下游深加工区、三墩化工新材料及精细化工项目区，各片区内部以用地有效集聚为原则，保持内部小组团的完整，利于开发的弹性和可持续性。</w:t>
      </w:r>
    </w:p>
    <w:p w14:paraId="01744600">
      <w:pPr>
        <w:ind w:firstLine="480"/>
        <w:rPr>
          <w:color w:val="auto"/>
        </w:rPr>
      </w:pPr>
      <w:r>
        <w:rPr>
          <w:rFonts w:hint="eastAsia" w:ascii="宋体" w:hAnsi="宋体" w:cs="宋体"/>
          <w:color w:val="auto"/>
          <w:lang w:eastAsia="ja-JP"/>
        </w:rPr>
        <w:t>⑤</w:t>
      </w:r>
      <w:r>
        <w:rPr>
          <w:color w:val="auto"/>
        </w:rPr>
        <w:t>“多点”即“一体化”配套服务的公用工程及辅助设施。包括</w:t>
      </w:r>
      <w:r>
        <w:rPr>
          <w:b/>
          <w:bCs/>
          <w:color w:val="auto"/>
        </w:rPr>
        <w:t>石化码头及物流仓储区</w:t>
      </w:r>
      <w:r>
        <w:rPr>
          <w:color w:val="auto"/>
        </w:rPr>
        <w:t>、供水厂、污水处理、热电中心、变电站、消防站、危废处理等。</w:t>
      </w:r>
    </w:p>
    <w:p w14:paraId="757DC08E">
      <w:pPr>
        <w:ind w:firstLine="480"/>
        <w:rPr>
          <w:rFonts w:hint="eastAsia"/>
          <w:color w:val="auto"/>
          <w:u w:val="single"/>
        </w:rPr>
      </w:pPr>
      <w:r>
        <w:rPr>
          <w:rFonts w:hint="eastAsia"/>
          <w:color w:val="auto"/>
          <w:u w:val="single"/>
        </w:rPr>
        <w:t>金谷片区产业区自北向南依次规划为广西石化炼化一体化项目区、预留发展区、芳烃及下游深加工产业区、现有项目区、华谊化工新材料一体化项目区、特种聚氨酯与高端材料产业区。</w:t>
      </w:r>
    </w:p>
    <w:p w14:paraId="435CA929">
      <w:pPr>
        <w:ind w:firstLine="480"/>
        <w:rPr>
          <w:rFonts w:hint="eastAsia"/>
          <w:color w:val="auto"/>
          <w:u w:val="single"/>
        </w:rPr>
      </w:pPr>
      <w:r>
        <w:rPr>
          <w:rFonts w:hint="eastAsia"/>
          <w:color w:val="auto"/>
          <w:u w:val="single"/>
        </w:rPr>
        <w:t>广西石化炼化—体化项目区：主要为广西石化现有及规划建设的1200万吨/年炼化一体化项目，及在建的中石油钦州炼化一体化转型升级项目。</w:t>
      </w:r>
    </w:p>
    <w:p w14:paraId="035A4821">
      <w:pPr>
        <w:ind w:firstLine="480"/>
        <w:rPr>
          <w:rFonts w:hint="eastAsia"/>
          <w:color w:val="auto"/>
          <w:u w:val="single"/>
        </w:rPr>
      </w:pPr>
      <w:r>
        <w:rPr>
          <w:rFonts w:hint="eastAsia"/>
          <w:color w:val="auto"/>
          <w:u w:val="single"/>
        </w:rPr>
        <w:t>预留发展区：位于广西石化炼化一体化项目区以东，目前为未利用地。</w:t>
      </w:r>
    </w:p>
    <w:p w14:paraId="50BF8798">
      <w:pPr>
        <w:ind w:firstLine="480"/>
        <w:rPr>
          <w:rFonts w:hint="eastAsia"/>
          <w:color w:val="auto"/>
          <w:u w:val="single"/>
        </w:rPr>
      </w:pPr>
      <w:r>
        <w:rPr>
          <w:rFonts w:hint="eastAsia"/>
          <w:color w:val="auto"/>
          <w:u w:val="single"/>
        </w:rPr>
        <w:t>芳烃及下游深加工产业区：主要为浙江恒逸集团有限公司恒逸钦州年产120万吨己内酰胺—聚酰胺产业一体化及配套工程项目。</w:t>
      </w:r>
    </w:p>
    <w:p w14:paraId="05BBAD79">
      <w:pPr>
        <w:ind w:firstLine="480"/>
        <w:rPr>
          <w:rFonts w:hint="eastAsia"/>
          <w:color w:val="auto"/>
          <w:u w:val="single"/>
        </w:rPr>
      </w:pPr>
      <w:r>
        <w:rPr>
          <w:rFonts w:hint="eastAsia"/>
          <w:color w:val="auto"/>
          <w:u w:val="single"/>
        </w:rPr>
        <w:t>现有项目：主要包括现有炼油副产品加工增值产业链、生物化工和磷化工等产业项目，以及现状的几家金属企业。</w:t>
      </w:r>
    </w:p>
    <w:p w14:paraId="36F210AD">
      <w:pPr>
        <w:ind w:firstLine="480"/>
        <w:rPr>
          <w:rFonts w:hint="eastAsia"/>
          <w:color w:val="auto"/>
          <w:u w:val="single"/>
        </w:rPr>
      </w:pPr>
      <w:r>
        <w:rPr>
          <w:rFonts w:hint="eastAsia"/>
          <w:color w:val="auto"/>
          <w:u w:val="single"/>
        </w:rPr>
        <w:t>华谊化工新材料一体化项目区：主要包括上海华谊集团钦州化工新材料产业基地。</w:t>
      </w:r>
    </w:p>
    <w:p w14:paraId="7C1657D2">
      <w:pPr>
        <w:ind w:firstLine="480"/>
        <w:rPr>
          <w:rFonts w:hint="eastAsia"/>
          <w:color w:val="auto"/>
          <w:u w:val="single"/>
        </w:rPr>
      </w:pPr>
      <w:r>
        <w:rPr>
          <w:rFonts w:hint="eastAsia"/>
          <w:color w:val="auto"/>
          <w:u w:val="single"/>
        </w:rPr>
        <w:t>特种聚氨酯与高端材料产业区：主要为聚氨酯及下游深加工项目、烯烃下游新材料项目。</w:t>
      </w:r>
    </w:p>
    <w:p w14:paraId="64AE2BD0">
      <w:pPr>
        <w:ind w:firstLine="480"/>
        <w:rPr>
          <w:color w:val="auto"/>
          <w:u w:val="single"/>
        </w:rPr>
      </w:pPr>
      <w:r>
        <w:rPr>
          <w:color w:val="auto"/>
          <w:u w:val="single"/>
        </w:rPr>
        <w:t>项目属于服务石化园区的码头</w:t>
      </w:r>
      <w:r>
        <w:rPr>
          <w:rFonts w:hint="eastAsia"/>
          <w:color w:val="auto"/>
          <w:u w:val="single"/>
        </w:rPr>
        <w:t>新增</w:t>
      </w:r>
      <w:r>
        <w:rPr>
          <w:color w:val="auto"/>
          <w:u w:val="single"/>
        </w:rPr>
        <w:t>货种项目，选址位于园区规划的石化码头及物流仓储区，选址及功能符合《广西钦州石化产业园总体发展规划》（2020-2035）</w:t>
      </w:r>
      <w:r>
        <w:rPr>
          <w:rFonts w:hint="eastAsia"/>
          <w:color w:val="auto"/>
          <w:u w:val="single"/>
          <w:lang w:val="en-US" w:eastAsia="zh-CN"/>
        </w:rPr>
        <w:t>金谷港区规划。项目周边500m范围内无环境保护目标，项目的建设对周边保护目标的影响较小</w:t>
      </w:r>
      <w:r>
        <w:rPr>
          <w:color w:val="auto"/>
          <w:u w:val="single"/>
        </w:rPr>
        <w:t>。</w:t>
      </w:r>
    </w:p>
    <w:p w14:paraId="08D3C526">
      <w:pPr>
        <w:ind w:firstLine="480"/>
        <w:rPr>
          <w:color w:val="auto"/>
        </w:rPr>
      </w:pPr>
      <w:r>
        <w:rPr>
          <w:rFonts w:hint="eastAsia"/>
          <w:color w:val="auto"/>
        </w:rPr>
        <w:t>（2）</w:t>
      </w:r>
      <w:r>
        <w:rPr>
          <w:color w:val="auto"/>
        </w:rPr>
        <w:t>与规划环评及审查意见的相符性分析</w:t>
      </w:r>
    </w:p>
    <w:p w14:paraId="3F3F080A">
      <w:pPr>
        <w:ind w:firstLine="480"/>
        <w:rPr>
          <w:color w:val="auto"/>
          <w:szCs w:val="21"/>
        </w:rPr>
      </w:pPr>
      <w:r>
        <w:rPr>
          <w:color w:val="auto"/>
        </w:rPr>
        <w:t>对照</w:t>
      </w:r>
      <w:r>
        <w:rPr>
          <w:color w:val="auto"/>
          <w:lang w:bidi="ar"/>
        </w:rPr>
        <w:t>《广西钦州石化产业园总体发展规划</w:t>
      </w:r>
      <w:r>
        <w:rPr>
          <w:color w:val="auto"/>
        </w:rPr>
        <w:t>（2020-2035）</w:t>
      </w:r>
      <w:r>
        <w:rPr>
          <w:color w:val="auto"/>
          <w:lang w:bidi="ar"/>
        </w:rPr>
        <w:t>环境影响报告书》及其审查意见，项目属于石化园区配套基础服务设施，选址符合规划功能分区要求，符合环境准入条件“建设项目应为石化产业园区产业链范围内的项目，选址应符合石化产业园区规划的功能分区”；项目有机废气</w:t>
      </w:r>
      <w:r>
        <w:rPr>
          <w:color w:val="auto"/>
          <w:szCs w:val="21"/>
          <w:lang w:bidi="ar"/>
        </w:rPr>
        <w:t>均得到妥善处置，确保达标排放，生产废水满足进水水质标准后依托</w:t>
      </w:r>
      <w:r>
        <w:rPr>
          <w:rFonts w:hint="eastAsia"/>
          <w:color w:val="auto"/>
          <w:szCs w:val="21"/>
          <w:lang w:bidi="ar"/>
        </w:rPr>
        <w:t>广西石化分公司污水处理厂处理，</w:t>
      </w:r>
      <w:r>
        <w:rPr>
          <w:color w:val="auto"/>
          <w:szCs w:val="21"/>
          <w:lang w:bidi="ar"/>
        </w:rPr>
        <w:t>符合环境准入条件“建设项目污染防治和环境影响方面的准入要求”，“挥发性有机物（VOCs）的治理应纳入企业的环保措施。”</w:t>
      </w:r>
      <w:r>
        <w:rPr>
          <w:color w:val="auto"/>
          <w:lang w:bidi="ar"/>
        </w:rPr>
        <w:t>项目为园区配套项目，不属于规划环评负面清单中所列的各类生产工艺。</w:t>
      </w:r>
    </w:p>
    <w:p w14:paraId="70243B2D">
      <w:pPr>
        <w:ind w:firstLine="480"/>
        <w:rPr>
          <w:color w:val="auto"/>
          <w:lang w:bidi="ar"/>
        </w:rPr>
      </w:pPr>
      <w:r>
        <w:rPr>
          <w:color w:val="auto"/>
          <w:lang w:bidi="ar"/>
        </w:rPr>
        <w:t>本项目与规划环评审查意见相符性分析见下表：</w:t>
      </w:r>
    </w:p>
    <w:p w14:paraId="38FF1B7E">
      <w:pPr>
        <w:pStyle w:val="14"/>
        <w:rPr>
          <w:color w:val="auto"/>
        </w:rPr>
      </w:pPr>
      <w:r>
        <w:rPr>
          <w:rFonts w:hint="eastAsia"/>
          <w:color w:val="auto"/>
        </w:rPr>
        <w:t>表2</w:t>
      </w:r>
      <w:r>
        <w:rPr>
          <w:color w:val="auto"/>
        </w:rPr>
        <w:t>与规划环评审查意见相符性分析</w:t>
      </w:r>
    </w:p>
    <w:tbl>
      <w:tblPr>
        <w:tblStyle w:val="43"/>
        <w:tblW w:w="9039"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89"/>
        <w:gridCol w:w="2250"/>
      </w:tblGrid>
      <w:tr w14:paraId="37AB9A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89" w:type="dxa"/>
            <w:tcMar>
              <w:left w:w="28" w:type="dxa"/>
              <w:right w:w="28" w:type="dxa"/>
            </w:tcMar>
            <w:vAlign w:val="center"/>
          </w:tcPr>
          <w:p w14:paraId="2DCE8B37">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lang w:bidi="ar"/>
              </w:rPr>
              <w:t>规划环评审查意见</w:t>
            </w:r>
          </w:p>
        </w:tc>
        <w:tc>
          <w:tcPr>
            <w:tcW w:w="2250" w:type="dxa"/>
            <w:tcMar>
              <w:left w:w="28" w:type="dxa"/>
              <w:right w:w="28" w:type="dxa"/>
            </w:tcMar>
            <w:vAlign w:val="center"/>
          </w:tcPr>
          <w:p w14:paraId="67BF79AC">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lang w:bidi="ar"/>
              </w:rPr>
              <w:t>相符性分析</w:t>
            </w:r>
          </w:p>
        </w:tc>
      </w:tr>
      <w:tr w14:paraId="4A45AB9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89" w:type="dxa"/>
            <w:tcMar>
              <w:left w:w="28" w:type="dxa"/>
              <w:right w:w="28" w:type="dxa"/>
            </w:tcMar>
            <w:vAlign w:val="center"/>
          </w:tcPr>
          <w:p w14:paraId="4D4A1A4A">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1.全面贯彻习近平生态文明思想的绿色发展观，坚持“环保优先、绿色发展”理念，建立健全石化基地循环发展、清洁生产的指标体系并明确落实机制和保障措施。切实维护石化基地和周边区域生态环境质量，坚持高起点规划、高标准建设、高水平管理。钦州石化产业园区要加快转变经济发展方式，以资源环境承载力为基础，促进经济社会与资源环境协调发展，积极探索代价小、效益好、排放低、可持续的环境保护新道路，把科学开发与保护区域生态环境紧密结合起来，努力实现开发与保护双赢。</w:t>
            </w:r>
          </w:p>
        </w:tc>
        <w:tc>
          <w:tcPr>
            <w:tcW w:w="2250" w:type="dxa"/>
            <w:tcMar>
              <w:left w:w="28" w:type="dxa"/>
              <w:right w:w="28" w:type="dxa"/>
            </w:tcMar>
            <w:vAlign w:val="center"/>
          </w:tcPr>
          <w:p w14:paraId="2EDF5ED4">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项目</w:t>
            </w:r>
            <w:r>
              <w:rPr>
                <w:rFonts w:hint="eastAsia"/>
                <w:color w:val="auto"/>
                <w:lang w:bidi="ar"/>
              </w:rPr>
              <w:t>码头新增货种</w:t>
            </w:r>
            <w:r>
              <w:rPr>
                <w:rFonts w:hint="default"/>
                <w:color w:val="auto"/>
                <w:lang w:bidi="ar"/>
              </w:rPr>
              <w:t>，不属于高耗能项目，产生的污染物均采取相应处理措施得到妥善处置，不会对区域资源环境承载力造成大的不利影响。符合。</w:t>
            </w:r>
          </w:p>
        </w:tc>
      </w:tr>
      <w:tr w14:paraId="786097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89" w:type="dxa"/>
            <w:tcMar>
              <w:left w:w="28" w:type="dxa"/>
              <w:right w:w="28" w:type="dxa"/>
            </w:tcMar>
            <w:vAlign w:val="center"/>
          </w:tcPr>
          <w:p w14:paraId="6DD522D0">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2.主动对接生态保护红线划定和国土空间规划编制，将生态保护红线作为保障和维护区域生态安全的底线，依法依规实施强制性保护。严格保护广西茅尾海红树林自然保护区，滨海湿地、金窝水库饮用水源一级保护区等生态保护区，不符合自然保护区和环境功能区划等相关管控要求的各类开发建设活动不得纳入《规划》。</w:t>
            </w:r>
          </w:p>
        </w:tc>
        <w:tc>
          <w:tcPr>
            <w:tcW w:w="2250" w:type="dxa"/>
            <w:tcMar>
              <w:left w:w="28" w:type="dxa"/>
              <w:right w:w="28" w:type="dxa"/>
            </w:tcMar>
            <w:vAlign w:val="center"/>
          </w:tcPr>
          <w:p w14:paraId="24A566AC">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项目位于划定的石化园区内，符合国土空间规划要求；项目占地不涉及意见中提及的生态保护区。符合。</w:t>
            </w:r>
          </w:p>
        </w:tc>
      </w:tr>
      <w:tr w14:paraId="6010FD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89" w:type="dxa"/>
            <w:tcMar>
              <w:left w:w="28" w:type="dxa"/>
              <w:right w:w="28" w:type="dxa"/>
            </w:tcMar>
            <w:vAlign w:val="center"/>
          </w:tcPr>
          <w:p w14:paraId="2CA29F24">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3.加快现有排污口建设及污水处理厂提标改造，同时随着规划的实施开展3个排污口外迁排海相关技术论证。鉴于钦州港港口规划及规划实施可能对海域水文动力条件及近岸海域排污区水环境容量造成影响，应尽快开展海域排污区论证，掌握海域水环境资源，明确园区生产和生活废水排污方案，近期规划依托整改后的A1、A2排口，中远期排污口应重新规划。</w:t>
            </w:r>
          </w:p>
        </w:tc>
        <w:tc>
          <w:tcPr>
            <w:tcW w:w="2250" w:type="dxa"/>
            <w:tcMar>
              <w:left w:w="28" w:type="dxa"/>
              <w:right w:w="28" w:type="dxa"/>
            </w:tcMar>
            <w:vAlign w:val="center"/>
          </w:tcPr>
          <w:p w14:paraId="75BFF46D">
            <w:pPr>
              <w:pStyle w:val="91"/>
              <w:keepNext w:val="0"/>
              <w:keepLines w:val="0"/>
              <w:suppressLineNumbers w:val="0"/>
              <w:spacing w:before="0" w:beforeAutospacing="0" w:after="0" w:afterAutospacing="0"/>
              <w:ind w:left="0" w:right="0"/>
              <w:rPr>
                <w:rFonts w:hint="default"/>
                <w:color w:val="auto"/>
              </w:rPr>
            </w:pPr>
            <w:r>
              <w:rPr>
                <w:rFonts w:hint="eastAsia"/>
                <w:color w:val="auto"/>
                <w:lang w:bidi="ar"/>
              </w:rPr>
              <w:t>本次</w:t>
            </w:r>
            <w:r>
              <w:rPr>
                <w:rFonts w:hint="default"/>
                <w:color w:val="auto"/>
                <w:lang w:bidi="ar"/>
              </w:rPr>
              <w:t>扩建项目</w:t>
            </w:r>
            <w:r>
              <w:rPr>
                <w:rFonts w:hint="eastAsia"/>
                <w:color w:val="auto"/>
                <w:lang w:bidi="ar"/>
              </w:rPr>
              <w:t>不</w:t>
            </w:r>
            <w:r>
              <w:rPr>
                <w:rFonts w:hint="default"/>
                <w:color w:val="auto"/>
                <w:lang w:bidi="ar"/>
              </w:rPr>
              <w:t>新增废水，现有工程废水依托</w:t>
            </w:r>
            <w:r>
              <w:rPr>
                <w:rFonts w:hint="eastAsia"/>
                <w:color w:val="auto"/>
                <w:lang w:bidi="ar"/>
              </w:rPr>
              <w:t>广西石化分公司污水处理厂处理</w:t>
            </w:r>
            <w:r>
              <w:rPr>
                <w:rFonts w:hint="default"/>
                <w:color w:val="auto"/>
                <w:lang w:bidi="ar"/>
              </w:rPr>
              <w:t>，本项目不涉及。符合。</w:t>
            </w:r>
          </w:p>
        </w:tc>
      </w:tr>
      <w:tr w14:paraId="7130D1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7" w:hRule="atLeast"/>
        </w:trPr>
        <w:tc>
          <w:tcPr>
            <w:tcW w:w="6789" w:type="dxa"/>
            <w:tcMar>
              <w:left w:w="28" w:type="dxa"/>
              <w:right w:w="28" w:type="dxa"/>
            </w:tcMar>
            <w:vAlign w:val="center"/>
          </w:tcPr>
          <w:p w14:paraId="06D31938">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4.严格落实规划空间用地方案，优化空间开发格局，尽快完善园区搬迁规划及实施。石化园区规划新增鹿耳片区，规划范围涉及鸡墩头村、老鸦坑、大坡顶、铁藤山等居民点。部分规划项目装置在建设时必须与居民区之间留有足够的安全及环境防护距离，为保证园区产业的健康可持续发展，规划应合理制订搬迁计划，实施时序，并按时落实，消除这些环境敏感点的环境风险。</w:t>
            </w:r>
          </w:p>
        </w:tc>
        <w:tc>
          <w:tcPr>
            <w:tcW w:w="2250" w:type="dxa"/>
            <w:tcMar>
              <w:left w:w="28" w:type="dxa"/>
              <w:right w:w="28" w:type="dxa"/>
            </w:tcMar>
            <w:vAlign w:val="center"/>
          </w:tcPr>
          <w:p w14:paraId="6B7B386E">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本项目不涉及。符合。</w:t>
            </w:r>
          </w:p>
        </w:tc>
      </w:tr>
      <w:tr w14:paraId="13D814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89" w:type="dxa"/>
            <w:tcMar>
              <w:left w:w="28" w:type="dxa"/>
              <w:right w:w="28" w:type="dxa"/>
            </w:tcMar>
            <w:vAlign w:val="center"/>
          </w:tcPr>
          <w:p w14:paraId="78F1E4E2">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5.进一步优化《规划》布局、用地和产业发展规模、建设时序和产品方案等，严格控制近期发展的炼油以及石化下游产业规模。加强对石化产业园的环境风险管理，实行园区封闭式管理；完善区域应急方案，制定事故应急疏散点：建议石化区内主要产业区及相关风险源用地外扩1公里范围作为工业区环境风险防控区域。加强环境风险防范及环境风险应急体系建设。落实环境风险防范的主体责任，强化环境风险防范体系建设，形成与各规划区规划项目环境风险相匹配的应急能力，制定环境污染事故应急预案，应急预案应与当地政府和相关部门的应急预案相衔接，配备足够的应急处置设施和器材，加强区域应急物资调配，健全规划园区环境风险防范区域联动机制，有效应对突发环境事件。建立健全“装置－企业－园区”防控体系，在各企业设置环境风险事故应急池的基础上，分片区设置足够容积的园区级公共事故应急池，并形成互相联通系统；优化布局并保持与周边居住区、红树林保护区、滨海湿地等重要敏感目标合理距离，预防和减缓不利环境影响和风险。</w:t>
            </w:r>
          </w:p>
        </w:tc>
        <w:tc>
          <w:tcPr>
            <w:tcW w:w="2250" w:type="dxa"/>
            <w:tcMar>
              <w:left w:w="28" w:type="dxa"/>
              <w:right w:w="28" w:type="dxa"/>
            </w:tcMar>
            <w:vAlign w:val="center"/>
          </w:tcPr>
          <w:p w14:paraId="72E69B13">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项目运营后按要求开展风险评估，制定突发环境应急预案，健全企业应急制度管理，并明确需要与园区及钦州市应急预案衔接。符合。</w:t>
            </w:r>
          </w:p>
        </w:tc>
      </w:tr>
      <w:tr w14:paraId="04FC71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89" w:type="dxa"/>
            <w:tcMar>
              <w:left w:w="28" w:type="dxa"/>
              <w:right w:w="28" w:type="dxa"/>
            </w:tcMar>
            <w:vAlign w:val="center"/>
          </w:tcPr>
          <w:p w14:paraId="638AC7F4">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6.落实污染防治措施，针对规划项目废气、废（污）水、固体废物、危险化学品仓储及输运等，制定明确</w:t>
            </w:r>
            <w:r>
              <w:rPr>
                <w:rFonts w:hint="eastAsia"/>
                <w:color w:val="auto"/>
                <w:lang w:bidi="ar"/>
              </w:rPr>
              <w:t>、</w:t>
            </w:r>
            <w:r>
              <w:rPr>
                <w:rFonts w:hint="default"/>
                <w:color w:val="auto"/>
                <w:lang w:bidi="ar"/>
              </w:rPr>
              <w:t>有效的全过程监管方案。优先采用有利于生态环境保护的集疏运方式，强化扬尘、挥发性有机物等无组织排放污染控制和治理，严格各项污染防治措施，完善化学仓储、化学品输送管廊、危险废物（处置中心）规划，依法依规妥善处置固体废物。落实区域总量削减、环境质量改善方案，严格污染物总量控制要求和石化基地环境准入，引进项目的生产工艺、设备、污染治理技术，清洁生产水平等应达到同行业国际先进水平。严格控制石油类、氨氮、总磷等污染物排放浓度及排放量，采取有效措施减少挥发性有机化合物（VOCs）、氮氧化物（NOx）等污染物排放量。参照国际先进的VOCs排放控制体系，提升管理和控制水平。在生产、运输、储存各个环节，加强污染物排放控制和管理，全面提升环境保护管理水平。</w:t>
            </w:r>
          </w:p>
        </w:tc>
        <w:tc>
          <w:tcPr>
            <w:tcW w:w="2250" w:type="dxa"/>
            <w:tcMar>
              <w:left w:w="28" w:type="dxa"/>
              <w:right w:w="28" w:type="dxa"/>
            </w:tcMar>
            <w:vAlign w:val="center"/>
          </w:tcPr>
          <w:p w14:paraId="5E25D207">
            <w:pPr>
              <w:pStyle w:val="91"/>
              <w:keepNext w:val="0"/>
              <w:keepLines w:val="0"/>
              <w:suppressLineNumbers w:val="0"/>
              <w:spacing w:before="0" w:beforeAutospacing="0" w:after="0" w:afterAutospacing="0"/>
              <w:ind w:left="0" w:right="0"/>
              <w:rPr>
                <w:rFonts w:hint="default"/>
                <w:color w:val="auto"/>
                <w:lang w:bidi="ar"/>
              </w:rPr>
            </w:pPr>
            <w:r>
              <w:rPr>
                <w:rFonts w:hint="default"/>
                <w:color w:val="auto"/>
                <w:lang w:bidi="ar"/>
              </w:rPr>
              <w:t>项目</w:t>
            </w:r>
            <w:r>
              <w:rPr>
                <w:rFonts w:hint="eastAsia"/>
                <w:color w:val="auto"/>
                <w:lang w:bidi="ar"/>
              </w:rPr>
              <w:t>管道</w:t>
            </w:r>
            <w:r>
              <w:rPr>
                <w:rFonts w:hint="default"/>
                <w:color w:val="auto"/>
                <w:lang w:bidi="ar"/>
              </w:rPr>
              <w:t>及法兰等连接件</w:t>
            </w:r>
            <w:r>
              <w:rPr>
                <w:rFonts w:hint="eastAsia"/>
                <w:color w:val="auto"/>
                <w:lang w:bidi="ar"/>
              </w:rPr>
              <w:t>处均</w:t>
            </w:r>
            <w:r>
              <w:rPr>
                <w:rFonts w:hint="default"/>
                <w:color w:val="auto"/>
                <w:lang w:bidi="ar"/>
              </w:rPr>
              <w:t>为密封设置，</w:t>
            </w:r>
            <w:r>
              <w:rPr>
                <w:rFonts w:hint="eastAsia"/>
                <w:color w:val="auto"/>
                <w:lang w:bidi="ar"/>
              </w:rPr>
              <w:t>储罐</w:t>
            </w:r>
            <w:r>
              <w:rPr>
                <w:rFonts w:hint="default"/>
                <w:color w:val="auto"/>
                <w:lang w:bidi="ar"/>
              </w:rPr>
              <w:t>采用氮封等措施，确保废气</w:t>
            </w:r>
            <w:r>
              <w:rPr>
                <w:rFonts w:hint="eastAsia"/>
                <w:color w:val="auto"/>
                <w:lang w:bidi="ar"/>
              </w:rPr>
              <w:t>达标</w:t>
            </w:r>
            <w:r>
              <w:rPr>
                <w:rFonts w:hint="default"/>
                <w:color w:val="auto"/>
                <w:lang w:bidi="ar"/>
              </w:rPr>
              <w:t>排放。</w:t>
            </w:r>
          </w:p>
          <w:p w14:paraId="6BF73014">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项目设置一处危险废物暂存间，对项目产生的危险废物进行妥善贮存，定期由有资质单位清运处置。符合。</w:t>
            </w:r>
          </w:p>
        </w:tc>
      </w:tr>
      <w:tr w14:paraId="68E3B3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89" w:type="dxa"/>
            <w:tcMar>
              <w:left w:w="28" w:type="dxa"/>
              <w:right w:w="28" w:type="dxa"/>
            </w:tcMar>
            <w:vAlign w:val="center"/>
          </w:tcPr>
          <w:p w14:paraId="63A63C68">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7.建立涵盖水、生态、大气、湿地生态系统、珍稀保护物种、重要生境、渔业资源等环境敏感目标的常态化监测体系，对石化基地及周边主要环境要素中</w:t>
            </w:r>
            <w:r>
              <w:rPr>
                <w:rFonts w:hint="default" w:eastAsia="FZFSK--GBK1-0"/>
                <w:color w:val="auto"/>
                <w:lang w:bidi="ar"/>
              </w:rPr>
              <w:t>VOCs</w:t>
            </w:r>
            <w:r>
              <w:rPr>
                <w:rFonts w:hint="default"/>
                <w:color w:val="auto"/>
                <w:lang w:bidi="ar"/>
              </w:rPr>
              <w:t>、半挥发性有机物（</w:t>
            </w:r>
            <w:r>
              <w:rPr>
                <w:rFonts w:hint="default" w:eastAsia="FZFSK--GBK1-0"/>
                <w:color w:val="auto"/>
                <w:lang w:bidi="ar"/>
              </w:rPr>
              <w:t>SVOC</w:t>
            </w:r>
            <w:r>
              <w:rPr>
                <w:rFonts w:hint="default"/>
                <w:color w:val="auto"/>
                <w:lang w:bidi="ar"/>
              </w:rPr>
              <w:t>）等石化特征污染物，排污口附近海域的海水水质、沉积物、海洋生物、渔业资源和鱼类“三场”等进行定期监测和评估，并根据监测评估结果适时优化调整《规划》及生态环境保护措施和运营管理；明确投资、实施时限、责任主体等。</w:t>
            </w:r>
          </w:p>
        </w:tc>
        <w:tc>
          <w:tcPr>
            <w:tcW w:w="2250" w:type="dxa"/>
            <w:tcMar>
              <w:left w:w="28" w:type="dxa"/>
              <w:right w:w="28" w:type="dxa"/>
            </w:tcMar>
            <w:vAlign w:val="center"/>
          </w:tcPr>
          <w:p w14:paraId="7B683C71">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本项目不涉及。符合。</w:t>
            </w:r>
          </w:p>
        </w:tc>
      </w:tr>
      <w:tr w14:paraId="32F99F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89" w:type="dxa"/>
            <w:tcMar>
              <w:left w:w="28" w:type="dxa"/>
              <w:right w:w="28" w:type="dxa"/>
            </w:tcMar>
            <w:vAlign w:val="center"/>
          </w:tcPr>
          <w:p w14:paraId="02574C97">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8.应进一步延伸园区下游产业链，积极引入补链产业和静脉产业，拓展和优化石化园区行业内部以及行业间的产品代谢链和废物代谢链，严格控制不属于产业链项目（公用服务项目除外）的引入：应积极引进和扩大区内危险废物处理处置项目，优先引入单位产品能耗低、附加值较高的精细化工项目。建设钦州石化产业园区产品、副产品、固体废物等信息交流平台，整合钦州石化产业园区产业链上、中、下游资源需求，鼓励企业间加强各种代谢废物（如废气中二氧化硫、二氧化碳、污泥等）、蒸汽、中水、产品、副产品等的回收利用和梯级利用，充分发挥石化园区一体化优势，实现园区上游物料与园区下游需求充分对接，构建石化园区绿色循环经济产业链。优化园区环保基础设施建设。</w:t>
            </w:r>
          </w:p>
        </w:tc>
        <w:tc>
          <w:tcPr>
            <w:tcW w:w="2250" w:type="dxa"/>
            <w:tcMar>
              <w:left w:w="28" w:type="dxa"/>
              <w:right w:w="28" w:type="dxa"/>
            </w:tcMar>
            <w:vAlign w:val="center"/>
          </w:tcPr>
          <w:p w14:paraId="6A21EFCE">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项目为园区配套服务项目。符合。</w:t>
            </w:r>
          </w:p>
        </w:tc>
      </w:tr>
      <w:tr w14:paraId="2AE6CF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89" w:type="dxa"/>
            <w:tcMar>
              <w:left w:w="28" w:type="dxa"/>
              <w:right w:w="28" w:type="dxa"/>
            </w:tcMar>
            <w:vAlign w:val="center"/>
          </w:tcPr>
          <w:p w14:paraId="2D673262">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9.按照“以人为本”的原则，合理布局项目，对于防护带应做到用地性质不调整、不开发占用、不蚕食用地。建议钦州市及自贸区钦州港片区层面，进一步优化自贸区钦州港片区中心区、居住文教区的范围和规模，合理调整中心区的布局及未来人口居住区发展方向，限制常住人口规模。进一步优化园区产业布局和开发规模，规划新增的鹿耳片区与中港区居住生活区相连，应尽量避免鹿耳片区大气污染物高排放企业的进驻，并预留环境防护距离。</w:t>
            </w:r>
          </w:p>
        </w:tc>
        <w:tc>
          <w:tcPr>
            <w:tcW w:w="2250" w:type="dxa"/>
            <w:tcMar>
              <w:left w:w="28" w:type="dxa"/>
              <w:right w:w="28" w:type="dxa"/>
            </w:tcMar>
            <w:vAlign w:val="center"/>
          </w:tcPr>
          <w:p w14:paraId="6B049C23">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本项目周边规划为石化产业园用地，园区搬迁计划落实实施后，周边无居民区分布。符合。</w:t>
            </w:r>
          </w:p>
        </w:tc>
      </w:tr>
      <w:tr w14:paraId="02DE0B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89" w:type="dxa"/>
            <w:tcMar>
              <w:left w:w="28" w:type="dxa"/>
              <w:right w:w="28" w:type="dxa"/>
            </w:tcMar>
            <w:vAlign w:val="center"/>
          </w:tcPr>
          <w:p w14:paraId="73C439AC">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10.三墩片区规划填海范围较大，并拟布置大型炼化项目，其周边存在三娘湾旅游区、北部湾二长棘鯛长毛对虾国家级种质资源保护区、中华白海豚核心活动区等生态敏感目标。建议规划实施过程中，应按生态优先、集约用地的原则，着力于进行功能布局优化，在已完成围填海的基础上进行集约利用现有陆域和岸线。未来中、远期规模经跟踪评价进一步论证后实施，深挖现有可利用土地资源的潜力，落实《国务院关于加强滨海湿地保护严格管控围填海的通知》精神，严格控制填海造地规模，并在围填海工作开展之前需对围填海的必要性、围填海生态环境影响以及对中华白海豚生态影响等进行充分论证评估，围填海手续完备的前提下，方可开展填海建设。</w:t>
            </w:r>
          </w:p>
        </w:tc>
        <w:tc>
          <w:tcPr>
            <w:tcW w:w="2250" w:type="dxa"/>
            <w:tcMar>
              <w:left w:w="28" w:type="dxa"/>
              <w:right w:w="28" w:type="dxa"/>
            </w:tcMar>
            <w:vAlign w:val="center"/>
          </w:tcPr>
          <w:p w14:paraId="49E5759E">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本项目不涉及。符合。</w:t>
            </w:r>
          </w:p>
        </w:tc>
      </w:tr>
      <w:tr w14:paraId="0526AB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89" w:type="dxa"/>
            <w:tcMar>
              <w:left w:w="28" w:type="dxa"/>
              <w:right w:w="28" w:type="dxa"/>
            </w:tcMar>
            <w:vAlign w:val="center"/>
          </w:tcPr>
          <w:p w14:paraId="1B61D8A9">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11.应进一步加强环境监管能力建设，根据功能分区、产业布局、重点项目和装置分布、特征污染物排放情况、环境敏感目标分布等，建立和完善大气、海洋、土壤、地下水等环境要素的监控体系，进行定期监测和评估，根据监测和评估结果适时优化《规划》。在生产、运输、储存各个环节，加强污染物排放控制和管理，全面提升环境保护管理水平，加强NOx和VOCs等臭氧前体物协同监控，采用国际先进的VOCs排放控制体系，加强重点污染物VOCs监测监控，加强环境信息共享，不断提升管理和控制水平。</w:t>
            </w:r>
          </w:p>
        </w:tc>
        <w:tc>
          <w:tcPr>
            <w:tcW w:w="2250" w:type="dxa"/>
            <w:tcMar>
              <w:left w:w="28" w:type="dxa"/>
              <w:right w:w="28" w:type="dxa"/>
            </w:tcMar>
            <w:vAlign w:val="center"/>
          </w:tcPr>
          <w:p w14:paraId="13C19966">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园区统一考虑区域环境质量监测，本项目针对主要污染源，制定了环境监测计划。符合。</w:t>
            </w:r>
          </w:p>
        </w:tc>
      </w:tr>
      <w:tr w14:paraId="6DA69A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89" w:type="dxa"/>
            <w:tcMar>
              <w:left w:w="28" w:type="dxa"/>
              <w:right w:w="28" w:type="dxa"/>
            </w:tcMar>
            <w:vAlign w:val="center"/>
          </w:tcPr>
          <w:p w14:paraId="379DB28E">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12.在《规划》实施过程中产生重大不良环境影响的，规划编制机关应当及时提出改进措施，向规划审批机关报告，并通报环境保护等有关部门；规划正式实施每五年应依法开展环境影响跟踪评价，将评价结果报告规划审批机关，并通报环境保护等有关部门；在《规划》修编时应重新编制环境影响报告书。</w:t>
            </w:r>
          </w:p>
        </w:tc>
        <w:tc>
          <w:tcPr>
            <w:tcW w:w="2250" w:type="dxa"/>
            <w:tcMar>
              <w:left w:w="28" w:type="dxa"/>
              <w:right w:w="28" w:type="dxa"/>
            </w:tcMar>
            <w:vAlign w:val="center"/>
          </w:tcPr>
          <w:p w14:paraId="37D7D22B">
            <w:pPr>
              <w:pStyle w:val="91"/>
              <w:keepNext w:val="0"/>
              <w:keepLines w:val="0"/>
              <w:suppressLineNumbers w:val="0"/>
              <w:spacing w:before="0" w:beforeAutospacing="0" w:after="0" w:afterAutospacing="0"/>
              <w:ind w:left="0" w:right="0"/>
              <w:rPr>
                <w:rFonts w:hint="default"/>
                <w:color w:val="auto"/>
              </w:rPr>
            </w:pPr>
            <w:r>
              <w:rPr>
                <w:rFonts w:hint="default"/>
                <w:color w:val="auto"/>
                <w:lang w:bidi="ar"/>
              </w:rPr>
              <w:t>项目不涉及。符合。</w:t>
            </w:r>
          </w:p>
        </w:tc>
      </w:tr>
    </w:tbl>
    <w:p w14:paraId="2B86F89E">
      <w:pPr>
        <w:ind w:firstLine="480"/>
        <w:rPr>
          <w:color w:val="auto"/>
        </w:rPr>
      </w:pPr>
      <w:r>
        <w:rPr>
          <w:color w:val="auto"/>
          <w:lang w:bidi="ar"/>
        </w:rPr>
        <w:t>综上所述，本项目与</w:t>
      </w:r>
      <w:r>
        <w:rPr>
          <w:color w:val="auto"/>
        </w:rPr>
        <w:t>《广西钦州石化产业园总体发展规划》（2020-2035）是相符的。</w:t>
      </w:r>
    </w:p>
    <w:p w14:paraId="73FC8F0D">
      <w:pPr>
        <w:ind w:left="482" w:firstLine="0" w:firstLineChars="0"/>
        <w:outlineLvl w:val="1"/>
        <w:rPr>
          <w:b/>
          <w:color w:val="auto"/>
        </w:rPr>
      </w:pPr>
      <w:bookmarkStart w:id="102" w:name="_Toc223595748"/>
      <w:bookmarkStart w:id="103" w:name="_Toc223258443"/>
      <w:bookmarkStart w:id="104" w:name="_Toc66193970"/>
      <w:bookmarkStart w:id="105" w:name="_Toc66194169"/>
      <w:bookmarkStart w:id="106" w:name="_Toc223258185"/>
      <w:r>
        <w:rPr>
          <w:rFonts w:hint="eastAsia"/>
          <w:b/>
          <w:color w:val="auto"/>
        </w:rPr>
        <w:t>4、与</w:t>
      </w:r>
      <w:r>
        <w:rPr>
          <w:b/>
          <w:color w:val="auto"/>
        </w:rPr>
        <w:t>生态环境分区管控的符合性分析</w:t>
      </w:r>
      <w:bookmarkEnd w:id="102"/>
      <w:bookmarkEnd w:id="103"/>
      <w:bookmarkEnd w:id="104"/>
      <w:bookmarkEnd w:id="105"/>
      <w:bookmarkEnd w:id="106"/>
    </w:p>
    <w:p w14:paraId="3B08D4C4">
      <w:pPr>
        <w:ind w:firstLine="480"/>
        <w:rPr>
          <w:color w:val="auto"/>
        </w:rPr>
      </w:pPr>
      <w:r>
        <w:rPr>
          <w:rFonts w:hint="eastAsia"/>
          <w:color w:val="auto"/>
        </w:rPr>
        <w:t>根据《</w:t>
      </w:r>
      <w:r>
        <w:rPr>
          <w:rFonts w:hint="eastAsia"/>
          <w:color w:val="auto"/>
          <w:lang w:eastAsia="zh-CN"/>
        </w:rPr>
        <w:t>中共中央办公厅、国务院办公厅</w:t>
      </w:r>
      <w:r>
        <w:rPr>
          <w:rFonts w:hint="eastAsia"/>
          <w:color w:val="auto"/>
        </w:rPr>
        <w:t>关于加强生态环境分区管控的意见》（2024年3月6日）、《生态环境部关于印发＜生态环境分区管控管理暂行规定＞的通知》（环环评〔2024〕41号），深入实施主体功能区战略，全面落实《全国国土空间规划纲要（2021－2035年）》，制定以落实生态保护红线、环境质量底线、资源利用上线硬约束为重点，以生态环境管控单元为基础，以生态环境准入清单为手段，以信息平台为支撑的生态环境分区管控方案。</w:t>
      </w:r>
    </w:p>
    <w:p w14:paraId="5CD74489">
      <w:pPr>
        <w:ind w:firstLine="480"/>
        <w:rPr>
          <w:color w:val="auto"/>
        </w:rPr>
      </w:pPr>
      <w:r>
        <w:rPr>
          <w:rFonts w:hint="eastAsia"/>
          <w:color w:val="auto"/>
        </w:rPr>
        <w:t>根据《钦州市生态环境局关于印发钦州市生态环境分区管控动态更新成果（2023版）的通知》及本项目智能研判结果，本项目位于广西钦州市鹰岭作业区，选址涉及2个环境管控单元，均为重点管控类。交叠情况见表</w:t>
      </w:r>
      <w:r>
        <w:rPr>
          <w:color w:val="auto"/>
        </w:rPr>
        <w:t>3</w:t>
      </w:r>
      <w:r>
        <w:rPr>
          <w:rFonts w:hint="eastAsia"/>
          <w:color w:val="auto"/>
        </w:rPr>
        <w:t>，项目与各交叠环境管控单元的相符性分析见表</w:t>
      </w:r>
      <w:r>
        <w:rPr>
          <w:color w:val="auto"/>
        </w:rPr>
        <w:t>4</w:t>
      </w:r>
      <w:r>
        <w:rPr>
          <w:rFonts w:hint="eastAsia"/>
          <w:color w:val="auto"/>
        </w:rPr>
        <w:t>。</w:t>
      </w:r>
    </w:p>
    <w:p w14:paraId="496D13BC">
      <w:pPr>
        <w:pStyle w:val="14"/>
        <w:rPr>
          <w:color w:val="auto"/>
        </w:rPr>
      </w:pPr>
      <w:r>
        <w:rPr>
          <w:rFonts w:hint="eastAsia"/>
          <w:color w:val="auto"/>
        </w:rPr>
        <w:t>表3本项目“三线一单”交叠情况一览表</w:t>
      </w:r>
    </w:p>
    <w:tbl>
      <w:tblPr>
        <w:tblStyle w:val="44"/>
        <w:tblW w:w="93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62"/>
        <w:gridCol w:w="1659"/>
        <w:gridCol w:w="4116"/>
        <w:gridCol w:w="1659"/>
        <w:gridCol w:w="1317"/>
      </w:tblGrid>
      <w:tr w14:paraId="6C548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62" w:type="dxa"/>
          </w:tcPr>
          <w:p w14:paraId="789AF693">
            <w:pPr>
              <w:pStyle w:val="91"/>
              <w:keepNext w:val="0"/>
              <w:keepLines w:val="0"/>
              <w:suppressLineNumbers w:val="0"/>
              <w:spacing w:before="0" w:beforeAutospacing="0" w:after="0" w:afterAutospacing="0"/>
              <w:ind w:left="0" w:right="0"/>
              <w:rPr>
                <w:rFonts w:hint="default"/>
                <w:b/>
                <w:color w:val="auto"/>
              </w:rPr>
            </w:pPr>
            <w:r>
              <w:rPr>
                <w:rFonts w:hint="eastAsia"/>
                <w:b/>
                <w:color w:val="auto"/>
              </w:rPr>
              <w:t>序号</w:t>
            </w:r>
          </w:p>
        </w:tc>
        <w:tc>
          <w:tcPr>
            <w:tcW w:w="1659" w:type="dxa"/>
          </w:tcPr>
          <w:p w14:paraId="6BF25917">
            <w:pPr>
              <w:pStyle w:val="91"/>
              <w:keepNext w:val="0"/>
              <w:keepLines w:val="0"/>
              <w:suppressLineNumbers w:val="0"/>
              <w:spacing w:before="0" w:beforeAutospacing="0" w:after="0" w:afterAutospacing="0"/>
              <w:ind w:left="0" w:right="0"/>
              <w:rPr>
                <w:rFonts w:hint="default"/>
                <w:b/>
                <w:color w:val="auto"/>
              </w:rPr>
            </w:pPr>
            <w:r>
              <w:rPr>
                <w:rFonts w:hint="eastAsia"/>
                <w:b/>
                <w:color w:val="auto"/>
              </w:rPr>
              <w:t>管控单元编号</w:t>
            </w:r>
          </w:p>
        </w:tc>
        <w:tc>
          <w:tcPr>
            <w:tcW w:w="4116" w:type="dxa"/>
          </w:tcPr>
          <w:p w14:paraId="4B50B294">
            <w:pPr>
              <w:pStyle w:val="91"/>
              <w:keepNext w:val="0"/>
              <w:keepLines w:val="0"/>
              <w:suppressLineNumbers w:val="0"/>
              <w:spacing w:before="0" w:beforeAutospacing="0" w:after="0" w:afterAutospacing="0"/>
              <w:ind w:left="0" w:right="0"/>
              <w:rPr>
                <w:rFonts w:hint="default"/>
                <w:b/>
                <w:color w:val="auto"/>
              </w:rPr>
            </w:pPr>
            <w:r>
              <w:rPr>
                <w:rFonts w:hint="eastAsia"/>
                <w:b/>
                <w:color w:val="auto"/>
              </w:rPr>
              <w:t>管控单元名称</w:t>
            </w:r>
          </w:p>
        </w:tc>
        <w:tc>
          <w:tcPr>
            <w:tcW w:w="1659" w:type="dxa"/>
          </w:tcPr>
          <w:p w14:paraId="71DFAEE8">
            <w:pPr>
              <w:pStyle w:val="91"/>
              <w:keepNext w:val="0"/>
              <w:keepLines w:val="0"/>
              <w:suppressLineNumbers w:val="0"/>
              <w:spacing w:before="0" w:beforeAutospacing="0" w:after="0" w:afterAutospacing="0"/>
              <w:ind w:left="0" w:right="0"/>
              <w:rPr>
                <w:rFonts w:hint="default"/>
                <w:b/>
                <w:color w:val="auto"/>
              </w:rPr>
            </w:pPr>
            <w:r>
              <w:rPr>
                <w:rFonts w:hint="eastAsia"/>
                <w:b/>
                <w:color w:val="auto"/>
              </w:rPr>
              <w:t>管控单元分类</w:t>
            </w:r>
          </w:p>
        </w:tc>
        <w:tc>
          <w:tcPr>
            <w:tcW w:w="1317" w:type="dxa"/>
          </w:tcPr>
          <w:p w14:paraId="2D45DDA3">
            <w:pPr>
              <w:pStyle w:val="91"/>
              <w:keepNext w:val="0"/>
              <w:keepLines w:val="0"/>
              <w:suppressLineNumbers w:val="0"/>
              <w:spacing w:before="0" w:beforeAutospacing="0" w:after="0" w:afterAutospacing="0"/>
              <w:ind w:left="0" w:right="0"/>
              <w:rPr>
                <w:rFonts w:hint="default"/>
                <w:b/>
                <w:color w:val="auto"/>
              </w:rPr>
            </w:pPr>
            <w:r>
              <w:rPr>
                <w:rFonts w:hint="eastAsia"/>
                <w:b/>
                <w:color w:val="auto"/>
              </w:rPr>
              <w:t>国家标识码</w:t>
            </w:r>
          </w:p>
        </w:tc>
      </w:tr>
      <w:tr w14:paraId="033F4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62" w:type="dxa"/>
          </w:tcPr>
          <w:p w14:paraId="02584413">
            <w:pPr>
              <w:pStyle w:val="91"/>
              <w:keepNext w:val="0"/>
              <w:keepLines w:val="0"/>
              <w:suppressLineNumbers w:val="0"/>
              <w:spacing w:before="0" w:beforeAutospacing="0" w:after="0" w:afterAutospacing="0"/>
              <w:ind w:left="0" w:right="0"/>
              <w:rPr>
                <w:rFonts w:hint="default"/>
                <w:color w:val="auto"/>
              </w:rPr>
            </w:pPr>
            <w:r>
              <w:rPr>
                <w:rFonts w:hint="eastAsia"/>
                <w:color w:val="auto"/>
              </w:rPr>
              <w:t>1</w:t>
            </w:r>
          </w:p>
        </w:tc>
        <w:tc>
          <w:tcPr>
            <w:tcW w:w="1659" w:type="dxa"/>
          </w:tcPr>
          <w:p w14:paraId="0F3835E4">
            <w:pPr>
              <w:pStyle w:val="91"/>
              <w:keepNext w:val="0"/>
              <w:keepLines w:val="0"/>
              <w:suppressLineNumbers w:val="0"/>
              <w:spacing w:before="0" w:beforeAutospacing="0" w:after="0" w:afterAutospacing="0"/>
              <w:ind w:left="0" w:right="0"/>
              <w:rPr>
                <w:rFonts w:hint="default"/>
                <w:color w:val="auto"/>
              </w:rPr>
            </w:pPr>
            <w:r>
              <w:rPr>
                <w:rFonts w:hint="default"/>
                <w:color w:val="auto"/>
              </w:rPr>
              <w:t>ZH45070220003</w:t>
            </w:r>
          </w:p>
        </w:tc>
        <w:tc>
          <w:tcPr>
            <w:tcW w:w="4116" w:type="dxa"/>
          </w:tcPr>
          <w:p w14:paraId="6F63E457">
            <w:pPr>
              <w:pStyle w:val="91"/>
              <w:keepNext w:val="0"/>
              <w:keepLines w:val="0"/>
              <w:suppressLineNumbers w:val="0"/>
              <w:spacing w:before="0" w:beforeAutospacing="0" w:after="0" w:afterAutospacing="0"/>
              <w:ind w:left="0" w:right="0"/>
              <w:rPr>
                <w:rFonts w:hint="default"/>
                <w:color w:val="auto"/>
              </w:rPr>
            </w:pPr>
            <w:r>
              <w:rPr>
                <w:rFonts w:hint="eastAsia"/>
                <w:color w:val="auto"/>
              </w:rPr>
              <w:t>广西钦州石化产业园重点管控单元</w:t>
            </w:r>
          </w:p>
        </w:tc>
        <w:tc>
          <w:tcPr>
            <w:tcW w:w="1659" w:type="dxa"/>
          </w:tcPr>
          <w:p w14:paraId="663BE167">
            <w:pPr>
              <w:pStyle w:val="91"/>
              <w:keepNext w:val="0"/>
              <w:keepLines w:val="0"/>
              <w:suppressLineNumbers w:val="0"/>
              <w:spacing w:before="0" w:beforeAutospacing="0" w:after="0" w:afterAutospacing="0"/>
              <w:ind w:left="0" w:right="0"/>
              <w:rPr>
                <w:rFonts w:hint="default"/>
                <w:color w:val="auto"/>
              </w:rPr>
            </w:pPr>
            <w:r>
              <w:rPr>
                <w:rFonts w:hint="eastAsia"/>
                <w:color w:val="auto"/>
              </w:rPr>
              <w:t>重点管控单元</w:t>
            </w:r>
          </w:p>
        </w:tc>
        <w:tc>
          <w:tcPr>
            <w:tcW w:w="1317" w:type="dxa"/>
          </w:tcPr>
          <w:p w14:paraId="224319BE">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6A3FA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62" w:type="dxa"/>
          </w:tcPr>
          <w:p w14:paraId="2CD4BC45">
            <w:pPr>
              <w:pStyle w:val="91"/>
              <w:keepNext w:val="0"/>
              <w:keepLines w:val="0"/>
              <w:suppressLineNumbers w:val="0"/>
              <w:spacing w:before="0" w:beforeAutospacing="0" w:after="0" w:afterAutospacing="0"/>
              <w:ind w:left="0" w:right="0"/>
              <w:rPr>
                <w:rFonts w:hint="default"/>
                <w:color w:val="auto"/>
              </w:rPr>
            </w:pPr>
            <w:r>
              <w:rPr>
                <w:rFonts w:hint="eastAsia"/>
                <w:color w:val="auto"/>
              </w:rPr>
              <w:t>2</w:t>
            </w:r>
          </w:p>
        </w:tc>
        <w:tc>
          <w:tcPr>
            <w:tcW w:w="1659" w:type="dxa"/>
          </w:tcPr>
          <w:p w14:paraId="78475F9C">
            <w:pPr>
              <w:pStyle w:val="91"/>
              <w:keepNext w:val="0"/>
              <w:keepLines w:val="0"/>
              <w:suppressLineNumbers w:val="0"/>
              <w:spacing w:before="0" w:beforeAutospacing="0" w:after="0" w:afterAutospacing="0"/>
              <w:ind w:left="0" w:right="0"/>
              <w:rPr>
                <w:rFonts w:hint="default"/>
                <w:color w:val="auto"/>
              </w:rPr>
            </w:pPr>
            <w:r>
              <w:rPr>
                <w:rFonts w:hint="default"/>
                <w:color w:val="auto"/>
              </w:rPr>
              <w:t>HY45070020001</w:t>
            </w:r>
          </w:p>
        </w:tc>
        <w:tc>
          <w:tcPr>
            <w:tcW w:w="4116" w:type="dxa"/>
          </w:tcPr>
          <w:p w14:paraId="5C2BA43A">
            <w:pPr>
              <w:pStyle w:val="91"/>
              <w:keepNext w:val="0"/>
              <w:keepLines w:val="0"/>
              <w:suppressLineNumbers w:val="0"/>
              <w:spacing w:before="0" w:beforeAutospacing="0" w:after="0" w:afterAutospacing="0"/>
              <w:ind w:left="0" w:right="0"/>
              <w:rPr>
                <w:rFonts w:hint="default"/>
                <w:color w:val="auto"/>
              </w:rPr>
            </w:pPr>
            <w:r>
              <w:rPr>
                <w:rFonts w:hint="eastAsia"/>
                <w:color w:val="auto"/>
              </w:rPr>
              <w:t>金谷港区（金谷交通运输用海区）</w:t>
            </w:r>
          </w:p>
        </w:tc>
        <w:tc>
          <w:tcPr>
            <w:tcW w:w="1659" w:type="dxa"/>
          </w:tcPr>
          <w:p w14:paraId="11482907">
            <w:pPr>
              <w:pStyle w:val="91"/>
              <w:keepNext w:val="0"/>
              <w:keepLines w:val="0"/>
              <w:suppressLineNumbers w:val="0"/>
              <w:spacing w:before="0" w:beforeAutospacing="0" w:after="0" w:afterAutospacing="0"/>
              <w:ind w:left="0" w:right="0"/>
              <w:rPr>
                <w:rFonts w:hint="default"/>
                <w:color w:val="auto"/>
              </w:rPr>
            </w:pPr>
            <w:r>
              <w:rPr>
                <w:rFonts w:hint="eastAsia"/>
                <w:color w:val="auto"/>
              </w:rPr>
              <w:t>重点管控单元</w:t>
            </w:r>
          </w:p>
        </w:tc>
        <w:tc>
          <w:tcPr>
            <w:tcW w:w="1317" w:type="dxa"/>
          </w:tcPr>
          <w:p w14:paraId="185AB0DC">
            <w:pPr>
              <w:pStyle w:val="91"/>
              <w:keepNext w:val="0"/>
              <w:keepLines w:val="0"/>
              <w:suppressLineNumbers w:val="0"/>
              <w:spacing w:before="0" w:beforeAutospacing="0" w:after="0" w:afterAutospacing="0"/>
              <w:ind w:left="0" w:right="0"/>
              <w:rPr>
                <w:rFonts w:hint="default"/>
                <w:color w:val="auto"/>
              </w:rPr>
            </w:pPr>
            <w:r>
              <w:rPr>
                <w:rFonts w:hint="eastAsia"/>
                <w:color w:val="auto"/>
              </w:rPr>
              <w:t>107</w:t>
            </w:r>
          </w:p>
        </w:tc>
      </w:tr>
    </w:tbl>
    <w:p w14:paraId="28052987">
      <w:pPr>
        <w:pStyle w:val="201"/>
        <w:rPr>
          <w:color w:val="auto"/>
        </w:rPr>
      </w:pPr>
    </w:p>
    <w:p w14:paraId="6916DCBC">
      <w:pPr>
        <w:pStyle w:val="14"/>
        <w:rPr>
          <w:color w:val="auto"/>
        </w:rPr>
      </w:pPr>
      <w:r>
        <w:rPr>
          <w:rFonts w:hint="eastAsia"/>
          <w:color w:val="auto"/>
        </w:rPr>
        <w:t>表</w:t>
      </w:r>
      <w:r>
        <w:rPr>
          <w:color w:val="auto"/>
        </w:rPr>
        <w:t>4项目与</w:t>
      </w:r>
      <w:r>
        <w:rPr>
          <w:rFonts w:hint="eastAsia"/>
          <w:color w:val="auto"/>
        </w:rPr>
        <w:t>管控单元</w:t>
      </w:r>
      <w:r>
        <w:rPr>
          <w:color w:val="auto"/>
        </w:rPr>
        <w:t>相符性分析</w:t>
      </w:r>
    </w:p>
    <w:tbl>
      <w:tblPr>
        <w:tblStyle w:val="43"/>
        <w:tblW w:w="905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77"/>
        <w:gridCol w:w="534"/>
        <w:gridCol w:w="5400"/>
        <w:gridCol w:w="2342"/>
      </w:tblGrid>
      <w:tr w14:paraId="3D5B98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777" w:type="dxa"/>
            <w:tcMar>
              <w:left w:w="28" w:type="dxa"/>
              <w:right w:w="28" w:type="dxa"/>
            </w:tcMar>
            <w:vAlign w:val="center"/>
          </w:tcPr>
          <w:p w14:paraId="2D1EF715">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管控</w:t>
            </w:r>
            <w:r>
              <w:rPr>
                <w:rFonts w:hint="default"/>
                <w:b/>
                <w:color w:val="auto"/>
              </w:rPr>
              <w:t>单元名称</w:t>
            </w:r>
          </w:p>
        </w:tc>
        <w:tc>
          <w:tcPr>
            <w:tcW w:w="534" w:type="dxa"/>
            <w:tcMar>
              <w:left w:w="28" w:type="dxa"/>
              <w:right w:w="28" w:type="dxa"/>
            </w:tcMar>
            <w:vAlign w:val="center"/>
          </w:tcPr>
          <w:p w14:paraId="17F9B1DB">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管控类别</w:t>
            </w:r>
          </w:p>
        </w:tc>
        <w:tc>
          <w:tcPr>
            <w:tcW w:w="5400" w:type="dxa"/>
            <w:tcMar>
              <w:left w:w="28" w:type="dxa"/>
              <w:right w:w="28" w:type="dxa"/>
            </w:tcMar>
            <w:vAlign w:val="center"/>
          </w:tcPr>
          <w:p w14:paraId="6128CE23">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生态环境准入及管控要求</w:t>
            </w:r>
          </w:p>
        </w:tc>
        <w:tc>
          <w:tcPr>
            <w:tcW w:w="2342" w:type="dxa"/>
            <w:tcMar>
              <w:left w:w="28" w:type="dxa"/>
              <w:right w:w="28" w:type="dxa"/>
            </w:tcMar>
            <w:vAlign w:val="center"/>
          </w:tcPr>
          <w:p w14:paraId="7578FBAA">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相符性分析</w:t>
            </w:r>
          </w:p>
        </w:tc>
      </w:tr>
      <w:tr w14:paraId="280BE6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restart"/>
            <w:tcMar>
              <w:left w:w="28" w:type="dxa"/>
              <w:right w:w="28" w:type="dxa"/>
            </w:tcMar>
            <w:vAlign w:val="center"/>
          </w:tcPr>
          <w:p w14:paraId="7DFB134E">
            <w:pPr>
              <w:pStyle w:val="91"/>
              <w:keepNext w:val="0"/>
              <w:keepLines w:val="0"/>
              <w:suppressLineNumbers w:val="0"/>
              <w:spacing w:before="0" w:beforeAutospacing="0" w:after="0" w:afterAutospacing="0"/>
              <w:ind w:left="0" w:right="0"/>
              <w:rPr>
                <w:rFonts w:hint="default"/>
                <w:color w:val="auto"/>
              </w:rPr>
            </w:pPr>
            <w:r>
              <w:rPr>
                <w:rFonts w:hint="eastAsia"/>
                <w:color w:val="auto"/>
              </w:rPr>
              <w:t>广西钦州石化产业园重点管控单元</w:t>
            </w:r>
          </w:p>
        </w:tc>
        <w:tc>
          <w:tcPr>
            <w:tcW w:w="534" w:type="dxa"/>
            <w:vMerge w:val="restart"/>
            <w:tcMar>
              <w:left w:w="28" w:type="dxa"/>
              <w:right w:w="28" w:type="dxa"/>
            </w:tcMar>
            <w:vAlign w:val="center"/>
          </w:tcPr>
          <w:p w14:paraId="242087BB">
            <w:pPr>
              <w:pStyle w:val="91"/>
              <w:keepNext w:val="0"/>
              <w:keepLines w:val="0"/>
              <w:suppressLineNumbers w:val="0"/>
              <w:spacing w:before="0" w:beforeAutospacing="0" w:after="0" w:afterAutospacing="0"/>
              <w:ind w:left="0" w:right="0"/>
              <w:rPr>
                <w:rFonts w:hint="default"/>
                <w:color w:val="auto"/>
              </w:rPr>
            </w:pPr>
            <w:r>
              <w:rPr>
                <w:rFonts w:hint="default"/>
                <w:color w:val="auto"/>
              </w:rPr>
              <w:t>空间布局约束</w:t>
            </w:r>
          </w:p>
        </w:tc>
        <w:tc>
          <w:tcPr>
            <w:tcW w:w="5400" w:type="dxa"/>
            <w:tcMar>
              <w:left w:w="28" w:type="dxa"/>
              <w:right w:w="28" w:type="dxa"/>
            </w:tcMar>
            <w:vAlign w:val="center"/>
          </w:tcPr>
          <w:p w14:paraId="0F03D619">
            <w:pPr>
              <w:pStyle w:val="91"/>
              <w:keepNext w:val="0"/>
              <w:keepLines w:val="0"/>
              <w:suppressLineNumbers w:val="0"/>
              <w:spacing w:before="0" w:beforeAutospacing="0" w:after="0" w:afterAutospacing="0"/>
              <w:ind w:left="0" w:right="0"/>
              <w:rPr>
                <w:rFonts w:hint="default"/>
                <w:color w:val="auto"/>
              </w:rPr>
            </w:pPr>
            <w:r>
              <w:rPr>
                <w:rFonts w:hint="default"/>
                <w:color w:val="auto"/>
              </w:rPr>
              <w:t>1依据《国务院关于加强滨海湿地保护严格管控围填海的通知》，除国家重大战略项目外，原则上禁止新增围填海项目。三墩片区布局国家重大项目确需新增围填海的，须严格论证对中华白海豚等重点保护动物及其生境的影响，审慎决策，最大限度减轻不良环境影响。</w:t>
            </w:r>
          </w:p>
        </w:tc>
        <w:tc>
          <w:tcPr>
            <w:tcW w:w="2342" w:type="dxa"/>
            <w:tcMar>
              <w:left w:w="28" w:type="dxa"/>
              <w:right w:w="28" w:type="dxa"/>
            </w:tcMar>
            <w:vAlign w:val="center"/>
          </w:tcPr>
          <w:p w14:paraId="2139234C">
            <w:pPr>
              <w:pStyle w:val="91"/>
              <w:keepNext w:val="0"/>
              <w:keepLines w:val="0"/>
              <w:suppressLineNumbers w:val="0"/>
              <w:spacing w:before="0" w:beforeAutospacing="0" w:after="0" w:afterAutospacing="0"/>
              <w:ind w:left="0" w:right="0"/>
              <w:rPr>
                <w:rFonts w:hint="default"/>
                <w:color w:val="auto"/>
              </w:rPr>
            </w:pPr>
            <w:r>
              <w:rPr>
                <w:rFonts w:hint="default"/>
                <w:color w:val="auto"/>
              </w:rPr>
              <w:t>项目</w:t>
            </w:r>
            <w:r>
              <w:rPr>
                <w:rFonts w:hint="eastAsia"/>
                <w:color w:val="auto"/>
              </w:rPr>
              <w:t>依托现有码头</w:t>
            </w:r>
            <w:r>
              <w:rPr>
                <w:rFonts w:hint="default"/>
                <w:color w:val="auto"/>
              </w:rPr>
              <w:t>不涉及</w:t>
            </w:r>
            <w:r>
              <w:rPr>
                <w:rFonts w:hint="eastAsia"/>
                <w:color w:val="auto"/>
              </w:rPr>
              <w:t>围填海</w:t>
            </w:r>
            <w:r>
              <w:rPr>
                <w:rFonts w:hint="default"/>
                <w:color w:val="auto"/>
              </w:rPr>
              <w:t>。符合。</w:t>
            </w:r>
          </w:p>
        </w:tc>
      </w:tr>
      <w:tr w14:paraId="651584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6B970980">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1C547282">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6EB99434">
            <w:pPr>
              <w:pStyle w:val="91"/>
              <w:keepNext w:val="0"/>
              <w:keepLines w:val="0"/>
              <w:suppressLineNumbers w:val="0"/>
              <w:spacing w:before="0" w:beforeAutospacing="0" w:after="0" w:afterAutospacing="0"/>
              <w:ind w:left="0" w:right="0"/>
              <w:rPr>
                <w:rFonts w:hint="default"/>
                <w:color w:val="auto"/>
              </w:rPr>
            </w:pPr>
            <w:r>
              <w:rPr>
                <w:rFonts w:hint="default"/>
                <w:color w:val="auto"/>
              </w:rPr>
              <w:t>2.加强行业源头管控，严格执行《广西工业产业结构调整指导目录（2021年本）》，入园项目需符合国家产业政策、行业规范、地方发展规划和绿色发展等要求；建设项目应为石化产业园区产业链范围内的项目，选址应符合石化产业园区规划的功能分区。禁止引进不符合国家产业政策和相关行业准入条件，清洁生产水平不达标、装置单位产品能源消耗限额不达标、污染物排放不达标的项目。</w:t>
            </w:r>
          </w:p>
        </w:tc>
        <w:tc>
          <w:tcPr>
            <w:tcW w:w="2342" w:type="dxa"/>
            <w:tcMar>
              <w:left w:w="28" w:type="dxa"/>
              <w:right w:w="28" w:type="dxa"/>
            </w:tcMar>
            <w:vAlign w:val="center"/>
          </w:tcPr>
          <w:p w14:paraId="60778AD2">
            <w:pPr>
              <w:pStyle w:val="91"/>
              <w:keepNext w:val="0"/>
              <w:keepLines w:val="0"/>
              <w:suppressLineNumbers w:val="0"/>
              <w:spacing w:before="0" w:beforeAutospacing="0" w:after="0" w:afterAutospacing="0"/>
              <w:ind w:left="0" w:right="0"/>
              <w:rPr>
                <w:rFonts w:hint="default"/>
                <w:color w:val="auto"/>
              </w:rPr>
            </w:pPr>
            <w:r>
              <w:rPr>
                <w:rFonts w:hint="default"/>
                <w:color w:val="auto"/>
              </w:rPr>
              <w:t>项目</w:t>
            </w:r>
            <w:r>
              <w:rPr>
                <w:rFonts w:hint="eastAsia"/>
                <w:color w:val="auto"/>
              </w:rPr>
              <w:t>属于</w:t>
            </w:r>
            <w:r>
              <w:rPr>
                <w:rFonts w:hint="default"/>
                <w:color w:val="auto"/>
              </w:rPr>
              <w:t>《产业结构调整指导目录（20</w:t>
            </w:r>
            <w:r>
              <w:rPr>
                <w:rFonts w:hint="eastAsia"/>
                <w:color w:val="auto"/>
              </w:rPr>
              <w:t>24</w:t>
            </w:r>
            <w:r>
              <w:rPr>
                <w:rFonts w:hint="default"/>
                <w:color w:val="auto"/>
              </w:rPr>
              <w:t>年本）》</w:t>
            </w:r>
            <w:r>
              <w:rPr>
                <w:rFonts w:hint="eastAsia"/>
                <w:color w:val="auto"/>
              </w:rPr>
              <w:t>鼓励类项目</w:t>
            </w:r>
            <w:r>
              <w:rPr>
                <w:rFonts w:hint="default"/>
                <w:color w:val="auto"/>
              </w:rPr>
              <w:t>。符合。</w:t>
            </w:r>
          </w:p>
        </w:tc>
      </w:tr>
      <w:tr w14:paraId="5C693E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0598CAB2">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51A4BF4B">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384B75AA">
            <w:pPr>
              <w:pStyle w:val="91"/>
              <w:keepNext w:val="0"/>
              <w:keepLines w:val="0"/>
              <w:suppressLineNumbers w:val="0"/>
              <w:spacing w:before="0" w:beforeAutospacing="0" w:after="0" w:afterAutospacing="0"/>
              <w:ind w:left="0" w:right="0"/>
              <w:rPr>
                <w:rFonts w:hint="default"/>
                <w:color w:val="auto"/>
              </w:rPr>
            </w:pPr>
            <w:r>
              <w:rPr>
                <w:rFonts w:hint="eastAsia"/>
                <w:color w:val="auto"/>
              </w:rPr>
              <w:t>3</w:t>
            </w:r>
            <w:r>
              <w:rPr>
                <w:rFonts w:hint="default"/>
                <w:color w:val="auto"/>
              </w:rPr>
              <w:t>.优化园区规划空间布局，对丙烯腈、苯乙烯、环氧丙烷等新引进项目加强源头风险管控；丙烯腈装置原则上应配套MMA装置同步建设，及时消耗丙烯腈装置产生的氢氰酸和废酸，降低环境风险。</w:t>
            </w:r>
          </w:p>
        </w:tc>
        <w:tc>
          <w:tcPr>
            <w:tcW w:w="2342" w:type="dxa"/>
            <w:tcMar>
              <w:left w:w="28" w:type="dxa"/>
              <w:right w:w="28" w:type="dxa"/>
            </w:tcMar>
            <w:vAlign w:val="center"/>
          </w:tcPr>
          <w:p w14:paraId="41EDD74B">
            <w:pPr>
              <w:pStyle w:val="91"/>
              <w:keepNext w:val="0"/>
              <w:keepLines w:val="0"/>
              <w:suppressLineNumbers w:val="0"/>
              <w:spacing w:before="0" w:beforeAutospacing="0" w:after="0" w:afterAutospacing="0"/>
              <w:ind w:left="0" w:right="0"/>
              <w:rPr>
                <w:rFonts w:hint="default"/>
                <w:color w:val="auto"/>
              </w:rPr>
            </w:pPr>
            <w:r>
              <w:rPr>
                <w:rFonts w:hint="default"/>
                <w:color w:val="auto"/>
              </w:rPr>
              <w:t>本项目</w:t>
            </w:r>
            <w:r>
              <w:rPr>
                <w:rFonts w:hint="eastAsia"/>
                <w:color w:val="auto"/>
              </w:rPr>
              <w:t>不涉及</w:t>
            </w:r>
            <w:r>
              <w:rPr>
                <w:rFonts w:hint="default"/>
                <w:color w:val="auto"/>
              </w:rPr>
              <w:t>苯乙烯</w:t>
            </w:r>
            <w:r>
              <w:rPr>
                <w:rFonts w:hint="eastAsia"/>
                <w:color w:val="auto"/>
              </w:rPr>
              <w:t>、</w:t>
            </w:r>
            <w:r>
              <w:rPr>
                <w:rFonts w:hint="default"/>
                <w:color w:val="auto"/>
              </w:rPr>
              <w:t>环氧丙烷，货种卸船</w:t>
            </w:r>
            <w:r>
              <w:rPr>
                <w:rFonts w:hint="eastAsia"/>
                <w:color w:val="auto"/>
              </w:rPr>
              <w:t>设有紧急切断阀</w:t>
            </w:r>
            <w:r>
              <w:rPr>
                <w:rFonts w:hint="default"/>
                <w:color w:val="auto"/>
              </w:rPr>
              <w:t>。符合。</w:t>
            </w:r>
          </w:p>
        </w:tc>
      </w:tr>
      <w:tr w14:paraId="073120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4C935211">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4AC031E3">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4A46B7E4">
            <w:pPr>
              <w:pStyle w:val="91"/>
              <w:keepNext w:val="0"/>
              <w:keepLines w:val="0"/>
              <w:suppressLineNumbers w:val="0"/>
              <w:spacing w:before="0" w:beforeAutospacing="0" w:after="0" w:afterAutospacing="0"/>
              <w:ind w:left="0" w:right="0"/>
              <w:rPr>
                <w:rFonts w:hint="default"/>
                <w:color w:val="auto"/>
              </w:rPr>
            </w:pPr>
            <w:r>
              <w:rPr>
                <w:rFonts w:hint="eastAsia"/>
                <w:color w:val="auto"/>
              </w:rPr>
              <w:t>4.</w:t>
            </w:r>
            <w:r>
              <w:rPr>
                <w:rFonts w:hint="default"/>
                <w:color w:val="auto"/>
              </w:rPr>
              <w:t>严格控制炼油规模，禁止建设未列入国家批准的相关规划的新建炼油及扩建一次炼油项目；新建石化和化工生产项目应符合《广西新建石化和化工生产项目准入管理办法（试行）》《化工园区开发建设导则》（GB/T42078-2022）相关要求。严格“两高”建设项目环境准入，新建、改建、扩建“两高”项目须符合生态环境保护法律法规和相关法定规划，满足重点污染物总量控制、相关规划环评和相应行业建设项目环境准入条件等要求。</w:t>
            </w:r>
          </w:p>
        </w:tc>
        <w:tc>
          <w:tcPr>
            <w:tcW w:w="2342" w:type="dxa"/>
            <w:tcMar>
              <w:left w:w="28" w:type="dxa"/>
              <w:right w:w="28" w:type="dxa"/>
            </w:tcMar>
            <w:vAlign w:val="center"/>
          </w:tcPr>
          <w:p w14:paraId="16098B49">
            <w:pPr>
              <w:pStyle w:val="91"/>
              <w:keepNext w:val="0"/>
              <w:keepLines w:val="0"/>
              <w:suppressLineNumbers w:val="0"/>
              <w:spacing w:before="0" w:beforeAutospacing="0" w:after="0" w:afterAutospacing="0"/>
              <w:ind w:left="0" w:right="0"/>
              <w:rPr>
                <w:rFonts w:hint="default"/>
                <w:color w:val="auto"/>
              </w:rPr>
            </w:pPr>
            <w:r>
              <w:rPr>
                <w:rFonts w:hint="eastAsia"/>
                <w:color w:val="auto"/>
              </w:rPr>
              <w:t>项目符合《广西钦州石化产业园总体发展规划》（2020-2035）</w:t>
            </w:r>
            <w:r>
              <w:rPr>
                <w:rFonts w:hint="default"/>
                <w:color w:val="auto"/>
              </w:rPr>
              <w:t>。符合。</w:t>
            </w:r>
          </w:p>
        </w:tc>
      </w:tr>
      <w:tr w14:paraId="2B5820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02C22631">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6D3FE15E">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46B5BC80">
            <w:pPr>
              <w:pStyle w:val="91"/>
              <w:keepNext w:val="0"/>
              <w:keepLines w:val="0"/>
              <w:suppressLineNumbers w:val="0"/>
              <w:spacing w:before="0" w:beforeAutospacing="0" w:after="0" w:afterAutospacing="0"/>
              <w:ind w:left="0" w:right="0"/>
              <w:rPr>
                <w:rFonts w:hint="default"/>
                <w:color w:val="auto"/>
              </w:rPr>
            </w:pPr>
            <w:r>
              <w:rPr>
                <w:rFonts w:hint="eastAsia"/>
                <w:color w:val="auto"/>
              </w:rPr>
              <w:t>5.</w:t>
            </w:r>
            <w:r>
              <w:rPr>
                <w:rFonts w:hint="default"/>
                <w:color w:val="auto"/>
              </w:rPr>
              <w:t>园区周边1公里范围内临近生态保护红线（广西茅尾海红树林自治区级自然保护区）生态环境敏感区域，应优化产业布局，控制开发强度，新建、改建、扩建项目要采取切实可行的环保措施，降低对周边生态环境敏感区域的影响。</w:t>
            </w:r>
          </w:p>
        </w:tc>
        <w:tc>
          <w:tcPr>
            <w:tcW w:w="2342" w:type="dxa"/>
            <w:tcMar>
              <w:left w:w="28" w:type="dxa"/>
              <w:right w:w="28" w:type="dxa"/>
            </w:tcMar>
            <w:vAlign w:val="center"/>
          </w:tcPr>
          <w:p w14:paraId="450D53E4">
            <w:pPr>
              <w:pStyle w:val="91"/>
              <w:keepNext w:val="0"/>
              <w:keepLines w:val="0"/>
              <w:suppressLineNumbers w:val="0"/>
              <w:spacing w:before="0" w:beforeAutospacing="0" w:after="0" w:afterAutospacing="0"/>
              <w:ind w:left="0" w:right="0"/>
              <w:rPr>
                <w:rFonts w:hint="default"/>
                <w:color w:val="auto"/>
              </w:rPr>
            </w:pPr>
            <w:r>
              <w:rPr>
                <w:rFonts w:hint="default"/>
                <w:color w:val="auto"/>
              </w:rPr>
              <w:t>项目</w:t>
            </w:r>
            <w:r>
              <w:rPr>
                <w:rFonts w:hint="eastAsia"/>
                <w:color w:val="auto"/>
              </w:rPr>
              <w:t>周边1公里内无生态保护红线生态环境敏感区域，本项目已采取相应环保措施减小对环境的影响</w:t>
            </w:r>
            <w:r>
              <w:rPr>
                <w:rFonts w:hint="default"/>
                <w:color w:val="auto"/>
              </w:rPr>
              <w:t>。符合。</w:t>
            </w:r>
          </w:p>
        </w:tc>
      </w:tr>
      <w:tr w14:paraId="5DEA47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5" w:hRule="atLeast"/>
          <w:jc w:val="center"/>
        </w:trPr>
        <w:tc>
          <w:tcPr>
            <w:tcW w:w="777" w:type="dxa"/>
            <w:vMerge w:val="continue"/>
            <w:tcMar>
              <w:left w:w="28" w:type="dxa"/>
              <w:right w:w="28" w:type="dxa"/>
            </w:tcMar>
            <w:vAlign w:val="center"/>
          </w:tcPr>
          <w:p w14:paraId="6ED284D6">
            <w:pPr>
              <w:pStyle w:val="91"/>
              <w:keepNext w:val="0"/>
              <w:keepLines w:val="0"/>
              <w:suppressLineNumbers w:val="0"/>
              <w:spacing w:before="0" w:beforeAutospacing="0" w:after="0" w:afterAutospacing="0"/>
              <w:ind w:left="0" w:right="0"/>
              <w:rPr>
                <w:rFonts w:hint="default"/>
                <w:color w:val="auto"/>
              </w:rPr>
            </w:pPr>
          </w:p>
        </w:tc>
        <w:tc>
          <w:tcPr>
            <w:tcW w:w="534" w:type="dxa"/>
            <w:vMerge w:val="restart"/>
            <w:tcMar>
              <w:left w:w="28" w:type="dxa"/>
              <w:right w:w="28" w:type="dxa"/>
            </w:tcMar>
            <w:vAlign w:val="center"/>
          </w:tcPr>
          <w:p w14:paraId="1D3EF816">
            <w:pPr>
              <w:pStyle w:val="91"/>
              <w:keepNext w:val="0"/>
              <w:keepLines w:val="0"/>
              <w:suppressLineNumbers w:val="0"/>
              <w:spacing w:before="0" w:beforeAutospacing="0" w:after="0" w:afterAutospacing="0"/>
              <w:ind w:left="0" w:right="0"/>
              <w:rPr>
                <w:rFonts w:hint="default"/>
                <w:color w:val="auto"/>
              </w:rPr>
            </w:pPr>
            <w:r>
              <w:rPr>
                <w:rFonts w:hint="default"/>
                <w:color w:val="auto"/>
              </w:rPr>
              <w:t>污染物排放管控</w:t>
            </w:r>
          </w:p>
        </w:tc>
        <w:tc>
          <w:tcPr>
            <w:tcW w:w="5400" w:type="dxa"/>
            <w:tcMar>
              <w:left w:w="28" w:type="dxa"/>
              <w:right w:w="28" w:type="dxa"/>
            </w:tcMar>
            <w:vAlign w:val="center"/>
          </w:tcPr>
          <w:p w14:paraId="13C01EAA">
            <w:pPr>
              <w:pStyle w:val="91"/>
              <w:keepNext w:val="0"/>
              <w:keepLines w:val="0"/>
              <w:suppressLineNumbers w:val="0"/>
              <w:spacing w:before="0" w:beforeAutospacing="0" w:after="0" w:afterAutospacing="0"/>
              <w:ind w:left="0" w:right="0"/>
              <w:rPr>
                <w:rFonts w:hint="default"/>
                <w:color w:val="auto"/>
              </w:rPr>
            </w:pPr>
            <w:r>
              <w:rPr>
                <w:rFonts w:hint="eastAsia"/>
                <w:color w:val="auto"/>
              </w:rPr>
              <w:t>1</w:t>
            </w:r>
            <w:r>
              <w:rPr>
                <w:rFonts w:hint="default"/>
                <w:color w:val="auto"/>
              </w:rPr>
              <w:t>.大力推进低氮燃烧和烟气脱硝，有序推进园区集中供热。</w:t>
            </w:r>
          </w:p>
        </w:tc>
        <w:tc>
          <w:tcPr>
            <w:tcW w:w="2342" w:type="dxa"/>
            <w:tcMar>
              <w:left w:w="28" w:type="dxa"/>
              <w:right w:w="28" w:type="dxa"/>
            </w:tcMar>
            <w:vAlign w:val="center"/>
          </w:tcPr>
          <w:p w14:paraId="4C651BDA">
            <w:pPr>
              <w:pStyle w:val="91"/>
              <w:keepNext w:val="0"/>
              <w:keepLines w:val="0"/>
              <w:suppressLineNumbers w:val="0"/>
              <w:spacing w:before="0" w:beforeAutospacing="0" w:after="0" w:afterAutospacing="0"/>
              <w:ind w:left="0" w:right="0"/>
              <w:rPr>
                <w:rFonts w:hint="default"/>
                <w:color w:val="auto"/>
              </w:rPr>
            </w:pPr>
            <w:r>
              <w:rPr>
                <w:rFonts w:hint="eastAsia"/>
                <w:color w:val="auto"/>
              </w:rPr>
              <w:t>本次</w:t>
            </w:r>
            <w:r>
              <w:rPr>
                <w:rFonts w:hint="default"/>
                <w:color w:val="auto"/>
              </w:rPr>
              <w:t>扩建项目不涉及供热。符合</w:t>
            </w:r>
          </w:p>
        </w:tc>
      </w:tr>
      <w:tr w14:paraId="481A44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66" w:hRule="atLeast"/>
          <w:jc w:val="center"/>
        </w:trPr>
        <w:tc>
          <w:tcPr>
            <w:tcW w:w="777" w:type="dxa"/>
            <w:vMerge w:val="continue"/>
            <w:tcMar>
              <w:left w:w="28" w:type="dxa"/>
              <w:right w:w="28" w:type="dxa"/>
            </w:tcMar>
            <w:vAlign w:val="center"/>
          </w:tcPr>
          <w:p w14:paraId="7FC98468">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70E98316">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4956E631">
            <w:pPr>
              <w:pStyle w:val="91"/>
              <w:keepNext w:val="0"/>
              <w:keepLines w:val="0"/>
              <w:suppressLineNumbers w:val="0"/>
              <w:spacing w:before="0" w:beforeAutospacing="0" w:after="0" w:afterAutospacing="0"/>
              <w:ind w:left="0" w:right="0"/>
              <w:rPr>
                <w:rFonts w:hint="default"/>
                <w:color w:val="auto"/>
              </w:rPr>
            </w:pPr>
            <w:r>
              <w:rPr>
                <w:rFonts w:hint="eastAsia"/>
                <w:color w:val="auto"/>
              </w:rPr>
              <w:t>2</w:t>
            </w:r>
            <w:r>
              <w:rPr>
                <w:rFonts w:hint="default"/>
                <w:color w:val="auto"/>
              </w:rPr>
              <w:t>.．持续推进石化、化工等行业节能降碳改造；推动石化、化工等重点行业挥发性有机物（VOCs）污染防治。推动石化行业VOCs泄漏检测与修复行动、VOCs削减和有毒有害原料替代。</w:t>
            </w:r>
          </w:p>
        </w:tc>
        <w:tc>
          <w:tcPr>
            <w:tcW w:w="2342" w:type="dxa"/>
            <w:tcMar>
              <w:left w:w="28" w:type="dxa"/>
              <w:right w:w="28" w:type="dxa"/>
            </w:tcMar>
            <w:vAlign w:val="center"/>
          </w:tcPr>
          <w:p w14:paraId="25C9C1BD">
            <w:pPr>
              <w:pStyle w:val="91"/>
              <w:keepNext w:val="0"/>
              <w:keepLines w:val="0"/>
              <w:suppressLineNumbers w:val="0"/>
              <w:spacing w:before="0" w:beforeAutospacing="0" w:after="0" w:afterAutospacing="0"/>
              <w:ind w:left="0" w:right="0"/>
              <w:rPr>
                <w:rFonts w:hint="default"/>
                <w:color w:val="auto"/>
              </w:rPr>
            </w:pPr>
            <w:r>
              <w:rPr>
                <w:rFonts w:hint="default"/>
                <w:color w:val="auto"/>
              </w:rPr>
              <w:t>项目</w:t>
            </w:r>
            <w:r>
              <w:rPr>
                <w:rFonts w:hint="eastAsia"/>
                <w:color w:val="auto"/>
              </w:rPr>
              <w:t>落实挥发性有机物污染防治措施，定期检查修复</w:t>
            </w:r>
            <w:r>
              <w:rPr>
                <w:rFonts w:hint="default"/>
                <w:color w:val="auto"/>
              </w:rPr>
              <w:t>。符合。</w:t>
            </w:r>
          </w:p>
        </w:tc>
      </w:tr>
      <w:tr w14:paraId="7EB503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32C7AD94">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315ADF7B">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063C4DED">
            <w:pPr>
              <w:pStyle w:val="91"/>
              <w:keepNext w:val="0"/>
              <w:keepLines w:val="0"/>
              <w:suppressLineNumbers w:val="0"/>
              <w:spacing w:before="0" w:beforeAutospacing="0" w:after="0" w:afterAutospacing="0"/>
              <w:ind w:left="0" w:right="0"/>
              <w:rPr>
                <w:rFonts w:hint="default"/>
                <w:color w:val="auto"/>
              </w:rPr>
            </w:pPr>
            <w:r>
              <w:rPr>
                <w:rFonts w:hint="eastAsia"/>
                <w:color w:val="auto"/>
              </w:rPr>
              <w:t>3</w:t>
            </w:r>
            <w:r>
              <w:rPr>
                <w:rFonts w:hint="default"/>
                <w:color w:val="auto"/>
              </w:rPr>
              <w:t>.石化、化工行业全面推进行业达标排放改造，鼓励采用先进的清洁生产技术，提高原油的转化和利用效率；新建石化和化工生产项目污染物排放必须同时满足污染物排放标准和主要污染物总量控制要求，必须配套固废综合利用或无害化处理设施，危险废物必须按照国家及自治区相关危险废物的管理规定进行贮存、转移、安全处置。</w:t>
            </w:r>
          </w:p>
        </w:tc>
        <w:tc>
          <w:tcPr>
            <w:tcW w:w="2342" w:type="dxa"/>
            <w:tcMar>
              <w:left w:w="28" w:type="dxa"/>
              <w:right w:w="28" w:type="dxa"/>
            </w:tcMar>
            <w:vAlign w:val="center"/>
          </w:tcPr>
          <w:p w14:paraId="52862136">
            <w:pPr>
              <w:pStyle w:val="91"/>
              <w:keepNext w:val="0"/>
              <w:keepLines w:val="0"/>
              <w:suppressLineNumbers w:val="0"/>
              <w:spacing w:before="0" w:beforeAutospacing="0" w:after="0" w:afterAutospacing="0"/>
              <w:ind w:left="0" w:right="0"/>
              <w:rPr>
                <w:rFonts w:hint="default"/>
                <w:color w:val="auto"/>
              </w:rPr>
            </w:pPr>
            <w:r>
              <w:rPr>
                <w:rFonts w:hint="default"/>
                <w:color w:val="auto"/>
              </w:rPr>
              <w:t>本项目</w:t>
            </w:r>
            <w:r>
              <w:rPr>
                <w:rFonts w:hint="eastAsia"/>
                <w:color w:val="auto"/>
              </w:rPr>
              <w:t>危废设置危废暂存库暂存</w:t>
            </w:r>
            <w:r>
              <w:rPr>
                <w:rFonts w:hint="default"/>
                <w:color w:val="auto"/>
              </w:rPr>
              <w:t>，不在码头设置排污口。符合。</w:t>
            </w:r>
          </w:p>
        </w:tc>
      </w:tr>
      <w:tr w14:paraId="14DF93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01576BB6">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11CBCCE8">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5280A511">
            <w:pPr>
              <w:pStyle w:val="91"/>
              <w:keepNext w:val="0"/>
              <w:keepLines w:val="0"/>
              <w:suppressLineNumbers w:val="0"/>
              <w:spacing w:before="0" w:beforeAutospacing="0" w:after="0" w:afterAutospacing="0"/>
              <w:ind w:left="0" w:right="0"/>
              <w:rPr>
                <w:rFonts w:hint="default"/>
                <w:color w:val="auto"/>
              </w:rPr>
            </w:pPr>
            <w:r>
              <w:rPr>
                <w:rFonts w:hint="eastAsia"/>
                <w:color w:val="auto"/>
              </w:rPr>
              <w:t>4</w:t>
            </w:r>
            <w:r>
              <w:rPr>
                <w:rFonts w:hint="default"/>
                <w:color w:val="auto"/>
              </w:rPr>
              <w:t>．逐步完成工业集聚区集中式污水处理设施建设，确保已建污水处理设施稳定运行及达标排放。园区集中式污水处理设施总排口安装自动监控系统、视频监控系统，并与生态环境</w:t>
            </w:r>
            <w:r>
              <w:rPr>
                <w:rFonts w:hint="eastAsia"/>
                <w:color w:val="auto"/>
              </w:rPr>
              <w:t>、</w:t>
            </w:r>
            <w:r>
              <w:rPr>
                <w:rFonts w:hint="default"/>
                <w:color w:val="auto"/>
              </w:rPr>
              <w:t>主管部门联网。按照“清污分流、雨污分流”原则，实施废水分类收集、分质处理。</w:t>
            </w:r>
          </w:p>
        </w:tc>
        <w:tc>
          <w:tcPr>
            <w:tcW w:w="2342" w:type="dxa"/>
            <w:tcMar>
              <w:left w:w="28" w:type="dxa"/>
              <w:right w:w="28" w:type="dxa"/>
            </w:tcMar>
            <w:vAlign w:val="center"/>
          </w:tcPr>
          <w:p w14:paraId="2C4958C7">
            <w:pPr>
              <w:pStyle w:val="91"/>
              <w:keepNext w:val="0"/>
              <w:keepLines w:val="0"/>
              <w:suppressLineNumbers w:val="0"/>
              <w:spacing w:before="0" w:beforeAutospacing="0" w:after="0" w:afterAutospacing="0"/>
              <w:ind w:left="0" w:right="0"/>
              <w:rPr>
                <w:rFonts w:hint="default"/>
                <w:color w:val="auto"/>
              </w:rPr>
            </w:pPr>
            <w:r>
              <w:rPr>
                <w:rFonts w:hint="default"/>
                <w:color w:val="auto"/>
              </w:rPr>
              <w:t>本项目污水依托</w:t>
            </w:r>
            <w:r>
              <w:rPr>
                <w:rFonts w:hint="eastAsia"/>
                <w:color w:val="auto"/>
              </w:rPr>
              <w:t>广西石化</w:t>
            </w:r>
            <w:r>
              <w:rPr>
                <w:rFonts w:hint="default"/>
                <w:color w:val="auto"/>
              </w:rPr>
              <w:t>污水处理厂处理，不在码头设置排污口。符合。</w:t>
            </w:r>
          </w:p>
        </w:tc>
      </w:tr>
      <w:tr w14:paraId="6B5E8C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601BFB61">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2C87A064">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6A20E23C">
            <w:pPr>
              <w:pStyle w:val="91"/>
              <w:keepNext w:val="0"/>
              <w:keepLines w:val="0"/>
              <w:suppressLineNumbers w:val="0"/>
              <w:spacing w:before="0" w:beforeAutospacing="0" w:after="0" w:afterAutospacing="0"/>
              <w:ind w:left="0" w:right="0"/>
              <w:rPr>
                <w:rFonts w:hint="default"/>
                <w:color w:val="auto"/>
              </w:rPr>
            </w:pPr>
            <w:r>
              <w:rPr>
                <w:rFonts w:hint="eastAsia"/>
                <w:color w:val="auto"/>
              </w:rPr>
              <w:t>5</w:t>
            </w:r>
            <w:r>
              <w:rPr>
                <w:rFonts w:hint="default"/>
                <w:color w:val="auto"/>
              </w:rPr>
              <w:t>.园区及园区企业排放水污染物，要满足国家或者地方规定的水污染物排放标准和重点水污染物排放总量控制指标。直接外排水环境的，执行国家或者地方规定的标准要求；经城镇污水集中处理设施处理后排放的，执行市政部门管理要求；经园区污水集中处理设施处理后排放的，执行园区管理部门相关要求。</w:t>
            </w:r>
          </w:p>
        </w:tc>
        <w:tc>
          <w:tcPr>
            <w:tcW w:w="2342" w:type="dxa"/>
            <w:tcMar>
              <w:left w:w="28" w:type="dxa"/>
              <w:right w:w="28" w:type="dxa"/>
            </w:tcMar>
            <w:vAlign w:val="center"/>
          </w:tcPr>
          <w:p w14:paraId="0A9403B2">
            <w:pPr>
              <w:pStyle w:val="91"/>
              <w:keepNext w:val="0"/>
              <w:keepLines w:val="0"/>
              <w:suppressLineNumbers w:val="0"/>
              <w:spacing w:before="0" w:beforeAutospacing="0" w:after="0" w:afterAutospacing="0"/>
              <w:ind w:left="0" w:right="0"/>
              <w:rPr>
                <w:rFonts w:hint="default"/>
                <w:color w:val="auto"/>
              </w:rPr>
            </w:pPr>
            <w:r>
              <w:rPr>
                <w:rFonts w:hint="default"/>
                <w:color w:val="auto"/>
              </w:rPr>
              <w:t>本项目污水依托</w:t>
            </w:r>
            <w:r>
              <w:rPr>
                <w:rFonts w:hint="eastAsia"/>
                <w:color w:val="auto"/>
              </w:rPr>
              <w:t>广西石化</w:t>
            </w:r>
            <w:r>
              <w:rPr>
                <w:rFonts w:hint="default"/>
                <w:color w:val="auto"/>
              </w:rPr>
              <w:t>污水处理厂处理</w:t>
            </w:r>
            <w:r>
              <w:rPr>
                <w:rFonts w:hint="eastAsia"/>
                <w:color w:val="auto"/>
              </w:rPr>
              <w:t>达标后排放，不直接排放</w:t>
            </w:r>
            <w:r>
              <w:rPr>
                <w:rFonts w:hint="default"/>
                <w:color w:val="auto"/>
              </w:rPr>
              <w:t>。符合。</w:t>
            </w:r>
          </w:p>
        </w:tc>
      </w:tr>
      <w:tr w14:paraId="3B6A96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25494C82">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0808CCCE">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54A5A971">
            <w:pPr>
              <w:pStyle w:val="91"/>
              <w:keepNext w:val="0"/>
              <w:keepLines w:val="0"/>
              <w:suppressLineNumbers w:val="0"/>
              <w:spacing w:before="0" w:beforeAutospacing="0" w:after="0" w:afterAutospacing="0"/>
              <w:ind w:left="0" w:right="0"/>
              <w:rPr>
                <w:rFonts w:hint="default"/>
                <w:color w:val="auto"/>
              </w:rPr>
            </w:pPr>
            <w:r>
              <w:rPr>
                <w:rFonts w:hint="eastAsia"/>
                <w:color w:val="auto"/>
              </w:rPr>
              <w:t>6</w:t>
            </w:r>
            <w:r>
              <w:rPr>
                <w:rFonts w:hint="default"/>
                <w:color w:val="auto"/>
              </w:rPr>
              <w:t>.鼓励建设高盐废水集中处理设施，回收固体盐类，降低外排水量和含盐浓度。</w:t>
            </w:r>
          </w:p>
        </w:tc>
        <w:tc>
          <w:tcPr>
            <w:tcW w:w="2342" w:type="dxa"/>
            <w:tcMar>
              <w:left w:w="28" w:type="dxa"/>
              <w:right w:w="28" w:type="dxa"/>
            </w:tcMar>
            <w:vAlign w:val="center"/>
          </w:tcPr>
          <w:p w14:paraId="72622D23">
            <w:pPr>
              <w:pStyle w:val="91"/>
              <w:keepNext w:val="0"/>
              <w:keepLines w:val="0"/>
              <w:suppressLineNumbers w:val="0"/>
              <w:spacing w:before="0" w:beforeAutospacing="0" w:after="0" w:afterAutospacing="0"/>
              <w:ind w:left="0" w:right="0"/>
              <w:rPr>
                <w:rFonts w:hint="default"/>
                <w:color w:val="auto"/>
              </w:rPr>
            </w:pPr>
            <w:r>
              <w:rPr>
                <w:rFonts w:hint="eastAsia"/>
                <w:color w:val="auto"/>
              </w:rPr>
              <w:t>本项目不涉及高盐废水</w:t>
            </w:r>
            <w:r>
              <w:rPr>
                <w:rFonts w:hint="default"/>
                <w:color w:val="auto"/>
              </w:rPr>
              <w:t>。符合。</w:t>
            </w:r>
          </w:p>
        </w:tc>
      </w:tr>
      <w:tr w14:paraId="58C9BA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0327C5FD">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27E31F07">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4F2A1826">
            <w:pPr>
              <w:pStyle w:val="91"/>
              <w:keepNext w:val="0"/>
              <w:keepLines w:val="0"/>
              <w:suppressLineNumbers w:val="0"/>
              <w:spacing w:before="0" w:beforeAutospacing="0" w:after="0" w:afterAutospacing="0"/>
              <w:ind w:left="0" w:right="0"/>
              <w:rPr>
                <w:rFonts w:hint="default"/>
                <w:color w:val="auto"/>
              </w:rPr>
            </w:pPr>
            <w:r>
              <w:rPr>
                <w:rFonts w:hint="default"/>
                <w:color w:val="auto"/>
              </w:rPr>
              <w:t>7．严格控制石油类、氨氮、总磷等污染物排放浓度及排放量，采取有效措施减少挥发性有机化合物（VOCs）、氮氧化物（NOx）等污染物排放量。</w:t>
            </w:r>
          </w:p>
        </w:tc>
        <w:tc>
          <w:tcPr>
            <w:tcW w:w="2342" w:type="dxa"/>
            <w:tcMar>
              <w:left w:w="28" w:type="dxa"/>
              <w:right w:w="28" w:type="dxa"/>
            </w:tcMar>
            <w:vAlign w:val="center"/>
          </w:tcPr>
          <w:p w14:paraId="1CED5B06">
            <w:pPr>
              <w:pStyle w:val="91"/>
              <w:keepNext w:val="0"/>
              <w:keepLines w:val="0"/>
              <w:suppressLineNumbers w:val="0"/>
              <w:spacing w:before="0" w:beforeAutospacing="0" w:after="0" w:afterAutospacing="0"/>
              <w:ind w:left="0" w:right="0"/>
              <w:rPr>
                <w:rFonts w:hint="default"/>
                <w:color w:val="auto"/>
              </w:rPr>
            </w:pPr>
            <w:r>
              <w:rPr>
                <w:rFonts w:hint="eastAsia"/>
                <w:color w:val="auto"/>
              </w:rPr>
              <w:t>本项目废气通过密闭管道输送，</w:t>
            </w:r>
            <w:r>
              <w:rPr>
                <w:rFonts w:hint="default"/>
                <w:color w:val="auto"/>
              </w:rPr>
              <w:t>储罐设置氮封等措施</w:t>
            </w:r>
            <w:r>
              <w:rPr>
                <w:rFonts w:hint="eastAsia"/>
                <w:color w:val="auto"/>
              </w:rPr>
              <w:t>，有效减少污染物排放量。符合</w:t>
            </w:r>
          </w:p>
        </w:tc>
      </w:tr>
      <w:tr w14:paraId="67F7E3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4DFB8850">
            <w:pPr>
              <w:pStyle w:val="91"/>
              <w:keepNext w:val="0"/>
              <w:keepLines w:val="0"/>
              <w:suppressLineNumbers w:val="0"/>
              <w:spacing w:before="0" w:beforeAutospacing="0" w:after="0" w:afterAutospacing="0"/>
              <w:ind w:left="0" w:right="0"/>
              <w:rPr>
                <w:rFonts w:hint="default"/>
                <w:color w:val="auto"/>
              </w:rPr>
            </w:pPr>
          </w:p>
        </w:tc>
        <w:tc>
          <w:tcPr>
            <w:tcW w:w="534" w:type="dxa"/>
            <w:vMerge w:val="restart"/>
            <w:tcMar>
              <w:left w:w="28" w:type="dxa"/>
              <w:right w:w="28" w:type="dxa"/>
            </w:tcMar>
            <w:vAlign w:val="center"/>
          </w:tcPr>
          <w:p w14:paraId="45A93516">
            <w:pPr>
              <w:pStyle w:val="91"/>
              <w:keepNext w:val="0"/>
              <w:keepLines w:val="0"/>
              <w:suppressLineNumbers w:val="0"/>
              <w:spacing w:before="0" w:beforeAutospacing="0" w:after="0" w:afterAutospacing="0"/>
              <w:ind w:left="0" w:right="0"/>
              <w:rPr>
                <w:rFonts w:hint="default"/>
                <w:color w:val="auto"/>
              </w:rPr>
            </w:pPr>
            <w:r>
              <w:rPr>
                <w:rFonts w:hint="default"/>
                <w:color w:val="auto"/>
              </w:rPr>
              <w:t>环境风险防控</w:t>
            </w:r>
          </w:p>
        </w:tc>
        <w:tc>
          <w:tcPr>
            <w:tcW w:w="5400" w:type="dxa"/>
            <w:tcMar>
              <w:left w:w="28" w:type="dxa"/>
              <w:right w:w="28" w:type="dxa"/>
            </w:tcMar>
            <w:vAlign w:val="center"/>
          </w:tcPr>
          <w:p w14:paraId="07666689">
            <w:pPr>
              <w:pStyle w:val="91"/>
              <w:keepNext w:val="0"/>
              <w:keepLines w:val="0"/>
              <w:suppressLineNumbers w:val="0"/>
              <w:spacing w:before="0" w:beforeAutospacing="0" w:after="0" w:afterAutospacing="0"/>
              <w:ind w:left="0" w:right="0"/>
              <w:rPr>
                <w:rFonts w:hint="default"/>
                <w:color w:val="auto"/>
              </w:rPr>
            </w:pPr>
            <w:r>
              <w:rPr>
                <w:rFonts w:hint="default"/>
                <w:color w:val="auto"/>
              </w:rPr>
              <w:t>1.建设项目应严格落实环境保护措施和环境风险防范措施，减缓对周边海域和陆域生态环境敏感区的不良环境影响。</w:t>
            </w:r>
          </w:p>
        </w:tc>
        <w:tc>
          <w:tcPr>
            <w:tcW w:w="2342" w:type="dxa"/>
            <w:tcMar>
              <w:left w:w="28" w:type="dxa"/>
              <w:right w:w="28" w:type="dxa"/>
            </w:tcMar>
            <w:vAlign w:val="center"/>
          </w:tcPr>
          <w:p w14:paraId="7E784B91">
            <w:pPr>
              <w:pStyle w:val="91"/>
              <w:keepNext w:val="0"/>
              <w:keepLines w:val="0"/>
              <w:suppressLineNumbers w:val="0"/>
              <w:spacing w:before="0" w:beforeAutospacing="0" w:after="0" w:afterAutospacing="0"/>
              <w:ind w:left="0" w:right="0"/>
              <w:rPr>
                <w:rFonts w:hint="default"/>
                <w:color w:val="auto"/>
              </w:rPr>
            </w:pPr>
            <w:r>
              <w:rPr>
                <w:rFonts w:hint="default"/>
                <w:color w:val="auto"/>
              </w:rPr>
              <w:t>项目运营后按要求落实环境保护措施和环境风险防范措施。符合。</w:t>
            </w:r>
          </w:p>
        </w:tc>
      </w:tr>
      <w:tr w14:paraId="70F487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2BE16507">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00ED77FE">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3120F276">
            <w:pPr>
              <w:pStyle w:val="91"/>
              <w:keepNext w:val="0"/>
              <w:keepLines w:val="0"/>
              <w:suppressLineNumbers w:val="0"/>
              <w:spacing w:before="0" w:beforeAutospacing="0" w:after="0" w:afterAutospacing="0"/>
              <w:ind w:left="0" w:right="0"/>
              <w:rPr>
                <w:rFonts w:hint="default"/>
                <w:color w:val="auto"/>
              </w:rPr>
            </w:pPr>
            <w:r>
              <w:rPr>
                <w:rFonts w:hint="eastAsia"/>
                <w:color w:val="auto"/>
              </w:rPr>
              <w:t>2</w:t>
            </w:r>
            <w:r>
              <w:rPr>
                <w:rFonts w:hint="default"/>
                <w:color w:val="auto"/>
              </w:rPr>
              <w:t>.三墩片区实行封闭式管理。开展环境风险评估，制定突发环境事件应急预案并备案，配备应急能力和物资，建设环境应急队伍，并定期演练。企业、园区与地方人民政府环境应急预案应当有机衔接。</w:t>
            </w:r>
          </w:p>
        </w:tc>
        <w:tc>
          <w:tcPr>
            <w:tcW w:w="2342" w:type="dxa"/>
            <w:tcMar>
              <w:left w:w="28" w:type="dxa"/>
              <w:right w:w="28" w:type="dxa"/>
            </w:tcMar>
            <w:vAlign w:val="center"/>
          </w:tcPr>
          <w:p w14:paraId="580272A2">
            <w:pPr>
              <w:pStyle w:val="91"/>
              <w:keepNext w:val="0"/>
              <w:keepLines w:val="0"/>
              <w:suppressLineNumbers w:val="0"/>
              <w:spacing w:before="0" w:beforeAutospacing="0" w:after="0" w:afterAutospacing="0"/>
              <w:ind w:left="0" w:right="0"/>
              <w:rPr>
                <w:rFonts w:hint="default"/>
                <w:color w:val="auto"/>
              </w:rPr>
            </w:pPr>
            <w:r>
              <w:rPr>
                <w:rFonts w:hint="default"/>
                <w:color w:val="auto"/>
              </w:rPr>
              <w:t>项目运营后按要求开展风险评估，制订突发环境应急预案，健全企业应急制度管理。符合。</w:t>
            </w:r>
          </w:p>
        </w:tc>
      </w:tr>
      <w:tr w14:paraId="751F7F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6FEE1048">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1AF37F16">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0A5F3C3F">
            <w:pPr>
              <w:pStyle w:val="91"/>
              <w:keepNext w:val="0"/>
              <w:keepLines w:val="0"/>
              <w:suppressLineNumbers w:val="0"/>
              <w:spacing w:before="0" w:beforeAutospacing="0" w:after="0" w:afterAutospacing="0"/>
              <w:ind w:left="0" w:right="0"/>
              <w:rPr>
                <w:rFonts w:hint="default"/>
                <w:color w:val="auto"/>
              </w:rPr>
            </w:pPr>
            <w:r>
              <w:rPr>
                <w:rFonts w:hint="default"/>
                <w:color w:val="auto"/>
              </w:rPr>
              <w:t>3．土壤环境监管重点单位应当严格控制有毒有害物质排放，并按年度向所在地设区的市人民政府生态环境主管部门报告排放情况；建立土壤污染隐患排查制度，保证持续有效防止有毒有害物质渗漏、流失、扬散。</w:t>
            </w:r>
          </w:p>
        </w:tc>
        <w:tc>
          <w:tcPr>
            <w:tcW w:w="2342" w:type="dxa"/>
            <w:tcMar>
              <w:left w:w="28" w:type="dxa"/>
              <w:right w:w="28" w:type="dxa"/>
            </w:tcMar>
            <w:vAlign w:val="center"/>
          </w:tcPr>
          <w:p w14:paraId="0296FAC8">
            <w:pPr>
              <w:pStyle w:val="91"/>
              <w:keepNext w:val="0"/>
              <w:keepLines w:val="0"/>
              <w:suppressLineNumbers w:val="0"/>
              <w:spacing w:before="0" w:beforeAutospacing="0" w:after="0" w:afterAutospacing="0"/>
              <w:ind w:left="0" w:right="0"/>
              <w:rPr>
                <w:rFonts w:hint="default"/>
                <w:color w:val="auto"/>
              </w:rPr>
            </w:pPr>
            <w:r>
              <w:rPr>
                <w:rFonts w:hint="eastAsia"/>
                <w:color w:val="auto"/>
              </w:rPr>
              <w:t>运营期将定期对各类生产设施开展维护、检修工作。符合。</w:t>
            </w:r>
          </w:p>
        </w:tc>
      </w:tr>
      <w:tr w14:paraId="5841E5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546A6DB2">
            <w:pPr>
              <w:pStyle w:val="91"/>
              <w:keepNext w:val="0"/>
              <w:keepLines w:val="0"/>
              <w:suppressLineNumbers w:val="0"/>
              <w:spacing w:before="0" w:beforeAutospacing="0" w:after="0" w:afterAutospacing="0"/>
              <w:ind w:left="0" w:right="0"/>
              <w:rPr>
                <w:rFonts w:hint="default"/>
                <w:color w:val="auto"/>
              </w:rPr>
            </w:pPr>
          </w:p>
        </w:tc>
        <w:tc>
          <w:tcPr>
            <w:tcW w:w="534" w:type="dxa"/>
            <w:vMerge w:val="restart"/>
            <w:tcMar>
              <w:left w:w="28" w:type="dxa"/>
              <w:right w:w="28" w:type="dxa"/>
            </w:tcMar>
            <w:vAlign w:val="center"/>
          </w:tcPr>
          <w:p w14:paraId="11FF38AF">
            <w:pPr>
              <w:pStyle w:val="91"/>
              <w:keepNext w:val="0"/>
              <w:keepLines w:val="0"/>
              <w:suppressLineNumbers w:val="0"/>
              <w:spacing w:before="0" w:beforeAutospacing="0" w:after="0" w:afterAutospacing="0"/>
              <w:ind w:left="0" w:right="0"/>
              <w:rPr>
                <w:rFonts w:hint="default"/>
                <w:color w:val="auto"/>
              </w:rPr>
            </w:pPr>
            <w:r>
              <w:rPr>
                <w:rFonts w:hint="default"/>
                <w:color w:val="auto"/>
              </w:rPr>
              <w:t>资源开发利用效率要求</w:t>
            </w:r>
          </w:p>
        </w:tc>
        <w:tc>
          <w:tcPr>
            <w:tcW w:w="5400" w:type="dxa"/>
            <w:tcMar>
              <w:left w:w="28" w:type="dxa"/>
              <w:right w:w="28" w:type="dxa"/>
            </w:tcMar>
            <w:vAlign w:val="center"/>
          </w:tcPr>
          <w:p w14:paraId="072E3E16">
            <w:pPr>
              <w:pStyle w:val="91"/>
              <w:keepNext w:val="0"/>
              <w:keepLines w:val="0"/>
              <w:suppressLineNumbers w:val="0"/>
              <w:spacing w:before="0" w:beforeAutospacing="0" w:after="0" w:afterAutospacing="0"/>
              <w:ind w:left="0" w:right="0"/>
              <w:rPr>
                <w:rFonts w:hint="default"/>
                <w:color w:val="auto"/>
              </w:rPr>
            </w:pPr>
            <w:r>
              <w:rPr>
                <w:rFonts w:hint="eastAsia"/>
                <w:color w:val="auto"/>
              </w:rPr>
              <w:t>1</w:t>
            </w:r>
            <w:r>
              <w:rPr>
                <w:rFonts w:hint="default"/>
                <w:color w:val="auto"/>
              </w:rPr>
              <w:t>.在禁燃区内，禁止销售、燃用高污染燃料；禁止新建、扩建燃用高污染燃料的设施，已建成的，应当在城市人民政府规定的期限内改用天然气、页岩气、液化石油气、电或者其他清洁能源。其余按照《钦州市人民政府关于划定高污染燃料禁燃区的通告》要求实施管理。</w:t>
            </w:r>
          </w:p>
        </w:tc>
        <w:tc>
          <w:tcPr>
            <w:tcW w:w="2342" w:type="dxa"/>
            <w:tcMar>
              <w:left w:w="28" w:type="dxa"/>
              <w:right w:w="28" w:type="dxa"/>
            </w:tcMar>
            <w:vAlign w:val="center"/>
          </w:tcPr>
          <w:p w14:paraId="1410816D">
            <w:pPr>
              <w:pStyle w:val="91"/>
              <w:keepNext w:val="0"/>
              <w:keepLines w:val="0"/>
              <w:suppressLineNumbers w:val="0"/>
              <w:spacing w:before="0" w:beforeAutospacing="0" w:after="0" w:afterAutospacing="0"/>
              <w:ind w:left="0" w:right="0"/>
              <w:rPr>
                <w:rFonts w:hint="default"/>
                <w:color w:val="auto"/>
              </w:rPr>
            </w:pPr>
            <w:r>
              <w:rPr>
                <w:rFonts w:hint="default"/>
                <w:color w:val="auto"/>
              </w:rPr>
              <w:t>本项目</w:t>
            </w:r>
            <w:r>
              <w:rPr>
                <w:rFonts w:hint="eastAsia"/>
                <w:color w:val="auto"/>
              </w:rPr>
              <w:t>不涉及燃料</w:t>
            </w:r>
            <w:r>
              <w:rPr>
                <w:rFonts w:hint="default"/>
                <w:color w:val="auto"/>
              </w:rPr>
              <w:t>使用。符合。</w:t>
            </w:r>
          </w:p>
        </w:tc>
      </w:tr>
      <w:tr w14:paraId="6B65DC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730499FE">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1294ABFF">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6C971FE3">
            <w:pPr>
              <w:pStyle w:val="91"/>
              <w:keepNext w:val="0"/>
              <w:keepLines w:val="0"/>
              <w:suppressLineNumbers w:val="0"/>
              <w:spacing w:before="0" w:beforeAutospacing="0" w:after="0" w:afterAutospacing="0"/>
              <w:ind w:left="0" w:right="0"/>
              <w:rPr>
                <w:rFonts w:hint="default"/>
                <w:color w:val="auto"/>
              </w:rPr>
            </w:pPr>
            <w:r>
              <w:rPr>
                <w:rFonts w:hint="eastAsia"/>
                <w:color w:val="auto"/>
              </w:rPr>
              <w:t>2</w:t>
            </w:r>
            <w:r>
              <w:rPr>
                <w:rFonts w:hint="default"/>
                <w:color w:val="auto"/>
              </w:rPr>
              <w:t>.加强水资源消耗总量与强度控制，推进节水减排，提升水资源利用效率和效益。</w:t>
            </w:r>
          </w:p>
        </w:tc>
        <w:tc>
          <w:tcPr>
            <w:tcW w:w="2342" w:type="dxa"/>
            <w:tcMar>
              <w:left w:w="28" w:type="dxa"/>
              <w:right w:w="28" w:type="dxa"/>
            </w:tcMar>
            <w:vAlign w:val="center"/>
          </w:tcPr>
          <w:p w14:paraId="7CAF47E3">
            <w:pPr>
              <w:pStyle w:val="91"/>
              <w:keepNext w:val="0"/>
              <w:keepLines w:val="0"/>
              <w:suppressLineNumbers w:val="0"/>
              <w:spacing w:before="0" w:beforeAutospacing="0" w:after="0" w:afterAutospacing="0"/>
              <w:ind w:left="0" w:right="0"/>
              <w:rPr>
                <w:rFonts w:hint="default"/>
                <w:color w:val="auto"/>
              </w:rPr>
            </w:pPr>
            <w:r>
              <w:rPr>
                <w:rFonts w:hint="eastAsia"/>
                <w:color w:val="auto"/>
              </w:rPr>
              <w:t>本次</w:t>
            </w:r>
            <w:r>
              <w:rPr>
                <w:rFonts w:hint="default"/>
                <w:color w:val="auto"/>
              </w:rPr>
              <w:t>扩建不新增用水。符合</w:t>
            </w:r>
          </w:p>
        </w:tc>
      </w:tr>
      <w:tr w14:paraId="4EFAE5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3DCB0EA0">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31FCDE47">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4CE80E94">
            <w:pPr>
              <w:pStyle w:val="91"/>
              <w:keepNext w:val="0"/>
              <w:keepLines w:val="0"/>
              <w:suppressLineNumbers w:val="0"/>
              <w:spacing w:before="0" w:beforeAutospacing="0" w:after="0" w:afterAutospacing="0"/>
              <w:ind w:left="0" w:right="0"/>
              <w:rPr>
                <w:rFonts w:hint="default"/>
                <w:color w:val="auto"/>
              </w:rPr>
            </w:pPr>
            <w:r>
              <w:rPr>
                <w:rFonts w:hint="default"/>
                <w:color w:val="auto"/>
              </w:rPr>
              <w:t>3．坚持节约集约用地，提高土地利用效率。</w:t>
            </w:r>
          </w:p>
        </w:tc>
        <w:tc>
          <w:tcPr>
            <w:tcW w:w="2342" w:type="dxa"/>
            <w:tcMar>
              <w:left w:w="28" w:type="dxa"/>
              <w:right w:w="28" w:type="dxa"/>
            </w:tcMar>
            <w:vAlign w:val="center"/>
          </w:tcPr>
          <w:p w14:paraId="7D8413DC">
            <w:pPr>
              <w:pStyle w:val="91"/>
              <w:keepNext w:val="0"/>
              <w:keepLines w:val="0"/>
              <w:suppressLineNumbers w:val="0"/>
              <w:spacing w:before="0" w:beforeAutospacing="0" w:after="0" w:afterAutospacing="0"/>
              <w:ind w:left="0" w:right="0"/>
              <w:rPr>
                <w:rFonts w:hint="default"/>
                <w:color w:val="auto"/>
              </w:rPr>
            </w:pPr>
            <w:r>
              <w:rPr>
                <w:rFonts w:hint="eastAsia"/>
                <w:color w:val="auto"/>
              </w:rPr>
              <w:t>本次</w:t>
            </w:r>
            <w:r>
              <w:rPr>
                <w:rFonts w:hint="default"/>
                <w:color w:val="auto"/>
              </w:rPr>
              <w:t>扩建项目不新增用地。符合</w:t>
            </w:r>
          </w:p>
        </w:tc>
      </w:tr>
      <w:tr w14:paraId="2AC828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restart"/>
            <w:tcMar>
              <w:left w:w="28" w:type="dxa"/>
              <w:right w:w="28" w:type="dxa"/>
            </w:tcMar>
            <w:vAlign w:val="center"/>
          </w:tcPr>
          <w:p w14:paraId="0A4E74CA">
            <w:pPr>
              <w:pStyle w:val="91"/>
              <w:keepNext w:val="0"/>
              <w:keepLines w:val="0"/>
              <w:suppressLineNumbers w:val="0"/>
              <w:spacing w:before="0" w:beforeAutospacing="0" w:after="0" w:afterAutospacing="0"/>
              <w:ind w:left="0" w:right="0"/>
              <w:rPr>
                <w:rFonts w:hint="default"/>
                <w:color w:val="auto"/>
              </w:rPr>
            </w:pPr>
            <w:r>
              <w:rPr>
                <w:rFonts w:hint="eastAsia"/>
                <w:color w:val="auto"/>
              </w:rPr>
              <w:t>金谷港区（金谷交通运输用海区）</w:t>
            </w:r>
          </w:p>
        </w:tc>
        <w:tc>
          <w:tcPr>
            <w:tcW w:w="534" w:type="dxa"/>
            <w:vMerge w:val="restart"/>
            <w:tcMar>
              <w:left w:w="28" w:type="dxa"/>
              <w:right w:w="28" w:type="dxa"/>
            </w:tcMar>
            <w:vAlign w:val="center"/>
          </w:tcPr>
          <w:p w14:paraId="7EE32D44">
            <w:pPr>
              <w:pStyle w:val="91"/>
              <w:keepNext w:val="0"/>
              <w:keepLines w:val="0"/>
              <w:suppressLineNumbers w:val="0"/>
              <w:spacing w:before="0" w:beforeAutospacing="0" w:after="0" w:afterAutospacing="0"/>
              <w:ind w:left="0" w:right="0"/>
              <w:rPr>
                <w:rFonts w:hint="default"/>
                <w:color w:val="auto"/>
              </w:rPr>
            </w:pPr>
            <w:r>
              <w:rPr>
                <w:rFonts w:hint="default"/>
                <w:color w:val="auto"/>
              </w:rPr>
              <w:t>空间布局约束</w:t>
            </w:r>
          </w:p>
        </w:tc>
        <w:tc>
          <w:tcPr>
            <w:tcW w:w="5400" w:type="dxa"/>
            <w:tcMar>
              <w:left w:w="28" w:type="dxa"/>
              <w:right w:w="28" w:type="dxa"/>
            </w:tcMar>
            <w:vAlign w:val="center"/>
          </w:tcPr>
          <w:p w14:paraId="6C4C7945">
            <w:pPr>
              <w:pStyle w:val="91"/>
              <w:keepNext w:val="0"/>
              <w:keepLines w:val="0"/>
              <w:suppressLineNumbers w:val="0"/>
              <w:spacing w:before="0" w:beforeAutospacing="0" w:after="0" w:afterAutospacing="0"/>
              <w:ind w:left="0" w:right="0"/>
              <w:rPr>
                <w:rFonts w:hint="default"/>
                <w:color w:val="auto"/>
              </w:rPr>
            </w:pPr>
            <w:r>
              <w:rPr>
                <w:rFonts w:hint="default"/>
                <w:color w:val="auto"/>
              </w:rPr>
              <w:t>1．加强水生生物重要生境以及自然岸线、红树林、海草床、湿地等保护。新建港口码头应避让且尽量远离生态保护红线、法定保护区、鱼类“三场一通道”等环境保护目标，降低规划实施对敏感目标的影响；现有港口码头应根据其与敏感目标的位置关系，提出强化环境保护措施的要求，避免加剧不利环境影响。</w:t>
            </w:r>
          </w:p>
        </w:tc>
        <w:tc>
          <w:tcPr>
            <w:tcW w:w="2342" w:type="dxa"/>
            <w:tcMar>
              <w:left w:w="28" w:type="dxa"/>
              <w:right w:w="28" w:type="dxa"/>
            </w:tcMar>
            <w:vAlign w:val="center"/>
          </w:tcPr>
          <w:p w14:paraId="4CD537BD">
            <w:pPr>
              <w:pStyle w:val="91"/>
              <w:keepNext w:val="0"/>
              <w:keepLines w:val="0"/>
              <w:suppressLineNumbers w:val="0"/>
              <w:spacing w:before="0" w:beforeAutospacing="0" w:after="0" w:afterAutospacing="0"/>
              <w:ind w:left="0" w:right="0"/>
              <w:rPr>
                <w:rFonts w:hint="default"/>
                <w:color w:val="auto"/>
              </w:rPr>
            </w:pPr>
            <w:r>
              <w:rPr>
                <w:rFonts w:hint="eastAsia"/>
                <w:color w:val="auto"/>
              </w:rPr>
              <w:t>本项目不涉及生态红线，与生态敏感区有一定距离，采取相应环境保护措施后对其影响不大。符合。</w:t>
            </w:r>
          </w:p>
        </w:tc>
      </w:tr>
      <w:tr w14:paraId="22AEE3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5BBCE9E1">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79653347">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3A6D2321">
            <w:pPr>
              <w:pStyle w:val="91"/>
              <w:keepNext w:val="0"/>
              <w:keepLines w:val="0"/>
              <w:suppressLineNumbers w:val="0"/>
              <w:spacing w:before="0" w:beforeAutospacing="0" w:after="0" w:afterAutospacing="0"/>
              <w:ind w:left="0" w:right="0"/>
              <w:rPr>
                <w:rFonts w:hint="default"/>
                <w:color w:val="auto"/>
              </w:rPr>
            </w:pPr>
            <w:r>
              <w:rPr>
                <w:rFonts w:hint="default"/>
                <w:color w:val="auto"/>
              </w:rPr>
              <w:t>2.干散货码头需与居民集中区保持一定距离，确保不对居民造成大气环境不利影响；危险品码头需远离各类生态环境敏感目标。</w:t>
            </w:r>
          </w:p>
        </w:tc>
        <w:tc>
          <w:tcPr>
            <w:tcW w:w="2342" w:type="dxa"/>
            <w:tcMar>
              <w:left w:w="28" w:type="dxa"/>
              <w:right w:w="28" w:type="dxa"/>
            </w:tcMar>
            <w:vAlign w:val="center"/>
          </w:tcPr>
          <w:p w14:paraId="07E9780B">
            <w:pPr>
              <w:pStyle w:val="91"/>
              <w:keepNext w:val="0"/>
              <w:keepLines w:val="0"/>
              <w:suppressLineNumbers w:val="0"/>
              <w:spacing w:before="0" w:beforeAutospacing="0" w:after="0" w:afterAutospacing="0"/>
              <w:ind w:left="0" w:right="0"/>
              <w:rPr>
                <w:rFonts w:hint="default"/>
                <w:color w:val="auto"/>
              </w:rPr>
            </w:pPr>
            <w:r>
              <w:rPr>
                <w:rFonts w:hint="eastAsia"/>
                <w:color w:val="auto"/>
              </w:rPr>
              <w:t>本项目远离生态环境敏感目标，符合</w:t>
            </w:r>
          </w:p>
        </w:tc>
      </w:tr>
      <w:tr w14:paraId="5864F8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2A533913">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55C14C8B">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73A244A3">
            <w:pPr>
              <w:pStyle w:val="91"/>
              <w:keepNext w:val="0"/>
              <w:keepLines w:val="0"/>
              <w:suppressLineNumbers w:val="0"/>
              <w:spacing w:before="0" w:beforeAutospacing="0" w:after="0" w:afterAutospacing="0"/>
              <w:ind w:left="0" w:right="0"/>
              <w:rPr>
                <w:rFonts w:hint="default"/>
                <w:color w:val="auto"/>
              </w:rPr>
            </w:pPr>
            <w:r>
              <w:rPr>
                <w:rFonts w:hint="eastAsia"/>
                <w:color w:val="auto"/>
              </w:rPr>
              <w:t>3</w:t>
            </w:r>
            <w:r>
              <w:rPr>
                <w:rFonts w:hint="default"/>
                <w:color w:val="auto"/>
              </w:rPr>
              <w:t>.不得突破港口总体规划划定的岸线范围。</w:t>
            </w:r>
          </w:p>
        </w:tc>
        <w:tc>
          <w:tcPr>
            <w:tcW w:w="2342" w:type="dxa"/>
            <w:tcMar>
              <w:left w:w="28" w:type="dxa"/>
              <w:right w:w="28" w:type="dxa"/>
            </w:tcMar>
            <w:vAlign w:val="center"/>
          </w:tcPr>
          <w:p w14:paraId="333020BE">
            <w:pPr>
              <w:pStyle w:val="91"/>
              <w:keepNext w:val="0"/>
              <w:keepLines w:val="0"/>
              <w:suppressLineNumbers w:val="0"/>
              <w:spacing w:before="0" w:beforeAutospacing="0" w:after="0" w:afterAutospacing="0"/>
              <w:ind w:left="0" w:right="0"/>
              <w:rPr>
                <w:rFonts w:hint="default"/>
                <w:color w:val="auto"/>
              </w:rPr>
            </w:pPr>
            <w:r>
              <w:rPr>
                <w:rFonts w:hint="eastAsia"/>
                <w:color w:val="auto"/>
              </w:rPr>
              <w:t>本项目在划定的岸线范围内，符合</w:t>
            </w:r>
          </w:p>
        </w:tc>
      </w:tr>
      <w:tr w14:paraId="245600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34ABCF9D">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3E487CA6">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7DE2B222">
            <w:pPr>
              <w:pStyle w:val="91"/>
              <w:keepNext w:val="0"/>
              <w:keepLines w:val="0"/>
              <w:suppressLineNumbers w:val="0"/>
              <w:spacing w:before="0" w:beforeAutospacing="0" w:after="0" w:afterAutospacing="0"/>
              <w:ind w:left="0" w:right="0"/>
              <w:rPr>
                <w:rFonts w:hint="default"/>
                <w:color w:val="auto"/>
              </w:rPr>
            </w:pPr>
            <w:r>
              <w:rPr>
                <w:rFonts w:hint="eastAsia"/>
                <w:color w:val="auto"/>
              </w:rPr>
              <w:t>4.</w:t>
            </w:r>
            <w:r>
              <w:rPr>
                <w:rFonts w:hint="default"/>
                <w:color w:val="auto"/>
              </w:rPr>
              <w:t>建立渔业资源损失补偿机制，开展增殖放流、</w:t>
            </w:r>
            <w:r>
              <w:rPr>
                <w:rFonts w:hint="eastAsia"/>
                <w:color w:val="auto"/>
                <w:lang w:eastAsia="zh-CN"/>
              </w:rPr>
              <w:t>人工渔礁</w:t>
            </w:r>
            <w:r>
              <w:rPr>
                <w:rFonts w:hint="default"/>
                <w:color w:val="auto"/>
              </w:rPr>
              <w:t>等生态修复工作。</w:t>
            </w:r>
          </w:p>
        </w:tc>
        <w:tc>
          <w:tcPr>
            <w:tcW w:w="2342" w:type="dxa"/>
            <w:tcMar>
              <w:left w:w="28" w:type="dxa"/>
              <w:right w:w="28" w:type="dxa"/>
            </w:tcMar>
            <w:vAlign w:val="center"/>
          </w:tcPr>
          <w:p w14:paraId="7CD8CDA4">
            <w:pPr>
              <w:pStyle w:val="91"/>
              <w:keepNext w:val="0"/>
              <w:keepLines w:val="0"/>
              <w:suppressLineNumbers w:val="0"/>
              <w:spacing w:before="0" w:beforeAutospacing="0" w:after="0" w:afterAutospacing="0"/>
              <w:ind w:left="0" w:right="0"/>
              <w:rPr>
                <w:rFonts w:hint="default"/>
                <w:color w:val="auto"/>
              </w:rPr>
            </w:pPr>
            <w:r>
              <w:rPr>
                <w:rFonts w:hint="eastAsia"/>
                <w:color w:val="auto"/>
              </w:rPr>
              <w:t>本项目不涉及水工施工</w:t>
            </w:r>
          </w:p>
        </w:tc>
      </w:tr>
      <w:tr w14:paraId="2DE079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12523C22">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77D9A024">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72E18354">
            <w:pPr>
              <w:pStyle w:val="91"/>
              <w:keepNext w:val="0"/>
              <w:keepLines w:val="0"/>
              <w:suppressLineNumbers w:val="0"/>
              <w:spacing w:before="0" w:beforeAutospacing="0" w:after="0" w:afterAutospacing="0"/>
              <w:ind w:left="0" w:right="0"/>
              <w:rPr>
                <w:rFonts w:hint="default"/>
                <w:color w:val="auto"/>
              </w:rPr>
            </w:pPr>
            <w:r>
              <w:rPr>
                <w:rFonts w:hint="eastAsia"/>
                <w:color w:val="auto"/>
              </w:rPr>
              <w:t>5.</w:t>
            </w:r>
            <w:r>
              <w:rPr>
                <w:rFonts w:hint="default"/>
                <w:color w:val="auto"/>
              </w:rPr>
              <w:t>合理控制港口开发规模与强度，不得占用依法应当禁止开发的区域，优先避让其他生态环境敏感区域。推动港口码头岸电设施和船舶受电设施建设和改造。</w:t>
            </w:r>
          </w:p>
        </w:tc>
        <w:tc>
          <w:tcPr>
            <w:tcW w:w="2342" w:type="dxa"/>
            <w:tcMar>
              <w:left w:w="28" w:type="dxa"/>
              <w:right w:w="28" w:type="dxa"/>
            </w:tcMar>
            <w:vAlign w:val="center"/>
          </w:tcPr>
          <w:p w14:paraId="50783044">
            <w:pPr>
              <w:pStyle w:val="91"/>
              <w:keepNext w:val="0"/>
              <w:keepLines w:val="0"/>
              <w:suppressLineNumbers w:val="0"/>
              <w:spacing w:before="0" w:beforeAutospacing="0" w:after="0" w:afterAutospacing="0"/>
              <w:ind w:left="0" w:right="0"/>
              <w:rPr>
                <w:rFonts w:hint="default"/>
                <w:color w:val="auto"/>
              </w:rPr>
            </w:pPr>
            <w:r>
              <w:rPr>
                <w:rFonts w:hint="eastAsia"/>
                <w:color w:val="auto"/>
              </w:rPr>
              <w:t>本项目依托</w:t>
            </w:r>
            <w:r>
              <w:rPr>
                <w:rFonts w:hint="default"/>
                <w:color w:val="auto"/>
              </w:rPr>
              <w:t>现有码头，</w:t>
            </w:r>
            <w:r>
              <w:rPr>
                <w:rFonts w:hint="eastAsia"/>
                <w:color w:val="auto"/>
              </w:rPr>
              <w:t>不涉及生态环境敏感区</w:t>
            </w:r>
          </w:p>
        </w:tc>
      </w:tr>
      <w:tr w14:paraId="2E7A87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17963A80">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794EF0FA">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647F94AA">
            <w:pPr>
              <w:pStyle w:val="91"/>
              <w:keepNext w:val="0"/>
              <w:keepLines w:val="0"/>
              <w:suppressLineNumbers w:val="0"/>
              <w:spacing w:before="0" w:beforeAutospacing="0" w:after="0" w:afterAutospacing="0"/>
              <w:ind w:left="0" w:right="0"/>
              <w:rPr>
                <w:rFonts w:hint="default"/>
                <w:color w:val="auto"/>
              </w:rPr>
            </w:pPr>
            <w:r>
              <w:rPr>
                <w:rFonts w:hint="eastAsia"/>
                <w:color w:val="auto"/>
              </w:rPr>
              <w:t>6.</w:t>
            </w:r>
            <w:r>
              <w:rPr>
                <w:rFonts w:hint="default"/>
                <w:color w:val="auto"/>
              </w:rPr>
              <w:t>严格控制建设不符合《北部湾港总体规划（2035年）》、《钦州港总体规划（2035年）》的港口码头项目</w:t>
            </w:r>
          </w:p>
        </w:tc>
        <w:tc>
          <w:tcPr>
            <w:tcW w:w="2342" w:type="dxa"/>
            <w:tcMar>
              <w:left w:w="28" w:type="dxa"/>
              <w:right w:w="28" w:type="dxa"/>
            </w:tcMar>
            <w:vAlign w:val="center"/>
          </w:tcPr>
          <w:p w14:paraId="0D7722B1">
            <w:pPr>
              <w:pStyle w:val="91"/>
              <w:keepNext w:val="0"/>
              <w:keepLines w:val="0"/>
              <w:suppressLineNumbers w:val="0"/>
              <w:spacing w:before="0" w:beforeAutospacing="0" w:after="0" w:afterAutospacing="0"/>
              <w:ind w:left="0" w:right="0"/>
              <w:rPr>
                <w:rFonts w:hint="default"/>
                <w:color w:val="auto"/>
              </w:rPr>
            </w:pPr>
            <w:r>
              <w:rPr>
                <w:rFonts w:hint="eastAsia"/>
                <w:color w:val="auto"/>
              </w:rPr>
              <w:t>本项目符合</w:t>
            </w:r>
            <w:r>
              <w:rPr>
                <w:rFonts w:hint="default"/>
                <w:color w:val="auto"/>
              </w:rPr>
              <w:t>《北部湾港总体规划（2035年）》</w:t>
            </w:r>
          </w:p>
        </w:tc>
      </w:tr>
      <w:tr w14:paraId="161CBD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3" w:hRule="atLeast"/>
          <w:jc w:val="center"/>
        </w:trPr>
        <w:tc>
          <w:tcPr>
            <w:tcW w:w="777" w:type="dxa"/>
            <w:vMerge w:val="continue"/>
            <w:tcMar>
              <w:left w:w="28" w:type="dxa"/>
              <w:right w:w="28" w:type="dxa"/>
            </w:tcMar>
            <w:vAlign w:val="center"/>
          </w:tcPr>
          <w:p w14:paraId="2D9E40D3">
            <w:pPr>
              <w:pStyle w:val="91"/>
              <w:keepNext w:val="0"/>
              <w:keepLines w:val="0"/>
              <w:suppressLineNumbers w:val="0"/>
              <w:spacing w:before="0" w:beforeAutospacing="0" w:after="0" w:afterAutospacing="0"/>
              <w:ind w:left="0" w:right="0"/>
              <w:rPr>
                <w:rFonts w:hint="default"/>
                <w:color w:val="auto"/>
              </w:rPr>
            </w:pPr>
          </w:p>
        </w:tc>
        <w:tc>
          <w:tcPr>
            <w:tcW w:w="534" w:type="dxa"/>
            <w:vMerge w:val="restart"/>
            <w:tcMar>
              <w:left w:w="28" w:type="dxa"/>
              <w:right w:w="28" w:type="dxa"/>
            </w:tcMar>
            <w:vAlign w:val="center"/>
          </w:tcPr>
          <w:p w14:paraId="2B299799">
            <w:pPr>
              <w:pStyle w:val="91"/>
              <w:keepNext w:val="0"/>
              <w:keepLines w:val="0"/>
              <w:suppressLineNumbers w:val="0"/>
              <w:spacing w:before="0" w:beforeAutospacing="0" w:after="0" w:afterAutospacing="0"/>
              <w:ind w:left="0" w:right="0"/>
              <w:rPr>
                <w:rFonts w:hint="default"/>
                <w:color w:val="auto"/>
              </w:rPr>
            </w:pPr>
            <w:r>
              <w:rPr>
                <w:rFonts w:hint="default"/>
                <w:color w:val="auto"/>
              </w:rPr>
              <w:t>污染物排放管控</w:t>
            </w:r>
          </w:p>
        </w:tc>
        <w:tc>
          <w:tcPr>
            <w:tcW w:w="5400" w:type="dxa"/>
            <w:tcMar>
              <w:left w:w="28" w:type="dxa"/>
              <w:right w:w="28" w:type="dxa"/>
            </w:tcMar>
            <w:vAlign w:val="center"/>
          </w:tcPr>
          <w:p w14:paraId="75A9A437">
            <w:pPr>
              <w:pStyle w:val="91"/>
              <w:keepNext w:val="0"/>
              <w:keepLines w:val="0"/>
              <w:suppressLineNumbers w:val="0"/>
              <w:spacing w:before="0" w:beforeAutospacing="0" w:after="0" w:afterAutospacing="0"/>
              <w:ind w:left="0" w:right="0"/>
              <w:rPr>
                <w:rFonts w:hint="default"/>
                <w:color w:val="auto"/>
              </w:rPr>
            </w:pPr>
            <w:r>
              <w:rPr>
                <w:rFonts w:hint="eastAsia"/>
                <w:color w:val="auto"/>
              </w:rPr>
              <w:t>1</w:t>
            </w:r>
            <w:r>
              <w:rPr>
                <w:rFonts w:hint="default"/>
                <w:color w:val="auto"/>
              </w:rPr>
              <w:t>.船舶排放含油污水、生活污水等，应当符合船舶污染物排放标准。禁止向水体倾倒船舶垃圾。禁止排放不符合规定的船舶压载水。</w:t>
            </w:r>
          </w:p>
        </w:tc>
        <w:tc>
          <w:tcPr>
            <w:tcW w:w="2342" w:type="dxa"/>
            <w:tcMar>
              <w:left w:w="28" w:type="dxa"/>
              <w:right w:w="28" w:type="dxa"/>
            </w:tcMar>
            <w:vAlign w:val="center"/>
          </w:tcPr>
          <w:p w14:paraId="080DD7CE">
            <w:pPr>
              <w:pStyle w:val="91"/>
              <w:keepNext w:val="0"/>
              <w:keepLines w:val="0"/>
              <w:suppressLineNumbers w:val="0"/>
              <w:spacing w:before="0" w:beforeAutospacing="0" w:after="0" w:afterAutospacing="0"/>
              <w:ind w:left="0" w:right="0"/>
              <w:rPr>
                <w:rFonts w:hint="default"/>
                <w:color w:val="auto"/>
              </w:rPr>
            </w:pPr>
            <w:r>
              <w:rPr>
                <w:rFonts w:hint="eastAsia"/>
                <w:color w:val="auto"/>
              </w:rPr>
              <w:t>船舶污水由有资质单位</w:t>
            </w:r>
            <w:r>
              <w:rPr>
                <w:rFonts w:hint="default"/>
                <w:color w:val="auto"/>
              </w:rPr>
              <w:t>处理</w:t>
            </w:r>
            <w:r>
              <w:rPr>
                <w:rFonts w:hint="eastAsia"/>
                <w:color w:val="auto"/>
              </w:rPr>
              <w:t>，不外排</w:t>
            </w:r>
          </w:p>
        </w:tc>
      </w:tr>
      <w:tr w14:paraId="763E90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52" w:hRule="atLeast"/>
          <w:jc w:val="center"/>
        </w:trPr>
        <w:tc>
          <w:tcPr>
            <w:tcW w:w="777" w:type="dxa"/>
            <w:vMerge w:val="continue"/>
            <w:tcMar>
              <w:left w:w="28" w:type="dxa"/>
              <w:right w:w="28" w:type="dxa"/>
            </w:tcMar>
            <w:vAlign w:val="center"/>
          </w:tcPr>
          <w:p w14:paraId="67930C51">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0F4C6183">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00458927">
            <w:pPr>
              <w:pStyle w:val="91"/>
              <w:keepNext w:val="0"/>
              <w:keepLines w:val="0"/>
              <w:suppressLineNumbers w:val="0"/>
              <w:spacing w:before="0" w:beforeAutospacing="0" w:after="0" w:afterAutospacing="0"/>
              <w:ind w:left="0" w:right="0"/>
              <w:rPr>
                <w:rFonts w:hint="default"/>
                <w:color w:val="auto"/>
              </w:rPr>
            </w:pPr>
            <w:r>
              <w:rPr>
                <w:rFonts w:hint="eastAsia"/>
                <w:color w:val="auto"/>
              </w:rPr>
              <w:t>2</w:t>
            </w:r>
            <w:r>
              <w:rPr>
                <w:rFonts w:hint="default"/>
                <w:color w:val="auto"/>
              </w:rPr>
              <w:t>.．统筹规划建设船舶污染物、废弃物的接收、转运及处理处置设施。从事船舶污染物、废弃物接收作业，或者从事装载油类、污染危害性货物船舱清洗作业的单位，应当具备与其运营规模相适应的接收处理能力。</w:t>
            </w:r>
          </w:p>
        </w:tc>
        <w:tc>
          <w:tcPr>
            <w:tcW w:w="2342" w:type="dxa"/>
            <w:tcMar>
              <w:left w:w="28" w:type="dxa"/>
              <w:right w:w="28" w:type="dxa"/>
            </w:tcMar>
            <w:vAlign w:val="center"/>
          </w:tcPr>
          <w:p w14:paraId="06AB573E">
            <w:pPr>
              <w:pStyle w:val="91"/>
              <w:keepNext w:val="0"/>
              <w:keepLines w:val="0"/>
              <w:suppressLineNumbers w:val="0"/>
              <w:spacing w:before="0" w:beforeAutospacing="0" w:after="0" w:afterAutospacing="0"/>
              <w:ind w:left="0" w:right="0"/>
              <w:rPr>
                <w:rFonts w:hint="default"/>
                <w:color w:val="auto"/>
              </w:rPr>
            </w:pPr>
            <w:r>
              <w:rPr>
                <w:rFonts w:hint="eastAsia"/>
                <w:color w:val="auto"/>
              </w:rPr>
              <w:t>船舶污染物由有资质单位</w:t>
            </w:r>
            <w:r>
              <w:rPr>
                <w:rFonts w:hint="default"/>
                <w:color w:val="auto"/>
              </w:rPr>
              <w:t>处理</w:t>
            </w:r>
          </w:p>
        </w:tc>
      </w:tr>
      <w:tr w14:paraId="75C3C7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5930242D">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26E8A5E5">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463109F9">
            <w:pPr>
              <w:pStyle w:val="91"/>
              <w:keepNext w:val="0"/>
              <w:keepLines w:val="0"/>
              <w:suppressLineNumbers w:val="0"/>
              <w:spacing w:before="0" w:beforeAutospacing="0" w:after="0" w:afterAutospacing="0"/>
              <w:ind w:left="0" w:right="0"/>
              <w:rPr>
                <w:rFonts w:hint="default"/>
                <w:color w:val="auto"/>
              </w:rPr>
            </w:pPr>
            <w:r>
              <w:rPr>
                <w:rFonts w:hint="eastAsia"/>
                <w:color w:val="auto"/>
              </w:rPr>
              <w:t>3</w:t>
            </w:r>
            <w:r>
              <w:rPr>
                <w:rFonts w:hint="default"/>
                <w:color w:val="auto"/>
              </w:rPr>
              <w:t>.．实行雨污分流和污水分质处理，完善港区污水集中处理设施和配套管网建设，实现污水集中处理、回用或达标排放。</w:t>
            </w:r>
          </w:p>
        </w:tc>
        <w:tc>
          <w:tcPr>
            <w:tcW w:w="2342" w:type="dxa"/>
            <w:tcMar>
              <w:left w:w="28" w:type="dxa"/>
              <w:right w:w="28" w:type="dxa"/>
            </w:tcMar>
            <w:vAlign w:val="center"/>
          </w:tcPr>
          <w:p w14:paraId="62586FBE">
            <w:pPr>
              <w:pStyle w:val="91"/>
              <w:keepNext w:val="0"/>
              <w:keepLines w:val="0"/>
              <w:suppressLineNumbers w:val="0"/>
              <w:spacing w:before="0" w:beforeAutospacing="0" w:after="0" w:afterAutospacing="0"/>
              <w:ind w:left="0" w:right="0"/>
              <w:rPr>
                <w:rFonts w:hint="default"/>
                <w:color w:val="auto"/>
              </w:rPr>
            </w:pPr>
            <w:r>
              <w:rPr>
                <w:rFonts w:hint="eastAsia"/>
                <w:color w:val="auto"/>
              </w:rPr>
              <w:t>码头污水由集污池收集后，交由</w:t>
            </w:r>
            <w:r>
              <w:rPr>
                <w:rFonts w:hint="default"/>
                <w:color w:val="auto"/>
              </w:rPr>
              <w:t>广西石化</w:t>
            </w:r>
            <w:r>
              <w:rPr>
                <w:rFonts w:hint="eastAsia"/>
                <w:color w:val="auto"/>
              </w:rPr>
              <w:t>分公司</w:t>
            </w:r>
            <w:r>
              <w:rPr>
                <w:rFonts w:hint="default"/>
                <w:color w:val="auto"/>
              </w:rPr>
              <w:t>污水处理厂处理</w:t>
            </w:r>
            <w:r>
              <w:rPr>
                <w:rFonts w:hint="eastAsia"/>
                <w:color w:val="auto"/>
              </w:rPr>
              <w:t>处理</w:t>
            </w:r>
          </w:p>
        </w:tc>
      </w:tr>
      <w:tr w14:paraId="576EE1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72C986E3">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3848A960">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5696ABE7">
            <w:pPr>
              <w:pStyle w:val="91"/>
              <w:keepNext w:val="0"/>
              <w:keepLines w:val="0"/>
              <w:suppressLineNumbers w:val="0"/>
              <w:spacing w:before="0" w:beforeAutospacing="0" w:after="0" w:afterAutospacing="0"/>
              <w:ind w:left="0" w:right="0"/>
              <w:rPr>
                <w:rFonts w:hint="default"/>
                <w:color w:val="auto"/>
              </w:rPr>
            </w:pPr>
            <w:r>
              <w:rPr>
                <w:rFonts w:hint="eastAsia"/>
                <w:color w:val="auto"/>
              </w:rPr>
              <w:t>4</w:t>
            </w:r>
            <w:r>
              <w:rPr>
                <w:rFonts w:hint="default"/>
                <w:color w:val="auto"/>
              </w:rPr>
              <w:t>．．干散货作业区应实现封闭/半封闭堆存或建设有效防风抑尘设施。严格控制船舶大气污染物排放，加强码头挥发性有机化合物控制，采取油气回收措施等有效措施控制港区油气无组织排放。</w:t>
            </w:r>
          </w:p>
        </w:tc>
        <w:tc>
          <w:tcPr>
            <w:tcW w:w="2342" w:type="dxa"/>
            <w:tcMar>
              <w:left w:w="28" w:type="dxa"/>
              <w:right w:w="28" w:type="dxa"/>
            </w:tcMar>
            <w:vAlign w:val="center"/>
          </w:tcPr>
          <w:p w14:paraId="6D4DA990">
            <w:pPr>
              <w:pStyle w:val="91"/>
              <w:keepNext w:val="0"/>
              <w:keepLines w:val="0"/>
              <w:suppressLineNumbers w:val="0"/>
              <w:spacing w:before="0" w:beforeAutospacing="0" w:after="0" w:afterAutospacing="0"/>
              <w:ind w:left="0" w:right="0"/>
              <w:rPr>
                <w:rFonts w:hint="default"/>
                <w:color w:val="auto"/>
              </w:rPr>
            </w:pPr>
            <w:r>
              <w:rPr>
                <w:rFonts w:hint="eastAsia"/>
                <w:color w:val="auto"/>
              </w:rPr>
              <w:t>码头废气由管道进入后方罐区处理后排放，定期检查管道，减少无组织废气排放，符合</w:t>
            </w:r>
          </w:p>
        </w:tc>
      </w:tr>
      <w:tr w14:paraId="01A79F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53D4F7D3">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2C344028">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6B8E0496">
            <w:pPr>
              <w:pStyle w:val="91"/>
              <w:keepNext w:val="0"/>
              <w:keepLines w:val="0"/>
              <w:suppressLineNumbers w:val="0"/>
              <w:spacing w:before="0" w:beforeAutospacing="0" w:after="0" w:afterAutospacing="0"/>
              <w:ind w:left="0" w:right="0"/>
              <w:rPr>
                <w:rFonts w:hint="default"/>
                <w:color w:val="auto"/>
              </w:rPr>
            </w:pPr>
            <w:r>
              <w:rPr>
                <w:rFonts w:hint="eastAsia"/>
                <w:color w:val="auto"/>
              </w:rPr>
              <w:t>5</w:t>
            </w:r>
            <w:r>
              <w:rPr>
                <w:rFonts w:hint="default"/>
                <w:color w:val="auto"/>
              </w:rPr>
              <w:t>.钦州湾超标海域整治：（1）推进钦州市东排水口、犀牛脚镇排污口、胜科污水处理厂纳污区域、大榄坪污水处理厂纳污区域、三墩循环经济示范岛水污染整治。（2）污水处理厂尾水严格执行污染物排放标准，实施污染物排放总量控制。（3）推进雨污分流制改造。（4）加强工业集聚区污染治理和污染物排放控制，提高企业工业用水重复率。</w:t>
            </w:r>
          </w:p>
        </w:tc>
        <w:tc>
          <w:tcPr>
            <w:tcW w:w="2342" w:type="dxa"/>
            <w:tcMar>
              <w:left w:w="28" w:type="dxa"/>
              <w:right w:w="28" w:type="dxa"/>
            </w:tcMar>
            <w:vAlign w:val="center"/>
          </w:tcPr>
          <w:p w14:paraId="4252E853">
            <w:pPr>
              <w:pStyle w:val="91"/>
              <w:keepNext w:val="0"/>
              <w:keepLines w:val="0"/>
              <w:suppressLineNumbers w:val="0"/>
              <w:spacing w:before="0" w:beforeAutospacing="0" w:after="0" w:afterAutospacing="0"/>
              <w:ind w:left="0" w:right="0"/>
              <w:rPr>
                <w:rFonts w:hint="default"/>
                <w:color w:val="auto"/>
              </w:rPr>
            </w:pPr>
            <w:r>
              <w:rPr>
                <w:rFonts w:hint="eastAsia"/>
                <w:color w:val="auto"/>
              </w:rPr>
              <w:t>污水经广西石化分公司污水</w:t>
            </w:r>
            <w:r>
              <w:rPr>
                <w:rFonts w:hint="default"/>
                <w:color w:val="auto"/>
              </w:rPr>
              <w:t>处理厂</w:t>
            </w:r>
            <w:r>
              <w:rPr>
                <w:rFonts w:hint="eastAsia"/>
                <w:color w:val="auto"/>
              </w:rPr>
              <w:t>处理后达标排放</w:t>
            </w:r>
          </w:p>
        </w:tc>
      </w:tr>
      <w:tr w14:paraId="3476BE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169DF7AB">
            <w:pPr>
              <w:pStyle w:val="91"/>
              <w:keepNext w:val="0"/>
              <w:keepLines w:val="0"/>
              <w:suppressLineNumbers w:val="0"/>
              <w:spacing w:before="0" w:beforeAutospacing="0" w:after="0" w:afterAutospacing="0"/>
              <w:ind w:left="0" w:right="0"/>
              <w:rPr>
                <w:rFonts w:hint="default"/>
                <w:color w:val="auto"/>
              </w:rPr>
            </w:pPr>
          </w:p>
        </w:tc>
        <w:tc>
          <w:tcPr>
            <w:tcW w:w="534" w:type="dxa"/>
            <w:vMerge w:val="restart"/>
            <w:tcMar>
              <w:left w:w="28" w:type="dxa"/>
              <w:right w:w="28" w:type="dxa"/>
            </w:tcMar>
            <w:vAlign w:val="center"/>
          </w:tcPr>
          <w:p w14:paraId="453327A0">
            <w:pPr>
              <w:pStyle w:val="91"/>
              <w:keepNext w:val="0"/>
              <w:keepLines w:val="0"/>
              <w:suppressLineNumbers w:val="0"/>
              <w:spacing w:before="0" w:beforeAutospacing="0" w:after="0" w:afterAutospacing="0"/>
              <w:ind w:left="0" w:right="0"/>
              <w:rPr>
                <w:rFonts w:hint="default"/>
                <w:color w:val="auto"/>
              </w:rPr>
            </w:pPr>
            <w:r>
              <w:rPr>
                <w:rFonts w:hint="default"/>
                <w:color w:val="auto"/>
              </w:rPr>
              <w:t>环境风险防控</w:t>
            </w:r>
          </w:p>
        </w:tc>
        <w:tc>
          <w:tcPr>
            <w:tcW w:w="5400" w:type="dxa"/>
            <w:tcMar>
              <w:left w:w="28" w:type="dxa"/>
              <w:right w:w="28" w:type="dxa"/>
            </w:tcMar>
            <w:vAlign w:val="center"/>
          </w:tcPr>
          <w:p w14:paraId="5683F58F">
            <w:pPr>
              <w:pStyle w:val="91"/>
              <w:keepNext w:val="0"/>
              <w:keepLines w:val="0"/>
              <w:suppressLineNumbers w:val="0"/>
              <w:spacing w:before="0" w:beforeAutospacing="0" w:after="0" w:afterAutospacing="0"/>
              <w:ind w:left="0" w:right="0"/>
              <w:rPr>
                <w:rFonts w:hint="default"/>
                <w:color w:val="auto"/>
              </w:rPr>
            </w:pPr>
            <w:r>
              <w:rPr>
                <w:rFonts w:hint="default"/>
                <w:color w:val="auto"/>
              </w:rPr>
              <w:t>1</w:t>
            </w:r>
            <w:r>
              <w:rPr>
                <w:rFonts w:hint="eastAsia"/>
                <w:color w:val="auto"/>
              </w:rPr>
              <w:t>.</w:t>
            </w:r>
            <w:r>
              <w:rPr>
                <w:rFonts w:hint="default"/>
                <w:color w:val="auto"/>
              </w:rPr>
              <w:t>严控港区油品和化学品运输、存储的环境风险，加大船舶航行安全保障和港区风险防范力度。船舶装载运输油类或者有毒货物，应当采取防止溢流和渗漏的措施，防止货物落水造成水污染。</w:t>
            </w:r>
          </w:p>
        </w:tc>
        <w:tc>
          <w:tcPr>
            <w:tcW w:w="2342" w:type="dxa"/>
            <w:tcMar>
              <w:left w:w="28" w:type="dxa"/>
              <w:right w:w="28" w:type="dxa"/>
            </w:tcMar>
            <w:vAlign w:val="center"/>
          </w:tcPr>
          <w:p w14:paraId="1F705B99">
            <w:pPr>
              <w:pStyle w:val="91"/>
              <w:keepNext w:val="0"/>
              <w:keepLines w:val="0"/>
              <w:suppressLineNumbers w:val="0"/>
              <w:spacing w:before="0" w:beforeAutospacing="0" w:after="0" w:afterAutospacing="0"/>
              <w:ind w:left="0" w:right="0"/>
              <w:rPr>
                <w:rFonts w:hint="default"/>
                <w:color w:val="auto"/>
              </w:rPr>
            </w:pPr>
            <w:r>
              <w:rPr>
                <w:rFonts w:hint="eastAsia"/>
                <w:color w:val="auto"/>
              </w:rPr>
              <w:t>项目</w:t>
            </w:r>
            <w:r>
              <w:rPr>
                <w:rFonts w:hint="default"/>
                <w:color w:val="auto"/>
              </w:rPr>
              <w:t>开展风险评估，制订突发环境应急预案，健全企业应急制度管理</w:t>
            </w:r>
          </w:p>
        </w:tc>
      </w:tr>
      <w:tr w14:paraId="6F38AA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4A7AA808">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5E8D1A70">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663C2B3A">
            <w:pPr>
              <w:pStyle w:val="91"/>
              <w:keepNext w:val="0"/>
              <w:keepLines w:val="0"/>
              <w:suppressLineNumbers w:val="0"/>
              <w:spacing w:before="0" w:beforeAutospacing="0" w:after="0" w:afterAutospacing="0"/>
              <w:ind w:left="0" w:right="0"/>
              <w:rPr>
                <w:rFonts w:hint="default"/>
                <w:color w:val="auto"/>
              </w:rPr>
            </w:pPr>
            <w:r>
              <w:rPr>
                <w:rFonts w:hint="eastAsia"/>
                <w:color w:val="auto"/>
              </w:rPr>
              <w:t>2</w:t>
            </w:r>
            <w:r>
              <w:rPr>
                <w:rFonts w:hint="default"/>
                <w:color w:val="auto"/>
              </w:rPr>
              <w:t>.开展环境风险评估，编制重大突发环境事件应急预案并备案，完善陆域环境风险源和海上溢油及危险化学品泄漏对近岸海域影响的应急方案，落实港区环境风险应急能力建设，并定期开展应急演练。完善区域应急联动机制。探索建立健全沿海环境污染责任保险制度。</w:t>
            </w:r>
          </w:p>
        </w:tc>
        <w:tc>
          <w:tcPr>
            <w:tcW w:w="2342" w:type="dxa"/>
            <w:tcMar>
              <w:left w:w="28" w:type="dxa"/>
              <w:right w:w="28" w:type="dxa"/>
            </w:tcMar>
            <w:vAlign w:val="center"/>
          </w:tcPr>
          <w:p w14:paraId="2D534988">
            <w:pPr>
              <w:pStyle w:val="91"/>
              <w:keepNext w:val="0"/>
              <w:keepLines w:val="0"/>
              <w:suppressLineNumbers w:val="0"/>
              <w:spacing w:before="0" w:beforeAutospacing="0" w:after="0" w:afterAutospacing="0"/>
              <w:ind w:left="0" w:right="0"/>
              <w:rPr>
                <w:rFonts w:hint="default"/>
                <w:color w:val="auto"/>
              </w:rPr>
            </w:pPr>
            <w:r>
              <w:rPr>
                <w:rFonts w:hint="default"/>
                <w:color w:val="auto"/>
              </w:rPr>
              <w:t>开展风险评估，制订突发环境应急预案，健全企业应急制度管理</w:t>
            </w:r>
          </w:p>
        </w:tc>
      </w:tr>
      <w:tr w14:paraId="72D3EB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6BFB07AC">
            <w:pPr>
              <w:pStyle w:val="91"/>
              <w:keepNext w:val="0"/>
              <w:keepLines w:val="0"/>
              <w:suppressLineNumbers w:val="0"/>
              <w:spacing w:before="0" w:beforeAutospacing="0" w:after="0" w:afterAutospacing="0"/>
              <w:ind w:left="0" w:right="0"/>
              <w:rPr>
                <w:rFonts w:hint="default"/>
                <w:color w:val="auto"/>
              </w:rPr>
            </w:pPr>
          </w:p>
        </w:tc>
        <w:tc>
          <w:tcPr>
            <w:tcW w:w="534" w:type="dxa"/>
            <w:vMerge w:val="continue"/>
            <w:tcMar>
              <w:left w:w="28" w:type="dxa"/>
              <w:right w:w="28" w:type="dxa"/>
            </w:tcMar>
            <w:vAlign w:val="center"/>
          </w:tcPr>
          <w:p w14:paraId="18624ACC">
            <w:pPr>
              <w:pStyle w:val="91"/>
              <w:keepNext w:val="0"/>
              <w:keepLines w:val="0"/>
              <w:suppressLineNumbers w:val="0"/>
              <w:spacing w:before="0" w:beforeAutospacing="0" w:after="0" w:afterAutospacing="0"/>
              <w:ind w:left="0" w:right="0"/>
              <w:rPr>
                <w:rFonts w:hint="default"/>
                <w:color w:val="auto"/>
              </w:rPr>
            </w:pPr>
          </w:p>
        </w:tc>
        <w:tc>
          <w:tcPr>
            <w:tcW w:w="5400" w:type="dxa"/>
            <w:tcMar>
              <w:left w:w="28" w:type="dxa"/>
              <w:right w:w="28" w:type="dxa"/>
            </w:tcMar>
            <w:vAlign w:val="center"/>
          </w:tcPr>
          <w:p w14:paraId="0DDC2A96">
            <w:pPr>
              <w:pStyle w:val="91"/>
              <w:keepNext w:val="0"/>
              <w:keepLines w:val="0"/>
              <w:suppressLineNumbers w:val="0"/>
              <w:spacing w:before="0" w:beforeAutospacing="0" w:after="0" w:afterAutospacing="0"/>
              <w:ind w:left="0" w:right="0"/>
              <w:rPr>
                <w:rFonts w:hint="default"/>
                <w:color w:val="auto"/>
              </w:rPr>
            </w:pPr>
            <w:r>
              <w:rPr>
                <w:rFonts w:hint="default"/>
                <w:color w:val="auto"/>
              </w:rPr>
              <w:t>3．进一步完善港区环境风险应急体系建设，加快建立溢油应急设备库，增配应急</w:t>
            </w:r>
            <w:r>
              <w:rPr>
                <w:rFonts w:hint="eastAsia"/>
                <w:color w:val="auto"/>
                <w:lang w:eastAsia="zh-CN"/>
              </w:rPr>
              <w:t>设施</w:t>
            </w:r>
            <w:r>
              <w:rPr>
                <w:rFonts w:hint="default"/>
                <w:color w:val="auto"/>
              </w:rPr>
              <w:t>配备，加强现有油品码头风险应急能力建设，在涠洲岛配备完善的应急设备和应急预案，根据相关规定，配备一定数量的风险应急设施。</w:t>
            </w:r>
          </w:p>
        </w:tc>
        <w:tc>
          <w:tcPr>
            <w:tcW w:w="2342" w:type="dxa"/>
            <w:tcMar>
              <w:left w:w="28" w:type="dxa"/>
              <w:right w:w="28" w:type="dxa"/>
            </w:tcMar>
            <w:vAlign w:val="center"/>
          </w:tcPr>
          <w:p w14:paraId="525A71FD">
            <w:pPr>
              <w:pStyle w:val="91"/>
              <w:keepNext w:val="0"/>
              <w:keepLines w:val="0"/>
              <w:suppressLineNumbers w:val="0"/>
              <w:spacing w:before="0" w:beforeAutospacing="0" w:after="0" w:afterAutospacing="0"/>
              <w:ind w:left="0" w:right="0"/>
              <w:rPr>
                <w:rFonts w:hint="default"/>
                <w:color w:val="auto"/>
              </w:rPr>
            </w:pPr>
            <w:r>
              <w:rPr>
                <w:rFonts w:hint="default"/>
                <w:color w:val="auto"/>
              </w:rPr>
              <w:t>开展风险评估，制订突发环境应急预案，健全企业应急制度管理</w:t>
            </w:r>
          </w:p>
        </w:tc>
      </w:tr>
      <w:tr w14:paraId="78A9BB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7" w:type="dxa"/>
            <w:vMerge w:val="continue"/>
            <w:tcMar>
              <w:left w:w="28" w:type="dxa"/>
              <w:right w:w="28" w:type="dxa"/>
            </w:tcMar>
            <w:vAlign w:val="center"/>
          </w:tcPr>
          <w:p w14:paraId="46F5B9A4">
            <w:pPr>
              <w:pStyle w:val="91"/>
              <w:keepNext w:val="0"/>
              <w:keepLines w:val="0"/>
              <w:suppressLineNumbers w:val="0"/>
              <w:spacing w:before="0" w:beforeAutospacing="0" w:after="0" w:afterAutospacing="0"/>
              <w:ind w:left="0" w:right="0"/>
              <w:rPr>
                <w:rFonts w:hint="default"/>
                <w:color w:val="auto"/>
              </w:rPr>
            </w:pPr>
          </w:p>
        </w:tc>
        <w:tc>
          <w:tcPr>
            <w:tcW w:w="534" w:type="dxa"/>
            <w:tcMar>
              <w:left w:w="28" w:type="dxa"/>
              <w:right w:w="28" w:type="dxa"/>
            </w:tcMar>
            <w:vAlign w:val="center"/>
          </w:tcPr>
          <w:p w14:paraId="5BDFA0EB">
            <w:pPr>
              <w:pStyle w:val="91"/>
              <w:keepNext w:val="0"/>
              <w:keepLines w:val="0"/>
              <w:suppressLineNumbers w:val="0"/>
              <w:spacing w:before="0" w:beforeAutospacing="0" w:after="0" w:afterAutospacing="0"/>
              <w:ind w:left="0" w:right="0"/>
              <w:rPr>
                <w:rFonts w:hint="default"/>
                <w:color w:val="auto"/>
              </w:rPr>
            </w:pPr>
            <w:r>
              <w:rPr>
                <w:rFonts w:hint="default"/>
                <w:color w:val="auto"/>
              </w:rPr>
              <w:t>资源开发利用效率要求</w:t>
            </w:r>
          </w:p>
        </w:tc>
        <w:tc>
          <w:tcPr>
            <w:tcW w:w="5400" w:type="dxa"/>
            <w:tcMar>
              <w:left w:w="28" w:type="dxa"/>
              <w:right w:w="28" w:type="dxa"/>
            </w:tcMar>
            <w:vAlign w:val="center"/>
          </w:tcPr>
          <w:p w14:paraId="2D2D3722">
            <w:pPr>
              <w:pStyle w:val="91"/>
              <w:keepNext w:val="0"/>
              <w:keepLines w:val="0"/>
              <w:suppressLineNumbers w:val="0"/>
              <w:spacing w:before="0" w:beforeAutospacing="0" w:after="0" w:afterAutospacing="0"/>
              <w:ind w:left="0" w:right="0"/>
              <w:rPr>
                <w:rFonts w:hint="default"/>
                <w:color w:val="auto"/>
              </w:rPr>
            </w:pPr>
            <w:r>
              <w:rPr>
                <w:rFonts w:hint="default"/>
                <w:color w:val="auto"/>
              </w:rPr>
              <w:t>港区污染物排放以及用水、能耗、物耗、岸线与土地利用等资源环境指标达到行业先进水平。</w:t>
            </w:r>
          </w:p>
        </w:tc>
        <w:tc>
          <w:tcPr>
            <w:tcW w:w="2342" w:type="dxa"/>
            <w:tcMar>
              <w:left w:w="28" w:type="dxa"/>
              <w:right w:w="28" w:type="dxa"/>
            </w:tcMar>
            <w:vAlign w:val="center"/>
          </w:tcPr>
          <w:p w14:paraId="3AA8CC13">
            <w:pPr>
              <w:pStyle w:val="91"/>
              <w:keepNext w:val="0"/>
              <w:keepLines w:val="0"/>
              <w:suppressLineNumbers w:val="0"/>
              <w:spacing w:before="0" w:beforeAutospacing="0" w:after="0" w:afterAutospacing="0"/>
              <w:ind w:left="0" w:right="0"/>
              <w:rPr>
                <w:rFonts w:hint="default"/>
                <w:color w:val="auto"/>
              </w:rPr>
            </w:pPr>
            <w:r>
              <w:rPr>
                <w:rFonts w:hint="eastAsia"/>
                <w:color w:val="auto"/>
              </w:rPr>
              <w:t>本次</w:t>
            </w:r>
            <w:r>
              <w:rPr>
                <w:rFonts w:hint="default"/>
                <w:color w:val="auto"/>
              </w:rPr>
              <w:t>扩建不新增用水、用地，废气均采取措施减少排放，污水</w:t>
            </w:r>
            <w:r>
              <w:rPr>
                <w:rFonts w:hint="eastAsia"/>
                <w:color w:val="auto"/>
              </w:rPr>
              <w:t>交由</w:t>
            </w:r>
            <w:r>
              <w:rPr>
                <w:rFonts w:hint="default"/>
                <w:color w:val="auto"/>
              </w:rPr>
              <w:t>广西石化</w:t>
            </w:r>
            <w:r>
              <w:rPr>
                <w:rFonts w:hint="eastAsia"/>
                <w:color w:val="auto"/>
              </w:rPr>
              <w:t>分公司污水</w:t>
            </w:r>
            <w:r>
              <w:rPr>
                <w:rFonts w:hint="default"/>
                <w:color w:val="auto"/>
              </w:rPr>
              <w:t>处理厂处理达标后排放。符合</w:t>
            </w:r>
          </w:p>
        </w:tc>
      </w:tr>
    </w:tbl>
    <w:p w14:paraId="229021AD">
      <w:pPr>
        <w:ind w:firstLine="480"/>
        <w:rPr>
          <w:color w:val="auto"/>
        </w:rPr>
      </w:pPr>
      <w:r>
        <w:rPr>
          <w:rFonts w:hint="eastAsia"/>
          <w:color w:val="auto"/>
        </w:rPr>
        <w:t>根据分析，本项目符合《钦州市生态环境分区管控动态更新成果（2023版）》的</w:t>
      </w:r>
      <w:r>
        <w:rPr>
          <w:color w:val="auto"/>
        </w:rPr>
        <w:t>管控要求。</w:t>
      </w:r>
    </w:p>
    <w:bookmarkEnd w:id="39"/>
    <w:bookmarkEnd w:id="40"/>
    <w:bookmarkEnd w:id="41"/>
    <w:p w14:paraId="0E68AC03">
      <w:pPr>
        <w:ind w:left="482" w:firstLine="0" w:firstLineChars="0"/>
        <w:outlineLvl w:val="1"/>
        <w:rPr>
          <w:b/>
          <w:color w:val="auto"/>
        </w:rPr>
      </w:pPr>
      <w:bookmarkStart w:id="107" w:name="_Toc223595749"/>
      <w:bookmarkStart w:id="108" w:name="_Toc223258444"/>
      <w:bookmarkStart w:id="109" w:name="_Toc223258186"/>
      <w:r>
        <w:rPr>
          <w:rFonts w:hint="eastAsia"/>
          <w:b/>
          <w:color w:val="auto"/>
        </w:rPr>
        <w:t>5、与《钦州市国土空间总体规划（2021-2035年）》</w:t>
      </w:r>
      <w:r>
        <w:rPr>
          <w:b/>
          <w:color w:val="auto"/>
        </w:rPr>
        <w:t>符合性分析</w:t>
      </w:r>
      <w:bookmarkEnd w:id="107"/>
      <w:bookmarkEnd w:id="108"/>
      <w:bookmarkEnd w:id="109"/>
    </w:p>
    <w:p w14:paraId="609BB17A">
      <w:pPr>
        <w:ind w:firstLine="480"/>
        <w:rPr>
          <w:color w:val="auto"/>
        </w:rPr>
      </w:pPr>
      <w:r>
        <w:rPr>
          <w:rFonts w:hint="eastAsia"/>
          <w:color w:val="auto"/>
        </w:rPr>
        <w:t>《钦州市国土空间总体规划（2021-2035年）》已于2024年1月24日取得广西壮族自治区人民政府的批复（桂政函〔2024〕17号），本项目位于金鼓江交通运输用海区。其发展指引与管控要求为：海岸交通运输用海区主要用于近岸港口陆域、码头、港池等航运设施建设，重点保障平陆运河、金鼓江、大榄坪等发展需要；近海交通运输用海区主要用于港外航道、锚地等航运用海。在已经开发利用的港区、锚地、航道以及规定的航路及其保护范围内，禁止开展与航运无关、有碍航行安全的活动；原则上禁止其他海岸工程或海洋工程占用深水岸线资源；在未开发利用的港区内，对无碍交通运输功能发挥的海洋开发活动尤其是渔业开发活动可暂时予以保留；在不影响交通运输用海及安全的前提下，可兼容临海工业用海。</w:t>
      </w:r>
    </w:p>
    <w:p w14:paraId="4FF46C9C">
      <w:pPr>
        <w:ind w:firstLine="480"/>
        <w:rPr>
          <w:color w:val="auto"/>
        </w:rPr>
      </w:pPr>
      <w:r>
        <w:rPr>
          <w:rFonts w:hint="eastAsia"/>
          <w:color w:val="auto"/>
        </w:rPr>
        <w:t>本项目为液体危化品码头扩建项目，拟</w:t>
      </w:r>
      <w:r>
        <w:rPr>
          <w:color w:val="auto"/>
        </w:rPr>
        <w:t>在6#</w:t>
      </w:r>
      <w:r>
        <w:rPr>
          <w:rFonts w:hint="eastAsia"/>
          <w:color w:val="auto"/>
        </w:rPr>
        <w:t>泊位</w:t>
      </w:r>
      <w:r>
        <w:rPr>
          <w:color w:val="auto"/>
        </w:rPr>
        <w:t>新增装卸货种</w:t>
      </w:r>
      <w:r>
        <w:rPr>
          <w:rFonts w:hint="eastAsia"/>
          <w:color w:val="auto"/>
        </w:rPr>
        <w:t>，</w:t>
      </w:r>
      <w:r>
        <w:rPr>
          <w:color w:val="auto"/>
        </w:rPr>
        <w:t>并输送至后方</w:t>
      </w:r>
      <w:r>
        <w:rPr>
          <w:rFonts w:hint="eastAsia"/>
          <w:color w:val="auto"/>
        </w:rPr>
        <w:t>库区</w:t>
      </w:r>
      <w:r>
        <w:rPr>
          <w:color w:val="auto"/>
        </w:rPr>
        <w:t>储存。</w:t>
      </w:r>
      <w:r>
        <w:rPr>
          <w:rFonts w:hint="eastAsia"/>
          <w:color w:val="auto"/>
        </w:rPr>
        <w:t>本次</w:t>
      </w:r>
      <w:r>
        <w:rPr>
          <w:color w:val="auto"/>
        </w:rPr>
        <w:t>扩建</w:t>
      </w:r>
      <w:r>
        <w:rPr>
          <w:rFonts w:hint="eastAsia"/>
          <w:color w:val="auto"/>
        </w:rPr>
        <w:t>项目均</w:t>
      </w:r>
      <w:r>
        <w:rPr>
          <w:color w:val="auto"/>
        </w:rPr>
        <w:t>依托现有工程，</w:t>
      </w:r>
      <w:r>
        <w:rPr>
          <w:rFonts w:hint="eastAsia"/>
          <w:color w:val="auto"/>
        </w:rPr>
        <w:t>不涉及新增围填海和疏浚。本项目的建设对打造国家级钦州石化产业基地、形成北部湾石化产业集群具有积极意义，符合《钦州市国土空间总体规划（2021-2035年）》管控要求。</w:t>
      </w:r>
    </w:p>
    <w:p w14:paraId="6EF78DF6">
      <w:pPr>
        <w:ind w:firstLine="482"/>
        <w:outlineLvl w:val="0"/>
        <w:rPr>
          <w:b/>
          <w:bCs/>
          <w:color w:val="auto"/>
        </w:rPr>
      </w:pPr>
      <w:bookmarkStart w:id="110" w:name="_Toc223595750"/>
      <w:bookmarkStart w:id="111" w:name="_Toc223258445"/>
      <w:bookmarkStart w:id="112" w:name="_Toc223258187"/>
      <w:r>
        <w:rPr>
          <w:rFonts w:hint="eastAsia"/>
          <w:b/>
          <w:bCs/>
          <w:color w:val="auto"/>
        </w:rPr>
        <w:t>六</w:t>
      </w:r>
      <w:r>
        <w:rPr>
          <w:b/>
          <w:bCs/>
          <w:color w:val="auto"/>
        </w:rPr>
        <w:t>、关注的主要环境问题及环境影响</w:t>
      </w:r>
      <w:bookmarkEnd w:id="42"/>
      <w:bookmarkEnd w:id="110"/>
      <w:bookmarkEnd w:id="111"/>
      <w:bookmarkEnd w:id="112"/>
    </w:p>
    <w:p w14:paraId="2A0E08C9">
      <w:pPr>
        <w:ind w:firstLine="480"/>
        <w:rPr>
          <w:color w:val="auto"/>
        </w:rPr>
      </w:pPr>
      <w:r>
        <w:rPr>
          <w:color w:val="auto"/>
        </w:rPr>
        <w:t>本项目为</w:t>
      </w:r>
      <w:r>
        <w:rPr>
          <w:rFonts w:hint="eastAsia"/>
          <w:color w:val="auto"/>
        </w:rPr>
        <w:t>液体危化品码头扩建</w:t>
      </w:r>
      <w:r>
        <w:rPr>
          <w:color w:val="auto"/>
        </w:rPr>
        <w:t>项目</w:t>
      </w:r>
      <w:r>
        <w:rPr>
          <w:rFonts w:hint="eastAsia"/>
          <w:color w:val="auto"/>
        </w:rPr>
        <w:t>，主要新增甲基叔丁基醚（MTBE）、石脑油、蜡油、渣油4个</w:t>
      </w:r>
      <w:r>
        <w:rPr>
          <w:color w:val="auto"/>
        </w:rPr>
        <w:t>货种的装卸船功能。</w:t>
      </w:r>
    </w:p>
    <w:p w14:paraId="7773C894">
      <w:pPr>
        <w:ind w:firstLine="480"/>
        <w:rPr>
          <w:color w:val="auto"/>
        </w:rPr>
      </w:pPr>
      <w:r>
        <w:rPr>
          <w:color w:val="auto"/>
        </w:rPr>
        <w:t>根据项目特点，本次新增</w:t>
      </w:r>
      <w:r>
        <w:rPr>
          <w:rFonts w:hint="eastAsia"/>
          <w:color w:val="auto"/>
        </w:rPr>
        <w:t>货种的</w:t>
      </w:r>
      <w:r>
        <w:rPr>
          <w:color w:val="auto"/>
        </w:rPr>
        <w:t>装卸</w:t>
      </w:r>
      <w:r>
        <w:rPr>
          <w:rFonts w:hint="eastAsia"/>
          <w:color w:val="auto"/>
        </w:rPr>
        <w:t>，将新增废气、</w:t>
      </w:r>
      <w:r>
        <w:rPr>
          <w:color w:val="auto"/>
        </w:rPr>
        <w:t>废水、噪声</w:t>
      </w:r>
      <w:r>
        <w:rPr>
          <w:rFonts w:hint="eastAsia"/>
          <w:color w:val="auto"/>
        </w:rPr>
        <w:t>及</w:t>
      </w:r>
      <w:r>
        <w:rPr>
          <w:color w:val="auto"/>
        </w:rPr>
        <w:t>固废污染物产生量</w:t>
      </w:r>
      <w:r>
        <w:rPr>
          <w:rFonts w:hint="eastAsia"/>
          <w:color w:val="auto"/>
        </w:rPr>
        <w:t>，本次评价重点关注依托现有</w:t>
      </w:r>
      <w:r>
        <w:rPr>
          <w:color w:val="auto"/>
        </w:rPr>
        <w:t>措施</w:t>
      </w:r>
      <w:r>
        <w:rPr>
          <w:rFonts w:hint="eastAsia"/>
          <w:color w:val="auto"/>
        </w:rPr>
        <w:t>能否有效处理新增的各类污染物，确保达标排放。</w:t>
      </w:r>
    </w:p>
    <w:p w14:paraId="2FE2D37F">
      <w:pPr>
        <w:ind w:firstLine="480"/>
        <w:rPr>
          <w:color w:val="auto"/>
        </w:rPr>
      </w:pPr>
      <w:r>
        <w:rPr>
          <w:rFonts w:hint="eastAsia"/>
          <w:color w:val="auto"/>
        </w:rPr>
        <w:t>①废气方面，要关注甲基叔丁基醚（MTBE）、石脑油、蜡油、渣油等在装卸过程中挥发产生的有机废气，分析依托废气处理设施的处理能力与处理效率，判断其是否能满足新增废气量的处理需求，避免对周边大气环境造成不良影响，如导致区域空气质量下降、产生异味扰民等问题。</w:t>
      </w:r>
    </w:p>
    <w:p w14:paraId="2BD8812F">
      <w:pPr>
        <w:ind w:firstLine="480"/>
        <w:rPr>
          <w:color w:val="auto"/>
        </w:rPr>
      </w:pPr>
      <w:r>
        <w:rPr>
          <w:rFonts w:hint="eastAsia"/>
          <w:color w:val="auto"/>
        </w:rPr>
        <w:t>②</w:t>
      </w:r>
      <w:r>
        <w:rPr>
          <w:color w:val="auto"/>
        </w:rPr>
        <w:t>项目新增危险货种</w:t>
      </w:r>
      <w:r>
        <w:rPr>
          <w:rFonts w:hint="eastAsia"/>
          <w:color w:val="auto"/>
        </w:rPr>
        <w:t>装卸</w:t>
      </w:r>
      <w:r>
        <w:rPr>
          <w:color w:val="auto"/>
        </w:rPr>
        <w:t>可能发生的环境风险事故主要包括化学品泄漏和火灾爆炸事故。陆域化学品泄漏及火灾爆炸风险事故对周边环境空气及敏感点将造成不利影响，但影响较小，不会造成人员伤亡；化学品泄漏入海可能扩散至项目周边生态敏感区。</w:t>
      </w:r>
      <w:r>
        <w:rPr>
          <w:rFonts w:hint="eastAsia"/>
          <w:color w:val="auto"/>
        </w:rPr>
        <w:t>项目</w:t>
      </w:r>
      <w:r>
        <w:rPr>
          <w:color w:val="auto"/>
        </w:rPr>
        <w:t>码头按要求配备应急设备和应急物资，与附近企业和钦州港建立应急联动机制，制定事故应急预案，防控事故污染对环境的危害，项目环境风险可防可控</w:t>
      </w:r>
      <w:r>
        <w:rPr>
          <w:rFonts w:hint="eastAsia"/>
          <w:color w:val="auto"/>
        </w:rPr>
        <w:t>。</w:t>
      </w:r>
    </w:p>
    <w:p w14:paraId="2BE0BDF2">
      <w:pPr>
        <w:ind w:firstLine="482"/>
        <w:outlineLvl w:val="0"/>
        <w:rPr>
          <w:b/>
          <w:bCs/>
          <w:color w:val="auto"/>
        </w:rPr>
      </w:pPr>
      <w:bookmarkStart w:id="113" w:name="_Toc223595751"/>
      <w:bookmarkStart w:id="114" w:name="_Toc223258446"/>
      <w:bookmarkStart w:id="115" w:name="_Toc3803"/>
      <w:bookmarkStart w:id="116" w:name="_Toc223258188"/>
      <w:r>
        <w:rPr>
          <w:rFonts w:hint="eastAsia"/>
          <w:b/>
          <w:bCs/>
          <w:color w:val="auto"/>
        </w:rPr>
        <w:t>七</w:t>
      </w:r>
      <w:r>
        <w:rPr>
          <w:b/>
          <w:bCs/>
          <w:color w:val="auto"/>
        </w:rPr>
        <w:t>、评价主要结论</w:t>
      </w:r>
      <w:bookmarkEnd w:id="113"/>
      <w:bookmarkEnd w:id="114"/>
      <w:bookmarkEnd w:id="115"/>
      <w:bookmarkEnd w:id="116"/>
    </w:p>
    <w:p w14:paraId="67E3A688">
      <w:pPr>
        <w:ind w:firstLine="480"/>
        <w:rPr>
          <w:color w:val="auto"/>
        </w:rPr>
      </w:pPr>
      <w:r>
        <w:rPr>
          <w:rFonts w:hint="eastAsia"/>
          <w:color w:val="auto"/>
        </w:rPr>
        <w:t>本</w:t>
      </w:r>
      <w:r>
        <w:rPr>
          <w:color w:val="auto"/>
        </w:rPr>
        <w:t>项目的选址符合国家及地方产业政策和相关规划要求，满足自贸区钦州港片区石化产业园的规划内容。项目的建设未涉及无法避让的重大环境问题，项目</w:t>
      </w:r>
      <w:r>
        <w:rPr>
          <w:rFonts w:hint="eastAsia"/>
          <w:color w:val="auto"/>
          <w:lang w:eastAsia="zh-CN"/>
        </w:rPr>
        <w:t>运营</w:t>
      </w:r>
      <w:r>
        <w:rPr>
          <w:color w:val="auto"/>
        </w:rPr>
        <w:t>后社会及经济效益明显。本工程</w:t>
      </w:r>
      <w:r>
        <w:rPr>
          <w:rFonts w:hint="eastAsia"/>
          <w:color w:val="auto"/>
        </w:rPr>
        <w:t>建设和</w:t>
      </w:r>
      <w:r>
        <w:rPr>
          <w:color w:val="auto"/>
        </w:rPr>
        <w:t>运营过程中在采取和落实报告书中提出的各项环境保护措施</w:t>
      </w:r>
      <w:r>
        <w:rPr>
          <w:rFonts w:hint="eastAsia"/>
          <w:color w:val="auto"/>
        </w:rPr>
        <w:t>，</w:t>
      </w:r>
      <w:r>
        <w:rPr>
          <w:color w:val="auto"/>
        </w:rPr>
        <w:t>对周边环境造成的环境影响在可接受范围内，项目从</w:t>
      </w:r>
      <w:r>
        <w:rPr>
          <w:rFonts w:hint="eastAsia"/>
          <w:color w:val="auto"/>
        </w:rPr>
        <w:t>生态</w:t>
      </w:r>
      <w:r>
        <w:rPr>
          <w:color w:val="auto"/>
        </w:rPr>
        <w:t>环境保护角度是可行</w:t>
      </w:r>
      <w:r>
        <w:rPr>
          <w:rFonts w:hint="eastAsia"/>
          <w:color w:val="auto"/>
        </w:rPr>
        <w:t>。</w:t>
      </w:r>
      <w:r>
        <w:rPr>
          <w:color w:val="auto"/>
        </w:rPr>
        <w:br w:type="page"/>
      </w:r>
    </w:p>
    <w:p w14:paraId="2378A366">
      <w:pPr>
        <w:spacing w:line="440" w:lineRule="exact"/>
        <w:ind w:firstLine="602"/>
        <w:jc w:val="center"/>
        <w:rPr>
          <w:b/>
          <w:bCs/>
          <w:color w:val="auto"/>
          <w:sz w:val="30"/>
          <w:szCs w:val="30"/>
          <w:lang w:val="zh-CN"/>
        </w:rPr>
        <w:sectPr>
          <w:headerReference r:id="rId6" w:type="default"/>
          <w:footerReference r:id="rId7" w:type="default"/>
          <w:pgSz w:w="11906" w:h="16838"/>
          <w:pgMar w:top="1440" w:right="1134" w:bottom="1440" w:left="1418" w:header="851" w:footer="851" w:gutter="0"/>
          <w:pgNumType w:fmt="upperRoman" w:start="1"/>
          <w:cols w:space="720" w:num="1"/>
          <w:docGrid w:type="lines" w:linePitch="326" w:charSpace="0"/>
        </w:sectPr>
      </w:pPr>
    </w:p>
    <w:p w14:paraId="66213A6C">
      <w:pPr>
        <w:spacing w:line="440" w:lineRule="exact"/>
        <w:ind w:firstLine="602"/>
        <w:jc w:val="center"/>
        <w:rPr>
          <w:color w:val="auto"/>
        </w:rPr>
      </w:pPr>
      <w:r>
        <w:rPr>
          <w:b/>
          <w:bCs/>
          <w:color w:val="auto"/>
          <w:sz w:val="30"/>
          <w:szCs w:val="30"/>
          <w:lang w:val="zh-CN"/>
        </w:rPr>
        <w:t>目录</w:t>
      </w:r>
    </w:p>
    <w:p w14:paraId="51A69B8E">
      <w:pPr>
        <w:pStyle w:val="31"/>
        <w:tabs>
          <w:tab w:val="right" w:leader="dot" w:pos="9060"/>
        </w:tabs>
        <w:ind w:firstLine="480"/>
        <w:rPr>
          <w:rFonts w:asciiTheme="minorHAnsi" w:hAnsiTheme="minorHAnsi" w:eastAsiaTheme="minorEastAsia" w:cstheme="minorBidi"/>
          <w:color w:val="auto"/>
          <w:sz w:val="21"/>
          <w:szCs w:val="22"/>
        </w:rPr>
      </w:pPr>
      <w:bookmarkStart w:id="117" w:name="_Toc223258447"/>
      <w:bookmarkStart w:id="118" w:name="_Toc223258189"/>
      <w:bookmarkStart w:id="119" w:name="_Toc216620320"/>
      <w:bookmarkStart w:id="120" w:name="_Toc58769340"/>
      <w:bookmarkStart w:id="121" w:name="_Toc136878408"/>
      <w:bookmarkStart w:id="122" w:name="_Toc53605129"/>
      <w:bookmarkStart w:id="123" w:name="_Toc216103161"/>
      <w:bookmarkStart w:id="124" w:name="_Toc57218167"/>
      <w:bookmarkStart w:id="125" w:name="_Toc55483144"/>
      <w:r>
        <w:rPr>
          <w:color w:val="auto"/>
        </w:rPr>
        <w:fldChar w:fldCharType="begin"/>
      </w:r>
      <w:r>
        <w:rPr>
          <w:color w:val="auto"/>
        </w:rPr>
        <w:instrText xml:space="preserve"> TOC \o "1-2" \h \z \u </w:instrText>
      </w:r>
      <w:r>
        <w:rPr>
          <w:color w:val="auto"/>
        </w:rPr>
        <w:fldChar w:fldCharType="separate"/>
      </w:r>
    </w:p>
    <w:p w14:paraId="7FAA8015">
      <w:pPr>
        <w:pStyle w:val="31"/>
        <w:tabs>
          <w:tab w:val="right" w:leader="dot" w:pos="9060"/>
        </w:tabs>
        <w:ind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"_Toc223595752" </w:instrText>
      </w:r>
      <w:r>
        <w:rPr>
          <w:color w:val="auto"/>
        </w:rPr>
        <w:fldChar w:fldCharType="separate"/>
      </w:r>
      <w:r>
        <w:rPr>
          <w:rStyle w:val="49"/>
          <w:color w:val="auto"/>
        </w:rPr>
        <w:t>1总则</w:t>
      </w:r>
      <w:r>
        <w:rPr>
          <w:color w:val="auto"/>
        </w:rPr>
        <w:tab/>
      </w:r>
      <w:r>
        <w:rPr>
          <w:color w:val="auto"/>
        </w:rPr>
        <w:fldChar w:fldCharType="begin"/>
      </w:r>
      <w:r>
        <w:rPr>
          <w:color w:val="auto"/>
        </w:rPr>
        <w:instrText xml:space="preserve"> PAGEREF _Toc223595752 \h </w:instrText>
      </w:r>
      <w:r>
        <w:rPr>
          <w:color w:val="auto"/>
        </w:rPr>
        <w:fldChar w:fldCharType="separate"/>
      </w:r>
      <w:r>
        <w:rPr>
          <w:color w:val="auto"/>
        </w:rPr>
        <w:t>1</w:t>
      </w:r>
      <w:r>
        <w:rPr>
          <w:color w:val="auto"/>
        </w:rPr>
        <w:fldChar w:fldCharType="end"/>
      </w:r>
      <w:r>
        <w:rPr>
          <w:color w:val="auto"/>
        </w:rPr>
        <w:fldChar w:fldCharType="end"/>
      </w:r>
    </w:p>
    <w:p w14:paraId="4B009C3D">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"_Toc223595753" </w:instrText>
      </w:r>
      <w:r>
        <w:rPr>
          <w:color w:val="auto"/>
        </w:rPr>
        <w:fldChar w:fldCharType="separate"/>
      </w:r>
      <w:r>
        <w:rPr>
          <w:rStyle w:val="49"/>
          <w:b/>
          <w:bCs/>
          <w:color w:val="auto"/>
        </w:rPr>
        <w:t>1.1</w:t>
      </w:r>
      <w:r>
        <w:rPr>
          <w:rStyle w:val="49"/>
          <w:color w:val="auto"/>
        </w:rPr>
        <w:t>编制依据</w:t>
      </w:r>
      <w:r>
        <w:rPr>
          <w:color w:val="auto"/>
        </w:rPr>
        <w:tab/>
      </w:r>
      <w:r>
        <w:rPr>
          <w:color w:val="auto"/>
        </w:rPr>
        <w:fldChar w:fldCharType="begin"/>
      </w:r>
      <w:r>
        <w:rPr>
          <w:color w:val="auto"/>
        </w:rPr>
        <w:instrText xml:space="preserve"> PAGEREF _Toc223595753 \h </w:instrText>
      </w:r>
      <w:r>
        <w:rPr>
          <w:color w:val="auto"/>
        </w:rPr>
        <w:fldChar w:fldCharType="separate"/>
      </w:r>
      <w:r>
        <w:rPr>
          <w:color w:val="auto"/>
        </w:rPr>
        <w:t>1</w:t>
      </w:r>
      <w:r>
        <w:rPr>
          <w:color w:val="auto"/>
        </w:rPr>
        <w:fldChar w:fldCharType="end"/>
      </w:r>
      <w:r>
        <w:rPr>
          <w:color w:val="auto"/>
        </w:rPr>
        <w:fldChar w:fldCharType="end"/>
      </w:r>
    </w:p>
    <w:p w14:paraId="7176BEAD">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"_Toc223595754" </w:instrText>
      </w:r>
      <w:r>
        <w:rPr>
          <w:color w:val="auto"/>
        </w:rPr>
        <w:fldChar w:fldCharType="separate"/>
      </w:r>
      <w:r>
        <w:rPr>
          <w:rStyle w:val="49"/>
          <w:b/>
          <w:bCs/>
          <w:color w:val="auto"/>
        </w:rPr>
        <w:t>1.2</w:t>
      </w:r>
      <w:r>
        <w:rPr>
          <w:rStyle w:val="49"/>
          <w:color w:val="auto"/>
        </w:rPr>
        <w:t>环境影响识别与评价因子筛选</w:t>
      </w:r>
      <w:r>
        <w:rPr>
          <w:color w:val="auto"/>
        </w:rPr>
        <w:tab/>
      </w:r>
      <w:r>
        <w:rPr>
          <w:color w:val="auto"/>
        </w:rPr>
        <w:fldChar w:fldCharType="begin"/>
      </w:r>
      <w:r>
        <w:rPr>
          <w:color w:val="auto"/>
        </w:rPr>
        <w:instrText xml:space="preserve"> PAGEREF _Toc223595754 \h </w:instrText>
      </w:r>
      <w:r>
        <w:rPr>
          <w:color w:val="auto"/>
        </w:rPr>
        <w:fldChar w:fldCharType="separate"/>
      </w:r>
      <w:r>
        <w:rPr>
          <w:color w:val="auto"/>
        </w:rPr>
        <w:t>5</w:t>
      </w:r>
      <w:r>
        <w:rPr>
          <w:color w:val="auto"/>
        </w:rPr>
        <w:fldChar w:fldCharType="end"/>
      </w:r>
      <w:r>
        <w:rPr>
          <w:color w:val="auto"/>
        </w:rPr>
        <w:fldChar w:fldCharType="end"/>
      </w:r>
    </w:p>
    <w:p w14:paraId="737DEFFA">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"_Toc223595755" </w:instrText>
      </w:r>
      <w:r>
        <w:rPr>
          <w:color w:val="auto"/>
        </w:rPr>
        <w:fldChar w:fldCharType="separate"/>
      </w:r>
      <w:r>
        <w:rPr>
          <w:rStyle w:val="49"/>
          <w:b/>
          <w:bCs/>
          <w:color w:val="auto"/>
        </w:rPr>
        <w:t>1.3</w:t>
      </w:r>
      <w:r>
        <w:rPr>
          <w:rStyle w:val="49"/>
          <w:color w:val="auto"/>
        </w:rPr>
        <w:t>环境功能区划及评价标准</w:t>
      </w:r>
      <w:r>
        <w:rPr>
          <w:color w:val="auto"/>
        </w:rPr>
        <w:tab/>
      </w:r>
      <w:r>
        <w:rPr>
          <w:color w:val="auto"/>
        </w:rPr>
        <w:fldChar w:fldCharType="begin"/>
      </w:r>
      <w:r>
        <w:rPr>
          <w:color w:val="auto"/>
        </w:rPr>
        <w:instrText xml:space="preserve"> PAGEREF _Toc223595755 \h </w:instrText>
      </w:r>
      <w:r>
        <w:rPr>
          <w:color w:val="auto"/>
        </w:rPr>
        <w:fldChar w:fldCharType="separate"/>
      </w:r>
      <w:r>
        <w:rPr>
          <w:color w:val="auto"/>
        </w:rPr>
        <w:t>7</w:t>
      </w:r>
      <w:r>
        <w:rPr>
          <w:color w:val="auto"/>
        </w:rPr>
        <w:fldChar w:fldCharType="end"/>
      </w:r>
      <w:r>
        <w:rPr>
          <w:color w:val="auto"/>
        </w:rPr>
        <w:fldChar w:fldCharType="end"/>
      </w:r>
    </w:p>
    <w:p w14:paraId="416C30D9">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"_Toc223595756" </w:instrText>
      </w:r>
      <w:r>
        <w:rPr>
          <w:color w:val="auto"/>
        </w:rPr>
        <w:fldChar w:fldCharType="separate"/>
      </w:r>
      <w:r>
        <w:rPr>
          <w:rStyle w:val="49"/>
          <w:b/>
          <w:bCs/>
          <w:color w:val="auto"/>
        </w:rPr>
        <w:t>1.4</w:t>
      </w:r>
      <w:r>
        <w:rPr>
          <w:rStyle w:val="49"/>
          <w:color w:val="auto"/>
        </w:rPr>
        <w:t>评价工作等级和评价范围</w:t>
      </w:r>
      <w:r>
        <w:rPr>
          <w:color w:val="auto"/>
        </w:rPr>
        <w:tab/>
      </w:r>
      <w:r>
        <w:rPr>
          <w:color w:val="auto"/>
        </w:rPr>
        <w:fldChar w:fldCharType="begin"/>
      </w:r>
      <w:r>
        <w:rPr>
          <w:color w:val="auto"/>
        </w:rPr>
        <w:instrText xml:space="preserve"> PAGEREF _Toc223595756 \h </w:instrText>
      </w:r>
      <w:r>
        <w:rPr>
          <w:color w:val="auto"/>
        </w:rPr>
        <w:fldChar w:fldCharType="separate"/>
      </w:r>
      <w:r>
        <w:rPr>
          <w:color w:val="auto"/>
        </w:rPr>
        <w:t>13</w:t>
      </w:r>
      <w:r>
        <w:rPr>
          <w:color w:val="auto"/>
        </w:rPr>
        <w:fldChar w:fldCharType="end"/>
      </w:r>
      <w:r>
        <w:rPr>
          <w:color w:val="auto"/>
        </w:rPr>
        <w:fldChar w:fldCharType="end"/>
      </w:r>
    </w:p>
    <w:p w14:paraId="6E9AC561">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"_Toc223595757" </w:instrText>
      </w:r>
      <w:r>
        <w:rPr>
          <w:color w:val="auto"/>
        </w:rPr>
        <w:fldChar w:fldCharType="separate"/>
      </w:r>
      <w:r>
        <w:rPr>
          <w:rStyle w:val="49"/>
          <w:b/>
          <w:bCs/>
          <w:color w:val="auto"/>
        </w:rPr>
        <w:t>1.5</w:t>
      </w:r>
      <w:r>
        <w:rPr>
          <w:rStyle w:val="49"/>
          <w:color w:val="auto"/>
        </w:rPr>
        <w:t>主要环境保护目标</w:t>
      </w:r>
      <w:r>
        <w:rPr>
          <w:color w:val="auto"/>
        </w:rPr>
        <w:tab/>
      </w:r>
      <w:r>
        <w:rPr>
          <w:color w:val="auto"/>
        </w:rPr>
        <w:fldChar w:fldCharType="begin"/>
      </w:r>
      <w:r>
        <w:rPr>
          <w:color w:val="auto"/>
        </w:rPr>
        <w:instrText xml:space="preserve"> PAGEREF _Toc223595757 \h </w:instrText>
      </w:r>
      <w:r>
        <w:rPr>
          <w:color w:val="auto"/>
        </w:rPr>
        <w:fldChar w:fldCharType="separate"/>
      </w:r>
      <w:r>
        <w:rPr>
          <w:color w:val="auto"/>
        </w:rPr>
        <w:t>17</w:t>
      </w:r>
      <w:r>
        <w:rPr>
          <w:color w:val="auto"/>
        </w:rPr>
        <w:fldChar w:fldCharType="end"/>
      </w:r>
      <w:r>
        <w:rPr>
          <w:color w:val="auto"/>
        </w:rPr>
        <w:fldChar w:fldCharType="end"/>
      </w:r>
    </w:p>
    <w:p w14:paraId="4292FE31">
      <w:pPr>
        <w:pStyle w:val="31"/>
        <w:tabs>
          <w:tab w:val="right" w:leader="dot" w:pos="9060"/>
        </w:tabs>
        <w:ind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"_Toc223595758" </w:instrText>
      </w:r>
      <w:r>
        <w:rPr>
          <w:color w:val="auto"/>
        </w:rPr>
        <w:fldChar w:fldCharType="separate"/>
      </w:r>
      <w:r>
        <w:rPr>
          <w:rStyle w:val="49"/>
          <w:color w:val="auto"/>
        </w:rPr>
        <w:t>2建设项目概况与工程分析</w:t>
      </w:r>
      <w:r>
        <w:rPr>
          <w:color w:val="auto"/>
        </w:rPr>
        <w:tab/>
      </w:r>
      <w:r>
        <w:rPr>
          <w:color w:val="auto"/>
        </w:rPr>
        <w:fldChar w:fldCharType="begin"/>
      </w:r>
      <w:r>
        <w:rPr>
          <w:color w:val="auto"/>
        </w:rPr>
        <w:instrText xml:space="preserve"> PAGEREF _Toc223595758 \h </w:instrText>
      </w:r>
      <w:r>
        <w:rPr>
          <w:color w:val="auto"/>
        </w:rPr>
        <w:fldChar w:fldCharType="separate"/>
      </w:r>
      <w:r>
        <w:rPr>
          <w:color w:val="auto"/>
        </w:rPr>
        <w:t>20</w:t>
      </w:r>
      <w:r>
        <w:rPr>
          <w:color w:val="auto"/>
        </w:rPr>
        <w:fldChar w:fldCharType="end"/>
      </w:r>
      <w:r>
        <w:rPr>
          <w:color w:val="auto"/>
        </w:rPr>
        <w:fldChar w:fldCharType="end"/>
      </w:r>
    </w:p>
    <w:p w14:paraId="1C2E83A1">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"_Toc223595759" </w:instrText>
      </w:r>
      <w:r>
        <w:rPr>
          <w:color w:val="auto"/>
        </w:rPr>
        <w:fldChar w:fldCharType="separate"/>
      </w:r>
      <w:r>
        <w:rPr>
          <w:rStyle w:val="49"/>
          <w:b/>
          <w:bCs/>
          <w:color w:val="auto"/>
        </w:rPr>
        <w:t>2.1</w:t>
      </w:r>
      <w:r>
        <w:rPr>
          <w:rStyle w:val="49"/>
          <w:color w:val="auto"/>
        </w:rPr>
        <w:t>现有工程概况</w:t>
      </w:r>
      <w:r>
        <w:rPr>
          <w:color w:val="auto"/>
        </w:rPr>
        <w:tab/>
      </w:r>
      <w:r>
        <w:rPr>
          <w:color w:val="auto"/>
        </w:rPr>
        <w:fldChar w:fldCharType="begin"/>
      </w:r>
      <w:r>
        <w:rPr>
          <w:color w:val="auto"/>
        </w:rPr>
        <w:instrText xml:space="preserve"> PAGEREF _Toc223595759 \h </w:instrText>
      </w:r>
      <w:r>
        <w:rPr>
          <w:color w:val="auto"/>
        </w:rPr>
        <w:fldChar w:fldCharType="separate"/>
      </w:r>
      <w:r>
        <w:rPr>
          <w:color w:val="auto"/>
        </w:rPr>
        <w:t>20</w:t>
      </w:r>
      <w:r>
        <w:rPr>
          <w:color w:val="auto"/>
        </w:rPr>
        <w:fldChar w:fldCharType="end"/>
      </w:r>
      <w:r>
        <w:rPr>
          <w:color w:val="auto"/>
        </w:rPr>
        <w:fldChar w:fldCharType="end"/>
      </w:r>
    </w:p>
    <w:p w14:paraId="3F7C8B8F">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"_Toc223595760" </w:instrText>
      </w:r>
      <w:r>
        <w:rPr>
          <w:color w:val="auto"/>
        </w:rPr>
        <w:fldChar w:fldCharType="separate"/>
      </w:r>
      <w:r>
        <w:rPr>
          <w:rStyle w:val="49"/>
          <w:b/>
          <w:bCs/>
          <w:color w:val="auto"/>
        </w:rPr>
        <w:t>2.2</w:t>
      </w:r>
      <w:r>
        <w:rPr>
          <w:rStyle w:val="49"/>
          <w:color w:val="auto"/>
        </w:rPr>
        <w:t>扩建工程建设情况</w:t>
      </w:r>
      <w:r>
        <w:rPr>
          <w:color w:val="auto"/>
        </w:rPr>
        <w:tab/>
      </w:r>
      <w:r>
        <w:rPr>
          <w:color w:val="auto"/>
        </w:rPr>
        <w:fldChar w:fldCharType="begin"/>
      </w:r>
      <w:r>
        <w:rPr>
          <w:color w:val="auto"/>
        </w:rPr>
        <w:instrText xml:space="preserve"> PAGEREF _Toc223595760 \h </w:instrText>
      </w:r>
      <w:r>
        <w:rPr>
          <w:color w:val="auto"/>
        </w:rPr>
        <w:fldChar w:fldCharType="separate"/>
      </w:r>
      <w:r>
        <w:rPr>
          <w:color w:val="auto"/>
        </w:rPr>
        <w:t>44</w:t>
      </w:r>
      <w:r>
        <w:rPr>
          <w:color w:val="auto"/>
        </w:rPr>
        <w:fldChar w:fldCharType="end"/>
      </w:r>
      <w:r>
        <w:rPr>
          <w:color w:val="auto"/>
        </w:rPr>
        <w:fldChar w:fldCharType="end"/>
      </w:r>
    </w:p>
    <w:p w14:paraId="2802BF26">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"_Toc223595761" </w:instrText>
      </w:r>
      <w:r>
        <w:rPr>
          <w:color w:val="auto"/>
        </w:rPr>
        <w:fldChar w:fldCharType="separate"/>
      </w:r>
      <w:r>
        <w:rPr>
          <w:rStyle w:val="49"/>
          <w:b/>
          <w:bCs/>
          <w:color w:val="auto"/>
        </w:rPr>
        <w:t>2.3</w:t>
      </w:r>
      <w:r>
        <w:rPr>
          <w:rStyle w:val="49"/>
          <w:color w:val="auto"/>
        </w:rPr>
        <w:t>工程分析</w:t>
      </w:r>
      <w:r>
        <w:rPr>
          <w:color w:val="auto"/>
        </w:rPr>
        <w:tab/>
      </w:r>
      <w:r>
        <w:rPr>
          <w:color w:val="auto"/>
        </w:rPr>
        <w:fldChar w:fldCharType="begin"/>
      </w:r>
      <w:r>
        <w:rPr>
          <w:color w:val="auto"/>
        </w:rPr>
        <w:instrText xml:space="preserve"> PAGEREF _Toc223595761 \h </w:instrText>
      </w:r>
      <w:r>
        <w:rPr>
          <w:color w:val="auto"/>
        </w:rPr>
        <w:fldChar w:fldCharType="separate"/>
      </w:r>
      <w:r>
        <w:rPr>
          <w:color w:val="auto"/>
        </w:rPr>
        <w:t>53</w:t>
      </w:r>
      <w:r>
        <w:rPr>
          <w:color w:val="auto"/>
        </w:rPr>
        <w:fldChar w:fldCharType="end"/>
      </w:r>
      <w:r>
        <w:rPr>
          <w:color w:val="auto"/>
        </w:rPr>
        <w:fldChar w:fldCharType="end"/>
      </w:r>
    </w:p>
    <w:p w14:paraId="0C6BD240">
      <w:pPr>
        <w:pStyle w:val="31"/>
        <w:tabs>
          <w:tab w:val="right" w:leader="dot" w:pos="9060"/>
        </w:tabs>
        <w:ind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"_Toc223595762" </w:instrText>
      </w:r>
      <w:r>
        <w:rPr>
          <w:color w:val="auto"/>
        </w:rPr>
        <w:fldChar w:fldCharType="separate"/>
      </w:r>
      <w:r>
        <w:rPr>
          <w:rStyle w:val="49"/>
          <w:color w:val="auto"/>
        </w:rPr>
        <w:t>3环境现状调查与评价</w:t>
      </w:r>
      <w:r>
        <w:rPr>
          <w:color w:val="auto"/>
        </w:rPr>
        <w:tab/>
      </w:r>
      <w:r>
        <w:rPr>
          <w:color w:val="auto"/>
        </w:rPr>
        <w:fldChar w:fldCharType="begin"/>
      </w:r>
      <w:r>
        <w:rPr>
          <w:color w:val="auto"/>
        </w:rPr>
        <w:instrText xml:space="preserve"> PAGEREF _Toc223595762 \h </w:instrText>
      </w:r>
      <w:r>
        <w:rPr>
          <w:color w:val="auto"/>
        </w:rPr>
        <w:fldChar w:fldCharType="separate"/>
      </w:r>
      <w:r>
        <w:rPr>
          <w:color w:val="auto"/>
        </w:rPr>
        <w:t>69</w:t>
      </w:r>
      <w:r>
        <w:rPr>
          <w:color w:val="auto"/>
        </w:rPr>
        <w:fldChar w:fldCharType="end"/>
      </w:r>
      <w:r>
        <w:rPr>
          <w:color w:val="auto"/>
        </w:rPr>
        <w:fldChar w:fldCharType="end"/>
      </w:r>
    </w:p>
    <w:p w14:paraId="1F6D92A1">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"_Toc223595763" </w:instrText>
      </w:r>
      <w:r>
        <w:rPr>
          <w:color w:val="auto"/>
        </w:rPr>
        <w:fldChar w:fldCharType="separate"/>
      </w:r>
      <w:r>
        <w:rPr>
          <w:rStyle w:val="49"/>
          <w:b/>
          <w:bCs/>
          <w:color w:val="auto"/>
        </w:rPr>
        <w:t>3.1</w:t>
      </w:r>
      <w:r>
        <w:rPr>
          <w:rStyle w:val="49"/>
          <w:color w:val="auto"/>
        </w:rPr>
        <w:t>自然环境概况</w:t>
      </w:r>
      <w:r>
        <w:rPr>
          <w:color w:val="auto"/>
        </w:rPr>
        <w:tab/>
      </w:r>
      <w:r>
        <w:rPr>
          <w:color w:val="auto"/>
        </w:rPr>
        <w:fldChar w:fldCharType="begin"/>
      </w:r>
      <w:r>
        <w:rPr>
          <w:color w:val="auto"/>
        </w:rPr>
        <w:instrText xml:space="preserve"> PAGEREF _Toc223595763 \h </w:instrText>
      </w:r>
      <w:r>
        <w:rPr>
          <w:color w:val="auto"/>
        </w:rPr>
        <w:fldChar w:fldCharType="separate"/>
      </w:r>
      <w:r>
        <w:rPr>
          <w:color w:val="auto"/>
        </w:rPr>
        <w:t>69</w:t>
      </w:r>
      <w:r>
        <w:rPr>
          <w:color w:val="auto"/>
        </w:rPr>
        <w:fldChar w:fldCharType="end"/>
      </w:r>
      <w:r>
        <w:rPr>
          <w:color w:val="auto"/>
        </w:rPr>
        <w:fldChar w:fldCharType="end"/>
      </w:r>
    </w:p>
    <w:p w14:paraId="499EF8DD">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"_Toc223595764" </w:instrText>
      </w:r>
      <w:r>
        <w:rPr>
          <w:color w:val="auto"/>
        </w:rPr>
        <w:fldChar w:fldCharType="separate"/>
      </w:r>
      <w:r>
        <w:rPr>
          <w:rStyle w:val="49"/>
          <w:b/>
          <w:bCs/>
          <w:color w:val="auto"/>
        </w:rPr>
        <w:t>3.2</w:t>
      </w:r>
      <w:r>
        <w:rPr>
          <w:rStyle w:val="49"/>
          <w:color w:val="auto"/>
        </w:rPr>
        <w:t>生态敏感区及珍稀濒危物种调查</w:t>
      </w:r>
      <w:r>
        <w:rPr>
          <w:color w:val="auto"/>
        </w:rPr>
        <w:tab/>
      </w:r>
      <w:r>
        <w:rPr>
          <w:color w:val="auto"/>
        </w:rPr>
        <w:fldChar w:fldCharType="begin"/>
      </w:r>
      <w:r>
        <w:rPr>
          <w:color w:val="auto"/>
        </w:rPr>
        <w:instrText xml:space="preserve"> PAGEREF _Toc223595764 \h </w:instrText>
      </w:r>
      <w:r>
        <w:rPr>
          <w:color w:val="auto"/>
        </w:rPr>
        <w:fldChar w:fldCharType="separate"/>
      </w:r>
      <w:r>
        <w:rPr>
          <w:color w:val="auto"/>
        </w:rPr>
        <w:t>81</w:t>
      </w:r>
      <w:r>
        <w:rPr>
          <w:color w:val="auto"/>
        </w:rPr>
        <w:fldChar w:fldCharType="end"/>
      </w:r>
      <w:r>
        <w:rPr>
          <w:color w:val="auto"/>
        </w:rPr>
        <w:fldChar w:fldCharType="end"/>
      </w:r>
    </w:p>
    <w:p w14:paraId="72BE0FF9">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"_Toc223595765" </w:instrText>
      </w:r>
      <w:r>
        <w:rPr>
          <w:color w:val="auto"/>
        </w:rPr>
        <w:fldChar w:fldCharType="separate"/>
      </w:r>
      <w:r>
        <w:rPr>
          <w:rStyle w:val="49"/>
          <w:b/>
          <w:bCs/>
          <w:color w:val="auto"/>
        </w:rPr>
        <w:t>3.3</w:t>
      </w:r>
      <w:r>
        <w:rPr>
          <w:rStyle w:val="49"/>
          <w:color w:val="auto"/>
        </w:rPr>
        <w:t>空气环境质量现状调查与评价</w:t>
      </w:r>
      <w:r>
        <w:rPr>
          <w:color w:val="auto"/>
        </w:rPr>
        <w:tab/>
      </w:r>
      <w:r>
        <w:rPr>
          <w:color w:val="auto"/>
        </w:rPr>
        <w:fldChar w:fldCharType="begin"/>
      </w:r>
      <w:r>
        <w:rPr>
          <w:color w:val="auto"/>
        </w:rPr>
        <w:instrText xml:space="preserve"> PAGEREF _Toc223595765 \h </w:instrText>
      </w:r>
      <w:r>
        <w:rPr>
          <w:color w:val="auto"/>
        </w:rPr>
        <w:fldChar w:fldCharType="separate"/>
      </w:r>
      <w:r>
        <w:rPr>
          <w:color w:val="auto"/>
        </w:rPr>
        <w:t>90</w:t>
      </w:r>
      <w:r>
        <w:rPr>
          <w:color w:val="auto"/>
        </w:rPr>
        <w:fldChar w:fldCharType="end"/>
      </w:r>
      <w:r>
        <w:rPr>
          <w:color w:val="auto"/>
        </w:rPr>
        <w:fldChar w:fldCharType="end"/>
      </w:r>
    </w:p>
    <w:p w14:paraId="0077AD8F">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"_Toc223595766" </w:instrText>
      </w:r>
      <w:r>
        <w:rPr>
          <w:color w:val="auto"/>
        </w:rPr>
        <w:fldChar w:fldCharType="separate"/>
      </w:r>
      <w:r>
        <w:rPr>
          <w:rStyle w:val="49"/>
          <w:b/>
          <w:bCs/>
          <w:color w:val="auto"/>
        </w:rPr>
        <w:t>3.4</w:t>
      </w:r>
      <w:r>
        <w:rPr>
          <w:rStyle w:val="49"/>
          <w:color w:val="auto"/>
        </w:rPr>
        <w:t>地下水环境质量现状调查与评价</w:t>
      </w:r>
      <w:r>
        <w:rPr>
          <w:color w:val="auto"/>
        </w:rPr>
        <w:tab/>
      </w:r>
      <w:r>
        <w:rPr>
          <w:color w:val="auto"/>
        </w:rPr>
        <w:fldChar w:fldCharType="begin"/>
      </w:r>
      <w:r>
        <w:rPr>
          <w:color w:val="auto"/>
        </w:rPr>
        <w:instrText xml:space="preserve"> PAGEREF _Toc223595766 \h </w:instrText>
      </w:r>
      <w:r>
        <w:rPr>
          <w:color w:val="auto"/>
        </w:rPr>
        <w:fldChar w:fldCharType="separate"/>
      </w:r>
      <w:r>
        <w:rPr>
          <w:color w:val="auto"/>
        </w:rPr>
        <w:t>92</w:t>
      </w:r>
      <w:r>
        <w:rPr>
          <w:color w:val="auto"/>
        </w:rPr>
        <w:fldChar w:fldCharType="end"/>
      </w:r>
      <w:r>
        <w:rPr>
          <w:color w:val="auto"/>
        </w:rPr>
        <w:fldChar w:fldCharType="end"/>
      </w:r>
    </w:p>
    <w:p w14:paraId="0A4A0239">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"_Toc223595767" </w:instrText>
      </w:r>
      <w:r>
        <w:rPr>
          <w:color w:val="auto"/>
        </w:rPr>
        <w:fldChar w:fldCharType="separate"/>
      </w:r>
      <w:r>
        <w:rPr>
          <w:rStyle w:val="49"/>
          <w:b/>
          <w:bCs/>
          <w:color w:val="auto"/>
        </w:rPr>
        <w:t>3.5</w:t>
      </w:r>
      <w:r>
        <w:rPr>
          <w:rStyle w:val="49"/>
          <w:color w:val="auto"/>
        </w:rPr>
        <w:t>声环境质量现状调查与评价</w:t>
      </w:r>
      <w:r>
        <w:rPr>
          <w:color w:val="auto"/>
        </w:rPr>
        <w:tab/>
      </w:r>
      <w:r>
        <w:rPr>
          <w:color w:val="auto"/>
        </w:rPr>
        <w:fldChar w:fldCharType="begin"/>
      </w:r>
      <w:r>
        <w:rPr>
          <w:color w:val="auto"/>
        </w:rPr>
        <w:instrText xml:space="preserve"> PAGEREF _Toc223595767 \h </w:instrText>
      </w:r>
      <w:r>
        <w:rPr>
          <w:color w:val="auto"/>
        </w:rPr>
        <w:fldChar w:fldCharType="separate"/>
      </w:r>
      <w:r>
        <w:rPr>
          <w:color w:val="auto"/>
        </w:rPr>
        <w:t>98</w:t>
      </w:r>
      <w:r>
        <w:rPr>
          <w:color w:val="auto"/>
        </w:rPr>
        <w:fldChar w:fldCharType="end"/>
      </w:r>
      <w:r>
        <w:rPr>
          <w:color w:val="auto"/>
        </w:rPr>
        <w:fldChar w:fldCharType="end"/>
      </w:r>
    </w:p>
    <w:p w14:paraId="5443EBD2">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"_Toc223595768" </w:instrText>
      </w:r>
      <w:r>
        <w:rPr>
          <w:color w:val="auto"/>
        </w:rPr>
        <w:fldChar w:fldCharType="separate"/>
      </w:r>
      <w:r>
        <w:rPr>
          <w:rStyle w:val="49"/>
          <w:b/>
          <w:bCs/>
          <w:color w:val="auto"/>
        </w:rPr>
        <w:t>3.6</w:t>
      </w:r>
      <w:r>
        <w:rPr>
          <w:rStyle w:val="49"/>
          <w:color w:val="auto"/>
        </w:rPr>
        <w:t>土壤环境</w:t>
      </w:r>
      <w:r>
        <w:rPr>
          <w:color w:val="auto"/>
        </w:rPr>
        <w:tab/>
      </w:r>
      <w:r>
        <w:rPr>
          <w:color w:val="auto"/>
        </w:rPr>
        <w:fldChar w:fldCharType="begin"/>
      </w:r>
      <w:r>
        <w:rPr>
          <w:color w:val="auto"/>
        </w:rPr>
        <w:instrText xml:space="preserve"> PAGEREF _Toc223595768 \h </w:instrText>
      </w:r>
      <w:r>
        <w:rPr>
          <w:color w:val="auto"/>
        </w:rPr>
        <w:fldChar w:fldCharType="separate"/>
      </w:r>
      <w:r>
        <w:rPr>
          <w:color w:val="auto"/>
        </w:rPr>
        <w:t>99</w:t>
      </w:r>
      <w:r>
        <w:rPr>
          <w:color w:val="auto"/>
        </w:rPr>
        <w:fldChar w:fldCharType="end"/>
      </w:r>
      <w:r>
        <w:rPr>
          <w:color w:val="auto"/>
        </w:rPr>
        <w:fldChar w:fldCharType="end"/>
      </w:r>
    </w:p>
    <w:p w14:paraId="4CBAB596">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"_Toc223595769" </w:instrText>
      </w:r>
      <w:r>
        <w:rPr>
          <w:color w:val="auto"/>
        </w:rPr>
        <w:fldChar w:fldCharType="separate"/>
      </w:r>
      <w:r>
        <w:rPr>
          <w:rStyle w:val="49"/>
          <w:b/>
          <w:bCs/>
          <w:color w:val="auto"/>
        </w:rPr>
        <w:t>3.7</w:t>
      </w:r>
      <w:r>
        <w:rPr>
          <w:rStyle w:val="49"/>
          <w:color w:val="auto"/>
        </w:rPr>
        <w:t>海洋环境质量现状调查与评价</w:t>
      </w:r>
      <w:r>
        <w:rPr>
          <w:color w:val="auto"/>
        </w:rPr>
        <w:tab/>
      </w:r>
      <w:r>
        <w:rPr>
          <w:color w:val="auto"/>
        </w:rPr>
        <w:fldChar w:fldCharType="begin"/>
      </w:r>
      <w:r>
        <w:rPr>
          <w:color w:val="auto"/>
        </w:rPr>
        <w:instrText xml:space="preserve"> PAGEREF _Toc223595769 \h </w:instrText>
      </w:r>
      <w:r>
        <w:rPr>
          <w:color w:val="auto"/>
        </w:rPr>
        <w:fldChar w:fldCharType="separate"/>
      </w:r>
      <w:r>
        <w:rPr>
          <w:color w:val="auto"/>
        </w:rPr>
        <w:t>100</w:t>
      </w:r>
      <w:r>
        <w:rPr>
          <w:color w:val="auto"/>
        </w:rPr>
        <w:fldChar w:fldCharType="end"/>
      </w:r>
      <w:r>
        <w:rPr>
          <w:color w:val="auto"/>
        </w:rPr>
        <w:fldChar w:fldCharType="end"/>
      </w:r>
    </w:p>
    <w:p w14:paraId="31D51901">
      <w:pPr>
        <w:pStyle w:val="31"/>
        <w:tabs>
          <w:tab w:val="right" w:leader="dot" w:pos="9060"/>
        </w:tabs>
        <w:ind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"_Toc223595770" </w:instrText>
      </w:r>
      <w:r>
        <w:rPr>
          <w:color w:val="auto"/>
        </w:rPr>
        <w:fldChar w:fldCharType="separate"/>
      </w:r>
      <w:r>
        <w:rPr>
          <w:rStyle w:val="49"/>
          <w:color w:val="auto"/>
        </w:rPr>
        <w:t>4环境影响预测与评价</w:t>
      </w:r>
      <w:r>
        <w:rPr>
          <w:color w:val="auto"/>
        </w:rPr>
        <w:tab/>
      </w:r>
      <w:r>
        <w:rPr>
          <w:color w:val="auto"/>
        </w:rPr>
        <w:fldChar w:fldCharType="begin"/>
      </w:r>
      <w:r>
        <w:rPr>
          <w:color w:val="auto"/>
        </w:rPr>
        <w:instrText xml:space="preserve"> PAGEREF _Toc223595770 \h </w:instrText>
      </w:r>
      <w:r>
        <w:rPr>
          <w:color w:val="auto"/>
        </w:rPr>
        <w:fldChar w:fldCharType="separate"/>
      </w:r>
      <w:r>
        <w:rPr>
          <w:color w:val="auto"/>
        </w:rPr>
        <w:t>121</w:t>
      </w:r>
      <w:r>
        <w:rPr>
          <w:color w:val="auto"/>
        </w:rPr>
        <w:fldChar w:fldCharType="end"/>
      </w:r>
      <w:r>
        <w:rPr>
          <w:color w:val="auto"/>
        </w:rPr>
        <w:fldChar w:fldCharType="end"/>
      </w:r>
    </w:p>
    <w:p w14:paraId="572D0936">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"_Toc223595771" </w:instrText>
      </w:r>
      <w:r>
        <w:rPr>
          <w:color w:val="auto"/>
        </w:rPr>
        <w:fldChar w:fldCharType="separate"/>
      </w:r>
      <w:r>
        <w:rPr>
          <w:rStyle w:val="49"/>
          <w:b/>
          <w:bCs/>
          <w:color w:val="auto"/>
        </w:rPr>
        <w:t>4.1</w:t>
      </w:r>
      <w:r>
        <w:rPr>
          <w:rStyle w:val="49"/>
          <w:color w:val="auto"/>
        </w:rPr>
        <w:t>运营期大气影响分析</w:t>
      </w:r>
      <w:r>
        <w:rPr>
          <w:color w:val="auto"/>
        </w:rPr>
        <w:tab/>
      </w:r>
      <w:r>
        <w:rPr>
          <w:color w:val="auto"/>
        </w:rPr>
        <w:fldChar w:fldCharType="begin"/>
      </w:r>
      <w:r>
        <w:rPr>
          <w:color w:val="auto"/>
        </w:rPr>
        <w:instrText xml:space="preserve"> PAGEREF _Toc223595771 \h </w:instrText>
      </w:r>
      <w:r>
        <w:rPr>
          <w:color w:val="auto"/>
        </w:rPr>
        <w:fldChar w:fldCharType="separate"/>
      </w:r>
      <w:r>
        <w:rPr>
          <w:color w:val="auto"/>
        </w:rPr>
        <w:t>121</w:t>
      </w:r>
      <w:r>
        <w:rPr>
          <w:color w:val="auto"/>
        </w:rPr>
        <w:fldChar w:fldCharType="end"/>
      </w:r>
      <w:r>
        <w:rPr>
          <w:color w:val="auto"/>
        </w:rPr>
        <w:fldChar w:fldCharType="end"/>
      </w:r>
    </w:p>
    <w:p w14:paraId="75C75240">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"_Toc223595772" </w:instrText>
      </w:r>
      <w:r>
        <w:rPr>
          <w:color w:val="auto"/>
        </w:rPr>
        <w:fldChar w:fldCharType="separate"/>
      </w:r>
      <w:r>
        <w:rPr>
          <w:rStyle w:val="49"/>
          <w:b/>
          <w:bCs/>
          <w:color w:val="auto"/>
        </w:rPr>
        <w:t>4.2</w:t>
      </w:r>
      <w:r>
        <w:rPr>
          <w:rStyle w:val="49"/>
          <w:color w:val="auto"/>
        </w:rPr>
        <w:t>运营期水环境影响分析</w:t>
      </w:r>
      <w:r>
        <w:rPr>
          <w:color w:val="auto"/>
        </w:rPr>
        <w:tab/>
      </w:r>
      <w:r>
        <w:rPr>
          <w:color w:val="auto"/>
        </w:rPr>
        <w:fldChar w:fldCharType="begin"/>
      </w:r>
      <w:r>
        <w:rPr>
          <w:color w:val="auto"/>
        </w:rPr>
        <w:instrText xml:space="preserve"> PAGEREF _Toc223595772 \h </w:instrText>
      </w:r>
      <w:r>
        <w:rPr>
          <w:color w:val="auto"/>
        </w:rPr>
        <w:fldChar w:fldCharType="separate"/>
      </w:r>
      <w:r>
        <w:rPr>
          <w:color w:val="auto"/>
        </w:rPr>
        <w:t>129</w:t>
      </w:r>
      <w:r>
        <w:rPr>
          <w:color w:val="auto"/>
        </w:rPr>
        <w:fldChar w:fldCharType="end"/>
      </w:r>
      <w:r>
        <w:rPr>
          <w:color w:val="auto"/>
        </w:rPr>
        <w:fldChar w:fldCharType="end"/>
      </w:r>
    </w:p>
    <w:p w14:paraId="7AAB6831">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"_Toc223595773" </w:instrText>
      </w:r>
      <w:r>
        <w:rPr>
          <w:color w:val="auto"/>
        </w:rPr>
        <w:fldChar w:fldCharType="separate"/>
      </w:r>
      <w:r>
        <w:rPr>
          <w:rStyle w:val="49"/>
          <w:b/>
          <w:bCs/>
          <w:color w:val="auto"/>
        </w:rPr>
        <w:t>4.3</w:t>
      </w:r>
      <w:r>
        <w:rPr>
          <w:rStyle w:val="49"/>
          <w:color w:val="auto"/>
        </w:rPr>
        <w:t>运营期声环境影响分析</w:t>
      </w:r>
      <w:r>
        <w:rPr>
          <w:color w:val="auto"/>
        </w:rPr>
        <w:tab/>
      </w:r>
      <w:r>
        <w:rPr>
          <w:color w:val="auto"/>
        </w:rPr>
        <w:fldChar w:fldCharType="begin"/>
      </w:r>
      <w:r>
        <w:rPr>
          <w:color w:val="auto"/>
        </w:rPr>
        <w:instrText xml:space="preserve"> PAGEREF _Toc223595773 \h </w:instrText>
      </w:r>
      <w:r>
        <w:rPr>
          <w:color w:val="auto"/>
        </w:rPr>
        <w:fldChar w:fldCharType="separate"/>
      </w:r>
      <w:r>
        <w:rPr>
          <w:color w:val="auto"/>
        </w:rPr>
        <w:t>129</w:t>
      </w:r>
      <w:r>
        <w:rPr>
          <w:color w:val="auto"/>
        </w:rPr>
        <w:fldChar w:fldCharType="end"/>
      </w:r>
      <w:r>
        <w:rPr>
          <w:color w:val="auto"/>
        </w:rPr>
        <w:fldChar w:fldCharType="end"/>
      </w:r>
    </w:p>
    <w:p w14:paraId="1CC92540">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"_Toc223595774" </w:instrText>
      </w:r>
      <w:r>
        <w:rPr>
          <w:color w:val="auto"/>
        </w:rPr>
        <w:fldChar w:fldCharType="separate"/>
      </w:r>
      <w:r>
        <w:rPr>
          <w:rStyle w:val="49"/>
          <w:b/>
          <w:bCs/>
          <w:color w:val="auto"/>
        </w:rPr>
        <w:t>4.4</w:t>
      </w:r>
      <w:r>
        <w:rPr>
          <w:rStyle w:val="49"/>
          <w:color w:val="auto"/>
        </w:rPr>
        <w:t>运营期固体废物影响分析</w:t>
      </w:r>
      <w:r>
        <w:rPr>
          <w:color w:val="auto"/>
        </w:rPr>
        <w:tab/>
      </w:r>
      <w:r>
        <w:rPr>
          <w:color w:val="auto"/>
        </w:rPr>
        <w:fldChar w:fldCharType="begin"/>
      </w:r>
      <w:r>
        <w:rPr>
          <w:color w:val="auto"/>
        </w:rPr>
        <w:instrText xml:space="preserve"> PAGEREF _Toc223595774 \h </w:instrText>
      </w:r>
      <w:r>
        <w:rPr>
          <w:color w:val="auto"/>
        </w:rPr>
        <w:fldChar w:fldCharType="separate"/>
      </w:r>
      <w:r>
        <w:rPr>
          <w:color w:val="auto"/>
        </w:rPr>
        <w:t>131</w:t>
      </w:r>
      <w:r>
        <w:rPr>
          <w:color w:val="auto"/>
        </w:rPr>
        <w:fldChar w:fldCharType="end"/>
      </w:r>
      <w:r>
        <w:rPr>
          <w:color w:val="auto"/>
        </w:rPr>
        <w:fldChar w:fldCharType="end"/>
      </w:r>
    </w:p>
    <w:p w14:paraId="6BA6CF0E">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"_Toc223595775" </w:instrText>
      </w:r>
      <w:r>
        <w:rPr>
          <w:color w:val="auto"/>
        </w:rPr>
        <w:fldChar w:fldCharType="separate"/>
      </w:r>
      <w:r>
        <w:rPr>
          <w:rStyle w:val="49"/>
          <w:b/>
          <w:bCs/>
          <w:color w:val="auto"/>
        </w:rPr>
        <w:t>4.5</w:t>
      </w:r>
      <w:r>
        <w:rPr>
          <w:rStyle w:val="49"/>
          <w:color w:val="auto"/>
        </w:rPr>
        <w:t>地下水环境影响分析</w:t>
      </w:r>
      <w:r>
        <w:rPr>
          <w:color w:val="auto"/>
        </w:rPr>
        <w:tab/>
      </w:r>
      <w:r>
        <w:rPr>
          <w:color w:val="auto"/>
        </w:rPr>
        <w:fldChar w:fldCharType="begin"/>
      </w:r>
      <w:r>
        <w:rPr>
          <w:color w:val="auto"/>
        </w:rPr>
        <w:instrText xml:space="preserve"> PAGEREF _Toc223595775 \h </w:instrText>
      </w:r>
      <w:r>
        <w:rPr>
          <w:color w:val="auto"/>
        </w:rPr>
        <w:fldChar w:fldCharType="separate"/>
      </w:r>
      <w:r>
        <w:rPr>
          <w:color w:val="auto"/>
        </w:rPr>
        <w:t>131</w:t>
      </w:r>
      <w:r>
        <w:rPr>
          <w:color w:val="auto"/>
        </w:rPr>
        <w:fldChar w:fldCharType="end"/>
      </w:r>
      <w:r>
        <w:rPr>
          <w:color w:val="auto"/>
        </w:rPr>
        <w:fldChar w:fldCharType="end"/>
      </w:r>
    </w:p>
    <w:p w14:paraId="79623EDF">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"_Toc223595776" </w:instrText>
      </w:r>
      <w:r>
        <w:rPr>
          <w:color w:val="auto"/>
        </w:rPr>
        <w:fldChar w:fldCharType="separate"/>
      </w:r>
      <w:r>
        <w:rPr>
          <w:rStyle w:val="49"/>
          <w:b/>
          <w:bCs/>
          <w:color w:val="auto"/>
        </w:rPr>
        <w:t>4.6</w:t>
      </w:r>
      <w:r>
        <w:rPr>
          <w:rStyle w:val="49"/>
          <w:color w:val="auto"/>
        </w:rPr>
        <w:t>土壤环境影响分析</w:t>
      </w:r>
      <w:r>
        <w:rPr>
          <w:color w:val="auto"/>
        </w:rPr>
        <w:tab/>
      </w:r>
      <w:r>
        <w:rPr>
          <w:color w:val="auto"/>
        </w:rPr>
        <w:fldChar w:fldCharType="begin"/>
      </w:r>
      <w:r>
        <w:rPr>
          <w:color w:val="auto"/>
        </w:rPr>
        <w:instrText xml:space="preserve"> PAGEREF _Toc223595776 \h </w:instrText>
      </w:r>
      <w:r>
        <w:rPr>
          <w:color w:val="auto"/>
        </w:rPr>
        <w:fldChar w:fldCharType="separate"/>
      </w:r>
      <w:r>
        <w:rPr>
          <w:color w:val="auto"/>
        </w:rPr>
        <w:t>132</w:t>
      </w:r>
      <w:r>
        <w:rPr>
          <w:color w:val="auto"/>
        </w:rPr>
        <w:fldChar w:fldCharType="end"/>
      </w:r>
      <w:r>
        <w:rPr>
          <w:color w:val="auto"/>
        </w:rPr>
        <w:fldChar w:fldCharType="end"/>
      </w:r>
    </w:p>
    <w:p w14:paraId="4912FBB4">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"_Toc223595777" </w:instrText>
      </w:r>
      <w:r>
        <w:rPr>
          <w:color w:val="auto"/>
        </w:rPr>
        <w:fldChar w:fldCharType="separate"/>
      </w:r>
      <w:r>
        <w:rPr>
          <w:rStyle w:val="49"/>
          <w:b/>
          <w:bCs/>
          <w:color w:val="auto"/>
        </w:rPr>
        <w:t>4.7</w:t>
      </w:r>
      <w:r>
        <w:rPr>
          <w:rStyle w:val="49"/>
          <w:color w:val="auto"/>
        </w:rPr>
        <w:t>生态影响分析</w:t>
      </w:r>
      <w:r>
        <w:rPr>
          <w:color w:val="auto"/>
        </w:rPr>
        <w:tab/>
      </w:r>
      <w:r>
        <w:rPr>
          <w:color w:val="auto"/>
        </w:rPr>
        <w:fldChar w:fldCharType="begin"/>
      </w:r>
      <w:r>
        <w:rPr>
          <w:color w:val="auto"/>
        </w:rPr>
        <w:instrText xml:space="preserve"> PAGEREF _Toc223595777 \h </w:instrText>
      </w:r>
      <w:r>
        <w:rPr>
          <w:color w:val="auto"/>
        </w:rPr>
        <w:fldChar w:fldCharType="separate"/>
      </w:r>
      <w:r>
        <w:rPr>
          <w:color w:val="auto"/>
        </w:rPr>
        <w:t>132</w:t>
      </w:r>
      <w:r>
        <w:rPr>
          <w:color w:val="auto"/>
        </w:rPr>
        <w:fldChar w:fldCharType="end"/>
      </w:r>
      <w:r>
        <w:rPr>
          <w:color w:val="auto"/>
        </w:rPr>
        <w:fldChar w:fldCharType="end"/>
      </w:r>
    </w:p>
    <w:p w14:paraId="784F0A9E">
      <w:pPr>
        <w:pStyle w:val="31"/>
        <w:tabs>
          <w:tab w:val="right" w:leader="dot" w:pos="9060"/>
        </w:tabs>
        <w:ind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"_Toc223595778" </w:instrText>
      </w:r>
      <w:r>
        <w:rPr>
          <w:color w:val="auto"/>
        </w:rPr>
        <w:fldChar w:fldCharType="separate"/>
      </w:r>
      <w:r>
        <w:rPr>
          <w:rStyle w:val="49"/>
          <w:color w:val="auto"/>
        </w:rPr>
        <w:t>5环境风险评价</w:t>
      </w:r>
      <w:r>
        <w:rPr>
          <w:color w:val="auto"/>
        </w:rPr>
        <w:tab/>
      </w:r>
      <w:r>
        <w:rPr>
          <w:color w:val="auto"/>
        </w:rPr>
        <w:fldChar w:fldCharType="begin"/>
      </w:r>
      <w:r>
        <w:rPr>
          <w:color w:val="auto"/>
        </w:rPr>
        <w:instrText xml:space="preserve"> PAGEREF _Toc223595778 \h </w:instrText>
      </w:r>
      <w:r>
        <w:rPr>
          <w:color w:val="auto"/>
        </w:rPr>
        <w:fldChar w:fldCharType="separate"/>
      </w:r>
      <w:r>
        <w:rPr>
          <w:color w:val="auto"/>
        </w:rPr>
        <w:t>134</w:t>
      </w:r>
      <w:r>
        <w:rPr>
          <w:color w:val="auto"/>
        </w:rPr>
        <w:fldChar w:fldCharType="end"/>
      </w:r>
      <w:r>
        <w:rPr>
          <w:color w:val="auto"/>
        </w:rPr>
        <w:fldChar w:fldCharType="end"/>
      </w:r>
    </w:p>
    <w:p w14:paraId="0B5754A0">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"_Toc223595779" </w:instrText>
      </w:r>
      <w:r>
        <w:rPr>
          <w:color w:val="auto"/>
        </w:rPr>
        <w:fldChar w:fldCharType="separate"/>
      </w:r>
      <w:r>
        <w:rPr>
          <w:rStyle w:val="49"/>
          <w:b/>
          <w:bCs/>
          <w:color w:val="auto"/>
        </w:rPr>
        <w:t>5.1</w:t>
      </w:r>
      <w:r>
        <w:rPr>
          <w:rStyle w:val="49"/>
          <w:color w:val="auto"/>
        </w:rPr>
        <w:t>风险调查</w:t>
      </w:r>
      <w:r>
        <w:rPr>
          <w:color w:val="auto"/>
        </w:rPr>
        <w:tab/>
      </w:r>
      <w:r>
        <w:rPr>
          <w:color w:val="auto"/>
        </w:rPr>
        <w:fldChar w:fldCharType="begin"/>
      </w:r>
      <w:r>
        <w:rPr>
          <w:color w:val="auto"/>
        </w:rPr>
        <w:instrText xml:space="preserve"> PAGEREF _Toc223595779 \h </w:instrText>
      </w:r>
      <w:r>
        <w:rPr>
          <w:color w:val="auto"/>
        </w:rPr>
        <w:fldChar w:fldCharType="separate"/>
      </w:r>
      <w:r>
        <w:rPr>
          <w:color w:val="auto"/>
        </w:rPr>
        <w:t>134</w:t>
      </w:r>
      <w:r>
        <w:rPr>
          <w:color w:val="auto"/>
        </w:rPr>
        <w:fldChar w:fldCharType="end"/>
      </w:r>
      <w:r>
        <w:rPr>
          <w:color w:val="auto"/>
        </w:rPr>
        <w:fldChar w:fldCharType="end"/>
      </w:r>
    </w:p>
    <w:p w14:paraId="3056301A">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"_Toc223595780" </w:instrText>
      </w:r>
      <w:r>
        <w:rPr>
          <w:color w:val="auto"/>
        </w:rPr>
        <w:fldChar w:fldCharType="separate"/>
      </w:r>
      <w:r>
        <w:rPr>
          <w:rStyle w:val="49"/>
          <w:b/>
          <w:bCs/>
          <w:color w:val="auto"/>
        </w:rPr>
        <w:t>5.2</w:t>
      </w:r>
      <w:r>
        <w:rPr>
          <w:rStyle w:val="49"/>
          <w:color w:val="auto"/>
        </w:rPr>
        <w:t>环境风险潜势初判</w:t>
      </w:r>
      <w:r>
        <w:rPr>
          <w:color w:val="auto"/>
        </w:rPr>
        <w:tab/>
      </w:r>
      <w:r>
        <w:rPr>
          <w:color w:val="auto"/>
        </w:rPr>
        <w:fldChar w:fldCharType="begin"/>
      </w:r>
      <w:r>
        <w:rPr>
          <w:color w:val="auto"/>
        </w:rPr>
        <w:instrText xml:space="preserve"> PAGEREF _Toc223595780 \h </w:instrText>
      </w:r>
      <w:r>
        <w:rPr>
          <w:color w:val="auto"/>
        </w:rPr>
        <w:fldChar w:fldCharType="separate"/>
      </w:r>
      <w:r>
        <w:rPr>
          <w:color w:val="auto"/>
        </w:rPr>
        <w:t>141</w:t>
      </w:r>
      <w:r>
        <w:rPr>
          <w:color w:val="auto"/>
        </w:rPr>
        <w:fldChar w:fldCharType="end"/>
      </w:r>
      <w:r>
        <w:rPr>
          <w:color w:val="auto"/>
        </w:rPr>
        <w:fldChar w:fldCharType="end"/>
      </w:r>
    </w:p>
    <w:p w14:paraId="75803533">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"_Toc223595781" </w:instrText>
      </w:r>
      <w:r>
        <w:rPr>
          <w:color w:val="auto"/>
        </w:rPr>
        <w:fldChar w:fldCharType="separate"/>
      </w:r>
      <w:r>
        <w:rPr>
          <w:rStyle w:val="49"/>
          <w:b/>
          <w:bCs/>
          <w:color w:val="auto"/>
        </w:rPr>
        <w:t>5.3</w:t>
      </w:r>
      <w:r>
        <w:rPr>
          <w:rStyle w:val="49"/>
          <w:color w:val="auto"/>
        </w:rPr>
        <w:t>风险识别</w:t>
      </w:r>
      <w:r>
        <w:rPr>
          <w:color w:val="auto"/>
        </w:rPr>
        <w:tab/>
      </w:r>
      <w:r>
        <w:rPr>
          <w:color w:val="auto"/>
        </w:rPr>
        <w:fldChar w:fldCharType="begin"/>
      </w:r>
      <w:r>
        <w:rPr>
          <w:color w:val="auto"/>
        </w:rPr>
        <w:instrText xml:space="preserve"> PAGEREF _Toc223595781 \h </w:instrText>
      </w:r>
      <w:r>
        <w:rPr>
          <w:color w:val="auto"/>
        </w:rPr>
        <w:fldChar w:fldCharType="separate"/>
      </w:r>
      <w:r>
        <w:rPr>
          <w:color w:val="auto"/>
        </w:rPr>
        <w:t>146</w:t>
      </w:r>
      <w:r>
        <w:rPr>
          <w:color w:val="auto"/>
        </w:rPr>
        <w:fldChar w:fldCharType="end"/>
      </w:r>
      <w:r>
        <w:rPr>
          <w:color w:val="auto"/>
        </w:rPr>
        <w:fldChar w:fldCharType="end"/>
      </w:r>
    </w:p>
    <w:p w14:paraId="5285EAF9">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"_Toc223595782" </w:instrText>
      </w:r>
      <w:r>
        <w:rPr>
          <w:color w:val="auto"/>
        </w:rPr>
        <w:fldChar w:fldCharType="separate"/>
      </w:r>
      <w:r>
        <w:rPr>
          <w:rStyle w:val="49"/>
          <w:b/>
          <w:bCs/>
          <w:color w:val="auto"/>
        </w:rPr>
        <w:t>5.4</w:t>
      </w:r>
      <w:r>
        <w:rPr>
          <w:rStyle w:val="49"/>
          <w:color w:val="auto"/>
        </w:rPr>
        <w:t>风险事故情形分析</w:t>
      </w:r>
      <w:r>
        <w:rPr>
          <w:color w:val="auto"/>
        </w:rPr>
        <w:tab/>
      </w:r>
      <w:r>
        <w:rPr>
          <w:color w:val="auto"/>
        </w:rPr>
        <w:fldChar w:fldCharType="begin"/>
      </w:r>
      <w:r>
        <w:rPr>
          <w:color w:val="auto"/>
        </w:rPr>
        <w:instrText xml:space="preserve"> PAGEREF _Toc223595782 \h </w:instrText>
      </w:r>
      <w:r>
        <w:rPr>
          <w:color w:val="auto"/>
        </w:rPr>
        <w:fldChar w:fldCharType="separate"/>
      </w:r>
      <w:r>
        <w:rPr>
          <w:color w:val="auto"/>
        </w:rPr>
        <w:t>156</w:t>
      </w:r>
      <w:r>
        <w:rPr>
          <w:color w:val="auto"/>
        </w:rPr>
        <w:fldChar w:fldCharType="end"/>
      </w:r>
      <w:r>
        <w:rPr>
          <w:color w:val="auto"/>
        </w:rPr>
        <w:fldChar w:fldCharType="end"/>
      </w:r>
    </w:p>
    <w:p w14:paraId="76943FA0">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"_Toc223595783" </w:instrText>
      </w:r>
      <w:r>
        <w:rPr>
          <w:color w:val="auto"/>
        </w:rPr>
        <w:fldChar w:fldCharType="separate"/>
      </w:r>
      <w:r>
        <w:rPr>
          <w:rStyle w:val="49"/>
          <w:b/>
          <w:bCs/>
          <w:color w:val="auto"/>
        </w:rPr>
        <w:t>5.5</w:t>
      </w:r>
      <w:r>
        <w:rPr>
          <w:rStyle w:val="49"/>
          <w:color w:val="auto"/>
        </w:rPr>
        <w:t>陆域风险事故预测</w:t>
      </w:r>
      <w:r>
        <w:rPr>
          <w:color w:val="auto"/>
        </w:rPr>
        <w:tab/>
      </w:r>
      <w:r>
        <w:rPr>
          <w:color w:val="auto"/>
        </w:rPr>
        <w:fldChar w:fldCharType="begin"/>
      </w:r>
      <w:r>
        <w:rPr>
          <w:color w:val="auto"/>
        </w:rPr>
        <w:instrText xml:space="preserve"> PAGEREF _Toc223595783 \h </w:instrText>
      </w:r>
      <w:r>
        <w:rPr>
          <w:color w:val="auto"/>
        </w:rPr>
        <w:fldChar w:fldCharType="separate"/>
      </w:r>
      <w:r>
        <w:rPr>
          <w:color w:val="auto"/>
        </w:rPr>
        <w:t>162</w:t>
      </w:r>
      <w:r>
        <w:rPr>
          <w:color w:val="auto"/>
        </w:rPr>
        <w:fldChar w:fldCharType="end"/>
      </w:r>
      <w:r>
        <w:rPr>
          <w:color w:val="auto"/>
        </w:rPr>
        <w:fldChar w:fldCharType="end"/>
      </w:r>
    </w:p>
    <w:p w14:paraId="3059CFEB">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"_Toc223595784" </w:instrText>
      </w:r>
      <w:r>
        <w:rPr>
          <w:color w:val="auto"/>
        </w:rPr>
        <w:fldChar w:fldCharType="separate"/>
      </w:r>
      <w:r>
        <w:rPr>
          <w:rStyle w:val="49"/>
          <w:b/>
          <w:bCs/>
          <w:color w:val="auto"/>
        </w:rPr>
        <w:t>5.6</w:t>
      </w:r>
      <w:r>
        <w:rPr>
          <w:rStyle w:val="49"/>
          <w:color w:val="auto"/>
        </w:rPr>
        <w:t>海域风险事故预测</w:t>
      </w:r>
      <w:r>
        <w:rPr>
          <w:color w:val="auto"/>
        </w:rPr>
        <w:tab/>
      </w:r>
      <w:r>
        <w:rPr>
          <w:color w:val="auto"/>
        </w:rPr>
        <w:fldChar w:fldCharType="begin"/>
      </w:r>
      <w:r>
        <w:rPr>
          <w:color w:val="auto"/>
        </w:rPr>
        <w:instrText xml:space="preserve"> PAGEREF _Toc223595784 \h </w:instrText>
      </w:r>
      <w:r>
        <w:rPr>
          <w:color w:val="auto"/>
        </w:rPr>
        <w:fldChar w:fldCharType="separate"/>
      </w:r>
      <w:r>
        <w:rPr>
          <w:color w:val="auto"/>
        </w:rPr>
        <w:t>173</w:t>
      </w:r>
      <w:r>
        <w:rPr>
          <w:color w:val="auto"/>
        </w:rPr>
        <w:fldChar w:fldCharType="end"/>
      </w:r>
      <w:r>
        <w:rPr>
          <w:color w:val="auto"/>
        </w:rPr>
        <w:fldChar w:fldCharType="end"/>
      </w:r>
    </w:p>
    <w:p w14:paraId="008A2857">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"_Toc223595785" </w:instrText>
      </w:r>
      <w:r>
        <w:rPr>
          <w:color w:val="auto"/>
        </w:rPr>
        <w:fldChar w:fldCharType="separate"/>
      </w:r>
      <w:r>
        <w:rPr>
          <w:rStyle w:val="49"/>
          <w:b/>
          <w:bCs/>
          <w:color w:val="auto"/>
        </w:rPr>
        <w:t>5.7</w:t>
      </w:r>
      <w:r>
        <w:rPr>
          <w:rStyle w:val="49"/>
          <w:color w:val="auto"/>
        </w:rPr>
        <w:t>风险管理</w:t>
      </w:r>
      <w:r>
        <w:rPr>
          <w:color w:val="auto"/>
        </w:rPr>
        <w:tab/>
      </w:r>
      <w:r>
        <w:rPr>
          <w:color w:val="auto"/>
        </w:rPr>
        <w:fldChar w:fldCharType="begin"/>
      </w:r>
      <w:r>
        <w:rPr>
          <w:color w:val="auto"/>
        </w:rPr>
        <w:instrText xml:space="preserve"> PAGEREF _Toc223595785 \h </w:instrText>
      </w:r>
      <w:r>
        <w:rPr>
          <w:color w:val="auto"/>
        </w:rPr>
        <w:fldChar w:fldCharType="separate"/>
      </w:r>
      <w:r>
        <w:rPr>
          <w:color w:val="auto"/>
        </w:rPr>
        <w:t>205</w:t>
      </w:r>
      <w:r>
        <w:rPr>
          <w:color w:val="auto"/>
        </w:rPr>
        <w:fldChar w:fldCharType="end"/>
      </w:r>
      <w:r>
        <w:rPr>
          <w:color w:val="auto"/>
        </w:rPr>
        <w:fldChar w:fldCharType="end"/>
      </w:r>
    </w:p>
    <w:p w14:paraId="4F3A4D66">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"_Toc223595786" </w:instrText>
      </w:r>
      <w:r>
        <w:rPr>
          <w:color w:val="auto"/>
        </w:rPr>
        <w:fldChar w:fldCharType="separate"/>
      </w:r>
      <w:r>
        <w:rPr>
          <w:rStyle w:val="49"/>
          <w:b/>
          <w:bCs/>
          <w:color w:val="auto"/>
        </w:rPr>
        <w:t>5.8</w:t>
      </w:r>
      <w:r>
        <w:rPr>
          <w:rStyle w:val="49"/>
          <w:color w:val="auto"/>
        </w:rPr>
        <w:t>风险应急预案</w:t>
      </w:r>
      <w:r>
        <w:rPr>
          <w:color w:val="auto"/>
        </w:rPr>
        <w:tab/>
      </w:r>
      <w:r>
        <w:rPr>
          <w:color w:val="auto"/>
        </w:rPr>
        <w:fldChar w:fldCharType="begin"/>
      </w:r>
      <w:r>
        <w:rPr>
          <w:color w:val="auto"/>
        </w:rPr>
        <w:instrText xml:space="preserve"> PAGEREF _Toc223595786 \h </w:instrText>
      </w:r>
      <w:r>
        <w:rPr>
          <w:color w:val="auto"/>
        </w:rPr>
        <w:fldChar w:fldCharType="separate"/>
      </w:r>
      <w:r>
        <w:rPr>
          <w:color w:val="auto"/>
        </w:rPr>
        <w:t>223</w:t>
      </w:r>
      <w:r>
        <w:rPr>
          <w:color w:val="auto"/>
        </w:rPr>
        <w:fldChar w:fldCharType="end"/>
      </w:r>
      <w:r>
        <w:rPr>
          <w:color w:val="auto"/>
        </w:rPr>
        <w:fldChar w:fldCharType="end"/>
      </w:r>
    </w:p>
    <w:p w14:paraId="0AB819F3">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"_Toc223595787" </w:instrText>
      </w:r>
      <w:r>
        <w:rPr>
          <w:color w:val="auto"/>
        </w:rPr>
        <w:fldChar w:fldCharType="separate"/>
      </w:r>
      <w:r>
        <w:rPr>
          <w:rStyle w:val="49"/>
          <w:b/>
          <w:bCs/>
          <w:color w:val="auto"/>
        </w:rPr>
        <w:t>5.9</w:t>
      </w:r>
      <w:r>
        <w:rPr>
          <w:rStyle w:val="49"/>
          <w:color w:val="auto"/>
        </w:rPr>
        <w:t>环境风险评价结论</w:t>
      </w:r>
      <w:r>
        <w:rPr>
          <w:color w:val="auto"/>
        </w:rPr>
        <w:tab/>
      </w:r>
      <w:r>
        <w:rPr>
          <w:color w:val="auto"/>
        </w:rPr>
        <w:fldChar w:fldCharType="begin"/>
      </w:r>
      <w:r>
        <w:rPr>
          <w:color w:val="auto"/>
        </w:rPr>
        <w:instrText xml:space="preserve"> PAGEREF _Toc223595787 \h </w:instrText>
      </w:r>
      <w:r>
        <w:rPr>
          <w:color w:val="auto"/>
        </w:rPr>
        <w:fldChar w:fldCharType="separate"/>
      </w:r>
      <w:r>
        <w:rPr>
          <w:color w:val="auto"/>
        </w:rPr>
        <w:t>235</w:t>
      </w:r>
      <w:r>
        <w:rPr>
          <w:color w:val="auto"/>
        </w:rPr>
        <w:fldChar w:fldCharType="end"/>
      </w:r>
      <w:r>
        <w:rPr>
          <w:color w:val="auto"/>
        </w:rPr>
        <w:fldChar w:fldCharType="end"/>
      </w:r>
    </w:p>
    <w:p w14:paraId="53C840B0">
      <w:pPr>
        <w:pStyle w:val="31"/>
        <w:tabs>
          <w:tab w:val="right" w:leader="dot" w:pos="9060"/>
        </w:tabs>
        <w:ind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"_Toc223595788" </w:instrText>
      </w:r>
      <w:r>
        <w:rPr>
          <w:color w:val="auto"/>
        </w:rPr>
        <w:fldChar w:fldCharType="separate"/>
      </w:r>
      <w:r>
        <w:rPr>
          <w:rStyle w:val="49"/>
          <w:color w:val="auto"/>
        </w:rPr>
        <w:t>6环境保护措施及其可行性</w:t>
      </w:r>
      <w:r>
        <w:rPr>
          <w:rStyle w:val="49"/>
          <w:rFonts w:hint="eastAsia"/>
          <w:color w:val="auto"/>
        </w:rPr>
        <w:t>分析</w:t>
      </w:r>
      <w:r>
        <w:rPr>
          <w:color w:val="auto"/>
        </w:rPr>
        <w:tab/>
      </w:r>
      <w:r>
        <w:rPr>
          <w:color w:val="auto"/>
        </w:rPr>
        <w:fldChar w:fldCharType="begin"/>
      </w:r>
      <w:r>
        <w:rPr>
          <w:color w:val="auto"/>
        </w:rPr>
        <w:instrText xml:space="preserve"> PAGEREF _Toc223595788 \h </w:instrText>
      </w:r>
      <w:r>
        <w:rPr>
          <w:color w:val="auto"/>
        </w:rPr>
        <w:fldChar w:fldCharType="separate"/>
      </w:r>
      <w:r>
        <w:rPr>
          <w:color w:val="auto"/>
        </w:rPr>
        <w:t>237</w:t>
      </w:r>
      <w:r>
        <w:rPr>
          <w:color w:val="auto"/>
        </w:rPr>
        <w:fldChar w:fldCharType="end"/>
      </w:r>
      <w:r>
        <w:rPr>
          <w:color w:val="auto"/>
        </w:rPr>
        <w:fldChar w:fldCharType="end"/>
      </w:r>
    </w:p>
    <w:p w14:paraId="44668FBB">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"_Toc223595789" </w:instrText>
      </w:r>
      <w:r>
        <w:rPr>
          <w:color w:val="auto"/>
        </w:rPr>
        <w:fldChar w:fldCharType="separate"/>
      </w:r>
      <w:r>
        <w:rPr>
          <w:rStyle w:val="49"/>
          <w:b/>
          <w:bCs/>
          <w:color w:val="auto"/>
        </w:rPr>
        <w:t>6.1</w:t>
      </w:r>
      <w:r>
        <w:rPr>
          <w:rStyle w:val="49"/>
          <w:color w:val="auto"/>
        </w:rPr>
        <w:t>大气环境保护措施</w:t>
      </w:r>
      <w:r>
        <w:rPr>
          <w:color w:val="auto"/>
        </w:rPr>
        <w:tab/>
      </w:r>
      <w:r>
        <w:rPr>
          <w:color w:val="auto"/>
        </w:rPr>
        <w:fldChar w:fldCharType="begin"/>
      </w:r>
      <w:r>
        <w:rPr>
          <w:color w:val="auto"/>
        </w:rPr>
        <w:instrText xml:space="preserve"> PAGEREF _Toc223595789 \h </w:instrText>
      </w:r>
      <w:r>
        <w:rPr>
          <w:color w:val="auto"/>
        </w:rPr>
        <w:fldChar w:fldCharType="separate"/>
      </w:r>
      <w:r>
        <w:rPr>
          <w:color w:val="auto"/>
        </w:rPr>
        <w:t>237</w:t>
      </w:r>
      <w:r>
        <w:rPr>
          <w:color w:val="auto"/>
        </w:rPr>
        <w:fldChar w:fldCharType="end"/>
      </w:r>
      <w:r>
        <w:rPr>
          <w:color w:val="auto"/>
        </w:rPr>
        <w:fldChar w:fldCharType="end"/>
      </w:r>
    </w:p>
    <w:p w14:paraId="2DA4D313">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"_Toc223595790" </w:instrText>
      </w:r>
      <w:r>
        <w:rPr>
          <w:color w:val="auto"/>
        </w:rPr>
        <w:fldChar w:fldCharType="separate"/>
      </w:r>
      <w:r>
        <w:rPr>
          <w:rStyle w:val="49"/>
          <w:b/>
          <w:bCs/>
          <w:color w:val="auto"/>
        </w:rPr>
        <w:t>6.2</w:t>
      </w:r>
      <w:r>
        <w:rPr>
          <w:rStyle w:val="49"/>
          <w:color w:val="auto"/>
        </w:rPr>
        <w:t>水环境保护措施</w:t>
      </w:r>
      <w:r>
        <w:rPr>
          <w:color w:val="auto"/>
        </w:rPr>
        <w:tab/>
      </w:r>
      <w:r>
        <w:rPr>
          <w:color w:val="auto"/>
        </w:rPr>
        <w:fldChar w:fldCharType="begin"/>
      </w:r>
      <w:r>
        <w:rPr>
          <w:color w:val="auto"/>
        </w:rPr>
        <w:instrText xml:space="preserve"> PAGEREF _Toc223595790 \h </w:instrText>
      </w:r>
      <w:r>
        <w:rPr>
          <w:color w:val="auto"/>
        </w:rPr>
        <w:fldChar w:fldCharType="separate"/>
      </w:r>
      <w:r>
        <w:rPr>
          <w:color w:val="auto"/>
        </w:rPr>
        <w:t>238</w:t>
      </w:r>
      <w:r>
        <w:rPr>
          <w:color w:val="auto"/>
        </w:rPr>
        <w:fldChar w:fldCharType="end"/>
      </w:r>
      <w:r>
        <w:rPr>
          <w:color w:val="auto"/>
        </w:rPr>
        <w:fldChar w:fldCharType="end"/>
      </w:r>
    </w:p>
    <w:p w14:paraId="27424716">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"_Toc223595791" </w:instrText>
      </w:r>
      <w:r>
        <w:rPr>
          <w:color w:val="auto"/>
        </w:rPr>
        <w:fldChar w:fldCharType="separate"/>
      </w:r>
      <w:r>
        <w:rPr>
          <w:rStyle w:val="49"/>
          <w:b/>
          <w:bCs/>
          <w:color w:val="auto"/>
        </w:rPr>
        <w:t>6.3</w:t>
      </w:r>
      <w:r>
        <w:rPr>
          <w:rStyle w:val="49"/>
          <w:color w:val="auto"/>
        </w:rPr>
        <w:t>运营期噪声污染防治措施</w:t>
      </w:r>
      <w:r>
        <w:rPr>
          <w:color w:val="auto"/>
        </w:rPr>
        <w:tab/>
      </w:r>
      <w:r>
        <w:rPr>
          <w:color w:val="auto"/>
        </w:rPr>
        <w:fldChar w:fldCharType="begin"/>
      </w:r>
      <w:r>
        <w:rPr>
          <w:color w:val="auto"/>
        </w:rPr>
        <w:instrText xml:space="preserve"> PAGEREF _Toc223595791 \h </w:instrText>
      </w:r>
      <w:r>
        <w:rPr>
          <w:color w:val="auto"/>
        </w:rPr>
        <w:fldChar w:fldCharType="separate"/>
      </w:r>
      <w:r>
        <w:rPr>
          <w:color w:val="auto"/>
        </w:rPr>
        <w:t>240</w:t>
      </w:r>
      <w:r>
        <w:rPr>
          <w:color w:val="auto"/>
        </w:rPr>
        <w:fldChar w:fldCharType="end"/>
      </w:r>
      <w:r>
        <w:rPr>
          <w:color w:val="auto"/>
        </w:rPr>
        <w:fldChar w:fldCharType="end"/>
      </w:r>
    </w:p>
    <w:p w14:paraId="34ADDFE6">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"_Toc223595792" </w:instrText>
      </w:r>
      <w:r>
        <w:rPr>
          <w:color w:val="auto"/>
        </w:rPr>
        <w:fldChar w:fldCharType="separate"/>
      </w:r>
      <w:r>
        <w:rPr>
          <w:rStyle w:val="49"/>
          <w:b/>
          <w:bCs/>
          <w:color w:val="auto"/>
        </w:rPr>
        <w:t>6.4</w:t>
      </w:r>
      <w:r>
        <w:rPr>
          <w:rStyle w:val="49"/>
          <w:color w:val="auto"/>
        </w:rPr>
        <w:t>固体废物环境保护措施</w:t>
      </w:r>
      <w:r>
        <w:rPr>
          <w:color w:val="auto"/>
        </w:rPr>
        <w:tab/>
      </w:r>
      <w:r>
        <w:rPr>
          <w:color w:val="auto"/>
        </w:rPr>
        <w:fldChar w:fldCharType="begin"/>
      </w:r>
      <w:r>
        <w:rPr>
          <w:color w:val="auto"/>
        </w:rPr>
        <w:instrText xml:space="preserve"> PAGEREF _Toc223595792 \h </w:instrText>
      </w:r>
      <w:r>
        <w:rPr>
          <w:color w:val="auto"/>
        </w:rPr>
        <w:fldChar w:fldCharType="separate"/>
      </w:r>
      <w:r>
        <w:rPr>
          <w:color w:val="auto"/>
        </w:rPr>
        <w:t>241</w:t>
      </w:r>
      <w:r>
        <w:rPr>
          <w:color w:val="auto"/>
        </w:rPr>
        <w:fldChar w:fldCharType="end"/>
      </w:r>
      <w:r>
        <w:rPr>
          <w:color w:val="auto"/>
        </w:rPr>
        <w:fldChar w:fldCharType="end"/>
      </w:r>
    </w:p>
    <w:p w14:paraId="0D734A48">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"_Toc223595793" </w:instrText>
      </w:r>
      <w:r>
        <w:rPr>
          <w:color w:val="auto"/>
        </w:rPr>
        <w:fldChar w:fldCharType="separate"/>
      </w:r>
      <w:r>
        <w:rPr>
          <w:rStyle w:val="49"/>
          <w:b/>
          <w:bCs/>
          <w:color w:val="auto"/>
        </w:rPr>
        <w:t>6.5</w:t>
      </w:r>
      <w:r>
        <w:rPr>
          <w:rStyle w:val="49"/>
          <w:color w:val="auto"/>
        </w:rPr>
        <w:t>生态环境保护措施</w:t>
      </w:r>
      <w:r>
        <w:rPr>
          <w:color w:val="auto"/>
        </w:rPr>
        <w:tab/>
      </w:r>
      <w:r>
        <w:rPr>
          <w:color w:val="auto"/>
        </w:rPr>
        <w:fldChar w:fldCharType="begin"/>
      </w:r>
      <w:r>
        <w:rPr>
          <w:color w:val="auto"/>
        </w:rPr>
        <w:instrText xml:space="preserve"> PAGEREF _Toc223595793 \h </w:instrText>
      </w:r>
      <w:r>
        <w:rPr>
          <w:color w:val="auto"/>
        </w:rPr>
        <w:fldChar w:fldCharType="separate"/>
      </w:r>
      <w:r>
        <w:rPr>
          <w:color w:val="auto"/>
        </w:rPr>
        <w:t>242</w:t>
      </w:r>
      <w:r>
        <w:rPr>
          <w:color w:val="auto"/>
        </w:rPr>
        <w:fldChar w:fldCharType="end"/>
      </w:r>
      <w:r>
        <w:rPr>
          <w:color w:val="auto"/>
        </w:rPr>
        <w:fldChar w:fldCharType="end"/>
      </w:r>
    </w:p>
    <w:p w14:paraId="1AF569D3">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"_Toc223595794" </w:instrText>
      </w:r>
      <w:r>
        <w:rPr>
          <w:color w:val="auto"/>
        </w:rPr>
        <w:fldChar w:fldCharType="separate"/>
      </w:r>
      <w:r>
        <w:rPr>
          <w:rStyle w:val="49"/>
          <w:b/>
          <w:bCs/>
          <w:color w:val="auto"/>
        </w:rPr>
        <w:t>6.6</w:t>
      </w:r>
      <w:r>
        <w:rPr>
          <w:rStyle w:val="49"/>
          <w:color w:val="auto"/>
        </w:rPr>
        <w:t>工程环保投资一览表</w:t>
      </w:r>
      <w:r>
        <w:rPr>
          <w:color w:val="auto"/>
        </w:rPr>
        <w:tab/>
      </w:r>
      <w:r>
        <w:rPr>
          <w:color w:val="auto"/>
        </w:rPr>
        <w:fldChar w:fldCharType="begin"/>
      </w:r>
      <w:r>
        <w:rPr>
          <w:color w:val="auto"/>
        </w:rPr>
        <w:instrText xml:space="preserve"> PAGEREF _Toc223595794 \h </w:instrText>
      </w:r>
      <w:r>
        <w:rPr>
          <w:color w:val="auto"/>
        </w:rPr>
        <w:fldChar w:fldCharType="separate"/>
      </w:r>
      <w:r>
        <w:rPr>
          <w:color w:val="auto"/>
        </w:rPr>
        <w:t>242</w:t>
      </w:r>
      <w:r>
        <w:rPr>
          <w:color w:val="auto"/>
        </w:rPr>
        <w:fldChar w:fldCharType="end"/>
      </w:r>
      <w:r>
        <w:rPr>
          <w:color w:val="auto"/>
        </w:rPr>
        <w:fldChar w:fldCharType="end"/>
      </w:r>
    </w:p>
    <w:p w14:paraId="53E989EF">
      <w:pPr>
        <w:pStyle w:val="31"/>
        <w:tabs>
          <w:tab w:val="right" w:leader="dot" w:pos="9060"/>
        </w:tabs>
        <w:ind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"_Toc223595795" </w:instrText>
      </w:r>
      <w:r>
        <w:rPr>
          <w:color w:val="auto"/>
        </w:rPr>
        <w:fldChar w:fldCharType="separate"/>
      </w:r>
      <w:r>
        <w:rPr>
          <w:rStyle w:val="49"/>
          <w:color w:val="auto"/>
        </w:rPr>
        <w:t>7环境经济损益分析</w:t>
      </w:r>
      <w:r>
        <w:rPr>
          <w:color w:val="auto"/>
        </w:rPr>
        <w:tab/>
      </w:r>
      <w:r>
        <w:rPr>
          <w:color w:val="auto"/>
        </w:rPr>
        <w:fldChar w:fldCharType="begin"/>
      </w:r>
      <w:r>
        <w:rPr>
          <w:color w:val="auto"/>
        </w:rPr>
        <w:instrText xml:space="preserve"> PAGEREF _Toc223595795 \h </w:instrText>
      </w:r>
      <w:r>
        <w:rPr>
          <w:color w:val="auto"/>
        </w:rPr>
        <w:fldChar w:fldCharType="separate"/>
      </w:r>
      <w:r>
        <w:rPr>
          <w:color w:val="auto"/>
        </w:rPr>
        <w:t>244</w:t>
      </w:r>
      <w:r>
        <w:rPr>
          <w:color w:val="auto"/>
        </w:rPr>
        <w:fldChar w:fldCharType="end"/>
      </w:r>
      <w:r>
        <w:rPr>
          <w:color w:val="auto"/>
        </w:rPr>
        <w:fldChar w:fldCharType="end"/>
      </w:r>
    </w:p>
    <w:p w14:paraId="415D7E33">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"_Toc223595796" </w:instrText>
      </w:r>
      <w:r>
        <w:rPr>
          <w:color w:val="auto"/>
        </w:rPr>
        <w:fldChar w:fldCharType="separate"/>
      </w:r>
      <w:r>
        <w:rPr>
          <w:rStyle w:val="49"/>
          <w:b/>
          <w:bCs/>
          <w:color w:val="auto"/>
        </w:rPr>
        <w:t>7.1</w:t>
      </w:r>
      <w:r>
        <w:rPr>
          <w:rStyle w:val="49"/>
          <w:color w:val="auto"/>
        </w:rPr>
        <w:t>经济效益</w:t>
      </w:r>
      <w:r>
        <w:rPr>
          <w:color w:val="auto"/>
        </w:rPr>
        <w:tab/>
      </w:r>
      <w:r>
        <w:rPr>
          <w:color w:val="auto"/>
        </w:rPr>
        <w:fldChar w:fldCharType="begin"/>
      </w:r>
      <w:r>
        <w:rPr>
          <w:color w:val="auto"/>
        </w:rPr>
        <w:instrText xml:space="preserve"> PAGEREF _Toc223595796 \h </w:instrText>
      </w:r>
      <w:r>
        <w:rPr>
          <w:color w:val="auto"/>
        </w:rPr>
        <w:fldChar w:fldCharType="separate"/>
      </w:r>
      <w:r>
        <w:rPr>
          <w:color w:val="auto"/>
        </w:rPr>
        <w:t>244</w:t>
      </w:r>
      <w:r>
        <w:rPr>
          <w:color w:val="auto"/>
        </w:rPr>
        <w:fldChar w:fldCharType="end"/>
      </w:r>
      <w:r>
        <w:rPr>
          <w:color w:val="auto"/>
        </w:rPr>
        <w:fldChar w:fldCharType="end"/>
      </w:r>
    </w:p>
    <w:p w14:paraId="3ABF4557">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"_Toc223595797" </w:instrText>
      </w:r>
      <w:r>
        <w:rPr>
          <w:color w:val="auto"/>
        </w:rPr>
        <w:fldChar w:fldCharType="separate"/>
      </w:r>
      <w:r>
        <w:rPr>
          <w:rStyle w:val="49"/>
          <w:b/>
          <w:bCs/>
          <w:color w:val="auto"/>
        </w:rPr>
        <w:t>7.2</w:t>
      </w:r>
      <w:r>
        <w:rPr>
          <w:rStyle w:val="49"/>
          <w:color w:val="auto"/>
        </w:rPr>
        <w:t>社会效益</w:t>
      </w:r>
      <w:r>
        <w:rPr>
          <w:color w:val="auto"/>
        </w:rPr>
        <w:tab/>
      </w:r>
      <w:r>
        <w:rPr>
          <w:color w:val="auto"/>
        </w:rPr>
        <w:fldChar w:fldCharType="begin"/>
      </w:r>
      <w:r>
        <w:rPr>
          <w:color w:val="auto"/>
        </w:rPr>
        <w:instrText xml:space="preserve"> PAGEREF _Toc223595797 \h </w:instrText>
      </w:r>
      <w:r>
        <w:rPr>
          <w:color w:val="auto"/>
        </w:rPr>
        <w:fldChar w:fldCharType="separate"/>
      </w:r>
      <w:r>
        <w:rPr>
          <w:color w:val="auto"/>
        </w:rPr>
        <w:t>244</w:t>
      </w:r>
      <w:r>
        <w:rPr>
          <w:color w:val="auto"/>
        </w:rPr>
        <w:fldChar w:fldCharType="end"/>
      </w:r>
      <w:r>
        <w:rPr>
          <w:color w:val="auto"/>
        </w:rPr>
        <w:fldChar w:fldCharType="end"/>
      </w:r>
    </w:p>
    <w:p w14:paraId="56D3FA23">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"_Toc223595798" </w:instrText>
      </w:r>
      <w:r>
        <w:rPr>
          <w:color w:val="auto"/>
        </w:rPr>
        <w:fldChar w:fldCharType="separate"/>
      </w:r>
      <w:r>
        <w:rPr>
          <w:rStyle w:val="49"/>
          <w:b/>
          <w:bCs/>
          <w:color w:val="auto"/>
        </w:rPr>
        <w:t>7.3</w:t>
      </w:r>
      <w:r>
        <w:rPr>
          <w:rStyle w:val="49"/>
          <w:color w:val="auto"/>
        </w:rPr>
        <w:t>环境效益</w:t>
      </w:r>
      <w:r>
        <w:rPr>
          <w:color w:val="auto"/>
        </w:rPr>
        <w:tab/>
      </w:r>
      <w:r>
        <w:rPr>
          <w:color w:val="auto"/>
        </w:rPr>
        <w:fldChar w:fldCharType="begin"/>
      </w:r>
      <w:r>
        <w:rPr>
          <w:color w:val="auto"/>
        </w:rPr>
        <w:instrText xml:space="preserve"> PAGEREF _Toc223595798 \h </w:instrText>
      </w:r>
      <w:r>
        <w:rPr>
          <w:color w:val="auto"/>
        </w:rPr>
        <w:fldChar w:fldCharType="separate"/>
      </w:r>
      <w:r>
        <w:rPr>
          <w:color w:val="auto"/>
        </w:rPr>
        <w:t>245</w:t>
      </w:r>
      <w:r>
        <w:rPr>
          <w:color w:val="auto"/>
        </w:rPr>
        <w:fldChar w:fldCharType="end"/>
      </w:r>
      <w:r>
        <w:rPr>
          <w:color w:val="auto"/>
        </w:rPr>
        <w:fldChar w:fldCharType="end"/>
      </w:r>
    </w:p>
    <w:p w14:paraId="1D300142">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"_Toc223595799" </w:instrText>
      </w:r>
      <w:r>
        <w:rPr>
          <w:color w:val="auto"/>
        </w:rPr>
        <w:fldChar w:fldCharType="separate"/>
      </w:r>
      <w:r>
        <w:rPr>
          <w:rStyle w:val="49"/>
          <w:b/>
          <w:bCs/>
          <w:color w:val="auto"/>
        </w:rPr>
        <w:t>7.4</w:t>
      </w:r>
      <w:r>
        <w:rPr>
          <w:rStyle w:val="49"/>
          <w:color w:val="auto"/>
        </w:rPr>
        <w:t>小结</w:t>
      </w:r>
      <w:r>
        <w:rPr>
          <w:color w:val="auto"/>
        </w:rPr>
        <w:tab/>
      </w:r>
      <w:r>
        <w:rPr>
          <w:color w:val="auto"/>
        </w:rPr>
        <w:fldChar w:fldCharType="begin"/>
      </w:r>
      <w:r>
        <w:rPr>
          <w:color w:val="auto"/>
        </w:rPr>
        <w:instrText xml:space="preserve"> PAGEREF _Toc223595799 \h </w:instrText>
      </w:r>
      <w:r>
        <w:rPr>
          <w:color w:val="auto"/>
        </w:rPr>
        <w:fldChar w:fldCharType="separate"/>
      </w:r>
      <w:r>
        <w:rPr>
          <w:color w:val="auto"/>
        </w:rPr>
        <w:t>245</w:t>
      </w:r>
      <w:r>
        <w:rPr>
          <w:color w:val="auto"/>
        </w:rPr>
        <w:fldChar w:fldCharType="end"/>
      </w:r>
      <w:r>
        <w:rPr>
          <w:color w:val="auto"/>
        </w:rPr>
        <w:fldChar w:fldCharType="end"/>
      </w:r>
    </w:p>
    <w:p w14:paraId="55AD1412">
      <w:pPr>
        <w:pStyle w:val="31"/>
        <w:tabs>
          <w:tab w:val="right" w:leader="dot" w:pos="9060"/>
        </w:tabs>
        <w:ind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"_Toc223595800" </w:instrText>
      </w:r>
      <w:r>
        <w:rPr>
          <w:color w:val="auto"/>
        </w:rPr>
        <w:fldChar w:fldCharType="separate"/>
      </w:r>
      <w:r>
        <w:rPr>
          <w:rStyle w:val="49"/>
          <w:color w:val="auto"/>
        </w:rPr>
        <w:t>8环境管理与监测计划</w:t>
      </w:r>
      <w:r>
        <w:rPr>
          <w:color w:val="auto"/>
        </w:rPr>
        <w:tab/>
      </w:r>
      <w:r>
        <w:rPr>
          <w:color w:val="auto"/>
        </w:rPr>
        <w:fldChar w:fldCharType="begin"/>
      </w:r>
      <w:r>
        <w:rPr>
          <w:color w:val="auto"/>
        </w:rPr>
        <w:instrText xml:space="preserve"> PAGEREF _Toc223595800 \h </w:instrText>
      </w:r>
      <w:r>
        <w:rPr>
          <w:color w:val="auto"/>
        </w:rPr>
        <w:fldChar w:fldCharType="separate"/>
      </w:r>
      <w:r>
        <w:rPr>
          <w:color w:val="auto"/>
        </w:rPr>
        <w:t>246</w:t>
      </w:r>
      <w:r>
        <w:rPr>
          <w:color w:val="auto"/>
        </w:rPr>
        <w:fldChar w:fldCharType="end"/>
      </w:r>
      <w:r>
        <w:rPr>
          <w:color w:val="auto"/>
        </w:rPr>
        <w:fldChar w:fldCharType="end"/>
      </w:r>
    </w:p>
    <w:p w14:paraId="6BE7E13C">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"_Toc223595801" </w:instrText>
      </w:r>
      <w:r>
        <w:rPr>
          <w:color w:val="auto"/>
        </w:rPr>
        <w:fldChar w:fldCharType="separate"/>
      </w:r>
      <w:r>
        <w:rPr>
          <w:rStyle w:val="49"/>
          <w:b/>
          <w:bCs/>
          <w:color w:val="auto"/>
        </w:rPr>
        <w:t>8.1</w:t>
      </w:r>
      <w:r>
        <w:rPr>
          <w:rStyle w:val="49"/>
          <w:color w:val="auto"/>
        </w:rPr>
        <w:t>环境管理</w:t>
      </w:r>
      <w:r>
        <w:rPr>
          <w:color w:val="auto"/>
        </w:rPr>
        <w:tab/>
      </w:r>
      <w:r>
        <w:rPr>
          <w:color w:val="auto"/>
        </w:rPr>
        <w:fldChar w:fldCharType="begin"/>
      </w:r>
      <w:r>
        <w:rPr>
          <w:color w:val="auto"/>
        </w:rPr>
        <w:instrText xml:space="preserve"> PAGEREF _Toc223595801 \h </w:instrText>
      </w:r>
      <w:r>
        <w:rPr>
          <w:color w:val="auto"/>
        </w:rPr>
        <w:fldChar w:fldCharType="separate"/>
      </w:r>
      <w:r>
        <w:rPr>
          <w:color w:val="auto"/>
        </w:rPr>
        <w:t>246</w:t>
      </w:r>
      <w:r>
        <w:rPr>
          <w:color w:val="auto"/>
        </w:rPr>
        <w:fldChar w:fldCharType="end"/>
      </w:r>
      <w:r>
        <w:rPr>
          <w:color w:val="auto"/>
        </w:rPr>
        <w:fldChar w:fldCharType="end"/>
      </w:r>
    </w:p>
    <w:p w14:paraId="39B8ADD0">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"_Toc223595802" </w:instrText>
      </w:r>
      <w:r>
        <w:rPr>
          <w:color w:val="auto"/>
        </w:rPr>
        <w:fldChar w:fldCharType="separate"/>
      </w:r>
      <w:r>
        <w:rPr>
          <w:rStyle w:val="49"/>
          <w:b/>
          <w:bCs/>
          <w:color w:val="auto"/>
        </w:rPr>
        <w:t>8.2</w:t>
      </w:r>
      <w:r>
        <w:rPr>
          <w:rStyle w:val="49"/>
          <w:color w:val="auto"/>
        </w:rPr>
        <w:t>排污管理要求</w:t>
      </w:r>
      <w:r>
        <w:rPr>
          <w:color w:val="auto"/>
        </w:rPr>
        <w:tab/>
      </w:r>
      <w:r>
        <w:rPr>
          <w:color w:val="auto"/>
        </w:rPr>
        <w:fldChar w:fldCharType="begin"/>
      </w:r>
      <w:r>
        <w:rPr>
          <w:color w:val="auto"/>
        </w:rPr>
        <w:instrText xml:space="preserve"> PAGEREF _Toc223595802 \h </w:instrText>
      </w:r>
      <w:r>
        <w:rPr>
          <w:color w:val="auto"/>
        </w:rPr>
        <w:fldChar w:fldCharType="separate"/>
      </w:r>
      <w:r>
        <w:rPr>
          <w:color w:val="auto"/>
        </w:rPr>
        <w:t>247</w:t>
      </w:r>
      <w:r>
        <w:rPr>
          <w:color w:val="auto"/>
        </w:rPr>
        <w:fldChar w:fldCharType="end"/>
      </w:r>
      <w:r>
        <w:rPr>
          <w:color w:val="auto"/>
        </w:rPr>
        <w:fldChar w:fldCharType="end"/>
      </w:r>
    </w:p>
    <w:p w14:paraId="7CF0D781">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"_Toc223595803" </w:instrText>
      </w:r>
      <w:r>
        <w:rPr>
          <w:color w:val="auto"/>
        </w:rPr>
        <w:fldChar w:fldCharType="separate"/>
      </w:r>
      <w:r>
        <w:rPr>
          <w:rStyle w:val="49"/>
          <w:b/>
          <w:bCs/>
          <w:color w:val="auto"/>
        </w:rPr>
        <w:t>8.3</w:t>
      </w:r>
      <w:r>
        <w:rPr>
          <w:rStyle w:val="49"/>
          <w:color w:val="auto"/>
        </w:rPr>
        <w:t>环境监测</w:t>
      </w:r>
      <w:r>
        <w:rPr>
          <w:color w:val="auto"/>
        </w:rPr>
        <w:tab/>
      </w:r>
      <w:r>
        <w:rPr>
          <w:color w:val="auto"/>
        </w:rPr>
        <w:fldChar w:fldCharType="begin"/>
      </w:r>
      <w:r>
        <w:rPr>
          <w:color w:val="auto"/>
        </w:rPr>
        <w:instrText xml:space="preserve"> PAGEREF _Toc223595803 \h </w:instrText>
      </w:r>
      <w:r>
        <w:rPr>
          <w:color w:val="auto"/>
        </w:rPr>
        <w:fldChar w:fldCharType="separate"/>
      </w:r>
      <w:r>
        <w:rPr>
          <w:color w:val="auto"/>
        </w:rPr>
        <w:t>249</w:t>
      </w:r>
      <w:r>
        <w:rPr>
          <w:color w:val="auto"/>
        </w:rPr>
        <w:fldChar w:fldCharType="end"/>
      </w:r>
      <w:r>
        <w:rPr>
          <w:color w:val="auto"/>
        </w:rPr>
        <w:fldChar w:fldCharType="end"/>
      </w:r>
    </w:p>
    <w:p w14:paraId="3E8872FD">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"_Toc223595804" </w:instrText>
      </w:r>
      <w:r>
        <w:rPr>
          <w:color w:val="auto"/>
        </w:rPr>
        <w:fldChar w:fldCharType="separate"/>
      </w:r>
      <w:r>
        <w:rPr>
          <w:rStyle w:val="49"/>
          <w:b/>
          <w:bCs/>
          <w:color w:val="auto"/>
        </w:rPr>
        <w:t>8.4</w:t>
      </w:r>
      <w:r>
        <w:rPr>
          <w:rStyle w:val="49"/>
          <w:color w:val="auto"/>
        </w:rPr>
        <w:t>环境保护“三同时”验收一览表</w:t>
      </w:r>
      <w:r>
        <w:rPr>
          <w:color w:val="auto"/>
        </w:rPr>
        <w:tab/>
      </w:r>
      <w:r>
        <w:rPr>
          <w:color w:val="auto"/>
        </w:rPr>
        <w:fldChar w:fldCharType="begin"/>
      </w:r>
      <w:r>
        <w:rPr>
          <w:color w:val="auto"/>
        </w:rPr>
        <w:instrText xml:space="preserve"> PAGEREF _Toc223595804 \h </w:instrText>
      </w:r>
      <w:r>
        <w:rPr>
          <w:color w:val="auto"/>
        </w:rPr>
        <w:fldChar w:fldCharType="separate"/>
      </w:r>
      <w:r>
        <w:rPr>
          <w:color w:val="auto"/>
        </w:rPr>
        <w:t>250</w:t>
      </w:r>
      <w:r>
        <w:rPr>
          <w:color w:val="auto"/>
        </w:rPr>
        <w:fldChar w:fldCharType="end"/>
      </w:r>
      <w:r>
        <w:rPr>
          <w:color w:val="auto"/>
        </w:rPr>
        <w:fldChar w:fldCharType="end"/>
      </w:r>
    </w:p>
    <w:p w14:paraId="13B028F5">
      <w:pPr>
        <w:pStyle w:val="31"/>
        <w:tabs>
          <w:tab w:val="right" w:leader="dot" w:pos="9060"/>
        </w:tabs>
        <w:ind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"_Toc223595805" </w:instrText>
      </w:r>
      <w:r>
        <w:rPr>
          <w:color w:val="auto"/>
        </w:rPr>
        <w:fldChar w:fldCharType="separate"/>
      </w:r>
      <w:r>
        <w:rPr>
          <w:rStyle w:val="49"/>
          <w:color w:val="auto"/>
        </w:rPr>
        <w:t>9环境影响评价结论</w:t>
      </w:r>
      <w:r>
        <w:rPr>
          <w:color w:val="auto"/>
        </w:rPr>
        <w:tab/>
      </w:r>
      <w:r>
        <w:rPr>
          <w:color w:val="auto"/>
        </w:rPr>
        <w:fldChar w:fldCharType="begin"/>
      </w:r>
      <w:r>
        <w:rPr>
          <w:color w:val="auto"/>
        </w:rPr>
        <w:instrText xml:space="preserve"> PAGEREF _Toc223595805 \h </w:instrText>
      </w:r>
      <w:r>
        <w:rPr>
          <w:color w:val="auto"/>
        </w:rPr>
        <w:fldChar w:fldCharType="separate"/>
      </w:r>
      <w:r>
        <w:rPr>
          <w:color w:val="auto"/>
        </w:rPr>
        <w:t>251</w:t>
      </w:r>
      <w:r>
        <w:rPr>
          <w:color w:val="auto"/>
        </w:rPr>
        <w:fldChar w:fldCharType="end"/>
      </w:r>
      <w:r>
        <w:rPr>
          <w:color w:val="auto"/>
        </w:rPr>
        <w:fldChar w:fldCharType="end"/>
      </w:r>
    </w:p>
    <w:p w14:paraId="681FF8B2">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"_Toc223595806" </w:instrText>
      </w:r>
      <w:r>
        <w:rPr>
          <w:color w:val="auto"/>
        </w:rPr>
        <w:fldChar w:fldCharType="separate"/>
      </w:r>
      <w:r>
        <w:rPr>
          <w:rStyle w:val="49"/>
          <w:b/>
          <w:bCs/>
          <w:color w:val="auto"/>
        </w:rPr>
        <w:t>9.1</w:t>
      </w:r>
      <w:r>
        <w:rPr>
          <w:rStyle w:val="49"/>
          <w:color w:val="auto"/>
        </w:rPr>
        <w:t>项目概况</w:t>
      </w:r>
      <w:r>
        <w:rPr>
          <w:color w:val="auto"/>
        </w:rPr>
        <w:tab/>
      </w:r>
      <w:r>
        <w:rPr>
          <w:color w:val="auto"/>
        </w:rPr>
        <w:fldChar w:fldCharType="begin"/>
      </w:r>
      <w:r>
        <w:rPr>
          <w:color w:val="auto"/>
        </w:rPr>
        <w:instrText xml:space="preserve"> PAGEREF _Toc223595806 \h </w:instrText>
      </w:r>
      <w:r>
        <w:rPr>
          <w:color w:val="auto"/>
        </w:rPr>
        <w:fldChar w:fldCharType="separate"/>
      </w:r>
      <w:r>
        <w:rPr>
          <w:color w:val="auto"/>
        </w:rPr>
        <w:t>251</w:t>
      </w:r>
      <w:r>
        <w:rPr>
          <w:color w:val="auto"/>
        </w:rPr>
        <w:fldChar w:fldCharType="end"/>
      </w:r>
      <w:r>
        <w:rPr>
          <w:color w:val="auto"/>
        </w:rPr>
        <w:fldChar w:fldCharType="end"/>
      </w:r>
    </w:p>
    <w:p w14:paraId="2D94BF9F">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"_Toc223595807" </w:instrText>
      </w:r>
      <w:r>
        <w:rPr>
          <w:color w:val="auto"/>
        </w:rPr>
        <w:fldChar w:fldCharType="separate"/>
      </w:r>
      <w:r>
        <w:rPr>
          <w:rStyle w:val="49"/>
          <w:b/>
          <w:bCs/>
          <w:color w:val="auto"/>
        </w:rPr>
        <w:t>9.2</w:t>
      </w:r>
      <w:r>
        <w:rPr>
          <w:rStyle w:val="49"/>
          <w:color w:val="auto"/>
        </w:rPr>
        <w:t>环境质量现状</w:t>
      </w:r>
      <w:r>
        <w:rPr>
          <w:color w:val="auto"/>
        </w:rPr>
        <w:tab/>
      </w:r>
      <w:r>
        <w:rPr>
          <w:color w:val="auto"/>
        </w:rPr>
        <w:fldChar w:fldCharType="begin"/>
      </w:r>
      <w:r>
        <w:rPr>
          <w:color w:val="auto"/>
        </w:rPr>
        <w:instrText xml:space="preserve"> PAGEREF _Toc223595807 \h </w:instrText>
      </w:r>
      <w:r>
        <w:rPr>
          <w:color w:val="auto"/>
        </w:rPr>
        <w:fldChar w:fldCharType="separate"/>
      </w:r>
      <w:r>
        <w:rPr>
          <w:color w:val="auto"/>
        </w:rPr>
        <w:t>251</w:t>
      </w:r>
      <w:r>
        <w:rPr>
          <w:color w:val="auto"/>
        </w:rPr>
        <w:fldChar w:fldCharType="end"/>
      </w:r>
      <w:r>
        <w:rPr>
          <w:color w:val="auto"/>
        </w:rPr>
        <w:fldChar w:fldCharType="end"/>
      </w:r>
    </w:p>
    <w:p w14:paraId="3E881360">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"_Toc223595808" </w:instrText>
      </w:r>
      <w:r>
        <w:rPr>
          <w:color w:val="auto"/>
        </w:rPr>
        <w:fldChar w:fldCharType="separate"/>
      </w:r>
      <w:r>
        <w:rPr>
          <w:rStyle w:val="49"/>
          <w:b/>
          <w:bCs/>
          <w:color w:val="auto"/>
        </w:rPr>
        <w:t>9.3</w:t>
      </w:r>
      <w:r>
        <w:rPr>
          <w:rStyle w:val="49"/>
          <w:color w:val="auto"/>
        </w:rPr>
        <w:t>环境影响预测与评价结论</w:t>
      </w:r>
      <w:r>
        <w:rPr>
          <w:color w:val="auto"/>
        </w:rPr>
        <w:tab/>
      </w:r>
      <w:r>
        <w:rPr>
          <w:color w:val="auto"/>
        </w:rPr>
        <w:fldChar w:fldCharType="begin"/>
      </w:r>
      <w:r>
        <w:rPr>
          <w:color w:val="auto"/>
        </w:rPr>
        <w:instrText xml:space="preserve"> PAGEREF _Toc223595808 \h </w:instrText>
      </w:r>
      <w:r>
        <w:rPr>
          <w:color w:val="auto"/>
        </w:rPr>
        <w:fldChar w:fldCharType="separate"/>
      </w:r>
      <w:r>
        <w:rPr>
          <w:color w:val="auto"/>
        </w:rPr>
        <w:t>253</w:t>
      </w:r>
      <w:r>
        <w:rPr>
          <w:color w:val="auto"/>
        </w:rPr>
        <w:fldChar w:fldCharType="end"/>
      </w:r>
      <w:r>
        <w:rPr>
          <w:color w:val="auto"/>
        </w:rPr>
        <w:fldChar w:fldCharType="end"/>
      </w:r>
    </w:p>
    <w:p w14:paraId="055C10D6">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"_Toc223595809" </w:instrText>
      </w:r>
      <w:r>
        <w:rPr>
          <w:color w:val="auto"/>
        </w:rPr>
        <w:fldChar w:fldCharType="separate"/>
      </w:r>
      <w:r>
        <w:rPr>
          <w:rStyle w:val="49"/>
          <w:b/>
          <w:bCs/>
          <w:color w:val="auto"/>
        </w:rPr>
        <w:t>9.4</w:t>
      </w:r>
      <w:r>
        <w:rPr>
          <w:rStyle w:val="49"/>
          <w:color w:val="auto"/>
        </w:rPr>
        <w:t>环境保护措施</w:t>
      </w:r>
      <w:r>
        <w:rPr>
          <w:color w:val="auto"/>
        </w:rPr>
        <w:tab/>
      </w:r>
      <w:r>
        <w:rPr>
          <w:color w:val="auto"/>
        </w:rPr>
        <w:fldChar w:fldCharType="begin"/>
      </w:r>
      <w:r>
        <w:rPr>
          <w:color w:val="auto"/>
        </w:rPr>
        <w:instrText xml:space="preserve"> PAGEREF _Toc223595809 \h </w:instrText>
      </w:r>
      <w:r>
        <w:rPr>
          <w:color w:val="auto"/>
        </w:rPr>
        <w:fldChar w:fldCharType="separate"/>
      </w:r>
      <w:r>
        <w:rPr>
          <w:color w:val="auto"/>
        </w:rPr>
        <w:t>254</w:t>
      </w:r>
      <w:r>
        <w:rPr>
          <w:color w:val="auto"/>
        </w:rPr>
        <w:fldChar w:fldCharType="end"/>
      </w:r>
      <w:r>
        <w:rPr>
          <w:color w:val="auto"/>
        </w:rPr>
        <w:fldChar w:fldCharType="end"/>
      </w:r>
    </w:p>
    <w:p w14:paraId="37FE95BE">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"_Toc223595810" </w:instrText>
      </w:r>
      <w:r>
        <w:rPr>
          <w:color w:val="auto"/>
        </w:rPr>
        <w:fldChar w:fldCharType="separate"/>
      </w:r>
      <w:r>
        <w:rPr>
          <w:rStyle w:val="49"/>
          <w:b/>
          <w:bCs/>
          <w:color w:val="auto"/>
        </w:rPr>
        <w:t>9.5</w:t>
      </w:r>
      <w:r>
        <w:rPr>
          <w:rStyle w:val="49"/>
          <w:color w:val="auto"/>
        </w:rPr>
        <w:t>环境风险评价结论</w:t>
      </w:r>
      <w:r>
        <w:rPr>
          <w:color w:val="auto"/>
        </w:rPr>
        <w:tab/>
      </w:r>
      <w:r>
        <w:rPr>
          <w:color w:val="auto"/>
        </w:rPr>
        <w:fldChar w:fldCharType="begin"/>
      </w:r>
      <w:r>
        <w:rPr>
          <w:color w:val="auto"/>
        </w:rPr>
        <w:instrText xml:space="preserve"> PAGEREF _Toc223595810 \h </w:instrText>
      </w:r>
      <w:r>
        <w:rPr>
          <w:color w:val="auto"/>
        </w:rPr>
        <w:fldChar w:fldCharType="separate"/>
      </w:r>
      <w:r>
        <w:rPr>
          <w:color w:val="auto"/>
        </w:rPr>
        <w:t>255</w:t>
      </w:r>
      <w:r>
        <w:rPr>
          <w:color w:val="auto"/>
        </w:rPr>
        <w:fldChar w:fldCharType="end"/>
      </w:r>
      <w:r>
        <w:rPr>
          <w:color w:val="auto"/>
        </w:rPr>
        <w:fldChar w:fldCharType="end"/>
      </w:r>
    </w:p>
    <w:p w14:paraId="3CC3761C">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"_Toc223595811" </w:instrText>
      </w:r>
      <w:r>
        <w:rPr>
          <w:color w:val="auto"/>
        </w:rPr>
        <w:fldChar w:fldCharType="separate"/>
      </w:r>
      <w:r>
        <w:rPr>
          <w:rStyle w:val="49"/>
          <w:b/>
          <w:bCs/>
          <w:color w:val="auto"/>
        </w:rPr>
        <w:t>9.6</w:t>
      </w:r>
      <w:r>
        <w:rPr>
          <w:rStyle w:val="49"/>
          <w:color w:val="auto"/>
        </w:rPr>
        <w:t>环境影响经济损益分析</w:t>
      </w:r>
      <w:r>
        <w:rPr>
          <w:color w:val="auto"/>
        </w:rPr>
        <w:tab/>
      </w:r>
      <w:r>
        <w:rPr>
          <w:color w:val="auto"/>
        </w:rPr>
        <w:fldChar w:fldCharType="begin"/>
      </w:r>
      <w:r>
        <w:rPr>
          <w:color w:val="auto"/>
        </w:rPr>
        <w:instrText xml:space="preserve"> PAGEREF _Toc223595811 \h </w:instrText>
      </w:r>
      <w:r>
        <w:rPr>
          <w:color w:val="auto"/>
        </w:rPr>
        <w:fldChar w:fldCharType="separate"/>
      </w:r>
      <w:r>
        <w:rPr>
          <w:color w:val="auto"/>
        </w:rPr>
        <w:t>255</w:t>
      </w:r>
      <w:r>
        <w:rPr>
          <w:color w:val="auto"/>
        </w:rPr>
        <w:fldChar w:fldCharType="end"/>
      </w:r>
      <w:r>
        <w:rPr>
          <w:color w:val="auto"/>
        </w:rPr>
        <w:fldChar w:fldCharType="end"/>
      </w:r>
    </w:p>
    <w:p w14:paraId="3196F314">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"_Toc223595812" </w:instrText>
      </w:r>
      <w:r>
        <w:rPr>
          <w:color w:val="auto"/>
        </w:rPr>
        <w:fldChar w:fldCharType="separate"/>
      </w:r>
      <w:r>
        <w:rPr>
          <w:rStyle w:val="49"/>
          <w:b/>
          <w:bCs/>
          <w:color w:val="auto"/>
        </w:rPr>
        <w:t>9.7</w:t>
      </w:r>
      <w:r>
        <w:rPr>
          <w:rStyle w:val="49"/>
          <w:color w:val="auto"/>
        </w:rPr>
        <w:t>环境管理与监测计划</w:t>
      </w:r>
      <w:r>
        <w:rPr>
          <w:color w:val="auto"/>
        </w:rPr>
        <w:tab/>
      </w:r>
      <w:r>
        <w:rPr>
          <w:color w:val="auto"/>
        </w:rPr>
        <w:fldChar w:fldCharType="begin"/>
      </w:r>
      <w:r>
        <w:rPr>
          <w:color w:val="auto"/>
        </w:rPr>
        <w:instrText xml:space="preserve"> PAGEREF _Toc223595812 \h </w:instrText>
      </w:r>
      <w:r>
        <w:rPr>
          <w:color w:val="auto"/>
        </w:rPr>
        <w:fldChar w:fldCharType="separate"/>
      </w:r>
      <w:r>
        <w:rPr>
          <w:color w:val="auto"/>
        </w:rPr>
        <w:t>256</w:t>
      </w:r>
      <w:r>
        <w:rPr>
          <w:color w:val="auto"/>
        </w:rPr>
        <w:fldChar w:fldCharType="end"/>
      </w:r>
      <w:r>
        <w:rPr>
          <w:color w:val="auto"/>
        </w:rPr>
        <w:fldChar w:fldCharType="end"/>
      </w:r>
    </w:p>
    <w:p w14:paraId="06F8171E">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"_Toc223595813" </w:instrText>
      </w:r>
      <w:r>
        <w:rPr>
          <w:color w:val="auto"/>
        </w:rPr>
        <w:fldChar w:fldCharType="separate"/>
      </w:r>
      <w:r>
        <w:rPr>
          <w:rStyle w:val="49"/>
          <w:b/>
          <w:bCs/>
          <w:color w:val="auto"/>
        </w:rPr>
        <w:t>9.8</w:t>
      </w:r>
      <w:r>
        <w:rPr>
          <w:rStyle w:val="49"/>
          <w:color w:val="auto"/>
        </w:rPr>
        <w:t>公众意见采纳情况</w:t>
      </w:r>
      <w:r>
        <w:rPr>
          <w:color w:val="auto"/>
        </w:rPr>
        <w:tab/>
      </w:r>
      <w:r>
        <w:rPr>
          <w:color w:val="auto"/>
        </w:rPr>
        <w:fldChar w:fldCharType="begin"/>
      </w:r>
      <w:r>
        <w:rPr>
          <w:color w:val="auto"/>
        </w:rPr>
        <w:instrText xml:space="preserve"> PAGEREF _Toc223595813 \h </w:instrText>
      </w:r>
      <w:r>
        <w:rPr>
          <w:color w:val="auto"/>
        </w:rPr>
        <w:fldChar w:fldCharType="separate"/>
      </w:r>
      <w:r>
        <w:rPr>
          <w:color w:val="auto"/>
        </w:rPr>
        <w:t>256</w:t>
      </w:r>
      <w:r>
        <w:rPr>
          <w:color w:val="auto"/>
        </w:rPr>
        <w:fldChar w:fldCharType="end"/>
      </w:r>
      <w:r>
        <w:rPr>
          <w:color w:val="auto"/>
        </w:rPr>
        <w:fldChar w:fldCharType="end"/>
      </w:r>
    </w:p>
    <w:p w14:paraId="769B8CFF">
      <w:pPr>
        <w:pStyle w:val="36"/>
        <w:tabs>
          <w:tab w:val="right" w:leader="dot" w:pos="9060"/>
        </w:tabs>
        <w:ind w:left="480" w:firstLine="480"/>
        <w:rPr>
          <w:rFonts w:asciiTheme="minorHAnsi" w:hAnsiTheme="minorHAnsi" w:eastAsiaTheme="minorEastAsia" w:cstheme="minorBidi"/>
          <w:color w:val="auto"/>
          <w:sz w:val="21"/>
          <w:szCs w:val="22"/>
        </w:rPr>
      </w:pPr>
      <w:r>
        <w:rPr>
          <w:color w:val="auto"/>
        </w:rPr>
        <w:fldChar w:fldCharType="begin"/>
      </w:r>
      <w:r>
        <w:rPr>
          <w:color w:val="auto"/>
        </w:rPr>
        <w:instrText xml:space="preserve"> HYPERLINK \l "_Toc223595814" </w:instrText>
      </w:r>
      <w:r>
        <w:rPr>
          <w:color w:val="auto"/>
        </w:rPr>
        <w:fldChar w:fldCharType="separate"/>
      </w:r>
      <w:r>
        <w:rPr>
          <w:rStyle w:val="49"/>
          <w:b/>
          <w:bCs/>
          <w:color w:val="auto"/>
        </w:rPr>
        <w:t>9.9</w:t>
      </w:r>
      <w:r>
        <w:rPr>
          <w:rStyle w:val="49"/>
          <w:color w:val="auto"/>
        </w:rPr>
        <w:t>结论与建议</w:t>
      </w:r>
      <w:r>
        <w:rPr>
          <w:color w:val="auto"/>
        </w:rPr>
        <w:tab/>
      </w:r>
      <w:r>
        <w:rPr>
          <w:color w:val="auto"/>
        </w:rPr>
        <w:fldChar w:fldCharType="begin"/>
      </w:r>
      <w:r>
        <w:rPr>
          <w:color w:val="auto"/>
        </w:rPr>
        <w:instrText xml:space="preserve"> PAGEREF _Toc223595814 \h </w:instrText>
      </w:r>
      <w:r>
        <w:rPr>
          <w:color w:val="auto"/>
        </w:rPr>
        <w:fldChar w:fldCharType="separate"/>
      </w:r>
      <w:r>
        <w:rPr>
          <w:color w:val="auto"/>
        </w:rPr>
        <w:t>256</w:t>
      </w:r>
      <w:r>
        <w:rPr>
          <w:color w:val="auto"/>
        </w:rPr>
        <w:fldChar w:fldCharType="end"/>
      </w:r>
      <w:r>
        <w:rPr>
          <w:color w:val="auto"/>
        </w:rPr>
        <w:fldChar w:fldCharType="end"/>
      </w:r>
    </w:p>
    <w:p w14:paraId="53C8FBA4">
      <w:pPr>
        <w:spacing w:line="440" w:lineRule="exact"/>
        <w:ind w:firstLine="480"/>
        <w:jc w:val="center"/>
        <w:rPr>
          <w:color w:val="auto"/>
        </w:rPr>
      </w:pPr>
      <w:r>
        <w:rPr>
          <w:color w:val="auto"/>
        </w:rPr>
        <w:fldChar w:fldCharType="end"/>
      </w:r>
    </w:p>
    <w:bookmarkEnd w:id="117"/>
    <w:bookmarkEnd w:id="118"/>
    <w:bookmarkEnd w:id="119"/>
    <w:bookmarkEnd w:id="120"/>
    <w:bookmarkEnd w:id="121"/>
    <w:bookmarkEnd w:id="122"/>
    <w:bookmarkEnd w:id="123"/>
    <w:bookmarkEnd w:id="124"/>
    <w:bookmarkEnd w:id="125"/>
    <w:p w14:paraId="6EE9B2E4">
      <w:pPr>
        <w:pStyle w:val="82"/>
        <w:numPr>
          <w:ilvl w:val="0"/>
          <w:numId w:val="0"/>
        </w:numPr>
        <w:spacing w:line="360" w:lineRule="auto"/>
        <w:ind w:left="482" w:leftChars="0"/>
        <w:rPr>
          <w:rFonts w:ascii="Times New Roman" w:hAnsi="Times New Roman" w:cs="Times New Roman"/>
          <w:color w:val="auto"/>
          <w:sz w:val="24"/>
          <w:szCs w:val="24"/>
        </w:rPr>
      </w:pPr>
    </w:p>
    <w:p w14:paraId="1680C3CD">
      <w:pPr>
        <w:pStyle w:val="41"/>
        <w:ind w:firstLine="240"/>
        <w:rPr>
          <w:color w:val="auto"/>
        </w:rPr>
      </w:pPr>
    </w:p>
    <w:p w14:paraId="64E44365">
      <w:pPr>
        <w:pStyle w:val="42"/>
        <w:ind w:left="480" w:firstLine="480"/>
        <w:rPr>
          <w:color w:val="auto"/>
        </w:rPr>
      </w:pPr>
    </w:p>
    <w:p w14:paraId="23FA752D">
      <w:pPr>
        <w:ind w:firstLine="482"/>
        <w:rPr>
          <w:b/>
          <w:color w:val="auto"/>
        </w:rPr>
        <w:sectPr>
          <w:headerReference r:id="rId8" w:type="default"/>
          <w:footerReference r:id="rId9" w:type="default"/>
          <w:pgSz w:w="11906" w:h="16838"/>
          <w:pgMar w:top="1440" w:right="1418" w:bottom="1440" w:left="1418" w:header="851" w:footer="851" w:gutter="0"/>
          <w:pgNumType w:fmt="lowerRoman" w:start="1"/>
          <w:cols w:space="720" w:num="1"/>
          <w:docGrid w:type="lines" w:linePitch="326" w:charSpace="0"/>
        </w:sectPr>
      </w:pPr>
    </w:p>
    <w:p w14:paraId="5A6E0002">
      <w:pPr>
        <w:pStyle w:val="3"/>
        <w:numPr>
          <w:ilvl w:val="0"/>
          <w:numId w:val="2"/>
        </w:numPr>
        <w:rPr>
          <w:color w:val="auto"/>
        </w:rPr>
      </w:pPr>
      <w:bookmarkStart w:id="126" w:name="_Toc223258448"/>
      <w:bookmarkStart w:id="127" w:name="_Toc223595752"/>
      <w:bookmarkStart w:id="128" w:name="_Ref220490302"/>
      <w:bookmarkStart w:id="129" w:name="_Ref220490306"/>
      <w:r>
        <w:rPr>
          <w:color w:val="auto"/>
        </w:rPr>
        <w:t>总则</w:t>
      </w:r>
      <w:bookmarkEnd w:id="126"/>
      <w:bookmarkEnd w:id="127"/>
      <w:bookmarkEnd w:id="128"/>
      <w:bookmarkEnd w:id="129"/>
    </w:p>
    <w:p w14:paraId="49034390">
      <w:pPr>
        <w:pStyle w:val="5"/>
        <w:rPr>
          <w:color w:val="auto"/>
        </w:rPr>
      </w:pPr>
      <w:bookmarkStart w:id="130" w:name="_Toc223595753"/>
      <w:bookmarkStart w:id="131" w:name="_Toc223258449"/>
      <w:r>
        <w:rPr>
          <w:color w:val="auto"/>
        </w:rPr>
        <w:t>编制依据</w:t>
      </w:r>
      <w:bookmarkEnd w:id="130"/>
      <w:bookmarkEnd w:id="131"/>
    </w:p>
    <w:p w14:paraId="1D43C84D">
      <w:pPr>
        <w:pStyle w:val="4"/>
        <w:rPr>
          <w:color w:val="auto"/>
        </w:rPr>
      </w:pPr>
      <w:bookmarkStart w:id="132" w:name="_Toc216103164"/>
      <w:bookmarkStart w:id="133" w:name="_Toc216620323"/>
      <w:bookmarkStart w:id="134" w:name="_Toc26909947"/>
      <w:bookmarkStart w:id="135" w:name="_Toc29131761"/>
      <w:bookmarkStart w:id="136" w:name="_Toc136878411"/>
      <w:bookmarkStart w:id="137" w:name="_Toc25436902"/>
      <w:bookmarkStart w:id="138" w:name="_Toc135090162"/>
      <w:r>
        <w:rPr>
          <w:color w:val="auto"/>
        </w:rPr>
        <w:t>国家法律法规</w:t>
      </w:r>
      <w:bookmarkEnd w:id="132"/>
      <w:bookmarkEnd w:id="133"/>
      <w:bookmarkEnd w:id="134"/>
      <w:bookmarkEnd w:id="135"/>
      <w:bookmarkEnd w:id="136"/>
      <w:bookmarkEnd w:id="137"/>
      <w:bookmarkEnd w:id="138"/>
    </w:p>
    <w:p w14:paraId="4C67F568">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（1）</w:t>
      </w:r>
      <w:r>
        <w:rPr>
          <w:color w:val="auto"/>
        </w:rPr>
        <w:t>《中华人民共和国环境保护法》（2014年修正）；</w:t>
      </w:r>
    </w:p>
    <w:p w14:paraId="4B3E82E7">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（2）</w:t>
      </w:r>
      <w:r>
        <w:rPr>
          <w:color w:val="auto"/>
        </w:rPr>
        <w:t>《中华人民共和国环境影响评价法》（2018年修正）；</w:t>
      </w:r>
    </w:p>
    <w:p w14:paraId="3830B5E1">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（3）</w:t>
      </w:r>
      <w:r>
        <w:rPr>
          <w:color w:val="auto"/>
        </w:rPr>
        <w:t>《中华人民共和国水法》（2016年修正）；</w:t>
      </w:r>
    </w:p>
    <w:p w14:paraId="3FBE4A09">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（4）</w:t>
      </w:r>
      <w:r>
        <w:rPr>
          <w:color w:val="auto"/>
        </w:rPr>
        <w:t>《中华人民共和国水污染防治法》（2017年修正）；</w:t>
      </w:r>
    </w:p>
    <w:p w14:paraId="022B182F">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（5）</w:t>
      </w:r>
      <w:r>
        <w:rPr>
          <w:color w:val="auto"/>
        </w:rPr>
        <w:t>《中华人民共和国大气污染防治法》（2018年修正）；</w:t>
      </w:r>
    </w:p>
    <w:p w14:paraId="4A4B7F8B">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（6）</w:t>
      </w:r>
      <w:r>
        <w:rPr>
          <w:color w:val="auto"/>
        </w:rPr>
        <w:t>《中华人民共和国噪声污染防治法》（2021年修订）；</w:t>
      </w:r>
    </w:p>
    <w:p w14:paraId="4D68C161">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（7）</w:t>
      </w:r>
      <w:r>
        <w:rPr>
          <w:color w:val="auto"/>
        </w:rPr>
        <w:t>《中华人民共和国固体废物污染环境防治法》（2020年修正）；</w:t>
      </w:r>
    </w:p>
    <w:p w14:paraId="46CF7477">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（8）</w:t>
      </w:r>
      <w:r>
        <w:rPr>
          <w:color w:val="auto"/>
        </w:rPr>
        <w:t>《中华人民共和国土壤污染防治法》（2018年修订）；</w:t>
      </w:r>
    </w:p>
    <w:p w14:paraId="1FB3C4FC">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（9）</w:t>
      </w:r>
      <w:r>
        <w:rPr>
          <w:color w:val="auto"/>
        </w:rPr>
        <w:t>《中华人民共和国安全生产法》（</w:t>
      </w:r>
      <w:r>
        <w:rPr>
          <w:color w:val="auto"/>
          <w:u w:val="single"/>
        </w:rPr>
        <w:t>2021年修正</w:t>
      </w:r>
      <w:r>
        <w:rPr>
          <w:color w:val="auto"/>
        </w:rPr>
        <w:t>）；</w:t>
      </w:r>
    </w:p>
    <w:p w14:paraId="4E98C386">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（10）</w:t>
      </w:r>
      <w:r>
        <w:rPr>
          <w:color w:val="auto"/>
        </w:rPr>
        <w:t>《中华人民共和国清洁生产促进法》（2012年修正）；</w:t>
      </w:r>
    </w:p>
    <w:p w14:paraId="5591CC90">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（11）</w:t>
      </w:r>
      <w:r>
        <w:rPr>
          <w:color w:val="auto"/>
        </w:rPr>
        <w:t>《中华人民共和国港口法》（2018年修正）；</w:t>
      </w:r>
    </w:p>
    <w:p w14:paraId="556184D5">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（12）</w:t>
      </w:r>
      <w:r>
        <w:rPr>
          <w:color w:val="auto"/>
        </w:rPr>
        <w:t>《中华人民共和国渔业法》（2013年修正）；</w:t>
      </w:r>
    </w:p>
    <w:p w14:paraId="1931B506">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（13）</w:t>
      </w:r>
      <w:r>
        <w:rPr>
          <w:color w:val="auto"/>
        </w:rPr>
        <w:t>《中华人民共和国海洋环境保护法》（</w:t>
      </w:r>
      <w:r>
        <w:rPr>
          <w:rFonts w:hint="eastAsia"/>
          <w:color w:val="auto"/>
          <w:u w:val="single"/>
        </w:rPr>
        <w:t>2023年10月24日修订</w:t>
      </w:r>
      <w:r>
        <w:rPr>
          <w:color w:val="auto"/>
        </w:rPr>
        <w:t>）；</w:t>
      </w:r>
    </w:p>
    <w:p w14:paraId="22FA7243">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（14）</w:t>
      </w:r>
      <w:r>
        <w:rPr>
          <w:color w:val="auto"/>
        </w:rPr>
        <w:t>《中华人民共和国海域使用管理法》（2002年1月1日起施行）；</w:t>
      </w:r>
    </w:p>
    <w:p w14:paraId="7CFE27F6">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（15）</w:t>
      </w:r>
      <w:r>
        <w:rPr>
          <w:rFonts w:hint="eastAsia"/>
          <w:color w:val="auto"/>
        </w:rPr>
        <w:t>《国家</w:t>
      </w:r>
      <w:r>
        <w:rPr>
          <w:color w:val="auto"/>
        </w:rPr>
        <w:t>自然公园管理办法（</w:t>
      </w:r>
      <w:r>
        <w:rPr>
          <w:rFonts w:hint="eastAsia"/>
          <w:color w:val="auto"/>
        </w:rPr>
        <w:t>试行</w:t>
      </w:r>
      <w:r>
        <w:rPr>
          <w:color w:val="auto"/>
        </w:rPr>
        <w:t>）</w:t>
      </w:r>
      <w:r>
        <w:rPr>
          <w:rFonts w:hint="eastAsia"/>
          <w:color w:val="auto"/>
        </w:rPr>
        <w:t>》（林保</w:t>
      </w:r>
      <w:r>
        <w:rPr>
          <w:color w:val="auto"/>
        </w:rPr>
        <w:t>规</w:t>
      </w:r>
      <w:r>
        <w:rPr>
          <w:rFonts w:hint="eastAsia"/>
          <w:color w:val="auto"/>
        </w:rPr>
        <w:t>〔20</w:t>
      </w:r>
      <w:r>
        <w:rPr>
          <w:color w:val="auto"/>
        </w:rPr>
        <w:t>2</w:t>
      </w:r>
      <w:r>
        <w:rPr>
          <w:rFonts w:hint="eastAsia"/>
          <w:color w:val="auto"/>
        </w:rPr>
        <w:t>3〕</w:t>
      </w:r>
      <w:r>
        <w:rPr>
          <w:color w:val="auto"/>
        </w:rPr>
        <w:t>4</w:t>
      </w:r>
      <w:r>
        <w:rPr>
          <w:rFonts w:hint="eastAsia"/>
          <w:color w:val="auto"/>
        </w:rPr>
        <w:t>号）；</w:t>
      </w:r>
    </w:p>
    <w:p w14:paraId="3D500E57">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（16）</w:t>
      </w:r>
      <w:r>
        <w:rPr>
          <w:color w:val="auto"/>
        </w:rPr>
        <w:t>《建设项目环境保护管理条例》（2017年7月修订）；</w:t>
      </w:r>
    </w:p>
    <w:p w14:paraId="4342F0C1">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（17）</w:t>
      </w:r>
      <w:r>
        <w:rPr>
          <w:color w:val="auto"/>
        </w:rPr>
        <w:t>《危险化学品安全管理条例》（</w:t>
      </w:r>
      <w:r>
        <w:rPr>
          <w:color w:val="auto"/>
          <w:u w:val="single"/>
        </w:rPr>
        <w:t>2023年</w:t>
      </w:r>
      <w:r>
        <w:rPr>
          <w:rFonts w:hint="eastAsia"/>
          <w:color w:val="auto"/>
          <w:u w:val="single"/>
        </w:rPr>
        <w:t>修订</w:t>
      </w:r>
      <w:r>
        <w:rPr>
          <w:color w:val="auto"/>
        </w:rPr>
        <w:t>）；</w:t>
      </w:r>
    </w:p>
    <w:p w14:paraId="7A1AEB16">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（18）</w:t>
      </w:r>
      <w:r>
        <w:rPr>
          <w:color w:val="auto"/>
        </w:rPr>
        <w:t>《防治海洋工程建设项目污染损害海洋环境管理条例》（2018年修正）；</w:t>
      </w:r>
    </w:p>
    <w:p w14:paraId="75B99610">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（19）</w:t>
      </w:r>
      <w:r>
        <w:rPr>
          <w:color w:val="auto"/>
        </w:rPr>
        <w:t>《防治船舶污染海洋环境管理条例》（2018年修正）；</w:t>
      </w:r>
    </w:p>
    <w:p w14:paraId="6BBED361">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（20）</w:t>
      </w:r>
      <w:r>
        <w:rPr>
          <w:color w:val="auto"/>
        </w:rPr>
        <w:t>《中华人民共和国海洋倾废管理条例》（2017年修订）；</w:t>
      </w:r>
    </w:p>
    <w:p w14:paraId="12C01BEA">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（21）</w:t>
      </w:r>
      <w:r>
        <w:rPr>
          <w:color w:val="auto"/>
        </w:rPr>
        <w:t>《中华人民共和国防治海岸工程建设项目污染损害海洋环境管理条例》（2017年3月1日修订实施）；</w:t>
      </w:r>
    </w:p>
    <w:p w14:paraId="6EFB943B">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（22）</w:t>
      </w:r>
      <w:r>
        <w:rPr>
          <w:color w:val="auto"/>
        </w:rPr>
        <w:t>《近岸海域环境功能区管理办法》（</w:t>
      </w:r>
      <w:r>
        <w:rPr>
          <w:rFonts w:hint="eastAsia"/>
          <w:color w:val="auto"/>
        </w:rPr>
        <w:t>2010年修正</w:t>
      </w:r>
      <w:r>
        <w:rPr>
          <w:color w:val="auto"/>
        </w:rPr>
        <w:t>）；</w:t>
      </w:r>
    </w:p>
    <w:p w14:paraId="44728C6D">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（23）</w:t>
      </w:r>
      <w:r>
        <w:rPr>
          <w:color w:val="auto"/>
        </w:rPr>
        <w:t>《防治船舶污染海洋环境管理条例》（2017年3月1日修订）；</w:t>
      </w:r>
    </w:p>
    <w:p w14:paraId="79820823">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（24）</w:t>
      </w:r>
      <w:r>
        <w:rPr>
          <w:color w:val="auto"/>
        </w:rPr>
        <w:t>《中华人民共和国水生野生动物保护实施条例》（2013年修订）；</w:t>
      </w:r>
    </w:p>
    <w:p w14:paraId="0C7F1F0E">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（25）</w:t>
      </w:r>
      <w:r>
        <w:rPr>
          <w:color w:val="auto"/>
        </w:rPr>
        <w:t>《排污许可管理条例》（国务院令第736号）；</w:t>
      </w:r>
    </w:p>
    <w:p w14:paraId="03D704C7">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（26）</w:t>
      </w:r>
      <w:r>
        <w:rPr>
          <w:color w:val="auto"/>
        </w:rPr>
        <w:t>《建设项目环境影响评价分类管理名录》（2021年修正）；</w:t>
      </w:r>
    </w:p>
    <w:p w14:paraId="6ADEEB9B">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（27）</w:t>
      </w:r>
      <w:r>
        <w:rPr>
          <w:color w:val="auto"/>
        </w:rPr>
        <w:t>《环境影响评价公众参与办法》（生态环境部2019.1.1）；</w:t>
      </w:r>
    </w:p>
    <w:p w14:paraId="050184AF">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（28）</w:t>
      </w:r>
      <w:r>
        <w:rPr>
          <w:color w:val="auto"/>
        </w:rPr>
        <w:t>《关于进一步加强环境影响评价管理防范环境风险的通知》（环发〔2012〕77号）；</w:t>
      </w:r>
    </w:p>
    <w:p w14:paraId="264BEC4B">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（29）</w:t>
      </w:r>
      <w:r>
        <w:rPr>
          <w:color w:val="auto"/>
        </w:rPr>
        <w:t>《关于进一步加强环境保护信息公开工作的通知》（环办〔2012〕134号）；</w:t>
      </w:r>
    </w:p>
    <w:p w14:paraId="49B4ADFF">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（30）</w:t>
      </w:r>
      <w:r>
        <w:rPr>
          <w:color w:val="auto"/>
        </w:rPr>
        <w:t>《关于加强规划环境影响评价与建设项目环境影响评价联动工作的意见》（环发〔2015〕178号）；</w:t>
      </w:r>
    </w:p>
    <w:p w14:paraId="3383E4AE">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（31）</w:t>
      </w:r>
      <w:r>
        <w:rPr>
          <w:color w:val="auto"/>
        </w:rPr>
        <w:t>《危险废物转移管理办法》（部令第23号2022年1月1日实施）；</w:t>
      </w:r>
    </w:p>
    <w:p w14:paraId="65E8C744">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（32）</w:t>
      </w:r>
      <w:r>
        <w:rPr>
          <w:color w:val="auto"/>
        </w:rPr>
        <w:t>《中华人民共和国水生动植物自然保护区管理办法》（</w:t>
      </w:r>
      <w:r>
        <w:rPr>
          <w:rFonts w:hint="eastAsia"/>
          <w:color w:val="auto"/>
          <w:lang w:eastAsia="zh-CN"/>
        </w:rPr>
        <w:t>农业农村部</w:t>
      </w:r>
      <w:r>
        <w:rPr>
          <w:color w:val="auto"/>
        </w:rPr>
        <w:t>令2014年第3号，2014年修正）；</w:t>
      </w:r>
    </w:p>
    <w:p w14:paraId="2E3176A9">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（33）</w:t>
      </w:r>
      <w:r>
        <w:rPr>
          <w:color w:val="auto"/>
        </w:rPr>
        <w:t>《企业事业单位突发环境事件应急预案备案管理办法（试行）》（环发〔2015〕4号）；</w:t>
      </w:r>
    </w:p>
    <w:p w14:paraId="3AA20E02">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（34）</w:t>
      </w:r>
      <w:r>
        <w:rPr>
          <w:color w:val="auto"/>
        </w:rPr>
        <w:t>《国家突发环境事件应急预案》（2014年12月29日起施行）；</w:t>
      </w:r>
    </w:p>
    <w:p w14:paraId="760029AE">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（35）</w:t>
      </w:r>
      <w:r>
        <w:rPr>
          <w:color w:val="auto"/>
        </w:rPr>
        <w:t>《关于印发机场、港口、水利（河湖整治与防洪除涝工程）三个行业建设项目环境影响评价文件审批原则的通知》（环办环评〔2018〕2号）；</w:t>
      </w:r>
    </w:p>
    <w:p w14:paraId="2099EB6D">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（36）</w:t>
      </w:r>
      <w:r>
        <w:rPr>
          <w:color w:val="auto"/>
        </w:rPr>
        <w:t>《海洋工程环境影响评价管理规定》（国海规范〔2017〕7号）；</w:t>
      </w:r>
    </w:p>
    <w:p w14:paraId="4BE97F27">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（37）</w:t>
      </w:r>
      <w:r>
        <w:rPr>
          <w:color w:val="auto"/>
        </w:rPr>
        <w:t>《中华人民共和国船舶及其有关作业活动污染海洋环境防治管理规定》（交通运输部令〔2017〕15号）；</w:t>
      </w:r>
    </w:p>
    <w:p w14:paraId="57BFCABE">
      <w:pPr>
        <w:numPr>
          <w:ilvl w:val="2"/>
          <w:numId w:val="0"/>
        </w:numPr>
        <w:ind w:left="0" w:leftChars="0" w:firstLine="480" w:firstLineChars="200"/>
        <w:rPr>
          <w:color w:val="auto"/>
        </w:rPr>
      </w:pPr>
      <w:r>
        <w:rPr>
          <w:rFonts w:hint="eastAsia" w:ascii="Times New Roman" w:hAnsi="Times New Roman" w:eastAsia="宋体" w:cs="Times New Roman"/>
          <w:color w:val="auto"/>
          <w:kern w:val="2"/>
          <w:sz w:val="24"/>
          <w:szCs w:val="24"/>
          <w:lang w:val="en-US" w:eastAsia="zh-CN" w:bidi="ar-SA"/>
        </w:rPr>
        <w:t>（38）</w:t>
      </w:r>
      <w:r>
        <w:rPr>
          <w:color w:val="auto"/>
        </w:rPr>
        <w:t>《中华人民共和国船舶污染海洋环境应急防备和应急处置管理规定》（交通运输部令〔2019〕40号）</w:t>
      </w:r>
      <w:r>
        <w:rPr>
          <w:rFonts w:hint="eastAsia"/>
          <w:color w:val="auto"/>
        </w:rPr>
        <w:t>。</w:t>
      </w:r>
    </w:p>
    <w:p w14:paraId="73D1B11D">
      <w:pPr>
        <w:pStyle w:val="4"/>
        <w:rPr>
          <w:color w:val="auto"/>
        </w:rPr>
      </w:pPr>
      <w:bookmarkStart w:id="139" w:name="_Toc29131763"/>
      <w:bookmarkStart w:id="140" w:name="_Toc136878413"/>
      <w:bookmarkStart w:id="141" w:name="_Toc135090164"/>
      <w:bookmarkStart w:id="142" w:name="_Toc25436904"/>
      <w:bookmarkStart w:id="143" w:name="_Toc216620325"/>
      <w:bookmarkStart w:id="144" w:name="_Toc26909949"/>
      <w:bookmarkStart w:id="145" w:name="_Toc216103166"/>
      <w:r>
        <w:rPr>
          <w:color w:val="auto"/>
        </w:rPr>
        <w:t>地方相关法律法规及规划</w:t>
      </w:r>
      <w:bookmarkEnd w:id="139"/>
      <w:bookmarkEnd w:id="140"/>
      <w:bookmarkEnd w:id="141"/>
      <w:bookmarkEnd w:id="142"/>
      <w:bookmarkEnd w:id="143"/>
      <w:bookmarkEnd w:id="144"/>
      <w:bookmarkEnd w:id="145"/>
    </w:p>
    <w:p w14:paraId="4E849A6C">
      <w:pPr>
        <w:numPr>
          <w:ilvl w:val="0"/>
          <w:numId w:val="3"/>
        </w:numPr>
        <w:ind w:firstLine="480"/>
        <w:rPr>
          <w:color w:val="auto"/>
        </w:rPr>
      </w:pPr>
      <w:r>
        <w:rPr>
          <w:color w:val="auto"/>
        </w:rPr>
        <w:t>《广西壮族自治区环境保护条例》（2019年修订）；</w:t>
      </w:r>
    </w:p>
    <w:p w14:paraId="502508DC">
      <w:pPr>
        <w:numPr>
          <w:ilvl w:val="0"/>
          <w:numId w:val="3"/>
        </w:numPr>
        <w:ind w:firstLine="480"/>
        <w:rPr>
          <w:color w:val="auto"/>
        </w:rPr>
      </w:pPr>
      <w:r>
        <w:rPr>
          <w:color w:val="auto"/>
        </w:rPr>
        <w:t>《广西壮族自治区水污染防治条例》（2020年5月1日施行）；</w:t>
      </w:r>
    </w:p>
    <w:p w14:paraId="37D1C1C7">
      <w:pPr>
        <w:numPr>
          <w:ilvl w:val="0"/>
          <w:numId w:val="3"/>
        </w:numPr>
        <w:ind w:firstLine="480"/>
        <w:rPr>
          <w:color w:val="auto"/>
        </w:rPr>
      </w:pPr>
      <w:r>
        <w:rPr>
          <w:color w:val="auto"/>
        </w:rPr>
        <w:t>《广西壮族自治区大气污染防治条例》（2019年1月1日起施行）；</w:t>
      </w:r>
    </w:p>
    <w:p w14:paraId="0503D1AE">
      <w:pPr>
        <w:numPr>
          <w:ilvl w:val="0"/>
          <w:numId w:val="3"/>
        </w:numPr>
        <w:ind w:firstLine="480"/>
        <w:rPr>
          <w:color w:val="auto"/>
        </w:rPr>
      </w:pPr>
      <w:r>
        <w:rPr>
          <w:color w:val="auto"/>
        </w:rPr>
        <w:t>《广西壮族自治区固体废物污染环境防治条例》（2022年7月1日实施）；</w:t>
      </w:r>
    </w:p>
    <w:p w14:paraId="7E8FA047">
      <w:pPr>
        <w:numPr>
          <w:ilvl w:val="0"/>
          <w:numId w:val="3"/>
        </w:numPr>
        <w:ind w:firstLine="480"/>
        <w:rPr>
          <w:color w:val="auto"/>
        </w:rPr>
      </w:pPr>
      <w:r>
        <w:rPr>
          <w:color w:val="auto"/>
        </w:rPr>
        <w:t>《广西壮族自治区航道管理条例》（2002）；</w:t>
      </w:r>
    </w:p>
    <w:p w14:paraId="6704BA1A">
      <w:pPr>
        <w:numPr>
          <w:ilvl w:val="0"/>
          <w:numId w:val="3"/>
        </w:numPr>
        <w:ind w:firstLine="480"/>
        <w:rPr>
          <w:color w:val="auto"/>
        </w:rPr>
      </w:pPr>
      <w:r>
        <w:rPr>
          <w:color w:val="auto"/>
        </w:rPr>
        <w:t>《广西壮族自治区海洋环境保护条例》（2018年9月30日修正）；</w:t>
      </w:r>
    </w:p>
    <w:p w14:paraId="3B647075">
      <w:pPr>
        <w:numPr>
          <w:ilvl w:val="0"/>
          <w:numId w:val="3"/>
        </w:numPr>
        <w:ind w:firstLine="480"/>
        <w:rPr>
          <w:color w:val="auto"/>
        </w:rPr>
      </w:pPr>
      <w:r>
        <w:rPr>
          <w:color w:val="auto"/>
        </w:rPr>
        <w:t>《广西壮族自治区主体功能区规划》（2018年）；</w:t>
      </w:r>
    </w:p>
    <w:p w14:paraId="173AF965">
      <w:pPr>
        <w:numPr>
          <w:ilvl w:val="0"/>
          <w:numId w:val="3"/>
        </w:numPr>
        <w:ind w:firstLine="480"/>
        <w:rPr>
          <w:color w:val="auto"/>
        </w:rPr>
      </w:pPr>
      <w:r>
        <w:rPr>
          <w:color w:val="auto"/>
        </w:rPr>
        <w:t>《广西壮族自治区海洋功能区划（2011-2020年）》；</w:t>
      </w:r>
    </w:p>
    <w:p w14:paraId="4C7E56B5">
      <w:pPr>
        <w:numPr>
          <w:ilvl w:val="0"/>
          <w:numId w:val="3"/>
        </w:numPr>
        <w:ind w:firstLine="480"/>
        <w:rPr>
          <w:color w:val="auto"/>
        </w:rPr>
      </w:pPr>
      <w:r>
        <w:rPr>
          <w:color w:val="auto"/>
        </w:rPr>
        <w:t>《广西壮族自治区近岸海域环境功能区划调整方案》（桂环发〔2023〕9号）；</w:t>
      </w:r>
    </w:p>
    <w:p w14:paraId="25D12E61">
      <w:pPr>
        <w:numPr>
          <w:ilvl w:val="0"/>
          <w:numId w:val="3"/>
        </w:numPr>
        <w:ind w:firstLine="480"/>
        <w:rPr>
          <w:color w:val="auto"/>
        </w:rPr>
      </w:pPr>
      <w:r>
        <w:rPr>
          <w:color w:val="auto"/>
        </w:rPr>
        <w:t>《广西海洋生态红线划定方案》（桂政函〔2017〕233号）；</w:t>
      </w:r>
    </w:p>
    <w:p w14:paraId="634F88A0">
      <w:pPr>
        <w:numPr>
          <w:ilvl w:val="0"/>
          <w:numId w:val="3"/>
        </w:numPr>
        <w:ind w:firstLine="480"/>
        <w:rPr>
          <w:color w:val="auto"/>
        </w:rPr>
      </w:pPr>
      <w:r>
        <w:rPr>
          <w:color w:val="auto"/>
        </w:rPr>
        <w:t>《钦州市海洋生态环境保护“十四五”规划（2021-2025年）》（钦政办〔2022〕34号）；</w:t>
      </w:r>
    </w:p>
    <w:p w14:paraId="0DB6A9D3">
      <w:pPr>
        <w:numPr>
          <w:ilvl w:val="0"/>
          <w:numId w:val="3"/>
        </w:numPr>
        <w:ind w:firstLine="480"/>
        <w:rPr>
          <w:color w:val="auto"/>
          <w:u w:val="single"/>
        </w:rPr>
      </w:pPr>
      <w:r>
        <w:rPr>
          <w:rFonts w:hint="eastAsia"/>
          <w:color w:val="auto"/>
          <w:u w:val="single"/>
        </w:rPr>
        <w:t>《广西红树林资源保护规划（2020~2030年）》（2025年</w:t>
      </w:r>
      <w:r>
        <w:rPr>
          <w:color w:val="auto"/>
          <w:u w:val="single"/>
        </w:rPr>
        <w:t>修编</w:t>
      </w:r>
      <w:r>
        <w:rPr>
          <w:rFonts w:hint="eastAsia"/>
          <w:color w:val="auto"/>
          <w:u w:val="single"/>
        </w:rPr>
        <w:t>）；</w:t>
      </w:r>
    </w:p>
    <w:p w14:paraId="7D395F7A">
      <w:pPr>
        <w:numPr>
          <w:ilvl w:val="0"/>
          <w:numId w:val="3"/>
        </w:numPr>
        <w:ind w:firstLine="480"/>
        <w:rPr>
          <w:color w:val="auto"/>
        </w:rPr>
      </w:pPr>
      <w:r>
        <w:rPr>
          <w:color w:val="auto"/>
        </w:rPr>
        <w:t>《钦州市红树林资源保护规划（2022－2030年）》；</w:t>
      </w:r>
    </w:p>
    <w:p w14:paraId="1D10C71B">
      <w:pPr>
        <w:numPr>
          <w:ilvl w:val="0"/>
          <w:numId w:val="3"/>
        </w:numPr>
        <w:ind w:firstLine="480"/>
        <w:rPr>
          <w:color w:val="auto"/>
        </w:rPr>
      </w:pPr>
      <w:r>
        <w:rPr>
          <w:color w:val="auto"/>
        </w:rPr>
        <w:t>《钦南区人民政府办公室关于印发《钦南区红树林资源保护规划（2022—2030年）》的通知》（钦南政办〔2022〕53号）；</w:t>
      </w:r>
    </w:p>
    <w:p w14:paraId="27B30CFC">
      <w:pPr>
        <w:numPr>
          <w:ilvl w:val="0"/>
          <w:numId w:val="3"/>
        </w:numPr>
        <w:ind w:firstLine="480"/>
        <w:rPr>
          <w:color w:val="auto"/>
        </w:rPr>
      </w:pPr>
      <w:r>
        <w:rPr>
          <w:rFonts w:hint="eastAsia"/>
          <w:color w:val="auto"/>
        </w:rPr>
        <w:t>《钦州市生态环境局关于印发钦州市生态环境分区管控动态更新成果（2023版）的通知》</w:t>
      </w:r>
      <w:r>
        <w:rPr>
          <w:color w:val="auto"/>
        </w:rPr>
        <w:t>；</w:t>
      </w:r>
    </w:p>
    <w:p w14:paraId="4B5D6941">
      <w:pPr>
        <w:numPr>
          <w:ilvl w:val="0"/>
          <w:numId w:val="3"/>
        </w:numPr>
        <w:ind w:firstLine="480"/>
        <w:rPr>
          <w:color w:val="auto"/>
        </w:rPr>
      </w:pPr>
      <w:r>
        <w:rPr>
          <w:color w:val="auto"/>
        </w:rPr>
        <w:t>《</w:t>
      </w:r>
      <w:r>
        <w:rPr>
          <w:rFonts w:hint="eastAsia"/>
          <w:color w:val="auto"/>
        </w:rPr>
        <w:t>北部湾</w:t>
      </w:r>
      <w:r>
        <w:rPr>
          <w:color w:val="auto"/>
        </w:rPr>
        <w:t>港总体规划（2035年）》；</w:t>
      </w:r>
    </w:p>
    <w:p w14:paraId="599BBE53">
      <w:pPr>
        <w:numPr>
          <w:ilvl w:val="0"/>
          <w:numId w:val="3"/>
        </w:numPr>
        <w:ind w:firstLine="480"/>
        <w:rPr>
          <w:color w:val="auto"/>
        </w:rPr>
      </w:pPr>
      <w:r>
        <w:rPr>
          <w:color w:val="auto"/>
        </w:rPr>
        <w:t>《广西钦州石化产业园总体发展规划（2020~2035）》</w:t>
      </w:r>
      <w:r>
        <w:rPr>
          <w:rFonts w:hint="eastAsia"/>
          <w:color w:val="auto"/>
        </w:rPr>
        <w:t>；</w:t>
      </w:r>
    </w:p>
    <w:p w14:paraId="46E15C94">
      <w:pPr>
        <w:numPr>
          <w:ilvl w:val="0"/>
          <w:numId w:val="3"/>
        </w:numPr>
        <w:ind w:firstLine="480"/>
        <w:rPr>
          <w:color w:val="auto"/>
        </w:rPr>
      </w:pPr>
      <w:r>
        <w:rPr>
          <w:rFonts w:hint="eastAsia"/>
          <w:color w:val="auto"/>
        </w:rPr>
        <w:t>《钦州市国土空间总体规划（2021年—2035年）》</w:t>
      </w:r>
      <w:r>
        <w:rPr>
          <w:color w:val="auto"/>
        </w:rPr>
        <w:t>。</w:t>
      </w:r>
    </w:p>
    <w:p w14:paraId="4EA97F38">
      <w:pPr>
        <w:pStyle w:val="4"/>
        <w:rPr>
          <w:color w:val="auto"/>
        </w:rPr>
      </w:pPr>
      <w:bookmarkStart w:id="146" w:name="_Toc25436903"/>
      <w:bookmarkStart w:id="147" w:name="_Toc29131762"/>
      <w:bookmarkStart w:id="148" w:name="_Toc135090163"/>
      <w:bookmarkStart w:id="149" w:name="_Toc216103165"/>
      <w:bookmarkStart w:id="150" w:name="_Toc216620324"/>
      <w:bookmarkStart w:id="151" w:name="_Toc136878412"/>
      <w:bookmarkStart w:id="152" w:name="_Toc26909948"/>
      <w:bookmarkStart w:id="153" w:name="_Toc135090165"/>
      <w:bookmarkStart w:id="154" w:name="_Toc26909950"/>
      <w:bookmarkStart w:id="155" w:name="_Toc25436905"/>
      <w:bookmarkStart w:id="156" w:name="_Toc136878414"/>
      <w:bookmarkStart w:id="157" w:name="_Toc216620326"/>
      <w:bookmarkStart w:id="158" w:name="_Toc216103167"/>
      <w:bookmarkStart w:id="159" w:name="_Toc29131764"/>
      <w:r>
        <w:rPr>
          <w:color w:val="auto"/>
        </w:rPr>
        <w:t>技术导则与技术规范</w:t>
      </w:r>
    </w:p>
    <w:p w14:paraId="57825EEF">
      <w:pPr>
        <w:pStyle w:val="127"/>
        <w:numPr>
          <w:ilvl w:val="0"/>
          <w:numId w:val="4"/>
        </w:numPr>
        <w:ind w:firstLineChars="0"/>
        <w:rPr>
          <w:color w:val="auto"/>
        </w:rPr>
      </w:pPr>
      <w:r>
        <w:rPr>
          <w:color w:val="auto"/>
        </w:rPr>
        <w:t>《环境影响评价技术导则总纲》（HJ2.1-2016）；</w:t>
      </w:r>
    </w:p>
    <w:p w14:paraId="3F80DDA0">
      <w:pPr>
        <w:pStyle w:val="127"/>
        <w:numPr>
          <w:ilvl w:val="0"/>
          <w:numId w:val="4"/>
        </w:numPr>
        <w:ind w:firstLineChars="0"/>
        <w:rPr>
          <w:color w:val="auto"/>
        </w:rPr>
      </w:pPr>
      <w:r>
        <w:rPr>
          <w:color w:val="auto"/>
        </w:rPr>
        <w:t>《环境影响评价技术导则大气环境》（HJ2.2-2018）；</w:t>
      </w:r>
    </w:p>
    <w:p w14:paraId="4DC3250E">
      <w:pPr>
        <w:pStyle w:val="127"/>
        <w:numPr>
          <w:ilvl w:val="0"/>
          <w:numId w:val="4"/>
        </w:numPr>
        <w:ind w:firstLineChars="0"/>
        <w:rPr>
          <w:color w:val="auto"/>
        </w:rPr>
      </w:pPr>
      <w:r>
        <w:rPr>
          <w:color w:val="auto"/>
        </w:rPr>
        <w:t>《环境影响评价技术导则地表水环境》（HJ2.3-2018）；</w:t>
      </w:r>
    </w:p>
    <w:p w14:paraId="5271736F">
      <w:pPr>
        <w:pStyle w:val="127"/>
        <w:numPr>
          <w:ilvl w:val="0"/>
          <w:numId w:val="4"/>
        </w:numPr>
        <w:ind w:firstLineChars="0"/>
        <w:rPr>
          <w:color w:val="auto"/>
        </w:rPr>
      </w:pPr>
      <w:r>
        <w:rPr>
          <w:color w:val="auto"/>
        </w:rPr>
        <w:t>《环境影响评价技术导则地下水环境》（HJ610-2016）；</w:t>
      </w:r>
    </w:p>
    <w:p w14:paraId="656651FF">
      <w:pPr>
        <w:pStyle w:val="127"/>
        <w:numPr>
          <w:ilvl w:val="0"/>
          <w:numId w:val="4"/>
        </w:numPr>
        <w:ind w:firstLineChars="0"/>
        <w:rPr>
          <w:color w:val="auto"/>
        </w:rPr>
      </w:pPr>
      <w:r>
        <w:rPr>
          <w:color w:val="auto"/>
        </w:rPr>
        <w:t>《环境影响评价技术导则声环境》（HJ2.4-2021）；</w:t>
      </w:r>
    </w:p>
    <w:p w14:paraId="21649A53">
      <w:pPr>
        <w:pStyle w:val="127"/>
        <w:numPr>
          <w:ilvl w:val="0"/>
          <w:numId w:val="4"/>
        </w:numPr>
        <w:ind w:firstLineChars="0"/>
        <w:rPr>
          <w:color w:val="auto"/>
        </w:rPr>
      </w:pPr>
      <w:r>
        <w:rPr>
          <w:color w:val="auto"/>
        </w:rPr>
        <w:t>《环境影响评价技术导则土壤环境（试行）》（HJ964-2018）；</w:t>
      </w:r>
    </w:p>
    <w:p w14:paraId="2B813134">
      <w:pPr>
        <w:pStyle w:val="127"/>
        <w:numPr>
          <w:ilvl w:val="0"/>
          <w:numId w:val="4"/>
        </w:numPr>
        <w:ind w:firstLineChars="0"/>
        <w:rPr>
          <w:color w:val="auto"/>
        </w:rPr>
      </w:pPr>
      <w:r>
        <w:rPr>
          <w:color w:val="auto"/>
        </w:rPr>
        <w:t>《环境影响评价技术导则生态影响》（HJ19-2022）；</w:t>
      </w:r>
    </w:p>
    <w:p w14:paraId="16496392">
      <w:pPr>
        <w:pStyle w:val="127"/>
        <w:numPr>
          <w:ilvl w:val="0"/>
          <w:numId w:val="4"/>
        </w:numPr>
        <w:ind w:firstLineChars="0"/>
        <w:rPr>
          <w:color w:val="auto"/>
        </w:rPr>
      </w:pPr>
      <w:r>
        <w:rPr>
          <w:color w:val="auto"/>
        </w:rPr>
        <w:t>《建设项目环境风险评价技术导则》（HJ169-2018）；</w:t>
      </w:r>
    </w:p>
    <w:p w14:paraId="187D9D0D">
      <w:pPr>
        <w:pStyle w:val="127"/>
        <w:numPr>
          <w:ilvl w:val="0"/>
          <w:numId w:val="4"/>
        </w:numPr>
        <w:ind w:firstLineChars="0"/>
        <w:rPr>
          <w:color w:val="auto"/>
        </w:rPr>
      </w:pPr>
      <w:r>
        <w:rPr>
          <w:color w:val="auto"/>
        </w:rPr>
        <w:t>《水运工程建设项目环境影响评价指南》（JTS/T105-2021）；</w:t>
      </w:r>
    </w:p>
    <w:p w14:paraId="25FEBA5D">
      <w:pPr>
        <w:pStyle w:val="127"/>
        <w:numPr>
          <w:ilvl w:val="0"/>
          <w:numId w:val="4"/>
        </w:numPr>
        <w:ind w:firstLineChars="0"/>
        <w:rPr>
          <w:color w:val="auto"/>
        </w:rPr>
      </w:pPr>
      <w:r>
        <w:rPr>
          <w:color w:val="auto"/>
        </w:rPr>
        <w:t>《建设项目危险废物环境影响评价指南》（2017年）；</w:t>
      </w:r>
    </w:p>
    <w:p w14:paraId="384055EE">
      <w:pPr>
        <w:pStyle w:val="127"/>
        <w:numPr>
          <w:ilvl w:val="0"/>
          <w:numId w:val="4"/>
        </w:numPr>
        <w:ind w:firstLineChars="0"/>
        <w:rPr>
          <w:color w:val="auto"/>
        </w:rPr>
      </w:pPr>
      <w:r>
        <w:rPr>
          <w:color w:val="auto"/>
        </w:rPr>
        <w:t>《</w:t>
      </w:r>
      <w:r>
        <w:rPr>
          <w:rFonts w:hint="eastAsia"/>
          <w:color w:val="auto"/>
        </w:rPr>
        <w:t>环境影响评价技术导则海洋生态环境</w:t>
      </w:r>
      <w:r>
        <w:rPr>
          <w:color w:val="auto"/>
        </w:rPr>
        <w:t>》（</w:t>
      </w:r>
      <w:r>
        <w:rPr>
          <w:rFonts w:hint="eastAsia"/>
          <w:color w:val="auto"/>
        </w:rPr>
        <w:t>HJ1409-2025</w:t>
      </w:r>
      <w:r>
        <w:rPr>
          <w:color w:val="auto"/>
        </w:rPr>
        <w:t>）；</w:t>
      </w:r>
    </w:p>
    <w:p w14:paraId="172D64A1">
      <w:pPr>
        <w:pStyle w:val="127"/>
        <w:numPr>
          <w:ilvl w:val="0"/>
          <w:numId w:val="4"/>
        </w:numPr>
        <w:ind w:firstLineChars="0"/>
        <w:rPr>
          <w:color w:val="auto"/>
        </w:rPr>
      </w:pPr>
      <w:r>
        <w:rPr>
          <w:color w:val="auto"/>
        </w:rPr>
        <w:t>《水运工程环境保护设计规范》（JTS149-2018）；</w:t>
      </w:r>
    </w:p>
    <w:p w14:paraId="437A2DCF">
      <w:pPr>
        <w:pStyle w:val="127"/>
        <w:numPr>
          <w:ilvl w:val="0"/>
          <w:numId w:val="4"/>
        </w:numPr>
        <w:ind w:firstLineChars="0"/>
        <w:rPr>
          <w:color w:val="auto"/>
        </w:rPr>
      </w:pPr>
      <w:r>
        <w:rPr>
          <w:color w:val="auto"/>
        </w:rPr>
        <w:t>《船舶污染海洋环境风险评价技术规范（试行）》（2020）；</w:t>
      </w:r>
    </w:p>
    <w:p w14:paraId="413C3651">
      <w:pPr>
        <w:pStyle w:val="127"/>
        <w:numPr>
          <w:ilvl w:val="0"/>
          <w:numId w:val="4"/>
        </w:numPr>
        <w:ind w:firstLineChars="0"/>
        <w:rPr>
          <w:color w:val="auto"/>
        </w:rPr>
      </w:pPr>
      <w:r>
        <w:rPr>
          <w:color w:val="auto"/>
        </w:rPr>
        <w:t>《港口码头水上污染事故应急防备能力要求》（JT/T451-2017）；</w:t>
      </w:r>
    </w:p>
    <w:p w14:paraId="3DFC8C48">
      <w:pPr>
        <w:pStyle w:val="127"/>
        <w:numPr>
          <w:ilvl w:val="0"/>
          <w:numId w:val="4"/>
        </w:numPr>
        <w:ind w:firstLineChars="0"/>
        <w:rPr>
          <w:color w:val="auto"/>
        </w:rPr>
      </w:pPr>
      <w:r>
        <w:rPr>
          <w:color w:val="auto"/>
        </w:rPr>
        <w:t>《危险化学品重大危险源辨识》（GB18218-2018）；</w:t>
      </w:r>
    </w:p>
    <w:p w14:paraId="1C9E6B3E">
      <w:pPr>
        <w:pStyle w:val="127"/>
        <w:numPr>
          <w:ilvl w:val="0"/>
          <w:numId w:val="4"/>
        </w:numPr>
        <w:ind w:firstLineChars="0"/>
        <w:rPr>
          <w:color w:val="auto"/>
        </w:rPr>
      </w:pPr>
      <w:r>
        <w:rPr>
          <w:color w:val="auto"/>
        </w:rPr>
        <w:t>《危险废物贮存污染控制标准》（GB18597-2023）；</w:t>
      </w:r>
    </w:p>
    <w:p w14:paraId="0484EF23">
      <w:pPr>
        <w:pStyle w:val="127"/>
        <w:numPr>
          <w:ilvl w:val="0"/>
          <w:numId w:val="4"/>
        </w:numPr>
        <w:ind w:firstLineChars="0"/>
        <w:rPr>
          <w:color w:val="auto"/>
        </w:rPr>
      </w:pPr>
      <w:r>
        <w:rPr>
          <w:color w:val="auto"/>
        </w:rPr>
        <w:t>《危险废物收集贮存运输技术规范》（HJ2025-2012）；</w:t>
      </w:r>
    </w:p>
    <w:p w14:paraId="7AD6BB5F">
      <w:pPr>
        <w:pStyle w:val="127"/>
        <w:numPr>
          <w:ilvl w:val="0"/>
          <w:numId w:val="4"/>
        </w:numPr>
        <w:ind w:firstLineChars="0"/>
        <w:rPr>
          <w:color w:val="auto"/>
        </w:rPr>
      </w:pPr>
      <w:r>
        <w:rPr>
          <w:color w:val="auto"/>
        </w:rPr>
        <w:t>《水上溢油环境风险评估技术导则》（JT/T1143-2017）；</w:t>
      </w:r>
    </w:p>
    <w:p w14:paraId="1ADF2B6B">
      <w:pPr>
        <w:pStyle w:val="127"/>
        <w:numPr>
          <w:ilvl w:val="0"/>
          <w:numId w:val="4"/>
        </w:numPr>
        <w:ind w:firstLineChars="0"/>
        <w:rPr>
          <w:color w:val="auto"/>
        </w:rPr>
      </w:pPr>
      <w:r>
        <w:rPr>
          <w:color w:val="auto"/>
        </w:rPr>
        <w:t>《污染源源强核算技术指南准则》（HJ884-2018）；</w:t>
      </w:r>
    </w:p>
    <w:p w14:paraId="7E915DBE">
      <w:pPr>
        <w:pStyle w:val="127"/>
        <w:numPr>
          <w:ilvl w:val="0"/>
          <w:numId w:val="4"/>
        </w:numPr>
        <w:ind w:firstLineChars="0"/>
        <w:rPr>
          <w:color w:val="auto"/>
        </w:rPr>
      </w:pPr>
      <w:r>
        <w:rPr>
          <w:color w:val="auto"/>
        </w:rPr>
        <w:t>《排污单位自行监测技术指南总则》（HJ819-2017）；</w:t>
      </w:r>
    </w:p>
    <w:p w14:paraId="29C632DE">
      <w:pPr>
        <w:pStyle w:val="127"/>
        <w:numPr>
          <w:ilvl w:val="0"/>
          <w:numId w:val="4"/>
        </w:numPr>
        <w:ind w:firstLineChars="0"/>
        <w:rPr>
          <w:color w:val="auto"/>
        </w:rPr>
      </w:pPr>
      <w:r>
        <w:rPr>
          <w:color w:val="auto"/>
        </w:rPr>
        <w:t>《海洋生态环境监测技术规程》（2002）；</w:t>
      </w:r>
    </w:p>
    <w:p w14:paraId="339A3768">
      <w:pPr>
        <w:pStyle w:val="127"/>
        <w:numPr>
          <w:ilvl w:val="0"/>
          <w:numId w:val="4"/>
        </w:numPr>
        <w:ind w:firstLineChars="0"/>
        <w:rPr>
          <w:color w:val="auto"/>
        </w:rPr>
      </w:pPr>
      <w:r>
        <w:rPr>
          <w:color w:val="auto"/>
        </w:rPr>
        <w:t>《海洋生物质量监测技术规程》（2002）；</w:t>
      </w:r>
    </w:p>
    <w:p w14:paraId="3E4C5292">
      <w:pPr>
        <w:pStyle w:val="127"/>
        <w:numPr>
          <w:ilvl w:val="0"/>
          <w:numId w:val="4"/>
        </w:numPr>
        <w:ind w:firstLineChars="0"/>
        <w:rPr>
          <w:color w:val="auto"/>
        </w:rPr>
      </w:pPr>
      <w:r>
        <w:rPr>
          <w:color w:val="auto"/>
        </w:rPr>
        <w:t>《海洋监测规范》（GB17378）；</w:t>
      </w:r>
    </w:p>
    <w:p w14:paraId="110870F3">
      <w:pPr>
        <w:pStyle w:val="127"/>
        <w:numPr>
          <w:ilvl w:val="0"/>
          <w:numId w:val="4"/>
        </w:numPr>
        <w:ind w:firstLineChars="0"/>
        <w:rPr>
          <w:color w:val="auto"/>
        </w:rPr>
      </w:pPr>
      <w:r>
        <w:rPr>
          <w:color w:val="auto"/>
        </w:rPr>
        <w:t>《海洋调查规范》（GB/T12763）；</w:t>
      </w:r>
    </w:p>
    <w:p w14:paraId="0BE1DFD0">
      <w:pPr>
        <w:pStyle w:val="127"/>
        <w:numPr>
          <w:ilvl w:val="0"/>
          <w:numId w:val="4"/>
        </w:numPr>
        <w:ind w:firstLineChars="0"/>
        <w:rPr>
          <w:color w:val="auto"/>
        </w:rPr>
      </w:pPr>
      <w:r>
        <w:rPr>
          <w:color w:val="auto"/>
        </w:rPr>
        <w:t>《石油化工污水处理设计规范》（GB50747-2012）；</w:t>
      </w:r>
    </w:p>
    <w:p w14:paraId="7353F79D">
      <w:pPr>
        <w:pStyle w:val="127"/>
        <w:numPr>
          <w:ilvl w:val="0"/>
          <w:numId w:val="4"/>
        </w:numPr>
        <w:ind w:firstLineChars="0"/>
        <w:rPr>
          <w:color w:val="auto"/>
        </w:rPr>
      </w:pPr>
      <w:r>
        <w:rPr>
          <w:color w:val="auto"/>
        </w:rPr>
        <w:t>《油气回收处理设施技术标准》（GB/T50759-2022）；</w:t>
      </w:r>
    </w:p>
    <w:p w14:paraId="774F460E">
      <w:pPr>
        <w:pStyle w:val="127"/>
        <w:numPr>
          <w:ilvl w:val="0"/>
          <w:numId w:val="4"/>
        </w:numPr>
        <w:ind w:firstLineChars="0"/>
        <w:rPr>
          <w:color w:val="auto"/>
        </w:rPr>
      </w:pPr>
      <w:r>
        <w:rPr>
          <w:color w:val="auto"/>
        </w:rPr>
        <w:t>《码头油气回收设施建设技术规范（试行）》（JTS196-12-20</w:t>
      </w:r>
      <w:r>
        <w:rPr>
          <w:rFonts w:hint="eastAsia"/>
          <w:color w:val="auto"/>
        </w:rPr>
        <w:t>23</w:t>
      </w:r>
      <w:r>
        <w:rPr>
          <w:color w:val="auto"/>
        </w:rPr>
        <w:t>）。</w:t>
      </w:r>
    </w:p>
    <w:p w14:paraId="373F8963">
      <w:pPr>
        <w:pStyle w:val="4"/>
        <w:rPr>
          <w:color w:val="auto"/>
        </w:rPr>
      </w:pPr>
      <w:r>
        <w:rPr>
          <w:color w:val="auto"/>
        </w:rPr>
        <w:t>相关国际公约</w:t>
      </w:r>
      <w:bookmarkEnd w:id="146"/>
      <w:bookmarkEnd w:id="147"/>
      <w:bookmarkEnd w:id="148"/>
      <w:bookmarkEnd w:id="149"/>
      <w:bookmarkEnd w:id="150"/>
      <w:bookmarkEnd w:id="151"/>
      <w:bookmarkEnd w:id="152"/>
    </w:p>
    <w:p w14:paraId="1B867003">
      <w:pPr>
        <w:numPr>
          <w:ilvl w:val="0"/>
          <w:numId w:val="5"/>
        </w:numPr>
        <w:ind w:firstLine="480"/>
        <w:rPr>
          <w:color w:val="auto"/>
        </w:rPr>
      </w:pPr>
      <w:r>
        <w:rPr>
          <w:color w:val="auto"/>
        </w:rPr>
        <w:t>《经1978年议定书修订的1973年国际防止船舶造成污染公约（MARPOL73/78）》（国际海事组织，1978年）；</w:t>
      </w:r>
    </w:p>
    <w:p w14:paraId="0F83DCCA">
      <w:pPr>
        <w:numPr>
          <w:ilvl w:val="0"/>
          <w:numId w:val="5"/>
        </w:numPr>
        <w:ind w:firstLine="480"/>
        <w:rPr>
          <w:color w:val="auto"/>
        </w:rPr>
      </w:pPr>
      <w:r>
        <w:rPr>
          <w:color w:val="auto"/>
        </w:rPr>
        <w:t>《1990年国际油污防备、响应和合作公约》（国际海事组织，1990年）；</w:t>
      </w:r>
    </w:p>
    <w:p w14:paraId="50B9DF9D">
      <w:pPr>
        <w:numPr>
          <w:ilvl w:val="0"/>
          <w:numId w:val="5"/>
        </w:numPr>
        <w:ind w:firstLine="480"/>
        <w:rPr>
          <w:color w:val="auto"/>
        </w:rPr>
      </w:pPr>
      <w:r>
        <w:rPr>
          <w:color w:val="auto"/>
        </w:rPr>
        <w:t>MARPOL73/78附则I~VI（详见表1.1-1）；</w:t>
      </w:r>
    </w:p>
    <w:p w14:paraId="05C466A7">
      <w:pPr>
        <w:numPr>
          <w:ilvl w:val="0"/>
          <w:numId w:val="5"/>
        </w:numPr>
        <w:ind w:firstLine="480" w:firstLineChars="0"/>
        <w:rPr>
          <w:color w:val="auto"/>
        </w:rPr>
      </w:pPr>
      <w:r>
        <w:rPr>
          <w:color w:val="auto"/>
        </w:rPr>
        <w:t>《国际船舶压载水和沉积物控制与管理公约》（国际海事组织，2004年2月）。</w:t>
      </w:r>
    </w:p>
    <w:p w14:paraId="5AA2B543">
      <w:pPr>
        <w:pStyle w:val="14"/>
        <w:rPr>
          <w:color w:val="auto"/>
        </w:rPr>
      </w:pPr>
      <w:r>
        <w:rPr>
          <w:rFonts w:hint="eastAsia"/>
          <w:color w:val="auto"/>
        </w:rPr>
        <w:t>表</w:t>
      </w:r>
      <w:r>
        <w:rPr>
          <w:color w:val="auto"/>
        </w:rPr>
        <w:t>1.1</w:t>
      </w:r>
      <w:r>
        <w:rPr>
          <w:color w:val="auto"/>
        </w:rPr>
        <w:noBreakHyphen/>
      </w:r>
      <w:r>
        <w:rPr>
          <w:color w:val="auto"/>
        </w:rPr>
        <w:t>1MARPOL73/78附则</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18"/>
        <w:gridCol w:w="3610"/>
        <w:gridCol w:w="2107"/>
        <w:gridCol w:w="2007"/>
      </w:tblGrid>
      <w:tr w14:paraId="7A868E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2F10A5B4">
            <w:pPr>
              <w:pStyle w:val="91"/>
              <w:keepNext w:val="0"/>
              <w:keepLines w:val="0"/>
              <w:suppressLineNumbers w:val="0"/>
              <w:spacing w:before="0" w:beforeAutospacing="0" w:after="0" w:afterAutospacing="0"/>
              <w:ind w:left="0" w:right="0"/>
              <w:jc w:val="center"/>
              <w:rPr>
                <w:rFonts w:hint="default" w:hAnsi="Times New Roman"/>
                <w:b/>
                <w:bCs/>
                <w:color w:val="auto"/>
              </w:rPr>
            </w:pPr>
            <w:r>
              <w:rPr>
                <w:rFonts w:hint="default" w:hAnsi="Times New Roman"/>
                <w:b/>
                <w:bCs/>
                <w:color w:val="auto"/>
              </w:rPr>
              <w:t>附则序号</w:t>
            </w:r>
          </w:p>
        </w:tc>
        <w:tc>
          <w:tcPr>
            <w:tcW w:w="3610" w:type="dxa"/>
            <w:vAlign w:val="center"/>
          </w:tcPr>
          <w:p w14:paraId="2CB1C67B">
            <w:pPr>
              <w:pStyle w:val="91"/>
              <w:keepNext w:val="0"/>
              <w:keepLines w:val="0"/>
              <w:suppressLineNumbers w:val="0"/>
              <w:spacing w:before="0" w:beforeAutospacing="0" w:after="0" w:afterAutospacing="0"/>
              <w:ind w:left="0" w:right="0"/>
              <w:jc w:val="center"/>
              <w:rPr>
                <w:rFonts w:hint="default" w:hAnsi="Times New Roman"/>
                <w:b/>
                <w:bCs/>
                <w:color w:val="auto"/>
              </w:rPr>
            </w:pPr>
            <w:r>
              <w:rPr>
                <w:rFonts w:hint="default" w:hAnsi="Times New Roman"/>
                <w:b/>
                <w:bCs/>
                <w:color w:val="auto"/>
              </w:rPr>
              <w:t>附则名称</w:t>
            </w:r>
          </w:p>
        </w:tc>
        <w:tc>
          <w:tcPr>
            <w:tcW w:w="2107" w:type="dxa"/>
            <w:vAlign w:val="center"/>
          </w:tcPr>
          <w:p w14:paraId="3B18193A">
            <w:pPr>
              <w:pStyle w:val="91"/>
              <w:keepNext w:val="0"/>
              <w:keepLines w:val="0"/>
              <w:suppressLineNumbers w:val="0"/>
              <w:spacing w:before="0" w:beforeAutospacing="0" w:after="0" w:afterAutospacing="0"/>
              <w:ind w:left="0" w:right="0"/>
              <w:jc w:val="center"/>
              <w:rPr>
                <w:rFonts w:hint="default" w:hAnsi="Times New Roman"/>
                <w:b/>
                <w:bCs/>
                <w:color w:val="auto"/>
              </w:rPr>
            </w:pPr>
            <w:r>
              <w:rPr>
                <w:rFonts w:hint="default" w:hAnsi="Times New Roman"/>
                <w:b/>
                <w:bCs/>
                <w:color w:val="auto"/>
              </w:rPr>
              <w:t>附则生效时间</w:t>
            </w:r>
          </w:p>
        </w:tc>
        <w:tc>
          <w:tcPr>
            <w:tcW w:w="2007" w:type="dxa"/>
            <w:vAlign w:val="center"/>
          </w:tcPr>
          <w:p w14:paraId="268C96EB">
            <w:pPr>
              <w:pStyle w:val="91"/>
              <w:keepNext w:val="0"/>
              <w:keepLines w:val="0"/>
              <w:suppressLineNumbers w:val="0"/>
              <w:spacing w:before="0" w:beforeAutospacing="0" w:after="0" w:afterAutospacing="0"/>
              <w:ind w:left="0" w:right="0"/>
              <w:jc w:val="center"/>
              <w:rPr>
                <w:rFonts w:hint="default" w:hAnsi="Times New Roman"/>
                <w:b/>
                <w:bCs/>
                <w:color w:val="auto"/>
              </w:rPr>
            </w:pPr>
            <w:r>
              <w:rPr>
                <w:rFonts w:hint="default" w:hAnsi="Times New Roman"/>
                <w:b/>
                <w:bCs/>
                <w:color w:val="auto"/>
              </w:rPr>
              <w:t>对我国生效时间</w:t>
            </w:r>
          </w:p>
        </w:tc>
      </w:tr>
      <w:tr w14:paraId="431B33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17227CF0">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附则I</w:t>
            </w:r>
          </w:p>
        </w:tc>
        <w:tc>
          <w:tcPr>
            <w:tcW w:w="3610" w:type="dxa"/>
            <w:vAlign w:val="center"/>
          </w:tcPr>
          <w:p w14:paraId="211FCAE5">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防止油污规则</w:t>
            </w:r>
          </w:p>
        </w:tc>
        <w:tc>
          <w:tcPr>
            <w:tcW w:w="2107" w:type="dxa"/>
            <w:vAlign w:val="center"/>
          </w:tcPr>
          <w:p w14:paraId="5BB78683">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与议定书同时</w:t>
            </w:r>
          </w:p>
        </w:tc>
        <w:tc>
          <w:tcPr>
            <w:tcW w:w="2007" w:type="dxa"/>
            <w:vAlign w:val="center"/>
          </w:tcPr>
          <w:p w14:paraId="2AB028D5">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1983年10月2日</w:t>
            </w:r>
          </w:p>
        </w:tc>
      </w:tr>
      <w:tr w14:paraId="4E3352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0599FB1F">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附则II</w:t>
            </w:r>
          </w:p>
        </w:tc>
        <w:tc>
          <w:tcPr>
            <w:tcW w:w="3610" w:type="dxa"/>
            <w:vAlign w:val="center"/>
          </w:tcPr>
          <w:p w14:paraId="7F43791F">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控制散装有毒液体物质污染规则</w:t>
            </w:r>
          </w:p>
        </w:tc>
        <w:tc>
          <w:tcPr>
            <w:tcW w:w="2107" w:type="dxa"/>
            <w:vAlign w:val="center"/>
          </w:tcPr>
          <w:p w14:paraId="5A8AA88D">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1987年4月6日</w:t>
            </w:r>
          </w:p>
        </w:tc>
        <w:tc>
          <w:tcPr>
            <w:tcW w:w="2007" w:type="dxa"/>
            <w:vAlign w:val="center"/>
          </w:tcPr>
          <w:p w14:paraId="147100AB">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1987年4月6日</w:t>
            </w:r>
          </w:p>
        </w:tc>
      </w:tr>
      <w:tr w14:paraId="72114F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21F587F0">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附则IV</w:t>
            </w:r>
          </w:p>
        </w:tc>
        <w:tc>
          <w:tcPr>
            <w:tcW w:w="3610" w:type="dxa"/>
            <w:vAlign w:val="center"/>
          </w:tcPr>
          <w:p w14:paraId="636CC46C">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防止船舶生活污水污染规则</w:t>
            </w:r>
          </w:p>
        </w:tc>
        <w:tc>
          <w:tcPr>
            <w:tcW w:w="2107" w:type="dxa"/>
            <w:vAlign w:val="center"/>
          </w:tcPr>
          <w:p w14:paraId="5EB852F3">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2005年8月1日</w:t>
            </w:r>
          </w:p>
        </w:tc>
        <w:tc>
          <w:tcPr>
            <w:tcW w:w="2007" w:type="dxa"/>
            <w:vAlign w:val="center"/>
          </w:tcPr>
          <w:p w14:paraId="60532DCF">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2007年2月2日</w:t>
            </w:r>
          </w:p>
        </w:tc>
      </w:tr>
      <w:tr w14:paraId="2C474A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1D31C02E">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附则V</w:t>
            </w:r>
          </w:p>
        </w:tc>
        <w:tc>
          <w:tcPr>
            <w:tcW w:w="3610" w:type="dxa"/>
            <w:vAlign w:val="center"/>
          </w:tcPr>
          <w:p w14:paraId="18A677F6">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防止船舶垃圾污染规则</w:t>
            </w:r>
          </w:p>
        </w:tc>
        <w:tc>
          <w:tcPr>
            <w:tcW w:w="2107" w:type="dxa"/>
            <w:vAlign w:val="center"/>
          </w:tcPr>
          <w:p w14:paraId="4554C446">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1988年12月31日</w:t>
            </w:r>
          </w:p>
        </w:tc>
        <w:tc>
          <w:tcPr>
            <w:tcW w:w="2007" w:type="dxa"/>
            <w:vAlign w:val="center"/>
          </w:tcPr>
          <w:p w14:paraId="5FFA9C33">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1989年2月21日</w:t>
            </w:r>
          </w:p>
        </w:tc>
      </w:tr>
      <w:tr w14:paraId="1B9D54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46025257">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附则VI</w:t>
            </w:r>
          </w:p>
        </w:tc>
        <w:tc>
          <w:tcPr>
            <w:tcW w:w="3610" w:type="dxa"/>
            <w:vAlign w:val="center"/>
          </w:tcPr>
          <w:p w14:paraId="621DA9C5">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防止船舶造成空气污染国际规则</w:t>
            </w:r>
          </w:p>
        </w:tc>
        <w:tc>
          <w:tcPr>
            <w:tcW w:w="2107" w:type="dxa"/>
            <w:vAlign w:val="center"/>
          </w:tcPr>
          <w:p w14:paraId="2706E66D">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2005年5月19日</w:t>
            </w:r>
          </w:p>
        </w:tc>
        <w:tc>
          <w:tcPr>
            <w:tcW w:w="2007" w:type="dxa"/>
            <w:vAlign w:val="center"/>
          </w:tcPr>
          <w:p w14:paraId="4EC2A0BD">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2006年8月23日</w:t>
            </w:r>
          </w:p>
        </w:tc>
      </w:tr>
      <w:bookmarkEnd w:id="153"/>
      <w:bookmarkEnd w:id="154"/>
      <w:bookmarkEnd w:id="155"/>
      <w:bookmarkEnd w:id="156"/>
      <w:bookmarkEnd w:id="157"/>
      <w:bookmarkEnd w:id="158"/>
      <w:bookmarkEnd w:id="159"/>
    </w:tbl>
    <w:p w14:paraId="7DCE8DAF">
      <w:pPr>
        <w:pStyle w:val="4"/>
        <w:rPr>
          <w:color w:val="auto"/>
        </w:rPr>
      </w:pPr>
      <w:bookmarkStart w:id="160" w:name="_Toc29131765"/>
      <w:bookmarkStart w:id="161" w:name="_Toc135090166"/>
      <w:bookmarkStart w:id="162" w:name="_Toc216620327"/>
      <w:bookmarkStart w:id="163" w:name="_Toc136878415"/>
      <w:bookmarkStart w:id="164" w:name="_Toc26909951"/>
      <w:bookmarkStart w:id="165" w:name="_Toc216103168"/>
      <w:r>
        <w:rPr>
          <w:color w:val="auto"/>
        </w:rPr>
        <w:t>项目相关技术文件及其他资料</w:t>
      </w:r>
      <w:bookmarkEnd w:id="160"/>
      <w:bookmarkEnd w:id="161"/>
      <w:bookmarkEnd w:id="162"/>
      <w:bookmarkEnd w:id="163"/>
      <w:bookmarkEnd w:id="164"/>
      <w:bookmarkEnd w:id="165"/>
    </w:p>
    <w:p w14:paraId="781E7120">
      <w:pPr>
        <w:pStyle w:val="127"/>
        <w:numPr>
          <w:ilvl w:val="0"/>
          <w:numId w:val="6"/>
        </w:numPr>
        <w:ind w:left="0" w:firstLine="480"/>
        <w:rPr>
          <w:color w:val="auto"/>
        </w:rPr>
      </w:pPr>
      <w:r>
        <w:rPr>
          <w:color w:val="auto"/>
        </w:rPr>
        <w:t>环境影响评价委托书；</w:t>
      </w:r>
    </w:p>
    <w:p w14:paraId="42E6D0E3">
      <w:pPr>
        <w:pStyle w:val="127"/>
        <w:numPr>
          <w:ilvl w:val="0"/>
          <w:numId w:val="6"/>
        </w:numPr>
        <w:ind w:left="0" w:firstLine="480"/>
        <w:rPr>
          <w:color w:val="auto"/>
        </w:rPr>
      </w:pPr>
      <w:r>
        <w:rPr>
          <w:rFonts w:hint="eastAsia"/>
          <w:color w:val="auto"/>
        </w:rPr>
        <w:t>《北部湾港</w:t>
      </w:r>
      <w:r>
        <w:rPr>
          <w:color w:val="auto"/>
        </w:rPr>
        <w:t>钦州港域</w:t>
      </w:r>
      <w:r>
        <w:rPr>
          <w:rFonts w:hint="eastAsia"/>
          <w:color w:val="auto"/>
        </w:rPr>
        <w:t>金谷</w:t>
      </w:r>
      <w:r>
        <w:rPr>
          <w:color w:val="auto"/>
        </w:rPr>
        <w:t>港区鹰岭作业区</w:t>
      </w:r>
      <w:r>
        <w:rPr>
          <w:rFonts w:hint="eastAsia"/>
          <w:color w:val="auto"/>
        </w:rPr>
        <w:t>6</w:t>
      </w:r>
      <w:r>
        <w:rPr>
          <w:color w:val="auto"/>
        </w:rPr>
        <w:t>#</w:t>
      </w:r>
      <w:r>
        <w:rPr>
          <w:rFonts w:hint="eastAsia"/>
          <w:color w:val="auto"/>
        </w:rPr>
        <w:t>泊位</w:t>
      </w:r>
      <w:r>
        <w:rPr>
          <w:color w:val="auto"/>
        </w:rPr>
        <w:t>增加</w:t>
      </w:r>
      <w:r>
        <w:rPr>
          <w:rFonts w:hint="eastAsia"/>
          <w:color w:val="auto"/>
        </w:rPr>
        <w:t>石脑油等货物</w:t>
      </w:r>
      <w:r>
        <w:rPr>
          <w:color w:val="auto"/>
        </w:rPr>
        <w:t>装卸作业符合性说明</w:t>
      </w:r>
      <w:r>
        <w:rPr>
          <w:rFonts w:hint="eastAsia"/>
          <w:color w:val="auto"/>
        </w:rPr>
        <w:t>》</w:t>
      </w:r>
      <w:r>
        <w:rPr>
          <w:color w:val="auto"/>
        </w:rPr>
        <w:t>；</w:t>
      </w:r>
    </w:p>
    <w:p w14:paraId="2BE85C79">
      <w:pPr>
        <w:pStyle w:val="127"/>
        <w:numPr>
          <w:ilvl w:val="0"/>
          <w:numId w:val="6"/>
        </w:numPr>
        <w:ind w:left="0" w:firstLine="480"/>
        <w:rPr>
          <w:color w:val="auto"/>
        </w:rPr>
      </w:pPr>
      <w:r>
        <w:rPr>
          <w:color w:val="auto"/>
        </w:rPr>
        <w:t>《</w:t>
      </w:r>
      <w:r>
        <w:rPr>
          <w:rFonts w:hint="eastAsia"/>
          <w:color w:val="auto"/>
        </w:rPr>
        <w:t>北部湾</w:t>
      </w:r>
      <w:r>
        <w:rPr>
          <w:color w:val="auto"/>
        </w:rPr>
        <w:t>港总体规划环境影响报告书》及其批复；</w:t>
      </w:r>
    </w:p>
    <w:p w14:paraId="0C3056CA">
      <w:pPr>
        <w:pStyle w:val="127"/>
        <w:numPr>
          <w:ilvl w:val="0"/>
          <w:numId w:val="6"/>
        </w:numPr>
        <w:ind w:left="0" w:firstLine="480"/>
        <w:rPr>
          <w:color w:val="auto"/>
        </w:rPr>
      </w:pPr>
      <w:r>
        <w:rPr>
          <w:rFonts w:hint="eastAsia"/>
          <w:color w:val="auto"/>
        </w:rPr>
        <w:t>《广西东油沥青有限公司五万吨级油气码头及库区工程环境</w:t>
      </w:r>
      <w:r>
        <w:rPr>
          <w:color w:val="auto"/>
        </w:rPr>
        <w:t>影响报告书</w:t>
      </w:r>
      <w:r>
        <w:rPr>
          <w:rFonts w:hint="eastAsia"/>
          <w:color w:val="auto"/>
        </w:rPr>
        <w:t>》、《广西东油沥青有限公司5万吨级油气码头油库新建汽油装船油气回收系统项目环境</w:t>
      </w:r>
      <w:r>
        <w:rPr>
          <w:color w:val="auto"/>
        </w:rPr>
        <w:t>影响报告表</w:t>
      </w:r>
      <w:r>
        <w:rPr>
          <w:rFonts w:hint="eastAsia"/>
          <w:color w:val="auto"/>
        </w:rPr>
        <w:t>》、</w:t>
      </w:r>
      <w:r>
        <w:rPr>
          <w:color w:val="auto"/>
        </w:rPr>
        <w:t>《</w:t>
      </w:r>
      <w:r>
        <w:rPr>
          <w:rFonts w:hint="eastAsia"/>
          <w:color w:val="auto"/>
        </w:rPr>
        <w:t>广西东油沥青有限公司5万吨级油气码头油库甲醇储存、装车系统改造项目环境</w:t>
      </w:r>
      <w:r>
        <w:rPr>
          <w:color w:val="auto"/>
        </w:rPr>
        <w:t>影响报告表》及批复</w:t>
      </w:r>
      <w:r>
        <w:rPr>
          <w:rFonts w:hint="eastAsia"/>
          <w:color w:val="auto"/>
        </w:rPr>
        <w:t>、</w:t>
      </w:r>
      <w:r>
        <w:rPr>
          <w:color w:val="auto"/>
        </w:rPr>
        <w:t>验收文件；</w:t>
      </w:r>
    </w:p>
    <w:p w14:paraId="357E4C24">
      <w:pPr>
        <w:pStyle w:val="127"/>
        <w:numPr>
          <w:ilvl w:val="0"/>
          <w:numId w:val="6"/>
        </w:numPr>
        <w:ind w:left="0" w:firstLine="480"/>
        <w:rPr>
          <w:color w:val="auto"/>
        </w:rPr>
      </w:pPr>
      <w:r>
        <w:rPr>
          <w:color w:val="auto"/>
        </w:rPr>
        <w:t>本项目环境质量现状监测报告；</w:t>
      </w:r>
    </w:p>
    <w:p w14:paraId="493BC2DD">
      <w:pPr>
        <w:pStyle w:val="127"/>
        <w:numPr>
          <w:ilvl w:val="0"/>
          <w:numId w:val="6"/>
        </w:numPr>
        <w:ind w:firstLineChars="0"/>
        <w:rPr>
          <w:color w:val="auto"/>
        </w:rPr>
      </w:pPr>
      <w:r>
        <w:rPr>
          <w:rFonts w:hint="eastAsia"/>
          <w:color w:val="auto"/>
        </w:rPr>
        <w:t>广西东油沥青有限公司</w:t>
      </w:r>
      <w:r>
        <w:rPr>
          <w:color w:val="auto"/>
        </w:rPr>
        <w:t>提供的其他有关技术资料。</w:t>
      </w:r>
    </w:p>
    <w:p w14:paraId="14AF848F">
      <w:pPr>
        <w:pStyle w:val="5"/>
        <w:rPr>
          <w:color w:val="auto"/>
        </w:rPr>
      </w:pPr>
      <w:bookmarkStart w:id="166" w:name="_Toc223258450"/>
      <w:bookmarkStart w:id="167" w:name="_Toc223595754"/>
      <w:r>
        <w:rPr>
          <w:color w:val="auto"/>
        </w:rPr>
        <w:t>环境影响识别与评价因子筛选</w:t>
      </w:r>
      <w:bookmarkEnd w:id="166"/>
      <w:bookmarkEnd w:id="167"/>
    </w:p>
    <w:p w14:paraId="2C7D277C">
      <w:pPr>
        <w:pStyle w:val="4"/>
        <w:rPr>
          <w:color w:val="auto"/>
        </w:rPr>
      </w:pPr>
      <w:bookmarkStart w:id="168" w:name="_Toc26909954"/>
      <w:bookmarkStart w:id="169" w:name="_Toc135090169"/>
      <w:bookmarkStart w:id="170" w:name="_Toc216620330"/>
      <w:bookmarkStart w:id="171" w:name="_Toc136878418"/>
      <w:bookmarkStart w:id="172" w:name="_Toc29131768"/>
      <w:bookmarkStart w:id="173" w:name="_Toc25436908"/>
      <w:bookmarkStart w:id="174" w:name="_Toc216103171"/>
      <w:r>
        <w:rPr>
          <w:color w:val="auto"/>
        </w:rPr>
        <w:t>环境影响因素识别</w:t>
      </w:r>
      <w:bookmarkEnd w:id="168"/>
      <w:bookmarkEnd w:id="169"/>
      <w:bookmarkEnd w:id="170"/>
      <w:bookmarkEnd w:id="171"/>
      <w:bookmarkEnd w:id="172"/>
      <w:bookmarkEnd w:id="173"/>
      <w:bookmarkEnd w:id="174"/>
    </w:p>
    <w:p w14:paraId="5860891A">
      <w:pPr>
        <w:ind w:firstLine="480"/>
        <w:rPr>
          <w:color w:val="auto"/>
        </w:rPr>
      </w:pPr>
      <w:r>
        <w:rPr>
          <w:color w:val="auto"/>
        </w:rPr>
        <w:t>本项目排放的污染物，凡是对空气、水体、声环境、生态环境等构成影响的因素均为影响因子。项目对环境的影响有不利与有利、长期与短期、可逆与不可逆及局部与广泛影响。不利影响主要集中表现在施工期及营运期，其中施工期影响基本上是短期与局部的。营运期影响基本上是长期与不可逆的。</w:t>
      </w:r>
    </w:p>
    <w:p w14:paraId="0A78881C">
      <w:pPr>
        <w:ind w:firstLine="480"/>
        <w:rPr>
          <w:color w:val="auto"/>
        </w:rPr>
      </w:pPr>
      <w:r>
        <w:rPr>
          <w:rFonts w:hint="eastAsia"/>
          <w:color w:val="auto"/>
        </w:rPr>
        <w:t>项目</w:t>
      </w:r>
      <w:r>
        <w:rPr>
          <w:color w:val="auto"/>
        </w:rPr>
        <w:t>主要利用</w:t>
      </w:r>
      <w:r>
        <w:rPr>
          <w:rFonts w:hint="eastAsia"/>
          <w:color w:val="auto"/>
        </w:rPr>
        <w:t>现有</w:t>
      </w:r>
      <w:r>
        <w:rPr>
          <w:color w:val="auto"/>
        </w:rPr>
        <w:t>的</w:t>
      </w:r>
      <w:r>
        <w:rPr>
          <w:rFonts w:hint="eastAsia"/>
          <w:color w:val="auto"/>
        </w:rPr>
        <w:t>设施</w:t>
      </w:r>
      <w:r>
        <w:rPr>
          <w:color w:val="auto"/>
        </w:rPr>
        <w:t>进行新</w:t>
      </w:r>
      <w:r>
        <w:rPr>
          <w:rFonts w:hint="eastAsia"/>
          <w:color w:val="auto"/>
        </w:rPr>
        <w:t>增</w:t>
      </w:r>
      <w:r>
        <w:rPr>
          <w:color w:val="auto"/>
        </w:rPr>
        <w:t>货种的装卸及储存</w:t>
      </w:r>
      <w:r>
        <w:rPr>
          <w:rFonts w:hint="eastAsia"/>
          <w:color w:val="auto"/>
        </w:rPr>
        <w:t>，</w:t>
      </w:r>
      <w:r>
        <w:rPr>
          <w:color w:val="auto"/>
        </w:rPr>
        <w:t>施工期主要的施工内容为管线的</w:t>
      </w:r>
      <w:r>
        <w:rPr>
          <w:rFonts w:hint="eastAsia"/>
          <w:color w:val="auto"/>
        </w:rPr>
        <w:t>增加</w:t>
      </w:r>
      <w:r>
        <w:rPr>
          <w:color w:val="auto"/>
        </w:rPr>
        <w:t>，不涉及</w:t>
      </w:r>
      <w:r>
        <w:rPr>
          <w:rFonts w:hint="eastAsia"/>
          <w:color w:val="auto"/>
        </w:rPr>
        <w:t>土建</w:t>
      </w:r>
      <w:r>
        <w:rPr>
          <w:color w:val="auto"/>
        </w:rPr>
        <w:t>施工。项目对环境可能造成的主要影响是：施工期场地内运输车辆、施工机械产生的噪声、扬尘等；营运期主要是装卸废气、生活污水、噪声、工业固体废物等对环境的影响。项目在施工期对环境产生的影响是不利的，但此类影响是短期的；项目投入营运后，其在营运期内产生的各类污染物对环境的影响将通过采取有效的控制后，这些不利影响因素可有效削减。</w:t>
      </w:r>
    </w:p>
    <w:p w14:paraId="4D0A4F98">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rFonts w:hint="eastAsia"/>
          <w:color w:val="auto"/>
        </w:rPr>
        <w:t>建设项目环境影响因子识别表</w:t>
      </w:r>
    </w:p>
    <w:tbl>
      <w:tblPr>
        <w:tblStyle w:val="43"/>
        <w:tblW w:w="495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407"/>
        <w:gridCol w:w="668"/>
        <w:gridCol w:w="2462"/>
        <w:gridCol w:w="2931"/>
        <w:gridCol w:w="1158"/>
        <w:gridCol w:w="667"/>
        <w:gridCol w:w="1095"/>
      </w:tblGrid>
      <w:tr w14:paraId="131DD2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217" w:type="pct"/>
            <w:vAlign w:val="center"/>
          </w:tcPr>
          <w:p w14:paraId="1F9C679E">
            <w:pPr>
              <w:pStyle w:val="77"/>
              <w:keepNext w:val="0"/>
              <w:keepLines w:val="0"/>
              <w:suppressLineNumbers w:val="0"/>
              <w:spacing w:before="0" w:beforeAutospacing="0" w:after="0" w:afterAutospacing="0"/>
              <w:ind w:left="0" w:right="0"/>
              <w:rPr>
                <w:rFonts w:hint="default"/>
                <w:b/>
                <w:color w:val="auto"/>
              </w:rPr>
            </w:pPr>
            <w:r>
              <w:rPr>
                <w:rFonts w:hint="default"/>
                <w:b/>
                <w:color w:val="auto"/>
              </w:rPr>
              <w:t>阶段</w:t>
            </w:r>
          </w:p>
        </w:tc>
        <w:tc>
          <w:tcPr>
            <w:tcW w:w="356" w:type="pct"/>
            <w:vAlign w:val="center"/>
          </w:tcPr>
          <w:p w14:paraId="4E3FD35E">
            <w:pPr>
              <w:pStyle w:val="77"/>
              <w:keepNext w:val="0"/>
              <w:keepLines w:val="0"/>
              <w:suppressLineNumbers w:val="0"/>
              <w:spacing w:before="0" w:beforeAutospacing="0" w:after="0" w:afterAutospacing="0"/>
              <w:ind w:left="0" w:right="0"/>
              <w:rPr>
                <w:rFonts w:hint="default"/>
                <w:b/>
                <w:color w:val="auto"/>
              </w:rPr>
            </w:pPr>
            <w:r>
              <w:rPr>
                <w:rFonts w:hint="default"/>
                <w:b/>
                <w:color w:val="auto"/>
              </w:rPr>
              <w:t>种类</w:t>
            </w:r>
          </w:p>
        </w:tc>
        <w:tc>
          <w:tcPr>
            <w:tcW w:w="1311" w:type="pct"/>
            <w:vAlign w:val="center"/>
          </w:tcPr>
          <w:p w14:paraId="019C951E">
            <w:pPr>
              <w:pStyle w:val="77"/>
              <w:keepNext w:val="0"/>
              <w:keepLines w:val="0"/>
              <w:suppressLineNumbers w:val="0"/>
              <w:spacing w:before="0" w:beforeAutospacing="0" w:after="0" w:afterAutospacing="0"/>
              <w:ind w:left="0" w:right="0"/>
              <w:rPr>
                <w:rFonts w:hint="default"/>
                <w:b/>
                <w:color w:val="auto"/>
              </w:rPr>
            </w:pPr>
            <w:r>
              <w:rPr>
                <w:rFonts w:hint="default"/>
                <w:b/>
                <w:color w:val="auto"/>
              </w:rPr>
              <w:t>来源</w:t>
            </w:r>
          </w:p>
        </w:tc>
        <w:tc>
          <w:tcPr>
            <w:tcW w:w="1561" w:type="pct"/>
            <w:vAlign w:val="center"/>
          </w:tcPr>
          <w:p w14:paraId="6F115CD0">
            <w:pPr>
              <w:pStyle w:val="77"/>
              <w:keepNext w:val="0"/>
              <w:keepLines w:val="0"/>
              <w:suppressLineNumbers w:val="0"/>
              <w:spacing w:before="0" w:beforeAutospacing="0" w:after="0" w:afterAutospacing="0"/>
              <w:ind w:left="0" w:right="0"/>
              <w:rPr>
                <w:rFonts w:hint="default"/>
                <w:b/>
                <w:color w:val="auto"/>
              </w:rPr>
            </w:pPr>
            <w:r>
              <w:rPr>
                <w:rFonts w:hint="default"/>
                <w:b/>
                <w:color w:val="auto"/>
              </w:rPr>
              <w:t>主要污染因子</w:t>
            </w:r>
          </w:p>
        </w:tc>
        <w:tc>
          <w:tcPr>
            <w:tcW w:w="617" w:type="pct"/>
            <w:vAlign w:val="center"/>
          </w:tcPr>
          <w:p w14:paraId="08228B42">
            <w:pPr>
              <w:pStyle w:val="77"/>
              <w:keepNext w:val="0"/>
              <w:keepLines w:val="0"/>
              <w:suppressLineNumbers w:val="0"/>
              <w:spacing w:before="0" w:beforeAutospacing="0" w:after="0" w:afterAutospacing="0"/>
              <w:ind w:left="0" w:right="0"/>
              <w:rPr>
                <w:rFonts w:hint="default"/>
                <w:b/>
                <w:color w:val="auto"/>
              </w:rPr>
            </w:pPr>
            <w:r>
              <w:rPr>
                <w:rFonts w:hint="default"/>
                <w:b/>
                <w:color w:val="auto"/>
              </w:rPr>
              <w:t>排放位置</w:t>
            </w:r>
          </w:p>
        </w:tc>
        <w:tc>
          <w:tcPr>
            <w:tcW w:w="355" w:type="pct"/>
            <w:vAlign w:val="center"/>
          </w:tcPr>
          <w:p w14:paraId="30450D03">
            <w:pPr>
              <w:pStyle w:val="77"/>
              <w:keepNext w:val="0"/>
              <w:keepLines w:val="0"/>
              <w:suppressLineNumbers w:val="0"/>
              <w:spacing w:before="0" w:beforeAutospacing="0" w:after="0" w:afterAutospacing="0"/>
              <w:ind w:left="0" w:right="0"/>
              <w:rPr>
                <w:rFonts w:hint="default"/>
                <w:b/>
                <w:color w:val="auto"/>
              </w:rPr>
            </w:pPr>
            <w:r>
              <w:rPr>
                <w:rFonts w:hint="default"/>
                <w:b/>
                <w:color w:val="auto"/>
              </w:rPr>
              <w:t>污染程度</w:t>
            </w:r>
          </w:p>
        </w:tc>
        <w:tc>
          <w:tcPr>
            <w:tcW w:w="584" w:type="pct"/>
            <w:vAlign w:val="center"/>
          </w:tcPr>
          <w:p w14:paraId="6411021B">
            <w:pPr>
              <w:pStyle w:val="77"/>
              <w:keepNext w:val="0"/>
              <w:keepLines w:val="0"/>
              <w:suppressLineNumbers w:val="0"/>
              <w:spacing w:before="0" w:beforeAutospacing="0" w:after="0" w:afterAutospacing="0"/>
              <w:ind w:left="0" w:right="0"/>
              <w:rPr>
                <w:rFonts w:hint="default"/>
                <w:b/>
                <w:color w:val="auto"/>
              </w:rPr>
            </w:pPr>
            <w:r>
              <w:rPr>
                <w:rFonts w:hint="default"/>
                <w:b/>
                <w:color w:val="auto"/>
              </w:rPr>
              <w:t>污染</w:t>
            </w:r>
          </w:p>
          <w:p w14:paraId="7B8AB3BA">
            <w:pPr>
              <w:pStyle w:val="77"/>
              <w:keepNext w:val="0"/>
              <w:keepLines w:val="0"/>
              <w:suppressLineNumbers w:val="0"/>
              <w:spacing w:before="0" w:beforeAutospacing="0" w:after="0" w:afterAutospacing="0"/>
              <w:ind w:left="0" w:right="0"/>
              <w:rPr>
                <w:rFonts w:hint="default"/>
                <w:b/>
                <w:color w:val="auto"/>
              </w:rPr>
            </w:pPr>
            <w:r>
              <w:rPr>
                <w:rFonts w:hint="default"/>
                <w:b/>
                <w:color w:val="auto"/>
              </w:rPr>
              <w:t>特点</w:t>
            </w:r>
          </w:p>
        </w:tc>
      </w:tr>
      <w:tr w14:paraId="0F40C7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217" w:type="pct"/>
            <w:vMerge w:val="restart"/>
            <w:vAlign w:val="center"/>
          </w:tcPr>
          <w:p w14:paraId="7A1A4F0E">
            <w:pPr>
              <w:pStyle w:val="77"/>
              <w:keepNext w:val="0"/>
              <w:keepLines w:val="0"/>
              <w:suppressLineNumbers w:val="0"/>
              <w:spacing w:before="0" w:beforeAutospacing="0" w:after="0" w:afterAutospacing="0"/>
              <w:ind w:left="0" w:right="0"/>
              <w:rPr>
                <w:rFonts w:hint="default"/>
                <w:color w:val="auto"/>
              </w:rPr>
            </w:pPr>
            <w:r>
              <w:rPr>
                <w:rFonts w:hint="eastAsia"/>
                <w:color w:val="auto"/>
              </w:rPr>
              <w:t>施工期</w:t>
            </w:r>
          </w:p>
        </w:tc>
        <w:tc>
          <w:tcPr>
            <w:tcW w:w="356" w:type="pct"/>
            <w:vAlign w:val="center"/>
          </w:tcPr>
          <w:p w14:paraId="5E57BFEC">
            <w:pPr>
              <w:pStyle w:val="77"/>
              <w:keepNext w:val="0"/>
              <w:keepLines w:val="0"/>
              <w:suppressLineNumbers w:val="0"/>
              <w:spacing w:before="0" w:beforeAutospacing="0" w:after="0" w:afterAutospacing="0"/>
              <w:ind w:left="0" w:right="0"/>
              <w:rPr>
                <w:rFonts w:hint="default"/>
                <w:color w:val="auto"/>
              </w:rPr>
            </w:pPr>
            <w:r>
              <w:rPr>
                <w:rFonts w:hint="default"/>
                <w:color w:val="auto"/>
              </w:rPr>
              <w:t>废气、扬尘</w:t>
            </w:r>
          </w:p>
        </w:tc>
        <w:tc>
          <w:tcPr>
            <w:tcW w:w="1311" w:type="pct"/>
            <w:vAlign w:val="center"/>
          </w:tcPr>
          <w:p w14:paraId="676ABA0B">
            <w:pPr>
              <w:pStyle w:val="77"/>
              <w:keepNext w:val="0"/>
              <w:keepLines w:val="0"/>
              <w:suppressLineNumbers w:val="0"/>
              <w:spacing w:before="0" w:beforeAutospacing="0" w:after="0" w:afterAutospacing="0"/>
              <w:ind w:left="0" w:right="0"/>
              <w:rPr>
                <w:rFonts w:hint="default"/>
                <w:color w:val="auto"/>
              </w:rPr>
            </w:pPr>
            <w:r>
              <w:rPr>
                <w:rFonts w:hint="eastAsia"/>
                <w:color w:val="auto"/>
              </w:rPr>
              <w:t>施工运输扬尘、施工机械废气、焊接烟尘</w:t>
            </w:r>
          </w:p>
        </w:tc>
        <w:tc>
          <w:tcPr>
            <w:tcW w:w="1561" w:type="pct"/>
            <w:vAlign w:val="center"/>
          </w:tcPr>
          <w:p w14:paraId="047014C3">
            <w:pPr>
              <w:pStyle w:val="77"/>
              <w:keepNext w:val="0"/>
              <w:keepLines w:val="0"/>
              <w:suppressLineNumbers w:val="0"/>
              <w:spacing w:before="0" w:beforeAutospacing="0" w:after="0" w:afterAutospacing="0"/>
              <w:ind w:left="0" w:right="0"/>
              <w:rPr>
                <w:rFonts w:hint="default"/>
                <w:color w:val="auto"/>
              </w:rPr>
            </w:pPr>
            <w:r>
              <w:rPr>
                <w:rFonts w:hint="eastAsia"/>
                <w:color w:val="auto"/>
              </w:rPr>
              <w:t>TSP、SO</w:t>
            </w:r>
            <w:r>
              <w:rPr>
                <w:rFonts w:hint="eastAsia"/>
                <w:color w:val="auto"/>
                <w:vertAlign w:val="subscript"/>
              </w:rPr>
              <w:t>2</w:t>
            </w:r>
            <w:r>
              <w:rPr>
                <w:rFonts w:hint="eastAsia"/>
                <w:color w:val="auto"/>
              </w:rPr>
              <w:t>、NO</w:t>
            </w:r>
            <w:r>
              <w:rPr>
                <w:rFonts w:hint="eastAsia"/>
                <w:color w:val="auto"/>
                <w:vertAlign w:val="subscript"/>
              </w:rPr>
              <w:t>X</w:t>
            </w:r>
            <w:r>
              <w:rPr>
                <w:rFonts w:hint="eastAsia"/>
                <w:color w:val="auto"/>
              </w:rPr>
              <w:t>、焊接烟尘</w:t>
            </w:r>
          </w:p>
        </w:tc>
        <w:tc>
          <w:tcPr>
            <w:tcW w:w="617" w:type="pct"/>
            <w:vMerge w:val="restart"/>
            <w:vAlign w:val="center"/>
          </w:tcPr>
          <w:p w14:paraId="5AD92B5E">
            <w:pPr>
              <w:pStyle w:val="77"/>
              <w:keepNext w:val="0"/>
              <w:keepLines w:val="0"/>
              <w:suppressLineNumbers w:val="0"/>
              <w:spacing w:before="0" w:beforeAutospacing="0" w:after="0" w:afterAutospacing="0"/>
              <w:ind w:left="0" w:right="0"/>
              <w:rPr>
                <w:rFonts w:hint="default"/>
                <w:color w:val="auto"/>
              </w:rPr>
            </w:pPr>
            <w:r>
              <w:rPr>
                <w:rFonts w:hint="eastAsia"/>
                <w:color w:val="auto"/>
              </w:rPr>
              <w:t>施工区</w:t>
            </w:r>
          </w:p>
        </w:tc>
        <w:tc>
          <w:tcPr>
            <w:tcW w:w="355" w:type="pct"/>
            <w:vAlign w:val="center"/>
          </w:tcPr>
          <w:p w14:paraId="5861ADA2">
            <w:pPr>
              <w:pStyle w:val="77"/>
              <w:keepNext w:val="0"/>
              <w:keepLines w:val="0"/>
              <w:suppressLineNumbers w:val="0"/>
              <w:spacing w:before="0" w:beforeAutospacing="0" w:after="0" w:afterAutospacing="0"/>
              <w:ind w:left="0" w:right="0"/>
              <w:rPr>
                <w:rFonts w:hint="default"/>
                <w:color w:val="auto"/>
              </w:rPr>
            </w:pPr>
            <w:r>
              <w:rPr>
                <w:rFonts w:hint="eastAsia"/>
                <w:color w:val="auto"/>
              </w:rPr>
              <w:t>轻度</w:t>
            </w:r>
          </w:p>
        </w:tc>
        <w:tc>
          <w:tcPr>
            <w:tcW w:w="584" w:type="pct"/>
            <w:vAlign w:val="center"/>
          </w:tcPr>
          <w:p w14:paraId="364EFCB0">
            <w:pPr>
              <w:pStyle w:val="77"/>
              <w:keepNext w:val="0"/>
              <w:keepLines w:val="0"/>
              <w:suppressLineNumbers w:val="0"/>
              <w:spacing w:before="0" w:beforeAutospacing="0" w:after="0" w:afterAutospacing="0"/>
              <w:ind w:left="0" w:right="0"/>
              <w:rPr>
                <w:rFonts w:hint="default"/>
                <w:color w:val="auto"/>
              </w:rPr>
            </w:pPr>
            <w:r>
              <w:rPr>
                <w:rFonts w:hint="default"/>
                <w:color w:val="auto"/>
              </w:rPr>
              <w:t>间断性</w:t>
            </w:r>
          </w:p>
        </w:tc>
      </w:tr>
      <w:tr w14:paraId="203AEB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433DD179">
            <w:pPr>
              <w:pStyle w:val="77"/>
              <w:keepNext w:val="0"/>
              <w:keepLines w:val="0"/>
              <w:suppressLineNumbers w:val="0"/>
              <w:spacing w:before="0" w:beforeAutospacing="0" w:after="0" w:afterAutospacing="0"/>
              <w:ind w:left="0" w:right="0"/>
              <w:rPr>
                <w:rFonts w:hint="default"/>
                <w:color w:val="auto"/>
              </w:rPr>
            </w:pPr>
          </w:p>
        </w:tc>
        <w:tc>
          <w:tcPr>
            <w:tcW w:w="356" w:type="pct"/>
            <w:vAlign w:val="center"/>
          </w:tcPr>
          <w:p w14:paraId="3599EC2B">
            <w:pPr>
              <w:pStyle w:val="77"/>
              <w:keepNext w:val="0"/>
              <w:keepLines w:val="0"/>
              <w:suppressLineNumbers w:val="0"/>
              <w:spacing w:before="0" w:beforeAutospacing="0" w:after="0" w:afterAutospacing="0"/>
              <w:ind w:left="0" w:right="0"/>
              <w:rPr>
                <w:rFonts w:hint="default"/>
                <w:color w:val="auto"/>
              </w:rPr>
            </w:pPr>
            <w:r>
              <w:rPr>
                <w:rFonts w:hint="default"/>
                <w:color w:val="auto"/>
              </w:rPr>
              <w:t>废水</w:t>
            </w:r>
          </w:p>
        </w:tc>
        <w:tc>
          <w:tcPr>
            <w:tcW w:w="1311" w:type="pct"/>
            <w:vAlign w:val="center"/>
          </w:tcPr>
          <w:p w14:paraId="6D0605F6">
            <w:pPr>
              <w:pStyle w:val="77"/>
              <w:keepNext w:val="0"/>
              <w:keepLines w:val="0"/>
              <w:suppressLineNumbers w:val="0"/>
              <w:spacing w:before="0" w:beforeAutospacing="0" w:after="0" w:afterAutospacing="0"/>
              <w:ind w:left="0" w:right="0"/>
              <w:rPr>
                <w:rFonts w:hint="default"/>
                <w:color w:val="auto"/>
              </w:rPr>
            </w:pPr>
            <w:r>
              <w:rPr>
                <w:rFonts w:hint="default"/>
                <w:color w:val="auto"/>
              </w:rPr>
              <w:t>生活污水</w:t>
            </w:r>
          </w:p>
        </w:tc>
        <w:tc>
          <w:tcPr>
            <w:tcW w:w="1561" w:type="pct"/>
            <w:vAlign w:val="center"/>
          </w:tcPr>
          <w:p w14:paraId="1B1F8E21">
            <w:pPr>
              <w:pStyle w:val="77"/>
              <w:keepNext w:val="0"/>
              <w:keepLines w:val="0"/>
              <w:suppressLineNumbers w:val="0"/>
              <w:spacing w:before="0" w:beforeAutospacing="0" w:after="0" w:afterAutospacing="0"/>
              <w:ind w:left="0" w:right="0"/>
              <w:rPr>
                <w:rFonts w:hint="default"/>
                <w:color w:val="auto"/>
              </w:rPr>
            </w:pPr>
            <w:r>
              <w:rPr>
                <w:rFonts w:hint="default"/>
                <w:color w:val="auto"/>
              </w:rPr>
              <w:t>BOD</w:t>
            </w:r>
            <w:r>
              <w:rPr>
                <w:rFonts w:hint="default"/>
                <w:color w:val="auto"/>
                <w:vertAlign w:val="subscript"/>
              </w:rPr>
              <w:t>5</w:t>
            </w:r>
            <w:r>
              <w:rPr>
                <w:rFonts w:hint="default"/>
                <w:color w:val="auto"/>
              </w:rPr>
              <w:t>、COD、NH</w:t>
            </w:r>
            <w:r>
              <w:rPr>
                <w:rFonts w:hint="default"/>
                <w:color w:val="auto"/>
                <w:vertAlign w:val="subscript"/>
              </w:rPr>
              <w:t>3</w:t>
            </w:r>
            <w:r>
              <w:rPr>
                <w:rFonts w:hint="default"/>
                <w:color w:val="auto"/>
              </w:rPr>
              <w:t>-N</w:t>
            </w:r>
          </w:p>
        </w:tc>
        <w:tc>
          <w:tcPr>
            <w:tcW w:w="0" w:type="auto"/>
            <w:vMerge w:val="continue"/>
            <w:vAlign w:val="center"/>
          </w:tcPr>
          <w:p w14:paraId="249C40DC">
            <w:pPr>
              <w:pStyle w:val="77"/>
              <w:keepNext w:val="0"/>
              <w:keepLines w:val="0"/>
              <w:suppressLineNumbers w:val="0"/>
              <w:spacing w:before="0" w:beforeAutospacing="0" w:after="0" w:afterAutospacing="0"/>
              <w:ind w:left="0" w:right="0"/>
              <w:rPr>
                <w:rFonts w:hint="default"/>
                <w:color w:val="auto"/>
              </w:rPr>
            </w:pPr>
          </w:p>
        </w:tc>
        <w:tc>
          <w:tcPr>
            <w:tcW w:w="355" w:type="pct"/>
            <w:vAlign w:val="center"/>
          </w:tcPr>
          <w:p w14:paraId="19710C98">
            <w:pPr>
              <w:pStyle w:val="77"/>
              <w:keepNext w:val="0"/>
              <w:keepLines w:val="0"/>
              <w:suppressLineNumbers w:val="0"/>
              <w:spacing w:before="0" w:beforeAutospacing="0" w:after="0" w:afterAutospacing="0"/>
              <w:ind w:left="0" w:right="0"/>
              <w:rPr>
                <w:rFonts w:hint="default"/>
                <w:color w:val="auto"/>
              </w:rPr>
            </w:pPr>
            <w:r>
              <w:rPr>
                <w:rFonts w:hint="default"/>
                <w:color w:val="auto"/>
              </w:rPr>
              <w:t>轻度</w:t>
            </w:r>
          </w:p>
        </w:tc>
        <w:tc>
          <w:tcPr>
            <w:tcW w:w="584" w:type="pct"/>
            <w:vAlign w:val="center"/>
          </w:tcPr>
          <w:p w14:paraId="20FCE070">
            <w:pPr>
              <w:pStyle w:val="77"/>
              <w:keepNext w:val="0"/>
              <w:keepLines w:val="0"/>
              <w:suppressLineNumbers w:val="0"/>
              <w:spacing w:before="0" w:beforeAutospacing="0" w:after="0" w:afterAutospacing="0"/>
              <w:ind w:left="0" w:right="0"/>
              <w:rPr>
                <w:rFonts w:hint="default"/>
                <w:color w:val="auto"/>
              </w:rPr>
            </w:pPr>
            <w:r>
              <w:rPr>
                <w:rFonts w:hint="default"/>
                <w:color w:val="auto"/>
              </w:rPr>
              <w:t>间断性</w:t>
            </w:r>
          </w:p>
        </w:tc>
      </w:tr>
      <w:tr w14:paraId="067186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0F6A4E6C">
            <w:pPr>
              <w:pStyle w:val="77"/>
              <w:keepNext w:val="0"/>
              <w:keepLines w:val="0"/>
              <w:suppressLineNumbers w:val="0"/>
              <w:spacing w:before="0" w:beforeAutospacing="0" w:after="0" w:afterAutospacing="0"/>
              <w:ind w:left="0" w:right="0"/>
              <w:rPr>
                <w:rFonts w:hint="default"/>
                <w:color w:val="auto"/>
              </w:rPr>
            </w:pPr>
          </w:p>
        </w:tc>
        <w:tc>
          <w:tcPr>
            <w:tcW w:w="356" w:type="pct"/>
            <w:vAlign w:val="center"/>
          </w:tcPr>
          <w:p w14:paraId="7C4F376F">
            <w:pPr>
              <w:pStyle w:val="77"/>
              <w:keepNext w:val="0"/>
              <w:keepLines w:val="0"/>
              <w:suppressLineNumbers w:val="0"/>
              <w:spacing w:before="0" w:beforeAutospacing="0" w:after="0" w:afterAutospacing="0"/>
              <w:ind w:left="0" w:right="0"/>
              <w:rPr>
                <w:rFonts w:hint="default"/>
                <w:color w:val="auto"/>
              </w:rPr>
            </w:pPr>
            <w:r>
              <w:rPr>
                <w:rFonts w:hint="default"/>
                <w:color w:val="auto"/>
              </w:rPr>
              <w:t>噪声</w:t>
            </w:r>
          </w:p>
        </w:tc>
        <w:tc>
          <w:tcPr>
            <w:tcW w:w="1311" w:type="pct"/>
            <w:vAlign w:val="center"/>
          </w:tcPr>
          <w:p w14:paraId="060E91FE">
            <w:pPr>
              <w:pStyle w:val="77"/>
              <w:keepNext w:val="0"/>
              <w:keepLines w:val="0"/>
              <w:suppressLineNumbers w:val="0"/>
              <w:spacing w:before="0" w:beforeAutospacing="0" w:after="0" w:afterAutospacing="0"/>
              <w:ind w:left="0" w:right="0"/>
              <w:rPr>
                <w:rFonts w:hint="default"/>
                <w:color w:val="auto"/>
              </w:rPr>
            </w:pPr>
            <w:r>
              <w:rPr>
                <w:rFonts w:hint="default"/>
                <w:color w:val="auto"/>
              </w:rPr>
              <w:t>施工机械</w:t>
            </w:r>
          </w:p>
        </w:tc>
        <w:tc>
          <w:tcPr>
            <w:tcW w:w="1561" w:type="pct"/>
            <w:vAlign w:val="center"/>
          </w:tcPr>
          <w:p w14:paraId="780369B4">
            <w:pPr>
              <w:pStyle w:val="77"/>
              <w:keepNext w:val="0"/>
              <w:keepLines w:val="0"/>
              <w:suppressLineNumbers w:val="0"/>
              <w:spacing w:before="0" w:beforeAutospacing="0" w:after="0" w:afterAutospacing="0"/>
              <w:ind w:left="0" w:right="0"/>
              <w:rPr>
                <w:rFonts w:hint="default"/>
                <w:color w:val="auto"/>
              </w:rPr>
            </w:pPr>
            <w:r>
              <w:rPr>
                <w:rFonts w:hint="default"/>
                <w:color w:val="auto"/>
              </w:rPr>
              <w:t>噪声</w:t>
            </w:r>
          </w:p>
        </w:tc>
        <w:tc>
          <w:tcPr>
            <w:tcW w:w="0" w:type="auto"/>
            <w:vMerge w:val="continue"/>
            <w:vAlign w:val="center"/>
          </w:tcPr>
          <w:p w14:paraId="35FB1394">
            <w:pPr>
              <w:pStyle w:val="77"/>
              <w:keepNext w:val="0"/>
              <w:keepLines w:val="0"/>
              <w:suppressLineNumbers w:val="0"/>
              <w:spacing w:before="0" w:beforeAutospacing="0" w:after="0" w:afterAutospacing="0"/>
              <w:ind w:left="0" w:right="0"/>
              <w:rPr>
                <w:rFonts w:hint="default"/>
                <w:color w:val="auto"/>
              </w:rPr>
            </w:pPr>
          </w:p>
        </w:tc>
        <w:tc>
          <w:tcPr>
            <w:tcW w:w="355" w:type="pct"/>
            <w:vAlign w:val="center"/>
          </w:tcPr>
          <w:p w14:paraId="7C2AF1E6">
            <w:pPr>
              <w:pStyle w:val="77"/>
              <w:keepNext w:val="0"/>
              <w:keepLines w:val="0"/>
              <w:suppressLineNumbers w:val="0"/>
              <w:spacing w:before="0" w:beforeAutospacing="0" w:after="0" w:afterAutospacing="0"/>
              <w:ind w:left="0" w:right="0"/>
              <w:rPr>
                <w:rFonts w:hint="default"/>
                <w:color w:val="auto"/>
              </w:rPr>
            </w:pPr>
            <w:r>
              <w:rPr>
                <w:rFonts w:hint="default"/>
                <w:color w:val="auto"/>
              </w:rPr>
              <w:t>中等</w:t>
            </w:r>
          </w:p>
        </w:tc>
        <w:tc>
          <w:tcPr>
            <w:tcW w:w="584" w:type="pct"/>
            <w:vAlign w:val="center"/>
          </w:tcPr>
          <w:p w14:paraId="168EFC4B">
            <w:pPr>
              <w:pStyle w:val="77"/>
              <w:keepNext w:val="0"/>
              <w:keepLines w:val="0"/>
              <w:suppressLineNumbers w:val="0"/>
              <w:spacing w:before="0" w:beforeAutospacing="0" w:after="0" w:afterAutospacing="0"/>
              <w:ind w:left="0" w:right="0"/>
              <w:rPr>
                <w:rFonts w:hint="default"/>
                <w:color w:val="auto"/>
              </w:rPr>
            </w:pPr>
            <w:r>
              <w:rPr>
                <w:rFonts w:hint="default"/>
                <w:color w:val="auto"/>
              </w:rPr>
              <w:t>间断性</w:t>
            </w:r>
          </w:p>
        </w:tc>
      </w:tr>
      <w:tr w14:paraId="715161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21" w:hRule="atLeast"/>
          <w:jc w:val="center"/>
        </w:trPr>
        <w:tc>
          <w:tcPr>
            <w:tcW w:w="0" w:type="auto"/>
            <w:vMerge w:val="continue"/>
            <w:vAlign w:val="center"/>
          </w:tcPr>
          <w:p w14:paraId="4C51854A">
            <w:pPr>
              <w:pStyle w:val="77"/>
              <w:keepNext w:val="0"/>
              <w:keepLines w:val="0"/>
              <w:suppressLineNumbers w:val="0"/>
              <w:spacing w:before="0" w:beforeAutospacing="0" w:after="0" w:afterAutospacing="0"/>
              <w:ind w:left="0" w:right="0"/>
              <w:rPr>
                <w:rFonts w:hint="default"/>
                <w:color w:val="auto"/>
              </w:rPr>
            </w:pPr>
          </w:p>
        </w:tc>
        <w:tc>
          <w:tcPr>
            <w:tcW w:w="356" w:type="pct"/>
            <w:vMerge w:val="restart"/>
            <w:vAlign w:val="center"/>
          </w:tcPr>
          <w:p w14:paraId="6E735041">
            <w:pPr>
              <w:pStyle w:val="77"/>
              <w:keepNext w:val="0"/>
              <w:keepLines w:val="0"/>
              <w:suppressLineNumbers w:val="0"/>
              <w:spacing w:before="0" w:beforeAutospacing="0" w:after="0" w:afterAutospacing="0"/>
              <w:ind w:left="0" w:right="0"/>
              <w:rPr>
                <w:rFonts w:hint="default"/>
                <w:color w:val="auto"/>
              </w:rPr>
            </w:pPr>
            <w:r>
              <w:rPr>
                <w:rFonts w:hint="default"/>
                <w:color w:val="auto"/>
              </w:rPr>
              <w:t>固体废物</w:t>
            </w:r>
          </w:p>
        </w:tc>
        <w:tc>
          <w:tcPr>
            <w:tcW w:w="1311" w:type="pct"/>
            <w:vAlign w:val="center"/>
          </w:tcPr>
          <w:p w14:paraId="58DACECA">
            <w:pPr>
              <w:pStyle w:val="77"/>
              <w:keepNext w:val="0"/>
              <w:keepLines w:val="0"/>
              <w:suppressLineNumbers w:val="0"/>
              <w:spacing w:before="0" w:beforeAutospacing="0" w:after="0" w:afterAutospacing="0"/>
              <w:ind w:left="0" w:right="0"/>
              <w:rPr>
                <w:rFonts w:hint="default"/>
                <w:color w:val="auto"/>
              </w:rPr>
            </w:pPr>
            <w:r>
              <w:rPr>
                <w:rFonts w:hint="default"/>
                <w:color w:val="auto"/>
              </w:rPr>
              <w:t>施工人员生活垃圾</w:t>
            </w:r>
          </w:p>
        </w:tc>
        <w:tc>
          <w:tcPr>
            <w:tcW w:w="1561" w:type="pct"/>
            <w:vAlign w:val="center"/>
          </w:tcPr>
          <w:p w14:paraId="5D3BFAEA">
            <w:pPr>
              <w:pStyle w:val="77"/>
              <w:keepNext w:val="0"/>
              <w:keepLines w:val="0"/>
              <w:suppressLineNumbers w:val="0"/>
              <w:spacing w:before="0" w:beforeAutospacing="0" w:after="0" w:afterAutospacing="0"/>
              <w:ind w:left="0" w:right="0"/>
              <w:rPr>
                <w:rFonts w:hint="default"/>
                <w:color w:val="auto"/>
              </w:rPr>
            </w:pPr>
            <w:r>
              <w:rPr>
                <w:rFonts w:hint="default"/>
                <w:color w:val="auto"/>
              </w:rPr>
              <w:t>瓜果皮、菜渣、食品包装袋、剩饭等</w:t>
            </w:r>
          </w:p>
        </w:tc>
        <w:tc>
          <w:tcPr>
            <w:tcW w:w="0" w:type="auto"/>
            <w:vMerge w:val="continue"/>
            <w:vAlign w:val="center"/>
          </w:tcPr>
          <w:p w14:paraId="6115D38C">
            <w:pPr>
              <w:pStyle w:val="77"/>
              <w:keepNext w:val="0"/>
              <w:keepLines w:val="0"/>
              <w:suppressLineNumbers w:val="0"/>
              <w:spacing w:before="0" w:beforeAutospacing="0" w:after="0" w:afterAutospacing="0"/>
              <w:ind w:left="0" w:right="0"/>
              <w:rPr>
                <w:rFonts w:hint="default"/>
                <w:color w:val="auto"/>
              </w:rPr>
            </w:pPr>
          </w:p>
        </w:tc>
        <w:tc>
          <w:tcPr>
            <w:tcW w:w="355" w:type="pct"/>
            <w:vMerge w:val="restart"/>
            <w:vAlign w:val="center"/>
          </w:tcPr>
          <w:p w14:paraId="1D619B52">
            <w:pPr>
              <w:pStyle w:val="77"/>
              <w:keepNext w:val="0"/>
              <w:keepLines w:val="0"/>
              <w:suppressLineNumbers w:val="0"/>
              <w:spacing w:before="0" w:beforeAutospacing="0" w:after="0" w:afterAutospacing="0"/>
              <w:ind w:left="0" w:right="0"/>
              <w:rPr>
                <w:rFonts w:hint="default"/>
                <w:color w:val="auto"/>
              </w:rPr>
            </w:pPr>
            <w:r>
              <w:rPr>
                <w:rFonts w:hint="default"/>
                <w:color w:val="auto"/>
              </w:rPr>
              <w:t>轻度</w:t>
            </w:r>
          </w:p>
        </w:tc>
        <w:tc>
          <w:tcPr>
            <w:tcW w:w="584" w:type="pct"/>
            <w:vAlign w:val="center"/>
          </w:tcPr>
          <w:p w14:paraId="44905D20">
            <w:pPr>
              <w:pStyle w:val="77"/>
              <w:keepNext w:val="0"/>
              <w:keepLines w:val="0"/>
              <w:suppressLineNumbers w:val="0"/>
              <w:spacing w:before="0" w:beforeAutospacing="0" w:after="0" w:afterAutospacing="0"/>
              <w:ind w:left="0" w:right="0"/>
              <w:rPr>
                <w:rFonts w:hint="default"/>
                <w:color w:val="auto"/>
              </w:rPr>
            </w:pPr>
            <w:r>
              <w:rPr>
                <w:rFonts w:hint="default"/>
                <w:color w:val="auto"/>
              </w:rPr>
              <w:t>间断性</w:t>
            </w:r>
          </w:p>
        </w:tc>
      </w:tr>
      <w:tr w14:paraId="6E2029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5A0DB3AA">
            <w:pPr>
              <w:pStyle w:val="77"/>
              <w:keepNext w:val="0"/>
              <w:keepLines w:val="0"/>
              <w:suppressLineNumbers w:val="0"/>
              <w:spacing w:before="0" w:beforeAutospacing="0" w:after="0" w:afterAutospacing="0"/>
              <w:ind w:left="0" w:right="0"/>
              <w:rPr>
                <w:rFonts w:hint="default"/>
                <w:color w:val="auto"/>
              </w:rPr>
            </w:pPr>
          </w:p>
        </w:tc>
        <w:tc>
          <w:tcPr>
            <w:tcW w:w="0" w:type="auto"/>
            <w:vMerge w:val="continue"/>
            <w:vAlign w:val="center"/>
          </w:tcPr>
          <w:p w14:paraId="5AB256B3">
            <w:pPr>
              <w:pStyle w:val="77"/>
              <w:keepNext w:val="0"/>
              <w:keepLines w:val="0"/>
              <w:suppressLineNumbers w:val="0"/>
              <w:spacing w:before="0" w:beforeAutospacing="0" w:after="0" w:afterAutospacing="0"/>
              <w:ind w:left="0" w:right="0"/>
              <w:rPr>
                <w:rFonts w:hint="default"/>
                <w:color w:val="auto"/>
              </w:rPr>
            </w:pPr>
          </w:p>
        </w:tc>
        <w:tc>
          <w:tcPr>
            <w:tcW w:w="1311" w:type="pct"/>
            <w:vAlign w:val="center"/>
          </w:tcPr>
          <w:p w14:paraId="06B4F7FC">
            <w:pPr>
              <w:pStyle w:val="77"/>
              <w:keepNext w:val="0"/>
              <w:keepLines w:val="0"/>
              <w:suppressLineNumbers w:val="0"/>
              <w:spacing w:before="0" w:beforeAutospacing="0" w:after="0" w:afterAutospacing="0"/>
              <w:ind w:left="0" w:right="0"/>
              <w:rPr>
                <w:rFonts w:hint="default"/>
                <w:color w:val="auto"/>
              </w:rPr>
            </w:pPr>
            <w:r>
              <w:rPr>
                <w:rFonts w:hint="default"/>
                <w:color w:val="auto"/>
              </w:rPr>
              <w:t>施工废料</w:t>
            </w:r>
          </w:p>
        </w:tc>
        <w:tc>
          <w:tcPr>
            <w:tcW w:w="1561" w:type="pct"/>
            <w:vAlign w:val="center"/>
          </w:tcPr>
          <w:p w14:paraId="679A21B0">
            <w:pPr>
              <w:pStyle w:val="77"/>
              <w:keepNext w:val="0"/>
              <w:keepLines w:val="0"/>
              <w:suppressLineNumbers w:val="0"/>
              <w:spacing w:before="0" w:beforeAutospacing="0" w:after="0" w:afterAutospacing="0"/>
              <w:ind w:left="0" w:right="0"/>
              <w:rPr>
                <w:rFonts w:hint="default"/>
                <w:color w:val="auto"/>
              </w:rPr>
            </w:pPr>
            <w:r>
              <w:rPr>
                <w:rFonts w:hint="default"/>
                <w:color w:val="auto"/>
              </w:rPr>
              <w:t>废防腐材料等</w:t>
            </w:r>
          </w:p>
        </w:tc>
        <w:tc>
          <w:tcPr>
            <w:tcW w:w="0" w:type="auto"/>
            <w:vMerge w:val="continue"/>
            <w:vAlign w:val="center"/>
          </w:tcPr>
          <w:p w14:paraId="1F0B3E0C">
            <w:pPr>
              <w:pStyle w:val="77"/>
              <w:keepNext w:val="0"/>
              <w:keepLines w:val="0"/>
              <w:suppressLineNumbers w:val="0"/>
              <w:spacing w:before="0" w:beforeAutospacing="0" w:after="0" w:afterAutospacing="0"/>
              <w:ind w:left="0" w:right="0"/>
              <w:rPr>
                <w:rFonts w:hint="default"/>
                <w:color w:val="auto"/>
              </w:rPr>
            </w:pPr>
          </w:p>
        </w:tc>
        <w:tc>
          <w:tcPr>
            <w:tcW w:w="0" w:type="auto"/>
            <w:vMerge w:val="continue"/>
            <w:vAlign w:val="center"/>
          </w:tcPr>
          <w:p w14:paraId="0D58156C">
            <w:pPr>
              <w:pStyle w:val="77"/>
              <w:keepNext w:val="0"/>
              <w:keepLines w:val="0"/>
              <w:suppressLineNumbers w:val="0"/>
              <w:spacing w:before="0" w:beforeAutospacing="0" w:after="0" w:afterAutospacing="0"/>
              <w:ind w:left="0" w:right="0"/>
              <w:rPr>
                <w:rFonts w:hint="default"/>
                <w:color w:val="auto"/>
              </w:rPr>
            </w:pPr>
          </w:p>
        </w:tc>
        <w:tc>
          <w:tcPr>
            <w:tcW w:w="584" w:type="pct"/>
            <w:vAlign w:val="center"/>
          </w:tcPr>
          <w:p w14:paraId="073A9985">
            <w:pPr>
              <w:pStyle w:val="77"/>
              <w:keepNext w:val="0"/>
              <w:keepLines w:val="0"/>
              <w:suppressLineNumbers w:val="0"/>
              <w:spacing w:before="0" w:beforeAutospacing="0" w:after="0" w:afterAutospacing="0"/>
              <w:ind w:left="0" w:right="0"/>
              <w:rPr>
                <w:rFonts w:hint="default"/>
                <w:color w:val="auto"/>
              </w:rPr>
            </w:pPr>
            <w:r>
              <w:rPr>
                <w:rFonts w:hint="default"/>
                <w:color w:val="auto"/>
              </w:rPr>
              <w:t>间断性</w:t>
            </w:r>
          </w:p>
        </w:tc>
      </w:tr>
      <w:tr w14:paraId="315C73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90" w:hRule="atLeast"/>
          <w:jc w:val="center"/>
        </w:trPr>
        <w:tc>
          <w:tcPr>
            <w:tcW w:w="217" w:type="pct"/>
            <w:vMerge w:val="restart"/>
            <w:vAlign w:val="center"/>
          </w:tcPr>
          <w:p w14:paraId="62D7B2F4">
            <w:pPr>
              <w:pStyle w:val="77"/>
              <w:keepNext w:val="0"/>
              <w:keepLines w:val="0"/>
              <w:suppressLineNumbers w:val="0"/>
              <w:spacing w:before="0" w:beforeAutospacing="0" w:after="0" w:afterAutospacing="0"/>
              <w:ind w:left="0" w:right="0"/>
              <w:rPr>
                <w:rFonts w:hint="default"/>
                <w:color w:val="auto"/>
              </w:rPr>
            </w:pPr>
            <w:r>
              <w:rPr>
                <w:rFonts w:hint="default"/>
                <w:color w:val="auto"/>
              </w:rPr>
              <w:t>运营期</w:t>
            </w:r>
          </w:p>
        </w:tc>
        <w:tc>
          <w:tcPr>
            <w:tcW w:w="356" w:type="pct"/>
            <w:vMerge w:val="restart"/>
            <w:vAlign w:val="center"/>
          </w:tcPr>
          <w:p w14:paraId="07F9292A">
            <w:pPr>
              <w:pStyle w:val="77"/>
              <w:keepNext w:val="0"/>
              <w:keepLines w:val="0"/>
              <w:suppressLineNumbers w:val="0"/>
              <w:spacing w:before="0" w:beforeAutospacing="0" w:after="0" w:afterAutospacing="0"/>
              <w:ind w:left="0" w:right="0"/>
              <w:rPr>
                <w:rFonts w:hint="default"/>
                <w:color w:val="auto"/>
              </w:rPr>
            </w:pPr>
            <w:r>
              <w:rPr>
                <w:rFonts w:hint="eastAsia"/>
                <w:color w:val="auto"/>
              </w:rPr>
              <w:t>废气</w:t>
            </w:r>
          </w:p>
        </w:tc>
        <w:tc>
          <w:tcPr>
            <w:tcW w:w="1311" w:type="pct"/>
            <w:vAlign w:val="center"/>
          </w:tcPr>
          <w:p w14:paraId="7CACE0A8">
            <w:pPr>
              <w:pStyle w:val="77"/>
              <w:keepNext w:val="0"/>
              <w:keepLines w:val="0"/>
              <w:suppressLineNumbers w:val="0"/>
              <w:spacing w:before="0" w:beforeAutospacing="0" w:after="0" w:afterAutospacing="0"/>
              <w:ind w:left="0" w:right="0"/>
              <w:rPr>
                <w:rFonts w:hint="default"/>
                <w:color w:val="auto"/>
              </w:rPr>
            </w:pPr>
            <w:r>
              <w:rPr>
                <w:rFonts w:hint="eastAsia"/>
                <w:color w:val="auto"/>
              </w:rPr>
              <w:t>卸船</w:t>
            </w:r>
            <w:r>
              <w:rPr>
                <w:rFonts w:hint="default"/>
                <w:color w:val="auto"/>
              </w:rPr>
              <w:t>废气</w:t>
            </w:r>
          </w:p>
        </w:tc>
        <w:tc>
          <w:tcPr>
            <w:tcW w:w="1561" w:type="pct"/>
            <w:vAlign w:val="center"/>
          </w:tcPr>
          <w:p w14:paraId="0F339A46">
            <w:pPr>
              <w:pStyle w:val="77"/>
              <w:keepNext w:val="0"/>
              <w:keepLines w:val="0"/>
              <w:suppressLineNumbers w:val="0"/>
              <w:spacing w:before="0" w:beforeAutospacing="0" w:after="0" w:afterAutospacing="0"/>
              <w:ind w:left="0" w:right="0"/>
              <w:rPr>
                <w:rFonts w:hint="default"/>
                <w:color w:val="auto"/>
              </w:rPr>
            </w:pPr>
            <w:r>
              <w:rPr>
                <w:rFonts w:hint="eastAsia"/>
                <w:color w:val="auto"/>
              </w:rPr>
              <w:t>非甲烷总烃</w:t>
            </w:r>
          </w:p>
        </w:tc>
        <w:tc>
          <w:tcPr>
            <w:tcW w:w="617" w:type="pct"/>
            <w:vMerge w:val="restart"/>
            <w:vAlign w:val="center"/>
          </w:tcPr>
          <w:p w14:paraId="49B2320A">
            <w:pPr>
              <w:pStyle w:val="77"/>
              <w:keepNext w:val="0"/>
              <w:keepLines w:val="0"/>
              <w:suppressLineNumbers w:val="0"/>
              <w:spacing w:before="0" w:beforeAutospacing="0" w:after="0" w:afterAutospacing="0"/>
              <w:ind w:left="0" w:right="0"/>
              <w:rPr>
                <w:rFonts w:hint="default"/>
                <w:color w:val="auto"/>
              </w:rPr>
            </w:pPr>
            <w:r>
              <w:rPr>
                <w:rFonts w:hint="default"/>
                <w:color w:val="auto"/>
              </w:rPr>
              <w:t>码头前沿</w:t>
            </w:r>
          </w:p>
        </w:tc>
        <w:tc>
          <w:tcPr>
            <w:tcW w:w="355" w:type="pct"/>
            <w:vMerge w:val="restart"/>
            <w:vAlign w:val="center"/>
          </w:tcPr>
          <w:p w14:paraId="543695D4">
            <w:pPr>
              <w:pStyle w:val="77"/>
              <w:keepNext w:val="0"/>
              <w:keepLines w:val="0"/>
              <w:suppressLineNumbers w:val="0"/>
              <w:spacing w:before="0" w:beforeAutospacing="0" w:after="0" w:afterAutospacing="0"/>
              <w:ind w:left="0" w:right="0"/>
              <w:rPr>
                <w:rFonts w:hint="default"/>
                <w:color w:val="auto"/>
              </w:rPr>
            </w:pPr>
            <w:r>
              <w:rPr>
                <w:rFonts w:hint="eastAsia"/>
                <w:color w:val="auto"/>
                <w:u w:val="single"/>
                <w:lang w:val="en-US" w:eastAsia="zh-CN"/>
              </w:rPr>
              <w:t>轻</w:t>
            </w:r>
            <w:r>
              <w:rPr>
                <w:rFonts w:hint="default"/>
                <w:color w:val="auto"/>
                <w:u w:val="single"/>
              </w:rPr>
              <w:t>度</w:t>
            </w:r>
          </w:p>
        </w:tc>
        <w:tc>
          <w:tcPr>
            <w:tcW w:w="584" w:type="pct"/>
            <w:vAlign w:val="center"/>
          </w:tcPr>
          <w:p w14:paraId="4D1ECAF2">
            <w:pPr>
              <w:pStyle w:val="77"/>
              <w:keepNext w:val="0"/>
              <w:keepLines w:val="0"/>
              <w:suppressLineNumbers w:val="0"/>
              <w:spacing w:before="0" w:beforeAutospacing="0" w:after="0" w:afterAutospacing="0"/>
              <w:ind w:left="0" w:right="0"/>
              <w:rPr>
                <w:rFonts w:hint="default"/>
                <w:color w:val="auto"/>
              </w:rPr>
            </w:pPr>
            <w:r>
              <w:rPr>
                <w:rFonts w:hint="default"/>
                <w:color w:val="auto"/>
              </w:rPr>
              <w:t>间断性</w:t>
            </w:r>
          </w:p>
        </w:tc>
      </w:tr>
      <w:tr w14:paraId="38C740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45" w:hRule="atLeast"/>
          <w:jc w:val="center"/>
        </w:trPr>
        <w:tc>
          <w:tcPr>
            <w:tcW w:w="0" w:type="auto"/>
            <w:vMerge w:val="continue"/>
            <w:vAlign w:val="center"/>
          </w:tcPr>
          <w:p w14:paraId="42B816A4">
            <w:pPr>
              <w:pStyle w:val="77"/>
              <w:keepNext w:val="0"/>
              <w:keepLines w:val="0"/>
              <w:suppressLineNumbers w:val="0"/>
              <w:spacing w:before="0" w:beforeAutospacing="0" w:after="0" w:afterAutospacing="0"/>
              <w:ind w:left="0" w:right="0"/>
              <w:rPr>
                <w:rFonts w:hint="default"/>
                <w:color w:val="auto"/>
              </w:rPr>
            </w:pPr>
          </w:p>
        </w:tc>
        <w:tc>
          <w:tcPr>
            <w:tcW w:w="0" w:type="auto"/>
            <w:vMerge w:val="continue"/>
            <w:vAlign w:val="center"/>
          </w:tcPr>
          <w:p w14:paraId="2B4970E3">
            <w:pPr>
              <w:pStyle w:val="77"/>
              <w:keepNext w:val="0"/>
              <w:keepLines w:val="0"/>
              <w:suppressLineNumbers w:val="0"/>
              <w:spacing w:before="0" w:beforeAutospacing="0" w:after="0" w:afterAutospacing="0"/>
              <w:ind w:left="0" w:right="0"/>
              <w:rPr>
                <w:rFonts w:hint="default"/>
                <w:color w:val="auto"/>
              </w:rPr>
            </w:pPr>
          </w:p>
        </w:tc>
        <w:tc>
          <w:tcPr>
            <w:tcW w:w="1311" w:type="pct"/>
            <w:vAlign w:val="center"/>
          </w:tcPr>
          <w:p w14:paraId="3B7C901A">
            <w:pPr>
              <w:pStyle w:val="77"/>
              <w:keepNext w:val="0"/>
              <w:keepLines w:val="0"/>
              <w:suppressLineNumbers w:val="0"/>
              <w:spacing w:before="0" w:beforeAutospacing="0" w:after="0" w:afterAutospacing="0"/>
              <w:ind w:left="0" w:right="0"/>
              <w:rPr>
                <w:rFonts w:hint="default"/>
                <w:color w:val="auto"/>
              </w:rPr>
            </w:pPr>
            <w:r>
              <w:rPr>
                <w:rFonts w:hint="eastAsia"/>
                <w:color w:val="auto"/>
              </w:rPr>
              <w:t>装船废气</w:t>
            </w:r>
          </w:p>
        </w:tc>
        <w:tc>
          <w:tcPr>
            <w:tcW w:w="1561" w:type="pct"/>
            <w:vAlign w:val="center"/>
          </w:tcPr>
          <w:p w14:paraId="34B114E8">
            <w:pPr>
              <w:pStyle w:val="77"/>
              <w:keepNext w:val="0"/>
              <w:keepLines w:val="0"/>
              <w:suppressLineNumbers w:val="0"/>
              <w:spacing w:before="0" w:beforeAutospacing="0" w:after="0" w:afterAutospacing="0"/>
              <w:ind w:left="0" w:right="0"/>
              <w:rPr>
                <w:rFonts w:hint="default"/>
                <w:color w:val="auto"/>
              </w:rPr>
            </w:pPr>
            <w:r>
              <w:rPr>
                <w:rFonts w:hint="eastAsia"/>
                <w:color w:val="auto"/>
              </w:rPr>
              <w:t>非甲烷总烃</w:t>
            </w:r>
          </w:p>
        </w:tc>
        <w:tc>
          <w:tcPr>
            <w:tcW w:w="0" w:type="auto"/>
            <w:vMerge w:val="continue"/>
            <w:vAlign w:val="center"/>
          </w:tcPr>
          <w:p w14:paraId="087BCB7F">
            <w:pPr>
              <w:pStyle w:val="77"/>
              <w:keepNext w:val="0"/>
              <w:keepLines w:val="0"/>
              <w:suppressLineNumbers w:val="0"/>
              <w:spacing w:before="0" w:beforeAutospacing="0" w:after="0" w:afterAutospacing="0"/>
              <w:ind w:left="0" w:right="0"/>
              <w:rPr>
                <w:rFonts w:hint="default"/>
                <w:color w:val="auto"/>
              </w:rPr>
            </w:pPr>
          </w:p>
        </w:tc>
        <w:tc>
          <w:tcPr>
            <w:tcW w:w="0" w:type="auto"/>
            <w:vMerge w:val="continue"/>
            <w:vAlign w:val="center"/>
          </w:tcPr>
          <w:p w14:paraId="103A77FE">
            <w:pPr>
              <w:pStyle w:val="77"/>
              <w:keepNext w:val="0"/>
              <w:keepLines w:val="0"/>
              <w:suppressLineNumbers w:val="0"/>
              <w:spacing w:before="0" w:beforeAutospacing="0" w:after="0" w:afterAutospacing="0"/>
              <w:ind w:left="0" w:right="0"/>
              <w:rPr>
                <w:rFonts w:hint="default"/>
                <w:color w:val="auto"/>
              </w:rPr>
            </w:pPr>
          </w:p>
        </w:tc>
        <w:tc>
          <w:tcPr>
            <w:tcW w:w="584" w:type="pct"/>
            <w:vAlign w:val="center"/>
          </w:tcPr>
          <w:p w14:paraId="2E1A0F3C">
            <w:pPr>
              <w:pStyle w:val="77"/>
              <w:keepNext w:val="0"/>
              <w:keepLines w:val="0"/>
              <w:suppressLineNumbers w:val="0"/>
              <w:spacing w:before="0" w:beforeAutospacing="0" w:after="0" w:afterAutospacing="0"/>
              <w:ind w:left="0" w:right="0"/>
              <w:rPr>
                <w:rFonts w:hint="default"/>
                <w:color w:val="auto"/>
              </w:rPr>
            </w:pPr>
            <w:r>
              <w:rPr>
                <w:rFonts w:hint="default"/>
                <w:color w:val="auto"/>
              </w:rPr>
              <w:t>间断性</w:t>
            </w:r>
          </w:p>
        </w:tc>
      </w:tr>
      <w:tr w14:paraId="333571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10" w:hRule="atLeast"/>
          <w:jc w:val="center"/>
        </w:trPr>
        <w:tc>
          <w:tcPr>
            <w:tcW w:w="0" w:type="auto"/>
            <w:vMerge w:val="continue"/>
            <w:vAlign w:val="center"/>
          </w:tcPr>
          <w:p w14:paraId="4F145192">
            <w:pPr>
              <w:pStyle w:val="77"/>
              <w:keepNext w:val="0"/>
              <w:keepLines w:val="0"/>
              <w:suppressLineNumbers w:val="0"/>
              <w:spacing w:before="0" w:beforeAutospacing="0" w:after="0" w:afterAutospacing="0"/>
              <w:ind w:left="0" w:right="0"/>
              <w:rPr>
                <w:rFonts w:hint="default"/>
                <w:color w:val="auto"/>
              </w:rPr>
            </w:pPr>
          </w:p>
        </w:tc>
        <w:tc>
          <w:tcPr>
            <w:tcW w:w="0" w:type="auto"/>
            <w:vMerge w:val="continue"/>
            <w:vAlign w:val="center"/>
          </w:tcPr>
          <w:p w14:paraId="598A21F5">
            <w:pPr>
              <w:pStyle w:val="77"/>
              <w:keepNext w:val="0"/>
              <w:keepLines w:val="0"/>
              <w:suppressLineNumbers w:val="0"/>
              <w:spacing w:before="0" w:beforeAutospacing="0" w:after="0" w:afterAutospacing="0"/>
              <w:ind w:left="0" w:right="0"/>
              <w:rPr>
                <w:rFonts w:hint="default"/>
                <w:color w:val="auto"/>
              </w:rPr>
            </w:pPr>
          </w:p>
        </w:tc>
        <w:tc>
          <w:tcPr>
            <w:tcW w:w="1311" w:type="pct"/>
            <w:vAlign w:val="center"/>
          </w:tcPr>
          <w:p w14:paraId="23459EA1">
            <w:pPr>
              <w:pStyle w:val="77"/>
              <w:keepNext w:val="0"/>
              <w:keepLines w:val="0"/>
              <w:suppressLineNumbers w:val="0"/>
              <w:spacing w:before="0" w:beforeAutospacing="0" w:after="0" w:afterAutospacing="0"/>
              <w:ind w:left="0" w:right="0"/>
              <w:rPr>
                <w:rFonts w:hint="default"/>
                <w:color w:val="auto"/>
              </w:rPr>
            </w:pPr>
            <w:r>
              <w:rPr>
                <w:rFonts w:hint="default"/>
                <w:color w:val="auto"/>
              </w:rPr>
              <w:t>扫线废气</w:t>
            </w:r>
          </w:p>
        </w:tc>
        <w:tc>
          <w:tcPr>
            <w:tcW w:w="1561" w:type="pct"/>
            <w:vAlign w:val="center"/>
          </w:tcPr>
          <w:p w14:paraId="40E34C2C">
            <w:pPr>
              <w:pStyle w:val="77"/>
              <w:keepNext w:val="0"/>
              <w:keepLines w:val="0"/>
              <w:suppressLineNumbers w:val="0"/>
              <w:spacing w:before="0" w:beforeAutospacing="0" w:after="0" w:afterAutospacing="0"/>
              <w:ind w:left="0" w:right="0"/>
              <w:rPr>
                <w:rFonts w:hint="default"/>
                <w:color w:val="auto"/>
              </w:rPr>
            </w:pPr>
            <w:r>
              <w:rPr>
                <w:rFonts w:hint="eastAsia"/>
                <w:color w:val="auto"/>
              </w:rPr>
              <w:t>非甲烷总烃</w:t>
            </w:r>
          </w:p>
        </w:tc>
        <w:tc>
          <w:tcPr>
            <w:tcW w:w="0" w:type="auto"/>
            <w:vMerge w:val="continue"/>
            <w:vAlign w:val="center"/>
          </w:tcPr>
          <w:p w14:paraId="6AEE0AF9">
            <w:pPr>
              <w:pStyle w:val="77"/>
              <w:keepNext w:val="0"/>
              <w:keepLines w:val="0"/>
              <w:suppressLineNumbers w:val="0"/>
              <w:spacing w:before="0" w:beforeAutospacing="0" w:after="0" w:afterAutospacing="0"/>
              <w:ind w:left="0" w:right="0"/>
              <w:rPr>
                <w:rFonts w:hint="default"/>
                <w:color w:val="auto"/>
              </w:rPr>
            </w:pPr>
          </w:p>
        </w:tc>
        <w:tc>
          <w:tcPr>
            <w:tcW w:w="0" w:type="auto"/>
            <w:vMerge w:val="continue"/>
            <w:vAlign w:val="center"/>
          </w:tcPr>
          <w:p w14:paraId="4927EE3D">
            <w:pPr>
              <w:pStyle w:val="77"/>
              <w:keepNext w:val="0"/>
              <w:keepLines w:val="0"/>
              <w:suppressLineNumbers w:val="0"/>
              <w:spacing w:before="0" w:beforeAutospacing="0" w:after="0" w:afterAutospacing="0"/>
              <w:ind w:left="0" w:right="0"/>
              <w:rPr>
                <w:rFonts w:hint="default"/>
                <w:color w:val="auto"/>
              </w:rPr>
            </w:pPr>
          </w:p>
        </w:tc>
        <w:tc>
          <w:tcPr>
            <w:tcW w:w="584" w:type="pct"/>
            <w:vAlign w:val="center"/>
          </w:tcPr>
          <w:p w14:paraId="1BEB76B3">
            <w:pPr>
              <w:pStyle w:val="77"/>
              <w:keepNext w:val="0"/>
              <w:keepLines w:val="0"/>
              <w:suppressLineNumbers w:val="0"/>
              <w:spacing w:before="0" w:beforeAutospacing="0" w:after="0" w:afterAutospacing="0"/>
              <w:ind w:left="0" w:right="0"/>
              <w:rPr>
                <w:rFonts w:hint="default"/>
                <w:color w:val="auto"/>
              </w:rPr>
            </w:pPr>
            <w:r>
              <w:rPr>
                <w:rFonts w:hint="default"/>
                <w:color w:val="auto"/>
              </w:rPr>
              <w:t>间断性</w:t>
            </w:r>
          </w:p>
        </w:tc>
      </w:tr>
      <w:tr w14:paraId="23DEB9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243D84F1">
            <w:pPr>
              <w:pStyle w:val="77"/>
              <w:keepNext w:val="0"/>
              <w:keepLines w:val="0"/>
              <w:suppressLineNumbers w:val="0"/>
              <w:spacing w:before="0" w:beforeAutospacing="0" w:after="0" w:afterAutospacing="0"/>
              <w:ind w:left="0" w:right="0"/>
              <w:rPr>
                <w:rFonts w:hint="default"/>
                <w:color w:val="auto"/>
              </w:rPr>
            </w:pPr>
          </w:p>
        </w:tc>
        <w:tc>
          <w:tcPr>
            <w:tcW w:w="0" w:type="auto"/>
            <w:vMerge w:val="continue"/>
            <w:vAlign w:val="center"/>
          </w:tcPr>
          <w:p w14:paraId="6721C6E6">
            <w:pPr>
              <w:pStyle w:val="77"/>
              <w:keepNext w:val="0"/>
              <w:keepLines w:val="0"/>
              <w:suppressLineNumbers w:val="0"/>
              <w:spacing w:before="0" w:beforeAutospacing="0" w:after="0" w:afterAutospacing="0"/>
              <w:ind w:left="0" w:right="0"/>
              <w:rPr>
                <w:rFonts w:hint="default"/>
                <w:color w:val="auto"/>
              </w:rPr>
            </w:pPr>
          </w:p>
        </w:tc>
        <w:tc>
          <w:tcPr>
            <w:tcW w:w="1311" w:type="pct"/>
            <w:vAlign w:val="center"/>
          </w:tcPr>
          <w:p w14:paraId="15D84BFC">
            <w:pPr>
              <w:pStyle w:val="77"/>
              <w:keepNext w:val="0"/>
              <w:keepLines w:val="0"/>
              <w:suppressLineNumbers w:val="0"/>
              <w:spacing w:before="0" w:beforeAutospacing="0" w:after="0" w:afterAutospacing="0"/>
              <w:ind w:left="0" w:right="0"/>
              <w:rPr>
                <w:rFonts w:hint="default"/>
                <w:color w:val="auto"/>
              </w:rPr>
            </w:pPr>
            <w:r>
              <w:rPr>
                <w:rFonts w:hint="default"/>
                <w:color w:val="auto"/>
              </w:rPr>
              <w:t>船舶废气</w:t>
            </w:r>
          </w:p>
        </w:tc>
        <w:tc>
          <w:tcPr>
            <w:tcW w:w="1561" w:type="pct"/>
            <w:vAlign w:val="center"/>
          </w:tcPr>
          <w:p w14:paraId="25E7C1A3">
            <w:pPr>
              <w:pStyle w:val="77"/>
              <w:keepNext w:val="0"/>
              <w:keepLines w:val="0"/>
              <w:suppressLineNumbers w:val="0"/>
              <w:spacing w:before="0" w:beforeAutospacing="0" w:after="0" w:afterAutospacing="0"/>
              <w:ind w:left="0" w:right="0"/>
              <w:rPr>
                <w:rFonts w:hint="default"/>
                <w:color w:val="auto"/>
              </w:rPr>
            </w:pPr>
            <w:r>
              <w:rPr>
                <w:rFonts w:hint="default"/>
                <w:color w:val="auto"/>
              </w:rPr>
              <w:t>SO</w:t>
            </w:r>
            <w:r>
              <w:rPr>
                <w:rFonts w:hint="default"/>
                <w:color w:val="auto"/>
                <w:vertAlign w:val="subscript"/>
              </w:rPr>
              <w:t>2</w:t>
            </w:r>
            <w:r>
              <w:rPr>
                <w:rFonts w:hint="default"/>
                <w:color w:val="auto"/>
              </w:rPr>
              <w:t>、NO</w:t>
            </w:r>
            <w:r>
              <w:rPr>
                <w:rFonts w:hint="default"/>
                <w:color w:val="auto"/>
                <w:vertAlign w:val="subscript"/>
              </w:rPr>
              <w:t>X</w:t>
            </w:r>
          </w:p>
        </w:tc>
        <w:tc>
          <w:tcPr>
            <w:tcW w:w="0" w:type="auto"/>
            <w:vMerge w:val="continue"/>
            <w:vAlign w:val="center"/>
          </w:tcPr>
          <w:p w14:paraId="46FC61CE">
            <w:pPr>
              <w:pStyle w:val="77"/>
              <w:keepNext w:val="0"/>
              <w:keepLines w:val="0"/>
              <w:suppressLineNumbers w:val="0"/>
              <w:spacing w:before="0" w:beforeAutospacing="0" w:after="0" w:afterAutospacing="0"/>
              <w:ind w:left="0" w:right="0"/>
              <w:rPr>
                <w:rFonts w:hint="default"/>
                <w:color w:val="auto"/>
              </w:rPr>
            </w:pPr>
          </w:p>
        </w:tc>
        <w:tc>
          <w:tcPr>
            <w:tcW w:w="355" w:type="pct"/>
            <w:vMerge w:val="restart"/>
            <w:vAlign w:val="center"/>
          </w:tcPr>
          <w:p w14:paraId="5B4102A3">
            <w:pPr>
              <w:pStyle w:val="77"/>
              <w:keepNext w:val="0"/>
              <w:keepLines w:val="0"/>
              <w:suppressLineNumbers w:val="0"/>
              <w:spacing w:before="0" w:beforeAutospacing="0" w:after="0" w:afterAutospacing="0"/>
              <w:ind w:left="0" w:right="0"/>
              <w:rPr>
                <w:rFonts w:hint="default"/>
                <w:color w:val="auto"/>
              </w:rPr>
            </w:pPr>
            <w:r>
              <w:rPr>
                <w:rFonts w:hint="default"/>
                <w:color w:val="auto"/>
              </w:rPr>
              <w:t>轻度</w:t>
            </w:r>
          </w:p>
        </w:tc>
        <w:tc>
          <w:tcPr>
            <w:tcW w:w="584" w:type="pct"/>
            <w:vMerge w:val="restart"/>
            <w:vAlign w:val="center"/>
          </w:tcPr>
          <w:p w14:paraId="680F0925">
            <w:pPr>
              <w:pStyle w:val="77"/>
              <w:keepNext w:val="0"/>
              <w:keepLines w:val="0"/>
              <w:suppressLineNumbers w:val="0"/>
              <w:spacing w:before="0" w:beforeAutospacing="0" w:after="0" w:afterAutospacing="0"/>
              <w:ind w:left="0" w:right="0"/>
              <w:rPr>
                <w:rFonts w:hint="default"/>
                <w:color w:val="auto"/>
              </w:rPr>
            </w:pPr>
            <w:r>
              <w:rPr>
                <w:rFonts w:hint="default"/>
                <w:color w:val="auto"/>
              </w:rPr>
              <w:t>间断性</w:t>
            </w:r>
          </w:p>
        </w:tc>
      </w:tr>
      <w:tr w14:paraId="6F6A9A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328A630F">
            <w:pPr>
              <w:pStyle w:val="77"/>
              <w:keepNext w:val="0"/>
              <w:keepLines w:val="0"/>
              <w:suppressLineNumbers w:val="0"/>
              <w:spacing w:before="0" w:beforeAutospacing="0" w:after="0" w:afterAutospacing="0"/>
              <w:ind w:left="0" w:right="0"/>
              <w:rPr>
                <w:rFonts w:hint="default"/>
                <w:color w:val="auto"/>
              </w:rPr>
            </w:pPr>
          </w:p>
        </w:tc>
        <w:tc>
          <w:tcPr>
            <w:tcW w:w="0" w:type="auto"/>
            <w:vMerge w:val="continue"/>
            <w:vAlign w:val="center"/>
          </w:tcPr>
          <w:p w14:paraId="020706C7">
            <w:pPr>
              <w:pStyle w:val="77"/>
              <w:keepNext w:val="0"/>
              <w:keepLines w:val="0"/>
              <w:suppressLineNumbers w:val="0"/>
              <w:spacing w:before="0" w:beforeAutospacing="0" w:after="0" w:afterAutospacing="0"/>
              <w:ind w:left="0" w:right="0"/>
              <w:rPr>
                <w:rFonts w:hint="default"/>
                <w:color w:val="auto"/>
              </w:rPr>
            </w:pPr>
          </w:p>
        </w:tc>
        <w:tc>
          <w:tcPr>
            <w:tcW w:w="1311" w:type="pct"/>
            <w:vAlign w:val="center"/>
          </w:tcPr>
          <w:p w14:paraId="629BA8FA">
            <w:pPr>
              <w:pStyle w:val="77"/>
              <w:keepNext w:val="0"/>
              <w:keepLines w:val="0"/>
              <w:suppressLineNumbers w:val="0"/>
              <w:spacing w:before="0" w:beforeAutospacing="0" w:after="0" w:afterAutospacing="0"/>
              <w:ind w:left="0" w:right="0"/>
              <w:rPr>
                <w:rFonts w:hint="default"/>
                <w:color w:val="auto"/>
              </w:rPr>
            </w:pPr>
            <w:r>
              <w:rPr>
                <w:rFonts w:hint="eastAsia"/>
                <w:color w:val="auto"/>
              </w:rPr>
              <w:t>储罐</w:t>
            </w:r>
            <w:r>
              <w:rPr>
                <w:rFonts w:hint="default"/>
                <w:color w:val="auto"/>
              </w:rPr>
              <w:t>呼吸废气</w:t>
            </w:r>
          </w:p>
        </w:tc>
        <w:tc>
          <w:tcPr>
            <w:tcW w:w="1561" w:type="pct"/>
            <w:vAlign w:val="center"/>
          </w:tcPr>
          <w:p w14:paraId="08AE70DE">
            <w:pPr>
              <w:pStyle w:val="77"/>
              <w:keepNext w:val="0"/>
              <w:keepLines w:val="0"/>
              <w:suppressLineNumbers w:val="0"/>
              <w:spacing w:before="0" w:beforeAutospacing="0" w:after="0" w:afterAutospacing="0"/>
              <w:ind w:left="0" w:right="0"/>
              <w:rPr>
                <w:rFonts w:hint="default"/>
                <w:color w:val="auto"/>
              </w:rPr>
            </w:pPr>
            <w:r>
              <w:rPr>
                <w:rFonts w:hint="eastAsia"/>
                <w:color w:val="auto"/>
              </w:rPr>
              <w:t>非甲烷总烃</w:t>
            </w:r>
          </w:p>
        </w:tc>
        <w:tc>
          <w:tcPr>
            <w:tcW w:w="0" w:type="auto"/>
            <w:vMerge w:val="restart"/>
            <w:vAlign w:val="center"/>
          </w:tcPr>
          <w:p w14:paraId="272CAA4D">
            <w:pPr>
              <w:pStyle w:val="77"/>
              <w:keepNext w:val="0"/>
              <w:keepLines w:val="0"/>
              <w:suppressLineNumbers w:val="0"/>
              <w:spacing w:before="0" w:beforeAutospacing="0" w:after="0" w:afterAutospacing="0"/>
              <w:ind w:left="0" w:right="0"/>
              <w:rPr>
                <w:rFonts w:hint="default"/>
                <w:color w:val="auto"/>
              </w:rPr>
            </w:pPr>
            <w:r>
              <w:rPr>
                <w:rFonts w:hint="eastAsia"/>
                <w:color w:val="auto"/>
              </w:rPr>
              <w:t>库区</w:t>
            </w:r>
          </w:p>
        </w:tc>
        <w:tc>
          <w:tcPr>
            <w:tcW w:w="355" w:type="pct"/>
            <w:vMerge w:val="continue"/>
            <w:vAlign w:val="center"/>
          </w:tcPr>
          <w:p w14:paraId="778E018B">
            <w:pPr>
              <w:pStyle w:val="77"/>
              <w:keepNext w:val="0"/>
              <w:keepLines w:val="0"/>
              <w:suppressLineNumbers w:val="0"/>
              <w:spacing w:before="0" w:beforeAutospacing="0" w:after="0" w:afterAutospacing="0"/>
              <w:ind w:left="0" w:right="0"/>
              <w:rPr>
                <w:rFonts w:hint="default"/>
                <w:color w:val="auto"/>
              </w:rPr>
            </w:pPr>
          </w:p>
        </w:tc>
        <w:tc>
          <w:tcPr>
            <w:tcW w:w="584" w:type="pct"/>
            <w:vMerge w:val="continue"/>
            <w:vAlign w:val="center"/>
          </w:tcPr>
          <w:p w14:paraId="1DDE2CD5">
            <w:pPr>
              <w:pStyle w:val="77"/>
              <w:keepNext w:val="0"/>
              <w:keepLines w:val="0"/>
              <w:suppressLineNumbers w:val="0"/>
              <w:spacing w:before="0" w:beforeAutospacing="0" w:after="0" w:afterAutospacing="0"/>
              <w:ind w:left="0" w:right="0"/>
              <w:rPr>
                <w:rFonts w:hint="default"/>
                <w:color w:val="auto"/>
              </w:rPr>
            </w:pPr>
          </w:p>
        </w:tc>
      </w:tr>
      <w:tr w14:paraId="012721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67AC9643">
            <w:pPr>
              <w:pStyle w:val="77"/>
              <w:keepNext w:val="0"/>
              <w:keepLines w:val="0"/>
              <w:suppressLineNumbers w:val="0"/>
              <w:spacing w:before="0" w:beforeAutospacing="0" w:after="0" w:afterAutospacing="0"/>
              <w:ind w:left="0" w:right="0"/>
              <w:rPr>
                <w:rFonts w:hint="default"/>
                <w:color w:val="auto"/>
              </w:rPr>
            </w:pPr>
          </w:p>
        </w:tc>
        <w:tc>
          <w:tcPr>
            <w:tcW w:w="0" w:type="auto"/>
            <w:vMerge w:val="continue"/>
            <w:vAlign w:val="center"/>
          </w:tcPr>
          <w:p w14:paraId="630D82D9">
            <w:pPr>
              <w:pStyle w:val="77"/>
              <w:keepNext w:val="0"/>
              <w:keepLines w:val="0"/>
              <w:suppressLineNumbers w:val="0"/>
              <w:spacing w:before="0" w:beforeAutospacing="0" w:after="0" w:afterAutospacing="0"/>
              <w:ind w:left="0" w:right="0"/>
              <w:rPr>
                <w:rFonts w:hint="default"/>
                <w:color w:val="auto"/>
              </w:rPr>
            </w:pPr>
          </w:p>
        </w:tc>
        <w:tc>
          <w:tcPr>
            <w:tcW w:w="1311" w:type="pct"/>
            <w:vAlign w:val="center"/>
          </w:tcPr>
          <w:p w14:paraId="18619800">
            <w:pPr>
              <w:pStyle w:val="77"/>
              <w:keepNext w:val="0"/>
              <w:keepLines w:val="0"/>
              <w:suppressLineNumbers w:val="0"/>
              <w:spacing w:before="0" w:beforeAutospacing="0" w:after="0" w:afterAutospacing="0"/>
              <w:ind w:left="0" w:right="0"/>
              <w:rPr>
                <w:rFonts w:hint="default"/>
                <w:color w:val="auto"/>
              </w:rPr>
            </w:pPr>
            <w:r>
              <w:rPr>
                <w:rFonts w:hint="default"/>
                <w:color w:val="auto"/>
              </w:rPr>
              <w:t>扫线废气</w:t>
            </w:r>
          </w:p>
        </w:tc>
        <w:tc>
          <w:tcPr>
            <w:tcW w:w="1561" w:type="pct"/>
            <w:vAlign w:val="center"/>
          </w:tcPr>
          <w:p w14:paraId="7310F151">
            <w:pPr>
              <w:pStyle w:val="77"/>
              <w:keepNext w:val="0"/>
              <w:keepLines w:val="0"/>
              <w:suppressLineNumbers w:val="0"/>
              <w:spacing w:before="0" w:beforeAutospacing="0" w:after="0" w:afterAutospacing="0"/>
              <w:ind w:left="0" w:right="0"/>
              <w:rPr>
                <w:rFonts w:hint="default"/>
                <w:color w:val="auto"/>
              </w:rPr>
            </w:pPr>
            <w:r>
              <w:rPr>
                <w:rFonts w:hint="eastAsia"/>
                <w:color w:val="auto"/>
              </w:rPr>
              <w:t>非甲烷总烃</w:t>
            </w:r>
          </w:p>
        </w:tc>
        <w:tc>
          <w:tcPr>
            <w:tcW w:w="0" w:type="auto"/>
            <w:vMerge w:val="continue"/>
            <w:vAlign w:val="center"/>
          </w:tcPr>
          <w:p w14:paraId="6C06AEE7">
            <w:pPr>
              <w:pStyle w:val="77"/>
              <w:keepNext w:val="0"/>
              <w:keepLines w:val="0"/>
              <w:suppressLineNumbers w:val="0"/>
              <w:spacing w:before="0" w:beforeAutospacing="0" w:after="0" w:afterAutospacing="0"/>
              <w:ind w:left="0" w:right="0"/>
              <w:rPr>
                <w:rFonts w:hint="default"/>
                <w:color w:val="auto"/>
              </w:rPr>
            </w:pPr>
          </w:p>
        </w:tc>
        <w:tc>
          <w:tcPr>
            <w:tcW w:w="355" w:type="pct"/>
            <w:vMerge w:val="continue"/>
            <w:vAlign w:val="center"/>
          </w:tcPr>
          <w:p w14:paraId="5770C522">
            <w:pPr>
              <w:pStyle w:val="77"/>
              <w:keepNext w:val="0"/>
              <w:keepLines w:val="0"/>
              <w:suppressLineNumbers w:val="0"/>
              <w:spacing w:before="0" w:beforeAutospacing="0" w:after="0" w:afterAutospacing="0"/>
              <w:ind w:left="0" w:right="0"/>
              <w:rPr>
                <w:rFonts w:hint="default"/>
                <w:color w:val="auto"/>
              </w:rPr>
            </w:pPr>
          </w:p>
        </w:tc>
        <w:tc>
          <w:tcPr>
            <w:tcW w:w="584" w:type="pct"/>
            <w:vMerge w:val="continue"/>
            <w:vAlign w:val="center"/>
          </w:tcPr>
          <w:p w14:paraId="1C4794E0">
            <w:pPr>
              <w:pStyle w:val="77"/>
              <w:keepNext w:val="0"/>
              <w:keepLines w:val="0"/>
              <w:suppressLineNumbers w:val="0"/>
              <w:spacing w:before="0" w:beforeAutospacing="0" w:after="0" w:afterAutospacing="0"/>
              <w:ind w:left="0" w:right="0"/>
              <w:rPr>
                <w:rFonts w:hint="default"/>
                <w:color w:val="auto"/>
              </w:rPr>
            </w:pPr>
          </w:p>
        </w:tc>
      </w:tr>
      <w:tr w14:paraId="1414CC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11" w:hRule="atLeast"/>
          <w:jc w:val="center"/>
        </w:trPr>
        <w:tc>
          <w:tcPr>
            <w:tcW w:w="0" w:type="auto"/>
            <w:vMerge w:val="continue"/>
            <w:vAlign w:val="center"/>
          </w:tcPr>
          <w:p w14:paraId="554E598B">
            <w:pPr>
              <w:pStyle w:val="77"/>
              <w:keepNext w:val="0"/>
              <w:keepLines w:val="0"/>
              <w:suppressLineNumbers w:val="0"/>
              <w:spacing w:before="0" w:beforeAutospacing="0" w:after="0" w:afterAutospacing="0"/>
              <w:ind w:left="0" w:right="0"/>
              <w:rPr>
                <w:rFonts w:hint="default"/>
                <w:color w:val="auto"/>
              </w:rPr>
            </w:pPr>
          </w:p>
        </w:tc>
        <w:tc>
          <w:tcPr>
            <w:tcW w:w="356" w:type="pct"/>
            <w:vAlign w:val="center"/>
          </w:tcPr>
          <w:p w14:paraId="39CE0369">
            <w:pPr>
              <w:pStyle w:val="77"/>
              <w:keepNext w:val="0"/>
              <w:keepLines w:val="0"/>
              <w:suppressLineNumbers w:val="0"/>
              <w:spacing w:before="0" w:beforeAutospacing="0" w:after="0" w:afterAutospacing="0"/>
              <w:ind w:left="0" w:right="0"/>
              <w:rPr>
                <w:rFonts w:hint="default"/>
                <w:color w:val="auto"/>
              </w:rPr>
            </w:pPr>
            <w:r>
              <w:rPr>
                <w:rFonts w:hint="default"/>
                <w:color w:val="auto"/>
              </w:rPr>
              <w:t>废水</w:t>
            </w:r>
          </w:p>
        </w:tc>
        <w:tc>
          <w:tcPr>
            <w:tcW w:w="1311" w:type="pct"/>
            <w:vAlign w:val="center"/>
          </w:tcPr>
          <w:p w14:paraId="2F65B740">
            <w:pPr>
              <w:pStyle w:val="77"/>
              <w:keepNext w:val="0"/>
              <w:keepLines w:val="0"/>
              <w:suppressLineNumbers w:val="0"/>
              <w:spacing w:before="0" w:beforeAutospacing="0" w:after="0" w:afterAutospacing="0"/>
              <w:ind w:left="0" w:right="0"/>
              <w:rPr>
                <w:rFonts w:hint="default"/>
                <w:color w:val="auto"/>
              </w:rPr>
            </w:pPr>
            <w:r>
              <w:rPr>
                <w:rFonts w:hint="default"/>
                <w:color w:val="auto"/>
              </w:rPr>
              <w:t>船舶废水</w:t>
            </w:r>
          </w:p>
        </w:tc>
        <w:tc>
          <w:tcPr>
            <w:tcW w:w="1561" w:type="pct"/>
            <w:vAlign w:val="center"/>
          </w:tcPr>
          <w:p w14:paraId="6C33DF80">
            <w:pPr>
              <w:pStyle w:val="77"/>
              <w:keepNext w:val="0"/>
              <w:keepLines w:val="0"/>
              <w:suppressLineNumbers w:val="0"/>
              <w:spacing w:before="0" w:beforeAutospacing="0" w:after="0" w:afterAutospacing="0"/>
              <w:ind w:left="0" w:right="0"/>
              <w:rPr>
                <w:rFonts w:hint="default"/>
                <w:color w:val="auto"/>
              </w:rPr>
            </w:pPr>
            <w:r>
              <w:rPr>
                <w:rFonts w:hint="default"/>
                <w:color w:val="auto"/>
              </w:rPr>
              <w:t>石油类、SS、COD、BOD</w:t>
            </w:r>
            <w:r>
              <w:rPr>
                <w:rFonts w:hint="default"/>
                <w:color w:val="auto"/>
                <w:vertAlign w:val="subscript"/>
              </w:rPr>
              <w:t>5</w:t>
            </w:r>
            <w:r>
              <w:rPr>
                <w:rFonts w:hint="default"/>
                <w:color w:val="auto"/>
              </w:rPr>
              <w:t>和氨氮</w:t>
            </w:r>
          </w:p>
        </w:tc>
        <w:tc>
          <w:tcPr>
            <w:tcW w:w="617" w:type="pct"/>
            <w:vAlign w:val="center"/>
          </w:tcPr>
          <w:p w14:paraId="1D1215C2">
            <w:pPr>
              <w:pStyle w:val="77"/>
              <w:keepNext w:val="0"/>
              <w:keepLines w:val="0"/>
              <w:suppressLineNumbers w:val="0"/>
              <w:spacing w:before="0" w:beforeAutospacing="0" w:after="0" w:afterAutospacing="0"/>
              <w:ind w:left="0" w:right="0"/>
              <w:rPr>
                <w:rFonts w:hint="default"/>
                <w:color w:val="auto"/>
              </w:rPr>
            </w:pPr>
            <w:r>
              <w:rPr>
                <w:rFonts w:hint="default"/>
                <w:color w:val="auto"/>
              </w:rPr>
              <w:t>码头前沿</w:t>
            </w:r>
          </w:p>
        </w:tc>
        <w:tc>
          <w:tcPr>
            <w:tcW w:w="355" w:type="pct"/>
            <w:vAlign w:val="center"/>
          </w:tcPr>
          <w:p w14:paraId="59D96873">
            <w:pPr>
              <w:pStyle w:val="77"/>
              <w:keepNext w:val="0"/>
              <w:keepLines w:val="0"/>
              <w:suppressLineNumbers w:val="0"/>
              <w:spacing w:before="0" w:beforeAutospacing="0" w:after="0" w:afterAutospacing="0"/>
              <w:ind w:left="0" w:right="0"/>
              <w:rPr>
                <w:rFonts w:hint="default"/>
                <w:color w:val="auto"/>
              </w:rPr>
            </w:pPr>
            <w:r>
              <w:rPr>
                <w:rFonts w:hint="default"/>
                <w:color w:val="auto"/>
              </w:rPr>
              <w:t>轻度</w:t>
            </w:r>
          </w:p>
        </w:tc>
        <w:tc>
          <w:tcPr>
            <w:tcW w:w="584" w:type="pct"/>
            <w:vAlign w:val="center"/>
          </w:tcPr>
          <w:p w14:paraId="0488EDBB">
            <w:pPr>
              <w:pStyle w:val="77"/>
              <w:keepNext w:val="0"/>
              <w:keepLines w:val="0"/>
              <w:suppressLineNumbers w:val="0"/>
              <w:spacing w:before="0" w:beforeAutospacing="0" w:after="0" w:afterAutospacing="0"/>
              <w:ind w:left="0" w:right="0"/>
              <w:rPr>
                <w:rFonts w:hint="default"/>
                <w:color w:val="auto"/>
              </w:rPr>
            </w:pPr>
            <w:r>
              <w:rPr>
                <w:rFonts w:hint="default"/>
                <w:color w:val="auto"/>
              </w:rPr>
              <w:t>间断性</w:t>
            </w:r>
          </w:p>
        </w:tc>
      </w:tr>
      <w:tr w14:paraId="78D157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7CED226B">
            <w:pPr>
              <w:pStyle w:val="77"/>
              <w:keepNext w:val="0"/>
              <w:keepLines w:val="0"/>
              <w:suppressLineNumbers w:val="0"/>
              <w:spacing w:before="0" w:beforeAutospacing="0" w:after="0" w:afterAutospacing="0"/>
              <w:ind w:left="0" w:right="0"/>
              <w:rPr>
                <w:rFonts w:hint="default"/>
                <w:color w:val="auto"/>
              </w:rPr>
            </w:pPr>
          </w:p>
        </w:tc>
        <w:tc>
          <w:tcPr>
            <w:tcW w:w="356" w:type="pct"/>
            <w:vAlign w:val="center"/>
          </w:tcPr>
          <w:p w14:paraId="304E5B48">
            <w:pPr>
              <w:pStyle w:val="77"/>
              <w:keepNext w:val="0"/>
              <w:keepLines w:val="0"/>
              <w:suppressLineNumbers w:val="0"/>
              <w:spacing w:before="0" w:beforeAutospacing="0" w:after="0" w:afterAutospacing="0"/>
              <w:ind w:left="0" w:right="0"/>
              <w:rPr>
                <w:rFonts w:hint="default"/>
                <w:color w:val="auto"/>
              </w:rPr>
            </w:pPr>
            <w:r>
              <w:rPr>
                <w:rFonts w:hint="default"/>
                <w:color w:val="auto"/>
              </w:rPr>
              <w:t>噪声</w:t>
            </w:r>
          </w:p>
        </w:tc>
        <w:tc>
          <w:tcPr>
            <w:tcW w:w="1311" w:type="pct"/>
            <w:vAlign w:val="center"/>
          </w:tcPr>
          <w:p w14:paraId="4910AF19">
            <w:pPr>
              <w:pStyle w:val="77"/>
              <w:keepNext w:val="0"/>
              <w:keepLines w:val="0"/>
              <w:suppressLineNumbers w:val="0"/>
              <w:spacing w:before="0" w:beforeAutospacing="0" w:after="0" w:afterAutospacing="0"/>
              <w:ind w:left="0" w:right="0"/>
              <w:rPr>
                <w:rFonts w:hint="default"/>
                <w:color w:val="auto"/>
              </w:rPr>
            </w:pPr>
            <w:r>
              <w:rPr>
                <w:rFonts w:hint="default"/>
                <w:color w:val="auto"/>
              </w:rPr>
              <w:t>装卸臂液压站</w:t>
            </w:r>
            <w:r>
              <w:rPr>
                <w:rFonts w:hint="eastAsia"/>
                <w:color w:val="auto"/>
              </w:rPr>
              <w:t>、</w:t>
            </w:r>
            <w:r>
              <w:rPr>
                <w:rFonts w:hint="default"/>
                <w:color w:val="auto"/>
              </w:rPr>
              <w:t>运输车辆</w:t>
            </w:r>
            <w:r>
              <w:rPr>
                <w:rFonts w:hint="eastAsia"/>
                <w:color w:val="auto"/>
              </w:rPr>
              <w:t>、泵棚</w:t>
            </w:r>
            <w:r>
              <w:rPr>
                <w:rFonts w:hint="default"/>
                <w:color w:val="auto"/>
              </w:rPr>
              <w:t>等</w:t>
            </w:r>
          </w:p>
        </w:tc>
        <w:tc>
          <w:tcPr>
            <w:tcW w:w="1561" w:type="pct"/>
            <w:vAlign w:val="center"/>
          </w:tcPr>
          <w:p w14:paraId="201A3909">
            <w:pPr>
              <w:pStyle w:val="77"/>
              <w:keepNext w:val="0"/>
              <w:keepLines w:val="0"/>
              <w:suppressLineNumbers w:val="0"/>
              <w:spacing w:before="0" w:beforeAutospacing="0" w:after="0" w:afterAutospacing="0"/>
              <w:ind w:left="0" w:right="0"/>
              <w:rPr>
                <w:rFonts w:hint="default"/>
                <w:color w:val="auto"/>
              </w:rPr>
            </w:pPr>
            <w:r>
              <w:rPr>
                <w:rFonts w:hint="default"/>
                <w:color w:val="auto"/>
              </w:rPr>
              <w:t>噪声</w:t>
            </w:r>
          </w:p>
        </w:tc>
        <w:tc>
          <w:tcPr>
            <w:tcW w:w="617" w:type="pct"/>
            <w:vAlign w:val="center"/>
          </w:tcPr>
          <w:p w14:paraId="290AD7C7">
            <w:pPr>
              <w:pStyle w:val="77"/>
              <w:keepNext w:val="0"/>
              <w:keepLines w:val="0"/>
              <w:suppressLineNumbers w:val="0"/>
              <w:spacing w:before="0" w:beforeAutospacing="0" w:after="0" w:afterAutospacing="0"/>
              <w:ind w:left="0" w:right="0"/>
              <w:rPr>
                <w:rFonts w:hint="default"/>
                <w:color w:val="auto"/>
              </w:rPr>
            </w:pPr>
            <w:r>
              <w:rPr>
                <w:rFonts w:hint="default"/>
                <w:color w:val="auto"/>
              </w:rPr>
              <w:t>码头前沿</w:t>
            </w:r>
            <w:r>
              <w:rPr>
                <w:rFonts w:hint="eastAsia"/>
                <w:color w:val="auto"/>
              </w:rPr>
              <w:t>及后方库区</w:t>
            </w:r>
          </w:p>
        </w:tc>
        <w:tc>
          <w:tcPr>
            <w:tcW w:w="355" w:type="pct"/>
            <w:vAlign w:val="center"/>
          </w:tcPr>
          <w:p w14:paraId="2004A80A">
            <w:pPr>
              <w:pStyle w:val="77"/>
              <w:keepNext w:val="0"/>
              <w:keepLines w:val="0"/>
              <w:suppressLineNumbers w:val="0"/>
              <w:spacing w:before="0" w:beforeAutospacing="0" w:after="0" w:afterAutospacing="0"/>
              <w:ind w:left="0" w:right="0"/>
              <w:rPr>
                <w:rFonts w:hint="default"/>
                <w:color w:val="auto"/>
              </w:rPr>
            </w:pPr>
            <w:r>
              <w:rPr>
                <w:rFonts w:hint="eastAsia"/>
                <w:color w:val="auto"/>
                <w:u w:val="single"/>
                <w:lang w:eastAsia="zh-CN"/>
              </w:rPr>
              <w:t>轻</w:t>
            </w:r>
            <w:r>
              <w:rPr>
                <w:rFonts w:hint="default"/>
                <w:color w:val="auto"/>
                <w:u w:val="single"/>
              </w:rPr>
              <w:t>度</w:t>
            </w:r>
          </w:p>
        </w:tc>
        <w:tc>
          <w:tcPr>
            <w:tcW w:w="584" w:type="pct"/>
            <w:vAlign w:val="center"/>
          </w:tcPr>
          <w:p w14:paraId="6DAF4AB1">
            <w:pPr>
              <w:pStyle w:val="77"/>
              <w:keepNext w:val="0"/>
              <w:keepLines w:val="0"/>
              <w:suppressLineNumbers w:val="0"/>
              <w:spacing w:before="0" w:beforeAutospacing="0" w:after="0" w:afterAutospacing="0"/>
              <w:ind w:left="0" w:right="0"/>
              <w:rPr>
                <w:rFonts w:hint="default"/>
                <w:color w:val="auto"/>
              </w:rPr>
            </w:pPr>
            <w:r>
              <w:rPr>
                <w:rFonts w:hint="default"/>
                <w:color w:val="auto"/>
              </w:rPr>
              <w:t>连续性</w:t>
            </w:r>
          </w:p>
        </w:tc>
      </w:tr>
      <w:tr w14:paraId="1A115E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1227AB45">
            <w:pPr>
              <w:pStyle w:val="77"/>
              <w:keepNext w:val="0"/>
              <w:keepLines w:val="0"/>
              <w:suppressLineNumbers w:val="0"/>
              <w:spacing w:before="0" w:beforeAutospacing="0" w:after="0" w:afterAutospacing="0"/>
              <w:ind w:left="0" w:right="0"/>
              <w:rPr>
                <w:rFonts w:hint="default"/>
                <w:color w:val="auto"/>
              </w:rPr>
            </w:pPr>
          </w:p>
        </w:tc>
        <w:tc>
          <w:tcPr>
            <w:tcW w:w="356" w:type="pct"/>
            <w:vMerge w:val="restart"/>
            <w:vAlign w:val="center"/>
          </w:tcPr>
          <w:p w14:paraId="16E22D24">
            <w:pPr>
              <w:pStyle w:val="77"/>
              <w:keepNext w:val="0"/>
              <w:keepLines w:val="0"/>
              <w:suppressLineNumbers w:val="0"/>
              <w:spacing w:before="0" w:beforeAutospacing="0" w:after="0" w:afterAutospacing="0"/>
              <w:ind w:left="0" w:right="0"/>
              <w:rPr>
                <w:rFonts w:hint="default"/>
                <w:color w:val="auto"/>
              </w:rPr>
            </w:pPr>
            <w:r>
              <w:rPr>
                <w:rFonts w:hint="default"/>
                <w:color w:val="auto"/>
              </w:rPr>
              <w:t>固体废物</w:t>
            </w:r>
          </w:p>
        </w:tc>
        <w:tc>
          <w:tcPr>
            <w:tcW w:w="1311" w:type="pct"/>
            <w:vAlign w:val="center"/>
          </w:tcPr>
          <w:p w14:paraId="7DEA84F5">
            <w:pPr>
              <w:pStyle w:val="77"/>
              <w:keepNext w:val="0"/>
              <w:keepLines w:val="0"/>
              <w:suppressLineNumbers w:val="0"/>
              <w:spacing w:before="0" w:beforeAutospacing="0" w:after="0" w:afterAutospacing="0"/>
              <w:ind w:left="0" w:right="0"/>
              <w:rPr>
                <w:rFonts w:hint="default"/>
                <w:color w:val="auto"/>
              </w:rPr>
            </w:pPr>
            <w:r>
              <w:rPr>
                <w:rFonts w:hint="default"/>
                <w:color w:val="auto"/>
              </w:rPr>
              <w:t>管道</w:t>
            </w:r>
            <w:r>
              <w:rPr>
                <w:rFonts w:hint="eastAsia"/>
                <w:color w:val="auto"/>
              </w:rPr>
              <w:t>维修</w:t>
            </w:r>
            <w:r>
              <w:rPr>
                <w:rFonts w:hint="default"/>
                <w:color w:val="auto"/>
              </w:rPr>
              <w:t>危险废物</w:t>
            </w:r>
          </w:p>
        </w:tc>
        <w:tc>
          <w:tcPr>
            <w:tcW w:w="1561" w:type="pct"/>
            <w:vAlign w:val="center"/>
          </w:tcPr>
          <w:p w14:paraId="28FBA4C4">
            <w:pPr>
              <w:pStyle w:val="77"/>
              <w:keepNext w:val="0"/>
              <w:keepLines w:val="0"/>
              <w:suppressLineNumbers w:val="0"/>
              <w:spacing w:before="0" w:beforeAutospacing="0" w:after="0" w:afterAutospacing="0"/>
              <w:ind w:left="0" w:right="0"/>
              <w:rPr>
                <w:rFonts w:hint="default"/>
                <w:color w:val="auto"/>
              </w:rPr>
            </w:pPr>
            <w:r>
              <w:rPr>
                <w:rFonts w:hint="default"/>
                <w:color w:val="auto"/>
              </w:rPr>
              <w:t>含油废布及棉纱</w:t>
            </w:r>
          </w:p>
        </w:tc>
        <w:tc>
          <w:tcPr>
            <w:tcW w:w="617" w:type="pct"/>
            <w:vAlign w:val="center"/>
          </w:tcPr>
          <w:p w14:paraId="58ECAD1F">
            <w:pPr>
              <w:pStyle w:val="77"/>
              <w:keepNext w:val="0"/>
              <w:keepLines w:val="0"/>
              <w:suppressLineNumbers w:val="0"/>
              <w:spacing w:before="0" w:beforeAutospacing="0" w:after="0" w:afterAutospacing="0"/>
              <w:ind w:left="0" w:right="0"/>
              <w:rPr>
                <w:rFonts w:hint="default"/>
                <w:color w:val="auto"/>
              </w:rPr>
            </w:pPr>
            <w:r>
              <w:rPr>
                <w:rFonts w:hint="default"/>
                <w:color w:val="auto"/>
              </w:rPr>
              <w:t>码头前沿</w:t>
            </w:r>
            <w:r>
              <w:rPr>
                <w:rFonts w:hint="eastAsia"/>
                <w:color w:val="auto"/>
              </w:rPr>
              <w:t>及后方库区</w:t>
            </w:r>
          </w:p>
        </w:tc>
        <w:tc>
          <w:tcPr>
            <w:tcW w:w="355" w:type="pct"/>
            <w:vAlign w:val="center"/>
          </w:tcPr>
          <w:p w14:paraId="0ABA67C4">
            <w:pPr>
              <w:pStyle w:val="77"/>
              <w:keepNext w:val="0"/>
              <w:keepLines w:val="0"/>
              <w:suppressLineNumbers w:val="0"/>
              <w:spacing w:before="0" w:beforeAutospacing="0" w:after="0" w:afterAutospacing="0"/>
              <w:ind w:left="0" w:right="0"/>
              <w:rPr>
                <w:rFonts w:hint="default"/>
                <w:color w:val="auto"/>
              </w:rPr>
            </w:pPr>
            <w:r>
              <w:rPr>
                <w:rFonts w:hint="default"/>
                <w:color w:val="auto"/>
              </w:rPr>
              <w:t>轻度</w:t>
            </w:r>
          </w:p>
        </w:tc>
        <w:tc>
          <w:tcPr>
            <w:tcW w:w="584" w:type="pct"/>
            <w:vAlign w:val="center"/>
          </w:tcPr>
          <w:p w14:paraId="2C2B7417">
            <w:pPr>
              <w:pStyle w:val="77"/>
              <w:keepNext w:val="0"/>
              <w:keepLines w:val="0"/>
              <w:suppressLineNumbers w:val="0"/>
              <w:spacing w:before="0" w:beforeAutospacing="0" w:after="0" w:afterAutospacing="0"/>
              <w:ind w:left="0" w:right="0"/>
              <w:rPr>
                <w:rFonts w:hint="default"/>
                <w:color w:val="auto"/>
              </w:rPr>
            </w:pPr>
            <w:r>
              <w:rPr>
                <w:rFonts w:hint="default"/>
                <w:color w:val="auto"/>
              </w:rPr>
              <w:t>间断性</w:t>
            </w:r>
          </w:p>
        </w:tc>
      </w:tr>
      <w:tr w14:paraId="0B0DC5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614" w:hRule="atLeast"/>
          <w:jc w:val="center"/>
        </w:trPr>
        <w:tc>
          <w:tcPr>
            <w:tcW w:w="0" w:type="auto"/>
            <w:vMerge w:val="continue"/>
            <w:vAlign w:val="center"/>
          </w:tcPr>
          <w:p w14:paraId="2760BE7D">
            <w:pPr>
              <w:pStyle w:val="77"/>
              <w:keepNext w:val="0"/>
              <w:keepLines w:val="0"/>
              <w:suppressLineNumbers w:val="0"/>
              <w:spacing w:before="0" w:beforeAutospacing="0" w:after="0" w:afterAutospacing="0"/>
              <w:ind w:left="0" w:right="0"/>
              <w:rPr>
                <w:rFonts w:hint="default"/>
                <w:color w:val="auto"/>
              </w:rPr>
            </w:pPr>
          </w:p>
        </w:tc>
        <w:tc>
          <w:tcPr>
            <w:tcW w:w="0" w:type="auto"/>
            <w:vMerge w:val="continue"/>
            <w:vAlign w:val="center"/>
          </w:tcPr>
          <w:p w14:paraId="4578860B">
            <w:pPr>
              <w:pStyle w:val="77"/>
              <w:keepNext w:val="0"/>
              <w:keepLines w:val="0"/>
              <w:suppressLineNumbers w:val="0"/>
              <w:spacing w:before="0" w:beforeAutospacing="0" w:after="0" w:afterAutospacing="0"/>
              <w:ind w:left="0" w:right="0"/>
              <w:rPr>
                <w:rFonts w:hint="default"/>
                <w:color w:val="auto"/>
              </w:rPr>
            </w:pPr>
          </w:p>
        </w:tc>
        <w:tc>
          <w:tcPr>
            <w:tcW w:w="1311" w:type="pct"/>
            <w:vAlign w:val="center"/>
          </w:tcPr>
          <w:p w14:paraId="3BBB3C86">
            <w:pPr>
              <w:pStyle w:val="77"/>
              <w:keepNext w:val="0"/>
              <w:keepLines w:val="0"/>
              <w:suppressLineNumbers w:val="0"/>
              <w:spacing w:before="0" w:beforeAutospacing="0" w:after="0" w:afterAutospacing="0"/>
              <w:ind w:left="0" w:right="0"/>
              <w:rPr>
                <w:rFonts w:hint="default"/>
                <w:color w:val="auto"/>
              </w:rPr>
            </w:pPr>
            <w:r>
              <w:rPr>
                <w:rFonts w:hint="default"/>
                <w:color w:val="auto"/>
              </w:rPr>
              <w:t>到港船舶垃圾</w:t>
            </w:r>
          </w:p>
        </w:tc>
        <w:tc>
          <w:tcPr>
            <w:tcW w:w="1561" w:type="pct"/>
            <w:vAlign w:val="center"/>
          </w:tcPr>
          <w:p w14:paraId="190DA312">
            <w:pPr>
              <w:pStyle w:val="77"/>
              <w:keepNext w:val="0"/>
              <w:keepLines w:val="0"/>
              <w:suppressLineNumbers w:val="0"/>
              <w:spacing w:before="0" w:beforeAutospacing="0" w:after="0" w:afterAutospacing="0"/>
              <w:ind w:left="0" w:right="0"/>
              <w:rPr>
                <w:rFonts w:hint="default"/>
                <w:color w:val="auto"/>
              </w:rPr>
            </w:pPr>
            <w:r>
              <w:rPr>
                <w:rFonts w:hint="default"/>
                <w:color w:val="auto"/>
              </w:rPr>
              <w:t>船舶生活垃圾</w:t>
            </w:r>
            <w:r>
              <w:rPr>
                <w:rFonts w:hint="eastAsia"/>
                <w:color w:val="auto"/>
              </w:rPr>
              <w:t>、</w:t>
            </w:r>
            <w:r>
              <w:rPr>
                <w:rFonts w:hint="default"/>
                <w:color w:val="auto"/>
              </w:rPr>
              <w:t>船舶维修废物</w:t>
            </w:r>
          </w:p>
        </w:tc>
        <w:tc>
          <w:tcPr>
            <w:tcW w:w="617" w:type="pct"/>
            <w:vAlign w:val="center"/>
          </w:tcPr>
          <w:p w14:paraId="3B359A78">
            <w:pPr>
              <w:pStyle w:val="77"/>
              <w:keepNext w:val="0"/>
              <w:keepLines w:val="0"/>
              <w:suppressLineNumbers w:val="0"/>
              <w:spacing w:before="0" w:beforeAutospacing="0" w:after="0" w:afterAutospacing="0"/>
              <w:ind w:left="0" w:right="0"/>
              <w:rPr>
                <w:rFonts w:hint="default"/>
                <w:color w:val="auto"/>
              </w:rPr>
            </w:pPr>
            <w:r>
              <w:rPr>
                <w:rFonts w:hint="eastAsia"/>
                <w:color w:val="auto"/>
              </w:rPr>
              <w:t>码头前沿</w:t>
            </w:r>
          </w:p>
        </w:tc>
        <w:tc>
          <w:tcPr>
            <w:tcW w:w="355" w:type="pct"/>
            <w:vAlign w:val="center"/>
          </w:tcPr>
          <w:p w14:paraId="1273B886">
            <w:pPr>
              <w:pStyle w:val="77"/>
              <w:keepNext w:val="0"/>
              <w:keepLines w:val="0"/>
              <w:suppressLineNumbers w:val="0"/>
              <w:spacing w:before="0" w:beforeAutospacing="0" w:after="0" w:afterAutospacing="0"/>
              <w:ind w:left="0" w:right="0"/>
              <w:rPr>
                <w:rFonts w:hint="default"/>
                <w:color w:val="auto"/>
              </w:rPr>
            </w:pPr>
            <w:r>
              <w:rPr>
                <w:rFonts w:hint="default"/>
                <w:color w:val="auto"/>
              </w:rPr>
              <w:t>轻度</w:t>
            </w:r>
          </w:p>
        </w:tc>
        <w:tc>
          <w:tcPr>
            <w:tcW w:w="584" w:type="pct"/>
            <w:vAlign w:val="center"/>
          </w:tcPr>
          <w:p w14:paraId="7C7AB8BB">
            <w:pPr>
              <w:pStyle w:val="77"/>
              <w:keepNext w:val="0"/>
              <w:keepLines w:val="0"/>
              <w:suppressLineNumbers w:val="0"/>
              <w:spacing w:before="0" w:beforeAutospacing="0" w:after="0" w:afterAutospacing="0"/>
              <w:ind w:left="0" w:right="0"/>
              <w:rPr>
                <w:rFonts w:hint="default"/>
                <w:color w:val="auto"/>
              </w:rPr>
            </w:pPr>
            <w:r>
              <w:rPr>
                <w:rFonts w:hint="default"/>
                <w:color w:val="auto"/>
              </w:rPr>
              <w:t>间断性</w:t>
            </w:r>
          </w:p>
        </w:tc>
      </w:tr>
      <w:tr w14:paraId="22D207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614" w:hRule="atLeast"/>
          <w:jc w:val="center"/>
        </w:trPr>
        <w:tc>
          <w:tcPr>
            <w:tcW w:w="0" w:type="auto"/>
            <w:vMerge w:val="continue"/>
            <w:vAlign w:val="center"/>
          </w:tcPr>
          <w:p w14:paraId="2A698092">
            <w:pPr>
              <w:pStyle w:val="77"/>
              <w:keepNext w:val="0"/>
              <w:keepLines w:val="0"/>
              <w:suppressLineNumbers w:val="0"/>
              <w:spacing w:before="0" w:beforeAutospacing="0" w:after="0" w:afterAutospacing="0"/>
              <w:ind w:left="0" w:right="0"/>
              <w:rPr>
                <w:rFonts w:hint="default"/>
                <w:color w:val="auto"/>
              </w:rPr>
            </w:pPr>
          </w:p>
        </w:tc>
        <w:tc>
          <w:tcPr>
            <w:tcW w:w="0" w:type="auto"/>
            <w:vMerge w:val="continue"/>
            <w:vAlign w:val="center"/>
          </w:tcPr>
          <w:p w14:paraId="2C761EA2">
            <w:pPr>
              <w:pStyle w:val="77"/>
              <w:keepNext w:val="0"/>
              <w:keepLines w:val="0"/>
              <w:suppressLineNumbers w:val="0"/>
              <w:spacing w:before="0" w:beforeAutospacing="0" w:after="0" w:afterAutospacing="0"/>
              <w:ind w:left="0" w:right="0"/>
              <w:rPr>
                <w:rFonts w:hint="default"/>
                <w:color w:val="auto"/>
              </w:rPr>
            </w:pPr>
          </w:p>
        </w:tc>
        <w:tc>
          <w:tcPr>
            <w:tcW w:w="1311" w:type="pct"/>
            <w:vAlign w:val="center"/>
          </w:tcPr>
          <w:p w14:paraId="4A81EC2A">
            <w:pPr>
              <w:pStyle w:val="77"/>
              <w:keepNext w:val="0"/>
              <w:keepLines w:val="0"/>
              <w:suppressLineNumbers w:val="0"/>
              <w:spacing w:before="0" w:beforeAutospacing="0" w:after="0" w:afterAutospacing="0"/>
              <w:ind w:left="0" w:right="0"/>
              <w:rPr>
                <w:rFonts w:hint="default"/>
                <w:color w:val="auto"/>
              </w:rPr>
            </w:pPr>
            <w:r>
              <w:rPr>
                <w:rFonts w:hint="eastAsia"/>
                <w:color w:val="auto"/>
              </w:rPr>
              <w:t>陆域</w:t>
            </w:r>
            <w:r>
              <w:rPr>
                <w:rFonts w:hint="default"/>
                <w:color w:val="auto"/>
              </w:rPr>
              <w:t>生活垃圾</w:t>
            </w:r>
          </w:p>
        </w:tc>
        <w:tc>
          <w:tcPr>
            <w:tcW w:w="1561" w:type="pct"/>
            <w:vAlign w:val="center"/>
          </w:tcPr>
          <w:p w14:paraId="754DF3C0">
            <w:pPr>
              <w:pStyle w:val="77"/>
              <w:keepNext w:val="0"/>
              <w:keepLines w:val="0"/>
              <w:suppressLineNumbers w:val="0"/>
              <w:spacing w:before="0" w:beforeAutospacing="0" w:after="0" w:afterAutospacing="0"/>
              <w:ind w:left="0" w:right="0"/>
              <w:rPr>
                <w:rFonts w:hint="default"/>
                <w:color w:val="auto"/>
              </w:rPr>
            </w:pPr>
            <w:r>
              <w:rPr>
                <w:rFonts w:hint="eastAsia"/>
                <w:color w:val="auto"/>
              </w:rPr>
              <w:t>生活</w:t>
            </w:r>
            <w:r>
              <w:rPr>
                <w:rFonts w:hint="default"/>
                <w:color w:val="auto"/>
              </w:rPr>
              <w:t>垃圾</w:t>
            </w:r>
          </w:p>
        </w:tc>
        <w:tc>
          <w:tcPr>
            <w:tcW w:w="617" w:type="pct"/>
            <w:vAlign w:val="center"/>
          </w:tcPr>
          <w:p w14:paraId="4A8D0D8D">
            <w:pPr>
              <w:pStyle w:val="77"/>
              <w:keepNext w:val="0"/>
              <w:keepLines w:val="0"/>
              <w:suppressLineNumbers w:val="0"/>
              <w:spacing w:before="0" w:beforeAutospacing="0" w:after="0" w:afterAutospacing="0"/>
              <w:ind w:left="0" w:right="0"/>
              <w:rPr>
                <w:rFonts w:hint="default"/>
                <w:color w:val="auto"/>
              </w:rPr>
            </w:pPr>
            <w:r>
              <w:rPr>
                <w:rFonts w:hint="default"/>
                <w:color w:val="auto"/>
              </w:rPr>
              <w:t>码头前沿</w:t>
            </w:r>
            <w:r>
              <w:rPr>
                <w:rFonts w:hint="eastAsia"/>
                <w:color w:val="auto"/>
              </w:rPr>
              <w:t>及后方库区</w:t>
            </w:r>
          </w:p>
        </w:tc>
        <w:tc>
          <w:tcPr>
            <w:tcW w:w="355" w:type="pct"/>
            <w:vAlign w:val="center"/>
          </w:tcPr>
          <w:p w14:paraId="204DBD5B">
            <w:pPr>
              <w:pStyle w:val="77"/>
              <w:keepNext w:val="0"/>
              <w:keepLines w:val="0"/>
              <w:suppressLineNumbers w:val="0"/>
              <w:spacing w:before="0" w:beforeAutospacing="0" w:after="0" w:afterAutospacing="0"/>
              <w:ind w:left="0" w:right="0"/>
              <w:rPr>
                <w:rFonts w:hint="default"/>
                <w:color w:val="auto"/>
              </w:rPr>
            </w:pPr>
            <w:r>
              <w:rPr>
                <w:rFonts w:hint="default"/>
                <w:color w:val="auto"/>
              </w:rPr>
              <w:t>轻度</w:t>
            </w:r>
          </w:p>
        </w:tc>
        <w:tc>
          <w:tcPr>
            <w:tcW w:w="584" w:type="pct"/>
            <w:vAlign w:val="center"/>
          </w:tcPr>
          <w:p w14:paraId="61660B72">
            <w:pPr>
              <w:pStyle w:val="77"/>
              <w:keepNext w:val="0"/>
              <w:keepLines w:val="0"/>
              <w:suppressLineNumbers w:val="0"/>
              <w:spacing w:before="0" w:beforeAutospacing="0" w:after="0" w:afterAutospacing="0"/>
              <w:ind w:left="0" w:right="0"/>
              <w:rPr>
                <w:rFonts w:hint="default"/>
                <w:color w:val="auto"/>
              </w:rPr>
            </w:pPr>
            <w:r>
              <w:rPr>
                <w:rFonts w:hint="default"/>
                <w:color w:val="auto"/>
              </w:rPr>
              <w:t>间断性</w:t>
            </w:r>
          </w:p>
        </w:tc>
      </w:tr>
      <w:tr w14:paraId="71B6E3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614" w:hRule="atLeast"/>
          <w:jc w:val="center"/>
        </w:trPr>
        <w:tc>
          <w:tcPr>
            <w:tcW w:w="0" w:type="auto"/>
            <w:vMerge w:val="continue"/>
            <w:vAlign w:val="center"/>
          </w:tcPr>
          <w:p w14:paraId="6E85190E">
            <w:pPr>
              <w:pStyle w:val="77"/>
              <w:keepNext w:val="0"/>
              <w:keepLines w:val="0"/>
              <w:suppressLineNumbers w:val="0"/>
              <w:spacing w:before="0" w:beforeAutospacing="0" w:after="0" w:afterAutospacing="0"/>
              <w:ind w:left="0" w:right="0"/>
              <w:rPr>
                <w:rFonts w:hint="default"/>
                <w:color w:val="auto"/>
              </w:rPr>
            </w:pPr>
          </w:p>
        </w:tc>
        <w:tc>
          <w:tcPr>
            <w:tcW w:w="0" w:type="auto"/>
            <w:vMerge w:val="continue"/>
            <w:vAlign w:val="center"/>
          </w:tcPr>
          <w:p w14:paraId="031F1185">
            <w:pPr>
              <w:pStyle w:val="77"/>
              <w:keepNext w:val="0"/>
              <w:keepLines w:val="0"/>
              <w:suppressLineNumbers w:val="0"/>
              <w:spacing w:before="0" w:beforeAutospacing="0" w:after="0" w:afterAutospacing="0"/>
              <w:ind w:left="0" w:right="0"/>
              <w:rPr>
                <w:rFonts w:hint="default"/>
                <w:color w:val="auto"/>
              </w:rPr>
            </w:pPr>
          </w:p>
        </w:tc>
        <w:tc>
          <w:tcPr>
            <w:tcW w:w="1311" w:type="pct"/>
            <w:vAlign w:val="center"/>
          </w:tcPr>
          <w:p w14:paraId="59EFD04A">
            <w:pPr>
              <w:pStyle w:val="77"/>
              <w:keepNext w:val="0"/>
              <w:keepLines w:val="0"/>
              <w:suppressLineNumbers w:val="0"/>
              <w:spacing w:before="0" w:beforeAutospacing="0" w:after="0" w:afterAutospacing="0"/>
              <w:ind w:left="0" w:right="0"/>
              <w:rPr>
                <w:rFonts w:hint="default"/>
                <w:color w:val="auto"/>
              </w:rPr>
            </w:pPr>
            <w:r>
              <w:rPr>
                <w:rFonts w:hint="eastAsia"/>
                <w:color w:val="auto"/>
              </w:rPr>
              <w:t>储罐</w:t>
            </w:r>
            <w:r>
              <w:rPr>
                <w:rFonts w:hint="default"/>
                <w:color w:val="auto"/>
              </w:rPr>
              <w:t>危险废物</w:t>
            </w:r>
          </w:p>
        </w:tc>
        <w:tc>
          <w:tcPr>
            <w:tcW w:w="1561" w:type="pct"/>
            <w:vAlign w:val="center"/>
          </w:tcPr>
          <w:p w14:paraId="601690D5">
            <w:pPr>
              <w:pStyle w:val="77"/>
              <w:keepNext w:val="0"/>
              <w:keepLines w:val="0"/>
              <w:suppressLineNumbers w:val="0"/>
              <w:spacing w:before="0" w:beforeAutospacing="0" w:after="0" w:afterAutospacing="0"/>
              <w:ind w:left="0" w:right="0"/>
              <w:rPr>
                <w:rFonts w:hint="default"/>
                <w:color w:val="auto"/>
              </w:rPr>
            </w:pPr>
            <w:r>
              <w:rPr>
                <w:rFonts w:hint="eastAsia"/>
                <w:color w:val="auto"/>
              </w:rPr>
              <w:t>罐底</w:t>
            </w:r>
            <w:r>
              <w:rPr>
                <w:rFonts w:hint="default"/>
                <w:color w:val="auto"/>
              </w:rPr>
              <w:t>油泥</w:t>
            </w:r>
          </w:p>
        </w:tc>
        <w:tc>
          <w:tcPr>
            <w:tcW w:w="617" w:type="pct"/>
            <w:vAlign w:val="center"/>
          </w:tcPr>
          <w:p w14:paraId="5CBF2613">
            <w:pPr>
              <w:pStyle w:val="77"/>
              <w:keepNext w:val="0"/>
              <w:keepLines w:val="0"/>
              <w:suppressLineNumbers w:val="0"/>
              <w:spacing w:before="0" w:beforeAutospacing="0" w:after="0" w:afterAutospacing="0"/>
              <w:ind w:left="0" w:right="0"/>
              <w:rPr>
                <w:rFonts w:hint="default"/>
                <w:color w:val="auto"/>
              </w:rPr>
            </w:pPr>
            <w:r>
              <w:rPr>
                <w:rFonts w:hint="eastAsia"/>
                <w:color w:val="auto"/>
              </w:rPr>
              <w:t>库区</w:t>
            </w:r>
          </w:p>
        </w:tc>
        <w:tc>
          <w:tcPr>
            <w:tcW w:w="355" w:type="pct"/>
            <w:vAlign w:val="center"/>
          </w:tcPr>
          <w:p w14:paraId="2C2499EB">
            <w:pPr>
              <w:pStyle w:val="77"/>
              <w:keepNext w:val="0"/>
              <w:keepLines w:val="0"/>
              <w:suppressLineNumbers w:val="0"/>
              <w:spacing w:before="0" w:beforeAutospacing="0" w:after="0" w:afterAutospacing="0"/>
              <w:ind w:left="0" w:right="0"/>
              <w:rPr>
                <w:rFonts w:hint="default"/>
                <w:color w:val="auto"/>
              </w:rPr>
            </w:pPr>
            <w:r>
              <w:rPr>
                <w:rFonts w:hint="default"/>
                <w:color w:val="auto"/>
              </w:rPr>
              <w:t>轻度</w:t>
            </w:r>
          </w:p>
        </w:tc>
        <w:tc>
          <w:tcPr>
            <w:tcW w:w="584" w:type="pct"/>
            <w:vAlign w:val="center"/>
          </w:tcPr>
          <w:p w14:paraId="13319F3F">
            <w:pPr>
              <w:pStyle w:val="77"/>
              <w:keepNext w:val="0"/>
              <w:keepLines w:val="0"/>
              <w:suppressLineNumbers w:val="0"/>
              <w:spacing w:before="0" w:beforeAutospacing="0" w:after="0" w:afterAutospacing="0"/>
              <w:ind w:left="0" w:right="0"/>
              <w:rPr>
                <w:rFonts w:hint="default"/>
                <w:color w:val="auto"/>
              </w:rPr>
            </w:pPr>
            <w:r>
              <w:rPr>
                <w:rFonts w:hint="default"/>
                <w:color w:val="auto"/>
              </w:rPr>
              <w:t>间断性</w:t>
            </w:r>
          </w:p>
        </w:tc>
      </w:tr>
      <w:tr w14:paraId="540544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614" w:hRule="atLeast"/>
          <w:jc w:val="center"/>
        </w:trPr>
        <w:tc>
          <w:tcPr>
            <w:tcW w:w="0" w:type="auto"/>
            <w:vMerge w:val="continue"/>
            <w:vAlign w:val="center"/>
          </w:tcPr>
          <w:p w14:paraId="103B7372">
            <w:pPr>
              <w:pStyle w:val="77"/>
              <w:keepNext w:val="0"/>
              <w:keepLines w:val="0"/>
              <w:suppressLineNumbers w:val="0"/>
              <w:spacing w:before="0" w:beforeAutospacing="0" w:after="0" w:afterAutospacing="0"/>
              <w:ind w:left="0" w:right="0"/>
              <w:rPr>
                <w:rFonts w:hint="default"/>
                <w:color w:val="auto"/>
              </w:rPr>
            </w:pPr>
          </w:p>
        </w:tc>
        <w:tc>
          <w:tcPr>
            <w:tcW w:w="0" w:type="auto"/>
            <w:vMerge w:val="continue"/>
            <w:vAlign w:val="center"/>
          </w:tcPr>
          <w:p w14:paraId="53C887CC">
            <w:pPr>
              <w:pStyle w:val="77"/>
              <w:keepNext w:val="0"/>
              <w:keepLines w:val="0"/>
              <w:suppressLineNumbers w:val="0"/>
              <w:spacing w:before="0" w:beforeAutospacing="0" w:after="0" w:afterAutospacing="0"/>
              <w:ind w:left="0" w:right="0"/>
              <w:rPr>
                <w:rFonts w:hint="default"/>
                <w:color w:val="auto"/>
              </w:rPr>
            </w:pPr>
          </w:p>
        </w:tc>
        <w:tc>
          <w:tcPr>
            <w:tcW w:w="1311" w:type="pct"/>
            <w:vAlign w:val="center"/>
          </w:tcPr>
          <w:p w14:paraId="4F0E7D77">
            <w:pPr>
              <w:pStyle w:val="77"/>
              <w:keepNext w:val="0"/>
              <w:keepLines w:val="0"/>
              <w:suppressLineNumbers w:val="0"/>
              <w:spacing w:before="0" w:beforeAutospacing="0" w:after="0" w:afterAutospacing="0"/>
              <w:ind w:left="0" w:right="0"/>
              <w:rPr>
                <w:rFonts w:hint="default"/>
                <w:color w:val="auto"/>
              </w:rPr>
            </w:pPr>
            <w:r>
              <w:rPr>
                <w:rFonts w:hint="eastAsia"/>
                <w:color w:val="auto"/>
              </w:rPr>
              <w:t>油气</w:t>
            </w:r>
            <w:r>
              <w:rPr>
                <w:rFonts w:hint="default"/>
                <w:color w:val="auto"/>
              </w:rPr>
              <w:t>回收设施危险废物</w:t>
            </w:r>
          </w:p>
        </w:tc>
        <w:tc>
          <w:tcPr>
            <w:tcW w:w="1561" w:type="pct"/>
            <w:vAlign w:val="center"/>
          </w:tcPr>
          <w:p w14:paraId="79F02EB2">
            <w:pPr>
              <w:pStyle w:val="77"/>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废</w:t>
            </w:r>
            <w:r>
              <w:rPr>
                <w:rFonts w:hint="default"/>
                <w:color w:val="auto"/>
              </w:rPr>
              <w:t>活性炭</w:t>
            </w:r>
            <w:r>
              <w:rPr>
                <w:rFonts w:hint="eastAsia"/>
                <w:color w:val="auto"/>
              </w:rPr>
              <w:t>、</w:t>
            </w:r>
            <w:r>
              <w:rPr>
                <w:rFonts w:hint="default"/>
                <w:color w:val="auto"/>
                <w:u w:val="single"/>
              </w:rPr>
              <w:t>废</w:t>
            </w:r>
            <w:r>
              <w:rPr>
                <w:rFonts w:hint="eastAsia"/>
                <w:color w:val="auto"/>
                <w:u w:val="single"/>
                <w:lang w:eastAsia="zh-CN"/>
              </w:rPr>
              <w:t>滤芯</w:t>
            </w:r>
          </w:p>
        </w:tc>
        <w:tc>
          <w:tcPr>
            <w:tcW w:w="617" w:type="pct"/>
            <w:vAlign w:val="center"/>
          </w:tcPr>
          <w:p w14:paraId="0E3C5528">
            <w:pPr>
              <w:pStyle w:val="77"/>
              <w:keepNext w:val="0"/>
              <w:keepLines w:val="0"/>
              <w:suppressLineNumbers w:val="0"/>
              <w:spacing w:before="0" w:beforeAutospacing="0" w:after="0" w:afterAutospacing="0"/>
              <w:ind w:left="0" w:right="0"/>
              <w:rPr>
                <w:rFonts w:hint="default"/>
                <w:color w:val="auto"/>
              </w:rPr>
            </w:pPr>
            <w:r>
              <w:rPr>
                <w:rFonts w:hint="eastAsia"/>
                <w:color w:val="auto"/>
              </w:rPr>
              <w:t>库区</w:t>
            </w:r>
          </w:p>
        </w:tc>
        <w:tc>
          <w:tcPr>
            <w:tcW w:w="355" w:type="pct"/>
            <w:vAlign w:val="center"/>
          </w:tcPr>
          <w:p w14:paraId="3B9BA7FD">
            <w:pPr>
              <w:pStyle w:val="77"/>
              <w:keepNext w:val="0"/>
              <w:keepLines w:val="0"/>
              <w:suppressLineNumbers w:val="0"/>
              <w:spacing w:before="0" w:beforeAutospacing="0" w:after="0" w:afterAutospacing="0"/>
              <w:ind w:left="0" w:right="0"/>
              <w:rPr>
                <w:rFonts w:hint="default"/>
                <w:color w:val="auto"/>
              </w:rPr>
            </w:pPr>
            <w:r>
              <w:rPr>
                <w:rFonts w:hint="default"/>
                <w:color w:val="auto"/>
              </w:rPr>
              <w:t>轻度</w:t>
            </w:r>
          </w:p>
        </w:tc>
        <w:tc>
          <w:tcPr>
            <w:tcW w:w="584" w:type="pct"/>
            <w:vAlign w:val="center"/>
          </w:tcPr>
          <w:p w14:paraId="5D886130">
            <w:pPr>
              <w:pStyle w:val="77"/>
              <w:keepNext w:val="0"/>
              <w:keepLines w:val="0"/>
              <w:suppressLineNumbers w:val="0"/>
              <w:spacing w:before="0" w:beforeAutospacing="0" w:after="0" w:afterAutospacing="0"/>
              <w:ind w:left="0" w:right="0"/>
              <w:rPr>
                <w:rFonts w:hint="default"/>
                <w:color w:val="auto"/>
              </w:rPr>
            </w:pPr>
            <w:r>
              <w:rPr>
                <w:rFonts w:hint="default"/>
                <w:color w:val="auto"/>
              </w:rPr>
              <w:t>间断性</w:t>
            </w:r>
          </w:p>
        </w:tc>
      </w:tr>
    </w:tbl>
    <w:p w14:paraId="692E6369">
      <w:pPr>
        <w:pStyle w:val="14"/>
        <w:rPr>
          <w:color w:val="auto"/>
        </w:rPr>
      </w:pPr>
    </w:p>
    <w:p w14:paraId="33A8B0A7">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2</w:t>
      </w:r>
      <w:r>
        <w:rPr>
          <w:color w:val="auto"/>
        </w:rPr>
        <w:fldChar w:fldCharType="end"/>
      </w:r>
      <w:r>
        <w:rPr>
          <w:rFonts w:hint="eastAsia"/>
          <w:color w:val="auto"/>
        </w:rPr>
        <w:t>建设项目环境影响类型及程度一览表</w:t>
      </w:r>
    </w:p>
    <w:tbl>
      <w:tblPr>
        <w:tblStyle w:val="43"/>
        <w:tblW w:w="918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609"/>
        <w:gridCol w:w="2669"/>
        <w:gridCol w:w="1707"/>
        <w:gridCol w:w="1732"/>
        <w:gridCol w:w="617"/>
        <w:gridCol w:w="617"/>
        <w:gridCol w:w="617"/>
        <w:gridCol w:w="618"/>
      </w:tblGrid>
      <w:tr w14:paraId="1356D6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gridSpan w:val="2"/>
            <w:vMerge w:val="restart"/>
            <w:vAlign w:val="center"/>
          </w:tcPr>
          <w:p w14:paraId="698DB3A8">
            <w:pPr>
              <w:pStyle w:val="87"/>
              <w:keepNext w:val="0"/>
              <w:keepLines w:val="0"/>
              <w:suppressLineNumbers w:val="0"/>
              <w:spacing w:before="0" w:beforeAutospacing="0" w:after="0" w:afterAutospacing="0"/>
              <w:ind w:left="0" w:right="0"/>
              <w:rPr>
                <w:rFonts w:hint="default"/>
                <w:color w:val="auto"/>
              </w:rPr>
            </w:pPr>
            <w:r>
              <w:rPr>
                <w:rFonts w:hint="default"/>
                <w:color w:val="auto"/>
              </w:rPr>
              <w:t>产生影响项目</w:t>
            </w:r>
          </w:p>
        </w:tc>
        <w:tc>
          <w:tcPr>
            <w:tcW w:w="1707" w:type="dxa"/>
            <w:vMerge w:val="restart"/>
            <w:vAlign w:val="center"/>
          </w:tcPr>
          <w:p w14:paraId="7C322EAF">
            <w:pPr>
              <w:pStyle w:val="87"/>
              <w:keepNext w:val="0"/>
              <w:keepLines w:val="0"/>
              <w:suppressLineNumbers w:val="0"/>
              <w:spacing w:before="0" w:beforeAutospacing="0" w:after="0" w:afterAutospacing="0"/>
              <w:ind w:left="0" w:right="0"/>
              <w:rPr>
                <w:rFonts w:hint="default"/>
                <w:color w:val="auto"/>
              </w:rPr>
            </w:pPr>
            <w:r>
              <w:rPr>
                <w:rFonts w:hint="default"/>
                <w:color w:val="auto"/>
              </w:rPr>
              <w:t>影响因子</w:t>
            </w:r>
          </w:p>
        </w:tc>
        <w:tc>
          <w:tcPr>
            <w:tcW w:w="1732" w:type="dxa"/>
            <w:vMerge w:val="restart"/>
            <w:vAlign w:val="center"/>
          </w:tcPr>
          <w:p w14:paraId="2C35FD0A">
            <w:pPr>
              <w:pStyle w:val="87"/>
              <w:keepNext w:val="0"/>
              <w:keepLines w:val="0"/>
              <w:suppressLineNumbers w:val="0"/>
              <w:spacing w:before="0" w:beforeAutospacing="0" w:after="0" w:afterAutospacing="0"/>
              <w:ind w:left="0" w:right="0"/>
              <w:rPr>
                <w:rFonts w:hint="default"/>
                <w:color w:val="auto"/>
              </w:rPr>
            </w:pPr>
            <w:r>
              <w:rPr>
                <w:rFonts w:hint="default"/>
                <w:color w:val="auto"/>
              </w:rPr>
              <w:t>影响对象</w:t>
            </w:r>
          </w:p>
        </w:tc>
        <w:tc>
          <w:tcPr>
            <w:tcW w:w="1234" w:type="dxa"/>
            <w:gridSpan w:val="2"/>
            <w:vAlign w:val="center"/>
          </w:tcPr>
          <w:p w14:paraId="2E394013">
            <w:pPr>
              <w:pStyle w:val="87"/>
              <w:keepNext w:val="0"/>
              <w:keepLines w:val="0"/>
              <w:suppressLineNumbers w:val="0"/>
              <w:spacing w:before="0" w:beforeAutospacing="0" w:after="0" w:afterAutospacing="0"/>
              <w:ind w:left="0" w:right="0"/>
              <w:rPr>
                <w:rFonts w:hint="default"/>
                <w:color w:val="auto"/>
              </w:rPr>
            </w:pPr>
            <w:r>
              <w:rPr>
                <w:rFonts w:hint="default"/>
                <w:color w:val="auto"/>
              </w:rPr>
              <w:t>影响类型</w:t>
            </w:r>
          </w:p>
        </w:tc>
        <w:tc>
          <w:tcPr>
            <w:tcW w:w="1235" w:type="dxa"/>
            <w:gridSpan w:val="2"/>
            <w:vAlign w:val="center"/>
          </w:tcPr>
          <w:p w14:paraId="655BF1C4">
            <w:pPr>
              <w:pStyle w:val="87"/>
              <w:keepNext w:val="0"/>
              <w:keepLines w:val="0"/>
              <w:suppressLineNumbers w:val="0"/>
              <w:spacing w:before="0" w:beforeAutospacing="0" w:after="0" w:afterAutospacing="0"/>
              <w:ind w:left="0" w:right="0"/>
              <w:rPr>
                <w:rFonts w:hint="default"/>
                <w:color w:val="auto"/>
              </w:rPr>
            </w:pPr>
            <w:r>
              <w:rPr>
                <w:rFonts w:hint="default"/>
                <w:color w:val="auto"/>
              </w:rPr>
              <w:t>影响性质</w:t>
            </w:r>
          </w:p>
        </w:tc>
      </w:tr>
      <w:tr w14:paraId="49E6F8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947" w:type="dxa"/>
            <w:gridSpan w:val="2"/>
            <w:vMerge w:val="continue"/>
            <w:vAlign w:val="center"/>
          </w:tcPr>
          <w:p w14:paraId="056B097B">
            <w:pPr>
              <w:pStyle w:val="87"/>
              <w:keepNext w:val="0"/>
              <w:keepLines w:val="0"/>
              <w:suppressLineNumbers w:val="0"/>
              <w:spacing w:before="0" w:beforeAutospacing="0" w:after="0" w:afterAutospacing="0"/>
              <w:ind w:left="0" w:right="0"/>
              <w:rPr>
                <w:rFonts w:hint="default"/>
                <w:color w:val="auto"/>
              </w:rPr>
            </w:pPr>
          </w:p>
        </w:tc>
        <w:tc>
          <w:tcPr>
            <w:tcW w:w="1707" w:type="dxa"/>
            <w:vMerge w:val="continue"/>
            <w:vAlign w:val="center"/>
          </w:tcPr>
          <w:p w14:paraId="765756AC">
            <w:pPr>
              <w:pStyle w:val="87"/>
              <w:keepNext w:val="0"/>
              <w:keepLines w:val="0"/>
              <w:suppressLineNumbers w:val="0"/>
              <w:spacing w:before="0" w:beforeAutospacing="0" w:after="0" w:afterAutospacing="0"/>
              <w:ind w:left="0" w:right="0"/>
              <w:rPr>
                <w:rFonts w:hint="default"/>
                <w:color w:val="auto"/>
              </w:rPr>
            </w:pPr>
          </w:p>
        </w:tc>
        <w:tc>
          <w:tcPr>
            <w:tcW w:w="1732" w:type="dxa"/>
            <w:vMerge w:val="continue"/>
            <w:vAlign w:val="center"/>
          </w:tcPr>
          <w:p w14:paraId="0FA4FE05">
            <w:pPr>
              <w:pStyle w:val="87"/>
              <w:keepNext w:val="0"/>
              <w:keepLines w:val="0"/>
              <w:suppressLineNumbers w:val="0"/>
              <w:spacing w:before="0" w:beforeAutospacing="0" w:after="0" w:afterAutospacing="0"/>
              <w:ind w:left="0" w:right="0"/>
              <w:rPr>
                <w:rFonts w:hint="default"/>
                <w:color w:val="auto"/>
              </w:rPr>
            </w:pPr>
          </w:p>
        </w:tc>
        <w:tc>
          <w:tcPr>
            <w:tcW w:w="617" w:type="dxa"/>
            <w:vAlign w:val="center"/>
          </w:tcPr>
          <w:p w14:paraId="47B1D145">
            <w:pPr>
              <w:pStyle w:val="87"/>
              <w:keepNext w:val="0"/>
              <w:keepLines w:val="0"/>
              <w:suppressLineNumbers w:val="0"/>
              <w:spacing w:before="0" w:beforeAutospacing="0" w:after="0" w:afterAutospacing="0"/>
              <w:ind w:left="0" w:right="0"/>
              <w:rPr>
                <w:rFonts w:hint="default"/>
                <w:color w:val="auto"/>
              </w:rPr>
            </w:pPr>
            <w:r>
              <w:rPr>
                <w:rFonts w:hint="default"/>
                <w:color w:val="auto"/>
              </w:rPr>
              <w:t>长期</w:t>
            </w:r>
          </w:p>
        </w:tc>
        <w:tc>
          <w:tcPr>
            <w:tcW w:w="617" w:type="dxa"/>
            <w:vAlign w:val="center"/>
          </w:tcPr>
          <w:p w14:paraId="0BB61A8A">
            <w:pPr>
              <w:pStyle w:val="87"/>
              <w:keepNext w:val="0"/>
              <w:keepLines w:val="0"/>
              <w:suppressLineNumbers w:val="0"/>
              <w:spacing w:before="0" w:beforeAutospacing="0" w:after="0" w:afterAutospacing="0"/>
              <w:ind w:left="0" w:right="0"/>
              <w:rPr>
                <w:rFonts w:hint="default"/>
                <w:color w:val="auto"/>
              </w:rPr>
            </w:pPr>
            <w:r>
              <w:rPr>
                <w:rFonts w:hint="default"/>
                <w:color w:val="auto"/>
              </w:rPr>
              <w:t>短期</w:t>
            </w:r>
          </w:p>
        </w:tc>
        <w:tc>
          <w:tcPr>
            <w:tcW w:w="617" w:type="dxa"/>
            <w:vAlign w:val="center"/>
          </w:tcPr>
          <w:p w14:paraId="6424C4C5">
            <w:pPr>
              <w:pStyle w:val="87"/>
              <w:keepNext w:val="0"/>
              <w:keepLines w:val="0"/>
              <w:suppressLineNumbers w:val="0"/>
              <w:spacing w:before="0" w:beforeAutospacing="0" w:after="0" w:afterAutospacing="0"/>
              <w:ind w:left="0" w:right="0"/>
              <w:rPr>
                <w:rFonts w:hint="default"/>
                <w:color w:val="auto"/>
              </w:rPr>
            </w:pPr>
            <w:r>
              <w:rPr>
                <w:rFonts w:hint="default"/>
                <w:color w:val="auto"/>
              </w:rPr>
              <w:t>有利</w:t>
            </w:r>
          </w:p>
        </w:tc>
        <w:tc>
          <w:tcPr>
            <w:tcW w:w="618" w:type="dxa"/>
            <w:vAlign w:val="center"/>
          </w:tcPr>
          <w:p w14:paraId="719DB2F3">
            <w:pPr>
              <w:pStyle w:val="87"/>
              <w:keepNext w:val="0"/>
              <w:keepLines w:val="0"/>
              <w:suppressLineNumbers w:val="0"/>
              <w:spacing w:before="0" w:beforeAutospacing="0" w:after="0" w:afterAutospacing="0"/>
              <w:ind w:left="0" w:right="0"/>
              <w:rPr>
                <w:rFonts w:hint="default"/>
                <w:color w:val="auto"/>
              </w:rPr>
            </w:pPr>
            <w:r>
              <w:rPr>
                <w:rFonts w:hint="default"/>
                <w:color w:val="auto"/>
              </w:rPr>
              <w:t>不利</w:t>
            </w:r>
          </w:p>
        </w:tc>
      </w:tr>
      <w:tr w14:paraId="7F844E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609" w:type="dxa"/>
            <w:vMerge w:val="restart"/>
            <w:vAlign w:val="center"/>
          </w:tcPr>
          <w:p w14:paraId="3CC53593">
            <w:pPr>
              <w:pStyle w:val="87"/>
              <w:keepNext w:val="0"/>
              <w:keepLines w:val="0"/>
              <w:suppressLineNumbers w:val="0"/>
              <w:spacing w:before="0" w:beforeAutospacing="0" w:after="0" w:afterAutospacing="0"/>
              <w:ind w:left="0" w:right="0"/>
              <w:rPr>
                <w:rFonts w:hint="default"/>
                <w:color w:val="auto"/>
              </w:rPr>
            </w:pPr>
            <w:r>
              <w:rPr>
                <w:rFonts w:hint="default"/>
                <w:color w:val="auto"/>
              </w:rPr>
              <w:t>施</w:t>
            </w:r>
          </w:p>
          <w:p w14:paraId="74A521DD">
            <w:pPr>
              <w:pStyle w:val="87"/>
              <w:keepNext w:val="0"/>
              <w:keepLines w:val="0"/>
              <w:suppressLineNumbers w:val="0"/>
              <w:spacing w:before="0" w:beforeAutospacing="0" w:after="0" w:afterAutospacing="0"/>
              <w:ind w:left="0" w:right="0"/>
              <w:rPr>
                <w:rFonts w:hint="default"/>
                <w:color w:val="auto"/>
              </w:rPr>
            </w:pPr>
            <w:r>
              <w:rPr>
                <w:rFonts w:hint="default"/>
                <w:color w:val="auto"/>
              </w:rPr>
              <w:t>工</w:t>
            </w:r>
          </w:p>
          <w:p w14:paraId="7E1116D7">
            <w:pPr>
              <w:pStyle w:val="87"/>
              <w:keepNext w:val="0"/>
              <w:keepLines w:val="0"/>
              <w:suppressLineNumbers w:val="0"/>
              <w:spacing w:before="0" w:beforeAutospacing="0" w:after="0" w:afterAutospacing="0"/>
              <w:ind w:left="0" w:right="0"/>
              <w:rPr>
                <w:rFonts w:hint="default"/>
                <w:color w:val="auto"/>
              </w:rPr>
            </w:pPr>
            <w:r>
              <w:rPr>
                <w:rFonts w:hint="default"/>
                <w:color w:val="auto"/>
              </w:rPr>
              <w:t>期</w:t>
            </w:r>
          </w:p>
        </w:tc>
        <w:tc>
          <w:tcPr>
            <w:tcW w:w="2669" w:type="dxa"/>
            <w:vAlign w:val="center"/>
          </w:tcPr>
          <w:p w14:paraId="70A6242C">
            <w:pPr>
              <w:pStyle w:val="87"/>
              <w:keepNext w:val="0"/>
              <w:keepLines w:val="0"/>
              <w:suppressLineNumbers w:val="0"/>
              <w:spacing w:before="0" w:beforeAutospacing="0" w:after="0" w:afterAutospacing="0"/>
              <w:ind w:left="0" w:right="0"/>
              <w:rPr>
                <w:rFonts w:hint="default"/>
                <w:color w:val="auto"/>
              </w:rPr>
            </w:pPr>
            <w:r>
              <w:rPr>
                <w:rFonts w:hint="default"/>
                <w:color w:val="auto"/>
              </w:rPr>
              <w:t>物料运输</w:t>
            </w:r>
          </w:p>
        </w:tc>
        <w:tc>
          <w:tcPr>
            <w:tcW w:w="1707" w:type="dxa"/>
            <w:vAlign w:val="center"/>
          </w:tcPr>
          <w:p w14:paraId="30C6A5BE">
            <w:pPr>
              <w:pStyle w:val="87"/>
              <w:keepNext w:val="0"/>
              <w:keepLines w:val="0"/>
              <w:suppressLineNumbers w:val="0"/>
              <w:spacing w:before="0" w:beforeAutospacing="0" w:after="0" w:afterAutospacing="0"/>
              <w:ind w:left="0" w:right="0"/>
              <w:rPr>
                <w:rFonts w:hint="default"/>
                <w:color w:val="auto"/>
              </w:rPr>
            </w:pPr>
            <w:r>
              <w:rPr>
                <w:rFonts w:hint="default"/>
                <w:color w:val="auto"/>
              </w:rPr>
              <w:t>扬尘、废气、噪声</w:t>
            </w:r>
          </w:p>
        </w:tc>
        <w:tc>
          <w:tcPr>
            <w:tcW w:w="1732" w:type="dxa"/>
            <w:vAlign w:val="center"/>
          </w:tcPr>
          <w:p w14:paraId="4FD14A4E">
            <w:pPr>
              <w:pStyle w:val="87"/>
              <w:keepNext w:val="0"/>
              <w:keepLines w:val="0"/>
              <w:suppressLineNumbers w:val="0"/>
              <w:spacing w:before="0" w:beforeAutospacing="0" w:after="0" w:afterAutospacing="0"/>
              <w:ind w:left="0" w:right="0"/>
              <w:rPr>
                <w:rFonts w:hint="default"/>
                <w:color w:val="auto"/>
              </w:rPr>
            </w:pPr>
            <w:r>
              <w:rPr>
                <w:rFonts w:hint="default"/>
                <w:color w:val="auto"/>
              </w:rPr>
              <w:t>大气环境、声环境</w:t>
            </w:r>
          </w:p>
        </w:tc>
        <w:tc>
          <w:tcPr>
            <w:tcW w:w="617" w:type="dxa"/>
            <w:vAlign w:val="center"/>
          </w:tcPr>
          <w:p w14:paraId="2B1C7BD6">
            <w:pPr>
              <w:pStyle w:val="87"/>
              <w:keepNext w:val="0"/>
              <w:keepLines w:val="0"/>
              <w:suppressLineNumbers w:val="0"/>
              <w:spacing w:before="0" w:beforeAutospacing="0" w:after="0" w:afterAutospacing="0"/>
              <w:ind w:left="0" w:right="0"/>
              <w:rPr>
                <w:rFonts w:hint="default"/>
                <w:color w:val="auto"/>
              </w:rPr>
            </w:pPr>
          </w:p>
        </w:tc>
        <w:tc>
          <w:tcPr>
            <w:tcW w:w="617" w:type="dxa"/>
            <w:vAlign w:val="center"/>
          </w:tcPr>
          <w:p w14:paraId="7EC790FD">
            <w:pPr>
              <w:pStyle w:val="87"/>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617" w:type="dxa"/>
            <w:vAlign w:val="center"/>
          </w:tcPr>
          <w:p w14:paraId="4912285B">
            <w:pPr>
              <w:pStyle w:val="87"/>
              <w:keepNext w:val="0"/>
              <w:keepLines w:val="0"/>
              <w:suppressLineNumbers w:val="0"/>
              <w:spacing w:before="0" w:beforeAutospacing="0" w:after="0" w:afterAutospacing="0"/>
              <w:ind w:left="0" w:right="0"/>
              <w:rPr>
                <w:rFonts w:hint="default"/>
                <w:color w:val="auto"/>
              </w:rPr>
            </w:pPr>
          </w:p>
        </w:tc>
        <w:tc>
          <w:tcPr>
            <w:tcW w:w="618" w:type="dxa"/>
            <w:vAlign w:val="center"/>
          </w:tcPr>
          <w:p w14:paraId="58A2FB02">
            <w:pPr>
              <w:pStyle w:val="87"/>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62E507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11BC99E5">
            <w:pPr>
              <w:pStyle w:val="87"/>
              <w:keepNext w:val="0"/>
              <w:keepLines w:val="0"/>
              <w:suppressLineNumbers w:val="0"/>
              <w:spacing w:before="0" w:beforeAutospacing="0" w:after="0" w:afterAutospacing="0"/>
              <w:ind w:left="0" w:right="0"/>
              <w:rPr>
                <w:rFonts w:hint="default"/>
                <w:color w:val="auto"/>
              </w:rPr>
            </w:pPr>
          </w:p>
        </w:tc>
        <w:tc>
          <w:tcPr>
            <w:tcW w:w="2669" w:type="dxa"/>
            <w:vAlign w:val="center"/>
          </w:tcPr>
          <w:p w14:paraId="0B68A968">
            <w:pPr>
              <w:pStyle w:val="87"/>
              <w:keepNext w:val="0"/>
              <w:keepLines w:val="0"/>
              <w:suppressLineNumbers w:val="0"/>
              <w:spacing w:before="0" w:beforeAutospacing="0" w:after="0" w:afterAutospacing="0"/>
              <w:ind w:left="0" w:right="0"/>
              <w:rPr>
                <w:rFonts w:hint="default"/>
                <w:color w:val="auto"/>
              </w:rPr>
            </w:pPr>
            <w:r>
              <w:rPr>
                <w:rFonts w:hint="default"/>
                <w:color w:val="auto"/>
              </w:rPr>
              <w:t>设备安装与调整</w:t>
            </w:r>
          </w:p>
        </w:tc>
        <w:tc>
          <w:tcPr>
            <w:tcW w:w="1707" w:type="dxa"/>
            <w:vAlign w:val="center"/>
          </w:tcPr>
          <w:p w14:paraId="4937ABA2">
            <w:pPr>
              <w:pStyle w:val="87"/>
              <w:keepNext w:val="0"/>
              <w:keepLines w:val="0"/>
              <w:suppressLineNumbers w:val="0"/>
              <w:spacing w:before="0" w:beforeAutospacing="0" w:after="0" w:afterAutospacing="0"/>
              <w:ind w:left="0" w:right="0"/>
              <w:rPr>
                <w:rFonts w:hint="default"/>
                <w:color w:val="auto"/>
              </w:rPr>
            </w:pPr>
            <w:r>
              <w:rPr>
                <w:rFonts w:hint="default"/>
                <w:color w:val="auto"/>
              </w:rPr>
              <w:t>噪声</w:t>
            </w:r>
          </w:p>
        </w:tc>
        <w:tc>
          <w:tcPr>
            <w:tcW w:w="1732" w:type="dxa"/>
            <w:vAlign w:val="center"/>
          </w:tcPr>
          <w:p w14:paraId="77C0502C">
            <w:pPr>
              <w:pStyle w:val="87"/>
              <w:keepNext w:val="0"/>
              <w:keepLines w:val="0"/>
              <w:suppressLineNumbers w:val="0"/>
              <w:spacing w:before="0" w:beforeAutospacing="0" w:after="0" w:afterAutospacing="0"/>
              <w:ind w:left="0" w:right="0"/>
              <w:rPr>
                <w:rFonts w:hint="default"/>
                <w:color w:val="auto"/>
              </w:rPr>
            </w:pPr>
            <w:r>
              <w:rPr>
                <w:rFonts w:hint="default"/>
                <w:color w:val="auto"/>
              </w:rPr>
              <w:t>声环境</w:t>
            </w:r>
          </w:p>
        </w:tc>
        <w:tc>
          <w:tcPr>
            <w:tcW w:w="617" w:type="dxa"/>
            <w:vAlign w:val="center"/>
          </w:tcPr>
          <w:p w14:paraId="27D09E86">
            <w:pPr>
              <w:pStyle w:val="87"/>
              <w:keepNext w:val="0"/>
              <w:keepLines w:val="0"/>
              <w:suppressLineNumbers w:val="0"/>
              <w:spacing w:before="0" w:beforeAutospacing="0" w:after="0" w:afterAutospacing="0"/>
              <w:ind w:left="0" w:right="0"/>
              <w:rPr>
                <w:rFonts w:hint="default"/>
                <w:color w:val="auto"/>
              </w:rPr>
            </w:pPr>
          </w:p>
        </w:tc>
        <w:tc>
          <w:tcPr>
            <w:tcW w:w="617" w:type="dxa"/>
            <w:vAlign w:val="center"/>
          </w:tcPr>
          <w:p w14:paraId="095E3BF2">
            <w:pPr>
              <w:pStyle w:val="87"/>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617" w:type="dxa"/>
            <w:vAlign w:val="center"/>
          </w:tcPr>
          <w:p w14:paraId="7F2E6E67">
            <w:pPr>
              <w:pStyle w:val="87"/>
              <w:keepNext w:val="0"/>
              <w:keepLines w:val="0"/>
              <w:suppressLineNumbers w:val="0"/>
              <w:spacing w:before="0" w:beforeAutospacing="0" w:after="0" w:afterAutospacing="0"/>
              <w:ind w:left="0" w:right="0"/>
              <w:rPr>
                <w:rFonts w:hint="default"/>
                <w:color w:val="auto"/>
              </w:rPr>
            </w:pPr>
          </w:p>
        </w:tc>
        <w:tc>
          <w:tcPr>
            <w:tcW w:w="618" w:type="dxa"/>
            <w:vAlign w:val="center"/>
          </w:tcPr>
          <w:p w14:paraId="334E6E2A">
            <w:pPr>
              <w:pStyle w:val="87"/>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71060C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0767C120">
            <w:pPr>
              <w:pStyle w:val="87"/>
              <w:keepNext w:val="0"/>
              <w:keepLines w:val="0"/>
              <w:suppressLineNumbers w:val="0"/>
              <w:spacing w:before="0" w:beforeAutospacing="0" w:after="0" w:afterAutospacing="0"/>
              <w:ind w:left="0" w:right="0"/>
              <w:rPr>
                <w:rFonts w:hint="default"/>
                <w:color w:val="auto"/>
              </w:rPr>
            </w:pPr>
          </w:p>
        </w:tc>
        <w:tc>
          <w:tcPr>
            <w:tcW w:w="2669" w:type="dxa"/>
            <w:vAlign w:val="center"/>
          </w:tcPr>
          <w:p w14:paraId="326890B6">
            <w:pPr>
              <w:pStyle w:val="87"/>
              <w:keepNext w:val="0"/>
              <w:keepLines w:val="0"/>
              <w:suppressLineNumbers w:val="0"/>
              <w:spacing w:before="0" w:beforeAutospacing="0" w:after="0" w:afterAutospacing="0"/>
              <w:ind w:left="0" w:right="0"/>
              <w:rPr>
                <w:rFonts w:hint="default"/>
                <w:color w:val="auto"/>
              </w:rPr>
            </w:pPr>
            <w:r>
              <w:rPr>
                <w:rFonts w:hint="default"/>
                <w:color w:val="auto"/>
              </w:rPr>
              <w:t>施工机械、车辆</w:t>
            </w:r>
          </w:p>
        </w:tc>
        <w:tc>
          <w:tcPr>
            <w:tcW w:w="1707" w:type="dxa"/>
            <w:vAlign w:val="center"/>
          </w:tcPr>
          <w:p w14:paraId="708476C6">
            <w:pPr>
              <w:pStyle w:val="87"/>
              <w:keepNext w:val="0"/>
              <w:keepLines w:val="0"/>
              <w:suppressLineNumbers w:val="0"/>
              <w:spacing w:before="0" w:beforeAutospacing="0" w:after="0" w:afterAutospacing="0"/>
              <w:ind w:left="0" w:right="0"/>
              <w:rPr>
                <w:rFonts w:hint="default"/>
                <w:color w:val="auto"/>
              </w:rPr>
            </w:pPr>
            <w:r>
              <w:rPr>
                <w:rFonts w:hint="default"/>
                <w:color w:val="auto"/>
              </w:rPr>
              <w:t>废气</w:t>
            </w:r>
          </w:p>
        </w:tc>
        <w:tc>
          <w:tcPr>
            <w:tcW w:w="1732" w:type="dxa"/>
            <w:vAlign w:val="center"/>
          </w:tcPr>
          <w:p w14:paraId="24CD6FE9">
            <w:pPr>
              <w:pStyle w:val="87"/>
              <w:keepNext w:val="0"/>
              <w:keepLines w:val="0"/>
              <w:suppressLineNumbers w:val="0"/>
              <w:spacing w:before="0" w:beforeAutospacing="0" w:after="0" w:afterAutospacing="0"/>
              <w:ind w:left="0" w:right="0"/>
              <w:rPr>
                <w:rFonts w:hint="default"/>
                <w:color w:val="auto"/>
              </w:rPr>
            </w:pPr>
            <w:r>
              <w:rPr>
                <w:rFonts w:hint="default"/>
                <w:color w:val="auto"/>
              </w:rPr>
              <w:t>大气环境</w:t>
            </w:r>
          </w:p>
        </w:tc>
        <w:tc>
          <w:tcPr>
            <w:tcW w:w="617" w:type="dxa"/>
            <w:vAlign w:val="center"/>
          </w:tcPr>
          <w:p w14:paraId="784AF95C">
            <w:pPr>
              <w:pStyle w:val="87"/>
              <w:keepNext w:val="0"/>
              <w:keepLines w:val="0"/>
              <w:suppressLineNumbers w:val="0"/>
              <w:spacing w:before="0" w:beforeAutospacing="0" w:after="0" w:afterAutospacing="0"/>
              <w:ind w:left="0" w:right="0"/>
              <w:rPr>
                <w:rFonts w:hint="default"/>
                <w:color w:val="auto"/>
              </w:rPr>
            </w:pPr>
          </w:p>
        </w:tc>
        <w:tc>
          <w:tcPr>
            <w:tcW w:w="617" w:type="dxa"/>
            <w:vAlign w:val="center"/>
          </w:tcPr>
          <w:p w14:paraId="6F4D35B5">
            <w:pPr>
              <w:pStyle w:val="87"/>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617" w:type="dxa"/>
            <w:vAlign w:val="center"/>
          </w:tcPr>
          <w:p w14:paraId="00124131">
            <w:pPr>
              <w:pStyle w:val="87"/>
              <w:keepNext w:val="0"/>
              <w:keepLines w:val="0"/>
              <w:suppressLineNumbers w:val="0"/>
              <w:spacing w:before="0" w:beforeAutospacing="0" w:after="0" w:afterAutospacing="0"/>
              <w:ind w:left="0" w:right="0"/>
              <w:rPr>
                <w:rFonts w:hint="default"/>
                <w:color w:val="auto"/>
              </w:rPr>
            </w:pPr>
          </w:p>
        </w:tc>
        <w:tc>
          <w:tcPr>
            <w:tcW w:w="618" w:type="dxa"/>
            <w:vAlign w:val="center"/>
          </w:tcPr>
          <w:p w14:paraId="575B9F95">
            <w:pPr>
              <w:pStyle w:val="87"/>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36F56C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101929F1">
            <w:pPr>
              <w:pStyle w:val="87"/>
              <w:keepNext w:val="0"/>
              <w:keepLines w:val="0"/>
              <w:suppressLineNumbers w:val="0"/>
              <w:spacing w:before="0" w:beforeAutospacing="0" w:after="0" w:afterAutospacing="0"/>
              <w:ind w:left="0" w:right="0"/>
              <w:rPr>
                <w:rFonts w:hint="default"/>
                <w:color w:val="auto"/>
              </w:rPr>
            </w:pPr>
          </w:p>
        </w:tc>
        <w:tc>
          <w:tcPr>
            <w:tcW w:w="2669" w:type="dxa"/>
            <w:vAlign w:val="center"/>
          </w:tcPr>
          <w:p w14:paraId="306ACE01">
            <w:pPr>
              <w:pStyle w:val="87"/>
              <w:keepNext w:val="0"/>
              <w:keepLines w:val="0"/>
              <w:suppressLineNumbers w:val="0"/>
              <w:spacing w:before="0" w:beforeAutospacing="0" w:after="0" w:afterAutospacing="0"/>
              <w:ind w:left="0" w:right="0"/>
              <w:rPr>
                <w:rFonts w:hint="default"/>
                <w:color w:val="auto"/>
              </w:rPr>
            </w:pPr>
            <w:r>
              <w:rPr>
                <w:rFonts w:hint="default"/>
                <w:color w:val="auto"/>
              </w:rPr>
              <w:t>施工废弃垃圾、生活垃圾</w:t>
            </w:r>
          </w:p>
        </w:tc>
        <w:tc>
          <w:tcPr>
            <w:tcW w:w="1707" w:type="dxa"/>
            <w:vAlign w:val="center"/>
          </w:tcPr>
          <w:p w14:paraId="0C6DD2D6">
            <w:pPr>
              <w:pStyle w:val="87"/>
              <w:keepNext w:val="0"/>
              <w:keepLines w:val="0"/>
              <w:suppressLineNumbers w:val="0"/>
              <w:spacing w:before="0" w:beforeAutospacing="0" w:after="0" w:afterAutospacing="0"/>
              <w:ind w:left="0" w:right="0"/>
              <w:rPr>
                <w:rFonts w:hint="default"/>
                <w:color w:val="auto"/>
              </w:rPr>
            </w:pPr>
            <w:r>
              <w:rPr>
                <w:rFonts w:hint="default"/>
                <w:color w:val="auto"/>
              </w:rPr>
              <w:t>固体废物</w:t>
            </w:r>
          </w:p>
        </w:tc>
        <w:tc>
          <w:tcPr>
            <w:tcW w:w="1732" w:type="dxa"/>
            <w:vAlign w:val="center"/>
          </w:tcPr>
          <w:p w14:paraId="6C3E0061">
            <w:pPr>
              <w:pStyle w:val="87"/>
              <w:keepNext w:val="0"/>
              <w:keepLines w:val="0"/>
              <w:suppressLineNumbers w:val="0"/>
              <w:spacing w:before="0" w:beforeAutospacing="0" w:after="0" w:afterAutospacing="0"/>
              <w:ind w:left="0" w:right="0"/>
              <w:rPr>
                <w:rFonts w:hint="default"/>
                <w:color w:val="auto"/>
              </w:rPr>
            </w:pPr>
            <w:r>
              <w:rPr>
                <w:rFonts w:hint="default"/>
                <w:color w:val="auto"/>
              </w:rPr>
              <w:t>生态环境</w:t>
            </w:r>
          </w:p>
        </w:tc>
        <w:tc>
          <w:tcPr>
            <w:tcW w:w="617" w:type="dxa"/>
            <w:vAlign w:val="center"/>
          </w:tcPr>
          <w:p w14:paraId="21A182A0">
            <w:pPr>
              <w:pStyle w:val="87"/>
              <w:keepNext w:val="0"/>
              <w:keepLines w:val="0"/>
              <w:suppressLineNumbers w:val="0"/>
              <w:spacing w:before="0" w:beforeAutospacing="0" w:after="0" w:afterAutospacing="0"/>
              <w:ind w:left="0" w:right="0"/>
              <w:rPr>
                <w:rFonts w:hint="default"/>
                <w:color w:val="auto"/>
              </w:rPr>
            </w:pPr>
          </w:p>
        </w:tc>
        <w:tc>
          <w:tcPr>
            <w:tcW w:w="617" w:type="dxa"/>
            <w:vAlign w:val="center"/>
          </w:tcPr>
          <w:p w14:paraId="4C1CF17E">
            <w:pPr>
              <w:pStyle w:val="87"/>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617" w:type="dxa"/>
            <w:vAlign w:val="center"/>
          </w:tcPr>
          <w:p w14:paraId="0D693F8D">
            <w:pPr>
              <w:pStyle w:val="87"/>
              <w:keepNext w:val="0"/>
              <w:keepLines w:val="0"/>
              <w:suppressLineNumbers w:val="0"/>
              <w:spacing w:before="0" w:beforeAutospacing="0" w:after="0" w:afterAutospacing="0"/>
              <w:ind w:left="0" w:right="0"/>
              <w:rPr>
                <w:rFonts w:hint="default"/>
                <w:color w:val="auto"/>
              </w:rPr>
            </w:pPr>
          </w:p>
        </w:tc>
        <w:tc>
          <w:tcPr>
            <w:tcW w:w="618" w:type="dxa"/>
            <w:vAlign w:val="center"/>
          </w:tcPr>
          <w:p w14:paraId="19B7B05C">
            <w:pPr>
              <w:pStyle w:val="87"/>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7C1AA9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39" w:hRule="atLeast"/>
          <w:jc w:val="center"/>
        </w:trPr>
        <w:tc>
          <w:tcPr>
            <w:tcW w:w="609" w:type="dxa"/>
            <w:vMerge w:val="restart"/>
            <w:vAlign w:val="center"/>
          </w:tcPr>
          <w:p w14:paraId="004B6623">
            <w:pPr>
              <w:pStyle w:val="87"/>
              <w:keepNext w:val="0"/>
              <w:keepLines w:val="0"/>
              <w:suppressLineNumbers w:val="0"/>
              <w:spacing w:before="0" w:beforeAutospacing="0" w:after="0" w:afterAutospacing="0"/>
              <w:ind w:left="0" w:right="0"/>
              <w:rPr>
                <w:rFonts w:hint="default"/>
                <w:color w:val="auto"/>
              </w:rPr>
            </w:pPr>
            <w:r>
              <w:rPr>
                <w:rFonts w:hint="default"/>
                <w:color w:val="auto"/>
              </w:rPr>
              <w:t>运</w:t>
            </w:r>
          </w:p>
          <w:p w14:paraId="6799F639">
            <w:pPr>
              <w:pStyle w:val="87"/>
              <w:keepNext w:val="0"/>
              <w:keepLines w:val="0"/>
              <w:suppressLineNumbers w:val="0"/>
              <w:spacing w:before="0" w:beforeAutospacing="0" w:after="0" w:afterAutospacing="0"/>
              <w:ind w:left="0" w:right="0"/>
              <w:rPr>
                <w:rFonts w:hint="default"/>
                <w:color w:val="auto"/>
              </w:rPr>
            </w:pPr>
            <w:r>
              <w:rPr>
                <w:rFonts w:hint="default"/>
                <w:color w:val="auto"/>
              </w:rPr>
              <w:t>营</w:t>
            </w:r>
          </w:p>
          <w:p w14:paraId="1887DAAD">
            <w:pPr>
              <w:pStyle w:val="87"/>
              <w:keepNext w:val="0"/>
              <w:keepLines w:val="0"/>
              <w:suppressLineNumbers w:val="0"/>
              <w:spacing w:before="0" w:beforeAutospacing="0" w:after="0" w:afterAutospacing="0"/>
              <w:ind w:left="0" w:right="0"/>
              <w:rPr>
                <w:rFonts w:hint="default"/>
                <w:color w:val="auto"/>
              </w:rPr>
            </w:pPr>
            <w:r>
              <w:rPr>
                <w:rFonts w:hint="default"/>
                <w:color w:val="auto"/>
              </w:rPr>
              <w:t>期</w:t>
            </w:r>
          </w:p>
        </w:tc>
        <w:tc>
          <w:tcPr>
            <w:tcW w:w="2669" w:type="dxa"/>
            <w:vAlign w:val="center"/>
          </w:tcPr>
          <w:p w14:paraId="2EDCEB47">
            <w:pPr>
              <w:pStyle w:val="87"/>
              <w:keepNext w:val="0"/>
              <w:keepLines w:val="0"/>
              <w:suppressLineNumbers w:val="0"/>
              <w:spacing w:before="0" w:beforeAutospacing="0" w:after="0" w:afterAutospacing="0"/>
              <w:ind w:left="0" w:right="0"/>
              <w:rPr>
                <w:rFonts w:hint="default"/>
                <w:color w:val="auto"/>
              </w:rPr>
            </w:pPr>
            <w:r>
              <w:rPr>
                <w:rFonts w:hint="default"/>
                <w:color w:val="auto"/>
              </w:rPr>
              <w:t>到港船舶废水</w:t>
            </w:r>
          </w:p>
        </w:tc>
        <w:tc>
          <w:tcPr>
            <w:tcW w:w="1707" w:type="dxa"/>
            <w:vAlign w:val="center"/>
          </w:tcPr>
          <w:p w14:paraId="6C3AC0C2">
            <w:pPr>
              <w:pStyle w:val="87"/>
              <w:keepNext w:val="0"/>
              <w:keepLines w:val="0"/>
              <w:suppressLineNumbers w:val="0"/>
              <w:spacing w:before="0" w:beforeAutospacing="0" w:after="0" w:afterAutospacing="0"/>
              <w:ind w:left="0" w:right="0"/>
              <w:rPr>
                <w:rFonts w:hint="default"/>
                <w:color w:val="auto"/>
              </w:rPr>
            </w:pPr>
            <w:r>
              <w:rPr>
                <w:rFonts w:hint="default"/>
                <w:color w:val="auto"/>
              </w:rPr>
              <w:t>废水</w:t>
            </w:r>
          </w:p>
        </w:tc>
        <w:tc>
          <w:tcPr>
            <w:tcW w:w="1732" w:type="dxa"/>
            <w:vAlign w:val="center"/>
          </w:tcPr>
          <w:p w14:paraId="2501B4A2">
            <w:pPr>
              <w:pStyle w:val="87"/>
              <w:keepNext w:val="0"/>
              <w:keepLines w:val="0"/>
              <w:suppressLineNumbers w:val="0"/>
              <w:spacing w:before="0" w:beforeAutospacing="0" w:after="0" w:afterAutospacing="0"/>
              <w:ind w:left="0" w:right="0"/>
              <w:rPr>
                <w:rFonts w:hint="default"/>
                <w:color w:val="auto"/>
              </w:rPr>
            </w:pPr>
            <w:r>
              <w:rPr>
                <w:rFonts w:hint="default"/>
                <w:color w:val="auto"/>
              </w:rPr>
              <w:t>水环境</w:t>
            </w:r>
          </w:p>
        </w:tc>
        <w:tc>
          <w:tcPr>
            <w:tcW w:w="617" w:type="dxa"/>
            <w:vAlign w:val="center"/>
          </w:tcPr>
          <w:p w14:paraId="4D7B82E4">
            <w:pPr>
              <w:pStyle w:val="87"/>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617" w:type="dxa"/>
            <w:vAlign w:val="center"/>
          </w:tcPr>
          <w:p w14:paraId="16594F14">
            <w:pPr>
              <w:pStyle w:val="87"/>
              <w:keepNext w:val="0"/>
              <w:keepLines w:val="0"/>
              <w:suppressLineNumbers w:val="0"/>
              <w:spacing w:before="0" w:beforeAutospacing="0" w:after="0" w:afterAutospacing="0"/>
              <w:ind w:left="0" w:right="0"/>
              <w:rPr>
                <w:rFonts w:hint="default"/>
                <w:color w:val="auto"/>
              </w:rPr>
            </w:pPr>
          </w:p>
        </w:tc>
        <w:tc>
          <w:tcPr>
            <w:tcW w:w="617" w:type="dxa"/>
            <w:vAlign w:val="center"/>
          </w:tcPr>
          <w:p w14:paraId="7B3B7B78">
            <w:pPr>
              <w:pStyle w:val="87"/>
              <w:keepNext w:val="0"/>
              <w:keepLines w:val="0"/>
              <w:suppressLineNumbers w:val="0"/>
              <w:spacing w:before="0" w:beforeAutospacing="0" w:after="0" w:afterAutospacing="0"/>
              <w:ind w:left="0" w:right="0"/>
              <w:rPr>
                <w:rFonts w:hint="default"/>
                <w:color w:val="auto"/>
              </w:rPr>
            </w:pPr>
          </w:p>
        </w:tc>
        <w:tc>
          <w:tcPr>
            <w:tcW w:w="618" w:type="dxa"/>
            <w:vAlign w:val="center"/>
          </w:tcPr>
          <w:p w14:paraId="33FC9631">
            <w:pPr>
              <w:pStyle w:val="87"/>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431C91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25DF831E">
            <w:pPr>
              <w:pStyle w:val="87"/>
              <w:keepNext w:val="0"/>
              <w:keepLines w:val="0"/>
              <w:suppressLineNumbers w:val="0"/>
              <w:spacing w:before="0" w:beforeAutospacing="0" w:after="0" w:afterAutospacing="0"/>
              <w:ind w:left="0" w:right="0"/>
              <w:rPr>
                <w:rFonts w:hint="default"/>
                <w:color w:val="auto"/>
              </w:rPr>
            </w:pPr>
          </w:p>
        </w:tc>
        <w:tc>
          <w:tcPr>
            <w:tcW w:w="2669" w:type="dxa"/>
            <w:vAlign w:val="center"/>
          </w:tcPr>
          <w:p w14:paraId="0AB5C9FA">
            <w:pPr>
              <w:pStyle w:val="87"/>
              <w:keepNext w:val="0"/>
              <w:keepLines w:val="0"/>
              <w:suppressLineNumbers w:val="0"/>
              <w:spacing w:before="0" w:beforeAutospacing="0" w:after="0" w:afterAutospacing="0"/>
              <w:ind w:left="0" w:right="0"/>
              <w:rPr>
                <w:rFonts w:hint="default"/>
                <w:color w:val="auto"/>
              </w:rPr>
            </w:pPr>
            <w:r>
              <w:rPr>
                <w:rFonts w:hint="default"/>
                <w:color w:val="auto"/>
              </w:rPr>
              <w:t>货物装卸及运输、到港船舶</w:t>
            </w:r>
          </w:p>
        </w:tc>
        <w:tc>
          <w:tcPr>
            <w:tcW w:w="1707" w:type="dxa"/>
            <w:vAlign w:val="center"/>
          </w:tcPr>
          <w:p w14:paraId="7B123882">
            <w:pPr>
              <w:pStyle w:val="87"/>
              <w:keepNext w:val="0"/>
              <w:keepLines w:val="0"/>
              <w:suppressLineNumbers w:val="0"/>
              <w:spacing w:before="0" w:beforeAutospacing="0" w:after="0" w:afterAutospacing="0"/>
              <w:ind w:left="0" w:right="0"/>
              <w:rPr>
                <w:rFonts w:hint="default"/>
                <w:color w:val="auto"/>
              </w:rPr>
            </w:pPr>
            <w:r>
              <w:rPr>
                <w:rFonts w:hint="default"/>
                <w:color w:val="auto"/>
              </w:rPr>
              <w:t>噪声</w:t>
            </w:r>
          </w:p>
        </w:tc>
        <w:tc>
          <w:tcPr>
            <w:tcW w:w="1732" w:type="dxa"/>
            <w:vAlign w:val="center"/>
          </w:tcPr>
          <w:p w14:paraId="050ED861">
            <w:pPr>
              <w:pStyle w:val="87"/>
              <w:keepNext w:val="0"/>
              <w:keepLines w:val="0"/>
              <w:suppressLineNumbers w:val="0"/>
              <w:spacing w:before="0" w:beforeAutospacing="0" w:after="0" w:afterAutospacing="0"/>
              <w:ind w:left="0" w:right="0"/>
              <w:rPr>
                <w:rFonts w:hint="default"/>
                <w:color w:val="auto"/>
              </w:rPr>
            </w:pPr>
            <w:r>
              <w:rPr>
                <w:rFonts w:hint="default"/>
                <w:color w:val="auto"/>
              </w:rPr>
              <w:t>声环境</w:t>
            </w:r>
          </w:p>
        </w:tc>
        <w:tc>
          <w:tcPr>
            <w:tcW w:w="617" w:type="dxa"/>
            <w:vAlign w:val="center"/>
          </w:tcPr>
          <w:p w14:paraId="258FAC2D">
            <w:pPr>
              <w:pStyle w:val="87"/>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617" w:type="dxa"/>
            <w:vAlign w:val="center"/>
          </w:tcPr>
          <w:p w14:paraId="13CCF0E6">
            <w:pPr>
              <w:pStyle w:val="87"/>
              <w:keepNext w:val="0"/>
              <w:keepLines w:val="0"/>
              <w:suppressLineNumbers w:val="0"/>
              <w:spacing w:before="0" w:beforeAutospacing="0" w:after="0" w:afterAutospacing="0"/>
              <w:ind w:left="0" w:right="0"/>
              <w:rPr>
                <w:rFonts w:hint="default"/>
                <w:color w:val="auto"/>
              </w:rPr>
            </w:pPr>
          </w:p>
        </w:tc>
        <w:tc>
          <w:tcPr>
            <w:tcW w:w="617" w:type="dxa"/>
            <w:vAlign w:val="center"/>
          </w:tcPr>
          <w:p w14:paraId="38426406">
            <w:pPr>
              <w:pStyle w:val="87"/>
              <w:keepNext w:val="0"/>
              <w:keepLines w:val="0"/>
              <w:suppressLineNumbers w:val="0"/>
              <w:spacing w:before="0" w:beforeAutospacing="0" w:after="0" w:afterAutospacing="0"/>
              <w:ind w:left="0" w:right="0"/>
              <w:rPr>
                <w:rFonts w:hint="default"/>
                <w:color w:val="auto"/>
              </w:rPr>
            </w:pPr>
          </w:p>
        </w:tc>
        <w:tc>
          <w:tcPr>
            <w:tcW w:w="618" w:type="dxa"/>
            <w:vAlign w:val="center"/>
          </w:tcPr>
          <w:p w14:paraId="6604040F">
            <w:pPr>
              <w:pStyle w:val="87"/>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2BE48A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39F4DB17">
            <w:pPr>
              <w:pStyle w:val="87"/>
              <w:keepNext w:val="0"/>
              <w:keepLines w:val="0"/>
              <w:suppressLineNumbers w:val="0"/>
              <w:spacing w:before="0" w:beforeAutospacing="0" w:after="0" w:afterAutospacing="0"/>
              <w:ind w:left="0" w:right="0"/>
              <w:rPr>
                <w:rFonts w:hint="default"/>
                <w:color w:val="auto"/>
              </w:rPr>
            </w:pPr>
          </w:p>
        </w:tc>
        <w:tc>
          <w:tcPr>
            <w:tcW w:w="2669" w:type="dxa"/>
            <w:vAlign w:val="center"/>
          </w:tcPr>
          <w:p w14:paraId="0185CC83">
            <w:pPr>
              <w:pStyle w:val="87"/>
              <w:keepNext w:val="0"/>
              <w:keepLines w:val="0"/>
              <w:suppressLineNumbers w:val="0"/>
              <w:spacing w:before="0" w:beforeAutospacing="0" w:after="0" w:afterAutospacing="0"/>
              <w:ind w:left="0" w:right="0"/>
              <w:rPr>
                <w:rFonts w:hint="default"/>
                <w:color w:val="auto"/>
              </w:rPr>
            </w:pPr>
            <w:r>
              <w:rPr>
                <w:rFonts w:hint="default"/>
                <w:color w:val="auto"/>
              </w:rPr>
              <w:t>船舶固体废物、</w:t>
            </w:r>
            <w:r>
              <w:rPr>
                <w:rFonts w:hint="eastAsia"/>
                <w:color w:val="auto"/>
              </w:rPr>
              <w:t>维修废物</w:t>
            </w:r>
          </w:p>
        </w:tc>
        <w:tc>
          <w:tcPr>
            <w:tcW w:w="1707" w:type="dxa"/>
            <w:vAlign w:val="center"/>
          </w:tcPr>
          <w:p w14:paraId="05037830">
            <w:pPr>
              <w:pStyle w:val="87"/>
              <w:keepNext w:val="0"/>
              <w:keepLines w:val="0"/>
              <w:suppressLineNumbers w:val="0"/>
              <w:spacing w:before="0" w:beforeAutospacing="0" w:after="0" w:afterAutospacing="0"/>
              <w:ind w:left="0" w:right="0"/>
              <w:rPr>
                <w:rFonts w:hint="default"/>
                <w:color w:val="auto"/>
              </w:rPr>
            </w:pPr>
            <w:r>
              <w:rPr>
                <w:rFonts w:hint="default"/>
                <w:color w:val="auto"/>
              </w:rPr>
              <w:t>固体废物</w:t>
            </w:r>
          </w:p>
        </w:tc>
        <w:tc>
          <w:tcPr>
            <w:tcW w:w="1732" w:type="dxa"/>
            <w:vAlign w:val="center"/>
          </w:tcPr>
          <w:p w14:paraId="71267E8F">
            <w:pPr>
              <w:pStyle w:val="87"/>
              <w:keepNext w:val="0"/>
              <w:keepLines w:val="0"/>
              <w:suppressLineNumbers w:val="0"/>
              <w:spacing w:before="0" w:beforeAutospacing="0" w:after="0" w:afterAutospacing="0"/>
              <w:ind w:left="0" w:right="0"/>
              <w:rPr>
                <w:rFonts w:hint="default"/>
                <w:color w:val="auto"/>
              </w:rPr>
            </w:pPr>
            <w:r>
              <w:rPr>
                <w:rFonts w:hint="default"/>
                <w:color w:val="auto"/>
              </w:rPr>
              <w:t>生态环境</w:t>
            </w:r>
          </w:p>
        </w:tc>
        <w:tc>
          <w:tcPr>
            <w:tcW w:w="617" w:type="dxa"/>
            <w:vAlign w:val="center"/>
          </w:tcPr>
          <w:p w14:paraId="6CD23754">
            <w:pPr>
              <w:pStyle w:val="87"/>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617" w:type="dxa"/>
            <w:vAlign w:val="center"/>
          </w:tcPr>
          <w:p w14:paraId="57A18A60">
            <w:pPr>
              <w:pStyle w:val="87"/>
              <w:keepNext w:val="0"/>
              <w:keepLines w:val="0"/>
              <w:suppressLineNumbers w:val="0"/>
              <w:spacing w:before="0" w:beforeAutospacing="0" w:after="0" w:afterAutospacing="0"/>
              <w:ind w:left="0" w:right="0"/>
              <w:rPr>
                <w:rFonts w:hint="default"/>
                <w:color w:val="auto"/>
              </w:rPr>
            </w:pPr>
          </w:p>
        </w:tc>
        <w:tc>
          <w:tcPr>
            <w:tcW w:w="617" w:type="dxa"/>
            <w:vAlign w:val="center"/>
          </w:tcPr>
          <w:p w14:paraId="6B465E43">
            <w:pPr>
              <w:pStyle w:val="87"/>
              <w:keepNext w:val="0"/>
              <w:keepLines w:val="0"/>
              <w:suppressLineNumbers w:val="0"/>
              <w:spacing w:before="0" w:beforeAutospacing="0" w:after="0" w:afterAutospacing="0"/>
              <w:ind w:left="0" w:right="0"/>
              <w:rPr>
                <w:rFonts w:hint="default"/>
                <w:color w:val="auto"/>
              </w:rPr>
            </w:pPr>
          </w:p>
        </w:tc>
        <w:tc>
          <w:tcPr>
            <w:tcW w:w="618" w:type="dxa"/>
            <w:vAlign w:val="center"/>
          </w:tcPr>
          <w:p w14:paraId="059B24EF">
            <w:pPr>
              <w:pStyle w:val="87"/>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427156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79972BF4">
            <w:pPr>
              <w:pStyle w:val="87"/>
              <w:keepNext w:val="0"/>
              <w:keepLines w:val="0"/>
              <w:suppressLineNumbers w:val="0"/>
              <w:spacing w:before="0" w:beforeAutospacing="0" w:after="0" w:afterAutospacing="0"/>
              <w:ind w:left="0" w:right="0"/>
              <w:rPr>
                <w:rFonts w:hint="default"/>
                <w:color w:val="auto"/>
              </w:rPr>
            </w:pPr>
          </w:p>
        </w:tc>
        <w:tc>
          <w:tcPr>
            <w:tcW w:w="2669" w:type="dxa"/>
            <w:vAlign w:val="center"/>
          </w:tcPr>
          <w:p w14:paraId="377E36E3">
            <w:pPr>
              <w:pStyle w:val="87"/>
              <w:keepNext w:val="0"/>
              <w:keepLines w:val="0"/>
              <w:suppressLineNumbers w:val="0"/>
              <w:spacing w:before="0" w:beforeAutospacing="0" w:after="0" w:afterAutospacing="0"/>
              <w:ind w:left="0" w:right="0"/>
              <w:rPr>
                <w:rFonts w:hint="default"/>
                <w:color w:val="auto"/>
              </w:rPr>
            </w:pPr>
            <w:r>
              <w:rPr>
                <w:rFonts w:hint="default"/>
                <w:color w:val="auto"/>
              </w:rPr>
              <w:t>装卸运输、船舶废气</w:t>
            </w:r>
          </w:p>
        </w:tc>
        <w:tc>
          <w:tcPr>
            <w:tcW w:w="1707" w:type="dxa"/>
            <w:vAlign w:val="center"/>
          </w:tcPr>
          <w:p w14:paraId="000C7710">
            <w:pPr>
              <w:pStyle w:val="87"/>
              <w:keepNext w:val="0"/>
              <w:keepLines w:val="0"/>
              <w:suppressLineNumbers w:val="0"/>
              <w:spacing w:before="0" w:beforeAutospacing="0" w:after="0" w:afterAutospacing="0"/>
              <w:ind w:left="0" w:right="0"/>
              <w:rPr>
                <w:rFonts w:hint="default"/>
                <w:color w:val="auto"/>
              </w:rPr>
            </w:pPr>
            <w:r>
              <w:rPr>
                <w:rFonts w:hint="default"/>
                <w:color w:val="auto"/>
              </w:rPr>
              <w:t>废气</w:t>
            </w:r>
          </w:p>
        </w:tc>
        <w:tc>
          <w:tcPr>
            <w:tcW w:w="1732" w:type="dxa"/>
            <w:vAlign w:val="center"/>
          </w:tcPr>
          <w:p w14:paraId="7940570F">
            <w:pPr>
              <w:pStyle w:val="87"/>
              <w:keepNext w:val="0"/>
              <w:keepLines w:val="0"/>
              <w:suppressLineNumbers w:val="0"/>
              <w:spacing w:before="0" w:beforeAutospacing="0" w:after="0" w:afterAutospacing="0"/>
              <w:ind w:left="0" w:right="0"/>
              <w:rPr>
                <w:rFonts w:hint="default"/>
                <w:color w:val="auto"/>
              </w:rPr>
            </w:pPr>
            <w:r>
              <w:rPr>
                <w:rFonts w:hint="default"/>
                <w:color w:val="auto"/>
              </w:rPr>
              <w:t>大气环境</w:t>
            </w:r>
          </w:p>
        </w:tc>
        <w:tc>
          <w:tcPr>
            <w:tcW w:w="617" w:type="dxa"/>
            <w:vAlign w:val="center"/>
          </w:tcPr>
          <w:p w14:paraId="3458C7C6">
            <w:pPr>
              <w:pStyle w:val="87"/>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617" w:type="dxa"/>
            <w:vAlign w:val="center"/>
          </w:tcPr>
          <w:p w14:paraId="4CF4B8A4">
            <w:pPr>
              <w:pStyle w:val="87"/>
              <w:keepNext w:val="0"/>
              <w:keepLines w:val="0"/>
              <w:suppressLineNumbers w:val="0"/>
              <w:spacing w:before="0" w:beforeAutospacing="0" w:after="0" w:afterAutospacing="0"/>
              <w:ind w:left="0" w:right="0"/>
              <w:rPr>
                <w:rFonts w:hint="default"/>
                <w:color w:val="auto"/>
              </w:rPr>
            </w:pPr>
          </w:p>
        </w:tc>
        <w:tc>
          <w:tcPr>
            <w:tcW w:w="617" w:type="dxa"/>
            <w:vAlign w:val="center"/>
          </w:tcPr>
          <w:p w14:paraId="635C50E1">
            <w:pPr>
              <w:pStyle w:val="87"/>
              <w:keepNext w:val="0"/>
              <w:keepLines w:val="0"/>
              <w:suppressLineNumbers w:val="0"/>
              <w:spacing w:before="0" w:beforeAutospacing="0" w:after="0" w:afterAutospacing="0"/>
              <w:ind w:left="0" w:right="0"/>
              <w:rPr>
                <w:rFonts w:hint="default"/>
                <w:color w:val="auto"/>
              </w:rPr>
            </w:pPr>
          </w:p>
        </w:tc>
        <w:tc>
          <w:tcPr>
            <w:tcW w:w="618" w:type="dxa"/>
            <w:vAlign w:val="center"/>
          </w:tcPr>
          <w:p w14:paraId="6797B7C1">
            <w:pPr>
              <w:pStyle w:val="87"/>
              <w:keepNext w:val="0"/>
              <w:keepLines w:val="0"/>
              <w:suppressLineNumbers w:val="0"/>
              <w:spacing w:before="0" w:beforeAutospacing="0" w:after="0" w:afterAutospacing="0"/>
              <w:ind w:left="0" w:right="0"/>
              <w:rPr>
                <w:rFonts w:hint="default"/>
                <w:color w:val="auto"/>
              </w:rPr>
            </w:pPr>
            <w:r>
              <w:rPr>
                <w:rFonts w:hint="default"/>
                <w:color w:val="auto"/>
              </w:rPr>
              <w:t>√</w:t>
            </w:r>
          </w:p>
        </w:tc>
      </w:tr>
    </w:tbl>
    <w:p w14:paraId="11031DB7">
      <w:pPr>
        <w:pStyle w:val="4"/>
        <w:rPr>
          <w:color w:val="auto"/>
        </w:rPr>
      </w:pPr>
      <w:bookmarkStart w:id="175" w:name="_Toc136878419"/>
      <w:bookmarkStart w:id="176" w:name="_Toc29131769"/>
      <w:bookmarkStart w:id="177" w:name="_Toc216103172"/>
      <w:bookmarkStart w:id="178" w:name="_Toc26909955"/>
      <w:bookmarkStart w:id="179" w:name="_Toc216620331"/>
      <w:bookmarkStart w:id="180" w:name="_Toc25436909"/>
      <w:bookmarkStart w:id="181" w:name="_Toc135090170"/>
      <w:r>
        <w:rPr>
          <w:color w:val="auto"/>
        </w:rPr>
        <w:t>评价因子筛选</w:t>
      </w:r>
      <w:bookmarkEnd w:id="175"/>
      <w:bookmarkEnd w:id="176"/>
      <w:bookmarkEnd w:id="177"/>
      <w:bookmarkEnd w:id="178"/>
      <w:bookmarkEnd w:id="179"/>
      <w:bookmarkEnd w:id="180"/>
      <w:bookmarkEnd w:id="181"/>
    </w:p>
    <w:p w14:paraId="3F97BF83">
      <w:pPr>
        <w:ind w:firstLine="480"/>
        <w:rPr>
          <w:color w:val="auto"/>
        </w:rPr>
      </w:pPr>
      <w:r>
        <w:rPr>
          <w:color w:val="auto"/>
        </w:rPr>
        <w:t>本项目主要评价因子见表1.2-</w:t>
      </w:r>
      <w:r>
        <w:rPr>
          <w:rFonts w:hint="eastAsia"/>
          <w:color w:val="auto"/>
        </w:rPr>
        <w:t>3</w:t>
      </w:r>
      <w:r>
        <w:rPr>
          <w:color w:val="auto"/>
        </w:rPr>
        <w:t>。</w:t>
      </w:r>
    </w:p>
    <w:p w14:paraId="3B9AC9C0">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3</w:t>
      </w:r>
      <w:r>
        <w:rPr>
          <w:color w:val="auto"/>
        </w:rPr>
        <w:fldChar w:fldCharType="end"/>
      </w:r>
      <w:r>
        <w:rPr>
          <w:color w:val="auto"/>
        </w:rPr>
        <w:t>项目主要评价因子表</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5"/>
        <w:gridCol w:w="1134"/>
        <w:gridCol w:w="4819"/>
        <w:gridCol w:w="2394"/>
      </w:tblGrid>
      <w:tr w14:paraId="559886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blHeader/>
          <w:jc w:val="center"/>
        </w:trPr>
        <w:tc>
          <w:tcPr>
            <w:tcW w:w="695" w:type="dxa"/>
            <w:tcMar>
              <w:left w:w="0" w:type="dxa"/>
              <w:right w:w="0" w:type="dxa"/>
            </w:tcMar>
            <w:vAlign w:val="center"/>
          </w:tcPr>
          <w:p w14:paraId="3C3A9754">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时期</w:t>
            </w:r>
          </w:p>
        </w:tc>
        <w:tc>
          <w:tcPr>
            <w:tcW w:w="1134" w:type="dxa"/>
            <w:tcMar>
              <w:left w:w="0" w:type="dxa"/>
              <w:right w:w="0" w:type="dxa"/>
            </w:tcMar>
            <w:vAlign w:val="center"/>
          </w:tcPr>
          <w:p w14:paraId="2ECC3D6B">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环境要素</w:t>
            </w:r>
          </w:p>
        </w:tc>
        <w:tc>
          <w:tcPr>
            <w:tcW w:w="4819" w:type="dxa"/>
            <w:tcMar>
              <w:left w:w="0" w:type="dxa"/>
              <w:right w:w="0" w:type="dxa"/>
            </w:tcMar>
            <w:vAlign w:val="center"/>
          </w:tcPr>
          <w:p w14:paraId="6C5D0BC8">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现状评价因子</w:t>
            </w:r>
          </w:p>
        </w:tc>
        <w:tc>
          <w:tcPr>
            <w:tcW w:w="2394" w:type="dxa"/>
            <w:tcMar>
              <w:left w:w="0" w:type="dxa"/>
              <w:right w:w="0" w:type="dxa"/>
            </w:tcMar>
            <w:vAlign w:val="center"/>
          </w:tcPr>
          <w:p w14:paraId="4899F6A9">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预测评价因子、影响分析</w:t>
            </w:r>
          </w:p>
        </w:tc>
      </w:tr>
      <w:tr w14:paraId="462B37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restart"/>
            <w:tcMar>
              <w:left w:w="0" w:type="dxa"/>
              <w:right w:w="0" w:type="dxa"/>
            </w:tcMar>
            <w:vAlign w:val="center"/>
          </w:tcPr>
          <w:p w14:paraId="5775D63A">
            <w:pPr>
              <w:pStyle w:val="77"/>
              <w:keepNext w:val="0"/>
              <w:keepLines w:val="0"/>
              <w:suppressLineNumbers w:val="0"/>
              <w:spacing w:before="0" w:beforeAutospacing="0" w:after="0" w:afterAutospacing="0"/>
              <w:ind w:left="0" w:right="0"/>
              <w:rPr>
                <w:rFonts w:hint="default"/>
                <w:color w:val="auto"/>
              </w:rPr>
            </w:pPr>
            <w:r>
              <w:rPr>
                <w:rFonts w:hint="default"/>
                <w:color w:val="auto"/>
              </w:rPr>
              <w:t>陆域</w:t>
            </w:r>
          </w:p>
          <w:p w14:paraId="5EA8598B">
            <w:pPr>
              <w:pStyle w:val="77"/>
              <w:keepNext w:val="0"/>
              <w:keepLines w:val="0"/>
              <w:suppressLineNumbers w:val="0"/>
              <w:spacing w:before="0" w:beforeAutospacing="0" w:after="0" w:afterAutospacing="0"/>
              <w:ind w:left="0" w:right="0"/>
              <w:rPr>
                <w:rFonts w:hint="default"/>
                <w:color w:val="auto"/>
              </w:rPr>
            </w:pPr>
            <w:r>
              <w:rPr>
                <w:rFonts w:hint="default"/>
                <w:color w:val="auto"/>
              </w:rPr>
              <w:t>环境</w:t>
            </w:r>
          </w:p>
        </w:tc>
        <w:tc>
          <w:tcPr>
            <w:tcW w:w="1134" w:type="dxa"/>
            <w:tcMar>
              <w:left w:w="0" w:type="dxa"/>
              <w:right w:w="0" w:type="dxa"/>
            </w:tcMar>
            <w:vAlign w:val="center"/>
          </w:tcPr>
          <w:p w14:paraId="7B80079A">
            <w:pPr>
              <w:pStyle w:val="77"/>
              <w:keepNext w:val="0"/>
              <w:keepLines w:val="0"/>
              <w:suppressLineNumbers w:val="0"/>
              <w:spacing w:before="0" w:beforeAutospacing="0" w:after="0" w:afterAutospacing="0"/>
              <w:ind w:left="0" w:right="0"/>
              <w:rPr>
                <w:rFonts w:hint="default"/>
                <w:color w:val="auto"/>
              </w:rPr>
            </w:pPr>
            <w:r>
              <w:rPr>
                <w:rFonts w:hint="default"/>
                <w:color w:val="auto"/>
              </w:rPr>
              <w:t>环境空气</w:t>
            </w:r>
          </w:p>
        </w:tc>
        <w:tc>
          <w:tcPr>
            <w:tcW w:w="4819" w:type="dxa"/>
            <w:tcMar>
              <w:left w:w="0" w:type="dxa"/>
              <w:right w:w="0" w:type="dxa"/>
            </w:tcMar>
            <w:vAlign w:val="center"/>
          </w:tcPr>
          <w:p w14:paraId="79B0A48A">
            <w:pPr>
              <w:pStyle w:val="77"/>
              <w:keepNext w:val="0"/>
              <w:keepLines w:val="0"/>
              <w:suppressLineNumbers w:val="0"/>
              <w:spacing w:before="0" w:beforeAutospacing="0" w:after="0" w:afterAutospacing="0"/>
              <w:ind w:left="0" w:right="0"/>
              <w:rPr>
                <w:rFonts w:hint="default"/>
                <w:color w:val="auto"/>
              </w:rPr>
            </w:pPr>
            <w:r>
              <w:rPr>
                <w:rFonts w:hint="default"/>
                <w:color w:val="auto"/>
              </w:rPr>
              <w:t>PM</w:t>
            </w:r>
            <w:r>
              <w:rPr>
                <w:rFonts w:hint="default"/>
                <w:color w:val="auto"/>
                <w:vertAlign w:val="subscript"/>
              </w:rPr>
              <w:t>10</w:t>
            </w:r>
            <w:r>
              <w:rPr>
                <w:rFonts w:hint="default"/>
                <w:color w:val="auto"/>
              </w:rPr>
              <w:t>、PM</w:t>
            </w:r>
            <w:r>
              <w:rPr>
                <w:rFonts w:hint="default"/>
                <w:color w:val="auto"/>
                <w:vertAlign w:val="subscript"/>
              </w:rPr>
              <w:t>2.5</w:t>
            </w:r>
            <w:r>
              <w:rPr>
                <w:rFonts w:hint="default"/>
                <w:color w:val="auto"/>
              </w:rPr>
              <w:t>、SO</w:t>
            </w:r>
            <w:r>
              <w:rPr>
                <w:rFonts w:hint="default"/>
                <w:color w:val="auto"/>
                <w:vertAlign w:val="subscript"/>
              </w:rPr>
              <w:t>2</w:t>
            </w:r>
            <w:r>
              <w:rPr>
                <w:rFonts w:hint="default"/>
                <w:color w:val="auto"/>
              </w:rPr>
              <w:t>、NO</w:t>
            </w:r>
            <w:r>
              <w:rPr>
                <w:rFonts w:hint="default"/>
                <w:color w:val="auto"/>
                <w:vertAlign w:val="subscript"/>
              </w:rPr>
              <w:t>2</w:t>
            </w:r>
            <w:r>
              <w:rPr>
                <w:rFonts w:hint="default"/>
                <w:color w:val="auto"/>
              </w:rPr>
              <w:t>、CO、</w:t>
            </w:r>
            <w:r>
              <w:rPr>
                <w:rFonts w:hint="eastAsia"/>
                <w:color w:val="auto"/>
              </w:rPr>
              <w:t>O</w:t>
            </w:r>
            <w:r>
              <w:rPr>
                <w:rFonts w:hint="default"/>
                <w:color w:val="auto"/>
                <w:vertAlign w:val="subscript"/>
              </w:rPr>
              <w:t>3</w:t>
            </w:r>
            <w:r>
              <w:rPr>
                <w:rFonts w:hint="default"/>
                <w:color w:val="auto"/>
              </w:rPr>
              <w:t>、</w:t>
            </w:r>
            <w:r>
              <w:rPr>
                <w:rFonts w:hint="eastAsia"/>
                <w:color w:val="auto"/>
              </w:rPr>
              <w:t>非甲烷总烃</w:t>
            </w:r>
          </w:p>
        </w:tc>
        <w:tc>
          <w:tcPr>
            <w:tcW w:w="2394" w:type="dxa"/>
            <w:tcMar>
              <w:left w:w="0" w:type="dxa"/>
              <w:right w:w="0" w:type="dxa"/>
            </w:tcMar>
            <w:vAlign w:val="center"/>
          </w:tcPr>
          <w:p w14:paraId="08A53D3E">
            <w:pPr>
              <w:pStyle w:val="77"/>
              <w:keepNext w:val="0"/>
              <w:keepLines w:val="0"/>
              <w:suppressLineNumbers w:val="0"/>
              <w:spacing w:before="0" w:beforeAutospacing="0" w:after="0" w:afterAutospacing="0"/>
              <w:ind w:left="0" w:right="0"/>
              <w:rPr>
                <w:rFonts w:hint="default"/>
                <w:color w:val="auto"/>
              </w:rPr>
            </w:pPr>
            <w:r>
              <w:rPr>
                <w:rFonts w:hint="eastAsia"/>
                <w:color w:val="auto"/>
              </w:rPr>
              <w:t>非甲烷总烃</w:t>
            </w:r>
          </w:p>
        </w:tc>
      </w:tr>
      <w:tr w14:paraId="62E013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continue"/>
            <w:tcMar>
              <w:left w:w="0" w:type="dxa"/>
              <w:right w:w="0" w:type="dxa"/>
            </w:tcMar>
            <w:vAlign w:val="center"/>
          </w:tcPr>
          <w:p w14:paraId="0307DFB5">
            <w:pPr>
              <w:pStyle w:val="77"/>
              <w:keepNext w:val="0"/>
              <w:keepLines w:val="0"/>
              <w:suppressLineNumbers w:val="0"/>
              <w:spacing w:before="0" w:beforeAutospacing="0" w:after="0" w:afterAutospacing="0"/>
              <w:ind w:left="0" w:right="0"/>
              <w:rPr>
                <w:rFonts w:hint="default"/>
                <w:color w:val="auto"/>
              </w:rPr>
            </w:pPr>
          </w:p>
        </w:tc>
        <w:tc>
          <w:tcPr>
            <w:tcW w:w="1134" w:type="dxa"/>
            <w:tcMar>
              <w:left w:w="0" w:type="dxa"/>
              <w:right w:w="0" w:type="dxa"/>
            </w:tcMar>
            <w:vAlign w:val="center"/>
          </w:tcPr>
          <w:p w14:paraId="601DD361">
            <w:pPr>
              <w:pStyle w:val="77"/>
              <w:keepNext w:val="0"/>
              <w:keepLines w:val="0"/>
              <w:suppressLineNumbers w:val="0"/>
              <w:spacing w:before="0" w:beforeAutospacing="0" w:after="0" w:afterAutospacing="0"/>
              <w:ind w:left="0" w:right="0"/>
              <w:rPr>
                <w:rFonts w:hint="default"/>
                <w:color w:val="auto"/>
              </w:rPr>
            </w:pPr>
            <w:r>
              <w:rPr>
                <w:rFonts w:hint="default"/>
                <w:color w:val="auto"/>
              </w:rPr>
              <w:t>地下水环境</w:t>
            </w:r>
          </w:p>
        </w:tc>
        <w:tc>
          <w:tcPr>
            <w:tcW w:w="4819" w:type="dxa"/>
            <w:tcMar>
              <w:left w:w="0" w:type="dxa"/>
              <w:right w:w="0" w:type="dxa"/>
            </w:tcMar>
            <w:vAlign w:val="center"/>
          </w:tcPr>
          <w:p w14:paraId="73432C05">
            <w:pPr>
              <w:pStyle w:val="77"/>
              <w:keepNext w:val="0"/>
              <w:keepLines w:val="0"/>
              <w:suppressLineNumbers w:val="0"/>
              <w:spacing w:before="0" w:beforeAutospacing="0" w:after="0" w:afterAutospacing="0"/>
              <w:ind w:left="0" w:right="0"/>
              <w:rPr>
                <w:rFonts w:hint="default"/>
                <w:color w:val="auto"/>
              </w:rPr>
            </w:pPr>
            <w:r>
              <w:rPr>
                <w:rFonts w:hint="default"/>
                <w:color w:val="auto"/>
              </w:rPr>
              <w:t>pH值、氨氮、硝酸盐、亚硝酸盐、挥发酚、氰化物、砷、汞、六价铬、总硬度、铅、氟化物、镉、铁、锰、溶解性总固体、耗氧量、总大肠菌群、细菌总数、硫酸盐、氯化物、K</w:t>
            </w:r>
            <w:r>
              <w:rPr>
                <w:rFonts w:hint="default"/>
                <w:color w:val="auto"/>
                <w:vertAlign w:val="superscript"/>
              </w:rPr>
              <w:t>+</w:t>
            </w:r>
            <w:r>
              <w:rPr>
                <w:rFonts w:hint="default"/>
                <w:color w:val="auto"/>
              </w:rPr>
              <w:t>、Na</w:t>
            </w:r>
            <w:r>
              <w:rPr>
                <w:rFonts w:hint="default"/>
                <w:color w:val="auto"/>
                <w:vertAlign w:val="superscript"/>
              </w:rPr>
              <w:t>+</w:t>
            </w:r>
            <w:r>
              <w:rPr>
                <w:rFonts w:hint="default"/>
                <w:color w:val="auto"/>
              </w:rPr>
              <w:t>、Ca</w:t>
            </w:r>
            <w:r>
              <w:rPr>
                <w:rFonts w:hint="default"/>
                <w:color w:val="auto"/>
                <w:vertAlign w:val="superscript"/>
              </w:rPr>
              <w:t>2+</w:t>
            </w:r>
            <w:r>
              <w:rPr>
                <w:rFonts w:hint="default"/>
                <w:color w:val="auto"/>
              </w:rPr>
              <w:t>、Mg</w:t>
            </w:r>
            <w:r>
              <w:rPr>
                <w:rFonts w:hint="default"/>
                <w:color w:val="auto"/>
                <w:vertAlign w:val="superscript"/>
              </w:rPr>
              <w:t>2+</w:t>
            </w:r>
            <w:r>
              <w:rPr>
                <w:rFonts w:hint="default"/>
                <w:color w:val="auto"/>
              </w:rPr>
              <w:t>、CO</w:t>
            </w:r>
            <w:r>
              <w:rPr>
                <w:rFonts w:hint="default"/>
                <w:color w:val="auto"/>
                <w:vertAlign w:val="subscript"/>
              </w:rPr>
              <w:t>3</w:t>
            </w:r>
            <w:r>
              <w:rPr>
                <w:rFonts w:hint="default"/>
                <w:color w:val="auto"/>
                <w:vertAlign w:val="superscript"/>
              </w:rPr>
              <w:t>2-</w:t>
            </w:r>
            <w:r>
              <w:rPr>
                <w:rFonts w:hint="default"/>
                <w:color w:val="auto"/>
              </w:rPr>
              <w:t>、HCO</w:t>
            </w:r>
            <w:r>
              <w:rPr>
                <w:rFonts w:hint="default"/>
                <w:color w:val="auto"/>
                <w:vertAlign w:val="subscript"/>
              </w:rPr>
              <w:t>3</w:t>
            </w:r>
            <w:r>
              <w:rPr>
                <w:rFonts w:hint="default"/>
                <w:color w:val="auto"/>
                <w:vertAlign w:val="superscript"/>
              </w:rPr>
              <w:t>-</w:t>
            </w:r>
            <w:r>
              <w:rPr>
                <w:rFonts w:hint="default"/>
                <w:color w:val="auto"/>
              </w:rPr>
              <w:t>、Cl</w:t>
            </w:r>
            <w:r>
              <w:rPr>
                <w:rFonts w:hint="default"/>
                <w:color w:val="auto"/>
                <w:vertAlign w:val="superscript"/>
              </w:rPr>
              <w:t>-</w:t>
            </w:r>
            <w:r>
              <w:rPr>
                <w:rFonts w:hint="default"/>
                <w:color w:val="auto"/>
              </w:rPr>
              <w:t>、SO</w:t>
            </w:r>
            <w:r>
              <w:rPr>
                <w:rFonts w:hint="default"/>
                <w:color w:val="auto"/>
                <w:vertAlign w:val="subscript"/>
              </w:rPr>
              <w:t>4</w:t>
            </w:r>
            <w:r>
              <w:rPr>
                <w:rFonts w:hint="default"/>
                <w:color w:val="auto"/>
                <w:vertAlign w:val="superscript"/>
              </w:rPr>
              <w:t>2-</w:t>
            </w:r>
          </w:p>
        </w:tc>
        <w:tc>
          <w:tcPr>
            <w:tcW w:w="2394" w:type="dxa"/>
            <w:tcMar>
              <w:left w:w="0" w:type="dxa"/>
              <w:right w:w="0" w:type="dxa"/>
            </w:tcMar>
            <w:vAlign w:val="center"/>
          </w:tcPr>
          <w:p w14:paraId="72FCAF5A">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409BD7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continue"/>
            <w:tcMar>
              <w:left w:w="0" w:type="dxa"/>
              <w:right w:w="0" w:type="dxa"/>
            </w:tcMar>
            <w:vAlign w:val="center"/>
          </w:tcPr>
          <w:p w14:paraId="4958B618">
            <w:pPr>
              <w:pStyle w:val="77"/>
              <w:keepNext w:val="0"/>
              <w:keepLines w:val="0"/>
              <w:suppressLineNumbers w:val="0"/>
              <w:spacing w:before="0" w:beforeAutospacing="0" w:after="0" w:afterAutospacing="0"/>
              <w:ind w:left="0" w:right="0"/>
              <w:rPr>
                <w:rFonts w:hint="default"/>
                <w:color w:val="auto"/>
              </w:rPr>
            </w:pPr>
          </w:p>
        </w:tc>
        <w:tc>
          <w:tcPr>
            <w:tcW w:w="1134" w:type="dxa"/>
            <w:tcMar>
              <w:left w:w="0" w:type="dxa"/>
              <w:right w:w="0" w:type="dxa"/>
            </w:tcMar>
            <w:vAlign w:val="center"/>
          </w:tcPr>
          <w:p w14:paraId="6B4E9114">
            <w:pPr>
              <w:pStyle w:val="77"/>
              <w:keepNext w:val="0"/>
              <w:keepLines w:val="0"/>
              <w:suppressLineNumbers w:val="0"/>
              <w:spacing w:before="0" w:beforeAutospacing="0" w:after="0" w:afterAutospacing="0"/>
              <w:ind w:left="0" w:right="0"/>
              <w:rPr>
                <w:rFonts w:hint="default"/>
                <w:color w:val="auto"/>
              </w:rPr>
            </w:pPr>
            <w:r>
              <w:rPr>
                <w:rFonts w:hint="default"/>
                <w:color w:val="auto"/>
              </w:rPr>
              <w:t>声环境</w:t>
            </w:r>
          </w:p>
        </w:tc>
        <w:tc>
          <w:tcPr>
            <w:tcW w:w="4819" w:type="dxa"/>
            <w:tcMar>
              <w:left w:w="0" w:type="dxa"/>
              <w:right w:w="0" w:type="dxa"/>
            </w:tcMar>
            <w:vAlign w:val="center"/>
          </w:tcPr>
          <w:p w14:paraId="4020AEB7">
            <w:pPr>
              <w:pStyle w:val="77"/>
              <w:keepNext w:val="0"/>
              <w:keepLines w:val="0"/>
              <w:suppressLineNumbers w:val="0"/>
              <w:spacing w:before="0" w:beforeAutospacing="0" w:after="0" w:afterAutospacing="0"/>
              <w:ind w:left="0" w:right="0"/>
              <w:rPr>
                <w:rFonts w:hint="default"/>
                <w:color w:val="auto"/>
              </w:rPr>
            </w:pPr>
            <w:r>
              <w:rPr>
                <w:rFonts w:hint="default"/>
                <w:color w:val="auto"/>
              </w:rPr>
              <w:t>等效连续A声级Leq[A]</w:t>
            </w:r>
          </w:p>
        </w:tc>
        <w:tc>
          <w:tcPr>
            <w:tcW w:w="2394" w:type="dxa"/>
            <w:tcMar>
              <w:left w:w="0" w:type="dxa"/>
              <w:right w:w="0" w:type="dxa"/>
            </w:tcMar>
            <w:vAlign w:val="center"/>
          </w:tcPr>
          <w:p w14:paraId="40DB8576">
            <w:pPr>
              <w:pStyle w:val="77"/>
              <w:keepNext w:val="0"/>
              <w:keepLines w:val="0"/>
              <w:suppressLineNumbers w:val="0"/>
              <w:spacing w:before="0" w:beforeAutospacing="0" w:after="0" w:afterAutospacing="0"/>
              <w:ind w:left="0" w:right="0"/>
              <w:rPr>
                <w:rFonts w:hint="default"/>
                <w:color w:val="auto"/>
              </w:rPr>
            </w:pPr>
            <w:r>
              <w:rPr>
                <w:rFonts w:hint="default"/>
                <w:color w:val="auto"/>
              </w:rPr>
              <w:t>Leq[A]</w:t>
            </w:r>
          </w:p>
        </w:tc>
      </w:tr>
      <w:tr w14:paraId="6CC53F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continue"/>
            <w:tcMar>
              <w:left w:w="0" w:type="dxa"/>
              <w:right w:w="0" w:type="dxa"/>
            </w:tcMar>
            <w:vAlign w:val="center"/>
          </w:tcPr>
          <w:p w14:paraId="35AE29EB">
            <w:pPr>
              <w:pStyle w:val="77"/>
              <w:keepNext w:val="0"/>
              <w:keepLines w:val="0"/>
              <w:suppressLineNumbers w:val="0"/>
              <w:spacing w:before="0" w:beforeAutospacing="0" w:after="0" w:afterAutospacing="0"/>
              <w:ind w:left="0" w:right="0"/>
              <w:rPr>
                <w:rFonts w:hint="default"/>
                <w:color w:val="auto"/>
              </w:rPr>
            </w:pPr>
          </w:p>
        </w:tc>
        <w:tc>
          <w:tcPr>
            <w:tcW w:w="1134" w:type="dxa"/>
            <w:tcMar>
              <w:left w:w="0" w:type="dxa"/>
              <w:right w:w="0" w:type="dxa"/>
            </w:tcMar>
            <w:vAlign w:val="center"/>
          </w:tcPr>
          <w:p w14:paraId="758AF1F0">
            <w:pPr>
              <w:pStyle w:val="77"/>
              <w:keepNext w:val="0"/>
              <w:keepLines w:val="0"/>
              <w:suppressLineNumbers w:val="0"/>
              <w:spacing w:before="0" w:beforeAutospacing="0" w:after="0" w:afterAutospacing="0"/>
              <w:ind w:left="0" w:right="0"/>
              <w:rPr>
                <w:rFonts w:hint="default"/>
                <w:color w:val="auto"/>
              </w:rPr>
            </w:pPr>
            <w:r>
              <w:rPr>
                <w:rFonts w:hint="default"/>
                <w:color w:val="auto"/>
              </w:rPr>
              <w:t>固体废物</w:t>
            </w:r>
          </w:p>
        </w:tc>
        <w:tc>
          <w:tcPr>
            <w:tcW w:w="4819" w:type="dxa"/>
            <w:tcMar>
              <w:left w:w="0" w:type="dxa"/>
              <w:right w:w="0" w:type="dxa"/>
            </w:tcMar>
            <w:vAlign w:val="center"/>
          </w:tcPr>
          <w:p w14:paraId="6E706EA8">
            <w:pPr>
              <w:pStyle w:val="77"/>
              <w:keepNext w:val="0"/>
              <w:keepLines w:val="0"/>
              <w:suppressLineNumbers w:val="0"/>
              <w:spacing w:before="0" w:beforeAutospacing="0" w:after="0" w:afterAutospacing="0"/>
              <w:ind w:left="0" w:right="0"/>
              <w:rPr>
                <w:rFonts w:hint="default"/>
                <w:color w:val="auto"/>
              </w:rPr>
            </w:pPr>
            <w:r>
              <w:rPr>
                <w:rFonts w:hint="default"/>
                <w:color w:val="auto"/>
              </w:rPr>
              <w:t>一般废物、生活垃圾</w:t>
            </w:r>
            <w:r>
              <w:rPr>
                <w:rFonts w:hint="eastAsia"/>
                <w:color w:val="auto"/>
              </w:rPr>
              <w:t>、</w:t>
            </w:r>
            <w:r>
              <w:rPr>
                <w:rFonts w:hint="default"/>
                <w:color w:val="auto"/>
              </w:rPr>
              <w:t>危险废物</w:t>
            </w:r>
          </w:p>
        </w:tc>
        <w:tc>
          <w:tcPr>
            <w:tcW w:w="2394" w:type="dxa"/>
            <w:tcMar>
              <w:left w:w="0" w:type="dxa"/>
              <w:right w:w="0" w:type="dxa"/>
            </w:tcMar>
            <w:vAlign w:val="center"/>
          </w:tcPr>
          <w:p w14:paraId="6A522794">
            <w:pPr>
              <w:pStyle w:val="77"/>
              <w:keepNext w:val="0"/>
              <w:keepLines w:val="0"/>
              <w:suppressLineNumbers w:val="0"/>
              <w:spacing w:before="0" w:beforeAutospacing="0" w:after="0" w:afterAutospacing="0"/>
              <w:ind w:left="0" w:right="0"/>
              <w:rPr>
                <w:rFonts w:hint="default"/>
                <w:color w:val="auto"/>
              </w:rPr>
            </w:pPr>
            <w:r>
              <w:rPr>
                <w:rFonts w:hint="default"/>
                <w:color w:val="auto"/>
              </w:rPr>
              <w:t>简单分析</w:t>
            </w:r>
          </w:p>
        </w:tc>
      </w:tr>
      <w:tr w14:paraId="13BF04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continue"/>
            <w:tcMar>
              <w:left w:w="0" w:type="dxa"/>
              <w:right w:w="0" w:type="dxa"/>
            </w:tcMar>
            <w:vAlign w:val="center"/>
          </w:tcPr>
          <w:p w14:paraId="66106083">
            <w:pPr>
              <w:pStyle w:val="77"/>
              <w:keepNext w:val="0"/>
              <w:keepLines w:val="0"/>
              <w:suppressLineNumbers w:val="0"/>
              <w:spacing w:before="0" w:beforeAutospacing="0" w:after="0" w:afterAutospacing="0"/>
              <w:ind w:left="0" w:right="0"/>
              <w:rPr>
                <w:rFonts w:hint="default"/>
                <w:color w:val="auto"/>
              </w:rPr>
            </w:pPr>
          </w:p>
        </w:tc>
        <w:tc>
          <w:tcPr>
            <w:tcW w:w="1134" w:type="dxa"/>
            <w:tcMar>
              <w:left w:w="0" w:type="dxa"/>
              <w:right w:w="0" w:type="dxa"/>
            </w:tcMar>
            <w:vAlign w:val="center"/>
          </w:tcPr>
          <w:p w14:paraId="1D53616D">
            <w:pPr>
              <w:pStyle w:val="77"/>
              <w:keepNext w:val="0"/>
              <w:keepLines w:val="0"/>
              <w:suppressLineNumbers w:val="0"/>
              <w:spacing w:before="0" w:beforeAutospacing="0" w:after="0" w:afterAutospacing="0"/>
              <w:ind w:left="0" w:right="0"/>
              <w:rPr>
                <w:rFonts w:hint="default"/>
                <w:color w:val="auto"/>
              </w:rPr>
            </w:pPr>
            <w:r>
              <w:rPr>
                <w:rFonts w:hint="default"/>
                <w:color w:val="auto"/>
              </w:rPr>
              <w:t>环境风险</w:t>
            </w:r>
          </w:p>
        </w:tc>
        <w:tc>
          <w:tcPr>
            <w:tcW w:w="4819" w:type="dxa"/>
            <w:tcMar>
              <w:left w:w="0" w:type="dxa"/>
              <w:right w:w="0" w:type="dxa"/>
            </w:tcMar>
            <w:vAlign w:val="center"/>
          </w:tcPr>
          <w:p w14:paraId="22CD524A">
            <w:pPr>
              <w:pStyle w:val="77"/>
              <w:keepNext w:val="0"/>
              <w:keepLines w:val="0"/>
              <w:suppressLineNumbers w:val="0"/>
              <w:spacing w:before="0" w:beforeAutospacing="0" w:after="0" w:afterAutospacing="0"/>
              <w:ind w:left="0" w:right="0"/>
              <w:rPr>
                <w:rFonts w:hint="default"/>
                <w:color w:val="auto"/>
              </w:rPr>
            </w:pPr>
            <w:r>
              <w:rPr>
                <w:rFonts w:hint="default"/>
                <w:color w:val="auto"/>
              </w:rPr>
              <w:t>泄漏事故及引发的次生污染</w:t>
            </w:r>
          </w:p>
        </w:tc>
        <w:tc>
          <w:tcPr>
            <w:tcW w:w="2394" w:type="dxa"/>
            <w:tcMar>
              <w:left w:w="0" w:type="dxa"/>
              <w:right w:w="0" w:type="dxa"/>
            </w:tcMar>
            <w:vAlign w:val="center"/>
          </w:tcPr>
          <w:p w14:paraId="39DAA37F">
            <w:pPr>
              <w:pStyle w:val="77"/>
              <w:keepNext w:val="0"/>
              <w:keepLines w:val="0"/>
              <w:suppressLineNumbers w:val="0"/>
              <w:spacing w:before="0" w:beforeAutospacing="0" w:after="0" w:afterAutospacing="0"/>
              <w:ind w:left="0" w:right="0"/>
              <w:rPr>
                <w:rFonts w:hint="default"/>
                <w:color w:val="auto"/>
              </w:rPr>
            </w:pPr>
            <w:r>
              <w:rPr>
                <w:rFonts w:hint="default"/>
                <w:color w:val="auto"/>
              </w:rPr>
              <w:t>溢油等</w:t>
            </w:r>
          </w:p>
        </w:tc>
      </w:tr>
      <w:tr w14:paraId="1F4B99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tcMar>
              <w:left w:w="0" w:type="dxa"/>
              <w:right w:w="0" w:type="dxa"/>
            </w:tcMar>
            <w:vAlign w:val="center"/>
          </w:tcPr>
          <w:p w14:paraId="222E8306">
            <w:pPr>
              <w:pStyle w:val="77"/>
              <w:keepNext w:val="0"/>
              <w:keepLines w:val="0"/>
              <w:suppressLineNumbers w:val="0"/>
              <w:spacing w:before="0" w:beforeAutospacing="0" w:after="0" w:afterAutospacing="0"/>
              <w:ind w:left="0" w:right="0"/>
              <w:rPr>
                <w:rFonts w:hint="default"/>
                <w:color w:val="auto"/>
              </w:rPr>
            </w:pPr>
            <w:r>
              <w:rPr>
                <w:rFonts w:hint="default"/>
                <w:color w:val="auto"/>
              </w:rPr>
              <w:t>海域</w:t>
            </w:r>
          </w:p>
          <w:p w14:paraId="6D654A5A">
            <w:pPr>
              <w:pStyle w:val="77"/>
              <w:keepNext w:val="0"/>
              <w:keepLines w:val="0"/>
              <w:suppressLineNumbers w:val="0"/>
              <w:spacing w:before="0" w:beforeAutospacing="0" w:after="0" w:afterAutospacing="0"/>
              <w:ind w:left="0" w:right="0"/>
              <w:rPr>
                <w:rFonts w:hint="default"/>
                <w:color w:val="auto"/>
              </w:rPr>
            </w:pPr>
            <w:r>
              <w:rPr>
                <w:rFonts w:hint="default"/>
                <w:color w:val="auto"/>
              </w:rPr>
              <w:t>环境</w:t>
            </w:r>
          </w:p>
        </w:tc>
        <w:tc>
          <w:tcPr>
            <w:tcW w:w="1134" w:type="dxa"/>
            <w:tcMar>
              <w:left w:w="0" w:type="dxa"/>
              <w:right w:w="0" w:type="dxa"/>
            </w:tcMar>
            <w:vAlign w:val="center"/>
          </w:tcPr>
          <w:p w14:paraId="61E26258">
            <w:pPr>
              <w:pStyle w:val="77"/>
              <w:keepNext w:val="0"/>
              <w:keepLines w:val="0"/>
              <w:suppressLineNumbers w:val="0"/>
              <w:spacing w:before="0" w:beforeAutospacing="0" w:after="0" w:afterAutospacing="0"/>
              <w:ind w:left="0" w:right="0"/>
              <w:rPr>
                <w:rFonts w:hint="default"/>
                <w:color w:val="auto"/>
              </w:rPr>
            </w:pPr>
            <w:r>
              <w:rPr>
                <w:rFonts w:hint="default"/>
                <w:color w:val="auto"/>
              </w:rPr>
              <w:t>海洋生态</w:t>
            </w:r>
          </w:p>
        </w:tc>
        <w:tc>
          <w:tcPr>
            <w:tcW w:w="4819" w:type="dxa"/>
            <w:tcMar>
              <w:left w:w="0" w:type="dxa"/>
              <w:right w:w="0" w:type="dxa"/>
            </w:tcMar>
            <w:vAlign w:val="center"/>
          </w:tcPr>
          <w:p w14:paraId="44E3A95A">
            <w:pPr>
              <w:pStyle w:val="77"/>
              <w:keepNext w:val="0"/>
              <w:keepLines w:val="0"/>
              <w:suppressLineNumbers w:val="0"/>
              <w:spacing w:before="0" w:beforeAutospacing="0" w:after="0" w:afterAutospacing="0"/>
              <w:ind w:left="0" w:right="0"/>
              <w:rPr>
                <w:rFonts w:hint="default"/>
                <w:color w:val="auto"/>
              </w:rPr>
            </w:pPr>
            <w:r>
              <w:rPr>
                <w:rFonts w:hint="default"/>
                <w:color w:val="auto"/>
              </w:rPr>
              <w:t>贝类、软体动物、甲壳类、鱼类</w:t>
            </w:r>
            <w:r>
              <w:rPr>
                <w:rFonts w:hint="eastAsia"/>
                <w:color w:val="auto"/>
              </w:rPr>
              <w:t>等</w:t>
            </w:r>
          </w:p>
        </w:tc>
        <w:tc>
          <w:tcPr>
            <w:tcW w:w="2394" w:type="dxa"/>
            <w:tcMar>
              <w:left w:w="0" w:type="dxa"/>
              <w:right w:w="0" w:type="dxa"/>
            </w:tcMar>
            <w:vAlign w:val="center"/>
          </w:tcPr>
          <w:p w14:paraId="6CE4C44C">
            <w:pPr>
              <w:pStyle w:val="77"/>
              <w:keepNext w:val="0"/>
              <w:keepLines w:val="0"/>
              <w:suppressLineNumbers w:val="0"/>
              <w:spacing w:before="0" w:beforeAutospacing="0" w:after="0" w:afterAutospacing="0"/>
              <w:ind w:left="0" w:right="0"/>
              <w:rPr>
                <w:rFonts w:hint="default"/>
                <w:color w:val="auto"/>
              </w:rPr>
            </w:pPr>
            <w:r>
              <w:rPr>
                <w:rFonts w:hint="default"/>
                <w:color w:val="auto"/>
              </w:rPr>
              <w:t>定性分析</w:t>
            </w:r>
          </w:p>
        </w:tc>
      </w:tr>
    </w:tbl>
    <w:p w14:paraId="324555B9">
      <w:pPr>
        <w:pStyle w:val="5"/>
        <w:rPr>
          <w:color w:val="auto"/>
        </w:rPr>
      </w:pPr>
      <w:bookmarkStart w:id="182" w:name="_Toc223258451"/>
      <w:bookmarkStart w:id="183" w:name="_Toc223595755"/>
      <w:r>
        <w:rPr>
          <w:color w:val="auto"/>
        </w:rPr>
        <w:t>环境功能区划及评价标准</w:t>
      </w:r>
      <w:bookmarkEnd w:id="182"/>
      <w:bookmarkEnd w:id="183"/>
    </w:p>
    <w:p w14:paraId="28F674DF">
      <w:pPr>
        <w:pStyle w:val="4"/>
        <w:rPr>
          <w:color w:val="auto"/>
        </w:rPr>
      </w:pPr>
      <w:bookmarkStart w:id="184" w:name="_Toc136878421"/>
      <w:bookmarkStart w:id="185" w:name="_Toc25436920"/>
      <w:bookmarkStart w:id="186" w:name="_Toc29131780"/>
      <w:bookmarkStart w:id="187" w:name="_Toc216103174"/>
      <w:bookmarkStart w:id="188" w:name="_Toc135090172"/>
      <w:bookmarkStart w:id="189" w:name="_Toc26909966"/>
      <w:bookmarkStart w:id="190" w:name="_Toc216620333"/>
      <w:r>
        <w:rPr>
          <w:color w:val="auto"/>
        </w:rPr>
        <w:t>环境功能区划</w:t>
      </w:r>
      <w:bookmarkEnd w:id="184"/>
      <w:bookmarkEnd w:id="185"/>
      <w:bookmarkEnd w:id="186"/>
      <w:bookmarkEnd w:id="187"/>
      <w:bookmarkEnd w:id="188"/>
      <w:bookmarkEnd w:id="189"/>
      <w:bookmarkEnd w:id="190"/>
    </w:p>
    <w:p w14:paraId="11EE609D">
      <w:pPr>
        <w:pStyle w:val="6"/>
        <w:rPr>
          <w:color w:val="auto"/>
        </w:rPr>
      </w:pPr>
      <w:r>
        <w:rPr>
          <w:color w:val="auto"/>
        </w:rPr>
        <w:t>大气环境</w:t>
      </w:r>
    </w:p>
    <w:p w14:paraId="00FD1319">
      <w:pPr>
        <w:ind w:firstLine="480"/>
        <w:rPr>
          <w:color w:val="auto"/>
        </w:rPr>
      </w:pPr>
      <w:r>
        <w:rPr>
          <w:color w:val="auto"/>
        </w:rPr>
        <w:t>工程所在地尚未划分环境空气质量功能区，环境空气质量执行《环境空气质量标准》（GB3095-2012）二级标准。</w:t>
      </w:r>
    </w:p>
    <w:p w14:paraId="07D25212">
      <w:pPr>
        <w:pStyle w:val="6"/>
        <w:rPr>
          <w:color w:val="auto"/>
        </w:rPr>
      </w:pPr>
      <w:r>
        <w:rPr>
          <w:color w:val="auto"/>
        </w:rPr>
        <w:t>声环境</w:t>
      </w:r>
    </w:p>
    <w:p w14:paraId="2AA3218E">
      <w:pPr>
        <w:ind w:firstLine="480"/>
        <w:rPr>
          <w:color w:val="auto"/>
        </w:rPr>
      </w:pPr>
      <w:r>
        <w:rPr>
          <w:color w:val="auto"/>
        </w:rPr>
        <w:t>根据《</w:t>
      </w:r>
      <w:r>
        <w:rPr>
          <w:rFonts w:hint="eastAsia"/>
          <w:color w:val="auto"/>
        </w:rPr>
        <w:t>钦州市中心城区声环境功能区划</w:t>
      </w:r>
      <w:r>
        <w:rPr>
          <w:color w:val="auto"/>
        </w:rPr>
        <w:t>》区域声环境划分为3类声功能区，声环境质量执行《工业企业场界环境噪声排放标准》（GB12348-2008）3类区标准。</w:t>
      </w:r>
    </w:p>
    <w:p w14:paraId="4F4B1F96">
      <w:pPr>
        <w:pStyle w:val="6"/>
        <w:rPr>
          <w:color w:val="auto"/>
        </w:rPr>
      </w:pPr>
      <w:r>
        <w:rPr>
          <w:color w:val="auto"/>
        </w:rPr>
        <w:t>近岸海域环境</w:t>
      </w:r>
    </w:p>
    <w:p w14:paraId="10079B45">
      <w:pPr>
        <w:ind w:firstLine="480"/>
        <w:rPr>
          <w:color w:val="auto"/>
        </w:rPr>
      </w:pPr>
      <w:r>
        <w:rPr>
          <w:color w:val="auto"/>
        </w:rPr>
        <w:t>根据《广西壮族自治区近岸海域环境功能区划调整方案》（桂环发〔2023〕9号），</w:t>
      </w:r>
      <w:r>
        <w:rPr>
          <w:rFonts w:hint="eastAsia"/>
          <w:color w:val="auto"/>
        </w:rPr>
        <w:t>本工程位于钦州港</w:t>
      </w:r>
      <w:r>
        <w:rPr>
          <w:rFonts w:hint="eastAsia" w:cs="宋体"/>
          <w:color w:val="auto"/>
          <w:kern w:val="0"/>
          <w:lang w:bidi="ar"/>
        </w:rPr>
        <w:t>果子山港口</w:t>
      </w:r>
      <w:r>
        <w:rPr>
          <w:rFonts w:hint="eastAsia"/>
          <w:color w:val="auto"/>
        </w:rPr>
        <w:t>区</w:t>
      </w:r>
      <w:r>
        <w:rPr>
          <w:rFonts w:hint="eastAsia" w:cs="宋体"/>
          <w:snapToGrid w:val="0"/>
          <w:color w:val="auto"/>
          <w:kern w:val="0"/>
          <w:lang w:bidi="ar"/>
        </w:rPr>
        <w:t>（</w:t>
      </w:r>
      <w:r>
        <w:rPr>
          <w:snapToGrid w:val="0"/>
          <w:color w:val="auto"/>
          <w:kern w:val="0"/>
          <w:lang w:bidi="ar"/>
        </w:rPr>
        <w:t>GX054DⅣ</w:t>
      </w:r>
      <w:r>
        <w:rPr>
          <w:rFonts w:hint="eastAsia" w:cs="宋体"/>
          <w:snapToGrid w:val="0"/>
          <w:color w:val="auto"/>
          <w:kern w:val="0"/>
          <w:lang w:bidi="ar"/>
        </w:rPr>
        <w:t>）</w:t>
      </w:r>
      <w:r>
        <w:rPr>
          <w:rFonts w:hint="eastAsia"/>
          <w:color w:val="auto"/>
        </w:rPr>
        <w:t>，主导功能为港口、工业用海，水质保护目标为四类（附图10）</w:t>
      </w:r>
      <w:r>
        <w:rPr>
          <w:color w:val="auto"/>
        </w:rPr>
        <w:t>。</w:t>
      </w:r>
    </w:p>
    <w:p w14:paraId="0EDC52BA">
      <w:pPr>
        <w:pStyle w:val="6"/>
        <w:rPr>
          <w:color w:val="auto"/>
        </w:rPr>
      </w:pPr>
      <w:r>
        <w:rPr>
          <w:color w:val="auto"/>
        </w:rPr>
        <w:t>海洋功能区划</w:t>
      </w:r>
    </w:p>
    <w:p w14:paraId="355E66F0">
      <w:pPr>
        <w:ind w:firstLine="480"/>
        <w:rPr>
          <w:color w:val="auto"/>
        </w:rPr>
      </w:pPr>
      <w:r>
        <w:rPr>
          <w:color w:val="auto"/>
        </w:rPr>
        <w:t>根</w:t>
      </w:r>
      <w:r>
        <w:rPr>
          <w:rFonts w:hint="eastAsia"/>
          <w:color w:val="auto"/>
        </w:rPr>
        <w:t>根据《钦州市国土空间总体规划（2021-2035年）》，本项目位于钦州港交通运输用海区（附图14）</w:t>
      </w:r>
      <w:r>
        <w:rPr>
          <w:color w:val="auto"/>
        </w:rPr>
        <w:t>。</w:t>
      </w:r>
      <w:r>
        <w:rPr>
          <w:rFonts w:hint="eastAsia"/>
          <w:color w:val="auto"/>
        </w:rPr>
        <w:t>其发展指引与管控要求为：海岸交通运输用海区主要用于近岸港口陆域、码头、港池等航运设施建设，重点保障平陆运河、金鼓江、大榄坪等发展需要；保障西部陆海新通道，建设国际门户港，提升港口综合服务功能。在已经开发利用的港区、锚地、航道以及规定的航路及其保护范围内，禁止开展与航运无关、有碍航行安全的活动。原则上禁止其他海岸工程或海洋工程占用深水岸线资源。在未开发利用的港区内，对无碍交通运输功能发挥的海洋开发活动尤其是渔业开发活动可暂时予以保留。在不影响交通运输用海及安全的前提下，可兼容临海工矿通信用海。</w:t>
      </w:r>
    </w:p>
    <w:p w14:paraId="019FD5F7">
      <w:pPr>
        <w:pStyle w:val="6"/>
        <w:rPr>
          <w:color w:val="auto"/>
        </w:rPr>
      </w:pPr>
      <w:r>
        <w:rPr>
          <w:rFonts w:hint="eastAsia"/>
          <w:color w:val="auto"/>
        </w:rPr>
        <w:t>声环境</w:t>
      </w:r>
    </w:p>
    <w:p w14:paraId="6BE010DC">
      <w:pPr>
        <w:ind w:firstLine="480"/>
        <w:rPr>
          <w:color w:val="auto"/>
        </w:rPr>
      </w:pPr>
      <w:r>
        <w:rPr>
          <w:rFonts w:hint="eastAsia"/>
          <w:color w:val="auto"/>
        </w:rPr>
        <w:t>2023年12月26日，钦州市人民政府办公室发布《关于印发钦州市中心城区声环境功能区划的通知》（钦政办规〔2023〕11号）。本项目位于钦州石化产业园金谷片区，区域属3类声环境功能区，声环境质量执行《声环境质量标准》（GB3096-2008）3类标准。</w:t>
      </w:r>
    </w:p>
    <w:p w14:paraId="0DF3C79B">
      <w:pPr>
        <w:pStyle w:val="4"/>
        <w:rPr>
          <w:color w:val="auto"/>
        </w:rPr>
      </w:pPr>
      <w:bookmarkStart w:id="191" w:name="_Toc25436921"/>
      <w:bookmarkStart w:id="192" w:name="_Toc135090173"/>
      <w:bookmarkStart w:id="193" w:name="_Toc26909967"/>
      <w:bookmarkStart w:id="194" w:name="_Toc216103175"/>
      <w:bookmarkStart w:id="195" w:name="_Toc216620334"/>
      <w:bookmarkStart w:id="196" w:name="_Toc29131781"/>
      <w:bookmarkStart w:id="197" w:name="_Toc136878422"/>
      <w:r>
        <w:rPr>
          <w:color w:val="auto"/>
        </w:rPr>
        <w:t>环境质量标准</w:t>
      </w:r>
      <w:bookmarkEnd w:id="191"/>
      <w:bookmarkEnd w:id="192"/>
      <w:bookmarkEnd w:id="193"/>
      <w:bookmarkEnd w:id="194"/>
      <w:bookmarkEnd w:id="195"/>
      <w:bookmarkEnd w:id="196"/>
      <w:bookmarkEnd w:id="197"/>
    </w:p>
    <w:p w14:paraId="5C3D31BD">
      <w:pPr>
        <w:pStyle w:val="6"/>
        <w:rPr>
          <w:color w:val="auto"/>
        </w:rPr>
      </w:pPr>
      <w:r>
        <w:rPr>
          <w:color w:val="auto"/>
        </w:rPr>
        <w:t>环境空气质量标准</w:t>
      </w:r>
    </w:p>
    <w:p w14:paraId="32AA14D9">
      <w:pPr>
        <w:ind w:firstLine="480"/>
        <w:rPr>
          <w:snapToGrid w:val="0"/>
          <w:color w:val="auto"/>
          <w:kern w:val="0"/>
        </w:rPr>
      </w:pPr>
      <w:r>
        <w:rPr>
          <w:snapToGrid w:val="0"/>
          <w:color w:val="auto"/>
          <w:kern w:val="0"/>
        </w:rPr>
        <w:t>环境空气中</w:t>
      </w:r>
      <w:r>
        <w:rPr>
          <w:color w:val="auto"/>
        </w:rPr>
        <w:t>SO</w:t>
      </w:r>
      <w:r>
        <w:rPr>
          <w:color w:val="auto"/>
          <w:vertAlign w:val="subscript"/>
        </w:rPr>
        <w:t>2</w:t>
      </w:r>
      <w:r>
        <w:rPr>
          <w:color w:val="auto"/>
        </w:rPr>
        <w:t>、NO</w:t>
      </w:r>
      <w:r>
        <w:rPr>
          <w:color w:val="auto"/>
          <w:vertAlign w:val="subscript"/>
        </w:rPr>
        <w:t>2</w:t>
      </w:r>
      <w:r>
        <w:rPr>
          <w:color w:val="auto"/>
        </w:rPr>
        <w:t>、PM</w:t>
      </w:r>
      <w:r>
        <w:rPr>
          <w:color w:val="auto"/>
          <w:vertAlign w:val="subscript"/>
        </w:rPr>
        <w:t>10</w:t>
      </w:r>
      <w:r>
        <w:rPr>
          <w:color w:val="auto"/>
        </w:rPr>
        <w:t>、PM</w:t>
      </w:r>
      <w:r>
        <w:rPr>
          <w:color w:val="auto"/>
          <w:vertAlign w:val="subscript"/>
        </w:rPr>
        <w:t>2.5</w:t>
      </w:r>
      <w:r>
        <w:rPr>
          <w:color w:val="auto"/>
        </w:rPr>
        <w:t>、CO、O</w:t>
      </w:r>
      <w:r>
        <w:rPr>
          <w:color w:val="auto"/>
          <w:vertAlign w:val="subscript"/>
        </w:rPr>
        <w:t>3</w:t>
      </w:r>
      <w:r>
        <w:rPr>
          <w:color w:val="auto"/>
          <w:u w:val="single"/>
        </w:rPr>
        <w:t>执行</w:t>
      </w:r>
      <w:r>
        <w:rPr>
          <w:rFonts w:hint="eastAsia"/>
          <w:color w:val="auto"/>
          <w:u w:val="single"/>
        </w:rPr>
        <w:t>《环境</w:t>
      </w:r>
      <w:r>
        <w:rPr>
          <w:color w:val="auto"/>
          <w:u w:val="single"/>
        </w:rPr>
        <w:t>空气质量标准</w:t>
      </w:r>
      <w:r>
        <w:rPr>
          <w:rFonts w:hint="eastAsia"/>
          <w:color w:val="auto"/>
          <w:u w:val="single"/>
        </w:rPr>
        <w:t>》（GB3095-2026）过渡</w:t>
      </w:r>
      <w:r>
        <w:rPr>
          <w:color w:val="auto"/>
          <w:u w:val="single"/>
        </w:rPr>
        <w:t>阶段二级标准；</w:t>
      </w:r>
      <w:r>
        <w:rPr>
          <w:rFonts w:hint="eastAsia"/>
          <w:snapToGrid w:val="0"/>
          <w:color w:val="auto"/>
          <w:kern w:val="0"/>
        </w:rPr>
        <w:t>非甲烷总烃参考《大气污染物综合排放标准详解》中非甲烷总烃的一次浓度限值2.0mg/m</w:t>
      </w:r>
      <w:r>
        <w:rPr>
          <w:rFonts w:hint="eastAsia"/>
          <w:snapToGrid w:val="0"/>
          <w:color w:val="auto"/>
          <w:kern w:val="0"/>
          <w:vertAlign w:val="superscript"/>
        </w:rPr>
        <w:t>3</w:t>
      </w:r>
      <w:r>
        <w:rPr>
          <w:rFonts w:hint="eastAsia"/>
          <w:snapToGrid w:val="0"/>
          <w:color w:val="auto"/>
          <w:kern w:val="0"/>
        </w:rPr>
        <w:t>执行。</w:t>
      </w:r>
    </w:p>
    <w:p w14:paraId="41EEA5F8">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color w:val="auto"/>
        </w:rPr>
        <w:t>环境空气质量标准值单位：μg/m</w:t>
      </w:r>
      <w:r>
        <w:rPr>
          <w:color w:val="auto"/>
          <w:vertAlign w:val="superscript"/>
        </w:rPr>
        <w:t>3</w:t>
      </w:r>
    </w:p>
    <w:tbl>
      <w:tblPr>
        <w:tblStyle w:val="43"/>
        <w:tblW w:w="877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62"/>
        <w:gridCol w:w="1276"/>
        <w:gridCol w:w="2400"/>
        <w:gridCol w:w="2268"/>
        <w:gridCol w:w="2268"/>
      </w:tblGrid>
      <w:tr w14:paraId="2CCC6B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562" w:type="dxa"/>
            <w:vMerge w:val="restart"/>
            <w:tcMar>
              <w:left w:w="0" w:type="dxa"/>
              <w:right w:w="0" w:type="dxa"/>
            </w:tcMar>
            <w:vAlign w:val="center"/>
          </w:tcPr>
          <w:p w14:paraId="7B61EC76">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序号</w:t>
            </w:r>
          </w:p>
        </w:tc>
        <w:tc>
          <w:tcPr>
            <w:tcW w:w="1276" w:type="dxa"/>
            <w:vMerge w:val="restart"/>
            <w:tcMar>
              <w:left w:w="0" w:type="dxa"/>
              <w:right w:w="0" w:type="dxa"/>
            </w:tcMar>
            <w:vAlign w:val="center"/>
          </w:tcPr>
          <w:p w14:paraId="76B9751B">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污染物项目</w:t>
            </w:r>
          </w:p>
        </w:tc>
        <w:tc>
          <w:tcPr>
            <w:tcW w:w="2400" w:type="dxa"/>
            <w:vMerge w:val="restart"/>
            <w:tcMar>
              <w:left w:w="0" w:type="dxa"/>
              <w:right w:w="0" w:type="dxa"/>
            </w:tcMar>
            <w:vAlign w:val="center"/>
          </w:tcPr>
          <w:p w14:paraId="43CE91F5">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平均时间</w:t>
            </w:r>
          </w:p>
        </w:tc>
        <w:tc>
          <w:tcPr>
            <w:tcW w:w="2268" w:type="dxa"/>
            <w:tcMar>
              <w:left w:w="0" w:type="dxa"/>
              <w:right w:w="0" w:type="dxa"/>
            </w:tcMar>
            <w:vAlign w:val="center"/>
          </w:tcPr>
          <w:p w14:paraId="66C2354D">
            <w:pPr>
              <w:pStyle w:val="77"/>
              <w:keepNext w:val="0"/>
              <w:keepLines w:val="0"/>
              <w:suppressLineNumbers w:val="0"/>
              <w:spacing w:before="0" w:beforeAutospacing="0" w:after="0" w:afterAutospacing="0"/>
              <w:ind w:left="0" w:right="0"/>
              <w:rPr>
                <w:rFonts w:hint="default"/>
                <w:b/>
                <w:bCs/>
                <w:color w:val="auto"/>
              </w:rPr>
            </w:pPr>
            <w:r>
              <w:rPr>
                <w:rFonts w:hint="eastAsia"/>
                <w:b/>
                <w:bCs/>
                <w:color w:val="auto"/>
              </w:rPr>
              <w:t>过渡阶段</w:t>
            </w:r>
            <w:r>
              <w:rPr>
                <w:rFonts w:hint="default"/>
                <w:b/>
                <w:bCs/>
                <w:color w:val="auto"/>
              </w:rPr>
              <w:t>浓度限值</w:t>
            </w:r>
          </w:p>
        </w:tc>
        <w:tc>
          <w:tcPr>
            <w:tcW w:w="2268" w:type="dxa"/>
            <w:vMerge w:val="restart"/>
            <w:tcMar>
              <w:left w:w="0" w:type="dxa"/>
              <w:right w:w="0" w:type="dxa"/>
            </w:tcMar>
            <w:vAlign w:val="center"/>
          </w:tcPr>
          <w:p w14:paraId="4383A7E2">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选用标准</w:t>
            </w:r>
          </w:p>
        </w:tc>
      </w:tr>
      <w:tr w14:paraId="411B94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562" w:type="dxa"/>
            <w:vMerge w:val="continue"/>
            <w:tcMar>
              <w:left w:w="0" w:type="dxa"/>
              <w:right w:w="0" w:type="dxa"/>
            </w:tcMar>
            <w:vAlign w:val="center"/>
          </w:tcPr>
          <w:p w14:paraId="395579B4">
            <w:pPr>
              <w:pStyle w:val="77"/>
              <w:keepNext w:val="0"/>
              <w:keepLines w:val="0"/>
              <w:suppressLineNumbers w:val="0"/>
              <w:spacing w:before="0" w:beforeAutospacing="0" w:after="0" w:afterAutospacing="0"/>
              <w:ind w:left="0" w:right="0"/>
              <w:rPr>
                <w:rFonts w:hint="default"/>
                <w:b/>
                <w:bCs/>
                <w:color w:val="auto"/>
              </w:rPr>
            </w:pPr>
          </w:p>
        </w:tc>
        <w:tc>
          <w:tcPr>
            <w:tcW w:w="1276" w:type="dxa"/>
            <w:vMerge w:val="continue"/>
            <w:tcMar>
              <w:left w:w="0" w:type="dxa"/>
              <w:right w:w="0" w:type="dxa"/>
            </w:tcMar>
            <w:vAlign w:val="center"/>
          </w:tcPr>
          <w:p w14:paraId="1F2ACBFA">
            <w:pPr>
              <w:pStyle w:val="77"/>
              <w:keepNext w:val="0"/>
              <w:keepLines w:val="0"/>
              <w:suppressLineNumbers w:val="0"/>
              <w:spacing w:before="0" w:beforeAutospacing="0" w:after="0" w:afterAutospacing="0"/>
              <w:ind w:left="0" w:right="0"/>
              <w:rPr>
                <w:rFonts w:hint="default"/>
                <w:b/>
                <w:bCs/>
                <w:color w:val="auto"/>
              </w:rPr>
            </w:pPr>
          </w:p>
        </w:tc>
        <w:tc>
          <w:tcPr>
            <w:tcW w:w="2400" w:type="dxa"/>
            <w:vMerge w:val="continue"/>
            <w:tcMar>
              <w:left w:w="0" w:type="dxa"/>
              <w:right w:w="0" w:type="dxa"/>
            </w:tcMar>
            <w:vAlign w:val="center"/>
          </w:tcPr>
          <w:p w14:paraId="47E00AA4">
            <w:pPr>
              <w:pStyle w:val="77"/>
              <w:keepNext w:val="0"/>
              <w:keepLines w:val="0"/>
              <w:suppressLineNumbers w:val="0"/>
              <w:spacing w:before="0" w:beforeAutospacing="0" w:after="0" w:afterAutospacing="0"/>
              <w:ind w:left="0" w:right="0"/>
              <w:rPr>
                <w:rFonts w:hint="default"/>
                <w:b/>
                <w:bCs/>
                <w:color w:val="auto"/>
              </w:rPr>
            </w:pPr>
          </w:p>
        </w:tc>
        <w:tc>
          <w:tcPr>
            <w:tcW w:w="2268" w:type="dxa"/>
            <w:tcMar>
              <w:left w:w="0" w:type="dxa"/>
              <w:right w:w="0" w:type="dxa"/>
            </w:tcMar>
            <w:vAlign w:val="center"/>
          </w:tcPr>
          <w:p w14:paraId="790500BA">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二级</w:t>
            </w:r>
          </w:p>
        </w:tc>
        <w:tc>
          <w:tcPr>
            <w:tcW w:w="2268" w:type="dxa"/>
            <w:vMerge w:val="continue"/>
            <w:tcMar>
              <w:left w:w="0" w:type="dxa"/>
              <w:right w:w="0" w:type="dxa"/>
            </w:tcMar>
            <w:vAlign w:val="center"/>
          </w:tcPr>
          <w:p w14:paraId="4FF9E6E4">
            <w:pPr>
              <w:pStyle w:val="77"/>
              <w:keepNext w:val="0"/>
              <w:keepLines w:val="0"/>
              <w:suppressLineNumbers w:val="0"/>
              <w:spacing w:before="0" w:beforeAutospacing="0" w:after="0" w:afterAutospacing="0"/>
              <w:ind w:left="0" w:right="0"/>
              <w:rPr>
                <w:rFonts w:hint="default"/>
                <w:color w:val="auto"/>
              </w:rPr>
            </w:pPr>
          </w:p>
        </w:tc>
      </w:tr>
      <w:tr w14:paraId="6F784E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5A1B78B0">
            <w:pPr>
              <w:pStyle w:val="77"/>
              <w:keepNext w:val="0"/>
              <w:keepLines w:val="0"/>
              <w:numPr>
                <w:ilvl w:val="0"/>
                <w:numId w:val="7"/>
              </w:numPr>
              <w:suppressLineNumbers w:val="0"/>
              <w:spacing w:before="0" w:beforeAutospacing="0" w:after="0" w:afterAutospacing="0"/>
              <w:ind w:right="0"/>
              <w:rPr>
                <w:rFonts w:hint="default"/>
                <w:color w:val="auto"/>
              </w:rPr>
            </w:pPr>
          </w:p>
        </w:tc>
        <w:tc>
          <w:tcPr>
            <w:tcW w:w="1276" w:type="dxa"/>
            <w:vMerge w:val="restart"/>
            <w:tcMar>
              <w:left w:w="0" w:type="dxa"/>
              <w:right w:w="0" w:type="dxa"/>
            </w:tcMar>
            <w:vAlign w:val="center"/>
          </w:tcPr>
          <w:p w14:paraId="6AF1E182">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SO</w:t>
            </w:r>
            <w:r>
              <w:rPr>
                <w:rFonts w:hint="default"/>
                <w:color w:val="auto"/>
                <w:u w:val="single"/>
                <w:vertAlign w:val="subscript"/>
              </w:rPr>
              <w:t>2</w:t>
            </w:r>
          </w:p>
        </w:tc>
        <w:tc>
          <w:tcPr>
            <w:tcW w:w="2400" w:type="dxa"/>
            <w:tcMar>
              <w:left w:w="0" w:type="dxa"/>
              <w:right w:w="0" w:type="dxa"/>
            </w:tcMar>
            <w:vAlign w:val="center"/>
          </w:tcPr>
          <w:p w14:paraId="5C6535CE">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1小时平均</w:t>
            </w:r>
          </w:p>
        </w:tc>
        <w:tc>
          <w:tcPr>
            <w:tcW w:w="2268" w:type="dxa"/>
            <w:tcMar>
              <w:left w:w="0" w:type="dxa"/>
              <w:right w:w="0" w:type="dxa"/>
            </w:tcMar>
            <w:vAlign w:val="center"/>
          </w:tcPr>
          <w:p w14:paraId="31CE0A29">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500</w:t>
            </w:r>
          </w:p>
        </w:tc>
        <w:tc>
          <w:tcPr>
            <w:tcW w:w="2268" w:type="dxa"/>
            <w:vMerge w:val="restart"/>
            <w:tcMar>
              <w:left w:w="0" w:type="dxa"/>
              <w:right w:w="0" w:type="dxa"/>
            </w:tcMar>
            <w:vAlign w:val="center"/>
          </w:tcPr>
          <w:p w14:paraId="48689711">
            <w:pPr>
              <w:pStyle w:val="77"/>
              <w:keepNext w:val="0"/>
              <w:keepLines w:val="0"/>
              <w:suppressLineNumbers w:val="0"/>
              <w:spacing w:before="0" w:beforeAutospacing="0" w:after="0" w:afterAutospacing="0"/>
              <w:ind w:left="0" w:right="0"/>
              <w:rPr>
                <w:rFonts w:hint="default"/>
                <w:color w:val="auto"/>
              </w:rPr>
            </w:pPr>
            <w:r>
              <w:rPr>
                <w:rFonts w:hint="default"/>
                <w:color w:val="auto"/>
              </w:rPr>
              <w:t>《环境空气质量标准》（GB3095-2026）</w:t>
            </w:r>
          </w:p>
        </w:tc>
      </w:tr>
      <w:tr w14:paraId="3E858D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756E3096">
            <w:pPr>
              <w:pStyle w:val="77"/>
              <w:keepNext w:val="0"/>
              <w:keepLines w:val="0"/>
              <w:numPr>
                <w:ilvl w:val="0"/>
                <w:numId w:val="7"/>
              </w:numPr>
              <w:suppressLineNumbers w:val="0"/>
              <w:spacing w:before="0" w:beforeAutospacing="0" w:after="0" w:afterAutospacing="0"/>
              <w:ind w:right="0"/>
              <w:rPr>
                <w:rFonts w:hint="default"/>
                <w:color w:val="auto"/>
              </w:rPr>
            </w:pPr>
          </w:p>
        </w:tc>
        <w:tc>
          <w:tcPr>
            <w:tcW w:w="1276" w:type="dxa"/>
            <w:vMerge w:val="continue"/>
            <w:tcMar>
              <w:left w:w="0" w:type="dxa"/>
              <w:right w:w="0" w:type="dxa"/>
            </w:tcMar>
            <w:vAlign w:val="center"/>
          </w:tcPr>
          <w:p w14:paraId="1F4AD51E">
            <w:pPr>
              <w:pStyle w:val="77"/>
              <w:keepNext w:val="0"/>
              <w:keepLines w:val="0"/>
              <w:suppressLineNumbers w:val="0"/>
              <w:spacing w:before="0" w:beforeAutospacing="0" w:after="0" w:afterAutospacing="0"/>
              <w:ind w:left="0" w:right="0"/>
              <w:rPr>
                <w:rFonts w:hint="default"/>
                <w:color w:val="auto"/>
                <w:u w:val="single"/>
              </w:rPr>
            </w:pPr>
          </w:p>
        </w:tc>
        <w:tc>
          <w:tcPr>
            <w:tcW w:w="2400" w:type="dxa"/>
            <w:tcMar>
              <w:left w:w="0" w:type="dxa"/>
              <w:right w:w="0" w:type="dxa"/>
            </w:tcMar>
            <w:vAlign w:val="center"/>
          </w:tcPr>
          <w:p w14:paraId="14DEA5A9">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日平均</w:t>
            </w:r>
          </w:p>
        </w:tc>
        <w:tc>
          <w:tcPr>
            <w:tcW w:w="2268" w:type="dxa"/>
            <w:tcMar>
              <w:left w:w="0" w:type="dxa"/>
              <w:right w:w="0" w:type="dxa"/>
            </w:tcMar>
            <w:vAlign w:val="center"/>
          </w:tcPr>
          <w:p w14:paraId="3C85FBFE">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150</w:t>
            </w:r>
          </w:p>
        </w:tc>
        <w:tc>
          <w:tcPr>
            <w:tcW w:w="2268" w:type="dxa"/>
            <w:vMerge w:val="continue"/>
            <w:tcMar>
              <w:left w:w="0" w:type="dxa"/>
              <w:right w:w="0" w:type="dxa"/>
            </w:tcMar>
            <w:vAlign w:val="center"/>
          </w:tcPr>
          <w:p w14:paraId="7B211091">
            <w:pPr>
              <w:pStyle w:val="77"/>
              <w:keepNext w:val="0"/>
              <w:keepLines w:val="0"/>
              <w:suppressLineNumbers w:val="0"/>
              <w:spacing w:before="0" w:beforeAutospacing="0" w:after="0" w:afterAutospacing="0"/>
              <w:ind w:left="0" w:right="0"/>
              <w:rPr>
                <w:rFonts w:hint="default"/>
                <w:color w:val="auto"/>
              </w:rPr>
            </w:pPr>
          </w:p>
        </w:tc>
      </w:tr>
      <w:tr w14:paraId="70EC2E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24A3861C">
            <w:pPr>
              <w:pStyle w:val="77"/>
              <w:keepNext w:val="0"/>
              <w:keepLines w:val="0"/>
              <w:numPr>
                <w:ilvl w:val="0"/>
                <w:numId w:val="7"/>
              </w:numPr>
              <w:suppressLineNumbers w:val="0"/>
              <w:spacing w:before="0" w:beforeAutospacing="0" w:after="0" w:afterAutospacing="0"/>
              <w:ind w:right="0"/>
              <w:rPr>
                <w:rFonts w:hint="default"/>
                <w:color w:val="auto"/>
              </w:rPr>
            </w:pPr>
          </w:p>
        </w:tc>
        <w:tc>
          <w:tcPr>
            <w:tcW w:w="1276" w:type="dxa"/>
            <w:vMerge w:val="continue"/>
            <w:tcMar>
              <w:left w:w="0" w:type="dxa"/>
              <w:right w:w="0" w:type="dxa"/>
            </w:tcMar>
            <w:vAlign w:val="center"/>
          </w:tcPr>
          <w:p w14:paraId="305CAA0D">
            <w:pPr>
              <w:pStyle w:val="77"/>
              <w:keepNext w:val="0"/>
              <w:keepLines w:val="0"/>
              <w:suppressLineNumbers w:val="0"/>
              <w:spacing w:before="0" w:beforeAutospacing="0" w:after="0" w:afterAutospacing="0"/>
              <w:ind w:left="0" w:right="0"/>
              <w:rPr>
                <w:rFonts w:hint="default"/>
                <w:color w:val="auto"/>
                <w:u w:val="single"/>
              </w:rPr>
            </w:pPr>
          </w:p>
        </w:tc>
        <w:tc>
          <w:tcPr>
            <w:tcW w:w="2400" w:type="dxa"/>
            <w:tcMar>
              <w:left w:w="0" w:type="dxa"/>
              <w:right w:w="0" w:type="dxa"/>
            </w:tcMar>
            <w:vAlign w:val="center"/>
          </w:tcPr>
          <w:p w14:paraId="6DF4924E">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年平均</w:t>
            </w:r>
          </w:p>
        </w:tc>
        <w:tc>
          <w:tcPr>
            <w:tcW w:w="2268" w:type="dxa"/>
            <w:tcMar>
              <w:left w:w="0" w:type="dxa"/>
              <w:right w:w="0" w:type="dxa"/>
            </w:tcMar>
            <w:vAlign w:val="center"/>
          </w:tcPr>
          <w:p w14:paraId="5A9DB584">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60</w:t>
            </w:r>
          </w:p>
        </w:tc>
        <w:tc>
          <w:tcPr>
            <w:tcW w:w="2268" w:type="dxa"/>
            <w:vMerge w:val="continue"/>
            <w:tcMar>
              <w:left w:w="0" w:type="dxa"/>
              <w:right w:w="0" w:type="dxa"/>
            </w:tcMar>
            <w:vAlign w:val="center"/>
          </w:tcPr>
          <w:p w14:paraId="6F497A78">
            <w:pPr>
              <w:pStyle w:val="77"/>
              <w:keepNext w:val="0"/>
              <w:keepLines w:val="0"/>
              <w:suppressLineNumbers w:val="0"/>
              <w:spacing w:before="0" w:beforeAutospacing="0" w:after="0" w:afterAutospacing="0"/>
              <w:ind w:left="0" w:right="0"/>
              <w:rPr>
                <w:rFonts w:hint="default"/>
                <w:color w:val="auto"/>
              </w:rPr>
            </w:pPr>
          </w:p>
        </w:tc>
      </w:tr>
      <w:tr w14:paraId="47B8BD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2FC2B2DC">
            <w:pPr>
              <w:pStyle w:val="77"/>
              <w:keepNext w:val="0"/>
              <w:keepLines w:val="0"/>
              <w:numPr>
                <w:ilvl w:val="0"/>
                <w:numId w:val="7"/>
              </w:numPr>
              <w:suppressLineNumbers w:val="0"/>
              <w:spacing w:before="0" w:beforeAutospacing="0" w:after="0" w:afterAutospacing="0"/>
              <w:ind w:right="0"/>
              <w:rPr>
                <w:rFonts w:hint="default"/>
                <w:color w:val="auto"/>
              </w:rPr>
            </w:pPr>
          </w:p>
        </w:tc>
        <w:tc>
          <w:tcPr>
            <w:tcW w:w="1276" w:type="dxa"/>
            <w:vMerge w:val="restart"/>
            <w:tcMar>
              <w:left w:w="0" w:type="dxa"/>
              <w:right w:w="0" w:type="dxa"/>
            </w:tcMar>
            <w:vAlign w:val="center"/>
          </w:tcPr>
          <w:p w14:paraId="5B548174">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NO</w:t>
            </w:r>
            <w:r>
              <w:rPr>
                <w:rFonts w:hint="default"/>
                <w:color w:val="auto"/>
                <w:u w:val="single"/>
                <w:vertAlign w:val="subscript"/>
              </w:rPr>
              <w:t>2</w:t>
            </w:r>
          </w:p>
        </w:tc>
        <w:tc>
          <w:tcPr>
            <w:tcW w:w="2400" w:type="dxa"/>
            <w:tcMar>
              <w:left w:w="0" w:type="dxa"/>
              <w:right w:w="0" w:type="dxa"/>
            </w:tcMar>
            <w:vAlign w:val="center"/>
          </w:tcPr>
          <w:p w14:paraId="53F72FAF">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1小时平均</w:t>
            </w:r>
          </w:p>
        </w:tc>
        <w:tc>
          <w:tcPr>
            <w:tcW w:w="2268" w:type="dxa"/>
            <w:tcMar>
              <w:left w:w="0" w:type="dxa"/>
              <w:right w:w="0" w:type="dxa"/>
            </w:tcMar>
            <w:vAlign w:val="center"/>
          </w:tcPr>
          <w:p w14:paraId="4CED1FAB">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200</w:t>
            </w:r>
          </w:p>
        </w:tc>
        <w:tc>
          <w:tcPr>
            <w:tcW w:w="2268" w:type="dxa"/>
            <w:vMerge w:val="continue"/>
            <w:tcMar>
              <w:left w:w="0" w:type="dxa"/>
              <w:right w:w="0" w:type="dxa"/>
            </w:tcMar>
            <w:vAlign w:val="center"/>
          </w:tcPr>
          <w:p w14:paraId="3FE4CDD2">
            <w:pPr>
              <w:pStyle w:val="77"/>
              <w:keepNext w:val="0"/>
              <w:keepLines w:val="0"/>
              <w:suppressLineNumbers w:val="0"/>
              <w:spacing w:before="0" w:beforeAutospacing="0" w:after="0" w:afterAutospacing="0"/>
              <w:ind w:left="0" w:right="0"/>
              <w:rPr>
                <w:rFonts w:hint="default"/>
                <w:color w:val="auto"/>
              </w:rPr>
            </w:pPr>
          </w:p>
        </w:tc>
      </w:tr>
      <w:tr w14:paraId="07CA93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155B996D">
            <w:pPr>
              <w:pStyle w:val="77"/>
              <w:keepNext w:val="0"/>
              <w:keepLines w:val="0"/>
              <w:numPr>
                <w:ilvl w:val="0"/>
                <w:numId w:val="7"/>
              </w:numPr>
              <w:suppressLineNumbers w:val="0"/>
              <w:spacing w:before="0" w:beforeAutospacing="0" w:after="0" w:afterAutospacing="0"/>
              <w:ind w:right="0"/>
              <w:rPr>
                <w:rFonts w:hint="default"/>
                <w:color w:val="auto"/>
              </w:rPr>
            </w:pPr>
          </w:p>
        </w:tc>
        <w:tc>
          <w:tcPr>
            <w:tcW w:w="1276" w:type="dxa"/>
            <w:vMerge w:val="continue"/>
            <w:tcMar>
              <w:left w:w="0" w:type="dxa"/>
              <w:right w:w="0" w:type="dxa"/>
            </w:tcMar>
            <w:vAlign w:val="center"/>
          </w:tcPr>
          <w:p w14:paraId="76199A06">
            <w:pPr>
              <w:pStyle w:val="77"/>
              <w:keepNext w:val="0"/>
              <w:keepLines w:val="0"/>
              <w:suppressLineNumbers w:val="0"/>
              <w:spacing w:before="0" w:beforeAutospacing="0" w:after="0" w:afterAutospacing="0"/>
              <w:ind w:left="0" w:right="0"/>
              <w:rPr>
                <w:rFonts w:hint="default"/>
                <w:color w:val="auto"/>
                <w:u w:val="single"/>
              </w:rPr>
            </w:pPr>
          </w:p>
        </w:tc>
        <w:tc>
          <w:tcPr>
            <w:tcW w:w="2400" w:type="dxa"/>
            <w:tcMar>
              <w:left w:w="0" w:type="dxa"/>
              <w:right w:w="0" w:type="dxa"/>
            </w:tcMar>
            <w:vAlign w:val="center"/>
          </w:tcPr>
          <w:p w14:paraId="4F36D78F">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日平均</w:t>
            </w:r>
          </w:p>
        </w:tc>
        <w:tc>
          <w:tcPr>
            <w:tcW w:w="2268" w:type="dxa"/>
            <w:tcMar>
              <w:left w:w="0" w:type="dxa"/>
              <w:right w:w="0" w:type="dxa"/>
            </w:tcMar>
            <w:vAlign w:val="center"/>
          </w:tcPr>
          <w:p w14:paraId="05F85AB3">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80</w:t>
            </w:r>
          </w:p>
        </w:tc>
        <w:tc>
          <w:tcPr>
            <w:tcW w:w="2268" w:type="dxa"/>
            <w:vMerge w:val="continue"/>
            <w:tcMar>
              <w:left w:w="0" w:type="dxa"/>
              <w:right w:w="0" w:type="dxa"/>
            </w:tcMar>
            <w:vAlign w:val="center"/>
          </w:tcPr>
          <w:p w14:paraId="23BC3F06">
            <w:pPr>
              <w:pStyle w:val="77"/>
              <w:keepNext w:val="0"/>
              <w:keepLines w:val="0"/>
              <w:suppressLineNumbers w:val="0"/>
              <w:spacing w:before="0" w:beforeAutospacing="0" w:after="0" w:afterAutospacing="0"/>
              <w:ind w:left="0" w:right="0"/>
              <w:rPr>
                <w:rFonts w:hint="default"/>
                <w:color w:val="auto"/>
              </w:rPr>
            </w:pPr>
          </w:p>
        </w:tc>
      </w:tr>
      <w:tr w14:paraId="31B9AC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018123A7">
            <w:pPr>
              <w:pStyle w:val="77"/>
              <w:keepNext w:val="0"/>
              <w:keepLines w:val="0"/>
              <w:numPr>
                <w:ilvl w:val="0"/>
                <w:numId w:val="7"/>
              </w:numPr>
              <w:suppressLineNumbers w:val="0"/>
              <w:spacing w:before="0" w:beforeAutospacing="0" w:after="0" w:afterAutospacing="0"/>
              <w:ind w:right="0"/>
              <w:rPr>
                <w:rFonts w:hint="default"/>
                <w:color w:val="auto"/>
              </w:rPr>
            </w:pPr>
          </w:p>
        </w:tc>
        <w:tc>
          <w:tcPr>
            <w:tcW w:w="1276" w:type="dxa"/>
            <w:vMerge w:val="continue"/>
            <w:tcMar>
              <w:left w:w="0" w:type="dxa"/>
              <w:right w:w="0" w:type="dxa"/>
            </w:tcMar>
            <w:vAlign w:val="center"/>
          </w:tcPr>
          <w:p w14:paraId="52415FC2">
            <w:pPr>
              <w:pStyle w:val="77"/>
              <w:keepNext w:val="0"/>
              <w:keepLines w:val="0"/>
              <w:suppressLineNumbers w:val="0"/>
              <w:spacing w:before="0" w:beforeAutospacing="0" w:after="0" w:afterAutospacing="0"/>
              <w:ind w:left="0" w:right="0"/>
              <w:rPr>
                <w:rFonts w:hint="default"/>
                <w:color w:val="auto"/>
                <w:u w:val="single"/>
              </w:rPr>
            </w:pPr>
          </w:p>
        </w:tc>
        <w:tc>
          <w:tcPr>
            <w:tcW w:w="2400" w:type="dxa"/>
            <w:tcMar>
              <w:left w:w="0" w:type="dxa"/>
              <w:right w:w="0" w:type="dxa"/>
            </w:tcMar>
            <w:vAlign w:val="center"/>
          </w:tcPr>
          <w:p w14:paraId="3103881F">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年平均</w:t>
            </w:r>
          </w:p>
        </w:tc>
        <w:tc>
          <w:tcPr>
            <w:tcW w:w="2268" w:type="dxa"/>
            <w:tcMar>
              <w:left w:w="0" w:type="dxa"/>
              <w:right w:w="0" w:type="dxa"/>
            </w:tcMar>
            <w:vAlign w:val="center"/>
          </w:tcPr>
          <w:p w14:paraId="6F89C8C1">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40</w:t>
            </w:r>
          </w:p>
        </w:tc>
        <w:tc>
          <w:tcPr>
            <w:tcW w:w="2268" w:type="dxa"/>
            <w:vMerge w:val="continue"/>
            <w:tcMar>
              <w:left w:w="0" w:type="dxa"/>
              <w:right w:w="0" w:type="dxa"/>
            </w:tcMar>
            <w:vAlign w:val="center"/>
          </w:tcPr>
          <w:p w14:paraId="13E7767F">
            <w:pPr>
              <w:pStyle w:val="77"/>
              <w:keepNext w:val="0"/>
              <w:keepLines w:val="0"/>
              <w:suppressLineNumbers w:val="0"/>
              <w:spacing w:before="0" w:beforeAutospacing="0" w:after="0" w:afterAutospacing="0"/>
              <w:ind w:left="0" w:right="0"/>
              <w:rPr>
                <w:rFonts w:hint="default"/>
                <w:color w:val="auto"/>
              </w:rPr>
            </w:pPr>
          </w:p>
        </w:tc>
      </w:tr>
      <w:tr w14:paraId="397713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3B210CDC">
            <w:pPr>
              <w:pStyle w:val="77"/>
              <w:keepNext w:val="0"/>
              <w:keepLines w:val="0"/>
              <w:numPr>
                <w:ilvl w:val="0"/>
                <w:numId w:val="7"/>
              </w:numPr>
              <w:suppressLineNumbers w:val="0"/>
              <w:spacing w:before="0" w:beforeAutospacing="0" w:after="0" w:afterAutospacing="0"/>
              <w:ind w:right="0"/>
              <w:rPr>
                <w:rFonts w:hint="default"/>
                <w:color w:val="auto"/>
              </w:rPr>
            </w:pPr>
          </w:p>
        </w:tc>
        <w:tc>
          <w:tcPr>
            <w:tcW w:w="1276" w:type="dxa"/>
            <w:vMerge w:val="restart"/>
            <w:tcMar>
              <w:left w:w="0" w:type="dxa"/>
              <w:right w:w="0" w:type="dxa"/>
            </w:tcMar>
            <w:vAlign w:val="center"/>
          </w:tcPr>
          <w:p w14:paraId="7DF7225E">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CO</w:t>
            </w:r>
          </w:p>
        </w:tc>
        <w:tc>
          <w:tcPr>
            <w:tcW w:w="2400" w:type="dxa"/>
            <w:tcMar>
              <w:left w:w="0" w:type="dxa"/>
              <w:right w:w="0" w:type="dxa"/>
            </w:tcMar>
            <w:vAlign w:val="center"/>
          </w:tcPr>
          <w:p w14:paraId="0CEE772C">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1小时平均</w:t>
            </w:r>
          </w:p>
        </w:tc>
        <w:tc>
          <w:tcPr>
            <w:tcW w:w="2268" w:type="dxa"/>
            <w:tcMar>
              <w:left w:w="0" w:type="dxa"/>
              <w:right w:w="0" w:type="dxa"/>
            </w:tcMar>
            <w:vAlign w:val="center"/>
          </w:tcPr>
          <w:p w14:paraId="335E92C0">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10000</w:t>
            </w:r>
          </w:p>
        </w:tc>
        <w:tc>
          <w:tcPr>
            <w:tcW w:w="2268" w:type="dxa"/>
            <w:vMerge w:val="continue"/>
            <w:tcMar>
              <w:left w:w="0" w:type="dxa"/>
              <w:right w:w="0" w:type="dxa"/>
            </w:tcMar>
            <w:vAlign w:val="center"/>
          </w:tcPr>
          <w:p w14:paraId="4E309954">
            <w:pPr>
              <w:pStyle w:val="77"/>
              <w:keepNext w:val="0"/>
              <w:keepLines w:val="0"/>
              <w:suppressLineNumbers w:val="0"/>
              <w:spacing w:before="0" w:beforeAutospacing="0" w:after="0" w:afterAutospacing="0"/>
              <w:ind w:left="0" w:right="0"/>
              <w:rPr>
                <w:rFonts w:hint="default"/>
                <w:color w:val="auto"/>
              </w:rPr>
            </w:pPr>
          </w:p>
        </w:tc>
      </w:tr>
      <w:tr w14:paraId="7F06EF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28376D29">
            <w:pPr>
              <w:pStyle w:val="77"/>
              <w:keepNext w:val="0"/>
              <w:keepLines w:val="0"/>
              <w:numPr>
                <w:ilvl w:val="0"/>
                <w:numId w:val="7"/>
              </w:numPr>
              <w:suppressLineNumbers w:val="0"/>
              <w:spacing w:before="0" w:beforeAutospacing="0" w:after="0" w:afterAutospacing="0"/>
              <w:ind w:right="0"/>
              <w:rPr>
                <w:rFonts w:hint="default"/>
                <w:color w:val="auto"/>
              </w:rPr>
            </w:pPr>
          </w:p>
        </w:tc>
        <w:tc>
          <w:tcPr>
            <w:tcW w:w="1276" w:type="dxa"/>
            <w:vMerge w:val="continue"/>
            <w:tcMar>
              <w:left w:w="0" w:type="dxa"/>
              <w:right w:w="0" w:type="dxa"/>
            </w:tcMar>
            <w:vAlign w:val="center"/>
          </w:tcPr>
          <w:p w14:paraId="7163878C">
            <w:pPr>
              <w:pStyle w:val="77"/>
              <w:keepNext w:val="0"/>
              <w:keepLines w:val="0"/>
              <w:suppressLineNumbers w:val="0"/>
              <w:spacing w:before="0" w:beforeAutospacing="0" w:after="0" w:afterAutospacing="0"/>
              <w:ind w:left="0" w:right="0"/>
              <w:rPr>
                <w:rFonts w:hint="default"/>
                <w:color w:val="auto"/>
                <w:u w:val="single"/>
              </w:rPr>
            </w:pPr>
          </w:p>
        </w:tc>
        <w:tc>
          <w:tcPr>
            <w:tcW w:w="2400" w:type="dxa"/>
            <w:tcMar>
              <w:left w:w="0" w:type="dxa"/>
              <w:right w:w="0" w:type="dxa"/>
            </w:tcMar>
            <w:vAlign w:val="center"/>
          </w:tcPr>
          <w:p w14:paraId="1253F4E8">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日平均</w:t>
            </w:r>
          </w:p>
        </w:tc>
        <w:tc>
          <w:tcPr>
            <w:tcW w:w="2268" w:type="dxa"/>
            <w:tcMar>
              <w:left w:w="0" w:type="dxa"/>
              <w:right w:w="0" w:type="dxa"/>
            </w:tcMar>
            <w:vAlign w:val="center"/>
          </w:tcPr>
          <w:p w14:paraId="39E72340">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4000</w:t>
            </w:r>
          </w:p>
        </w:tc>
        <w:tc>
          <w:tcPr>
            <w:tcW w:w="2268" w:type="dxa"/>
            <w:vMerge w:val="continue"/>
            <w:tcMar>
              <w:left w:w="0" w:type="dxa"/>
              <w:right w:w="0" w:type="dxa"/>
            </w:tcMar>
            <w:vAlign w:val="center"/>
          </w:tcPr>
          <w:p w14:paraId="73402637">
            <w:pPr>
              <w:pStyle w:val="77"/>
              <w:keepNext w:val="0"/>
              <w:keepLines w:val="0"/>
              <w:suppressLineNumbers w:val="0"/>
              <w:spacing w:before="0" w:beforeAutospacing="0" w:after="0" w:afterAutospacing="0"/>
              <w:ind w:left="0" w:right="0"/>
              <w:rPr>
                <w:rFonts w:hint="default"/>
                <w:color w:val="auto"/>
              </w:rPr>
            </w:pPr>
          </w:p>
        </w:tc>
      </w:tr>
      <w:tr w14:paraId="5303E3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4815AABE">
            <w:pPr>
              <w:pStyle w:val="77"/>
              <w:keepNext w:val="0"/>
              <w:keepLines w:val="0"/>
              <w:numPr>
                <w:ilvl w:val="0"/>
                <w:numId w:val="7"/>
              </w:numPr>
              <w:suppressLineNumbers w:val="0"/>
              <w:spacing w:before="0" w:beforeAutospacing="0" w:after="0" w:afterAutospacing="0"/>
              <w:ind w:right="0"/>
              <w:rPr>
                <w:rFonts w:hint="default"/>
                <w:color w:val="auto"/>
              </w:rPr>
            </w:pPr>
          </w:p>
        </w:tc>
        <w:tc>
          <w:tcPr>
            <w:tcW w:w="1276" w:type="dxa"/>
            <w:vMerge w:val="restart"/>
            <w:tcMar>
              <w:left w:w="0" w:type="dxa"/>
              <w:right w:w="0" w:type="dxa"/>
            </w:tcMar>
            <w:vAlign w:val="center"/>
          </w:tcPr>
          <w:p w14:paraId="024406EE">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PM</w:t>
            </w:r>
            <w:r>
              <w:rPr>
                <w:rFonts w:hint="default"/>
                <w:color w:val="auto"/>
                <w:u w:val="single"/>
                <w:vertAlign w:val="subscript"/>
              </w:rPr>
              <w:t>10</w:t>
            </w:r>
          </w:p>
        </w:tc>
        <w:tc>
          <w:tcPr>
            <w:tcW w:w="2400" w:type="dxa"/>
            <w:tcMar>
              <w:left w:w="0" w:type="dxa"/>
              <w:right w:w="0" w:type="dxa"/>
            </w:tcMar>
            <w:vAlign w:val="center"/>
          </w:tcPr>
          <w:p w14:paraId="06CA8C04">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日平均</w:t>
            </w:r>
          </w:p>
        </w:tc>
        <w:tc>
          <w:tcPr>
            <w:tcW w:w="2268" w:type="dxa"/>
            <w:tcMar>
              <w:left w:w="0" w:type="dxa"/>
              <w:right w:w="0" w:type="dxa"/>
            </w:tcMar>
            <w:vAlign w:val="center"/>
          </w:tcPr>
          <w:p w14:paraId="236A27BC">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120</w:t>
            </w:r>
          </w:p>
        </w:tc>
        <w:tc>
          <w:tcPr>
            <w:tcW w:w="2268" w:type="dxa"/>
            <w:vMerge w:val="continue"/>
            <w:tcMar>
              <w:left w:w="0" w:type="dxa"/>
              <w:right w:w="0" w:type="dxa"/>
            </w:tcMar>
            <w:vAlign w:val="center"/>
          </w:tcPr>
          <w:p w14:paraId="3A831D32">
            <w:pPr>
              <w:pStyle w:val="77"/>
              <w:keepNext w:val="0"/>
              <w:keepLines w:val="0"/>
              <w:suppressLineNumbers w:val="0"/>
              <w:spacing w:before="0" w:beforeAutospacing="0" w:after="0" w:afterAutospacing="0"/>
              <w:ind w:left="0" w:right="0"/>
              <w:rPr>
                <w:rFonts w:hint="default"/>
                <w:color w:val="auto"/>
              </w:rPr>
            </w:pPr>
          </w:p>
        </w:tc>
      </w:tr>
      <w:tr w14:paraId="4B49F8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57478039">
            <w:pPr>
              <w:pStyle w:val="77"/>
              <w:keepNext w:val="0"/>
              <w:keepLines w:val="0"/>
              <w:numPr>
                <w:ilvl w:val="0"/>
                <w:numId w:val="7"/>
              </w:numPr>
              <w:suppressLineNumbers w:val="0"/>
              <w:spacing w:before="0" w:beforeAutospacing="0" w:after="0" w:afterAutospacing="0"/>
              <w:ind w:right="0"/>
              <w:rPr>
                <w:rFonts w:hint="default"/>
                <w:color w:val="auto"/>
              </w:rPr>
            </w:pPr>
          </w:p>
        </w:tc>
        <w:tc>
          <w:tcPr>
            <w:tcW w:w="1276" w:type="dxa"/>
            <w:vMerge w:val="continue"/>
            <w:tcMar>
              <w:left w:w="0" w:type="dxa"/>
              <w:right w:w="0" w:type="dxa"/>
            </w:tcMar>
            <w:vAlign w:val="center"/>
          </w:tcPr>
          <w:p w14:paraId="6D0EE67E">
            <w:pPr>
              <w:pStyle w:val="77"/>
              <w:keepNext w:val="0"/>
              <w:keepLines w:val="0"/>
              <w:suppressLineNumbers w:val="0"/>
              <w:spacing w:before="0" w:beforeAutospacing="0" w:after="0" w:afterAutospacing="0"/>
              <w:ind w:left="0" w:right="0"/>
              <w:rPr>
                <w:rFonts w:hint="default"/>
                <w:color w:val="auto"/>
                <w:u w:val="single"/>
              </w:rPr>
            </w:pPr>
          </w:p>
        </w:tc>
        <w:tc>
          <w:tcPr>
            <w:tcW w:w="2400" w:type="dxa"/>
            <w:tcMar>
              <w:left w:w="0" w:type="dxa"/>
              <w:right w:w="0" w:type="dxa"/>
            </w:tcMar>
            <w:vAlign w:val="center"/>
          </w:tcPr>
          <w:p w14:paraId="6FAD5D2B">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年平均</w:t>
            </w:r>
          </w:p>
        </w:tc>
        <w:tc>
          <w:tcPr>
            <w:tcW w:w="2268" w:type="dxa"/>
            <w:tcMar>
              <w:left w:w="0" w:type="dxa"/>
              <w:right w:w="0" w:type="dxa"/>
            </w:tcMar>
            <w:vAlign w:val="center"/>
          </w:tcPr>
          <w:p w14:paraId="68DC1BF3">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60</w:t>
            </w:r>
          </w:p>
        </w:tc>
        <w:tc>
          <w:tcPr>
            <w:tcW w:w="2268" w:type="dxa"/>
            <w:vMerge w:val="continue"/>
            <w:tcMar>
              <w:left w:w="0" w:type="dxa"/>
              <w:right w:w="0" w:type="dxa"/>
            </w:tcMar>
            <w:vAlign w:val="center"/>
          </w:tcPr>
          <w:p w14:paraId="5F2937AE">
            <w:pPr>
              <w:pStyle w:val="77"/>
              <w:keepNext w:val="0"/>
              <w:keepLines w:val="0"/>
              <w:suppressLineNumbers w:val="0"/>
              <w:spacing w:before="0" w:beforeAutospacing="0" w:after="0" w:afterAutospacing="0"/>
              <w:ind w:left="0" w:right="0"/>
              <w:rPr>
                <w:rFonts w:hint="default"/>
                <w:color w:val="auto"/>
              </w:rPr>
            </w:pPr>
          </w:p>
        </w:tc>
      </w:tr>
      <w:tr w14:paraId="4816A3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6FCD9012">
            <w:pPr>
              <w:pStyle w:val="77"/>
              <w:keepNext w:val="0"/>
              <w:keepLines w:val="0"/>
              <w:numPr>
                <w:ilvl w:val="0"/>
                <w:numId w:val="7"/>
              </w:numPr>
              <w:suppressLineNumbers w:val="0"/>
              <w:spacing w:before="0" w:beforeAutospacing="0" w:after="0" w:afterAutospacing="0"/>
              <w:ind w:right="0"/>
              <w:rPr>
                <w:rFonts w:hint="default"/>
                <w:color w:val="auto"/>
              </w:rPr>
            </w:pPr>
          </w:p>
        </w:tc>
        <w:tc>
          <w:tcPr>
            <w:tcW w:w="1276" w:type="dxa"/>
            <w:vMerge w:val="restart"/>
            <w:tcMar>
              <w:left w:w="0" w:type="dxa"/>
              <w:right w:w="0" w:type="dxa"/>
            </w:tcMar>
            <w:vAlign w:val="center"/>
          </w:tcPr>
          <w:p w14:paraId="3C1CEE23">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PM</w:t>
            </w:r>
            <w:r>
              <w:rPr>
                <w:rFonts w:hint="default"/>
                <w:color w:val="auto"/>
                <w:u w:val="single"/>
                <w:vertAlign w:val="subscript"/>
              </w:rPr>
              <w:t>2.5</w:t>
            </w:r>
          </w:p>
        </w:tc>
        <w:tc>
          <w:tcPr>
            <w:tcW w:w="2400" w:type="dxa"/>
            <w:tcMar>
              <w:left w:w="0" w:type="dxa"/>
              <w:right w:w="0" w:type="dxa"/>
            </w:tcMar>
            <w:vAlign w:val="center"/>
          </w:tcPr>
          <w:p w14:paraId="3CE88843">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日平均</w:t>
            </w:r>
          </w:p>
        </w:tc>
        <w:tc>
          <w:tcPr>
            <w:tcW w:w="2268" w:type="dxa"/>
            <w:tcMar>
              <w:left w:w="0" w:type="dxa"/>
              <w:right w:w="0" w:type="dxa"/>
            </w:tcMar>
            <w:vAlign w:val="center"/>
          </w:tcPr>
          <w:p w14:paraId="3FC03A1F">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60</w:t>
            </w:r>
          </w:p>
        </w:tc>
        <w:tc>
          <w:tcPr>
            <w:tcW w:w="2268" w:type="dxa"/>
            <w:vMerge w:val="continue"/>
            <w:tcMar>
              <w:left w:w="0" w:type="dxa"/>
              <w:right w:w="0" w:type="dxa"/>
            </w:tcMar>
            <w:vAlign w:val="center"/>
          </w:tcPr>
          <w:p w14:paraId="4C82918D">
            <w:pPr>
              <w:pStyle w:val="77"/>
              <w:keepNext w:val="0"/>
              <w:keepLines w:val="0"/>
              <w:suppressLineNumbers w:val="0"/>
              <w:spacing w:before="0" w:beforeAutospacing="0" w:after="0" w:afterAutospacing="0"/>
              <w:ind w:left="0" w:right="0"/>
              <w:rPr>
                <w:rFonts w:hint="default"/>
                <w:color w:val="auto"/>
              </w:rPr>
            </w:pPr>
          </w:p>
        </w:tc>
      </w:tr>
      <w:tr w14:paraId="64CB28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278527A2">
            <w:pPr>
              <w:pStyle w:val="77"/>
              <w:keepNext w:val="0"/>
              <w:keepLines w:val="0"/>
              <w:numPr>
                <w:ilvl w:val="0"/>
                <w:numId w:val="7"/>
              </w:numPr>
              <w:suppressLineNumbers w:val="0"/>
              <w:spacing w:before="0" w:beforeAutospacing="0" w:after="0" w:afterAutospacing="0"/>
              <w:ind w:right="0"/>
              <w:rPr>
                <w:rFonts w:hint="default"/>
                <w:color w:val="auto"/>
              </w:rPr>
            </w:pPr>
          </w:p>
        </w:tc>
        <w:tc>
          <w:tcPr>
            <w:tcW w:w="1276" w:type="dxa"/>
            <w:vMerge w:val="continue"/>
            <w:tcMar>
              <w:left w:w="0" w:type="dxa"/>
              <w:right w:w="0" w:type="dxa"/>
            </w:tcMar>
            <w:vAlign w:val="center"/>
          </w:tcPr>
          <w:p w14:paraId="3A4E4253">
            <w:pPr>
              <w:pStyle w:val="77"/>
              <w:keepNext w:val="0"/>
              <w:keepLines w:val="0"/>
              <w:suppressLineNumbers w:val="0"/>
              <w:spacing w:before="0" w:beforeAutospacing="0" w:after="0" w:afterAutospacing="0"/>
              <w:ind w:left="0" w:right="0"/>
              <w:rPr>
                <w:rFonts w:hint="default"/>
                <w:color w:val="auto"/>
                <w:u w:val="single"/>
              </w:rPr>
            </w:pPr>
          </w:p>
        </w:tc>
        <w:tc>
          <w:tcPr>
            <w:tcW w:w="2400" w:type="dxa"/>
            <w:tcMar>
              <w:left w:w="0" w:type="dxa"/>
              <w:right w:w="0" w:type="dxa"/>
            </w:tcMar>
            <w:vAlign w:val="center"/>
          </w:tcPr>
          <w:p w14:paraId="67534723">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年平均</w:t>
            </w:r>
          </w:p>
        </w:tc>
        <w:tc>
          <w:tcPr>
            <w:tcW w:w="2268" w:type="dxa"/>
            <w:tcMar>
              <w:left w:w="0" w:type="dxa"/>
              <w:right w:w="0" w:type="dxa"/>
            </w:tcMar>
            <w:vAlign w:val="center"/>
          </w:tcPr>
          <w:p w14:paraId="00DCF385">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30</w:t>
            </w:r>
          </w:p>
        </w:tc>
        <w:tc>
          <w:tcPr>
            <w:tcW w:w="2268" w:type="dxa"/>
            <w:vMerge w:val="continue"/>
            <w:tcMar>
              <w:left w:w="0" w:type="dxa"/>
              <w:right w:w="0" w:type="dxa"/>
            </w:tcMar>
            <w:vAlign w:val="center"/>
          </w:tcPr>
          <w:p w14:paraId="3776D4B6">
            <w:pPr>
              <w:pStyle w:val="77"/>
              <w:keepNext w:val="0"/>
              <w:keepLines w:val="0"/>
              <w:suppressLineNumbers w:val="0"/>
              <w:spacing w:before="0" w:beforeAutospacing="0" w:after="0" w:afterAutospacing="0"/>
              <w:ind w:left="0" w:right="0"/>
              <w:rPr>
                <w:rFonts w:hint="default"/>
                <w:color w:val="auto"/>
              </w:rPr>
            </w:pPr>
          </w:p>
        </w:tc>
      </w:tr>
      <w:tr w14:paraId="31BCE0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tcMar>
              <w:left w:w="0" w:type="dxa"/>
              <w:right w:w="0" w:type="dxa"/>
            </w:tcMar>
            <w:vAlign w:val="center"/>
          </w:tcPr>
          <w:p w14:paraId="60CD6406">
            <w:pPr>
              <w:pStyle w:val="77"/>
              <w:keepNext w:val="0"/>
              <w:keepLines w:val="0"/>
              <w:numPr>
                <w:ilvl w:val="0"/>
                <w:numId w:val="7"/>
              </w:numPr>
              <w:suppressLineNumbers w:val="0"/>
              <w:spacing w:before="0" w:beforeAutospacing="0" w:after="0" w:afterAutospacing="0"/>
              <w:ind w:right="0"/>
              <w:rPr>
                <w:rFonts w:hint="default"/>
                <w:color w:val="auto"/>
              </w:rPr>
            </w:pPr>
          </w:p>
        </w:tc>
        <w:tc>
          <w:tcPr>
            <w:tcW w:w="1276" w:type="dxa"/>
            <w:vMerge w:val="restart"/>
            <w:tcMar>
              <w:left w:w="0" w:type="dxa"/>
              <w:right w:w="0" w:type="dxa"/>
            </w:tcMar>
            <w:vAlign w:val="center"/>
          </w:tcPr>
          <w:p w14:paraId="42833570">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O</w:t>
            </w:r>
            <w:r>
              <w:rPr>
                <w:rFonts w:hint="default"/>
                <w:color w:val="auto"/>
                <w:u w:val="single"/>
                <w:vertAlign w:val="subscript"/>
              </w:rPr>
              <w:t>3</w:t>
            </w:r>
          </w:p>
        </w:tc>
        <w:tc>
          <w:tcPr>
            <w:tcW w:w="2400" w:type="dxa"/>
            <w:tcMar>
              <w:left w:w="0" w:type="dxa"/>
              <w:right w:w="0" w:type="dxa"/>
            </w:tcMar>
            <w:vAlign w:val="center"/>
          </w:tcPr>
          <w:p w14:paraId="3EA5DBCF">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日最大8小时平均</w:t>
            </w:r>
          </w:p>
        </w:tc>
        <w:tc>
          <w:tcPr>
            <w:tcW w:w="2268" w:type="dxa"/>
            <w:tcMar>
              <w:left w:w="0" w:type="dxa"/>
              <w:right w:w="0" w:type="dxa"/>
            </w:tcMar>
            <w:vAlign w:val="center"/>
          </w:tcPr>
          <w:p w14:paraId="7BEE7108">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160</w:t>
            </w:r>
          </w:p>
        </w:tc>
        <w:tc>
          <w:tcPr>
            <w:tcW w:w="2268" w:type="dxa"/>
            <w:vMerge w:val="continue"/>
            <w:tcMar>
              <w:left w:w="0" w:type="dxa"/>
              <w:right w:w="0" w:type="dxa"/>
            </w:tcMar>
            <w:vAlign w:val="center"/>
          </w:tcPr>
          <w:p w14:paraId="05734223">
            <w:pPr>
              <w:pStyle w:val="77"/>
              <w:keepNext w:val="0"/>
              <w:keepLines w:val="0"/>
              <w:suppressLineNumbers w:val="0"/>
              <w:spacing w:before="0" w:beforeAutospacing="0" w:after="0" w:afterAutospacing="0"/>
              <w:ind w:left="0" w:right="0"/>
              <w:rPr>
                <w:rFonts w:hint="default"/>
                <w:color w:val="auto"/>
              </w:rPr>
            </w:pPr>
          </w:p>
        </w:tc>
      </w:tr>
      <w:tr w14:paraId="1C7109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tcMar>
              <w:left w:w="0" w:type="dxa"/>
              <w:right w:w="0" w:type="dxa"/>
            </w:tcMar>
            <w:vAlign w:val="center"/>
          </w:tcPr>
          <w:p w14:paraId="5922166F">
            <w:pPr>
              <w:pStyle w:val="77"/>
              <w:keepNext w:val="0"/>
              <w:keepLines w:val="0"/>
              <w:numPr>
                <w:ilvl w:val="0"/>
                <w:numId w:val="7"/>
              </w:numPr>
              <w:suppressLineNumbers w:val="0"/>
              <w:spacing w:before="0" w:beforeAutospacing="0" w:after="0" w:afterAutospacing="0"/>
              <w:ind w:right="0"/>
              <w:rPr>
                <w:rFonts w:hint="default"/>
                <w:color w:val="auto"/>
              </w:rPr>
            </w:pPr>
          </w:p>
        </w:tc>
        <w:tc>
          <w:tcPr>
            <w:tcW w:w="1276" w:type="dxa"/>
            <w:vMerge w:val="continue"/>
            <w:tcMar>
              <w:left w:w="0" w:type="dxa"/>
              <w:right w:w="0" w:type="dxa"/>
            </w:tcMar>
            <w:vAlign w:val="center"/>
          </w:tcPr>
          <w:p w14:paraId="0BC37FC9">
            <w:pPr>
              <w:pStyle w:val="77"/>
              <w:keepNext w:val="0"/>
              <w:keepLines w:val="0"/>
              <w:suppressLineNumbers w:val="0"/>
              <w:spacing w:before="0" w:beforeAutospacing="0" w:after="0" w:afterAutospacing="0"/>
              <w:ind w:left="0" w:right="0"/>
              <w:rPr>
                <w:rFonts w:hint="default"/>
                <w:color w:val="auto"/>
                <w:u w:val="single"/>
              </w:rPr>
            </w:pPr>
          </w:p>
        </w:tc>
        <w:tc>
          <w:tcPr>
            <w:tcW w:w="2400" w:type="dxa"/>
            <w:tcMar>
              <w:left w:w="0" w:type="dxa"/>
              <w:right w:w="0" w:type="dxa"/>
            </w:tcMar>
            <w:vAlign w:val="center"/>
          </w:tcPr>
          <w:p w14:paraId="660A053A">
            <w:pPr>
              <w:pStyle w:val="77"/>
              <w:keepNext w:val="0"/>
              <w:keepLines w:val="0"/>
              <w:suppressLineNumbers w:val="0"/>
              <w:spacing w:before="0" w:beforeAutospacing="0" w:after="0" w:afterAutospacing="0"/>
              <w:ind w:left="0" w:right="0"/>
              <w:rPr>
                <w:rFonts w:hint="eastAsia"/>
                <w:color w:val="auto"/>
                <w:u w:val="single"/>
              </w:rPr>
            </w:pPr>
            <w:r>
              <w:rPr>
                <w:rFonts w:hint="eastAsia"/>
                <w:color w:val="auto"/>
                <w:u w:val="single"/>
              </w:rPr>
              <w:t>1小时</w:t>
            </w:r>
            <w:r>
              <w:rPr>
                <w:rFonts w:hint="default"/>
                <w:color w:val="auto"/>
                <w:u w:val="single"/>
              </w:rPr>
              <w:t>平均</w:t>
            </w:r>
          </w:p>
        </w:tc>
        <w:tc>
          <w:tcPr>
            <w:tcW w:w="2268" w:type="dxa"/>
            <w:tcMar>
              <w:left w:w="0" w:type="dxa"/>
              <w:right w:w="0" w:type="dxa"/>
            </w:tcMar>
            <w:vAlign w:val="center"/>
          </w:tcPr>
          <w:p w14:paraId="29777FA7">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200</w:t>
            </w:r>
          </w:p>
        </w:tc>
        <w:tc>
          <w:tcPr>
            <w:tcW w:w="2268" w:type="dxa"/>
            <w:vMerge w:val="continue"/>
            <w:tcMar>
              <w:left w:w="0" w:type="dxa"/>
              <w:right w:w="0" w:type="dxa"/>
            </w:tcMar>
            <w:vAlign w:val="center"/>
          </w:tcPr>
          <w:p w14:paraId="6868EDA0">
            <w:pPr>
              <w:pStyle w:val="77"/>
              <w:keepNext w:val="0"/>
              <w:keepLines w:val="0"/>
              <w:suppressLineNumbers w:val="0"/>
              <w:spacing w:before="0" w:beforeAutospacing="0" w:after="0" w:afterAutospacing="0"/>
              <w:ind w:left="0" w:right="0"/>
              <w:rPr>
                <w:rFonts w:hint="default"/>
                <w:color w:val="auto"/>
              </w:rPr>
            </w:pPr>
          </w:p>
        </w:tc>
      </w:tr>
      <w:tr w14:paraId="47FDD1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4" w:hRule="atLeast"/>
          <w:jc w:val="center"/>
        </w:trPr>
        <w:tc>
          <w:tcPr>
            <w:tcW w:w="562" w:type="dxa"/>
            <w:tcMar>
              <w:left w:w="0" w:type="dxa"/>
              <w:right w:w="0" w:type="dxa"/>
            </w:tcMar>
            <w:vAlign w:val="center"/>
          </w:tcPr>
          <w:p w14:paraId="35FD79A6">
            <w:pPr>
              <w:pStyle w:val="77"/>
              <w:keepNext w:val="0"/>
              <w:keepLines w:val="0"/>
              <w:numPr>
                <w:ilvl w:val="0"/>
                <w:numId w:val="7"/>
              </w:numPr>
              <w:suppressLineNumbers w:val="0"/>
              <w:spacing w:before="0" w:beforeAutospacing="0" w:after="0" w:afterAutospacing="0"/>
              <w:ind w:right="0"/>
              <w:rPr>
                <w:rFonts w:hint="default"/>
                <w:color w:val="auto"/>
              </w:rPr>
            </w:pPr>
          </w:p>
        </w:tc>
        <w:tc>
          <w:tcPr>
            <w:tcW w:w="1276" w:type="dxa"/>
            <w:tcMar>
              <w:left w:w="0" w:type="dxa"/>
              <w:right w:w="0" w:type="dxa"/>
            </w:tcMar>
            <w:vAlign w:val="center"/>
          </w:tcPr>
          <w:p w14:paraId="5830A567">
            <w:pPr>
              <w:pStyle w:val="77"/>
              <w:keepNext w:val="0"/>
              <w:keepLines w:val="0"/>
              <w:suppressLineNumbers w:val="0"/>
              <w:spacing w:before="0" w:beforeAutospacing="0" w:after="0" w:afterAutospacing="0"/>
              <w:ind w:left="0" w:right="0"/>
              <w:rPr>
                <w:rFonts w:hint="default"/>
                <w:color w:val="auto"/>
              </w:rPr>
            </w:pPr>
            <w:r>
              <w:rPr>
                <w:rFonts w:hint="eastAsia"/>
                <w:color w:val="auto"/>
              </w:rPr>
              <w:t>非甲烷总烃</w:t>
            </w:r>
          </w:p>
        </w:tc>
        <w:tc>
          <w:tcPr>
            <w:tcW w:w="2400" w:type="dxa"/>
            <w:tcMar>
              <w:left w:w="0" w:type="dxa"/>
              <w:right w:w="0" w:type="dxa"/>
            </w:tcMar>
            <w:vAlign w:val="center"/>
          </w:tcPr>
          <w:p w14:paraId="5D4640ED">
            <w:pPr>
              <w:pStyle w:val="77"/>
              <w:keepNext w:val="0"/>
              <w:keepLines w:val="0"/>
              <w:suppressLineNumbers w:val="0"/>
              <w:spacing w:before="0" w:beforeAutospacing="0" w:after="0" w:afterAutospacing="0"/>
              <w:ind w:left="0" w:right="0"/>
              <w:rPr>
                <w:rFonts w:hint="default"/>
                <w:color w:val="auto"/>
              </w:rPr>
            </w:pPr>
            <w:r>
              <w:rPr>
                <w:rFonts w:hint="eastAsia"/>
                <w:color w:val="auto"/>
              </w:rPr>
              <w:t>一次浓度限值</w:t>
            </w:r>
          </w:p>
        </w:tc>
        <w:tc>
          <w:tcPr>
            <w:tcW w:w="2268" w:type="dxa"/>
            <w:tcMar>
              <w:left w:w="0" w:type="dxa"/>
              <w:right w:w="0" w:type="dxa"/>
            </w:tcMar>
            <w:vAlign w:val="center"/>
          </w:tcPr>
          <w:p w14:paraId="6B359C23">
            <w:pPr>
              <w:pStyle w:val="77"/>
              <w:keepNext w:val="0"/>
              <w:keepLines w:val="0"/>
              <w:suppressLineNumbers w:val="0"/>
              <w:spacing w:before="0" w:beforeAutospacing="0" w:after="0" w:afterAutospacing="0"/>
              <w:ind w:left="0" w:right="0"/>
              <w:rPr>
                <w:rFonts w:hint="default"/>
                <w:color w:val="auto"/>
              </w:rPr>
            </w:pPr>
            <w:r>
              <w:rPr>
                <w:rFonts w:hint="default"/>
                <w:color w:val="auto"/>
              </w:rPr>
              <w:t>2000</w:t>
            </w:r>
          </w:p>
        </w:tc>
        <w:tc>
          <w:tcPr>
            <w:tcW w:w="2268" w:type="dxa"/>
            <w:tcMar>
              <w:left w:w="0" w:type="dxa"/>
              <w:right w:w="0" w:type="dxa"/>
            </w:tcMar>
            <w:vAlign w:val="center"/>
          </w:tcPr>
          <w:p w14:paraId="02B3D4F8">
            <w:pPr>
              <w:pStyle w:val="77"/>
              <w:keepNext w:val="0"/>
              <w:keepLines w:val="0"/>
              <w:suppressLineNumbers w:val="0"/>
              <w:spacing w:before="0" w:beforeAutospacing="0" w:after="0" w:afterAutospacing="0"/>
              <w:ind w:left="0" w:right="0"/>
              <w:rPr>
                <w:rFonts w:hint="default"/>
                <w:color w:val="auto"/>
              </w:rPr>
            </w:pPr>
            <w:r>
              <w:rPr>
                <w:rFonts w:hint="eastAsia"/>
                <w:color w:val="auto"/>
              </w:rPr>
              <w:t>《大气污染物综合排放标准详解》关于非甲烷总烃环境空气质量推荐值</w:t>
            </w:r>
          </w:p>
        </w:tc>
      </w:tr>
    </w:tbl>
    <w:p w14:paraId="6F4B0C2A">
      <w:pPr>
        <w:pStyle w:val="6"/>
        <w:rPr>
          <w:color w:val="auto"/>
        </w:rPr>
      </w:pPr>
      <w:r>
        <w:rPr>
          <w:color w:val="auto"/>
        </w:rPr>
        <w:t>地下水环境质量标准</w:t>
      </w:r>
    </w:p>
    <w:p w14:paraId="2D1E8991">
      <w:pPr>
        <w:ind w:firstLine="480"/>
        <w:rPr>
          <w:color w:val="auto"/>
        </w:rPr>
      </w:pPr>
      <w:r>
        <w:rPr>
          <w:color w:val="auto"/>
        </w:rPr>
        <w:t>地下水执行《地下水质量标准》（GB/T14848-2017）</w:t>
      </w:r>
      <w:r>
        <w:rPr>
          <w:rFonts w:hint="eastAsia"/>
          <w:color w:val="auto"/>
        </w:rPr>
        <w:t>Ⅲ</w:t>
      </w:r>
      <w:r>
        <w:rPr>
          <w:color w:val="auto"/>
        </w:rPr>
        <w:t>类标准，见表1.3-2。</w:t>
      </w:r>
    </w:p>
    <w:p w14:paraId="07903F25">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2</w:t>
      </w:r>
      <w:r>
        <w:rPr>
          <w:color w:val="auto"/>
        </w:rPr>
        <w:fldChar w:fldCharType="end"/>
      </w:r>
      <w:r>
        <w:rPr>
          <w:color w:val="auto"/>
        </w:rPr>
        <w:t>《地下水质量标准》（GB/14848-2017）（摘录）</w:t>
      </w:r>
      <w:r>
        <w:rPr>
          <w:rFonts w:hint="eastAsia"/>
          <w:color w:val="auto"/>
        </w:rPr>
        <w:t>单位</w:t>
      </w:r>
      <w:r>
        <w:rPr>
          <w:color w:val="auto"/>
        </w:rPr>
        <w:t>：mg/L，特别标注除外</w:t>
      </w:r>
    </w:p>
    <w:tbl>
      <w:tblPr>
        <w:tblStyle w:val="43"/>
        <w:tblW w:w="472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3" w:type="dxa"/>
          <w:bottom w:w="0" w:type="dxa"/>
          <w:right w:w="23" w:type="dxa"/>
        </w:tblCellMar>
      </w:tblPr>
      <w:tblGrid>
        <w:gridCol w:w="600"/>
        <w:gridCol w:w="2931"/>
        <w:gridCol w:w="1233"/>
        <w:gridCol w:w="772"/>
        <w:gridCol w:w="1983"/>
        <w:gridCol w:w="1364"/>
      </w:tblGrid>
      <w:tr w14:paraId="34D97C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tblHeader/>
          <w:jc w:val="center"/>
        </w:trPr>
        <w:tc>
          <w:tcPr>
            <w:tcW w:w="338" w:type="pct"/>
            <w:vAlign w:val="center"/>
          </w:tcPr>
          <w:p w14:paraId="43D31C26">
            <w:pPr>
              <w:pStyle w:val="91"/>
              <w:keepNext w:val="0"/>
              <w:keepLines w:val="0"/>
              <w:suppressLineNumbers w:val="0"/>
              <w:spacing w:before="0" w:beforeAutospacing="0" w:after="0" w:afterAutospacing="0"/>
              <w:ind w:left="0" w:right="0"/>
              <w:rPr>
                <w:rFonts w:hint="default"/>
                <w:b/>
                <w:color w:val="auto"/>
              </w:rPr>
            </w:pPr>
            <w:r>
              <w:rPr>
                <w:rFonts w:hint="default"/>
                <w:b/>
                <w:color w:val="auto"/>
              </w:rPr>
              <w:t>序号</w:t>
            </w:r>
          </w:p>
        </w:tc>
        <w:tc>
          <w:tcPr>
            <w:tcW w:w="1650" w:type="pct"/>
            <w:vAlign w:val="center"/>
          </w:tcPr>
          <w:p w14:paraId="14EBB001">
            <w:pPr>
              <w:pStyle w:val="91"/>
              <w:keepNext w:val="0"/>
              <w:keepLines w:val="0"/>
              <w:suppressLineNumbers w:val="0"/>
              <w:spacing w:before="0" w:beforeAutospacing="0" w:after="0" w:afterAutospacing="0"/>
              <w:ind w:left="0" w:right="0"/>
              <w:rPr>
                <w:rFonts w:hint="default"/>
                <w:b/>
                <w:color w:val="auto"/>
              </w:rPr>
            </w:pPr>
            <w:r>
              <w:rPr>
                <w:rFonts w:hint="default"/>
                <w:b/>
                <w:color w:val="auto"/>
              </w:rPr>
              <w:t>项目</w:t>
            </w:r>
          </w:p>
        </w:tc>
        <w:tc>
          <w:tcPr>
            <w:tcW w:w="694" w:type="pct"/>
            <w:vAlign w:val="center"/>
          </w:tcPr>
          <w:p w14:paraId="30CBD3CE">
            <w:pPr>
              <w:pStyle w:val="91"/>
              <w:keepNext w:val="0"/>
              <w:keepLines w:val="0"/>
              <w:suppressLineNumbers w:val="0"/>
              <w:spacing w:before="0" w:beforeAutospacing="0" w:after="0" w:afterAutospacing="0"/>
              <w:ind w:left="0" w:right="0"/>
              <w:rPr>
                <w:rFonts w:hint="default"/>
                <w:b/>
                <w:color w:val="auto"/>
              </w:rPr>
            </w:pPr>
            <w:r>
              <w:rPr>
                <w:rFonts w:hint="eastAsia"/>
                <w:b/>
                <w:color w:val="auto"/>
              </w:rPr>
              <w:t>Ⅲ</w:t>
            </w:r>
            <w:r>
              <w:rPr>
                <w:rFonts w:hint="default"/>
                <w:b/>
                <w:color w:val="auto"/>
              </w:rPr>
              <w:t>类标准</w:t>
            </w:r>
          </w:p>
        </w:tc>
        <w:tc>
          <w:tcPr>
            <w:tcW w:w="434" w:type="pct"/>
            <w:vAlign w:val="center"/>
          </w:tcPr>
          <w:p w14:paraId="16895D94">
            <w:pPr>
              <w:pStyle w:val="91"/>
              <w:keepNext w:val="0"/>
              <w:keepLines w:val="0"/>
              <w:suppressLineNumbers w:val="0"/>
              <w:spacing w:before="0" w:beforeAutospacing="0" w:after="0" w:afterAutospacing="0"/>
              <w:ind w:left="0" w:right="0"/>
              <w:rPr>
                <w:rFonts w:hint="default"/>
                <w:b/>
                <w:color w:val="auto"/>
              </w:rPr>
            </w:pPr>
            <w:r>
              <w:rPr>
                <w:rFonts w:hint="default"/>
                <w:b/>
                <w:color w:val="auto"/>
              </w:rPr>
              <w:t>序号</w:t>
            </w:r>
          </w:p>
        </w:tc>
        <w:tc>
          <w:tcPr>
            <w:tcW w:w="1116" w:type="pct"/>
            <w:vAlign w:val="center"/>
          </w:tcPr>
          <w:p w14:paraId="2ED7C524">
            <w:pPr>
              <w:pStyle w:val="91"/>
              <w:keepNext w:val="0"/>
              <w:keepLines w:val="0"/>
              <w:suppressLineNumbers w:val="0"/>
              <w:spacing w:before="0" w:beforeAutospacing="0" w:after="0" w:afterAutospacing="0"/>
              <w:ind w:left="0" w:right="0"/>
              <w:rPr>
                <w:rFonts w:hint="default"/>
                <w:b/>
                <w:color w:val="auto"/>
              </w:rPr>
            </w:pPr>
            <w:r>
              <w:rPr>
                <w:rFonts w:hint="default"/>
                <w:b/>
                <w:color w:val="auto"/>
              </w:rPr>
              <w:t>项目</w:t>
            </w:r>
          </w:p>
        </w:tc>
        <w:tc>
          <w:tcPr>
            <w:tcW w:w="768" w:type="pct"/>
            <w:vAlign w:val="center"/>
          </w:tcPr>
          <w:p w14:paraId="26B2CFC5">
            <w:pPr>
              <w:pStyle w:val="91"/>
              <w:keepNext w:val="0"/>
              <w:keepLines w:val="0"/>
              <w:suppressLineNumbers w:val="0"/>
              <w:spacing w:before="0" w:beforeAutospacing="0" w:after="0" w:afterAutospacing="0"/>
              <w:ind w:left="0" w:right="0"/>
              <w:rPr>
                <w:rFonts w:hint="default"/>
                <w:b/>
                <w:color w:val="auto"/>
              </w:rPr>
            </w:pPr>
            <w:r>
              <w:rPr>
                <w:rFonts w:hint="eastAsia"/>
                <w:b/>
                <w:color w:val="auto"/>
              </w:rPr>
              <w:t>Ⅲ</w:t>
            </w:r>
            <w:r>
              <w:rPr>
                <w:rFonts w:hint="default"/>
                <w:b/>
                <w:color w:val="auto"/>
              </w:rPr>
              <w:t>类标准</w:t>
            </w:r>
          </w:p>
        </w:tc>
      </w:tr>
      <w:tr w14:paraId="30E9E3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195" w:hRule="atLeast"/>
          <w:jc w:val="center"/>
        </w:trPr>
        <w:tc>
          <w:tcPr>
            <w:tcW w:w="338" w:type="pct"/>
            <w:vAlign w:val="center"/>
          </w:tcPr>
          <w:p w14:paraId="1682779B">
            <w:pPr>
              <w:pStyle w:val="91"/>
              <w:keepNext w:val="0"/>
              <w:keepLines w:val="0"/>
              <w:numPr>
                <w:ilvl w:val="0"/>
                <w:numId w:val="8"/>
              </w:numPr>
              <w:suppressLineNumbers w:val="0"/>
              <w:spacing w:before="0" w:beforeAutospacing="0" w:after="0" w:afterAutospacing="0"/>
              <w:ind w:right="0"/>
              <w:jc w:val="center"/>
              <w:rPr>
                <w:rFonts w:hint="default"/>
                <w:color w:val="auto"/>
              </w:rPr>
            </w:pPr>
          </w:p>
        </w:tc>
        <w:tc>
          <w:tcPr>
            <w:tcW w:w="1650" w:type="pct"/>
            <w:vAlign w:val="center"/>
          </w:tcPr>
          <w:p w14:paraId="263342C9">
            <w:pPr>
              <w:pStyle w:val="91"/>
              <w:keepNext w:val="0"/>
              <w:keepLines w:val="0"/>
              <w:suppressLineNumbers w:val="0"/>
              <w:spacing w:before="0" w:beforeAutospacing="0" w:after="0" w:afterAutospacing="0"/>
              <w:ind w:left="0" w:right="0"/>
              <w:rPr>
                <w:rFonts w:hint="default"/>
                <w:bCs/>
                <w:color w:val="auto"/>
              </w:rPr>
            </w:pPr>
            <w:r>
              <w:rPr>
                <w:rFonts w:hint="default"/>
                <w:color w:val="auto"/>
              </w:rPr>
              <w:t>pH</w:t>
            </w:r>
            <w:r>
              <w:rPr>
                <w:rFonts w:hint="eastAsia"/>
                <w:color w:val="auto"/>
              </w:rPr>
              <w:t>值（无量纲）</w:t>
            </w:r>
          </w:p>
        </w:tc>
        <w:tc>
          <w:tcPr>
            <w:tcW w:w="694" w:type="pct"/>
            <w:vAlign w:val="center"/>
          </w:tcPr>
          <w:p w14:paraId="1795EBD1">
            <w:pPr>
              <w:pStyle w:val="91"/>
              <w:keepNext w:val="0"/>
              <w:keepLines w:val="0"/>
              <w:suppressLineNumbers w:val="0"/>
              <w:spacing w:before="0" w:beforeAutospacing="0" w:after="0" w:afterAutospacing="0"/>
              <w:ind w:left="0" w:right="0"/>
              <w:rPr>
                <w:rFonts w:hint="default"/>
                <w:color w:val="auto"/>
              </w:rPr>
            </w:pPr>
            <w:r>
              <w:rPr>
                <w:rFonts w:hint="eastAsia"/>
                <w:color w:val="auto"/>
              </w:rPr>
              <w:t>6.5~8.5</w:t>
            </w:r>
          </w:p>
        </w:tc>
        <w:tc>
          <w:tcPr>
            <w:tcW w:w="434" w:type="pct"/>
            <w:vAlign w:val="center"/>
          </w:tcPr>
          <w:p w14:paraId="6D847FBF">
            <w:pPr>
              <w:pStyle w:val="91"/>
              <w:keepNext w:val="0"/>
              <w:keepLines w:val="0"/>
              <w:suppressLineNumbers w:val="0"/>
              <w:spacing w:before="0" w:beforeAutospacing="0" w:after="0" w:afterAutospacing="0"/>
              <w:ind w:left="0" w:right="0"/>
              <w:rPr>
                <w:rFonts w:hint="default"/>
                <w:color w:val="auto"/>
              </w:rPr>
            </w:pPr>
            <w:r>
              <w:rPr>
                <w:rFonts w:hint="eastAsia"/>
                <w:color w:val="auto"/>
              </w:rPr>
              <w:t>12</w:t>
            </w:r>
          </w:p>
        </w:tc>
        <w:tc>
          <w:tcPr>
            <w:tcW w:w="1116" w:type="pct"/>
            <w:vAlign w:val="center"/>
          </w:tcPr>
          <w:p w14:paraId="0F25C5E4">
            <w:pPr>
              <w:pStyle w:val="91"/>
              <w:keepNext w:val="0"/>
              <w:keepLines w:val="0"/>
              <w:suppressLineNumbers w:val="0"/>
              <w:spacing w:before="0" w:beforeAutospacing="0" w:after="0" w:afterAutospacing="0"/>
              <w:ind w:left="0" w:right="0"/>
              <w:rPr>
                <w:rFonts w:hint="default"/>
                <w:color w:val="auto"/>
              </w:rPr>
            </w:pPr>
            <w:r>
              <w:rPr>
                <w:rFonts w:hint="eastAsia"/>
                <w:color w:val="auto"/>
              </w:rPr>
              <w:t>六价铬</w:t>
            </w:r>
          </w:p>
        </w:tc>
        <w:tc>
          <w:tcPr>
            <w:tcW w:w="768" w:type="pct"/>
            <w:vAlign w:val="center"/>
          </w:tcPr>
          <w:p w14:paraId="372566EA">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0.05</w:t>
            </w:r>
          </w:p>
        </w:tc>
      </w:tr>
      <w:tr w14:paraId="2DF90B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338" w:type="pct"/>
            <w:vAlign w:val="center"/>
          </w:tcPr>
          <w:p w14:paraId="17C9335D">
            <w:pPr>
              <w:pStyle w:val="91"/>
              <w:keepNext w:val="0"/>
              <w:keepLines w:val="0"/>
              <w:numPr>
                <w:ilvl w:val="0"/>
                <w:numId w:val="8"/>
              </w:numPr>
              <w:suppressLineNumbers w:val="0"/>
              <w:spacing w:before="0" w:beforeAutospacing="0" w:after="0" w:afterAutospacing="0"/>
              <w:ind w:right="0"/>
              <w:jc w:val="center"/>
              <w:rPr>
                <w:rFonts w:hint="default"/>
                <w:color w:val="auto"/>
              </w:rPr>
            </w:pPr>
          </w:p>
        </w:tc>
        <w:tc>
          <w:tcPr>
            <w:tcW w:w="1650" w:type="pct"/>
            <w:vAlign w:val="center"/>
          </w:tcPr>
          <w:p w14:paraId="1CC4416B">
            <w:pPr>
              <w:pStyle w:val="91"/>
              <w:keepNext w:val="0"/>
              <w:keepLines w:val="0"/>
              <w:suppressLineNumbers w:val="0"/>
              <w:spacing w:before="0" w:beforeAutospacing="0" w:after="0" w:afterAutospacing="0"/>
              <w:ind w:left="0" w:right="0"/>
              <w:rPr>
                <w:rFonts w:hint="default"/>
                <w:color w:val="auto"/>
              </w:rPr>
            </w:pPr>
            <w:r>
              <w:rPr>
                <w:rFonts w:hint="eastAsia"/>
                <w:color w:val="auto"/>
              </w:rPr>
              <w:t>镉</w:t>
            </w:r>
          </w:p>
        </w:tc>
        <w:tc>
          <w:tcPr>
            <w:tcW w:w="694" w:type="pct"/>
            <w:vAlign w:val="center"/>
          </w:tcPr>
          <w:p w14:paraId="300E560D">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0.005</w:t>
            </w:r>
          </w:p>
        </w:tc>
        <w:tc>
          <w:tcPr>
            <w:tcW w:w="434" w:type="pct"/>
            <w:vAlign w:val="center"/>
          </w:tcPr>
          <w:p w14:paraId="310802B2">
            <w:pPr>
              <w:pStyle w:val="91"/>
              <w:keepNext w:val="0"/>
              <w:keepLines w:val="0"/>
              <w:suppressLineNumbers w:val="0"/>
              <w:spacing w:before="0" w:beforeAutospacing="0" w:after="0" w:afterAutospacing="0"/>
              <w:ind w:left="0" w:right="0"/>
              <w:rPr>
                <w:rFonts w:hint="default"/>
                <w:color w:val="auto"/>
              </w:rPr>
            </w:pPr>
            <w:r>
              <w:rPr>
                <w:rFonts w:hint="eastAsia"/>
                <w:color w:val="auto"/>
              </w:rPr>
              <w:t>13</w:t>
            </w:r>
          </w:p>
        </w:tc>
        <w:tc>
          <w:tcPr>
            <w:tcW w:w="1116" w:type="pct"/>
            <w:vAlign w:val="center"/>
          </w:tcPr>
          <w:p w14:paraId="1B5C3591">
            <w:pPr>
              <w:pStyle w:val="91"/>
              <w:keepNext w:val="0"/>
              <w:keepLines w:val="0"/>
              <w:suppressLineNumbers w:val="0"/>
              <w:spacing w:before="0" w:beforeAutospacing="0" w:after="0" w:afterAutospacing="0"/>
              <w:ind w:left="0" w:right="0"/>
              <w:rPr>
                <w:rFonts w:hint="default"/>
                <w:color w:val="auto"/>
              </w:rPr>
            </w:pPr>
            <w:r>
              <w:rPr>
                <w:rFonts w:hint="eastAsia"/>
                <w:color w:val="auto"/>
              </w:rPr>
              <w:t>氯化物</w:t>
            </w:r>
          </w:p>
        </w:tc>
        <w:tc>
          <w:tcPr>
            <w:tcW w:w="768" w:type="pct"/>
            <w:vAlign w:val="center"/>
          </w:tcPr>
          <w:p w14:paraId="3B7FB96B">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250</w:t>
            </w:r>
          </w:p>
        </w:tc>
      </w:tr>
      <w:tr w14:paraId="3C66CE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205" w:hRule="atLeast"/>
          <w:jc w:val="center"/>
        </w:trPr>
        <w:tc>
          <w:tcPr>
            <w:tcW w:w="338" w:type="pct"/>
            <w:vAlign w:val="center"/>
          </w:tcPr>
          <w:p w14:paraId="462C8884">
            <w:pPr>
              <w:pStyle w:val="91"/>
              <w:keepNext w:val="0"/>
              <w:keepLines w:val="0"/>
              <w:numPr>
                <w:ilvl w:val="0"/>
                <w:numId w:val="8"/>
              </w:numPr>
              <w:suppressLineNumbers w:val="0"/>
              <w:spacing w:before="0" w:beforeAutospacing="0" w:after="0" w:afterAutospacing="0"/>
              <w:ind w:right="0"/>
              <w:jc w:val="center"/>
              <w:rPr>
                <w:rFonts w:hint="default"/>
                <w:color w:val="auto"/>
              </w:rPr>
            </w:pPr>
          </w:p>
        </w:tc>
        <w:tc>
          <w:tcPr>
            <w:tcW w:w="1650" w:type="pct"/>
            <w:vAlign w:val="center"/>
          </w:tcPr>
          <w:p w14:paraId="357E0B24">
            <w:pPr>
              <w:pStyle w:val="91"/>
              <w:keepNext w:val="0"/>
              <w:keepLines w:val="0"/>
              <w:suppressLineNumbers w:val="0"/>
              <w:spacing w:before="0" w:beforeAutospacing="0" w:after="0" w:afterAutospacing="0"/>
              <w:ind w:left="0" w:right="0"/>
              <w:rPr>
                <w:rFonts w:hint="default"/>
                <w:color w:val="auto"/>
              </w:rPr>
            </w:pPr>
            <w:r>
              <w:rPr>
                <w:rFonts w:hint="eastAsia"/>
                <w:color w:val="auto"/>
              </w:rPr>
              <w:t>铅</w:t>
            </w:r>
          </w:p>
        </w:tc>
        <w:tc>
          <w:tcPr>
            <w:tcW w:w="694" w:type="pct"/>
            <w:vAlign w:val="center"/>
          </w:tcPr>
          <w:p w14:paraId="3F7E4017">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0.01</w:t>
            </w:r>
          </w:p>
        </w:tc>
        <w:tc>
          <w:tcPr>
            <w:tcW w:w="434" w:type="pct"/>
            <w:vAlign w:val="center"/>
          </w:tcPr>
          <w:p w14:paraId="696D8E4A">
            <w:pPr>
              <w:pStyle w:val="91"/>
              <w:keepNext w:val="0"/>
              <w:keepLines w:val="0"/>
              <w:suppressLineNumbers w:val="0"/>
              <w:spacing w:before="0" w:beforeAutospacing="0" w:after="0" w:afterAutospacing="0"/>
              <w:ind w:left="0" w:right="0"/>
              <w:rPr>
                <w:rFonts w:hint="default"/>
                <w:color w:val="auto"/>
              </w:rPr>
            </w:pPr>
            <w:r>
              <w:rPr>
                <w:rFonts w:hint="eastAsia"/>
                <w:color w:val="auto"/>
              </w:rPr>
              <w:t>14</w:t>
            </w:r>
          </w:p>
        </w:tc>
        <w:tc>
          <w:tcPr>
            <w:tcW w:w="1116" w:type="pct"/>
            <w:vAlign w:val="center"/>
          </w:tcPr>
          <w:p w14:paraId="2AF8A837">
            <w:pPr>
              <w:pStyle w:val="91"/>
              <w:keepNext w:val="0"/>
              <w:keepLines w:val="0"/>
              <w:suppressLineNumbers w:val="0"/>
              <w:spacing w:before="0" w:beforeAutospacing="0" w:after="0" w:afterAutospacing="0"/>
              <w:ind w:left="0" w:right="0"/>
              <w:rPr>
                <w:rFonts w:hint="default"/>
                <w:color w:val="auto"/>
              </w:rPr>
            </w:pPr>
            <w:r>
              <w:rPr>
                <w:rFonts w:hint="eastAsia"/>
                <w:color w:val="auto"/>
              </w:rPr>
              <w:t>硫酸盐</w:t>
            </w:r>
          </w:p>
        </w:tc>
        <w:tc>
          <w:tcPr>
            <w:tcW w:w="768" w:type="pct"/>
            <w:vAlign w:val="center"/>
          </w:tcPr>
          <w:p w14:paraId="205A1F13">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250</w:t>
            </w:r>
          </w:p>
        </w:tc>
      </w:tr>
      <w:tr w14:paraId="5BF2FD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338" w:type="pct"/>
            <w:vAlign w:val="center"/>
          </w:tcPr>
          <w:p w14:paraId="4F036FD9">
            <w:pPr>
              <w:pStyle w:val="91"/>
              <w:keepNext w:val="0"/>
              <w:keepLines w:val="0"/>
              <w:numPr>
                <w:ilvl w:val="0"/>
                <w:numId w:val="8"/>
              </w:numPr>
              <w:suppressLineNumbers w:val="0"/>
              <w:spacing w:before="0" w:beforeAutospacing="0" w:after="0" w:afterAutospacing="0"/>
              <w:ind w:right="0"/>
              <w:jc w:val="center"/>
              <w:rPr>
                <w:rFonts w:hint="default"/>
                <w:color w:val="auto"/>
              </w:rPr>
            </w:pPr>
          </w:p>
        </w:tc>
        <w:tc>
          <w:tcPr>
            <w:tcW w:w="1650" w:type="pct"/>
            <w:vAlign w:val="center"/>
          </w:tcPr>
          <w:p w14:paraId="51E6C8AC">
            <w:pPr>
              <w:pStyle w:val="91"/>
              <w:keepNext w:val="0"/>
              <w:keepLines w:val="0"/>
              <w:suppressLineNumbers w:val="0"/>
              <w:spacing w:before="0" w:beforeAutospacing="0" w:after="0" w:afterAutospacing="0"/>
              <w:ind w:left="0" w:right="0"/>
              <w:rPr>
                <w:rFonts w:hint="default"/>
                <w:color w:val="auto"/>
              </w:rPr>
            </w:pPr>
            <w:r>
              <w:rPr>
                <w:rFonts w:hint="eastAsia"/>
                <w:color w:val="auto"/>
              </w:rPr>
              <w:t>铁</w:t>
            </w:r>
          </w:p>
        </w:tc>
        <w:tc>
          <w:tcPr>
            <w:tcW w:w="694" w:type="pct"/>
            <w:vAlign w:val="center"/>
          </w:tcPr>
          <w:p w14:paraId="1DAD5D75">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0.3</w:t>
            </w:r>
          </w:p>
        </w:tc>
        <w:tc>
          <w:tcPr>
            <w:tcW w:w="434" w:type="pct"/>
            <w:vAlign w:val="center"/>
          </w:tcPr>
          <w:p w14:paraId="1EE7055B">
            <w:pPr>
              <w:pStyle w:val="91"/>
              <w:keepNext w:val="0"/>
              <w:keepLines w:val="0"/>
              <w:suppressLineNumbers w:val="0"/>
              <w:spacing w:before="0" w:beforeAutospacing="0" w:after="0" w:afterAutospacing="0"/>
              <w:ind w:left="0" w:right="0"/>
              <w:rPr>
                <w:rFonts w:hint="default"/>
                <w:color w:val="auto"/>
              </w:rPr>
            </w:pPr>
            <w:r>
              <w:rPr>
                <w:rFonts w:hint="eastAsia"/>
                <w:color w:val="auto"/>
              </w:rPr>
              <w:t>15</w:t>
            </w:r>
          </w:p>
        </w:tc>
        <w:tc>
          <w:tcPr>
            <w:tcW w:w="1116" w:type="pct"/>
            <w:vAlign w:val="center"/>
          </w:tcPr>
          <w:p w14:paraId="1FC54236">
            <w:pPr>
              <w:pStyle w:val="91"/>
              <w:keepNext w:val="0"/>
              <w:keepLines w:val="0"/>
              <w:suppressLineNumbers w:val="0"/>
              <w:spacing w:before="0" w:beforeAutospacing="0" w:after="0" w:afterAutospacing="0"/>
              <w:ind w:left="0" w:right="0"/>
              <w:rPr>
                <w:rFonts w:hint="default"/>
                <w:color w:val="auto"/>
              </w:rPr>
            </w:pPr>
            <w:r>
              <w:rPr>
                <w:rFonts w:hint="eastAsia"/>
                <w:color w:val="auto"/>
              </w:rPr>
              <w:t>硝酸盐</w:t>
            </w:r>
          </w:p>
        </w:tc>
        <w:tc>
          <w:tcPr>
            <w:tcW w:w="768" w:type="pct"/>
            <w:vAlign w:val="center"/>
          </w:tcPr>
          <w:p w14:paraId="6D89D666">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20</w:t>
            </w:r>
          </w:p>
        </w:tc>
      </w:tr>
      <w:tr w14:paraId="743C13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338" w:type="pct"/>
            <w:vAlign w:val="center"/>
          </w:tcPr>
          <w:p w14:paraId="13F4918A">
            <w:pPr>
              <w:pStyle w:val="91"/>
              <w:keepNext w:val="0"/>
              <w:keepLines w:val="0"/>
              <w:numPr>
                <w:ilvl w:val="0"/>
                <w:numId w:val="8"/>
              </w:numPr>
              <w:suppressLineNumbers w:val="0"/>
              <w:spacing w:before="0" w:beforeAutospacing="0" w:after="0" w:afterAutospacing="0"/>
              <w:ind w:right="0"/>
              <w:jc w:val="center"/>
              <w:rPr>
                <w:rFonts w:hint="default"/>
                <w:color w:val="auto"/>
              </w:rPr>
            </w:pPr>
          </w:p>
        </w:tc>
        <w:tc>
          <w:tcPr>
            <w:tcW w:w="1650" w:type="pct"/>
            <w:vAlign w:val="center"/>
          </w:tcPr>
          <w:p w14:paraId="288013C8">
            <w:pPr>
              <w:pStyle w:val="91"/>
              <w:keepNext w:val="0"/>
              <w:keepLines w:val="0"/>
              <w:suppressLineNumbers w:val="0"/>
              <w:spacing w:before="0" w:beforeAutospacing="0" w:after="0" w:afterAutospacing="0"/>
              <w:ind w:left="0" w:right="0"/>
              <w:rPr>
                <w:rFonts w:hint="default"/>
                <w:color w:val="auto"/>
              </w:rPr>
            </w:pPr>
            <w:r>
              <w:rPr>
                <w:rFonts w:hint="eastAsia"/>
                <w:color w:val="auto"/>
              </w:rPr>
              <w:t>锰</w:t>
            </w:r>
          </w:p>
        </w:tc>
        <w:tc>
          <w:tcPr>
            <w:tcW w:w="694" w:type="pct"/>
            <w:vAlign w:val="center"/>
          </w:tcPr>
          <w:p w14:paraId="54839F6B">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0.1</w:t>
            </w:r>
          </w:p>
        </w:tc>
        <w:tc>
          <w:tcPr>
            <w:tcW w:w="434" w:type="pct"/>
            <w:vAlign w:val="center"/>
          </w:tcPr>
          <w:p w14:paraId="5887BBD0">
            <w:pPr>
              <w:pStyle w:val="91"/>
              <w:keepNext w:val="0"/>
              <w:keepLines w:val="0"/>
              <w:suppressLineNumbers w:val="0"/>
              <w:spacing w:before="0" w:beforeAutospacing="0" w:after="0" w:afterAutospacing="0"/>
              <w:ind w:left="0" w:right="0"/>
              <w:rPr>
                <w:rFonts w:hint="default"/>
                <w:color w:val="auto"/>
              </w:rPr>
            </w:pPr>
            <w:r>
              <w:rPr>
                <w:rFonts w:hint="eastAsia"/>
                <w:color w:val="auto"/>
              </w:rPr>
              <w:t>16</w:t>
            </w:r>
          </w:p>
        </w:tc>
        <w:tc>
          <w:tcPr>
            <w:tcW w:w="1116" w:type="pct"/>
            <w:vAlign w:val="center"/>
          </w:tcPr>
          <w:p w14:paraId="6A3D02A3">
            <w:pPr>
              <w:pStyle w:val="91"/>
              <w:keepNext w:val="0"/>
              <w:keepLines w:val="0"/>
              <w:suppressLineNumbers w:val="0"/>
              <w:spacing w:before="0" w:beforeAutospacing="0" w:after="0" w:afterAutospacing="0"/>
              <w:ind w:left="0" w:right="0"/>
              <w:rPr>
                <w:rFonts w:hint="default"/>
                <w:color w:val="auto"/>
              </w:rPr>
            </w:pPr>
            <w:r>
              <w:rPr>
                <w:rFonts w:hint="eastAsia"/>
                <w:color w:val="auto"/>
              </w:rPr>
              <w:t>亚硝酸盐</w:t>
            </w:r>
          </w:p>
        </w:tc>
        <w:tc>
          <w:tcPr>
            <w:tcW w:w="768" w:type="pct"/>
            <w:vAlign w:val="center"/>
          </w:tcPr>
          <w:p w14:paraId="419B0C85">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1</w:t>
            </w:r>
          </w:p>
        </w:tc>
      </w:tr>
      <w:tr w14:paraId="17E085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338" w:type="pct"/>
            <w:vAlign w:val="center"/>
          </w:tcPr>
          <w:p w14:paraId="3FD70023">
            <w:pPr>
              <w:pStyle w:val="91"/>
              <w:keepNext w:val="0"/>
              <w:keepLines w:val="0"/>
              <w:numPr>
                <w:ilvl w:val="0"/>
                <w:numId w:val="8"/>
              </w:numPr>
              <w:suppressLineNumbers w:val="0"/>
              <w:spacing w:before="0" w:beforeAutospacing="0" w:after="0" w:afterAutospacing="0"/>
              <w:ind w:right="0"/>
              <w:jc w:val="center"/>
              <w:rPr>
                <w:rFonts w:hint="default"/>
                <w:color w:val="auto"/>
              </w:rPr>
            </w:pPr>
          </w:p>
        </w:tc>
        <w:tc>
          <w:tcPr>
            <w:tcW w:w="1650" w:type="pct"/>
            <w:vAlign w:val="center"/>
          </w:tcPr>
          <w:p w14:paraId="362D200C">
            <w:pPr>
              <w:pStyle w:val="91"/>
              <w:keepNext w:val="0"/>
              <w:keepLines w:val="0"/>
              <w:suppressLineNumbers w:val="0"/>
              <w:spacing w:before="0" w:beforeAutospacing="0" w:after="0" w:afterAutospacing="0"/>
              <w:ind w:left="0" w:right="0"/>
              <w:rPr>
                <w:rFonts w:hint="default"/>
                <w:bCs/>
                <w:color w:val="auto"/>
              </w:rPr>
            </w:pPr>
            <w:r>
              <w:rPr>
                <w:rFonts w:hint="eastAsia"/>
                <w:color w:val="auto"/>
              </w:rPr>
              <w:t>氨氮</w:t>
            </w:r>
          </w:p>
        </w:tc>
        <w:tc>
          <w:tcPr>
            <w:tcW w:w="694" w:type="pct"/>
            <w:vAlign w:val="center"/>
          </w:tcPr>
          <w:p w14:paraId="7C334452">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0.5</w:t>
            </w:r>
          </w:p>
        </w:tc>
        <w:tc>
          <w:tcPr>
            <w:tcW w:w="434" w:type="pct"/>
            <w:vAlign w:val="center"/>
          </w:tcPr>
          <w:p w14:paraId="55D1076E">
            <w:pPr>
              <w:pStyle w:val="91"/>
              <w:keepNext w:val="0"/>
              <w:keepLines w:val="0"/>
              <w:suppressLineNumbers w:val="0"/>
              <w:spacing w:before="0" w:beforeAutospacing="0" w:after="0" w:afterAutospacing="0"/>
              <w:ind w:left="0" w:right="0"/>
              <w:rPr>
                <w:rFonts w:hint="default"/>
                <w:color w:val="auto"/>
              </w:rPr>
            </w:pPr>
            <w:r>
              <w:rPr>
                <w:rFonts w:hint="eastAsia"/>
                <w:color w:val="auto"/>
              </w:rPr>
              <w:t>17</w:t>
            </w:r>
          </w:p>
        </w:tc>
        <w:tc>
          <w:tcPr>
            <w:tcW w:w="1116" w:type="pct"/>
            <w:vAlign w:val="center"/>
          </w:tcPr>
          <w:p w14:paraId="4F16FAB9">
            <w:pPr>
              <w:pStyle w:val="91"/>
              <w:keepNext w:val="0"/>
              <w:keepLines w:val="0"/>
              <w:suppressLineNumbers w:val="0"/>
              <w:spacing w:before="0" w:beforeAutospacing="0" w:after="0" w:afterAutospacing="0"/>
              <w:ind w:left="0" w:right="0"/>
              <w:rPr>
                <w:rFonts w:hint="default"/>
                <w:color w:val="auto"/>
              </w:rPr>
            </w:pPr>
            <w:r>
              <w:rPr>
                <w:rFonts w:hint="eastAsia"/>
                <w:color w:val="auto"/>
              </w:rPr>
              <w:t>氟化物</w:t>
            </w:r>
          </w:p>
        </w:tc>
        <w:tc>
          <w:tcPr>
            <w:tcW w:w="768" w:type="pct"/>
            <w:vAlign w:val="center"/>
          </w:tcPr>
          <w:p w14:paraId="3F9D7D66">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1</w:t>
            </w:r>
          </w:p>
        </w:tc>
      </w:tr>
      <w:tr w14:paraId="406AED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338" w:type="pct"/>
            <w:vAlign w:val="center"/>
          </w:tcPr>
          <w:p w14:paraId="1B5B2DC4">
            <w:pPr>
              <w:pStyle w:val="91"/>
              <w:keepNext w:val="0"/>
              <w:keepLines w:val="0"/>
              <w:numPr>
                <w:ilvl w:val="0"/>
                <w:numId w:val="8"/>
              </w:numPr>
              <w:suppressLineNumbers w:val="0"/>
              <w:spacing w:before="0" w:beforeAutospacing="0" w:after="0" w:afterAutospacing="0"/>
              <w:ind w:right="0"/>
              <w:jc w:val="center"/>
              <w:rPr>
                <w:rFonts w:hint="default"/>
                <w:color w:val="auto"/>
              </w:rPr>
            </w:pPr>
          </w:p>
        </w:tc>
        <w:tc>
          <w:tcPr>
            <w:tcW w:w="1650" w:type="pct"/>
            <w:vAlign w:val="center"/>
          </w:tcPr>
          <w:p w14:paraId="13F766BD">
            <w:pPr>
              <w:pStyle w:val="91"/>
              <w:keepNext w:val="0"/>
              <w:keepLines w:val="0"/>
              <w:suppressLineNumbers w:val="0"/>
              <w:spacing w:before="0" w:beforeAutospacing="0" w:after="0" w:afterAutospacing="0"/>
              <w:ind w:left="0" w:right="0"/>
              <w:rPr>
                <w:rFonts w:hint="default"/>
                <w:bCs/>
                <w:color w:val="auto"/>
              </w:rPr>
            </w:pPr>
            <w:r>
              <w:rPr>
                <w:rFonts w:hint="eastAsia"/>
                <w:color w:val="auto"/>
              </w:rPr>
              <w:t>耗氧量（以</w:t>
            </w:r>
            <w:r>
              <w:rPr>
                <w:rFonts w:hint="default"/>
                <w:color w:val="auto"/>
              </w:rPr>
              <w:t>O</w:t>
            </w:r>
            <w:r>
              <w:rPr>
                <w:rFonts w:hint="default"/>
                <w:color w:val="auto"/>
                <w:vertAlign w:val="subscript"/>
              </w:rPr>
              <w:t>2</w:t>
            </w:r>
            <w:r>
              <w:rPr>
                <w:rFonts w:hint="eastAsia"/>
                <w:color w:val="auto"/>
              </w:rPr>
              <w:t>计）</w:t>
            </w:r>
          </w:p>
        </w:tc>
        <w:tc>
          <w:tcPr>
            <w:tcW w:w="694" w:type="pct"/>
            <w:vAlign w:val="center"/>
          </w:tcPr>
          <w:p w14:paraId="152D0C6C">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3</w:t>
            </w:r>
          </w:p>
        </w:tc>
        <w:tc>
          <w:tcPr>
            <w:tcW w:w="434" w:type="pct"/>
            <w:vAlign w:val="center"/>
          </w:tcPr>
          <w:p w14:paraId="7C4241B4">
            <w:pPr>
              <w:pStyle w:val="91"/>
              <w:keepNext w:val="0"/>
              <w:keepLines w:val="0"/>
              <w:suppressLineNumbers w:val="0"/>
              <w:spacing w:before="0" w:beforeAutospacing="0" w:after="0" w:afterAutospacing="0"/>
              <w:ind w:left="0" w:right="0"/>
              <w:rPr>
                <w:rFonts w:hint="default"/>
                <w:color w:val="auto"/>
              </w:rPr>
            </w:pPr>
            <w:r>
              <w:rPr>
                <w:rFonts w:hint="eastAsia"/>
                <w:color w:val="auto"/>
              </w:rPr>
              <w:t>18</w:t>
            </w:r>
          </w:p>
        </w:tc>
        <w:tc>
          <w:tcPr>
            <w:tcW w:w="1116" w:type="pct"/>
            <w:vAlign w:val="center"/>
          </w:tcPr>
          <w:p w14:paraId="14DF989E">
            <w:pPr>
              <w:pStyle w:val="91"/>
              <w:keepNext w:val="0"/>
              <w:keepLines w:val="0"/>
              <w:suppressLineNumbers w:val="0"/>
              <w:spacing w:before="0" w:beforeAutospacing="0" w:after="0" w:afterAutospacing="0"/>
              <w:ind w:left="0" w:right="0"/>
              <w:rPr>
                <w:rFonts w:hint="default"/>
                <w:color w:val="auto"/>
              </w:rPr>
            </w:pPr>
            <w:r>
              <w:rPr>
                <w:rFonts w:hint="eastAsia"/>
                <w:color w:val="auto"/>
              </w:rPr>
              <w:t>溶解性总固体</w:t>
            </w:r>
          </w:p>
        </w:tc>
        <w:tc>
          <w:tcPr>
            <w:tcW w:w="768" w:type="pct"/>
            <w:vAlign w:val="center"/>
          </w:tcPr>
          <w:p w14:paraId="60EEB38C">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1000</w:t>
            </w:r>
          </w:p>
        </w:tc>
      </w:tr>
      <w:tr w14:paraId="5C2579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338" w:type="pct"/>
            <w:vAlign w:val="center"/>
          </w:tcPr>
          <w:p w14:paraId="611335D3">
            <w:pPr>
              <w:pStyle w:val="91"/>
              <w:keepNext w:val="0"/>
              <w:keepLines w:val="0"/>
              <w:numPr>
                <w:ilvl w:val="0"/>
                <w:numId w:val="8"/>
              </w:numPr>
              <w:suppressLineNumbers w:val="0"/>
              <w:spacing w:before="0" w:beforeAutospacing="0" w:after="0" w:afterAutospacing="0"/>
              <w:ind w:right="0"/>
              <w:jc w:val="center"/>
              <w:rPr>
                <w:rFonts w:hint="default"/>
                <w:color w:val="auto"/>
              </w:rPr>
            </w:pPr>
          </w:p>
        </w:tc>
        <w:tc>
          <w:tcPr>
            <w:tcW w:w="1650" w:type="pct"/>
            <w:vAlign w:val="center"/>
          </w:tcPr>
          <w:p w14:paraId="3904C029">
            <w:pPr>
              <w:pStyle w:val="91"/>
              <w:keepNext w:val="0"/>
              <w:keepLines w:val="0"/>
              <w:suppressLineNumbers w:val="0"/>
              <w:spacing w:before="0" w:beforeAutospacing="0" w:after="0" w:afterAutospacing="0"/>
              <w:ind w:left="0" w:right="0"/>
              <w:rPr>
                <w:rFonts w:hint="default"/>
                <w:color w:val="auto"/>
                <w:lang w:bidi="he-IL"/>
              </w:rPr>
            </w:pPr>
            <w:r>
              <w:rPr>
                <w:rFonts w:hint="eastAsia"/>
                <w:color w:val="auto"/>
              </w:rPr>
              <w:t>总硬度</w:t>
            </w:r>
          </w:p>
        </w:tc>
        <w:tc>
          <w:tcPr>
            <w:tcW w:w="694" w:type="pct"/>
            <w:vAlign w:val="center"/>
          </w:tcPr>
          <w:p w14:paraId="064CBCF0">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450</w:t>
            </w:r>
          </w:p>
        </w:tc>
        <w:tc>
          <w:tcPr>
            <w:tcW w:w="434" w:type="pct"/>
            <w:vAlign w:val="center"/>
          </w:tcPr>
          <w:p w14:paraId="48F90713">
            <w:pPr>
              <w:pStyle w:val="91"/>
              <w:keepNext w:val="0"/>
              <w:keepLines w:val="0"/>
              <w:suppressLineNumbers w:val="0"/>
              <w:spacing w:before="0" w:beforeAutospacing="0" w:after="0" w:afterAutospacing="0"/>
              <w:ind w:left="0" w:right="0"/>
              <w:rPr>
                <w:rFonts w:hint="default"/>
                <w:color w:val="auto"/>
              </w:rPr>
            </w:pPr>
            <w:r>
              <w:rPr>
                <w:rFonts w:hint="eastAsia"/>
                <w:color w:val="auto"/>
              </w:rPr>
              <w:t>19</w:t>
            </w:r>
          </w:p>
        </w:tc>
        <w:tc>
          <w:tcPr>
            <w:tcW w:w="1116" w:type="pct"/>
            <w:vAlign w:val="center"/>
          </w:tcPr>
          <w:p w14:paraId="14912D1C">
            <w:pPr>
              <w:pStyle w:val="91"/>
              <w:keepNext w:val="0"/>
              <w:keepLines w:val="0"/>
              <w:suppressLineNumbers w:val="0"/>
              <w:spacing w:before="0" w:beforeAutospacing="0" w:after="0" w:afterAutospacing="0"/>
              <w:ind w:left="0" w:right="0"/>
              <w:rPr>
                <w:rFonts w:hint="default"/>
                <w:color w:val="auto"/>
              </w:rPr>
            </w:pPr>
            <w:r>
              <w:rPr>
                <w:rFonts w:hint="default"/>
                <w:color w:val="auto"/>
              </w:rPr>
              <w:t>Na</w:t>
            </w:r>
            <w:r>
              <w:rPr>
                <w:rFonts w:hint="default"/>
                <w:color w:val="auto"/>
                <w:vertAlign w:val="superscript"/>
              </w:rPr>
              <w:t>+</w:t>
            </w:r>
          </w:p>
        </w:tc>
        <w:tc>
          <w:tcPr>
            <w:tcW w:w="768" w:type="pct"/>
            <w:vAlign w:val="center"/>
          </w:tcPr>
          <w:p w14:paraId="207C5068">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200</w:t>
            </w:r>
          </w:p>
        </w:tc>
      </w:tr>
      <w:tr w14:paraId="5F34D5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338" w:type="pct"/>
            <w:vAlign w:val="center"/>
          </w:tcPr>
          <w:p w14:paraId="24AC534D">
            <w:pPr>
              <w:pStyle w:val="91"/>
              <w:keepNext w:val="0"/>
              <w:keepLines w:val="0"/>
              <w:numPr>
                <w:ilvl w:val="0"/>
                <w:numId w:val="8"/>
              </w:numPr>
              <w:suppressLineNumbers w:val="0"/>
              <w:spacing w:before="0" w:beforeAutospacing="0" w:after="0" w:afterAutospacing="0"/>
              <w:ind w:right="0"/>
              <w:jc w:val="center"/>
              <w:rPr>
                <w:rFonts w:hint="default"/>
                <w:color w:val="auto"/>
              </w:rPr>
            </w:pPr>
          </w:p>
        </w:tc>
        <w:tc>
          <w:tcPr>
            <w:tcW w:w="1650" w:type="pct"/>
            <w:vAlign w:val="center"/>
          </w:tcPr>
          <w:p w14:paraId="020464E7">
            <w:pPr>
              <w:pStyle w:val="91"/>
              <w:keepNext w:val="0"/>
              <w:keepLines w:val="0"/>
              <w:suppressLineNumbers w:val="0"/>
              <w:spacing w:before="0" w:beforeAutospacing="0" w:after="0" w:afterAutospacing="0"/>
              <w:ind w:left="0" w:right="0"/>
              <w:rPr>
                <w:rFonts w:hint="default"/>
                <w:color w:val="auto"/>
              </w:rPr>
            </w:pPr>
            <w:r>
              <w:rPr>
                <w:rFonts w:hint="eastAsia"/>
                <w:color w:val="auto"/>
              </w:rPr>
              <w:t>挥发酚</w:t>
            </w:r>
          </w:p>
        </w:tc>
        <w:tc>
          <w:tcPr>
            <w:tcW w:w="694" w:type="pct"/>
            <w:vAlign w:val="center"/>
          </w:tcPr>
          <w:p w14:paraId="7D9FA0AB">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0.002</w:t>
            </w:r>
          </w:p>
        </w:tc>
        <w:tc>
          <w:tcPr>
            <w:tcW w:w="434" w:type="pct"/>
            <w:vAlign w:val="center"/>
          </w:tcPr>
          <w:p w14:paraId="6FE3CD83">
            <w:pPr>
              <w:pStyle w:val="91"/>
              <w:keepNext w:val="0"/>
              <w:keepLines w:val="0"/>
              <w:suppressLineNumbers w:val="0"/>
              <w:spacing w:before="0" w:beforeAutospacing="0" w:after="0" w:afterAutospacing="0"/>
              <w:ind w:left="0" w:right="0"/>
              <w:rPr>
                <w:rFonts w:hint="default"/>
                <w:color w:val="auto"/>
              </w:rPr>
            </w:pPr>
            <w:r>
              <w:rPr>
                <w:rFonts w:hint="eastAsia"/>
                <w:color w:val="auto"/>
              </w:rPr>
              <w:t>20</w:t>
            </w:r>
          </w:p>
        </w:tc>
        <w:tc>
          <w:tcPr>
            <w:tcW w:w="1116" w:type="pct"/>
            <w:vAlign w:val="center"/>
          </w:tcPr>
          <w:p w14:paraId="11500212">
            <w:pPr>
              <w:pStyle w:val="91"/>
              <w:keepNext w:val="0"/>
              <w:keepLines w:val="0"/>
              <w:suppressLineNumbers w:val="0"/>
              <w:spacing w:before="0" w:beforeAutospacing="0" w:after="0" w:afterAutospacing="0"/>
              <w:ind w:left="0" w:right="0"/>
              <w:rPr>
                <w:rFonts w:hint="default"/>
                <w:color w:val="auto"/>
              </w:rPr>
            </w:pPr>
            <w:r>
              <w:rPr>
                <w:rFonts w:hint="eastAsia"/>
                <w:color w:val="auto"/>
              </w:rPr>
              <w:t>氰化物</w:t>
            </w:r>
          </w:p>
        </w:tc>
        <w:tc>
          <w:tcPr>
            <w:tcW w:w="768" w:type="pct"/>
            <w:vAlign w:val="center"/>
          </w:tcPr>
          <w:p w14:paraId="456C1A2C">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0.05</w:t>
            </w:r>
          </w:p>
        </w:tc>
      </w:tr>
      <w:tr w14:paraId="032442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338" w:type="pct"/>
            <w:vAlign w:val="center"/>
          </w:tcPr>
          <w:p w14:paraId="08E4608C">
            <w:pPr>
              <w:pStyle w:val="91"/>
              <w:keepNext w:val="0"/>
              <w:keepLines w:val="0"/>
              <w:numPr>
                <w:ilvl w:val="0"/>
                <w:numId w:val="8"/>
              </w:numPr>
              <w:suppressLineNumbers w:val="0"/>
              <w:spacing w:before="0" w:beforeAutospacing="0" w:after="0" w:afterAutospacing="0"/>
              <w:ind w:right="0"/>
              <w:jc w:val="center"/>
              <w:rPr>
                <w:rFonts w:hint="default"/>
                <w:color w:val="auto"/>
              </w:rPr>
            </w:pPr>
          </w:p>
        </w:tc>
        <w:tc>
          <w:tcPr>
            <w:tcW w:w="1650" w:type="pct"/>
            <w:vAlign w:val="center"/>
          </w:tcPr>
          <w:p w14:paraId="3C588BDD">
            <w:pPr>
              <w:pStyle w:val="91"/>
              <w:keepNext w:val="0"/>
              <w:keepLines w:val="0"/>
              <w:suppressLineNumbers w:val="0"/>
              <w:spacing w:before="0" w:beforeAutospacing="0" w:after="0" w:afterAutospacing="0"/>
              <w:ind w:left="0" w:right="0"/>
              <w:rPr>
                <w:rFonts w:hint="default"/>
                <w:bCs/>
                <w:color w:val="auto"/>
                <w:lang w:bidi="he-IL"/>
              </w:rPr>
            </w:pPr>
            <w:r>
              <w:rPr>
                <w:rFonts w:hint="eastAsia"/>
                <w:color w:val="auto"/>
              </w:rPr>
              <w:t>总大肠菌群（CFU/</w:t>
            </w:r>
            <w:r>
              <w:rPr>
                <w:rFonts w:hint="default"/>
                <w:color w:val="auto"/>
              </w:rPr>
              <w:t>100mL</w:t>
            </w:r>
            <w:r>
              <w:rPr>
                <w:rFonts w:hint="eastAsia"/>
                <w:color w:val="auto"/>
              </w:rPr>
              <w:t>）</w:t>
            </w:r>
          </w:p>
        </w:tc>
        <w:tc>
          <w:tcPr>
            <w:tcW w:w="694" w:type="pct"/>
            <w:vAlign w:val="center"/>
          </w:tcPr>
          <w:p w14:paraId="2BFA6F2F">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3</w:t>
            </w:r>
          </w:p>
        </w:tc>
        <w:tc>
          <w:tcPr>
            <w:tcW w:w="434" w:type="pct"/>
            <w:vAlign w:val="center"/>
          </w:tcPr>
          <w:p w14:paraId="41882601">
            <w:pPr>
              <w:pStyle w:val="91"/>
              <w:keepNext w:val="0"/>
              <w:keepLines w:val="0"/>
              <w:suppressLineNumbers w:val="0"/>
              <w:spacing w:before="0" w:beforeAutospacing="0" w:after="0" w:afterAutospacing="0"/>
              <w:ind w:left="0" w:right="0"/>
              <w:rPr>
                <w:rFonts w:hint="default"/>
                <w:color w:val="auto"/>
              </w:rPr>
            </w:pPr>
            <w:r>
              <w:rPr>
                <w:rFonts w:hint="eastAsia"/>
                <w:color w:val="auto"/>
              </w:rPr>
              <w:t>21</w:t>
            </w:r>
          </w:p>
        </w:tc>
        <w:tc>
          <w:tcPr>
            <w:tcW w:w="1116" w:type="pct"/>
            <w:vAlign w:val="center"/>
          </w:tcPr>
          <w:p w14:paraId="1F26DC97">
            <w:pPr>
              <w:pStyle w:val="91"/>
              <w:keepNext w:val="0"/>
              <w:keepLines w:val="0"/>
              <w:suppressLineNumbers w:val="0"/>
              <w:spacing w:before="0" w:beforeAutospacing="0" w:after="0" w:afterAutospacing="0"/>
              <w:ind w:left="0" w:right="0"/>
              <w:rPr>
                <w:rFonts w:hint="default"/>
                <w:color w:val="auto"/>
              </w:rPr>
            </w:pPr>
            <w:r>
              <w:rPr>
                <w:rFonts w:hint="eastAsia"/>
                <w:color w:val="auto"/>
              </w:rPr>
              <w:t>汞</w:t>
            </w:r>
          </w:p>
        </w:tc>
        <w:tc>
          <w:tcPr>
            <w:tcW w:w="768" w:type="pct"/>
            <w:vAlign w:val="center"/>
          </w:tcPr>
          <w:p w14:paraId="30E959BC">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0.001</w:t>
            </w:r>
          </w:p>
        </w:tc>
      </w:tr>
      <w:tr w14:paraId="5D7785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338" w:type="pct"/>
            <w:vAlign w:val="center"/>
          </w:tcPr>
          <w:p w14:paraId="2120098D">
            <w:pPr>
              <w:pStyle w:val="91"/>
              <w:keepNext w:val="0"/>
              <w:keepLines w:val="0"/>
              <w:numPr>
                <w:ilvl w:val="0"/>
                <w:numId w:val="8"/>
              </w:numPr>
              <w:suppressLineNumbers w:val="0"/>
              <w:spacing w:before="0" w:beforeAutospacing="0" w:after="0" w:afterAutospacing="0"/>
              <w:ind w:right="0"/>
              <w:jc w:val="center"/>
              <w:rPr>
                <w:rFonts w:hint="default"/>
                <w:color w:val="auto"/>
              </w:rPr>
            </w:pPr>
          </w:p>
        </w:tc>
        <w:tc>
          <w:tcPr>
            <w:tcW w:w="1650" w:type="pct"/>
            <w:vAlign w:val="center"/>
          </w:tcPr>
          <w:p w14:paraId="651B1A00">
            <w:pPr>
              <w:pStyle w:val="91"/>
              <w:keepNext w:val="0"/>
              <w:keepLines w:val="0"/>
              <w:suppressLineNumbers w:val="0"/>
              <w:spacing w:before="0" w:beforeAutospacing="0" w:after="0" w:afterAutospacing="0"/>
              <w:ind w:left="0" w:right="0"/>
              <w:rPr>
                <w:rFonts w:hint="default"/>
                <w:bCs/>
                <w:color w:val="auto"/>
              </w:rPr>
            </w:pPr>
            <w:r>
              <w:rPr>
                <w:rFonts w:hint="eastAsia"/>
                <w:color w:val="auto"/>
              </w:rPr>
              <w:t>细菌总数（CFU/</w:t>
            </w:r>
            <w:r>
              <w:rPr>
                <w:rFonts w:hint="default"/>
                <w:color w:val="auto"/>
              </w:rPr>
              <w:t>mL</w:t>
            </w:r>
            <w:r>
              <w:rPr>
                <w:rFonts w:hint="eastAsia"/>
                <w:color w:val="auto"/>
              </w:rPr>
              <w:t>）</w:t>
            </w:r>
          </w:p>
        </w:tc>
        <w:tc>
          <w:tcPr>
            <w:tcW w:w="694" w:type="pct"/>
            <w:vAlign w:val="center"/>
          </w:tcPr>
          <w:p w14:paraId="5BC1502F">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100</w:t>
            </w:r>
          </w:p>
        </w:tc>
        <w:tc>
          <w:tcPr>
            <w:tcW w:w="434" w:type="pct"/>
            <w:vAlign w:val="center"/>
          </w:tcPr>
          <w:p w14:paraId="222E0147">
            <w:pPr>
              <w:pStyle w:val="91"/>
              <w:keepNext w:val="0"/>
              <w:keepLines w:val="0"/>
              <w:suppressLineNumbers w:val="0"/>
              <w:spacing w:before="0" w:beforeAutospacing="0" w:after="0" w:afterAutospacing="0"/>
              <w:ind w:left="0" w:right="0"/>
              <w:rPr>
                <w:rFonts w:hint="default"/>
                <w:color w:val="auto"/>
              </w:rPr>
            </w:pPr>
            <w:r>
              <w:rPr>
                <w:rFonts w:hint="eastAsia"/>
                <w:color w:val="auto"/>
              </w:rPr>
              <w:t>22</w:t>
            </w:r>
          </w:p>
        </w:tc>
        <w:tc>
          <w:tcPr>
            <w:tcW w:w="1116" w:type="pct"/>
            <w:vAlign w:val="center"/>
          </w:tcPr>
          <w:p w14:paraId="59F3D157">
            <w:pPr>
              <w:pStyle w:val="91"/>
              <w:keepNext w:val="0"/>
              <w:keepLines w:val="0"/>
              <w:suppressLineNumbers w:val="0"/>
              <w:spacing w:before="0" w:beforeAutospacing="0" w:after="0" w:afterAutospacing="0"/>
              <w:ind w:left="0" w:right="0"/>
              <w:rPr>
                <w:rFonts w:hint="default"/>
                <w:color w:val="auto"/>
              </w:rPr>
            </w:pPr>
            <w:r>
              <w:rPr>
                <w:rFonts w:hint="eastAsia"/>
                <w:color w:val="auto"/>
              </w:rPr>
              <w:t>砷</w:t>
            </w:r>
          </w:p>
        </w:tc>
        <w:tc>
          <w:tcPr>
            <w:tcW w:w="768" w:type="pct"/>
            <w:vAlign w:val="center"/>
          </w:tcPr>
          <w:p w14:paraId="79B2DA8E">
            <w:pPr>
              <w:pStyle w:val="91"/>
              <w:keepNext w:val="0"/>
              <w:keepLines w:val="0"/>
              <w:suppressLineNumbers w:val="0"/>
              <w:spacing w:before="0" w:beforeAutospacing="0" w:after="0" w:afterAutospacing="0"/>
              <w:ind w:left="0" w:right="0"/>
              <w:rPr>
                <w:rFonts w:hint="default"/>
                <w:color w:val="auto"/>
              </w:rPr>
            </w:pPr>
            <w:r>
              <w:rPr>
                <w:rFonts w:hint="default"/>
                <w:color w:val="auto"/>
              </w:rPr>
              <w:t>≤</w:t>
            </w:r>
            <w:r>
              <w:rPr>
                <w:rFonts w:hint="eastAsia"/>
                <w:color w:val="auto"/>
              </w:rPr>
              <w:t>0.01</w:t>
            </w:r>
          </w:p>
        </w:tc>
      </w:tr>
    </w:tbl>
    <w:p w14:paraId="4D4E37B2">
      <w:pPr>
        <w:pStyle w:val="6"/>
        <w:rPr>
          <w:color w:val="auto"/>
        </w:rPr>
      </w:pPr>
      <w:r>
        <w:rPr>
          <w:rFonts w:hint="eastAsia"/>
          <w:color w:val="auto"/>
        </w:rPr>
        <w:t>声</w:t>
      </w:r>
      <w:r>
        <w:rPr>
          <w:color w:val="auto"/>
        </w:rPr>
        <w:t>环境质量标准</w:t>
      </w:r>
    </w:p>
    <w:p w14:paraId="4CBB8912">
      <w:pPr>
        <w:ind w:firstLine="480"/>
        <w:rPr>
          <w:color w:val="auto"/>
        </w:rPr>
      </w:pPr>
      <w:r>
        <w:rPr>
          <w:color w:val="auto"/>
        </w:rPr>
        <w:t>根据</w:t>
      </w:r>
      <w:r>
        <w:rPr>
          <w:rFonts w:hint="eastAsia"/>
          <w:color w:val="auto"/>
        </w:rPr>
        <w:t>《关于印发钦州市中心城区声环境功能区划的通知》（钦政办规〔2023〕11号），</w:t>
      </w:r>
      <w:r>
        <w:rPr>
          <w:color w:val="auto"/>
        </w:rPr>
        <w:t>区域声环境划分为3类声功能区，执行《</w:t>
      </w:r>
      <w:r>
        <w:rPr>
          <w:rFonts w:hint="eastAsia"/>
          <w:color w:val="auto"/>
        </w:rPr>
        <w:t>声环境质量</w:t>
      </w:r>
      <w:r>
        <w:rPr>
          <w:color w:val="auto"/>
        </w:rPr>
        <w:t>标准》（GB12348-2008）中3类标准，具体标准值见表1.3-3。</w:t>
      </w:r>
    </w:p>
    <w:p w14:paraId="51865679">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3</w:t>
      </w:r>
      <w:r>
        <w:rPr>
          <w:color w:val="auto"/>
        </w:rPr>
        <w:fldChar w:fldCharType="end"/>
      </w:r>
      <w:r>
        <w:rPr>
          <w:color w:val="auto"/>
        </w:rPr>
        <w:t>声环境质量标准单位：dB（A）</w:t>
      </w:r>
    </w:p>
    <w:tbl>
      <w:tblPr>
        <w:tblStyle w:val="43"/>
        <w:tblW w:w="849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096"/>
        <w:gridCol w:w="3095"/>
        <w:gridCol w:w="2299"/>
      </w:tblGrid>
      <w:tr w14:paraId="7113FA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3096" w:type="dxa"/>
            <w:vAlign w:val="center"/>
          </w:tcPr>
          <w:p w14:paraId="29B03F1E">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类别</w:t>
            </w:r>
          </w:p>
        </w:tc>
        <w:tc>
          <w:tcPr>
            <w:tcW w:w="3095" w:type="dxa"/>
            <w:vAlign w:val="center"/>
          </w:tcPr>
          <w:p w14:paraId="69722F99">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昼间</w:t>
            </w:r>
          </w:p>
        </w:tc>
        <w:tc>
          <w:tcPr>
            <w:tcW w:w="2299" w:type="dxa"/>
            <w:vAlign w:val="center"/>
          </w:tcPr>
          <w:p w14:paraId="5C98E848">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夜间</w:t>
            </w:r>
          </w:p>
        </w:tc>
      </w:tr>
      <w:tr w14:paraId="6720A8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096" w:type="dxa"/>
            <w:vAlign w:val="center"/>
          </w:tcPr>
          <w:p w14:paraId="26904D72">
            <w:pPr>
              <w:pStyle w:val="77"/>
              <w:keepNext w:val="0"/>
              <w:keepLines w:val="0"/>
              <w:suppressLineNumbers w:val="0"/>
              <w:spacing w:before="0" w:beforeAutospacing="0" w:after="0" w:afterAutospacing="0"/>
              <w:ind w:left="0" w:right="0"/>
              <w:rPr>
                <w:rFonts w:hint="default"/>
                <w:color w:val="auto"/>
              </w:rPr>
            </w:pPr>
            <w:r>
              <w:rPr>
                <w:rFonts w:hint="default"/>
                <w:color w:val="auto"/>
              </w:rPr>
              <w:t>3类</w:t>
            </w:r>
          </w:p>
        </w:tc>
        <w:tc>
          <w:tcPr>
            <w:tcW w:w="3095" w:type="dxa"/>
            <w:vAlign w:val="center"/>
          </w:tcPr>
          <w:p w14:paraId="08F7D560">
            <w:pPr>
              <w:pStyle w:val="77"/>
              <w:keepNext w:val="0"/>
              <w:keepLines w:val="0"/>
              <w:suppressLineNumbers w:val="0"/>
              <w:spacing w:before="0" w:beforeAutospacing="0" w:after="0" w:afterAutospacing="0"/>
              <w:ind w:left="0" w:right="0"/>
              <w:rPr>
                <w:rFonts w:hint="default"/>
                <w:color w:val="auto"/>
              </w:rPr>
            </w:pPr>
            <w:r>
              <w:rPr>
                <w:rFonts w:hint="default"/>
                <w:color w:val="auto"/>
              </w:rPr>
              <w:t>65</w:t>
            </w:r>
          </w:p>
        </w:tc>
        <w:tc>
          <w:tcPr>
            <w:tcW w:w="2299" w:type="dxa"/>
            <w:vAlign w:val="center"/>
          </w:tcPr>
          <w:p w14:paraId="26C177E1">
            <w:pPr>
              <w:pStyle w:val="77"/>
              <w:keepNext w:val="0"/>
              <w:keepLines w:val="0"/>
              <w:suppressLineNumbers w:val="0"/>
              <w:spacing w:before="0" w:beforeAutospacing="0" w:after="0" w:afterAutospacing="0"/>
              <w:ind w:left="0" w:right="0"/>
              <w:rPr>
                <w:rFonts w:hint="default"/>
                <w:color w:val="auto"/>
              </w:rPr>
            </w:pPr>
            <w:r>
              <w:rPr>
                <w:rFonts w:hint="default"/>
                <w:color w:val="auto"/>
              </w:rPr>
              <w:t>55</w:t>
            </w:r>
          </w:p>
        </w:tc>
      </w:tr>
    </w:tbl>
    <w:p w14:paraId="6AEB99C5">
      <w:pPr>
        <w:pStyle w:val="6"/>
        <w:rPr>
          <w:color w:val="auto"/>
        </w:rPr>
      </w:pPr>
      <w:r>
        <w:rPr>
          <w:rFonts w:hint="eastAsia"/>
          <w:color w:val="auto"/>
        </w:rPr>
        <w:t>地表水环境</w:t>
      </w:r>
    </w:p>
    <w:p w14:paraId="6B7711C6">
      <w:pPr>
        <w:ind w:firstLine="480"/>
        <w:rPr>
          <w:color w:val="auto"/>
        </w:rPr>
      </w:pPr>
      <w:r>
        <w:rPr>
          <w:rFonts w:hint="eastAsia"/>
          <w:color w:val="auto"/>
        </w:rPr>
        <w:t>（1）海水</w:t>
      </w:r>
      <w:r>
        <w:rPr>
          <w:color w:val="auto"/>
        </w:rPr>
        <w:t>水质</w:t>
      </w:r>
    </w:p>
    <w:p w14:paraId="51F1D8D5">
      <w:pPr>
        <w:ind w:firstLine="480"/>
        <w:rPr>
          <w:color w:val="auto"/>
        </w:rPr>
      </w:pPr>
      <w:r>
        <w:rPr>
          <w:color w:val="auto"/>
        </w:rPr>
        <w:t>根据《广西壮族自治区近岸海域环境功能区划调整方案》（桂环发〔2023〕9号）、《广西壮族自治区海洋功能区划》（2011-2020），评价海域功能区划属于一类、二类、三类、四类功能区，评价海域海水水质执行《海水水质标准》（GB3097-1997）第一类、二类、三类、四类标准；评价海域海洋沉积物执行《海洋沉积物质量》（GB18668-2002）第一类、二类、三类标准</w:t>
      </w:r>
      <w:r>
        <w:rPr>
          <w:rFonts w:hint="eastAsia"/>
          <w:color w:val="auto"/>
        </w:rPr>
        <w:t>。</w:t>
      </w:r>
    </w:p>
    <w:p w14:paraId="46183F9E">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4</w:t>
      </w:r>
      <w:r>
        <w:rPr>
          <w:color w:val="auto"/>
        </w:rPr>
        <w:fldChar w:fldCharType="end"/>
      </w:r>
      <w:r>
        <w:rPr>
          <w:color w:val="auto"/>
        </w:rPr>
        <w:t>海水水质标准单位：mg/L（除pH值外）</w:t>
      </w:r>
    </w:p>
    <w:tbl>
      <w:tblPr>
        <w:tblStyle w:val="43"/>
        <w:tblW w:w="945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3" w:type="dxa"/>
          <w:bottom w:w="0" w:type="dxa"/>
          <w:right w:w="23" w:type="dxa"/>
        </w:tblCellMar>
      </w:tblPr>
      <w:tblGrid>
        <w:gridCol w:w="455"/>
        <w:gridCol w:w="2117"/>
        <w:gridCol w:w="1698"/>
        <w:gridCol w:w="1506"/>
        <w:gridCol w:w="1956"/>
        <w:gridCol w:w="1726"/>
      </w:tblGrid>
      <w:tr w14:paraId="71DABD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blHeader/>
        </w:trPr>
        <w:tc>
          <w:tcPr>
            <w:tcW w:w="455" w:type="dxa"/>
            <w:vMerge w:val="restart"/>
            <w:vAlign w:val="center"/>
          </w:tcPr>
          <w:p w14:paraId="2B4D5AE1">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序号</w:t>
            </w:r>
          </w:p>
        </w:tc>
        <w:tc>
          <w:tcPr>
            <w:tcW w:w="2117" w:type="dxa"/>
            <w:vMerge w:val="restart"/>
            <w:vAlign w:val="center"/>
          </w:tcPr>
          <w:p w14:paraId="51A43258">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项目</w:t>
            </w:r>
          </w:p>
        </w:tc>
        <w:tc>
          <w:tcPr>
            <w:tcW w:w="6886" w:type="dxa"/>
            <w:gridSpan w:val="4"/>
            <w:vAlign w:val="center"/>
          </w:tcPr>
          <w:p w14:paraId="232C342F">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海水水质标准</w:t>
            </w:r>
          </w:p>
        </w:tc>
      </w:tr>
      <w:tr w14:paraId="7DC5BB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blHeader/>
        </w:trPr>
        <w:tc>
          <w:tcPr>
            <w:tcW w:w="455" w:type="dxa"/>
            <w:vMerge w:val="continue"/>
            <w:vAlign w:val="center"/>
          </w:tcPr>
          <w:p w14:paraId="6F9A1EDA">
            <w:pPr>
              <w:pStyle w:val="77"/>
              <w:keepNext w:val="0"/>
              <w:keepLines w:val="0"/>
              <w:suppressLineNumbers w:val="0"/>
              <w:spacing w:before="0" w:beforeAutospacing="0" w:after="0" w:afterAutospacing="0"/>
              <w:ind w:left="0" w:right="0"/>
              <w:rPr>
                <w:rFonts w:hint="default"/>
                <w:b/>
                <w:bCs/>
                <w:color w:val="auto"/>
              </w:rPr>
            </w:pPr>
          </w:p>
        </w:tc>
        <w:tc>
          <w:tcPr>
            <w:tcW w:w="2117" w:type="dxa"/>
            <w:vMerge w:val="continue"/>
            <w:vAlign w:val="center"/>
          </w:tcPr>
          <w:p w14:paraId="069E87D0">
            <w:pPr>
              <w:pStyle w:val="77"/>
              <w:keepNext w:val="0"/>
              <w:keepLines w:val="0"/>
              <w:suppressLineNumbers w:val="0"/>
              <w:spacing w:before="0" w:beforeAutospacing="0" w:after="0" w:afterAutospacing="0"/>
              <w:ind w:left="0" w:right="0"/>
              <w:rPr>
                <w:rFonts w:hint="default"/>
                <w:b/>
                <w:bCs/>
                <w:color w:val="auto"/>
              </w:rPr>
            </w:pPr>
          </w:p>
        </w:tc>
        <w:tc>
          <w:tcPr>
            <w:tcW w:w="1698" w:type="dxa"/>
            <w:vAlign w:val="center"/>
          </w:tcPr>
          <w:p w14:paraId="0ACCD85C">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第一类</w:t>
            </w:r>
          </w:p>
        </w:tc>
        <w:tc>
          <w:tcPr>
            <w:tcW w:w="1506" w:type="dxa"/>
            <w:vAlign w:val="center"/>
          </w:tcPr>
          <w:p w14:paraId="6F94F1D3">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第二类</w:t>
            </w:r>
          </w:p>
        </w:tc>
        <w:tc>
          <w:tcPr>
            <w:tcW w:w="1956" w:type="dxa"/>
            <w:vAlign w:val="center"/>
          </w:tcPr>
          <w:p w14:paraId="400E1287">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第三类</w:t>
            </w:r>
          </w:p>
        </w:tc>
        <w:tc>
          <w:tcPr>
            <w:tcW w:w="1726" w:type="dxa"/>
            <w:vAlign w:val="center"/>
          </w:tcPr>
          <w:p w14:paraId="76E9AE04">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第四类</w:t>
            </w:r>
          </w:p>
        </w:tc>
      </w:tr>
      <w:tr w14:paraId="17241D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25BCB43C">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535B2F0C">
            <w:pPr>
              <w:pStyle w:val="77"/>
              <w:keepNext w:val="0"/>
              <w:keepLines w:val="0"/>
              <w:suppressLineNumbers w:val="0"/>
              <w:spacing w:before="0" w:beforeAutospacing="0" w:after="0" w:afterAutospacing="0"/>
              <w:ind w:left="0" w:right="0"/>
              <w:rPr>
                <w:rFonts w:hint="default"/>
                <w:color w:val="auto"/>
              </w:rPr>
            </w:pPr>
            <w:r>
              <w:rPr>
                <w:rFonts w:hint="default"/>
                <w:color w:val="auto"/>
              </w:rPr>
              <w:t>水</w:t>
            </w:r>
            <w:r>
              <w:rPr>
                <w:rFonts w:hint="eastAsia"/>
                <w:color w:val="auto"/>
              </w:rPr>
              <w:t>温</w:t>
            </w:r>
          </w:p>
        </w:tc>
        <w:tc>
          <w:tcPr>
            <w:tcW w:w="3204" w:type="dxa"/>
            <w:gridSpan w:val="2"/>
            <w:vAlign w:val="center"/>
          </w:tcPr>
          <w:p w14:paraId="6C28C39C">
            <w:pPr>
              <w:pStyle w:val="77"/>
              <w:keepNext w:val="0"/>
              <w:keepLines w:val="0"/>
              <w:suppressLineNumbers w:val="0"/>
              <w:spacing w:before="0" w:beforeAutospacing="0" w:after="0" w:afterAutospacing="0"/>
              <w:ind w:left="0" w:right="0"/>
              <w:rPr>
                <w:rFonts w:hint="default"/>
                <w:color w:val="auto"/>
              </w:rPr>
            </w:pPr>
            <w:r>
              <w:rPr>
                <w:rFonts w:hint="default"/>
                <w:color w:val="auto"/>
              </w:rPr>
              <w:t>人为造成当地水温升高夏季不</w:t>
            </w:r>
          </w:p>
          <w:p w14:paraId="72E53938">
            <w:pPr>
              <w:pStyle w:val="77"/>
              <w:keepNext w:val="0"/>
              <w:keepLines w:val="0"/>
              <w:suppressLineNumbers w:val="0"/>
              <w:spacing w:before="0" w:beforeAutospacing="0" w:after="0" w:afterAutospacing="0"/>
              <w:ind w:left="0" w:right="0"/>
              <w:rPr>
                <w:rFonts w:hint="default" w:ascii="宋体" w:hAnsi="宋体" w:eastAsia="MS Mincho" w:cs="宋体"/>
                <w:color w:val="auto"/>
                <w:lang w:eastAsia="ja-JP"/>
              </w:rPr>
            </w:pPr>
            <w:r>
              <w:rPr>
                <w:rFonts w:hint="default"/>
                <w:color w:val="auto"/>
              </w:rPr>
              <w:t>超过1</w:t>
            </w:r>
            <w:r>
              <w:rPr>
                <w:rFonts w:hint="eastAsia" w:ascii="宋体" w:hAnsi="宋体" w:cs="宋体"/>
                <w:color w:val="auto"/>
                <w:lang w:eastAsia="ja-JP"/>
              </w:rPr>
              <w:t>℃</w:t>
            </w:r>
            <w:r>
              <w:rPr>
                <w:rFonts w:hint="default"/>
                <w:color w:val="auto"/>
              </w:rPr>
              <w:t>，其他季节不超过2</w:t>
            </w:r>
            <w:r>
              <w:rPr>
                <w:rFonts w:hint="eastAsia" w:ascii="宋体" w:hAnsi="宋体" w:cs="宋体"/>
                <w:color w:val="auto"/>
                <w:lang w:eastAsia="ja-JP"/>
              </w:rPr>
              <w:t>℃</w:t>
            </w:r>
          </w:p>
        </w:tc>
        <w:tc>
          <w:tcPr>
            <w:tcW w:w="3682" w:type="dxa"/>
            <w:gridSpan w:val="2"/>
            <w:vAlign w:val="center"/>
          </w:tcPr>
          <w:p w14:paraId="5ED11BCB">
            <w:pPr>
              <w:pStyle w:val="77"/>
              <w:keepNext w:val="0"/>
              <w:keepLines w:val="0"/>
              <w:suppressLineNumbers w:val="0"/>
              <w:spacing w:before="0" w:beforeAutospacing="0" w:after="0" w:afterAutospacing="0"/>
              <w:ind w:left="0" w:right="0"/>
              <w:rPr>
                <w:rFonts w:hint="default" w:ascii="宋体" w:hAnsi="宋体" w:eastAsia="MS Mincho" w:cs="宋体"/>
                <w:color w:val="auto"/>
                <w:lang w:eastAsia="ja-JP"/>
              </w:rPr>
            </w:pPr>
            <w:r>
              <w:rPr>
                <w:rFonts w:hint="default"/>
                <w:color w:val="auto"/>
              </w:rPr>
              <w:t>人为造成当地水温升不超过4</w:t>
            </w:r>
            <w:r>
              <w:rPr>
                <w:rFonts w:hint="eastAsia" w:ascii="宋体" w:hAnsi="宋体" w:cs="宋体"/>
                <w:color w:val="auto"/>
                <w:lang w:eastAsia="ja-JP"/>
              </w:rPr>
              <w:t>℃</w:t>
            </w:r>
          </w:p>
        </w:tc>
      </w:tr>
      <w:tr w14:paraId="7F5130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5F954062">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7BD3EB4E">
            <w:pPr>
              <w:pStyle w:val="77"/>
              <w:keepNext w:val="0"/>
              <w:keepLines w:val="0"/>
              <w:suppressLineNumbers w:val="0"/>
              <w:spacing w:before="0" w:beforeAutospacing="0" w:after="0" w:afterAutospacing="0"/>
              <w:ind w:left="0" w:right="0"/>
              <w:rPr>
                <w:rFonts w:hint="default"/>
                <w:color w:val="auto"/>
              </w:rPr>
            </w:pPr>
            <w:r>
              <w:rPr>
                <w:rFonts w:hint="default"/>
                <w:color w:val="auto"/>
              </w:rPr>
              <w:t>pH值</w:t>
            </w:r>
          </w:p>
        </w:tc>
        <w:tc>
          <w:tcPr>
            <w:tcW w:w="3204" w:type="dxa"/>
            <w:gridSpan w:val="2"/>
            <w:vAlign w:val="center"/>
          </w:tcPr>
          <w:p w14:paraId="0BF70B45">
            <w:pPr>
              <w:pStyle w:val="77"/>
              <w:keepNext w:val="0"/>
              <w:keepLines w:val="0"/>
              <w:suppressLineNumbers w:val="0"/>
              <w:spacing w:before="0" w:beforeAutospacing="0" w:after="0" w:afterAutospacing="0"/>
              <w:ind w:left="0" w:right="0"/>
              <w:rPr>
                <w:rFonts w:hint="default"/>
                <w:color w:val="auto"/>
              </w:rPr>
            </w:pPr>
            <w:r>
              <w:rPr>
                <w:rFonts w:hint="default"/>
                <w:color w:val="auto"/>
              </w:rPr>
              <w:t>7.8～8.5，同时不超出该海域</w:t>
            </w:r>
          </w:p>
          <w:p w14:paraId="1F781A54">
            <w:pPr>
              <w:pStyle w:val="77"/>
              <w:keepNext w:val="0"/>
              <w:keepLines w:val="0"/>
              <w:suppressLineNumbers w:val="0"/>
              <w:spacing w:before="0" w:beforeAutospacing="0" w:after="0" w:afterAutospacing="0"/>
              <w:ind w:left="0" w:right="0"/>
              <w:rPr>
                <w:rFonts w:hint="default"/>
                <w:color w:val="auto"/>
              </w:rPr>
            </w:pPr>
            <w:r>
              <w:rPr>
                <w:rFonts w:hint="default"/>
                <w:color w:val="auto"/>
              </w:rPr>
              <w:t>正常变动范围的0.2pH单位</w:t>
            </w:r>
          </w:p>
        </w:tc>
        <w:tc>
          <w:tcPr>
            <w:tcW w:w="3682" w:type="dxa"/>
            <w:gridSpan w:val="2"/>
            <w:vAlign w:val="center"/>
          </w:tcPr>
          <w:p w14:paraId="5D96CE33">
            <w:pPr>
              <w:pStyle w:val="77"/>
              <w:keepNext w:val="0"/>
              <w:keepLines w:val="0"/>
              <w:suppressLineNumbers w:val="0"/>
              <w:spacing w:before="0" w:beforeAutospacing="0" w:after="0" w:afterAutospacing="0"/>
              <w:ind w:left="0" w:right="0"/>
              <w:rPr>
                <w:rFonts w:hint="default"/>
                <w:color w:val="auto"/>
              </w:rPr>
            </w:pPr>
            <w:r>
              <w:rPr>
                <w:rFonts w:hint="default"/>
                <w:color w:val="auto"/>
              </w:rPr>
              <w:t>6.8～8.8，同时不超出该海域</w:t>
            </w:r>
          </w:p>
          <w:p w14:paraId="7D715184">
            <w:pPr>
              <w:pStyle w:val="77"/>
              <w:keepNext w:val="0"/>
              <w:keepLines w:val="0"/>
              <w:suppressLineNumbers w:val="0"/>
              <w:spacing w:before="0" w:beforeAutospacing="0" w:after="0" w:afterAutospacing="0"/>
              <w:ind w:left="0" w:right="0"/>
              <w:rPr>
                <w:rFonts w:hint="default"/>
                <w:color w:val="auto"/>
              </w:rPr>
            </w:pPr>
            <w:r>
              <w:rPr>
                <w:rFonts w:hint="default"/>
                <w:color w:val="auto"/>
              </w:rPr>
              <w:t>正常变动范围的0.5pH单位</w:t>
            </w:r>
          </w:p>
        </w:tc>
      </w:tr>
      <w:tr w14:paraId="3C9247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68C778D5">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477369CE">
            <w:pPr>
              <w:pStyle w:val="77"/>
              <w:keepNext w:val="0"/>
              <w:keepLines w:val="0"/>
              <w:suppressLineNumbers w:val="0"/>
              <w:spacing w:before="0" w:beforeAutospacing="0" w:after="0" w:afterAutospacing="0"/>
              <w:ind w:left="0" w:right="0"/>
              <w:rPr>
                <w:rFonts w:hint="default"/>
                <w:color w:val="auto"/>
              </w:rPr>
            </w:pPr>
            <w:r>
              <w:rPr>
                <w:rFonts w:hint="default"/>
                <w:color w:val="auto"/>
              </w:rPr>
              <w:t>悬浮物</w:t>
            </w:r>
          </w:p>
        </w:tc>
        <w:tc>
          <w:tcPr>
            <w:tcW w:w="3204" w:type="dxa"/>
            <w:gridSpan w:val="2"/>
            <w:vAlign w:val="center"/>
          </w:tcPr>
          <w:p w14:paraId="31AEE94A">
            <w:pPr>
              <w:pStyle w:val="77"/>
              <w:keepNext w:val="0"/>
              <w:keepLines w:val="0"/>
              <w:suppressLineNumbers w:val="0"/>
              <w:spacing w:before="0" w:beforeAutospacing="0" w:after="0" w:afterAutospacing="0"/>
              <w:ind w:left="0" w:right="0"/>
              <w:rPr>
                <w:rFonts w:hint="default"/>
                <w:color w:val="auto"/>
              </w:rPr>
            </w:pPr>
            <w:r>
              <w:rPr>
                <w:rFonts w:hint="default"/>
                <w:color w:val="auto"/>
              </w:rPr>
              <w:t>人为增加的量≤10</w:t>
            </w:r>
          </w:p>
        </w:tc>
        <w:tc>
          <w:tcPr>
            <w:tcW w:w="1956" w:type="dxa"/>
            <w:vAlign w:val="center"/>
          </w:tcPr>
          <w:p w14:paraId="1E38937A">
            <w:pPr>
              <w:pStyle w:val="77"/>
              <w:keepNext w:val="0"/>
              <w:keepLines w:val="0"/>
              <w:suppressLineNumbers w:val="0"/>
              <w:spacing w:before="0" w:beforeAutospacing="0" w:after="0" w:afterAutospacing="0"/>
              <w:ind w:left="0" w:right="0"/>
              <w:rPr>
                <w:rFonts w:hint="default"/>
                <w:color w:val="auto"/>
              </w:rPr>
            </w:pPr>
            <w:r>
              <w:rPr>
                <w:rFonts w:hint="default"/>
                <w:color w:val="auto"/>
              </w:rPr>
              <w:t>人为增加的量≤100</w:t>
            </w:r>
          </w:p>
        </w:tc>
        <w:tc>
          <w:tcPr>
            <w:tcW w:w="1726" w:type="dxa"/>
            <w:vAlign w:val="center"/>
          </w:tcPr>
          <w:p w14:paraId="7B7E6FC1">
            <w:pPr>
              <w:pStyle w:val="77"/>
              <w:keepNext w:val="0"/>
              <w:keepLines w:val="0"/>
              <w:suppressLineNumbers w:val="0"/>
              <w:spacing w:before="0" w:beforeAutospacing="0" w:after="0" w:afterAutospacing="0"/>
              <w:ind w:left="0" w:right="0"/>
              <w:rPr>
                <w:rFonts w:hint="default"/>
                <w:color w:val="auto"/>
              </w:rPr>
            </w:pPr>
            <w:r>
              <w:rPr>
                <w:rFonts w:hint="default"/>
                <w:color w:val="auto"/>
              </w:rPr>
              <w:t>人为增加的量≤150</w:t>
            </w:r>
          </w:p>
        </w:tc>
      </w:tr>
      <w:tr w14:paraId="3AAB11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52CA4A34">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358D9C89">
            <w:pPr>
              <w:pStyle w:val="77"/>
              <w:keepNext w:val="0"/>
              <w:keepLines w:val="0"/>
              <w:suppressLineNumbers w:val="0"/>
              <w:spacing w:before="0" w:beforeAutospacing="0" w:after="0" w:afterAutospacing="0"/>
              <w:ind w:left="0" w:right="0"/>
              <w:rPr>
                <w:rFonts w:hint="default"/>
                <w:color w:val="auto"/>
              </w:rPr>
            </w:pPr>
            <w:r>
              <w:rPr>
                <w:rFonts w:hint="default"/>
                <w:color w:val="auto"/>
              </w:rPr>
              <w:t>溶解氧</w:t>
            </w:r>
          </w:p>
        </w:tc>
        <w:tc>
          <w:tcPr>
            <w:tcW w:w="1698" w:type="dxa"/>
            <w:vAlign w:val="center"/>
          </w:tcPr>
          <w:p w14:paraId="14BAFFF9">
            <w:pPr>
              <w:pStyle w:val="77"/>
              <w:keepNext w:val="0"/>
              <w:keepLines w:val="0"/>
              <w:suppressLineNumbers w:val="0"/>
              <w:spacing w:before="0" w:beforeAutospacing="0" w:after="0" w:afterAutospacing="0"/>
              <w:ind w:left="0" w:right="0"/>
              <w:rPr>
                <w:rFonts w:hint="default"/>
                <w:color w:val="auto"/>
              </w:rPr>
            </w:pPr>
            <w:r>
              <w:rPr>
                <w:rFonts w:hint="default"/>
                <w:color w:val="auto"/>
              </w:rPr>
              <w:t>6</w:t>
            </w:r>
          </w:p>
        </w:tc>
        <w:tc>
          <w:tcPr>
            <w:tcW w:w="1506" w:type="dxa"/>
            <w:vAlign w:val="center"/>
          </w:tcPr>
          <w:p w14:paraId="64FAC2E1">
            <w:pPr>
              <w:pStyle w:val="77"/>
              <w:keepNext w:val="0"/>
              <w:keepLines w:val="0"/>
              <w:suppressLineNumbers w:val="0"/>
              <w:spacing w:before="0" w:beforeAutospacing="0" w:after="0" w:afterAutospacing="0"/>
              <w:ind w:left="0" w:right="0"/>
              <w:rPr>
                <w:rFonts w:hint="default"/>
                <w:color w:val="auto"/>
              </w:rPr>
            </w:pPr>
            <w:r>
              <w:rPr>
                <w:rFonts w:hint="default"/>
                <w:color w:val="auto"/>
              </w:rPr>
              <w:t>5</w:t>
            </w:r>
          </w:p>
        </w:tc>
        <w:tc>
          <w:tcPr>
            <w:tcW w:w="1956" w:type="dxa"/>
            <w:vAlign w:val="center"/>
          </w:tcPr>
          <w:p w14:paraId="03132043">
            <w:pPr>
              <w:pStyle w:val="77"/>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1726" w:type="dxa"/>
            <w:vAlign w:val="center"/>
          </w:tcPr>
          <w:p w14:paraId="0FC95ABF">
            <w:pPr>
              <w:pStyle w:val="77"/>
              <w:keepNext w:val="0"/>
              <w:keepLines w:val="0"/>
              <w:suppressLineNumbers w:val="0"/>
              <w:spacing w:before="0" w:beforeAutospacing="0" w:after="0" w:afterAutospacing="0"/>
              <w:ind w:left="0" w:right="0"/>
              <w:rPr>
                <w:rFonts w:hint="default"/>
                <w:color w:val="auto"/>
              </w:rPr>
            </w:pPr>
            <w:r>
              <w:rPr>
                <w:rFonts w:hint="default"/>
                <w:color w:val="auto"/>
              </w:rPr>
              <w:t>3</w:t>
            </w:r>
          </w:p>
        </w:tc>
      </w:tr>
      <w:tr w14:paraId="6281BE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4FDAA475">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11E3F8AB">
            <w:pPr>
              <w:pStyle w:val="77"/>
              <w:keepNext w:val="0"/>
              <w:keepLines w:val="0"/>
              <w:suppressLineNumbers w:val="0"/>
              <w:spacing w:before="0" w:beforeAutospacing="0" w:after="0" w:afterAutospacing="0"/>
              <w:ind w:left="0" w:right="0"/>
              <w:rPr>
                <w:rFonts w:hint="default"/>
                <w:color w:val="auto"/>
              </w:rPr>
            </w:pPr>
            <w:r>
              <w:rPr>
                <w:rFonts w:hint="default"/>
                <w:color w:val="auto"/>
              </w:rPr>
              <w:t>化学需氧量</w:t>
            </w:r>
          </w:p>
        </w:tc>
        <w:tc>
          <w:tcPr>
            <w:tcW w:w="1698" w:type="dxa"/>
            <w:vAlign w:val="center"/>
          </w:tcPr>
          <w:p w14:paraId="71C77BA1">
            <w:pPr>
              <w:pStyle w:val="77"/>
              <w:keepNext w:val="0"/>
              <w:keepLines w:val="0"/>
              <w:suppressLineNumbers w:val="0"/>
              <w:spacing w:before="0" w:beforeAutospacing="0" w:after="0" w:afterAutospacing="0"/>
              <w:ind w:left="0" w:right="0"/>
              <w:rPr>
                <w:rFonts w:hint="default"/>
                <w:color w:val="auto"/>
              </w:rPr>
            </w:pPr>
            <w:r>
              <w:rPr>
                <w:rFonts w:hint="default"/>
                <w:color w:val="auto"/>
              </w:rPr>
              <w:t>2</w:t>
            </w:r>
          </w:p>
        </w:tc>
        <w:tc>
          <w:tcPr>
            <w:tcW w:w="1506" w:type="dxa"/>
            <w:vAlign w:val="center"/>
          </w:tcPr>
          <w:p w14:paraId="0CDEC295">
            <w:pPr>
              <w:pStyle w:val="77"/>
              <w:keepNext w:val="0"/>
              <w:keepLines w:val="0"/>
              <w:suppressLineNumbers w:val="0"/>
              <w:spacing w:before="0" w:beforeAutospacing="0" w:after="0" w:afterAutospacing="0"/>
              <w:ind w:left="0" w:right="0"/>
              <w:rPr>
                <w:rFonts w:hint="default"/>
                <w:color w:val="auto"/>
              </w:rPr>
            </w:pPr>
            <w:r>
              <w:rPr>
                <w:rFonts w:hint="default"/>
                <w:color w:val="auto"/>
              </w:rPr>
              <w:t>3</w:t>
            </w:r>
          </w:p>
        </w:tc>
        <w:tc>
          <w:tcPr>
            <w:tcW w:w="1956" w:type="dxa"/>
            <w:vAlign w:val="center"/>
          </w:tcPr>
          <w:p w14:paraId="58DB819A">
            <w:pPr>
              <w:pStyle w:val="77"/>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1726" w:type="dxa"/>
            <w:vAlign w:val="center"/>
          </w:tcPr>
          <w:p w14:paraId="7807E8FA">
            <w:pPr>
              <w:pStyle w:val="77"/>
              <w:keepNext w:val="0"/>
              <w:keepLines w:val="0"/>
              <w:suppressLineNumbers w:val="0"/>
              <w:spacing w:before="0" w:beforeAutospacing="0" w:after="0" w:afterAutospacing="0"/>
              <w:ind w:left="0" w:right="0"/>
              <w:rPr>
                <w:rFonts w:hint="default"/>
                <w:color w:val="auto"/>
              </w:rPr>
            </w:pPr>
            <w:r>
              <w:rPr>
                <w:rFonts w:hint="default"/>
                <w:color w:val="auto"/>
              </w:rPr>
              <w:t>5</w:t>
            </w:r>
          </w:p>
        </w:tc>
      </w:tr>
      <w:tr w14:paraId="2A3E65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2678DBB4">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05915B1E">
            <w:pPr>
              <w:pStyle w:val="77"/>
              <w:keepNext w:val="0"/>
              <w:keepLines w:val="0"/>
              <w:suppressLineNumbers w:val="0"/>
              <w:spacing w:before="0" w:beforeAutospacing="0" w:after="0" w:afterAutospacing="0"/>
              <w:ind w:left="0" w:right="0"/>
              <w:rPr>
                <w:rFonts w:hint="default"/>
                <w:color w:val="auto"/>
              </w:rPr>
            </w:pPr>
            <w:r>
              <w:rPr>
                <w:rFonts w:hint="default"/>
                <w:color w:val="auto"/>
              </w:rPr>
              <w:t>生化需氧量</w:t>
            </w:r>
          </w:p>
        </w:tc>
        <w:tc>
          <w:tcPr>
            <w:tcW w:w="1698" w:type="dxa"/>
            <w:vAlign w:val="center"/>
          </w:tcPr>
          <w:p w14:paraId="34612F64">
            <w:pPr>
              <w:pStyle w:val="77"/>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1506" w:type="dxa"/>
            <w:vAlign w:val="center"/>
          </w:tcPr>
          <w:p w14:paraId="0F63F097">
            <w:pPr>
              <w:pStyle w:val="77"/>
              <w:keepNext w:val="0"/>
              <w:keepLines w:val="0"/>
              <w:suppressLineNumbers w:val="0"/>
              <w:spacing w:before="0" w:beforeAutospacing="0" w:after="0" w:afterAutospacing="0"/>
              <w:ind w:left="0" w:right="0"/>
              <w:rPr>
                <w:rFonts w:hint="default"/>
                <w:color w:val="auto"/>
              </w:rPr>
            </w:pPr>
            <w:r>
              <w:rPr>
                <w:rFonts w:hint="default"/>
                <w:color w:val="auto"/>
              </w:rPr>
              <w:t>3</w:t>
            </w:r>
          </w:p>
        </w:tc>
        <w:tc>
          <w:tcPr>
            <w:tcW w:w="1956" w:type="dxa"/>
            <w:vAlign w:val="center"/>
          </w:tcPr>
          <w:p w14:paraId="08117B7E">
            <w:pPr>
              <w:pStyle w:val="77"/>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1726" w:type="dxa"/>
            <w:vAlign w:val="center"/>
          </w:tcPr>
          <w:p w14:paraId="21BB51D0">
            <w:pPr>
              <w:pStyle w:val="77"/>
              <w:keepNext w:val="0"/>
              <w:keepLines w:val="0"/>
              <w:suppressLineNumbers w:val="0"/>
              <w:spacing w:before="0" w:beforeAutospacing="0" w:after="0" w:afterAutospacing="0"/>
              <w:ind w:left="0" w:right="0"/>
              <w:rPr>
                <w:rFonts w:hint="default"/>
                <w:color w:val="auto"/>
              </w:rPr>
            </w:pPr>
            <w:r>
              <w:rPr>
                <w:rFonts w:hint="default"/>
                <w:color w:val="auto"/>
              </w:rPr>
              <w:t>5</w:t>
            </w:r>
          </w:p>
        </w:tc>
      </w:tr>
      <w:tr w14:paraId="5A5AE9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36C94156">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61DC458D">
            <w:pPr>
              <w:pStyle w:val="77"/>
              <w:keepNext w:val="0"/>
              <w:keepLines w:val="0"/>
              <w:suppressLineNumbers w:val="0"/>
              <w:spacing w:before="0" w:beforeAutospacing="0" w:after="0" w:afterAutospacing="0"/>
              <w:ind w:left="0" w:right="0"/>
              <w:rPr>
                <w:rFonts w:hint="default"/>
                <w:color w:val="auto"/>
              </w:rPr>
            </w:pPr>
            <w:r>
              <w:rPr>
                <w:rFonts w:hint="default"/>
                <w:color w:val="auto"/>
              </w:rPr>
              <w:t>无机氮（以N计）</w:t>
            </w:r>
          </w:p>
        </w:tc>
        <w:tc>
          <w:tcPr>
            <w:tcW w:w="1698" w:type="dxa"/>
            <w:vAlign w:val="center"/>
          </w:tcPr>
          <w:p w14:paraId="5A650CBC">
            <w:pPr>
              <w:pStyle w:val="77"/>
              <w:keepNext w:val="0"/>
              <w:keepLines w:val="0"/>
              <w:suppressLineNumbers w:val="0"/>
              <w:spacing w:before="0" w:beforeAutospacing="0" w:after="0" w:afterAutospacing="0"/>
              <w:ind w:left="0" w:right="0"/>
              <w:rPr>
                <w:rFonts w:hint="default"/>
                <w:color w:val="auto"/>
              </w:rPr>
            </w:pPr>
            <w:r>
              <w:rPr>
                <w:rFonts w:hint="default"/>
                <w:color w:val="auto"/>
              </w:rPr>
              <w:t>0.2</w:t>
            </w:r>
          </w:p>
        </w:tc>
        <w:tc>
          <w:tcPr>
            <w:tcW w:w="1506" w:type="dxa"/>
            <w:vAlign w:val="center"/>
          </w:tcPr>
          <w:p w14:paraId="71A67251">
            <w:pPr>
              <w:pStyle w:val="77"/>
              <w:keepNext w:val="0"/>
              <w:keepLines w:val="0"/>
              <w:suppressLineNumbers w:val="0"/>
              <w:spacing w:before="0" w:beforeAutospacing="0" w:after="0" w:afterAutospacing="0"/>
              <w:ind w:left="0" w:right="0"/>
              <w:rPr>
                <w:rFonts w:hint="default"/>
                <w:color w:val="auto"/>
              </w:rPr>
            </w:pPr>
            <w:r>
              <w:rPr>
                <w:rFonts w:hint="default"/>
                <w:color w:val="auto"/>
              </w:rPr>
              <w:t>0.3</w:t>
            </w:r>
          </w:p>
        </w:tc>
        <w:tc>
          <w:tcPr>
            <w:tcW w:w="1956" w:type="dxa"/>
            <w:vAlign w:val="center"/>
          </w:tcPr>
          <w:p w14:paraId="197C8E74">
            <w:pPr>
              <w:pStyle w:val="77"/>
              <w:keepNext w:val="0"/>
              <w:keepLines w:val="0"/>
              <w:suppressLineNumbers w:val="0"/>
              <w:spacing w:before="0" w:beforeAutospacing="0" w:after="0" w:afterAutospacing="0"/>
              <w:ind w:left="0" w:right="0"/>
              <w:rPr>
                <w:rFonts w:hint="default"/>
                <w:color w:val="auto"/>
              </w:rPr>
            </w:pPr>
            <w:r>
              <w:rPr>
                <w:rFonts w:hint="default"/>
                <w:color w:val="auto"/>
              </w:rPr>
              <w:t>0.4</w:t>
            </w:r>
          </w:p>
        </w:tc>
        <w:tc>
          <w:tcPr>
            <w:tcW w:w="1726" w:type="dxa"/>
            <w:vAlign w:val="center"/>
          </w:tcPr>
          <w:p w14:paraId="5A71C9E3">
            <w:pPr>
              <w:pStyle w:val="77"/>
              <w:keepNext w:val="0"/>
              <w:keepLines w:val="0"/>
              <w:suppressLineNumbers w:val="0"/>
              <w:spacing w:before="0" w:beforeAutospacing="0" w:after="0" w:afterAutospacing="0"/>
              <w:ind w:left="0" w:right="0"/>
              <w:rPr>
                <w:rFonts w:hint="default"/>
                <w:color w:val="auto"/>
              </w:rPr>
            </w:pPr>
            <w:r>
              <w:rPr>
                <w:rFonts w:hint="default"/>
                <w:color w:val="auto"/>
              </w:rPr>
              <w:t>0.5</w:t>
            </w:r>
          </w:p>
        </w:tc>
      </w:tr>
      <w:tr w14:paraId="176574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6CC90DC1">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7821979A">
            <w:pPr>
              <w:pStyle w:val="77"/>
              <w:keepNext w:val="0"/>
              <w:keepLines w:val="0"/>
              <w:suppressLineNumbers w:val="0"/>
              <w:spacing w:before="0" w:beforeAutospacing="0" w:after="0" w:afterAutospacing="0"/>
              <w:ind w:left="0" w:right="0"/>
              <w:rPr>
                <w:rFonts w:hint="default"/>
                <w:color w:val="auto"/>
              </w:rPr>
            </w:pPr>
            <w:r>
              <w:rPr>
                <w:rFonts w:hint="default"/>
                <w:color w:val="auto"/>
              </w:rPr>
              <w:t>非离子氨（以N计）</w:t>
            </w:r>
          </w:p>
        </w:tc>
        <w:tc>
          <w:tcPr>
            <w:tcW w:w="6886" w:type="dxa"/>
            <w:gridSpan w:val="4"/>
            <w:vAlign w:val="center"/>
          </w:tcPr>
          <w:p w14:paraId="3BC1DDC4">
            <w:pPr>
              <w:pStyle w:val="77"/>
              <w:keepNext w:val="0"/>
              <w:keepLines w:val="0"/>
              <w:suppressLineNumbers w:val="0"/>
              <w:spacing w:before="0" w:beforeAutospacing="0" w:after="0" w:afterAutospacing="0"/>
              <w:ind w:left="0" w:right="0"/>
              <w:rPr>
                <w:rFonts w:hint="default"/>
                <w:color w:val="auto"/>
              </w:rPr>
            </w:pPr>
            <w:r>
              <w:rPr>
                <w:rFonts w:hint="default"/>
                <w:color w:val="auto"/>
              </w:rPr>
              <w:t>0.02</w:t>
            </w:r>
          </w:p>
        </w:tc>
      </w:tr>
      <w:tr w14:paraId="37886F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2A3548F3">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593C5231">
            <w:pPr>
              <w:pStyle w:val="77"/>
              <w:keepNext w:val="0"/>
              <w:keepLines w:val="0"/>
              <w:suppressLineNumbers w:val="0"/>
              <w:spacing w:before="0" w:beforeAutospacing="0" w:after="0" w:afterAutospacing="0"/>
              <w:ind w:left="0" w:right="0"/>
              <w:rPr>
                <w:rFonts w:hint="default"/>
                <w:color w:val="auto"/>
              </w:rPr>
            </w:pPr>
            <w:r>
              <w:rPr>
                <w:rFonts w:hint="default"/>
                <w:color w:val="auto"/>
              </w:rPr>
              <w:t>活性磷酸盐（以P计）</w:t>
            </w:r>
          </w:p>
        </w:tc>
        <w:tc>
          <w:tcPr>
            <w:tcW w:w="1698" w:type="dxa"/>
            <w:vAlign w:val="center"/>
          </w:tcPr>
          <w:p w14:paraId="7A29F950">
            <w:pPr>
              <w:pStyle w:val="77"/>
              <w:keepNext w:val="0"/>
              <w:keepLines w:val="0"/>
              <w:suppressLineNumbers w:val="0"/>
              <w:spacing w:before="0" w:beforeAutospacing="0" w:after="0" w:afterAutospacing="0"/>
              <w:ind w:left="0" w:right="0"/>
              <w:rPr>
                <w:rFonts w:hint="default"/>
                <w:color w:val="auto"/>
              </w:rPr>
            </w:pPr>
            <w:r>
              <w:rPr>
                <w:rFonts w:hint="default"/>
                <w:color w:val="auto"/>
              </w:rPr>
              <w:t>0.015</w:t>
            </w:r>
          </w:p>
        </w:tc>
        <w:tc>
          <w:tcPr>
            <w:tcW w:w="3462" w:type="dxa"/>
            <w:gridSpan w:val="2"/>
            <w:vAlign w:val="center"/>
          </w:tcPr>
          <w:p w14:paraId="374E7843">
            <w:pPr>
              <w:pStyle w:val="77"/>
              <w:keepNext w:val="0"/>
              <w:keepLines w:val="0"/>
              <w:suppressLineNumbers w:val="0"/>
              <w:spacing w:before="0" w:beforeAutospacing="0" w:after="0" w:afterAutospacing="0"/>
              <w:ind w:left="0" w:right="0"/>
              <w:rPr>
                <w:rFonts w:hint="default"/>
                <w:color w:val="auto"/>
              </w:rPr>
            </w:pPr>
            <w:r>
              <w:rPr>
                <w:rFonts w:hint="default"/>
                <w:color w:val="auto"/>
              </w:rPr>
              <w:t>0.03</w:t>
            </w:r>
          </w:p>
        </w:tc>
        <w:tc>
          <w:tcPr>
            <w:tcW w:w="1726" w:type="dxa"/>
            <w:vAlign w:val="center"/>
          </w:tcPr>
          <w:p w14:paraId="5868621A">
            <w:pPr>
              <w:pStyle w:val="77"/>
              <w:keepNext w:val="0"/>
              <w:keepLines w:val="0"/>
              <w:suppressLineNumbers w:val="0"/>
              <w:spacing w:before="0" w:beforeAutospacing="0" w:after="0" w:afterAutospacing="0"/>
              <w:ind w:left="0" w:right="0"/>
              <w:rPr>
                <w:rFonts w:hint="default"/>
                <w:color w:val="auto"/>
              </w:rPr>
            </w:pPr>
            <w:r>
              <w:rPr>
                <w:rFonts w:hint="default"/>
                <w:color w:val="auto"/>
              </w:rPr>
              <w:t>0.045</w:t>
            </w:r>
          </w:p>
        </w:tc>
      </w:tr>
      <w:tr w14:paraId="44857D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0826110B">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376891F0">
            <w:pPr>
              <w:pStyle w:val="77"/>
              <w:keepNext w:val="0"/>
              <w:keepLines w:val="0"/>
              <w:suppressLineNumbers w:val="0"/>
              <w:spacing w:before="0" w:beforeAutospacing="0" w:after="0" w:afterAutospacing="0"/>
              <w:ind w:left="0" w:right="0"/>
              <w:rPr>
                <w:rFonts w:hint="default"/>
                <w:color w:val="auto"/>
              </w:rPr>
            </w:pPr>
            <w:r>
              <w:rPr>
                <w:rFonts w:hint="default"/>
                <w:color w:val="auto"/>
              </w:rPr>
              <w:t>石油类</w:t>
            </w:r>
          </w:p>
        </w:tc>
        <w:tc>
          <w:tcPr>
            <w:tcW w:w="3204" w:type="dxa"/>
            <w:gridSpan w:val="2"/>
            <w:vAlign w:val="center"/>
          </w:tcPr>
          <w:p w14:paraId="41B36DD8">
            <w:pPr>
              <w:pStyle w:val="77"/>
              <w:keepNext w:val="0"/>
              <w:keepLines w:val="0"/>
              <w:suppressLineNumbers w:val="0"/>
              <w:spacing w:before="0" w:beforeAutospacing="0" w:after="0" w:afterAutospacing="0"/>
              <w:ind w:left="0" w:right="0"/>
              <w:rPr>
                <w:rFonts w:hint="default"/>
                <w:color w:val="auto"/>
              </w:rPr>
            </w:pPr>
            <w:r>
              <w:rPr>
                <w:rFonts w:hint="default"/>
                <w:color w:val="auto"/>
              </w:rPr>
              <w:t>0.05</w:t>
            </w:r>
          </w:p>
        </w:tc>
        <w:tc>
          <w:tcPr>
            <w:tcW w:w="1956" w:type="dxa"/>
            <w:vAlign w:val="center"/>
          </w:tcPr>
          <w:p w14:paraId="1B89C027">
            <w:pPr>
              <w:pStyle w:val="77"/>
              <w:keepNext w:val="0"/>
              <w:keepLines w:val="0"/>
              <w:suppressLineNumbers w:val="0"/>
              <w:spacing w:before="0" w:beforeAutospacing="0" w:after="0" w:afterAutospacing="0"/>
              <w:ind w:left="0" w:right="0"/>
              <w:rPr>
                <w:rFonts w:hint="default"/>
                <w:color w:val="auto"/>
              </w:rPr>
            </w:pPr>
            <w:r>
              <w:rPr>
                <w:rFonts w:hint="default"/>
                <w:color w:val="auto"/>
              </w:rPr>
              <w:t>0.3</w:t>
            </w:r>
          </w:p>
        </w:tc>
        <w:tc>
          <w:tcPr>
            <w:tcW w:w="1726" w:type="dxa"/>
            <w:vAlign w:val="center"/>
          </w:tcPr>
          <w:p w14:paraId="0E9D52FD">
            <w:pPr>
              <w:pStyle w:val="77"/>
              <w:keepNext w:val="0"/>
              <w:keepLines w:val="0"/>
              <w:suppressLineNumbers w:val="0"/>
              <w:spacing w:before="0" w:beforeAutospacing="0" w:after="0" w:afterAutospacing="0"/>
              <w:ind w:left="0" w:right="0"/>
              <w:rPr>
                <w:rFonts w:hint="default"/>
                <w:color w:val="auto"/>
              </w:rPr>
            </w:pPr>
            <w:r>
              <w:rPr>
                <w:rFonts w:hint="default"/>
                <w:color w:val="auto"/>
              </w:rPr>
              <w:t>0.5</w:t>
            </w:r>
          </w:p>
        </w:tc>
      </w:tr>
      <w:tr w14:paraId="12AF7F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503D4BB5">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5A8E51B1">
            <w:pPr>
              <w:pStyle w:val="77"/>
              <w:keepNext w:val="0"/>
              <w:keepLines w:val="0"/>
              <w:suppressLineNumbers w:val="0"/>
              <w:spacing w:before="0" w:beforeAutospacing="0" w:after="0" w:afterAutospacing="0"/>
              <w:ind w:left="0" w:right="0"/>
              <w:rPr>
                <w:rFonts w:hint="default"/>
                <w:color w:val="auto"/>
              </w:rPr>
            </w:pPr>
            <w:r>
              <w:rPr>
                <w:rFonts w:hint="default"/>
                <w:color w:val="auto"/>
              </w:rPr>
              <w:t>汞</w:t>
            </w:r>
          </w:p>
        </w:tc>
        <w:tc>
          <w:tcPr>
            <w:tcW w:w="1698" w:type="dxa"/>
            <w:vAlign w:val="center"/>
          </w:tcPr>
          <w:p w14:paraId="20E0E592">
            <w:pPr>
              <w:pStyle w:val="77"/>
              <w:keepNext w:val="0"/>
              <w:keepLines w:val="0"/>
              <w:suppressLineNumbers w:val="0"/>
              <w:spacing w:before="0" w:beforeAutospacing="0" w:after="0" w:afterAutospacing="0"/>
              <w:ind w:left="0" w:right="0"/>
              <w:rPr>
                <w:rFonts w:hint="default"/>
                <w:color w:val="auto"/>
              </w:rPr>
            </w:pPr>
            <w:r>
              <w:rPr>
                <w:rFonts w:hint="default"/>
                <w:color w:val="auto"/>
              </w:rPr>
              <w:t>0.00005</w:t>
            </w:r>
          </w:p>
        </w:tc>
        <w:tc>
          <w:tcPr>
            <w:tcW w:w="3462" w:type="dxa"/>
            <w:gridSpan w:val="2"/>
            <w:vAlign w:val="center"/>
          </w:tcPr>
          <w:p w14:paraId="6ED3C596">
            <w:pPr>
              <w:pStyle w:val="77"/>
              <w:keepNext w:val="0"/>
              <w:keepLines w:val="0"/>
              <w:suppressLineNumbers w:val="0"/>
              <w:spacing w:before="0" w:beforeAutospacing="0" w:after="0" w:afterAutospacing="0"/>
              <w:ind w:left="0" w:right="0"/>
              <w:rPr>
                <w:rFonts w:hint="default"/>
                <w:color w:val="auto"/>
              </w:rPr>
            </w:pPr>
            <w:r>
              <w:rPr>
                <w:rFonts w:hint="default"/>
                <w:color w:val="auto"/>
              </w:rPr>
              <w:t>0.0002</w:t>
            </w:r>
          </w:p>
        </w:tc>
        <w:tc>
          <w:tcPr>
            <w:tcW w:w="1726" w:type="dxa"/>
            <w:vAlign w:val="center"/>
          </w:tcPr>
          <w:p w14:paraId="4D500A7F">
            <w:pPr>
              <w:pStyle w:val="77"/>
              <w:keepNext w:val="0"/>
              <w:keepLines w:val="0"/>
              <w:suppressLineNumbers w:val="0"/>
              <w:spacing w:before="0" w:beforeAutospacing="0" w:after="0" w:afterAutospacing="0"/>
              <w:ind w:left="0" w:right="0"/>
              <w:rPr>
                <w:rFonts w:hint="default"/>
                <w:color w:val="auto"/>
              </w:rPr>
            </w:pPr>
            <w:r>
              <w:rPr>
                <w:rFonts w:hint="default"/>
                <w:color w:val="auto"/>
              </w:rPr>
              <w:t>0.0005</w:t>
            </w:r>
          </w:p>
        </w:tc>
      </w:tr>
      <w:tr w14:paraId="020476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71BA6740">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1717ECBA">
            <w:pPr>
              <w:pStyle w:val="77"/>
              <w:keepNext w:val="0"/>
              <w:keepLines w:val="0"/>
              <w:suppressLineNumbers w:val="0"/>
              <w:spacing w:before="0" w:beforeAutospacing="0" w:after="0" w:afterAutospacing="0"/>
              <w:ind w:left="0" w:right="0"/>
              <w:rPr>
                <w:rFonts w:hint="default"/>
                <w:color w:val="auto"/>
              </w:rPr>
            </w:pPr>
            <w:r>
              <w:rPr>
                <w:rFonts w:hint="default"/>
                <w:color w:val="auto"/>
              </w:rPr>
              <w:t>铅</w:t>
            </w:r>
          </w:p>
        </w:tc>
        <w:tc>
          <w:tcPr>
            <w:tcW w:w="1698" w:type="dxa"/>
            <w:vAlign w:val="center"/>
          </w:tcPr>
          <w:p w14:paraId="0BE15365">
            <w:pPr>
              <w:pStyle w:val="77"/>
              <w:keepNext w:val="0"/>
              <w:keepLines w:val="0"/>
              <w:suppressLineNumbers w:val="0"/>
              <w:spacing w:before="0" w:beforeAutospacing="0" w:after="0" w:afterAutospacing="0"/>
              <w:ind w:left="0" w:right="0"/>
              <w:rPr>
                <w:rFonts w:hint="default"/>
                <w:color w:val="auto"/>
              </w:rPr>
            </w:pPr>
            <w:r>
              <w:rPr>
                <w:rFonts w:hint="default"/>
                <w:color w:val="auto"/>
              </w:rPr>
              <w:t>0.001</w:t>
            </w:r>
          </w:p>
        </w:tc>
        <w:tc>
          <w:tcPr>
            <w:tcW w:w="1506" w:type="dxa"/>
            <w:vAlign w:val="center"/>
          </w:tcPr>
          <w:p w14:paraId="5E490987">
            <w:pPr>
              <w:pStyle w:val="77"/>
              <w:keepNext w:val="0"/>
              <w:keepLines w:val="0"/>
              <w:suppressLineNumbers w:val="0"/>
              <w:spacing w:before="0" w:beforeAutospacing="0" w:after="0" w:afterAutospacing="0"/>
              <w:ind w:left="0" w:right="0"/>
              <w:rPr>
                <w:rFonts w:hint="default"/>
                <w:color w:val="auto"/>
              </w:rPr>
            </w:pPr>
            <w:r>
              <w:rPr>
                <w:rFonts w:hint="default"/>
                <w:color w:val="auto"/>
              </w:rPr>
              <w:t>0.005</w:t>
            </w:r>
          </w:p>
        </w:tc>
        <w:tc>
          <w:tcPr>
            <w:tcW w:w="1956" w:type="dxa"/>
            <w:vAlign w:val="center"/>
          </w:tcPr>
          <w:p w14:paraId="32FF76F5">
            <w:pPr>
              <w:pStyle w:val="77"/>
              <w:keepNext w:val="0"/>
              <w:keepLines w:val="0"/>
              <w:suppressLineNumbers w:val="0"/>
              <w:spacing w:before="0" w:beforeAutospacing="0" w:after="0" w:afterAutospacing="0"/>
              <w:ind w:left="0" w:right="0"/>
              <w:rPr>
                <w:rFonts w:hint="default"/>
                <w:color w:val="auto"/>
              </w:rPr>
            </w:pPr>
            <w:r>
              <w:rPr>
                <w:rFonts w:hint="default"/>
                <w:color w:val="auto"/>
              </w:rPr>
              <w:t>0.01</w:t>
            </w:r>
          </w:p>
        </w:tc>
        <w:tc>
          <w:tcPr>
            <w:tcW w:w="1726" w:type="dxa"/>
            <w:vAlign w:val="center"/>
          </w:tcPr>
          <w:p w14:paraId="0D835299">
            <w:pPr>
              <w:pStyle w:val="77"/>
              <w:keepNext w:val="0"/>
              <w:keepLines w:val="0"/>
              <w:suppressLineNumbers w:val="0"/>
              <w:spacing w:before="0" w:beforeAutospacing="0" w:after="0" w:afterAutospacing="0"/>
              <w:ind w:left="0" w:right="0"/>
              <w:rPr>
                <w:rFonts w:hint="default"/>
                <w:color w:val="auto"/>
              </w:rPr>
            </w:pPr>
            <w:r>
              <w:rPr>
                <w:rFonts w:hint="default"/>
                <w:color w:val="auto"/>
              </w:rPr>
              <w:t>0.05</w:t>
            </w:r>
          </w:p>
        </w:tc>
      </w:tr>
      <w:tr w14:paraId="6CD7E9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00521BB1">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68FD0960">
            <w:pPr>
              <w:pStyle w:val="77"/>
              <w:keepNext w:val="0"/>
              <w:keepLines w:val="0"/>
              <w:suppressLineNumbers w:val="0"/>
              <w:spacing w:before="0" w:beforeAutospacing="0" w:after="0" w:afterAutospacing="0"/>
              <w:ind w:left="0" w:right="0"/>
              <w:rPr>
                <w:rFonts w:hint="default"/>
                <w:color w:val="auto"/>
              </w:rPr>
            </w:pPr>
            <w:r>
              <w:rPr>
                <w:rFonts w:hint="default"/>
                <w:color w:val="auto"/>
              </w:rPr>
              <w:t>铜</w:t>
            </w:r>
          </w:p>
        </w:tc>
        <w:tc>
          <w:tcPr>
            <w:tcW w:w="1698" w:type="dxa"/>
            <w:vAlign w:val="center"/>
          </w:tcPr>
          <w:p w14:paraId="4E5DA1ED">
            <w:pPr>
              <w:pStyle w:val="77"/>
              <w:keepNext w:val="0"/>
              <w:keepLines w:val="0"/>
              <w:suppressLineNumbers w:val="0"/>
              <w:spacing w:before="0" w:beforeAutospacing="0" w:after="0" w:afterAutospacing="0"/>
              <w:ind w:left="0" w:right="0"/>
              <w:rPr>
                <w:rFonts w:hint="default"/>
                <w:color w:val="auto"/>
              </w:rPr>
            </w:pPr>
            <w:r>
              <w:rPr>
                <w:rFonts w:hint="default"/>
                <w:color w:val="auto"/>
              </w:rPr>
              <w:t>0.005</w:t>
            </w:r>
          </w:p>
        </w:tc>
        <w:tc>
          <w:tcPr>
            <w:tcW w:w="1506" w:type="dxa"/>
            <w:vAlign w:val="center"/>
          </w:tcPr>
          <w:p w14:paraId="7919ECEB">
            <w:pPr>
              <w:pStyle w:val="77"/>
              <w:keepNext w:val="0"/>
              <w:keepLines w:val="0"/>
              <w:suppressLineNumbers w:val="0"/>
              <w:spacing w:before="0" w:beforeAutospacing="0" w:after="0" w:afterAutospacing="0"/>
              <w:ind w:left="0" w:right="0"/>
              <w:rPr>
                <w:rFonts w:hint="default"/>
                <w:color w:val="auto"/>
              </w:rPr>
            </w:pPr>
            <w:r>
              <w:rPr>
                <w:rFonts w:hint="default"/>
                <w:color w:val="auto"/>
              </w:rPr>
              <w:t>0.010</w:t>
            </w:r>
          </w:p>
        </w:tc>
        <w:tc>
          <w:tcPr>
            <w:tcW w:w="3682" w:type="dxa"/>
            <w:gridSpan w:val="2"/>
            <w:vAlign w:val="center"/>
          </w:tcPr>
          <w:p w14:paraId="72A2DBD2">
            <w:pPr>
              <w:pStyle w:val="77"/>
              <w:keepNext w:val="0"/>
              <w:keepLines w:val="0"/>
              <w:suppressLineNumbers w:val="0"/>
              <w:spacing w:before="0" w:beforeAutospacing="0" w:after="0" w:afterAutospacing="0"/>
              <w:ind w:left="0" w:right="0"/>
              <w:rPr>
                <w:rFonts w:hint="default"/>
                <w:color w:val="auto"/>
              </w:rPr>
            </w:pPr>
            <w:r>
              <w:rPr>
                <w:rFonts w:hint="default"/>
                <w:color w:val="auto"/>
              </w:rPr>
              <w:t>0.05</w:t>
            </w:r>
          </w:p>
        </w:tc>
      </w:tr>
      <w:tr w14:paraId="31BFFF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321AF2C5">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4EE038EC">
            <w:pPr>
              <w:pStyle w:val="77"/>
              <w:keepNext w:val="0"/>
              <w:keepLines w:val="0"/>
              <w:suppressLineNumbers w:val="0"/>
              <w:spacing w:before="0" w:beforeAutospacing="0" w:after="0" w:afterAutospacing="0"/>
              <w:ind w:left="0" w:right="0"/>
              <w:rPr>
                <w:rFonts w:hint="default"/>
                <w:color w:val="auto"/>
              </w:rPr>
            </w:pPr>
            <w:r>
              <w:rPr>
                <w:rFonts w:hint="default"/>
                <w:color w:val="auto"/>
              </w:rPr>
              <w:t>砷</w:t>
            </w:r>
          </w:p>
        </w:tc>
        <w:tc>
          <w:tcPr>
            <w:tcW w:w="1698" w:type="dxa"/>
            <w:vAlign w:val="center"/>
          </w:tcPr>
          <w:p w14:paraId="0AF488E9">
            <w:pPr>
              <w:pStyle w:val="77"/>
              <w:keepNext w:val="0"/>
              <w:keepLines w:val="0"/>
              <w:suppressLineNumbers w:val="0"/>
              <w:spacing w:before="0" w:beforeAutospacing="0" w:after="0" w:afterAutospacing="0"/>
              <w:ind w:left="0" w:right="0"/>
              <w:rPr>
                <w:rFonts w:hint="default"/>
                <w:color w:val="auto"/>
              </w:rPr>
            </w:pPr>
            <w:r>
              <w:rPr>
                <w:rFonts w:hint="default"/>
                <w:color w:val="auto"/>
              </w:rPr>
              <w:t>0.02</w:t>
            </w:r>
          </w:p>
        </w:tc>
        <w:tc>
          <w:tcPr>
            <w:tcW w:w="1506" w:type="dxa"/>
            <w:vAlign w:val="center"/>
          </w:tcPr>
          <w:p w14:paraId="6234F795">
            <w:pPr>
              <w:pStyle w:val="77"/>
              <w:keepNext w:val="0"/>
              <w:keepLines w:val="0"/>
              <w:suppressLineNumbers w:val="0"/>
              <w:spacing w:before="0" w:beforeAutospacing="0" w:after="0" w:afterAutospacing="0"/>
              <w:ind w:left="0" w:right="0"/>
              <w:rPr>
                <w:rFonts w:hint="default"/>
                <w:color w:val="auto"/>
              </w:rPr>
            </w:pPr>
            <w:r>
              <w:rPr>
                <w:rFonts w:hint="default"/>
                <w:color w:val="auto"/>
              </w:rPr>
              <w:t>0.03</w:t>
            </w:r>
          </w:p>
        </w:tc>
        <w:tc>
          <w:tcPr>
            <w:tcW w:w="3682" w:type="dxa"/>
            <w:gridSpan w:val="2"/>
            <w:vAlign w:val="center"/>
          </w:tcPr>
          <w:p w14:paraId="250AFE06">
            <w:pPr>
              <w:pStyle w:val="77"/>
              <w:keepNext w:val="0"/>
              <w:keepLines w:val="0"/>
              <w:suppressLineNumbers w:val="0"/>
              <w:spacing w:before="0" w:beforeAutospacing="0" w:after="0" w:afterAutospacing="0"/>
              <w:ind w:left="0" w:right="0"/>
              <w:rPr>
                <w:rFonts w:hint="default"/>
                <w:color w:val="auto"/>
              </w:rPr>
            </w:pPr>
            <w:r>
              <w:rPr>
                <w:rFonts w:hint="default"/>
                <w:color w:val="auto"/>
              </w:rPr>
              <w:t>0.05</w:t>
            </w:r>
          </w:p>
        </w:tc>
      </w:tr>
      <w:tr w14:paraId="32AE85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2DB6CADF">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5891916C">
            <w:pPr>
              <w:pStyle w:val="77"/>
              <w:keepNext w:val="0"/>
              <w:keepLines w:val="0"/>
              <w:suppressLineNumbers w:val="0"/>
              <w:spacing w:before="0" w:beforeAutospacing="0" w:after="0" w:afterAutospacing="0"/>
              <w:ind w:left="0" w:right="0"/>
              <w:rPr>
                <w:rFonts w:hint="default"/>
                <w:color w:val="auto"/>
              </w:rPr>
            </w:pPr>
            <w:r>
              <w:rPr>
                <w:rFonts w:hint="default"/>
                <w:color w:val="auto"/>
              </w:rPr>
              <w:t>锌</w:t>
            </w:r>
          </w:p>
        </w:tc>
        <w:tc>
          <w:tcPr>
            <w:tcW w:w="1698" w:type="dxa"/>
            <w:vAlign w:val="center"/>
          </w:tcPr>
          <w:p w14:paraId="6384AFDA">
            <w:pPr>
              <w:pStyle w:val="77"/>
              <w:keepNext w:val="0"/>
              <w:keepLines w:val="0"/>
              <w:suppressLineNumbers w:val="0"/>
              <w:spacing w:before="0" w:beforeAutospacing="0" w:after="0" w:afterAutospacing="0"/>
              <w:ind w:left="0" w:right="0"/>
              <w:rPr>
                <w:rFonts w:hint="default"/>
                <w:color w:val="auto"/>
              </w:rPr>
            </w:pPr>
            <w:r>
              <w:rPr>
                <w:rFonts w:hint="default"/>
                <w:color w:val="auto"/>
              </w:rPr>
              <w:t>0.02</w:t>
            </w:r>
          </w:p>
        </w:tc>
        <w:tc>
          <w:tcPr>
            <w:tcW w:w="1506" w:type="dxa"/>
            <w:vAlign w:val="center"/>
          </w:tcPr>
          <w:p w14:paraId="745B334E">
            <w:pPr>
              <w:pStyle w:val="77"/>
              <w:keepNext w:val="0"/>
              <w:keepLines w:val="0"/>
              <w:suppressLineNumbers w:val="0"/>
              <w:spacing w:before="0" w:beforeAutospacing="0" w:after="0" w:afterAutospacing="0"/>
              <w:ind w:left="0" w:right="0"/>
              <w:rPr>
                <w:rFonts w:hint="default"/>
                <w:color w:val="auto"/>
              </w:rPr>
            </w:pPr>
            <w:r>
              <w:rPr>
                <w:rFonts w:hint="default"/>
                <w:color w:val="auto"/>
              </w:rPr>
              <w:t>0.05</w:t>
            </w:r>
          </w:p>
        </w:tc>
        <w:tc>
          <w:tcPr>
            <w:tcW w:w="1956" w:type="dxa"/>
            <w:vAlign w:val="center"/>
          </w:tcPr>
          <w:p w14:paraId="69CC33DD">
            <w:pPr>
              <w:pStyle w:val="77"/>
              <w:keepNext w:val="0"/>
              <w:keepLines w:val="0"/>
              <w:suppressLineNumbers w:val="0"/>
              <w:spacing w:before="0" w:beforeAutospacing="0" w:after="0" w:afterAutospacing="0"/>
              <w:ind w:left="0" w:right="0"/>
              <w:rPr>
                <w:rFonts w:hint="default"/>
                <w:color w:val="auto"/>
              </w:rPr>
            </w:pPr>
            <w:r>
              <w:rPr>
                <w:rFonts w:hint="default"/>
                <w:color w:val="auto"/>
              </w:rPr>
              <w:t>0.1</w:t>
            </w:r>
          </w:p>
        </w:tc>
        <w:tc>
          <w:tcPr>
            <w:tcW w:w="1726" w:type="dxa"/>
            <w:vAlign w:val="center"/>
          </w:tcPr>
          <w:p w14:paraId="59EEA14A">
            <w:pPr>
              <w:pStyle w:val="77"/>
              <w:keepNext w:val="0"/>
              <w:keepLines w:val="0"/>
              <w:suppressLineNumbers w:val="0"/>
              <w:spacing w:before="0" w:beforeAutospacing="0" w:after="0" w:afterAutospacing="0"/>
              <w:ind w:left="0" w:right="0"/>
              <w:rPr>
                <w:rFonts w:hint="default"/>
                <w:color w:val="auto"/>
              </w:rPr>
            </w:pPr>
            <w:r>
              <w:rPr>
                <w:rFonts w:hint="default"/>
                <w:color w:val="auto"/>
              </w:rPr>
              <w:t>0.5</w:t>
            </w:r>
          </w:p>
        </w:tc>
      </w:tr>
      <w:tr w14:paraId="37A77F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6C3D9B24">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127593B1">
            <w:pPr>
              <w:pStyle w:val="77"/>
              <w:keepNext w:val="0"/>
              <w:keepLines w:val="0"/>
              <w:suppressLineNumbers w:val="0"/>
              <w:spacing w:before="0" w:beforeAutospacing="0" w:after="0" w:afterAutospacing="0"/>
              <w:ind w:left="0" w:right="0"/>
              <w:rPr>
                <w:rFonts w:hint="default"/>
                <w:color w:val="auto"/>
              </w:rPr>
            </w:pPr>
            <w:r>
              <w:rPr>
                <w:rFonts w:hint="default"/>
                <w:color w:val="auto"/>
              </w:rPr>
              <w:t>镉</w:t>
            </w:r>
          </w:p>
        </w:tc>
        <w:tc>
          <w:tcPr>
            <w:tcW w:w="1698" w:type="dxa"/>
            <w:vAlign w:val="center"/>
          </w:tcPr>
          <w:p w14:paraId="43AF9816">
            <w:pPr>
              <w:pStyle w:val="77"/>
              <w:keepNext w:val="0"/>
              <w:keepLines w:val="0"/>
              <w:suppressLineNumbers w:val="0"/>
              <w:spacing w:before="0" w:beforeAutospacing="0" w:after="0" w:afterAutospacing="0"/>
              <w:ind w:left="0" w:right="0"/>
              <w:rPr>
                <w:rFonts w:hint="default"/>
                <w:color w:val="auto"/>
              </w:rPr>
            </w:pPr>
            <w:r>
              <w:rPr>
                <w:rFonts w:hint="default"/>
                <w:color w:val="auto"/>
              </w:rPr>
              <w:t>0.001</w:t>
            </w:r>
          </w:p>
        </w:tc>
        <w:tc>
          <w:tcPr>
            <w:tcW w:w="1506" w:type="dxa"/>
            <w:vAlign w:val="center"/>
          </w:tcPr>
          <w:p w14:paraId="426A52F7">
            <w:pPr>
              <w:pStyle w:val="77"/>
              <w:keepNext w:val="0"/>
              <w:keepLines w:val="0"/>
              <w:suppressLineNumbers w:val="0"/>
              <w:spacing w:before="0" w:beforeAutospacing="0" w:after="0" w:afterAutospacing="0"/>
              <w:ind w:left="0" w:right="0"/>
              <w:rPr>
                <w:rFonts w:hint="default"/>
                <w:color w:val="auto"/>
              </w:rPr>
            </w:pPr>
            <w:r>
              <w:rPr>
                <w:rFonts w:hint="default"/>
                <w:color w:val="auto"/>
              </w:rPr>
              <w:t>0.005</w:t>
            </w:r>
          </w:p>
        </w:tc>
        <w:tc>
          <w:tcPr>
            <w:tcW w:w="3682" w:type="dxa"/>
            <w:gridSpan w:val="2"/>
            <w:vAlign w:val="center"/>
          </w:tcPr>
          <w:p w14:paraId="03FDB8CF">
            <w:pPr>
              <w:pStyle w:val="77"/>
              <w:keepNext w:val="0"/>
              <w:keepLines w:val="0"/>
              <w:suppressLineNumbers w:val="0"/>
              <w:spacing w:before="0" w:beforeAutospacing="0" w:after="0" w:afterAutospacing="0"/>
              <w:ind w:left="0" w:right="0"/>
              <w:rPr>
                <w:rFonts w:hint="default"/>
                <w:color w:val="auto"/>
              </w:rPr>
            </w:pPr>
            <w:r>
              <w:rPr>
                <w:rFonts w:hint="default"/>
                <w:color w:val="auto"/>
              </w:rPr>
              <w:t>0.01</w:t>
            </w:r>
          </w:p>
        </w:tc>
      </w:tr>
      <w:tr w14:paraId="314216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2FE50B5C">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00F1A018">
            <w:pPr>
              <w:pStyle w:val="77"/>
              <w:keepNext w:val="0"/>
              <w:keepLines w:val="0"/>
              <w:suppressLineNumbers w:val="0"/>
              <w:spacing w:before="0" w:beforeAutospacing="0" w:after="0" w:afterAutospacing="0"/>
              <w:ind w:left="0" w:right="0"/>
              <w:rPr>
                <w:rFonts w:hint="default"/>
                <w:color w:val="auto"/>
              </w:rPr>
            </w:pPr>
            <w:r>
              <w:rPr>
                <w:rFonts w:hint="default"/>
                <w:color w:val="auto"/>
              </w:rPr>
              <w:t>总铬</w:t>
            </w:r>
          </w:p>
        </w:tc>
        <w:tc>
          <w:tcPr>
            <w:tcW w:w="1698" w:type="dxa"/>
            <w:vAlign w:val="center"/>
          </w:tcPr>
          <w:p w14:paraId="509759C3">
            <w:pPr>
              <w:pStyle w:val="77"/>
              <w:keepNext w:val="0"/>
              <w:keepLines w:val="0"/>
              <w:suppressLineNumbers w:val="0"/>
              <w:spacing w:before="0" w:beforeAutospacing="0" w:after="0" w:afterAutospacing="0"/>
              <w:ind w:left="0" w:right="0"/>
              <w:rPr>
                <w:rFonts w:hint="default"/>
                <w:color w:val="auto"/>
              </w:rPr>
            </w:pPr>
            <w:r>
              <w:rPr>
                <w:rFonts w:hint="default"/>
                <w:color w:val="auto"/>
              </w:rPr>
              <w:t>0.05</w:t>
            </w:r>
          </w:p>
        </w:tc>
        <w:tc>
          <w:tcPr>
            <w:tcW w:w="1506" w:type="dxa"/>
            <w:vAlign w:val="center"/>
          </w:tcPr>
          <w:p w14:paraId="595B6BA6">
            <w:pPr>
              <w:pStyle w:val="77"/>
              <w:keepNext w:val="0"/>
              <w:keepLines w:val="0"/>
              <w:suppressLineNumbers w:val="0"/>
              <w:spacing w:before="0" w:beforeAutospacing="0" w:after="0" w:afterAutospacing="0"/>
              <w:ind w:left="0" w:right="0"/>
              <w:rPr>
                <w:rFonts w:hint="default"/>
                <w:color w:val="auto"/>
              </w:rPr>
            </w:pPr>
            <w:r>
              <w:rPr>
                <w:rFonts w:hint="default"/>
                <w:color w:val="auto"/>
              </w:rPr>
              <w:t>0.1</w:t>
            </w:r>
          </w:p>
        </w:tc>
        <w:tc>
          <w:tcPr>
            <w:tcW w:w="1956" w:type="dxa"/>
            <w:vAlign w:val="center"/>
          </w:tcPr>
          <w:p w14:paraId="233DB47F">
            <w:pPr>
              <w:pStyle w:val="77"/>
              <w:keepNext w:val="0"/>
              <w:keepLines w:val="0"/>
              <w:suppressLineNumbers w:val="0"/>
              <w:spacing w:before="0" w:beforeAutospacing="0" w:after="0" w:afterAutospacing="0"/>
              <w:ind w:left="0" w:right="0"/>
              <w:rPr>
                <w:rFonts w:hint="default"/>
                <w:color w:val="auto"/>
              </w:rPr>
            </w:pPr>
            <w:r>
              <w:rPr>
                <w:rFonts w:hint="default"/>
                <w:color w:val="auto"/>
              </w:rPr>
              <w:t>0.2</w:t>
            </w:r>
          </w:p>
        </w:tc>
        <w:tc>
          <w:tcPr>
            <w:tcW w:w="1726" w:type="dxa"/>
            <w:vAlign w:val="center"/>
          </w:tcPr>
          <w:p w14:paraId="114222EA">
            <w:pPr>
              <w:pStyle w:val="77"/>
              <w:keepNext w:val="0"/>
              <w:keepLines w:val="0"/>
              <w:suppressLineNumbers w:val="0"/>
              <w:spacing w:before="0" w:beforeAutospacing="0" w:after="0" w:afterAutospacing="0"/>
              <w:ind w:left="0" w:right="0"/>
              <w:rPr>
                <w:rFonts w:hint="default"/>
                <w:color w:val="auto"/>
              </w:rPr>
            </w:pPr>
            <w:r>
              <w:rPr>
                <w:rFonts w:hint="default"/>
                <w:color w:val="auto"/>
              </w:rPr>
              <w:t>0.5</w:t>
            </w:r>
          </w:p>
        </w:tc>
      </w:tr>
      <w:tr w14:paraId="206671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c>
          <w:tcPr>
            <w:tcW w:w="455" w:type="dxa"/>
            <w:vAlign w:val="center"/>
          </w:tcPr>
          <w:p w14:paraId="4F537B55">
            <w:pPr>
              <w:pStyle w:val="77"/>
              <w:keepNext w:val="0"/>
              <w:keepLines w:val="0"/>
              <w:numPr>
                <w:ilvl w:val="0"/>
                <w:numId w:val="9"/>
              </w:numPr>
              <w:suppressLineNumbers w:val="0"/>
              <w:spacing w:before="0" w:beforeAutospacing="0" w:after="0" w:afterAutospacing="0"/>
              <w:ind w:right="0"/>
              <w:rPr>
                <w:rFonts w:hint="default"/>
                <w:color w:val="auto"/>
              </w:rPr>
            </w:pPr>
          </w:p>
        </w:tc>
        <w:tc>
          <w:tcPr>
            <w:tcW w:w="2117" w:type="dxa"/>
            <w:vAlign w:val="center"/>
          </w:tcPr>
          <w:p w14:paraId="50AF4A96">
            <w:pPr>
              <w:pStyle w:val="77"/>
              <w:keepNext w:val="0"/>
              <w:keepLines w:val="0"/>
              <w:suppressLineNumbers w:val="0"/>
              <w:spacing w:before="0" w:beforeAutospacing="0" w:after="0" w:afterAutospacing="0"/>
              <w:ind w:left="0" w:right="0"/>
              <w:rPr>
                <w:rFonts w:hint="default"/>
                <w:color w:val="auto"/>
              </w:rPr>
            </w:pPr>
            <w:r>
              <w:rPr>
                <w:rFonts w:hint="default"/>
                <w:color w:val="auto"/>
              </w:rPr>
              <w:t>硫化物</w:t>
            </w:r>
          </w:p>
        </w:tc>
        <w:tc>
          <w:tcPr>
            <w:tcW w:w="1698" w:type="dxa"/>
            <w:vAlign w:val="center"/>
          </w:tcPr>
          <w:p w14:paraId="6FCD4D1B">
            <w:pPr>
              <w:pStyle w:val="77"/>
              <w:keepNext w:val="0"/>
              <w:keepLines w:val="0"/>
              <w:suppressLineNumbers w:val="0"/>
              <w:spacing w:before="0" w:beforeAutospacing="0" w:after="0" w:afterAutospacing="0"/>
              <w:ind w:left="0" w:right="0"/>
              <w:rPr>
                <w:rFonts w:hint="default"/>
                <w:color w:val="auto"/>
              </w:rPr>
            </w:pPr>
            <w:r>
              <w:rPr>
                <w:rFonts w:hint="default"/>
                <w:color w:val="auto"/>
              </w:rPr>
              <w:t>0.02</w:t>
            </w:r>
          </w:p>
        </w:tc>
        <w:tc>
          <w:tcPr>
            <w:tcW w:w="1506" w:type="dxa"/>
            <w:vAlign w:val="center"/>
          </w:tcPr>
          <w:p w14:paraId="3214053D">
            <w:pPr>
              <w:pStyle w:val="77"/>
              <w:keepNext w:val="0"/>
              <w:keepLines w:val="0"/>
              <w:suppressLineNumbers w:val="0"/>
              <w:spacing w:before="0" w:beforeAutospacing="0" w:after="0" w:afterAutospacing="0"/>
              <w:ind w:left="0" w:right="0"/>
              <w:rPr>
                <w:rFonts w:hint="default"/>
                <w:color w:val="auto"/>
              </w:rPr>
            </w:pPr>
            <w:r>
              <w:rPr>
                <w:rFonts w:hint="default"/>
                <w:color w:val="auto"/>
              </w:rPr>
              <w:t>0.05</w:t>
            </w:r>
          </w:p>
        </w:tc>
        <w:tc>
          <w:tcPr>
            <w:tcW w:w="1956" w:type="dxa"/>
            <w:vAlign w:val="center"/>
          </w:tcPr>
          <w:p w14:paraId="4519B586">
            <w:pPr>
              <w:pStyle w:val="77"/>
              <w:keepNext w:val="0"/>
              <w:keepLines w:val="0"/>
              <w:suppressLineNumbers w:val="0"/>
              <w:spacing w:before="0" w:beforeAutospacing="0" w:after="0" w:afterAutospacing="0"/>
              <w:ind w:left="0" w:right="0"/>
              <w:rPr>
                <w:rFonts w:hint="default"/>
                <w:color w:val="auto"/>
              </w:rPr>
            </w:pPr>
            <w:r>
              <w:rPr>
                <w:rFonts w:hint="default"/>
                <w:color w:val="auto"/>
              </w:rPr>
              <w:t>0.1</w:t>
            </w:r>
          </w:p>
        </w:tc>
        <w:tc>
          <w:tcPr>
            <w:tcW w:w="1726" w:type="dxa"/>
            <w:vAlign w:val="center"/>
          </w:tcPr>
          <w:p w14:paraId="0655B0A5">
            <w:pPr>
              <w:pStyle w:val="77"/>
              <w:keepNext w:val="0"/>
              <w:keepLines w:val="0"/>
              <w:suppressLineNumbers w:val="0"/>
              <w:spacing w:before="0" w:beforeAutospacing="0" w:after="0" w:afterAutospacing="0"/>
              <w:ind w:left="0" w:right="0"/>
              <w:rPr>
                <w:rFonts w:hint="default"/>
                <w:color w:val="auto"/>
              </w:rPr>
            </w:pPr>
            <w:r>
              <w:rPr>
                <w:rFonts w:hint="default"/>
                <w:color w:val="auto"/>
              </w:rPr>
              <w:t>0.25</w:t>
            </w:r>
          </w:p>
        </w:tc>
      </w:tr>
    </w:tbl>
    <w:p w14:paraId="7F11443C">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5</w:t>
      </w:r>
      <w:r>
        <w:rPr>
          <w:color w:val="auto"/>
        </w:rPr>
        <w:fldChar w:fldCharType="end"/>
      </w:r>
      <w:r>
        <w:rPr>
          <w:color w:val="auto"/>
        </w:rPr>
        <w:t>海洋沉积物质量标准</w:t>
      </w:r>
    </w:p>
    <w:tbl>
      <w:tblPr>
        <w:tblStyle w:val="43"/>
        <w:tblW w:w="9351"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61"/>
        <w:gridCol w:w="1809"/>
        <w:gridCol w:w="2665"/>
        <w:gridCol w:w="1808"/>
        <w:gridCol w:w="1808"/>
      </w:tblGrid>
      <w:tr w14:paraId="221994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1" w:type="dxa"/>
            <w:vMerge w:val="restart"/>
            <w:vAlign w:val="center"/>
          </w:tcPr>
          <w:p w14:paraId="5473BBD0">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序号</w:t>
            </w:r>
          </w:p>
        </w:tc>
        <w:tc>
          <w:tcPr>
            <w:tcW w:w="1809" w:type="dxa"/>
            <w:vMerge w:val="restart"/>
            <w:vAlign w:val="center"/>
          </w:tcPr>
          <w:p w14:paraId="76F90AE1">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项目</w:t>
            </w:r>
          </w:p>
        </w:tc>
        <w:tc>
          <w:tcPr>
            <w:tcW w:w="6281" w:type="dxa"/>
            <w:gridSpan w:val="3"/>
            <w:vAlign w:val="center"/>
          </w:tcPr>
          <w:p w14:paraId="4B233E4B">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指标</w:t>
            </w:r>
          </w:p>
        </w:tc>
      </w:tr>
      <w:tr w14:paraId="42AC0C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1" w:type="dxa"/>
            <w:vMerge w:val="continue"/>
            <w:vAlign w:val="center"/>
          </w:tcPr>
          <w:p w14:paraId="4A53362F">
            <w:pPr>
              <w:pStyle w:val="77"/>
              <w:keepNext w:val="0"/>
              <w:keepLines w:val="0"/>
              <w:suppressLineNumbers w:val="0"/>
              <w:spacing w:before="0" w:beforeAutospacing="0" w:after="0" w:afterAutospacing="0"/>
              <w:ind w:left="0" w:right="0"/>
              <w:rPr>
                <w:rFonts w:hint="default"/>
                <w:b/>
                <w:bCs/>
                <w:color w:val="auto"/>
              </w:rPr>
            </w:pPr>
          </w:p>
        </w:tc>
        <w:tc>
          <w:tcPr>
            <w:tcW w:w="1809" w:type="dxa"/>
            <w:vMerge w:val="continue"/>
            <w:vAlign w:val="center"/>
          </w:tcPr>
          <w:p w14:paraId="75527E44">
            <w:pPr>
              <w:pStyle w:val="77"/>
              <w:keepNext w:val="0"/>
              <w:keepLines w:val="0"/>
              <w:suppressLineNumbers w:val="0"/>
              <w:spacing w:before="0" w:beforeAutospacing="0" w:after="0" w:afterAutospacing="0"/>
              <w:ind w:left="0" w:right="0"/>
              <w:rPr>
                <w:rFonts w:hint="default"/>
                <w:b/>
                <w:bCs/>
                <w:color w:val="auto"/>
              </w:rPr>
            </w:pPr>
          </w:p>
        </w:tc>
        <w:tc>
          <w:tcPr>
            <w:tcW w:w="2665" w:type="dxa"/>
            <w:vAlign w:val="center"/>
          </w:tcPr>
          <w:p w14:paraId="78C2E4B2">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第一类</w:t>
            </w:r>
          </w:p>
        </w:tc>
        <w:tc>
          <w:tcPr>
            <w:tcW w:w="1808" w:type="dxa"/>
            <w:vAlign w:val="center"/>
          </w:tcPr>
          <w:p w14:paraId="67CC7361">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第二类</w:t>
            </w:r>
          </w:p>
        </w:tc>
        <w:tc>
          <w:tcPr>
            <w:tcW w:w="1808" w:type="dxa"/>
            <w:vAlign w:val="center"/>
          </w:tcPr>
          <w:p w14:paraId="29732DAD">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第三类</w:t>
            </w:r>
          </w:p>
        </w:tc>
      </w:tr>
      <w:tr w14:paraId="1B4F39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1" w:type="dxa"/>
            <w:vAlign w:val="center"/>
          </w:tcPr>
          <w:p w14:paraId="5D713554">
            <w:pPr>
              <w:pStyle w:val="77"/>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1809" w:type="dxa"/>
            <w:vAlign w:val="center"/>
          </w:tcPr>
          <w:p w14:paraId="5B17B7B9">
            <w:pPr>
              <w:pStyle w:val="77"/>
              <w:keepNext w:val="0"/>
              <w:keepLines w:val="0"/>
              <w:suppressLineNumbers w:val="0"/>
              <w:spacing w:before="0" w:beforeAutospacing="0" w:after="0" w:afterAutospacing="0"/>
              <w:ind w:left="0" w:right="0"/>
              <w:rPr>
                <w:rFonts w:hint="default"/>
                <w:color w:val="auto"/>
              </w:rPr>
            </w:pPr>
            <w:r>
              <w:rPr>
                <w:rFonts w:hint="default"/>
                <w:color w:val="auto"/>
              </w:rPr>
              <w:t>汞（×10</w:t>
            </w:r>
            <w:r>
              <w:rPr>
                <w:rFonts w:hint="default"/>
                <w:color w:val="auto"/>
                <w:vertAlign w:val="superscript"/>
              </w:rPr>
              <w:t>-6</w:t>
            </w:r>
            <w:r>
              <w:rPr>
                <w:rFonts w:hint="default"/>
                <w:color w:val="auto"/>
              </w:rPr>
              <w:t>）</w:t>
            </w:r>
          </w:p>
        </w:tc>
        <w:tc>
          <w:tcPr>
            <w:tcW w:w="2665" w:type="dxa"/>
            <w:vAlign w:val="center"/>
          </w:tcPr>
          <w:p w14:paraId="37F016BD">
            <w:pPr>
              <w:pStyle w:val="77"/>
              <w:keepNext w:val="0"/>
              <w:keepLines w:val="0"/>
              <w:suppressLineNumbers w:val="0"/>
              <w:spacing w:before="0" w:beforeAutospacing="0" w:after="0" w:afterAutospacing="0"/>
              <w:ind w:left="0" w:right="0"/>
              <w:rPr>
                <w:rFonts w:hint="default"/>
                <w:color w:val="auto"/>
              </w:rPr>
            </w:pPr>
            <w:r>
              <w:rPr>
                <w:rFonts w:hint="default"/>
                <w:color w:val="auto"/>
              </w:rPr>
              <w:t>0.2</w:t>
            </w:r>
          </w:p>
        </w:tc>
        <w:tc>
          <w:tcPr>
            <w:tcW w:w="1808" w:type="dxa"/>
            <w:vAlign w:val="center"/>
          </w:tcPr>
          <w:p w14:paraId="10A52508">
            <w:pPr>
              <w:pStyle w:val="77"/>
              <w:keepNext w:val="0"/>
              <w:keepLines w:val="0"/>
              <w:suppressLineNumbers w:val="0"/>
              <w:spacing w:before="0" w:beforeAutospacing="0" w:after="0" w:afterAutospacing="0"/>
              <w:ind w:left="0" w:right="0"/>
              <w:rPr>
                <w:rFonts w:hint="default"/>
                <w:color w:val="auto"/>
              </w:rPr>
            </w:pPr>
            <w:r>
              <w:rPr>
                <w:rFonts w:hint="default"/>
                <w:color w:val="auto"/>
              </w:rPr>
              <w:t>0.5</w:t>
            </w:r>
          </w:p>
        </w:tc>
        <w:tc>
          <w:tcPr>
            <w:tcW w:w="1808" w:type="dxa"/>
            <w:vAlign w:val="center"/>
          </w:tcPr>
          <w:p w14:paraId="2A8A6B9D">
            <w:pPr>
              <w:pStyle w:val="77"/>
              <w:keepNext w:val="0"/>
              <w:keepLines w:val="0"/>
              <w:suppressLineNumbers w:val="0"/>
              <w:spacing w:before="0" w:beforeAutospacing="0" w:after="0" w:afterAutospacing="0"/>
              <w:ind w:left="0" w:right="0"/>
              <w:rPr>
                <w:rFonts w:hint="default"/>
                <w:color w:val="auto"/>
              </w:rPr>
            </w:pPr>
            <w:r>
              <w:rPr>
                <w:rFonts w:hint="default"/>
                <w:color w:val="auto"/>
              </w:rPr>
              <w:t>1</w:t>
            </w:r>
          </w:p>
        </w:tc>
      </w:tr>
      <w:tr w14:paraId="15C8F7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1" w:type="dxa"/>
            <w:vAlign w:val="center"/>
          </w:tcPr>
          <w:p w14:paraId="4958314C">
            <w:pPr>
              <w:pStyle w:val="77"/>
              <w:keepNext w:val="0"/>
              <w:keepLines w:val="0"/>
              <w:suppressLineNumbers w:val="0"/>
              <w:spacing w:before="0" w:beforeAutospacing="0" w:after="0" w:afterAutospacing="0"/>
              <w:ind w:left="0" w:right="0"/>
              <w:rPr>
                <w:rFonts w:hint="default"/>
                <w:color w:val="auto"/>
              </w:rPr>
            </w:pPr>
            <w:r>
              <w:rPr>
                <w:rFonts w:hint="default"/>
                <w:color w:val="auto"/>
              </w:rPr>
              <w:t>2</w:t>
            </w:r>
          </w:p>
        </w:tc>
        <w:tc>
          <w:tcPr>
            <w:tcW w:w="1809" w:type="dxa"/>
            <w:vAlign w:val="center"/>
          </w:tcPr>
          <w:p w14:paraId="57681743">
            <w:pPr>
              <w:pStyle w:val="77"/>
              <w:keepNext w:val="0"/>
              <w:keepLines w:val="0"/>
              <w:suppressLineNumbers w:val="0"/>
              <w:spacing w:before="0" w:beforeAutospacing="0" w:after="0" w:afterAutospacing="0"/>
              <w:ind w:left="0" w:right="0"/>
              <w:rPr>
                <w:rFonts w:hint="default"/>
                <w:color w:val="auto"/>
              </w:rPr>
            </w:pPr>
            <w:r>
              <w:rPr>
                <w:rFonts w:hint="default"/>
                <w:color w:val="auto"/>
              </w:rPr>
              <w:t>镉（×10</w:t>
            </w:r>
            <w:r>
              <w:rPr>
                <w:rFonts w:hint="default"/>
                <w:color w:val="auto"/>
                <w:vertAlign w:val="superscript"/>
              </w:rPr>
              <w:t>-6</w:t>
            </w:r>
            <w:r>
              <w:rPr>
                <w:rFonts w:hint="default"/>
                <w:color w:val="auto"/>
              </w:rPr>
              <w:t>）</w:t>
            </w:r>
          </w:p>
        </w:tc>
        <w:tc>
          <w:tcPr>
            <w:tcW w:w="2665" w:type="dxa"/>
            <w:vAlign w:val="center"/>
          </w:tcPr>
          <w:p w14:paraId="4F513955">
            <w:pPr>
              <w:pStyle w:val="77"/>
              <w:keepNext w:val="0"/>
              <w:keepLines w:val="0"/>
              <w:suppressLineNumbers w:val="0"/>
              <w:spacing w:before="0" w:beforeAutospacing="0" w:after="0" w:afterAutospacing="0"/>
              <w:ind w:left="0" w:right="0"/>
              <w:rPr>
                <w:rFonts w:hint="default"/>
                <w:color w:val="auto"/>
              </w:rPr>
            </w:pPr>
            <w:r>
              <w:rPr>
                <w:rFonts w:hint="default"/>
                <w:color w:val="auto"/>
              </w:rPr>
              <w:t>0.5</w:t>
            </w:r>
          </w:p>
        </w:tc>
        <w:tc>
          <w:tcPr>
            <w:tcW w:w="1808" w:type="dxa"/>
            <w:vAlign w:val="center"/>
          </w:tcPr>
          <w:p w14:paraId="7A116378">
            <w:pPr>
              <w:pStyle w:val="77"/>
              <w:keepNext w:val="0"/>
              <w:keepLines w:val="0"/>
              <w:suppressLineNumbers w:val="0"/>
              <w:spacing w:before="0" w:beforeAutospacing="0" w:after="0" w:afterAutospacing="0"/>
              <w:ind w:left="0" w:right="0"/>
              <w:rPr>
                <w:rFonts w:hint="default"/>
                <w:color w:val="auto"/>
              </w:rPr>
            </w:pPr>
            <w:r>
              <w:rPr>
                <w:rFonts w:hint="default"/>
                <w:color w:val="auto"/>
              </w:rPr>
              <w:t>1.5</w:t>
            </w:r>
          </w:p>
        </w:tc>
        <w:tc>
          <w:tcPr>
            <w:tcW w:w="1808" w:type="dxa"/>
            <w:vAlign w:val="center"/>
          </w:tcPr>
          <w:p w14:paraId="0821DA86">
            <w:pPr>
              <w:pStyle w:val="77"/>
              <w:keepNext w:val="0"/>
              <w:keepLines w:val="0"/>
              <w:suppressLineNumbers w:val="0"/>
              <w:spacing w:before="0" w:beforeAutospacing="0" w:after="0" w:afterAutospacing="0"/>
              <w:ind w:left="0" w:right="0"/>
              <w:rPr>
                <w:rFonts w:hint="default"/>
                <w:color w:val="auto"/>
              </w:rPr>
            </w:pPr>
            <w:r>
              <w:rPr>
                <w:rFonts w:hint="default"/>
                <w:color w:val="auto"/>
              </w:rPr>
              <w:t>5</w:t>
            </w:r>
          </w:p>
        </w:tc>
      </w:tr>
      <w:tr w14:paraId="0BE6D1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1" w:type="dxa"/>
            <w:vAlign w:val="center"/>
          </w:tcPr>
          <w:p w14:paraId="59D5A657">
            <w:pPr>
              <w:pStyle w:val="77"/>
              <w:keepNext w:val="0"/>
              <w:keepLines w:val="0"/>
              <w:suppressLineNumbers w:val="0"/>
              <w:spacing w:before="0" w:beforeAutospacing="0" w:after="0" w:afterAutospacing="0"/>
              <w:ind w:left="0" w:right="0"/>
              <w:rPr>
                <w:rFonts w:hint="default"/>
                <w:color w:val="auto"/>
              </w:rPr>
            </w:pPr>
            <w:r>
              <w:rPr>
                <w:rFonts w:hint="default"/>
                <w:color w:val="auto"/>
              </w:rPr>
              <w:t>3</w:t>
            </w:r>
          </w:p>
        </w:tc>
        <w:tc>
          <w:tcPr>
            <w:tcW w:w="1809" w:type="dxa"/>
            <w:vAlign w:val="center"/>
          </w:tcPr>
          <w:p w14:paraId="745B41C7">
            <w:pPr>
              <w:pStyle w:val="77"/>
              <w:keepNext w:val="0"/>
              <w:keepLines w:val="0"/>
              <w:suppressLineNumbers w:val="0"/>
              <w:spacing w:before="0" w:beforeAutospacing="0" w:after="0" w:afterAutospacing="0"/>
              <w:ind w:left="0" w:right="0"/>
              <w:rPr>
                <w:rFonts w:hint="default"/>
                <w:color w:val="auto"/>
              </w:rPr>
            </w:pPr>
            <w:r>
              <w:rPr>
                <w:rFonts w:hint="default"/>
                <w:color w:val="auto"/>
              </w:rPr>
              <w:t>铅（×10</w:t>
            </w:r>
            <w:r>
              <w:rPr>
                <w:rFonts w:hint="default"/>
                <w:color w:val="auto"/>
                <w:vertAlign w:val="superscript"/>
              </w:rPr>
              <w:t>-6</w:t>
            </w:r>
            <w:r>
              <w:rPr>
                <w:rFonts w:hint="default"/>
                <w:color w:val="auto"/>
              </w:rPr>
              <w:t>）</w:t>
            </w:r>
          </w:p>
        </w:tc>
        <w:tc>
          <w:tcPr>
            <w:tcW w:w="2665" w:type="dxa"/>
            <w:vAlign w:val="center"/>
          </w:tcPr>
          <w:p w14:paraId="6BF757E4">
            <w:pPr>
              <w:pStyle w:val="77"/>
              <w:keepNext w:val="0"/>
              <w:keepLines w:val="0"/>
              <w:suppressLineNumbers w:val="0"/>
              <w:spacing w:before="0" w:beforeAutospacing="0" w:after="0" w:afterAutospacing="0"/>
              <w:ind w:left="0" w:right="0"/>
              <w:rPr>
                <w:rFonts w:hint="default"/>
                <w:color w:val="auto"/>
              </w:rPr>
            </w:pPr>
            <w:r>
              <w:rPr>
                <w:rFonts w:hint="default"/>
                <w:color w:val="auto"/>
              </w:rPr>
              <w:t>60</w:t>
            </w:r>
          </w:p>
        </w:tc>
        <w:tc>
          <w:tcPr>
            <w:tcW w:w="1808" w:type="dxa"/>
            <w:vAlign w:val="center"/>
          </w:tcPr>
          <w:p w14:paraId="0AF3B58D">
            <w:pPr>
              <w:pStyle w:val="77"/>
              <w:keepNext w:val="0"/>
              <w:keepLines w:val="0"/>
              <w:suppressLineNumbers w:val="0"/>
              <w:spacing w:before="0" w:beforeAutospacing="0" w:after="0" w:afterAutospacing="0"/>
              <w:ind w:left="0" w:right="0"/>
              <w:rPr>
                <w:rFonts w:hint="default"/>
                <w:color w:val="auto"/>
              </w:rPr>
            </w:pPr>
            <w:r>
              <w:rPr>
                <w:rFonts w:hint="default"/>
                <w:color w:val="auto"/>
              </w:rPr>
              <w:t>130</w:t>
            </w:r>
          </w:p>
        </w:tc>
        <w:tc>
          <w:tcPr>
            <w:tcW w:w="1808" w:type="dxa"/>
            <w:vAlign w:val="center"/>
          </w:tcPr>
          <w:p w14:paraId="42888F1B">
            <w:pPr>
              <w:pStyle w:val="77"/>
              <w:keepNext w:val="0"/>
              <w:keepLines w:val="0"/>
              <w:suppressLineNumbers w:val="0"/>
              <w:spacing w:before="0" w:beforeAutospacing="0" w:after="0" w:afterAutospacing="0"/>
              <w:ind w:left="0" w:right="0"/>
              <w:rPr>
                <w:rFonts w:hint="default"/>
                <w:color w:val="auto"/>
              </w:rPr>
            </w:pPr>
            <w:r>
              <w:rPr>
                <w:rFonts w:hint="default"/>
                <w:color w:val="auto"/>
              </w:rPr>
              <w:t>250</w:t>
            </w:r>
          </w:p>
        </w:tc>
      </w:tr>
      <w:tr w14:paraId="1ABC8A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1" w:type="dxa"/>
            <w:vAlign w:val="center"/>
          </w:tcPr>
          <w:p w14:paraId="30EFD70A">
            <w:pPr>
              <w:pStyle w:val="77"/>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1809" w:type="dxa"/>
            <w:vAlign w:val="center"/>
          </w:tcPr>
          <w:p w14:paraId="7C196E40">
            <w:pPr>
              <w:pStyle w:val="77"/>
              <w:keepNext w:val="0"/>
              <w:keepLines w:val="0"/>
              <w:suppressLineNumbers w:val="0"/>
              <w:spacing w:before="0" w:beforeAutospacing="0" w:after="0" w:afterAutospacing="0"/>
              <w:ind w:left="0" w:right="0"/>
              <w:rPr>
                <w:rFonts w:hint="default"/>
                <w:color w:val="auto"/>
              </w:rPr>
            </w:pPr>
            <w:r>
              <w:rPr>
                <w:rFonts w:hint="default"/>
                <w:color w:val="auto"/>
              </w:rPr>
              <w:t>锌（×10</w:t>
            </w:r>
            <w:r>
              <w:rPr>
                <w:rFonts w:hint="default"/>
                <w:color w:val="auto"/>
                <w:vertAlign w:val="superscript"/>
              </w:rPr>
              <w:t>-6</w:t>
            </w:r>
            <w:r>
              <w:rPr>
                <w:rFonts w:hint="default"/>
                <w:color w:val="auto"/>
              </w:rPr>
              <w:t>）</w:t>
            </w:r>
          </w:p>
        </w:tc>
        <w:tc>
          <w:tcPr>
            <w:tcW w:w="2665" w:type="dxa"/>
            <w:vAlign w:val="center"/>
          </w:tcPr>
          <w:p w14:paraId="76A7825C">
            <w:pPr>
              <w:pStyle w:val="77"/>
              <w:keepNext w:val="0"/>
              <w:keepLines w:val="0"/>
              <w:suppressLineNumbers w:val="0"/>
              <w:spacing w:before="0" w:beforeAutospacing="0" w:after="0" w:afterAutospacing="0"/>
              <w:ind w:left="0" w:right="0"/>
              <w:rPr>
                <w:rFonts w:hint="default"/>
                <w:color w:val="auto"/>
              </w:rPr>
            </w:pPr>
            <w:r>
              <w:rPr>
                <w:rFonts w:hint="default"/>
                <w:color w:val="auto"/>
              </w:rPr>
              <w:t>150</w:t>
            </w:r>
          </w:p>
        </w:tc>
        <w:tc>
          <w:tcPr>
            <w:tcW w:w="1808" w:type="dxa"/>
            <w:vAlign w:val="center"/>
          </w:tcPr>
          <w:p w14:paraId="13410008">
            <w:pPr>
              <w:pStyle w:val="77"/>
              <w:keepNext w:val="0"/>
              <w:keepLines w:val="0"/>
              <w:suppressLineNumbers w:val="0"/>
              <w:spacing w:before="0" w:beforeAutospacing="0" w:after="0" w:afterAutospacing="0"/>
              <w:ind w:left="0" w:right="0"/>
              <w:rPr>
                <w:rFonts w:hint="default"/>
                <w:color w:val="auto"/>
              </w:rPr>
            </w:pPr>
            <w:r>
              <w:rPr>
                <w:rFonts w:hint="default"/>
                <w:color w:val="auto"/>
              </w:rPr>
              <w:t>350</w:t>
            </w:r>
          </w:p>
        </w:tc>
        <w:tc>
          <w:tcPr>
            <w:tcW w:w="1808" w:type="dxa"/>
            <w:vAlign w:val="center"/>
          </w:tcPr>
          <w:p w14:paraId="3FAAE914">
            <w:pPr>
              <w:pStyle w:val="77"/>
              <w:keepNext w:val="0"/>
              <w:keepLines w:val="0"/>
              <w:suppressLineNumbers w:val="0"/>
              <w:spacing w:before="0" w:beforeAutospacing="0" w:after="0" w:afterAutospacing="0"/>
              <w:ind w:left="0" w:right="0"/>
              <w:rPr>
                <w:rFonts w:hint="default"/>
                <w:color w:val="auto"/>
              </w:rPr>
            </w:pPr>
            <w:r>
              <w:rPr>
                <w:rFonts w:hint="default"/>
                <w:color w:val="auto"/>
              </w:rPr>
              <w:t>600</w:t>
            </w:r>
          </w:p>
        </w:tc>
      </w:tr>
      <w:tr w14:paraId="414762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1" w:type="dxa"/>
            <w:vAlign w:val="center"/>
          </w:tcPr>
          <w:p w14:paraId="4E1EADE2">
            <w:pPr>
              <w:pStyle w:val="77"/>
              <w:keepNext w:val="0"/>
              <w:keepLines w:val="0"/>
              <w:suppressLineNumbers w:val="0"/>
              <w:spacing w:before="0" w:beforeAutospacing="0" w:after="0" w:afterAutospacing="0"/>
              <w:ind w:left="0" w:right="0"/>
              <w:rPr>
                <w:rFonts w:hint="default"/>
                <w:color w:val="auto"/>
              </w:rPr>
            </w:pPr>
            <w:r>
              <w:rPr>
                <w:rFonts w:hint="default"/>
                <w:color w:val="auto"/>
              </w:rPr>
              <w:t>5</w:t>
            </w:r>
          </w:p>
        </w:tc>
        <w:tc>
          <w:tcPr>
            <w:tcW w:w="1809" w:type="dxa"/>
            <w:vAlign w:val="center"/>
          </w:tcPr>
          <w:p w14:paraId="0A0192D1">
            <w:pPr>
              <w:pStyle w:val="77"/>
              <w:keepNext w:val="0"/>
              <w:keepLines w:val="0"/>
              <w:suppressLineNumbers w:val="0"/>
              <w:spacing w:before="0" w:beforeAutospacing="0" w:after="0" w:afterAutospacing="0"/>
              <w:ind w:left="0" w:right="0"/>
              <w:rPr>
                <w:rFonts w:hint="default"/>
                <w:color w:val="auto"/>
              </w:rPr>
            </w:pPr>
            <w:r>
              <w:rPr>
                <w:rFonts w:hint="default"/>
                <w:color w:val="auto"/>
              </w:rPr>
              <w:t>铜（×10</w:t>
            </w:r>
            <w:r>
              <w:rPr>
                <w:rFonts w:hint="default"/>
                <w:color w:val="auto"/>
                <w:vertAlign w:val="superscript"/>
              </w:rPr>
              <w:t>-6</w:t>
            </w:r>
            <w:r>
              <w:rPr>
                <w:rFonts w:hint="default"/>
                <w:color w:val="auto"/>
              </w:rPr>
              <w:t>）</w:t>
            </w:r>
          </w:p>
        </w:tc>
        <w:tc>
          <w:tcPr>
            <w:tcW w:w="2665" w:type="dxa"/>
            <w:vAlign w:val="center"/>
          </w:tcPr>
          <w:p w14:paraId="796A1BFC">
            <w:pPr>
              <w:pStyle w:val="77"/>
              <w:keepNext w:val="0"/>
              <w:keepLines w:val="0"/>
              <w:suppressLineNumbers w:val="0"/>
              <w:spacing w:before="0" w:beforeAutospacing="0" w:after="0" w:afterAutospacing="0"/>
              <w:ind w:left="0" w:right="0"/>
              <w:rPr>
                <w:rFonts w:hint="default"/>
                <w:color w:val="auto"/>
              </w:rPr>
            </w:pPr>
            <w:r>
              <w:rPr>
                <w:rFonts w:hint="default"/>
                <w:color w:val="auto"/>
              </w:rPr>
              <w:t>35</w:t>
            </w:r>
          </w:p>
        </w:tc>
        <w:tc>
          <w:tcPr>
            <w:tcW w:w="1808" w:type="dxa"/>
            <w:vAlign w:val="center"/>
          </w:tcPr>
          <w:p w14:paraId="76C09E5C">
            <w:pPr>
              <w:pStyle w:val="77"/>
              <w:keepNext w:val="0"/>
              <w:keepLines w:val="0"/>
              <w:suppressLineNumbers w:val="0"/>
              <w:spacing w:before="0" w:beforeAutospacing="0" w:after="0" w:afterAutospacing="0"/>
              <w:ind w:left="0" w:right="0"/>
              <w:rPr>
                <w:rFonts w:hint="default"/>
                <w:color w:val="auto"/>
              </w:rPr>
            </w:pPr>
            <w:r>
              <w:rPr>
                <w:rFonts w:hint="default"/>
                <w:color w:val="auto"/>
              </w:rPr>
              <w:t>100</w:t>
            </w:r>
          </w:p>
        </w:tc>
        <w:tc>
          <w:tcPr>
            <w:tcW w:w="1808" w:type="dxa"/>
            <w:vAlign w:val="center"/>
          </w:tcPr>
          <w:p w14:paraId="56882D86">
            <w:pPr>
              <w:pStyle w:val="77"/>
              <w:keepNext w:val="0"/>
              <w:keepLines w:val="0"/>
              <w:suppressLineNumbers w:val="0"/>
              <w:spacing w:before="0" w:beforeAutospacing="0" w:after="0" w:afterAutospacing="0"/>
              <w:ind w:left="0" w:right="0"/>
              <w:rPr>
                <w:rFonts w:hint="default"/>
                <w:color w:val="auto"/>
              </w:rPr>
            </w:pPr>
            <w:r>
              <w:rPr>
                <w:rFonts w:hint="default"/>
                <w:color w:val="auto"/>
              </w:rPr>
              <w:t>200</w:t>
            </w:r>
          </w:p>
        </w:tc>
      </w:tr>
      <w:tr w14:paraId="2F2C4B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1" w:type="dxa"/>
            <w:vAlign w:val="center"/>
          </w:tcPr>
          <w:p w14:paraId="6A9A5C6E">
            <w:pPr>
              <w:pStyle w:val="77"/>
              <w:keepNext w:val="0"/>
              <w:keepLines w:val="0"/>
              <w:suppressLineNumbers w:val="0"/>
              <w:spacing w:before="0" w:beforeAutospacing="0" w:after="0" w:afterAutospacing="0"/>
              <w:ind w:left="0" w:right="0"/>
              <w:rPr>
                <w:rFonts w:hint="default"/>
                <w:color w:val="auto"/>
              </w:rPr>
            </w:pPr>
            <w:r>
              <w:rPr>
                <w:rFonts w:hint="default"/>
                <w:color w:val="auto"/>
              </w:rPr>
              <w:t>6</w:t>
            </w:r>
          </w:p>
        </w:tc>
        <w:tc>
          <w:tcPr>
            <w:tcW w:w="1809" w:type="dxa"/>
            <w:vAlign w:val="center"/>
          </w:tcPr>
          <w:p w14:paraId="3ED8CDF0">
            <w:pPr>
              <w:pStyle w:val="77"/>
              <w:keepNext w:val="0"/>
              <w:keepLines w:val="0"/>
              <w:suppressLineNumbers w:val="0"/>
              <w:spacing w:before="0" w:beforeAutospacing="0" w:after="0" w:afterAutospacing="0"/>
              <w:ind w:left="0" w:right="0"/>
              <w:rPr>
                <w:rFonts w:hint="default"/>
                <w:color w:val="auto"/>
              </w:rPr>
            </w:pPr>
            <w:r>
              <w:rPr>
                <w:rFonts w:hint="default"/>
                <w:color w:val="auto"/>
              </w:rPr>
              <w:t>铬（×10</w:t>
            </w:r>
            <w:r>
              <w:rPr>
                <w:rFonts w:hint="default"/>
                <w:color w:val="auto"/>
                <w:vertAlign w:val="superscript"/>
              </w:rPr>
              <w:t>-6</w:t>
            </w:r>
            <w:r>
              <w:rPr>
                <w:rFonts w:hint="default"/>
                <w:color w:val="auto"/>
              </w:rPr>
              <w:t>）</w:t>
            </w:r>
          </w:p>
        </w:tc>
        <w:tc>
          <w:tcPr>
            <w:tcW w:w="2665" w:type="dxa"/>
            <w:vAlign w:val="center"/>
          </w:tcPr>
          <w:p w14:paraId="1E615232">
            <w:pPr>
              <w:pStyle w:val="77"/>
              <w:keepNext w:val="0"/>
              <w:keepLines w:val="0"/>
              <w:suppressLineNumbers w:val="0"/>
              <w:spacing w:before="0" w:beforeAutospacing="0" w:after="0" w:afterAutospacing="0"/>
              <w:ind w:left="0" w:right="0"/>
              <w:rPr>
                <w:rFonts w:hint="default"/>
                <w:color w:val="auto"/>
              </w:rPr>
            </w:pPr>
            <w:r>
              <w:rPr>
                <w:rFonts w:hint="default"/>
                <w:color w:val="auto"/>
              </w:rPr>
              <w:t>80</w:t>
            </w:r>
          </w:p>
        </w:tc>
        <w:tc>
          <w:tcPr>
            <w:tcW w:w="1808" w:type="dxa"/>
            <w:vAlign w:val="center"/>
          </w:tcPr>
          <w:p w14:paraId="169B121F">
            <w:pPr>
              <w:pStyle w:val="77"/>
              <w:keepNext w:val="0"/>
              <w:keepLines w:val="0"/>
              <w:suppressLineNumbers w:val="0"/>
              <w:spacing w:before="0" w:beforeAutospacing="0" w:after="0" w:afterAutospacing="0"/>
              <w:ind w:left="0" w:right="0"/>
              <w:rPr>
                <w:rFonts w:hint="default"/>
                <w:color w:val="auto"/>
              </w:rPr>
            </w:pPr>
            <w:r>
              <w:rPr>
                <w:rFonts w:hint="default"/>
                <w:color w:val="auto"/>
              </w:rPr>
              <w:t>150</w:t>
            </w:r>
          </w:p>
        </w:tc>
        <w:tc>
          <w:tcPr>
            <w:tcW w:w="1808" w:type="dxa"/>
            <w:vAlign w:val="center"/>
          </w:tcPr>
          <w:p w14:paraId="5612ED74">
            <w:pPr>
              <w:pStyle w:val="77"/>
              <w:keepNext w:val="0"/>
              <w:keepLines w:val="0"/>
              <w:suppressLineNumbers w:val="0"/>
              <w:spacing w:before="0" w:beforeAutospacing="0" w:after="0" w:afterAutospacing="0"/>
              <w:ind w:left="0" w:right="0"/>
              <w:rPr>
                <w:rFonts w:hint="default"/>
                <w:color w:val="auto"/>
              </w:rPr>
            </w:pPr>
            <w:r>
              <w:rPr>
                <w:rFonts w:hint="default"/>
                <w:color w:val="auto"/>
              </w:rPr>
              <w:t>270</w:t>
            </w:r>
          </w:p>
        </w:tc>
      </w:tr>
      <w:tr w14:paraId="4EB6B1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1" w:type="dxa"/>
            <w:vAlign w:val="center"/>
          </w:tcPr>
          <w:p w14:paraId="516642A2">
            <w:pPr>
              <w:pStyle w:val="77"/>
              <w:keepNext w:val="0"/>
              <w:keepLines w:val="0"/>
              <w:suppressLineNumbers w:val="0"/>
              <w:spacing w:before="0" w:beforeAutospacing="0" w:after="0" w:afterAutospacing="0"/>
              <w:ind w:left="0" w:right="0"/>
              <w:rPr>
                <w:rFonts w:hint="default"/>
                <w:color w:val="auto"/>
              </w:rPr>
            </w:pPr>
            <w:r>
              <w:rPr>
                <w:rFonts w:hint="default"/>
                <w:color w:val="auto"/>
              </w:rPr>
              <w:t>7</w:t>
            </w:r>
          </w:p>
        </w:tc>
        <w:tc>
          <w:tcPr>
            <w:tcW w:w="1809" w:type="dxa"/>
            <w:vAlign w:val="center"/>
          </w:tcPr>
          <w:p w14:paraId="5B171E49">
            <w:pPr>
              <w:pStyle w:val="77"/>
              <w:keepNext w:val="0"/>
              <w:keepLines w:val="0"/>
              <w:suppressLineNumbers w:val="0"/>
              <w:spacing w:before="0" w:beforeAutospacing="0" w:after="0" w:afterAutospacing="0"/>
              <w:ind w:left="0" w:right="0"/>
              <w:rPr>
                <w:rFonts w:hint="default"/>
                <w:color w:val="auto"/>
              </w:rPr>
            </w:pPr>
            <w:r>
              <w:rPr>
                <w:rFonts w:hint="default"/>
                <w:color w:val="auto"/>
              </w:rPr>
              <w:t>砷（×10</w:t>
            </w:r>
            <w:r>
              <w:rPr>
                <w:rFonts w:hint="default"/>
                <w:color w:val="auto"/>
                <w:vertAlign w:val="superscript"/>
              </w:rPr>
              <w:t>-6</w:t>
            </w:r>
            <w:r>
              <w:rPr>
                <w:rFonts w:hint="default"/>
                <w:color w:val="auto"/>
              </w:rPr>
              <w:t>）</w:t>
            </w:r>
          </w:p>
        </w:tc>
        <w:tc>
          <w:tcPr>
            <w:tcW w:w="2665" w:type="dxa"/>
            <w:vAlign w:val="center"/>
          </w:tcPr>
          <w:p w14:paraId="20F1C3C4">
            <w:pPr>
              <w:pStyle w:val="77"/>
              <w:keepNext w:val="0"/>
              <w:keepLines w:val="0"/>
              <w:suppressLineNumbers w:val="0"/>
              <w:spacing w:before="0" w:beforeAutospacing="0" w:after="0" w:afterAutospacing="0"/>
              <w:ind w:left="0" w:right="0"/>
              <w:rPr>
                <w:rFonts w:hint="default"/>
                <w:color w:val="auto"/>
              </w:rPr>
            </w:pPr>
            <w:r>
              <w:rPr>
                <w:rFonts w:hint="default"/>
                <w:color w:val="auto"/>
              </w:rPr>
              <w:t>20</w:t>
            </w:r>
          </w:p>
        </w:tc>
        <w:tc>
          <w:tcPr>
            <w:tcW w:w="1808" w:type="dxa"/>
            <w:vAlign w:val="center"/>
          </w:tcPr>
          <w:p w14:paraId="75F00998">
            <w:pPr>
              <w:pStyle w:val="77"/>
              <w:keepNext w:val="0"/>
              <w:keepLines w:val="0"/>
              <w:suppressLineNumbers w:val="0"/>
              <w:spacing w:before="0" w:beforeAutospacing="0" w:after="0" w:afterAutospacing="0"/>
              <w:ind w:left="0" w:right="0"/>
              <w:rPr>
                <w:rFonts w:hint="default"/>
                <w:color w:val="auto"/>
              </w:rPr>
            </w:pPr>
            <w:r>
              <w:rPr>
                <w:rFonts w:hint="default"/>
                <w:color w:val="auto"/>
              </w:rPr>
              <w:t>65</w:t>
            </w:r>
          </w:p>
        </w:tc>
        <w:tc>
          <w:tcPr>
            <w:tcW w:w="1808" w:type="dxa"/>
            <w:vAlign w:val="center"/>
          </w:tcPr>
          <w:p w14:paraId="14AD12CB">
            <w:pPr>
              <w:pStyle w:val="77"/>
              <w:keepNext w:val="0"/>
              <w:keepLines w:val="0"/>
              <w:suppressLineNumbers w:val="0"/>
              <w:spacing w:before="0" w:beforeAutospacing="0" w:after="0" w:afterAutospacing="0"/>
              <w:ind w:left="0" w:right="0"/>
              <w:rPr>
                <w:rFonts w:hint="default"/>
                <w:color w:val="auto"/>
              </w:rPr>
            </w:pPr>
            <w:r>
              <w:rPr>
                <w:rFonts w:hint="default"/>
                <w:color w:val="auto"/>
              </w:rPr>
              <w:t>93</w:t>
            </w:r>
          </w:p>
        </w:tc>
      </w:tr>
      <w:tr w14:paraId="612BF0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1" w:type="dxa"/>
            <w:vAlign w:val="center"/>
          </w:tcPr>
          <w:p w14:paraId="51D43260">
            <w:pPr>
              <w:pStyle w:val="77"/>
              <w:keepNext w:val="0"/>
              <w:keepLines w:val="0"/>
              <w:suppressLineNumbers w:val="0"/>
              <w:spacing w:before="0" w:beforeAutospacing="0" w:after="0" w:afterAutospacing="0"/>
              <w:ind w:left="0" w:right="0"/>
              <w:rPr>
                <w:rFonts w:hint="default"/>
                <w:color w:val="auto"/>
              </w:rPr>
            </w:pPr>
            <w:r>
              <w:rPr>
                <w:rFonts w:hint="default"/>
                <w:color w:val="auto"/>
              </w:rPr>
              <w:t>8</w:t>
            </w:r>
          </w:p>
        </w:tc>
        <w:tc>
          <w:tcPr>
            <w:tcW w:w="1809" w:type="dxa"/>
            <w:vAlign w:val="center"/>
          </w:tcPr>
          <w:p w14:paraId="549D7AF2">
            <w:pPr>
              <w:pStyle w:val="77"/>
              <w:keepNext w:val="0"/>
              <w:keepLines w:val="0"/>
              <w:suppressLineNumbers w:val="0"/>
              <w:spacing w:before="0" w:beforeAutospacing="0" w:after="0" w:afterAutospacing="0"/>
              <w:ind w:left="0" w:right="0"/>
              <w:rPr>
                <w:rFonts w:hint="default"/>
                <w:color w:val="auto"/>
              </w:rPr>
            </w:pPr>
            <w:r>
              <w:rPr>
                <w:rFonts w:hint="default"/>
                <w:color w:val="auto"/>
              </w:rPr>
              <w:t>有机碳（×10</w:t>
            </w:r>
            <w:r>
              <w:rPr>
                <w:rFonts w:hint="default"/>
                <w:color w:val="auto"/>
                <w:vertAlign w:val="superscript"/>
              </w:rPr>
              <w:t>-2</w:t>
            </w:r>
            <w:r>
              <w:rPr>
                <w:rFonts w:hint="default"/>
                <w:color w:val="auto"/>
              </w:rPr>
              <w:t>）</w:t>
            </w:r>
          </w:p>
        </w:tc>
        <w:tc>
          <w:tcPr>
            <w:tcW w:w="2665" w:type="dxa"/>
            <w:vAlign w:val="center"/>
          </w:tcPr>
          <w:p w14:paraId="3882693C">
            <w:pPr>
              <w:pStyle w:val="77"/>
              <w:keepNext w:val="0"/>
              <w:keepLines w:val="0"/>
              <w:suppressLineNumbers w:val="0"/>
              <w:spacing w:before="0" w:beforeAutospacing="0" w:after="0" w:afterAutospacing="0"/>
              <w:ind w:left="0" w:right="0"/>
              <w:rPr>
                <w:rFonts w:hint="default"/>
                <w:color w:val="auto"/>
              </w:rPr>
            </w:pPr>
            <w:r>
              <w:rPr>
                <w:rFonts w:hint="default"/>
                <w:color w:val="auto"/>
              </w:rPr>
              <w:t>2</w:t>
            </w:r>
          </w:p>
        </w:tc>
        <w:tc>
          <w:tcPr>
            <w:tcW w:w="1808" w:type="dxa"/>
            <w:vAlign w:val="center"/>
          </w:tcPr>
          <w:p w14:paraId="7E0BFC08">
            <w:pPr>
              <w:pStyle w:val="77"/>
              <w:keepNext w:val="0"/>
              <w:keepLines w:val="0"/>
              <w:suppressLineNumbers w:val="0"/>
              <w:spacing w:before="0" w:beforeAutospacing="0" w:after="0" w:afterAutospacing="0"/>
              <w:ind w:left="0" w:right="0"/>
              <w:rPr>
                <w:rFonts w:hint="default"/>
                <w:color w:val="auto"/>
              </w:rPr>
            </w:pPr>
            <w:r>
              <w:rPr>
                <w:rFonts w:hint="default"/>
                <w:color w:val="auto"/>
              </w:rPr>
              <w:t>3</w:t>
            </w:r>
          </w:p>
        </w:tc>
        <w:tc>
          <w:tcPr>
            <w:tcW w:w="1808" w:type="dxa"/>
            <w:vAlign w:val="center"/>
          </w:tcPr>
          <w:p w14:paraId="2CD0CBEC">
            <w:pPr>
              <w:pStyle w:val="77"/>
              <w:keepNext w:val="0"/>
              <w:keepLines w:val="0"/>
              <w:suppressLineNumbers w:val="0"/>
              <w:spacing w:before="0" w:beforeAutospacing="0" w:after="0" w:afterAutospacing="0"/>
              <w:ind w:left="0" w:right="0"/>
              <w:rPr>
                <w:rFonts w:hint="default"/>
                <w:color w:val="auto"/>
              </w:rPr>
            </w:pPr>
            <w:r>
              <w:rPr>
                <w:rFonts w:hint="default"/>
                <w:color w:val="auto"/>
              </w:rPr>
              <w:t>4</w:t>
            </w:r>
          </w:p>
        </w:tc>
      </w:tr>
      <w:tr w14:paraId="18F7D1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1" w:type="dxa"/>
            <w:vAlign w:val="center"/>
          </w:tcPr>
          <w:p w14:paraId="6DC4C0E7">
            <w:pPr>
              <w:pStyle w:val="77"/>
              <w:keepNext w:val="0"/>
              <w:keepLines w:val="0"/>
              <w:suppressLineNumbers w:val="0"/>
              <w:spacing w:before="0" w:beforeAutospacing="0" w:after="0" w:afterAutospacing="0"/>
              <w:ind w:left="0" w:right="0"/>
              <w:rPr>
                <w:rFonts w:hint="default"/>
                <w:color w:val="auto"/>
              </w:rPr>
            </w:pPr>
            <w:r>
              <w:rPr>
                <w:rFonts w:hint="default"/>
                <w:color w:val="auto"/>
              </w:rPr>
              <w:t>9</w:t>
            </w:r>
          </w:p>
        </w:tc>
        <w:tc>
          <w:tcPr>
            <w:tcW w:w="1809" w:type="dxa"/>
            <w:vAlign w:val="center"/>
          </w:tcPr>
          <w:p w14:paraId="30293D9A">
            <w:pPr>
              <w:pStyle w:val="77"/>
              <w:keepNext w:val="0"/>
              <w:keepLines w:val="0"/>
              <w:suppressLineNumbers w:val="0"/>
              <w:spacing w:before="0" w:beforeAutospacing="0" w:after="0" w:afterAutospacing="0"/>
              <w:ind w:left="0" w:right="0"/>
              <w:rPr>
                <w:rFonts w:hint="default"/>
                <w:color w:val="auto"/>
              </w:rPr>
            </w:pPr>
            <w:r>
              <w:rPr>
                <w:rFonts w:hint="default"/>
                <w:color w:val="auto"/>
              </w:rPr>
              <w:t>硫化物（×10</w:t>
            </w:r>
            <w:r>
              <w:rPr>
                <w:rFonts w:hint="default"/>
                <w:color w:val="auto"/>
                <w:vertAlign w:val="superscript"/>
              </w:rPr>
              <w:t>-6</w:t>
            </w:r>
            <w:r>
              <w:rPr>
                <w:rFonts w:hint="default"/>
                <w:color w:val="auto"/>
              </w:rPr>
              <w:t>）</w:t>
            </w:r>
          </w:p>
        </w:tc>
        <w:tc>
          <w:tcPr>
            <w:tcW w:w="2665" w:type="dxa"/>
            <w:vAlign w:val="center"/>
          </w:tcPr>
          <w:p w14:paraId="392D1523">
            <w:pPr>
              <w:pStyle w:val="77"/>
              <w:keepNext w:val="0"/>
              <w:keepLines w:val="0"/>
              <w:suppressLineNumbers w:val="0"/>
              <w:spacing w:before="0" w:beforeAutospacing="0" w:after="0" w:afterAutospacing="0"/>
              <w:ind w:left="0" w:right="0"/>
              <w:rPr>
                <w:rFonts w:hint="default"/>
                <w:color w:val="auto"/>
              </w:rPr>
            </w:pPr>
            <w:r>
              <w:rPr>
                <w:rFonts w:hint="default"/>
                <w:color w:val="auto"/>
              </w:rPr>
              <w:t>300</w:t>
            </w:r>
          </w:p>
        </w:tc>
        <w:tc>
          <w:tcPr>
            <w:tcW w:w="1808" w:type="dxa"/>
            <w:vAlign w:val="center"/>
          </w:tcPr>
          <w:p w14:paraId="1190B18A">
            <w:pPr>
              <w:pStyle w:val="77"/>
              <w:keepNext w:val="0"/>
              <w:keepLines w:val="0"/>
              <w:suppressLineNumbers w:val="0"/>
              <w:spacing w:before="0" w:beforeAutospacing="0" w:after="0" w:afterAutospacing="0"/>
              <w:ind w:left="0" w:right="0"/>
              <w:rPr>
                <w:rFonts w:hint="default"/>
                <w:color w:val="auto"/>
              </w:rPr>
            </w:pPr>
            <w:r>
              <w:rPr>
                <w:rFonts w:hint="default"/>
                <w:color w:val="auto"/>
              </w:rPr>
              <w:t>500</w:t>
            </w:r>
          </w:p>
        </w:tc>
        <w:tc>
          <w:tcPr>
            <w:tcW w:w="1808" w:type="dxa"/>
            <w:vAlign w:val="center"/>
          </w:tcPr>
          <w:p w14:paraId="76F7BC18">
            <w:pPr>
              <w:pStyle w:val="77"/>
              <w:keepNext w:val="0"/>
              <w:keepLines w:val="0"/>
              <w:suppressLineNumbers w:val="0"/>
              <w:spacing w:before="0" w:beforeAutospacing="0" w:after="0" w:afterAutospacing="0"/>
              <w:ind w:left="0" w:right="0"/>
              <w:rPr>
                <w:rFonts w:hint="default"/>
                <w:color w:val="auto"/>
              </w:rPr>
            </w:pPr>
            <w:r>
              <w:rPr>
                <w:rFonts w:hint="default"/>
                <w:color w:val="auto"/>
              </w:rPr>
              <w:t>600</w:t>
            </w:r>
          </w:p>
        </w:tc>
      </w:tr>
      <w:tr w14:paraId="338E60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1" w:type="dxa"/>
            <w:vAlign w:val="center"/>
          </w:tcPr>
          <w:p w14:paraId="761C45D3">
            <w:pPr>
              <w:pStyle w:val="77"/>
              <w:keepNext w:val="0"/>
              <w:keepLines w:val="0"/>
              <w:suppressLineNumbers w:val="0"/>
              <w:spacing w:before="0" w:beforeAutospacing="0" w:after="0" w:afterAutospacing="0"/>
              <w:ind w:left="0" w:right="0"/>
              <w:rPr>
                <w:rFonts w:hint="default"/>
                <w:color w:val="auto"/>
              </w:rPr>
            </w:pPr>
            <w:r>
              <w:rPr>
                <w:rFonts w:hint="default"/>
                <w:color w:val="auto"/>
              </w:rPr>
              <w:t>10</w:t>
            </w:r>
          </w:p>
        </w:tc>
        <w:tc>
          <w:tcPr>
            <w:tcW w:w="1809" w:type="dxa"/>
            <w:vAlign w:val="center"/>
          </w:tcPr>
          <w:p w14:paraId="35AFA8E3">
            <w:pPr>
              <w:pStyle w:val="77"/>
              <w:keepNext w:val="0"/>
              <w:keepLines w:val="0"/>
              <w:suppressLineNumbers w:val="0"/>
              <w:spacing w:before="0" w:beforeAutospacing="0" w:after="0" w:afterAutospacing="0"/>
              <w:ind w:left="0" w:right="0"/>
              <w:rPr>
                <w:rFonts w:hint="default"/>
                <w:color w:val="auto"/>
              </w:rPr>
            </w:pPr>
            <w:r>
              <w:rPr>
                <w:rFonts w:hint="default"/>
                <w:color w:val="auto"/>
              </w:rPr>
              <w:t>石油类（×10</w:t>
            </w:r>
            <w:r>
              <w:rPr>
                <w:rFonts w:hint="default"/>
                <w:color w:val="auto"/>
                <w:vertAlign w:val="superscript"/>
              </w:rPr>
              <w:t>-6</w:t>
            </w:r>
            <w:r>
              <w:rPr>
                <w:rFonts w:hint="default"/>
                <w:color w:val="auto"/>
              </w:rPr>
              <w:t>）</w:t>
            </w:r>
          </w:p>
        </w:tc>
        <w:tc>
          <w:tcPr>
            <w:tcW w:w="2665" w:type="dxa"/>
            <w:vAlign w:val="center"/>
          </w:tcPr>
          <w:p w14:paraId="2EEEE269">
            <w:pPr>
              <w:pStyle w:val="77"/>
              <w:keepNext w:val="0"/>
              <w:keepLines w:val="0"/>
              <w:suppressLineNumbers w:val="0"/>
              <w:spacing w:before="0" w:beforeAutospacing="0" w:after="0" w:afterAutospacing="0"/>
              <w:ind w:left="0" w:right="0"/>
              <w:rPr>
                <w:rFonts w:hint="default"/>
                <w:color w:val="auto"/>
              </w:rPr>
            </w:pPr>
            <w:r>
              <w:rPr>
                <w:rFonts w:hint="default"/>
                <w:color w:val="auto"/>
              </w:rPr>
              <w:t>500</w:t>
            </w:r>
          </w:p>
        </w:tc>
        <w:tc>
          <w:tcPr>
            <w:tcW w:w="1808" w:type="dxa"/>
            <w:vAlign w:val="center"/>
          </w:tcPr>
          <w:p w14:paraId="1D7096BC">
            <w:pPr>
              <w:pStyle w:val="77"/>
              <w:keepNext w:val="0"/>
              <w:keepLines w:val="0"/>
              <w:suppressLineNumbers w:val="0"/>
              <w:spacing w:before="0" w:beforeAutospacing="0" w:after="0" w:afterAutospacing="0"/>
              <w:ind w:left="0" w:right="0"/>
              <w:rPr>
                <w:rFonts w:hint="default"/>
                <w:color w:val="auto"/>
              </w:rPr>
            </w:pPr>
            <w:r>
              <w:rPr>
                <w:rFonts w:hint="default"/>
                <w:color w:val="auto"/>
              </w:rPr>
              <w:t>1000</w:t>
            </w:r>
          </w:p>
        </w:tc>
        <w:tc>
          <w:tcPr>
            <w:tcW w:w="1808" w:type="dxa"/>
            <w:vAlign w:val="center"/>
          </w:tcPr>
          <w:p w14:paraId="035373CE">
            <w:pPr>
              <w:pStyle w:val="77"/>
              <w:keepNext w:val="0"/>
              <w:keepLines w:val="0"/>
              <w:suppressLineNumbers w:val="0"/>
              <w:spacing w:before="0" w:beforeAutospacing="0" w:after="0" w:afterAutospacing="0"/>
              <w:ind w:left="0" w:right="0"/>
              <w:rPr>
                <w:rFonts w:hint="default"/>
                <w:color w:val="auto"/>
              </w:rPr>
            </w:pPr>
            <w:r>
              <w:rPr>
                <w:rFonts w:hint="default"/>
                <w:color w:val="auto"/>
              </w:rPr>
              <w:t>1500</w:t>
            </w:r>
          </w:p>
        </w:tc>
      </w:tr>
    </w:tbl>
    <w:p w14:paraId="781BF730">
      <w:pPr>
        <w:pStyle w:val="6"/>
        <w:rPr>
          <w:color w:val="auto"/>
        </w:rPr>
      </w:pPr>
      <w:r>
        <w:rPr>
          <w:color w:val="auto"/>
        </w:rPr>
        <w:t>土壤环境</w:t>
      </w:r>
    </w:p>
    <w:p w14:paraId="63E6F315">
      <w:pPr>
        <w:ind w:firstLine="480"/>
        <w:rPr>
          <w:color w:val="auto"/>
        </w:rPr>
      </w:pPr>
      <w:r>
        <w:rPr>
          <w:color w:val="auto"/>
        </w:rPr>
        <w:t>项目周边为港口码头用地，</w:t>
      </w:r>
      <w:r>
        <w:rPr>
          <w:rFonts w:hint="eastAsia"/>
          <w:color w:val="auto"/>
        </w:rPr>
        <w:t>土壤执行《土壤环境质量建设用地土壤污染风险管控标准（试行）》（GB36600-2018）筛选值</w:t>
      </w:r>
      <w:r>
        <w:rPr>
          <w:color w:val="auto"/>
        </w:rPr>
        <w:t>标准</w:t>
      </w:r>
      <w:r>
        <w:rPr>
          <w:rFonts w:hint="eastAsia"/>
          <w:color w:val="auto"/>
        </w:rPr>
        <w:t>。</w:t>
      </w:r>
    </w:p>
    <w:p w14:paraId="2E085634">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6</w:t>
      </w:r>
      <w:r>
        <w:rPr>
          <w:color w:val="auto"/>
        </w:rPr>
        <w:fldChar w:fldCharType="end"/>
      </w:r>
      <w:r>
        <w:rPr>
          <w:rFonts w:hint="eastAsia"/>
          <w:color w:val="auto"/>
        </w:rPr>
        <w:t>《土壤环境质量建设用地土壤污染风险管控标准（试行）》（GB36600-2018）（摘录）</w:t>
      </w:r>
    </w:p>
    <w:tbl>
      <w:tblPr>
        <w:tblStyle w:val="4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4487"/>
        <w:gridCol w:w="4103"/>
      </w:tblGrid>
      <w:tr w14:paraId="4460C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10DFE01C">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序号</w:t>
            </w:r>
          </w:p>
        </w:tc>
        <w:tc>
          <w:tcPr>
            <w:tcW w:w="4487" w:type="dxa"/>
            <w:vAlign w:val="center"/>
          </w:tcPr>
          <w:p w14:paraId="77A55621">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污染物</w:t>
            </w:r>
            <w:r>
              <w:rPr>
                <w:rFonts w:hint="default"/>
                <w:b/>
                <w:color w:val="auto"/>
              </w:rPr>
              <w:t>项目</w:t>
            </w:r>
          </w:p>
        </w:tc>
        <w:tc>
          <w:tcPr>
            <w:tcW w:w="4103" w:type="dxa"/>
            <w:vAlign w:val="center"/>
          </w:tcPr>
          <w:p w14:paraId="1CE62687">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筛选值</w:t>
            </w:r>
            <w:r>
              <w:rPr>
                <w:rFonts w:hint="default"/>
                <w:b/>
                <w:color w:val="auto"/>
              </w:rPr>
              <w:t>（</w:t>
            </w:r>
            <w:r>
              <w:rPr>
                <w:rFonts w:hint="eastAsia"/>
                <w:b/>
                <w:color w:val="auto"/>
              </w:rPr>
              <w:t>第二类</w:t>
            </w:r>
            <w:r>
              <w:rPr>
                <w:rFonts w:hint="default"/>
                <w:b/>
                <w:color w:val="auto"/>
              </w:rPr>
              <w:t>用地）</w:t>
            </w:r>
            <w:r>
              <w:rPr>
                <w:rFonts w:hint="eastAsia"/>
                <w:b/>
                <w:color w:val="auto"/>
              </w:rPr>
              <w:t>/</w:t>
            </w:r>
            <w:r>
              <w:rPr>
                <w:rFonts w:hint="default"/>
                <w:b/>
                <w:color w:val="auto"/>
              </w:rPr>
              <w:t>mg/kg</w:t>
            </w:r>
          </w:p>
        </w:tc>
      </w:tr>
      <w:tr w14:paraId="6DE28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503DF431">
            <w:pPr>
              <w:pStyle w:val="91"/>
              <w:keepNext w:val="0"/>
              <w:keepLines w:val="0"/>
              <w:numPr>
                <w:ilvl w:val="0"/>
                <w:numId w:val="10"/>
              </w:numPr>
              <w:suppressLineNumbers w:val="0"/>
              <w:spacing w:before="0" w:beforeAutospacing="0" w:after="0" w:afterAutospacing="0"/>
              <w:ind w:right="0"/>
              <w:jc w:val="center"/>
              <w:rPr>
                <w:rFonts w:hint="default"/>
                <w:color w:val="auto"/>
              </w:rPr>
            </w:pPr>
          </w:p>
        </w:tc>
        <w:tc>
          <w:tcPr>
            <w:tcW w:w="4487" w:type="dxa"/>
          </w:tcPr>
          <w:p w14:paraId="73CDDE2E">
            <w:pPr>
              <w:pStyle w:val="91"/>
              <w:keepNext w:val="0"/>
              <w:keepLines w:val="0"/>
              <w:suppressLineNumbers w:val="0"/>
              <w:spacing w:before="0" w:beforeAutospacing="0" w:after="0" w:afterAutospacing="0"/>
              <w:ind w:left="0" w:right="0"/>
              <w:rPr>
                <w:rFonts w:hint="default"/>
                <w:color w:val="auto"/>
              </w:rPr>
            </w:pPr>
            <w:r>
              <w:rPr>
                <w:rFonts w:hint="eastAsia"/>
                <w:color w:val="auto"/>
              </w:rPr>
              <w:t>砷</w:t>
            </w:r>
          </w:p>
        </w:tc>
        <w:tc>
          <w:tcPr>
            <w:tcW w:w="4103" w:type="dxa"/>
          </w:tcPr>
          <w:p w14:paraId="3BD17782">
            <w:pPr>
              <w:pStyle w:val="91"/>
              <w:keepNext w:val="0"/>
              <w:keepLines w:val="0"/>
              <w:suppressLineNumbers w:val="0"/>
              <w:spacing w:before="0" w:beforeAutospacing="0" w:after="0" w:afterAutospacing="0"/>
              <w:ind w:left="0" w:right="0"/>
              <w:rPr>
                <w:rFonts w:hint="default"/>
                <w:color w:val="auto"/>
              </w:rPr>
            </w:pPr>
            <w:r>
              <w:rPr>
                <w:rFonts w:hint="eastAsia"/>
                <w:color w:val="auto"/>
              </w:rPr>
              <w:t>60</w:t>
            </w:r>
          </w:p>
        </w:tc>
      </w:tr>
      <w:tr w14:paraId="12808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26423EEC">
            <w:pPr>
              <w:pStyle w:val="91"/>
              <w:keepNext w:val="0"/>
              <w:keepLines w:val="0"/>
              <w:numPr>
                <w:ilvl w:val="0"/>
                <w:numId w:val="10"/>
              </w:numPr>
              <w:suppressLineNumbers w:val="0"/>
              <w:spacing w:before="0" w:beforeAutospacing="0" w:after="0" w:afterAutospacing="0"/>
              <w:ind w:right="0"/>
              <w:jc w:val="center"/>
              <w:rPr>
                <w:rFonts w:hint="default"/>
                <w:color w:val="auto"/>
              </w:rPr>
            </w:pPr>
          </w:p>
        </w:tc>
        <w:tc>
          <w:tcPr>
            <w:tcW w:w="4487" w:type="dxa"/>
          </w:tcPr>
          <w:p w14:paraId="56749DCE">
            <w:pPr>
              <w:pStyle w:val="91"/>
              <w:keepNext w:val="0"/>
              <w:keepLines w:val="0"/>
              <w:suppressLineNumbers w:val="0"/>
              <w:spacing w:before="0" w:beforeAutospacing="0" w:after="0" w:afterAutospacing="0"/>
              <w:ind w:left="0" w:right="0"/>
              <w:rPr>
                <w:rFonts w:hint="default"/>
                <w:color w:val="auto"/>
              </w:rPr>
            </w:pPr>
            <w:r>
              <w:rPr>
                <w:rFonts w:hint="eastAsia"/>
                <w:color w:val="auto"/>
              </w:rPr>
              <w:t>镉</w:t>
            </w:r>
          </w:p>
        </w:tc>
        <w:tc>
          <w:tcPr>
            <w:tcW w:w="4103" w:type="dxa"/>
          </w:tcPr>
          <w:p w14:paraId="52D6B8E8">
            <w:pPr>
              <w:pStyle w:val="91"/>
              <w:keepNext w:val="0"/>
              <w:keepLines w:val="0"/>
              <w:suppressLineNumbers w:val="0"/>
              <w:spacing w:before="0" w:beforeAutospacing="0" w:after="0" w:afterAutospacing="0"/>
              <w:ind w:left="0" w:right="0"/>
              <w:rPr>
                <w:rFonts w:hint="default"/>
                <w:color w:val="auto"/>
              </w:rPr>
            </w:pPr>
            <w:r>
              <w:rPr>
                <w:rFonts w:hint="eastAsia"/>
                <w:color w:val="auto"/>
              </w:rPr>
              <w:t>65</w:t>
            </w:r>
          </w:p>
        </w:tc>
      </w:tr>
      <w:tr w14:paraId="3E41B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6853F17F">
            <w:pPr>
              <w:pStyle w:val="91"/>
              <w:keepNext w:val="0"/>
              <w:keepLines w:val="0"/>
              <w:numPr>
                <w:ilvl w:val="0"/>
                <w:numId w:val="10"/>
              </w:numPr>
              <w:suppressLineNumbers w:val="0"/>
              <w:spacing w:before="0" w:beforeAutospacing="0" w:after="0" w:afterAutospacing="0"/>
              <w:ind w:right="0"/>
              <w:jc w:val="center"/>
              <w:rPr>
                <w:rFonts w:hint="default"/>
                <w:color w:val="auto"/>
              </w:rPr>
            </w:pPr>
          </w:p>
        </w:tc>
        <w:tc>
          <w:tcPr>
            <w:tcW w:w="4487" w:type="dxa"/>
          </w:tcPr>
          <w:p w14:paraId="77648441">
            <w:pPr>
              <w:pStyle w:val="91"/>
              <w:keepNext w:val="0"/>
              <w:keepLines w:val="0"/>
              <w:suppressLineNumbers w:val="0"/>
              <w:spacing w:before="0" w:beforeAutospacing="0" w:after="0" w:afterAutospacing="0"/>
              <w:ind w:left="0" w:right="0"/>
              <w:rPr>
                <w:rFonts w:hint="default"/>
                <w:color w:val="auto"/>
              </w:rPr>
            </w:pPr>
            <w:r>
              <w:rPr>
                <w:rFonts w:hint="eastAsia"/>
                <w:color w:val="auto"/>
              </w:rPr>
              <w:t>铬</w:t>
            </w:r>
            <w:r>
              <w:rPr>
                <w:rFonts w:hint="default"/>
                <w:color w:val="auto"/>
              </w:rPr>
              <w:t>（</w:t>
            </w:r>
            <w:r>
              <w:rPr>
                <w:rFonts w:hint="eastAsia"/>
                <w:color w:val="auto"/>
              </w:rPr>
              <w:t>六价</w:t>
            </w:r>
            <w:r>
              <w:rPr>
                <w:rFonts w:hint="default"/>
                <w:color w:val="auto"/>
              </w:rPr>
              <w:t>）</w:t>
            </w:r>
          </w:p>
        </w:tc>
        <w:tc>
          <w:tcPr>
            <w:tcW w:w="4103" w:type="dxa"/>
          </w:tcPr>
          <w:p w14:paraId="663299C3">
            <w:pPr>
              <w:pStyle w:val="91"/>
              <w:keepNext w:val="0"/>
              <w:keepLines w:val="0"/>
              <w:suppressLineNumbers w:val="0"/>
              <w:spacing w:before="0" w:beforeAutospacing="0" w:after="0" w:afterAutospacing="0"/>
              <w:ind w:left="0" w:right="0"/>
              <w:rPr>
                <w:rFonts w:hint="default"/>
                <w:color w:val="auto"/>
              </w:rPr>
            </w:pPr>
            <w:r>
              <w:rPr>
                <w:rFonts w:hint="eastAsia"/>
                <w:color w:val="auto"/>
              </w:rPr>
              <w:t>5.7</w:t>
            </w:r>
          </w:p>
        </w:tc>
      </w:tr>
      <w:tr w14:paraId="66F8B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7A936FCF">
            <w:pPr>
              <w:pStyle w:val="91"/>
              <w:keepNext w:val="0"/>
              <w:keepLines w:val="0"/>
              <w:numPr>
                <w:ilvl w:val="0"/>
                <w:numId w:val="10"/>
              </w:numPr>
              <w:suppressLineNumbers w:val="0"/>
              <w:spacing w:before="0" w:beforeAutospacing="0" w:after="0" w:afterAutospacing="0"/>
              <w:ind w:right="0"/>
              <w:jc w:val="center"/>
              <w:rPr>
                <w:rFonts w:hint="default"/>
                <w:color w:val="auto"/>
              </w:rPr>
            </w:pPr>
          </w:p>
        </w:tc>
        <w:tc>
          <w:tcPr>
            <w:tcW w:w="4487" w:type="dxa"/>
          </w:tcPr>
          <w:p w14:paraId="05353F61">
            <w:pPr>
              <w:pStyle w:val="91"/>
              <w:keepNext w:val="0"/>
              <w:keepLines w:val="0"/>
              <w:suppressLineNumbers w:val="0"/>
              <w:spacing w:before="0" w:beforeAutospacing="0" w:after="0" w:afterAutospacing="0"/>
              <w:ind w:left="0" w:right="0"/>
              <w:rPr>
                <w:rFonts w:hint="default"/>
                <w:color w:val="auto"/>
              </w:rPr>
            </w:pPr>
            <w:r>
              <w:rPr>
                <w:rFonts w:hint="eastAsia"/>
                <w:color w:val="auto"/>
              </w:rPr>
              <w:t>铜</w:t>
            </w:r>
          </w:p>
        </w:tc>
        <w:tc>
          <w:tcPr>
            <w:tcW w:w="4103" w:type="dxa"/>
          </w:tcPr>
          <w:p w14:paraId="66CD245C">
            <w:pPr>
              <w:pStyle w:val="91"/>
              <w:keepNext w:val="0"/>
              <w:keepLines w:val="0"/>
              <w:suppressLineNumbers w:val="0"/>
              <w:spacing w:before="0" w:beforeAutospacing="0" w:after="0" w:afterAutospacing="0"/>
              <w:ind w:left="0" w:right="0"/>
              <w:rPr>
                <w:rFonts w:hint="default"/>
                <w:color w:val="auto"/>
              </w:rPr>
            </w:pPr>
            <w:r>
              <w:rPr>
                <w:rFonts w:hint="eastAsia"/>
                <w:color w:val="auto"/>
              </w:rPr>
              <w:t>18000</w:t>
            </w:r>
          </w:p>
        </w:tc>
      </w:tr>
      <w:tr w14:paraId="3AB8A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6EE333C7">
            <w:pPr>
              <w:pStyle w:val="91"/>
              <w:keepNext w:val="0"/>
              <w:keepLines w:val="0"/>
              <w:numPr>
                <w:ilvl w:val="0"/>
                <w:numId w:val="10"/>
              </w:numPr>
              <w:suppressLineNumbers w:val="0"/>
              <w:spacing w:before="0" w:beforeAutospacing="0" w:after="0" w:afterAutospacing="0"/>
              <w:ind w:right="0"/>
              <w:jc w:val="center"/>
              <w:rPr>
                <w:rFonts w:hint="default"/>
                <w:color w:val="auto"/>
              </w:rPr>
            </w:pPr>
          </w:p>
        </w:tc>
        <w:tc>
          <w:tcPr>
            <w:tcW w:w="4487" w:type="dxa"/>
          </w:tcPr>
          <w:p w14:paraId="1D463EC0">
            <w:pPr>
              <w:pStyle w:val="91"/>
              <w:keepNext w:val="0"/>
              <w:keepLines w:val="0"/>
              <w:suppressLineNumbers w:val="0"/>
              <w:spacing w:before="0" w:beforeAutospacing="0" w:after="0" w:afterAutospacing="0"/>
              <w:ind w:left="0" w:right="0"/>
              <w:rPr>
                <w:rFonts w:hint="default"/>
                <w:color w:val="auto"/>
              </w:rPr>
            </w:pPr>
            <w:r>
              <w:rPr>
                <w:rFonts w:hint="eastAsia"/>
                <w:color w:val="auto"/>
              </w:rPr>
              <w:t>铅</w:t>
            </w:r>
          </w:p>
        </w:tc>
        <w:tc>
          <w:tcPr>
            <w:tcW w:w="4103" w:type="dxa"/>
          </w:tcPr>
          <w:p w14:paraId="2AE1FD21">
            <w:pPr>
              <w:pStyle w:val="91"/>
              <w:keepNext w:val="0"/>
              <w:keepLines w:val="0"/>
              <w:suppressLineNumbers w:val="0"/>
              <w:spacing w:before="0" w:beforeAutospacing="0" w:after="0" w:afterAutospacing="0"/>
              <w:ind w:left="0" w:right="0"/>
              <w:rPr>
                <w:rFonts w:hint="default"/>
                <w:color w:val="auto"/>
              </w:rPr>
            </w:pPr>
            <w:r>
              <w:rPr>
                <w:rFonts w:hint="eastAsia"/>
                <w:color w:val="auto"/>
              </w:rPr>
              <w:t>800</w:t>
            </w:r>
          </w:p>
        </w:tc>
      </w:tr>
      <w:tr w14:paraId="50408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59462E79">
            <w:pPr>
              <w:pStyle w:val="91"/>
              <w:keepNext w:val="0"/>
              <w:keepLines w:val="0"/>
              <w:numPr>
                <w:ilvl w:val="0"/>
                <w:numId w:val="10"/>
              </w:numPr>
              <w:suppressLineNumbers w:val="0"/>
              <w:spacing w:before="0" w:beforeAutospacing="0" w:after="0" w:afterAutospacing="0"/>
              <w:ind w:right="0"/>
              <w:jc w:val="center"/>
              <w:rPr>
                <w:rFonts w:hint="default"/>
                <w:color w:val="auto"/>
              </w:rPr>
            </w:pPr>
          </w:p>
        </w:tc>
        <w:tc>
          <w:tcPr>
            <w:tcW w:w="4487" w:type="dxa"/>
          </w:tcPr>
          <w:p w14:paraId="7471C20D">
            <w:pPr>
              <w:pStyle w:val="91"/>
              <w:keepNext w:val="0"/>
              <w:keepLines w:val="0"/>
              <w:suppressLineNumbers w:val="0"/>
              <w:spacing w:before="0" w:beforeAutospacing="0" w:after="0" w:afterAutospacing="0"/>
              <w:ind w:left="0" w:right="0"/>
              <w:rPr>
                <w:rFonts w:hint="default"/>
                <w:color w:val="auto"/>
              </w:rPr>
            </w:pPr>
            <w:r>
              <w:rPr>
                <w:rFonts w:hint="eastAsia"/>
                <w:color w:val="auto"/>
              </w:rPr>
              <w:t>汞</w:t>
            </w:r>
          </w:p>
        </w:tc>
        <w:tc>
          <w:tcPr>
            <w:tcW w:w="4103" w:type="dxa"/>
          </w:tcPr>
          <w:p w14:paraId="4B2E74B8">
            <w:pPr>
              <w:pStyle w:val="91"/>
              <w:keepNext w:val="0"/>
              <w:keepLines w:val="0"/>
              <w:suppressLineNumbers w:val="0"/>
              <w:spacing w:before="0" w:beforeAutospacing="0" w:after="0" w:afterAutospacing="0"/>
              <w:ind w:left="0" w:right="0"/>
              <w:rPr>
                <w:rFonts w:hint="default"/>
                <w:color w:val="auto"/>
              </w:rPr>
            </w:pPr>
            <w:r>
              <w:rPr>
                <w:rFonts w:hint="eastAsia"/>
                <w:color w:val="auto"/>
              </w:rPr>
              <w:t>38</w:t>
            </w:r>
          </w:p>
        </w:tc>
      </w:tr>
      <w:tr w14:paraId="3596D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5623F074">
            <w:pPr>
              <w:pStyle w:val="91"/>
              <w:keepNext w:val="0"/>
              <w:keepLines w:val="0"/>
              <w:numPr>
                <w:ilvl w:val="0"/>
                <w:numId w:val="10"/>
              </w:numPr>
              <w:suppressLineNumbers w:val="0"/>
              <w:spacing w:before="0" w:beforeAutospacing="0" w:after="0" w:afterAutospacing="0"/>
              <w:ind w:right="0"/>
              <w:jc w:val="center"/>
              <w:rPr>
                <w:rFonts w:hint="default"/>
                <w:color w:val="auto"/>
              </w:rPr>
            </w:pPr>
          </w:p>
        </w:tc>
        <w:tc>
          <w:tcPr>
            <w:tcW w:w="4487" w:type="dxa"/>
          </w:tcPr>
          <w:p w14:paraId="3BCC8335">
            <w:pPr>
              <w:pStyle w:val="91"/>
              <w:keepNext w:val="0"/>
              <w:keepLines w:val="0"/>
              <w:suppressLineNumbers w:val="0"/>
              <w:spacing w:before="0" w:beforeAutospacing="0" w:after="0" w:afterAutospacing="0"/>
              <w:ind w:left="0" w:right="0"/>
              <w:rPr>
                <w:rFonts w:hint="default"/>
                <w:color w:val="auto"/>
              </w:rPr>
            </w:pPr>
            <w:r>
              <w:rPr>
                <w:rFonts w:hint="eastAsia"/>
                <w:color w:val="auto"/>
              </w:rPr>
              <w:t>镍</w:t>
            </w:r>
          </w:p>
        </w:tc>
        <w:tc>
          <w:tcPr>
            <w:tcW w:w="4103" w:type="dxa"/>
          </w:tcPr>
          <w:p w14:paraId="2FD265C4">
            <w:pPr>
              <w:pStyle w:val="91"/>
              <w:keepNext w:val="0"/>
              <w:keepLines w:val="0"/>
              <w:suppressLineNumbers w:val="0"/>
              <w:spacing w:before="0" w:beforeAutospacing="0" w:after="0" w:afterAutospacing="0"/>
              <w:ind w:left="0" w:right="0"/>
              <w:rPr>
                <w:rFonts w:hint="default"/>
                <w:color w:val="auto"/>
              </w:rPr>
            </w:pPr>
            <w:r>
              <w:rPr>
                <w:rFonts w:hint="eastAsia"/>
                <w:color w:val="auto"/>
              </w:rPr>
              <w:t>900</w:t>
            </w:r>
          </w:p>
        </w:tc>
      </w:tr>
      <w:tr w14:paraId="43101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77D18E5B">
            <w:pPr>
              <w:pStyle w:val="91"/>
              <w:keepNext w:val="0"/>
              <w:keepLines w:val="0"/>
              <w:numPr>
                <w:ilvl w:val="0"/>
                <w:numId w:val="10"/>
              </w:numPr>
              <w:suppressLineNumbers w:val="0"/>
              <w:spacing w:before="0" w:beforeAutospacing="0" w:after="0" w:afterAutospacing="0"/>
              <w:ind w:right="0"/>
              <w:jc w:val="center"/>
              <w:rPr>
                <w:rFonts w:hint="default"/>
                <w:color w:val="auto"/>
              </w:rPr>
            </w:pPr>
          </w:p>
        </w:tc>
        <w:tc>
          <w:tcPr>
            <w:tcW w:w="4487" w:type="dxa"/>
          </w:tcPr>
          <w:p w14:paraId="3D4F4001">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石油烃</w:t>
            </w:r>
            <w:r>
              <w:rPr>
                <w:rFonts w:hint="default"/>
                <w:color w:val="auto"/>
                <w:u w:val="single"/>
              </w:rPr>
              <w:t>（</w:t>
            </w:r>
            <w:r>
              <w:rPr>
                <w:rFonts w:hint="eastAsia"/>
                <w:color w:val="auto"/>
                <w:u w:val="single"/>
              </w:rPr>
              <w:t>C</w:t>
            </w:r>
            <w:r>
              <w:rPr>
                <w:rFonts w:hint="eastAsia"/>
                <w:color w:val="auto"/>
                <w:u w:val="single"/>
                <w:vertAlign w:val="subscript"/>
              </w:rPr>
              <w:t>10</w:t>
            </w:r>
            <w:r>
              <w:rPr>
                <w:rFonts w:hint="eastAsia"/>
                <w:color w:val="auto"/>
                <w:u w:val="single"/>
              </w:rPr>
              <w:t>~C</w:t>
            </w:r>
            <w:r>
              <w:rPr>
                <w:rFonts w:hint="eastAsia"/>
                <w:color w:val="auto"/>
                <w:u w:val="single"/>
                <w:vertAlign w:val="subscript"/>
              </w:rPr>
              <w:t>40</w:t>
            </w:r>
            <w:r>
              <w:rPr>
                <w:rFonts w:hint="default"/>
                <w:color w:val="auto"/>
                <w:u w:val="single"/>
              </w:rPr>
              <w:t>）</w:t>
            </w:r>
          </w:p>
        </w:tc>
        <w:tc>
          <w:tcPr>
            <w:tcW w:w="4103" w:type="dxa"/>
          </w:tcPr>
          <w:p w14:paraId="24574573">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4500</w:t>
            </w:r>
          </w:p>
        </w:tc>
      </w:tr>
    </w:tbl>
    <w:p w14:paraId="5AC94E0C">
      <w:pPr>
        <w:pStyle w:val="4"/>
        <w:rPr>
          <w:color w:val="auto"/>
        </w:rPr>
      </w:pPr>
      <w:bookmarkStart w:id="198" w:name="_Toc136878423"/>
      <w:bookmarkStart w:id="199" w:name="_Toc26909968"/>
      <w:bookmarkStart w:id="200" w:name="_Toc29131782"/>
      <w:bookmarkStart w:id="201" w:name="_Toc216620335"/>
      <w:bookmarkStart w:id="202" w:name="_Toc135090174"/>
      <w:bookmarkStart w:id="203" w:name="_Toc25436922"/>
      <w:bookmarkStart w:id="204" w:name="_Toc216103176"/>
      <w:r>
        <w:rPr>
          <w:color w:val="auto"/>
        </w:rPr>
        <w:t>污染物排放标准</w:t>
      </w:r>
      <w:bookmarkEnd w:id="198"/>
      <w:bookmarkEnd w:id="199"/>
      <w:bookmarkEnd w:id="200"/>
      <w:bookmarkEnd w:id="201"/>
      <w:bookmarkEnd w:id="202"/>
      <w:bookmarkEnd w:id="203"/>
      <w:bookmarkEnd w:id="204"/>
    </w:p>
    <w:p w14:paraId="77C40ACE">
      <w:pPr>
        <w:pStyle w:val="6"/>
        <w:rPr>
          <w:color w:val="auto"/>
        </w:rPr>
      </w:pPr>
      <w:r>
        <w:rPr>
          <w:color w:val="auto"/>
        </w:rPr>
        <w:t>大气污染物排放标准</w:t>
      </w:r>
    </w:p>
    <w:p w14:paraId="36DF88FB">
      <w:pPr>
        <w:ind w:firstLine="482"/>
        <w:rPr>
          <w:b/>
          <w:bCs/>
          <w:color w:val="auto"/>
        </w:rPr>
      </w:pPr>
      <w:r>
        <w:rPr>
          <w:rFonts w:hint="eastAsia" w:cs="宋体"/>
          <w:b/>
          <w:bCs/>
          <w:color w:val="auto"/>
          <w:kern w:val="0"/>
          <w:lang w:bidi="ar"/>
        </w:rPr>
        <w:t>①</w:t>
      </w:r>
      <w:r>
        <w:rPr>
          <w:rFonts w:hint="eastAsia"/>
          <w:b/>
          <w:bCs/>
          <w:color w:val="auto"/>
        </w:rPr>
        <w:t>新增非甲烷总烃废气</w:t>
      </w:r>
      <w:r>
        <w:rPr>
          <w:b/>
          <w:bCs/>
          <w:color w:val="auto"/>
        </w:rPr>
        <w:t>：</w:t>
      </w:r>
    </w:p>
    <w:p w14:paraId="3896E0AC">
      <w:pPr>
        <w:ind w:firstLine="480"/>
        <w:rPr>
          <w:color w:val="auto"/>
          <w:u w:val="single"/>
        </w:rPr>
      </w:pPr>
      <w:r>
        <w:rPr>
          <w:rFonts w:hint="eastAsia"/>
          <w:color w:val="auto"/>
          <w:u w:val="single"/>
        </w:rPr>
        <w:t>新增的甲基叔丁基醚（MTBE）经过储罐</w:t>
      </w:r>
      <w:r>
        <w:rPr>
          <w:color w:val="auto"/>
          <w:u w:val="single"/>
        </w:rPr>
        <w:t>至码头装船，</w:t>
      </w:r>
      <w:r>
        <w:rPr>
          <w:rFonts w:hint="eastAsia"/>
          <w:color w:val="auto"/>
          <w:u w:val="single"/>
        </w:rPr>
        <w:t>装船</w:t>
      </w:r>
      <w:r>
        <w:rPr>
          <w:color w:val="auto"/>
          <w:u w:val="single"/>
        </w:rPr>
        <w:t>产生的装卸废气经码头汽油装船</w:t>
      </w:r>
      <w:r>
        <w:rPr>
          <w:rFonts w:hint="eastAsia"/>
          <w:color w:val="auto"/>
          <w:u w:val="single"/>
        </w:rPr>
        <w:t>油气回收设施处理后经1</w:t>
      </w:r>
      <w:r>
        <w:rPr>
          <w:color w:val="auto"/>
          <w:u w:val="single"/>
        </w:rPr>
        <w:t>5m排气筒</w:t>
      </w:r>
      <w:r>
        <w:rPr>
          <w:rFonts w:hint="eastAsia"/>
          <w:color w:val="auto"/>
          <w:u w:val="single"/>
        </w:rPr>
        <w:t>（DA003）</w:t>
      </w:r>
      <w:r>
        <w:rPr>
          <w:color w:val="auto"/>
          <w:u w:val="single"/>
        </w:rPr>
        <w:t>排放</w:t>
      </w:r>
      <w:r>
        <w:rPr>
          <w:rFonts w:hint="eastAsia"/>
          <w:color w:val="auto"/>
          <w:u w:val="single"/>
        </w:rPr>
        <w:t>。</w:t>
      </w:r>
    </w:p>
    <w:p w14:paraId="597DBB23">
      <w:pPr>
        <w:ind w:firstLine="480"/>
        <w:rPr>
          <w:color w:val="auto"/>
        </w:rPr>
      </w:pPr>
      <w:r>
        <w:rPr>
          <w:rFonts w:hint="eastAsia"/>
          <w:color w:val="auto"/>
        </w:rPr>
        <w:t>非甲烷总烃</w:t>
      </w:r>
      <w:r>
        <w:rPr>
          <w:rFonts w:hint="eastAsia"/>
          <w:color w:val="auto"/>
          <w:u w:val="single"/>
        </w:rPr>
        <w:t>执行《储油库大气污染物排放标准》（GB20950-2020）表1油气排放浓度≤25g/m³限值要求，</w:t>
      </w:r>
      <w:r>
        <w:rPr>
          <w:color w:val="auto"/>
          <w:u w:val="single"/>
        </w:rPr>
        <w:t>处理效率≥95%</w:t>
      </w:r>
      <w:r>
        <w:rPr>
          <w:rFonts w:hint="eastAsia"/>
          <w:color w:val="auto"/>
          <w:u w:val="single"/>
        </w:rPr>
        <w:t>。</w:t>
      </w:r>
    </w:p>
    <w:p w14:paraId="3D222F3C">
      <w:pPr>
        <w:ind w:firstLine="482"/>
        <w:rPr>
          <w:rFonts w:hint="eastAsia"/>
          <w:color w:val="auto"/>
        </w:rPr>
      </w:pPr>
      <w:r>
        <w:rPr>
          <w:rFonts w:hint="eastAsia" w:ascii="宋体" w:hAnsi="宋体" w:cs="宋体"/>
          <w:b/>
          <w:bCs/>
          <w:color w:val="auto"/>
          <w:lang w:eastAsia="ja-JP"/>
        </w:rPr>
        <w:t>②</w:t>
      </w:r>
      <w:r>
        <w:rPr>
          <w:rFonts w:hint="eastAsia"/>
          <w:b/>
          <w:bCs/>
          <w:color w:val="auto"/>
        </w:rPr>
        <w:t>无组织废气：</w:t>
      </w:r>
      <w:r>
        <w:rPr>
          <w:rFonts w:hint="eastAsia"/>
          <w:color w:val="auto"/>
        </w:rPr>
        <w:t>运营期非甲烷总烃无组织排放执行</w:t>
      </w:r>
      <w:r>
        <w:rPr>
          <w:rFonts w:hint="eastAsia"/>
          <w:color w:val="auto"/>
          <w:u w:val="single"/>
        </w:rPr>
        <w:t>《储油库大气污染物排放标准》（GB20950-2020）企业</w:t>
      </w:r>
      <w:r>
        <w:rPr>
          <w:color w:val="auto"/>
          <w:u w:val="single"/>
        </w:rPr>
        <w:t>边界任意</w:t>
      </w:r>
      <w:r>
        <w:rPr>
          <w:rFonts w:hint="eastAsia"/>
          <w:color w:val="auto"/>
          <w:u w:val="single"/>
        </w:rPr>
        <w:t>1小时</w:t>
      </w:r>
      <w:r>
        <w:rPr>
          <w:color w:val="auto"/>
          <w:u w:val="single"/>
        </w:rPr>
        <w:t>非甲烷总烃平均浓度值不应超过</w:t>
      </w:r>
      <w:r>
        <w:rPr>
          <w:rFonts w:hint="eastAsia"/>
          <w:color w:val="auto"/>
          <w:u w:val="single"/>
        </w:rPr>
        <w:t>4</w:t>
      </w:r>
      <w:r>
        <w:rPr>
          <w:color w:val="auto"/>
          <w:u w:val="single"/>
        </w:rPr>
        <w:t>mg/m</w:t>
      </w:r>
      <w:r>
        <w:rPr>
          <w:color w:val="auto"/>
          <w:vertAlign w:val="superscript"/>
        </w:rPr>
        <w:t>3</w:t>
      </w:r>
      <w:r>
        <w:rPr>
          <w:rFonts w:hint="eastAsia"/>
          <w:color w:val="auto"/>
          <w:u w:val="single"/>
        </w:rPr>
        <w:t>。</w:t>
      </w:r>
    </w:p>
    <w:p w14:paraId="4C13FC37">
      <w:pPr>
        <w:ind w:firstLine="480"/>
        <w:rPr>
          <w:color w:val="auto"/>
        </w:rPr>
      </w:pPr>
      <w:bookmarkStart w:id="205" w:name="_Hlk58774852"/>
      <w:r>
        <w:rPr>
          <w:color w:val="auto"/>
        </w:rPr>
        <w:t>自2018年7月1日起进行型式检验的新型船机其排气污染物排放应符合《船舶发动机排气污染物排放限值及测量方法（中国第一、第二阶段）》（GB15097－2016）第一阶段标准，自2021年7月1</w:t>
      </w:r>
      <w:r>
        <w:rPr>
          <w:rFonts w:hint="eastAsia"/>
          <w:color w:val="auto"/>
          <w:lang w:eastAsia="zh-CN"/>
        </w:rPr>
        <w:t>日起</w:t>
      </w:r>
      <w:r>
        <w:rPr>
          <w:color w:val="auto"/>
        </w:rPr>
        <w:t>进行型式检验的新型船机其排气污染物排放应符合第二阶段标准。</w:t>
      </w:r>
      <w:bookmarkEnd w:id="205"/>
    </w:p>
    <w:p w14:paraId="2787D368">
      <w:pPr>
        <w:ind w:firstLine="480"/>
        <w:rPr>
          <w:color w:val="auto"/>
        </w:rPr>
      </w:pPr>
    </w:p>
    <w:p w14:paraId="6E58748F">
      <w:pPr>
        <w:ind w:firstLine="480"/>
        <w:rPr>
          <w:color w:val="auto"/>
        </w:rPr>
      </w:pPr>
    </w:p>
    <w:p w14:paraId="35BFAA1D">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7</w:t>
      </w:r>
      <w:r>
        <w:rPr>
          <w:color w:val="auto"/>
        </w:rPr>
        <w:fldChar w:fldCharType="end"/>
      </w:r>
      <w:r>
        <w:rPr>
          <w:color w:val="auto"/>
        </w:rPr>
        <w:t>船机排气污染物第一阶段排放限值（GB15097－2016）</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09"/>
        <w:gridCol w:w="1245"/>
        <w:gridCol w:w="1242"/>
        <w:gridCol w:w="1336"/>
        <w:gridCol w:w="1338"/>
        <w:gridCol w:w="1336"/>
        <w:gridCol w:w="1336"/>
      </w:tblGrid>
      <w:tr w14:paraId="4E4762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Align w:val="center"/>
          </w:tcPr>
          <w:p w14:paraId="14EDF61A">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船机类型</w:t>
            </w:r>
          </w:p>
        </w:tc>
        <w:tc>
          <w:tcPr>
            <w:tcW w:w="1245" w:type="dxa"/>
            <w:vAlign w:val="center"/>
          </w:tcPr>
          <w:p w14:paraId="0806F593">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单缸排量（SV）（L/缸）</w:t>
            </w:r>
          </w:p>
        </w:tc>
        <w:tc>
          <w:tcPr>
            <w:tcW w:w="1242" w:type="dxa"/>
            <w:vAlign w:val="center"/>
          </w:tcPr>
          <w:p w14:paraId="0E07CFBD">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额定净功率（P）（kW）</w:t>
            </w:r>
          </w:p>
        </w:tc>
        <w:tc>
          <w:tcPr>
            <w:tcW w:w="1336" w:type="dxa"/>
            <w:vAlign w:val="center"/>
          </w:tcPr>
          <w:p w14:paraId="5CB93623">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CO（g/kWh）</w:t>
            </w:r>
          </w:p>
        </w:tc>
        <w:tc>
          <w:tcPr>
            <w:tcW w:w="1338" w:type="dxa"/>
            <w:vAlign w:val="center"/>
          </w:tcPr>
          <w:p w14:paraId="485ECA8F">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HC+NO</w:t>
            </w:r>
            <w:r>
              <w:rPr>
                <w:rFonts w:hint="default"/>
                <w:b/>
                <w:bCs/>
                <w:color w:val="auto"/>
                <w:vertAlign w:val="subscript"/>
              </w:rPr>
              <w:t>X</w:t>
            </w:r>
            <w:r>
              <w:rPr>
                <w:rFonts w:hint="default"/>
                <w:b/>
                <w:bCs/>
                <w:color w:val="auto"/>
              </w:rPr>
              <w:t>（g/kWh）</w:t>
            </w:r>
          </w:p>
        </w:tc>
        <w:tc>
          <w:tcPr>
            <w:tcW w:w="1336" w:type="dxa"/>
            <w:vAlign w:val="center"/>
          </w:tcPr>
          <w:p w14:paraId="778DB4BA">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CH</w:t>
            </w:r>
            <w:r>
              <w:rPr>
                <w:rFonts w:hint="default"/>
                <w:b/>
                <w:bCs/>
                <w:color w:val="auto"/>
                <w:vertAlign w:val="subscript"/>
              </w:rPr>
              <w:t>4</w:t>
            </w:r>
            <w:r>
              <w:rPr>
                <w:rFonts w:hint="default"/>
                <w:b/>
                <w:bCs/>
                <w:color w:val="auto"/>
                <w:vertAlign w:val="superscript"/>
              </w:rPr>
              <w:t>(1)</w:t>
            </w:r>
            <w:r>
              <w:rPr>
                <w:rFonts w:hint="default"/>
                <w:b/>
                <w:bCs/>
                <w:color w:val="auto"/>
              </w:rPr>
              <w:t>（g/kWh）</w:t>
            </w:r>
          </w:p>
        </w:tc>
        <w:tc>
          <w:tcPr>
            <w:tcW w:w="1336" w:type="dxa"/>
            <w:vAlign w:val="center"/>
          </w:tcPr>
          <w:p w14:paraId="125B292D">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PM（g/kWh）</w:t>
            </w:r>
          </w:p>
        </w:tc>
      </w:tr>
      <w:tr w14:paraId="6F244F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restart"/>
            <w:vAlign w:val="center"/>
          </w:tcPr>
          <w:p w14:paraId="239B1A27">
            <w:pPr>
              <w:pStyle w:val="77"/>
              <w:keepNext w:val="0"/>
              <w:keepLines w:val="0"/>
              <w:suppressLineNumbers w:val="0"/>
              <w:spacing w:before="0" w:beforeAutospacing="0" w:after="0" w:afterAutospacing="0"/>
              <w:ind w:left="0" w:right="0"/>
              <w:rPr>
                <w:rFonts w:hint="default"/>
                <w:color w:val="auto"/>
              </w:rPr>
            </w:pPr>
            <w:r>
              <w:rPr>
                <w:rFonts w:hint="default"/>
                <w:color w:val="auto"/>
              </w:rPr>
              <w:t>额定净功率大于或等于37kW并且单缸排量小于5L的船机</w:t>
            </w:r>
          </w:p>
        </w:tc>
        <w:tc>
          <w:tcPr>
            <w:tcW w:w="1245" w:type="dxa"/>
            <w:vAlign w:val="center"/>
          </w:tcPr>
          <w:p w14:paraId="1047067D">
            <w:pPr>
              <w:pStyle w:val="77"/>
              <w:keepNext w:val="0"/>
              <w:keepLines w:val="0"/>
              <w:suppressLineNumbers w:val="0"/>
              <w:spacing w:before="0" w:beforeAutospacing="0" w:after="0" w:afterAutospacing="0"/>
              <w:ind w:left="0" w:right="0"/>
              <w:rPr>
                <w:rFonts w:hint="default"/>
                <w:color w:val="auto"/>
              </w:rPr>
            </w:pPr>
            <w:r>
              <w:rPr>
                <w:rFonts w:hint="default"/>
                <w:color w:val="auto"/>
              </w:rPr>
              <w:t>SV&lt;0.9</w:t>
            </w:r>
          </w:p>
        </w:tc>
        <w:tc>
          <w:tcPr>
            <w:tcW w:w="1242" w:type="dxa"/>
            <w:vAlign w:val="center"/>
          </w:tcPr>
          <w:p w14:paraId="0FD0A55B">
            <w:pPr>
              <w:pStyle w:val="77"/>
              <w:keepNext w:val="0"/>
              <w:keepLines w:val="0"/>
              <w:suppressLineNumbers w:val="0"/>
              <w:spacing w:before="0" w:beforeAutospacing="0" w:after="0" w:afterAutospacing="0"/>
              <w:ind w:left="0" w:right="0"/>
              <w:rPr>
                <w:rFonts w:hint="default"/>
                <w:color w:val="auto"/>
              </w:rPr>
            </w:pPr>
            <w:r>
              <w:rPr>
                <w:rFonts w:hint="default"/>
                <w:color w:val="auto"/>
              </w:rPr>
              <w:t>P</w:t>
            </w:r>
            <m:oMath>
              <m:r>
                <m:rPr/>
                <w:rPr>
                  <w:rFonts w:hint="default" w:ascii="Cambria Math" w:hAnsi="Cambria Math"/>
                  <w:color w:val="auto"/>
                </w:rPr>
                <m:t>≥</m:t>
              </m:r>
            </m:oMath>
            <w:r>
              <w:rPr>
                <w:rFonts w:hint="default"/>
                <w:color w:val="auto"/>
              </w:rPr>
              <w:t>37</w:t>
            </w:r>
          </w:p>
        </w:tc>
        <w:tc>
          <w:tcPr>
            <w:tcW w:w="1336" w:type="dxa"/>
            <w:vAlign w:val="center"/>
          </w:tcPr>
          <w:p w14:paraId="52645386">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338" w:type="dxa"/>
            <w:vAlign w:val="center"/>
          </w:tcPr>
          <w:p w14:paraId="6DE50FBF">
            <w:pPr>
              <w:pStyle w:val="77"/>
              <w:keepNext w:val="0"/>
              <w:keepLines w:val="0"/>
              <w:suppressLineNumbers w:val="0"/>
              <w:spacing w:before="0" w:beforeAutospacing="0" w:after="0" w:afterAutospacing="0"/>
              <w:ind w:left="0" w:right="0"/>
              <w:rPr>
                <w:rFonts w:hint="default"/>
                <w:color w:val="auto"/>
              </w:rPr>
            </w:pPr>
            <w:r>
              <w:rPr>
                <w:rFonts w:hint="default"/>
                <w:color w:val="auto"/>
              </w:rPr>
              <w:t>7.5</w:t>
            </w:r>
          </w:p>
        </w:tc>
        <w:tc>
          <w:tcPr>
            <w:tcW w:w="1336" w:type="dxa"/>
            <w:vAlign w:val="center"/>
          </w:tcPr>
          <w:p w14:paraId="079A0AF3">
            <w:pPr>
              <w:pStyle w:val="77"/>
              <w:keepNext w:val="0"/>
              <w:keepLines w:val="0"/>
              <w:suppressLineNumbers w:val="0"/>
              <w:spacing w:before="0" w:beforeAutospacing="0" w:after="0" w:afterAutospacing="0"/>
              <w:ind w:left="0" w:right="0"/>
              <w:rPr>
                <w:rFonts w:hint="default"/>
                <w:color w:val="auto"/>
              </w:rPr>
            </w:pPr>
            <w:r>
              <w:rPr>
                <w:rFonts w:hint="default"/>
                <w:color w:val="auto"/>
              </w:rPr>
              <w:t>1.5</w:t>
            </w:r>
          </w:p>
        </w:tc>
        <w:tc>
          <w:tcPr>
            <w:tcW w:w="1336" w:type="dxa"/>
            <w:vAlign w:val="center"/>
          </w:tcPr>
          <w:p w14:paraId="3BA2C9CB">
            <w:pPr>
              <w:pStyle w:val="77"/>
              <w:keepNext w:val="0"/>
              <w:keepLines w:val="0"/>
              <w:suppressLineNumbers w:val="0"/>
              <w:spacing w:before="0" w:beforeAutospacing="0" w:after="0" w:afterAutospacing="0"/>
              <w:ind w:left="0" w:right="0"/>
              <w:rPr>
                <w:rFonts w:hint="default"/>
                <w:color w:val="auto"/>
              </w:rPr>
            </w:pPr>
            <w:r>
              <w:rPr>
                <w:rFonts w:hint="default"/>
                <w:color w:val="auto"/>
              </w:rPr>
              <w:t>0.40</w:t>
            </w:r>
          </w:p>
        </w:tc>
      </w:tr>
      <w:tr w14:paraId="59E861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5F0905C2">
            <w:pPr>
              <w:pStyle w:val="77"/>
              <w:keepNext w:val="0"/>
              <w:keepLines w:val="0"/>
              <w:suppressLineNumbers w:val="0"/>
              <w:spacing w:before="0" w:beforeAutospacing="0" w:after="0" w:afterAutospacing="0"/>
              <w:ind w:left="0" w:right="0"/>
              <w:rPr>
                <w:rFonts w:hint="default"/>
                <w:color w:val="auto"/>
              </w:rPr>
            </w:pPr>
          </w:p>
        </w:tc>
        <w:tc>
          <w:tcPr>
            <w:tcW w:w="2487" w:type="dxa"/>
            <w:gridSpan w:val="2"/>
            <w:vAlign w:val="center"/>
          </w:tcPr>
          <w:p w14:paraId="782EBD9D">
            <w:pPr>
              <w:pStyle w:val="77"/>
              <w:keepNext w:val="0"/>
              <w:keepLines w:val="0"/>
              <w:suppressLineNumbers w:val="0"/>
              <w:spacing w:before="0" w:beforeAutospacing="0" w:after="0" w:afterAutospacing="0"/>
              <w:ind w:left="0" w:right="0"/>
              <w:rPr>
                <w:rFonts w:hint="default"/>
                <w:color w:val="auto"/>
              </w:rPr>
            </w:pPr>
            <w:r>
              <w:rPr>
                <w:rFonts w:hint="default"/>
                <w:color w:val="auto"/>
              </w:rPr>
              <w:t>0.9</w:t>
            </w:r>
            <m:oMath>
              <m:r>
                <m:rPr/>
                <w:rPr>
                  <w:rFonts w:hint="default" w:ascii="Cambria Math" w:hAnsi="Cambria Math"/>
                  <w:color w:val="auto"/>
                </w:rPr>
                <m:t>≤</m:t>
              </m:r>
            </m:oMath>
            <w:r>
              <w:rPr>
                <w:rFonts w:hint="default"/>
                <w:color w:val="auto"/>
              </w:rPr>
              <w:t>SV&lt;1.2</w:t>
            </w:r>
          </w:p>
        </w:tc>
        <w:tc>
          <w:tcPr>
            <w:tcW w:w="1336" w:type="dxa"/>
            <w:vAlign w:val="center"/>
          </w:tcPr>
          <w:p w14:paraId="342D1D95">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338" w:type="dxa"/>
            <w:vAlign w:val="center"/>
          </w:tcPr>
          <w:p w14:paraId="41D4A62F">
            <w:pPr>
              <w:pStyle w:val="77"/>
              <w:keepNext w:val="0"/>
              <w:keepLines w:val="0"/>
              <w:suppressLineNumbers w:val="0"/>
              <w:spacing w:before="0" w:beforeAutospacing="0" w:after="0" w:afterAutospacing="0"/>
              <w:ind w:left="0" w:right="0"/>
              <w:rPr>
                <w:rFonts w:hint="default"/>
                <w:color w:val="auto"/>
              </w:rPr>
            </w:pPr>
            <w:r>
              <w:rPr>
                <w:rFonts w:hint="default"/>
                <w:color w:val="auto"/>
              </w:rPr>
              <w:t>7.2</w:t>
            </w:r>
          </w:p>
        </w:tc>
        <w:tc>
          <w:tcPr>
            <w:tcW w:w="1336" w:type="dxa"/>
            <w:vAlign w:val="center"/>
          </w:tcPr>
          <w:p w14:paraId="15F836BD">
            <w:pPr>
              <w:pStyle w:val="77"/>
              <w:keepNext w:val="0"/>
              <w:keepLines w:val="0"/>
              <w:suppressLineNumbers w:val="0"/>
              <w:spacing w:before="0" w:beforeAutospacing="0" w:after="0" w:afterAutospacing="0"/>
              <w:ind w:left="0" w:right="0"/>
              <w:rPr>
                <w:rFonts w:hint="default"/>
                <w:color w:val="auto"/>
              </w:rPr>
            </w:pPr>
            <w:r>
              <w:rPr>
                <w:rFonts w:hint="default"/>
                <w:color w:val="auto"/>
              </w:rPr>
              <w:t>1.5</w:t>
            </w:r>
          </w:p>
        </w:tc>
        <w:tc>
          <w:tcPr>
            <w:tcW w:w="1336" w:type="dxa"/>
            <w:vAlign w:val="center"/>
          </w:tcPr>
          <w:p w14:paraId="6E58A615">
            <w:pPr>
              <w:pStyle w:val="77"/>
              <w:keepNext w:val="0"/>
              <w:keepLines w:val="0"/>
              <w:suppressLineNumbers w:val="0"/>
              <w:spacing w:before="0" w:beforeAutospacing="0" w:after="0" w:afterAutospacing="0"/>
              <w:ind w:left="0" w:right="0"/>
              <w:rPr>
                <w:rFonts w:hint="default"/>
                <w:color w:val="auto"/>
              </w:rPr>
            </w:pPr>
            <w:r>
              <w:rPr>
                <w:rFonts w:hint="default"/>
                <w:color w:val="auto"/>
              </w:rPr>
              <w:t>0.30</w:t>
            </w:r>
          </w:p>
        </w:tc>
      </w:tr>
      <w:tr w14:paraId="3B4070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42DF0483">
            <w:pPr>
              <w:pStyle w:val="77"/>
              <w:keepNext w:val="0"/>
              <w:keepLines w:val="0"/>
              <w:suppressLineNumbers w:val="0"/>
              <w:spacing w:before="0" w:beforeAutospacing="0" w:after="0" w:afterAutospacing="0"/>
              <w:ind w:left="0" w:right="0"/>
              <w:rPr>
                <w:rFonts w:hint="default"/>
                <w:color w:val="auto"/>
              </w:rPr>
            </w:pPr>
          </w:p>
        </w:tc>
        <w:tc>
          <w:tcPr>
            <w:tcW w:w="2487" w:type="dxa"/>
            <w:gridSpan w:val="2"/>
            <w:vAlign w:val="center"/>
          </w:tcPr>
          <w:p w14:paraId="00BCED8F">
            <w:pPr>
              <w:pStyle w:val="77"/>
              <w:keepNext w:val="0"/>
              <w:keepLines w:val="0"/>
              <w:suppressLineNumbers w:val="0"/>
              <w:spacing w:before="0" w:beforeAutospacing="0" w:after="0" w:afterAutospacing="0"/>
              <w:ind w:left="0" w:right="0"/>
              <w:rPr>
                <w:rFonts w:hint="default"/>
                <w:color w:val="auto"/>
              </w:rPr>
            </w:pPr>
            <w:r>
              <w:rPr>
                <w:rFonts w:hint="default"/>
                <w:color w:val="auto"/>
              </w:rPr>
              <w:t>1.2</w:t>
            </w:r>
            <m:oMath>
              <m:r>
                <m:rPr/>
                <w:rPr>
                  <w:rFonts w:hint="default" w:ascii="Cambria Math" w:hAnsi="Cambria Math"/>
                  <w:color w:val="auto"/>
                </w:rPr>
                <m:t>≤</m:t>
              </m:r>
            </m:oMath>
            <w:r>
              <w:rPr>
                <w:rFonts w:hint="default"/>
                <w:color w:val="auto"/>
              </w:rPr>
              <w:t>SV&lt;5</w:t>
            </w:r>
          </w:p>
        </w:tc>
        <w:tc>
          <w:tcPr>
            <w:tcW w:w="1336" w:type="dxa"/>
            <w:vAlign w:val="center"/>
          </w:tcPr>
          <w:p w14:paraId="6AF243DD">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338" w:type="dxa"/>
            <w:vAlign w:val="center"/>
          </w:tcPr>
          <w:p w14:paraId="6B2268F9">
            <w:pPr>
              <w:pStyle w:val="77"/>
              <w:keepNext w:val="0"/>
              <w:keepLines w:val="0"/>
              <w:suppressLineNumbers w:val="0"/>
              <w:spacing w:before="0" w:beforeAutospacing="0" w:after="0" w:afterAutospacing="0"/>
              <w:ind w:left="0" w:right="0"/>
              <w:rPr>
                <w:rFonts w:hint="default"/>
                <w:color w:val="auto"/>
              </w:rPr>
            </w:pPr>
            <w:r>
              <w:rPr>
                <w:rFonts w:hint="default"/>
                <w:color w:val="auto"/>
              </w:rPr>
              <w:t>7.2</w:t>
            </w:r>
          </w:p>
        </w:tc>
        <w:tc>
          <w:tcPr>
            <w:tcW w:w="1336" w:type="dxa"/>
            <w:vAlign w:val="center"/>
          </w:tcPr>
          <w:p w14:paraId="22220F38">
            <w:pPr>
              <w:pStyle w:val="77"/>
              <w:keepNext w:val="0"/>
              <w:keepLines w:val="0"/>
              <w:suppressLineNumbers w:val="0"/>
              <w:spacing w:before="0" w:beforeAutospacing="0" w:after="0" w:afterAutospacing="0"/>
              <w:ind w:left="0" w:right="0"/>
              <w:rPr>
                <w:rFonts w:hint="default"/>
                <w:color w:val="auto"/>
              </w:rPr>
            </w:pPr>
            <w:r>
              <w:rPr>
                <w:rFonts w:hint="default"/>
                <w:color w:val="auto"/>
              </w:rPr>
              <w:t>1.5</w:t>
            </w:r>
          </w:p>
        </w:tc>
        <w:tc>
          <w:tcPr>
            <w:tcW w:w="1336" w:type="dxa"/>
            <w:vAlign w:val="center"/>
          </w:tcPr>
          <w:p w14:paraId="0FAEAD71">
            <w:pPr>
              <w:pStyle w:val="77"/>
              <w:keepNext w:val="0"/>
              <w:keepLines w:val="0"/>
              <w:suppressLineNumbers w:val="0"/>
              <w:spacing w:before="0" w:beforeAutospacing="0" w:after="0" w:afterAutospacing="0"/>
              <w:ind w:left="0" w:right="0"/>
              <w:rPr>
                <w:rFonts w:hint="default"/>
                <w:color w:val="auto"/>
              </w:rPr>
            </w:pPr>
            <w:r>
              <w:rPr>
                <w:rFonts w:hint="default"/>
                <w:color w:val="auto"/>
              </w:rPr>
              <w:t>0.20</w:t>
            </w:r>
          </w:p>
        </w:tc>
      </w:tr>
      <w:tr w14:paraId="3899F9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restart"/>
            <w:vAlign w:val="center"/>
          </w:tcPr>
          <w:p w14:paraId="321DAF3F">
            <w:pPr>
              <w:pStyle w:val="77"/>
              <w:keepNext w:val="0"/>
              <w:keepLines w:val="0"/>
              <w:suppressLineNumbers w:val="0"/>
              <w:spacing w:before="0" w:beforeAutospacing="0" w:after="0" w:afterAutospacing="0"/>
              <w:ind w:left="0" w:right="0"/>
              <w:rPr>
                <w:rFonts w:hint="default"/>
                <w:color w:val="auto"/>
              </w:rPr>
            </w:pPr>
            <w:r>
              <w:rPr>
                <w:rFonts w:hint="default"/>
                <w:color w:val="auto"/>
              </w:rPr>
              <w:t>单缸排量大于或等于5L且小于30L的船机</w:t>
            </w:r>
          </w:p>
        </w:tc>
        <w:tc>
          <w:tcPr>
            <w:tcW w:w="2487" w:type="dxa"/>
            <w:gridSpan w:val="2"/>
            <w:vAlign w:val="center"/>
          </w:tcPr>
          <w:p w14:paraId="37D8BF61">
            <w:pPr>
              <w:pStyle w:val="77"/>
              <w:keepNext w:val="0"/>
              <w:keepLines w:val="0"/>
              <w:suppressLineNumbers w:val="0"/>
              <w:spacing w:before="0" w:beforeAutospacing="0" w:after="0" w:afterAutospacing="0"/>
              <w:ind w:left="0" w:right="0"/>
              <w:rPr>
                <w:rFonts w:hint="default"/>
                <w:color w:val="auto"/>
              </w:rPr>
            </w:pPr>
            <w:r>
              <w:rPr>
                <w:rFonts w:hint="default"/>
                <w:color w:val="auto"/>
              </w:rPr>
              <w:t>5</w:t>
            </w:r>
            <m:oMath>
              <m:r>
                <m:rPr/>
                <w:rPr>
                  <w:rFonts w:hint="default" w:ascii="Cambria Math" w:hAnsi="Cambria Math"/>
                  <w:color w:val="auto"/>
                </w:rPr>
                <m:t>≤</m:t>
              </m:r>
            </m:oMath>
            <w:r>
              <w:rPr>
                <w:rFonts w:hint="default"/>
                <w:color w:val="auto"/>
              </w:rPr>
              <w:t>SV&lt;15</w:t>
            </w:r>
          </w:p>
        </w:tc>
        <w:tc>
          <w:tcPr>
            <w:tcW w:w="1336" w:type="dxa"/>
            <w:vAlign w:val="center"/>
          </w:tcPr>
          <w:p w14:paraId="1132CE9F">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338" w:type="dxa"/>
            <w:vAlign w:val="center"/>
          </w:tcPr>
          <w:p w14:paraId="652D7031">
            <w:pPr>
              <w:pStyle w:val="77"/>
              <w:keepNext w:val="0"/>
              <w:keepLines w:val="0"/>
              <w:suppressLineNumbers w:val="0"/>
              <w:spacing w:before="0" w:beforeAutospacing="0" w:after="0" w:afterAutospacing="0"/>
              <w:ind w:left="0" w:right="0"/>
              <w:rPr>
                <w:rFonts w:hint="default"/>
                <w:color w:val="auto"/>
              </w:rPr>
            </w:pPr>
            <w:r>
              <w:rPr>
                <w:rFonts w:hint="default"/>
                <w:color w:val="auto"/>
              </w:rPr>
              <w:t>7.8</w:t>
            </w:r>
          </w:p>
        </w:tc>
        <w:tc>
          <w:tcPr>
            <w:tcW w:w="1336" w:type="dxa"/>
            <w:vAlign w:val="center"/>
          </w:tcPr>
          <w:p w14:paraId="1B35FE1D">
            <w:pPr>
              <w:pStyle w:val="77"/>
              <w:keepNext w:val="0"/>
              <w:keepLines w:val="0"/>
              <w:suppressLineNumbers w:val="0"/>
              <w:spacing w:before="0" w:beforeAutospacing="0" w:after="0" w:afterAutospacing="0"/>
              <w:ind w:left="0" w:right="0"/>
              <w:rPr>
                <w:rFonts w:hint="default"/>
                <w:color w:val="auto"/>
              </w:rPr>
            </w:pPr>
            <w:r>
              <w:rPr>
                <w:rFonts w:hint="default"/>
                <w:color w:val="auto"/>
              </w:rPr>
              <w:t>1.5</w:t>
            </w:r>
          </w:p>
        </w:tc>
        <w:tc>
          <w:tcPr>
            <w:tcW w:w="1336" w:type="dxa"/>
            <w:vAlign w:val="center"/>
          </w:tcPr>
          <w:p w14:paraId="0162711C">
            <w:pPr>
              <w:pStyle w:val="77"/>
              <w:keepNext w:val="0"/>
              <w:keepLines w:val="0"/>
              <w:suppressLineNumbers w:val="0"/>
              <w:spacing w:before="0" w:beforeAutospacing="0" w:after="0" w:afterAutospacing="0"/>
              <w:ind w:left="0" w:right="0"/>
              <w:rPr>
                <w:rFonts w:hint="default"/>
                <w:color w:val="auto"/>
              </w:rPr>
            </w:pPr>
            <w:r>
              <w:rPr>
                <w:rFonts w:hint="default"/>
                <w:color w:val="auto"/>
              </w:rPr>
              <w:t>0.27</w:t>
            </w:r>
          </w:p>
        </w:tc>
      </w:tr>
      <w:tr w14:paraId="1FEA79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05F5D0DC">
            <w:pPr>
              <w:pStyle w:val="77"/>
              <w:keepNext w:val="0"/>
              <w:keepLines w:val="0"/>
              <w:suppressLineNumbers w:val="0"/>
              <w:spacing w:before="0" w:beforeAutospacing="0" w:after="0" w:afterAutospacing="0"/>
              <w:ind w:left="0" w:right="0"/>
              <w:rPr>
                <w:rFonts w:hint="default"/>
                <w:color w:val="auto"/>
              </w:rPr>
            </w:pPr>
          </w:p>
        </w:tc>
        <w:tc>
          <w:tcPr>
            <w:tcW w:w="1245" w:type="dxa"/>
            <w:vMerge w:val="restart"/>
            <w:vAlign w:val="center"/>
          </w:tcPr>
          <w:p w14:paraId="425A3D45">
            <w:pPr>
              <w:pStyle w:val="77"/>
              <w:keepNext w:val="0"/>
              <w:keepLines w:val="0"/>
              <w:suppressLineNumbers w:val="0"/>
              <w:spacing w:before="0" w:beforeAutospacing="0" w:after="0" w:afterAutospacing="0"/>
              <w:ind w:left="0" w:right="0"/>
              <w:rPr>
                <w:rFonts w:hint="default"/>
                <w:color w:val="auto"/>
              </w:rPr>
            </w:pPr>
            <w:r>
              <w:rPr>
                <w:rFonts w:hint="default"/>
                <w:color w:val="auto"/>
              </w:rPr>
              <w:t>15</w:t>
            </w:r>
            <m:oMath>
              <m:r>
                <m:rPr/>
                <w:rPr>
                  <w:rFonts w:hint="default" w:ascii="Cambria Math" w:hAnsi="Cambria Math"/>
                  <w:color w:val="auto"/>
                </w:rPr>
                <m:t>≤</m:t>
              </m:r>
            </m:oMath>
            <w:r>
              <w:rPr>
                <w:rFonts w:hint="default"/>
                <w:color w:val="auto"/>
              </w:rPr>
              <w:t>SV&lt;20</w:t>
            </w:r>
          </w:p>
        </w:tc>
        <w:tc>
          <w:tcPr>
            <w:tcW w:w="1242" w:type="dxa"/>
            <w:vAlign w:val="center"/>
          </w:tcPr>
          <w:p w14:paraId="1AED667F">
            <w:pPr>
              <w:pStyle w:val="77"/>
              <w:keepNext w:val="0"/>
              <w:keepLines w:val="0"/>
              <w:suppressLineNumbers w:val="0"/>
              <w:spacing w:before="0" w:beforeAutospacing="0" w:after="0" w:afterAutospacing="0"/>
              <w:ind w:left="0" w:right="0"/>
              <w:rPr>
                <w:rFonts w:hint="default"/>
                <w:color w:val="auto"/>
              </w:rPr>
            </w:pPr>
            <w:r>
              <w:rPr>
                <w:rFonts w:hint="default"/>
                <w:color w:val="auto"/>
              </w:rPr>
              <w:t>P&lt;3300</w:t>
            </w:r>
          </w:p>
        </w:tc>
        <w:tc>
          <w:tcPr>
            <w:tcW w:w="1336" w:type="dxa"/>
            <w:vAlign w:val="center"/>
          </w:tcPr>
          <w:p w14:paraId="2081D53B">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338" w:type="dxa"/>
            <w:vAlign w:val="center"/>
          </w:tcPr>
          <w:p w14:paraId="2FDDE9AA">
            <w:pPr>
              <w:pStyle w:val="77"/>
              <w:keepNext w:val="0"/>
              <w:keepLines w:val="0"/>
              <w:suppressLineNumbers w:val="0"/>
              <w:spacing w:before="0" w:beforeAutospacing="0" w:after="0" w:afterAutospacing="0"/>
              <w:ind w:left="0" w:right="0"/>
              <w:rPr>
                <w:rFonts w:hint="default"/>
                <w:color w:val="auto"/>
              </w:rPr>
            </w:pPr>
            <w:r>
              <w:rPr>
                <w:rFonts w:hint="default"/>
                <w:color w:val="auto"/>
              </w:rPr>
              <w:t>8.7</w:t>
            </w:r>
          </w:p>
        </w:tc>
        <w:tc>
          <w:tcPr>
            <w:tcW w:w="1336" w:type="dxa"/>
            <w:vAlign w:val="center"/>
          </w:tcPr>
          <w:p w14:paraId="6F59DF32">
            <w:pPr>
              <w:pStyle w:val="77"/>
              <w:keepNext w:val="0"/>
              <w:keepLines w:val="0"/>
              <w:suppressLineNumbers w:val="0"/>
              <w:spacing w:before="0" w:beforeAutospacing="0" w:after="0" w:afterAutospacing="0"/>
              <w:ind w:left="0" w:right="0"/>
              <w:rPr>
                <w:rFonts w:hint="default"/>
                <w:color w:val="auto"/>
              </w:rPr>
            </w:pPr>
            <w:r>
              <w:rPr>
                <w:rFonts w:hint="default"/>
                <w:color w:val="auto"/>
              </w:rPr>
              <w:t>1.6</w:t>
            </w:r>
          </w:p>
        </w:tc>
        <w:tc>
          <w:tcPr>
            <w:tcW w:w="1336" w:type="dxa"/>
            <w:vAlign w:val="center"/>
          </w:tcPr>
          <w:p w14:paraId="65D46318">
            <w:pPr>
              <w:pStyle w:val="77"/>
              <w:keepNext w:val="0"/>
              <w:keepLines w:val="0"/>
              <w:suppressLineNumbers w:val="0"/>
              <w:spacing w:before="0" w:beforeAutospacing="0" w:after="0" w:afterAutospacing="0"/>
              <w:ind w:left="0" w:right="0"/>
              <w:rPr>
                <w:rFonts w:hint="default"/>
                <w:color w:val="auto"/>
              </w:rPr>
            </w:pPr>
            <w:r>
              <w:rPr>
                <w:rFonts w:hint="default"/>
                <w:color w:val="auto"/>
              </w:rPr>
              <w:t>0.50</w:t>
            </w:r>
          </w:p>
        </w:tc>
      </w:tr>
      <w:tr w14:paraId="5722E0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013649BA">
            <w:pPr>
              <w:pStyle w:val="77"/>
              <w:keepNext w:val="0"/>
              <w:keepLines w:val="0"/>
              <w:suppressLineNumbers w:val="0"/>
              <w:spacing w:before="0" w:beforeAutospacing="0" w:after="0" w:afterAutospacing="0"/>
              <w:ind w:left="0" w:right="0"/>
              <w:rPr>
                <w:rFonts w:hint="default"/>
                <w:color w:val="auto"/>
              </w:rPr>
            </w:pPr>
          </w:p>
        </w:tc>
        <w:tc>
          <w:tcPr>
            <w:tcW w:w="1245" w:type="dxa"/>
            <w:vMerge w:val="continue"/>
            <w:vAlign w:val="center"/>
          </w:tcPr>
          <w:p w14:paraId="1AB70A69">
            <w:pPr>
              <w:pStyle w:val="77"/>
              <w:keepNext w:val="0"/>
              <w:keepLines w:val="0"/>
              <w:suppressLineNumbers w:val="0"/>
              <w:spacing w:before="0" w:beforeAutospacing="0" w:after="0" w:afterAutospacing="0"/>
              <w:ind w:left="0" w:right="0"/>
              <w:rPr>
                <w:rFonts w:hint="default"/>
                <w:color w:val="auto"/>
              </w:rPr>
            </w:pPr>
          </w:p>
        </w:tc>
        <w:tc>
          <w:tcPr>
            <w:tcW w:w="1242" w:type="dxa"/>
            <w:vAlign w:val="center"/>
          </w:tcPr>
          <w:p w14:paraId="7B172D91">
            <w:pPr>
              <w:pStyle w:val="77"/>
              <w:keepNext w:val="0"/>
              <w:keepLines w:val="0"/>
              <w:suppressLineNumbers w:val="0"/>
              <w:spacing w:before="0" w:beforeAutospacing="0" w:after="0" w:afterAutospacing="0"/>
              <w:ind w:left="0" w:right="0"/>
              <w:rPr>
                <w:rFonts w:hint="default"/>
                <w:color w:val="auto"/>
              </w:rPr>
            </w:pPr>
            <w:r>
              <w:rPr>
                <w:rFonts w:hint="default"/>
                <w:color w:val="auto"/>
              </w:rPr>
              <w:t>P</w:t>
            </w:r>
            <m:oMath>
              <m:r>
                <m:rPr/>
                <w:rPr>
                  <w:rFonts w:hint="default" w:ascii="Cambria Math" w:hAnsi="Cambria Math"/>
                  <w:color w:val="auto"/>
                </w:rPr>
                <m:t>≥</m:t>
              </m:r>
            </m:oMath>
            <w:r>
              <w:rPr>
                <w:rFonts w:hint="default"/>
                <w:color w:val="auto"/>
              </w:rPr>
              <w:t>3300</w:t>
            </w:r>
          </w:p>
        </w:tc>
        <w:tc>
          <w:tcPr>
            <w:tcW w:w="1336" w:type="dxa"/>
            <w:vAlign w:val="center"/>
          </w:tcPr>
          <w:p w14:paraId="433C0DB2">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338" w:type="dxa"/>
            <w:vAlign w:val="center"/>
          </w:tcPr>
          <w:p w14:paraId="71E64B30">
            <w:pPr>
              <w:pStyle w:val="77"/>
              <w:keepNext w:val="0"/>
              <w:keepLines w:val="0"/>
              <w:suppressLineNumbers w:val="0"/>
              <w:spacing w:before="0" w:beforeAutospacing="0" w:after="0" w:afterAutospacing="0"/>
              <w:ind w:left="0" w:right="0"/>
              <w:rPr>
                <w:rFonts w:hint="default"/>
                <w:color w:val="auto"/>
              </w:rPr>
            </w:pPr>
            <w:r>
              <w:rPr>
                <w:rFonts w:hint="default"/>
                <w:color w:val="auto"/>
              </w:rPr>
              <w:t>9.8</w:t>
            </w:r>
          </w:p>
        </w:tc>
        <w:tc>
          <w:tcPr>
            <w:tcW w:w="1336" w:type="dxa"/>
            <w:vAlign w:val="center"/>
          </w:tcPr>
          <w:p w14:paraId="2ADF755D">
            <w:pPr>
              <w:pStyle w:val="77"/>
              <w:keepNext w:val="0"/>
              <w:keepLines w:val="0"/>
              <w:suppressLineNumbers w:val="0"/>
              <w:spacing w:before="0" w:beforeAutospacing="0" w:after="0" w:afterAutospacing="0"/>
              <w:ind w:left="0" w:right="0"/>
              <w:rPr>
                <w:rFonts w:hint="default"/>
                <w:color w:val="auto"/>
              </w:rPr>
            </w:pPr>
            <w:r>
              <w:rPr>
                <w:rFonts w:hint="default"/>
                <w:color w:val="auto"/>
              </w:rPr>
              <w:t>1.8</w:t>
            </w:r>
          </w:p>
        </w:tc>
        <w:tc>
          <w:tcPr>
            <w:tcW w:w="1336" w:type="dxa"/>
            <w:vAlign w:val="center"/>
          </w:tcPr>
          <w:p w14:paraId="59A62D40">
            <w:pPr>
              <w:pStyle w:val="77"/>
              <w:keepNext w:val="0"/>
              <w:keepLines w:val="0"/>
              <w:suppressLineNumbers w:val="0"/>
              <w:spacing w:before="0" w:beforeAutospacing="0" w:after="0" w:afterAutospacing="0"/>
              <w:ind w:left="0" w:right="0"/>
              <w:rPr>
                <w:rFonts w:hint="default"/>
                <w:color w:val="auto"/>
              </w:rPr>
            </w:pPr>
            <w:r>
              <w:rPr>
                <w:rFonts w:hint="default"/>
                <w:color w:val="auto"/>
              </w:rPr>
              <w:t>0.50</w:t>
            </w:r>
          </w:p>
        </w:tc>
      </w:tr>
      <w:tr w14:paraId="2548E2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700B1F5B">
            <w:pPr>
              <w:pStyle w:val="77"/>
              <w:keepNext w:val="0"/>
              <w:keepLines w:val="0"/>
              <w:suppressLineNumbers w:val="0"/>
              <w:spacing w:before="0" w:beforeAutospacing="0" w:after="0" w:afterAutospacing="0"/>
              <w:ind w:left="0" w:right="0"/>
              <w:rPr>
                <w:rFonts w:hint="default"/>
                <w:color w:val="auto"/>
              </w:rPr>
            </w:pPr>
          </w:p>
        </w:tc>
        <w:tc>
          <w:tcPr>
            <w:tcW w:w="2487" w:type="dxa"/>
            <w:gridSpan w:val="2"/>
            <w:vAlign w:val="center"/>
          </w:tcPr>
          <w:p w14:paraId="75BEE13D">
            <w:pPr>
              <w:pStyle w:val="77"/>
              <w:keepNext w:val="0"/>
              <w:keepLines w:val="0"/>
              <w:suppressLineNumbers w:val="0"/>
              <w:spacing w:before="0" w:beforeAutospacing="0" w:after="0" w:afterAutospacing="0"/>
              <w:ind w:left="0" w:right="0"/>
              <w:rPr>
                <w:rFonts w:hint="default"/>
                <w:color w:val="auto"/>
              </w:rPr>
            </w:pPr>
            <w:r>
              <w:rPr>
                <w:rFonts w:hint="default"/>
                <w:color w:val="auto"/>
              </w:rPr>
              <w:t>20</w:t>
            </w:r>
            <m:oMath>
              <m:r>
                <m:rPr/>
                <w:rPr>
                  <w:rFonts w:hint="default" w:ascii="Cambria Math" w:hAnsi="Cambria Math"/>
                  <w:color w:val="auto"/>
                </w:rPr>
                <m:t>≤</m:t>
              </m:r>
            </m:oMath>
            <w:r>
              <w:rPr>
                <w:rFonts w:hint="default"/>
                <w:color w:val="auto"/>
              </w:rPr>
              <w:t>SV&lt;25</w:t>
            </w:r>
          </w:p>
        </w:tc>
        <w:tc>
          <w:tcPr>
            <w:tcW w:w="1336" w:type="dxa"/>
            <w:vAlign w:val="center"/>
          </w:tcPr>
          <w:p w14:paraId="36D3D2AD">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338" w:type="dxa"/>
            <w:vAlign w:val="center"/>
          </w:tcPr>
          <w:p w14:paraId="774617E0">
            <w:pPr>
              <w:pStyle w:val="77"/>
              <w:keepNext w:val="0"/>
              <w:keepLines w:val="0"/>
              <w:suppressLineNumbers w:val="0"/>
              <w:spacing w:before="0" w:beforeAutospacing="0" w:after="0" w:afterAutospacing="0"/>
              <w:ind w:left="0" w:right="0"/>
              <w:rPr>
                <w:rFonts w:hint="default"/>
                <w:color w:val="auto"/>
              </w:rPr>
            </w:pPr>
            <w:r>
              <w:rPr>
                <w:rFonts w:hint="default"/>
                <w:color w:val="auto"/>
              </w:rPr>
              <w:t>9.8</w:t>
            </w:r>
          </w:p>
        </w:tc>
        <w:tc>
          <w:tcPr>
            <w:tcW w:w="1336" w:type="dxa"/>
            <w:vAlign w:val="center"/>
          </w:tcPr>
          <w:p w14:paraId="570EF531">
            <w:pPr>
              <w:pStyle w:val="77"/>
              <w:keepNext w:val="0"/>
              <w:keepLines w:val="0"/>
              <w:suppressLineNumbers w:val="0"/>
              <w:spacing w:before="0" w:beforeAutospacing="0" w:after="0" w:afterAutospacing="0"/>
              <w:ind w:left="0" w:right="0"/>
              <w:rPr>
                <w:rFonts w:hint="default"/>
                <w:color w:val="auto"/>
              </w:rPr>
            </w:pPr>
            <w:r>
              <w:rPr>
                <w:rFonts w:hint="default"/>
                <w:color w:val="auto"/>
              </w:rPr>
              <w:t>1.8</w:t>
            </w:r>
          </w:p>
        </w:tc>
        <w:tc>
          <w:tcPr>
            <w:tcW w:w="1336" w:type="dxa"/>
            <w:vAlign w:val="center"/>
          </w:tcPr>
          <w:p w14:paraId="73E14CB6">
            <w:pPr>
              <w:pStyle w:val="77"/>
              <w:keepNext w:val="0"/>
              <w:keepLines w:val="0"/>
              <w:suppressLineNumbers w:val="0"/>
              <w:spacing w:before="0" w:beforeAutospacing="0" w:after="0" w:afterAutospacing="0"/>
              <w:ind w:left="0" w:right="0"/>
              <w:rPr>
                <w:rFonts w:hint="default"/>
                <w:color w:val="auto"/>
              </w:rPr>
            </w:pPr>
            <w:r>
              <w:rPr>
                <w:rFonts w:hint="default"/>
                <w:color w:val="auto"/>
              </w:rPr>
              <w:t>0.50</w:t>
            </w:r>
          </w:p>
        </w:tc>
      </w:tr>
      <w:tr w14:paraId="6D69DE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781C55BD">
            <w:pPr>
              <w:pStyle w:val="77"/>
              <w:keepNext w:val="0"/>
              <w:keepLines w:val="0"/>
              <w:suppressLineNumbers w:val="0"/>
              <w:spacing w:before="0" w:beforeAutospacing="0" w:after="0" w:afterAutospacing="0"/>
              <w:ind w:left="0" w:right="0"/>
              <w:rPr>
                <w:rFonts w:hint="default"/>
                <w:color w:val="auto"/>
              </w:rPr>
            </w:pPr>
          </w:p>
        </w:tc>
        <w:tc>
          <w:tcPr>
            <w:tcW w:w="2487" w:type="dxa"/>
            <w:gridSpan w:val="2"/>
            <w:vAlign w:val="center"/>
          </w:tcPr>
          <w:p w14:paraId="72121F1B">
            <w:pPr>
              <w:pStyle w:val="77"/>
              <w:keepNext w:val="0"/>
              <w:keepLines w:val="0"/>
              <w:suppressLineNumbers w:val="0"/>
              <w:spacing w:before="0" w:beforeAutospacing="0" w:after="0" w:afterAutospacing="0"/>
              <w:ind w:left="0" w:right="0"/>
              <w:rPr>
                <w:rFonts w:hint="default"/>
                <w:color w:val="auto"/>
              </w:rPr>
            </w:pPr>
            <w:r>
              <w:rPr>
                <w:rFonts w:hint="default"/>
                <w:color w:val="auto"/>
              </w:rPr>
              <w:t>25</w:t>
            </w:r>
            <m:oMath>
              <m:r>
                <m:rPr/>
                <w:rPr>
                  <w:rFonts w:hint="default" w:ascii="Cambria Math" w:hAnsi="Cambria Math"/>
                  <w:color w:val="auto"/>
                </w:rPr>
                <m:t>≤</m:t>
              </m:r>
            </m:oMath>
            <w:r>
              <w:rPr>
                <w:rFonts w:hint="default"/>
                <w:color w:val="auto"/>
              </w:rPr>
              <w:t>SV&lt;30</w:t>
            </w:r>
          </w:p>
        </w:tc>
        <w:tc>
          <w:tcPr>
            <w:tcW w:w="1336" w:type="dxa"/>
            <w:vAlign w:val="center"/>
          </w:tcPr>
          <w:p w14:paraId="3C403AEE">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338" w:type="dxa"/>
            <w:vAlign w:val="center"/>
          </w:tcPr>
          <w:p w14:paraId="07219A80">
            <w:pPr>
              <w:pStyle w:val="77"/>
              <w:keepNext w:val="0"/>
              <w:keepLines w:val="0"/>
              <w:suppressLineNumbers w:val="0"/>
              <w:spacing w:before="0" w:beforeAutospacing="0" w:after="0" w:afterAutospacing="0"/>
              <w:ind w:left="0" w:right="0"/>
              <w:rPr>
                <w:rFonts w:hint="default"/>
                <w:color w:val="auto"/>
              </w:rPr>
            </w:pPr>
            <w:r>
              <w:rPr>
                <w:rFonts w:hint="default"/>
                <w:color w:val="auto"/>
              </w:rPr>
              <w:t>11.0</w:t>
            </w:r>
          </w:p>
        </w:tc>
        <w:tc>
          <w:tcPr>
            <w:tcW w:w="1336" w:type="dxa"/>
            <w:vAlign w:val="center"/>
          </w:tcPr>
          <w:p w14:paraId="2F30D267">
            <w:pPr>
              <w:pStyle w:val="77"/>
              <w:keepNext w:val="0"/>
              <w:keepLines w:val="0"/>
              <w:suppressLineNumbers w:val="0"/>
              <w:spacing w:before="0" w:beforeAutospacing="0" w:after="0" w:afterAutospacing="0"/>
              <w:ind w:left="0" w:right="0"/>
              <w:rPr>
                <w:rFonts w:hint="default"/>
                <w:color w:val="auto"/>
              </w:rPr>
            </w:pPr>
            <w:r>
              <w:rPr>
                <w:rFonts w:hint="default"/>
                <w:color w:val="auto"/>
              </w:rPr>
              <w:t>2.0</w:t>
            </w:r>
          </w:p>
        </w:tc>
        <w:tc>
          <w:tcPr>
            <w:tcW w:w="1336" w:type="dxa"/>
            <w:vAlign w:val="center"/>
          </w:tcPr>
          <w:p w14:paraId="7F049234">
            <w:pPr>
              <w:pStyle w:val="77"/>
              <w:keepNext w:val="0"/>
              <w:keepLines w:val="0"/>
              <w:suppressLineNumbers w:val="0"/>
              <w:spacing w:before="0" w:beforeAutospacing="0" w:after="0" w:afterAutospacing="0"/>
              <w:ind w:left="0" w:right="0"/>
              <w:rPr>
                <w:rFonts w:hint="default"/>
                <w:color w:val="auto"/>
              </w:rPr>
            </w:pPr>
            <w:r>
              <w:rPr>
                <w:rFonts w:hint="default"/>
                <w:color w:val="auto"/>
              </w:rPr>
              <w:t>0.50</w:t>
            </w:r>
          </w:p>
        </w:tc>
      </w:tr>
    </w:tbl>
    <w:p w14:paraId="11881B3A">
      <w:pPr>
        <w:spacing w:line="240" w:lineRule="exact"/>
        <w:ind w:firstLine="360"/>
        <w:jc w:val="left"/>
        <w:rPr>
          <w:color w:val="auto"/>
          <w:sz w:val="18"/>
          <w:szCs w:val="18"/>
        </w:rPr>
      </w:pPr>
      <w:r>
        <w:rPr>
          <w:color w:val="auto"/>
          <w:sz w:val="18"/>
          <w:szCs w:val="18"/>
        </w:rPr>
        <w:t>注：(1)仅适用于NG（含双燃料）船机。</w:t>
      </w:r>
    </w:p>
    <w:p w14:paraId="2D894920">
      <w:pPr>
        <w:spacing w:line="240" w:lineRule="exact"/>
        <w:ind w:firstLine="360"/>
        <w:jc w:val="left"/>
        <w:rPr>
          <w:color w:val="auto"/>
          <w:sz w:val="18"/>
          <w:szCs w:val="18"/>
          <w:u w:val="single"/>
        </w:rPr>
      </w:pPr>
    </w:p>
    <w:p w14:paraId="06C72E4A">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8</w:t>
      </w:r>
      <w:r>
        <w:rPr>
          <w:color w:val="auto"/>
        </w:rPr>
        <w:fldChar w:fldCharType="end"/>
      </w:r>
      <w:r>
        <w:rPr>
          <w:color w:val="auto"/>
        </w:rPr>
        <w:t>船机排气污染物第二阶段排放限值（GB15097－2016）</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120"/>
        <w:gridCol w:w="1677"/>
        <w:gridCol w:w="1677"/>
        <w:gridCol w:w="1141"/>
        <w:gridCol w:w="1143"/>
        <w:gridCol w:w="1141"/>
        <w:gridCol w:w="1143"/>
      </w:tblGrid>
      <w:tr w14:paraId="4401A8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Align w:val="center"/>
          </w:tcPr>
          <w:p w14:paraId="2247824F">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船机类型</w:t>
            </w:r>
          </w:p>
        </w:tc>
        <w:tc>
          <w:tcPr>
            <w:tcW w:w="1677" w:type="dxa"/>
            <w:vAlign w:val="center"/>
          </w:tcPr>
          <w:p w14:paraId="2C5ED7BC">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单缸排量（SV）（L/缸）</w:t>
            </w:r>
          </w:p>
        </w:tc>
        <w:tc>
          <w:tcPr>
            <w:tcW w:w="1677" w:type="dxa"/>
            <w:vAlign w:val="center"/>
          </w:tcPr>
          <w:p w14:paraId="4D870244">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额定净功率（P）（kW）</w:t>
            </w:r>
          </w:p>
        </w:tc>
        <w:tc>
          <w:tcPr>
            <w:tcW w:w="1141" w:type="dxa"/>
            <w:vAlign w:val="center"/>
          </w:tcPr>
          <w:p w14:paraId="4F6EC2AB">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CO（g/kWh）</w:t>
            </w:r>
          </w:p>
        </w:tc>
        <w:tc>
          <w:tcPr>
            <w:tcW w:w="1143" w:type="dxa"/>
            <w:vAlign w:val="center"/>
          </w:tcPr>
          <w:p w14:paraId="672EFD66">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HC+NO</w:t>
            </w:r>
            <w:r>
              <w:rPr>
                <w:rFonts w:hint="default"/>
                <w:b/>
                <w:bCs/>
                <w:color w:val="auto"/>
                <w:vertAlign w:val="subscript"/>
              </w:rPr>
              <w:t>X</w:t>
            </w:r>
            <w:r>
              <w:rPr>
                <w:rFonts w:hint="default"/>
                <w:b/>
                <w:bCs/>
                <w:color w:val="auto"/>
              </w:rPr>
              <w:t>（g/kWh）</w:t>
            </w:r>
          </w:p>
        </w:tc>
        <w:tc>
          <w:tcPr>
            <w:tcW w:w="1141" w:type="dxa"/>
            <w:vAlign w:val="center"/>
          </w:tcPr>
          <w:p w14:paraId="10BC25BF">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CH</w:t>
            </w:r>
            <w:r>
              <w:rPr>
                <w:rFonts w:hint="default"/>
                <w:b/>
                <w:bCs/>
                <w:color w:val="auto"/>
                <w:vertAlign w:val="subscript"/>
              </w:rPr>
              <w:t>4</w:t>
            </w:r>
            <w:r>
              <w:rPr>
                <w:rFonts w:hint="default"/>
                <w:b/>
                <w:bCs/>
                <w:color w:val="auto"/>
                <w:vertAlign w:val="superscript"/>
              </w:rPr>
              <w:t>(1)</w:t>
            </w:r>
            <w:r>
              <w:rPr>
                <w:rFonts w:hint="default"/>
                <w:b/>
                <w:bCs/>
                <w:color w:val="auto"/>
              </w:rPr>
              <w:t>（g/kWh）</w:t>
            </w:r>
          </w:p>
        </w:tc>
        <w:tc>
          <w:tcPr>
            <w:tcW w:w="1143" w:type="dxa"/>
            <w:vAlign w:val="center"/>
          </w:tcPr>
          <w:p w14:paraId="1D00D540">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PM（g/kWh）</w:t>
            </w:r>
          </w:p>
        </w:tc>
      </w:tr>
      <w:tr w14:paraId="50397D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restart"/>
            <w:vAlign w:val="center"/>
          </w:tcPr>
          <w:p w14:paraId="0EBB7508">
            <w:pPr>
              <w:pStyle w:val="77"/>
              <w:keepNext w:val="0"/>
              <w:keepLines w:val="0"/>
              <w:suppressLineNumbers w:val="0"/>
              <w:spacing w:before="0" w:beforeAutospacing="0" w:after="0" w:afterAutospacing="0"/>
              <w:ind w:left="0" w:right="0"/>
              <w:rPr>
                <w:rFonts w:hint="default"/>
                <w:color w:val="auto"/>
              </w:rPr>
            </w:pPr>
            <w:r>
              <w:rPr>
                <w:rFonts w:hint="default"/>
                <w:color w:val="auto"/>
              </w:rPr>
              <w:t>额定净功率大于或等于37kW并且单缸排量小于5L的船机</w:t>
            </w:r>
          </w:p>
        </w:tc>
        <w:tc>
          <w:tcPr>
            <w:tcW w:w="1677" w:type="dxa"/>
            <w:vAlign w:val="center"/>
          </w:tcPr>
          <w:p w14:paraId="488565F5">
            <w:pPr>
              <w:pStyle w:val="77"/>
              <w:keepNext w:val="0"/>
              <w:keepLines w:val="0"/>
              <w:suppressLineNumbers w:val="0"/>
              <w:spacing w:before="0" w:beforeAutospacing="0" w:after="0" w:afterAutospacing="0"/>
              <w:ind w:left="0" w:right="0"/>
              <w:rPr>
                <w:rFonts w:hint="default"/>
                <w:color w:val="auto"/>
              </w:rPr>
            </w:pPr>
            <w:r>
              <w:rPr>
                <w:rFonts w:hint="default"/>
                <w:color w:val="auto"/>
              </w:rPr>
              <w:t>SV&lt;0.9</w:t>
            </w:r>
          </w:p>
        </w:tc>
        <w:tc>
          <w:tcPr>
            <w:tcW w:w="1677" w:type="dxa"/>
            <w:vAlign w:val="center"/>
          </w:tcPr>
          <w:p w14:paraId="40A54EBB">
            <w:pPr>
              <w:pStyle w:val="77"/>
              <w:keepNext w:val="0"/>
              <w:keepLines w:val="0"/>
              <w:suppressLineNumbers w:val="0"/>
              <w:spacing w:before="0" w:beforeAutospacing="0" w:after="0" w:afterAutospacing="0"/>
              <w:ind w:left="0" w:right="0"/>
              <w:rPr>
                <w:rFonts w:hint="default"/>
                <w:color w:val="auto"/>
              </w:rPr>
            </w:pPr>
            <w:r>
              <w:rPr>
                <w:rFonts w:hint="default"/>
                <w:color w:val="auto"/>
              </w:rPr>
              <w:t>P</w:t>
            </w:r>
            <m:oMath>
              <m:r>
                <m:rPr/>
                <w:rPr>
                  <w:rFonts w:hint="default" w:ascii="Cambria Math" w:hAnsi="Cambria Math"/>
                  <w:color w:val="auto"/>
                </w:rPr>
                <m:t>≥</m:t>
              </m:r>
            </m:oMath>
            <w:r>
              <w:rPr>
                <w:rFonts w:hint="default"/>
                <w:color w:val="auto"/>
              </w:rPr>
              <w:t>37</w:t>
            </w:r>
          </w:p>
        </w:tc>
        <w:tc>
          <w:tcPr>
            <w:tcW w:w="1141" w:type="dxa"/>
            <w:vAlign w:val="center"/>
          </w:tcPr>
          <w:p w14:paraId="20CA36E6">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143" w:type="dxa"/>
            <w:vAlign w:val="center"/>
          </w:tcPr>
          <w:p w14:paraId="08A8DCAA">
            <w:pPr>
              <w:pStyle w:val="77"/>
              <w:keepNext w:val="0"/>
              <w:keepLines w:val="0"/>
              <w:suppressLineNumbers w:val="0"/>
              <w:spacing w:before="0" w:beforeAutospacing="0" w:after="0" w:afterAutospacing="0"/>
              <w:ind w:left="0" w:right="0"/>
              <w:rPr>
                <w:rFonts w:hint="default"/>
                <w:color w:val="auto"/>
              </w:rPr>
            </w:pPr>
            <w:r>
              <w:rPr>
                <w:rFonts w:hint="default"/>
                <w:color w:val="auto"/>
              </w:rPr>
              <w:t>5.8</w:t>
            </w:r>
          </w:p>
        </w:tc>
        <w:tc>
          <w:tcPr>
            <w:tcW w:w="1141" w:type="dxa"/>
            <w:vAlign w:val="center"/>
          </w:tcPr>
          <w:p w14:paraId="512627B2">
            <w:pPr>
              <w:pStyle w:val="77"/>
              <w:keepNext w:val="0"/>
              <w:keepLines w:val="0"/>
              <w:suppressLineNumbers w:val="0"/>
              <w:spacing w:before="0" w:beforeAutospacing="0" w:after="0" w:afterAutospacing="0"/>
              <w:ind w:left="0" w:right="0"/>
              <w:rPr>
                <w:rFonts w:hint="default"/>
                <w:color w:val="auto"/>
              </w:rPr>
            </w:pPr>
            <w:r>
              <w:rPr>
                <w:rFonts w:hint="default"/>
                <w:color w:val="auto"/>
              </w:rPr>
              <w:t>1.0</w:t>
            </w:r>
          </w:p>
        </w:tc>
        <w:tc>
          <w:tcPr>
            <w:tcW w:w="1143" w:type="dxa"/>
            <w:vAlign w:val="center"/>
          </w:tcPr>
          <w:p w14:paraId="3FCDAB82">
            <w:pPr>
              <w:pStyle w:val="77"/>
              <w:keepNext w:val="0"/>
              <w:keepLines w:val="0"/>
              <w:suppressLineNumbers w:val="0"/>
              <w:spacing w:before="0" w:beforeAutospacing="0" w:after="0" w:afterAutospacing="0"/>
              <w:ind w:left="0" w:right="0"/>
              <w:rPr>
                <w:rFonts w:hint="default"/>
                <w:color w:val="auto"/>
              </w:rPr>
            </w:pPr>
            <w:r>
              <w:rPr>
                <w:rFonts w:hint="default"/>
                <w:color w:val="auto"/>
              </w:rPr>
              <w:t>0.3</w:t>
            </w:r>
          </w:p>
        </w:tc>
      </w:tr>
      <w:tr w14:paraId="308A42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489F10E8">
            <w:pPr>
              <w:pStyle w:val="77"/>
              <w:keepNext w:val="0"/>
              <w:keepLines w:val="0"/>
              <w:suppressLineNumbers w:val="0"/>
              <w:spacing w:before="0" w:beforeAutospacing="0" w:after="0" w:afterAutospacing="0"/>
              <w:ind w:left="0" w:right="0"/>
              <w:rPr>
                <w:rFonts w:hint="default"/>
                <w:color w:val="auto"/>
              </w:rPr>
            </w:pPr>
          </w:p>
        </w:tc>
        <w:tc>
          <w:tcPr>
            <w:tcW w:w="3354" w:type="dxa"/>
            <w:gridSpan w:val="2"/>
            <w:vAlign w:val="center"/>
          </w:tcPr>
          <w:p w14:paraId="19586AE7">
            <w:pPr>
              <w:pStyle w:val="77"/>
              <w:keepNext w:val="0"/>
              <w:keepLines w:val="0"/>
              <w:suppressLineNumbers w:val="0"/>
              <w:spacing w:before="0" w:beforeAutospacing="0" w:after="0" w:afterAutospacing="0"/>
              <w:ind w:left="0" w:right="0"/>
              <w:rPr>
                <w:rFonts w:hint="default"/>
                <w:color w:val="auto"/>
              </w:rPr>
            </w:pPr>
            <w:r>
              <w:rPr>
                <w:rFonts w:hint="default"/>
                <w:color w:val="auto"/>
              </w:rPr>
              <w:t>0.9</w:t>
            </w:r>
            <m:oMath>
              <m:r>
                <m:rPr/>
                <w:rPr>
                  <w:rFonts w:hint="default" w:ascii="Cambria Math" w:hAnsi="Cambria Math"/>
                  <w:color w:val="auto"/>
                </w:rPr>
                <m:t>≤</m:t>
              </m:r>
            </m:oMath>
            <w:r>
              <w:rPr>
                <w:rFonts w:hint="default"/>
                <w:color w:val="auto"/>
              </w:rPr>
              <w:t>SV&lt;1.2</w:t>
            </w:r>
          </w:p>
        </w:tc>
        <w:tc>
          <w:tcPr>
            <w:tcW w:w="1141" w:type="dxa"/>
            <w:vAlign w:val="center"/>
          </w:tcPr>
          <w:p w14:paraId="7009D27E">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143" w:type="dxa"/>
            <w:vAlign w:val="center"/>
          </w:tcPr>
          <w:p w14:paraId="43DD1CEA">
            <w:pPr>
              <w:pStyle w:val="77"/>
              <w:keepNext w:val="0"/>
              <w:keepLines w:val="0"/>
              <w:suppressLineNumbers w:val="0"/>
              <w:spacing w:before="0" w:beforeAutospacing="0" w:after="0" w:afterAutospacing="0"/>
              <w:ind w:left="0" w:right="0"/>
              <w:rPr>
                <w:rFonts w:hint="default"/>
                <w:color w:val="auto"/>
              </w:rPr>
            </w:pPr>
            <w:r>
              <w:rPr>
                <w:rFonts w:hint="default"/>
                <w:color w:val="auto"/>
              </w:rPr>
              <w:t>5.8</w:t>
            </w:r>
          </w:p>
        </w:tc>
        <w:tc>
          <w:tcPr>
            <w:tcW w:w="1141" w:type="dxa"/>
            <w:vAlign w:val="center"/>
          </w:tcPr>
          <w:p w14:paraId="14AB21A4">
            <w:pPr>
              <w:pStyle w:val="77"/>
              <w:keepNext w:val="0"/>
              <w:keepLines w:val="0"/>
              <w:suppressLineNumbers w:val="0"/>
              <w:spacing w:before="0" w:beforeAutospacing="0" w:after="0" w:afterAutospacing="0"/>
              <w:ind w:left="0" w:right="0"/>
              <w:rPr>
                <w:rFonts w:hint="default"/>
                <w:color w:val="auto"/>
              </w:rPr>
            </w:pPr>
            <w:r>
              <w:rPr>
                <w:rFonts w:hint="default"/>
                <w:color w:val="auto"/>
              </w:rPr>
              <w:t>1.0</w:t>
            </w:r>
          </w:p>
        </w:tc>
        <w:tc>
          <w:tcPr>
            <w:tcW w:w="1143" w:type="dxa"/>
            <w:vAlign w:val="center"/>
          </w:tcPr>
          <w:p w14:paraId="043641E3">
            <w:pPr>
              <w:pStyle w:val="77"/>
              <w:keepNext w:val="0"/>
              <w:keepLines w:val="0"/>
              <w:suppressLineNumbers w:val="0"/>
              <w:spacing w:before="0" w:beforeAutospacing="0" w:after="0" w:afterAutospacing="0"/>
              <w:ind w:left="0" w:right="0"/>
              <w:rPr>
                <w:rFonts w:hint="default"/>
                <w:color w:val="auto"/>
              </w:rPr>
            </w:pPr>
            <w:r>
              <w:rPr>
                <w:rFonts w:hint="default"/>
                <w:color w:val="auto"/>
              </w:rPr>
              <w:t>0.14</w:t>
            </w:r>
          </w:p>
        </w:tc>
      </w:tr>
      <w:tr w14:paraId="6435C2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43265309">
            <w:pPr>
              <w:pStyle w:val="77"/>
              <w:keepNext w:val="0"/>
              <w:keepLines w:val="0"/>
              <w:suppressLineNumbers w:val="0"/>
              <w:spacing w:before="0" w:beforeAutospacing="0" w:after="0" w:afterAutospacing="0"/>
              <w:ind w:left="0" w:right="0"/>
              <w:rPr>
                <w:rFonts w:hint="default"/>
                <w:color w:val="auto"/>
              </w:rPr>
            </w:pPr>
          </w:p>
        </w:tc>
        <w:tc>
          <w:tcPr>
            <w:tcW w:w="3354" w:type="dxa"/>
            <w:gridSpan w:val="2"/>
            <w:vAlign w:val="center"/>
          </w:tcPr>
          <w:p w14:paraId="304C69FF">
            <w:pPr>
              <w:pStyle w:val="77"/>
              <w:keepNext w:val="0"/>
              <w:keepLines w:val="0"/>
              <w:suppressLineNumbers w:val="0"/>
              <w:spacing w:before="0" w:beforeAutospacing="0" w:after="0" w:afterAutospacing="0"/>
              <w:ind w:left="0" w:right="0"/>
              <w:rPr>
                <w:rFonts w:hint="default"/>
                <w:color w:val="auto"/>
              </w:rPr>
            </w:pPr>
            <w:r>
              <w:rPr>
                <w:rFonts w:hint="default"/>
                <w:color w:val="auto"/>
              </w:rPr>
              <w:t>1.2</w:t>
            </w:r>
            <m:oMath>
              <m:r>
                <m:rPr/>
                <w:rPr>
                  <w:rFonts w:hint="default" w:ascii="Cambria Math" w:hAnsi="Cambria Math"/>
                  <w:color w:val="auto"/>
                </w:rPr>
                <m:t>≤</m:t>
              </m:r>
            </m:oMath>
            <w:r>
              <w:rPr>
                <w:rFonts w:hint="default"/>
                <w:color w:val="auto"/>
              </w:rPr>
              <w:t>SV&lt;5</w:t>
            </w:r>
          </w:p>
        </w:tc>
        <w:tc>
          <w:tcPr>
            <w:tcW w:w="1141" w:type="dxa"/>
            <w:vAlign w:val="center"/>
          </w:tcPr>
          <w:p w14:paraId="7E8B1A6C">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143" w:type="dxa"/>
            <w:vAlign w:val="center"/>
          </w:tcPr>
          <w:p w14:paraId="3981A9AE">
            <w:pPr>
              <w:pStyle w:val="77"/>
              <w:keepNext w:val="0"/>
              <w:keepLines w:val="0"/>
              <w:suppressLineNumbers w:val="0"/>
              <w:spacing w:before="0" w:beforeAutospacing="0" w:after="0" w:afterAutospacing="0"/>
              <w:ind w:left="0" w:right="0"/>
              <w:rPr>
                <w:rFonts w:hint="default"/>
                <w:color w:val="auto"/>
              </w:rPr>
            </w:pPr>
            <w:r>
              <w:rPr>
                <w:rFonts w:hint="default"/>
                <w:color w:val="auto"/>
              </w:rPr>
              <w:t>5.8</w:t>
            </w:r>
          </w:p>
        </w:tc>
        <w:tc>
          <w:tcPr>
            <w:tcW w:w="1141" w:type="dxa"/>
            <w:vAlign w:val="center"/>
          </w:tcPr>
          <w:p w14:paraId="3E574935">
            <w:pPr>
              <w:pStyle w:val="77"/>
              <w:keepNext w:val="0"/>
              <w:keepLines w:val="0"/>
              <w:suppressLineNumbers w:val="0"/>
              <w:spacing w:before="0" w:beforeAutospacing="0" w:after="0" w:afterAutospacing="0"/>
              <w:ind w:left="0" w:right="0"/>
              <w:rPr>
                <w:rFonts w:hint="default"/>
                <w:color w:val="auto"/>
              </w:rPr>
            </w:pPr>
            <w:r>
              <w:rPr>
                <w:rFonts w:hint="default"/>
                <w:color w:val="auto"/>
              </w:rPr>
              <w:t>1.0</w:t>
            </w:r>
          </w:p>
        </w:tc>
        <w:tc>
          <w:tcPr>
            <w:tcW w:w="1143" w:type="dxa"/>
            <w:vAlign w:val="center"/>
          </w:tcPr>
          <w:p w14:paraId="35A05DA8">
            <w:pPr>
              <w:pStyle w:val="77"/>
              <w:keepNext w:val="0"/>
              <w:keepLines w:val="0"/>
              <w:suppressLineNumbers w:val="0"/>
              <w:spacing w:before="0" w:beforeAutospacing="0" w:after="0" w:afterAutospacing="0"/>
              <w:ind w:left="0" w:right="0"/>
              <w:rPr>
                <w:rFonts w:hint="default"/>
                <w:color w:val="auto"/>
              </w:rPr>
            </w:pPr>
            <w:r>
              <w:rPr>
                <w:rFonts w:hint="default"/>
                <w:color w:val="auto"/>
              </w:rPr>
              <w:t>0.12</w:t>
            </w:r>
          </w:p>
        </w:tc>
      </w:tr>
      <w:tr w14:paraId="790FEF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restart"/>
            <w:vAlign w:val="center"/>
          </w:tcPr>
          <w:p w14:paraId="7D8605ED">
            <w:pPr>
              <w:pStyle w:val="77"/>
              <w:keepNext w:val="0"/>
              <w:keepLines w:val="0"/>
              <w:suppressLineNumbers w:val="0"/>
              <w:spacing w:before="0" w:beforeAutospacing="0" w:after="0" w:afterAutospacing="0"/>
              <w:ind w:left="0" w:right="0"/>
              <w:rPr>
                <w:rFonts w:hint="default"/>
                <w:color w:val="auto"/>
              </w:rPr>
            </w:pPr>
            <w:r>
              <w:rPr>
                <w:rFonts w:hint="default"/>
                <w:color w:val="auto"/>
              </w:rPr>
              <w:t>单缸排量大于或等于5L且小于30L的船机</w:t>
            </w:r>
          </w:p>
        </w:tc>
        <w:tc>
          <w:tcPr>
            <w:tcW w:w="1677" w:type="dxa"/>
            <w:vMerge w:val="restart"/>
            <w:vAlign w:val="center"/>
          </w:tcPr>
          <w:p w14:paraId="199E40C6">
            <w:pPr>
              <w:pStyle w:val="77"/>
              <w:keepNext w:val="0"/>
              <w:keepLines w:val="0"/>
              <w:suppressLineNumbers w:val="0"/>
              <w:spacing w:before="0" w:beforeAutospacing="0" w:after="0" w:afterAutospacing="0"/>
              <w:ind w:left="0" w:right="0"/>
              <w:rPr>
                <w:rFonts w:hint="default"/>
                <w:color w:val="auto"/>
              </w:rPr>
            </w:pPr>
            <w:r>
              <w:rPr>
                <w:rFonts w:hint="default"/>
                <w:color w:val="auto"/>
              </w:rPr>
              <w:t>5</w:t>
            </w:r>
            <m:oMath>
              <m:r>
                <m:rPr/>
                <w:rPr>
                  <w:rFonts w:hint="default" w:ascii="Cambria Math" w:hAnsi="Cambria Math"/>
                  <w:color w:val="auto"/>
                </w:rPr>
                <m:t>≤</m:t>
              </m:r>
            </m:oMath>
            <w:r>
              <w:rPr>
                <w:rFonts w:hint="default"/>
                <w:color w:val="auto"/>
              </w:rPr>
              <w:t>SV&lt;15</w:t>
            </w:r>
          </w:p>
        </w:tc>
        <w:tc>
          <w:tcPr>
            <w:tcW w:w="1677" w:type="dxa"/>
            <w:vAlign w:val="center"/>
          </w:tcPr>
          <w:p w14:paraId="6727A027">
            <w:pPr>
              <w:pStyle w:val="77"/>
              <w:keepNext w:val="0"/>
              <w:keepLines w:val="0"/>
              <w:suppressLineNumbers w:val="0"/>
              <w:spacing w:before="0" w:beforeAutospacing="0" w:after="0" w:afterAutospacing="0"/>
              <w:ind w:left="0" w:right="0"/>
              <w:rPr>
                <w:rFonts w:hint="default"/>
                <w:color w:val="auto"/>
              </w:rPr>
            </w:pPr>
            <w:r>
              <w:rPr>
                <w:rFonts w:hint="default"/>
                <w:color w:val="auto"/>
              </w:rPr>
              <w:t>P&lt;2000</w:t>
            </w:r>
          </w:p>
        </w:tc>
        <w:tc>
          <w:tcPr>
            <w:tcW w:w="1141" w:type="dxa"/>
            <w:vAlign w:val="center"/>
          </w:tcPr>
          <w:p w14:paraId="7637E928">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143" w:type="dxa"/>
            <w:vAlign w:val="center"/>
          </w:tcPr>
          <w:p w14:paraId="59F8A06F">
            <w:pPr>
              <w:pStyle w:val="77"/>
              <w:keepNext w:val="0"/>
              <w:keepLines w:val="0"/>
              <w:suppressLineNumbers w:val="0"/>
              <w:spacing w:before="0" w:beforeAutospacing="0" w:after="0" w:afterAutospacing="0"/>
              <w:ind w:left="0" w:right="0"/>
              <w:rPr>
                <w:rFonts w:hint="default"/>
                <w:color w:val="auto"/>
              </w:rPr>
            </w:pPr>
            <w:r>
              <w:rPr>
                <w:rFonts w:hint="default"/>
                <w:color w:val="auto"/>
              </w:rPr>
              <w:t>6.2</w:t>
            </w:r>
          </w:p>
        </w:tc>
        <w:tc>
          <w:tcPr>
            <w:tcW w:w="1141" w:type="dxa"/>
            <w:vAlign w:val="center"/>
          </w:tcPr>
          <w:p w14:paraId="322FBABC">
            <w:pPr>
              <w:pStyle w:val="77"/>
              <w:keepNext w:val="0"/>
              <w:keepLines w:val="0"/>
              <w:suppressLineNumbers w:val="0"/>
              <w:spacing w:before="0" w:beforeAutospacing="0" w:after="0" w:afterAutospacing="0"/>
              <w:ind w:left="0" w:right="0"/>
              <w:rPr>
                <w:rFonts w:hint="default"/>
                <w:color w:val="auto"/>
              </w:rPr>
            </w:pPr>
            <w:r>
              <w:rPr>
                <w:rFonts w:hint="default"/>
                <w:color w:val="auto"/>
              </w:rPr>
              <w:t>1.5</w:t>
            </w:r>
          </w:p>
        </w:tc>
        <w:tc>
          <w:tcPr>
            <w:tcW w:w="1143" w:type="dxa"/>
            <w:vAlign w:val="center"/>
          </w:tcPr>
          <w:p w14:paraId="6C1B942A">
            <w:pPr>
              <w:pStyle w:val="77"/>
              <w:keepNext w:val="0"/>
              <w:keepLines w:val="0"/>
              <w:suppressLineNumbers w:val="0"/>
              <w:spacing w:before="0" w:beforeAutospacing="0" w:after="0" w:afterAutospacing="0"/>
              <w:ind w:left="0" w:right="0"/>
              <w:rPr>
                <w:rFonts w:hint="default"/>
                <w:color w:val="auto"/>
              </w:rPr>
            </w:pPr>
            <w:r>
              <w:rPr>
                <w:rFonts w:hint="default"/>
                <w:color w:val="auto"/>
              </w:rPr>
              <w:t>0.14</w:t>
            </w:r>
          </w:p>
        </w:tc>
      </w:tr>
      <w:tr w14:paraId="58FD2A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7359EB39">
            <w:pPr>
              <w:pStyle w:val="77"/>
              <w:keepNext w:val="0"/>
              <w:keepLines w:val="0"/>
              <w:suppressLineNumbers w:val="0"/>
              <w:spacing w:before="0" w:beforeAutospacing="0" w:after="0" w:afterAutospacing="0"/>
              <w:ind w:left="0" w:right="0"/>
              <w:rPr>
                <w:rFonts w:hint="default"/>
                <w:color w:val="auto"/>
              </w:rPr>
            </w:pPr>
          </w:p>
        </w:tc>
        <w:tc>
          <w:tcPr>
            <w:tcW w:w="1677" w:type="dxa"/>
            <w:vMerge w:val="continue"/>
            <w:vAlign w:val="center"/>
          </w:tcPr>
          <w:p w14:paraId="5BA1D17B">
            <w:pPr>
              <w:pStyle w:val="77"/>
              <w:keepNext w:val="0"/>
              <w:keepLines w:val="0"/>
              <w:suppressLineNumbers w:val="0"/>
              <w:spacing w:before="0" w:beforeAutospacing="0" w:after="0" w:afterAutospacing="0"/>
              <w:ind w:left="0" w:right="0"/>
              <w:rPr>
                <w:rFonts w:hint="default"/>
                <w:color w:val="auto"/>
              </w:rPr>
            </w:pPr>
          </w:p>
        </w:tc>
        <w:tc>
          <w:tcPr>
            <w:tcW w:w="1677" w:type="dxa"/>
            <w:vAlign w:val="center"/>
          </w:tcPr>
          <w:p w14:paraId="69EE4B8D">
            <w:pPr>
              <w:pStyle w:val="77"/>
              <w:keepNext w:val="0"/>
              <w:keepLines w:val="0"/>
              <w:suppressLineNumbers w:val="0"/>
              <w:spacing w:before="0" w:beforeAutospacing="0" w:after="0" w:afterAutospacing="0"/>
              <w:ind w:left="0" w:right="0"/>
              <w:rPr>
                <w:rFonts w:hint="default"/>
                <w:color w:val="auto"/>
              </w:rPr>
            </w:pPr>
            <w:r>
              <w:rPr>
                <w:rFonts w:hint="default"/>
                <w:color w:val="auto"/>
              </w:rPr>
              <w:t>2000</w:t>
            </w:r>
            <m:oMath>
              <m:r>
                <m:rPr/>
                <w:rPr>
                  <w:rFonts w:hint="default" w:ascii="Cambria Math" w:hAnsi="Cambria Math"/>
                  <w:color w:val="auto"/>
                </w:rPr>
                <m:t>≤</m:t>
              </m:r>
            </m:oMath>
            <w:r>
              <w:rPr>
                <w:rFonts w:hint="default"/>
                <w:color w:val="auto"/>
              </w:rPr>
              <w:t>SV&lt;3700</w:t>
            </w:r>
          </w:p>
        </w:tc>
        <w:tc>
          <w:tcPr>
            <w:tcW w:w="1141" w:type="dxa"/>
            <w:vAlign w:val="center"/>
          </w:tcPr>
          <w:p w14:paraId="75D54154">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143" w:type="dxa"/>
            <w:vAlign w:val="center"/>
          </w:tcPr>
          <w:p w14:paraId="11381CF1">
            <w:pPr>
              <w:pStyle w:val="77"/>
              <w:keepNext w:val="0"/>
              <w:keepLines w:val="0"/>
              <w:suppressLineNumbers w:val="0"/>
              <w:spacing w:before="0" w:beforeAutospacing="0" w:after="0" w:afterAutospacing="0"/>
              <w:ind w:left="0" w:right="0"/>
              <w:rPr>
                <w:rFonts w:hint="default"/>
                <w:color w:val="auto"/>
              </w:rPr>
            </w:pPr>
            <w:r>
              <w:rPr>
                <w:rFonts w:hint="default"/>
                <w:color w:val="auto"/>
              </w:rPr>
              <w:t>7.8</w:t>
            </w:r>
          </w:p>
        </w:tc>
        <w:tc>
          <w:tcPr>
            <w:tcW w:w="1141" w:type="dxa"/>
            <w:vAlign w:val="center"/>
          </w:tcPr>
          <w:p w14:paraId="30BB12E8">
            <w:pPr>
              <w:pStyle w:val="77"/>
              <w:keepNext w:val="0"/>
              <w:keepLines w:val="0"/>
              <w:suppressLineNumbers w:val="0"/>
              <w:spacing w:before="0" w:beforeAutospacing="0" w:after="0" w:afterAutospacing="0"/>
              <w:ind w:left="0" w:right="0"/>
              <w:rPr>
                <w:rFonts w:hint="default"/>
                <w:color w:val="auto"/>
              </w:rPr>
            </w:pPr>
            <w:r>
              <w:rPr>
                <w:rFonts w:hint="default"/>
                <w:color w:val="auto"/>
              </w:rPr>
              <w:t>1.5</w:t>
            </w:r>
          </w:p>
        </w:tc>
        <w:tc>
          <w:tcPr>
            <w:tcW w:w="1143" w:type="dxa"/>
            <w:vAlign w:val="center"/>
          </w:tcPr>
          <w:p w14:paraId="13D12174">
            <w:pPr>
              <w:pStyle w:val="77"/>
              <w:keepNext w:val="0"/>
              <w:keepLines w:val="0"/>
              <w:suppressLineNumbers w:val="0"/>
              <w:spacing w:before="0" w:beforeAutospacing="0" w:after="0" w:afterAutospacing="0"/>
              <w:ind w:left="0" w:right="0"/>
              <w:rPr>
                <w:rFonts w:hint="default"/>
                <w:color w:val="auto"/>
              </w:rPr>
            </w:pPr>
            <w:r>
              <w:rPr>
                <w:rFonts w:hint="default"/>
                <w:color w:val="auto"/>
              </w:rPr>
              <w:t>0.14</w:t>
            </w:r>
          </w:p>
        </w:tc>
      </w:tr>
      <w:tr w14:paraId="63B0DB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03521FF3">
            <w:pPr>
              <w:pStyle w:val="77"/>
              <w:keepNext w:val="0"/>
              <w:keepLines w:val="0"/>
              <w:suppressLineNumbers w:val="0"/>
              <w:spacing w:before="0" w:beforeAutospacing="0" w:after="0" w:afterAutospacing="0"/>
              <w:ind w:left="0" w:right="0"/>
              <w:rPr>
                <w:rFonts w:hint="default"/>
                <w:color w:val="auto"/>
              </w:rPr>
            </w:pPr>
          </w:p>
        </w:tc>
        <w:tc>
          <w:tcPr>
            <w:tcW w:w="1677" w:type="dxa"/>
            <w:vMerge w:val="continue"/>
            <w:vAlign w:val="center"/>
          </w:tcPr>
          <w:p w14:paraId="00A05A2A">
            <w:pPr>
              <w:pStyle w:val="77"/>
              <w:keepNext w:val="0"/>
              <w:keepLines w:val="0"/>
              <w:suppressLineNumbers w:val="0"/>
              <w:spacing w:before="0" w:beforeAutospacing="0" w:after="0" w:afterAutospacing="0"/>
              <w:ind w:left="0" w:right="0"/>
              <w:rPr>
                <w:rFonts w:hint="default"/>
                <w:color w:val="auto"/>
              </w:rPr>
            </w:pPr>
          </w:p>
        </w:tc>
        <w:tc>
          <w:tcPr>
            <w:tcW w:w="1677" w:type="dxa"/>
            <w:vAlign w:val="center"/>
          </w:tcPr>
          <w:p w14:paraId="22AFA92C">
            <w:pPr>
              <w:pStyle w:val="77"/>
              <w:keepNext w:val="0"/>
              <w:keepLines w:val="0"/>
              <w:suppressLineNumbers w:val="0"/>
              <w:spacing w:before="0" w:beforeAutospacing="0" w:after="0" w:afterAutospacing="0"/>
              <w:ind w:left="0" w:right="0"/>
              <w:rPr>
                <w:rFonts w:hint="default"/>
                <w:color w:val="auto"/>
              </w:rPr>
            </w:pPr>
            <w:r>
              <w:rPr>
                <w:rFonts w:hint="default"/>
                <w:color w:val="auto"/>
              </w:rPr>
              <w:t>P</w:t>
            </w:r>
            <m:oMath>
              <m:r>
                <m:rPr/>
                <w:rPr>
                  <w:rFonts w:hint="default" w:ascii="Cambria Math" w:hAnsi="Cambria Math"/>
                  <w:color w:val="auto"/>
                </w:rPr>
                <m:t>≥</m:t>
              </m:r>
            </m:oMath>
            <w:r>
              <w:rPr>
                <w:rFonts w:hint="default"/>
                <w:color w:val="auto"/>
              </w:rPr>
              <w:t>3700</w:t>
            </w:r>
          </w:p>
        </w:tc>
        <w:tc>
          <w:tcPr>
            <w:tcW w:w="1141" w:type="dxa"/>
            <w:vAlign w:val="center"/>
          </w:tcPr>
          <w:p w14:paraId="47F9B207">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143" w:type="dxa"/>
            <w:vAlign w:val="center"/>
          </w:tcPr>
          <w:p w14:paraId="512F9451">
            <w:pPr>
              <w:pStyle w:val="77"/>
              <w:keepNext w:val="0"/>
              <w:keepLines w:val="0"/>
              <w:suppressLineNumbers w:val="0"/>
              <w:spacing w:before="0" w:beforeAutospacing="0" w:after="0" w:afterAutospacing="0"/>
              <w:ind w:left="0" w:right="0"/>
              <w:rPr>
                <w:rFonts w:hint="default"/>
                <w:color w:val="auto"/>
              </w:rPr>
            </w:pPr>
            <w:r>
              <w:rPr>
                <w:rFonts w:hint="default"/>
                <w:color w:val="auto"/>
              </w:rPr>
              <w:t>7.8</w:t>
            </w:r>
          </w:p>
        </w:tc>
        <w:tc>
          <w:tcPr>
            <w:tcW w:w="1141" w:type="dxa"/>
            <w:vAlign w:val="center"/>
          </w:tcPr>
          <w:p w14:paraId="2959BA73">
            <w:pPr>
              <w:pStyle w:val="77"/>
              <w:keepNext w:val="0"/>
              <w:keepLines w:val="0"/>
              <w:suppressLineNumbers w:val="0"/>
              <w:spacing w:before="0" w:beforeAutospacing="0" w:after="0" w:afterAutospacing="0"/>
              <w:ind w:left="0" w:right="0"/>
              <w:rPr>
                <w:rFonts w:hint="default"/>
                <w:color w:val="auto"/>
              </w:rPr>
            </w:pPr>
            <w:r>
              <w:rPr>
                <w:rFonts w:hint="default"/>
                <w:color w:val="auto"/>
              </w:rPr>
              <w:t>1.5</w:t>
            </w:r>
          </w:p>
        </w:tc>
        <w:tc>
          <w:tcPr>
            <w:tcW w:w="1143" w:type="dxa"/>
            <w:vAlign w:val="center"/>
          </w:tcPr>
          <w:p w14:paraId="72528B24">
            <w:pPr>
              <w:pStyle w:val="77"/>
              <w:keepNext w:val="0"/>
              <w:keepLines w:val="0"/>
              <w:suppressLineNumbers w:val="0"/>
              <w:spacing w:before="0" w:beforeAutospacing="0" w:after="0" w:afterAutospacing="0"/>
              <w:ind w:left="0" w:right="0"/>
              <w:rPr>
                <w:rFonts w:hint="default"/>
                <w:color w:val="auto"/>
              </w:rPr>
            </w:pPr>
            <w:r>
              <w:rPr>
                <w:rFonts w:hint="default"/>
                <w:color w:val="auto"/>
              </w:rPr>
              <w:t>0.27</w:t>
            </w:r>
          </w:p>
        </w:tc>
      </w:tr>
      <w:tr w14:paraId="09DD9E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12D69FA1">
            <w:pPr>
              <w:pStyle w:val="77"/>
              <w:keepNext w:val="0"/>
              <w:keepLines w:val="0"/>
              <w:suppressLineNumbers w:val="0"/>
              <w:spacing w:before="0" w:beforeAutospacing="0" w:after="0" w:afterAutospacing="0"/>
              <w:ind w:left="0" w:right="0"/>
              <w:rPr>
                <w:rFonts w:hint="default"/>
                <w:color w:val="auto"/>
              </w:rPr>
            </w:pPr>
          </w:p>
        </w:tc>
        <w:tc>
          <w:tcPr>
            <w:tcW w:w="1677" w:type="dxa"/>
            <w:vMerge w:val="restart"/>
            <w:vAlign w:val="center"/>
          </w:tcPr>
          <w:p w14:paraId="4EB6A460">
            <w:pPr>
              <w:pStyle w:val="77"/>
              <w:keepNext w:val="0"/>
              <w:keepLines w:val="0"/>
              <w:suppressLineNumbers w:val="0"/>
              <w:spacing w:before="0" w:beforeAutospacing="0" w:after="0" w:afterAutospacing="0"/>
              <w:ind w:left="0" w:right="0"/>
              <w:rPr>
                <w:rFonts w:hint="default"/>
                <w:color w:val="auto"/>
              </w:rPr>
            </w:pPr>
            <w:r>
              <w:rPr>
                <w:rFonts w:hint="default"/>
                <w:color w:val="auto"/>
              </w:rPr>
              <w:t>15</w:t>
            </w:r>
            <m:oMath>
              <m:r>
                <m:rPr/>
                <w:rPr>
                  <w:rFonts w:hint="default" w:ascii="Cambria Math" w:hAnsi="Cambria Math"/>
                  <w:color w:val="auto"/>
                </w:rPr>
                <m:t>≤</m:t>
              </m:r>
            </m:oMath>
            <w:r>
              <w:rPr>
                <w:rFonts w:hint="default"/>
                <w:color w:val="auto"/>
              </w:rPr>
              <w:t>SV&lt;20</w:t>
            </w:r>
          </w:p>
        </w:tc>
        <w:tc>
          <w:tcPr>
            <w:tcW w:w="1677" w:type="dxa"/>
            <w:vAlign w:val="center"/>
          </w:tcPr>
          <w:p w14:paraId="4FCCDC41">
            <w:pPr>
              <w:pStyle w:val="77"/>
              <w:keepNext w:val="0"/>
              <w:keepLines w:val="0"/>
              <w:suppressLineNumbers w:val="0"/>
              <w:spacing w:before="0" w:beforeAutospacing="0" w:after="0" w:afterAutospacing="0"/>
              <w:ind w:left="0" w:right="0"/>
              <w:rPr>
                <w:rFonts w:hint="default"/>
                <w:color w:val="auto"/>
              </w:rPr>
            </w:pPr>
            <w:r>
              <w:rPr>
                <w:rFonts w:hint="default"/>
                <w:color w:val="auto"/>
              </w:rPr>
              <w:t>P&lt;2000</w:t>
            </w:r>
          </w:p>
        </w:tc>
        <w:tc>
          <w:tcPr>
            <w:tcW w:w="1141" w:type="dxa"/>
            <w:vAlign w:val="center"/>
          </w:tcPr>
          <w:p w14:paraId="012A7A3E">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143" w:type="dxa"/>
            <w:vAlign w:val="center"/>
          </w:tcPr>
          <w:p w14:paraId="55A03AB8">
            <w:pPr>
              <w:pStyle w:val="77"/>
              <w:keepNext w:val="0"/>
              <w:keepLines w:val="0"/>
              <w:suppressLineNumbers w:val="0"/>
              <w:spacing w:before="0" w:beforeAutospacing="0" w:after="0" w:afterAutospacing="0"/>
              <w:ind w:left="0" w:right="0"/>
              <w:rPr>
                <w:rFonts w:hint="default"/>
                <w:color w:val="auto"/>
              </w:rPr>
            </w:pPr>
            <w:r>
              <w:rPr>
                <w:rFonts w:hint="default"/>
                <w:color w:val="auto"/>
              </w:rPr>
              <w:t>7.0</w:t>
            </w:r>
          </w:p>
        </w:tc>
        <w:tc>
          <w:tcPr>
            <w:tcW w:w="1141" w:type="dxa"/>
            <w:vAlign w:val="center"/>
          </w:tcPr>
          <w:p w14:paraId="7EF98666">
            <w:pPr>
              <w:pStyle w:val="77"/>
              <w:keepNext w:val="0"/>
              <w:keepLines w:val="0"/>
              <w:suppressLineNumbers w:val="0"/>
              <w:spacing w:before="0" w:beforeAutospacing="0" w:after="0" w:afterAutospacing="0"/>
              <w:ind w:left="0" w:right="0"/>
              <w:rPr>
                <w:rFonts w:hint="default"/>
                <w:color w:val="auto"/>
              </w:rPr>
            </w:pPr>
            <w:r>
              <w:rPr>
                <w:rFonts w:hint="default"/>
                <w:color w:val="auto"/>
              </w:rPr>
              <w:t>1.5</w:t>
            </w:r>
          </w:p>
        </w:tc>
        <w:tc>
          <w:tcPr>
            <w:tcW w:w="1143" w:type="dxa"/>
            <w:vAlign w:val="center"/>
          </w:tcPr>
          <w:p w14:paraId="45A5EF64">
            <w:pPr>
              <w:pStyle w:val="77"/>
              <w:keepNext w:val="0"/>
              <w:keepLines w:val="0"/>
              <w:suppressLineNumbers w:val="0"/>
              <w:spacing w:before="0" w:beforeAutospacing="0" w:after="0" w:afterAutospacing="0"/>
              <w:ind w:left="0" w:right="0"/>
              <w:rPr>
                <w:rFonts w:hint="default"/>
                <w:color w:val="auto"/>
              </w:rPr>
            </w:pPr>
            <w:r>
              <w:rPr>
                <w:rFonts w:hint="default"/>
                <w:color w:val="auto"/>
              </w:rPr>
              <w:t>0.34</w:t>
            </w:r>
          </w:p>
        </w:tc>
      </w:tr>
      <w:tr w14:paraId="79E30D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1611BAEB">
            <w:pPr>
              <w:pStyle w:val="77"/>
              <w:keepNext w:val="0"/>
              <w:keepLines w:val="0"/>
              <w:suppressLineNumbers w:val="0"/>
              <w:spacing w:before="0" w:beforeAutospacing="0" w:after="0" w:afterAutospacing="0"/>
              <w:ind w:left="0" w:right="0"/>
              <w:rPr>
                <w:rFonts w:hint="default"/>
                <w:color w:val="auto"/>
              </w:rPr>
            </w:pPr>
          </w:p>
        </w:tc>
        <w:tc>
          <w:tcPr>
            <w:tcW w:w="1677" w:type="dxa"/>
            <w:vMerge w:val="continue"/>
            <w:vAlign w:val="center"/>
          </w:tcPr>
          <w:p w14:paraId="413C8E61">
            <w:pPr>
              <w:pStyle w:val="77"/>
              <w:keepNext w:val="0"/>
              <w:keepLines w:val="0"/>
              <w:suppressLineNumbers w:val="0"/>
              <w:spacing w:before="0" w:beforeAutospacing="0" w:after="0" w:afterAutospacing="0"/>
              <w:ind w:left="0" w:right="0"/>
              <w:rPr>
                <w:rFonts w:hint="default"/>
                <w:color w:val="auto"/>
              </w:rPr>
            </w:pPr>
          </w:p>
        </w:tc>
        <w:tc>
          <w:tcPr>
            <w:tcW w:w="1677" w:type="dxa"/>
            <w:vAlign w:val="center"/>
          </w:tcPr>
          <w:p w14:paraId="4B2F043E">
            <w:pPr>
              <w:pStyle w:val="77"/>
              <w:keepNext w:val="0"/>
              <w:keepLines w:val="0"/>
              <w:suppressLineNumbers w:val="0"/>
              <w:spacing w:before="0" w:beforeAutospacing="0" w:after="0" w:afterAutospacing="0"/>
              <w:ind w:left="0" w:right="0"/>
              <w:rPr>
                <w:rFonts w:hint="default"/>
                <w:color w:val="auto"/>
              </w:rPr>
            </w:pPr>
            <w:r>
              <w:rPr>
                <w:rFonts w:hint="default"/>
                <w:color w:val="auto"/>
              </w:rPr>
              <w:t>2000</w:t>
            </w:r>
            <m:oMath>
              <m:r>
                <m:rPr/>
                <w:rPr>
                  <w:rFonts w:hint="default" w:ascii="Cambria Math" w:hAnsi="Cambria Math"/>
                  <w:color w:val="auto"/>
                </w:rPr>
                <m:t>≤</m:t>
              </m:r>
            </m:oMath>
            <w:r>
              <w:rPr>
                <w:rFonts w:hint="default"/>
                <w:color w:val="auto"/>
              </w:rPr>
              <w:t>SV&lt;3300</w:t>
            </w:r>
          </w:p>
        </w:tc>
        <w:tc>
          <w:tcPr>
            <w:tcW w:w="1141" w:type="dxa"/>
            <w:vAlign w:val="center"/>
          </w:tcPr>
          <w:p w14:paraId="65C292AA">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143" w:type="dxa"/>
            <w:vAlign w:val="center"/>
          </w:tcPr>
          <w:p w14:paraId="74818348">
            <w:pPr>
              <w:pStyle w:val="77"/>
              <w:keepNext w:val="0"/>
              <w:keepLines w:val="0"/>
              <w:suppressLineNumbers w:val="0"/>
              <w:spacing w:before="0" w:beforeAutospacing="0" w:after="0" w:afterAutospacing="0"/>
              <w:ind w:left="0" w:right="0"/>
              <w:rPr>
                <w:rFonts w:hint="default"/>
                <w:color w:val="auto"/>
              </w:rPr>
            </w:pPr>
            <w:r>
              <w:rPr>
                <w:rFonts w:hint="default"/>
                <w:color w:val="auto"/>
              </w:rPr>
              <w:t>8.7</w:t>
            </w:r>
          </w:p>
        </w:tc>
        <w:tc>
          <w:tcPr>
            <w:tcW w:w="1141" w:type="dxa"/>
            <w:vAlign w:val="center"/>
          </w:tcPr>
          <w:p w14:paraId="27966734">
            <w:pPr>
              <w:pStyle w:val="77"/>
              <w:keepNext w:val="0"/>
              <w:keepLines w:val="0"/>
              <w:suppressLineNumbers w:val="0"/>
              <w:spacing w:before="0" w:beforeAutospacing="0" w:after="0" w:afterAutospacing="0"/>
              <w:ind w:left="0" w:right="0"/>
              <w:rPr>
                <w:rFonts w:hint="default"/>
                <w:color w:val="auto"/>
              </w:rPr>
            </w:pPr>
            <w:r>
              <w:rPr>
                <w:rFonts w:hint="default"/>
                <w:color w:val="auto"/>
              </w:rPr>
              <w:t>1.6</w:t>
            </w:r>
          </w:p>
        </w:tc>
        <w:tc>
          <w:tcPr>
            <w:tcW w:w="1143" w:type="dxa"/>
            <w:vAlign w:val="center"/>
          </w:tcPr>
          <w:p w14:paraId="50020E15">
            <w:pPr>
              <w:pStyle w:val="77"/>
              <w:keepNext w:val="0"/>
              <w:keepLines w:val="0"/>
              <w:suppressLineNumbers w:val="0"/>
              <w:spacing w:before="0" w:beforeAutospacing="0" w:after="0" w:afterAutospacing="0"/>
              <w:ind w:left="0" w:right="0"/>
              <w:rPr>
                <w:rFonts w:hint="default"/>
                <w:color w:val="auto"/>
              </w:rPr>
            </w:pPr>
            <w:r>
              <w:rPr>
                <w:rFonts w:hint="default"/>
                <w:color w:val="auto"/>
              </w:rPr>
              <w:t>0.50</w:t>
            </w:r>
          </w:p>
        </w:tc>
      </w:tr>
      <w:tr w14:paraId="0832E7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1687DC1B">
            <w:pPr>
              <w:pStyle w:val="77"/>
              <w:keepNext w:val="0"/>
              <w:keepLines w:val="0"/>
              <w:suppressLineNumbers w:val="0"/>
              <w:spacing w:before="0" w:beforeAutospacing="0" w:after="0" w:afterAutospacing="0"/>
              <w:ind w:left="0" w:right="0"/>
              <w:rPr>
                <w:rFonts w:hint="default"/>
                <w:color w:val="auto"/>
              </w:rPr>
            </w:pPr>
          </w:p>
        </w:tc>
        <w:tc>
          <w:tcPr>
            <w:tcW w:w="1677" w:type="dxa"/>
            <w:vMerge w:val="continue"/>
            <w:vAlign w:val="center"/>
          </w:tcPr>
          <w:p w14:paraId="7513BDDD">
            <w:pPr>
              <w:pStyle w:val="77"/>
              <w:keepNext w:val="0"/>
              <w:keepLines w:val="0"/>
              <w:suppressLineNumbers w:val="0"/>
              <w:spacing w:before="0" w:beforeAutospacing="0" w:after="0" w:afterAutospacing="0"/>
              <w:ind w:left="0" w:right="0"/>
              <w:rPr>
                <w:rFonts w:hint="default"/>
                <w:color w:val="auto"/>
              </w:rPr>
            </w:pPr>
          </w:p>
        </w:tc>
        <w:tc>
          <w:tcPr>
            <w:tcW w:w="1677" w:type="dxa"/>
            <w:vAlign w:val="center"/>
          </w:tcPr>
          <w:p w14:paraId="1167C11F">
            <w:pPr>
              <w:pStyle w:val="77"/>
              <w:keepNext w:val="0"/>
              <w:keepLines w:val="0"/>
              <w:suppressLineNumbers w:val="0"/>
              <w:spacing w:before="0" w:beforeAutospacing="0" w:after="0" w:afterAutospacing="0"/>
              <w:ind w:left="0" w:right="0"/>
              <w:rPr>
                <w:rFonts w:hint="default"/>
                <w:color w:val="auto"/>
              </w:rPr>
            </w:pPr>
            <w:r>
              <w:rPr>
                <w:rFonts w:hint="default"/>
                <w:color w:val="auto"/>
              </w:rPr>
              <w:t>P</w:t>
            </w:r>
            <m:oMath>
              <m:r>
                <m:rPr/>
                <w:rPr>
                  <w:rFonts w:hint="default" w:ascii="Cambria Math" w:hAnsi="Cambria Math"/>
                  <w:color w:val="auto"/>
                </w:rPr>
                <m:t>≥</m:t>
              </m:r>
            </m:oMath>
            <w:r>
              <w:rPr>
                <w:rFonts w:hint="default"/>
                <w:color w:val="auto"/>
              </w:rPr>
              <w:t>3300</w:t>
            </w:r>
          </w:p>
        </w:tc>
        <w:tc>
          <w:tcPr>
            <w:tcW w:w="1141" w:type="dxa"/>
            <w:vAlign w:val="center"/>
          </w:tcPr>
          <w:p w14:paraId="54688339">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143" w:type="dxa"/>
            <w:vAlign w:val="center"/>
          </w:tcPr>
          <w:p w14:paraId="487F0E0E">
            <w:pPr>
              <w:pStyle w:val="77"/>
              <w:keepNext w:val="0"/>
              <w:keepLines w:val="0"/>
              <w:suppressLineNumbers w:val="0"/>
              <w:spacing w:before="0" w:beforeAutospacing="0" w:after="0" w:afterAutospacing="0"/>
              <w:ind w:left="0" w:right="0"/>
              <w:rPr>
                <w:rFonts w:hint="default"/>
                <w:color w:val="auto"/>
              </w:rPr>
            </w:pPr>
            <w:r>
              <w:rPr>
                <w:rFonts w:hint="default"/>
                <w:color w:val="auto"/>
              </w:rPr>
              <w:t>9.8</w:t>
            </w:r>
          </w:p>
        </w:tc>
        <w:tc>
          <w:tcPr>
            <w:tcW w:w="1141" w:type="dxa"/>
            <w:vAlign w:val="center"/>
          </w:tcPr>
          <w:p w14:paraId="4D4AFB96">
            <w:pPr>
              <w:pStyle w:val="77"/>
              <w:keepNext w:val="0"/>
              <w:keepLines w:val="0"/>
              <w:suppressLineNumbers w:val="0"/>
              <w:spacing w:before="0" w:beforeAutospacing="0" w:after="0" w:afterAutospacing="0"/>
              <w:ind w:left="0" w:right="0"/>
              <w:rPr>
                <w:rFonts w:hint="default"/>
                <w:color w:val="auto"/>
              </w:rPr>
            </w:pPr>
            <w:r>
              <w:rPr>
                <w:rFonts w:hint="default"/>
                <w:color w:val="auto"/>
              </w:rPr>
              <w:t>1.8</w:t>
            </w:r>
          </w:p>
        </w:tc>
        <w:tc>
          <w:tcPr>
            <w:tcW w:w="1143" w:type="dxa"/>
            <w:vAlign w:val="center"/>
          </w:tcPr>
          <w:p w14:paraId="50A294CA">
            <w:pPr>
              <w:pStyle w:val="77"/>
              <w:keepNext w:val="0"/>
              <w:keepLines w:val="0"/>
              <w:suppressLineNumbers w:val="0"/>
              <w:spacing w:before="0" w:beforeAutospacing="0" w:after="0" w:afterAutospacing="0"/>
              <w:ind w:left="0" w:right="0"/>
              <w:rPr>
                <w:rFonts w:hint="default"/>
                <w:color w:val="auto"/>
              </w:rPr>
            </w:pPr>
            <w:r>
              <w:rPr>
                <w:rFonts w:hint="default"/>
                <w:color w:val="auto"/>
              </w:rPr>
              <w:t>0.50</w:t>
            </w:r>
          </w:p>
        </w:tc>
      </w:tr>
      <w:tr w14:paraId="433358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23E4CC23">
            <w:pPr>
              <w:pStyle w:val="77"/>
              <w:keepNext w:val="0"/>
              <w:keepLines w:val="0"/>
              <w:suppressLineNumbers w:val="0"/>
              <w:spacing w:before="0" w:beforeAutospacing="0" w:after="0" w:afterAutospacing="0"/>
              <w:ind w:left="0" w:right="0"/>
              <w:rPr>
                <w:rFonts w:hint="default"/>
                <w:color w:val="auto"/>
              </w:rPr>
            </w:pPr>
          </w:p>
        </w:tc>
        <w:tc>
          <w:tcPr>
            <w:tcW w:w="1677" w:type="dxa"/>
            <w:vMerge w:val="restart"/>
            <w:vAlign w:val="center"/>
          </w:tcPr>
          <w:p w14:paraId="1B783382">
            <w:pPr>
              <w:pStyle w:val="77"/>
              <w:keepNext w:val="0"/>
              <w:keepLines w:val="0"/>
              <w:suppressLineNumbers w:val="0"/>
              <w:spacing w:before="0" w:beforeAutospacing="0" w:after="0" w:afterAutospacing="0"/>
              <w:ind w:left="0" w:right="0"/>
              <w:rPr>
                <w:rFonts w:hint="default"/>
                <w:color w:val="auto"/>
              </w:rPr>
            </w:pPr>
            <w:r>
              <w:rPr>
                <w:rFonts w:hint="default"/>
                <w:color w:val="auto"/>
              </w:rPr>
              <w:t>20</w:t>
            </w:r>
            <m:oMath>
              <m:r>
                <m:rPr/>
                <w:rPr>
                  <w:rFonts w:hint="default" w:ascii="Cambria Math" w:hAnsi="Cambria Math"/>
                  <w:color w:val="auto"/>
                </w:rPr>
                <m:t>≤</m:t>
              </m:r>
            </m:oMath>
            <w:r>
              <w:rPr>
                <w:rFonts w:hint="default"/>
                <w:color w:val="auto"/>
              </w:rPr>
              <w:t>SV&lt;25</w:t>
            </w:r>
          </w:p>
        </w:tc>
        <w:tc>
          <w:tcPr>
            <w:tcW w:w="1677" w:type="dxa"/>
            <w:vAlign w:val="center"/>
          </w:tcPr>
          <w:p w14:paraId="6D5CBF11">
            <w:pPr>
              <w:pStyle w:val="77"/>
              <w:keepNext w:val="0"/>
              <w:keepLines w:val="0"/>
              <w:suppressLineNumbers w:val="0"/>
              <w:spacing w:before="0" w:beforeAutospacing="0" w:after="0" w:afterAutospacing="0"/>
              <w:ind w:left="0" w:right="0"/>
              <w:rPr>
                <w:rFonts w:hint="default"/>
                <w:color w:val="auto"/>
              </w:rPr>
            </w:pPr>
            <w:r>
              <w:rPr>
                <w:rFonts w:hint="default"/>
                <w:color w:val="auto"/>
              </w:rPr>
              <w:t>P&lt;2000</w:t>
            </w:r>
          </w:p>
        </w:tc>
        <w:tc>
          <w:tcPr>
            <w:tcW w:w="1141" w:type="dxa"/>
            <w:vAlign w:val="center"/>
          </w:tcPr>
          <w:p w14:paraId="1A1ADBE6">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143" w:type="dxa"/>
            <w:vAlign w:val="center"/>
          </w:tcPr>
          <w:p w14:paraId="1372CF9D">
            <w:pPr>
              <w:pStyle w:val="77"/>
              <w:keepNext w:val="0"/>
              <w:keepLines w:val="0"/>
              <w:suppressLineNumbers w:val="0"/>
              <w:spacing w:before="0" w:beforeAutospacing="0" w:after="0" w:afterAutospacing="0"/>
              <w:ind w:left="0" w:right="0"/>
              <w:rPr>
                <w:rFonts w:hint="default"/>
                <w:color w:val="auto"/>
              </w:rPr>
            </w:pPr>
            <w:r>
              <w:rPr>
                <w:rFonts w:hint="default"/>
                <w:color w:val="auto"/>
              </w:rPr>
              <w:t>9.8</w:t>
            </w:r>
          </w:p>
        </w:tc>
        <w:tc>
          <w:tcPr>
            <w:tcW w:w="1141" w:type="dxa"/>
            <w:vAlign w:val="center"/>
          </w:tcPr>
          <w:p w14:paraId="36937155">
            <w:pPr>
              <w:pStyle w:val="77"/>
              <w:keepNext w:val="0"/>
              <w:keepLines w:val="0"/>
              <w:suppressLineNumbers w:val="0"/>
              <w:spacing w:before="0" w:beforeAutospacing="0" w:after="0" w:afterAutospacing="0"/>
              <w:ind w:left="0" w:right="0"/>
              <w:rPr>
                <w:rFonts w:hint="default"/>
                <w:color w:val="auto"/>
              </w:rPr>
            </w:pPr>
            <w:r>
              <w:rPr>
                <w:rFonts w:hint="default"/>
                <w:color w:val="auto"/>
              </w:rPr>
              <w:t>1.8</w:t>
            </w:r>
          </w:p>
        </w:tc>
        <w:tc>
          <w:tcPr>
            <w:tcW w:w="1143" w:type="dxa"/>
            <w:vAlign w:val="center"/>
          </w:tcPr>
          <w:p w14:paraId="516FA5AA">
            <w:pPr>
              <w:pStyle w:val="77"/>
              <w:keepNext w:val="0"/>
              <w:keepLines w:val="0"/>
              <w:suppressLineNumbers w:val="0"/>
              <w:spacing w:before="0" w:beforeAutospacing="0" w:after="0" w:afterAutospacing="0"/>
              <w:ind w:left="0" w:right="0"/>
              <w:rPr>
                <w:rFonts w:hint="default"/>
                <w:color w:val="auto"/>
              </w:rPr>
            </w:pPr>
            <w:r>
              <w:rPr>
                <w:rFonts w:hint="default"/>
                <w:color w:val="auto"/>
              </w:rPr>
              <w:t>0.27</w:t>
            </w:r>
          </w:p>
        </w:tc>
      </w:tr>
      <w:tr w14:paraId="2A1149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23C9B180">
            <w:pPr>
              <w:pStyle w:val="77"/>
              <w:keepNext w:val="0"/>
              <w:keepLines w:val="0"/>
              <w:suppressLineNumbers w:val="0"/>
              <w:spacing w:before="0" w:beforeAutospacing="0" w:after="0" w:afterAutospacing="0"/>
              <w:ind w:left="0" w:right="0"/>
              <w:rPr>
                <w:rFonts w:hint="default"/>
                <w:color w:val="auto"/>
              </w:rPr>
            </w:pPr>
          </w:p>
        </w:tc>
        <w:tc>
          <w:tcPr>
            <w:tcW w:w="1677" w:type="dxa"/>
            <w:vMerge w:val="continue"/>
            <w:vAlign w:val="center"/>
          </w:tcPr>
          <w:p w14:paraId="0BAB5378">
            <w:pPr>
              <w:pStyle w:val="77"/>
              <w:keepNext w:val="0"/>
              <w:keepLines w:val="0"/>
              <w:suppressLineNumbers w:val="0"/>
              <w:spacing w:before="0" w:beforeAutospacing="0" w:after="0" w:afterAutospacing="0"/>
              <w:ind w:left="0" w:right="0"/>
              <w:rPr>
                <w:rFonts w:hint="default"/>
                <w:color w:val="auto"/>
              </w:rPr>
            </w:pPr>
          </w:p>
        </w:tc>
        <w:tc>
          <w:tcPr>
            <w:tcW w:w="1677" w:type="dxa"/>
            <w:vAlign w:val="center"/>
          </w:tcPr>
          <w:p w14:paraId="46ADDF83">
            <w:pPr>
              <w:pStyle w:val="77"/>
              <w:keepNext w:val="0"/>
              <w:keepLines w:val="0"/>
              <w:suppressLineNumbers w:val="0"/>
              <w:spacing w:before="0" w:beforeAutospacing="0" w:after="0" w:afterAutospacing="0"/>
              <w:ind w:left="0" w:right="0"/>
              <w:rPr>
                <w:rFonts w:hint="default"/>
                <w:color w:val="auto"/>
              </w:rPr>
            </w:pPr>
            <w:r>
              <w:rPr>
                <w:rFonts w:hint="default"/>
                <w:color w:val="auto"/>
              </w:rPr>
              <w:t>P</w:t>
            </w:r>
            <m:oMath>
              <m:r>
                <m:rPr/>
                <w:rPr>
                  <w:rFonts w:hint="default" w:ascii="Cambria Math" w:hAnsi="Cambria Math"/>
                  <w:color w:val="auto"/>
                </w:rPr>
                <m:t>≥</m:t>
              </m:r>
            </m:oMath>
            <w:r>
              <w:rPr>
                <w:rFonts w:hint="default"/>
                <w:color w:val="auto"/>
              </w:rPr>
              <w:t>2000</w:t>
            </w:r>
          </w:p>
        </w:tc>
        <w:tc>
          <w:tcPr>
            <w:tcW w:w="1141" w:type="dxa"/>
            <w:vAlign w:val="center"/>
          </w:tcPr>
          <w:p w14:paraId="176471EB">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143" w:type="dxa"/>
            <w:vAlign w:val="center"/>
          </w:tcPr>
          <w:p w14:paraId="0373093C">
            <w:pPr>
              <w:pStyle w:val="77"/>
              <w:keepNext w:val="0"/>
              <w:keepLines w:val="0"/>
              <w:suppressLineNumbers w:val="0"/>
              <w:spacing w:before="0" w:beforeAutospacing="0" w:after="0" w:afterAutospacing="0"/>
              <w:ind w:left="0" w:right="0"/>
              <w:rPr>
                <w:rFonts w:hint="default"/>
                <w:color w:val="auto"/>
              </w:rPr>
            </w:pPr>
            <w:r>
              <w:rPr>
                <w:rFonts w:hint="default"/>
                <w:color w:val="auto"/>
              </w:rPr>
              <w:t>9.8</w:t>
            </w:r>
          </w:p>
        </w:tc>
        <w:tc>
          <w:tcPr>
            <w:tcW w:w="1141" w:type="dxa"/>
            <w:vAlign w:val="center"/>
          </w:tcPr>
          <w:p w14:paraId="6F35F37F">
            <w:pPr>
              <w:pStyle w:val="77"/>
              <w:keepNext w:val="0"/>
              <w:keepLines w:val="0"/>
              <w:suppressLineNumbers w:val="0"/>
              <w:spacing w:before="0" w:beforeAutospacing="0" w:after="0" w:afterAutospacing="0"/>
              <w:ind w:left="0" w:right="0"/>
              <w:rPr>
                <w:rFonts w:hint="default"/>
                <w:color w:val="auto"/>
              </w:rPr>
            </w:pPr>
            <w:r>
              <w:rPr>
                <w:rFonts w:hint="default"/>
                <w:color w:val="auto"/>
              </w:rPr>
              <w:t>1.8</w:t>
            </w:r>
          </w:p>
        </w:tc>
        <w:tc>
          <w:tcPr>
            <w:tcW w:w="1143" w:type="dxa"/>
            <w:vAlign w:val="center"/>
          </w:tcPr>
          <w:p w14:paraId="03CB51E4">
            <w:pPr>
              <w:pStyle w:val="77"/>
              <w:keepNext w:val="0"/>
              <w:keepLines w:val="0"/>
              <w:suppressLineNumbers w:val="0"/>
              <w:spacing w:before="0" w:beforeAutospacing="0" w:after="0" w:afterAutospacing="0"/>
              <w:ind w:left="0" w:right="0"/>
              <w:rPr>
                <w:rFonts w:hint="default"/>
                <w:color w:val="auto"/>
              </w:rPr>
            </w:pPr>
            <w:r>
              <w:rPr>
                <w:rFonts w:hint="default"/>
                <w:color w:val="auto"/>
              </w:rPr>
              <w:t>0.50</w:t>
            </w:r>
          </w:p>
        </w:tc>
      </w:tr>
      <w:tr w14:paraId="2C710B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744F0355">
            <w:pPr>
              <w:pStyle w:val="77"/>
              <w:keepNext w:val="0"/>
              <w:keepLines w:val="0"/>
              <w:suppressLineNumbers w:val="0"/>
              <w:spacing w:before="0" w:beforeAutospacing="0" w:after="0" w:afterAutospacing="0"/>
              <w:ind w:left="0" w:right="0"/>
              <w:rPr>
                <w:rFonts w:hint="default"/>
                <w:color w:val="auto"/>
              </w:rPr>
            </w:pPr>
          </w:p>
        </w:tc>
        <w:tc>
          <w:tcPr>
            <w:tcW w:w="1677" w:type="dxa"/>
            <w:vMerge w:val="restart"/>
            <w:vAlign w:val="center"/>
          </w:tcPr>
          <w:p w14:paraId="163FD116">
            <w:pPr>
              <w:pStyle w:val="77"/>
              <w:keepNext w:val="0"/>
              <w:keepLines w:val="0"/>
              <w:suppressLineNumbers w:val="0"/>
              <w:spacing w:before="0" w:beforeAutospacing="0" w:after="0" w:afterAutospacing="0"/>
              <w:ind w:left="0" w:right="0"/>
              <w:rPr>
                <w:rFonts w:hint="default"/>
                <w:color w:val="auto"/>
              </w:rPr>
            </w:pPr>
            <w:r>
              <w:rPr>
                <w:rFonts w:hint="default"/>
                <w:color w:val="auto"/>
              </w:rPr>
              <w:t>25</w:t>
            </w:r>
            <m:oMath>
              <m:r>
                <m:rPr/>
                <w:rPr>
                  <w:rFonts w:hint="default" w:ascii="Cambria Math" w:hAnsi="Cambria Math"/>
                  <w:color w:val="auto"/>
                </w:rPr>
                <m:t>≤</m:t>
              </m:r>
            </m:oMath>
            <w:r>
              <w:rPr>
                <w:rFonts w:hint="default"/>
                <w:color w:val="auto"/>
              </w:rPr>
              <w:t>SV&lt;30</w:t>
            </w:r>
          </w:p>
        </w:tc>
        <w:tc>
          <w:tcPr>
            <w:tcW w:w="1677" w:type="dxa"/>
            <w:vAlign w:val="center"/>
          </w:tcPr>
          <w:p w14:paraId="2945008D">
            <w:pPr>
              <w:pStyle w:val="77"/>
              <w:keepNext w:val="0"/>
              <w:keepLines w:val="0"/>
              <w:suppressLineNumbers w:val="0"/>
              <w:spacing w:before="0" w:beforeAutospacing="0" w:after="0" w:afterAutospacing="0"/>
              <w:ind w:left="0" w:right="0"/>
              <w:rPr>
                <w:rFonts w:hint="default"/>
                <w:color w:val="auto"/>
              </w:rPr>
            </w:pPr>
            <w:r>
              <w:rPr>
                <w:rFonts w:hint="default"/>
                <w:color w:val="auto"/>
              </w:rPr>
              <w:t>P&lt;2000</w:t>
            </w:r>
          </w:p>
        </w:tc>
        <w:tc>
          <w:tcPr>
            <w:tcW w:w="1141" w:type="dxa"/>
            <w:vAlign w:val="center"/>
          </w:tcPr>
          <w:p w14:paraId="5732E69B">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143" w:type="dxa"/>
            <w:vAlign w:val="center"/>
          </w:tcPr>
          <w:p w14:paraId="56C5A9CA">
            <w:pPr>
              <w:pStyle w:val="77"/>
              <w:keepNext w:val="0"/>
              <w:keepLines w:val="0"/>
              <w:suppressLineNumbers w:val="0"/>
              <w:spacing w:before="0" w:beforeAutospacing="0" w:after="0" w:afterAutospacing="0"/>
              <w:ind w:left="0" w:right="0"/>
              <w:rPr>
                <w:rFonts w:hint="default"/>
                <w:color w:val="auto"/>
              </w:rPr>
            </w:pPr>
            <w:r>
              <w:rPr>
                <w:rFonts w:hint="default"/>
                <w:color w:val="auto"/>
              </w:rPr>
              <w:t>11.0</w:t>
            </w:r>
          </w:p>
        </w:tc>
        <w:tc>
          <w:tcPr>
            <w:tcW w:w="1141" w:type="dxa"/>
            <w:vAlign w:val="center"/>
          </w:tcPr>
          <w:p w14:paraId="780F9048">
            <w:pPr>
              <w:pStyle w:val="77"/>
              <w:keepNext w:val="0"/>
              <w:keepLines w:val="0"/>
              <w:suppressLineNumbers w:val="0"/>
              <w:spacing w:before="0" w:beforeAutospacing="0" w:after="0" w:afterAutospacing="0"/>
              <w:ind w:left="0" w:right="0"/>
              <w:rPr>
                <w:rFonts w:hint="default"/>
                <w:color w:val="auto"/>
              </w:rPr>
            </w:pPr>
            <w:r>
              <w:rPr>
                <w:rFonts w:hint="default"/>
                <w:color w:val="auto"/>
              </w:rPr>
              <w:t>2.0</w:t>
            </w:r>
          </w:p>
        </w:tc>
        <w:tc>
          <w:tcPr>
            <w:tcW w:w="1143" w:type="dxa"/>
            <w:vAlign w:val="center"/>
          </w:tcPr>
          <w:p w14:paraId="081F1B90">
            <w:pPr>
              <w:pStyle w:val="77"/>
              <w:keepNext w:val="0"/>
              <w:keepLines w:val="0"/>
              <w:suppressLineNumbers w:val="0"/>
              <w:spacing w:before="0" w:beforeAutospacing="0" w:after="0" w:afterAutospacing="0"/>
              <w:ind w:left="0" w:right="0"/>
              <w:rPr>
                <w:rFonts w:hint="default"/>
                <w:color w:val="auto"/>
              </w:rPr>
            </w:pPr>
            <w:r>
              <w:rPr>
                <w:rFonts w:hint="default"/>
                <w:color w:val="auto"/>
              </w:rPr>
              <w:t>0.27</w:t>
            </w:r>
          </w:p>
        </w:tc>
      </w:tr>
      <w:tr w14:paraId="560281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07C3A93C">
            <w:pPr>
              <w:pStyle w:val="77"/>
              <w:keepNext w:val="0"/>
              <w:keepLines w:val="0"/>
              <w:suppressLineNumbers w:val="0"/>
              <w:spacing w:before="0" w:beforeAutospacing="0" w:after="0" w:afterAutospacing="0"/>
              <w:ind w:left="0" w:right="0"/>
              <w:rPr>
                <w:rFonts w:hint="default"/>
                <w:color w:val="auto"/>
              </w:rPr>
            </w:pPr>
          </w:p>
        </w:tc>
        <w:tc>
          <w:tcPr>
            <w:tcW w:w="1677" w:type="dxa"/>
            <w:vMerge w:val="continue"/>
            <w:vAlign w:val="center"/>
          </w:tcPr>
          <w:p w14:paraId="78400C87">
            <w:pPr>
              <w:pStyle w:val="77"/>
              <w:keepNext w:val="0"/>
              <w:keepLines w:val="0"/>
              <w:suppressLineNumbers w:val="0"/>
              <w:spacing w:before="0" w:beforeAutospacing="0" w:after="0" w:afterAutospacing="0"/>
              <w:ind w:left="0" w:right="0"/>
              <w:rPr>
                <w:rFonts w:hint="default"/>
                <w:color w:val="auto"/>
              </w:rPr>
            </w:pPr>
          </w:p>
        </w:tc>
        <w:tc>
          <w:tcPr>
            <w:tcW w:w="1677" w:type="dxa"/>
            <w:vAlign w:val="center"/>
          </w:tcPr>
          <w:p w14:paraId="4C2D9DEA">
            <w:pPr>
              <w:pStyle w:val="77"/>
              <w:keepNext w:val="0"/>
              <w:keepLines w:val="0"/>
              <w:suppressLineNumbers w:val="0"/>
              <w:spacing w:before="0" w:beforeAutospacing="0" w:after="0" w:afterAutospacing="0"/>
              <w:ind w:left="0" w:right="0"/>
              <w:rPr>
                <w:rFonts w:hint="default"/>
                <w:color w:val="auto"/>
              </w:rPr>
            </w:pPr>
            <w:r>
              <w:rPr>
                <w:rFonts w:hint="default"/>
                <w:color w:val="auto"/>
              </w:rPr>
              <w:t>P</w:t>
            </w:r>
            <m:oMath>
              <m:r>
                <m:rPr/>
                <w:rPr>
                  <w:rFonts w:hint="default" w:ascii="Cambria Math" w:hAnsi="Cambria Math"/>
                  <w:color w:val="auto"/>
                </w:rPr>
                <m:t>≥</m:t>
              </m:r>
            </m:oMath>
            <w:r>
              <w:rPr>
                <w:rFonts w:hint="default"/>
                <w:color w:val="auto"/>
              </w:rPr>
              <w:t>2000</w:t>
            </w:r>
          </w:p>
        </w:tc>
        <w:tc>
          <w:tcPr>
            <w:tcW w:w="1141" w:type="dxa"/>
            <w:vAlign w:val="center"/>
          </w:tcPr>
          <w:p w14:paraId="0D0FF20D">
            <w:pPr>
              <w:pStyle w:val="77"/>
              <w:keepNext w:val="0"/>
              <w:keepLines w:val="0"/>
              <w:suppressLineNumbers w:val="0"/>
              <w:spacing w:before="0" w:beforeAutospacing="0" w:after="0" w:afterAutospacing="0"/>
              <w:ind w:left="0" w:right="0"/>
              <w:rPr>
                <w:rFonts w:hint="default"/>
                <w:color w:val="auto"/>
              </w:rPr>
            </w:pPr>
            <w:r>
              <w:rPr>
                <w:rFonts w:hint="default"/>
                <w:color w:val="auto"/>
              </w:rPr>
              <w:t>5.0</w:t>
            </w:r>
          </w:p>
        </w:tc>
        <w:tc>
          <w:tcPr>
            <w:tcW w:w="1143" w:type="dxa"/>
            <w:vAlign w:val="center"/>
          </w:tcPr>
          <w:p w14:paraId="37C5A09C">
            <w:pPr>
              <w:pStyle w:val="77"/>
              <w:keepNext w:val="0"/>
              <w:keepLines w:val="0"/>
              <w:suppressLineNumbers w:val="0"/>
              <w:spacing w:before="0" w:beforeAutospacing="0" w:after="0" w:afterAutospacing="0"/>
              <w:ind w:left="0" w:right="0"/>
              <w:rPr>
                <w:rFonts w:hint="default"/>
                <w:color w:val="auto"/>
              </w:rPr>
            </w:pPr>
            <w:r>
              <w:rPr>
                <w:rFonts w:hint="default"/>
                <w:color w:val="auto"/>
              </w:rPr>
              <w:t>11.0</w:t>
            </w:r>
          </w:p>
        </w:tc>
        <w:tc>
          <w:tcPr>
            <w:tcW w:w="1141" w:type="dxa"/>
            <w:vAlign w:val="center"/>
          </w:tcPr>
          <w:p w14:paraId="33AF49E1">
            <w:pPr>
              <w:pStyle w:val="77"/>
              <w:keepNext w:val="0"/>
              <w:keepLines w:val="0"/>
              <w:suppressLineNumbers w:val="0"/>
              <w:spacing w:before="0" w:beforeAutospacing="0" w:after="0" w:afterAutospacing="0"/>
              <w:ind w:left="0" w:right="0"/>
              <w:rPr>
                <w:rFonts w:hint="default"/>
                <w:color w:val="auto"/>
              </w:rPr>
            </w:pPr>
            <w:r>
              <w:rPr>
                <w:rFonts w:hint="default"/>
                <w:color w:val="auto"/>
              </w:rPr>
              <w:t>2.0</w:t>
            </w:r>
          </w:p>
        </w:tc>
        <w:tc>
          <w:tcPr>
            <w:tcW w:w="1143" w:type="dxa"/>
            <w:vAlign w:val="center"/>
          </w:tcPr>
          <w:p w14:paraId="66B201F8">
            <w:pPr>
              <w:pStyle w:val="77"/>
              <w:keepNext w:val="0"/>
              <w:keepLines w:val="0"/>
              <w:suppressLineNumbers w:val="0"/>
              <w:spacing w:before="0" w:beforeAutospacing="0" w:after="0" w:afterAutospacing="0"/>
              <w:ind w:left="0" w:right="0"/>
              <w:rPr>
                <w:rFonts w:hint="default"/>
                <w:color w:val="auto"/>
              </w:rPr>
            </w:pPr>
            <w:r>
              <w:rPr>
                <w:rFonts w:hint="default"/>
                <w:color w:val="auto"/>
              </w:rPr>
              <w:t>0.50</w:t>
            </w:r>
          </w:p>
        </w:tc>
      </w:tr>
    </w:tbl>
    <w:p w14:paraId="391BCB25">
      <w:pPr>
        <w:pStyle w:val="117"/>
        <w:rPr>
          <w:color w:val="auto"/>
        </w:rPr>
      </w:pPr>
      <w:r>
        <w:rPr>
          <w:color w:val="auto"/>
        </w:rPr>
        <w:t>注：(1)仅适用于NG（含双燃料）船机。</w:t>
      </w:r>
    </w:p>
    <w:p w14:paraId="7A4D24BA">
      <w:pPr>
        <w:pStyle w:val="6"/>
        <w:rPr>
          <w:color w:val="auto"/>
        </w:rPr>
      </w:pPr>
      <w:r>
        <w:rPr>
          <w:color w:val="auto"/>
        </w:rPr>
        <w:t>水污染物排放标准</w:t>
      </w:r>
    </w:p>
    <w:p w14:paraId="7C86EF0C">
      <w:pPr>
        <w:ind w:firstLine="480"/>
        <w:rPr>
          <w:color w:val="auto"/>
        </w:rPr>
      </w:pPr>
      <w:r>
        <w:rPr>
          <w:color w:val="auto"/>
        </w:rPr>
        <w:t>营运期废水主要来自船舶污水（包括船舶舱底油污水、船舶生活污水），船舶污水均由有资质单位接收处置，不在码头接收；码头生活污水</w:t>
      </w:r>
      <w:r>
        <w:rPr>
          <w:rFonts w:hint="eastAsia"/>
          <w:color w:val="auto"/>
        </w:rPr>
        <w:t>、</w:t>
      </w:r>
      <w:r>
        <w:rPr>
          <w:color w:val="auto"/>
        </w:rPr>
        <w:t>初期雨水</w:t>
      </w:r>
      <w:r>
        <w:rPr>
          <w:rFonts w:hint="eastAsia"/>
          <w:color w:val="auto"/>
        </w:rPr>
        <w:t>等由汽车罐车拉运至广西东油沥青有限公司沥青厂区内，沥青厂区达到</w:t>
      </w:r>
      <w:r>
        <w:rPr>
          <w:color w:val="auto"/>
        </w:rPr>
        <w:t>纳管标准后</w:t>
      </w:r>
      <w:r>
        <w:rPr>
          <w:rFonts w:hint="eastAsia"/>
          <w:color w:val="auto"/>
        </w:rPr>
        <w:t>通过管道输送至广西石化污水处理场进行处理，最终达到《石油炼制工业污染物排放标准》（GB31570</w:t>
      </w:r>
      <w:r>
        <w:rPr>
          <w:color w:val="auto"/>
        </w:rPr>
        <w:t>-</w:t>
      </w:r>
      <w:r>
        <w:rPr>
          <w:rFonts w:hint="eastAsia"/>
          <w:color w:val="auto"/>
        </w:rPr>
        <w:t>2015）中表1水污染物直接</w:t>
      </w:r>
      <w:r>
        <w:rPr>
          <w:color w:val="auto"/>
        </w:rPr>
        <w:t>排放限值</w:t>
      </w:r>
      <w:r>
        <w:rPr>
          <w:rFonts w:hint="eastAsia"/>
          <w:color w:val="auto"/>
        </w:rPr>
        <w:t>标准后</w:t>
      </w:r>
      <w:r>
        <w:rPr>
          <w:color w:val="auto"/>
        </w:rPr>
        <w:t>排放。</w:t>
      </w:r>
    </w:p>
    <w:p w14:paraId="5F8DACBF">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9</w:t>
      </w:r>
      <w:r>
        <w:rPr>
          <w:color w:val="auto"/>
        </w:rPr>
        <w:fldChar w:fldCharType="end"/>
      </w:r>
      <w:r>
        <w:rPr>
          <w:rFonts w:hint="eastAsia"/>
          <w:color w:val="auto"/>
        </w:rPr>
        <w:t>污水</w:t>
      </w:r>
      <w:r>
        <w:rPr>
          <w:color w:val="auto"/>
        </w:rPr>
        <w:t>接收处理协议中</w:t>
      </w:r>
      <w:r>
        <w:rPr>
          <w:rFonts w:hint="eastAsia"/>
          <w:color w:val="auto"/>
        </w:rPr>
        <w:t>规定</w:t>
      </w:r>
      <w:r>
        <w:rPr>
          <w:color w:val="auto"/>
        </w:rPr>
        <w:t>的污染物限值</w:t>
      </w:r>
      <w:r>
        <w:rPr>
          <w:bCs/>
          <w:color w:val="auto"/>
          <w:sz w:val="18"/>
          <w:szCs w:val="18"/>
        </w:rPr>
        <w:t>单位：mg/LpH无量纲</w:t>
      </w:r>
    </w:p>
    <w:tbl>
      <w:tblPr>
        <w:tblStyle w:val="4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4927"/>
        <w:gridCol w:w="3117"/>
      </w:tblGrid>
      <w:tr w14:paraId="6A06E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tcPr>
          <w:p w14:paraId="5929124C">
            <w:pPr>
              <w:pStyle w:val="91"/>
              <w:keepNext w:val="0"/>
              <w:keepLines w:val="0"/>
              <w:suppressLineNumbers w:val="0"/>
              <w:spacing w:before="0" w:beforeAutospacing="0" w:after="0" w:afterAutospacing="0"/>
              <w:ind w:left="0" w:right="0"/>
              <w:rPr>
                <w:rFonts w:hint="default"/>
                <w:b/>
                <w:color w:val="auto"/>
              </w:rPr>
            </w:pPr>
            <w:r>
              <w:rPr>
                <w:rFonts w:hint="eastAsia"/>
                <w:b/>
                <w:color w:val="auto"/>
              </w:rPr>
              <w:t>序号</w:t>
            </w:r>
          </w:p>
        </w:tc>
        <w:tc>
          <w:tcPr>
            <w:tcW w:w="4927" w:type="dxa"/>
          </w:tcPr>
          <w:p w14:paraId="17AFD191">
            <w:pPr>
              <w:pStyle w:val="91"/>
              <w:keepNext w:val="0"/>
              <w:keepLines w:val="0"/>
              <w:suppressLineNumbers w:val="0"/>
              <w:spacing w:before="0" w:beforeAutospacing="0" w:after="0" w:afterAutospacing="0"/>
              <w:ind w:left="0" w:right="0"/>
              <w:rPr>
                <w:rFonts w:hint="default"/>
                <w:b/>
                <w:color w:val="auto"/>
              </w:rPr>
            </w:pPr>
            <w:r>
              <w:rPr>
                <w:rFonts w:hint="eastAsia"/>
                <w:b/>
                <w:color w:val="auto"/>
              </w:rPr>
              <w:t>污染物</w:t>
            </w:r>
          </w:p>
        </w:tc>
        <w:tc>
          <w:tcPr>
            <w:tcW w:w="3117" w:type="dxa"/>
          </w:tcPr>
          <w:p w14:paraId="4F0766FD">
            <w:pPr>
              <w:pStyle w:val="91"/>
              <w:keepNext w:val="0"/>
              <w:keepLines w:val="0"/>
              <w:suppressLineNumbers w:val="0"/>
              <w:spacing w:before="0" w:beforeAutospacing="0" w:after="0" w:afterAutospacing="0"/>
              <w:ind w:left="0" w:right="0"/>
              <w:rPr>
                <w:rFonts w:hint="default"/>
                <w:b/>
                <w:color w:val="auto"/>
              </w:rPr>
            </w:pPr>
            <w:r>
              <w:rPr>
                <w:rFonts w:hint="eastAsia"/>
                <w:b/>
                <w:color w:val="auto"/>
              </w:rPr>
              <w:t>限值</w:t>
            </w:r>
          </w:p>
        </w:tc>
      </w:tr>
      <w:tr w14:paraId="78BB4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tcPr>
          <w:p w14:paraId="25754439">
            <w:pPr>
              <w:pStyle w:val="91"/>
              <w:keepNext w:val="0"/>
              <w:keepLines w:val="0"/>
              <w:numPr>
                <w:ilvl w:val="0"/>
                <w:numId w:val="11"/>
              </w:numPr>
              <w:suppressLineNumbers w:val="0"/>
              <w:spacing w:before="0" w:beforeAutospacing="0" w:after="0" w:afterAutospacing="0"/>
              <w:ind w:right="0"/>
              <w:rPr>
                <w:rFonts w:hint="default"/>
                <w:color w:val="auto"/>
              </w:rPr>
            </w:pPr>
          </w:p>
        </w:tc>
        <w:tc>
          <w:tcPr>
            <w:tcW w:w="4927" w:type="dxa"/>
          </w:tcPr>
          <w:p w14:paraId="1EC6FB67">
            <w:pPr>
              <w:pStyle w:val="91"/>
              <w:keepNext w:val="0"/>
              <w:keepLines w:val="0"/>
              <w:suppressLineNumbers w:val="0"/>
              <w:spacing w:before="0" w:beforeAutospacing="0" w:after="0" w:afterAutospacing="0"/>
              <w:ind w:left="0" w:right="0"/>
              <w:rPr>
                <w:rFonts w:hint="default"/>
                <w:color w:val="auto"/>
              </w:rPr>
            </w:pPr>
            <w:r>
              <w:rPr>
                <w:rFonts w:hint="default"/>
                <w:color w:val="auto"/>
              </w:rPr>
              <w:t>pH</w:t>
            </w:r>
          </w:p>
        </w:tc>
        <w:tc>
          <w:tcPr>
            <w:tcW w:w="3117" w:type="dxa"/>
          </w:tcPr>
          <w:p w14:paraId="52A756D7">
            <w:pPr>
              <w:pStyle w:val="91"/>
              <w:keepNext w:val="0"/>
              <w:keepLines w:val="0"/>
              <w:suppressLineNumbers w:val="0"/>
              <w:spacing w:before="0" w:beforeAutospacing="0" w:after="0" w:afterAutospacing="0"/>
              <w:ind w:left="0" w:right="0"/>
              <w:rPr>
                <w:rFonts w:hint="default"/>
                <w:color w:val="auto"/>
              </w:rPr>
            </w:pPr>
            <w:r>
              <w:rPr>
                <w:rFonts w:hint="eastAsia"/>
                <w:color w:val="auto"/>
              </w:rPr>
              <w:t>6~9</w:t>
            </w:r>
          </w:p>
        </w:tc>
      </w:tr>
      <w:tr w14:paraId="29B09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tcPr>
          <w:p w14:paraId="43AC3775">
            <w:pPr>
              <w:pStyle w:val="91"/>
              <w:keepNext w:val="0"/>
              <w:keepLines w:val="0"/>
              <w:numPr>
                <w:ilvl w:val="0"/>
                <w:numId w:val="11"/>
              </w:numPr>
              <w:suppressLineNumbers w:val="0"/>
              <w:spacing w:before="0" w:beforeAutospacing="0" w:after="0" w:afterAutospacing="0"/>
              <w:ind w:right="0"/>
              <w:rPr>
                <w:rFonts w:hint="default"/>
                <w:color w:val="auto"/>
              </w:rPr>
            </w:pPr>
          </w:p>
        </w:tc>
        <w:tc>
          <w:tcPr>
            <w:tcW w:w="4927" w:type="dxa"/>
          </w:tcPr>
          <w:p w14:paraId="40D86A88">
            <w:pPr>
              <w:pStyle w:val="91"/>
              <w:keepNext w:val="0"/>
              <w:keepLines w:val="0"/>
              <w:suppressLineNumbers w:val="0"/>
              <w:spacing w:before="0" w:beforeAutospacing="0" w:after="0" w:afterAutospacing="0"/>
              <w:ind w:left="0" w:right="0"/>
              <w:rPr>
                <w:rFonts w:hint="default"/>
                <w:color w:val="auto"/>
              </w:rPr>
            </w:pPr>
            <w:r>
              <w:rPr>
                <w:rFonts w:hint="eastAsia"/>
                <w:color w:val="auto"/>
              </w:rPr>
              <w:t>化学</w:t>
            </w:r>
            <w:r>
              <w:rPr>
                <w:rFonts w:hint="default"/>
                <w:color w:val="auto"/>
              </w:rPr>
              <w:t>需氧量</w:t>
            </w:r>
          </w:p>
        </w:tc>
        <w:tc>
          <w:tcPr>
            <w:tcW w:w="3117" w:type="dxa"/>
          </w:tcPr>
          <w:p w14:paraId="497BB3E1">
            <w:pPr>
              <w:pStyle w:val="91"/>
              <w:keepNext w:val="0"/>
              <w:keepLines w:val="0"/>
              <w:suppressLineNumbers w:val="0"/>
              <w:spacing w:before="0" w:beforeAutospacing="0" w:after="0" w:afterAutospacing="0"/>
              <w:ind w:left="0" w:right="0"/>
              <w:rPr>
                <w:rFonts w:hint="default"/>
                <w:color w:val="auto"/>
              </w:rPr>
            </w:pPr>
            <w:r>
              <w:rPr>
                <w:rFonts w:hint="eastAsia"/>
                <w:color w:val="auto"/>
              </w:rPr>
              <w:t>≤1000</w:t>
            </w:r>
          </w:p>
        </w:tc>
      </w:tr>
      <w:tr w14:paraId="09CAA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tcPr>
          <w:p w14:paraId="7752F201">
            <w:pPr>
              <w:pStyle w:val="91"/>
              <w:keepNext w:val="0"/>
              <w:keepLines w:val="0"/>
              <w:numPr>
                <w:ilvl w:val="0"/>
                <w:numId w:val="11"/>
              </w:numPr>
              <w:suppressLineNumbers w:val="0"/>
              <w:spacing w:before="0" w:beforeAutospacing="0" w:after="0" w:afterAutospacing="0"/>
              <w:ind w:right="0"/>
              <w:rPr>
                <w:rFonts w:hint="default"/>
                <w:color w:val="auto"/>
              </w:rPr>
            </w:pPr>
          </w:p>
        </w:tc>
        <w:tc>
          <w:tcPr>
            <w:tcW w:w="4927" w:type="dxa"/>
          </w:tcPr>
          <w:p w14:paraId="441AFC7C">
            <w:pPr>
              <w:pStyle w:val="91"/>
              <w:keepNext w:val="0"/>
              <w:keepLines w:val="0"/>
              <w:suppressLineNumbers w:val="0"/>
              <w:spacing w:before="0" w:beforeAutospacing="0" w:after="0" w:afterAutospacing="0"/>
              <w:ind w:left="0" w:right="0"/>
              <w:rPr>
                <w:rFonts w:hint="default"/>
                <w:color w:val="auto"/>
              </w:rPr>
            </w:pPr>
            <w:r>
              <w:rPr>
                <w:rFonts w:hint="eastAsia"/>
                <w:color w:val="auto"/>
              </w:rPr>
              <w:t>氨氮</w:t>
            </w:r>
          </w:p>
        </w:tc>
        <w:tc>
          <w:tcPr>
            <w:tcW w:w="3117" w:type="dxa"/>
          </w:tcPr>
          <w:p w14:paraId="5A54FF15">
            <w:pPr>
              <w:pStyle w:val="91"/>
              <w:keepNext w:val="0"/>
              <w:keepLines w:val="0"/>
              <w:suppressLineNumbers w:val="0"/>
              <w:spacing w:before="0" w:beforeAutospacing="0" w:after="0" w:afterAutospacing="0"/>
              <w:ind w:left="0" w:right="0"/>
              <w:rPr>
                <w:rFonts w:hint="default"/>
                <w:color w:val="auto"/>
              </w:rPr>
            </w:pPr>
            <w:r>
              <w:rPr>
                <w:rFonts w:hint="eastAsia"/>
                <w:color w:val="auto"/>
              </w:rPr>
              <w:t>≤30</w:t>
            </w:r>
          </w:p>
        </w:tc>
      </w:tr>
      <w:tr w14:paraId="65EF8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tcPr>
          <w:p w14:paraId="3D8B49FB">
            <w:pPr>
              <w:pStyle w:val="91"/>
              <w:keepNext w:val="0"/>
              <w:keepLines w:val="0"/>
              <w:numPr>
                <w:ilvl w:val="0"/>
                <w:numId w:val="11"/>
              </w:numPr>
              <w:suppressLineNumbers w:val="0"/>
              <w:spacing w:before="0" w:beforeAutospacing="0" w:after="0" w:afterAutospacing="0"/>
              <w:ind w:right="0"/>
              <w:rPr>
                <w:rFonts w:hint="default"/>
                <w:color w:val="auto"/>
              </w:rPr>
            </w:pPr>
          </w:p>
        </w:tc>
        <w:tc>
          <w:tcPr>
            <w:tcW w:w="4927" w:type="dxa"/>
          </w:tcPr>
          <w:p w14:paraId="23A20564">
            <w:pPr>
              <w:pStyle w:val="91"/>
              <w:keepNext w:val="0"/>
              <w:keepLines w:val="0"/>
              <w:suppressLineNumbers w:val="0"/>
              <w:spacing w:before="0" w:beforeAutospacing="0" w:after="0" w:afterAutospacing="0"/>
              <w:ind w:left="0" w:right="0"/>
              <w:rPr>
                <w:rFonts w:hint="default"/>
                <w:color w:val="auto"/>
              </w:rPr>
            </w:pPr>
            <w:r>
              <w:rPr>
                <w:rFonts w:hint="eastAsia"/>
                <w:color w:val="auto"/>
              </w:rPr>
              <w:t>石油类</w:t>
            </w:r>
          </w:p>
        </w:tc>
        <w:tc>
          <w:tcPr>
            <w:tcW w:w="3117" w:type="dxa"/>
          </w:tcPr>
          <w:p w14:paraId="19B593B0">
            <w:pPr>
              <w:pStyle w:val="91"/>
              <w:keepNext w:val="0"/>
              <w:keepLines w:val="0"/>
              <w:suppressLineNumbers w:val="0"/>
              <w:spacing w:before="0" w:beforeAutospacing="0" w:after="0" w:afterAutospacing="0"/>
              <w:ind w:left="0" w:right="0"/>
              <w:rPr>
                <w:rFonts w:hint="default"/>
                <w:color w:val="auto"/>
              </w:rPr>
            </w:pPr>
            <w:r>
              <w:rPr>
                <w:rFonts w:hint="eastAsia"/>
                <w:color w:val="auto"/>
              </w:rPr>
              <w:t>≤150</w:t>
            </w:r>
          </w:p>
        </w:tc>
      </w:tr>
      <w:tr w14:paraId="13A95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tcPr>
          <w:p w14:paraId="32710110">
            <w:pPr>
              <w:pStyle w:val="91"/>
              <w:keepNext w:val="0"/>
              <w:keepLines w:val="0"/>
              <w:numPr>
                <w:ilvl w:val="0"/>
                <w:numId w:val="11"/>
              </w:numPr>
              <w:suppressLineNumbers w:val="0"/>
              <w:spacing w:before="0" w:beforeAutospacing="0" w:after="0" w:afterAutospacing="0"/>
              <w:ind w:right="0"/>
              <w:rPr>
                <w:rFonts w:hint="default"/>
                <w:color w:val="auto"/>
              </w:rPr>
            </w:pPr>
          </w:p>
        </w:tc>
        <w:tc>
          <w:tcPr>
            <w:tcW w:w="4927" w:type="dxa"/>
          </w:tcPr>
          <w:p w14:paraId="3442A2B9">
            <w:pPr>
              <w:pStyle w:val="91"/>
              <w:keepNext w:val="0"/>
              <w:keepLines w:val="0"/>
              <w:suppressLineNumbers w:val="0"/>
              <w:spacing w:before="0" w:beforeAutospacing="0" w:after="0" w:afterAutospacing="0"/>
              <w:ind w:left="0" w:right="0"/>
              <w:rPr>
                <w:rFonts w:hint="default"/>
                <w:color w:val="auto"/>
              </w:rPr>
            </w:pPr>
            <w:r>
              <w:rPr>
                <w:rFonts w:hint="eastAsia"/>
                <w:color w:val="auto"/>
              </w:rPr>
              <w:t>硫化物</w:t>
            </w:r>
          </w:p>
        </w:tc>
        <w:tc>
          <w:tcPr>
            <w:tcW w:w="3117" w:type="dxa"/>
          </w:tcPr>
          <w:p w14:paraId="7B6959DC">
            <w:pPr>
              <w:pStyle w:val="91"/>
              <w:keepNext w:val="0"/>
              <w:keepLines w:val="0"/>
              <w:suppressLineNumbers w:val="0"/>
              <w:spacing w:before="0" w:beforeAutospacing="0" w:after="0" w:afterAutospacing="0"/>
              <w:ind w:left="0" w:right="0"/>
              <w:rPr>
                <w:rFonts w:hint="default"/>
                <w:color w:val="auto"/>
              </w:rPr>
            </w:pPr>
            <w:r>
              <w:rPr>
                <w:rFonts w:hint="eastAsia"/>
                <w:color w:val="auto"/>
              </w:rPr>
              <w:t>≤25</w:t>
            </w:r>
          </w:p>
        </w:tc>
      </w:tr>
    </w:tbl>
    <w:p w14:paraId="62A7236F">
      <w:pPr>
        <w:ind w:firstLine="480"/>
        <w:rPr>
          <w:color w:val="auto"/>
        </w:rPr>
      </w:pPr>
      <w:r>
        <w:rPr>
          <w:color w:val="auto"/>
        </w:rPr>
        <w:t>船舶在港期间船舶污水执行《沿海海域船舶排污设备铅封管理规定》，不得排放到港口水体。船舶靠港时，船舶污水如需处理，可委托有资质的单位接收处置。船舶航行途中船舶污水自行处理时，污染物排放执行《船舶水污染物排放控制标准》（GB3552-2018），见下表。</w:t>
      </w:r>
    </w:p>
    <w:p w14:paraId="410748AB">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10</w:t>
      </w:r>
      <w:r>
        <w:rPr>
          <w:color w:val="auto"/>
        </w:rPr>
        <w:fldChar w:fldCharType="end"/>
      </w:r>
      <w:r>
        <w:rPr>
          <w:color w:val="auto"/>
        </w:rPr>
        <w:t>《船舶水污染物排放控制标准》（GB3552-2018）摘录单位mg/L</w:t>
      </w:r>
    </w:p>
    <w:tbl>
      <w:tblPr>
        <w:tblStyle w:val="43"/>
        <w:tblW w:w="904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4"/>
        <w:gridCol w:w="696"/>
        <w:gridCol w:w="696"/>
        <w:gridCol w:w="2064"/>
        <w:gridCol w:w="3853"/>
        <w:gridCol w:w="1069"/>
      </w:tblGrid>
      <w:tr w14:paraId="682E93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60" w:type="dxa"/>
            <w:gridSpan w:val="2"/>
            <w:vAlign w:val="center"/>
          </w:tcPr>
          <w:p w14:paraId="4F7B9ED0">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污水类型</w:t>
            </w:r>
          </w:p>
        </w:tc>
        <w:tc>
          <w:tcPr>
            <w:tcW w:w="696" w:type="dxa"/>
            <w:vAlign w:val="center"/>
          </w:tcPr>
          <w:p w14:paraId="54887178">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水域类别</w:t>
            </w:r>
          </w:p>
        </w:tc>
        <w:tc>
          <w:tcPr>
            <w:tcW w:w="2064" w:type="dxa"/>
            <w:vAlign w:val="center"/>
          </w:tcPr>
          <w:p w14:paraId="1175F59E">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船舶类别</w:t>
            </w:r>
          </w:p>
        </w:tc>
        <w:tc>
          <w:tcPr>
            <w:tcW w:w="3853" w:type="dxa"/>
            <w:vAlign w:val="center"/>
          </w:tcPr>
          <w:p w14:paraId="755C6CE3">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排放控制标准</w:t>
            </w:r>
          </w:p>
        </w:tc>
        <w:tc>
          <w:tcPr>
            <w:tcW w:w="1069" w:type="dxa"/>
            <w:vAlign w:val="center"/>
          </w:tcPr>
          <w:p w14:paraId="75CA2D08">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污染物排放监控位置</w:t>
            </w:r>
          </w:p>
        </w:tc>
      </w:tr>
      <w:tr w14:paraId="3051F6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4" w:type="dxa"/>
            <w:vMerge w:val="restart"/>
            <w:vAlign w:val="center"/>
          </w:tcPr>
          <w:p w14:paraId="5DE712BA">
            <w:pPr>
              <w:pStyle w:val="77"/>
              <w:keepNext w:val="0"/>
              <w:keepLines w:val="0"/>
              <w:suppressLineNumbers w:val="0"/>
              <w:spacing w:before="0" w:beforeAutospacing="0" w:after="0" w:afterAutospacing="0"/>
              <w:ind w:left="0" w:right="0"/>
              <w:rPr>
                <w:rFonts w:hint="default"/>
                <w:color w:val="auto"/>
              </w:rPr>
            </w:pPr>
            <w:r>
              <w:rPr>
                <w:rFonts w:hint="default"/>
                <w:color w:val="auto"/>
              </w:rPr>
              <w:t>含油污水</w:t>
            </w:r>
          </w:p>
        </w:tc>
        <w:tc>
          <w:tcPr>
            <w:tcW w:w="696" w:type="dxa"/>
            <w:vMerge w:val="restart"/>
            <w:vAlign w:val="center"/>
          </w:tcPr>
          <w:p w14:paraId="04C64B95">
            <w:pPr>
              <w:pStyle w:val="77"/>
              <w:keepNext w:val="0"/>
              <w:keepLines w:val="0"/>
              <w:suppressLineNumbers w:val="0"/>
              <w:spacing w:before="0" w:beforeAutospacing="0" w:after="0" w:afterAutospacing="0"/>
              <w:ind w:left="0" w:right="0"/>
              <w:rPr>
                <w:rFonts w:hint="default"/>
                <w:color w:val="auto"/>
              </w:rPr>
            </w:pPr>
            <w:r>
              <w:rPr>
                <w:rFonts w:hint="default"/>
                <w:color w:val="auto"/>
              </w:rPr>
              <w:t>机器处所污水</w:t>
            </w:r>
          </w:p>
        </w:tc>
        <w:tc>
          <w:tcPr>
            <w:tcW w:w="696" w:type="dxa"/>
            <w:vMerge w:val="restart"/>
            <w:vAlign w:val="center"/>
          </w:tcPr>
          <w:p w14:paraId="464E36B8">
            <w:pPr>
              <w:pStyle w:val="77"/>
              <w:keepNext w:val="0"/>
              <w:keepLines w:val="0"/>
              <w:suppressLineNumbers w:val="0"/>
              <w:spacing w:before="0" w:beforeAutospacing="0" w:after="0" w:afterAutospacing="0"/>
              <w:ind w:left="0" w:right="0"/>
              <w:rPr>
                <w:rFonts w:hint="default"/>
                <w:color w:val="auto"/>
              </w:rPr>
            </w:pPr>
            <w:r>
              <w:rPr>
                <w:rFonts w:hint="default"/>
                <w:color w:val="auto"/>
              </w:rPr>
              <w:t>内河</w:t>
            </w:r>
          </w:p>
        </w:tc>
        <w:tc>
          <w:tcPr>
            <w:tcW w:w="2064" w:type="dxa"/>
            <w:vAlign w:val="center"/>
          </w:tcPr>
          <w:p w14:paraId="41961566">
            <w:pPr>
              <w:pStyle w:val="77"/>
              <w:keepNext w:val="0"/>
              <w:keepLines w:val="0"/>
              <w:suppressLineNumbers w:val="0"/>
              <w:spacing w:before="0" w:beforeAutospacing="0" w:after="0" w:afterAutospacing="0"/>
              <w:ind w:left="0" w:right="0"/>
              <w:rPr>
                <w:rFonts w:hint="default"/>
                <w:color w:val="auto"/>
              </w:rPr>
            </w:pPr>
            <w:r>
              <w:rPr>
                <w:rFonts w:hint="default"/>
                <w:color w:val="auto"/>
              </w:rPr>
              <w:t>2021年1月1日之前建造的船舶</w:t>
            </w:r>
          </w:p>
        </w:tc>
        <w:tc>
          <w:tcPr>
            <w:tcW w:w="3853" w:type="dxa"/>
            <w:vAlign w:val="center"/>
          </w:tcPr>
          <w:p w14:paraId="35BFBAC1">
            <w:pPr>
              <w:pStyle w:val="77"/>
              <w:keepNext w:val="0"/>
              <w:keepLines w:val="0"/>
              <w:suppressLineNumbers w:val="0"/>
              <w:spacing w:before="0" w:beforeAutospacing="0" w:after="0" w:afterAutospacing="0"/>
              <w:ind w:left="0" w:right="0"/>
              <w:rPr>
                <w:rFonts w:hint="default"/>
                <w:color w:val="auto"/>
              </w:rPr>
            </w:pPr>
            <w:r>
              <w:rPr>
                <w:rFonts w:hint="default"/>
                <w:color w:val="auto"/>
              </w:rPr>
              <w:t>石油类≤15或收集并排入接收设施</w:t>
            </w:r>
          </w:p>
        </w:tc>
        <w:tc>
          <w:tcPr>
            <w:tcW w:w="1069" w:type="dxa"/>
            <w:vMerge w:val="restart"/>
            <w:vAlign w:val="center"/>
          </w:tcPr>
          <w:p w14:paraId="176C49A5">
            <w:pPr>
              <w:pStyle w:val="77"/>
              <w:keepNext w:val="0"/>
              <w:keepLines w:val="0"/>
              <w:suppressLineNumbers w:val="0"/>
              <w:spacing w:before="0" w:beforeAutospacing="0" w:after="0" w:afterAutospacing="0"/>
              <w:ind w:left="0" w:right="0"/>
              <w:rPr>
                <w:rFonts w:hint="default"/>
                <w:color w:val="auto"/>
              </w:rPr>
            </w:pPr>
            <w:r>
              <w:rPr>
                <w:rFonts w:hint="default"/>
                <w:color w:val="auto"/>
              </w:rPr>
              <w:t>油污水处理装置出水口</w:t>
            </w:r>
          </w:p>
        </w:tc>
      </w:tr>
      <w:tr w14:paraId="05E881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4" w:type="dxa"/>
            <w:vMerge w:val="continue"/>
            <w:vAlign w:val="center"/>
          </w:tcPr>
          <w:p w14:paraId="5357BE56">
            <w:pPr>
              <w:pStyle w:val="77"/>
              <w:keepNext w:val="0"/>
              <w:keepLines w:val="0"/>
              <w:suppressLineNumbers w:val="0"/>
              <w:spacing w:before="0" w:beforeAutospacing="0" w:after="0" w:afterAutospacing="0"/>
              <w:ind w:left="0" w:right="0"/>
              <w:rPr>
                <w:rFonts w:hint="default"/>
                <w:color w:val="auto"/>
              </w:rPr>
            </w:pPr>
          </w:p>
        </w:tc>
        <w:tc>
          <w:tcPr>
            <w:tcW w:w="696" w:type="dxa"/>
            <w:vMerge w:val="continue"/>
            <w:vAlign w:val="center"/>
          </w:tcPr>
          <w:p w14:paraId="682DBCA3">
            <w:pPr>
              <w:pStyle w:val="77"/>
              <w:keepNext w:val="0"/>
              <w:keepLines w:val="0"/>
              <w:suppressLineNumbers w:val="0"/>
              <w:spacing w:before="0" w:beforeAutospacing="0" w:after="0" w:afterAutospacing="0"/>
              <w:ind w:left="0" w:right="0"/>
              <w:rPr>
                <w:rFonts w:hint="default"/>
                <w:color w:val="auto"/>
              </w:rPr>
            </w:pPr>
          </w:p>
        </w:tc>
        <w:tc>
          <w:tcPr>
            <w:tcW w:w="696" w:type="dxa"/>
            <w:vMerge w:val="continue"/>
            <w:vAlign w:val="center"/>
          </w:tcPr>
          <w:p w14:paraId="3DAA996C">
            <w:pPr>
              <w:pStyle w:val="77"/>
              <w:keepNext w:val="0"/>
              <w:keepLines w:val="0"/>
              <w:suppressLineNumbers w:val="0"/>
              <w:spacing w:before="0" w:beforeAutospacing="0" w:after="0" w:afterAutospacing="0"/>
              <w:ind w:left="0" w:right="0"/>
              <w:rPr>
                <w:rFonts w:hint="default"/>
                <w:color w:val="auto"/>
              </w:rPr>
            </w:pPr>
          </w:p>
        </w:tc>
        <w:tc>
          <w:tcPr>
            <w:tcW w:w="2064" w:type="dxa"/>
            <w:vAlign w:val="center"/>
          </w:tcPr>
          <w:p w14:paraId="54CCA6C4">
            <w:pPr>
              <w:pStyle w:val="77"/>
              <w:keepNext w:val="0"/>
              <w:keepLines w:val="0"/>
              <w:suppressLineNumbers w:val="0"/>
              <w:spacing w:before="0" w:beforeAutospacing="0" w:after="0" w:afterAutospacing="0"/>
              <w:ind w:left="0" w:right="0"/>
              <w:rPr>
                <w:rFonts w:hint="default"/>
                <w:color w:val="auto"/>
              </w:rPr>
            </w:pPr>
            <w:r>
              <w:rPr>
                <w:rFonts w:hint="default"/>
                <w:color w:val="auto"/>
              </w:rPr>
              <w:t>2021年1月1日及以后建造的船舶</w:t>
            </w:r>
          </w:p>
        </w:tc>
        <w:tc>
          <w:tcPr>
            <w:tcW w:w="3853" w:type="dxa"/>
            <w:vAlign w:val="center"/>
          </w:tcPr>
          <w:p w14:paraId="4A268192">
            <w:pPr>
              <w:pStyle w:val="77"/>
              <w:keepNext w:val="0"/>
              <w:keepLines w:val="0"/>
              <w:suppressLineNumbers w:val="0"/>
              <w:spacing w:before="0" w:beforeAutospacing="0" w:after="0" w:afterAutospacing="0"/>
              <w:ind w:left="0" w:right="0"/>
              <w:rPr>
                <w:rFonts w:hint="default"/>
                <w:color w:val="auto"/>
              </w:rPr>
            </w:pPr>
            <w:r>
              <w:rPr>
                <w:rFonts w:hint="default"/>
                <w:color w:val="auto"/>
              </w:rPr>
              <w:t>收集并排入接收设施</w:t>
            </w:r>
          </w:p>
        </w:tc>
        <w:tc>
          <w:tcPr>
            <w:tcW w:w="1069" w:type="dxa"/>
            <w:vMerge w:val="continue"/>
            <w:vAlign w:val="center"/>
          </w:tcPr>
          <w:p w14:paraId="4245AC1C">
            <w:pPr>
              <w:pStyle w:val="77"/>
              <w:keepNext w:val="0"/>
              <w:keepLines w:val="0"/>
              <w:suppressLineNumbers w:val="0"/>
              <w:spacing w:before="0" w:beforeAutospacing="0" w:after="0" w:afterAutospacing="0"/>
              <w:ind w:left="0" w:right="0"/>
              <w:rPr>
                <w:rFonts w:hint="default"/>
                <w:color w:val="auto"/>
              </w:rPr>
            </w:pPr>
          </w:p>
        </w:tc>
      </w:tr>
      <w:tr w14:paraId="12287E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4" w:type="dxa"/>
            <w:vMerge w:val="continue"/>
            <w:vAlign w:val="center"/>
          </w:tcPr>
          <w:p w14:paraId="43BC9803">
            <w:pPr>
              <w:pStyle w:val="77"/>
              <w:keepNext w:val="0"/>
              <w:keepLines w:val="0"/>
              <w:suppressLineNumbers w:val="0"/>
              <w:spacing w:before="0" w:beforeAutospacing="0" w:after="0" w:afterAutospacing="0"/>
              <w:ind w:left="0" w:right="0"/>
              <w:rPr>
                <w:rFonts w:hint="default"/>
                <w:color w:val="auto"/>
              </w:rPr>
            </w:pPr>
          </w:p>
        </w:tc>
        <w:tc>
          <w:tcPr>
            <w:tcW w:w="696" w:type="dxa"/>
            <w:vMerge w:val="continue"/>
            <w:vAlign w:val="center"/>
          </w:tcPr>
          <w:p w14:paraId="352091BE">
            <w:pPr>
              <w:pStyle w:val="77"/>
              <w:keepNext w:val="0"/>
              <w:keepLines w:val="0"/>
              <w:suppressLineNumbers w:val="0"/>
              <w:spacing w:before="0" w:beforeAutospacing="0" w:after="0" w:afterAutospacing="0"/>
              <w:ind w:left="0" w:right="0"/>
              <w:rPr>
                <w:rFonts w:hint="default"/>
                <w:color w:val="auto"/>
              </w:rPr>
            </w:pPr>
          </w:p>
        </w:tc>
        <w:tc>
          <w:tcPr>
            <w:tcW w:w="696" w:type="dxa"/>
            <w:vAlign w:val="center"/>
          </w:tcPr>
          <w:p w14:paraId="3D83FA05">
            <w:pPr>
              <w:pStyle w:val="77"/>
              <w:keepNext w:val="0"/>
              <w:keepLines w:val="0"/>
              <w:suppressLineNumbers w:val="0"/>
              <w:spacing w:before="0" w:beforeAutospacing="0" w:after="0" w:afterAutospacing="0"/>
              <w:ind w:left="0" w:right="0"/>
              <w:rPr>
                <w:rFonts w:hint="default"/>
                <w:color w:val="auto"/>
              </w:rPr>
            </w:pPr>
            <w:r>
              <w:rPr>
                <w:rFonts w:hint="default"/>
                <w:color w:val="auto"/>
              </w:rPr>
              <w:t>沿海</w:t>
            </w:r>
          </w:p>
        </w:tc>
        <w:tc>
          <w:tcPr>
            <w:tcW w:w="2064" w:type="dxa"/>
            <w:vAlign w:val="center"/>
          </w:tcPr>
          <w:p w14:paraId="0B1B5D0C">
            <w:pPr>
              <w:pStyle w:val="77"/>
              <w:keepNext w:val="0"/>
              <w:keepLines w:val="0"/>
              <w:suppressLineNumbers w:val="0"/>
              <w:spacing w:before="0" w:beforeAutospacing="0" w:after="0" w:afterAutospacing="0"/>
              <w:ind w:left="0" w:right="0"/>
              <w:rPr>
                <w:rFonts w:hint="default"/>
                <w:color w:val="auto"/>
              </w:rPr>
            </w:pPr>
            <w:r>
              <w:rPr>
                <w:rFonts w:hint="default"/>
                <w:color w:val="auto"/>
              </w:rPr>
              <w:t>400总吨级以上船舶</w:t>
            </w:r>
          </w:p>
        </w:tc>
        <w:tc>
          <w:tcPr>
            <w:tcW w:w="3853" w:type="dxa"/>
            <w:vAlign w:val="center"/>
          </w:tcPr>
          <w:p w14:paraId="33CD56EC">
            <w:pPr>
              <w:pStyle w:val="77"/>
              <w:keepNext w:val="0"/>
              <w:keepLines w:val="0"/>
              <w:suppressLineNumbers w:val="0"/>
              <w:spacing w:before="0" w:beforeAutospacing="0" w:after="0" w:afterAutospacing="0"/>
              <w:ind w:left="0" w:right="0"/>
              <w:rPr>
                <w:rFonts w:hint="default"/>
                <w:color w:val="auto"/>
              </w:rPr>
            </w:pPr>
            <w:r>
              <w:rPr>
                <w:rFonts w:hint="default"/>
                <w:color w:val="auto"/>
              </w:rPr>
              <w:t>石油类≤15或收集并排入接收设施</w:t>
            </w:r>
          </w:p>
        </w:tc>
        <w:tc>
          <w:tcPr>
            <w:tcW w:w="1069" w:type="dxa"/>
            <w:vMerge w:val="continue"/>
            <w:vAlign w:val="center"/>
          </w:tcPr>
          <w:p w14:paraId="678C7319">
            <w:pPr>
              <w:pStyle w:val="77"/>
              <w:keepNext w:val="0"/>
              <w:keepLines w:val="0"/>
              <w:suppressLineNumbers w:val="0"/>
              <w:spacing w:before="0" w:beforeAutospacing="0" w:after="0" w:afterAutospacing="0"/>
              <w:ind w:left="0" w:right="0"/>
              <w:rPr>
                <w:rFonts w:hint="default"/>
                <w:color w:val="auto"/>
              </w:rPr>
            </w:pPr>
          </w:p>
        </w:tc>
      </w:tr>
      <w:tr w14:paraId="204EBE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4" w:type="dxa"/>
            <w:vMerge w:val="continue"/>
            <w:vAlign w:val="center"/>
          </w:tcPr>
          <w:p w14:paraId="3683BDE7">
            <w:pPr>
              <w:pStyle w:val="77"/>
              <w:keepNext w:val="0"/>
              <w:keepLines w:val="0"/>
              <w:suppressLineNumbers w:val="0"/>
              <w:spacing w:before="0" w:beforeAutospacing="0" w:after="0" w:afterAutospacing="0"/>
              <w:ind w:left="0" w:right="0"/>
              <w:rPr>
                <w:rFonts w:hint="default"/>
                <w:color w:val="auto"/>
              </w:rPr>
            </w:pPr>
          </w:p>
        </w:tc>
        <w:tc>
          <w:tcPr>
            <w:tcW w:w="696" w:type="dxa"/>
            <w:vMerge w:val="restart"/>
            <w:vAlign w:val="center"/>
          </w:tcPr>
          <w:p w14:paraId="771908C7">
            <w:pPr>
              <w:pStyle w:val="77"/>
              <w:keepNext w:val="0"/>
              <w:keepLines w:val="0"/>
              <w:suppressLineNumbers w:val="0"/>
              <w:spacing w:before="0" w:beforeAutospacing="0" w:after="0" w:afterAutospacing="0"/>
              <w:ind w:left="0" w:right="0"/>
              <w:rPr>
                <w:rFonts w:hint="default"/>
                <w:color w:val="auto"/>
              </w:rPr>
            </w:pPr>
            <w:r>
              <w:rPr>
                <w:rFonts w:hint="default"/>
                <w:color w:val="auto"/>
              </w:rPr>
              <w:t>含货油残余物的油污水</w:t>
            </w:r>
          </w:p>
        </w:tc>
        <w:tc>
          <w:tcPr>
            <w:tcW w:w="696" w:type="dxa"/>
            <w:vAlign w:val="center"/>
          </w:tcPr>
          <w:p w14:paraId="1672AD89">
            <w:pPr>
              <w:pStyle w:val="77"/>
              <w:keepNext w:val="0"/>
              <w:keepLines w:val="0"/>
              <w:suppressLineNumbers w:val="0"/>
              <w:spacing w:before="0" w:beforeAutospacing="0" w:after="0" w:afterAutospacing="0"/>
              <w:ind w:left="0" w:right="0"/>
              <w:rPr>
                <w:rFonts w:hint="default"/>
                <w:color w:val="auto"/>
              </w:rPr>
            </w:pPr>
            <w:r>
              <w:rPr>
                <w:rFonts w:hint="default"/>
                <w:color w:val="auto"/>
              </w:rPr>
              <w:t>内河</w:t>
            </w:r>
          </w:p>
        </w:tc>
        <w:tc>
          <w:tcPr>
            <w:tcW w:w="2064" w:type="dxa"/>
            <w:vAlign w:val="center"/>
          </w:tcPr>
          <w:p w14:paraId="48782255">
            <w:pPr>
              <w:pStyle w:val="77"/>
              <w:keepNext w:val="0"/>
              <w:keepLines w:val="0"/>
              <w:suppressLineNumbers w:val="0"/>
              <w:spacing w:before="0" w:beforeAutospacing="0" w:after="0" w:afterAutospacing="0"/>
              <w:ind w:left="0" w:right="0"/>
              <w:rPr>
                <w:rFonts w:hint="default"/>
                <w:color w:val="auto"/>
              </w:rPr>
            </w:pPr>
            <w:r>
              <w:rPr>
                <w:rFonts w:hint="default"/>
                <w:color w:val="auto"/>
              </w:rPr>
              <w:t>全部油船</w:t>
            </w:r>
          </w:p>
        </w:tc>
        <w:tc>
          <w:tcPr>
            <w:tcW w:w="3853" w:type="dxa"/>
            <w:vAlign w:val="center"/>
          </w:tcPr>
          <w:p w14:paraId="43C9EE3F">
            <w:pPr>
              <w:pStyle w:val="77"/>
              <w:keepNext w:val="0"/>
              <w:keepLines w:val="0"/>
              <w:suppressLineNumbers w:val="0"/>
              <w:spacing w:before="0" w:beforeAutospacing="0" w:after="0" w:afterAutospacing="0"/>
              <w:ind w:left="0" w:right="0"/>
              <w:rPr>
                <w:rFonts w:hint="default"/>
                <w:color w:val="auto"/>
              </w:rPr>
            </w:pPr>
            <w:r>
              <w:rPr>
                <w:rFonts w:hint="default"/>
                <w:color w:val="auto"/>
              </w:rPr>
              <w:t>收集并排入接收设施</w:t>
            </w:r>
          </w:p>
        </w:tc>
        <w:tc>
          <w:tcPr>
            <w:tcW w:w="1069" w:type="dxa"/>
            <w:vMerge w:val="continue"/>
            <w:vAlign w:val="center"/>
          </w:tcPr>
          <w:p w14:paraId="34C5B8C9">
            <w:pPr>
              <w:pStyle w:val="77"/>
              <w:keepNext w:val="0"/>
              <w:keepLines w:val="0"/>
              <w:suppressLineNumbers w:val="0"/>
              <w:spacing w:before="0" w:beforeAutospacing="0" w:after="0" w:afterAutospacing="0"/>
              <w:ind w:left="0" w:right="0"/>
              <w:rPr>
                <w:rFonts w:hint="default"/>
                <w:color w:val="auto"/>
              </w:rPr>
            </w:pPr>
          </w:p>
        </w:tc>
      </w:tr>
      <w:tr w14:paraId="6938C2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4" w:type="dxa"/>
            <w:vMerge w:val="continue"/>
            <w:vAlign w:val="center"/>
          </w:tcPr>
          <w:p w14:paraId="08005882">
            <w:pPr>
              <w:pStyle w:val="77"/>
              <w:keepNext w:val="0"/>
              <w:keepLines w:val="0"/>
              <w:suppressLineNumbers w:val="0"/>
              <w:spacing w:before="0" w:beforeAutospacing="0" w:after="0" w:afterAutospacing="0"/>
              <w:ind w:left="0" w:right="0"/>
              <w:rPr>
                <w:rFonts w:hint="default"/>
                <w:color w:val="auto"/>
              </w:rPr>
            </w:pPr>
          </w:p>
        </w:tc>
        <w:tc>
          <w:tcPr>
            <w:tcW w:w="696" w:type="dxa"/>
            <w:vMerge w:val="continue"/>
            <w:vAlign w:val="center"/>
          </w:tcPr>
          <w:p w14:paraId="105019BE">
            <w:pPr>
              <w:pStyle w:val="77"/>
              <w:keepNext w:val="0"/>
              <w:keepLines w:val="0"/>
              <w:suppressLineNumbers w:val="0"/>
              <w:spacing w:before="0" w:beforeAutospacing="0" w:after="0" w:afterAutospacing="0"/>
              <w:ind w:left="0" w:right="0"/>
              <w:rPr>
                <w:rFonts w:hint="default"/>
                <w:color w:val="auto"/>
              </w:rPr>
            </w:pPr>
          </w:p>
        </w:tc>
        <w:tc>
          <w:tcPr>
            <w:tcW w:w="696" w:type="dxa"/>
            <w:vAlign w:val="center"/>
          </w:tcPr>
          <w:p w14:paraId="6BF84F6F">
            <w:pPr>
              <w:pStyle w:val="77"/>
              <w:keepNext w:val="0"/>
              <w:keepLines w:val="0"/>
              <w:suppressLineNumbers w:val="0"/>
              <w:spacing w:before="0" w:beforeAutospacing="0" w:after="0" w:afterAutospacing="0"/>
              <w:ind w:left="0" w:right="0"/>
              <w:rPr>
                <w:rFonts w:hint="default"/>
                <w:color w:val="auto"/>
              </w:rPr>
            </w:pPr>
            <w:r>
              <w:rPr>
                <w:rFonts w:hint="default"/>
                <w:color w:val="auto"/>
              </w:rPr>
              <w:t>沿海</w:t>
            </w:r>
          </w:p>
        </w:tc>
        <w:tc>
          <w:tcPr>
            <w:tcW w:w="2064" w:type="dxa"/>
            <w:vAlign w:val="center"/>
          </w:tcPr>
          <w:p w14:paraId="300C451E">
            <w:pPr>
              <w:pStyle w:val="77"/>
              <w:keepNext w:val="0"/>
              <w:keepLines w:val="0"/>
              <w:suppressLineNumbers w:val="0"/>
              <w:spacing w:before="0" w:beforeAutospacing="0" w:after="0" w:afterAutospacing="0"/>
              <w:ind w:left="0" w:right="0"/>
              <w:rPr>
                <w:rFonts w:hint="default"/>
                <w:color w:val="auto"/>
              </w:rPr>
            </w:pPr>
            <w:r>
              <w:rPr>
                <w:rFonts w:hint="default"/>
                <w:color w:val="auto"/>
              </w:rPr>
              <w:t>150总吨及以上船舶</w:t>
            </w:r>
          </w:p>
        </w:tc>
        <w:tc>
          <w:tcPr>
            <w:tcW w:w="3853" w:type="dxa"/>
            <w:vAlign w:val="center"/>
          </w:tcPr>
          <w:p w14:paraId="61C46A09">
            <w:pPr>
              <w:pStyle w:val="77"/>
              <w:keepNext w:val="0"/>
              <w:keepLines w:val="0"/>
              <w:suppressLineNumbers w:val="0"/>
              <w:spacing w:before="0" w:beforeAutospacing="0" w:after="0" w:afterAutospacing="0"/>
              <w:ind w:left="0" w:right="0"/>
              <w:rPr>
                <w:rFonts w:hint="default"/>
                <w:color w:val="auto"/>
              </w:rPr>
            </w:pPr>
            <w:r>
              <w:rPr>
                <w:rFonts w:hint="default"/>
                <w:color w:val="auto"/>
              </w:rPr>
              <w:t>收集并排入接收设施，或在船舶航行中排放，并同时满足下列条件：（1）油船距最近陆地50海里以上；（2）排入海中油污水含油量瞬间排放率不超过30升/海里；（3）排入海中油污水含油量不得超过货油总量的1/30000；（4）排油监控系统运转正常。</w:t>
            </w:r>
          </w:p>
        </w:tc>
        <w:tc>
          <w:tcPr>
            <w:tcW w:w="1069" w:type="dxa"/>
            <w:vMerge w:val="continue"/>
            <w:vAlign w:val="center"/>
          </w:tcPr>
          <w:p w14:paraId="4724C8D1">
            <w:pPr>
              <w:pStyle w:val="77"/>
              <w:keepNext w:val="0"/>
              <w:keepLines w:val="0"/>
              <w:suppressLineNumbers w:val="0"/>
              <w:spacing w:before="0" w:beforeAutospacing="0" w:after="0" w:afterAutospacing="0"/>
              <w:ind w:left="0" w:right="0"/>
              <w:rPr>
                <w:rFonts w:hint="default"/>
                <w:color w:val="auto"/>
              </w:rPr>
            </w:pPr>
          </w:p>
        </w:tc>
      </w:tr>
      <w:tr w14:paraId="2AF153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60" w:type="dxa"/>
            <w:gridSpan w:val="2"/>
            <w:vMerge w:val="restart"/>
            <w:vAlign w:val="center"/>
          </w:tcPr>
          <w:p w14:paraId="4197351A">
            <w:pPr>
              <w:pStyle w:val="77"/>
              <w:keepNext w:val="0"/>
              <w:keepLines w:val="0"/>
              <w:suppressLineNumbers w:val="0"/>
              <w:spacing w:before="0" w:beforeAutospacing="0" w:after="0" w:afterAutospacing="0"/>
              <w:ind w:left="0" w:right="0"/>
              <w:rPr>
                <w:rFonts w:hint="default"/>
                <w:color w:val="auto"/>
              </w:rPr>
            </w:pPr>
            <w:r>
              <w:rPr>
                <w:rFonts w:hint="default"/>
                <w:color w:val="auto"/>
              </w:rPr>
              <w:t>船舶生活污水</w:t>
            </w:r>
          </w:p>
        </w:tc>
        <w:tc>
          <w:tcPr>
            <w:tcW w:w="696" w:type="dxa"/>
            <w:vAlign w:val="center"/>
          </w:tcPr>
          <w:p w14:paraId="60DD0A79">
            <w:pPr>
              <w:pStyle w:val="77"/>
              <w:keepNext w:val="0"/>
              <w:keepLines w:val="0"/>
              <w:suppressLineNumbers w:val="0"/>
              <w:spacing w:before="0" w:beforeAutospacing="0" w:after="0" w:afterAutospacing="0"/>
              <w:ind w:left="0" w:right="0"/>
              <w:rPr>
                <w:rFonts w:hint="default"/>
                <w:color w:val="auto"/>
              </w:rPr>
            </w:pPr>
            <w:r>
              <w:rPr>
                <w:rFonts w:hint="default"/>
                <w:color w:val="auto"/>
              </w:rPr>
              <w:t>内河</w:t>
            </w:r>
          </w:p>
        </w:tc>
        <w:tc>
          <w:tcPr>
            <w:tcW w:w="2064" w:type="dxa"/>
            <w:vAlign w:val="center"/>
          </w:tcPr>
          <w:p w14:paraId="1AE7B09B">
            <w:pPr>
              <w:pStyle w:val="77"/>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3853" w:type="dxa"/>
            <w:vAlign w:val="center"/>
          </w:tcPr>
          <w:p w14:paraId="456EEC52">
            <w:pPr>
              <w:pStyle w:val="77"/>
              <w:keepNext w:val="0"/>
              <w:keepLines w:val="0"/>
              <w:suppressLineNumbers w:val="0"/>
              <w:spacing w:before="0" w:beforeAutospacing="0" w:after="0" w:afterAutospacing="0"/>
              <w:ind w:left="0" w:right="0"/>
              <w:rPr>
                <w:rFonts w:hint="default"/>
                <w:color w:val="auto"/>
              </w:rPr>
            </w:pPr>
            <w:r>
              <w:rPr>
                <w:rFonts w:hint="default"/>
                <w:color w:val="auto"/>
              </w:rPr>
              <w:t>采取下列方式之一进行处理，不得直接排入环境水体：（1）利用船载收集装置收集，排入接收设施；（2）利用船载生活污水处理装置处理，达到沿海水域规定要求后在航行中排放</w:t>
            </w:r>
          </w:p>
        </w:tc>
        <w:tc>
          <w:tcPr>
            <w:tcW w:w="1069" w:type="dxa"/>
            <w:vMerge w:val="restart"/>
            <w:vAlign w:val="center"/>
          </w:tcPr>
          <w:p w14:paraId="4B6CE09A">
            <w:pPr>
              <w:pStyle w:val="77"/>
              <w:keepNext w:val="0"/>
              <w:keepLines w:val="0"/>
              <w:suppressLineNumbers w:val="0"/>
              <w:spacing w:before="0" w:beforeAutospacing="0" w:after="0" w:afterAutospacing="0"/>
              <w:ind w:left="0" w:right="0"/>
              <w:rPr>
                <w:rFonts w:hint="default"/>
                <w:color w:val="auto"/>
              </w:rPr>
            </w:pPr>
            <w:r>
              <w:rPr>
                <w:rFonts w:hint="default"/>
                <w:color w:val="auto"/>
              </w:rPr>
              <w:t>生活污水处理装置出水口</w:t>
            </w:r>
          </w:p>
        </w:tc>
      </w:tr>
      <w:tr w14:paraId="0C2CFC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60" w:type="dxa"/>
            <w:gridSpan w:val="2"/>
            <w:vMerge w:val="continue"/>
            <w:vAlign w:val="center"/>
          </w:tcPr>
          <w:p w14:paraId="071C5FDE">
            <w:pPr>
              <w:pStyle w:val="77"/>
              <w:keepNext w:val="0"/>
              <w:keepLines w:val="0"/>
              <w:suppressLineNumbers w:val="0"/>
              <w:spacing w:before="0" w:beforeAutospacing="0" w:after="0" w:afterAutospacing="0"/>
              <w:ind w:left="0" w:right="0"/>
              <w:rPr>
                <w:rFonts w:hint="default"/>
                <w:color w:val="auto"/>
              </w:rPr>
            </w:pPr>
          </w:p>
        </w:tc>
        <w:tc>
          <w:tcPr>
            <w:tcW w:w="696" w:type="dxa"/>
            <w:vMerge w:val="restart"/>
            <w:vAlign w:val="center"/>
          </w:tcPr>
          <w:p w14:paraId="66967461">
            <w:pPr>
              <w:pStyle w:val="77"/>
              <w:keepNext w:val="0"/>
              <w:keepLines w:val="0"/>
              <w:suppressLineNumbers w:val="0"/>
              <w:spacing w:before="0" w:beforeAutospacing="0" w:after="0" w:afterAutospacing="0"/>
              <w:ind w:left="0" w:right="0"/>
              <w:rPr>
                <w:rFonts w:hint="default"/>
                <w:color w:val="auto"/>
              </w:rPr>
            </w:pPr>
            <w:r>
              <w:rPr>
                <w:rFonts w:hint="default"/>
                <w:color w:val="auto"/>
              </w:rPr>
              <w:t>沿海</w:t>
            </w:r>
          </w:p>
        </w:tc>
        <w:tc>
          <w:tcPr>
            <w:tcW w:w="2064" w:type="dxa"/>
            <w:vAlign w:val="center"/>
          </w:tcPr>
          <w:p w14:paraId="34FB97F0">
            <w:pPr>
              <w:pStyle w:val="77"/>
              <w:keepNext w:val="0"/>
              <w:keepLines w:val="0"/>
              <w:suppressLineNumbers w:val="0"/>
              <w:spacing w:before="0" w:beforeAutospacing="0" w:after="0" w:afterAutospacing="0"/>
              <w:ind w:left="0" w:right="0"/>
              <w:rPr>
                <w:rFonts w:hint="default"/>
                <w:color w:val="auto"/>
              </w:rPr>
            </w:pPr>
            <w:r>
              <w:rPr>
                <w:rFonts w:hint="default"/>
                <w:color w:val="auto"/>
              </w:rPr>
              <w:t>2012年1月1日以前安装（含更换）生活污水处理装置的船舶</w:t>
            </w:r>
          </w:p>
        </w:tc>
        <w:tc>
          <w:tcPr>
            <w:tcW w:w="3853" w:type="dxa"/>
            <w:vAlign w:val="center"/>
          </w:tcPr>
          <w:p w14:paraId="33009ED7">
            <w:pPr>
              <w:pStyle w:val="77"/>
              <w:keepNext w:val="0"/>
              <w:keepLines w:val="0"/>
              <w:suppressLineNumbers w:val="0"/>
              <w:spacing w:before="0" w:beforeAutospacing="0" w:after="0" w:afterAutospacing="0"/>
              <w:ind w:left="0" w:right="0"/>
              <w:rPr>
                <w:rFonts w:hint="default"/>
                <w:color w:val="auto"/>
              </w:rPr>
            </w:pPr>
            <w:r>
              <w:rPr>
                <w:rFonts w:hint="default"/>
                <w:color w:val="auto"/>
              </w:rPr>
              <w:t>BOD</w:t>
            </w:r>
            <w:r>
              <w:rPr>
                <w:rFonts w:hint="default"/>
                <w:color w:val="auto"/>
                <w:vertAlign w:val="subscript"/>
              </w:rPr>
              <w:t>5</w:t>
            </w:r>
            <w:r>
              <w:rPr>
                <w:rFonts w:hint="default"/>
                <w:color w:val="auto"/>
              </w:rPr>
              <w:t>≤50；SS≤150；耐热大肠菌群数≤2500个/L</w:t>
            </w:r>
          </w:p>
        </w:tc>
        <w:tc>
          <w:tcPr>
            <w:tcW w:w="1069" w:type="dxa"/>
            <w:vMerge w:val="continue"/>
            <w:vAlign w:val="center"/>
          </w:tcPr>
          <w:p w14:paraId="39DA70FA">
            <w:pPr>
              <w:pStyle w:val="77"/>
              <w:keepNext w:val="0"/>
              <w:keepLines w:val="0"/>
              <w:suppressLineNumbers w:val="0"/>
              <w:spacing w:before="0" w:beforeAutospacing="0" w:after="0" w:afterAutospacing="0"/>
              <w:ind w:left="0" w:right="0"/>
              <w:rPr>
                <w:rFonts w:hint="default"/>
                <w:color w:val="auto"/>
              </w:rPr>
            </w:pPr>
          </w:p>
        </w:tc>
      </w:tr>
      <w:tr w14:paraId="7A2DEB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60" w:type="dxa"/>
            <w:gridSpan w:val="2"/>
            <w:vMerge w:val="continue"/>
            <w:vAlign w:val="center"/>
          </w:tcPr>
          <w:p w14:paraId="34E3EC0D">
            <w:pPr>
              <w:pStyle w:val="77"/>
              <w:keepNext w:val="0"/>
              <w:keepLines w:val="0"/>
              <w:suppressLineNumbers w:val="0"/>
              <w:spacing w:before="0" w:beforeAutospacing="0" w:after="0" w:afterAutospacing="0"/>
              <w:ind w:left="0" w:right="0"/>
              <w:rPr>
                <w:rFonts w:hint="default"/>
                <w:color w:val="auto"/>
              </w:rPr>
            </w:pPr>
          </w:p>
        </w:tc>
        <w:tc>
          <w:tcPr>
            <w:tcW w:w="696" w:type="dxa"/>
            <w:vMerge w:val="continue"/>
            <w:vAlign w:val="center"/>
          </w:tcPr>
          <w:p w14:paraId="26E38079">
            <w:pPr>
              <w:pStyle w:val="77"/>
              <w:keepNext w:val="0"/>
              <w:keepLines w:val="0"/>
              <w:suppressLineNumbers w:val="0"/>
              <w:spacing w:before="0" w:beforeAutospacing="0" w:after="0" w:afterAutospacing="0"/>
              <w:ind w:left="0" w:right="0"/>
              <w:rPr>
                <w:rFonts w:hint="default"/>
                <w:color w:val="auto"/>
              </w:rPr>
            </w:pPr>
          </w:p>
        </w:tc>
        <w:tc>
          <w:tcPr>
            <w:tcW w:w="2064" w:type="dxa"/>
            <w:vAlign w:val="center"/>
          </w:tcPr>
          <w:p w14:paraId="00C45BF5">
            <w:pPr>
              <w:pStyle w:val="77"/>
              <w:keepNext w:val="0"/>
              <w:keepLines w:val="0"/>
              <w:suppressLineNumbers w:val="0"/>
              <w:spacing w:before="0" w:beforeAutospacing="0" w:after="0" w:afterAutospacing="0"/>
              <w:ind w:left="0" w:right="0"/>
              <w:rPr>
                <w:rFonts w:hint="default"/>
                <w:color w:val="auto"/>
              </w:rPr>
            </w:pPr>
            <w:r>
              <w:rPr>
                <w:rFonts w:hint="default"/>
                <w:color w:val="auto"/>
              </w:rPr>
              <w:t>2012年1月1日~2021年1月1日安装（含更换）生活污水处理装置的船舶</w:t>
            </w:r>
          </w:p>
        </w:tc>
        <w:tc>
          <w:tcPr>
            <w:tcW w:w="3853" w:type="dxa"/>
            <w:vAlign w:val="center"/>
          </w:tcPr>
          <w:p w14:paraId="080869C0">
            <w:pPr>
              <w:pStyle w:val="77"/>
              <w:keepNext w:val="0"/>
              <w:keepLines w:val="0"/>
              <w:suppressLineNumbers w:val="0"/>
              <w:spacing w:before="0" w:beforeAutospacing="0" w:after="0" w:afterAutospacing="0"/>
              <w:ind w:left="0" w:right="0"/>
              <w:rPr>
                <w:rFonts w:hint="default"/>
                <w:color w:val="auto"/>
              </w:rPr>
            </w:pPr>
            <w:r>
              <w:rPr>
                <w:rFonts w:hint="default"/>
                <w:color w:val="auto"/>
              </w:rPr>
              <w:t>BOD</w:t>
            </w:r>
            <w:r>
              <w:rPr>
                <w:rFonts w:hint="default"/>
                <w:color w:val="auto"/>
                <w:vertAlign w:val="subscript"/>
              </w:rPr>
              <w:t>5</w:t>
            </w:r>
            <w:r>
              <w:rPr>
                <w:rFonts w:hint="default"/>
                <w:color w:val="auto"/>
              </w:rPr>
              <w:t>≤25；SS≤35；耐热大肠菌群数≤1000个/L；COD</w:t>
            </w:r>
            <w:r>
              <w:rPr>
                <w:rFonts w:hint="default"/>
                <w:color w:val="auto"/>
                <w:vertAlign w:val="subscript"/>
              </w:rPr>
              <w:t>cr</w:t>
            </w:r>
            <w:r>
              <w:rPr>
                <w:rFonts w:hint="default"/>
                <w:color w:val="auto"/>
              </w:rPr>
              <w:t>≤125；pH值6~8.5；总氯（总余氯）＜0.5</w:t>
            </w:r>
          </w:p>
        </w:tc>
        <w:tc>
          <w:tcPr>
            <w:tcW w:w="1069" w:type="dxa"/>
            <w:vMerge w:val="continue"/>
            <w:vAlign w:val="center"/>
          </w:tcPr>
          <w:p w14:paraId="45CD9084">
            <w:pPr>
              <w:pStyle w:val="77"/>
              <w:keepNext w:val="0"/>
              <w:keepLines w:val="0"/>
              <w:suppressLineNumbers w:val="0"/>
              <w:spacing w:before="0" w:beforeAutospacing="0" w:after="0" w:afterAutospacing="0"/>
              <w:ind w:left="0" w:right="0"/>
              <w:rPr>
                <w:rFonts w:hint="default"/>
                <w:color w:val="auto"/>
              </w:rPr>
            </w:pPr>
          </w:p>
        </w:tc>
      </w:tr>
      <w:tr w14:paraId="44D379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60" w:type="dxa"/>
            <w:gridSpan w:val="2"/>
            <w:vMerge w:val="continue"/>
            <w:vAlign w:val="center"/>
          </w:tcPr>
          <w:p w14:paraId="4EC0249B">
            <w:pPr>
              <w:pStyle w:val="77"/>
              <w:keepNext w:val="0"/>
              <w:keepLines w:val="0"/>
              <w:suppressLineNumbers w:val="0"/>
              <w:spacing w:before="0" w:beforeAutospacing="0" w:after="0" w:afterAutospacing="0"/>
              <w:ind w:left="0" w:right="0"/>
              <w:rPr>
                <w:rFonts w:hint="default"/>
                <w:color w:val="auto"/>
              </w:rPr>
            </w:pPr>
          </w:p>
        </w:tc>
        <w:tc>
          <w:tcPr>
            <w:tcW w:w="696" w:type="dxa"/>
            <w:vMerge w:val="continue"/>
            <w:vAlign w:val="center"/>
          </w:tcPr>
          <w:p w14:paraId="3C493BEE">
            <w:pPr>
              <w:pStyle w:val="77"/>
              <w:keepNext w:val="0"/>
              <w:keepLines w:val="0"/>
              <w:suppressLineNumbers w:val="0"/>
              <w:spacing w:before="0" w:beforeAutospacing="0" w:after="0" w:afterAutospacing="0"/>
              <w:ind w:left="0" w:right="0"/>
              <w:rPr>
                <w:rFonts w:hint="default"/>
                <w:color w:val="auto"/>
              </w:rPr>
            </w:pPr>
          </w:p>
        </w:tc>
        <w:tc>
          <w:tcPr>
            <w:tcW w:w="2064" w:type="dxa"/>
            <w:vAlign w:val="center"/>
          </w:tcPr>
          <w:p w14:paraId="608CE955">
            <w:pPr>
              <w:pStyle w:val="77"/>
              <w:keepNext w:val="0"/>
              <w:keepLines w:val="0"/>
              <w:suppressLineNumbers w:val="0"/>
              <w:spacing w:before="0" w:beforeAutospacing="0" w:after="0" w:afterAutospacing="0"/>
              <w:ind w:left="0" w:right="0"/>
              <w:rPr>
                <w:rFonts w:hint="default"/>
                <w:color w:val="auto"/>
              </w:rPr>
            </w:pPr>
            <w:r>
              <w:rPr>
                <w:rFonts w:hint="default"/>
                <w:color w:val="auto"/>
              </w:rPr>
              <w:t>2021年1月1日以后安装（含更换）生活污水处理装置的船舶</w:t>
            </w:r>
          </w:p>
        </w:tc>
        <w:tc>
          <w:tcPr>
            <w:tcW w:w="3853" w:type="dxa"/>
            <w:vAlign w:val="center"/>
          </w:tcPr>
          <w:p w14:paraId="18E053D9">
            <w:pPr>
              <w:pStyle w:val="77"/>
              <w:keepNext w:val="0"/>
              <w:keepLines w:val="0"/>
              <w:suppressLineNumbers w:val="0"/>
              <w:spacing w:before="0" w:beforeAutospacing="0" w:after="0" w:afterAutospacing="0"/>
              <w:ind w:left="0" w:right="0"/>
              <w:rPr>
                <w:rFonts w:hint="default"/>
                <w:color w:val="auto"/>
              </w:rPr>
            </w:pPr>
            <w:r>
              <w:rPr>
                <w:rFonts w:hint="default"/>
                <w:color w:val="auto"/>
              </w:rPr>
              <w:t>BOD</w:t>
            </w:r>
            <w:r>
              <w:rPr>
                <w:rFonts w:hint="default"/>
                <w:color w:val="auto"/>
                <w:vertAlign w:val="subscript"/>
              </w:rPr>
              <w:t>5</w:t>
            </w:r>
            <w:r>
              <w:rPr>
                <w:rFonts w:hint="default"/>
                <w:color w:val="auto"/>
              </w:rPr>
              <w:t>≤20；SS≤20；耐热大肠菌群数≤1000个/L；COD</w:t>
            </w:r>
            <w:r>
              <w:rPr>
                <w:rFonts w:hint="default"/>
                <w:color w:val="auto"/>
                <w:vertAlign w:val="subscript"/>
              </w:rPr>
              <w:t>cr</w:t>
            </w:r>
            <w:r>
              <w:rPr>
                <w:rFonts w:hint="default"/>
                <w:color w:val="auto"/>
              </w:rPr>
              <w:t>≤60；pH值6~8.5；总氯（总余氯）＜0.5；总氮≤20；氨氮≤15；总磷≤1</w:t>
            </w:r>
          </w:p>
        </w:tc>
        <w:tc>
          <w:tcPr>
            <w:tcW w:w="1069" w:type="dxa"/>
            <w:vMerge w:val="continue"/>
            <w:vAlign w:val="center"/>
          </w:tcPr>
          <w:p w14:paraId="70FD69DF">
            <w:pPr>
              <w:pStyle w:val="77"/>
              <w:keepNext w:val="0"/>
              <w:keepLines w:val="0"/>
              <w:suppressLineNumbers w:val="0"/>
              <w:spacing w:before="0" w:beforeAutospacing="0" w:after="0" w:afterAutospacing="0"/>
              <w:ind w:left="0" w:right="0"/>
              <w:rPr>
                <w:rFonts w:hint="default"/>
                <w:color w:val="auto"/>
              </w:rPr>
            </w:pPr>
          </w:p>
        </w:tc>
      </w:tr>
    </w:tbl>
    <w:p w14:paraId="7FDB078E">
      <w:pPr>
        <w:pStyle w:val="6"/>
        <w:rPr>
          <w:color w:val="auto"/>
        </w:rPr>
      </w:pPr>
      <w:r>
        <w:rPr>
          <w:color w:val="auto"/>
        </w:rPr>
        <w:t>声环境排放标准</w:t>
      </w:r>
    </w:p>
    <w:p w14:paraId="10BDDC9B">
      <w:pPr>
        <w:ind w:firstLine="480"/>
        <w:rPr>
          <w:color w:val="auto"/>
        </w:rPr>
      </w:pPr>
      <w:r>
        <w:rPr>
          <w:rFonts w:hint="eastAsia"/>
          <w:color w:val="auto"/>
        </w:rPr>
        <w:t>运营期</w:t>
      </w:r>
      <w:r>
        <w:rPr>
          <w:color w:val="auto"/>
        </w:rPr>
        <w:t>厂界执行《工业企业场界环境噪声排放标准》（GB12348-2008）中的3类标准。</w:t>
      </w:r>
    </w:p>
    <w:p w14:paraId="5EC4F043">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11</w:t>
      </w:r>
      <w:r>
        <w:rPr>
          <w:color w:val="auto"/>
        </w:rPr>
        <w:fldChar w:fldCharType="end"/>
      </w:r>
      <w:r>
        <w:rPr>
          <w:color w:val="auto"/>
        </w:rPr>
        <w:t>工业企业厂界环境噪声排放标准单位：dB(A)</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11"/>
        <w:gridCol w:w="2163"/>
        <w:gridCol w:w="2383"/>
        <w:gridCol w:w="2385"/>
      </w:tblGrid>
      <w:tr w14:paraId="6CC65D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2111" w:type="dxa"/>
            <w:vMerge w:val="restart"/>
            <w:vAlign w:val="center"/>
          </w:tcPr>
          <w:p w14:paraId="44421EE5">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名称</w:t>
            </w:r>
          </w:p>
        </w:tc>
        <w:tc>
          <w:tcPr>
            <w:tcW w:w="2163" w:type="dxa"/>
            <w:vMerge w:val="restart"/>
            <w:vAlign w:val="center"/>
          </w:tcPr>
          <w:p w14:paraId="37A807E4">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声环境功能区类别</w:t>
            </w:r>
          </w:p>
        </w:tc>
        <w:tc>
          <w:tcPr>
            <w:tcW w:w="4768" w:type="dxa"/>
            <w:gridSpan w:val="2"/>
            <w:vAlign w:val="center"/>
          </w:tcPr>
          <w:p w14:paraId="4443815B">
            <w:pPr>
              <w:pStyle w:val="77"/>
              <w:keepNext w:val="0"/>
              <w:keepLines w:val="0"/>
              <w:suppressLineNumbers w:val="0"/>
              <w:spacing w:before="0" w:beforeAutospacing="0" w:after="0" w:afterAutospacing="0"/>
              <w:ind w:left="0" w:right="0"/>
              <w:rPr>
                <w:rFonts w:hint="default"/>
                <w:b/>
                <w:bCs/>
                <w:color w:val="auto"/>
              </w:rPr>
            </w:pPr>
            <w:r>
              <w:rPr>
                <w:rFonts w:hint="eastAsia"/>
                <w:b/>
                <w:bCs/>
                <w:color w:val="auto"/>
              </w:rPr>
              <w:t>标准限值</w:t>
            </w:r>
          </w:p>
        </w:tc>
      </w:tr>
      <w:tr w14:paraId="552102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2111" w:type="dxa"/>
            <w:vMerge w:val="continue"/>
            <w:vAlign w:val="center"/>
          </w:tcPr>
          <w:p w14:paraId="10FD9806">
            <w:pPr>
              <w:pStyle w:val="77"/>
              <w:keepNext w:val="0"/>
              <w:keepLines w:val="0"/>
              <w:suppressLineNumbers w:val="0"/>
              <w:spacing w:before="0" w:beforeAutospacing="0" w:after="0" w:afterAutospacing="0"/>
              <w:ind w:left="0" w:right="0"/>
              <w:rPr>
                <w:rFonts w:hint="default"/>
                <w:b/>
                <w:bCs/>
                <w:color w:val="auto"/>
              </w:rPr>
            </w:pPr>
          </w:p>
        </w:tc>
        <w:tc>
          <w:tcPr>
            <w:tcW w:w="2163" w:type="dxa"/>
            <w:vMerge w:val="continue"/>
            <w:vAlign w:val="center"/>
          </w:tcPr>
          <w:p w14:paraId="6BBDCB5C">
            <w:pPr>
              <w:pStyle w:val="77"/>
              <w:keepNext w:val="0"/>
              <w:keepLines w:val="0"/>
              <w:suppressLineNumbers w:val="0"/>
              <w:spacing w:before="0" w:beforeAutospacing="0" w:after="0" w:afterAutospacing="0"/>
              <w:ind w:left="0" w:right="0"/>
              <w:rPr>
                <w:rFonts w:hint="default"/>
                <w:b/>
                <w:bCs/>
                <w:color w:val="auto"/>
              </w:rPr>
            </w:pPr>
          </w:p>
        </w:tc>
        <w:tc>
          <w:tcPr>
            <w:tcW w:w="2383" w:type="dxa"/>
            <w:vAlign w:val="center"/>
          </w:tcPr>
          <w:p w14:paraId="6B2F7690">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昼间</w:t>
            </w:r>
          </w:p>
        </w:tc>
        <w:tc>
          <w:tcPr>
            <w:tcW w:w="2385" w:type="dxa"/>
            <w:vAlign w:val="center"/>
          </w:tcPr>
          <w:p w14:paraId="16E4731E">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夜间</w:t>
            </w:r>
          </w:p>
        </w:tc>
      </w:tr>
      <w:tr w14:paraId="431425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2111" w:type="dxa"/>
            <w:vAlign w:val="center"/>
          </w:tcPr>
          <w:p w14:paraId="6E701982">
            <w:pPr>
              <w:pStyle w:val="77"/>
              <w:keepNext w:val="0"/>
              <w:keepLines w:val="0"/>
              <w:suppressLineNumbers w:val="0"/>
              <w:spacing w:before="0" w:beforeAutospacing="0" w:after="0" w:afterAutospacing="0"/>
              <w:ind w:left="0" w:right="0"/>
              <w:rPr>
                <w:rFonts w:hint="default"/>
                <w:color w:val="auto"/>
              </w:rPr>
            </w:pPr>
            <w:r>
              <w:rPr>
                <w:rFonts w:hint="default"/>
                <w:color w:val="auto"/>
              </w:rPr>
              <w:t>项目厂界</w:t>
            </w:r>
          </w:p>
        </w:tc>
        <w:tc>
          <w:tcPr>
            <w:tcW w:w="2163" w:type="dxa"/>
            <w:vAlign w:val="center"/>
          </w:tcPr>
          <w:p w14:paraId="5D8F83B1">
            <w:pPr>
              <w:pStyle w:val="77"/>
              <w:keepNext w:val="0"/>
              <w:keepLines w:val="0"/>
              <w:suppressLineNumbers w:val="0"/>
              <w:spacing w:before="0" w:beforeAutospacing="0" w:after="0" w:afterAutospacing="0"/>
              <w:ind w:left="0" w:right="0"/>
              <w:rPr>
                <w:rFonts w:hint="default"/>
                <w:color w:val="auto"/>
              </w:rPr>
            </w:pPr>
            <w:r>
              <w:rPr>
                <w:rFonts w:hint="default"/>
                <w:color w:val="auto"/>
              </w:rPr>
              <w:t>3</w:t>
            </w:r>
          </w:p>
        </w:tc>
        <w:tc>
          <w:tcPr>
            <w:tcW w:w="2383" w:type="dxa"/>
            <w:vAlign w:val="center"/>
          </w:tcPr>
          <w:p w14:paraId="65BBF3B1">
            <w:pPr>
              <w:pStyle w:val="77"/>
              <w:keepNext w:val="0"/>
              <w:keepLines w:val="0"/>
              <w:suppressLineNumbers w:val="0"/>
              <w:spacing w:before="0" w:beforeAutospacing="0" w:after="0" w:afterAutospacing="0"/>
              <w:ind w:left="0" w:right="0"/>
              <w:rPr>
                <w:rFonts w:hint="default"/>
                <w:color w:val="auto"/>
              </w:rPr>
            </w:pPr>
            <w:r>
              <w:rPr>
                <w:rFonts w:hint="default"/>
                <w:color w:val="auto"/>
              </w:rPr>
              <w:t>65</w:t>
            </w:r>
          </w:p>
        </w:tc>
        <w:tc>
          <w:tcPr>
            <w:tcW w:w="2385" w:type="dxa"/>
            <w:vAlign w:val="center"/>
          </w:tcPr>
          <w:p w14:paraId="7680B7B2">
            <w:pPr>
              <w:pStyle w:val="77"/>
              <w:keepNext w:val="0"/>
              <w:keepLines w:val="0"/>
              <w:suppressLineNumbers w:val="0"/>
              <w:spacing w:before="0" w:beforeAutospacing="0" w:after="0" w:afterAutospacing="0"/>
              <w:ind w:left="0" w:right="0"/>
              <w:rPr>
                <w:rFonts w:hint="default"/>
                <w:color w:val="auto"/>
              </w:rPr>
            </w:pPr>
            <w:r>
              <w:rPr>
                <w:rFonts w:hint="default"/>
                <w:color w:val="auto"/>
              </w:rPr>
              <w:t>55</w:t>
            </w:r>
          </w:p>
        </w:tc>
      </w:tr>
    </w:tbl>
    <w:p w14:paraId="76E2C60C">
      <w:pPr>
        <w:pStyle w:val="6"/>
        <w:rPr>
          <w:color w:val="auto"/>
        </w:rPr>
      </w:pPr>
      <w:r>
        <w:rPr>
          <w:color w:val="auto"/>
        </w:rPr>
        <w:t>固体废物</w:t>
      </w:r>
    </w:p>
    <w:p w14:paraId="74D4BBFC">
      <w:pPr>
        <w:ind w:firstLine="480"/>
        <w:rPr>
          <w:color w:val="auto"/>
        </w:rPr>
      </w:pPr>
      <w:r>
        <w:rPr>
          <w:rFonts w:eastAsiaTheme="minorEastAsia"/>
          <w:color w:val="auto"/>
          <w:u w:val="single"/>
        </w:rPr>
        <w:t>一般工业固体废物执行</w:t>
      </w:r>
      <w:r>
        <w:rPr>
          <w:rFonts w:hint="eastAsia" w:eastAsiaTheme="minorEastAsia"/>
          <w:color w:val="auto"/>
          <w:u w:val="single"/>
          <w:lang w:eastAsia="zh-CN"/>
        </w:rPr>
        <w:t>《一般工业固体废物环境管理工作指南》（环办固体函〔</w:t>
      </w:r>
      <w:r>
        <w:rPr>
          <w:rFonts w:hint="eastAsia" w:eastAsiaTheme="minorEastAsia"/>
          <w:color w:val="auto"/>
          <w:u w:val="single"/>
          <w:lang w:val="en-US" w:eastAsia="zh-CN"/>
        </w:rPr>
        <w:t>2026</w:t>
      </w:r>
      <w:r>
        <w:rPr>
          <w:rFonts w:hint="eastAsia" w:eastAsiaTheme="minorEastAsia"/>
          <w:color w:val="auto"/>
          <w:u w:val="single"/>
          <w:lang w:eastAsia="zh-CN"/>
        </w:rPr>
        <w:t>〕</w:t>
      </w:r>
      <w:r>
        <w:rPr>
          <w:rFonts w:hint="eastAsia" w:eastAsiaTheme="minorEastAsia"/>
          <w:color w:val="auto"/>
          <w:u w:val="single"/>
          <w:lang w:val="en-US" w:eastAsia="zh-CN"/>
        </w:rPr>
        <w:t>18号</w:t>
      </w:r>
      <w:r>
        <w:rPr>
          <w:rFonts w:hint="eastAsia" w:eastAsiaTheme="minorEastAsia"/>
          <w:color w:val="auto"/>
          <w:u w:val="single"/>
          <w:lang w:eastAsia="zh-CN"/>
        </w:rPr>
        <w:t>）</w:t>
      </w:r>
      <w:r>
        <w:rPr>
          <w:rFonts w:eastAsiaTheme="minorEastAsia"/>
          <w:color w:val="auto"/>
        </w:rPr>
        <w:t>；危险废物执行《危险废物贮存污染控制标准》（GB18597-2023）。</w:t>
      </w:r>
    </w:p>
    <w:p w14:paraId="203C95AE">
      <w:pPr>
        <w:pStyle w:val="5"/>
        <w:rPr>
          <w:color w:val="auto"/>
        </w:rPr>
      </w:pPr>
      <w:bookmarkStart w:id="206" w:name="_Toc223258452"/>
      <w:bookmarkStart w:id="207" w:name="_Toc223595756"/>
      <w:r>
        <w:rPr>
          <w:color w:val="auto"/>
        </w:rPr>
        <w:t>评价工作等级和评价范围</w:t>
      </w:r>
      <w:bookmarkEnd w:id="206"/>
      <w:bookmarkEnd w:id="207"/>
    </w:p>
    <w:p w14:paraId="4F46F3AD">
      <w:pPr>
        <w:pStyle w:val="4"/>
        <w:rPr>
          <w:color w:val="auto"/>
        </w:rPr>
      </w:pPr>
      <w:bookmarkStart w:id="208" w:name="_Toc216103178"/>
      <w:bookmarkStart w:id="209" w:name="_Toc135090176"/>
      <w:bookmarkStart w:id="210" w:name="_Toc29131771"/>
      <w:bookmarkStart w:id="211" w:name="_Toc216620337"/>
      <w:bookmarkStart w:id="212" w:name="_Toc26909957"/>
      <w:bookmarkStart w:id="213" w:name="_Toc25436911"/>
      <w:bookmarkStart w:id="214" w:name="_Toc136878425"/>
      <w:r>
        <w:rPr>
          <w:color w:val="auto"/>
        </w:rPr>
        <w:t>大气</w:t>
      </w:r>
      <w:bookmarkEnd w:id="208"/>
      <w:bookmarkEnd w:id="209"/>
      <w:bookmarkEnd w:id="210"/>
      <w:bookmarkEnd w:id="211"/>
      <w:bookmarkEnd w:id="212"/>
      <w:bookmarkEnd w:id="213"/>
      <w:bookmarkEnd w:id="214"/>
      <w:r>
        <w:rPr>
          <w:rFonts w:hint="eastAsia"/>
          <w:color w:val="auto"/>
        </w:rPr>
        <w:t>环境</w:t>
      </w:r>
    </w:p>
    <w:p w14:paraId="6FFF07EA">
      <w:pPr>
        <w:ind w:firstLine="480"/>
        <w:rPr>
          <w:snapToGrid w:val="0"/>
          <w:color w:val="auto"/>
          <w:kern w:val="0"/>
        </w:rPr>
      </w:pPr>
      <w:r>
        <w:rPr>
          <w:rFonts w:hint="eastAsia"/>
          <w:snapToGrid w:val="0"/>
          <w:color w:val="auto"/>
          <w:kern w:val="0"/>
        </w:rPr>
        <w:t>（1）评价</w:t>
      </w:r>
      <w:r>
        <w:rPr>
          <w:snapToGrid w:val="0"/>
          <w:color w:val="auto"/>
          <w:kern w:val="0"/>
        </w:rPr>
        <w:t>等级</w:t>
      </w:r>
    </w:p>
    <w:p w14:paraId="25DF9492">
      <w:pPr>
        <w:ind w:firstLine="480"/>
        <w:rPr>
          <w:color w:val="auto"/>
        </w:rPr>
      </w:pPr>
      <w:r>
        <w:rPr>
          <w:snapToGrid w:val="0"/>
          <w:color w:val="auto"/>
          <w:kern w:val="0"/>
        </w:rPr>
        <w:t>根据《环境影响评价技术导则大气环境》（HJ2.2-2018）的要求对本工程环境影响评价等级进行计算，根据项目工艺特点、污染物控制标准及污染物排放情况，</w:t>
      </w:r>
      <w:r>
        <w:rPr>
          <w:rFonts w:ascii="宋体" w:hAnsi="宋体"/>
          <w:color w:val="auto"/>
        </w:rPr>
        <w:t>本</w:t>
      </w:r>
      <w:r>
        <w:rPr>
          <w:rFonts w:hint="eastAsia" w:ascii="宋体" w:hAnsi="宋体"/>
          <w:color w:val="auto"/>
        </w:rPr>
        <w:t>次扩建项目</w:t>
      </w:r>
      <w:r>
        <w:rPr>
          <w:rFonts w:ascii="宋体" w:hAnsi="宋体"/>
          <w:color w:val="auto"/>
        </w:rPr>
        <w:t>主要废气环境影响是装卸过程装卸作业排放的有机废气，</w:t>
      </w:r>
      <w:r>
        <w:rPr>
          <w:snapToGrid w:val="0"/>
          <w:color w:val="auto"/>
          <w:kern w:val="0"/>
        </w:rPr>
        <w:t>特征污染物主要考虑非甲烷总烃。</w:t>
      </w:r>
    </w:p>
    <w:p w14:paraId="0D53628F">
      <w:pPr>
        <w:ind w:firstLine="480"/>
        <w:contextualSpacing/>
        <w:rPr>
          <w:color w:val="auto"/>
        </w:rPr>
      </w:pPr>
      <w:r>
        <w:rPr>
          <w:rFonts w:hint="eastAsia"/>
          <w:color w:val="auto"/>
        </w:rPr>
        <w:t>根据《环境影响评价技术导则大气环境》（HJ2.2-2018）规定的评价等级确定方法和原则，采用估算模式AERSCREEN计算，</w:t>
      </w:r>
      <w:r>
        <w:rPr>
          <w:color w:val="auto"/>
        </w:rPr>
        <w:t>最大地面空气质量浓度占标率计算公式：</w:t>
      </w:r>
    </w:p>
    <w:p w14:paraId="52F8C04B">
      <w:pPr>
        <w:ind w:firstLine="480"/>
        <w:jc w:val="center"/>
        <w:rPr>
          <w:color w:val="auto"/>
        </w:rPr>
      </w:pPr>
      <w:r>
        <w:rPr>
          <w:color w:val="auto"/>
        </w:rPr>
        <w:drawing>
          <wp:inline distT="0" distB="0" distL="0" distR="0">
            <wp:extent cx="1219200" cy="228600"/>
            <wp:effectExtent l="0" t="0" r="0" b="0"/>
            <wp:docPr id="6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1219200" cy="228600"/>
                    </a:xfrm>
                    <a:prstGeom prst="rect">
                      <a:avLst/>
                    </a:prstGeom>
                    <a:noFill/>
                    <a:ln>
                      <a:noFill/>
                    </a:ln>
                  </pic:spPr>
                </pic:pic>
              </a:graphicData>
            </a:graphic>
          </wp:inline>
        </w:drawing>
      </w:r>
    </w:p>
    <w:p w14:paraId="2BF5EDDD">
      <w:pPr>
        <w:ind w:firstLine="480"/>
        <w:rPr>
          <w:color w:val="auto"/>
        </w:rPr>
      </w:pPr>
      <w:r>
        <w:rPr>
          <w:color w:val="auto"/>
        </w:rPr>
        <w:t>式中：P</w:t>
      </w:r>
      <w:r>
        <w:rPr>
          <w:color w:val="auto"/>
          <w:vertAlign w:val="subscript"/>
        </w:rPr>
        <w:t>i</w:t>
      </w:r>
      <w:r>
        <w:rPr>
          <w:color w:val="auto"/>
        </w:rPr>
        <w:t>——第i个污染物的最大地面浓度占标率，%；</w:t>
      </w:r>
    </w:p>
    <w:p w14:paraId="14B3115A">
      <w:pPr>
        <w:ind w:firstLine="480"/>
        <w:rPr>
          <w:color w:val="auto"/>
        </w:rPr>
      </w:pPr>
      <w:r>
        <w:rPr>
          <w:color w:val="auto"/>
        </w:rPr>
        <w:t>C</w:t>
      </w:r>
      <w:r>
        <w:rPr>
          <w:color w:val="auto"/>
          <w:vertAlign w:val="subscript"/>
        </w:rPr>
        <w:t>i</w:t>
      </w:r>
      <w:r>
        <w:rPr>
          <w:color w:val="auto"/>
        </w:rPr>
        <w:t>——采用估算模式计算出的第i个污染物的最大地面浓度，mg/m</w:t>
      </w:r>
      <w:r>
        <w:rPr>
          <w:color w:val="auto"/>
          <w:vertAlign w:val="superscript"/>
        </w:rPr>
        <w:t>3</w:t>
      </w:r>
      <w:r>
        <w:rPr>
          <w:color w:val="auto"/>
        </w:rPr>
        <w:t>；</w:t>
      </w:r>
    </w:p>
    <w:p w14:paraId="34AD69E9">
      <w:pPr>
        <w:ind w:firstLine="480"/>
        <w:rPr>
          <w:color w:val="auto"/>
        </w:rPr>
      </w:pPr>
      <w:r>
        <w:rPr>
          <w:color w:val="auto"/>
        </w:rPr>
        <w:t>C</w:t>
      </w:r>
      <w:r>
        <w:rPr>
          <w:color w:val="auto"/>
          <w:vertAlign w:val="subscript"/>
        </w:rPr>
        <w:t>0i</w:t>
      </w:r>
      <w:r>
        <w:rPr>
          <w:color w:val="auto"/>
        </w:rPr>
        <w:t>——第i个污染物的环境空气质量标准，mg/m</w:t>
      </w:r>
      <w:r>
        <w:rPr>
          <w:color w:val="auto"/>
          <w:vertAlign w:val="superscript"/>
        </w:rPr>
        <w:t>3</w:t>
      </w:r>
      <w:r>
        <w:rPr>
          <w:color w:val="auto"/>
        </w:rPr>
        <w:t>。</w:t>
      </w:r>
    </w:p>
    <w:p w14:paraId="7BC4DCAB">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color w:val="auto"/>
        </w:rPr>
        <w:t>评价工作等级</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033"/>
        <w:gridCol w:w="6009"/>
      </w:tblGrid>
      <w:tr w14:paraId="24ABF8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3033" w:type="dxa"/>
            <w:vAlign w:val="center"/>
          </w:tcPr>
          <w:p w14:paraId="4A5281D5">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评价工作等级</w:t>
            </w:r>
          </w:p>
        </w:tc>
        <w:tc>
          <w:tcPr>
            <w:tcW w:w="6009" w:type="dxa"/>
            <w:vAlign w:val="center"/>
          </w:tcPr>
          <w:p w14:paraId="5A4BB001">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评价工作分级判据</w:t>
            </w:r>
          </w:p>
        </w:tc>
      </w:tr>
      <w:tr w14:paraId="2CF312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3033" w:type="dxa"/>
            <w:vAlign w:val="center"/>
          </w:tcPr>
          <w:p w14:paraId="745E5EB9">
            <w:pPr>
              <w:pStyle w:val="77"/>
              <w:keepNext w:val="0"/>
              <w:keepLines w:val="0"/>
              <w:suppressLineNumbers w:val="0"/>
              <w:spacing w:before="0" w:beforeAutospacing="0" w:after="0" w:afterAutospacing="0"/>
              <w:ind w:left="0" w:right="0"/>
              <w:rPr>
                <w:rFonts w:hint="default"/>
                <w:color w:val="auto"/>
              </w:rPr>
            </w:pPr>
            <w:r>
              <w:rPr>
                <w:rFonts w:hint="default"/>
                <w:color w:val="auto"/>
              </w:rPr>
              <w:t>一级</w:t>
            </w:r>
          </w:p>
        </w:tc>
        <w:tc>
          <w:tcPr>
            <w:tcW w:w="6009" w:type="dxa"/>
            <w:vAlign w:val="center"/>
          </w:tcPr>
          <w:p w14:paraId="6364CC00">
            <w:pPr>
              <w:pStyle w:val="77"/>
              <w:keepNext w:val="0"/>
              <w:keepLines w:val="0"/>
              <w:suppressLineNumbers w:val="0"/>
              <w:spacing w:before="0" w:beforeAutospacing="0" w:after="0" w:afterAutospacing="0"/>
              <w:ind w:left="0" w:right="0"/>
              <w:rPr>
                <w:rFonts w:hint="default"/>
                <w:color w:val="auto"/>
              </w:rPr>
            </w:pPr>
            <w:r>
              <w:rPr>
                <w:rFonts w:hint="default"/>
                <w:color w:val="auto"/>
              </w:rPr>
              <w:t>Pmax≥10%</w:t>
            </w:r>
          </w:p>
        </w:tc>
      </w:tr>
      <w:tr w14:paraId="20780D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3033" w:type="dxa"/>
            <w:vAlign w:val="center"/>
          </w:tcPr>
          <w:p w14:paraId="041259A3">
            <w:pPr>
              <w:pStyle w:val="77"/>
              <w:keepNext w:val="0"/>
              <w:keepLines w:val="0"/>
              <w:suppressLineNumbers w:val="0"/>
              <w:spacing w:before="0" w:beforeAutospacing="0" w:after="0" w:afterAutospacing="0"/>
              <w:ind w:left="0" w:right="0"/>
              <w:rPr>
                <w:rFonts w:hint="default"/>
                <w:color w:val="auto"/>
              </w:rPr>
            </w:pPr>
            <w:r>
              <w:rPr>
                <w:rFonts w:hint="default"/>
                <w:color w:val="auto"/>
              </w:rPr>
              <w:t>二级</w:t>
            </w:r>
          </w:p>
        </w:tc>
        <w:tc>
          <w:tcPr>
            <w:tcW w:w="6009" w:type="dxa"/>
            <w:vAlign w:val="center"/>
          </w:tcPr>
          <w:p w14:paraId="4F057C22">
            <w:pPr>
              <w:pStyle w:val="77"/>
              <w:keepNext w:val="0"/>
              <w:keepLines w:val="0"/>
              <w:suppressLineNumbers w:val="0"/>
              <w:spacing w:before="0" w:beforeAutospacing="0" w:after="0" w:afterAutospacing="0"/>
              <w:ind w:left="0" w:right="0"/>
              <w:rPr>
                <w:rFonts w:hint="default"/>
                <w:color w:val="auto"/>
              </w:rPr>
            </w:pPr>
            <w:r>
              <w:rPr>
                <w:rFonts w:hint="default"/>
                <w:color w:val="auto"/>
              </w:rPr>
              <w:t>1%≤Pmax&lt;10%</w:t>
            </w:r>
          </w:p>
        </w:tc>
      </w:tr>
      <w:tr w14:paraId="36CBF4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3033" w:type="dxa"/>
            <w:vAlign w:val="center"/>
          </w:tcPr>
          <w:p w14:paraId="38B83472">
            <w:pPr>
              <w:pStyle w:val="77"/>
              <w:keepNext w:val="0"/>
              <w:keepLines w:val="0"/>
              <w:suppressLineNumbers w:val="0"/>
              <w:spacing w:before="0" w:beforeAutospacing="0" w:after="0" w:afterAutospacing="0"/>
              <w:ind w:left="0" w:right="0"/>
              <w:rPr>
                <w:rFonts w:hint="default"/>
                <w:color w:val="auto"/>
              </w:rPr>
            </w:pPr>
            <w:r>
              <w:rPr>
                <w:rFonts w:hint="default"/>
                <w:color w:val="auto"/>
              </w:rPr>
              <w:t>三级</w:t>
            </w:r>
          </w:p>
        </w:tc>
        <w:tc>
          <w:tcPr>
            <w:tcW w:w="6009" w:type="dxa"/>
            <w:vAlign w:val="center"/>
          </w:tcPr>
          <w:p w14:paraId="0DC0C180">
            <w:pPr>
              <w:pStyle w:val="77"/>
              <w:keepNext w:val="0"/>
              <w:keepLines w:val="0"/>
              <w:suppressLineNumbers w:val="0"/>
              <w:spacing w:before="0" w:beforeAutospacing="0" w:after="0" w:afterAutospacing="0"/>
              <w:ind w:left="0" w:right="0"/>
              <w:rPr>
                <w:rFonts w:hint="default"/>
                <w:color w:val="auto"/>
              </w:rPr>
            </w:pPr>
            <w:r>
              <w:rPr>
                <w:rFonts w:hint="default"/>
                <w:color w:val="auto"/>
              </w:rPr>
              <w:t>Pmax&lt;1%</w:t>
            </w:r>
          </w:p>
        </w:tc>
      </w:tr>
    </w:tbl>
    <w:p w14:paraId="49805FD2">
      <w:pPr>
        <w:ind w:firstLine="480"/>
        <w:rPr>
          <w:color w:val="auto"/>
        </w:rPr>
      </w:pPr>
      <w:r>
        <w:rPr>
          <w:color w:val="auto"/>
        </w:rPr>
        <w:t>估算模式参数见表1.4-2。项目源强一览表见表1.4-3~表1.4-4。</w:t>
      </w:r>
    </w:p>
    <w:p w14:paraId="5CE8E3D0">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2</w:t>
      </w:r>
      <w:r>
        <w:rPr>
          <w:color w:val="auto"/>
        </w:rPr>
        <w:fldChar w:fldCharType="end"/>
      </w:r>
      <w:r>
        <w:rPr>
          <w:color w:val="auto"/>
        </w:rPr>
        <w:t>项目厂区估算模型参数表</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16"/>
        <w:gridCol w:w="4076"/>
        <w:gridCol w:w="3250"/>
      </w:tblGrid>
      <w:tr w14:paraId="49DB95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tblHeader/>
          <w:jc w:val="center"/>
        </w:trPr>
        <w:tc>
          <w:tcPr>
            <w:tcW w:w="5792" w:type="dxa"/>
            <w:gridSpan w:val="2"/>
            <w:vAlign w:val="center"/>
          </w:tcPr>
          <w:p w14:paraId="6D788B4F">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参数</w:t>
            </w:r>
          </w:p>
        </w:tc>
        <w:tc>
          <w:tcPr>
            <w:tcW w:w="3250" w:type="dxa"/>
            <w:vAlign w:val="center"/>
          </w:tcPr>
          <w:p w14:paraId="4485535B">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取值</w:t>
            </w:r>
          </w:p>
        </w:tc>
      </w:tr>
      <w:tr w14:paraId="2AF014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restart"/>
            <w:vAlign w:val="center"/>
          </w:tcPr>
          <w:p w14:paraId="07F259D6">
            <w:pPr>
              <w:pStyle w:val="77"/>
              <w:keepNext w:val="0"/>
              <w:keepLines w:val="0"/>
              <w:suppressLineNumbers w:val="0"/>
              <w:spacing w:before="0" w:beforeAutospacing="0" w:after="0" w:afterAutospacing="0"/>
              <w:ind w:left="0" w:right="0"/>
              <w:rPr>
                <w:rFonts w:hint="default"/>
                <w:color w:val="auto"/>
              </w:rPr>
            </w:pPr>
            <w:r>
              <w:rPr>
                <w:rFonts w:hint="default"/>
                <w:color w:val="auto"/>
              </w:rPr>
              <w:t>城市/农村选项</w:t>
            </w:r>
          </w:p>
        </w:tc>
        <w:tc>
          <w:tcPr>
            <w:tcW w:w="4076" w:type="dxa"/>
            <w:vAlign w:val="center"/>
          </w:tcPr>
          <w:p w14:paraId="776D241B">
            <w:pPr>
              <w:pStyle w:val="77"/>
              <w:keepNext w:val="0"/>
              <w:keepLines w:val="0"/>
              <w:suppressLineNumbers w:val="0"/>
              <w:spacing w:before="0" w:beforeAutospacing="0" w:after="0" w:afterAutospacing="0"/>
              <w:ind w:left="0" w:right="0"/>
              <w:rPr>
                <w:rFonts w:hint="default"/>
                <w:color w:val="auto"/>
              </w:rPr>
            </w:pPr>
            <w:r>
              <w:rPr>
                <w:rFonts w:hint="default"/>
                <w:color w:val="auto"/>
              </w:rPr>
              <w:t>城市/农村</w:t>
            </w:r>
          </w:p>
        </w:tc>
        <w:tc>
          <w:tcPr>
            <w:tcW w:w="3250" w:type="dxa"/>
            <w:vAlign w:val="center"/>
          </w:tcPr>
          <w:p w14:paraId="310F16F2">
            <w:pPr>
              <w:pStyle w:val="77"/>
              <w:keepNext w:val="0"/>
              <w:keepLines w:val="0"/>
              <w:suppressLineNumbers w:val="0"/>
              <w:spacing w:before="0" w:beforeAutospacing="0" w:after="0" w:afterAutospacing="0"/>
              <w:ind w:left="0" w:right="0"/>
              <w:rPr>
                <w:rFonts w:hint="default"/>
                <w:color w:val="auto"/>
              </w:rPr>
            </w:pPr>
            <w:r>
              <w:rPr>
                <w:rFonts w:hint="default"/>
                <w:color w:val="auto"/>
              </w:rPr>
              <w:t>城市</w:t>
            </w:r>
          </w:p>
        </w:tc>
      </w:tr>
      <w:tr w14:paraId="3DD4DA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continue"/>
            <w:vAlign w:val="center"/>
          </w:tcPr>
          <w:p w14:paraId="57519933">
            <w:pPr>
              <w:pStyle w:val="77"/>
              <w:keepNext w:val="0"/>
              <w:keepLines w:val="0"/>
              <w:suppressLineNumbers w:val="0"/>
              <w:spacing w:before="0" w:beforeAutospacing="0" w:after="0" w:afterAutospacing="0"/>
              <w:ind w:left="0" w:right="0"/>
              <w:rPr>
                <w:rFonts w:hint="default"/>
                <w:color w:val="auto"/>
              </w:rPr>
            </w:pPr>
          </w:p>
        </w:tc>
        <w:tc>
          <w:tcPr>
            <w:tcW w:w="4076" w:type="dxa"/>
            <w:vAlign w:val="center"/>
          </w:tcPr>
          <w:p w14:paraId="706F1EE7">
            <w:pPr>
              <w:pStyle w:val="77"/>
              <w:keepNext w:val="0"/>
              <w:keepLines w:val="0"/>
              <w:suppressLineNumbers w:val="0"/>
              <w:spacing w:before="0" w:beforeAutospacing="0" w:after="0" w:afterAutospacing="0"/>
              <w:ind w:left="0" w:right="0"/>
              <w:rPr>
                <w:rFonts w:hint="default"/>
                <w:color w:val="auto"/>
              </w:rPr>
            </w:pPr>
            <w:r>
              <w:rPr>
                <w:rFonts w:hint="default"/>
                <w:color w:val="auto"/>
              </w:rPr>
              <w:t>人口数（城市选项时）</w:t>
            </w:r>
          </w:p>
        </w:tc>
        <w:tc>
          <w:tcPr>
            <w:tcW w:w="3250" w:type="dxa"/>
            <w:vAlign w:val="center"/>
          </w:tcPr>
          <w:p w14:paraId="72017AE7">
            <w:pPr>
              <w:pStyle w:val="77"/>
              <w:keepNext w:val="0"/>
              <w:keepLines w:val="0"/>
              <w:suppressLineNumbers w:val="0"/>
              <w:spacing w:before="0" w:beforeAutospacing="0" w:after="0" w:afterAutospacing="0"/>
              <w:ind w:left="0" w:right="0"/>
              <w:rPr>
                <w:rFonts w:hint="default"/>
                <w:color w:val="auto"/>
              </w:rPr>
            </w:pPr>
            <w:r>
              <w:rPr>
                <w:rFonts w:hint="eastAsia"/>
                <w:color w:val="auto"/>
              </w:rPr>
              <w:t>68.45万</w:t>
            </w:r>
          </w:p>
        </w:tc>
      </w:tr>
      <w:tr w14:paraId="0A1894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5792" w:type="dxa"/>
            <w:gridSpan w:val="2"/>
            <w:vAlign w:val="center"/>
          </w:tcPr>
          <w:p w14:paraId="29DC4BBD">
            <w:pPr>
              <w:pStyle w:val="77"/>
              <w:keepNext w:val="0"/>
              <w:keepLines w:val="0"/>
              <w:suppressLineNumbers w:val="0"/>
              <w:spacing w:before="0" w:beforeAutospacing="0" w:after="0" w:afterAutospacing="0"/>
              <w:ind w:left="0" w:right="0"/>
              <w:rPr>
                <w:rFonts w:hint="default"/>
                <w:color w:val="auto"/>
              </w:rPr>
            </w:pPr>
            <w:r>
              <w:rPr>
                <w:rFonts w:hint="default"/>
                <w:color w:val="auto"/>
              </w:rPr>
              <w:t>最高环境温度/</w:t>
            </w:r>
            <w:r>
              <w:rPr>
                <w:rFonts w:hint="default"/>
                <w:color w:val="auto"/>
                <w:vertAlign w:val="superscript"/>
              </w:rPr>
              <w:t>o</w:t>
            </w:r>
            <w:r>
              <w:rPr>
                <w:rFonts w:hint="default"/>
                <w:color w:val="auto"/>
              </w:rPr>
              <w:t>C</w:t>
            </w:r>
          </w:p>
        </w:tc>
        <w:tc>
          <w:tcPr>
            <w:tcW w:w="3250" w:type="dxa"/>
          </w:tcPr>
          <w:p w14:paraId="03525F24">
            <w:pPr>
              <w:pStyle w:val="167"/>
              <w:keepNext w:val="0"/>
              <w:keepLines w:val="0"/>
              <w:suppressLineNumbers w:val="0"/>
              <w:spacing w:before="0" w:beforeAutospacing="0" w:after="0" w:afterAutospacing="0"/>
              <w:ind w:right="0"/>
              <w:rPr>
                <w:rFonts w:hint="default"/>
                <w:color w:val="auto"/>
              </w:rPr>
            </w:pPr>
            <w:r>
              <w:rPr>
                <w:rFonts w:hint="eastAsia"/>
                <w:color w:val="auto"/>
              </w:rPr>
              <w:t>37.9</w:t>
            </w:r>
          </w:p>
        </w:tc>
      </w:tr>
      <w:tr w14:paraId="6DA5DE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5792" w:type="dxa"/>
            <w:gridSpan w:val="2"/>
            <w:vAlign w:val="center"/>
          </w:tcPr>
          <w:p w14:paraId="6C06346A">
            <w:pPr>
              <w:pStyle w:val="77"/>
              <w:keepNext w:val="0"/>
              <w:keepLines w:val="0"/>
              <w:suppressLineNumbers w:val="0"/>
              <w:spacing w:before="0" w:beforeAutospacing="0" w:after="0" w:afterAutospacing="0"/>
              <w:ind w:left="0" w:right="0"/>
              <w:rPr>
                <w:rFonts w:hint="default"/>
                <w:color w:val="auto"/>
              </w:rPr>
            </w:pPr>
            <w:r>
              <w:rPr>
                <w:rFonts w:hint="default"/>
                <w:color w:val="auto"/>
              </w:rPr>
              <w:t>最低环境温度/</w:t>
            </w:r>
            <w:r>
              <w:rPr>
                <w:rFonts w:hint="default"/>
                <w:color w:val="auto"/>
                <w:vertAlign w:val="superscript"/>
              </w:rPr>
              <w:t>o</w:t>
            </w:r>
            <w:r>
              <w:rPr>
                <w:rFonts w:hint="default"/>
                <w:color w:val="auto"/>
              </w:rPr>
              <w:t>C</w:t>
            </w:r>
          </w:p>
        </w:tc>
        <w:tc>
          <w:tcPr>
            <w:tcW w:w="3250" w:type="dxa"/>
          </w:tcPr>
          <w:p w14:paraId="4515BAA3">
            <w:pPr>
              <w:pStyle w:val="167"/>
              <w:keepNext w:val="0"/>
              <w:keepLines w:val="0"/>
              <w:suppressLineNumbers w:val="0"/>
              <w:spacing w:before="0" w:beforeAutospacing="0" w:after="0" w:afterAutospacing="0"/>
              <w:ind w:right="0"/>
              <w:rPr>
                <w:rFonts w:hint="default"/>
                <w:color w:val="auto"/>
              </w:rPr>
            </w:pPr>
            <w:r>
              <w:rPr>
                <w:rFonts w:hint="eastAsia"/>
                <w:color w:val="auto"/>
              </w:rPr>
              <w:t>1.6</w:t>
            </w:r>
          </w:p>
        </w:tc>
      </w:tr>
      <w:tr w14:paraId="1534F8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5792" w:type="dxa"/>
            <w:gridSpan w:val="2"/>
            <w:vAlign w:val="center"/>
          </w:tcPr>
          <w:p w14:paraId="0F5F35EF">
            <w:pPr>
              <w:pStyle w:val="77"/>
              <w:keepNext w:val="0"/>
              <w:keepLines w:val="0"/>
              <w:suppressLineNumbers w:val="0"/>
              <w:spacing w:before="0" w:beforeAutospacing="0" w:after="0" w:afterAutospacing="0"/>
              <w:ind w:left="0" w:right="0"/>
              <w:rPr>
                <w:rFonts w:hint="default"/>
                <w:color w:val="auto"/>
              </w:rPr>
            </w:pPr>
            <w:r>
              <w:rPr>
                <w:rFonts w:hint="default"/>
                <w:color w:val="auto"/>
              </w:rPr>
              <w:t>土地利用类型</w:t>
            </w:r>
          </w:p>
        </w:tc>
        <w:tc>
          <w:tcPr>
            <w:tcW w:w="3250" w:type="dxa"/>
            <w:vAlign w:val="center"/>
          </w:tcPr>
          <w:p w14:paraId="52A4BEB5">
            <w:pPr>
              <w:pStyle w:val="77"/>
              <w:keepNext w:val="0"/>
              <w:keepLines w:val="0"/>
              <w:suppressLineNumbers w:val="0"/>
              <w:spacing w:before="0" w:beforeAutospacing="0" w:after="0" w:afterAutospacing="0"/>
              <w:ind w:left="0" w:right="0"/>
              <w:rPr>
                <w:rFonts w:hint="default"/>
                <w:color w:val="auto"/>
              </w:rPr>
            </w:pPr>
            <w:r>
              <w:rPr>
                <w:rFonts w:hint="default"/>
                <w:color w:val="auto"/>
              </w:rPr>
              <w:t>城市</w:t>
            </w:r>
          </w:p>
        </w:tc>
      </w:tr>
      <w:tr w14:paraId="251155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5792" w:type="dxa"/>
            <w:gridSpan w:val="2"/>
            <w:vAlign w:val="center"/>
          </w:tcPr>
          <w:p w14:paraId="2C1BE8F4">
            <w:pPr>
              <w:pStyle w:val="77"/>
              <w:keepNext w:val="0"/>
              <w:keepLines w:val="0"/>
              <w:suppressLineNumbers w:val="0"/>
              <w:spacing w:before="0" w:beforeAutospacing="0" w:after="0" w:afterAutospacing="0"/>
              <w:ind w:left="0" w:right="0"/>
              <w:rPr>
                <w:rFonts w:hint="default"/>
                <w:color w:val="auto"/>
              </w:rPr>
            </w:pPr>
            <w:r>
              <w:rPr>
                <w:rFonts w:hint="default"/>
                <w:color w:val="auto"/>
              </w:rPr>
              <w:t>区域湿度条件</w:t>
            </w:r>
          </w:p>
        </w:tc>
        <w:tc>
          <w:tcPr>
            <w:tcW w:w="3250" w:type="dxa"/>
            <w:vAlign w:val="center"/>
          </w:tcPr>
          <w:p w14:paraId="45C4AC43">
            <w:pPr>
              <w:pStyle w:val="77"/>
              <w:keepNext w:val="0"/>
              <w:keepLines w:val="0"/>
              <w:suppressLineNumbers w:val="0"/>
              <w:spacing w:before="0" w:beforeAutospacing="0" w:after="0" w:afterAutospacing="0"/>
              <w:ind w:left="0" w:right="0"/>
              <w:rPr>
                <w:rFonts w:hint="default"/>
                <w:color w:val="auto"/>
              </w:rPr>
            </w:pPr>
            <w:r>
              <w:rPr>
                <w:rFonts w:hint="eastAsia"/>
                <w:color w:val="auto"/>
              </w:rPr>
              <w:t>潮湿</w:t>
            </w:r>
          </w:p>
        </w:tc>
      </w:tr>
      <w:tr w14:paraId="78F9D3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restart"/>
            <w:vAlign w:val="center"/>
          </w:tcPr>
          <w:p w14:paraId="24FA2986">
            <w:pPr>
              <w:pStyle w:val="77"/>
              <w:keepNext w:val="0"/>
              <w:keepLines w:val="0"/>
              <w:suppressLineNumbers w:val="0"/>
              <w:spacing w:before="0" w:beforeAutospacing="0" w:after="0" w:afterAutospacing="0"/>
              <w:ind w:left="0" w:right="0"/>
              <w:rPr>
                <w:rFonts w:hint="default"/>
                <w:color w:val="auto"/>
              </w:rPr>
            </w:pPr>
            <w:r>
              <w:rPr>
                <w:rFonts w:hint="default"/>
                <w:color w:val="auto"/>
              </w:rPr>
              <w:t>是否考虑地形</w:t>
            </w:r>
          </w:p>
        </w:tc>
        <w:tc>
          <w:tcPr>
            <w:tcW w:w="4076" w:type="dxa"/>
            <w:vAlign w:val="center"/>
          </w:tcPr>
          <w:p w14:paraId="2C17CF2D">
            <w:pPr>
              <w:pStyle w:val="77"/>
              <w:keepNext w:val="0"/>
              <w:keepLines w:val="0"/>
              <w:suppressLineNumbers w:val="0"/>
              <w:spacing w:before="0" w:beforeAutospacing="0" w:after="0" w:afterAutospacing="0"/>
              <w:ind w:left="0" w:right="0"/>
              <w:rPr>
                <w:rFonts w:hint="default"/>
                <w:color w:val="auto"/>
              </w:rPr>
            </w:pPr>
            <w:r>
              <w:rPr>
                <w:rFonts w:hint="default"/>
                <w:color w:val="auto"/>
              </w:rPr>
              <w:t>考虑地形</w:t>
            </w:r>
          </w:p>
        </w:tc>
        <w:tc>
          <w:tcPr>
            <w:tcW w:w="3250" w:type="dxa"/>
            <w:vAlign w:val="center"/>
          </w:tcPr>
          <w:p w14:paraId="2873AE7E">
            <w:pPr>
              <w:pStyle w:val="77"/>
              <w:keepNext w:val="0"/>
              <w:keepLines w:val="0"/>
              <w:suppressLineNumbers w:val="0"/>
              <w:spacing w:before="0" w:beforeAutospacing="0" w:after="0" w:afterAutospacing="0"/>
              <w:ind w:left="0" w:right="0"/>
              <w:rPr>
                <w:rFonts w:hint="default"/>
                <w:color w:val="auto"/>
              </w:rPr>
            </w:pPr>
            <w:r>
              <w:rPr>
                <w:rFonts w:hint="default"/>
                <w:color w:val="auto"/>
              </w:rPr>
              <w:sym w:font="Wingdings 2" w:char="0052"/>
            </w:r>
            <w:r>
              <w:rPr>
                <w:rFonts w:hint="default"/>
                <w:color w:val="auto"/>
              </w:rPr>
              <w:t>是</w:t>
            </w:r>
            <w:r>
              <w:rPr>
                <w:rFonts w:hint="default"/>
                <w:color w:val="auto"/>
              </w:rPr>
              <w:sym w:font="Wingdings 2" w:char="00A3"/>
            </w:r>
            <w:r>
              <w:rPr>
                <w:rFonts w:hint="default"/>
                <w:color w:val="auto"/>
              </w:rPr>
              <w:t>否</w:t>
            </w:r>
          </w:p>
        </w:tc>
      </w:tr>
      <w:tr w14:paraId="2FF50B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continue"/>
            <w:vAlign w:val="center"/>
          </w:tcPr>
          <w:p w14:paraId="23391970">
            <w:pPr>
              <w:pStyle w:val="77"/>
              <w:keepNext w:val="0"/>
              <w:keepLines w:val="0"/>
              <w:suppressLineNumbers w:val="0"/>
              <w:spacing w:before="0" w:beforeAutospacing="0" w:after="0" w:afterAutospacing="0"/>
              <w:ind w:left="0" w:right="0"/>
              <w:rPr>
                <w:rFonts w:hint="default"/>
                <w:color w:val="auto"/>
              </w:rPr>
            </w:pPr>
          </w:p>
        </w:tc>
        <w:tc>
          <w:tcPr>
            <w:tcW w:w="4076" w:type="dxa"/>
            <w:vAlign w:val="center"/>
          </w:tcPr>
          <w:p w14:paraId="6091B607">
            <w:pPr>
              <w:pStyle w:val="77"/>
              <w:keepNext w:val="0"/>
              <w:keepLines w:val="0"/>
              <w:suppressLineNumbers w:val="0"/>
              <w:spacing w:before="0" w:beforeAutospacing="0" w:after="0" w:afterAutospacing="0"/>
              <w:ind w:left="0" w:right="0"/>
              <w:rPr>
                <w:rFonts w:hint="default"/>
                <w:color w:val="auto"/>
              </w:rPr>
            </w:pPr>
            <w:r>
              <w:rPr>
                <w:rFonts w:hint="default"/>
                <w:color w:val="auto"/>
              </w:rPr>
              <w:t>地形数据分辨率/m</w:t>
            </w:r>
          </w:p>
        </w:tc>
        <w:tc>
          <w:tcPr>
            <w:tcW w:w="3250" w:type="dxa"/>
            <w:vAlign w:val="center"/>
          </w:tcPr>
          <w:p w14:paraId="51010A4D">
            <w:pPr>
              <w:pStyle w:val="77"/>
              <w:keepNext w:val="0"/>
              <w:keepLines w:val="0"/>
              <w:suppressLineNumbers w:val="0"/>
              <w:spacing w:before="0" w:beforeAutospacing="0" w:after="0" w:afterAutospacing="0"/>
              <w:ind w:left="0" w:right="0"/>
              <w:rPr>
                <w:rFonts w:hint="default"/>
                <w:color w:val="auto"/>
              </w:rPr>
            </w:pPr>
            <w:r>
              <w:rPr>
                <w:rFonts w:hint="default"/>
                <w:color w:val="auto"/>
              </w:rPr>
              <w:t>90m</w:t>
            </w:r>
          </w:p>
        </w:tc>
      </w:tr>
      <w:tr w14:paraId="42D321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restart"/>
            <w:vAlign w:val="center"/>
          </w:tcPr>
          <w:p w14:paraId="66B6052E">
            <w:pPr>
              <w:pStyle w:val="77"/>
              <w:keepNext w:val="0"/>
              <w:keepLines w:val="0"/>
              <w:suppressLineNumbers w:val="0"/>
              <w:spacing w:before="0" w:beforeAutospacing="0" w:after="0" w:afterAutospacing="0"/>
              <w:ind w:left="0" w:right="0"/>
              <w:rPr>
                <w:rFonts w:hint="default"/>
                <w:color w:val="auto"/>
              </w:rPr>
            </w:pPr>
            <w:r>
              <w:rPr>
                <w:rFonts w:hint="default"/>
                <w:color w:val="auto"/>
              </w:rPr>
              <w:t>是否考虑岸线</w:t>
            </w:r>
          </w:p>
          <w:p w14:paraId="6FF1A188">
            <w:pPr>
              <w:pStyle w:val="77"/>
              <w:keepNext w:val="0"/>
              <w:keepLines w:val="0"/>
              <w:suppressLineNumbers w:val="0"/>
              <w:spacing w:before="0" w:beforeAutospacing="0" w:after="0" w:afterAutospacing="0"/>
              <w:ind w:left="0" w:right="0"/>
              <w:rPr>
                <w:rFonts w:hint="default"/>
                <w:color w:val="auto"/>
              </w:rPr>
            </w:pPr>
            <w:r>
              <w:rPr>
                <w:rFonts w:hint="default"/>
                <w:color w:val="auto"/>
              </w:rPr>
              <w:t>熏烟</w:t>
            </w:r>
          </w:p>
        </w:tc>
        <w:tc>
          <w:tcPr>
            <w:tcW w:w="4076" w:type="dxa"/>
            <w:vAlign w:val="center"/>
          </w:tcPr>
          <w:p w14:paraId="23CEC6DC">
            <w:pPr>
              <w:pStyle w:val="77"/>
              <w:keepNext w:val="0"/>
              <w:keepLines w:val="0"/>
              <w:suppressLineNumbers w:val="0"/>
              <w:spacing w:before="0" w:beforeAutospacing="0" w:after="0" w:afterAutospacing="0"/>
              <w:ind w:left="0" w:right="0"/>
              <w:rPr>
                <w:rFonts w:hint="default"/>
                <w:color w:val="auto"/>
              </w:rPr>
            </w:pPr>
            <w:r>
              <w:rPr>
                <w:rFonts w:hint="default"/>
                <w:color w:val="auto"/>
              </w:rPr>
              <w:t>考虑岸线熏烟</w:t>
            </w:r>
          </w:p>
        </w:tc>
        <w:tc>
          <w:tcPr>
            <w:tcW w:w="3250" w:type="dxa"/>
            <w:vAlign w:val="center"/>
          </w:tcPr>
          <w:p w14:paraId="4EAFA17D">
            <w:pPr>
              <w:pStyle w:val="77"/>
              <w:keepNext w:val="0"/>
              <w:keepLines w:val="0"/>
              <w:suppressLineNumbers w:val="0"/>
              <w:spacing w:before="0" w:beforeAutospacing="0" w:after="0" w:afterAutospacing="0"/>
              <w:ind w:left="0" w:right="0"/>
              <w:rPr>
                <w:rFonts w:hint="default"/>
                <w:color w:val="auto"/>
              </w:rPr>
            </w:pPr>
            <w:r>
              <w:rPr>
                <w:rFonts w:hint="default"/>
                <w:color w:val="auto"/>
              </w:rPr>
              <w:sym w:font="Wingdings 2" w:char="00A3"/>
            </w:r>
            <w:r>
              <w:rPr>
                <w:rFonts w:hint="default"/>
                <w:color w:val="auto"/>
              </w:rPr>
              <w:t>是</w:t>
            </w:r>
            <w:r>
              <w:rPr>
                <w:rFonts w:hint="default"/>
                <w:color w:val="auto"/>
              </w:rPr>
              <w:sym w:font="Wingdings 2" w:char="0052"/>
            </w:r>
            <w:r>
              <w:rPr>
                <w:rFonts w:hint="default"/>
                <w:color w:val="auto"/>
              </w:rPr>
              <w:t>否</w:t>
            </w:r>
          </w:p>
        </w:tc>
      </w:tr>
      <w:tr w14:paraId="5F0C1A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continue"/>
            <w:vAlign w:val="center"/>
          </w:tcPr>
          <w:p w14:paraId="38C2F827">
            <w:pPr>
              <w:pStyle w:val="77"/>
              <w:keepNext w:val="0"/>
              <w:keepLines w:val="0"/>
              <w:suppressLineNumbers w:val="0"/>
              <w:spacing w:before="0" w:beforeAutospacing="0" w:after="0" w:afterAutospacing="0"/>
              <w:ind w:left="0" w:right="0"/>
              <w:rPr>
                <w:rFonts w:hint="default"/>
                <w:color w:val="auto"/>
              </w:rPr>
            </w:pPr>
          </w:p>
        </w:tc>
        <w:tc>
          <w:tcPr>
            <w:tcW w:w="4076" w:type="dxa"/>
            <w:vAlign w:val="center"/>
          </w:tcPr>
          <w:p w14:paraId="2AB6C07E">
            <w:pPr>
              <w:pStyle w:val="77"/>
              <w:keepNext w:val="0"/>
              <w:keepLines w:val="0"/>
              <w:suppressLineNumbers w:val="0"/>
              <w:spacing w:before="0" w:beforeAutospacing="0" w:after="0" w:afterAutospacing="0"/>
              <w:ind w:left="0" w:right="0"/>
              <w:rPr>
                <w:rFonts w:hint="default"/>
                <w:color w:val="auto"/>
              </w:rPr>
            </w:pPr>
            <w:r>
              <w:rPr>
                <w:rFonts w:hint="default"/>
                <w:color w:val="auto"/>
              </w:rPr>
              <w:t>岸线距离/km</w:t>
            </w:r>
          </w:p>
        </w:tc>
        <w:tc>
          <w:tcPr>
            <w:tcW w:w="3250" w:type="dxa"/>
            <w:vAlign w:val="center"/>
          </w:tcPr>
          <w:p w14:paraId="400370D3">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578D0E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continue"/>
            <w:vAlign w:val="center"/>
          </w:tcPr>
          <w:p w14:paraId="6E5AF3E3">
            <w:pPr>
              <w:pStyle w:val="77"/>
              <w:keepNext w:val="0"/>
              <w:keepLines w:val="0"/>
              <w:suppressLineNumbers w:val="0"/>
              <w:spacing w:before="0" w:beforeAutospacing="0" w:after="0" w:afterAutospacing="0"/>
              <w:ind w:left="0" w:right="0"/>
              <w:rPr>
                <w:rFonts w:hint="default"/>
                <w:color w:val="auto"/>
              </w:rPr>
            </w:pPr>
          </w:p>
        </w:tc>
        <w:tc>
          <w:tcPr>
            <w:tcW w:w="4076" w:type="dxa"/>
            <w:vAlign w:val="center"/>
          </w:tcPr>
          <w:p w14:paraId="324B3078">
            <w:pPr>
              <w:pStyle w:val="77"/>
              <w:keepNext w:val="0"/>
              <w:keepLines w:val="0"/>
              <w:suppressLineNumbers w:val="0"/>
              <w:spacing w:before="0" w:beforeAutospacing="0" w:after="0" w:afterAutospacing="0"/>
              <w:ind w:left="0" w:right="0"/>
              <w:rPr>
                <w:rFonts w:hint="default"/>
                <w:color w:val="auto"/>
              </w:rPr>
            </w:pPr>
            <w:r>
              <w:rPr>
                <w:rFonts w:hint="default"/>
                <w:color w:val="auto"/>
              </w:rPr>
              <w:t>岸线方向/°</w:t>
            </w:r>
          </w:p>
        </w:tc>
        <w:tc>
          <w:tcPr>
            <w:tcW w:w="3250" w:type="dxa"/>
            <w:vAlign w:val="center"/>
          </w:tcPr>
          <w:p w14:paraId="098F3FBE">
            <w:pPr>
              <w:pStyle w:val="77"/>
              <w:keepNext w:val="0"/>
              <w:keepLines w:val="0"/>
              <w:suppressLineNumbers w:val="0"/>
              <w:spacing w:before="0" w:beforeAutospacing="0" w:after="0" w:afterAutospacing="0"/>
              <w:ind w:left="0" w:right="0"/>
              <w:rPr>
                <w:rFonts w:hint="default"/>
                <w:color w:val="auto"/>
              </w:rPr>
            </w:pPr>
            <w:r>
              <w:rPr>
                <w:rFonts w:hint="default"/>
                <w:color w:val="auto"/>
              </w:rPr>
              <w:t>/</w:t>
            </w:r>
          </w:p>
        </w:tc>
      </w:tr>
    </w:tbl>
    <w:p w14:paraId="597E9456">
      <w:pPr>
        <w:pStyle w:val="14"/>
        <w:rPr>
          <w:color w:val="auto"/>
        </w:rPr>
      </w:pPr>
    </w:p>
    <w:p w14:paraId="680D7F5B">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3</w:t>
      </w:r>
      <w:r>
        <w:rPr>
          <w:color w:val="auto"/>
        </w:rPr>
        <w:fldChar w:fldCharType="end"/>
      </w:r>
      <w:r>
        <w:rPr>
          <w:color w:val="auto"/>
        </w:rPr>
        <w:t>扩建</w:t>
      </w:r>
      <w:r>
        <w:rPr>
          <w:rFonts w:hint="eastAsia"/>
          <w:color w:val="auto"/>
        </w:rPr>
        <w:t>项目点源</w:t>
      </w:r>
      <w:r>
        <w:rPr>
          <w:color w:val="auto"/>
        </w:rPr>
        <w:t>参数表</w:t>
      </w:r>
    </w:p>
    <w:tbl>
      <w:tblPr>
        <w:tblStyle w:val="44"/>
        <w:tblW w:w="90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88"/>
        <w:gridCol w:w="688"/>
        <w:gridCol w:w="688"/>
        <w:gridCol w:w="687"/>
        <w:gridCol w:w="690"/>
        <w:gridCol w:w="690"/>
        <w:gridCol w:w="730"/>
        <w:gridCol w:w="804"/>
        <w:gridCol w:w="687"/>
        <w:gridCol w:w="687"/>
        <w:gridCol w:w="586"/>
        <w:gridCol w:w="1418"/>
      </w:tblGrid>
      <w:tr w14:paraId="28542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88" w:type="dxa"/>
            <w:vMerge w:val="restart"/>
            <w:vAlign w:val="center"/>
          </w:tcPr>
          <w:p w14:paraId="68DBB746">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编号</w:t>
            </w:r>
          </w:p>
        </w:tc>
        <w:tc>
          <w:tcPr>
            <w:tcW w:w="688" w:type="dxa"/>
            <w:vMerge w:val="restart"/>
            <w:vAlign w:val="center"/>
          </w:tcPr>
          <w:p w14:paraId="5012E3E0">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名称</w:t>
            </w:r>
          </w:p>
        </w:tc>
        <w:tc>
          <w:tcPr>
            <w:tcW w:w="1375" w:type="dxa"/>
            <w:gridSpan w:val="2"/>
            <w:vAlign w:val="center"/>
          </w:tcPr>
          <w:p w14:paraId="7FBCF458">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排气筒底部中心坐标</w:t>
            </w:r>
          </w:p>
        </w:tc>
        <w:tc>
          <w:tcPr>
            <w:tcW w:w="690" w:type="dxa"/>
            <w:vMerge w:val="restart"/>
            <w:vAlign w:val="center"/>
          </w:tcPr>
          <w:p w14:paraId="0EF6CA5C">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排气筒底部海拔高度</w:t>
            </w:r>
            <w:r>
              <w:rPr>
                <w:rFonts w:hint="eastAsia"/>
                <w:color w:val="auto"/>
              </w:rPr>
              <w:t>/</w:t>
            </w:r>
            <w:r>
              <w:rPr>
                <w:rFonts w:hint="default"/>
                <w:color w:val="auto"/>
              </w:rPr>
              <w:t>m</w:t>
            </w:r>
          </w:p>
        </w:tc>
        <w:tc>
          <w:tcPr>
            <w:tcW w:w="690" w:type="dxa"/>
            <w:vMerge w:val="restart"/>
            <w:vAlign w:val="center"/>
          </w:tcPr>
          <w:p w14:paraId="2CBDDE9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排气筒</w:t>
            </w:r>
            <w:r>
              <w:rPr>
                <w:rFonts w:hint="default"/>
                <w:color w:val="auto"/>
              </w:rPr>
              <w:t>高度</w:t>
            </w:r>
            <w:r>
              <w:rPr>
                <w:rFonts w:hint="eastAsia"/>
                <w:color w:val="auto"/>
              </w:rPr>
              <w:t>/</w:t>
            </w:r>
            <w:r>
              <w:rPr>
                <w:rFonts w:hint="default"/>
                <w:color w:val="auto"/>
              </w:rPr>
              <w:t>m</w:t>
            </w:r>
          </w:p>
        </w:tc>
        <w:tc>
          <w:tcPr>
            <w:tcW w:w="730" w:type="dxa"/>
            <w:vMerge w:val="restart"/>
            <w:vAlign w:val="center"/>
          </w:tcPr>
          <w:p w14:paraId="0B116FBF">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排气筒出口内径</w:t>
            </w:r>
            <w:r>
              <w:rPr>
                <w:rFonts w:hint="eastAsia"/>
                <w:color w:val="auto"/>
              </w:rPr>
              <w:t>/</w:t>
            </w:r>
            <w:r>
              <w:rPr>
                <w:rFonts w:hint="default"/>
                <w:color w:val="auto"/>
              </w:rPr>
              <w:t>m</w:t>
            </w:r>
          </w:p>
        </w:tc>
        <w:tc>
          <w:tcPr>
            <w:tcW w:w="804" w:type="dxa"/>
            <w:vMerge w:val="restart"/>
            <w:vAlign w:val="center"/>
          </w:tcPr>
          <w:p w14:paraId="36F8B5E6">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烟气流速（m/s</w:t>
            </w:r>
            <w:r>
              <w:rPr>
                <w:rFonts w:hint="eastAsia"/>
                <w:color w:val="auto"/>
              </w:rPr>
              <w:t>）</w:t>
            </w:r>
          </w:p>
        </w:tc>
        <w:tc>
          <w:tcPr>
            <w:tcW w:w="687" w:type="dxa"/>
            <w:vMerge w:val="restart"/>
            <w:vAlign w:val="center"/>
          </w:tcPr>
          <w:p w14:paraId="7E670547">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烟气温度</w:t>
            </w:r>
            <w:r>
              <w:rPr>
                <w:rFonts w:hint="eastAsia"/>
                <w:color w:val="auto"/>
              </w:rPr>
              <w:t>/℃</w:t>
            </w:r>
          </w:p>
        </w:tc>
        <w:tc>
          <w:tcPr>
            <w:tcW w:w="687" w:type="dxa"/>
            <w:vMerge w:val="restart"/>
            <w:vAlign w:val="center"/>
          </w:tcPr>
          <w:p w14:paraId="514274F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年</w:t>
            </w:r>
            <w:r>
              <w:rPr>
                <w:rFonts w:hint="default"/>
                <w:color w:val="auto"/>
              </w:rPr>
              <w:t>排放小时数</w:t>
            </w:r>
            <w:r>
              <w:rPr>
                <w:rFonts w:hint="eastAsia"/>
                <w:color w:val="auto"/>
              </w:rPr>
              <w:t>/</w:t>
            </w:r>
            <w:r>
              <w:rPr>
                <w:rFonts w:hint="default"/>
                <w:color w:val="auto"/>
              </w:rPr>
              <w:t>h</w:t>
            </w:r>
          </w:p>
        </w:tc>
        <w:tc>
          <w:tcPr>
            <w:tcW w:w="586" w:type="dxa"/>
            <w:vMerge w:val="restart"/>
            <w:vAlign w:val="center"/>
          </w:tcPr>
          <w:p w14:paraId="7D8F2C6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排放</w:t>
            </w:r>
            <w:r>
              <w:rPr>
                <w:rFonts w:hint="default"/>
                <w:color w:val="auto"/>
              </w:rPr>
              <w:t>工况</w:t>
            </w:r>
          </w:p>
        </w:tc>
        <w:tc>
          <w:tcPr>
            <w:tcW w:w="1418" w:type="dxa"/>
            <w:vAlign w:val="center"/>
          </w:tcPr>
          <w:p w14:paraId="78A68BF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污染物</w:t>
            </w:r>
            <w:r>
              <w:rPr>
                <w:rFonts w:hint="default"/>
                <w:color w:val="auto"/>
              </w:rPr>
              <w:t>排放</w:t>
            </w:r>
            <w:r>
              <w:rPr>
                <w:rFonts w:hint="eastAsia"/>
                <w:color w:val="auto"/>
              </w:rPr>
              <w:t>速率</w:t>
            </w:r>
            <w:r>
              <w:rPr>
                <w:rFonts w:hint="default"/>
                <w:color w:val="auto"/>
              </w:rPr>
              <w:t>kg/h</w:t>
            </w:r>
          </w:p>
        </w:tc>
      </w:tr>
      <w:tr w14:paraId="47E65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88" w:type="dxa"/>
            <w:vMerge w:val="continue"/>
            <w:vAlign w:val="center"/>
          </w:tcPr>
          <w:p w14:paraId="3F5A7BE7">
            <w:pPr>
              <w:pStyle w:val="91"/>
              <w:keepNext w:val="0"/>
              <w:keepLines w:val="0"/>
              <w:suppressLineNumbers w:val="0"/>
              <w:spacing w:before="0" w:beforeAutospacing="0" w:after="0" w:afterAutospacing="0"/>
              <w:ind w:left="0" w:right="0"/>
              <w:jc w:val="center"/>
              <w:rPr>
                <w:rFonts w:hint="default"/>
                <w:color w:val="auto"/>
              </w:rPr>
            </w:pPr>
          </w:p>
        </w:tc>
        <w:tc>
          <w:tcPr>
            <w:tcW w:w="688" w:type="dxa"/>
            <w:vMerge w:val="continue"/>
            <w:vAlign w:val="center"/>
          </w:tcPr>
          <w:p w14:paraId="0D50141A">
            <w:pPr>
              <w:pStyle w:val="91"/>
              <w:keepNext w:val="0"/>
              <w:keepLines w:val="0"/>
              <w:suppressLineNumbers w:val="0"/>
              <w:spacing w:before="0" w:beforeAutospacing="0" w:after="0" w:afterAutospacing="0"/>
              <w:ind w:left="0" w:right="0"/>
              <w:jc w:val="center"/>
              <w:rPr>
                <w:rFonts w:hint="default"/>
                <w:color w:val="auto"/>
              </w:rPr>
            </w:pPr>
          </w:p>
        </w:tc>
        <w:tc>
          <w:tcPr>
            <w:tcW w:w="688" w:type="dxa"/>
            <w:vAlign w:val="center"/>
          </w:tcPr>
          <w:p w14:paraId="541FF25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经度</w:t>
            </w:r>
          </w:p>
        </w:tc>
        <w:tc>
          <w:tcPr>
            <w:tcW w:w="687" w:type="dxa"/>
            <w:vAlign w:val="center"/>
          </w:tcPr>
          <w:p w14:paraId="68A1366B">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纬度</w:t>
            </w:r>
          </w:p>
        </w:tc>
        <w:tc>
          <w:tcPr>
            <w:tcW w:w="690" w:type="dxa"/>
            <w:vMerge w:val="continue"/>
            <w:vAlign w:val="center"/>
          </w:tcPr>
          <w:p w14:paraId="0BB18AE7">
            <w:pPr>
              <w:pStyle w:val="91"/>
              <w:keepNext w:val="0"/>
              <w:keepLines w:val="0"/>
              <w:suppressLineNumbers w:val="0"/>
              <w:spacing w:before="0" w:beforeAutospacing="0" w:after="0" w:afterAutospacing="0"/>
              <w:ind w:left="0" w:right="0"/>
              <w:jc w:val="center"/>
              <w:rPr>
                <w:rFonts w:hint="default"/>
                <w:color w:val="auto"/>
              </w:rPr>
            </w:pPr>
          </w:p>
        </w:tc>
        <w:tc>
          <w:tcPr>
            <w:tcW w:w="690" w:type="dxa"/>
            <w:vMerge w:val="continue"/>
            <w:vAlign w:val="center"/>
          </w:tcPr>
          <w:p w14:paraId="352A8634">
            <w:pPr>
              <w:pStyle w:val="91"/>
              <w:keepNext w:val="0"/>
              <w:keepLines w:val="0"/>
              <w:suppressLineNumbers w:val="0"/>
              <w:spacing w:before="0" w:beforeAutospacing="0" w:after="0" w:afterAutospacing="0"/>
              <w:ind w:left="0" w:right="0"/>
              <w:jc w:val="center"/>
              <w:rPr>
                <w:rFonts w:hint="default"/>
                <w:color w:val="auto"/>
              </w:rPr>
            </w:pPr>
          </w:p>
        </w:tc>
        <w:tc>
          <w:tcPr>
            <w:tcW w:w="730" w:type="dxa"/>
            <w:vMerge w:val="continue"/>
            <w:vAlign w:val="center"/>
          </w:tcPr>
          <w:p w14:paraId="3B6B3AE7">
            <w:pPr>
              <w:pStyle w:val="91"/>
              <w:keepNext w:val="0"/>
              <w:keepLines w:val="0"/>
              <w:suppressLineNumbers w:val="0"/>
              <w:spacing w:before="0" w:beforeAutospacing="0" w:after="0" w:afterAutospacing="0"/>
              <w:ind w:left="0" w:right="0"/>
              <w:jc w:val="center"/>
              <w:rPr>
                <w:rFonts w:hint="default"/>
                <w:color w:val="auto"/>
              </w:rPr>
            </w:pPr>
          </w:p>
        </w:tc>
        <w:tc>
          <w:tcPr>
            <w:tcW w:w="804" w:type="dxa"/>
            <w:vMerge w:val="continue"/>
            <w:vAlign w:val="center"/>
          </w:tcPr>
          <w:p w14:paraId="1BBF8ABC">
            <w:pPr>
              <w:pStyle w:val="91"/>
              <w:keepNext w:val="0"/>
              <w:keepLines w:val="0"/>
              <w:suppressLineNumbers w:val="0"/>
              <w:spacing w:before="0" w:beforeAutospacing="0" w:after="0" w:afterAutospacing="0"/>
              <w:ind w:left="0" w:right="0"/>
              <w:jc w:val="center"/>
              <w:rPr>
                <w:rFonts w:hint="default"/>
                <w:color w:val="auto"/>
              </w:rPr>
            </w:pPr>
          </w:p>
        </w:tc>
        <w:tc>
          <w:tcPr>
            <w:tcW w:w="687" w:type="dxa"/>
            <w:vMerge w:val="continue"/>
            <w:vAlign w:val="center"/>
          </w:tcPr>
          <w:p w14:paraId="1E3A0778">
            <w:pPr>
              <w:pStyle w:val="91"/>
              <w:keepNext w:val="0"/>
              <w:keepLines w:val="0"/>
              <w:suppressLineNumbers w:val="0"/>
              <w:spacing w:before="0" w:beforeAutospacing="0" w:after="0" w:afterAutospacing="0"/>
              <w:ind w:left="0" w:right="0"/>
              <w:jc w:val="center"/>
              <w:rPr>
                <w:rFonts w:hint="default"/>
                <w:color w:val="auto"/>
              </w:rPr>
            </w:pPr>
          </w:p>
        </w:tc>
        <w:tc>
          <w:tcPr>
            <w:tcW w:w="687" w:type="dxa"/>
            <w:vMerge w:val="continue"/>
            <w:vAlign w:val="center"/>
          </w:tcPr>
          <w:p w14:paraId="333D50C6">
            <w:pPr>
              <w:pStyle w:val="91"/>
              <w:keepNext w:val="0"/>
              <w:keepLines w:val="0"/>
              <w:suppressLineNumbers w:val="0"/>
              <w:spacing w:before="0" w:beforeAutospacing="0" w:after="0" w:afterAutospacing="0"/>
              <w:ind w:left="0" w:right="0"/>
              <w:jc w:val="center"/>
              <w:rPr>
                <w:rFonts w:hint="default"/>
                <w:color w:val="auto"/>
              </w:rPr>
            </w:pPr>
          </w:p>
        </w:tc>
        <w:tc>
          <w:tcPr>
            <w:tcW w:w="586" w:type="dxa"/>
            <w:vMerge w:val="continue"/>
            <w:vAlign w:val="center"/>
          </w:tcPr>
          <w:p w14:paraId="52508F06">
            <w:pPr>
              <w:pStyle w:val="91"/>
              <w:keepNext w:val="0"/>
              <w:keepLines w:val="0"/>
              <w:suppressLineNumbers w:val="0"/>
              <w:spacing w:before="0" w:beforeAutospacing="0" w:after="0" w:afterAutospacing="0"/>
              <w:ind w:left="0" w:right="0"/>
              <w:jc w:val="center"/>
              <w:rPr>
                <w:rFonts w:hint="default"/>
                <w:color w:val="auto"/>
              </w:rPr>
            </w:pPr>
          </w:p>
        </w:tc>
        <w:tc>
          <w:tcPr>
            <w:tcW w:w="1418" w:type="dxa"/>
            <w:vAlign w:val="center"/>
          </w:tcPr>
          <w:p w14:paraId="778BC3E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非甲烷总烃</w:t>
            </w:r>
          </w:p>
        </w:tc>
      </w:tr>
      <w:tr w14:paraId="77E07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88" w:type="dxa"/>
          </w:tcPr>
          <w:p w14:paraId="6B4CDE45">
            <w:pPr>
              <w:pStyle w:val="91"/>
              <w:keepNext w:val="0"/>
              <w:keepLines w:val="0"/>
              <w:suppressLineNumbers w:val="0"/>
              <w:spacing w:before="0" w:beforeAutospacing="0" w:after="0" w:afterAutospacing="0"/>
              <w:ind w:left="0" w:right="0"/>
              <w:rPr>
                <w:rFonts w:hint="default"/>
                <w:color w:val="auto"/>
              </w:rPr>
            </w:pPr>
            <w:r>
              <w:rPr>
                <w:rFonts w:hint="eastAsia"/>
                <w:color w:val="auto"/>
              </w:rPr>
              <w:t>DA003</w:t>
            </w:r>
          </w:p>
        </w:tc>
        <w:tc>
          <w:tcPr>
            <w:tcW w:w="688" w:type="dxa"/>
          </w:tcPr>
          <w:p w14:paraId="7EF80030">
            <w:pPr>
              <w:pStyle w:val="91"/>
              <w:keepNext w:val="0"/>
              <w:keepLines w:val="0"/>
              <w:suppressLineNumbers w:val="0"/>
              <w:spacing w:before="0" w:beforeAutospacing="0" w:after="0" w:afterAutospacing="0"/>
              <w:ind w:left="0" w:right="0"/>
              <w:rPr>
                <w:rFonts w:hint="default"/>
                <w:color w:val="auto"/>
              </w:rPr>
            </w:pPr>
            <w:r>
              <w:rPr>
                <w:rFonts w:hint="eastAsia"/>
                <w:color w:val="auto"/>
              </w:rPr>
              <w:t>装船</w:t>
            </w:r>
            <w:r>
              <w:rPr>
                <w:rFonts w:hint="default"/>
                <w:color w:val="auto"/>
              </w:rPr>
              <w:t>废气</w:t>
            </w:r>
          </w:p>
        </w:tc>
        <w:tc>
          <w:tcPr>
            <w:tcW w:w="688" w:type="dxa"/>
          </w:tcPr>
          <w:p w14:paraId="0B2C2CD9">
            <w:pPr>
              <w:pStyle w:val="91"/>
              <w:keepNext w:val="0"/>
              <w:keepLines w:val="0"/>
              <w:suppressLineNumbers w:val="0"/>
              <w:spacing w:before="0" w:beforeAutospacing="0" w:after="0" w:afterAutospacing="0"/>
              <w:ind w:left="0" w:right="0"/>
              <w:rPr>
                <w:rFonts w:hint="default"/>
                <w:color w:val="auto"/>
              </w:rPr>
            </w:pPr>
            <w:r>
              <w:rPr>
                <w:rFonts w:hint="default"/>
                <w:color w:val="auto"/>
              </w:rPr>
              <w:t>108°37'00.79"</w:t>
            </w:r>
          </w:p>
        </w:tc>
        <w:tc>
          <w:tcPr>
            <w:tcW w:w="687" w:type="dxa"/>
          </w:tcPr>
          <w:p w14:paraId="38C13A9A">
            <w:pPr>
              <w:pStyle w:val="91"/>
              <w:keepNext w:val="0"/>
              <w:keepLines w:val="0"/>
              <w:suppressLineNumbers w:val="0"/>
              <w:spacing w:before="0" w:beforeAutospacing="0" w:after="0" w:afterAutospacing="0"/>
              <w:ind w:left="0" w:right="0"/>
              <w:rPr>
                <w:rFonts w:hint="default"/>
                <w:color w:val="auto"/>
              </w:rPr>
            </w:pPr>
            <w:r>
              <w:rPr>
                <w:rFonts w:hint="default"/>
                <w:color w:val="auto"/>
              </w:rPr>
              <w:t>21°41'46.32"</w:t>
            </w:r>
          </w:p>
        </w:tc>
        <w:tc>
          <w:tcPr>
            <w:tcW w:w="690" w:type="dxa"/>
          </w:tcPr>
          <w:p w14:paraId="67F20181">
            <w:pPr>
              <w:pStyle w:val="91"/>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690" w:type="dxa"/>
          </w:tcPr>
          <w:p w14:paraId="4A30B0B7">
            <w:pPr>
              <w:pStyle w:val="91"/>
              <w:keepNext w:val="0"/>
              <w:keepLines w:val="0"/>
              <w:suppressLineNumbers w:val="0"/>
              <w:spacing w:before="0" w:beforeAutospacing="0" w:after="0" w:afterAutospacing="0"/>
              <w:ind w:left="0" w:right="0"/>
              <w:rPr>
                <w:rFonts w:hint="default"/>
                <w:color w:val="auto"/>
              </w:rPr>
            </w:pPr>
            <w:r>
              <w:rPr>
                <w:rFonts w:hint="eastAsia"/>
                <w:color w:val="auto"/>
              </w:rPr>
              <w:t>15</w:t>
            </w:r>
          </w:p>
        </w:tc>
        <w:tc>
          <w:tcPr>
            <w:tcW w:w="730" w:type="dxa"/>
          </w:tcPr>
          <w:p w14:paraId="48F84A2D">
            <w:pPr>
              <w:pStyle w:val="91"/>
              <w:keepNext w:val="0"/>
              <w:keepLines w:val="0"/>
              <w:suppressLineNumbers w:val="0"/>
              <w:spacing w:before="0" w:beforeAutospacing="0" w:after="0" w:afterAutospacing="0"/>
              <w:ind w:left="0" w:right="0"/>
              <w:rPr>
                <w:rFonts w:hint="default"/>
                <w:color w:val="auto"/>
              </w:rPr>
            </w:pPr>
            <w:r>
              <w:rPr>
                <w:rFonts w:hint="eastAsia"/>
                <w:color w:val="auto"/>
              </w:rPr>
              <w:t>0.1</w:t>
            </w:r>
          </w:p>
        </w:tc>
        <w:tc>
          <w:tcPr>
            <w:tcW w:w="804" w:type="dxa"/>
          </w:tcPr>
          <w:p w14:paraId="78427730">
            <w:pPr>
              <w:pStyle w:val="91"/>
              <w:keepNext w:val="0"/>
              <w:keepLines w:val="0"/>
              <w:suppressLineNumbers w:val="0"/>
              <w:spacing w:before="0" w:beforeAutospacing="0" w:after="0" w:afterAutospacing="0"/>
              <w:ind w:left="0" w:right="0"/>
              <w:rPr>
                <w:rFonts w:hint="default"/>
                <w:color w:val="auto"/>
              </w:rPr>
            </w:pPr>
            <w:r>
              <w:rPr>
                <w:rFonts w:hint="eastAsia"/>
                <w:color w:val="auto"/>
              </w:rPr>
              <w:t>7.08</w:t>
            </w:r>
          </w:p>
        </w:tc>
        <w:tc>
          <w:tcPr>
            <w:tcW w:w="687" w:type="dxa"/>
          </w:tcPr>
          <w:p w14:paraId="28E35A49">
            <w:pPr>
              <w:pStyle w:val="91"/>
              <w:keepNext w:val="0"/>
              <w:keepLines w:val="0"/>
              <w:suppressLineNumbers w:val="0"/>
              <w:spacing w:before="0" w:beforeAutospacing="0" w:after="0" w:afterAutospacing="0"/>
              <w:ind w:left="0" w:right="0"/>
              <w:rPr>
                <w:rFonts w:hint="default"/>
                <w:color w:val="auto"/>
              </w:rPr>
            </w:pPr>
            <w:r>
              <w:rPr>
                <w:rFonts w:hint="eastAsia"/>
                <w:color w:val="auto"/>
              </w:rPr>
              <w:t>25</w:t>
            </w:r>
          </w:p>
        </w:tc>
        <w:tc>
          <w:tcPr>
            <w:tcW w:w="687" w:type="dxa"/>
          </w:tcPr>
          <w:p w14:paraId="350B6116">
            <w:pPr>
              <w:pStyle w:val="91"/>
              <w:keepNext w:val="0"/>
              <w:keepLines w:val="0"/>
              <w:suppressLineNumbers w:val="0"/>
              <w:spacing w:before="0" w:beforeAutospacing="0" w:after="0" w:afterAutospacing="0"/>
              <w:ind w:left="0" w:right="0"/>
              <w:rPr>
                <w:rFonts w:hint="default"/>
                <w:color w:val="auto"/>
              </w:rPr>
            </w:pPr>
            <w:r>
              <w:rPr>
                <w:rFonts w:hint="eastAsia"/>
                <w:color w:val="auto"/>
              </w:rPr>
              <w:t>676</w:t>
            </w:r>
          </w:p>
        </w:tc>
        <w:tc>
          <w:tcPr>
            <w:tcW w:w="586" w:type="dxa"/>
          </w:tcPr>
          <w:p w14:paraId="1098562C">
            <w:pPr>
              <w:pStyle w:val="91"/>
              <w:keepNext w:val="0"/>
              <w:keepLines w:val="0"/>
              <w:suppressLineNumbers w:val="0"/>
              <w:spacing w:before="0" w:beforeAutospacing="0" w:after="0" w:afterAutospacing="0"/>
              <w:ind w:left="0" w:right="0"/>
              <w:rPr>
                <w:rFonts w:hint="default"/>
                <w:color w:val="auto"/>
              </w:rPr>
            </w:pPr>
            <w:r>
              <w:rPr>
                <w:rFonts w:hint="eastAsia"/>
                <w:color w:val="auto"/>
              </w:rPr>
              <w:t>正常</w:t>
            </w:r>
          </w:p>
        </w:tc>
        <w:tc>
          <w:tcPr>
            <w:tcW w:w="1418" w:type="dxa"/>
          </w:tcPr>
          <w:p w14:paraId="3F2E8CE8">
            <w:pPr>
              <w:pStyle w:val="91"/>
              <w:keepNext w:val="0"/>
              <w:keepLines w:val="0"/>
              <w:suppressLineNumbers w:val="0"/>
              <w:spacing w:before="0" w:beforeAutospacing="0" w:after="0" w:afterAutospacing="0"/>
              <w:ind w:left="0" w:right="0"/>
              <w:rPr>
                <w:rFonts w:hint="default"/>
                <w:color w:val="auto"/>
              </w:rPr>
            </w:pPr>
            <w:r>
              <w:rPr>
                <w:rFonts w:hint="eastAsia"/>
                <w:color w:val="auto"/>
              </w:rPr>
              <w:t>1.865</w:t>
            </w:r>
          </w:p>
        </w:tc>
      </w:tr>
    </w:tbl>
    <w:p w14:paraId="194A94F5">
      <w:pPr>
        <w:pStyle w:val="14"/>
        <w:rPr>
          <w:color w:val="auto"/>
        </w:rPr>
      </w:pPr>
    </w:p>
    <w:p w14:paraId="5D412EB4">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4</w:t>
      </w:r>
      <w:r>
        <w:rPr>
          <w:color w:val="auto"/>
        </w:rPr>
        <w:fldChar w:fldCharType="end"/>
      </w:r>
      <w:r>
        <w:rPr>
          <w:rFonts w:hint="eastAsia"/>
          <w:color w:val="auto"/>
        </w:rPr>
        <w:t>项目无组织面源估算模式参数表</w:t>
      </w:r>
    </w:p>
    <w:tbl>
      <w:tblPr>
        <w:tblStyle w:val="43"/>
        <w:tblW w:w="864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6" w:type="dxa"/>
          <w:bottom w:w="0" w:type="dxa"/>
          <w:right w:w="6" w:type="dxa"/>
        </w:tblCellMar>
      </w:tblPr>
      <w:tblGrid>
        <w:gridCol w:w="411"/>
        <w:gridCol w:w="708"/>
        <w:gridCol w:w="1000"/>
        <w:gridCol w:w="1134"/>
        <w:gridCol w:w="851"/>
        <w:gridCol w:w="1134"/>
        <w:gridCol w:w="1134"/>
        <w:gridCol w:w="708"/>
        <w:gridCol w:w="1560"/>
      </w:tblGrid>
      <w:tr w14:paraId="7725E7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Merge w:val="restart"/>
            <w:vAlign w:val="center"/>
          </w:tcPr>
          <w:p w14:paraId="28A995F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序</w:t>
            </w:r>
          </w:p>
          <w:p w14:paraId="0CEB182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号</w:t>
            </w:r>
          </w:p>
        </w:tc>
        <w:tc>
          <w:tcPr>
            <w:tcW w:w="708" w:type="dxa"/>
            <w:vMerge w:val="restart"/>
            <w:vAlign w:val="center"/>
          </w:tcPr>
          <w:p w14:paraId="32092C9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0"/>
              </w:rPr>
            </w:pPr>
            <w:r>
              <w:rPr>
                <w:rFonts w:hint="eastAsia"/>
                <w:color w:val="auto"/>
                <w:sz w:val="21"/>
                <w:szCs w:val="21"/>
              </w:rPr>
              <w:t>名称</w:t>
            </w:r>
          </w:p>
        </w:tc>
        <w:tc>
          <w:tcPr>
            <w:tcW w:w="2134" w:type="dxa"/>
            <w:gridSpan w:val="2"/>
            <w:vAlign w:val="center"/>
          </w:tcPr>
          <w:p w14:paraId="2501443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面源各顶点坐标/m</w:t>
            </w:r>
          </w:p>
        </w:tc>
        <w:tc>
          <w:tcPr>
            <w:tcW w:w="851" w:type="dxa"/>
            <w:vMerge w:val="restart"/>
            <w:vAlign w:val="center"/>
          </w:tcPr>
          <w:p w14:paraId="3CA3199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面源海拔高度/m</w:t>
            </w:r>
          </w:p>
        </w:tc>
        <w:tc>
          <w:tcPr>
            <w:tcW w:w="1134" w:type="dxa"/>
            <w:vMerge w:val="restart"/>
            <w:vAlign w:val="center"/>
          </w:tcPr>
          <w:p w14:paraId="5819C2B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面源有效排放高度/m</w:t>
            </w:r>
          </w:p>
        </w:tc>
        <w:tc>
          <w:tcPr>
            <w:tcW w:w="1134" w:type="dxa"/>
            <w:vMerge w:val="restart"/>
            <w:vAlign w:val="center"/>
          </w:tcPr>
          <w:p w14:paraId="6F4FF94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年排放小时数/h</w:t>
            </w:r>
          </w:p>
        </w:tc>
        <w:tc>
          <w:tcPr>
            <w:tcW w:w="708" w:type="dxa"/>
            <w:vMerge w:val="restart"/>
            <w:vAlign w:val="center"/>
          </w:tcPr>
          <w:p w14:paraId="6A1A792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排放工况</w:t>
            </w:r>
          </w:p>
        </w:tc>
        <w:tc>
          <w:tcPr>
            <w:tcW w:w="1560" w:type="dxa"/>
            <w:vAlign w:val="center"/>
          </w:tcPr>
          <w:p w14:paraId="14A7745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污染物排放速率/（kg/h）</w:t>
            </w:r>
          </w:p>
        </w:tc>
      </w:tr>
      <w:tr w14:paraId="66BE3B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Merge w:val="continue"/>
            <w:vAlign w:val="center"/>
          </w:tcPr>
          <w:p w14:paraId="041D83D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708" w:type="dxa"/>
            <w:vMerge w:val="continue"/>
            <w:vAlign w:val="center"/>
          </w:tcPr>
          <w:p w14:paraId="7B587A4A">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0"/>
              </w:rPr>
            </w:pPr>
          </w:p>
        </w:tc>
        <w:tc>
          <w:tcPr>
            <w:tcW w:w="1000" w:type="dxa"/>
            <w:vAlign w:val="center"/>
          </w:tcPr>
          <w:p w14:paraId="0C58744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X</w:t>
            </w:r>
          </w:p>
        </w:tc>
        <w:tc>
          <w:tcPr>
            <w:tcW w:w="1134" w:type="dxa"/>
            <w:vAlign w:val="center"/>
          </w:tcPr>
          <w:p w14:paraId="38708F6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Y</w:t>
            </w:r>
          </w:p>
        </w:tc>
        <w:tc>
          <w:tcPr>
            <w:tcW w:w="851" w:type="dxa"/>
            <w:vMerge w:val="continue"/>
            <w:vAlign w:val="center"/>
          </w:tcPr>
          <w:p w14:paraId="5139EED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134" w:type="dxa"/>
            <w:vMerge w:val="continue"/>
            <w:vAlign w:val="center"/>
          </w:tcPr>
          <w:p w14:paraId="368D273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134" w:type="dxa"/>
            <w:vMerge w:val="continue"/>
            <w:vAlign w:val="center"/>
          </w:tcPr>
          <w:p w14:paraId="60274DA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708" w:type="dxa"/>
            <w:vMerge w:val="continue"/>
            <w:vAlign w:val="center"/>
          </w:tcPr>
          <w:p w14:paraId="5EDA576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560" w:type="dxa"/>
            <w:vAlign w:val="center"/>
          </w:tcPr>
          <w:p w14:paraId="7959026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16"/>
              </w:rPr>
              <w:t>非甲烷总烃</w:t>
            </w:r>
          </w:p>
        </w:tc>
      </w:tr>
      <w:tr w14:paraId="39C0F3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Align w:val="center"/>
          </w:tcPr>
          <w:p w14:paraId="2B072B3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3</w:t>
            </w:r>
          </w:p>
        </w:tc>
        <w:tc>
          <w:tcPr>
            <w:tcW w:w="708" w:type="dxa"/>
            <w:vAlign w:val="center"/>
          </w:tcPr>
          <w:p w14:paraId="4D11972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16"/>
              </w:rPr>
            </w:pPr>
            <w:r>
              <w:rPr>
                <w:rFonts w:hint="eastAsia"/>
                <w:color w:val="auto"/>
                <w:sz w:val="21"/>
                <w:szCs w:val="16"/>
              </w:rPr>
              <w:t>扩建项目</w:t>
            </w:r>
          </w:p>
        </w:tc>
        <w:tc>
          <w:tcPr>
            <w:tcW w:w="1000" w:type="dxa"/>
            <w:vAlign w:val="center"/>
          </w:tcPr>
          <w:p w14:paraId="27777F7A">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1863</w:t>
            </w:r>
            <w:r>
              <w:rPr>
                <w:rFonts w:hint="eastAsia"/>
                <w:color w:val="auto"/>
                <w:sz w:val="21"/>
                <w:szCs w:val="21"/>
                <w:highlight w:val="none"/>
                <w:lang w:eastAsia="zh-CN"/>
              </w:rPr>
              <w:t>；</w:t>
            </w:r>
            <w:r>
              <w:rPr>
                <w:rFonts w:hint="eastAsia" w:eastAsia="宋体"/>
                <w:color w:val="auto"/>
                <w:sz w:val="21"/>
                <w:szCs w:val="21"/>
                <w:highlight w:val="none"/>
                <w:lang w:eastAsia="zh-CN"/>
              </w:rPr>
              <w:t>878</w:t>
            </w:r>
            <w:r>
              <w:rPr>
                <w:rFonts w:hint="eastAsia"/>
                <w:color w:val="auto"/>
                <w:sz w:val="21"/>
                <w:szCs w:val="21"/>
                <w:highlight w:val="none"/>
                <w:lang w:eastAsia="zh-CN"/>
              </w:rPr>
              <w:t>；</w:t>
            </w:r>
          </w:p>
          <w:p w14:paraId="3165B4F7">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1907</w:t>
            </w:r>
            <w:r>
              <w:rPr>
                <w:rFonts w:hint="eastAsia"/>
                <w:color w:val="auto"/>
                <w:sz w:val="21"/>
                <w:szCs w:val="21"/>
                <w:highlight w:val="none"/>
                <w:lang w:eastAsia="zh-CN"/>
              </w:rPr>
              <w:t>；</w:t>
            </w:r>
            <w:r>
              <w:rPr>
                <w:rFonts w:hint="eastAsia" w:eastAsia="宋体"/>
                <w:color w:val="auto"/>
                <w:sz w:val="21"/>
                <w:szCs w:val="21"/>
                <w:highlight w:val="none"/>
                <w:lang w:eastAsia="zh-CN"/>
              </w:rPr>
              <w:t>945</w:t>
            </w:r>
            <w:r>
              <w:rPr>
                <w:rFonts w:hint="eastAsia"/>
                <w:color w:val="auto"/>
                <w:sz w:val="21"/>
                <w:szCs w:val="21"/>
                <w:highlight w:val="none"/>
                <w:lang w:eastAsia="zh-CN"/>
              </w:rPr>
              <w:t>；</w:t>
            </w:r>
          </w:p>
          <w:p w14:paraId="0141A277">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1699</w:t>
            </w:r>
            <w:r>
              <w:rPr>
                <w:rFonts w:hint="eastAsia"/>
                <w:color w:val="auto"/>
                <w:sz w:val="21"/>
                <w:szCs w:val="21"/>
                <w:highlight w:val="none"/>
                <w:lang w:eastAsia="zh-CN"/>
              </w:rPr>
              <w:t>；</w:t>
            </w:r>
            <w:r>
              <w:rPr>
                <w:rFonts w:hint="eastAsia" w:eastAsia="宋体"/>
                <w:color w:val="auto"/>
                <w:sz w:val="21"/>
                <w:szCs w:val="21"/>
                <w:highlight w:val="none"/>
                <w:lang w:eastAsia="zh-CN"/>
              </w:rPr>
              <w:t>762</w:t>
            </w:r>
            <w:r>
              <w:rPr>
                <w:rFonts w:hint="eastAsia"/>
                <w:color w:val="auto"/>
                <w:sz w:val="21"/>
                <w:szCs w:val="21"/>
                <w:highlight w:val="none"/>
                <w:lang w:eastAsia="zh-CN"/>
              </w:rPr>
              <w:t>；</w:t>
            </w:r>
          </w:p>
          <w:p w14:paraId="71963219">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1902</w:t>
            </w:r>
            <w:r>
              <w:rPr>
                <w:rFonts w:hint="eastAsia"/>
                <w:color w:val="auto"/>
                <w:sz w:val="21"/>
                <w:szCs w:val="21"/>
                <w:highlight w:val="none"/>
                <w:lang w:eastAsia="zh-CN"/>
              </w:rPr>
              <w:t>；</w:t>
            </w:r>
            <w:r>
              <w:rPr>
                <w:rFonts w:hint="eastAsia" w:eastAsia="宋体"/>
                <w:color w:val="auto"/>
                <w:sz w:val="21"/>
                <w:szCs w:val="21"/>
                <w:highlight w:val="none"/>
                <w:lang w:eastAsia="zh-CN"/>
              </w:rPr>
              <w:t>868</w:t>
            </w:r>
            <w:r>
              <w:rPr>
                <w:rFonts w:hint="eastAsia"/>
                <w:color w:val="auto"/>
                <w:sz w:val="21"/>
                <w:szCs w:val="21"/>
                <w:highlight w:val="none"/>
                <w:lang w:eastAsia="zh-CN"/>
              </w:rPr>
              <w:t>；</w:t>
            </w:r>
          </w:p>
          <w:p w14:paraId="0E4F381C">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2046</w:t>
            </w:r>
            <w:r>
              <w:rPr>
                <w:rFonts w:hint="eastAsia"/>
                <w:color w:val="auto"/>
                <w:sz w:val="21"/>
                <w:szCs w:val="21"/>
                <w:highlight w:val="none"/>
                <w:lang w:eastAsia="zh-CN"/>
              </w:rPr>
              <w:t>；</w:t>
            </w:r>
            <w:r>
              <w:rPr>
                <w:rFonts w:hint="eastAsia" w:eastAsia="宋体"/>
                <w:color w:val="auto"/>
                <w:sz w:val="21"/>
                <w:szCs w:val="21"/>
                <w:highlight w:val="none"/>
                <w:lang w:eastAsia="zh-CN"/>
              </w:rPr>
              <w:t>989</w:t>
            </w:r>
            <w:r>
              <w:rPr>
                <w:rFonts w:hint="eastAsia"/>
                <w:color w:val="auto"/>
                <w:sz w:val="21"/>
                <w:szCs w:val="21"/>
                <w:highlight w:val="none"/>
                <w:lang w:eastAsia="zh-CN"/>
              </w:rPr>
              <w:t>；</w:t>
            </w:r>
          </w:p>
          <w:p w14:paraId="434569E1">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color w:val="auto"/>
                <w:sz w:val="21"/>
                <w:szCs w:val="21"/>
                <w:highlight w:val="yellow"/>
              </w:rPr>
            </w:pPr>
            <w:r>
              <w:rPr>
                <w:rFonts w:hint="eastAsia" w:eastAsia="宋体"/>
                <w:color w:val="auto"/>
                <w:sz w:val="21"/>
                <w:szCs w:val="21"/>
                <w:highlight w:val="none"/>
                <w:lang w:eastAsia="zh-CN"/>
              </w:rPr>
              <w:t>1931</w:t>
            </w:r>
            <w:r>
              <w:rPr>
                <w:rFonts w:hint="eastAsia"/>
                <w:color w:val="auto"/>
                <w:sz w:val="21"/>
                <w:szCs w:val="21"/>
                <w:highlight w:val="none"/>
                <w:lang w:eastAsia="zh-CN"/>
              </w:rPr>
              <w:t>；</w:t>
            </w:r>
            <w:r>
              <w:rPr>
                <w:rFonts w:hint="eastAsia" w:eastAsia="宋体"/>
                <w:color w:val="auto"/>
                <w:sz w:val="21"/>
                <w:szCs w:val="21"/>
                <w:highlight w:val="none"/>
                <w:lang w:eastAsia="zh-CN"/>
              </w:rPr>
              <w:t>960</w:t>
            </w:r>
            <w:r>
              <w:rPr>
                <w:rFonts w:hint="eastAsia"/>
                <w:color w:val="auto"/>
                <w:sz w:val="21"/>
                <w:szCs w:val="21"/>
                <w:highlight w:val="none"/>
                <w:lang w:eastAsia="zh-CN"/>
              </w:rPr>
              <w:t>；</w:t>
            </w:r>
          </w:p>
        </w:tc>
        <w:tc>
          <w:tcPr>
            <w:tcW w:w="1134" w:type="dxa"/>
            <w:vAlign w:val="center"/>
          </w:tcPr>
          <w:p w14:paraId="63911B12">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-1231</w:t>
            </w:r>
            <w:r>
              <w:rPr>
                <w:rFonts w:hint="eastAsia"/>
                <w:color w:val="auto"/>
                <w:sz w:val="21"/>
                <w:szCs w:val="21"/>
                <w:highlight w:val="none"/>
                <w:lang w:eastAsia="zh-CN"/>
              </w:rPr>
              <w:t>；</w:t>
            </w:r>
            <w:r>
              <w:rPr>
                <w:rFonts w:hint="eastAsia" w:eastAsia="宋体"/>
                <w:color w:val="auto"/>
                <w:sz w:val="21"/>
                <w:szCs w:val="21"/>
                <w:highlight w:val="none"/>
                <w:lang w:eastAsia="zh-CN"/>
              </w:rPr>
              <w:t>1212</w:t>
            </w:r>
            <w:r>
              <w:rPr>
                <w:rFonts w:hint="eastAsia"/>
                <w:color w:val="auto"/>
                <w:sz w:val="21"/>
                <w:szCs w:val="21"/>
                <w:highlight w:val="none"/>
                <w:lang w:eastAsia="zh-CN"/>
              </w:rPr>
              <w:t>；</w:t>
            </w:r>
          </w:p>
          <w:p w14:paraId="435AB037">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-1227</w:t>
            </w:r>
            <w:r>
              <w:rPr>
                <w:rFonts w:hint="eastAsia"/>
                <w:color w:val="auto"/>
                <w:sz w:val="21"/>
                <w:szCs w:val="21"/>
                <w:highlight w:val="none"/>
                <w:lang w:eastAsia="zh-CN"/>
              </w:rPr>
              <w:t>；</w:t>
            </w:r>
            <w:r>
              <w:rPr>
                <w:rFonts w:hint="eastAsia" w:eastAsia="宋体"/>
                <w:color w:val="auto"/>
                <w:sz w:val="21"/>
                <w:szCs w:val="21"/>
                <w:highlight w:val="none"/>
                <w:lang w:eastAsia="zh-CN"/>
              </w:rPr>
              <w:t>1077</w:t>
            </w:r>
            <w:r>
              <w:rPr>
                <w:rFonts w:hint="eastAsia"/>
                <w:color w:val="auto"/>
                <w:sz w:val="21"/>
                <w:szCs w:val="21"/>
                <w:highlight w:val="none"/>
                <w:lang w:eastAsia="zh-CN"/>
              </w:rPr>
              <w:t>；</w:t>
            </w:r>
          </w:p>
          <w:p w14:paraId="3BAFA353">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-981</w:t>
            </w:r>
            <w:r>
              <w:rPr>
                <w:rFonts w:hint="eastAsia"/>
                <w:color w:val="auto"/>
                <w:sz w:val="21"/>
                <w:szCs w:val="21"/>
                <w:highlight w:val="none"/>
                <w:lang w:eastAsia="zh-CN"/>
              </w:rPr>
              <w:t>；</w:t>
            </w:r>
            <w:r>
              <w:rPr>
                <w:rFonts w:hint="eastAsia" w:eastAsia="宋体"/>
                <w:color w:val="auto"/>
                <w:sz w:val="21"/>
                <w:szCs w:val="21"/>
                <w:highlight w:val="none"/>
                <w:lang w:eastAsia="zh-CN"/>
              </w:rPr>
              <w:t>-778</w:t>
            </w:r>
            <w:r>
              <w:rPr>
                <w:rFonts w:hint="eastAsia"/>
                <w:color w:val="auto"/>
                <w:sz w:val="21"/>
                <w:szCs w:val="21"/>
                <w:highlight w:val="none"/>
                <w:lang w:eastAsia="zh-CN"/>
              </w:rPr>
              <w:t>；</w:t>
            </w:r>
          </w:p>
          <w:p w14:paraId="7E13FE0F">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-822</w:t>
            </w:r>
            <w:r>
              <w:rPr>
                <w:rFonts w:hint="eastAsia"/>
                <w:color w:val="auto"/>
                <w:sz w:val="21"/>
                <w:szCs w:val="21"/>
                <w:highlight w:val="none"/>
                <w:lang w:eastAsia="zh-CN"/>
              </w:rPr>
              <w:t>；</w:t>
            </w:r>
            <w:r>
              <w:rPr>
                <w:rFonts w:hint="eastAsia" w:eastAsia="宋体"/>
                <w:color w:val="auto"/>
                <w:sz w:val="21"/>
                <w:szCs w:val="21"/>
                <w:highlight w:val="none"/>
                <w:lang w:eastAsia="zh-CN"/>
              </w:rPr>
              <w:t>-937</w:t>
            </w:r>
            <w:r>
              <w:rPr>
                <w:rFonts w:hint="eastAsia"/>
                <w:color w:val="auto"/>
                <w:sz w:val="21"/>
                <w:szCs w:val="21"/>
                <w:highlight w:val="none"/>
                <w:lang w:eastAsia="zh-CN"/>
              </w:rPr>
              <w:t>；</w:t>
            </w:r>
          </w:p>
          <w:p w14:paraId="5F9EB9DE">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-976</w:t>
            </w:r>
            <w:r>
              <w:rPr>
                <w:rFonts w:hint="eastAsia"/>
                <w:color w:val="auto"/>
                <w:sz w:val="21"/>
                <w:szCs w:val="21"/>
                <w:highlight w:val="none"/>
                <w:lang w:eastAsia="zh-CN"/>
              </w:rPr>
              <w:t>；</w:t>
            </w:r>
            <w:r>
              <w:rPr>
                <w:rFonts w:hint="eastAsia" w:eastAsia="宋体"/>
                <w:color w:val="auto"/>
                <w:sz w:val="21"/>
                <w:szCs w:val="21"/>
                <w:highlight w:val="none"/>
                <w:lang w:eastAsia="zh-CN"/>
              </w:rPr>
              <w:t>-1101</w:t>
            </w:r>
            <w:r>
              <w:rPr>
                <w:rFonts w:hint="eastAsia"/>
                <w:color w:val="auto"/>
                <w:sz w:val="21"/>
                <w:szCs w:val="21"/>
                <w:highlight w:val="none"/>
                <w:lang w:eastAsia="zh-CN"/>
              </w:rPr>
              <w:t>；</w:t>
            </w:r>
          </w:p>
          <w:p w14:paraId="51AD8C5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color w:val="auto"/>
                <w:sz w:val="21"/>
                <w:szCs w:val="21"/>
                <w:highlight w:val="yellow"/>
              </w:rPr>
            </w:pPr>
            <w:r>
              <w:rPr>
                <w:rFonts w:hint="eastAsia" w:eastAsia="宋体"/>
                <w:color w:val="auto"/>
                <w:sz w:val="21"/>
                <w:szCs w:val="21"/>
                <w:highlight w:val="none"/>
                <w:lang w:eastAsia="zh-CN"/>
              </w:rPr>
              <w:t>-1236</w:t>
            </w:r>
            <w:r>
              <w:rPr>
                <w:rFonts w:hint="eastAsia"/>
                <w:color w:val="auto"/>
                <w:sz w:val="21"/>
                <w:szCs w:val="21"/>
                <w:highlight w:val="none"/>
                <w:lang w:eastAsia="zh-CN"/>
              </w:rPr>
              <w:t>；</w:t>
            </w:r>
            <w:r>
              <w:rPr>
                <w:rFonts w:hint="eastAsia" w:eastAsia="宋体"/>
                <w:color w:val="auto"/>
                <w:sz w:val="21"/>
                <w:szCs w:val="21"/>
                <w:highlight w:val="none"/>
                <w:lang w:eastAsia="zh-CN"/>
              </w:rPr>
              <w:t>1265</w:t>
            </w:r>
            <w:r>
              <w:rPr>
                <w:rFonts w:hint="eastAsia"/>
                <w:color w:val="auto"/>
                <w:sz w:val="21"/>
                <w:szCs w:val="21"/>
                <w:highlight w:val="none"/>
                <w:lang w:eastAsia="zh-CN"/>
              </w:rPr>
              <w:t>；</w:t>
            </w:r>
          </w:p>
        </w:tc>
        <w:tc>
          <w:tcPr>
            <w:tcW w:w="851" w:type="dxa"/>
            <w:vAlign w:val="center"/>
          </w:tcPr>
          <w:p w14:paraId="0AD39AD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4</w:t>
            </w:r>
          </w:p>
        </w:tc>
        <w:tc>
          <w:tcPr>
            <w:tcW w:w="1134" w:type="dxa"/>
            <w:vAlign w:val="center"/>
          </w:tcPr>
          <w:p w14:paraId="72E7DC7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13.8</w:t>
            </w:r>
          </w:p>
        </w:tc>
        <w:tc>
          <w:tcPr>
            <w:tcW w:w="1134" w:type="dxa"/>
            <w:vAlign w:val="center"/>
          </w:tcPr>
          <w:p w14:paraId="440150B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8400</w:t>
            </w:r>
          </w:p>
        </w:tc>
        <w:tc>
          <w:tcPr>
            <w:tcW w:w="708" w:type="dxa"/>
            <w:vAlign w:val="center"/>
          </w:tcPr>
          <w:p w14:paraId="0183539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正常排放</w:t>
            </w:r>
          </w:p>
        </w:tc>
        <w:tc>
          <w:tcPr>
            <w:tcW w:w="1560" w:type="dxa"/>
            <w:vAlign w:val="center"/>
          </w:tcPr>
          <w:p w14:paraId="262A245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0.791</w:t>
            </w:r>
          </w:p>
        </w:tc>
      </w:tr>
    </w:tbl>
    <w:p w14:paraId="3A51F40E">
      <w:pPr>
        <w:ind w:firstLine="480"/>
        <w:rPr>
          <w:color w:val="auto"/>
        </w:rPr>
      </w:pPr>
      <w:r>
        <w:rPr>
          <w:color w:val="auto"/>
        </w:rPr>
        <w:t>主要污染物估算模型计算结果</w:t>
      </w:r>
      <w:r>
        <w:rPr>
          <w:rFonts w:hint="eastAsia"/>
          <w:color w:val="auto"/>
        </w:rPr>
        <w:t>见表4.</w:t>
      </w:r>
      <w:r>
        <w:rPr>
          <w:color w:val="auto"/>
        </w:rPr>
        <w:t>2-12</w:t>
      </w:r>
      <w:r>
        <w:rPr>
          <w:rFonts w:hint="eastAsia"/>
          <w:color w:val="auto"/>
        </w:rPr>
        <w:t>。</w:t>
      </w:r>
    </w:p>
    <w:p w14:paraId="750C8CF5">
      <w:pPr>
        <w:ind w:firstLine="480"/>
        <w:rPr>
          <w:color w:val="auto"/>
        </w:rPr>
      </w:pPr>
      <w:r>
        <w:rPr>
          <w:color w:val="auto"/>
        </w:rPr>
        <w:t>项目</w:t>
      </w:r>
      <w:r>
        <w:rPr>
          <w:rFonts w:hint="eastAsia"/>
          <w:color w:val="auto"/>
        </w:rPr>
        <w:t>最大</w:t>
      </w:r>
      <w:r>
        <w:rPr>
          <w:color w:val="auto"/>
        </w:rPr>
        <w:t>浓度</w:t>
      </w:r>
      <w:r>
        <w:rPr>
          <w:rFonts w:hint="eastAsia"/>
          <w:color w:val="auto"/>
        </w:rPr>
        <w:t>占标率为2.35%，</w:t>
      </w:r>
      <w:r>
        <w:rPr>
          <w:color w:val="auto"/>
        </w:rPr>
        <w:t>是装船作业时油气回收设施产生，C</w:t>
      </w:r>
      <w:r>
        <w:rPr>
          <w:color w:val="auto"/>
          <w:vertAlign w:val="subscript"/>
        </w:rPr>
        <w:t>max</w:t>
      </w:r>
      <w:r>
        <w:rPr>
          <w:color w:val="auto"/>
        </w:rPr>
        <w:t>为47.1</w:t>
      </w:r>
      <w:r>
        <w:rPr>
          <w:rFonts w:hint="eastAsia"/>
          <w:color w:val="auto"/>
        </w:rPr>
        <w:t>u</w:t>
      </w:r>
      <w:r>
        <w:rPr>
          <w:color w:val="auto"/>
        </w:rPr>
        <w:t>g/m</w:t>
      </w:r>
      <w:r>
        <w:rPr>
          <w:rFonts w:hint="eastAsia"/>
          <w:color w:val="auto"/>
          <w:vertAlign w:val="superscript"/>
        </w:rPr>
        <w:t>3</w:t>
      </w:r>
      <w:r>
        <w:rPr>
          <w:color w:val="auto"/>
        </w:rPr>
        <w:t>，在1%≤P</w:t>
      </w:r>
      <w:r>
        <w:rPr>
          <w:color w:val="auto"/>
          <w:vertAlign w:val="subscript"/>
        </w:rPr>
        <w:t>max</w:t>
      </w:r>
      <w:r>
        <w:rPr>
          <w:color w:val="auto"/>
        </w:rPr>
        <w:t>&lt;10%范围内，根据《</w:t>
      </w:r>
      <w:r>
        <w:rPr>
          <w:rFonts w:hint="eastAsia"/>
          <w:color w:val="auto"/>
        </w:rPr>
        <w:t>环境影响评价技术导则大气环境</w:t>
      </w:r>
      <w:r>
        <w:rPr>
          <w:color w:val="auto"/>
        </w:rPr>
        <w:t>》（HJ2.2-2018）分级判据，确定本项目大气环境影响评价工作等级为二级。二级评价项目可不进行进一步预测与评价，只对污染物排放量进行核算。</w:t>
      </w:r>
    </w:p>
    <w:p w14:paraId="7D8884F7">
      <w:pPr>
        <w:ind w:firstLine="480"/>
        <w:rPr>
          <w:color w:val="auto"/>
        </w:rPr>
      </w:pPr>
      <w:r>
        <w:rPr>
          <w:rFonts w:hint="eastAsia"/>
          <w:color w:val="auto"/>
        </w:rPr>
        <w:t>（2）评价</w:t>
      </w:r>
      <w:r>
        <w:rPr>
          <w:color w:val="auto"/>
        </w:rPr>
        <w:t>范围</w:t>
      </w:r>
    </w:p>
    <w:p w14:paraId="79620292">
      <w:pPr>
        <w:ind w:firstLine="480"/>
        <w:rPr>
          <w:color w:val="auto"/>
        </w:rPr>
      </w:pPr>
      <w:r>
        <w:rPr>
          <w:color w:val="auto"/>
        </w:rPr>
        <w:t>根据本项目工程排污情况，结合当地气象条件及区域环境特征，评价范围以项目为中心，边长5km的矩形。</w:t>
      </w:r>
    </w:p>
    <w:p w14:paraId="40098B35">
      <w:pPr>
        <w:pStyle w:val="4"/>
        <w:rPr>
          <w:color w:val="auto"/>
        </w:rPr>
      </w:pPr>
      <w:bookmarkStart w:id="215" w:name="_Toc216620338"/>
      <w:bookmarkStart w:id="216" w:name="_Toc29131772"/>
      <w:bookmarkStart w:id="217" w:name="_Toc135090177"/>
      <w:bookmarkStart w:id="218" w:name="_Toc136878426"/>
      <w:bookmarkStart w:id="219" w:name="_Toc25436912"/>
      <w:bookmarkStart w:id="220" w:name="_Toc26909958"/>
      <w:bookmarkStart w:id="221" w:name="_Toc216103179"/>
      <w:r>
        <w:rPr>
          <w:color w:val="auto"/>
        </w:rPr>
        <w:t>地表水环境</w:t>
      </w:r>
      <w:bookmarkEnd w:id="215"/>
      <w:bookmarkEnd w:id="216"/>
      <w:bookmarkEnd w:id="217"/>
      <w:bookmarkEnd w:id="218"/>
      <w:bookmarkEnd w:id="219"/>
      <w:bookmarkEnd w:id="220"/>
      <w:bookmarkEnd w:id="221"/>
    </w:p>
    <w:p w14:paraId="492E46F2">
      <w:pPr>
        <w:widowControl/>
        <w:ind w:firstLine="480"/>
        <w:rPr>
          <w:color w:val="auto"/>
        </w:rPr>
      </w:pPr>
      <w:r>
        <w:rPr>
          <w:rFonts w:hint="eastAsia"/>
          <w:color w:val="auto"/>
        </w:rPr>
        <w:t>（1）评价</w:t>
      </w:r>
      <w:r>
        <w:rPr>
          <w:color w:val="auto"/>
        </w:rPr>
        <w:t>等级</w:t>
      </w:r>
    </w:p>
    <w:p w14:paraId="0F6491D3">
      <w:pPr>
        <w:widowControl/>
        <w:ind w:firstLine="480"/>
        <w:rPr>
          <w:color w:val="auto"/>
        </w:rPr>
      </w:pPr>
      <w:r>
        <w:rPr>
          <w:rFonts w:hint="eastAsia"/>
          <w:color w:val="auto"/>
        </w:rPr>
        <w:t>本项目无涉海作业，根据《环境影响评价技术导则地表水环境》（HJ23-2018）要求，本项目属于水污染影响型项目。</w:t>
      </w:r>
      <w:r>
        <w:rPr>
          <w:rFonts w:hint="eastAsia"/>
          <w:color w:val="auto"/>
          <w:u w:val="single"/>
        </w:rPr>
        <w:t>项目主要废水为船舶生活污水、船舱油污水、</w:t>
      </w:r>
      <w:r>
        <w:rPr>
          <w:color w:val="auto"/>
          <w:u w:val="single"/>
        </w:rPr>
        <w:t>库区</w:t>
      </w:r>
      <w:r>
        <w:rPr>
          <w:rFonts w:hint="eastAsia"/>
          <w:color w:val="auto"/>
          <w:u w:val="single"/>
        </w:rPr>
        <w:t>生活</w:t>
      </w:r>
      <w:r>
        <w:rPr>
          <w:color w:val="auto"/>
          <w:u w:val="single"/>
        </w:rPr>
        <w:t>污水、初期雨水</w:t>
      </w:r>
      <w:r>
        <w:rPr>
          <w:rFonts w:hint="eastAsia"/>
          <w:color w:val="auto"/>
          <w:u w:val="single"/>
        </w:rPr>
        <w:t>，</w:t>
      </w:r>
      <w:r>
        <w:rPr>
          <w:color w:val="auto"/>
          <w:u w:val="single"/>
        </w:rPr>
        <w:t>库区</w:t>
      </w:r>
      <w:r>
        <w:rPr>
          <w:rFonts w:hint="eastAsia"/>
          <w:color w:val="auto"/>
          <w:u w:val="single"/>
        </w:rPr>
        <w:t>生活</w:t>
      </w:r>
      <w:r>
        <w:rPr>
          <w:color w:val="auto"/>
          <w:u w:val="single"/>
        </w:rPr>
        <w:t>污水、初期雨水</w:t>
      </w:r>
      <w:r>
        <w:rPr>
          <w:rFonts w:hint="eastAsia"/>
          <w:color w:val="auto"/>
          <w:u w:val="single"/>
          <w:lang w:eastAsia="zh-CN"/>
        </w:rPr>
        <w:t>，</w:t>
      </w:r>
      <w:r>
        <w:rPr>
          <w:rFonts w:hint="eastAsia"/>
          <w:color w:val="auto"/>
          <w:u w:val="single"/>
        </w:rPr>
        <w:t>由汽车罐车拉运至广西东油沥青有限公司厂区内，</w:t>
      </w:r>
      <w:r>
        <w:rPr>
          <w:rFonts w:hint="eastAsia"/>
          <w:color w:val="auto"/>
          <w:u w:val="single"/>
          <w:lang w:eastAsia="zh-CN"/>
        </w:rPr>
        <w:t>依托</w:t>
      </w:r>
      <w:r>
        <w:rPr>
          <w:rFonts w:hint="eastAsia"/>
          <w:color w:val="auto"/>
          <w:u w:val="single"/>
        </w:rPr>
        <w:t>广西石化污水处理场进行处理后</w:t>
      </w:r>
      <w:r>
        <w:rPr>
          <w:color w:val="auto"/>
          <w:u w:val="single"/>
        </w:rPr>
        <w:t>达标排放</w:t>
      </w:r>
      <w:r>
        <w:rPr>
          <w:rFonts w:hint="eastAsia"/>
          <w:color w:val="auto"/>
          <w:u w:val="single"/>
          <w:lang w:eastAsia="zh-CN"/>
        </w:rPr>
        <w:t>。</w:t>
      </w:r>
      <w:r>
        <w:rPr>
          <w:rFonts w:hint="eastAsia"/>
          <w:color w:val="auto"/>
        </w:rPr>
        <w:t>属于间接排放；船舶生活污水和船舱油污水委托有资质单位处理，属于间接排放；地表水评价等级为三级B。</w:t>
      </w:r>
    </w:p>
    <w:p w14:paraId="203B1250">
      <w:pPr>
        <w:widowControl/>
        <w:ind w:firstLine="480"/>
        <w:rPr>
          <w:color w:val="auto"/>
        </w:rPr>
      </w:pPr>
      <w:r>
        <w:rPr>
          <w:rFonts w:hint="eastAsia"/>
          <w:color w:val="auto"/>
        </w:rPr>
        <w:t>（2）评价</w:t>
      </w:r>
      <w:r>
        <w:rPr>
          <w:color w:val="auto"/>
        </w:rPr>
        <w:t>范围</w:t>
      </w:r>
    </w:p>
    <w:p w14:paraId="153A458E">
      <w:pPr>
        <w:widowControl/>
        <w:ind w:firstLine="480"/>
        <w:rPr>
          <w:color w:val="auto"/>
        </w:rPr>
      </w:pPr>
      <w:r>
        <w:rPr>
          <w:rFonts w:hint="eastAsia"/>
          <w:color w:val="auto"/>
        </w:rPr>
        <w:t>覆盖环境风险评价范围所及的水环境保护目标水域。</w:t>
      </w:r>
    </w:p>
    <w:p w14:paraId="778B1ECA">
      <w:pPr>
        <w:pStyle w:val="4"/>
        <w:rPr>
          <w:color w:val="auto"/>
        </w:rPr>
      </w:pPr>
      <w:bookmarkStart w:id="222" w:name="_Toc25436913"/>
      <w:bookmarkStart w:id="223" w:name="_Toc26909959"/>
      <w:bookmarkStart w:id="224" w:name="_Toc216620340"/>
      <w:bookmarkStart w:id="225" w:name="_Toc135090179"/>
      <w:bookmarkStart w:id="226" w:name="_Toc29131773"/>
      <w:bookmarkStart w:id="227" w:name="_Toc136878428"/>
      <w:bookmarkStart w:id="228" w:name="_Toc216103181"/>
      <w:r>
        <w:rPr>
          <w:color w:val="auto"/>
        </w:rPr>
        <w:t>地下水环境</w:t>
      </w:r>
      <w:bookmarkEnd w:id="222"/>
      <w:bookmarkEnd w:id="223"/>
      <w:bookmarkEnd w:id="224"/>
      <w:bookmarkEnd w:id="225"/>
      <w:bookmarkEnd w:id="226"/>
      <w:bookmarkEnd w:id="227"/>
      <w:bookmarkEnd w:id="228"/>
    </w:p>
    <w:p w14:paraId="2F293327">
      <w:pPr>
        <w:ind w:firstLine="480"/>
        <w:rPr>
          <w:color w:val="auto"/>
        </w:rPr>
      </w:pPr>
      <w:r>
        <w:rPr>
          <w:rFonts w:hint="eastAsia"/>
          <w:color w:val="auto"/>
        </w:rPr>
        <w:t>（1）评价</w:t>
      </w:r>
      <w:r>
        <w:rPr>
          <w:color w:val="auto"/>
        </w:rPr>
        <w:t>等级</w:t>
      </w:r>
    </w:p>
    <w:p w14:paraId="5A9C3E1A">
      <w:pPr>
        <w:ind w:firstLine="480"/>
        <w:rPr>
          <w:color w:val="auto"/>
        </w:rPr>
      </w:pPr>
      <w:r>
        <w:rPr>
          <w:color w:val="auto"/>
        </w:rPr>
        <w:t>本项目主要进行液体化工品转运</w:t>
      </w:r>
      <w:r>
        <w:rPr>
          <w:rFonts w:hint="eastAsia"/>
          <w:color w:val="auto"/>
        </w:rPr>
        <w:t>及</w:t>
      </w:r>
      <w:r>
        <w:rPr>
          <w:color w:val="auto"/>
        </w:rPr>
        <w:t>储存。根据《环境影响评价技术导则地下水环境》（HJ610-2016）附录A，本项目码头工程属于129</w:t>
      </w:r>
      <w:r>
        <w:rPr>
          <w:rFonts w:hint="eastAsia"/>
          <w:color w:val="auto"/>
        </w:rPr>
        <w:t>、</w:t>
      </w:r>
      <w:r>
        <w:rPr>
          <w:color w:val="auto"/>
        </w:rPr>
        <w:t>油气、液体化工码头，属</w:t>
      </w:r>
      <w:r>
        <w:rPr>
          <w:rFonts w:hint="eastAsia"/>
          <w:color w:val="auto"/>
        </w:rPr>
        <w:t>Ⅱ</w:t>
      </w:r>
      <w:r>
        <w:rPr>
          <w:color w:val="auto"/>
        </w:rPr>
        <w:t>类建设项目。</w:t>
      </w:r>
    </w:p>
    <w:p w14:paraId="37074A9B">
      <w:pPr>
        <w:ind w:firstLine="480"/>
        <w:rPr>
          <w:color w:val="auto"/>
        </w:rPr>
      </w:pPr>
      <w:r>
        <w:rPr>
          <w:color w:val="auto"/>
        </w:rPr>
        <w:t>本项目场地处于钦州港</w:t>
      </w:r>
      <w:r>
        <w:rPr>
          <w:rFonts w:hint="eastAsia"/>
          <w:color w:val="auto"/>
        </w:rPr>
        <w:t>鹰岭作业区</w:t>
      </w:r>
      <w:r>
        <w:rPr>
          <w:color w:val="auto"/>
        </w:rPr>
        <w:t>，周边主要为工业企业，附近无集中式饮用水水源地，也无国家或地方政府设定的与地下水环境相关的其他保护区，如热水、矿泉水、温泉等特殊地下水资源保护区。项目场地紧邻</w:t>
      </w:r>
      <w:r>
        <w:rPr>
          <w:rFonts w:hint="eastAsia"/>
          <w:color w:val="auto"/>
        </w:rPr>
        <w:t>钦州港海域</w:t>
      </w:r>
      <w:r>
        <w:rPr>
          <w:color w:val="auto"/>
        </w:rPr>
        <w:t>，属于区域地下水的排泄区，浅层地下水均为咸水，利用价值低，周边居民饮水均为自来水，无集中式或分散式饮用水源地及矿泉水、温泉等特殊地下水资源分布区等地下水环境敏感、较敏感区，也不涉及《建设项目环境影响评价分类管理名录》中所界定的涉及地下水的环境敏感区。</w:t>
      </w:r>
      <w:r>
        <w:rPr>
          <w:rFonts w:hint="eastAsia"/>
          <w:color w:val="auto"/>
        </w:rPr>
        <w:t>对照HJ610-2016表1地下水环境敏感程度分级表，项目区地下水环境不敏感。根据HJ610-2016表2评价工作等级分级表，本项目地下水环境评价等级为三级。</w:t>
      </w:r>
    </w:p>
    <w:p w14:paraId="2DC5EA03">
      <w:pPr>
        <w:pStyle w:val="14"/>
        <w:rPr>
          <w:bCs/>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5</w:t>
      </w:r>
      <w:r>
        <w:rPr>
          <w:color w:val="auto"/>
        </w:rPr>
        <w:fldChar w:fldCharType="end"/>
      </w:r>
      <w:r>
        <w:rPr>
          <w:rFonts w:hint="eastAsia"/>
          <w:bCs/>
          <w:color w:val="auto"/>
        </w:rPr>
        <w:t>地下水环境敏感程度分级表</w:t>
      </w:r>
    </w:p>
    <w:tbl>
      <w:tblPr>
        <w:tblStyle w:val="43"/>
        <w:tblW w:w="912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378"/>
        <w:gridCol w:w="7742"/>
      </w:tblGrid>
      <w:tr w14:paraId="765FF9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blHeader/>
        </w:trPr>
        <w:tc>
          <w:tcPr>
            <w:tcW w:w="1378" w:type="dxa"/>
            <w:tcBorders>
              <w:tl2br w:val="nil"/>
              <w:tr2bl w:val="nil"/>
            </w:tcBorders>
            <w:vAlign w:val="center"/>
          </w:tcPr>
          <w:p w14:paraId="1CAF366E">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敏感程度</w:t>
            </w:r>
          </w:p>
        </w:tc>
        <w:tc>
          <w:tcPr>
            <w:tcW w:w="7742" w:type="dxa"/>
            <w:tcBorders>
              <w:tl2br w:val="nil"/>
              <w:tr2bl w:val="nil"/>
            </w:tcBorders>
            <w:vAlign w:val="center"/>
          </w:tcPr>
          <w:p w14:paraId="08C7DC6D">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地下水环境敏感特征</w:t>
            </w:r>
          </w:p>
        </w:tc>
      </w:tr>
      <w:tr w14:paraId="42C638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c>
          <w:tcPr>
            <w:tcW w:w="1378" w:type="dxa"/>
            <w:tcBorders>
              <w:tl2br w:val="nil"/>
              <w:tr2bl w:val="nil"/>
            </w:tcBorders>
            <w:vAlign w:val="center"/>
          </w:tcPr>
          <w:p w14:paraId="5AF343F1">
            <w:pPr>
              <w:pStyle w:val="91"/>
              <w:keepNext w:val="0"/>
              <w:keepLines w:val="0"/>
              <w:suppressLineNumbers w:val="0"/>
              <w:spacing w:before="0" w:beforeAutospacing="0" w:after="0" w:afterAutospacing="0"/>
              <w:ind w:left="0" w:right="0"/>
              <w:rPr>
                <w:rFonts w:hint="default"/>
                <w:color w:val="auto"/>
              </w:rPr>
            </w:pPr>
            <w:r>
              <w:rPr>
                <w:rFonts w:hint="eastAsia"/>
                <w:color w:val="auto"/>
              </w:rPr>
              <w:t>敏感</w:t>
            </w:r>
          </w:p>
        </w:tc>
        <w:tc>
          <w:tcPr>
            <w:tcW w:w="7742" w:type="dxa"/>
            <w:tcBorders>
              <w:tl2br w:val="nil"/>
              <w:tr2bl w:val="nil"/>
            </w:tcBorders>
            <w:vAlign w:val="center"/>
          </w:tcPr>
          <w:p w14:paraId="4182676B">
            <w:pPr>
              <w:pStyle w:val="91"/>
              <w:keepNext w:val="0"/>
              <w:keepLines w:val="0"/>
              <w:suppressLineNumbers w:val="0"/>
              <w:spacing w:before="0" w:beforeAutospacing="0" w:after="0" w:afterAutospacing="0"/>
              <w:ind w:left="0" w:right="0"/>
              <w:rPr>
                <w:rFonts w:hint="default"/>
                <w:color w:val="auto"/>
              </w:rPr>
            </w:pPr>
            <w:r>
              <w:rPr>
                <w:rFonts w:hint="default"/>
                <w:color w:val="auto"/>
              </w:rPr>
              <w:t>集中式饮用水水源（包括已建成的在用、备用、应急水源，在建和规划的饮用水水源）准保护区；除集中式饮用水水源以外的国家或地方政府设定的与地下水环境</w:t>
            </w:r>
            <w:r>
              <w:rPr>
                <w:rFonts w:hint="eastAsia"/>
                <w:color w:val="auto"/>
                <w:lang w:eastAsia="zh-CN"/>
              </w:rPr>
              <w:t>相关的其他</w:t>
            </w:r>
            <w:r>
              <w:rPr>
                <w:rFonts w:hint="default"/>
                <w:color w:val="auto"/>
              </w:rPr>
              <w:t>保护区，如热水、矿泉水、温泉等特殊地下水资源保护区</w:t>
            </w:r>
            <w:r>
              <w:rPr>
                <w:rFonts w:hint="eastAsia"/>
                <w:color w:val="auto"/>
              </w:rPr>
              <w:t>。</w:t>
            </w:r>
          </w:p>
        </w:tc>
      </w:tr>
      <w:tr w14:paraId="0D9987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c>
          <w:tcPr>
            <w:tcW w:w="1378" w:type="dxa"/>
            <w:tcBorders>
              <w:tl2br w:val="nil"/>
              <w:tr2bl w:val="nil"/>
            </w:tcBorders>
            <w:vAlign w:val="center"/>
          </w:tcPr>
          <w:p w14:paraId="497E14DF">
            <w:pPr>
              <w:pStyle w:val="91"/>
              <w:keepNext w:val="0"/>
              <w:keepLines w:val="0"/>
              <w:suppressLineNumbers w:val="0"/>
              <w:spacing w:before="0" w:beforeAutospacing="0" w:after="0" w:afterAutospacing="0"/>
              <w:ind w:left="0" w:right="0"/>
              <w:rPr>
                <w:rFonts w:hint="default"/>
                <w:color w:val="auto"/>
              </w:rPr>
            </w:pPr>
            <w:r>
              <w:rPr>
                <w:rFonts w:hint="eastAsia"/>
                <w:color w:val="auto"/>
              </w:rPr>
              <w:t>较敏感</w:t>
            </w:r>
          </w:p>
        </w:tc>
        <w:tc>
          <w:tcPr>
            <w:tcW w:w="7742" w:type="dxa"/>
            <w:tcBorders>
              <w:tl2br w:val="nil"/>
              <w:tr2bl w:val="nil"/>
            </w:tcBorders>
            <w:vAlign w:val="center"/>
          </w:tcPr>
          <w:p w14:paraId="04F38748">
            <w:pPr>
              <w:pStyle w:val="91"/>
              <w:keepNext w:val="0"/>
              <w:keepLines w:val="0"/>
              <w:suppressLineNumbers w:val="0"/>
              <w:spacing w:before="0" w:beforeAutospacing="0" w:after="0" w:afterAutospacing="0"/>
              <w:ind w:left="0" w:right="0"/>
              <w:rPr>
                <w:rFonts w:hint="default"/>
                <w:color w:val="auto"/>
              </w:rPr>
            </w:pPr>
            <w:r>
              <w:rPr>
                <w:rFonts w:hint="default"/>
                <w:color w:val="auto"/>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r>
              <w:rPr>
                <w:rFonts w:hint="eastAsia"/>
                <w:color w:val="auto"/>
                <w:vertAlign w:val="superscript"/>
              </w:rPr>
              <w:t>a</w:t>
            </w:r>
            <w:r>
              <w:rPr>
                <w:rFonts w:hint="eastAsia"/>
                <w:color w:val="auto"/>
              </w:rPr>
              <w:t>。</w:t>
            </w:r>
          </w:p>
        </w:tc>
      </w:tr>
      <w:tr w14:paraId="144513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c>
          <w:tcPr>
            <w:tcW w:w="1378" w:type="dxa"/>
            <w:tcBorders>
              <w:tl2br w:val="nil"/>
              <w:tr2bl w:val="nil"/>
            </w:tcBorders>
            <w:vAlign w:val="center"/>
          </w:tcPr>
          <w:p w14:paraId="55F34255">
            <w:pPr>
              <w:pStyle w:val="91"/>
              <w:keepNext w:val="0"/>
              <w:keepLines w:val="0"/>
              <w:suppressLineNumbers w:val="0"/>
              <w:spacing w:before="0" w:beforeAutospacing="0" w:after="0" w:afterAutospacing="0"/>
              <w:ind w:left="0" w:right="0"/>
              <w:rPr>
                <w:rFonts w:hint="default"/>
                <w:color w:val="auto"/>
              </w:rPr>
            </w:pPr>
            <w:r>
              <w:rPr>
                <w:rFonts w:hint="eastAsia"/>
                <w:color w:val="auto"/>
              </w:rPr>
              <w:t>不敏感</w:t>
            </w:r>
          </w:p>
        </w:tc>
        <w:tc>
          <w:tcPr>
            <w:tcW w:w="7742" w:type="dxa"/>
            <w:tcBorders>
              <w:tl2br w:val="nil"/>
              <w:tr2bl w:val="nil"/>
            </w:tcBorders>
            <w:vAlign w:val="center"/>
          </w:tcPr>
          <w:p w14:paraId="7044A399">
            <w:pPr>
              <w:pStyle w:val="91"/>
              <w:keepNext w:val="0"/>
              <w:keepLines w:val="0"/>
              <w:suppressLineNumbers w:val="0"/>
              <w:spacing w:before="0" w:beforeAutospacing="0" w:after="0" w:afterAutospacing="0"/>
              <w:ind w:left="0" w:right="0"/>
              <w:rPr>
                <w:rFonts w:hint="default"/>
                <w:color w:val="auto"/>
              </w:rPr>
            </w:pPr>
            <w:r>
              <w:rPr>
                <w:rFonts w:hint="default"/>
                <w:color w:val="auto"/>
              </w:rPr>
              <w:t>上述地区之外的其它地区</w:t>
            </w:r>
            <w:r>
              <w:rPr>
                <w:rFonts w:hint="eastAsia"/>
                <w:color w:val="auto"/>
              </w:rPr>
              <w:t>。</w:t>
            </w:r>
          </w:p>
        </w:tc>
      </w:tr>
      <w:tr w14:paraId="3F6082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c>
          <w:tcPr>
            <w:tcW w:w="9120" w:type="dxa"/>
            <w:gridSpan w:val="2"/>
            <w:tcBorders>
              <w:tl2br w:val="nil"/>
              <w:tr2bl w:val="nil"/>
            </w:tcBorders>
            <w:vAlign w:val="center"/>
          </w:tcPr>
          <w:p w14:paraId="391A41F1">
            <w:pPr>
              <w:pStyle w:val="91"/>
              <w:keepNext w:val="0"/>
              <w:keepLines w:val="0"/>
              <w:suppressLineNumbers w:val="0"/>
              <w:spacing w:before="0" w:beforeAutospacing="0" w:after="0" w:afterAutospacing="0"/>
              <w:ind w:left="0" w:right="0"/>
              <w:rPr>
                <w:rFonts w:hint="default"/>
                <w:color w:val="auto"/>
              </w:rPr>
            </w:pPr>
            <w:r>
              <w:rPr>
                <w:rFonts w:hint="eastAsia"/>
                <w:color w:val="auto"/>
              </w:rPr>
              <w:t>注：a“环境敏感区”是指《建设项目环境影响评价分类管理名录》中所界定的涉及地下水的环境敏感区。</w:t>
            </w:r>
          </w:p>
        </w:tc>
      </w:tr>
    </w:tbl>
    <w:p w14:paraId="746951AF">
      <w:pPr>
        <w:pStyle w:val="201"/>
        <w:rPr>
          <w:color w:val="auto"/>
        </w:rPr>
      </w:pPr>
    </w:p>
    <w:p w14:paraId="076F8C2E">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6</w:t>
      </w:r>
      <w:r>
        <w:rPr>
          <w:color w:val="auto"/>
        </w:rPr>
        <w:fldChar w:fldCharType="end"/>
      </w:r>
      <w:r>
        <w:rPr>
          <w:color w:val="auto"/>
        </w:rPr>
        <w:t>地下水评价工作等级分级表</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418"/>
        <w:gridCol w:w="1933"/>
        <w:gridCol w:w="1794"/>
        <w:gridCol w:w="1897"/>
      </w:tblGrid>
      <w:tr w14:paraId="2A9336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18" w:type="dxa"/>
            <w:tcBorders>
              <w:top w:val="single" w:color="auto" w:sz="12" w:space="0"/>
              <w:bottom w:val="single" w:color="auto" w:sz="6" w:space="0"/>
              <w:tl2br w:val="single" w:color="auto" w:sz="4" w:space="0"/>
            </w:tcBorders>
            <w:vAlign w:val="center"/>
          </w:tcPr>
          <w:p w14:paraId="5D617FE0">
            <w:pPr>
              <w:keepNext w:val="0"/>
              <w:keepLines w:val="0"/>
              <w:suppressLineNumbers w:val="0"/>
              <w:spacing w:before="0" w:beforeAutospacing="0" w:after="0" w:afterAutospacing="0" w:line="300" w:lineRule="exact"/>
              <w:ind w:left="0" w:right="0" w:firstLine="0" w:firstLineChars="0"/>
              <w:jc w:val="right"/>
              <w:rPr>
                <w:rFonts w:hint="default"/>
                <w:b/>
                <w:bCs/>
                <w:color w:val="auto"/>
                <w:sz w:val="21"/>
                <w:szCs w:val="21"/>
              </w:rPr>
            </w:pPr>
            <w:r>
              <w:rPr>
                <w:rFonts w:hint="default"/>
                <w:b/>
                <w:bCs/>
                <w:color w:val="auto"/>
                <w:sz w:val="21"/>
                <w:szCs w:val="21"/>
              </w:rPr>
              <w:t>项目类别</w:t>
            </w:r>
          </w:p>
          <w:p w14:paraId="007392F0">
            <w:pPr>
              <w:keepNext w:val="0"/>
              <w:keepLines w:val="0"/>
              <w:suppressLineNumbers w:val="0"/>
              <w:spacing w:before="0" w:beforeAutospacing="0" w:after="0" w:afterAutospacing="0" w:line="300" w:lineRule="exact"/>
              <w:ind w:left="0" w:right="0" w:firstLine="0" w:firstLineChars="0"/>
              <w:jc w:val="left"/>
              <w:rPr>
                <w:rFonts w:hint="eastAsia" w:eastAsia="宋体"/>
                <w:b/>
                <w:bCs/>
                <w:color w:val="auto"/>
                <w:sz w:val="21"/>
                <w:szCs w:val="21"/>
                <w:lang w:eastAsia="zh-CN"/>
              </w:rPr>
            </w:pPr>
            <w:r>
              <w:rPr>
                <w:rFonts w:hint="default"/>
                <w:b/>
                <w:bCs/>
                <w:color w:val="auto"/>
                <w:sz w:val="21"/>
                <w:szCs w:val="21"/>
              </w:rPr>
              <w:t>敏感程度</w:t>
            </w:r>
          </w:p>
        </w:tc>
        <w:tc>
          <w:tcPr>
            <w:tcW w:w="1933" w:type="dxa"/>
            <w:tcBorders>
              <w:top w:val="single" w:color="auto" w:sz="12" w:space="0"/>
              <w:bottom w:val="single" w:color="auto" w:sz="6" w:space="0"/>
              <w:tl2br w:val="nil"/>
            </w:tcBorders>
            <w:vAlign w:val="center"/>
          </w:tcPr>
          <w:p w14:paraId="6CD8BD81">
            <w:pPr>
              <w:keepNext w:val="0"/>
              <w:keepLines w:val="0"/>
              <w:suppressLineNumbers w:val="0"/>
              <w:spacing w:before="0" w:beforeAutospacing="0" w:after="0" w:afterAutospacing="0" w:line="300" w:lineRule="exact"/>
              <w:ind w:left="0" w:right="0" w:firstLine="0" w:firstLineChars="0"/>
              <w:jc w:val="center"/>
              <w:rPr>
                <w:rFonts w:hint="default"/>
                <w:b/>
                <w:bCs/>
                <w:color w:val="auto"/>
                <w:sz w:val="21"/>
                <w:szCs w:val="21"/>
              </w:rPr>
            </w:pPr>
            <w:r>
              <w:rPr>
                <w:rFonts w:hint="eastAsia"/>
                <w:b/>
                <w:bCs/>
                <w:color w:val="auto"/>
                <w:sz w:val="21"/>
                <w:szCs w:val="21"/>
              </w:rPr>
              <w:t>Ⅰ</w:t>
            </w:r>
            <w:r>
              <w:rPr>
                <w:rFonts w:hint="default"/>
                <w:b/>
                <w:bCs/>
                <w:color w:val="auto"/>
                <w:sz w:val="21"/>
                <w:szCs w:val="21"/>
              </w:rPr>
              <w:t>类项目</w:t>
            </w:r>
          </w:p>
        </w:tc>
        <w:tc>
          <w:tcPr>
            <w:tcW w:w="1794" w:type="dxa"/>
            <w:tcBorders>
              <w:top w:val="single" w:color="auto" w:sz="12" w:space="0"/>
              <w:bottom w:val="single" w:color="auto" w:sz="6" w:space="0"/>
              <w:tl2br w:val="nil"/>
            </w:tcBorders>
            <w:vAlign w:val="center"/>
          </w:tcPr>
          <w:p w14:paraId="51EAE02B">
            <w:pPr>
              <w:keepNext w:val="0"/>
              <w:keepLines w:val="0"/>
              <w:suppressLineNumbers w:val="0"/>
              <w:spacing w:before="0" w:beforeAutospacing="0" w:after="0" w:afterAutospacing="0" w:line="300" w:lineRule="exact"/>
              <w:ind w:left="0" w:right="0" w:firstLine="0" w:firstLineChars="0"/>
              <w:jc w:val="center"/>
              <w:rPr>
                <w:rFonts w:hint="default"/>
                <w:b/>
                <w:bCs/>
                <w:color w:val="auto"/>
                <w:sz w:val="21"/>
                <w:szCs w:val="21"/>
              </w:rPr>
            </w:pPr>
            <w:r>
              <w:rPr>
                <w:rFonts w:hint="eastAsia"/>
                <w:b/>
                <w:bCs/>
                <w:color w:val="auto"/>
                <w:sz w:val="21"/>
                <w:szCs w:val="21"/>
              </w:rPr>
              <w:t>Ⅱ</w:t>
            </w:r>
            <w:r>
              <w:rPr>
                <w:rFonts w:hint="default"/>
                <w:b/>
                <w:bCs/>
                <w:color w:val="auto"/>
                <w:sz w:val="21"/>
                <w:szCs w:val="21"/>
              </w:rPr>
              <w:t>类项目</w:t>
            </w:r>
          </w:p>
        </w:tc>
        <w:tc>
          <w:tcPr>
            <w:tcW w:w="1897" w:type="dxa"/>
            <w:vAlign w:val="center"/>
          </w:tcPr>
          <w:p w14:paraId="3AA6C2FD">
            <w:pPr>
              <w:keepNext w:val="0"/>
              <w:keepLines w:val="0"/>
              <w:suppressLineNumbers w:val="0"/>
              <w:spacing w:before="0" w:beforeAutospacing="0" w:after="0" w:afterAutospacing="0" w:line="300" w:lineRule="exact"/>
              <w:ind w:left="0" w:right="0" w:firstLine="0" w:firstLineChars="0"/>
              <w:jc w:val="center"/>
              <w:rPr>
                <w:rFonts w:hint="default"/>
                <w:b/>
                <w:bCs/>
                <w:color w:val="auto"/>
                <w:sz w:val="21"/>
                <w:szCs w:val="21"/>
              </w:rPr>
            </w:pPr>
            <w:r>
              <w:rPr>
                <w:rFonts w:hint="eastAsia"/>
                <w:b/>
                <w:bCs/>
                <w:color w:val="auto"/>
                <w:sz w:val="21"/>
                <w:szCs w:val="21"/>
              </w:rPr>
              <w:t>Ⅲ</w:t>
            </w:r>
            <w:r>
              <w:rPr>
                <w:rFonts w:hint="default"/>
                <w:b/>
                <w:bCs/>
                <w:color w:val="auto"/>
                <w:sz w:val="21"/>
                <w:szCs w:val="21"/>
              </w:rPr>
              <w:t>类项目</w:t>
            </w:r>
          </w:p>
        </w:tc>
      </w:tr>
      <w:tr w14:paraId="41B82B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18" w:type="dxa"/>
            <w:tcBorders>
              <w:top w:val="single" w:color="auto" w:sz="6" w:space="0"/>
            </w:tcBorders>
            <w:vAlign w:val="center"/>
          </w:tcPr>
          <w:p w14:paraId="6CAF2C30">
            <w:pPr>
              <w:keepNext w:val="0"/>
              <w:keepLines w:val="0"/>
              <w:suppressLineNumbers w:val="0"/>
              <w:spacing w:before="0" w:beforeAutospacing="0" w:after="0" w:afterAutospacing="0" w:line="300" w:lineRule="exact"/>
              <w:ind w:left="0" w:right="0" w:firstLine="0" w:firstLineChars="0"/>
              <w:jc w:val="center"/>
              <w:rPr>
                <w:rFonts w:hint="default"/>
                <w:color w:val="auto"/>
                <w:sz w:val="21"/>
                <w:szCs w:val="21"/>
              </w:rPr>
            </w:pPr>
            <w:r>
              <w:rPr>
                <w:rFonts w:hint="default"/>
                <w:color w:val="auto"/>
                <w:sz w:val="21"/>
                <w:szCs w:val="21"/>
              </w:rPr>
              <w:t>敏感</w:t>
            </w:r>
          </w:p>
        </w:tc>
        <w:tc>
          <w:tcPr>
            <w:tcW w:w="1933" w:type="dxa"/>
            <w:tcBorders>
              <w:top w:val="single" w:color="auto" w:sz="6" w:space="0"/>
            </w:tcBorders>
            <w:vAlign w:val="center"/>
          </w:tcPr>
          <w:p w14:paraId="173F2494">
            <w:pPr>
              <w:keepNext w:val="0"/>
              <w:keepLines w:val="0"/>
              <w:suppressLineNumbers w:val="0"/>
              <w:spacing w:before="0" w:beforeAutospacing="0" w:after="0" w:afterAutospacing="0" w:line="300" w:lineRule="exact"/>
              <w:ind w:left="0" w:right="0" w:firstLine="0" w:firstLineChars="0"/>
              <w:jc w:val="center"/>
              <w:rPr>
                <w:rFonts w:hint="default"/>
                <w:color w:val="auto"/>
                <w:sz w:val="21"/>
                <w:szCs w:val="21"/>
              </w:rPr>
            </w:pPr>
            <w:r>
              <w:rPr>
                <w:rFonts w:hint="default"/>
                <w:color w:val="auto"/>
                <w:sz w:val="21"/>
                <w:szCs w:val="21"/>
              </w:rPr>
              <w:t>一</w:t>
            </w:r>
          </w:p>
        </w:tc>
        <w:tc>
          <w:tcPr>
            <w:tcW w:w="1794" w:type="dxa"/>
            <w:tcBorders>
              <w:top w:val="single" w:color="auto" w:sz="6" w:space="0"/>
            </w:tcBorders>
            <w:vAlign w:val="center"/>
          </w:tcPr>
          <w:p w14:paraId="6C6AEE0C">
            <w:pPr>
              <w:keepNext w:val="0"/>
              <w:keepLines w:val="0"/>
              <w:suppressLineNumbers w:val="0"/>
              <w:spacing w:before="0" w:beforeAutospacing="0" w:after="0" w:afterAutospacing="0" w:line="300" w:lineRule="exact"/>
              <w:ind w:left="0" w:right="0" w:firstLine="0" w:firstLineChars="0"/>
              <w:jc w:val="center"/>
              <w:rPr>
                <w:rFonts w:hint="default"/>
                <w:color w:val="auto"/>
                <w:sz w:val="21"/>
                <w:szCs w:val="21"/>
              </w:rPr>
            </w:pPr>
            <w:r>
              <w:rPr>
                <w:rFonts w:hint="default"/>
                <w:color w:val="auto"/>
                <w:sz w:val="21"/>
                <w:szCs w:val="21"/>
              </w:rPr>
              <w:t>一</w:t>
            </w:r>
          </w:p>
        </w:tc>
        <w:tc>
          <w:tcPr>
            <w:tcW w:w="1897" w:type="dxa"/>
            <w:vAlign w:val="center"/>
          </w:tcPr>
          <w:p w14:paraId="5D3B299C">
            <w:pPr>
              <w:keepNext w:val="0"/>
              <w:keepLines w:val="0"/>
              <w:suppressLineNumbers w:val="0"/>
              <w:spacing w:before="0" w:beforeAutospacing="0" w:after="0" w:afterAutospacing="0" w:line="300" w:lineRule="exact"/>
              <w:ind w:left="0" w:right="0" w:firstLine="0" w:firstLineChars="0"/>
              <w:jc w:val="center"/>
              <w:rPr>
                <w:rFonts w:hint="default"/>
                <w:color w:val="auto"/>
                <w:sz w:val="21"/>
                <w:szCs w:val="21"/>
              </w:rPr>
            </w:pPr>
            <w:r>
              <w:rPr>
                <w:rFonts w:hint="default"/>
                <w:color w:val="auto"/>
                <w:sz w:val="21"/>
                <w:szCs w:val="21"/>
              </w:rPr>
              <w:t>二</w:t>
            </w:r>
          </w:p>
        </w:tc>
      </w:tr>
      <w:tr w14:paraId="38501A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18" w:type="dxa"/>
            <w:vAlign w:val="center"/>
          </w:tcPr>
          <w:p w14:paraId="515E2216">
            <w:pPr>
              <w:keepNext w:val="0"/>
              <w:keepLines w:val="0"/>
              <w:suppressLineNumbers w:val="0"/>
              <w:spacing w:before="0" w:beforeAutospacing="0" w:after="0" w:afterAutospacing="0" w:line="300" w:lineRule="exact"/>
              <w:ind w:left="0" w:right="0" w:firstLine="0" w:firstLineChars="0"/>
              <w:jc w:val="center"/>
              <w:rPr>
                <w:rFonts w:hint="default"/>
                <w:color w:val="auto"/>
                <w:sz w:val="21"/>
                <w:szCs w:val="21"/>
              </w:rPr>
            </w:pPr>
            <w:r>
              <w:rPr>
                <w:rFonts w:hint="default"/>
                <w:color w:val="auto"/>
                <w:sz w:val="21"/>
                <w:szCs w:val="21"/>
              </w:rPr>
              <w:t>较敏感</w:t>
            </w:r>
          </w:p>
        </w:tc>
        <w:tc>
          <w:tcPr>
            <w:tcW w:w="1933" w:type="dxa"/>
            <w:vAlign w:val="center"/>
          </w:tcPr>
          <w:p w14:paraId="234E88AD">
            <w:pPr>
              <w:keepNext w:val="0"/>
              <w:keepLines w:val="0"/>
              <w:suppressLineNumbers w:val="0"/>
              <w:spacing w:before="0" w:beforeAutospacing="0" w:after="0" w:afterAutospacing="0" w:line="300" w:lineRule="exact"/>
              <w:ind w:left="0" w:right="0" w:firstLine="0" w:firstLineChars="0"/>
              <w:jc w:val="center"/>
              <w:rPr>
                <w:rFonts w:hint="default"/>
                <w:color w:val="auto"/>
                <w:sz w:val="21"/>
                <w:szCs w:val="21"/>
              </w:rPr>
            </w:pPr>
            <w:r>
              <w:rPr>
                <w:rFonts w:hint="default"/>
                <w:color w:val="auto"/>
                <w:sz w:val="21"/>
                <w:szCs w:val="21"/>
              </w:rPr>
              <w:t>一</w:t>
            </w:r>
          </w:p>
        </w:tc>
        <w:tc>
          <w:tcPr>
            <w:tcW w:w="1794" w:type="dxa"/>
            <w:vAlign w:val="center"/>
          </w:tcPr>
          <w:p w14:paraId="16DE10CB">
            <w:pPr>
              <w:keepNext w:val="0"/>
              <w:keepLines w:val="0"/>
              <w:suppressLineNumbers w:val="0"/>
              <w:spacing w:before="0" w:beforeAutospacing="0" w:after="0" w:afterAutospacing="0" w:line="300" w:lineRule="exact"/>
              <w:ind w:left="0" w:right="0" w:firstLine="0" w:firstLineChars="0"/>
              <w:jc w:val="center"/>
              <w:rPr>
                <w:rFonts w:hint="default"/>
                <w:color w:val="auto"/>
                <w:sz w:val="21"/>
                <w:szCs w:val="21"/>
              </w:rPr>
            </w:pPr>
            <w:r>
              <w:rPr>
                <w:rFonts w:hint="default"/>
                <w:color w:val="auto"/>
                <w:sz w:val="21"/>
                <w:szCs w:val="21"/>
              </w:rPr>
              <w:t>二</w:t>
            </w:r>
          </w:p>
        </w:tc>
        <w:tc>
          <w:tcPr>
            <w:tcW w:w="1897" w:type="dxa"/>
            <w:vAlign w:val="center"/>
          </w:tcPr>
          <w:p w14:paraId="6036FB35">
            <w:pPr>
              <w:keepNext w:val="0"/>
              <w:keepLines w:val="0"/>
              <w:suppressLineNumbers w:val="0"/>
              <w:spacing w:before="0" w:beforeAutospacing="0" w:after="0" w:afterAutospacing="0" w:line="300" w:lineRule="exact"/>
              <w:ind w:left="0" w:right="0" w:firstLine="0" w:firstLineChars="0"/>
              <w:jc w:val="center"/>
              <w:rPr>
                <w:rFonts w:hint="default"/>
                <w:color w:val="auto"/>
                <w:sz w:val="21"/>
                <w:szCs w:val="21"/>
              </w:rPr>
            </w:pPr>
            <w:r>
              <w:rPr>
                <w:rFonts w:hint="default"/>
                <w:color w:val="auto"/>
                <w:sz w:val="21"/>
                <w:szCs w:val="21"/>
              </w:rPr>
              <w:t>三</w:t>
            </w:r>
          </w:p>
        </w:tc>
      </w:tr>
      <w:tr w14:paraId="5523CD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18" w:type="dxa"/>
            <w:vAlign w:val="center"/>
          </w:tcPr>
          <w:p w14:paraId="741CA422">
            <w:pPr>
              <w:keepNext w:val="0"/>
              <w:keepLines w:val="0"/>
              <w:suppressLineNumbers w:val="0"/>
              <w:spacing w:before="0" w:beforeAutospacing="0" w:after="0" w:afterAutospacing="0" w:line="300" w:lineRule="exact"/>
              <w:ind w:left="0" w:right="0" w:firstLine="0" w:firstLineChars="0"/>
              <w:jc w:val="center"/>
              <w:rPr>
                <w:rFonts w:hint="default"/>
                <w:color w:val="auto"/>
                <w:sz w:val="21"/>
                <w:szCs w:val="21"/>
              </w:rPr>
            </w:pPr>
            <w:r>
              <w:rPr>
                <w:rFonts w:hint="default"/>
                <w:color w:val="auto"/>
                <w:sz w:val="21"/>
                <w:szCs w:val="21"/>
              </w:rPr>
              <w:t>不敏感</w:t>
            </w:r>
          </w:p>
        </w:tc>
        <w:tc>
          <w:tcPr>
            <w:tcW w:w="1933" w:type="dxa"/>
            <w:vAlign w:val="center"/>
          </w:tcPr>
          <w:p w14:paraId="09D19029">
            <w:pPr>
              <w:keepNext w:val="0"/>
              <w:keepLines w:val="0"/>
              <w:suppressLineNumbers w:val="0"/>
              <w:spacing w:before="0" w:beforeAutospacing="0" w:after="0" w:afterAutospacing="0" w:line="300" w:lineRule="exact"/>
              <w:ind w:left="0" w:right="0" w:firstLine="0" w:firstLineChars="0"/>
              <w:jc w:val="center"/>
              <w:rPr>
                <w:rFonts w:hint="default"/>
                <w:color w:val="auto"/>
                <w:sz w:val="21"/>
                <w:szCs w:val="21"/>
              </w:rPr>
            </w:pPr>
            <w:r>
              <w:rPr>
                <w:rFonts w:hint="default"/>
                <w:color w:val="auto"/>
                <w:sz w:val="21"/>
                <w:szCs w:val="21"/>
              </w:rPr>
              <w:t>二</w:t>
            </w:r>
          </w:p>
        </w:tc>
        <w:tc>
          <w:tcPr>
            <w:tcW w:w="1794" w:type="dxa"/>
            <w:vAlign w:val="center"/>
          </w:tcPr>
          <w:p w14:paraId="47942646">
            <w:pPr>
              <w:keepNext w:val="0"/>
              <w:keepLines w:val="0"/>
              <w:suppressLineNumbers w:val="0"/>
              <w:spacing w:before="0" w:beforeAutospacing="0" w:after="0" w:afterAutospacing="0" w:line="300" w:lineRule="exact"/>
              <w:ind w:left="0" w:right="0" w:firstLine="0" w:firstLineChars="0"/>
              <w:jc w:val="center"/>
              <w:rPr>
                <w:rFonts w:hint="default"/>
                <w:color w:val="auto"/>
                <w:sz w:val="21"/>
                <w:szCs w:val="21"/>
              </w:rPr>
            </w:pPr>
            <w:r>
              <w:rPr>
                <w:rFonts w:hint="default"/>
                <w:color w:val="auto"/>
                <w:sz w:val="21"/>
                <w:szCs w:val="21"/>
              </w:rPr>
              <w:t>三</w:t>
            </w:r>
          </w:p>
        </w:tc>
        <w:tc>
          <w:tcPr>
            <w:tcW w:w="1897" w:type="dxa"/>
            <w:vAlign w:val="center"/>
          </w:tcPr>
          <w:p w14:paraId="198D19CF">
            <w:pPr>
              <w:keepNext w:val="0"/>
              <w:keepLines w:val="0"/>
              <w:suppressLineNumbers w:val="0"/>
              <w:spacing w:before="0" w:beforeAutospacing="0" w:after="0" w:afterAutospacing="0" w:line="300" w:lineRule="exact"/>
              <w:ind w:left="0" w:right="0" w:firstLine="0" w:firstLineChars="0"/>
              <w:jc w:val="center"/>
              <w:rPr>
                <w:rFonts w:hint="default"/>
                <w:color w:val="auto"/>
                <w:sz w:val="21"/>
                <w:szCs w:val="21"/>
              </w:rPr>
            </w:pPr>
            <w:r>
              <w:rPr>
                <w:rFonts w:hint="default"/>
                <w:color w:val="auto"/>
                <w:sz w:val="21"/>
                <w:szCs w:val="21"/>
              </w:rPr>
              <w:t>三</w:t>
            </w:r>
          </w:p>
        </w:tc>
      </w:tr>
    </w:tbl>
    <w:p w14:paraId="599077C7">
      <w:pPr>
        <w:ind w:left="480" w:firstLine="0" w:firstLineChars="0"/>
        <w:rPr>
          <w:color w:val="auto"/>
        </w:rPr>
      </w:pPr>
      <w:bookmarkStart w:id="229" w:name="_Toc136878429"/>
      <w:bookmarkStart w:id="230" w:name="_Toc26909960"/>
      <w:bookmarkStart w:id="231" w:name="_Toc135090180"/>
      <w:bookmarkStart w:id="232" w:name="_Toc216103182"/>
      <w:bookmarkStart w:id="233" w:name="_Toc29131774"/>
      <w:bookmarkStart w:id="234" w:name="_Toc216620341"/>
      <w:bookmarkStart w:id="235" w:name="_Toc25436914"/>
      <w:r>
        <w:rPr>
          <w:rFonts w:hint="eastAsia"/>
          <w:color w:val="auto"/>
        </w:rPr>
        <w:t>（2）评价</w:t>
      </w:r>
      <w:r>
        <w:rPr>
          <w:color w:val="auto"/>
        </w:rPr>
        <w:t>范围</w:t>
      </w:r>
    </w:p>
    <w:p w14:paraId="164FEEED">
      <w:pPr>
        <w:ind w:firstLine="480"/>
        <w:rPr>
          <w:color w:val="auto"/>
        </w:rPr>
      </w:pPr>
      <w:r>
        <w:rPr>
          <w:color w:val="auto"/>
        </w:rPr>
        <w:t>本项目厂址</w:t>
      </w:r>
      <w:r>
        <w:rPr>
          <w:rFonts w:hint="eastAsia"/>
          <w:color w:val="auto"/>
        </w:rPr>
        <w:t>位于码头区域</w:t>
      </w:r>
      <w:r>
        <w:rPr>
          <w:color w:val="auto"/>
        </w:rPr>
        <w:t>，地下水流向为由北向南流，项钦州湾海域倾泻。</w:t>
      </w:r>
      <w:r>
        <w:rPr>
          <w:rFonts w:hint="eastAsia"/>
          <w:color w:val="auto"/>
        </w:rPr>
        <w:t>根据</w:t>
      </w:r>
      <w:r>
        <w:rPr>
          <w:color w:val="auto"/>
        </w:rPr>
        <w:t>《环境影响评价技术导则地下水环境》（HJ610-2016）</w:t>
      </w:r>
      <w:r>
        <w:rPr>
          <w:rFonts w:hint="eastAsia"/>
          <w:color w:val="auto"/>
        </w:rPr>
        <w:t>，评价</w:t>
      </w:r>
      <w:r>
        <w:rPr>
          <w:color w:val="auto"/>
        </w:rPr>
        <w:t>范围采用查表法</w:t>
      </w:r>
      <w:r>
        <w:rPr>
          <w:rFonts w:hint="eastAsia"/>
          <w:color w:val="auto"/>
        </w:rPr>
        <w:t>，</w:t>
      </w:r>
      <w:r>
        <w:rPr>
          <w:color w:val="auto"/>
        </w:rPr>
        <w:t>三级评价的调查评价面积为</w:t>
      </w:r>
      <w:r>
        <w:rPr>
          <w:rFonts w:hint="eastAsia"/>
          <w:color w:val="auto"/>
        </w:rPr>
        <w:t>6</w:t>
      </w:r>
      <w:r>
        <w:rPr>
          <w:color w:val="auto"/>
        </w:rPr>
        <w:t>km</w:t>
      </w:r>
      <w:r>
        <w:rPr>
          <w:color w:val="auto"/>
          <w:vertAlign w:val="superscript"/>
        </w:rPr>
        <w:t>2</w:t>
      </w:r>
      <w:r>
        <w:rPr>
          <w:rFonts w:hint="eastAsia"/>
          <w:color w:val="auto"/>
        </w:rPr>
        <w:t>。</w:t>
      </w:r>
    </w:p>
    <w:bookmarkEnd w:id="229"/>
    <w:bookmarkEnd w:id="230"/>
    <w:bookmarkEnd w:id="231"/>
    <w:bookmarkEnd w:id="232"/>
    <w:bookmarkEnd w:id="233"/>
    <w:bookmarkEnd w:id="234"/>
    <w:bookmarkEnd w:id="235"/>
    <w:p w14:paraId="138DC794">
      <w:pPr>
        <w:pStyle w:val="4"/>
        <w:rPr>
          <w:color w:val="auto"/>
        </w:rPr>
      </w:pPr>
      <w:r>
        <w:rPr>
          <w:rFonts w:hint="eastAsia"/>
          <w:color w:val="auto"/>
        </w:rPr>
        <w:t>声环境</w:t>
      </w:r>
    </w:p>
    <w:p w14:paraId="412E2533">
      <w:pPr>
        <w:ind w:firstLine="480"/>
        <w:rPr>
          <w:color w:val="auto"/>
        </w:rPr>
      </w:pPr>
      <w:r>
        <w:rPr>
          <w:rFonts w:hint="eastAsia"/>
          <w:color w:val="auto"/>
        </w:rPr>
        <w:t>（1）评价</w:t>
      </w:r>
      <w:r>
        <w:rPr>
          <w:color w:val="auto"/>
        </w:rPr>
        <w:t>等级</w:t>
      </w:r>
    </w:p>
    <w:p w14:paraId="2255E45B">
      <w:pPr>
        <w:ind w:firstLine="480"/>
        <w:rPr>
          <w:color w:val="auto"/>
        </w:rPr>
      </w:pPr>
      <w:r>
        <w:rPr>
          <w:color w:val="auto"/>
        </w:rPr>
        <w:t>项目所处的声环境功能区为3类，厂界外200m范围内无居民区、学校、医院等环境敏感目标，根据《环境影响评价技术导则声环境》（HJ2.4-2021），确定本项目声环境影响评价等级为“三级”。</w:t>
      </w:r>
    </w:p>
    <w:p w14:paraId="54262DD5">
      <w:pPr>
        <w:ind w:firstLine="480"/>
        <w:rPr>
          <w:color w:val="auto"/>
        </w:rPr>
      </w:pPr>
      <w:r>
        <w:rPr>
          <w:rFonts w:hint="eastAsia"/>
          <w:color w:val="auto"/>
        </w:rPr>
        <w:t>（2）评价</w:t>
      </w:r>
      <w:r>
        <w:rPr>
          <w:color w:val="auto"/>
        </w:rPr>
        <w:t>范围</w:t>
      </w:r>
    </w:p>
    <w:p w14:paraId="57B915C0">
      <w:pPr>
        <w:ind w:firstLine="480"/>
        <w:rPr>
          <w:color w:val="auto"/>
        </w:rPr>
      </w:pPr>
      <w:r>
        <w:rPr>
          <w:rFonts w:hint="eastAsia"/>
          <w:color w:val="auto"/>
        </w:rPr>
        <w:t>厂界外200m范围内无居民区、学校、医院等环境敏感目标，因此声环境评价范围为码头和</w:t>
      </w:r>
      <w:r>
        <w:rPr>
          <w:color w:val="auto"/>
        </w:rPr>
        <w:t>库区</w:t>
      </w:r>
      <w:r>
        <w:rPr>
          <w:rFonts w:hint="eastAsia"/>
          <w:color w:val="auto"/>
        </w:rPr>
        <w:t>厂界外扩200m范围。</w:t>
      </w:r>
    </w:p>
    <w:p w14:paraId="72844AA0">
      <w:pPr>
        <w:pStyle w:val="4"/>
        <w:rPr>
          <w:color w:val="auto"/>
        </w:rPr>
      </w:pPr>
      <w:bookmarkStart w:id="236" w:name="_Toc26909961"/>
      <w:bookmarkStart w:id="237" w:name="_Toc216103183"/>
      <w:bookmarkStart w:id="238" w:name="_Toc136878430"/>
      <w:bookmarkStart w:id="239" w:name="_Toc135090181"/>
      <w:bookmarkStart w:id="240" w:name="_Toc29131775"/>
      <w:bookmarkStart w:id="241" w:name="_Toc216620342"/>
      <w:bookmarkStart w:id="242" w:name="_Toc25436915"/>
      <w:r>
        <w:rPr>
          <w:color w:val="auto"/>
        </w:rPr>
        <w:t>生态</w:t>
      </w:r>
      <w:bookmarkEnd w:id="236"/>
      <w:bookmarkEnd w:id="237"/>
      <w:bookmarkEnd w:id="238"/>
      <w:bookmarkEnd w:id="239"/>
      <w:bookmarkEnd w:id="240"/>
      <w:bookmarkEnd w:id="241"/>
      <w:bookmarkEnd w:id="242"/>
      <w:r>
        <w:rPr>
          <w:rFonts w:hint="eastAsia"/>
          <w:color w:val="auto"/>
        </w:rPr>
        <w:t>环境</w:t>
      </w:r>
    </w:p>
    <w:p w14:paraId="582FE132">
      <w:pPr>
        <w:widowControl/>
        <w:autoSpaceDE w:val="0"/>
        <w:ind w:firstLine="480"/>
        <w:rPr>
          <w:color w:val="auto"/>
        </w:rPr>
      </w:pPr>
      <w:bookmarkStart w:id="243" w:name="_Toc25436916"/>
      <w:bookmarkStart w:id="244" w:name="_Toc26909962"/>
      <w:bookmarkStart w:id="245" w:name="_Toc29131776"/>
      <w:r>
        <w:rPr>
          <w:rFonts w:hint="eastAsia" w:ascii="宋体" w:hAnsi="宋体"/>
          <w:color w:val="auto"/>
        </w:rPr>
        <w:t>本项目无水工作业，无涉海建设内容，参照《环境影响评价技术导则生态环境》（</w:t>
      </w:r>
      <w:r>
        <w:rPr>
          <w:rFonts w:hint="eastAsia"/>
          <w:color w:val="auto"/>
        </w:rPr>
        <w:t>HJ19-2022</w:t>
      </w:r>
      <w:r>
        <w:rPr>
          <w:rFonts w:hint="eastAsia" w:ascii="宋体" w:hAnsi="宋体"/>
          <w:color w:val="auto"/>
        </w:rPr>
        <w:t>），本项目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p w14:paraId="3FDF2BC8">
      <w:pPr>
        <w:pStyle w:val="4"/>
        <w:rPr>
          <w:color w:val="auto"/>
        </w:rPr>
      </w:pPr>
      <w:bookmarkStart w:id="246" w:name="_Toc136878431"/>
      <w:bookmarkStart w:id="247" w:name="_Toc216620343"/>
      <w:bookmarkStart w:id="248" w:name="_Toc216103184"/>
      <w:bookmarkStart w:id="249" w:name="_Toc135090182"/>
      <w:r>
        <w:rPr>
          <w:color w:val="auto"/>
        </w:rPr>
        <w:t>土壤环境</w:t>
      </w:r>
      <w:bookmarkEnd w:id="246"/>
      <w:bookmarkEnd w:id="247"/>
      <w:bookmarkEnd w:id="248"/>
      <w:bookmarkEnd w:id="249"/>
    </w:p>
    <w:p w14:paraId="6F9F71B8">
      <w:pPr>
        <w:ind w:firstLine="480"/>
        <w:rPr>
          <w:rFonts w:ascii="宋体" w:hAnsi="宋体"/>
          <w:color w:val="auto"/>
        </w:rPr>
      </w:pPr>
      <w:r>
        <w:rPr>
          <w:rFonts w:hint="eastAsia" w:ascii="宋体" w:hAnsi="宋体"/>
          <w:color w:val="auto"/>
        </w:rPr>
        <w:t>根据《环境影响评价技术导则土壤环境》（</w:t>
      </w:r>
      <w:r>
        <w:rPr>
          <w:rFonts w:hint="eastAsia"/>
          <w:color w:val="auto"/>
        </w:rPr>
        <w:t>HJ964-2018</w:t>
      </w:r>
      <w:r>
        <w:rPr>
          <w:rFonts w:hint="eastAsia" w:ascii="宋体" w:hAnsi="宋体"/>
          <w:color w:val="auto"/>
        </w:rPr>
        <w:t>）附录</w:t>
      </w:r>
      <w:r>
        <w:rPr>
          <w:rFonts w:hint="eastAsia"/>
          <w:color w:val="auto"/>
        </w:rPr>
        <w:t>A</w:t>
      </w:r>
      <w:r>
        <w:rPr>
          <w:rFonts w:hint="eastAsia" w:ascii="宋体" w:hAnsi="宋体"/>
          <w:color w:val="auto"/>
        </w:rPr>
        <w:t>土壤环境影响评价项目类别表，拟建项目属于交通运输仓储邮政业中的</w:t>
      </w:r>
      <w:r>
        <w:rPr>
          <w:rFonts w:ascii="宋体" w:hAnsi="宋体"/>
          <w:color w:val="auto"/>
        </w:rPr>
        <w:t>油库（</w:t>
      </w:r>
      <w:r>
        <w:rPr>
          <w:rFonts w:hint="eastAsia" w:ascii="宋体" w:hAnsi="宋体"/>
          <w:color w:val="auto"/>
        </w:rPr>
        <w:t>不含</w:t>
      </w:r>
      <w:r>
        <w:rPr>
          <w:rFonts w:ascii="宋体" w:hAnsi="宋体"/>
          <w:color w:val="auto"/>
        </w:rPr>
        <w:t>加油站的油库）</w:t>
      </w:r>
      <w:r>
        <w:rPr>
          <w:rFonts w:hint="eastAsia" w:ascii="宋体" w:hAnsi="宋体"/>
          <w:color w:val="auto"/>
        </w:rPr>
        <w:t>，</w:t>
      </w:r>
      <w:r>
        <w:rPr>
          <w:color w:val="auto"/>
        </w:rPr>
        <w:t>属于</w:t>
      </w:r>
      <w:r>
        <w:rPr>
          <w:rFonts w:hint="eastAsia"/>
          <w:color w:val="auto"/>
        </w:rPr>
        <w:t>Ⅱ</w:t>
      </w:r>
      <w:r>
        <w:rPr>
          <w:color w:val="auto"/>
        </w:rPr>
        <w:t>类建设项目。</w:t>
      </w:r>
      <w:r>
        <w:rPr>
          <w:rFonts w:hint="eastAsia" w:ascii="宋体" w:hAnsi="宋体"/>
          <w:color w:val="auto"/>
        </w:rPr>
        <w:t>本项目不新增永久占地，占地规模为中型，项目厂区周边均为工业用地及海域用地，不涉及土壤环境敏感目标，敏感程度为不敏感。土壤评价等级为三级。项目</w:t>
      </w:r>
      <w:r>
        <w:rPr>
          <w:rFonts w:ascii="宋体" w:hAnsi="宋体"/>
          <w:color w:val="auto"/>
        </w:rPr>
        <w:t>土壤评价范围为项目范围外</w:t>
      </w:r>
      <w:r>
        <w:rPr>
          <w:rFonts w:hint="eastAsia" w:ascii="宋体" w:hAnsi="宋体"/>
          <w:color w:val="auto"/>
        </w:rPr>
        <w:t>50</w:t>
      </w:r>
      <w:r>
        <w:rPr>
          <w:rFonts w:ascii="宋体" w:hAnsi="宋体"/>
          <w:color w:val="auto"/>
        </w:rPr>
        <w:t>m。</w:t>
      </w:r>
    </w:p>
    <w:bookmarkEnd w:id="243"/>
    <w:bookmarkEnd w:id="244"/>
    <w:bookmarkEnd w:id="245"/>
    <w:p w14:paraId="52DA866B">
      <w:pPr>
        <w:pStyle w:val="4"/>
        <w:rPr>
          <w:color w:val="auto"/>
        </w:rPr>
      </w:pPr>
      <w:r>
        <w:rPr>
          <w:rFonts w:hint="eastAsia"/>
          <w:color w:val="auto"/>
        </w:rPr>
        <w:t>环境风险</w:t>
      </w:r>
    </w:p>
    <w:p w14:paraId="2463AA56">
      <w:pPr>
        <w:ind w:firstLine="480"/>
        <w:rPr>
          <w:color w:val="auto"/>
        </w:rPr>
      </w:pPr>
      <w:r>
        <w:rPr>
          <w:rFonts w:hint="eastAsia"/>
          <w:color w:val="auto"/>
        </w:rPr>
        <w:t>（1）评价</w:t>
      </w:r>
      <w:r>
        <w:rPr>
          <w:color w:val="auto"/>
        </w:rPr>
        <w:t>等级</w:t>
      </w:r>
    </w:p>
    <w:p w14:paraId="1E8A7B90">
      <w:pPr>
        <w:ind w:firstLine="480"/>
        <w:rPr>
          <w:color w:val="auto"/>
          <w:kern w:val="0"/>
        </w:rPr>
      </w:pPr>
      <w:r>
        <w:rPr>
          <w:color w:val="auto"/>
        </w:rPr>
        <w:t>本项目涉及的主要</w:t>
      </w:r>
      <w:r>
        <w:rPr>
          <w:rFonts w:hint="eastAsia"/>
          <w:color w:val="auto"/>
        </w:rPr>
        <w:t>危险品</w:t>
      </w:r>
      <w:r>
        <w:rPr>
          <w:color w:val="auto"/>
        </w:rPr>
        <w:t>有</w:t>
      </w:r>
      <w:r>
        <w:rPr>
          <w:rFonts w:hint="eastAsia"/>
          <w:color w:val="auto"/>
        </w:rPr>
        <w:t>甲基叔丁基醚（MTBE）、石脑油、蜡油、渣油、异辛烷（烷基化油）</w:t>
      </w:r>
      <w:r>
        <w:rPr>
          <w:color w:val="auto"/>
        </w:rPr>
        <w:t>，依据《建设项目环境风险评价技术导则》（HJ/T169-2018），</w:t>
      </w:r>
      <w:r>
        <w:rPr>
          <w:color w:val="auto"/>
          <w:kern w:val="0"/>
          <w:szCs w:val="20"/>
        </w:rPr>
        <w:t>本项目环境风险大气环境敏感</w:t>
      </w:r>
      <w:r>
        <w:rPr>
          <w:rFonts w:hint="eastAsia"/>
          <w:color w:val="auto"/>
          <w:kern w:val="0"/>
          <w:szCs w:val="20"/>
        </w:rPr>
        <w:t>度</w:t>
      </w:r>
      <w:r>
        <w:rPr>
          <w:color w:val="auto"/>
          <w:kern w:val="0"/>
          <w:szCs w:val="20"/>
        </w:rPr>
        <w:t>为E2，</w:t>
      </w:r>
      <w:r>
        <w:rPr>
          <w:color w:val="auto"/>
          <w:kern w:val="0"/>
          <w:szCs w:val="20"/>
          <w:u w:val="single"/>
        </w:rPr>
        <w:t>地表水环境敏感</w:t>
      </w:r>
      <w:r>
        <w:rPr>
          <w:rFonts w:hint="eastAsia"/>
          <w:color w:val="auto"/>
          <w:kern w:val="0"/>
          <w:szCs w:val="20"/>
          <w:u w:val="single"/>
        </w:rPr>
        <w:t>度</w:t>
      </w:r>
      <w:r>
        <w:rPr>
          <w:color w:val="auto"/>
          <w:kern w:val="0"/>
          <w:szCs w:val="20"/>
          <w:u w:val="single"/>
        </w:rPr>
        <w:t>为E</w:t>
      </w:r>
      <w:r>
        <w:rPr>
          <w:rFonts w:hint="eastAsia"/>
          <w:color w:val="auto"/>
          <w:kern w:val="0"/>
          <w:szCs w:val="20"/>
          <w:u w:val="single"/>
          <w:lang w:val="en-US" w:eastAsia="zh-CN"/>
        </w:rPr>
        <w:t>3</w:t>
      </w:r>
      <w:r>
        <w:rPr>
          <w:rFonts w:hint="eastAsia"/>
          <w:color w:val="auto"/>
          <w:kern w:val="0"/>
          <w:szCs w:val="20"/>
        </w:rPr>
        <w:t>，地下水环境敏感度为E</w:t>
      </w:r>
      <w:r>
        <w:rPr>
          <w:color w:val="auto"/>
          <w:kern w:val="0"/>
          <w:szCs w:val="20"/>
        </w:rPr>
        <w:t>3；本项目危险物质及工艺系统危险性等级</w:t>
      </w:r>
      <w:r>
        <w:rPr>
          <w:color w:val="auto"/>
          <w:kern w:val="0"/>
          <w:szCs w:val="20"/>
          <w:u w:val="single"/>
        </w:rPr>
        <w:t>为P</w:t>
      </w:r>
      <w:r>
        <w:rPr>
          <w:rFonts w:hint="eastAsia"/>
          <w:color w:val="auto"/>
          <w:kern w:val="0"/>
          <w:szCs w:val="20"/>
          <w:u w:val="single"/>
          <w:lang w:val="en-US" w:eastAsia="zh-CN"/>
        </w:rPr>
        <w:t>1</w:t>
      </w:r>
      <w:r>
        <w:rPr>
          <w:color w:val="auto"/>
          <w:kern w:val="0"/>
          <w:szCs w:val="20"/>
          <w:u w:val="single"/>
        </w:rPr>
        <w:t>，</w:t>
      </w:r>
      <w:r>
        <w:rPr>
          <w:color w:val="auto"/>
          <w:kern w:val="0"/>
          <w:szCs w:val="20"/>
        </w:rPr>
        <w:t>故按《建设项目环境风险评价技术导则》（HJ/169-2018），</w:t>
      </w:r>
      <w:r>
        <w:rPr>
          <w:color w:val="auto"/>
          <w:kern w:val="0"/>
          <w:szCs w:val="20"/>
          <w:u w:val="single"/>
        </w:rPr>
        <w:t>项目环境风险潜势等级为</w:t>
      </w:r>
      <w:r>
        <w:rPr>
          <w:rFonts w:hint="eastAsia"/>
          <w:color w:val="auto"/>
          <w:kern w:val="0"/>
          <w:szCs w:val="20"/>
          <w:u w:val="single"/>
        </w:rPr>
        <w:t>Ⅳ</w:t>
      </w:r>
      <w:r>
        <w:rPr>
          <w:color w:val="auto"/>
          <w:kern w:val="0"/>
          <w:szCs w:val="20"/>
          <w:u w:val="single"/>
        </w:rPr>
        <w:t>级，确定风险评价工作级别为</w:t>
      </w:r>
      <w:r>
        <w:rPr>
          <w:rFonts w:hint="eastAsia"/>
          <w:color w:val="auto"/>
          <w:kern w:val="0"/>
          <w:szCs w:val="20"/>
          <w:u w:val="single"/>
          <w:lang w:eastAsia="zh-CN"/>
        </w:rPr>
        <w:t>一</w:t>
      </w:r>
      <w:r>
        <w:rPr>
          <w:color w:val="auto"/>
          <w:kern w:val="0"/>
          <w:szCs w:val="20"/>
          <w:u w:val="single"/>
        </w:rPr>
        <w:t>级。其中环境风险大气环境风险潜势为</w:t>
      </w:r>
      <w:r>
        <w:rPr>
          <w:rFonts w:hint="eastAsia"/>
          <w:color w:val="auto"/>
          <w:kern w:val="0"/>
          <w:szCs w:val="20"/>
          <w:u w:val="single"/>
        </w:rPr>
        <w:t>Ⅳ，</w:t>
      </w:r>
      <w:r>
        <w:rPr>
          <w:color w:val="auto"/>
          <w:kern w:val="0"/>
          <w:szCs w:val="20"/>
          <w:u w:val="single"/>
        </w:rPr>
        <w:t>评价等级为</w:t>
      </w:r>
      <w:r>
        <w:rPr>
          <w:rFonts w:hint="eastAsia"/>
          <w:color w:val="auto"/>
          <w:kern w:val="0"/>
          <w:szCs w:val="20"/>
          <w:u w:val="single"/>
          <w:lang w:eastAsia="zh-CN"/>
        </w:rPr>
        <w:t>一</w:t>
      </w:r>
      <w:r>
        <w:rPr>
          <w:color w:val="auto"/>
          <w:kern w:val="0"/>
          <w:szCs w:val="20"/>
          <w:u w:val="single"/>
        </w:rPr>
        <w:t>级；</w:t>
      </w:r>
      <w:r>
        <w:rPr>
          <w:rFonts w:hint="eastAsia"/>
          <w:color w:val="auto"/>
          <w:kern w:val="0"/>
          <w:u w:val="single"/>
        </w:rPr>
        <w:t>地表水环境风险潜势等级为</w:t>
      </w:r>
      <w:r>
        <w:rPr>
          <w:color w:val="auto"/>
          <w:kern w:val="0"/>
          <w:szCs w:val="20"/>
          <w:u w:val="single"/>
        </w:rPr>
        <w:t>Ⅲ</w:t>
      </w:r>
      <w:r>
        <w:rPr>
          <w:rFonts w:hint="eastAsia"/>
          <w:color w:val="auto"/>
          <w:spacing w:val="-2"/>
          <w:kern w:val="0"/>
          <w:u w:val="single"/>
        </w:rPr>
        <w:t>，</w:t>
      </w:r>
      <w:r>
        <w:rPr>
          <w:rFonts w:hint="eastAsia"/>
          <w:color w:val="auto"/>
          <w:kern w:val="0"/>
          <w:u w:val="single"/>
        </w:rPr>
        <w:t>评价等级定为</w:t>
      </w:r>
      <w:r>
        <w:rPr>
          <w:rFonts w:hint="eastAsia"/>
          <w:color w:val="auto"/>
          <w:kern w:val="0"/>
          <w:u w:val="single"/>
          <w:lang w:eastAsia="zh-CN"/>
        </w:rPr>
        <w:t>二</w:t>
      </w:r>
      <w:r>
        <w:rPr>
          <w:rFonts w:hint="eastAsia"/>
          <w:color w:val="auto"/>
          <w:kern w:val="0"/>
          <w:u w:val="single"/>
        </w:rPr>
        <w:t>级。地下水环境风险潜势为Ⅲ，地下水环境风险评价工作等级为二级</w:t>
      </w:r>
      <w:r>
        <w:rPr>
          <w:rFonts w:hint="eastAsia"/>
          <w:color w:val="auto"/>
          <w:kern w:val="0"/>
        </w:rPr>
        <w:t>。具体判定见章节“5.2</w:t>
      </w:r>
      <w:r>
        <w:rPr>
          <w:rFonts w:hint="eastAsia" w:ascii="宋体" w:hAnsi="宋体"/>
          <w:color w:val="auto"/>
        </w:rPr>
        <w:t>环境风险潜势初判</w:t>
      </w:r>
      <w:r>
        <w:rPr>
          <w:rFonts w:hint="eastAsia"/>
          <w:color w:val="auto"/>
          <w:kern w:val="0"/>
        </w:rPr>
        <w:t>”。</w:t>
      </w:r>
    </w:p>
    <w:p w14:paraId="41B30061">
      <w:pPr>
        <w:ind w:firstLine="480"/>
        <w:rPr>
          <w:color w:val="auto"/>
        </w:rPr>
      </w:pPr>
      <w:r>
        <w:rPr>
          <w:color w:val="auto"/>
          <w:kern w:val="0"/>
        </w:rPr>
        <w:t>（2）评价范围</w:t>
      </w:r>
    </w:p>
    <w:p w14:paraId="0B226481">
      <w:pPr>
        <w:ind w:firstLine="480"/>
        <w:rPr>
          <w:color w:val="auto"/>
        </w:rPr>
      </w:pPr>
      <w:r>
        <w:rPr>
          <w:color w:val="auto"/>
        </w:rPr>
        <w:t>大气环境风险评价范围：距离源点不低于5km。</w:t>
      </w:r>
      <w:r>
        <w:rPr>
          <w:rFonts w:hint="eastAsia"/>
          <w:color w:val="auto"/>
        </w:rPr>
        <w:t>地表水</w:t>
      </w:r>
      <w:r>
        <w:rPr>
          <w:color w:val="auto"/>
        </w:rPr>
        <w:t>风险评价范围四至坐标为108°29'~108°40'，21°29'~21°53'，海域面积约为900km</w:t>
      </w:r>
      <w:r>
        <w:rPr>
          <w:color w:val="auto"/>
          <w:vertAlign w:val="superscript"/>
        </w:rPr>
        <w:t>2</w:t>
      </w:r>
      <w:r>
        <w:rPr>
          <w:color w:val="auto"/>
        </w:rPr>
        <w:t>。根据涉及风险目标扩大。</w:t>
      </w:r>
    </w:p>
    <w:p w14:paraId="4176657B">
      <w:pPr>
        <w:pStyle w:val="5"/>
        <w:rPr>
          <w:color w:val="auto"/>
        </w:rPr>
      </w:pPr>
      <w:bookmarkStart w:id="250" w:name="_Toc223595757"/>
      <w:bookmarkStart w:id="251" w:name="_Toc223258453"/>
      <w:r>
        <w:rPr>
          <w:color w:val="auto"/>
        </w:rPr>
        <mc:AlternateContent>
          <mc:Choice Requires="wps">
            <w:drawing>
              <wp:anchor distT="0" distB="0" distL="114300" distR="114300" simplePos="0" relativeHeight="251663360" behindDoc="0" locked="0" layoutInCell="1" allowOverlap="1">
                <wp:simplePos x="0" y="0"/>
                <wp:positionH relativeFrom="column">
                  <wp:posOffset>2361565</wp:posOffset>
                </wp:positionH>
                <wp:positionV relativeFrom="paragraph">
                  <wp:posOffset>2510790</wp:posOffset>
                </wp:positionV>
                <wp:extent cx="396875" cy="372745"/>
                <wp:effectExtent l="0" t="0" r="0" b="0"/>
                <wp:wrapNone/>
                <wp:docPr id="155" name="Text Box 87"/>
                <wp:cNvGraphicFramePr/>
                <a:graphic xmlns:a="http://schemas.openxmlformats.org/drawingml/2006/main">
                  <a:graphicData uri="http://schemas.microsoft.com/office/word/2010/wordprocessingShape">
                    <wps:wsp>
                      <wps:cNvSpPr txBox="1">
                        <a:spLocks noChangeArrowheads="1"/>
                      </wps:cNvSpPr>
                      <wps:spPr bwMode="auto">
                        <a:xfrm>
                          <a:off x="0" y="0"/>
                          <a:ext cx="396875" cy="372745"/>
                        </a:xfrm>
                        <a:prstGeom prst="rect">
                          <a:avLst/>
                        </a:prstGeom>
                        <a:noFill/>
                        <a:ln>
                          <a:noFill/>
                        </a:ln>
                      </wps:spPr>
                      <wps:txbx>
                        <w:txbxContent>
                          <w:p w14:paraId="2BA32E81">
                            <w:pPr>
                              <w:ind w:firstLine="560"/>
                              <w:rPr>
                                <w:rFonts w:hint="eastAsia" w:eastAsia="宋体"/>
                                <w:color w:val="FF0000"/>
                                <w:sz w:val="28"/>
                                <w:szCs w:val="28"/>
                                <w:lang w:eastAsia="zh-CN"/>
                              </w:rPr>
                            </w:pPr>
                            <w:r>
                              <w:rPr>
                                <w:rFonts w:hint="eastAsia"/>
                                <w:color w:val="FF0000"/>
                                <w:sz w:val="28"/>
                                <w:szCs w:val="28"/>
                              </w:rPr>
                              <w:t>★</w:t>
                            </w:r>
                          </w:p>
                        </w:txbxContent>
                      </wps:txbx>
                      <wps:bodyPr rot="0" vert="horz" wrap="square" lIns="91440" tIns="45720" rIns="91440" bIns="45720" anchor="t" anchorCtr="0" upright="1">
                        <a:noAutofit/>
                      </wps:bodyPr>
                    </wps:wsp>
                  </a:graphicData>
                </a:graphic>
              </wp:anchor>
            </w:drawing>
          </mc:Choice>
          <mc:Fallback>
            <w:pict>
              <v:shape id="Text Box 87" o:spid="_x0000_s1026" o:spt="202" type="#_x0000_t202" style="position:absolute;left:0pt;margin-left:185.95pt;margin-top:197.7pt;height:29.35pt;width:31.25pt;z-index:251663360;mso-width-relative:page;mso-height-relative:page;" filled="f" stroked="f" coordsize="21600,21600" o:gfxdata="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u4ujDXAAAACwEAAA8AAAAAAAAAAQAgAAAAIgAA&#10;AGRycy9kb3ducmV2LnhtbFBLAQIUABQAAAAIAIdO4kAlFydECQIAABYEAAAOAAAAAAAAAAEAIAAA&#10;ACYBAABkcnMvZTJvRG9jLnhtbFBLBQYAAAAABgAGAFkBAAChBQAAAAA=&#10;">
                <v:fill on="f" focussize="0,0"/>
                <v:stroke on="f"/>
                <v:imagedata o:title=""/>
                <o:lock v:ext="edit" aspectratio="f"/>
                <v:textbox>
                  <w:txbxContent>
                    <w:p w14:paraId="2BA32E81">
                      <w:pPr>
                        <w:ind w:firstLine="560"/>
                        <w:rPr>
                          <w:rFonts w:hint="eastAsia" w:eastAsia="宋体"/>
                          <w:color w:val="FF0000"/>
                          <w:sz w:val="28"/>
                          <w:szCs w:val="28"/>
                          <w:lang w:eastAsia="zh-CN"/>
                        </w:rPr>
                      </w:pPr>
                      <w:r>
                        <w:rPr>
                          <w:rFonts w:hint="eastAsia"/>
                          <w:color w:val="FF0000"/>
                          <w:sz w:val="28"/>
                          <w:szCs w:val="28"/>
                        </w:rPr>
                        <w:t>★</w:t>
                      </w:r>
                    </w:p>
                  </w:txbxContent>
                </v:textbox>
              </v:shape>
            </w:pict>
          </mc:Fallback>
        </mc:AlternateContent>
      </w:r>
      <w:r>
        <w:rPr>
          <w:color w:val="auto"/>
        </w:rPr>
        <w:t>主要环境保护目标</w:t>
      </w:r>
      <w:bookmarkEnd w:id="250"/>
      <w:bookmarkEnd w:id="251"/>
    </w:p>
    <w:p w14:paraId="761FF77F">
      <w:pPr>
        <w:ind w:firstLine="480"/>
        <w:rPr>
          <w:color w:val="auto"/>
        </w:rPr>
      </w:pPr>
      <w:r>
        <w:rPr>
          <w:rFonts w:hint="eastAsia"/>
          <w:color w:val="auto"/>
        </w:rPr>
        <w:t>本项目周围200米范围内无居民点等声环境保护目标；地表水环境风险影响范围内不涉及饮用水取水口、饮用水源保护区、“三场一通道”、天然渔场等保护目标；地下水评价范围内无集中式和分散式饮用水源。</w:t>
      </w:r>
    </w:p>
    <w:p w14:paraId="4366BED8">
      <w:pPr>
        <w:ind w:firstLine="480"/>
        <w:rPr>
          <w:color w:val="auto"/>
        </w:rPr>
      </w:pPr>
      <w:r>
        <w:rPr>
          <w:rFonts w:hint="eastAsia"/>
          <w:color w:val="auto"/>
        </w:rPr>
        <w:t>因此，本项目的主要环境保护目标为项目周围5km范围内的居民点，以及溢油风险可能涉及的广西茅尾海红树林自治区级自然保护区、茅尾海国家海洋公园、重要</w:t>
      </w:r>
      <w:r>
        <w:rPr>
          <w:color w:val="auto"/>
        </w:rPr>
        <w:t>湿地、</w:t>
      </w:r>
      <w:r>
        <w:rPr>
          <w:rFonts w:hint="eastAsia"/>
          <w:color w:val="auto"/>
        </w:rPr>
        <w:t>生态保护红线、种质资源保护区、连片分布的红树林等</w:t>
      </w:r>
      <w:r>
        <w:rPr>
          <w:color w:val="auto"/>
        </w:rPr>
        <w:t>。</w:t>
      </w:r>
    </w:p>
    <w:p w14:paraId="57B43A1C">
      <w:pPr>
        <w:pStyle w:val="4"/>
        <w:rPr>
          <w:color w:val="auto"/>
        </w:rPr>
      </w:pPr>
      <w:bookmarkStart w:id="252" w:name="_Toc136878436"/>
      <w:bookmarkStart w:id="253" w:name="_Toc135090187"/>
      <w:bookmarkStart w:id="254" w:name="_Toc216620348"/>
      <w:bookmarkStart w:id="255" w:name="_Toc216103189"/>
      <w:bookmarkStart w:id="256" w:name="_Toc216620347"/>
      <w:bookmarkStart w:id="257" w:name="_Toc216103188"/>
      <w:bookmarkStart w:id="258" w:name="_Toc136878435"/>
      <w:bookmarkStart w:id="259" w:name="_Toc135090186"/>
      <w:r>
        <w:rPr>
          <w:color w:val="auto"/>
        </w:rPr>
        <w:t>大气</w:t>
      </w:r>
      <w:r>
        <w:rPr>
          <w:rFonts w:hint="eastAsia"/>
          <w:color w:val="auto"/>
        </w:rPr>
        <w:t>、</w:t>
      </w:r>
      <w:r>
        <w:rPr>
          <w:color w:val="auto"/>
        </w:rPr>
        <w:t>风险环境保护目标</w:t>
      </w:r>
      <w:bookmarkEnd w:id="252"/>
      <w:bookmarkEnd w:id="253"/>
      <w:bookmarkEnd w:id="254"/>
      <w:bookmarkEnd w:id="255"/>
    </w:p>
    <w:p w14:paraId="3826359D">
      <w:pPr>
        <w:ind w:firstLine="480"/>
        <w:rPr>
          <w:color w:val="auto"/>
        </w:rPr>
      </w:pPr>
      <w:r>
        <w:rPr>
          <w:color w:val="auto"/>
        </w:rPr>
        <w:t>厂址附近区域的环境保护对象及敏感目标见表1.5-1。</w:t>
      </w:r>
    </w:p>
    <w:p w14:paraId="2CE3A207">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1.5</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rFonts w:hint="eastAsia"/>
          <w:color w:val="auto"/>
        </w:rPr>
        <w:t>项目环境空气、风险保护目标</w:t>
      </w:r>
    </w:p>
    <w:tbl>
      <w:tblPr>
        <w:tblStyle w:val="43"/>
        <w:tblW w:w="937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574"/>
        <w:gridCol w:w="436"/>
        <w:gridCol w:w="1669"/>
        <w:gridCol w:w="975"/>
        <w:gridCol w:w="866"/>
        <w:gridCol w:w="786"/>
        <w:gridCol w:w="580"/>
        <w:gridCol w:w="1003"/>
        <w:gridCol w:w="727"/>
        <w:gridCol w:w="533"/>
        <w:gridCol w:w="1228"/>
      </w:tblGrid>
      <w:tr w14:paraId="434366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trPr>
        <w:tc>
          <w:tcPr>
            <w:tcW w:w="574" w:type="dxa"/>
            <w:vMerge w:val="restart"/>
            <w:vAlign w:val="center"/>
          </w:tcPr>
          <w:p w14:paraId="33CB9FCA">
            <w:pPr>
              <w:pStyle w:val="91"/>
              <w:keepNext w:val="0"/>
              <w:keepLines w:val="0"/>
              <w:suppressLineNumbers w:val="0"/>
              <w:spacing w:before="0" w:beforeAutospacing="0" w:after="0" w:afterAutospacing="0"/>
              <w:ind w:left="0" w:right="0"/>
              <w:rPr>
                <w:rFonts w:hint="default"/>
                <w:b/>
                <w:color w:val="auto"/>
                <w:u w:val="single"/>
              </w:rPr>
            </w:pPr>
            <w:r>
              <w:rPr>
                <w:rFonts w:hint="default"/>
                <w:b/>
                <w:color w:val="auto"/>
                <w:u w:val="single"/>
              </w:rPr>
              <w:t>环境要素</w:t>
            </w:r>
          </w:p>
        </w:tc>
        <w:tc>
          <w:tcPr>
            <w:tcW w:w="436" w:type="dxa"/>
            <w:vMerge w:val="restart"/>
            <w:vAlign w:val="center"/>
          </w:tcPr>
          <w:p w14:paraId="25BDD988">
            <w:pPr>
              <w:pStyle w:val="91"/>
              <w:keepNext w:val="0"/>
              <w:keepLines w:val="0"/>
              <w:suppressLineNumbers w:val="0"/>
              <w:spacing w:before="0" w:beforeAutospacing="0" w:after="0" w:afterAutospacing="0"/>
              <w:ind w:left="0" w:right="0"/>
              <w:rPr>
                <w:rFonts w:hint="default"/>
                <w:b/>
                <w:color w:val="auto"/>
                <w:u w:val="single"/>
              </w:rPr>
            </w:pPr>
            <w:r>
              <w:rPr>
                <w:rFonts w:hint="eastAsia"/>
                <w:b/>
                <w:color w:val="auto"/>
                <w:u w:val="single"/>
              </w:rPr>
              <w:t>序号</w:t>
            </w:r>
          </w:p>
        </w:tc>
        <w:tc>
          <w:tcPr>
            <w:tcW w:w="1669" w:type="dxa"/>
            <w:vMerge w:val="restart"/>
            <w:vAlign w:val="center"/>
          </w:tcPr>
          <w:p w14:paraId="7F4F0561">
            <w:pPr>
              <w:pStyle w:val="91"/>
              <w:keepNext w:val="0"/>
              <w:keepLines w:val="0"/>
              <w:suppressLineNumbers w:val="0"/>
              <w:spacing w:before="0" w:beforeAutospacing="0" w:after="0" w:afterAutospacing="0"/>
              <w:ind w:left="0" w:right="0"/>
              <w:rPr>
                <w:rFonts w:hint="default"/>
                <w:b/>
                <w:color w:val="auto"/>
                <w:u w:val="single"/>
              </w:rPr>
            </w:pPr>
            <w:r>
              <w:rPr>
                <w:rFonts w:hint="default"/>
                <w:b/>
                <w:color w:val="auto"/>
                <w:u w:val="single"/>
              </w:rPr>
              <w:t>敏感目标</w:t>
            </w:r>
          </w:p>
        </w:tc>
        <w:tc>
          <w:tcPr>
            <w:tcW w:w="1841" w:type="dxa"/>
            <w:gridSpan w:val="2"/>
            <w:vAlign w:val="center"/>
          </w:tcPr>
          <w:p w14:paraId="158E4550">
            <w:pPr>
              <w:pStyle w:val="91"/>
              <w:keepNext w:val="0"/>
              <w:keepLines w:val="0"/>
              <w:suppressLineNumbers w:val="0"/>
              <w:spacing w:before="0" w:beforeAutospacing="0" w:after="0" w:afterAutospacing="0"/>
              <w:ind w:left="0" w:right="0"/>
              <w:rPr>
                <w:rFonts w:hint="default"/>
                <w:b/>
                <w:color w:val="auto"/>
                <w:u w:val="single"/>
              </w:rPr>
            </w:pPr>
            <w:r>
              <w:rPr>
                <w:rFonts w:hint="default"/>
                <w:b/>
                <w:color w:val="auto"/>
                <w:u w:val="single"/>
              </w:rPr>
              <w:t>坐标</w:t>
            </w:r>
            <w:r>
              <w:rPr>
                <w:rFonts w:hint="eastAsia"/>
                <w:b/>
                <w:color w:val="auto"/>
                <w:u w:val="single"/>
              </w:rPr>
              <w:t>（°）</w:t>
            </w:r>
          </w:p>
        </w:tc>
        <w:tc>
          <w:tcPr>
            <w:tcW w:w="786" w:type="dxa"/>
            <w:vMerge w:val="restart"/>
            <w:vAlign w:val="center"/>
          </w:tcPr>
          <w:p w14:paraId="0E05D745">
            <w:pPr>
              <w:pStyle w:val="91"/>
              <w:keepNext w:val="0"/>
              <w:keepLines w:val="0"/>
              <w:suppressLineNumbers w:val="0"/>
              <w:spacing w:before="0" w:beforeAutospacing="0" w:after="0" w:afterAutospacing="0"/>
              <w:ind w:left="0" w:right="0"/>
              <w:rPr>
                <w:rFonts w:hint="default"/>
                <w:b/>
                <w:color w:val="auto"/>
                <w:u w:val="single"/>
              </w:rPr>
            </w:pPr>
            <w:r>
              <w:rPr>
                <w:rFonts w:hint="default"/>
                <w:b/>
                <w:color w:val="auto"/>
                <w:u w:val="single"/>
              </w:rPr>
              <w:t>保护</w:t>
            </w:r>
          </w:p>
          <w:p w14:paraId="1120374E">
            <w:pPr>
              <w:pStyle w:val="91"/>
              <w:keepNext w:val="0"/>
              <w:keepLines w:val="0"/>
              <w:suppressLineNumbers w:val="0"/>
              <w:spacing w:before="0" w:beforeAutospacing="0" w:after="0" w:afterAutospacing="0"/>
              <w:ind w:left="0" w:right="0"/>
              <w:rPr>
                <w:rFonts w:hint="default"/>
                <w:b/>
                <w:color w:val="auto"/>
                <w:u w:val="single"/>
              </w:rPr>
            </w:pPr>
            <w:r>
              <w:rPr>
                <w:rFonts w:hint="default"/>
                <w:b/>
                <w:color w:val="auto"/>
                <w:u w:val="single"/>
              </w:rPr>
              <w:t>对象</w:t>
            </w:r>
          </w:p>
        </w:tc>
        <w:tc>
          <w:tcPr>
            <w:tcW w:w="580" w:type="dxa"/>
            <w:vMerge w:val="restart"/>
            <w:vAlign w:val="center"/>
          </w:tcPr>
          <w:p w14:paraId="1BF65885">
            <w:pPr>
              <w:pStyle w:val="91"/>
              <w:keepNext w:val="0"/>
              <w:keepLines w:val="0"/>
              <w:suppressLineNumbers w:val="0"/>
              <w:spacing w:before="0" w:beforeAutospacing="0" w:after="0" w:afterAutospacing="0"/>
              <w:ind w:left="0" w:right="0"/>
              <w:rPr>
                <w:rFonts w:hint="default"/>
                <w:b/>
                <w:color w:val="auto"/>
                <w:u w:val="single"/>
              </w:rPr>
            </w:pPr>
            <w:r>
              <w:rPr>
                <w:rFonts w:hint="default"/>
                <w:b/>
                <w:color w:val="auto"/>
                <w:u w:val="single"/>
              </w:rPr>
              <w:t>保护</w:t>
            </w:r>
          </w:p>
          <w:p w14:paraId="54AEAE19">
            <w:pPr>
              <w:pStyle w:val="91"/>
              <w:keepNext w:val="0"/>
              <w:keepLines w:val="0"/>
              <w:suppressLineNumbers w:val="0"/>
              <w:spacing w:before="0" w:beforeAutospacing="0" w:after="0" w:afterAutospacing="0"/>
              <w:ind w:left="0" w:right="0"/>
              <w:rPr>
                <w:rFonts w:hint="default"/>
                <w:b/>
                <w:color w:val="auto"/>
                <w:u w:val="single"/>
              </w:rPr>
            </w:pPr>
            <w:r>
              <w:rPr>
                <w:rFonts w:hint="default"/>
                <w:b/>
                <w:color w:val="auto"/>
                <w:u w:val="single"/>
              </w:rPr>
              <w:t>内容</w:t>
            </w:r>
          </w:p>
        </w:tc>
        <w:tc>
          <w:tcPr>
            <w:tcW w:w="1003" w:type="dxa"/>
            <w:vMerge w:val="restart"/>
            <w:vAlign w:val="center"/>
          </w:tcPr>
          <w:p w14:paraId="4C59CF5F">
            <w:pPr>
              <w:pStyle w:val="91"/>
              <w:keepNext w:val="0"/>
              <w:keepLines w:val="0"/>
              <w:suppressLineNumbers w:val="0"/>
              <w:spacing w:before="0" w:beforeAutospacing="0" w:after="0" w:afterAutospacing="0"/>
              <w:ind w:left="0" w:right="0"/>
              <w:rPr>
                <w:rFonts w:hint="default"/>
                <w:b/>
                <w:color w:val="auto"/>
                <w:u w:val="single"/>
              </w:rPr>
            </w:pPr>
            <w:r>
              <w:rPr>
                <w:rFonts w:hint="default"/>
                <w:b/>
                <w:color w:val="auto"/>
                <w:u w:val="single"/>
              </w:rPr>
              <w:t>规模</w:t>
            </w:r>
            <w:r>
              <w:rPr>
                <w:rFonts w:hint="eastAsia"/>
                <w:b/>
                <w:color w:val="auto"/>
                <w:u w:val="single"/>
              </w:rPr>
              <w:t>（人）</w:t>
            </w:r>
          </w:p>
        </w:tc>
        <w:tc>
          <w:tcPr>
            <w:tcW w:w="727" w:type="dxa"/>
            <w:vMerge w:val="restart"/>
            <w:vAlign w:val="center"/>
          </w:tcPr>
          <w:p w14:paraId="2C7544A2">
            <w:pPr>
              <w:pStyle w:val="91"/>
              <w:keepNext w:val="0"/>
              <w:keepLines w:val="0"/>
              <w:suppressLineNumbers w:val="0"/>
              <w:spacing w:before="0" w:beforeAutospacing="0" w:after="0" w:afterAutospacing="0"/>
              <w:ind w:left="0" w:right="0"/>
              <w:rPr>
                <w:rFonts w:hint="default"/>
                <w:b/>
                <w:color w:val="auto"/>
                <w:u w:val="single"/>
              </w:rPr>
            </w:pPr>
            <w:r>
              <w:rPr>
                <w:rFonts w:hint="default"/>
                <w:b/>
                <w:color w:val="auto"/>
                <w:u w:val="single"/>
              </w:rPr>
              <w:t>环境功能区划</w:t>
            </w:r>
          </w:p>
        </w:tc>
        <w:tc>
          <w:tcPr>
            <w:tcW w:w="533" w:type="dxa"/>
            <w:vMerge w:val="restart"/>
            <w:vAlign w:val="center"/>
          </w:tcPr>
          <w:p w14:paraId="29D6BB84">
            <w:pPr>
              <w:pStyle w:val="91"/>
              <w:keepNext w:val="0"/>
              <w:keepLines w:val="0"/>
              <w:suppressLineNumbers w:val="0"/>
              <w:spacing w:before="0" w:beforeAutospacing="0" w:after="0" w:afterAutospacing="0"/>
              <w:ind w:left="0" w:right="0"/>
              <w:rPr>
                <w:rFonts w:hint="default"/>
                <w:b/>
                <w:color w:val="auto"/>
                <w:u w:val="single"/>
              </w:rPr>
            </w:pPr>
            <w:r>
              <w:rPr>
                <w:rFonts w:hint="default"/>
                <w:b/>
                <w:color w:val="auto"/>
                <w:u w:val="single"/>
              </w:rPr>
              <w:t>相对</w:t>
            </w:r>
          </w:p>
          <w:p w14:paraId="2DE4876D">
            <w:pPr>
              <w:pStyle w:val="91"/>
              <w:keepNext w:val="0"/>
              <w:keepLines w:val="0"/>
              <w:suppressLineNumbers w:val="0"/>
              <w:spacing w:before="0" w:beforeAutospacing="0" w:after="0" w:afterAutospacing="0"/>
              <w:ind w:left="0" w:right="0"/>
              <w:rPr>
                <w:rFonts w:hint="default"/>
                <w:b/>
                <w:color w:val="auto"/>
                <w:u w:val="single"/>
              </w:rPr>
            </w:pPr>
            <w:r>
              <w:rPr>
                <w:rFonts w:hint="default"/>
                <w:b/>
                <w:color w:val="auto"/>
                <w:u w:val="single"/>
              </w:rPr>
              <w:t>方位</w:t>
            </w:r>
          </w:p>
        </w:tc>
        <w:tc>
          <w:tcPr>
            <w:tcW w:w="1228" w:type="dxa"/>
            <w:vMerge w:val="restart"/>
            <w:vAlign w:val="center"/>
          </w:tcPr>
          <w:p w14:paraId="332C3D96">
            <w:pPr>
              <w:pStyle w:val="91"/>
              <w:keepNext w:val="0"/>
              <w:keepLines w:val="0"/>
              <w:suppressLineNumbers w:val="0"/>
              <w:spacing w:before="0" w:beforeAutospacing="0" w:after="0" w:afterAutospacing="0"/>
              <w:ind w:left="0" w:right="0"/>
              <w:rPr>
                <w:rFonts w:hint="default"/>
                <w:b/>
                <w:color w:val="auto"/>
                <w:u w:val="single"/>
              </w:rPr>
            </w:pPr>
            <w:r>
              <w:rPr>
                <w:rFonts w:hint="default"/>
                <w:b/>
                <w:color w:val="auto"/>
                <w:u w:val="single"/>
              </w:rPr>
              <w:t>相对距离（</w:t>
            </w:r>
            <w:r>
              <w:rPr>
                <w:rFonts w:hint="eastAsia"/>
                <w:b/>
                <w:color w:val="auto"/>
                <w:u w:val="single"/>
              </w:rPr>
              <w:t>k</w:t>
            </w:r>
            <w:r>
              <w:rPr>
                <w:rFonts w:hint="default"/>
                <w:b/>
                <w:color w:val="auto"/>
                <w:u w:val="single"/>
              </w:rPr>
              <w:t>m）</w:t>
            </w:r>
          </w:p>
        </w:tc>
      </w:tr>
      <w:tr w14:paraId="55ECBE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90" w:hRule="atLeast"/>
          <w:tblHeader/>
        </w:trPr>
        <w:tc>
          <w:tcPr>
            <w:tcW w:w="574" w:type="dxa"/>
            <w:vMerge w:val="continue"/>
            <w:vAlign w:val="center"/>
          </w:tcPr>
          <w:p w14:paraId="0BD07E39">
            <w:pPr>
              <w:pStyle w:val="91"/>
              <w:keepNext w:val="0"/>
              <w:keepLines w:val="0"/>
              <w:suppressLineNumbers w:val="0"/>
              <w:spacing w:before="0" w:beforeAutospacing="0" w:after="0" w:afterAutospacing="0"/>
              <w:ind w:left="0" w:right="0"/>
              <w:rPr>
                <w:rFonts w:hint="default"/>
                <w:color w:val="auto"/>
                <w:u w:val="single"/>
              </w:rPr>
            </w:pPr>
          </w:p>
        </w:tc>
        <w:tc>
          <w:tcPr>
            <w:tcW w:w="436" w:type="dxa"/>
            <w:vMerge w:val="continue"/>
            <w:vAlign w:val="center"/>
          </w:tcPr>
          <w:p w14:paraId="5887084D">
            <w:pPr>
              <w:pStyle w:val="91"/>
              <w:keepNext w:val="0"/>
              <w:keepLines w:val="0"/>
              <w:suppressLineNumbers w:val="0"/>
              <w:spacing w:before="0" w:beforeAutospacing="0" w:after="0" w:afterAutospacing="0"/>
              <w:ind w:left="0" w:right="0"/>
              <w:rPr>
                <w:rFonts w:hint="default"/>
                <w:color w:val="auto"/>
                <w:u w:val="single"/>
              </w:rPr>
            </w:pPr>
          </w:p>
        </w:tc>
        <w:tc>
          <w:tcPr>
            <w:tcW w:w="1669" w:type="dxa"/>
            <w:vMerge w:val="continue"/>
            <w:vAlign w:val="center"/>
          </w:tcPr>
          <w:p w14:paraId="4F5669A2">
            <w:pPr>
              <w:pStyle w:val="91"/>
              <w:keepNext w:val="0"/>
              <w:keepLines w:val="0"/>
              <w:suppressLineNumbers w:val="0"/>
              <w:spacing w:before="0" w:beforeAutospacing="0" w:after="0" w:afterAutospacing="0"/>
              <w:ind w:left="0" w:right="0"/>
              <w:rPr>
                <w:rFonts w:hint="default"/>
                <w:color w:val="auto"/>
                <w:u w:val="single"/>
              </w:rPr>
            </w:pPr>
          </w:p>
        </w:tc>
        <w:tc>
          <w:tcPr>
            <w:tcW w:w="975" w:type="dxa"/>
            <w:vAlign w:val="center"/>
          </w:tcPr>
          <w:p w14:paraId="411F48C3">
            <w:pPr>
              <w:pStyle w:val="91"/>
              <w:keepNext w:val="0"/>
              <w:keepLines w:val="0"/>
              <w:suppressLineNumbers w:val="0"/>
              <w:spacing w:before="0" w:beforeAutospacing="0" w:after="0" w:afterAutospacing="0"/>
              <w:ind w:left="0" w:right="0"/>
              <w:rPr>
                <w:rFonts w:hint="default"/>
                <w:b/>
                <w:color w:val="auto"/>
                <w:u w:val="single"/>
              </w:rPr>
            </w:pPr>
            <w:r>
              <w:rPr>
                <w:rFonts w:hint="default"/>
                <w:b/>
                <w:color w:val="auto"/>
                <w:u w:val="single"/>
              </w:rPr>
              <w:t>经度</w:t>
            </w:r>
          </w:p>
        </w:tc>
        <w:tc>
          <w:tcPr>
            <w:tcW w:w="866" w:type="dxa"/>
            <w:vAlign w:val="center"/>
          </w:tcPr>
          <w:p w14:paraId="683743AB">
            <w:pPr>
              <w:pStyle w:val="91"/>
              <w:keepNext w:val="0"/>
              <w:keepLines w:val="0"/>
              <w:suppressLineNumbers w:val="0"/>
              <w:spacing w:before="0" w:beforeAutospacing="0" w:after="0" w:afterAutospacing="0"/>
              <w:ind w:left="0" w:right="0"/>
              <w:rPr>
                <w:rFonts w:hint="default"/>
                <w:b/>
                <w:color w:val="auto"/>
                <w:u w:val="single"/>
              </w:rPr>
            </w:pPr>
            <w:r>
              <w:rPr>
                <w:rFonts w:hint="default"/>
                <w:b/>
                <w:color w:val="auto"/>
                <w:u w:val="single"/>
              </w:rPr>
              <w:t>纬度</w:t>
            </w:r>
          </w:p>
        </w:tc>
        <w:tc>
          <w:tcPr>
            <w:tcW w:w="786" w:type="dxa"/>
            <w:vMerge w:val="continue"/>
            <w:vAlign w:val="center"/>
          </w:tcPr>
          <w:p w14:paraId="2B2BE75E">
            <w:pPr>
              <w:pStyle w:val="91"/>
              <w:keepNext w:val="0"/>
              <w:keepLines w:val="0"/>
              <w:suppressLineNumbers w:val="0"/>
              <w:spacing w:before="0" w:beforeAutospacing="0" w:after="0" w:afterAutospacing="0"/>
              <w:ind w:left="0" w:right="0"/>
              <w:rPr>
                <w:rFonts w:hint="default"/>
                <w:color w:val="auto"/>
                <w:u w:val="single"/>
              </w:rPr>
            </w:pPr>
          </w:p>
        </w:tc>
        <w:tc>
          <w:tcPr>
            <w:tcW w:w="580" w:type="dxa"/>
            <w:vMerge w:val="continue"/>
            <w:vAlign w:val="center"/>
          </w:tcPr>
          <w:p w14:paraId="4E57B85F">
            <w:pPr>
              <w:pStyle w:val="91"/>
              <w:keepNext w:val="0"/>
              <w:keepLines w:val="0"/>
              <w:suppressLineNumbers w:val="0"/>
              <w:spacing w:before="0" w:beforeAutospacing="0" w:after="0" w:afterAutospacing="0"/>
              <w:ind w:left="0" w:right="0"/>
              <w:rPr>
                <w:rFonts w:hint="default"/>
                <w:color w:val="auto"/>
                <w:u w:val="single"/>
              </w:rPr>
            </w:pPr>
          </w:p>
        </w:tc>
        <w:tc>
          <w:tcPr>
            <w:tcW w:w="1003" w:type="dxa"/>
            <w:vMerge w:val="continue"/>
            <w:vAlign w:val="center"/>
          </w:tcPr>
          <w:p w14:paraId="1648E955">
            <w:pPr>
              <w:pStyle w:val="91"/>
              <w:keepNext w:val="0"/>
              <w:keepLines w:val="0"/>
              <w:suppressLineNumbers w:val="0"/>
              <w:spacing w:before="0" w:beforeAutospacing="0" w:after="0" w:afterAutospacing="0"/>
              <w:ind w:left="0" w:right="0"/>
              <w:rPr>
                <w:rFonts w:hint="default"/>
                <w:color w:val="auto"/>
                <w:u w:val="single"/>
              </w:rPr>
            </w:pPr>
          </w:p>
        </w:tc>
        <w:tc>
          <w:tcPr>
            <w:tcW w:w="727" w:type="dxa"/>
            <w:vMerge w:val="continue"/>
            <w:vAlign w:val="center"/>
          </w:tcPr>
          <w:p w14:paraId="062C2D09">
            <w:pPr>
              <w:pStyle w:val="91"/>
              <w:keepNext w:val="0"/>
              <w:keepLines w:val="0"/>
              <w:suppressLineNumbers w:val="0"/>
              <w:spacing w:before="0" w:beforeAutospacing="0" w:after="0" w:afterAutospacing="0"/>
              <w:ind w:left="0" w:right="0"/>
              <w:rPr>
                <w:rFonts w:hint="default"/>
                <w:color w:val="auto"/>
                <w:u w:val="single"/>
              </w:rPr>
            </w:pPr>
          </w:p>
        </w:tc>
        <w:tc>
          <w:tcPr>
            <w:tcW w:w="533" w:type="dxa"/>
            <w:vMerge w:val="continue"/>
            <w:vAlign w:val="center"/>
          </w:tcPr>
          <w:p w14:paraId="67C86CDD">
            <w:pPr>
              <w:pStyle w:val="91"/>
              <w:keepNext w:val="0"/>
              <w:keepLines w:val="0"/>
              <w:suppressLineNumbers w:val="0"/>
              <w:spacing w:before="0" w:beforeAutospacing="0" w:after="0" w:afterAutospacing="0"/>
              <w:ind w:left="0" w:right="0"/>
              <w:rPr>
                <w:rFonts w:hint="default"/>
                <w:color w:val="auto"/>
                <w:u w:val="single"/>
              </w:rPr>
            </w:pPr>
          </w:p>
        </w:tc>
        <w:tc>
          <w:tcPr>
            <w:tcW w:w="1228" w:type="dxa"/>
            <w:vMerge w:val="continue"/>
            <w:vAlign w:val="center"/>
          </w:tcPr>
          <w:p w14:paraId="0F0535C7">
            <w:pPr>
              <w:pStyle w:val="91"/>
              <w:keepNext w:val="0"/>
              <w:keepLines w:val="0"/>
              <w:suppressLineNumbers w:val="0"/>
              <w:spacing w:before="0" w:beforeAutospacing="0" w:after="0" w:afterAutospacing="0"/>
              <w:ind w:left="0" w:right="0"/>
              <w:rPr>
                <w:rFonts w:hint="default"/>
                <w:color w:val="auto"/>
                <w:u w:val="single"/>
              </w:rPr>
            </w:pPr>
          </w:p>
        </w:tc>
      </w:tr>
      <w:tr w14:paraId="33031F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restart"/>
            <w:vAlign w:val="center"/>
          </w:tcPr>
          <w:p w14:paraId="76533397">
            <w:pPr>
              <w:pStyle w:val="91"/>
              <w:keepNext w:val="0"/>
              <w:keepLines w:val="0"/>
              <w:suppressLineNumbers w:val="0"/>
              <w:spacing w:before="0" w:beforeAutospacing="0" w:after="0" w:afterAutospacing="0"/>
              <w:ind w:left="0" w:right="0"/>
              <w:rPr>
                <w:rFonts w:hint="default"/>
                <w:b/>
                <w:color w:val="auto"/>
                <w:u w:val="single"/>
              </w:rPr>
            </w:pPr>
            <w:r>
              <w:rPr>
                <w:rFonts w:hint="default"/>
                <w:color w:val="auto"/>
                <w:u w:val="single"/>
              </w:rPr>
              <w:t>大气环境</w:t>
            </w:r>
          </w:p>
        </w:tc>
        <w:tc>
          <w:tcPr>
            <w:tcW w:w="436" w:type="dxa"/>
            <w:vAlign w:val="center"/>
          </w:tcPr>
          <w:p w14:paraId="70EF24AF">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215F3F18">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果子山村</w:t>
            </w:r>
          </w:p>
        </w:tc>
        <w:tc>
          <w:tcPr>
            <w:tcW w:w="975" w:type="dxa"/>
            <w:vAlign w:val="center"/>
          </w:tcPr>
          <w:p w14:paraId="5E043663">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108.595596668</w:t>
            </w:r>
          </w:p>
        </w:tc>
        <w:tc>
          <w:tcPr>
            <w:tcW w:w="866" w:type="dxa"/>
            <w:vAlign w:val="center"/>
          </w:tcPr>
          <w:p w14:paraId="62A7566B">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'21.718829689</w:t>
            </w:r>
          </w:p>
        </w:tc>
        <w:tc>
          <w:tcPr>
            <w:tcW w:w="786" w:type="dxa"/>
            <w:vAlign w:val="center"/>
          </w:tcPr>
          <w:p w14:paraId="48AB3AA3">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居住区</w:t>
            </w:r>
          </w:p>
        </w:tc>
        <w:tc>
          <w:tcPr>
            <w:tcW w:w="580" w:type="dxa"/>
            <w:vAlign w:val="center"/>
          </w:tcPr>
          <w:p w14:paraId="6BF54B0A">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3C4CB7F1">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约</w:t>
            </w:r>
            <w:r>
              <w:rPr>
                <w:rFonts w:hint="default"/>
                <w:color w:val="auto"/>
                <w:u w:val="single"/>
              </w:rPr>
              <w:t>1300</w:t>
            </w:r>
          </w:p>
        </w:tc>
        <w:tc>
          <w:tcPr>
            <w:tcW w:w="727" w:type="dxa"/>
            <w:vMerge w:val="restart"/>
            <w:vAlign w:val="center"/>
          </w:tcPr>
          <w:p w14:paraId="66397563">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二类区</w:t>
            </w:r>
          </w:p>
        </w:tc>
        <w:tc>
          <w:tcPr>
            <w:tcW w:w="533" w:type="dxa"/>
            <w:vAlign w:val="center"/>
          </w:tcPr>
          <w:p w14:paraId="455932D4">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rPr>
              <w:t>西北</w:t>
            </w:r>
          </w:p>
        </w:tc>
        <w:tc>
          <w:tcPr>
            <w:tcW w:w="1228" w:type="dxa"/>
            <w:vAlign w:val="center"/>
          </w:tcPr>
          <w:p w14:paraId="09FFBD05">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2.208</w:t>
            </w:r>
          </w:p>
        </w:tc>
      </w:tr>
      <w:tr w14:paraId="46B1D9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707CAFFD">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7A7868A7">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bottom"/>
          </w:tcPr>
          <w:p w14:paraId="7853D6A9">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钦州港经济技术开发区第四小学</w:t>
            </w:r>
          </w:p>
        </w:tc>
        <w:tc>
          <w:tcPr>
            <w:tcW w:w="975" w:type="dxa"/>
            <w:vAlign w:val="center"/>
          </w:tcPr>
          <w:p w14:paraId="435F054F">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108.595494744</w:t>
            </w:r>
          </w:p>
        </w:tc>
        <w:tc>
          <w:tcPr>
            <w:tcW w:w="866" w:type="dxa"/>
            <w:vAlign w:val="center"/>
          </w:tcPr>
          <w:p w14:paraId="2F5B818A">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21.718695579</w:t>
            </w:r>
          </w:p>
        </w:tc>
        <w:tc>
          <w:tcPr>
            <w:tcW w:w="786" w:type="dxa"/>
            <w:vAlign w:val="center"/>
          </w:tcPr>
          <w:p w14:paraId="64855CCE">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rPr>
              <w:t>学校</w:t>
            </w:r>
          </w:p>
        </w:tc>
        <w:tc>
          <w:tcPr>
            <w:tcW w:w="580" w:type="dxa"/>
            <w:vAlign w:val="center"/>
          </w:tcPr>
          <w:p w14:paraId="6B462439">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rPr>
              <w:t>人群</w:t>
            </w:r>
          </w:p>
        </w:tc>
        <w:tc>
          <w:tcPr>
            <w:tcW w:w="1003" w:type="dxa"/>
            <w:vAlign w:val="center"/>
          </w:tcPr>
          <w:p w14:paraId="7CE8934B">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400</w:t>
            </w:r>
          </w:p>
        </w:tc>
        <w:tc>
          <w:tcPr>
            <w:tcW w:w="727" w:type="dxa"/>
            <w:vMerge w:val="continue"/>
            <w:vAlign w:val="center"/>
          </w:tcPr>
          <w:p w14:paraId="0167965E">
            <w:pPr>
              <w:pStyle w:val="91"/>
              <w:keepNext w:val="0"/>
              <w:keepLines w:val="0"/>
              <w:suppressLineNumbers w:val="0"/>
              <w:spacing w:before="0" w:beforeAutospacing="0" w:after="0" w:afterAutospacing="0"/>
              <w:ind w:left="0" w:right="0"/>
              <w:rPr>
                <w:rFonts w:hint="default"/>
                <w:color w:val="auto"/>
                <w:u w:val="single"/>
              </w:rPr>
            </w:pPr>
          </w:p>
        </w:tc>
        <w:tc>
          <w:tcPr>
            <w:tcW w:w="533" w:type="dxa"/>
          </w:tcPr>
          <w:p w14:paraId="7E0039D5">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rPr>
              <w:t>西北</w:t>
            </w:r>
          </w:p>
        </w:tc>
        <w:tc>
          <w:tcPr>
            <w:tcW w:w="1228" w:type="dxa"/>
            <w:vAlign w:val="bottom"/>
          </w:tcPr>
          <w:p w14:paraId="69B7AE97">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2.3</w:t>
            </w:r>
          </w:p>
        </w:tc>
      </w:tr>
      <w:tr w14:paraId="70595A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38714E86">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6DDE4C89">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bottom"/>
          </w:tcPr>
          <w:p w14:paraId="042B0628">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竹笼</w:t>
            </w:r>
          </w:p>
        </w:tc>
        <w:tc>
          <w:tcPr>
            <w:tcW w:w="975" w:type="dxa"/>
            <w:vAlign w:val="center"/>
          </w:tcPr>
          <w:p w14:paraId="0197CCAE">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108.598965522</w:t>
            </w:r>
          </w:p>
        </w:tc>
        <w:tc>
          <w:tcPr>
            <w:tcW w:w="866" w:type="dxa"/>
            <w:vAlign w:val="center"/>
          </w:tcPr>
          <w:p w14:paraId="3793DFC4">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21.726854859</w:t>
            </w:r>
          </w:p>
        </w:tc>
        <w:tc>
          <w:tcPr>
            <w:tcW w:w="786" w:type="dxa"/>
            <w:vAlign w:val="center"/>
          </w:tcPr>
          <w:p w14:paraId="3EFC30A8">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居住区</w:t>
            </w:r>
          </w:p>
        </w:tc>
        <w:tc>
          <w:tcPr>
            <w:tcW w:w="580" w:type="dxa"/>
            <w:vAlign w:val="center"/>
          </w:tcPr>
          <w:p w14:paraId="6BE362CA">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人群</w:t>
            </w:r>
          </w:p>
        </w:tc>
        <w:tc>
          <w:tcPr>
            <w:tcW w:w="1003" w:type="dxa"/>
            <w:vAlign w:val="center"/>
          </w:tcPr>
          <w:p w14:paraId="0D51BD59">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270</w:t>
            </w:r>
          </w:p>
        </w:tc>
        <w:tc>
          <w:tcPr>
            <w:tcW w:w="727" w:type="dxa"/>
            <w:vMerge w:val="continue"/>
            <w:vAlign w:val="center"/>
          </w:tcPr>
          <w:p w14:paraId="13D9AA6B">
            <w:pPr>
              <w:pStyle w:val="91"/>
              <w:keepNext w:val="0"/>
              <w:keepLines w:val="0"/>
              <w:suppressLineNumbers w:val="0"/>
              <w:spacing w:before="0" w:beforeAutospacing="0" w:after="0" w:afterAutospacing="0"/>
              <w:ind w:left="0" w:right="0"/>
              <w:rPr>
                <w:rFonts w:hint="default"/>
                <w:color w:val="auto"/>
                <w:u w:val="single"/>
              </w:rPr>
            </w:pPr>
          </w:p>
        </w:tc>
        <w:tc>
          <w:tcPr>
            <w:tcW w:w="533" w:type="dxa"/>
          </w:tcPr>
          <w:p w14:paraId="206B8F5C">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西北</w:t>
            </w:r>
          </w:p>
        </w:tc>
        <w:tc>
          <w:tcPr>
            <w:tcW w:w="1228" w:type="dxa"/>
            <w:vAlign w:val="bottom"/>
          </w:tcPr>
          <w:p w14:paraId="596770A5">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2.797</w:t>
            </w:r>
          </w:p>
        </w:tc>
      </w:tr>
      <w:tr w14:paraId="784A41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2F02595E">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082B3D33">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7DD77D07">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滨海社区</w:t>
            </w:r>
          </w:p>
        </w:tc>
        <w:tc>
          <w:tcPr>
            <w:tcW w:w="975" w:type="dxa"/>
            <w:vAlign w:val="center"/>
          </w:tcPr>
          <w:p w14:paraId="4EE47BE4">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108.599341032</w:t>
            </w:r>
          </w:p>
        </w:tc>
        <w:tc>
          <w:tcPr>
            <w:tcW w:w="866" w:type="dxa"/>
            <w:vAlign w:val="center"/>
          </w:tcPr>
          <w:p w14:paraId="2E71A788">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21.731500445</w:t>
            </w:r>
          </w:p>
        </w:tc>
        <w:tc>
          <w:tcPr>
            <w:tcW w:w="786" w:type="dxa"/>
            <w:vAlign w:val="center"/>
          </w:tcPr>
          <w:p w14:paraId="5934CDBE">
            <w:pPr>
              <w:pStyle w:val="91"/>
              <w:keepNext w:val="0"/>
              <w:keepLines w:val="0"/>
              <w:suppressLineNumbers w:val="0"/>
              <w:spacing w:before="0" w:beforeAutospacing="0" w:after="0" w:afterAutospacing="0"/>
              <w:ind w:left="0" w:right="0"/>
              <w:rPr>
                <w:rFonts w:hint="default"/>
                <w:color w:val="auto"/>
                <w:kern w:val="2"/>
                <w:u w:val="single"/>
              </w:rPr>
            </w:pPr>
            <w:r>
              <w:rPr>
                <w:rFonts w:hint="default"/>
                <w:color w:val="auto"/>
                <w:u w:val="single"/>
              </w:rPr>
              <w:t>居住区</w:t>
            </w:r>
          </w:p>
        </w:tc>
        <w:tc>
          <w:tcPr>
            <w:tcW w:w="580" w:type="dxa"/>
            <w:vAlign w:val="center"/>
          </w:tcPr>
          <w:p w14:paraId="59C5DAD9">
            <w:pPr>
              <w:pStyle w:val="91"/>
              <w:keepNext w:val="0"/>
              <w:keepLines w:val="0"/>
              <w:suppressLineNumbers w:val="0"/>
              <w:spacing w:before="0" w:beforeAutospacing="0" w:after="0" w:afterAutospacing="0"/>
              <w:ind w:left="0" w:right="0"/>
              <w:rPr>
                <w:rFonts w:hint="default"/>
                <w:color w:val="auto"/>
                <w:kern w:val="2"/>
                <w:u w:val="single"/>
              </w:rPr>
            </w:pPr>
            <w:r>
              <w:rPr>
                <w:rFonts w:hint="default"/>
                <w:color w:val="auto"/>
                <w:u w:val="single"/>
              </w:rPr>
              <w:t>人群</w:t>
            </w:r>
          </w:p>
        </w:tc>
        <w:tc>
          <w:tcPr>
            <w:tcW w:w="1003" w:type="dxa"/>
            <w:vAlign w:val="center"/>
          </w:tcPr>
          <w:p w14:paraId="16699518">
            <w:pPr>
              <w:pStyle w:val="91"/>
              <w:keepNext w:val="0"/>
              <w:keepLines w:val="0"/>
              <w:suppressLineNumbers w:val="0"/>
              <w:spacing w:before="0" w:beforeAutospacing="0" w:after="0" w:afterAutospacing="0"/>
              <w:ind w:left="0" w:right="0"/>
              <w:rPr>
                <w:rFonts w:hint="default"/>
                <w:color w:val="auto"/>
                <w:kern w:val="2"/>
                <w:u w:val="single"/>
              </w:rPr>
            </w:pPr>
            <w:r>
              <w:rPr>
                <w:rFonts w:hint="default"/>
                <w:color w:val="auto"/>
                <w:u w:val="single"/>
              </w:rPr>
              <w:t>18000</w:t>
            </w:r>
          </w:p>
        </w:tc>
        <w:tc>
          <w:tcPr>
            <w:tcW w:w="727" w:type="dxa"/>
            <w:vMerge w:val="continue"/>
            <w:vAlign w:val="center"/>
          </w:tcPr>
          <w:p w14:paraId="6B898086">
            <w:pPr>
              <w:pStyle w:val="91"/>
              <w:keepNext w:val="0"/>
              <w:keepLines w:val="0"/>
              <w:suppressLineNumbers w:val="0"/>
              <w:spacing w:before="0" w:beforeAutospacing="0" w:after="0" w:afterAutospacing="0"/>
              <w:ind w:left="0" w:right="0"/>
              <w:rPr>
                <w:rFonts w:hint="default"/>
                <w:color w:val="auto"/>
                <w:kern w:val="2"/>
                <w:u w:val="single"/>
              </w:rPr>
            </w:pPr>
          </w:p>
        </w:tc>
        <w:tc>
          <w:tcPr>
            <w:tcW w:w="533" w:type="dxa"/>
          </w:tcPr>
          <w:p w14:paraId="15148779">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西北</w:t>
            </w:r>
          </w:p>
        </w:tc>
        <w:tc>
          <w:tcPr>
            <w:tcW w:w="1228" w:type="dxa"/>
            <w:vAlign w:val="center"/>
          </w:tcPr>
          <w:p w14:paraId="4F9DEAEC">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3.321</w:t>
            </w:r>
          </w:p>
        </w:tc>
      </w:tr>
      <w:tr w14:paraId="2941C9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3A254BB0">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43D5710F">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6E5F2948">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金港花园</w:t>
            </w:r>
          </w:p>
        </w:tc>
        <w:tc>
          <w:tcPr>
            <w:tcW w:w="975" w:type="dxa"/>
            <w:vAlign w:val="center"/>
          </w:tcPr>
          <w:p w14:paraId="53BFB161">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108.590296623</w:t>
            </w:r>
          </w:p>
        </w:tc>
        <w:tc>
          <w:tcPr>
            <w:tcW w:w="866" w:type="dxa"/>
            <w:vAlign w:val="center"/>
          </w:tcPr>
          <w:p w14:paraId="7C04CAC0">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21.731951056</w:t>
            </w:r>
          </w:p>
        </w:tc>
        <w:tc>
          <w:tcPr>
            <w:tcW w:w="786" w:type="dxa"/>
            <w:vAlign w:val="center"/>
          </w:tcPr>
          <w:p w14:paraId="5EE312E5">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居民点</w:t>
            </w:r>
          </w:p>
        </w:tc>
        <w:tc>
          <w:tcPr>
            <w:tcW w:w="580" w:type="dxa"/>
            <w:vAlign w:val="center"/>
          </w:tcPr>
          <w:p w14:paraId="4858D1CD">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127593EC">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约200人</w:t>
            </w:r>
          </w:p>
        </w:tc>
        <w:tc>
          <w:tcPr>
            <w:tcW w:w="727" w:type="dxa"/>
            <w:vMerge w:val="continue"/>
            <w:vAlign w:val="center"/>
          </w:tcPr>
          <w:p w14:paraId="43B86E2B">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1567529F">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西北</w:t>
            </w:r>
          </w:p>
        </w:tc>
        <w:tc>
          <w:tcPr>
            <w:tcW w:w="1228" w:type="dxa"/>
            <w:vAlign w:val="center"/>
          </w:tcPr>
          <w:p w14:paraId="37D95FED">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3.74</w:t>
            </w:r>
          </w:p>
        </w:tc>
      </w:tr>
      <w:tr w14:paraId="773D59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5BDB7156">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0C97E18A">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39B410D3">
            <w:pPr>
              <w:pStyle w:val="91"/>
              <w:keepNext w:val="0"/>
              <w:keepLines w:val="0"/>
              <w:suppressLineNumbers w:val="0"/>
              <w:spacing w:before="0" w:beforeAutospacing="0" w:after="0" w:afterAutospacing="0"/>
              <w:ind w:left="0" w:right="0"/>
              <w:rPr>
                <w:rFonts w:hint="eastAsia"/>
                <w:color w:val="auto"/>
                <w:u w:val="single"/>
              </w:rPr>
            </w:pPr>
            <w:r>
              <w:rPr>
                <w:rFonts w:hint="eastAsia" w:hAnsi="Times New Roman"/>
                <w:color w:val="auto"/>
                <w:u w:val="single"/>
              </w:rPr>
              <w:t>钦州海事局</w:t>
            </w:r>
            <w:r>
              <w:rPr>
                <w:rFonts w:hint="default" w:hAnsi="Times New Roman"/>
                <w:color w:val="auto"/>
                <w:u w:val="single"/>
              </w:rPr>
              <w:t>指挥中心</w:t>
            </w:r>
          </w:p>
        </w:tc>
        <w:tc>
          <w:tcPr>
            <w:tcW w:w="975" w:type="dxa"/>
            <w:vAlign w:val="center"/>
          </w:tcPr>
          <w:p w14:paraId="4BF63024">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108.593268510</w:t>
            </w:r>
          </w:p>
        </w:tc>
        <w:tc>
          <w:tcPr>
            <w:tcW w:w="866" w:type="dxa"/>
            <w:vAlign w:val="center"/>
          </w:tcPr>
          <w:p w14:paraId="3EA1A57A">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21.729440508</w:t>
            </w:r>
          </w:p>
        </w:tc>
        <w:tc>
          <w:tcPr>
            <w:tcW w:w="786" w:type="dxa"/>
            <w:vAlign w:val="center"/>
          </w:tcPr>
          <w:p w14:paraId="5A560F56">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行政机关</w:t>
            </w:r>
          </w:p>
        </w:tc>
        <w:tc>
          <w:tcPr>
            <w:tcW w:w="580" w:type="dxa"/>
            <w:vAlign w:val="center"/>
          </w:tcPr>
          <w:p w14:paraId="3297442A">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701EC4A4">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约50人</w:t>
            </w:r>
          </w:p>
        </w:tc>
        <w:tc>
          <w:tcPr>
            <w:tcW w:w="727" w:type="dxa"/>
            <w:vMerge w:val="continue"/>
            <w:vAlign w:val="center"/>
          </w:tcPr>
          <w:p w14:paraId="676AA90F">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01E48A6E">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西北</w:t>
            </w:r>
          </w:p>
        </w:tc>
        <w:tc>
          <w:tcPr>
            <w:tcW w:w="1228" w:type="dxa"/>
            <w:vAlign w:val="center"/>
          </w:tcPr>
          <w:p w14:paraId="379F599B">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3.36</w:t>
            </w:r>
          </w:p>
        </w:tc>
      </w:tr>
      <w:tr w14:paraId="117441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7CD61684">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3C2AC242">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4F6B4501">
            <w:pPr>
              <w:pStyle w:val="91"/>
              <w:keepNext w:val="0"/>
              <w:keepLines w:val="0"/>
              <w:suppressLineNumbers w:val="0"/>
              <w:spacing w:before="0" w:beforeAutospacing="0" w:after="0" w:afterAutospacing="0"/>
              <w:ind w:left="0" w:right="0"/>
              <w:rPr>
                <w:rFonts w:hint="eastAsia" w:hAnsi="Times New Roman"/>
                <w:color w:val="auto"/>
                <w:u w:val="single"/>
              </w:rPr>
            </w:pPr>
            <w:r>
              <w:rPr>
                <w:rFonts w:hint="eastAsia" w:hAnsi="Times New Roman"/>
                <w:color w:val="auto"/>
                <w:u w:val="single"/>
              </w:rPr>
              <w:t>三块田</w:t>
            </w:r>
            <w:r>
              <w:rPr>
                <w:rFonts w:hint="default" w:hAnsi="Times New Roman"/>
                <w:color w:val="auto"/>
                <w:u w:val="single"/>
              </w:rPr>
              <w:t>村</w:t>
            </w:r>
          </w:p>
        </w:tc>
        <w:tc>
          <w:tcPr>
            <w:tcW w:w="975" w:type="dxa"/>
            <w:vAlign w:val="center"/>
          </w:tcPr>
          <w:p w14:paraId="614307D6">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108.603557464</w:t>
            </w:r>
          </w:p>
        </w:tc>
        <w:tc>
          <w:tcPr>
            <w:tcW w:w="866" w:type="dxa"/>
            <w:vAlign w:val="center"/>
          </w:tcPr>
          <w:p w14:paraId="639079BA">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21.738238154</w:t>
            </w:r>
          </w:p>
        </w:tc>
        <w:tc>
          <w:tcPr>
            <w:tcW w:w="786" w:type="dxa"/>
            <w:vAlign w:val="center"/>
          </w:tcPr>
          <w:p w14:paraId="389ABE5F">
            <w:pPr>
              <w:pStyle w:val="91"/>
              <w:keepNext w:val="0"/>
              <w:keepLines w:val="0"/>
              <w:suppressLineNumbers w:val="0"/>
              <w:spacing w:before="0" w:beforeAutospacing="0" w:after="0" w:afterAutospacing="0"/>
              <w:ind w:left="0" w:right="0"/>
              <w:rPr>
                <w:rFonts w:hint="default" w:hAnsi="Times New Roman"/>
                <w:color w:val="auto"/>
                <w:u w:val="single"/>
              </w:rPr>
            </w:pPr>
            <w:r>
              <w:rPr>
                <w:rFonts w:hint="default" w:hAnsi="Times New Roman"/>
                <w:color w:val="auto"/>
                <w:u w:val="single"/>
              </w:rPr>
              <w:t>居民点</w:t>
            </w:r>
          </w:p>
        </w:tc>
        <w:tc>
          <w:tcPr>
            <w:tcW w:w="580" w:type="dxa"/>
            <w:vAlign w:val="center"/>
          </w:tcPr>
          <w:p w14:paraId="23860846">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67F81D06">
            <w:pPr>
              <w:pStyle w:val="91"/>
              <w:keepNext w:val="0"/>
              <w:keepLines w:val="0"/>
              <w:suppressLineNumbers w:val="0"/>
              <w:spacing w:before="0" w:beforeAutospacing="0" w:after="0" w:afterAutospacing="0"/>
              <w:ind w:left="0" w:right="0"/>
              <w:rPr>
                <w:rFonts w:hint="default" w:hAnsi="Times New Roman"/>
                <w:color w:val="auto"/>
                <w:u w:val="single"/>
              </w:rPr>
            </w:pPr>
            <w:r>
              <w:rPr>
                <w:rFonts w:hint="default" w:hAnsi="Times New Roman"/>
                <w:color w:val="auto"/>
                <w:u w:val="single"/>
              </w:rPr>
              <w:t>约200人</w:t>
            </w:r>
          </w:p>
        </w:tc>
        <w:tc>
          <w:tcPr>
            <w:tcW w:w="727" w:type="dxa"/>
            <w:vMerge w:val="continue"/>
            <w:vAlign w:val="center"/>
          </w:tcPr>
          <w:p w14:paraId="347E66D7">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703C2304">
            <w:pPr>
              <w:pStyle w:val="91"/>
              <w:keepNext w:val="0"/>
              <w:keepLines w:val="0"/>
              <w:suppressLineNumbers w:val="0"/>
              <w:spacing w:before="0" w:beforeAutospacing="0" w:after="0" w:afterAutospacing="0"/>
              <w:ind w:left="0" w:right="0"/>
              <w:rPr>
                <w:rFonts w:hint="default" w:hAnsi="Times New Roman"/>
                <w:color w:val="auto"/>
                <w:u w:val="single"/>
              </w:rPr>
            </w:pPr>
            <w:r>
              <w:rPr>
                <w:rFonts w:hint="default" w:hAnsi="Times New Roman"/>
                <w:color w:val="auto"/>
                <w:u w:val="single"/>
              </w:rPr>
              <w:t>西北</w:t>
            </w:r>
          </w:p>
        </w:tc>
        <w:tc>
          <w:tcPr>
            <w:tcW w:w="1228" w:type="dxa"/>
            <w:vAlign w:val="center"/>
          </w:tcPr>
          <w:p w14:paraId="4E183348">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rPr>
              <w:t>3.6</w:t>
            </w:r>
          </w:p>
        </w:tc>
      </w:tr>
      <w:tr w14:paraId="1DF16D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07965AE6">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2E29F143">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1A196AAA">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佛子坳村</w:t>
            </w:r>
          </w:p>
        </w:tc>
        <w:tc>
          <w:tcPr>
            <w:tcW w:w="975" w:type="dxa"/>
            <w:vAlign w:val="center"/>
          </w:tcPr>
          <w:p w14:paraId="5C1DAEA2">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108.604587432</w:t>
            </w:r>
          </w:p>
        </w:tc>
        <w:tc>
          <w:tcPr>
            <w:tcW w:w="866" w:type="dxa"/>
            <w:vAlign w:val="center"/>
          </w:tcPr>
          <w:p w14:paraId="79C16380">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21.742915926</w:t>
            </w:r>
          </w:p>
        </w:tc>
        <w:tc>
          <w:tcPr>
            <w:tcW w:w="786" w:type="dxa"/>
            <w:vAlign w:val="center"/>
          </w:tcPr>
          <w:p w14:paraId="0B131FDD">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居民点</w:t>
            </w:r>
          </w:p>
        </w:tc>
        <w:tc>
          <w:tcPr>
            <w:tcW w:w="580" w:type="dxa"/>
            <w:vAlign w:val="center"/>
          </w:tcPr>
          <w:p w14:paraId="77BA0639">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368DA79A">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约1000人</w:t>
            </w:r>
          </w:p>
        </w:tc>
        <w:tc>
          <w:tcPr>
            <w:tcW w:w="727" w:type="dxa"/>
            <w:vMerge w:val="continue"/>
            <w:vAlign w:val="center"/>
          </w:tcPr>
          <w:p w14:paraId="73639230">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4DEC3412">
            <w:pPr>
              <w:pStyle w:val="91"/>
              <w:keepNext w:val="0"/>
              <w:keepLines w:val="0"/>
              <w:suppressLineNumbers w:val="0"/>
              <w:spacing w:before="0" w:beforeAutospacing="0" w:after="0" w:afterAutospacing="0"/>
              <w:ind w:left="0" w:right="0"/>
              <w:rPr>
                <w:rFonts w:hint="default"/>
                <w:color w:val="auto"/>
                <w:u w:val="single"/>
              </w:rPr>
            </w:pPr>
            <w:r>
              <w:rPr>
                <w:rFonts w:hint="eastAsia" w:hAnsi="Times New Roman"/>
                <w:color w:val="auto"/>
                <w:u w:val="single"/>
              </w:rPr>
              <w:t>西</w:t>
            </w:r>
            <w:r>
              <w:rPr>
                <w:rFonts w:hint="default" w:hAnsi="Times New Roman"/>
                <w:color w:val="auto"/>
                <w:u w:val="single"/>
              </w:rPr>
              <w:t>北</w:t>
            </w:r>
          </w:p>
        </w:tc>
        <w:tc>
          <w:tcPr>
            <w:tcW w:w="1228" w:type="dxa"/>
            <w:vAlign w:val="center"/>
          </w:tcPr>
          <w:p w14:paraId="79968175">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4.14</w:t>
            </w:r>
          </w:p>
        </w:tc>
      </w:tr>
      <w:tr w14:paraId="742F8A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51FFB541">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59D96377">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03C9B8CE">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亚路江社区</w:t>
            </w:r>
          </w:p>
        </w:tc>
        <w:tc>
          <w:tcPr>
            <w:tcW w:w="975" w:type="dxa"/>
            <w:vAlign w:val="center"/>
          </w:tcPr>
          <w:p w14:paraId="6CC371E1">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108.605633494</w:t>
            </w:r>
          </w:p>
        </w:tc>
        <w:tc>
          <w:tcPr>
            <w:tcW w:w="866" w:type="dxa"/>
            <w:vAlign w:val="center"/>
          </w:tcPr>
          <w:p w14:paraId="20F4A3AD">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21.747647343,</w:t>
            </w:r>
          </w:p>
        </w:tc>
        <w:tc>
          <w:tcPr>
            <w:tcW w:w="786" w:type="dxa"/>
            <w:vAlign w:val="center"/>
          </w:tcPr>
          <w:p w14:paraId="6437DCB7">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居民点</w:t>
            </w:r>
          </w:p>
        </w:tc>
        <w:tc>
          <w:tcPr>
            <w:tcW w:w="580" w:type="dxa"/>
            <w:vAlign w:val="center"/>
          </w:tcPr>
          <w:p w14:paraId="4E1B5383">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095FAC2C">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约1200人</w:t>
            </w:r>
          </w:p>
        </w:tc>
        <w:tc>
          <w:tcPr>
            <w:tcW w:w="727" w:type="dxa"/>
            <w:vMerge w:val="continue"/>
            <w:vAlign w:val="center"/>
          </w:tcPr>
          <w:p w14:paraId="365CD6D2">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22AA1108">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北</w:t>
            </w:r>
          </w:p>
        </w:tc>
        <w:tc>
          <w:tcPr>
            <w:tcW w:w="1228" w:type="dxa"/>
            <w:vAlign w:val="center"/>
          </w:tcPr>
          <w:p w14:paraId="715C121B">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4.67</w:t>
            </w:r>
          </w:p>
        </w:tc>
      </w:tr>
      <w:tr w14:paraId="12F42E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69242703">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2AF97B14">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3FF371B4">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旧村</w:t>
            </w:r>
          </w:p>
        </w:tc>
        <w:tc>
          <w:tcPr>
            <w:tcW w:w="975" w:type="dxa"/>
            <w:vAlign w:val="center"/>
          </w:tcPr>
          <w:p w14:paraId="795DCC25">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108.620664593</w:t>
            </w:r>
          </w:p>
        </w:tc>
        <w:tc>
          <w:tcPr>
            <w:tcW w:w="866" w:type="dxa"/>
            <w:vAlign w:val="center"/>
          </w:tcPr>
          <w:p w14:paraId="1E6DABC4">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21.745372830</w:t>
            </w:r>
          </w:p>
        </w:tc>
        <w:tc>
          <w:tcPr>
            <w:tcW w:w="786" w:type="dxa"/>
            <w:vAlign w:val="center"/>
          </w:tcPr>
          <w:p w14:paraId="70634FA6">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居民点</w:t>
            </w:r>
          </w:p>
        </w:tc>
        <w:tc>
          <w:tcPr>
            <w:tcW w:w="580" w:type="dxa"/>
            <w:vAlign w:val="center"/>
          </w:tcPr>
          <w:p w14:paraId="2CF37E27">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143B78E9">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约459人</w:t>
            </w:r>
          </w:p>
        </w:tc>
        <w:tc>
          <w:tcPr>
            <w:tcW w:w="727" w:type="dxa"/>
            <w:vMerge w:val="continue"/>
            <w:vAlign w:val="center"/>
          </w:tcPr>
          <w:p w14:paraId="489A34D9">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5EEA3721">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东北</w:t>
            </w:r>
          </w:p>
        </w:tc>
        <w:tc>
          <w:tcPr>
            <w:tcW w:w="1228" w:type="dxa"/>
            <w:vAlign w:val="center"/>
          </w:tcPr>
          <w:p w14:paraId="5A51E612">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4.75</w:t>
            </w:r>
          </w:p>
        </w:tc>
      </w:tr>
      <w:tr w14:paraId="02DB79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3510331B">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498552CC">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1AC63A99">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沙岗头村</w:t>
            </w:r>
          </w:p>
        </w:tc>
        <w:tc>
          <w:tcPr>
            <w:tcW w:w="975" w:type="dxa"/>
            <w:vAlign w:val="center"/>
          </w:tcPr>
          <w:p w14:paraId="41C2B4EE">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108.627606150</w:t>
            </w:r>
          </w:p>
        </w:tc>
        <w:tc>
          <w:tcPr>
            <w:tcW w:w="866" w:type="dxa"/>
            <w:vAlign w:val="center"/>
          </w:tcPr>
          <w:p w14:paraId="65A3F4E3">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21.742937384</w:t>
            </w:r>
          </w:p>
        </w:tc>
        <w:tc>
          <w:tcPr>
            <w:tcW w:w="786" w:type="dxa"/>
            <w:vAlign w:val="center"/>
          </w:tcPr>
          <w:p w14:paraId="5DF68DEB">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居民点</w:t>
            </w:r>
          </w:p>
        </w:tc>
        <w:tc>
          <w:tcPr>
            <w:tcW w:w="580" w:type="dxa"/>
          </w:tcPr>
          <w:p w14:paraId="56AF47F6">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1D688F2C">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约300人</w:t>
            </w:r>
          </w:p>
        </w:tc>
        <w:tc>
          <w:tcPr>
            <w:tcW w:w="727" w:type="dxa"/>
            <w:vMerge w:val="continue"/>
            <w:vAlign w:val="center"/>
          </w:tcPr>
          <w:p w14:paraId="4F49468D">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49247892">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东北</w:t>
            </w:r>
          </w:p>
        </w:tc>
        <w:tc>
          <w:tcPr>
            <w:tcW w:w="1228" w:type="dxa"/>
            <w:vAlign w:val="center"/>
          </w:tcPr>
          <w:p w14:paraId="173261B7">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4.43</w:t>
            </w:r>
          </w:p>
        </w:tc>
      </w:tr>
      <w:tr w14:paraId="70AFE1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20880878">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1DB9A6BB">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763E242E">
            <w:pPr>
              <w:pStyle w:val="91"/>
              <w:keepNext w:val="0"/>
              <w:keepLines w:val="0"/>
              <w:suppressLineNumbers w:val="0"/>
              <w:spacing w:before="0" w:beforeAutospacing="0" w:after="0" w:afterAutospacing="0"/>
              <w:ind w:left="0" w:right="0"/>
              <w:rPr>
                <w:rFonts w:hint="eastAsia" w:hAnsi="Times New Roman"/>
                <w:color w:val="auto"/>
                <w:u w:val="single"/>
              </w:rPr>
            </w:pPr>
            <w:r>
              <w:rPr>
                <w:rFonts w:hint="eastAsia" w:hAnsi="Times New Roman"/>
                <w:color w:val="auto"/>
                <w:u w:val="single"/>
              </w:rPr>
              <w:t>金鼓村</w:t>
            </w:r>
          </w:p>
        </w:tc>
        <w:tc>
          <w:tcPr>
            <w:tcW w:w="975" w:type="dxa"/>
            <w:vAlign w:val="center"/>
          </w:tcPr>
          <w:p w14:paraId="48FEE728">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108.642808911</w:t>
            </w:r>
          </w:p>
        </w:tc>
        <w:tc>
          <w:tcPr>
            <w:tcW w:w="866" w:type="dxa"/>
            <w:vAlign w:val="center"/>
          </w:tcPr>
          <w:p w14:paraId="75F6B97A">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21.738629756</w:t>
            </w:r>
          </w:p>
        </w:tc>
        <w:tc>
          <w:tcPr>
            <w:tcW w:w="786" w:type="dxa"/>
            <w:vAlign w:val="center"/>
          </w:tcPr>
          <w:p w14:paraId="15367642">
            <w:pPr>
              <w:pStyle w:val="91"/>
              <w:keepNext w:val="0"/>
              <w:keepLines w:val="0"/>
              <w:suppressLineNumbers w:val="0"/>
              <w:spacing w:before="0" w:beforeAutospacing="0" w:after="0" w:afterAutospacing="0"/>
              <w:ind w:left="0" w:right="0"/>
              <w:rPr>
                <w:rFonts w:hint="default" w:hAnsi="Times New Roman"/>
                <w:color w:val="auto"/>
                <w:u w:val="single"/>
              </w:rPr>
            </w:pPr>
            <w:r>
              <w:rPr>
                <w:rFonts w:hint="default" w:hAnsi="Times New Roman"/>
                <w:color w:val="auto"/>
                <w:u w:val="single"/>
              </w:rPr>
              <w:t>居民点</w:t>
            </w:r>
          </w:p>
        </w:tc>
        <w:tc>
          <w:tcPr>
            <w:tcW w:w="580" w:type="dxa"/>
          </w:tcPr>
          <w:p w14:paraId="65637C0B">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349AA96F">
            <w:pPr>
              <w:pStyle w:val="91"/>
              <w:keepNext w:val="0"/>
              <w:keepLines w:val="0"/>
              <w:suppressLineNumbers w:val="0"/>
              <w:spacing w:before="0" w:beforeAutospacing="0" w:after="0" w:afterAutospacing="0"/>
              <w:ind w:left="0" w:right="0"/>
              <w:rPr>
                <w:rFonts w:hint="default" w:hAnsi="Times New Roman"/>
                <w:color w:val="auto"/>
                <w:u w:val="single"/>
              </w:rPr>
            </w:pPr>
            <w:r>
              <w:rPr>
                <w:rFonts w:hint="eastAsia" w:hAnsi="Times New Roman"/>
                <w:color w:val="auto"/>
                <w:u w:val="single"/>
              </w:rPr>
              <w:t>1300</w:t>
            </w:r>
          </w:p>
        </w:tc>
        <w:tc>
          <w:tcPr>
            <w:tcW w:w="727" w:type="dxa"/>
            <w:vMerge w:val="continue"/>
            <w:vAlign w:val="center"/>
          </w:tcPr>
          <w:p w14:paraId="2C62CF55">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65B8B8B5">
            <w:pPr>
              <w:pStyle w:val="91"/>
              <w:keepNext w:val="0"/>
              <w:keepLines w:val="0"/>
              <w:suppressLineNumbers w:val="0"/>
              <w:spacing w:before="0" w:beforeAutospacing="0" w:after="0" w:afterAutospacing="0"/>
              <w:ind w:left="0" w:right="0"/>
              <w:rPr>
                <w:rFonts w:hint="default" w:hAnsi="Times New Roman"/>
                <w:color w:val="auto"/>
                <w:u w:val="single"/>
              </w:rPr>
            </w:pPr>
            <w:r>
              <w:rPr>
                <w:rFonts w:hint="default" w:hAnsi="Times New Roman"/>
                <w:color w:val="auto"/>
                <w:u w:val="single"/>
              </w:rPr>
              <w:t>东北</w:t>
            </w:r>
          </w:p>
        </w:tc>
        <w:tc>
          <w:tcPr>
            <w:tcW w:w="1228" w:type="dxa"/>
            <w:vAlign w:val="center"/>
          </w:tcPr>
          <w:p w14:paraId="7A92E6DF">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rPr>
              <w:t>4.8</w:t>
            </w:r>
          </w:p>
        </w:tc>
      </w:tr>
      <w:tr w14:paraId="33499E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4D4E724F">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55841272">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46C47FC6">
            <w:pPr>
              <w:pStyle w:val="91"/>
              <w:keepNext w:val="0"/>
              <w:keepLines w:val="0"/>
              <w:suppressLineNumbers w:val="0"/>
              <w:spacing w:before="0" w:beforeAutospacing="0" w:after="0" w:afterAutospacing="0"/>
              <w:ind w:left="0" w:right="0"/>
              <w:rPr>
                <w:rFonts w:hint="eastAsia" w:hAnsi="Times New Roman"/>
                <w:color w:val="auto"/>
                <w:u w:val="single"/>
              </w:rPr>
            </w:pPr>
            <w:r>
              <w:rPr>
                <w:rFonts w:hint="eastAsia" w:hAnsi="Times New Roman"/>
                <w:color w:val="auto"/>
                <w:u w:val="single"/>
              </w:rPr>
              <w:t>淡水湾</w:t>
            </w:r>
            <w:r>
              <w:rPr>
                <w:rFonts w:hint="default" w:hAnsi="Times New Roman"/>
                <w:color w:val="auto"/>
                <w:u w:val="single"/>
              </w:rPr>
              <w:t>村</w:t>
            </w:r>
          </w:p>
        </w:tc>
        <w:tc>
          <w:tcPr>
            <w:tcW w:w="975" w:type="dxa"/>
            <w:vAlign w:val="center"/>
          </w:tcPr>
          <w:p w14:paraId="7B669908">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108.648613211</w:t>
            </w:r>
          </w:p>
        </w:tc>
        <w:tc>
          <w:tcPr>
            <w:tcW w:w="866" w:type="dxa"/>
            <w:vAlign w:val="center"/>
          </w:tcPr>
          <w:p w14:paraId="2A09BA66">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21.726468621</w:t>
            </w:r>
          </w:p>
        </w:tc>
        <w:tc>
          <w:tcPr>
            <w:tcW w:w="786" w:type="dxa"/>
            <w:vAlign w:val="center"/>
          </w:tcPr>
          <w:p w14:paraId="5240A382">
            <w:pPr>
              <w:pStyle w:val="91"/>
              <w:keepNext w:val="0"/>
              <w:keepLines w:val="0"/>
              <w:suppressLineNumbers w:val="0"/>
              <w:spacing w:before="0" w:beforeAutospacing="0" w:after="0" w:afterAutospacing="0"/>
              <w:ind w:left="0" w:right="0"/>
              <w:rPr>
                <w:rFonts w:hint="default" w:hAnsi="Times New Roman"/>
                <w:color w:val="auto"/>
                <w:u w:val="single"/>
              </w:rPr>
            </w:pPr>
            <w:r>
              <w:rPr>
                <w:rFonts w:hint="default" w:hAnsi="Times New Roman"/>
                <w:color w:val="auto"/>
                <w:u w:val="single"/>
              </w:rPr>
              <w:t>居民点</w:t>
            </w:r>
          </w:p>
        </w:tc>
        <w:tc>
          <w:tcPr>
            <w:tcW w:w="580" w:type="dxa"/>
          </w:tcPr>
          <w:p w14:paraId="14CDA4DF">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303AAF0B">
            <w:pPr>
              <w:pStyle w:val="91"/>
              <w:keepNext w:val="0"/>
              <w:keepLines w:val="0"/>
              <w:suppressLineNumbers w:val="0"/>
              <w:spacing w:before="0" w:beforeAutospacing="0" w:after="0" w:afterAutospacing="0"/>
              <w:ind w:left="0" w:right="0"/>
              <w:rPr>
                <w:rFonts w:hint="default" w:hAnsi="Times New Roman"/>
                <w:color w:val="auto"/>
                <w:u w:val="single"/>
              </w:rPr>
            </w:pPr>
            <w:r>
              <w:rPr>
                <w:rFonts w:hint="default" w:hAnsi="Times New Roman"/>
                <w:color w:val="auto"/>
                <w:u w:val="single"/>
              </w:rPr>
              <w:t>约</w:t>
            </w:r>
            <w:r>
              <w:rPr>
                <w:rFonts w:hint="eastAsia" w:hAnsi="Times New Roman"/>
                <w:color w:val="auto"/>
                <w:u w:val="single"/>
              </w:rPr>
              <w:t>2</w:t>
            </w:r>
            <w:r>
              <w:rPr>
                <w:rFonts w:hint="default" w:hAnsi="Times New Roman"/>
                <w:color w:val="auto"/>
                <w:u w:val="single"/>
              </w:rPr>
              <w:t>00人</w:t>
            </w:r>
          </w:p>
        </w:tc>
        <w:tc>
          <w:tcPr>
            <w:tcW w:w="727" w:type="dxa"/>
            <w:vMerge w:val="continue"/>
            <w:vAlign w:val="center"/>
          </w:tcPr>
          <w:p w14:paraId="5659FD08">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554CF30C">
            <w:pPr>
              <w:pStyle w:val="91"/>
              <w:keepNext w:val="0"/>
              <w:keepLines w:val="0"/>
              <w:suppressLineNumbers w:val="0"/>
              <w:spacing w:before="0" w:beforeAutospacing="0" w:after="0" w:afterAutospacing="0"/>
              <w:ind w:left="0" w:right="0"/>
              <w:rPr>
                <w:rFonts w:hint="default" w:hAnsi="Times New Roman"/>
                <w:color w:val="auto"/>
                <w:u w:val="single"/>
              </w:rPr>
            </w:pPr>
            <w:r>
              <w:rPr>
                <w:rFonts w:hint="default" w:hAnsi="Times New Roman"/>
                <w:color w:val="auto"/>
                <w:u w:val="single"/>
              </w:rPr>
              <w:t>东北</w:t>
            </w:r>
          </w:p>
        </w:tc>
        <w:tc>
          <w:tcPr>
            <w:tcW w:w="1228" w:type="dxa"/>
            <w:vAlign w:val="center"/>
          </w:tcPr>
          <w:p w14:paraId="0414F6B8">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rPr>
              <w:t>4.27</w:t>
            </w:r>
          </w:p>
        </w:tc>
      </w:tr>
      <w:tr w14:paraId="73728D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24731268">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6D95F160">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2C59E8A9">
            <w:pPr>
              <w:pStyle w:val="91"/>
              <w:keepNext w:val="0"/>
              <w:keepLines w:val="0"/>
              <w:suppressLineNumbers w:val="0"/>
              <w:spacing w:before="0" w:beforeAutospacing="0" w:after="0" w:afterAutospacing="0"/>
              <w:ind w:left="0" w:right="0"/>
              <w:rPr>
                <w:rFonts w:hint="default" w:hAnsi="Times New Roman"/>
                <w:color w:val="auto"/>
                <w:u w:val="single"/>
              </w:rPr>
            </w:pPr>
            <w:r>
              <w:rPr>
                <w:rFonts w:hint="eastAsia" w:hAnsi="Times New Roman"/>
                <w:color w:val="auto"/>
                <w:u w:val="single"/>
              </w:rPr>
              <w:t>过山路村</w:t>
            </w:r>
          </w:p>
        </w:tc>
        <w:tc>
          <w:tcPr>
            <w:tcW w:w="975" w:type="dxa"/>
            <w:vAlign w:val="center"/>
          </w:tcPr>
          <w:p w14:paraId="103F6DBE">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108.653838154</w:t>
            </w:r>
          </w:p>
        </w:tc>
        <w:tc>
          <w:tcPr>
            <w:tcW w:w="866" w:type="dxa"/>
            <w:vAlign w:val="center"/>
          </w:tcPr>
          <w:p w14:paraId="6C61DD66">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21.723652301</w:t>
            </w:r>
          </w:p>
        </w:tc>
        <w:tc>
          <w:tcPr>
            <w:tcW w:w="786" w:type="dxa"/>
            <w:vAlign w:val="center"/>
          </w:tcPr>
          <w:p w14:paraId="017787EC">
            <w:pPr>
              <w:pStyle w:val="91"/>
              <w:keepNext w:val="0"/>
              <w:keepLines w:val="0"/>
              <w:suppressLineNumbers w:val="0"/>
              <w:spacing w:before="0" w:beforeAutospacing="0" w:after="0" w:afterAutospacing="0"/>
              <w:ind w:left="0" w:right="0"/>
              <w:rPr>
                <w:rFonts w:hint="default" w:hAnsi="Times New Roman"/>
                <w:color w:val="auto"/>
                <w:u w:val="single"/>
              </w:rPr>
            </w:pPr>
            <w:r>
              <w:rPr>
                <w:rFonts w:hint="default" w:hAnsi="Times New Roman"/>
                <w:color w:val="auto"/>
                <w:u w:val="single"/>
              </w:rPr>
              <w:t>居民点</w:t>
            </w:r>
          </w:p>
        </w:tc>
        <w:tc>
          <w:tcPr>
            <w:tcW w:w="580" w:type="dxa"/>
          </w:tcPr>
          <w:p w14:paraId="61A61192">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3AFCE7A8">
            <w:pPr>
              <w:pStyle w:val="91"/>
              <w:keepNext w:val="0"/>
              <w:keepLines w:val="0"/>
              <w:suppressLineNumbers w:val="0"/>
              <w:spacing w:before="0" w:beforeAutospacing="0" w:after="0" w:afterAutospacing="0"/>
              <w:ind w:left="0" w:right="0"/>
              <w:rPr>
                <w:rFonts w:hint="default" w:hAnsi="Times New Roman"/>
                <w:color w:val="auto"/>
                <w:u w:val="single"/>
              </w:rPr>
            </w:pPr>
            <w:r>
              <w:rPr>
                <w:rFonts w:hint="eastAsia" w:hAnsi="Times New Roman"/>
                <w:color w:val="auto"/>
                <w:u w:val="single"/>
              </w:rPr>
              <w:t>400</w:t>
            </w:r>
          </w:p>
        </w:tc>
        <w:tc>
          <w:tcPr>
            <w:tcW w:w="727" w:type="dxa"/>
            <w:vMerge w:val="continue"/>
            <w:vAlign w:val="center"/>
          </w:tcPr>
          <w:p w14:paraId="134FE044">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7A5B4812">
            <w:pPr>
              <w:pStyle w:val="91"/>
              <w:keepNext w:val="0"/>
              <w:keepLines w:val="0"/>
              <w:suppressLineNumbers w:val="0"/>
              <w:spacing w:before="0" w:beforeAutospacing="0" w:after="0" w:afterAutospacing="0"/>
              <w:ind w:left="0" w:right="0"/>
              <w:rPr>
                <w:rFonts w:hint="default" w:hAnsi="Times New Roman"/>
                <w:color w:val="auto"/>
                <w:u w:val="single"/>
              </w:rPr>
            </w:pPr>
            <w:r>
              <w:rPr>
                <w:rFonts w:hint="default" w:hAnsi="Times New Roman"/>
                <w:color w:val="auto"/>
                <w:u w:val="single"/>
              </w:rPr>
              <w:t>东北</w:t>
            </w:r>
          </w:p>
        </w:tc>
        <w:tc>
          <w:tcPr>
            <w:tcW w:w="1228" w:type="dxa"/>
            <w:vAlign w:val="center"/>
          </w:tcPr>
          <w:p w14:paraId="1AE8E3A9">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rPr>
              <w:t>4.61</w:t>
            </w:r>
          </w:p>
        </w:tc>
      </w:tr>
      <w:tr w14:paraId="0E5EDE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1D2EAD0F">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22B1DB70">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1C3C1A00">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北泊位生活小区</w:t>
            </w:r>
          </w:p>
        </w:tc>
        <w:tc>
          <w:tcPr>
            <w:tcW w:w="975" w:type="dxa"/>
            <w:vAlign w:val="center"/>
          </w:tcPr>
          <w:p w14:paraId="48BE4253">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108.645308730</w:t>
            </w:r>
          </w:p>
        </w:tc>
        <w:tc>
          <w:tcPr>
            <w:tcW w:w="866" w:type="dxa"/>
            <w:vAlign w:val="center"/>
          </w:tcPr>
          <w:p w14:paraId="46033934">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21.695741234</w:t>
            </w:r>
          </w:p>
        </w:tc>
        <w:tc>
          <w:tcPr>
            <w:tcW w:w="786" w:type="dxa"/>
            <w:vAlign w:val="center"/>
          </w:tcPr>
          <w:p w14:paraId="04B64B92">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居民点</w:t>
            </w:r>
          </w:p>
        </w:tc>
        <w:tc>
          <w:tcPr>
            <w:tcW w:w="580" w:type="dxa"/>
          </w:tcPr>
          <w:p w14:paraId="607DE50C">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58C8E25D">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约80人</w:t>
            </w:r>
          </w:p>
        </w:tc>
        <w:tc>
          <w:tcPr>
            <w:tcW w:w="727" w:type="dxa"/>
            <w:vMerge w:val="continue"/>
            <w:vAlign w:val="center"/>
          </w:tcPr>
          <w:p w14:paraId="2DA0DDEE">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0F6ECCA1">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东北</w:t>
            </w:r>
          </w:p>
        </w:tc>
        <w:tc>
          <w:tcPr>
            <w:tcW w:w="1228" w:type="dxa"/>
            <w:vAlign w:val="center"/>
          </w:tcPr>
          <w:p w14:paraId="28ACF5CF">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3.21</w:t>
            </w:r>
          </w:p>
        </w:tc>
      </w:tr>
      <w:tr w14:paraId="04E651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3E145518">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2D114AF1">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0B74D57F">
            <w:pPr>
              <w:pStyle w:val="91"/>
              <w:keepNext w:val="0"/>
              <w:keepLines w:val="0"/>
              <w:suppressLineNumbers w:val="0"/>
              <w:spacing w:before="0" w:beforeAutospacing="0" w:after="0" w:afterAutospacing="0"/>
              <w:ind w:left="0" w:right="0"/>
              <w:rPr>
                <w:rFonts w:hint="eastAsia" w:hAnsi="Times New Roman"/>
                <w:color w:val="auto"/>
                <w:u w:val="single"/>
              </w:rPr>
            </w:pPr>
            <w:r>
              <w:rPr>
                <w:rFonts w:hint="eastAsia" w:hAnsi="Times New Roman"/>
                <w:color w:val="auto"/>
                <w:u w:val="single"/>
              </w:rPr>
              <w:t>钦州</w:t>
            </w:r>
            <w:r>
              <w:rPr>
                <w:rFonts w:hint="default" w:hAnsi="Times New Roman"/>
                <w:color w:val="auto"/>
                <w:u w:val="single"/>
              </w:rPr>
              <w:t>保税港区管委会</w:t>
            </w:r>
          </w:p>
        </w:tc>
        <w:tc>
          <w:tcPr>
            <w:tcW w:w="975" w:type="dxa"/>
            <w:vAlign w:val="center"/>
          </w:tcPr>
          <w:p w14:paraId="1C2F29BA">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108.648302075</w:t>
            </w:r>
          </w:p>
        </w:tc>
        <w:tc>
          <w:tcPr>
            <w:tcW w:w="866" w:type="dxa"/>
            <w:vAlign w:val="center"/>
          </w:tcPr>
          <w:p w14:paraId="58608E13">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21.69168037</w:t>
            </w:r>
          </w:p>
        </w:tc>
        <w:tc>
          <w:tcPr>
            <w:tcW w:w="786" w:type="dxa"/>
            <w:vAlign w:val="center"/>
          </w:tcPr>
          <w:p w14:paraId="0B375003">
            <w:pPr>
              <w:pStyle w:val="91"/>
              <w:keepNext w:val="0"/>
              <w:keepLines w:val="0"/>
              <w:suppressLineNumbers w:val="0"/>
              <w:spacing w:before="0" w:beforeAutospacing="0" w:after="0" w:afterAutospacing="0"/>
              <w:ind w:left="0" w:right="0"/>
              <w:rPr>
                <w:rFonts w:hint="default" w:hAnsi="Times New Roman"/>
                <w:color w:val="auto"/>
                <w:u w:val="single"/>
              </w:rPr>
            </w:pPr>
            <w:r>
              <w:rPr>
                <w:rFonts w:hint="eastAsia" w:hAnsi="Times New Roman"/>
                <w:color w:val="auto"/>
                <w:u w:val="single"/>
              </w:rPr>
              <w:t>办公区</w:t>
            </w:r>
          </w:p>
        </w:tc>
        <w:tc>
          <w:tcPr>
            <w:tcW w:w="580" w:type="dxa"/>
          </w:tcPr>
          <w:p w14:paraId="64054626">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39610F73">
            <w:pPr>
              <w:pStyle w:val="91"/>
              <w:keepNext w:val="0"/>
              <w:keepLines w:val="0"/>
              <w:suppressLineNumbers w:val="0"/>
              <w:spacing w:before="0" w:beforeAutospacing="0" w:after="0" w:afterAutospacing="0"/>
              <w:ind w:left="0" w:right="0"/>
              <w:rPr>
                <w:rFonts w:hint="default" w:hAnsi="Times New Roman"/>
                <w:color w:val="auto"/>
                <w:u w:val="single"/>
              </w:rPr>
            </w:pPr>
            <w:r>
              <w:rPr>
                <w:rFonts w:hint="eastAsia" w:hAnsi="Times New Roman"/>
                <w:color w:val="auto"/>
                <w:u w:val="single"/>
              </w:rPr>
              <w:t>200</w:t>
            </w:r>
          </w:p>
        </w:tc>
        <w:tc>
          <w:tcPr>
            <w:tcW w:w="727" w:type="dxa"/>
            <w:vMerge w:val="continue"/>
            <w:vAlign w:val="center"/>
          </w:tcPr>
          <w:p w14:paraId="5B9A7AFA">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506CBE9B">
            <w:pPr>
              <w:pStyle w:val="91"/>
              <w:keepNext w:val="0"/>
              <w:keepLines w:val="0"/>
              <w:suppressLineNumbers w:val="0"/>
              <w:spacing w:before="0" w:beforeAutospacing="0" w:after="0" w:afterAutospacing="0"/>
              <w:ind w:left="0" w:right="0"/>
              <w:rPr>
                <w:rFonts w:hint="eastAsia" w:hAnsi="Times New Roman"/>
                <w:color w:val="auto"/>
                <w:u w:val="single"/>
              </w:rPr>
            </w:pPr>
            <w:r>
              <w:rPr>
                <w:rFonts w:hint="eastAsia" w:hAnsi="Times New Roman"/>
                <w:color w:val="auto"/>
                <w:u w:val="single"/>
              </w:rPr>
              <w:t>东</w:t>
            </w:r>
          </w:p>
        </w:tc>
        <w:tc>
          <w:tcPr>
            <w:tcW w:w="1228" w:type="dxa"/>
            <w:vAlign w:val="center"/>
          </w:tcPr>
          <w:p w14:paraId="76D92ED3">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rPr>
              <w:t>3.53</w:t>
            </w:r>
          </w:p>
        </w:tc>
      </w:tr>
      <w:tr w14:paraId="3C3A88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68839447">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1ADC533E">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11723723">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红沙村</w:t>
            </w:r>
          </w:p>
        </w:tc>
        <w:tc>
          <w:tcPr>
            <w:tcW w:w="975" w:type="dxa"/>
            <w:vAlign w:val="center"/>
          </w:tcPr>
          <w:p w14:paraId="65B9E35F">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108.569648978</w:t>
            </w:r>
          </w:p>
        </w:tc>
        <w:tc>
          <w:tcPr>
            <w:tcW w:w="866" w:type="dxa"/>
            <w:vAlign w:val="center"/>
          </w:tcPr>
          <w:p w14:paraId="2754B36B">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21.688574372</w:t>
            </w:r>
          </w:p>
        </w:tc>
        <w:tc>
          <w:tcPr>
            <w:tcW w:w="786" w:type="dxa"/>
            <w:vAlign w:val="center"/>
          </w:tcPr>
          <w:p w14:paraId="7773C5AB">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居民点</w:t>
            </w:r>
          </w:p>
        </w:tc>
        <w:tc>
          <w:tcPr>
            <w:tcW w:w="580" w:type="dxa"/>
          </w:tcPr>
          <w:p w14:paraId="2F731AFF">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6DDF7570">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约50人</w:t>
            </w:r>
          </w:p>
        </w:tc>
        <w:tc>
          <w:tcPr>
            <w:tcW w:w="727" w:type="dxa"/>
            <w:vMerge w:val="continue"/>
            <w:vAlign w:val="center"/>
          </w:tcPr>
          <w:p w14:paraId="30A92A7F">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64D017B0">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西南</w:t>
            </w:r>
          </w:p>
        </w:tc>
        <w:tc>
          <w:tcPr>
            <w:tcW w:w="1228" w:type="dxa"/>
            <w:vAlign w:val="center"/>
          </w:tcPr>
          <w:p w14:paraId="1E2994B4">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4.28</w:t>
            </w:r>
          </w:p>
        </w:tc>
      </w:tr>
      <w:tr w14:paraId="31EFE7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2C83DE3B">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59F14B48">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18E1FECC">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盐田港村</w:t>
            </w:r>
          </w:p>
        </w:tc>
        <w:tc>
          <w:tcPr>
            <w:tcW w:w="975" w:type="dxa"/>
            <w:vAlign w:val="center"/>
          </w:tcPr>
          <w:p w14:paraId="30F89254">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108.565582749</w:t>
            </w:r>
          </w:p>
        </w:tc>
        <w:tc>
          <w:tcPr>
            <w:tcW w:w="866" w:type="dxa"/>
            <w:vAlign w:val="center"/>
          </w:tcPr>
          <w:p w14:paraId="4B127F86">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21.693488179</w:t>
            </w:r>
          </w:p>
        </w:tc>
        <w:tc>
          <w:tcPr>
            <w:tcW w:w="786" w:type="dxa"/>
            <w:vAlign w:val="center"/>
          </w:tcPr>
          <w:p w14:paraId="1FB31DCF">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居民点</w:t>
            </w:r>
          </w:p>
        </w:tc>
        <w:tc>
          <w:tcPr>
            <w:tcW w:w="580" w:type="dxa"/>
          </w:tcPr>
          <w:p w14:paraId="358B57C8">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3DB3555E">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约30人</w:t>
            </w:r>
          </w:p>
        </w:tc>
        <w:tc>
          <w:tcPr>
            <w:tcW w:w="727" w:type="dxa"/>
            <w:vMerge w:val="continue"/>
            <w:vAlign w:val="center"/>
          </w:tcPr>
          <w:p w14:paraId="23DEDC74">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37BC17CC">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西南</w:t>
            </w:r>
          </w:p>
        </w:tc>
        <w:tc>
          <w:tcPr>
            <w:tcW w:w="1228" w:type="dxa"/>
            <w:vAlign w:val="center"/>
          </w:tcPr>
          <w:p w14:paraId="45E9B5CA">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4.67</w:t>
            </w:r>
          </w:p>
        </w:tc>
      </w:tr>
      <w:tr w14:paraId="739874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5B936FB4">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423137EA">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753AD895">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虾场中间村</w:t>
            </w:r>
          </w:p>
        </w:tc>
        <w:tc>
          <w:tcPr>
            <w:tcW w:w="975" w:type="dxa"/>
            <w:vAlign w:val="center"/>
          </w:tcPr>
          <w:p w14:paraId="6D93BE64">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108.563528177</w:t>
            </w:r>
          </w:p>
        </w:tc>
        <w:tc>
          <w:tcPr>
            <w:tcW w:w="866" w:type="dxa"/>
            <w:vAlign w:val="center"/>
          </w:tcPr>
          <w:p w14:paraId="57FC02AE">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21.701427517</w:t>
            </w:r>
          </w:p>
        </w:tc>
        <w:tc>
          <w:tcPr>
            <w:tcW w:w="786" w:type="dxa"/>
            <w:vAlign w:val="center"/>
          </w:tcPr>
          <w:p w14:paraId="79FFACE4">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居民点</w:t>
            </w:r>
          </w:p>
        </w:tc>
        <w:tc>
          <w:tcPr>
            <w:tcW w:w="580" w:type="dxa"/>
          </w:tcPr>
          <w:p w14:paraId="6098A54E">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5B0A928D">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约50人</w:t>
            </w:r>
          </w:p>
        </w:tc>
        <w:tc>
          <w:tcPr>
            <w:tcW w:w="727" w:type="dxa"/>
            <w:vMerge w:val="continue"/>
            <w:vAlign w:val="center"/>
          </w:tcPr>
          <w:p w14:paraId="3FA516AC">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3B638A18">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西南</w:t>
            </w:r>
          </w:p>
        </w:tc>
        <w:tc>
          <w:tcPr>
            <w:tcW w:w="1228" w:type="dxa"/>
            <w:vAlign w:val="center"/>
          </w:tcPr>
          <w:p w14:paraId="74B58ABD">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4.76</w:t>
            </w:r>
          </w:p>
        </w:tc>
      </w:tr>
      <w:tr w14:paraId="1F22F0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5B0D715B">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2DC28687">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1AAFB40C">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老虎墩</w:t>
            </w:r>
          </w:p>
        </w:tc>
        <w:tc>
          <w:tcPr>
            <w:tcW w:w="975" w:type="dxa"/>
            <w:vAlign w:val="center"/>
          </w:tcPr>
          <w:p w14:paraId="619B0361">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108.560347077</w:t>
            </w:r>
          </w:p>
        </w:tc>
        <w:tc>
          <w:tcPr>
            <w:tcW w:w="866" w:type="dxa"/>
            <w:vAlign w:val="center"/>
          </w:tcPr>
          <w:p w14:paraId="12DD83F9">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21.704968033</w:t>
            </w:r>
          </w:p>
        </w:tc>
        <w:tc>
          <w:tcPr>
            <w:tcW w:w="786" w:type="dxa"/>
            <w:vAlign w:val="center"/>
          </w:tcPr>
          <w:p w14:paraId="571C91DE">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居民点</w:t>
            </w:r>
          </w:p>
        </w:tc>
        <w:tc>
          <w:tcPr>
            <w:tcW w:w="580" w:type="dxa"/>
          </w:tcPr>
          <w:p w14:paraId="7E14C424">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7DB598C1">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约60人</w:t>
            </w:r>
          </w:p>
        </w:tc>
        <w:tc>
          <w:tcPr>
            <w:tcW w:w="727" w:type="dxa"/>
            <w:vMerge w:val="continue"/>
            <w:vAlign w:val="center"/>
          </w:tcPr>
          <w:p w14:paraId="3AB211BC">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5C5F293E">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西</w:t>
            </w:r>
          </w:p>
        </w:tc>
        <w:tc>
          <w:tcPr>
            <w:tcW w:w="1228" w:type="dxa"/>
            <w:vAlign w:val="center"/>
          </w:tcPr>
          <w:p w14:paraId="49BE2875">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5</w:t>
            </w:r>
          </w:p>
        </w:tc>
      </w:tr>
      <w:tr w14:paraId="237780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3D81A00B">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30E58B88">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7126A975">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稔子</w:t>
            </w:r>
            <w:r>
              <w:rPr>
                <w:rFonts w:hint="eastAsia" w:hAnsi="Times New Roman"/>
                <w:color w:val="auto"/>
                <w:u w:val="single"/>
              </w:rPr>
              <w:t>山</w:t>
            </w:r>
            <w:r>
              <w:rPr>
                <w:rFonts w:hint="default" w:hAnsi="Times New Roman"/>
                <w:color w:val="auto"/>
                <w:u w:val="single"/>
              </w:rPr>
              <w:t>村</w:t>
            </w:r>
          </w:p>
        </w:tc>
        <w:tc>
          <w:tcPr>
            <w:tcW w:w="975" w:type="dxa"/>
            <w:vAlign w:val="center"/>
          </w:tcPr>
          <w:p w14:paraId="733FF186">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108.568576094</w:t>
            </w:r>
          </w:p>
        </w:tc>
        <w:tc>
          <w:tcPr>
            <w:tcW w:w="866" w:type="dxa"/>
            <w:vAlign w:val="center"/>
          </w:tcPr>
          <w:p w14:paraId="7721A3FA">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21.686267672</w:t>
            </w:r>
          </w:p>
        </w:tc>
        <w:tc>
          <w:tcPr>
            <w:tcW w:w="786" w:type="dxa"/>
            <w:vAlign w:val="center"/>
          </w:tcPr>
          <w:p w14:paraId="609CA93A">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居民点</w:t>
            </w:r>
          </w:p>
        </w:tc>
        <w:tc>
          <w:tcPr>
            <w:tcW w:w="580" w:type="dxa"/>
          </w:tcPr>
          <w:p w14:paraId="7514F633">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40360474">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约50人</w:t>
            </w:r>
          </w:p>
        </w:tc>
        <w:tc>
          <w:tcPr>
            <w:tcW w:w="727" w:type="dxa"/>
            <w:vMerge w:val="continue"/>
            <w:vAlign w:val="center"/>
          </w:tcPr>
          <w:p w14:paraId="7355AEC7">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391F03ED">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西南</w:t>
            </w:r>
          </w:p>
        </w:tc>
        <w:tc>
          <w:tcPr>
            <w:tcW w:w="1228" w:type="dxa"/>
            <w:vAlign w:val="center"/>
          </w:tcPr>
          <w:p w14:paraId="75E669D8">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4.53</w:t>
            </w:r>
          </w:p>
        </w:tc>
      </w:tr>
      <w:tr w14:paraId="26AF4A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3A7655A5">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68C06604">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3816A7CE">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大</w:t>
            </w:r>
            <w:r>
              <w:rPr>
                <w:rFonts w:hint="eastAsia" w:ascii="宋体" w:cs="宋体"/>
                <w:color w:val="auto"/>
                <w:u w:val="single"/>
              </w:rPr>
              <w:t>𬇕</w:t>
            </w:r>
            <w:r>
              <w:rPr>
                <w:rFonts w:hint="default" w:hAnsi="Times New Roman"/>
                <w:color w:val="auto"/>
                <w:u w:val="single"/>
              </w:rPr>
              <w:t>村</w:t>
            </w:r>
          </w:p>
        </w:tc>
        <w:tc>
          <w:tcPr>
            <w:tcW w:w="975" w:type="dxa"/>
            <w:vAlign w:val="center"/>
          </w:tcPr>
          <w:p w14:paraId="58306971">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108.569166180</w:t>
            </w:r>
          </w:p>
        </w:tc>
        <w:tc>
          <w:tcPr>
            <w:tcW w:w="866" w:type="dxa"/>
            <w:vAlign w:val="center"/>
          </w:tcPr>
          <w:p w14:paraId="544A0B8F">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21.683585463</w:t>
            </w:r>
          </w:p>
        </w:tc>
        <w:tc>
          <w:tcPr>
            <w:tcW w:w="786" w:type="dxa"/>
            <w:vAlign w:val="center"/>
          </w:tcPr>
          <w:p w14:paraId="37AA624A">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居民点</w:t>
            </w:r>
          </w:p>
        </w:tc>
        <w:tc>
          <w:tcPr>
            <w:tcW w:w="580" w:type="dxa"/>
          </w:tcPr>
          <w:p w14:paraId="1E897598">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1A71115A">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约30人</w:t>
            </w:r>
          </w:p>
        </w:tc>
        <w:tc>
          <w:tcPr>
            <w:tcW w:w="727" w:type="dxa"/>
            <w:vMerge w:val="continue"/>
            <w:vAlign w:val="center"/>
          </w:tcPr>
          <w:p w14:paraId="7EB367F5">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43A82009">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西南</w:t>
            </w:r>
          </w:p>
        </w:tc>
        <w:tc>
          <w:tcPr>
            <w:tcW w:w="1228" w:type="dxa"/>
            <w:vAlign w:val="center"/>
          </w:tcPr>
          <w:p w14:paraId="23E1C0D4">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4.48</w:t>
            </w:r>
          </w:p>
        </w:tc>
      </w:tr>
      <w:tr w14:paraId="1B4DD5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2DC60C8A">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21DBC9AD">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07D4A687">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湾潭村</w:t>
            </w:r>
          </w:p>
        </w:tc>
        <w:tc>
          <w:tcPr>
            <w:tcW w:w="975" w:type="dxa"/>
            <w:vAlign w:val="center"/>
          </w:tcPr>
          <w:p w14:paraId="040530C2">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108.562921998</w:t>
            </w:r>
          </w:p>
        </w:tc>
        <w:tc>
          <w:tcPr>
            <w:tcW w:w="866" w:type="dxa"/>
            <w:vAlign w:val="center"/>
          </w:tcPr>
          <w:p w14:paraId="562C404B">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21.684186278</w:t>
            </w:r>
          </w:p>
        </w:tc>
        <w:tc>
          <w:tcPr>
            <w:tcW w:w="786" w:type="dxa"/>
            <w:vAlign w:val="center"/>
          </w:tcPr>
          <w:p w14:paraId="7AAB5176">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居民点</w:t>
            </w:r>
          </w:p>
        </w:tc>
        <w:tc>
          <w:tcPr>
            <w:tcW w:w="580" w:type="dxa"/>
          </w:tcPr>
          <w:p w14:paraId="1961225E">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3E70256C">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约40人</w:t>
            </w:r>
          </w:p>
        </w:tc>
        <w:tc>
          <w:tcPr>
            <w:tcW w:w="727" w:type="dxa"/>
            <w:vMerge w:val="continue"/>
            <w:vAlign w:val="center"/>
          </w:tcPr>
          <w:p w14:paraId="6F587FB1">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312792E0">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西南</w:t>
            </w:r>
          </w:p>
        </w:tc>
        <w:tc>
          <w:tcPr>
            <w:tcW w:w="1228" w:type="dxa"/>
            <w:vAlign w:val="center"/>
          </w:tcPr>
          <w:p w14:paraId="563A72AA">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5</w:t>
            </w:r>
          </w:p>
        </w:tc>
      </w:tr>
      <w:tr w14:paraId="5169E3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2B3029FD">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71C7A107">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12798CBF">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亚婆田村</w:t>
            </w:r>
          </w:p>
        </w:tc>
        <w:tc>
          <w:tcPr>
            <w:tcW w:w="975" w:type="dxa"/>
            <w:vAlign w:val="center"/>
          </w:tcPr>
          <w:p w14:paraId="5C1930F6">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108.564724442</w:t>
            </w:r>
          </w:p>
        </w:tc>
        <w:tc>
          <w:tcPr>
            <w:tcW w:w="866" w:type="dxa"/>
            <w:vAlign w:val="center"/>
          </w:tcPr>
          <w:p w14:paraId="4D782256">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21.676761923</w:t>
            </w:r>
          </w:p>
        </w:tc>
        <w:tc>
          <w:tcPr>
            <w:tcW w:w="786" w:type="dxa"/>
            <w:vAlign w:val="center"/>
          </w:tcPr>
          <w:p w14:paraId="14CA1656">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居民点</w:t>
            </w:r>
          </w:p>
        </w:tc>
        <w:tc>
          <w:tcPr>
            <w:tcW w:w="580" w:type="dxa"/>
          </w:tcPr>
          <w:p w14:paraId="27C79399">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2E760A75">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约800人</w:t>
            </w:r>
          </w:p>
        </w:tc>
        <w:tc>
          <w:tcPr>
            <w:tcW w:w="727" w:type="dxa"/>
            <w:vMerge w:val="continue"/>
            <w:vAlign w:val="center"/>
          </w:tcPr>
          <w:p w14:paraId="017BF4FD">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0B723028">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西南</w:t>
            </w:r>
          </w:p>
        </w:tc>
        <w:tc>
          <w:tcPr>
            <w:tcW w:w="1228" w:type="dxa"/>
            <w:vAlign w:val="center"/>
          </w:tcPr>
          <w:p w14:paraId="36AE2262">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5.11</w:t>
            </w:r>
          </w:p>
        </w:tc>
      </w:tr>
      <w:tr w14:paraId="75FF06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74" w:type="dxa"/>
            <w:vMerge w:val="continue"/>
            <w:vAlign w:val="center"/>
          </w:tcPr>
          <w:p w14:paraId="66400815">
            <w:pPr>
              <w:pStyle w:val="91"/>
              <w:keepNext w:val="0"/>
              <w:keepLines w:val="0"/>
              <w:suppressLineNumbers w:val="0"/>
              <w:spacing w:before="0" w:beforeAutospacing="0" w:after="0" w:afterAutospacing="0"/>
              <w:ind w:left="0" w:right="0"/>
              <w:rPr>
                <w:rFonts w:hint="default"/>
                <w:color w:val="auto"/>
                <w:u w:val="single"/>
              </w:rPr>
            </w:pPr>
          </w:p>
        </w:tc>
        <w:tc>
          <w:tcPr>
            <w:tcW w:w="436" w:type="dxa"/>
            <w:vAlign w:val="center"/>
          </w:tcPr>
          <w:p w14:paraId="4182F4CE">
            <w:pPr>
              <w:pStyle w:val="91"/>
              <w:keepNext w:val="0"/>
              <w:keepLines w:val="0"/>
              <w:numPr>
                <w:ilvl w:val="0"/>
                <w:numId w:val="12"/>
              </w:numPr>
              <w:suppressLineNumbers w:val="0"/>
              <w:spacing w:before="0" w:beforeAutospacing="0" w:after="0" w:afterAutospacing="0"/>
              <w:ind w:right="0"/>
              <w:rPr>
                <w:rFonts w:hint="default"/>
                <w:color w:val="auto"/>
                <w:u w:val="single"/>
              </w:rPr>
            </w:pPr>
          </w:p>
        </w:tc>
        <w:tc>
          <w:tcPr>
            <w:tcW w:w="1669" w:type="dxa"/>
            <w:vAlign w:val="center"/>
          </w:tcPr>
          <w:p w14:paraId="57F6613F">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钦州港滨海医院</w:t>
            </w:r>
          </w:p>
        </w:tc>
        <w:tc>
          <w:tcPr>
            <w:tcW w:w="975" w:type="dxa"/>
            <w:vAlign w:val="center"/>
          </w:tcPr>
          <w:p w14:paraId="21FD82A2">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108.598970887</w:t>
            </w:r>
          </w:p>
        </w:tc>
        <w:tc>
          <w:tcPr>
            <w:tcW w:w="866" w:type="dxa"/>
            <w:vAlign w:val="center"/>
          </w:tcPr>
          <w:p w14:paraId="1589450A">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21.737787543</w:t>
            </w:r>
          </w:p>
        </w:tc>
        <w:tc>
          <w:tcPr>
            <w:tcW w:w="786" w:type="dxa"/>
            <w:vAlign w:val="center"/>
          </w:tcPr>
          <w:p w14:paraId="4E2A4F59">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医院</w:t>
            </w:r>
          </w:p>
        </w:tc>
        <w:tc>
          <w:tcPr>
            <w:tcW w:w="580" w:type="dxa"/>
          </w:tcPr>
          <w:p w14:paraId="4832E472">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人群</w:t>
            </w:r>
          </w:p>
        </w:tc>
        <w:tc>
          <w:tcPr>
            <w:tcW w:w="1003" w:type="dxa"/>
            <w:vAlign w:val="center"/>
          </w:tcPr>
          <w:p w14:paraId="6372BE75">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100~500人</w:t>
            </w:r>
          </w:p>
        </w:tc>
        <w:tc>
          <w:tcPr>
            <w:tcW w:w="727" w:type="dxa"/>
            <w:vMerge w:val="continue"/>
            <w:vAlign w:val="center"/>
          </w:tcPr>
          <w:p w14:paraId="44016E90">
            <w:pPr>
              <w:pStyle w:val="91"/>
              <w:keepNext w:val="0"/>
              <w:keepLines w:val="0"/>
              <w:suppressLineNumbers w:val="0"/>
              <w:spacing w:before="0" w:beforeAutospacing="0" w:after="0" w:afterAutospacing="0"/>
              <w:ind w:left="0" w:right="0"/>
              <w:rPr>
                <w:rFonts w:hint="default"/>
                <w:color w:val="auto"/>
                <w:u w:val="single"/>
              </w:rPr>
            </w:pPr>
          </w:p>
        </w:tc>
        <w:tc>
          <w:tcPr>
            <w:tcW w:w="533" w:type="dxa"/>
            <w:vAlign w:val="center"/>
          </w:tcPr>
          <w:p w14:paraId="05FB5EE9">
            <w:pPr>
              <w:pStyle w:val="91"/>
              <w:keepNext w:val="0"/>
              <w:keepLines w:val="0"/>
              <w:suppressLineNumbers w:val="0"/>
              <w:spacing w:before="0" w:beforeAutospacing="0" w:after="0" w:afterAutospacing="0"/>
              <w:ind w:left="0" w:right="0"/>
              <w:rPr>
                <w:rFonts w:hint="default"/>
                <w:color w:val="auto"/>
                <w:u w:val="single"/>
              </w:rPr>
            </w:pPr>
            <w:r>
              <w:rPr>
                <w:rFonts w:hint="default" w:hAnsi="Times New Roman"/>
                <w:color w:val="auto"/>
                <w:u w:val="single"/>
              </w:rPr>
              <w:t>西南</w:t>
            </w:r>
          </w:p>
        </w:tc>
        <w:tc>
          <w:tcPr>
            <w:tcW w:w="1228" w:type="dxa"/>
            <w:vAlign w:val="center"/>
          </w:tcPr>
          <w:p w14:paraId="1774C6E5">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3.94</w:t>
            </w:r>
          </w:p>
        </w:tc>
      </w:tr>
    </w:tbl>
    <w:p w14:paraId="53CE9FB8">
      <w:pPr>
        <w:pStyle w:val="4"/>
        <w:rPr>
          <w:color w:val="auto"/>
        </w:rPr>
      </w:pPr>
      <w:bookmarkStart w:id="260" w:name="_Toc135090188"/>
      <w:bookmarkStart w:id="261" w:name="_Toc216620349"/>
      <w:bookmarkStart w:id="262" w:name="_Toc136878437"/>
      <w:bookmarkStart w:id="263" w:name="_Toc216103190"/>
      <w:r>
        <w:rPr>
          <w:rFonts w:hint="eastAsia"/>
          <w:color w:val="auto"/>
        </w:rPr>
        <w:t>地表</w:t>
      </w:r>
      <w:r>
        <w:rPr>
          <w:color w:val="auto"/>
        </w:rPr>
        <w:t>水、生态环境保护目标</w:t>
      </w:r>
      <w:bookmarkEnd w:id="260"/>
      <w:bookmarkEnd w:id="261"/>
      <w:bookmarkEnd w:id="262"/>
      <w:bookmarkEnd w:id="263"/>
    </w:p>
    <w:p w14:paraId="38D2323B">
      <w:pPr>
        <w:ind w:firstLine="480"/>
        <w:rPr>
          <w:color w:val="auto"/>
        </w:rPr>
      </w:pPr>
      <w:r>
        <w:rPr>
          <w:color w:val="auto"/>
        </w:rPr>
        <w:t>项目</w:t>
      </w:r>
      <w:r>
        <w:rPr>
          <w:rFonts w:hint="eastAsia"/>
          <w:color w:val="auto"/>
        </w:rPr>
        <w:t>地表水</w:t>
      </w:r>
      <w:r>
        <w:rPr>
          <w:color w:val="auto"/>
        </w:rPr>
        <w:t>、生态环境保护目标如下：</w:t>
      </w:r>
    </w:p>
    <w:p w14:paraId="72DDD9D9">
      <w:pPr>
        <w:pStyle w:val="14"/>
        <w:rPr>
          <w:color w:val="auto"/>
        </w:rPr>
      </w:pPr>
      <w:bookmarkStart w:id="264" w:name="_Hlk54189494"/>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1.5</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2</w:t>
      </w:r>
      <w:r>
        <w:rPr>
          <w:color w:val="auto"/>
        </w:rPr>
        <w:fldChar w:fldCharType="end"/>
      </w:r>
      <w:r>
        <w:rPr>
          <w:color w:val="auto"/>
        </w:rPr>
        <w:t>项目与评价范围内环境敏感区关系一览</w:t>
      </w:r>
    </w:p>
    <w:bookmarkEnd w:id="264"/>
    <w:tbl>
      <w:tblPr>
        <w:tblStyle w:val="43"/>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1266"/>
        <w:gridCol w:w="5840"/>
        <w:gridCol w:w="1107"/>
        <w:gridCol w:w="1249"/>
      </w:tblGrid>
      <w:tr w14:paraId="1510B5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669" w:type="pct"/>
            <w:tcBorders>
              <w:tl2br w:val="nil"/>
              <w:tr2bl w:val="nil"/>
            </w:tcBorders>
            <w:vAlign w:val="center"/>
          </w:tcPr>
          <w:p w14:paraId="43FB408F">
            <w:pPr>
              <w:pStyle w:val="91"/>
              <w:keepNext w:val="0"/>
              <w:keepLines w:val="0"/>
              <w:suppressLineNumbers w:val="0"/>
              <w:spacing w:before="0" w:beforeAutospacing="0" w:after="0" w:afterAutospacing="0"/>
              <w:ind w:left="0" w:right="0"/>
              <w:rPr>
                <w:rFonts w:hint="default"/>
                <w:b/>
                <w:color w:val="auto"/>
              </w:rPr>
            </w:pPr>
            <w:bookmarkStart w:id="265" w:name="_Toc216620351"/>
            <w:bookmarkStart w:id="266" w:name="_Toc216103192"/>
            <w:bookmarkStart w:id="267" w:name="_Toc135090190"/>
            <w:bookmarkStart w:id="268" w:name="_Toc136878439"/>
            <w:r>
              <w:rPr>
                <w:rFonts w:hint="default"/>
                <w:b/>
                <w:color w:val="auto"/>
              </w:rPr>
              <w:t>类型</w:t>
            </w:r>
          </w:p>
        </w:tc>
        <w:tc>
          <w:tcPr>
            <w:tcW w:w="3086" w:type="pct"/>
            <w:tcBorders>
              <w:tl2br w:val="nil"/>
              <w:tr2bl w:val="nil"/>
            </w:tcBorders>
            <w:vAlign w:val="center"/>
          </w:tcPr>
          <w:p w14:paraId="18E888FD">
            <w:pPr>
              <w:pStyle w:val="91"/>
              <w:keepNext w:val="0"/>
              <w:keepLines w:val="0"/>
              <w:suppressLineNumbers w:val="0"/>
              <w:spacing w:before="0" w:beforeAutospacing="0" w:after="0" w:afterAutospacing="0"/>
              <w:ind w:left="0" w:right="0"/>
              <w:rPr>
                <w:rFonts w:hint="default"/>
                <w:b/>
                <w:color w:val="auto"/>
              </w:rPr>
            </w:pPr>
            <w:r>
              <w:rPr>
                <w:rFonts w:hint="default"/>
                <w:b/>
                <w:color w:val="auto"/>
              </w:rPr>
              <w:t>环境保护目标名称</w:t>
            </w:r>
          </w:p>
        </w:tc>
        <w:tc>
          <w:tcPr>
            <w:tcW w:w="585" w:type="pct"/>
            <w:tcBorders>
              <w:tl2br w:val="nil"/>
              <w:tr2bl w:val="nil"/>
            </w:tcBorders>
            <w:vAlign w:val="center"/>
          </w:tcPr>
          <w:p w14:paraId="2BDC1FFD">
            <w:pPr>
              <w:pStyle w:val="91"/>
              <w:keepNext w:val="0"/>
              <w:keepLines w:val="0"/>
              <w:suppressLineNumbers w:val="0"/>
              <w:spacing w:before="0" w:beforeAutospacing="0" w:after="0" w:afterAutospacing="0"/>
              <w:ind w:left="0" w:right="0"/>
              <w:rPr>
                <w:rFonts w:hint="default"/>
                <w:b/>
                <w:color w:val="auto"/>
              </w:rPr>
            </w:pPr>
            <w:r>
              <w:rPr>
                <w:rFonts w:hint="default"/>
                <w:b/>
                <w:color w:val="auto"/>
              </w:rPr>
              <w:t>方位</w:t>
            </w:r>
          </w:p>
        </w:tc>
        <w:tc>
          <w:tcPr>
            <w:tcW w:w="660" w:type="pct"/>
            <w:tcBorders>
              <w:tl2br w:val="nil"/>
              <w:tr2bl w:val="nil"/>
            </w:tcBorders>
            <w:vAlign w:val="center"/>
          </w:tcPr>
          <w:p w14:paraId="36C3EABA">
            <w:pPr>
              <w:pStyle w:val="91"/>
              <w:keepNext w:val="0"/>
              <w:keepLines w:val="0"/>
              <w:suppressLineNumbers w:val="0"/>
              <w:spacing w:before="0" w:beforeAutospacing="0" w:after="0" w:afterAutospacing="0"/>
              <w:ind w:left="0" w:right="0"/>
              <w:rPr>
                <w:rFonts w:hint="default"/>
                <w:b/>
                <w:color w:val="auto"/>
              </w:rPr>
            </w:pPr>
            <w:r>
              <w:rPr>
                <w:rFonts w:hint="eastAsia"/>
                <w:b/>
                <w:color w:val="auto"/>
              </w:rPr>
              <w:t>最近</w:t>
            </w:r>
            <w:r>
              <w:rPr>
                <w:rFonts w:hint="default"/>
                <w:b/>
                <w:color w:val="auto"/>
              </w:rPr>
              <w:t>距离（km）</w:t>
            </w:r>
          </w:p>
        </w:tc>
      </w:tr>
      <w:tr w14:paraId="7BE2F7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restart"/>
            <w:tcBorders>
              <w:tl2br w:val="nil"/>
              <w:tr2bl w:val="nil"/>
            </w:tcBorders>
            <w:vAlign w:val="center"/>
          </w:tcPr>
          <w:p w14:paraId="3D1AE684">
            <w:pPr>
              <w:pStyle w:val="91"/>
              <w:keepNext w:val="0"/>
              <w:keepLines w:val="0"/>
              <w:suppressLineNumbers w:val="0"/>
              <w:spacing w:before="0" w:beforeAutospacing="0" w:after="0" w:afterAutospacing="0"/>
              <w:ind w:left="0" w:right="0"/>
              <w:rPr>
                <w:rFonts w:hint="default"/>
                <w:color w:val="auto"/>
              </w:rPr>
            </w:pPr>
            <w:r>
              <w:rPr>
                <w:rFonts w:hint="eastAsia"/>
                <w:color w:val="auto"/>
              </w:rPr>
              <w:t>生态保护红线</w:t>
            </w:r>
          </w:p>
        </w:tc>
        <w:tc>
          <w:tcPr>
            <w:tcW w:w="3086" w:type="pct"/>
            <w:tcBorders>
              <w:tl2br w:val="nil"/>
              <w:tr2bl w:val="nil"/>
            </w:tcBorders>
            <w:vAlign w:val="center"/>
          </w:tcPr>
          <w:p w14:paraId="4C0A3184">
            <w:pPr>
              <w:pStyle w:val="91"/>
              <w:keepNext w:val="0"/>
              <w:keepLines w:val="0"/>
              <w:suppressLineNumbers w:val="0"/>
              <w:spacing w:before="0" w:beforeAutospacing="0" w:after="0" w:afterAutospacing="0"/>
              <w:ind w:left="0" w:right="0"/>
              <w:rPr>
                <w:rFonts w:hint="default"/>
                <w:color w:val="auto"/>
              </w:rPr>
            </w:pPr>
            <w:bookmarkStart w:id="269" w:name="OLE_LINK13"/>
            <w:bookmarkStart w:id="270" w:name="OLE_LINK12"/>
            <w:r>
              <w:rPr>
                <w:rFonts w:hint="default"/>
                <w:color w:val="auto"/>
              </w:rPr>
              <w:t>广西茅尾海红树林自治区级自然保护区生态保护红线</w:t>
            </w:r>
            <w:bookmarkEnd w:id="269"/>
            <w:bookmarkEnd w:id="270"/>
          </w:p>
        </w:tc>
        <w:tc>
          <w:tcPr>
            <w:tcW w:w="585" w:type="pct"/>
            <w:tcBorders>
              <w:tl2br w:val="nil"/>
              <w:tr2bl w:val="nil"/>
            </w:tcBorders>
            <w:vAlign w:val="center"/>
          </w:tcPr>
          <w:p w14:paraId="3E1A6D72">
            <w:pPr>
              <w:pStyle w:val="91"/>
              <w:keepNext w:val="0"/>
              <w:keepLines w:val="0"/>
              <w:suppressLineNumbers w:val="0"/>
              <w:spacing w:before="0" w:beforeAutospacing="0" w:after="0" w:afterAutospacing="0"/>
              <w:ind w:left="0" w:right="0"/>
              <w:rPr>
                <w:rFonts w:hint="default"/>
                <w:color w:val="auto"/>
              </w:rPr>
            </w:pPr>
            <w:r>
              <w:rPr>
                <w:rFonts w:hint="eastAsia"/>
                <w:color w:val="auto"/>
              </w:rPr>
              <w:t>NW</w:t>
            </w:r>
          </w:p>
        </w:tc>
        <w:tc>
          <w:tcPr>
            <w:tcW w:w="660" w:type="pct"/>
            <w:tcBorders>
              <w:tl2br w:val="nil"/>
              <w:tr2bl w:val="nil"/>
            </w:tcBorders>
            <w:vAlign w:val="center"/>
          </w:tcPr>
          <w:p w14:paraId="16E575C0">
            <w:pPr>
              <w:pStyle w:val="91"/>
              <w:keepNext w:val="0"/>
              <w:keepLines w:val="0"/>
              <w:suppressLineNumbers w:val="0"/>
              <w:spacing w:before="0" w:beforeAutospacing="0" w:after="0" w:afterAutospacing="0"/>
              <w:ind w:left="0" w:right="0"/>
              <w:rPr>
                <w:rFonts w:hint="default"/>
                <w:color w:val="auto"/>
              </w:rPr>
            </w:pPr>
            <w:r>
              <w:rPr>
                <w:rFonts w:hint="eastAsia"/>
                <w:color w:val="auto"/>
              </w:rPr>
              <w:t>3.98</w:t>
            </w:r>
          </w:p>
        </w:tc>
      </w:tr>
      <w:tr w14:paraId="424A60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continue"/>
            <w:tcBorders>
              <w:tl2br w:val="nil"/>
              <w:tr2bl w:val="nil"/>
            </w:tcBorders>
            <w:vAlign w:val="center"/>
          </w:tcPr>
          <w:p w14:paraId="4D3359EA">
            <w:pPr>
              <w:pStyle w:val="91"/>
              <w:keepNext w:val="0"/>
              <w:keepLines w:val="0"/>
              <w:suppressLineNumbers w:val="0"/>
              <w:spacing w:before="0" w:beforeAutospacing="0" w:after="0" w:afterAutospacing="0"/>
              <w:ind w:left="0" w:right="0"/>
              <w:rPr>
                <w:rFonts w:hint="default"/>
                <w:color w:val="auto"/>
              </w:rPr>
            </w:pPr>
          </w:p>
        </w:tc>
        <w:tc>
          <w:tcPr>
            <w:tcW w:w="3086" w:type="pct"/>
            <w:tcBorders>
              <w:tl2br w:val="nil"/>
              <w:tr2bl w:val="nil"/>
            </w:tcBorders>
            <w:vAlign w:val="center"/>
          </w:tcPr>
          <w:p w14:paraId="460D4AF0">
            <w:pPr>
              <w:pStyle w:val="91"/>
              <w:keepNext w:val="0"/>
              <w:keepLines w:val="0"/>
              <w:suppressLineNumbers w:val="0"/>
              <w:spacing w:before="0" w:beforeAutospacing="0" w:after="0" w:afterAutospacing="0"/>
              <w:ind w:left="0" w:right="0"/>
              <w:rPr>
                <w:rFonts w:hint="default"/>
                <w:color w:val="auto"/>
              </w:rPr>
            </w:pPr>
            <w:bookmarkStart w:id="271" w:name="OLE_LINK15"/>
            <w:bookmarkStart w:id="272" w:name="OLE_LINK14"/>
            <w:r>
              <w:rPr>
                <w:rFonts w:hint="default"/>
                <w:color w:val="auto"/>
              </w:rPr>
              <w:t>广西钦州茅尾海国家级海洋自然公园</w:t>
            </w:r>
            <w:bookmarkEnd w:id="271"/>
            <w:bookmarkEnd w:id="272"/>
            <w:r>
              <w:rPr>
                <w:rFonts w:hint="default"/>
                <w:color w:val="auto"/>
              </w:rPr>
              <w:t>生态保护红线</w:t>
            </w:r>
          </w:p>
        </w:tc>
        <w:tc>
          <w:tcPr>
            <w:tcW w:w="585" w:type="pct"/>
            <w:tcBorders>
              <w:tl2br w:val="nil"/>
              <w:tr2bl w:val="nil"/>
            </w:tcBorders>
            <w:vAlign w:val="center"/>
          </w:tcPr>
          <w:p w14:paraId="0700A65E">
            <w:pPr>
              <w:pStyle w:val="91"/>
              <w:keepNext w:val="0"/>
              <w:keepLines w:val="0"/>
              <w:suppressLineNumbers w:val="0"/>
              <w:spacing w:before="0" w:beforeAutospacing="0" w:after="0" w:afterAutospacing="0"/>
              <w:ind w:left="0" w:right="0"/>
              <w:rPr>
                <w:rFonts w:hint="default"/>
                <w:color w:val="auto"/>
              </w:rPr>
            </w:pPr>
            <w:r>
              <w:rPr>
                <w:rFonts w:hint="default"/>
                <w:color w:val="auto"/>
              </w:rPr>
              <w:t>NW</w:t>
            </w:r>
          </w:p>
        </w:tc>
        <w:tc>
          <w:tcPr>
            <w:tcW w:w="660" w:type="pct"/>
            <w:tcBorders>
              <w:tl2br w:val="nil"/>
              <w:tr2bl w:val="nil"/>
            </w:tcBorders>
            <w:vAlign w:val="center"/>
          </w:tcPr>
          <w:p w14:paraId="3EFB1B12">
            <w:pPr>
              <w:pStyle w:val="91"/>
              <w:keepNext w:val="0"/>
              <w:keepLines w:val="0"/>
              <w:suppressLineNumbers w:val="0"/>
              <w:spacing w:before="0" w:beforeAutospacing="0" w:after="0" w:afterAutospacing="0"/>
              <w:ind w:left="0" w:right="0"/>
              <w:rPr>
                <w:rFonts w:hint="default"/>
                <w:color w:val="auto"/>
              </w:rPr>
            </w:pPr>
            <w:r>
              <w:rPr>
                <w:rFonts w:hint="default"/>
                <w:color w:val="auto"/>
              </w:rPr>
              <w:t>12</w:t>
            </w:r>
          </w:p>
        </w:tc>
      </w:tr>
      <w:tr w14:paraId="3964DD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continue"/>
            <w:tcBorders>
              <w:tl2br w:val="nil"/>
              <w:tr2bl w:val="nil"/>
            </w:tcBorders>
            <w:vAlign w:val="center"/>
          </w:tcPr>
          <w:p w14:paraId="3A724078">
            <w:pPr>
              <w:pStyle w:val="91"/>
              <w:keepNext w:val="0"/>
              <w:keepLines w:val="0"/>
              <w:suppressLineNumbers w:val="0"/>
              <w:spacing w:before="0" w:beforeAutospacing="0" w:after="0" w:afterAutospacing="0"/>
              <w:ind w:left="0" w:right="0"/>
              <w:rPr>
                <w:rFonts w:hint="default"/>
                <w:color w:val="auto"/>
              </w:rPr>
            </w:pPr>
          </w:p>
        </w:tc>
        <w:tc>
          <w:tcPr>
            <w:tcW w:w="3086" w:type="pct"/>
            <w:tcBorders>
              <w:tl2br w:val="nil"/>
              <w:tr2bl w:val="nil"/>
            </w:tcBorders>
            <w:vAlign w:val="center"/>
          </w:tcPr>
          <w:p w14:paraId="4C201B0D">
            <w:pPr>
              <w:pStyle w:val="91"/>
              <w:keepNext w:val="0"/>
              <w:keepLines w:val="0"/>
              <w:suppressLineNumbers w:val="0"/>
              <w:spacing w:before="0" w:beforeAutospacing="0" w:after="0" w:afterAutospacing="0"/>
              <w:ind w:left="0" w:right="0"/>
              <w:rPr>
                <w:rFonts w:hint="default"/>
                <w:color w:val="auto"/>
              </w:rPr>
            </w:pPr>
            <w:bookmarkStart w:id="273" w:name="OLE_LINK11"/>
            <w:r>
              <w:rPr>
                <w:rFonts w:hint="eastAsia"/>
                <w:color w:val="auto"/>
              </w:rPr>
              <w:t>广西钦州红树湾自治区级湿地自然公园生态保护红线</w:t>
            </w:r>
            <w:bookmarkEnd w:id="273"/>
          </w:p>
        </w:tc>
        <w:tc>
          <w:tcPr>
            <w:tcW w:w="585" w:type="pct"/>
            <w:tcBorders>
              <w:tl2br w:val="nil"/>
              <w:tr2bl w:val="nil"/>
            </w:tcBorders>
            <w:vAlign w:val="center"/>
          </w:tcPr>
          <w:p w14:paraId="06BAAB4D">
            <w:pPr>
              <w:pStyle w:val="91"/>
              <w:keepNext w:val="0"/>
              <w:keepLines w:val="0"/>
              <w:suppressLineNumbers w:val="0"/>
              <w:spacing w:before="0" w:beforeAutospacing="0" w:after="0" w:afterAutospacing="0"/>
              <w:ind w:left="0" w:right="0"/>
              <w:rPr>
                <w:rFonts w:hint="default"/>
                <w:color w:val="auto"/>
              </w:rPr>
            </w:pPr>
            <w:r>
              <w:rPr>
                <w:rFonts w:hint="default"/>
                <w:color w:val="auto"/>
              </w:rPr>
              <w:t>NNW</w:t>
            </w:r>
          </w:p>
        </w:tc>
        <w:tc>
          <w:tcPr>
            <w:tcW w:w="660" w:type="pct"/>
            <w:tcBorders>
              <w:tl2br w:val="nil"/>
              <w:tr2bl w:val="nil"/>
            </w:tcBorders>
            <w:vAlign w:val="center"/>
          </w:tcPr>
          <w:p w14:paraId="424A59D3">
            <w:pPr>
              <w:pStyle w:val="91"/>
              <w:keepNext w:val="0"/>
              <w:keepLines w:val="0"/>
              <w:suppressLineNumbers w:val="0"/>
              <w:spacing w:before="0" w:beforeAutospacing="0" w:after="0" w:afterAutospacing="0"/>
              <w:ind w:left="0" w:right="0"/>
              <w:rPr>
                <w:rFonts w:hint="default"/>
                <w:color w:val="auto"/>
              </w:rPr>
            </w:pPr>
            <w:r>
              <w:rPr>
                <w:rFonts w:hint="default"/>
                <w:color w:val="auto"/>
              </w:rPr>
              <w:t>15.3</w:t>
            </w:r>
          </w:p>
        </w:tc>
      </w:tr>
      <w:tr w14:paraId="5662A3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continue"/>
            <w:tcBorders>
              <w:tl2br w:val="nil"/>
              <w:tr2bl w:val="nil"/>
            </w:tcBorders>
            <w:vAlign w:val="center"/>
          </w:tcPr>
          <w:p w14:paraId="6DA48FFE">
            <w:pPr>
              <w:pStyle w:val="91"/>
              <w:keepNext w:val="0"/>
              <w:keepLines w:val="0"/>
              <w:suppressLineNumbers w:val="0"/>
              <w:spacing w:before="0" w:beforeAutospacing="0" w:after="0" w:afterAutospacing="0"/>
              <w:ind w:left="0" w:right="0"/>
              <w:rPr>
                <w:rFonts w:hint="default"/>
                <w:color w:val="auto"/>
              </w:rPr>
            </w:pPr>
          </w:p>
        </w:tc>
        <w:tc>
          <w:tcPr>
            <w:tcW w:w="3086" w:type="pct"/>
            <w:tcBorders>
              <w:tl2br w:val="nil"/>
              <w:tr2bl w:val="nil"/>
            </w:tcBorders>
            <w:vAlign w:val="center"/>
          </w:tcPr>
          <w:p w14:paraId="5D34EABF">
            <w:pPr>
              <w:pStyle w:val="91"/>
              <w:keepNext w:val="0"/>
              <w:keepLines w:val="0"/>
              <w:suppressLineNumbers w:val="0"/>
              <w:spacing w:before="0" w:beforeAutospacing="0" w:after="0" w:afterAutospacing="0"/>
              <w:ind w:left="0" w:right="0"/>
              <w:rPr>
                <w:rFonts w:hint="default"/>
                <w:color w:val="auto"/>
              </w:rPr>
            </w:pPr>
            <w:r>
              <w:rPr>
                <w:rFonts w:hint="eastAsia"/>
                <w:color w:val="auto"/>
              </w:rPr>
              <w:t>防城港茅尾海西侧红树林生态保护红线</w:t>
            </w:r>
          </w:p>
        </w:tc>
        <w:tc>
          <w:tcPr>
            <w:tcW w:w="585" w:type="pct"/>
            <w:tcBorders>
              <w:tl2br w:val="nil"/>
              <w:tr2bl w:val="nil"/>
            </w:tcBorders>
            <w:vAlign w:val="center"/>
          </w:tcPr>
          <w:p w14:paraId="521E9BBE">
            <w:pPr>
              <w:pStyle w:val="91"/>
              <w:keepNext w:val="0"/>
              <w:keepLines w:val="0"/>
              <w:suppressLineNumbers w:val="0"/>
              <w:spacing w:before="0" w:beforeAutospacing="0" w:after="0" w:afterAutospacing="0"/>
              <w:ind w:left="0" w:right="0"/>
              <w:rPr>
                <w:rFonts w:hint="default"/>
                <w:color w:val="auto"/>
              </w:rPr>
            </w:pPr>
            <w:r>
              <w:rPr>
                <w:rFonts w:hint="eastAsia"/>
                <w:color w:val="auto"/>
              </w:rPr>
              <w:t>SW</w:t>
            </w:r>
          </w:p>
        </w:tc>
        <w:tc>
          <w:tcPr>
            <w:tcW w:w="660" w:type="pct"/>
            <w:tcBorders>
              <w:tl2br w:val="nil"/>
              <w:tr2bl w:val="nil"/>
            </w:tcBorders>
            <w:vAlign w:val="center"/>
          </w:tcPr>
          <w:p w14:paraId="7B49B99D">
            <w:pPr>
              <w:pStyle w:val="91"/>
              <w:keepNext w:val="0"/>
              <w:keepLines w:val="0"/>
              <w:suppressLineNumbers w:val="0"/>
              <w:spacing w:before="0" w:beforeAutospacing="0" w:after="0" w:afterAutospacing="0"/>
              <w:ind w:left="0" w:right="0"/>
              <w:rPr>
                <w:rFonts w:hint="default"/>
                <w:color w:val="auto"/>
              </w:rPr>
            </w:pPr>
            <w:r>
              <w:rPr>
                <w:rFonts w:hint="eastAsia"/>
                <w:color w:val="auto"/>
              </w:rPr>
              <w:t>3.78</w:t>
            </w:r>
          </w:p>
        </w:tc>
      </w:tr>
      <w:tr w14:paraId="2CAB2F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restart"/>
            <w:tcBorders>
              <w:tl2br w:val="nil"/>
              <w:tr2bl w:val="nil"/>
            </w:tcBorders>
            <w:vAlign w:val="center"/>
          </w:tcPr>
          <w:p w14:paraId="2138EBD0">
            <w:pPr>
              <w:pStyle w:val="91"/>
              <w:keepNext w:val="0"/>
              <w:keepLines w:val="0"/>
              <w:suppressLineNumbers w:val="0"/>
              <w:spacing w:before="0" w:beforeAutospacing="0" w:after="0" w:afterAutospacing="0"/>
              <w:ind w:left="0" w:right="0"/>
              <w:rPr>
                <w:rFonts w:hint="default"/>
                <w:color w:val="auto"/>
              </w:rPr>
            </w:pPr>
            <w:r>
              <w:rPr>
                <w:rFonts w:hint="default"/>
                <w:color w:val="auto"/>
              </w:rPr>
              <w:t>自然保护区</w:t>
            </w:r>
          </w:p>
        </w:tc>
        <w:tc>
          <w:tcPr>
            <w:tcW w:w="3086" w:type="pct"/>
            <w:tcBorders>
              <w:tl2br w:val="nil"/>
              <w:tr2bl w:val="nil"/>
            </w:tcBorders>
            <w:vAlign w:val="center"/>
          </w:tcPr>
          <w:p w14:paraId="1FBB3D11">
            <w:pPr>
              <w:pStyle w:val="91"/>
              <w:keepNext w:val="0"/>
              <w:keepLines w:val="0"/>
              <w:suppressLineNumbers w:val="0"/>
              <w:spacing w:before="0" w:beforeAutospacing="0" w:after="0" w:afterAutospacing="0"/>
              <w:ind w:left="0" w:right="0"/>
              <w:rPr>
                <w:rFonts w:hint="default"/>
                <w:color w:val="auto"/>
                <w:kern w:val="2"/>
              </w:rPr>
            </w:pPr>
            <w:r>
              <w:rPr>
                <w:rFonts w:hint="default"/>
                <w:color w:val="auto"/>
              </w:rPr>
              <w:t>广西茅尾海红树林自治区级自然保护区（七十二泾片）</w:t>
            </w:r>
          </w:p>
        </w:tc>
        <w:tc>
          <w:tcPr>
            <w:tcW w:w="585" w:type="pct"/>
            <w:tcBorders>
              <w:tl2br w:val="nil"/>
              <w:tr2bl w:val="nil"/>
            </w:tcBorders>
            <w:vAlign w:val="center"/>
          </w:tcPr>
          <w:p w14:paraId="6D2278FC">
            <w:pPr>
              <w:pStyle w:val="91"/>
              <w:keepNext w:val="0"/>
              <w:keepLines w:val="0"/>
              <w:suppressLineNumbers w:val="0"/>
              <w:spacing w:before="0" w:beforeAutospacing="0" w:after="0" w:afterAutospacing="0"/>
              <w:ind w:left="0" w:right="0"/>
              <w:rPr>
                <w:rFonts w:hint="default"/>
                <w:color w:val="auto"/>
              </w:rPr>
            </w:pPr>
            <w:r>
              <w:rPr>
                <w:rFonts w:hint="eastAsia"/>
                <w:color w:val="auto"/>
              </w:rPr>
              <w:t>NW</w:t>
            </w:r>
          </w:p>
        </w:tc>
        <w:tc>
          <w:tcPr>
            <w:tcW w:w="660" w:type="pct"/>
            <w:tcBorders>
              <w:tl2br w:val="nil"/>
              <w:tr2bl w:val="nil"/>
            </w:tcBorders>
            <w:vAlign w:val="center"/>
          </w:tcPr>
          <w:p w14:paraId="5E884425">
            <w:pPr>
              <w:pStyle w:val="91"/>
              <w:keepNext w:val="0"/>
              <w:keepLines w:val="0"/>
              <w:suppressLineNumbers w:val="0"/>
              <w:spacing w:before="0" w:beforeAutospacing="0" w:after="0" w:afterAutospacing="0"/>
              <w:ind w:left="0" w:right="0"/>
              <w:rPr>
                <w:rFonts w:hint="default"/>
                <w:color w:val="auto"/>
              </w:rPr>
            </w:pPr>
            <w:r>
              <w:rPr>
                <w:rFonts w:hint="default"/>
                <w:color w:val="auto"/>
              </w:rPr>
              <w:t>3.98</w:t>
            </w:r>
          </w:p>
        </w:tc>
      </w:tr>
      <w:tr w14:paraId="69E78D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continue"/>
            <w:tcBorders>
              <w:tl2br w:val="nil"/>
              <w:tr2bl w:val="nil"/>
            </w:tcBorders>
            <w:vAlign w:val="center"/>
          </w:tcPr>
          <w:p w14:paraId="3E3D0B11">
            <w:pPr>
              <w:pStyle w:val="91"/>
              <w:keepNext w:val="0"/>
              <w:keepLines w:val="0"/>
              <w:suppressLineNumbers w:val="0"/>
              <w:spacing w:before="0" w:beforeAutospacing="0" w:after="0" w:afterAutospacing="0"/>
              <w:ind w:left="0" w:right="0"/>
              <w:rPr>
                <w:rFonts w:hint="default"/>
                <w:color w:val="auto"/>
              </w:rPr>
            </w:pPr>
          </w:p>
        </w:tc>
        <w:tc>
          <w:tcPr>
            <w:tcW w:w="3086" w:type="pct"/>
            <w:tcBorders>
              <w:tl2br w:val="nil"/>
              <w:tr2bl w:val="nil"/>
            </w:tcBorders>
            <w:vAlign w:val="center"/>
          </w:tcPr>
          <w:p w14:paraId="46DE567B">
            <w:pPr>
              <w:pStyle w:val="91"/>
              <w:keepNext w:val="0"/>
              <w:keepLines w:val="0"/>
              <w:suppressLineNumbers w:val="0"/>
              <w:spacing w:before="0" w:beforeAutospacing="0" w:after="0" w:afterAutospacing="0"/>
              <w:ind w:left="0" w:right="0"/>
              <w:rPr>
                <w:rFonts w:hint="default"/>
                <w:color w:val="auto"/>
                <w:kern w:val="2"/>
              </w:rPr>
            </w:pPr>
            <w:r>
              <w:rPr>
                <w:rFonts w:hint="default"/>
                <w:color w:val="auto"/>
              </w:rPr>
              <w:t>广西茅尾海红树林自治区级自然保护区（坚心围片）</w:t>
            </w:r>
          </w:p>
        </w:tc>
        <w:tc>
          <w:tcPr>
            <w:tcW w:w="585" w:type="pct"/>
            <w:tcBorders>
              <w:tl2br w:val="nil"/>
              <w:tr2bl w:val="nil"/>
            </w:tcBorders>
            <w:vAlign w:val="center"/>
          </w:tcPr>
          <w:p w14:paraId="5AA87536">
            <w:pPr>
              <w:pStyle w:val="91"/>
              <w:keepNext w:val="0"/>
              <w:keepLines w:val="0"/>
              <w:suppressLineNumbers w:val="0"/>
              <w:spacing w:before="0" w:beforeAutospacing="0" w:after="0" w:afterAutospacing="0"/>
              <w:ind w:left="0" w:right="0"/>
              <w:rPr>
                <w:rFonts w:hint="default"/>
                <w:color w:val="auto"/>
              </w:rPr>
            </w:pPr>
            <w:r>
              <w:rPr>
                <w:rFonts w:hint="eastAsia"/>
                <w:color w:val="auto"/>
              </w:rPr>
              <w:t>NWN</w:t>
            </w:r>
          </w:p>
        </w:tc>
        <w:tc>
          <w:tcPr>
            <w:tcW w:w="660" w:type="pct"/>
            <w:tcBorders>
              <w:tl2br w:val="nil"/>
              <w:tr2bl w:val="nil"/>
            </w:tcBorders>
            <w:vAlign w:val="center"/>
          </w:tcPr>
          <w:p w14:paraId="0BA5923B">
            <w:pPr>
              <w:pStyle w:val="91"/>
              <w:keepNext w:val="0"/>
              <w:keepLines w:val="0"/>
              <w:suppressLineNumbers w:val="0"/>
              <w:spacing w:before="0" w:beforeAutospacing="0" w:after="0" w:afterAutospacing="0"/>
              <w:ind w:left="0" w:right="0"/>
              <w:rPr>
                <w:rFonts w:hint="default"/>
                <w:color w:val="auto"/>
              </w:rPr>
            </w:pPr>
            <w:r>
              <w:rPr>
                <w:rFonts w:hint="eastAsia"/>
                <w:color w:val="auto"/>
              </w:rPr>
              <w:t>14.</w:t>
            </w:r>
            <w:r>
              <w:rPr>
                <w:rFonts w:hint="default"/>
                <w:color w:val="auto"/>
              </w:rPr>
              <w:t>6</w:t>
            </w:r>
          </w:p>
        </w:tc>
      </w:tr>
      <w:tr w14:paraId="492187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continue"/>
            <w:tcBorders>
              <w:tl2br w:val="nil"/>
              <w:tr2bl w:val="nil"/>
            </w:tcBorders>
            <w:vAlign w:val="center"/>
          </w:tcPr>
          <w:p w14:paraId="73262D60">
            <w:pPr>
              <w:pStyle w:val="91"/>
              <w:keepNext w:val="0"/>
              <w:keepLines w:val="0"/>
              <w:suppressLineNumbers w:val="0"/>
              <w:spacing w:before="0" w:beforeAutospacing="0" w:after="0" w:afterAutospacing="0"/>
              <w:ind w:left="0" w:right="0"/>
              <w:rPr>
                <w:rFonts w:hint="default"/>
                <w:color w:val="auto"/>
              </w:rPr>
            </w:pPr>
          </w:p>
        </w:tc>
        <w:tc>
          <w:tcPr>
            <w:tcW w:w="3086" w:type="pct"/>
            <w:tcBorders>
              <w:tl2br w:val="nil"/>
              <w:tr2bl w:val="nil"/>
            </w:tcBorders>
            <w:vAlign w:val="center"/>
          </w:tcPr>
          <w:p w14:paraId="1AA7B5DC">
            <w:pPr>
              <w:pStyle w:val="91"/>
              <w:keepNext w:val="0"/>
              <w:keepLines w:val="0"/>
              <w:suppressLineNumbers w:val="0"/>
              <w:spacing w:before="0" w:beforeAutospacing="0" w:after="0" w:afterAutospacing="0"/>
              <w:ind w:left="0" w:right="0"/>
              <w:rPr>
                <w:rFonts w:hint="default"/>
                <w:color w:val="auto"/>
                <w:kern w:val="2"/>
              </w:rPr>
            </w:pPr>
            <w:r>
              <w:rPr>
                <w:rFonts w:hint="default"/>
                <w:color w:val="auto"/>
              </w:rPr>
              <w:t>广西茅尾海红树林自治区级自然保护区（康熙岭片）</w:t>
            </w:r>
          </w:p>
        </w:tc>
        <w:tc>
          <w:tcPr>
            <w:tcW w:w="585" w:type="pct"/>
            <w:tcBorders>
              <w:tl2br w:val="nil"/>
              <w:tr2bl w:val="nil"/>
            </w:tcBorders>
            <w:vAlign w:val="center"/>
          </w:tcPr>
          <w:p w14:paraId="2EF887AC">
            <w:pPr>
              <w:pStyle w:val="91"/>
              <w:keepNext w:val="0"/>
              <w:keepLines w:val="0"/>
              <w:suppressLineNumbers w:val="0"/>
              <w:spacing w:before="0" w:beforeAutospacing="0" w:after="0" w:afterAutospacing="0"/>
              <w:ind w:left="0" w:right="0"/>
              <w:rPr>
                <w:rFonts w:hint="default"/>
                <w:color w:val="auto"/>
              </w:rPr>
            </w:pPr>
            <w:r>
              <w:rPr>
                <w:rFonts w:hint="eastAsia"/>
                <w:color w:val="auto"/>
              </w:rPr>
              <w:t>NWN</w:t>
            </w:r>
          </w:p>
        </w:tc>
        <w:tc>
          <w:tcPr>
            <w:tcW w:w="660" w:type="pct"/>
            <w:tcBorders>
              <w:tl2br w:val="nil"/>
              <w:tr2bl w:val="nil"/>
            </w:tcBorders>
            <w:vAlign w:val="center"/>
          </w:tcPr>
          <w:p w14:paraId="0F79A7A8">
            <w:pPr>
              <w:pStyle w:val="91"/>
              <w:keepNext w:val="0"/>
              <w:keepLines w:val="0"/>
              <w:suppressLineNumbers w:val="0"/>
              <w:spacing w:before="0" w:beforeAutospacing="0" w:after="0" w:afterAutospacing="0"/>
              <w:ind w:left="0" w:right="0"/>
              <w:rPr>
                <w:rFonts w:hint="default"/>
                <w:color w:val="auto"/>
              </w:rPr>
            </w:pPr>
            <w:r>
              <w:rPr>
                <w:rFonts w:hint="default"/>
                <w:color w:val="auto"/>
              </w:rPr>
              <w:t>17.4</w:t>
            </w:r>
          </w:p>
        </w:tc>
      </w:tr>
      <w:tr w14:paraId="210E6B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restart"/>
            <w:tcBorders>
              <w:tl2br w:val="nil"/>
              <w:tr2bl w:val="nil"/>
            </w:tcBorders>
            <w:vAlign w:val="center"/>
          </w:tcPr>
          <w:p w14:paraId="264B1367">
            <w:pPr>
              <w:pStyle w:val="91"/>
              <w:keepNext w:val="0"/>
              <w:keepLines w:val="0"/>
              <w:suppressLineNumbers w:val="0"/>
              <w:spacing w:before="0" w:beforeAutospacing="0" w:after="0" w:afterAutospacing="0"/>
              <w:ind w:left="0" w:right="0"/>
              <w:rPr>
                <w:rFonts w:hint="default"/>
                <w:color w:val="auto"/>
              </w:rPr>
            </w:pPr>
            <w:r>
              <w:rPr>
                <w:rFonts w:hint="default"/>
                <w:color w:val="auto"/>
              </w:rPr>
              <w:t>重要湿地</w:t>
            </w:r>
          </w:p>
        </w:tc>
        <w:tc>
          <w:tcPr>
            <w:tcW w:w="3086" w:type="pct"/>
            <w:tcBorders>
              <w:tl2br w:val="nil"/>
              <w:tr2bl w:val="nil"/>
            </w:tcBorders>
            <w:vAlign w:val="center"/>
          </w:tcPr>
          <w:p w14:paraId="2934124A">
            <w:pPr>
              <w:pStyle w:val="91"/>
              <w:keepNext w:val="0"/>
              <w:keepLines w:val="0"/>
              <w:suppressLineNumbers w:val="0"/>
              <w:spacing w:before="0" w:beforeAutospacing="0" w:after="0" w:afterAutospacing="0"/>
              <w:ind w:left="0" w:right="0"/>
              <w:rPr>
                <w:rFonts w:hint="default"/>
                <w:color w:val="auto"/>
                <w:kern w:val="2"/>
              </w:rPr>
            </w:pPr>
            <w:r>
              <w:rPr>
                <w:rFonts w:hint="default"/>
                <w:color w:val="auto"/>
              </w:rPr>
              <w:t>广西</w:t>
            </w:r>
            <w:r>
              <w:rPr>
                <w:rFonts w:hint="eastAsia"/>
                <w:color w:val="auto"/>
              </w:rPr>
              <w:t>钦州</w:t>
            </w:r>
            <w:r>
              <w:rPr>
                <w:rFonts w:hint="default"/>
                <w:color w:val="auto"/>
              </w:rPr>
              <w:t>茅尾海红树林自治区级重要湿地（七十二泾片）</w:t>
            </w:r>
          </w:p>
        </w:tc>
        <w:tc>
          <w:tcPr>
            <w:tcW w:w="585" w:type="pct"/>
            <w:tcBorders>
              <w:tl2br w:val="nil"/>
              <w:tr2bl w:val="nil"/>
            </w:tcBorders>
            <w:vAlign w:val="center"/>
          </w:tcPr>
          <w:p w14:paraId="4DAE5961">
            <w:pPr>
              <w:pStyle w:val="91"/>
              <w:keepNext w:val="0"/>
              <w:keepLines w:val="0"/>
              <w:suppressLineNumbers w:val="0"/>
              <w:spacing w:before="0" w:beforeAutospacing="0" w:after="0" w:afterAutospacing="0"/>
              <w:ind w:left="0" w:right="0"/>
              <w:rPr>
                <w:rFonts w:hint="default"/>
                <w:color w:val="auto"/>
              </w:rPr>
            </w:pPr>
            <w:r>
              <w:rPr>
                <w:rFonts w:hint="eastAsia"/>
                <w:color w:val="auto"/>
              </w:rPr>
              <w:t>NW</w:t>
            </w:r>
          </w:p>
        </w:tc>
        <w:tc>
          <w:tcPr>
            <w:tcW w:w="660" w:type="pct"/>
            <w:tcBorders>
              <w:tl2br w:val="nil"/>
              <w:tr2bl w:val="nil"/>
            </w:tcBorders>
            <w:vAlign w:val="center"/>
          </w:tcPr>
          <w:p w14:paraId="34A7B66E">
            <w:pPr>
              <w:pStyle w:val="91"/>
              <w:keepNext w:val="0"/>
              <w:keepLines w:val="0"/>
              <w:suppressLineNumbers w:val="0"/>
              <w:spacing w:before="0" w:beforeAutospacing="0" w:after="0" w:afterAutospacing="0"/>
              <w:ind w:left="0" w:right="0"/>
              <w:rPr>
                <w:rFonts w:hint="default"/>
                <w:color w:val="auto"/>
              </w:rPr>
            </w:pPr>
            <w:r>
              <w:rPr>
                <w:rFonts w:hint="default"/>
                <w:color w:val="auto"/>
              </w:rPr>
              <w:t>3.98</w:t>
            </w:r>
          </w:p>
        </w:tc>
      </w:tr>
      <w:tr w14:paraId="145FBE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continue"/>
            <w:tcBorders>
              <w:tl2br w:val="nil"/>
              <w:tr2bl w:val="nil"/>
            </w:tcBorders>
            <w:vAlign w:val="center"/>
          </w:tcPr>
          <w:p w14:paraId="4149BEFC">
            <w:pPr>
              <w:pStyle w:val="91"/>
              <w:keepNext w:val="0"/>
              <w:keepLines w:val="0"/>
              <w:suppressLineNumbers w:val="0"/>
              <w:spacing w:before="0" w:beforeAutospacing="0" w:after="0" w:afterAutospacing="0"/>
              <w:ind w:left="0" w:right="0"/>
              <w:rPr>
                <w:rFonts w:hint="default"/>
                <w:color w:val="auto"/>
              </w:rPr>
            </w:pPr>
          </w:p>
        </w:tc>
        <w:tc>
          <w:tcPr>
            <w:tcW w:w="3086" w:type="pct"/>
            <w:tcBorders>
              <w:tl2br w:val="nil"/>
              <w:tr2bl w:val="nil"/>
            </w:tcBorders>
            <w:vAlign w:val="center"/>
          </w:tcPr>
          <w:p w14:paraId="45308F88">
            <w:pPr>
              <w:pStyle w:val="91"/>
              <w:keepNext w:val="0"/>
              <w:keepLines w:val="0"/>
              <w:suppressLineNumbers w:val="0"/>
              <w:spacing w:before="0" w:beforeAutospacing="0" w:after="0" w:afterAutospacing="0"/>
              <w:ind w:left="0" w:right="0"/>
              <w:rPr>
                <w:rFonts w:hint="default"/>
                <w:color w:val="auto"/>
              </w:rPr>
            </w:pPr>
            <w:r>
              <w:rPr>
                <w:rFonts w:hint="default"/>
                <w:color w:val="auto"/>
              </w:rPr>
              <w:t>广西</w:t>
            </w:r>
            <w:r>
              <w:rPr>
                <w:rFonts w:hint="eastAsia"/>
                <w:color w:val="auto"/>
              </w:rPr>
              <w:t>钦州</w:t>
            </w:r>
            <w:r>
              <w:rPr>
                <w:rFonts w:hint="default"/>
                <w:color w:val="auto"/>
              </w:rPr>
              <w:t>茅尾海红树林自治区级重要湿地（坚心围片）</w:t>
            </w:r>
          </w:p>
        </w:tc>
        <w:tc>
          <w:tcPr>
            <w:tcW w:w="585" w:type="pct"/>
            <w:tcBorders>
              <w:tl2br w:val="nil"/>
              <w:tr2bl w:val="nil"/>
            </w:tcBorders>
            <w:vAlign w:val="center"/>
          </w:tcPr>
          <w:p w14:paraId="72FF20E8">
            <w:pPr>
              <w:pStyle w:val="91"/>
              <w:keepNext w:val="0"/>
              <w:keepLines w:val="0"/>
              <w:suppressLineNumbers w:val="0"/>
              <w:spacing w:before="0" w:beforeAutospacing="0" w:after="0" w:afterAutospacing="0"/>
              <w:ind w:left="0" w:right="0"/>
              <w:rPr>
                <w:rFonts w:hint="default"/>
                <w:color w:val="auto"/>
              </w:rPr>
            </w:pPr>
            <w:r>
              <w:rPr>
                <w:rFonts w:hint="eastAsia"/>
                <w:color w:val="auto"/>
              </w:rPr>
              <w:t>NWN</w:t>
            </w:r>
          </w:p>
        </w:tc>
        <w:tc>
          <w:tcPr>
            <w:tcW w:w="660" w:type="pct"/>
            <w:tcBorders>
              <w:tl2br w:val="nil"/>
              <w:tr2bl w:val="nil"/>
            </w:tcBorders>
            <w:vAlign w:val="center"/>
          </w:tcPr>
          <w:p w14:paraId="409E4F94">
            <w:pPr>
              <w:pStyle w:val="91"/>
              <w:keepNext w:val="0"/>
              <w:keepLines w:val="0"/>
              <w:suppressLineNumbers w:val="0"/>
              <w:spacing w:before="0" w:beforeAutospacing="0" w:after="0" w:afterAutospacing="0"/>
              <w:ind w:left="0" w:right="0"/>
              <w:rPr>
                <w:rFonts w:hint="default"/>
                <w:color w:val="auto"/>
              </w:rPr>
            </w:pPr>
            <w:r>
              <w:rPr>
                <w:rFonts w:hint="eastAsia"/>
                <w:color w:val="auto"/>
              </w:rPr>
              <w:t>14.</w:t>
            </w:r>
            <w:r>
              <w:rPr>
                <w:rFonts w:hint="default"/>
                <w:color w:val="auto"/>
              </w:rPr>
              <w:t>6</w:t>
            </w:r>
          </w:p>
        </w:tc>
      </w:tr>
      <w:tr w14:paraId="0DBE2D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continue"/>
            <w:tcBorders>
              <w:tl2br w:val="nil"/>
              <w:tr2bl w:val="nil"/>
            </w:tcBorders>
            <w:vAlign w:val="center"/>
          </w:tcPr>
          <w:p w14:paraId="382796BD">
            <w:pPr>
              <w:pStyle w:val="91"/>
              <w:keepNext w:val="0"/>
              <w:keepLines w:val="0"/>
              <w:suppressLineNumbers w:val="0"/>
              <w:spacing w:before="0" w:beforeAutospacing="0" w:after="0" w:afterAutospacing="0"/>
              <w:ind w:left="0" w:right="0"/>
              <w:rPr>
                <w:rFonts w:hint="default"/>
                <w:color w:val="auto"/>
              </w:rPr>
            </w:pPr>
          </w:p>
        </w:tc>
        <w:tc>
          <w:tcPr>
            <w:tcW w:w="3086" w:type="pct"/>
            <w:tcBorders>
              <w:tl2br w:val="nil"/>
              <w:tr2bl w:val="nil"/>
            </w:tcBorders>
            <w:vAlign w:val="center"/>
          </w:tcPr>
          <w:p w14:paraId="61CEA973">
            <w:pPr>
              <w:pStyle w:val="91"/>
              <w:keepNext w:val="0"/>
              <w:keepLines w:val="0"/>
              <w:suppressLineNumbers w:val="0"/>
              <w:spacing w:before="0" w:beforeAutospacing="0" w:after="0" w:afterAutospacing="0"/>
              <w:ind w:left="0" w:right="0"/>
              <w:rPr>
                <w:rFonts w:hint="default"/>
                <w:color w:val="auto"/>
                <w:kern w:val="2"/>
              </w:rPr>
            </w:pPr>
            <w:r>
              <w:rPr>
                <w:rFonts w:hint="default"/>
                <w:color w:val="auto"/>
              </w:rPr>
              <w:t>广西</w:t>
            </w:r>
            <w:r>
              <w:rPr>
                <w:rFonts w:hint="eastAsia"/>
                <w:color w:val="auto"/>
              </w:rPr>
              <w:t>钦州</w:t>
            </w:r>
            <w:r>
              <w:rPr>
                <w:rFonts w:hint="default"/>
                <w:color w:val="auto"/>
              </w:rPr>
              <w:t>茅尾海红树林自治区重要湿地（康熙岭片）</w:t>
            </w:r>
          </w:p>
        </w:tc>
        <w:tc>
          <w:tcPr>
            <w:tcW w:w="585" w:type="pct"/>
            <w:tcBorders>
              <w:tl2br w:val="nil"/>
              <w:tr2bl w:val="nil"/>
            </w:tcBorders>
            <w:vAlign w:val="center"/>
          </w:tcPr>
          <w:p w14:paraId="504783FB">
            <w:pPr>
              <w:pStyle w:val="91"/>
              <w:keepNext w:val="0"/>
              <w:keepLines w:val="0"/>
              <w:suppressLineNumbers w:val="0"/>
              <w:spacing w:before="0" w:beforeAutospacing="0" w:after="0" w:afterAutospacing="0"/>
              <w:ind w:left="0" w:right="0"/>
              <w:rPr>
                <w:rFonts w:hint="default"/>
                <w:color w:val="auto"/>
              </w:rPr>
            </w:pPr>
            <w:r>
              <w:rPr>
                <w:rFonts w:hint="eastAsia"/>
                <w:color w:val="auto"/>
              </w:rPr>
              <w:t>NNW</w:t>
            </w:r>
          </w:p>
        </w:tc>
        <w:tc>
          <w:tcPr>
            <w:tcW w:w="660" w:type="pct"/>
            <w:tcBorders>
              <w:tl2br w:val="nil"/>
              <w:tr2bl w:val="nil"/>
            </w:tcBorders>
            <w:vAlign w:val="center"/>
          </w:tcPr>
          <w:p w14:paraId="629F20E7">
            <w:pPr>
              <w:pStyle w:val="91"/>
              <w:keepNext w:val="0"/>
              <w:keepLines w:val="0"/>
              <w:suppressLineNumbers w:val="0"/>
              <w:spacing w:before="0" w:beforeAutospacing="0" w:after="0" w:afterAutospacing="0"/>
              <w:ind w:left="0" w:right="0"/>
              <w:rPr>
                <w:rFonts w:hint="default"/>
                <w:color w:val="auto"/>
              </w:rPr>
            </w:pPr>
            <w:r>
              <w:rPr>
                <w:rFonts w:hint="default"/>
                <w:color w:val="auto"/>
              </w:rPr>
              <w:t>17.4</w:t>
            </w:r>
          </w:p>
        </w:tc>
      </w:tr>
      <w:tr w14:paraId="424B6D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continue"/>
            <w:tcBorders>
              <w:tl2br w:val="nil"/>
              <w:tr2bl w:val="nil"/>
            </w:tcBorders>
            <w:vAlign w:val="center"/>
          </w:tcPr>
          <w:p w14:paraId="53DB3A08">
            <w:pPr>
              <w:pStyle w:val="91"/>
              <w:keepNext w:val="0"/>
              <w:keepLines w:val="0"/>
              <w:suppressLineNumbers w:val="0"/>
              <w:spacing w:before="0" w:beforeAutospacing="0" w:after="0" w:afterAutospacing="0"/>
              <w:ind w:left="0" w:right="0"/>
              <w:rPr>
                <w:rFonts w:hint="default"/>
                <w:color w:val="auto"/>
              </w:rPr>
            </w:pPr>
          </w:p>
        </w:tc>
        <w:tc>
          <w:tcPr>
            <w:tcW w:w="3086" w:type="pct"/>
            <w:tcBorders>
              <w:tl2br w:val="nil"/>
              <w:tr2bl w:val="nil"/>
            </w:tcBorders>
            <w:vAlign w:val="center"/>
          </w:tcPr>
          <w:p w14:paraId="1C4E24D1">
            <w:pPr>
              <w:pStyle w:val="91"/>
              <w:keepNext w:val="0"/>
              <w:keepLines w:val="0"/>
              <w:suppressLineNumbers w:val="0"/>
              <w:spacing w:before="0" w:beforeAutospacing="0" w:after="0" w:afterAutospacing="0"/>
              <w:ind w:left="0" w:right="0"/>
              <w:rPr>
                <w:rFonts w:hint="default" w:hAnsi="Times New Roman" w:cs="宋体"/>
                <w:color w:val="auto"/>
                <w:kern w:val="2"/>
                <w:lang w:bidi="zh-CN"/>
              </w:rPr>
            </w:pPr>
            <w:r>
              <w:rPr>
                <w:rFonts w:hint="default" w:hAnsi="Times New Roman"/>
                <w:color w:val="auto"/>
              </w:rPr>
              <w:t>广西防城港山心沙岛自治区重要湿地</w:t>
            </w:r>
          </w:p>
        </w:tc>
        <w:tc>
          <w:tcPr>
            <w:tcW w:w="585" w:type="pct"/>
            <w:tcBorders>
              <w:tl2br w:val="nil"/>
              <w:tr2bl w:val="nil"/>
            </w:tcBorders>
            <w:vAlign w:val="center"/>
          </w:tcPr>
          <w:p w14:paraId="7CE72C94">
            <w:pPr>
              <w:pStyle w:val="91"/>
              <w:keepNext w:val="0"/>
              <w:keepLines w:val="0"/>
              <w:suppressLineNumbers w:val="0"/>
              <w:spacing w:before="0" w:beforeAutospacing="0" w:after="0" w:afterAutospacing="0"/>
              <w:ind w:left="0" w:right="0"/>
              <w:rPr>
                <w:rFonts w:hint="default"/>
                <w:color w:val="auto"/>
              </w:rPr>
            </w:pPr>
            <w:r>
              <w:rPr>
                <w:rFonts w:hint="eastAsia"/>
                <w:color w:val="auto"/>
              </w:rPr>
              <w:t>SW</w:t>
            </w:r>
          </w:p>
        </w:tc>
        <w:tc>
          <w:tcPr>
            <w:tcW w:w="660" w:type="pct"/>
            <w:tcBorders>
              <w:tl2br w:val="nil"/>
              <w:tr2bl w:val="nil"/>
            </w:tcBorders>
            <w:vAlign w:val="center"/>
          </w:tcPr>
          <w:p w14:paraId="4BA634FB">
            <w:pPr>
              <w:pStyle w:val="91"/>
              <w:keepNext w:val="0"/>
              <w:keepLines w:val="0"/>
              <w:suppressLineNumbers w:val="0"/>
              <w:spacing w:before="0" w:beforeAutospacing="0" w:after="0" w:afterAutospacing="0"/>
              <w:ind w:left="0" w:right="0"/>
              <w:rPr>
                <w:rFonts w:hint="default"/>
                <w:color w:val="auto"/>
              </w:rPr>
            </w:pPr>
            <w:r>
              <w:rPr>
                <w:rFonts w:hint="default"/>
                <w:color w:val="auto"/>
              </w:rPr>
              <w:t>13.2</w:t>
            </w:r>
          </w:p>
        </w:tc>
      </w:tr>
      <w:tr w14:paraId="3CB57D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tcBorders>
              <w:tl2br w:val="nil"/>
              <w:tr2bl w:val="nil"/>
            </w:tcBorders>
            <w:vAlign w:val="center"/>
          </w:tcPr>
          <w:p w14:paraId="62C42642">
            <w:pPr>
              <w:pStyle w:val="91"/>
              <w:keepNext w:val="0"/>
              <w:keepLines w:val="0"/>
              <w:suppressLineNumbers w:val="0"/>
              <w:spacing w:before="0" w:beforeAutospacing="0" w:after="0" w:afterAutospacing="0"/>
              <w:ind w:left="0" w:right="0"/>
              <w:rPr>
                <w:rFonts w:hint="default"/>
                <w:color w:val="auto"/>
              </w:rPr>
            </w:pPr>
            <w:r>
              <w:rPr>
                <w:rFonts w:hint="default"/>
                <w:color w:val="auto"/>
              </w:rPr>
              <w:t>海洋公园</w:t>
            </w:r>
          </w:p>
        </w:tc>
        <w:tc>
          <w:tcPr>
            <w:tcW w:w="3086" w:type="pct"/>
            <w:tcBorders>
              <w:tl2br w:val="nil"/>
              <w:tr2bl w:val="nil"/>
            </w:tcBorders>
            <w:vAlign w:val="center"/>
          </w:tcPr>
          <w:p w14:paraId="19FCAF09">
            <w:pPr>
              <w:pStyle w:val="91"/>
              <w:keepNext w:val="0"/>
              <w:keepLines w:val="0"/>
              <w:suppressLineNumbers w:val="0"/>
              <w:spacing w:before="0" w:beforeAutospacing="0" w:after="0" w:afterAutospacing="0"/>
              <w:ind w:left="0" w:right="0"/>
              <w:rPr>
                <w:rFonts w:hint="default"/>
                <w:color w:val="auto"/>
              </w:rPr>
            </w:pPr>
            <w:r>
              <w:rPr>
                <w:rFonts w:hint="default"/>
                <w:color w:val="auto"/>
              </w:rPr>
              <w:t>广西钦州茅尾海国家级海洋公园</w:t>
            </w:r>
          </w:p>
        </w:tc>
        <w:tc>
          <w:tcPr>
            <w:tcW w:w="585" w:type="pct"/>
            <w:tcBorders>
              <w:tl2br w:val="nil"/>
              <w:tr2bl w:val="nil"/>
            </w:tcBorders>
            <w:vAlign w:val="center"/>
          </w:tcPr>
          <w:p w14:paraId="0DD3A5D1">
            <w:pPr>
              <w:pStyle w:val="91"/>
              <w:keepNext w:val="0"/>
              <w:keepLines w:val="0"/>
              <w:suppressLineNumbers w:val="0"/>
              <w:spacing w:before="0" w:beforeAutospacing="0" w:after="0" w:afterAutospacing="0"/>
              <w:ind w:left="0" w:right="0"/>
              <w:rPr>
                <w:rFonts w:hint="default"/>
                <w:color w:val="auto"/>
              </w:rPr>
            </w:pPr>
            <w:r>
              <w:rPr>
                <w:rFonts w:hint="eastAsia"/>
                <w:color w:val="auto"/>
              </w:rPr>
              <w:t>NWN</w:t>
            </w:r>
          </w:p>
        </w:tc>
        <w:tc>
          <w:tcPr>
            <w:tcW w:w="660" w:type="pct"/>
            <w:tcBorders>
              <w:tl2br w:val="nil"/>
              <w:tr2bl w:val="nil"/>
            </w:tcBorders>
            <w:vAlign w:val="center"/>
          </w:tcPr>
          <w:p w14:paraId="0B8D0996">
            <w:pPr>
              <w:pStyle w:val="91"/>
              <w:keepNext w:val="0"/>
              <w:keepLines w:val="0"/>
              <w:suppressLineNumbers w:val="0"/>
              <w:spacing w:before="0" w:beforeAutospacing="0" w:after="0" w:afterAutospacing="0"/>
              <w:ind w:left="0" w:right="0"/>
              <w:rPr>
                <w:rFonts w:hint="default"/>
                <w:color w:val="auto"/>
              </w:rPr>
            </w:pPr>
            <w:r>
              <w:rPr>
                <w:rFonts w:hint="eastAsia"/>
                <w:color w:val="auto"/>
              </w:rPr>
              <w:t>1</w:t>
            </w:r>
            <w:r>
              <w:rPr>
                <w:rFonts w:hint="default"/>
                <w:color w:val="auto"/>
              </w:rPr>
              <w:t>2</w:t>
            </w:r>
          </w:p>
        </w:tc>
      </w:tr>
      <w:tr w14:paraId="010DEF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restart"/>
            <w:tcBorders>
              <w:tl2br w:val="nil"/>
              <w:tr2bl w:val="nil"/>
            </w:tcBorders>
            <w:vAlign w:val="center"/>
          </w:tcPr>
          <w:p w14:paraId="19AEF2C2">
            <w:pPr>
              <w:pStyle w:val="91"/>
              <w:keepNext w:val="0"/>
              <w:keepLines w:val="0"/>
              <w:suppressLineNumbers w:val="0"/>
              <w:spacing w:before="0" w:beforeAutospacing="0" w:after="0" w:afterAutospacing="0"/>
              <w:ind w:left="0" w:right="0"/>
              <w:rPr>
                <w:rFonts w:hint="default"/>
                <w:color w:val="auto"/>
              </w:rPr>
            </w:pPr>
            <w:r>
              <w:rPr>
                <w:rFonts w:hint="default"/>
                <w:color w:val="auto"/>
              </w:rPr>
              <w:t>红树林分布区</w:t>
            </w:r>
          </w:p>
        </w:tc>
        <w:tc>
          <w:tcPr>
            <w:tcW w:w="3086" w:type="pct"/>
            <w:tcBorders>
              <w:tl2br w:val="nil"/>
              <w:tr2bl w:val="nil"/>
            </w:tcBorders>
            <w:vAlign w:val="center"/>
          </w:tcPr>
          <w:p w14:paraId="67A3B785">
            <w:pPr>
              <w:pStyle w:val="91"/>
              <w:keepNext w:val="0"/>
              <w:keepLines w:val="0"/>
              <w:suppressLineNumbers w:val="0"/>
              <w:spacing w:before="0" w:beforeAutospacing="0" w:after="0" w:afterAutospacing="0"/>
              <w:ind w:left="0" w:right="0"/>
              <w:rPr>
                <w:rFonts w:hint="default"/>
                <w:color w:val="auto"/>
              </w:rPr>
            </w:pPr>
            <w:r>
              <w:rPr>
                <w:rFonts w:hint="default"/>
                <w:color w:val="auto"/>
              </w:rPr>
              <w:t>金鼓江红树林分布区</w:t>
            </w:r>
          </w:p>
        </w:tc>
        <w:tc>
          <w:tcPr>
            <w:tcW w:w="585" w:type="pct"/>
            <w:tcBorders>
              <w:tl2br w:val="nil"/>
              <w:tr2bl w:val="nil"/>
            </w:tcBorders>
            <w:vAlign w:val="center"/>
          </w:tcPr>
          <w:p w14:paraId="0EC44841">
            <w:pPr>
              <w:pStyle w:val="91"/>
              <w:keepNext w:val="0"/>
              <w:keepLines w:val="0"/>
              <w:suppressLineNumbers w:val="0"/>
              <w:spacing w:before="0" w:beforeAutospacing="0" w:after="0" w:afterAutospacing="0"/>
              <w:ind w:left="0" w:right="0"/>
              <w:rPr>
                <w:rFonts w:hint="default"/>
                <w:color w:val="auto"/>
              </w:rPr>
            </w:pPr>
            <w:r>
              <w:rPr>
                <w:rFonts w:hint="eastAsia"/>
                <w:color w:val="auto"/>
              </w:rPr>
              <w:t>N</w:t>
            </w:r>
          </w:p>
        </w:tc>
        <w:tc>
          <w:tcPr>
            <w:tcW w:w="660" w:type="pct"/>
            <w:tcBorders>
              <w:tl2br w:val="nil"/>
              <w:tr2bl w:val="nil"/>
            </w:tcBorders>
            <w:vAlign w:val="center"/>
          </w:tcPr>
          <w:p w14:paraId="1B149E69">
            <w:pPr>
              <w:pStyle w:val="91"/>
              <w:keepNext w:val="0"/>
              <w:keepLines w:val="0"/>
              <w:suppressLineNumbers w:val="0"/>
              <w:spacing w:before="0" w:beforeAutospacing="0" w:after="0" w:afterAutospacing="0"/>
              <w:ind w:left="0" w:right="0"/>
              <w:rPr>
                <w:rFonts w:hint="default"/>
                <w:color w:val="auto"/>
              </w:rPr>
            </w:pPr>
            <w:r>
              <w:rPr>
                <w:rFonts w:hint="eastAsia"/>
                <w:color w:val="auto"/>
              </w:rPr>
              <w:t>6.4</w:t>
            </w:r>
          </w:p>
        </w:tc>
      </w:tr>
      <w:tr w14:paraId="2C2574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continue"/>
            <w:tcBorders>
              <w:tl2br w:val="nil"/>
              <w:tr2bl w:val="nil"/>
            </w:tcBorders>
            <w:vAlign w:val="center"/>
          </w:tcPr>
          <w:p w14:paraId="0EB7192C">
            <w:pPr>
              <w:pStyle w:val="91"/>
              <w:keepNext w:val="0"/>
              <w:keepLines w:val="0"/>
              <w:suppressLineNumbers w:val="0"/>
              <w:spacing w:before="0" w:beforeAutospacing="0" w:after="0" w:afterAutospacing="0"/>
              <w:ind w:left="0" w:right="0"/>
              <w:rPr>
                <w:rFonts w:hint="default"/>
                <w:color w:val="auto"/>
              </w:rPr>
            </w:pPr>
          </w:p>
        </w:tc>
        <w:tc>
          <w:tcPr>
            <w:tcW w:w="3086" w:type="pct"/>
            <w:tcBorders>
              <w:tl2br w:val="nil"/>
              <w:tr2bl w:val="nil"/>
            </w:tcBorders>
            <w:vAlign w:val="center"/>
          </w:tcPr>
          <w:p w14:paraId="214D6F73">
            <w:pPr>
              <w:pStyle w:val="91"/>
              <w:keepNext w:val="0"/>
              <w:keepLines w:val="0"/>
              <w:suppressLineNumbers w:val="0"/>
              <w:spacing w:before="0" w:beforeAutospacing="0" w:after="0" w:afterAutospacing="0"/>
              <w:ind w:left="0" w:right="0"/>
              <w:rPr>
                <w:rFonts w:hint="default"/>
                <w:color w:val="auto"/>
              </w:rPr>
            </w:pPr>
            <w:r>
              <w:rPr>
                <w:rFonts w:hint="default"/>
                <w:color w:val="auto"/>
              </w:rPr>
              <w:t>七十二泾红树林分布区</w:t>
            </w:r>
          </w:p>
        </w:tc>
        <w:tc>
          <w:tcPr>
            <w:tcW w:w="585" w:type="pct"/>
            <w:tcBorders>
              <w:tl2br w:val="nil"/>
              <w:tr2bl w:val="nil"/>
            </w:tcBorders>
            <w:vAlign w:val="center"/>
          </w:tcPr>
          <w:p w14:paraId="32B9522D">
            <w:pPr>
              <w:pStyle w:val="91"/>
              <w:keepNext w:val="0"/>
              <w:keepLines w:val="0"/>
              <w:suppressLineNumbers w:val="0"/>
              <w:spacing w:before="0" w:beforeAutospacing="0" w:after="0" w:afterAutospacing="0"/>
              <w:ind w:left="0" w:right="0"/>
              <w:rPr>
                <w:rFonts w:hint="default"/>
                <w:color w:val="auto"/>
              </w:rPr>
            </w:pPr>
            <w:r>
              <w:rPr>
                <w:rFonts w:hint="eastAsia"/>
                <w:color w:val="auto"/>
              </w:rPr>
              <w:t>NW</w:t>
            </w:r>
          </w:p>
        </w:tc>
        <w:tc>
          <w:tcPr>
            <w:tcW w:w="660" w:type="pct"/>
            <w:tcBorders>
              <w:tl2br w:val="nil"/>
              <w:tr2bl w:val="nil"/>
            </w:tcBorders>
            <w:vAlign w:val="center"/>
          </w:tcPr>
          <w:p w14:paraId="0A925DCF">
            <w:pPr>
              <w:pStyle w:val="91"/>
              <w:keepNext w:val="0"/>
              <w:keepLines w:val="0"/>
              <w:suppressLineNumbers w:val="0"/>
              <w:spacing w:before="0" w:beforeAutospacing="0" w:after="0" w:afterAutospacing="0"/>
              <w:ind w:left="0" w:right="0"/>
              <w:rPr>
                <w:rFonts w:hint="default"/>
                <w:color w:val="auto"/>
              </w:rPr>
            </w:pPr>
            <w:r>
              <w:rPr>
                <w:rFonts w:hint="default"/>
                <w:color w:val="auto"/>
              </w:rPr>
              <w:t>3.98</w:t>
            </w:r>
          </w:p>
        </w:tc>
      </w:tr>
      <w:tr w14:paraId="4697B5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continue"/>
            <w:tcBorders>
              <w:tl2br w:val="nil"/>
              <w:tr2bl w:val="nil"/>
            </w:tcBorders>
            <w:vAlign w:val="center"/>
          </w:tcPr>
          <w:p w14:paraId="33F9E1F5">
            <w:pPr>
              <w:pStyle w:val="91"/>
              <w:keepNext w:val="0"/>
              <w:keepLines w:val="0"/>
              <w:suppressLineNumbers w:val="0"/>
              <w:spacing w:before="0" w:beforeAutospacing="0" w:after="0" w:afterAutospacing="0"/>
              <w:ind w:left="0" w:right="0"/>
              <w:rPr>
                <w:rFonts w:hint="default"/>
                <w:color w:val="auto"/>
              </w:rPr>
            </w:pPr>
          </w:p>
        </w:tc>
        <w:tc>
          <w:tcPr>
            <w:tcW w:w="3086" w:type="pct"/>
            <w:tcBorders>
              <w:tl2br w:val="nil"/>
              <w:tr2bl w:val="nil"/>
            </w:tcBorders>
            <w:vAlign w:val="center"/>
          </w:tcPr>
          <w:p w14:paraId="145E52AE">
            <w:pPr>
              <w:pStyle w:val="91"/>
              <w:keepNext w:val="0"/>
              <w:keepLines w:val="0"/>
              <w:suppressLineNumbers w:val="0"/>
              <w:spacing w:before="0" w:beforeAutospacing="0" w:after="0" w:afterAutospacing="0"/>
              <w:ind w:left="0" w:right="0"/>
              <w:rPr>
                <w:rFonts w:hint="default"/>
                <w:color w:val="auto"/>
              </w:rPr>
            </w:pPr>
            <w:r>
              <w:rPr>
                <w:rFonts w:hint="eastAsia"/>
                <w:color w:val="auto"/>
              </w:rPr>
              <w:t>防城港茅尾海西侧红树林</w:t>
            </w:r>
            <w:r>
              <w:rPr>
                <w:rFonts w:hint="default"/>
                <w:color w:val="auto"/>
              </w:rPr>
              <w:t>分布区</w:t>
            </w:r>
          </w:p>
        </w:tc>
        <w:tc>
          <w:tcPr>
            <w:tcW w:w="585" w:type="pct"/>
            <w:tcBorders>
              <w:tl2br w:val="nil"/>
              <w:tr2bl w:val="nil"/>
            </w:tcBorders>
            <w:vAlign w:val="center"/>
          </w:tcPr>
          <w:p w14:paraId="019690CE">
            <w:pPr>
              <w:pStyle w:val="91"/>
              <w:keepNext w:val="0"/>
              <w:keepLines w:val="0"/>
              <w:suppressLineNumbers w:val="0"/>
              <w:spacing w:before="0" w:beforeAutospacing="0" w:after="0" w:afterAutospacing="0"/>
              <w:ind w:left="0" w:right="0"/>
              <w:rPr>
                <w:rFonts w:hint="default"/>
                <w:color w:val="auto"/>
              </w:rPr>
            </w:pPr>
            <w:r>
              <w:rPr>
                <w:rFonts w:hint="eastAsia"/>
                <w:color w:val="auto"/>
              </w:rPr>
              <w:t>SW</w:t>
            </w:r>
          </w:p>
        </w:tc>
        <w:tc>
          <w:tcPr>
            <w:tcW w:w="660" w:type="pct"/>
            <w:tcBorders>
              <w:tl2br w:val="nil"/>
              <w:tr2bl w:val="nil"/>
            </w:tcBorders>
            <w:vAlign w:val="center"/>
          </w:tcPr>
          <w:p w14:paraId="083DD16B">
            <w:pPr>
              <w:pStyle w:val="91"/>
              <w:keepNext w:val="0"/>
              <w:keepLines w:val="0"/>
              <w:suppressLineNumbers w:val="0"/>
              <w:spacing w:before="0" w:beforeAutospacing="0" w:after="0" w:afterAutospacing="0"/>
              <w:ind w:left="0" w:right="0"/>
              <w:rPr>
                <w:rFonts w:hint="default"/>
                <w:color w:val="auto"/>
              </w:rPr>
            </w:pPr>
            <w:r>
              <w:rPr>
                <w:rFonts w:hint="default"/>
                <w:color w:val="auto"/>
              </w:rPr>
              <w:t>3.78</w:t>
            </w:r>
          </w:p>
        </w:tc>
      </w:tr>
      <w:tr w14:paraId="23FBE2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tcBorders>
              <w:tl2br w:val="nil"/>
              <w:tr2bl w:val="nil"/>
            </w:tcBorders>
            <w:vAlign w:val="center"/>
          </w:tcPr>
          <w:p w14:paraId="452A12D8">
            <w:pPr>
              <w:pStyle w:val="91"/>
              <w:keepNext w:val="0"/>
              <w:keepLines w:val="0"/>
              <w:suppressLineNumbers w:val="0"/>
              <w:spacing w:before="0" w:beforeAutospacing="0" w:after="0" w:afterAutospacing="0"/>
              <w:ind w:left="0" w:right="0"/>
              <w:rPr>
                <w:rFonts w:hint="default"/>
                <w:color w:val="auto"/>
              </w:rPr>
            </w:pPr>
            <w:r>
              <w:rPr>
                <w:rFonts w:hint="default"/>
                <w:color w:val="auto"/>
              </w:rPr>
              <w:t>种质资源保护区</w:t>
            </w:r>
          </w:p>
        </w:tc>
        <w:tc>
          <w:tcPr>
            <w:tcW w:w="3086" w:type="pct"/>
            <w:tcBorders>
              <w:tl2br w:val="nil"/>
              <w:tr2bl w:val="nil"/>
            </w:tcBorders>
            <w:vAlign w:val="center"/>
          </w:tcPr>
          <w:p w14:paraId="7A21BD96">
            <w:pPr>
              <w:pStyle w:val="91"/>
              <w:keepNext w:val="0"/>
              <w:keepLines w:val="0"/>
              <w:suppressLineNumbers w:val="0"/>
              <w:spacing w:before="0" w:beforeAutospacing="0" w:after="0" w:afterAutospacing="0"/>
              <w:ind w:left="0" w:right="0"/>
              <w:rPr>
                <w:rFonts w:hint="default"/>
                <w:color w:val="auto"/>
              </w:rPr>
            </w:pPr>
            <w:r>
              <w:rPr>
                <w:rFonts w:hint="default"/>
                <w:color w:val="auto"/>
              </w:rPr>
              <w:t>北部湾二长棘鲷长毛对虾国家级种质资源保护区（实验区）</w:t>
            </w:r>
          </w:p>
        </w:tc>
        <w:tc>
          <w:tcPr>
            <w:tcW w:w="585" w:type="pct"/>
            <w:tcBorders>
              <w:tl2br w:val="nil"/>
              <w:tr2bl w:val="nil"/>
            </w:tcBorders>
            <w:vAlign w:val="center"/>
          </w:tcPr>
          <w:p w14:paraId="7B730A84">
            <w:pPr>
              <w:pStyle w:val="91"/>
              <w:keepNext w:val="0"/>
              <w:keepLines w:val="0"/>
              <w:suppressLineNumbers w:val="0"/>
              <w:spacing w:before="0" w:beforeAutospacing="0" w:after="0" w:afterAutospacing="0"/>
              <w:ind w:left="0" w:right="0"/>
              <w:rPr>
                <w:rFonts w:hint="default"/>
                <w:color w:val="auto"/>
              </w:rPr>
            </w:pPr>
            <w:r>
              <w:rPr>
                <w:rFonts w:hint="eastAsia"/>
                <w:color w:val="auto"/>
              </w:rPr>
              <w:t>S</w:t>
            </w:r>
          </w:p>
        </w:tc>
        <w:tc>
          <w:tcPr>
            <w:tcW w:w="660" w:type="pct"/>
            <w:tcBorders>
              <w:tl2br w:val="nil"/>
              <w:tr2bl w:val="nil"/>
            </w:tcBorders>
            <w:vAlign w:val="center"/>
          </w:tcPr>
          <w:p w14:paraId="076760DE">
            <w:pPr>
              <w:pStyle w:val="91"/>
              <w:keepNext w:val="0"/>
              <w:keepLines w:val="0"/>
              <w:suppressLineNumbers w:val="0"/>
              <w:spacing w:before="0" w:beforeAutospacing="0" w:after="0" w:afterAutospacing="0"/>
              <w:ind w:left="0" w:right="0"/>
              <w:rPr>
                <w:rFonts w:hint="default"/>
                <w:color w:val="auto"/>
              </w:rPr>
            </w:pPr>
            <w:r>
              <w:rPr>
                <w:rFonts w:hint="eastAsia"/>
                <w:color w:val="auto"/>
              </w:rPr>
              <w:t>20</w:t>
            </w:r>
            <w:r>
              <w:rPr>
                <w:rFonts w:hint="default"/>
                <w:color w:val="auto"/>
              </w:rPr>
              <w:t>.6</w:t>
            </w:r>
          </w:p>
        </w:tc>
      </w:tr>
      <w:tr w14:paraId="26E195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restart"/>
            <w:tcBorders>
              <w:tl2br w:val="nil"/>
              <w:tr2bl w:val="nil"/>
            </w:tcBorders>
            <w:vAlign w:val="center"/>
          </w:tcPr>
          <w:p w14:paraId="75876F39">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养殖区</w:t>
            </w:r>
          </w:p>
        </w:tc>
        <w:tc>
          <w:tcPr>
            <w:tcW w:w="3086" w:type="pct"/>
            <w:tcBorders>
              <w:tl2br w:val="nil"/>
              <w:tr2bl w:val="nil"/>
            </w:tcBorders>
            <w:vAlign w:val="center"/>
          </w:tcPr>
          <w:p w14:paraId="67C2D67D">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规划养殖区（钦州港青菜头南浅海滩涂养殖区）</w:t>
            </w:r>
          </w:p>
        </w:tc>
        <w:tc>
          <w:tcPr>
            <w:tcW w:w="585" w:type="pct"/>
            <w:tcBorders>
              <w:tl2br w:val="nil"/>
              <w:tr2bl w:val="nil"/>
            </w:tcBorders>
            <w:vAlign w:val="center"/>
          </w:tcPr>
          <w:p w14:paraId="38AB721F">
            <w:pPr>
              <w:pStyle w:val="91"/>
              <w:keepNext w:val="0"/>
              <w:keepLines w:val="0"/>
              <w:suppressLineNumbers w:val="0"/>
              <w:spacing w:before="0" w:beforeAutospacing="0" w:after="0" w:afterAutospacing="0"/>
              <w:ind w:left="0" w:right="0"/>
              <w:rPr>
                <w:rFonts w:hint="eastAsia" w:eastAsia="宋体"/>
                <w:color w:val="auto"/>
                <w:u w:val="single"/>
                <w:lang w:val="en-US" w:eastAsia="zh-CN"/>
              </w:rPr>
            </w:pPr>
            <w:r>
              <w:rPr>
                <w:rFonts w:hint="eastAsia"/>
                <w:color w:val="auto"/>
                <w:u w:val="single"/>
                <w:lang w:val="en-US" w:eastAsia="zh-CN"/>
              </w:rPr>
              <w:t>S</w:t>
            </w:r>
          </w:p>
        </w:tc>
        <w:tc>
          <w:tcPr>
            <w:tcW w:w="660" w:type="pct"/>
            <w:tcBorders>
              <w:tl2br w:val="nil"/>
              <w:tr2bl w:val="nil"/>
            </w:tcBorders>
            <w:vAlign w:val="center"/>
          </w:tcPr>
          <w:p w14:paraId="2445DAA4">
            <w:pPr>
              <w:pStyle w:val="91"/>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3.85</w:t>
            </w:r>
          </w:p>
        </w:tc>
      </w:tr>
      <w:tr w14:paraId="114CC5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continue"/>
            <w:tcBorders>
              <w:tl2br w:val="nil"/>
              <w:tr2bl w:val="nil"/>
            </w:tcBorders>
            <w:vAlign w:val="center"/>
          </w:tcPr>
          <w:p w14:paraId="28927DD7">
            <w:pPr>
              <w:pStyle w:val="91"/>
              <w:keepNext w:val="0"/>
              <w:keepLines w:val="0"/>
              <w:suppressLineNumbers w:val="0"/>
              <w:spacing w:before="0" w:beforeAutospacing="0" w:after="0" w:afterAutospacing="0"/>
              <w:ind w:left="0" w:right="0"/>
              <w:rPr>
                <w:rFonts w:hint="eastAsia"/>
                <w:color w:val="auto"/>
                <w:u w:val="single"/>
              </w:rPr>
            </w:pPr>
          </w:p>
        </w:tc>
        <w:tc>
          <w:tcPr>
            <w:tcW w:w="3086" w:type="pct"/>
            <w:tcBorders>
              <w:tl2br w:val="nil"/>
              <w:tr2bl w:val="nil"/>
            </w:tcBorders>
            <w:vAlign w:val="center"/>
          </w:tcPr>
          <w:p w14:paraId="16F27BEC">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rPr>
              <w:t>生蚝养殖区①（现有）</w:t>
            </w:r>
          </w:p>
        </w:tc>
        <w:tc>
          <w:tcPr>
            <w:tcW w:w="585" w:type="pct"/>
            <w:tcBorders>
              <w:tl2br w:val="nil"/>
              <w:tr2bl w:val="nil"/>
            </w:tcBorders>
            <w:vAlign w:val="center"/>
          </w:tcPr>
          <w:p w14:paraId="6F88C5E7">
            <w:pPr>
              <w:pStyle w:val="91"/>
              <w:keepNext w:val="0"/>
              <w:keepLines w:val="0"/>
              <w:suppressLineNumbers w:val="0"/>
              <w:spacing w:before="0" w:beforeAutospacing="0" w:after="0" w:afterAutospacing="0"/>
              <w:ind w:left="0" w:right="0"/>
              <w:rPr>
                <w:rFonts w:hint="eastAsia" w:eastAsia="宋体"/>
                <w:color w:val="auto"/>
                <w:u w:val="single"/>
                <w:lang w:val="en-US" w:eastAsia="zh-CN"/>
              </w:rPr>
            </w:pPr>
            <w:r>
              <w:rPr>
                <w:rFonts w:hint="eastAsia"/>
                <w:color w:val="auto"/>
                <w:u w:val="single"/>
                <w:lang w:val="en-US" w:eastAsia="zh-CN"/>
              </w:rPr>
              <w:t>W</w:t>
            </w:r>
          </w:p>
        </w:tc>
        <w:tc>
          <w:tcPr>
            <w:tcW w:w="660" w:type="pct"/>
            <w:tcBorders>
              <w:tl2br w:val="nil"/>
              <w:tr2bl w:val="nil"/>
            </w:tcBorders>
            <w:vAlign w:val="center"/>
          </w:tcPr>
          <w:p w14:paraId="6D1D1F75">
            <w:pPr>
              <w:pStyle w:val="91"/>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2.4</w:t>
            </w:r>
          </w:p>
        </w:tc>
      </w:tr>
      <w:tr w14:paraId="624FAE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continue"/>
            <w:tcBorders>
              <w:tl2br w:val="nil"/>
              <w:tr2bl w:val="nil"/>
            </w:tcBorders>
            <w:vAlign w:val="center"/>
          </w:tcPr>
          <w:p w14:paraId="4BF186A9">
            <w:pPr>
              <w:pStyle w:val="91"/>
              <w:keepNext w:val="0"/>
              <w:keepLines w:val="0"/>
              <w:suppressLineNumbers w:val="0"/>
              <w:spacing w:before="0" w:beforeAutospacing="0" w:after="0" w:afterAutospacing="0"/>
              <w:ind w:left="0" w:right="0"/>
              <w:rPr>
                <w:rFonts w:hint="default"/>
                <w:color w:val="auto"/>
                <w:u w:val="single"/>
              </w:rPr>
            </w:pPr>
          </w:p>
        </w:tc>
        <w:tc>
          <w:tcPr>
            <w:tcW w:w="3086" w:type="pct"/>
            <w:tcBorders>
              <w:tl2br w:val="nil"/>
              <w:tr2bl w:val="nil"/>
            </w:tcBorders>
            <w:vAlign w:val="center"/>
          </w:tcPr>
          <w:p w14:paraId="0BC7DF22">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水产养殖区（防城港市白沙养殖区）</w:t>
            </w:r>
          </w:p>
        </w:tc>
        <w:tc>
          <w:tcPr>
            <w:tcW w:w="585" w:type="pct"/>
            <w:tcBorders>
              <w:tl2br w:val="nil"/>
              <w:tr2bl w:val="nil"/>
            </w:tcBorders>
            <w:vAlign w:val="center"/>
          </w:tcPr>
          <w:p w14:paraId="0DC7D7BF">
            <w:pPr>
              <w:pStyle w:val="91"/>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SW</w:t>
            </w:r>
          </w:p>
        </w:tc>
        <w:tc>
          <w:tcPr>
            <w:tcW w:w="660" w:type="pct"/>
            <w:tcBorders>
              <w:tl2br w:val="nil"/>
              <w:tr2bl w:val="nil"/>
            </w:tcBorders>
            <w:vAlign w:val="center"/>
          </w:tcPr>
          <w:p w14:paraId="46AC7D4C">
            <w:pPr>
              <w:pStyle w:val="91"/>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4.5</w:t>
            </w:r>
          </w:p>
        </w:tc>
      </w:tr>
      <w:tr w14:paraId="1C4E15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restart"/>
            <w:tcBorders>
              <w:tl2br w:val="nil"/>
              <w:tr2bl w:val="nil"/>
            </w:tcBorders>
            <w:vAlign w:val="center"/>
          </w:tcPr>
          <w:p w14:paraId="112603B6">
            <w:pPr>
              <w:pStyle w:val="91"/>
              <w:keepNext w:val="0"/>
              <w:keepLines w:val="0"/>
              <w:suppressLineNumbers w:val="0"/>
              <w:spacing w:before="0" w:beforeAutospacing="0" w:after="0" w:afterAutospacing="0"/>
              <w:ind w:left="0" w:right="0"/>
              <w:rPr>
                <w:rFonts w:hint="default"/>
                <w:color w:val="auto"/>
              </w:rPr>
            </w:pPr>
            <w:r>
              <w:rPr>
                <w:rFonts w:hint="default"/>
                <w:color w:val="auto"/>
              </w:rPr>
              <w:t>其他</w:t>
            </w:r>
          </w:p>
        </w:tc>
        <w:tc>
          <w:tcPr>
            <w:tcW w:w="3086" w:type="pct"/>
            <w:tcBorders>
              <w:tl2br w:val="nil"/>
              <w:tr2bl w:val="nil"/>
            </w:tcBorders>
            <w:vAlign w:val="center"/>
          </w:tcPr>
          <w:p w14:paraId="7A691F20">
            <w:pPr>
              <w:pStyle w:val="91"/>
              <w:keepNext w:val="0"/>
              <w:keepLines w:val="0"/>
              <w:suppressLineNumbers w:val="0"/>
              <w:spacing w:before="0" w:beforeAutospacing="0" w:after="0" w:afterAutospacing="0"/>
              <w:ind w:left="0" w:right="0"/>
              <w:rPr>
                <w:rFonts w:hint="default"/>
                <w:color w:val="auto"/>
              </w:rPr>
            </w:pPr>
            <w:r>
              <w:rPr>
                <w:rFonts w:hint="eastAsia"/>
                <w:color w:val="auto"/>
              </w:rPr>
              <w:t>中华白海豚分布区</w:t>
            </w:r>
          </w:p>
        </w:tc>
        <w:tc>
          <w:tcPr>
            <w:tcW w:w="585" w:type="pct"/>
            <w:tcBorders>
              <w:tl2br w:val="nil"/>
              <w:tr2bl w:val="nil"/>
            </w:tcBorders>
            <w:vAlign w:val="center"/>
          </w:tcPr>
          <w:p w14:paraId="2DDC0FCE">
            <w:pPr>
              <w:pStyle w:val="91"/>
              <w:keepNext w:val="0"/>
              <w:keepLines w:val="0"/>
              <w:suppressLineNumbers w:val="0"/>
              <w:spacing w:before="0" w:beforeAutospacing="0" w:after="0" w:afterAutospacing="0"/>
              <w:ind w:left="0" w:right="0"/>
              <w:rPr>
                <w:rFonts w:hint="default"/>
                <w:color w:val="auto"/>
              </w:rPr>
            </w:pPr>
            <w:r>
              <w:rPr>
                <w:rFonts w:hint="eastAsia"/>
                <w:color w:val="auto"/>
              </w:rPr>
              <w:t>SE</w:t>
            </w:r>
          </w:p>
        </w:tc>
        <w:tc>
          <w:tcPr>
            <w:tcW w:w="660" w:type="pct"/>
            <w:tcBorders>
              <w:tl2br w:val="nil"/>
              <w:tr2bl w:val="nil"/>
            </w:tcBorders>
            <w:vAlign w:val="center"/>
          </w:tcPr>
          <w:p w14:paraId="6E570B01">
            <w:pPr>
              <w:pStyle w:val="91"/>
              <w:keepNext w:val="0"/>
              <w:keepLines w:val="0"/>
              <w:suppressLineNumbers w:val="0"/>
              <w:spacing w:before="0" w:beforeAutospacing="0" w:after="0" w:afterAutospacing="0"/>
              <w:ind w:left="0" w:right="0"/>
              <w:rPr>
                <w:rFonts w:hint="default"/>
                <w:color w:val="auto"/>
              </w:rPr>
            </w:pPr>
            <w:r>
              <w:rPr>
                <w:rFonts w:hint="eastAsia"/>
                <w:color w:val="auto"/>
              </w:rPr>
              <w:t>1</w:t>
            </w:r>
            <w:r>
              <w:rPr>
                <w:rFonts w:hint="default"/>
                <w:color w:val="auto"/>
              </w:rPr>
              <w:t>5</w:t>
            </w:r>
          </w:p>
        </w:tc>
      </w:tr>
      <w:tr w14:paraId="6C5D15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70" w:hRule="atLeast"/>
          <w:jc w:val="center"/>
        </w:trPr>
        <w:tc>
          <w:tcPr>
            <w:tcW w:w="669" w:type="pct"/>
            <w:vMerge w:val="continue"/>
            <w:tcBorders>
              <w:tl2br w:val="nil"/>
              <w:tr2bl w:val="nil"/>
            </w:tcBorders>
            <w:vAlign w:val="center"/>
          </w:tcPr>
          <w:p w14:paraId="00F25BCE">
            <w:pPr>
              <w:pStyle w:val="91"/>
              <w:keepNext w:val="0"/>
              <w:keepLines w:val="0"/>
              <w:suppressLineNumbers w:val="0"/>
              <w:spacing w:before="0" w:beforeAutospacing="0" w:after="0" w:afterAutospacing="0"/>
              <w:ind w:left="0" w:right="0"/>
              <w:rPr>
                <w:rFonts w:hint="default"/>
                <w:color w:val="auto"/>
              </w:rPr>
            </w:pPr>
          </w:p>
        </w:tc>
        <w:tc>
          <w:tcPr>
            <w:tcW w:w="3086" w:type="pct"/>
            <w:tcBorders>
              <w:tl2br w:val="nil"/>
              <w:tr2bl w:val="nil"/>
            </w:tcBorders>
            <w:shd w:val="clear" w:color="auto" w:fill="auto"/>
            <w:vAlign w:val="center"/>
          </w:tcPr>
          <w:p w14:paraId="6CB8AA13">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rPr>
              <w:t>国投钦州电厂取水口QSK1</w:t>
            </w:r>
          </w:p>
        </w:tc>
        <w:tc>
          <w:tcPr>
            <w:tcW w:w="585" w:type="pct"/>
            <w:tcBorders>
              <w:tl2br w:val="nil"/>
              <w:tr2bl w:val="nil"/>
            </w:tcBorders>
            <w:vAlign w:val="center"/>
          </w:tcPr>
          <w:p w14:paraId="03619C9C">
            <w:pPr>
              <w:pStyle w:val="91"/>
              <w:keepNext w:val="0"/>
              <w:keepLines w:val="0"/>
              <w:suppressLineNumbers w:val="0"/>
              <w:spacing w:before="0" w:beforeAutospacing="0" w:after="0" w:afterAutospacing="0"/>
              <w:ind w:left="0" w:right="0"/>
              <w:rPr>
                <w:rFonts w:hint="eastAsia" w:eastAsia="宋体"/>
                <w:color w:val="auto"/>
                <w:u w:val="single"/>
                <w:lang w:val="en-US" w:eastAsia="zh-CN"/>
              </w:rPr>
            </w:pPr>
            <w:r>
              <w:rPr>
                <w:rFonts w:hint="eastAsia"/>
                <w:color w:val="auto"/>
                <w:u w:val="single"/>
                <w:lang w:val="en-US" w:eastAsia="zh-CN"/>
              </w:rPr>
              <w:t>E</w:t>
            </w:r>
          </w:p>
        </w:tc>
        <w:tc>
          <w:tcPr>
            <w:tcW w:w="660" w:type="pct"/>
            <w:tcBorders>
              <w:tl2br w:val="nil"/>
              <w:tr2bl w:val="nil"/>
            </w:tcBorders>
            <w:vAlign w:val="center"/>
          </w:tcPr>
          <w:p w14:paraId="52C1B582">
            <w:pPr>
              <w:pStyle w:val="91"/>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1.47</w:t>
            </w:r>
          </w:p>
        </w:tc>
      </w:tr>
      <w:tr w14:paraId="17CAC7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69" w:type="pct"/>
            <w:vMerge w:val="continue"/>
            <w:tcBorders>
              <w:tl2br w:val="nil"/>
              <w:tr2bl w:val="nil"/>
            </w:tcBorders>
            <w:vAlign w:val="center"/>
          </w:tcPr>
          <w:p w14:paraId="7AB68ED1">
            <w:pPr>
              <w:pStyle w:val="91"/>
              <w:keepNext w:val="0"/>
              <w:keepLines w:val="0"/>
              <w:suppressLineNumbers w:val="0"/>
              <w:spacing w:before="0" w:beforeAutospacing="0" w:after="0" w:afterAutospacing="0"/>
              <w:ind w:left="0" w:right="0"/>
              <w:rPr>
                <w:rFonts w:hint="default"/>
                <w:color w:val="auto"/>
              </w:rPr>
            </w:pPr>
          </w:p>
        </w:tc>
        <w:tc>
          <w:tcPr>
            <w:tcW w:w="3086" w:type="pct"/>
            <w:tcBorders>
              <w:tl2br w:val="nil"/>
              <w:tr2bl w:val="nil"/>
            </w:tcBorders>
            <w:shd w:val="clear" w:color="auto" w:fill="auto"/>
            <w:vAlign w:val="center"/>
          </w:tcPr>
          <w:p w14:paraId="4891E295">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rPr>
              <w:t>防城港核电厂取水口QSK2</w:t>
            </w:r>
          </w:p>
        </w:tc>
        <w:tc>
          <w:tcPr>
            <w:tcW w:w="585" w:type="pct"/>
            <w:tcBorders>
              <w:tl2br w:val="nil"/>
              <w:tr2bl w:val="nil"/>
            </w:tcBorders>
            <w:vAlign w:val="center"/>
          </w:tcPr>
          <w:p w14:paraId="1FAE554F">
            <w:pPr>
              <w:pStyle w:val="91"/>
              <w:keepNext w:val="0"/>
              <w:keepLines w:val="0"/>
              <w:suppressLineNumbers w:val="0"/>
              <w:spacing w:before="0" w:beforeAutospacing="0" w:after="0" w:afterAutospacing="0"/>
              <w:ind w:left="0" w:right="0"/>
              <w:rPr>
                <w:rFonts w:hint="eastAsia" w:eastAsia="宋体"/>
                <w:color w:val="auto"/>
                <w:u w:val="single"/>
                <w:lang w:val="en-US" w:eastAsia="zh-CN"/>
              </w:rPr>
            </w:pPr>
            <w:r>
              <w:rPr>
                <w:rFonts w:hint="eastAsia"/>
                <w:color w:val="auto"/>
                <w:u w:val="single"/>
                <w:lang w:val="en-US" w:eastAsia="zh-CN"/>
              </w:rPr>
              <w:t>S</w:t>
            </w:r>
          </w:p>
        </w:tc>
        <w:tc>
          <w:tcPr>
            <w:tcW w:w="660" w:type="pct"/>
            <w:tcBorders>
              <w:tl2br w:val="nil"/>
              <w:tr2bl w:val="nil"/>
            </w:tcBorders>
            <w:vAlign w:val="center"/>
          </w:tcPr>
          <w:p w14:paraId="7E0B6FBE">
            <w:pPr>
              <w:pStyle w:val="91"/>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5.5</w:t>
            </w:r>
          </w:p>
        </w:tc>
      </w:tr>
    </w:tbl>
    <w:p w14:paraId="413454A2">
      <w:pPr>
        <w:pStyle w:val="117"/>
        <w:rPr>
          <w:color w:val="auto"/>
        </w:rPr>
        <w:sectPr>
          <w:headerReference r:id="rId10" w:type="default"/>
          <w:footerReference r:id="rId11" w:type="default"/>
          <w:pgSz w:w="11906" w:h="16838"/>
          <w:pgMar w:top="1440" w:right="1134" w:bottom="1440" w:left="1418" w:header="851" w:footer="992" w:gutter="0"/>
          <w:pgNumType w:start="1"/>
          <w:cols w:space="720" w:num="1"/>
          <w:docGrid w:type="lines" w:linePitch="326" w:charSpace="0"/>
        </w:sectPr>
      </w:pPr>
      <w:r>
        <w:rPr>
          <w:rFonts w:hint="eastAsia"/>
          <w:color w:val="auto"/>
        </w:rPr>
        <w:t>注：1、表中环境保护目标与本项目的距离为直线距离；2、海洋生态红线与海洋公园、自然保护区等区域重叠，附图7中不再显示。</w:t>
      </w:r>
    </w:p>
    <w:bookmarkEnd w:id="256"/>
    <w:bookmarkEnd w:id="257"/>
    <w:bookmarkEnd w:id="258"/>
    <w:bookmarkEnd w:id="259"/>
    <w:bookmarkEnd w:id="265"/>
    <w:bookmarkEnd w:id="266"/>
    <w:bookmarkEnd w:id="267"/>
    <w:bookmarkEnd w:id="268"/>
    <w:p w14:paraId="5A012105">
      <w:pPr>
        <w:pStyle w:val="3"/>
        <w:rPr>
          <w:color w:val="auto"/>
        </w:rPr>
      </w:pPr>
      <w:bookmarkStart w:id="274" w:name="_Ref220688409"/>
      <w:bookmarkStart w:id="275" w:name="_Toc223595758"/>
      <w:bookmarkStart w:id="276" w:name="_Toc223258454"/>
      <w:bookmarkStart w:id="277" w:name="_Ref220688414"/>
      <w:bookmarkStart w:id="278" w:name="_Hlk223300019"/>
      <w:r>
        <w:rPr>
          <w:color w:val="auto"/>
        </w:rPr>
        <w:t>建设项目概况与工程分析</w:t>
      </w:r>
      <w:bookmarkEnd w:id="274"/>
      <w:bookmarkEnd w:id="275"/>
      <w:bookmarkEnd w:id="276"/>
      <w:bookmarkEnd w:id="277"/>
    </w:p>
    <w:bookmarkEnd w:id="278"/>
    <w:p w14:paraId="785C9ED2">
      <w:pPr>
        <w:pStyle w:val="5"/>
        <w:rPr>
          <w:color w:val="auto"/>
        </w:rPr>
      </w:pPr>
      <w:bookmarkStart w:id="279" w:name="_Toc223258455"/>
      <w:bookmarkStart w:id="280" w:name="_Toc216620354"/>
      <w:bookmarkStart w:id="281" w:name="_Toc216103195"/>
      <w:bookmarkStart w:id="282" w:name="_Toc223595759"/>
      <w:bookmarkStart w:id="283" w:name="_Toc29131786"/>
      <w:bookmarkStart w:id="284" w:name="_Toc135090193"/>
      <w:bookmarkStart w:id="285" w:name="_Toc136878442"/>
      <w:bookmarkStart w:id="286" w:name="_Toc26909972"/>
      <w:bookmarkStart w:id="287" w:name="_Toc25436927"/>
      <w:r>
        <w:rPr>
          <w:color w:val="auto"/>
        </w:rPr>
        <w:t>现有工程概况</w:t>
      </w:r>
      <w:bookmarkEnd w:id="279"/>
      <w:bookmarkEnd w:id="280"/>
      <w:bookmarkEnd w:id="281"/>
      <w:bookmarkEnd w:id="282"/>
    </w:p>
    <w:p w14:paraId="1445CE9C">
      <w:pPr>
        <w:pStyle w:val="4"/>
        <w:rPr>
          <w:color w:val="auto"/>
        </w:rPr>
      </w:pPr>
      <w:r>
        <w:rPr>
          <w:color w:val="auto"/>
        </w:rPr>
        <w:t>现有工程前期工作开展情况</w:t>
      </w:r>
    </w:p>
    <w:p w14:paraId="5513F4F0">
      <w:pPr>
        <w:ind w:firstLine="480"/>
        <w:rPr>
          <w:color w:val="auto"/>
        </w:rPr>
      </w:pPr>
      <w:r>
        <w:rPr>
          <w:rFonts w:hint="eastAsia"/>
          <w:color w:val="auto"/>
          <w:kern w:val="0"/>
        </w:rPr>
        <w:t>根据章节“概述”可见，广西东油沥青有限公司5万吨级油气码头</w:t>
      </w:r>
      <w:r>
        <w:rPr>
          <w:rFonts w:hint="eastAsia"/>
          <w:color w:val="auto"/>
        </w:rPr>
        <w:t>（以下简称6#泊位）为1个5万吨级油气泊位，泊位长度为300m，设计通过</w:t>
      </w:r>
      <w:r>
        <w:rPr>
          <w:color w:val="auto"/>
        </w:rPr>
        <w:t>能力121</w:t>
      </w:r>
      <w:r>
        <w:rPr>
          <w:rFonts w:hint="eastAsia"/>
          <w:color w:val="auto"/>
        </w:rPr>
        <w:t>万吨/年，6</w:t>
      </w:r>
      <w:r>
        <w:rPr>
          <w:color w:val="auto"/>
        </w:rPr>
        <w:t>#</w:t>
      </w:r>
      <w:r>
        <w:rPr>
          <w:rFonts w:hint="eastAsia"/>
          <w:color w:val="auto"/>
        </w:rPr>
        <w:t>泊位目前可装卸的货种有：原油、汽油、柴油、重油、甲醇、石油沥青、燃料油、航煤、白油9种</w:t>
      </w:r>
      <w:r>
        <w:rPr>
          <w:color w:val="auto"/>
        </w:rPr>
        <w:t>货种</w:t>
      </w:r>
      <w:r>
        <w:rPr>
          <w:rFonts w:hint="eastAsia"/>
          <w:color w:val="auto"/>
        </w:rPr>
        <w:t>。目前</w:t>
      </w:r>
      <w:r>
        <w:rPr>
          <w:color w:val="auto"/>
        </w:rPr>
        <w:t>码头和库区</w:t>
      </w:r>
      <w:r>
        <w:rPr>
          <w:rFonts w:hint="eastAsia"/>
          <w:color w:val="auto"/>
        </w:rPr>
        <w:t>主要装卸和储存货种为原油、汽油、柴油、重油、甲醇、</w:t>
      </w:r>
      <w:r>
        <w:rPr>
          <w:color w:val="auto"/>
        </w:rPr>
        <w:t>燃料油</w:t>
      </w:r>
      <w:r>
        <w:rPr>
          <w:rFonts w:hint="eastAsia"/>
          <w:color w:val="auto"/>
        </w:rPr>
        <w:t>6种</w:t>
      </w:r>
      <w:r>
        <w:rPr>
          <w:color w:val="auto"/>
        </w:rPr>
        <w:t>货种</w:t>
      </w:r>
      <w:r>
        <w:rPr>
          <w:rFonts w:hint="eastAsia"/>
          <w:color w:val="auto"/>
        </w:rPr>
        <w:t>。</w:t>
      </w:r>
    </w:p>
    <w:p w14:paraId="79A872DA">
      <w:pPr>
        <w:autoSpaceDE w:val="0"/>
        <w:autoSpaceDN w:val="0"/>
        <w:ind w:firstLine="480"/>
        <w:jc w:val="left"/>
        <w:rPr>
          <w:color w:val="auto"/>
        </w:rPr>
      </w:pPr>
      <w:r>
        <w:rPr>
          <w:rFonts w:hint="eastAsia"/>
          <w:color w:val="auto"/>
        </w:rPr>
        <w:t>陆域库区部分设置五个罐组，分别为原油罐组、汽油罐组、柴油罐组、重油罐组、混合罐组，总库容35.5万m</w:t>
      </w:r>
      <w:r>
        <w:rPr>
          <w:rFonts w:hint="eastAsia"/>
          <w:color w:val="auto"/>
          <w:vertAlign w:val="superscript"/>
        </w:rPr>
        <w:t>3</w:t>
      </w:r>
      <w:r>
        <w:rPr>
          <w:rFonts w:hint="eastAsia"/>
          <w:color w:val="auto"/>
        </w:rPr>
        <w:t>。配套建设公用、环保设施（包括管廊工程、制氮</w:t>
      </w:r>
      <w:r>
        <w:rPr>
          <w:color w:val="auto"/>
        </w:rPr>
        <w:t>系统</w:t>
      </w:r>
      <w:r>
        <w:rPr>
          <w:rFonts w:hint="eastAsia"/>
          <w:color w:val="auto"/>
        </w:rPr>
        <w:t>、消防水罐及泵站、配电室、应急物资库、危废暂存库、初期雨水池、事故应急池等）。</w:t>
      </w:r>
    </w:p>
    <w:p w14:paraId="35191A6C">
      <w:pPr>
        <w:autoSpaceDE w:val="0"/>
        <w:autoSpaceDN w:val="0"/>
        <w:ind w:firstLine="480"/>
        <w:rPr>
          <w:color w:val="auto"/>
        </w:rPr>
      </w:pPr>
      <w:r>
        <w:rPr>
          <w:rFonts w:hint="eastAsia"/>
          <w:color w:val="auto"/>
        </w:rPr>
        <w:t>水工部分码头结构采用圆筒墩结构</w:t>
      </w:r>
      <w:r>
        <w:rPr>
          <w:color w:val="auto"/>
        </w:rPr>
        <w:t>方案，</w:t>
      </w:r>
      <w:r>
        <w:rPr>
          <w:rFonts w:hint="eastAsia"/>
          <w:color w:val="auto"/>
        </w:rPr>
        <w:t>引桥</w:t>
      </w:r>
      <w:r>
        <w:rPr>
          <w:color w:val="auto"/>
        </w:rPr>
        <w:t>采用预应力钢筋混凝土</w:t>
      </w:r>
      <w:r>
        <w:rPr>
          <w:rFonts w:hint="eastAsia"/>
          <w:color w:val="auto"/>
        </w:rPr>
        <w:t>T梁</w:t>
      </w:r>
      <w:r>
        <w:rPr>
          <w:color w:val="auto"/>
        </w:rPr>
        <w:t>结构，泊位长度为</w:t>
      </w:r>
      <w:r>
        <w:rPr>
          <w:rFonts w:hint="eastAsia"/>
          <w:color w:val="auto"/>
        </w:rPr>
        <w:t>300</w:t>
      </w:r>
      <w:r>
        <w:rPr>
          <w:color w:val="auto"/>
        </w:rPr>
        <w:t>m，</w:t>
      </w:r>
      <w:r>
        <w:rPr>
          <w:rFonts w:hint="eastAsia"/>
          <w:color w:val="auto"/>
        </w:rPr>
        <w:t>引桥长</w:t>
      </w:r>
      <w:r>
        <w:rPr>
          <w:color w:val="auto"/>
        </w:rPr>
        <w:t>223.9</w:t>
      </w:r>
      <w:r>
        <w:rPr>
          <w:rFonts w:hint="eastAsia"/>
          <w:color w:val="auto"/>
        </w:rPr>
        <w:t>m，桥面宽</w:t>
      </w:r>
      <w:r>
        <w:rPr>
          <w:color w:val="auto"/>
        </w:rPr>
        <w:t>4.5</w:t>
      </w:r>
      <w:r>
        <w:rPr>
          <w:rFonts w:hint="eastAsia"/>
          <w:color w:val="auto"/>
        </w:rPr>
        <w:t>m，引桥末端与库区之间设一段长29.26m的实体引堤连接，堤顶宽</w:t>
      </w:r>
      <w:r>
        <w:rPr>
          <w:color w:val="auto"/>
        </w:rPr>
        <w:t>4.5</w:t>
      </w:r>
      <w:r>
        <w:rPr>
          <w:rFonts w:hint="eastAsia"/>
          <w:color w:val="auto"/>
        </w:rPr>
        <w:t>m。码头前沿停泊水域设计底标高为-14.20m，宽度为64.0m，调头地设计底标高为-8.90m，调头圆直径458m。整个码头由2个靠船墩、6个系缆墩及连接各墩之间的工作栈桥组成。根据《广西东油沥青5万吨级油码头工程主体结构监测报告（2025年度）》（广西交科集团有限公司，2025年5月19日），实际泊位长度为300m，停泊水域设计底标高为-14.20m，宽度为64.0m，调头地设计底标高为-8.90m，调头圆直径458m，引桥长193m，桥面宽6m，引桥末端与库区之间设一段长29.26m的实体引堤连接，堤顶宽6m。</w:t>
      </w:r>
    </w:p>
    <w:p w14:paraId="2EBD9B9E">
      <w:pPr>
        <w:autoSpaceDE w:val="0"/>
        <w:autoSpaceDN w:val="0"/>
        <w:ind w:firstLine="480"/>
        <w:jc w:val="left"/>
        <w:rPr>
          <w:color w:val="auto"/>
        </w:rPr>
      </w:pPr>
      <w:r>
        <w:rPr>
          <w:color w:val="auto"/>
        </w:rPr>
        <w:t>6#</w:t>
      </w:r>
      <w:r>
        <w:rPr>
          <w:rFonts w:hint="eastAsia"/>
          <w:color w:val="auto"/>
        </w:rPr>
        <w:t>泊位码头区域用海面积</w:t>
      </w:r>
      <w:r>
        <w:rPr>
          <w:color w:val="auto"/>
        </w:rPr>
        <w:t>1.155h</w:t>
      </w:r>
      <w:r>
        <w:rPr>
          <w:rFonts w:hint="eastAsia"/>
          <w:color w:val="auto"/>
        </w:rPr>
        <w:t>m</w:t>
      </w:r>
      <w:r>
        <w:rPr>
          <w:rFonts w:hint="eastAsia"/>
          <w:color w:val="auto"/>
          <w:vertAlign w:val="superscript"/>
        </w:rPr>
        <w:t>2</w:t>
      </w:r>
      <w:r>
        <w:rPr>
          <w:rFonts w:hint="eastAsia"/>
          <w:color w:val="auto"/>
        </w:rPr>
        <w:t>。</w:t>
      </w:r>
    </w:p>
    <w:p w14:paraId="3B07C6BA">
      <w:pPr>
        <w:autoSpaceDE w:val="0"/>
        <w:autoSpaceDN w:val="0"/>
        <w:ind w:firstLine="480"/>
        <w:jc w:val="left"/>
        <w:rPr>
          <w:color w:val="auto"/>
        </w:rPr>
      </w:pPr>
      <w:r>
        <w:rPr>
          <w:rFonts w:hint="eastAsia"/>
          <w:color w:val="auto"/>
        </w:rPr>
        <w:t>广西东油沥青有限公司5万吨级油气码头及库区环保手续情况如下：</w:t>
      </w:r>
    </w:p>
    <w:p w14:paraId="345FAE9A">
      <w:pPr>
        <w:autoSpaceDE w:val="0"/>
        <w:autoSpaceDN w:val="0"/>
        <w:ind w:firstLine="480"/>
        <w:jc w:val="left"/>
        <w:rPr>
          <w:color w:val="auto"/>
        </w:rPr>
      </w:pPr>
    </w:p>
    <w:p w14:paraId="55BA2C66">
      <w:pPr>
        <w:autoSpaceDE w:val="0"/>
        <w:autoSpaceDN w:val="0"/>
        <w:ind w:firstLine="480"/>
        <w:jc w:val="left"/>
        <w:rPr>
          <w:color w:val="auto"/>
        </w:rPr>
        <w:sectPr>
          <w:headerReference r:id="rId12" w:type="default"/>
          <w:pgSz w:w="11906" w:h="16838"/>
          <w:pgMar w:top="1440" w:right="1191" w:bottom="1440" w:left="1418" w:header="851" w:footer="992" w:gutter="0"/>
          <w:cols w:space="720" w:num="1"/>
          <w:docGrid w:type="lines" w:linePitch="326" w:charSpace="0"/>
        </w:sectPr>
      </w:pPr>
    </w:p>
    <w:p w14:paraId="624638D1">
      <w:pPr>
        <w:pStyle w:val="14"/>
        <w:rPr>
          <w:color w:val="auto"/>
        </w:rPr>
      </w:pPr>
      <w:r>
        <w:rPr>
          <w:rFonts w:hint="eastAsia"/>
          <w:color w:val="auto"/>
        </w:rPr>
        <w:t>表</w:t>
      </w:r>
      <w:r>
        <w:rPr>
          <w:color w:val="auto"/>
        </w:rPr>
        <w:t>2.1</w:t>
      </w:r>
      <w:r>
        <w:rPr>
          <w:color w:val="auto"/>
        </w:rPr>
        <w:noBreakHyphen/>
      </w:r>
      <w:r>
        <w:rPr>
          <w:color w:val="auto"/>
        </w:rPr>
        <w:t>1</w:t>
      </w:r>
      <w:r>
        <w:rPr>
          <w:rFonts w:hint="eastAsia"/>
          <w:color w:val="auto"/>
        </w:rPr>
        <w:t>现有</w:t>
      </w:r>
      <w:r>
        <w:rPr>
          <w:color w:val="auto"/>
        </w:rPr>
        <w:t>工程环保手续情况</w:t>
      </w:r>
    </w:p>
    <w:tbl>
      <w:tblPr>
        <w:tblStyle w:val="43"/>
        <w:tblW w:w="139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24"/>
        <w:gridCol w:w="2343"/>
        <w:gridCol w:w="2413"/>
        <w:gridCol w:w="1475"/>
        <w:gridCol w:w="5573"/>
        <w:gridCol w:w="1580"/>
      </w:tblGrid>
      <w:tr w14:paraId="1FE91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4" w:type="dxa"/>
          </w:tcPr>
          <w:p w14:paraId="3AFE9C1E">
            <w:pPr>
              <w:pStyle w:val="167"/>
              <w:keepNext w:val="0"/>
              <w:keepLines w:val="0"/>
              <w:suppressLineNumbers w:val="0"/>
              <w:spacing w:before="0" w:beforeAutospacing="0" w:after="0" w:afterAutospacing="0"/>
              <w:ind w:right="0"/>
              <w:rPr>
                <w:rFonts w:hint="default"/>
                <w:color w:val="auto"/>
              </w:rPr>
            </w:pPr>
            <w:r>
              <w:rPr>
                <w:rFonts w:hint="eastAsia"/>
                <w:color w:val="auto"/>
              </w:rPr>
              <w:t>序号</w:t>
            </w:r>
          </w:p>
        </w:tc>
        <w:tc>
          <w:tcPr>
            <w:tcW w:w="2343" w:type="dxa"/>
          </w:tcPr>
          <w:p w14:paraId="54B7FDD8">
            <w:pPr>
              <w:pStyle w:val="167"/>
              <w:keepNext w:val="0"/>
              <w:keepLines w:val="0"/>
              <w:suppressLineNumbers w:val="0"/>
              <w:spacing w:before="0" w:beforeAutospacing="0" w:after="0" w:afterAutospacing="0"/>
              <w:ind w:right="0"/>
              <w:rPr>
                <w:rFonts w:hint="default"/>
                <w:color w:val="auto"/>
              </w:rPr>
            </w:pPr>
            <w:r>
              <w:rPr>
                <w:rFonts w:hint="eastAsia"/>
                <w:color w:val="auto"/>
              </w:rPr>
              <w:t>项目名称/类型</w:t>
            </w:r>
          </w:p>
        </w:tc>
        <w:tc>
          <w:tcPr>
            <w:tcW w:w="2413" w:type="dxa"/>
          </w:tcPr>
          <w:p w14:paraId="3192243B">
            <w:pPr>
              <w:pStyle w:val="167"/>
              <w:keepNext w:val="0"/>
              <w:keepLines w:val="0"/>
              <w:suppressLineNumbers w:val="0"/>
              <w:spacing w:before="0" w:beforeAutospacing="0" w:after="0" w:afterAutospacing="0"/>
              <w:ind w:right="0"/>
              <w:rPr>
                <w:rFonts w:hint="default"/>
                <w:color w:val="auto"/>
              </w:rPr>
            </w:pPr>
            <w:r>
              <w:rPr>
                <w:rFonts w:hint="eastAsia"/>
                <w:color w:val="auto"/>
              </w:rPr>
              <w:t>审批/备案情况</w:t>
            </w:r>
          </w:p>
        </w:tc>
        <w:tc>
          <w:tcPr>
            <w:tcW w:w="1475" w:type="dxa"/>
          </w:tcPr>
          <w:p w14:paraId="4E84C054">
            <w:pPr>
              <w:pStyle w:val="167"/>
              <w:keepNext w:val="0"/>
              <w:keepLines w:val="0"/>
              <w:suppressLineNumbers w:val="0"/>
              <w:spacing w:before="0" w:beforeAutospacing="0" w:after="0" w:afterAutospacing="0"/>
              <w:ind w:right="0"/>
              <w:rPr>
                <w:rFonts w:hint="default"/>
                <w:color w:val="auto"/>
              </w:rPr>
            </w:pPr>
            <w:r>
              <w:rPr>
                <w:rFonts w:hint="eastAsia"/>
                <w:color w:val="auto"/>
              </w:rPr>
              <w:t>验收</w:t>
            </w:r>
            <w:r>
              <w:rPr>
                <w:rFonts w:hint="default"/>
                <w:color w:val="auto"/>
              </w:rPr>
              <w:t>情况</w:t>
            </w:r>
          </w:p>
        </w:tc>
        <w:tc>
          <w:tcPr>
            <w:tcW w:w="5573" w:type="dxa"/>
          </w:tcPr>
          <w:p w14:paraId="55D328A3">
            <w:pPr>
              <w:pStyle w:val="167"/>
              <w:keepNext w:val="0"/>
              <w:keepLines w:val="0"/>
              <w:suppressLineNumbers w:val="0"/>
              <w:spacing w:before="0" w:beforeAutospacing="0" w:after="0" w:afterAutospacing="0"/>
              <w:ind w:right="0"/>
              <w:rPr>
                <w:rFonts w:hint="default"/>
                <w:color w:val="auto"/>
              </w:rPr>
            </w:pPr>
            <w:r>
              <w:rPr>
                <w:rFonts w:hint="eastAsia"/>
                <w:color w:val="auto"/>
              </w:rPr>
              <w:t>审批</w:t>
            </w:r>
            <w:r>
              <w:rPr>
                <w:rFonts w:hint="default"/>
                <w:color w:val="auto"/>
              </w:rPr>
              <w:t>及验收</w:t>
            </w:r>
            <w:r>
              <w:rPr>
                <w:rFonts w:hint="eastAsia"/>
                <w:color w:val="auto"/>
              </w:rPr>
              <w:t>内容</w:t>
            </w:r>
          </w:p>
        </w:tc>
        <w:tc>
          <w:tcPr>
            <w:tcW w:w="1580" w:type="dxa"/>
          </w:tcPr>
          <w:p w14:paraId="20CAD20E">
            <w:pPr>
              <w:pStyle w:val="167"/>
              <w:keepNext w:val="0"/>
              <w:keepLines w:val="0"/>
              <w:suppressLineNumbers w:val="0"/>
              <w:spacing w:before="0" w:beforeAutospacing="0" w:after="0" w:afterAutospacing="0"/>
              <w:ind w:right="0"/>
              <w:rPr>
                <w:rFonts w:hint="default"/>
                <w:color w:val="auto"/>
              </w:rPr>
            </w:pPr>
            <w:r>
              <w:rPr>
                <w:rFonts w:hint="eastAsia"/>
                <w:color w:val="auto"/>
              </w:rPr>
              <w:t>备注</w:t>
            </w:r>
          </w:p>
        </w:tc>
      </w:tr>
      <w:tr w14:paraId="64B26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4" w:type="dxa"/>
          </w:tcPr>
          <w:p w14:paraId="4C61007E">
            <w:pPr>
              <w:pStyle w:val="167"/>
              <w:keepNext w:val="0"/>
              <w:keepLines w:val="0"/>
              <w:numPr>
                <w:ilvl w:val="0"/>
                <w:numId w:val="13"/>
              </w:numPr>
              <w:suppressLineNumbers w:val="0"/>
              <w:spacing w:before="0" w:beforeAutospacing="0" w:after="0" w:afterAutospacing="0"/>
              <w:ind w:right="0"/>
              <w:rPr>
                <w:rFonts w:hint="default"/>
                <w:color w:val="auto"/>
              </w:rPr>
            </w:pPr>
          </w:p>
        </w:tc>
        <w:tc>
          <w:tcPr>
            <w:tcW w:w="2343" w:type="dxa"/>
          </w:tcPr>
          <w:p w14:paraId="405CBEFC">
            <w:pPr>
              <w:pStyle w:val="167"/>
              <w:keepNext w:val="0"/>
              <w:keepLines w:val="0"/>
              <w:suppressLineNumbers w:val="0"/>
              <w:spacing w:before="0" w:beforeAutospacing="0" w:after="0" w:afterAutospacing="0"/>
              <w:ind w:right="0"/>
              <w:rPr>
                <w:rFonts w:hint="default"/>
                <w:color w:val="auto"/>
              </w:rPr>
            </w:pPr>
            <w:r>
              <w:rPr>
                <w:rFonts w:hint="eastAsia"/>
                <w:color w:val="auto"/>
              </w:rPr>
              <w:t>钦州港广西钦州宏基油气股份有限公司五万吨级油气码头及油气库工程环境影响报告书</w:t>
            </w:r>
          </w:p>
        </w:tc>
        <w:tc>
          <w:tcPr>
            <w:tcW w:w="2413" w:type="dxa"/>
          </w:tcPr>
          <w:p w14:paraId="4117A1E3">
            <w:pPr>
              <w:pStyle w:val="167"/>
              <w:keepNext w:val="0"/>
              <w:keepLines w:val="0"/>
              <w:suppressLineNumbers w:val="0"/>
              <w:spacing w:before="0" w:beforeAutospacing="0" w:after="0" w:afterAutospacing="0"/>
              <w:ind w:right="0"/>
              <w:rPr>
                <w:rFonts w:hint="default"/>
                <w:color w:val="auto"/>
              </w:rPr>
            </w:pPr>
            <w:r>
              <w:rPr>
                <w:rFonts w:hint="eastAsia"/>
                <w:color w:val="auto"/>
              </w:rPr>
              <w:t>2002年1月17日广西壮族自治区环境保护局以桂环管字〔2002〕12号予以批复</w:t>
            </w:r>
          </w:p>
        </w:tc>
        <w:tc>
          <w:tcPr>
            <w:tcW w:w="1475" w:type="dxa"/>
          </w:tcPr>
          <w:p w14:paraId="42AA6139">
            <w:pPr>
              <w:pStyle w:val="167"/>
              <w:keepNext w:val="0"/>
              <w:keepLines w:val="0"/>
              <w:suppressLineNumbers w:val="0"/>
              <w:spacing w:before="0" w:beforeAutospacing="0" w:after="0" w:afterAutospacing="0"/>
              <w:ind w:right="0"/>
              <w:rPr>
                <w:rFonts w:hint="default"/>
                <w:color w:val="auto"/>
              </w:rPr>
            </w:pPr>
            <w:r>
              <w:rPr>
                <w:rFonts w:hint="eastAsia"/>
                <w:color w:val="auto"/>
              </w:rPr>
              <w:t>未</w:t>
            </w:r>
            <w:r>
              <w:rPr>
                <w:rFonts w:hint="default"/>
                <w:color w:val="auto"/>
              </w:rPr>
              <w:t>验收</w:t>
            </w:r>
          </w:p>
        </w:tc>
        <w:tc>
          <w:tcPr>
            <w:tcW w:w="5573" w:type="dxa"/>
          </w:tcPr>
          <w:p w14:paraId="1D60A6CB">
            <w:pPr>
              <w:pStyle w:val="167"/>
              <w:keepNext w:val="0"/>
              <w:keepLines w:val="0"/>
              <w:suppressLineNumbers w:val="0"/>
              <w:spacing w:before="0" w:beforeAutospacing="0" w:after="0" w:afterAutospacing="0"/>
              <w:ind w:right="0"/>
              <w:jc w:val="both"/>
              <w:rPr>
                <w:rFonts w:hint="default"/>
                <w:color w:val="auto"/>
              </w:rPr>
            </w:pPr>
            <w:r>
              <w:rPr>
                <w:rFonts w:hint="default"/>
                <w:color w:val="auto"/>
              </w:rPr>
              <w:t>五万吨级油气码头</w:t>
            </w:r>
            <w:r>
              <w:rPr>
                <w:rFonts w:hint="eastAsia"/>
                <w:color w:val="auto"/>
              </w:rPr>
              <w:t>：</w:t>
            </w:r>
            <w:r>
              <w:rPr>
                <w:rFonts w:hint="default"/>
                <w:color w:val="auto"/>
              </w:rPr>
              <w:t>大</w:t>
            </w:r>
            <w:r>
              <w:rPr>
                <w:rFonts w:hint="eastAsia"/>
                <w:color w:val="auto"/>
              </w:rPr>
              <w:t>圆</w:t>
            </w:r>
            <w:r>
              <w:rPr>
                <w:rFonts w:hint="default"/>
                <w:color w:val="auto"/>
              </w:rPr>
              <w:t>墩</w:t>
            </w:r>
            <w:r>
              <w:rPr>
                <w:rFonts w:hint="eastAsia"/>
                <w:color w:val="auto"/>
              </w:rPr>
              <w:t>、</w:t>
            </w:r>
            <w:r>
              <w:rPr>
                <w:rFonts w:hint="default"/>
                <w:color w:val="auto"/>
              </w:rPr>
              <w:t>钢筋混凝土</w:t>
            </w:r>
            <w:r>
              <w:rPr>
                <w:rFonts w:hint="eastAsia"/>
                <w:color w:val="auto"/>
              </w:rPr>
              <w:t>T梁结构</w:t>
            </w:r>
            <w:r>
              <w:rPr>
                <w:rFonts w:hint="default"/>
                <w:color w:val="auto"/>
              </w:rPr>
              <w:t>，泊位长度</w:t>
            </w:r>
            <w:r>
              <w:rPr>
                <w:rFonts w:hint="eastAsia"/>
                <w:color w:val="auto"/>
              </w:rPr>
              <w:t>300</w:t>
            </w:r>
            <w:r>
              <w:rPr>
                <w:rFonts w:hint="default"/>
                <w:color w:val="auto"/>
              </w:rPr>
              <w:t>m，引桥长</w:t>
            </w:r>
            <w:r>
              <w:rPr>
                <w:rFonts w:hint="eastAsia"/>
                <w:color w:val="auto"/>
              </w:rPr>
              <w:t>223.9</w:t>
            </w:r>
            <w:r>
              <w:rPr>
                <w:rFonts w:hint="default"/>
                <w:color w:val="auto"/>
              </w:rPr>
              <w:t>m，桥面宽</w:t>
            </w:r>
            <w:r>
              <w:rPr>
                <w:rFonts w:hint="eastAsia"/>
                <w:color w:val="auto"/>
              </w:rPr>
              <w:t>4.5</w:t>
            </w:r>
            <w:r>
              <w:rPr>
                <w:rFonts w:hint="default"/>
                <w:color w:val="auto"/>
              </w:rPr>
              <w:t>m，引桥末端与库区之间设长</w:t>
            </w:r>
            <w:r>
              <w:rPr>
                <w:rFonts w:hint="eastAsia"/>
                <w:color w:val="auto"/>
              </w:rPr>
              <w:t>29.26</w:t>
            </w:r>
            <w:r>
              <w:rPr>
                <w:rFonts w:hint="default"/>
                <w:color w:val="auto"/>
              </w:rPr>
              <w:t>m的实体引堤</w:t>
            </w:r>
            <w:r>
              <w:rPr>
                <w:rFonts w:hint="eastAsia"/>
                <w:color w:val="auto"/>
              </w:rPr>
              <w:t>连接</w:t>
            </w:r>
            <w:r>
              <w:rPr>
                <w:rFonts w:hint="default"/>
                <w:color w:val="auto"/>
              </w:rPr>
              <w:t>。</w:t>
            </w:r>
          </w:p>
          <w:p w14:paraId="1FEB807B">
            <w:pPr>
              <w:pStyle w:val="167"/>
              <w:keepNext w:val="0"/>
              <w:keepLines w:val="0"/>
              <w:suppressLineNumbers w:val="0"/>
              <w:spacing w:before="0" w:beforeAutospacing="0" w:after="0" w:afterAutospacing="0"/>
              <w:ind w:right="0"/>
              <w:jc w:val="both"/>
              <w:rPr>
                <w:rFonts w:hint="default"/>
                <w:color w:val="auto"/>
              </w:rPr>
            </w:pPr>
            <w:r>
              <w:rPr>
                <w:rFonts w:hint="eastAsia"/>
                <w:color w:val="auto"/>
              </w:rPr>
              <w:t>库区</w:t>
            </w:r>
            <w:r>
              <w:rPr>
                <w:rFonts w:hint="default"/>
                <w:color w:val="auto"/>
              </w:rPr>
              <w:t>：原油储罐</w:t>
            </w:r>
            <w:r>
              <w:rPr>
                <w:rFonts w:hint="eastAsia"/>
                <w:color w:val="auto"/>
              </w:rPr>
              <w:t>80000</w:t>
            </w:r>
            <w:r>
              <w:rPr>
                <w:rFonts w:hint="default"/>
                <w:color w:val="auto"/>
              </w:rPr>
              <w:t>m</w:t>
            </w:r>
            <w:r>
              <w:rPr>
                <w:rFonts w:hint="default"/>
                <w:color w:val="auto"/>
                <w:vertAlign w:val="superscript"/>
              </w:rPr>
              <w:t>3</w:t>
            </w:r>
            <w:r>
              <w:rPr>
                <w:rFonts w:hint="eastAsia"/>
                <w:color w:val="auto"/>
              </w:rPr>
              <w:t>（4个内浮顶</w:t>
            </w:r>
            <w:r>
              <w:rPr>
                <w:rFonts w:hint="default"/>
                <w:color w:val="auto"/>
              </w:rPr>
              <w:t>罐</w:t>
            </w:r>
            <w:r>
              <w:rPr>
                <w:rFonts w:hint="eastAsia"/>
                <w:color w:val="auto"/>
              </w:rPr>
              <w:t>、</w:t>
            </w:r>
            <w:r>
              <w:rPr>
                <w:rFonts w:hint="default"/>
                <w:color w:val="auto"/>
              </w:rPr>
              <w:t>4个拱顶罐，8</w:t>
            </w:r>
            <w:r>
              <w:rPr>
                <w:rFonts w:hint="eastAsia"/>
                <w:color w:val="auto"/>
              </w:rPr>
              <w:t>个</w:t>
            </w:r>
            <w:r>
              <w:rPr>
                <w:rFonts w:hint="default"/>
                <w:color w:val="auto"/>
              </w:rPr>
              <w:t>1</w:t>
            </w:r>
            <w:r>
              <w:rPr>
                <w:rFonts w:hint="eastAsia"/>
                <w:color w:val="auto"/>
              </w:rPr>
              <w:t>0000</w:t>
            </w:r>
            <w:r>
              <w:rPr>
                <w:rFonts w:hint="default"/>
                <w:color w:val="auto"/>
              </w:rPr>
              <w:t>m</w:t>
            </w:r>
            <w:r>
              <w:rPr>
                <w:rFonts w:hint="default"/>
                <w:color w:val="auto"/>
                <w:vertAlign w:val="superscript"/>
              </w:rPr>
              <w:t>3</w:t>
            </w:r>
            <w:r>
              <w:rPr>
                <w:rFonts w:hint="eastAsia"/>
                <w:color w:val="auto"/>
              </w:rPr>
              <w:t>）、</w:t>
            </w:r>
            <w:r>
              <w:rPr>
                <w:rFonts w:hint="default"/>
                <w:color w:val="auto"/>
              </w:rPr>
              <w:t>润滑油储罐</w:t>
            </w:r>
            <w:r>
              <w:rPr>
                <w:rFonts w:hint="eastAsia"/>
                <w:color w:val="auto"/>
              </w:rPr>
              <w:t>30000</w:t>
            </w:r>
            <w:r>
              <w:rPr>
                <w:rFonts w:hint="default"/>
                <w:color w:val="auto"/>
              </w:rPr>
              <w:t>m</w:t>
            </w:r>
            <w:r>
              <w:rPr>
                <w:rFonts w:hint="default"/>
                <w:color w:val="auto"/>
                <w:vertAlign w:val="superscript"/>
              </w:rPr>
              <w:t>3</w:t>
            </w:r>
            <w:r>
              <w:rPr>
                <w:rFonts w:hint="eastAsia"/>
                <w:color w:val="auto"/>
              </w:rPr>
              <w:t>（拱顶罐，</w:t>
            </w:r>
            <w:r>
              <w:rPr>
                <w:rFonts w:hint="default"/>
                <w:color w:val="auto"/>
              </w:rPr>
              <w:t>6</w:t>
            </w:r>
            <w:r>
              <w:rPr>
                <w:rFonts w:hint="eastAsia"/>
                <w:color w:val="auto"/>
              </w:rPr>
              <w:t>个</w:t>
            </w:r>
            <w:r>
              <w:rPr>
                <w:rFonts w:hint="default"/>
                <w:color w:val="auto"/>
              </w:rPr>
              <w:t>2</w:t>
            </w:r>
            <w:r>
              <w:rPr>
                <w:rFonts w:hint="eastAsia"/>
                <w:color w:val="auto"/>
              </w:rPr>
              <w:t>000</w:t>
            </w:r>
            <w:r>
              <w:rPr>
                <w:rFonts w:hint="default"/>
                <w:color w:val="auto"/>
              </w:rPr>
              <w:t>m</w:t>
            </w:r>
            <w:r>
              <w:rPr>
                <w:rFonts w:hint="default"/>
                <w:color w:val="auto"/>
                <w:vertAlign w:val="superscript"/>
              </w:rPr>
              <w:t>3</w:t>
            </w:r>
            <w:r>
              <w:rPr>
                <w:rFonts w:hint="eastAsia"/>
                <w:color w:val="auto"/>
              </w:rPr>
              <w:t>、</w:t>
            </w:r>
            <w:r>
              <w:rPr>
                <w:rFonts w:hint="default"/>
                <w:color w:val="auto"/>
              </w:rPr>
              <w:t>8</w:t>
            </w:r>
            <w:r>
              <w:rPr>
                <w:rFonts w:hint="eastAsia"/>
                <w:color w:val="auto"/>
              </w:rPr>
              <w:t>个</w:t>
            </w:r>
            <w:r>
              <w:rPr>
                <w:rFonts w:hint="default"/>
                <w:color w:val="auto"/>
              </w:rPr>
              <w:t>1</w:t>
            </w:r>
            <w:r>
              <w:rPr>
                <w:rFonts w:hint="eastAsia"/>
                <w:color w:val="auto"/>
              </w:rPr>
              <w:t>000</w:t>
            </w:r>
            <w:r>
              <w:rPr>
                <w:rFonts w:hint="default"/>
                <w:color w:val="auto"/>
              </w:rPr>
              <w:t>m</w:t>
            </w:r>
            <w:r>
              <w:rPr>
                <w:rFonts w:hint="default"/>
                <w:color w:val="auto"/>
                <w:vertAlign w:val="superscript"/>
              </w:rPr>
              <w:t>3</w:t>
            </w:r>
            <w:r>
              <w:rPr>
                <w:rFonts w:hint="eastAsia"/>
                <w:color w:val="auto"/>
              </w:rPr>
              <w:t>、</w:t>
            </w:r>
            <w:r>
              <w:rPr>
                <w:rFonts w:hint="default"/>
                <w:color w:val="auto"/>
              </w:rPr>
              <w:t>20</w:t>
            </w:r>
            <w:r>
              <w:rPr>
                <w:rFonts w:hint="eastAsia"/>
                <w:color w:val="auto"/>
              </w:rPr>
              <w:t>个</w:t>
            </w:r>
            <w:r>
              <w:rPr>
                <w:rFonts w:hint="default"/>
                <w:color w:val="auto"/>
              </w:rPr>
              <w:t>5</w:t>
            </w:r>
            <w:r>
              <w:rPr>
                <w:rFonts w:hint="eastAsia"/>
                <w:color w:val="auto"/>
              </w:rPr>
              <w:t>00</w:t>
            </w:r>
            <w:r>
              <w:rPr>
                <w:rFonts w:hint="default"/>
                <w:color w:val="auto"/>
              </w:rPr>
              <w:t>m</w:t>
            </w:r>
            <w:r>
              <w:rPr>
                <w:rFonts w:hint="default"/>
                <w:color w:val="auto"/>
                <w:vertAlign w:val="superscript"/>
              </w:rPr>
              <w:t>3</w:t>
            </w:r>
            <w:r>
              <w:rPr>
                <w:rFonts w:hint="eastAsia"/>
                <w:color w:val="auto"/>
              </w:rPr>
              <w:t>）</w:t>
            </w:r>
            <w:r>
              <w:rPr>
                <w:rFonts w:hint="default"/>
                <w:color w:val="auto"/>
              </w:rPr>
              <w:t>、</w:t>
            </w:r>
            <w:r>
              <w:rPr>
                <w:rFonts w:hint="eastAsia"/>
                <w:color w:val="auto"/>
              </w:rPr>
              <w:t>冷冻</w:t>
            </w:r>
            <w:r>
              <w:rPr>
                <w:rFonts w:hint="default"/>
                <w:color w:val="auto"/>
              </w:rPr>
              <w:t>液化气储罐</w:t>
            </w:r>
            <w:r>
              <w:rPr>
                <w:rFonts w:hint="eastAsia"/>
                <w:color w:val="auto"/>
              </w:rPr>
              <w:t>60000</w:t>
            </w:r>
            <w:r>
              <w:rPr>
                <w:rFonts w:hint="default"/>
                <w:color w:val="auto"/>
              </w:rPr>
              <w:t>m</w:t>
            </w:r>
            <w:r>
              <w:rPr>
                <w:rFonts w:hint="default"/>
                <w:color w:val="auto"/>
                <w:vertAlign w:val="superscript"/>
              </w:rPr>
              <w:t>3</w:t>
            </w:r>
            <w:r>
              <w:rPr>
                <w:rFonts w:hint="eastAsia"/>
                <w:color w:val="auto"/>
              </w:rPr>
              <w:t>（独立</w:t>
            </w:r>
            <w:r>
              <w:rPr>
                <w:rFonts w:hint="default"/>
                <w:color w:val="auto"/>
              </w:rPr>
              <w:t>双壁罐，2</w:t>
            </w:r>
            <w:r>
              <w:rPr>
                <w:rFonts w:hint="eastAsia"/>
                <w:color w:val="auto"/>
              </w:rPr>
              <w:t>个</w:t>
            </w:r>
            <w:r>
              <w:rPr>
                <w:rFonts w:hint="default"/>
                <w:color w:val="auto"/>
              </w:rPr>
              <w:t>2</w:t>
            </w:r>
            <w:r>
              <w:rPr>
                <w:rFonts w:hint="eastAsia"/>
                <w:color w:val="auto"/>
              </w:rPr>
              <w:t>0</w:t>
            </w:r>
            <w:r>
              <w:rPr>
                <w:rFonts w:hint="default"/>
                <w:color w:val="auto"/>
              </w:rPr>
              <w:t>0</w:t>
            </w:r>
            <w:r>
              <w:rPr>
                <w:rFonts w:hint="eastAsia"/>
                <w:color w:val="auto"/>
              </w:rPr>
              <w:t>00</w:t>
            </w:r>
            <w:r>
              <w:rPr>
                <w:rFonts w:hint="default"/>
                <w:color w:val="auto"/>
              </w:rPr>
              <w:t>m</w:t>
            </w:r>
            <w:r>
              <w:rPr>
                <w:rFonts w:hint="default"/>
                <w:color w:val="auto"/>
                <w:vertAlign w:val="superscript"/>
              </w:rPr>
              <w:t>3</w:t>
            </w:r>
            <w:r>
              <w:rPr>
                <w:rFonts w:hint="eastAsia"/>
                <w:color w:val="auto"/>
              </w:rPr>
              <w:t>、</w:t>
            </w:r>
            <w:r>
              <w:rPr>
                <w:rFonts w:hint="default"/>
                <w:color w:val="auto"/>
              </w:rPr>
              <w:t>2</w:t>
            </w:r>
            <w:r>
              <w:rPr>
                <w:rFonts w:hint="eastAsia"/>
                <w:color w:val="auto"/>
              </w:rPr>
              <w:t>个</w:t>
            </w:r>
            <w:r>
              <w:rPr>
                <w:rFonts w:hint="default"/>
                <w:color w:val="auto"/>
              </w:rPr>
              <w:t>10</w:t>
            </w:r>
            <w:r>
              <w:rPr>
                <w:rFonts w:hint="eastAsia"/>
                <w:color w:val="auto"/>
              </w:rPr>
              <w:t>000</w:t>
            </w:r>
            <w:r>
              <w:rPr>
                <w:rFonts w:hint="default"/>
                <w:color w:val="auto"/>
              </w:rPr>
              <w:t>m</w:t>
            </w:r>
            <w:r>
              <w:rPr>
                <w:rFonts w:hint="default"/>
                <w:color w:val="auto"/>
                <w:vertAlign w:val="superscript"/>
              </w:rPr>
              <w:t>3</w:t>
            </w:r>
            <w:r>
              <w:rPr>
                <w:rFonts w:hint="eastAsia"/>
                <w:color w:val="auto"/>
              </w:rPr>
              <w:t>）、</w:t>
            </w:r>
            <w:r>
              <w:rPr>
                <w:rFonts w:hint="default"/>
                <w:color w:val="auto"/>
              </w:rPr>
              <w:t>常温液化气储罐</w:t>
            </w:r>
            <w:r>
              <w:rPr>
                <w:rFonts w:hint="eastAsia"/>
                <w:color w:val="auto"/>
              </w:rPr>
              <w:t>2000</w:t>
            </w:r>
            <w:r>
              <w:rPr>
                <w:rFonts w:hint="default"/>
                <w:color w:val="auto"/>
              </w:rPr>
              <w:t>m</w:t>
            </w:r>
            <w:r>
              <w:rPr>
                <w:rFonts w:hint="default"/>
                <w:color w:val="auto"/>
                <w:vertAlign w:val="superscript"/>
              </w:rPr>
              <w:t>3</w:t>
            </w:r>
            <w:r>
              <w:rPr>
                <w:rFonts w:hint="eastAsia"/>
                <w:color w:val="auto"/>
              </w:rPr>
              <w:t>（球形</w:t>
            </w:r>
            <w:r>
              <w:rPr>
                <w:rFonts w:hint="default"/>
                <w:color w:val="auto"/>
              </w:rPr>
              <w:t>罐，2</w:t>
            </w:r>
            <w:r>
              <w:rPr>
                <w:rFonts w:hint="eastAsia"/>
                <w:color w:val="auto"/>
              </w:rPr>
              <w:t>个</w:t>
            </w:r>
            <w:r>
              <w:rPr>
                <w:rFonts w:hint="default"/>
                <w:color w:val="auto"/>
              </w:rPr>
              <w:t>10</w:t>
            </w:r>
            <w:r>
              <w:rPr>
                <w:rFonts w:hint="eastAsia"/>
                <w:color w:val="auto"/>
              </w:rPr>
              <w:t>00</w:t>
            </w:r>
            <w:r>
              <w:rPr>
                <w:rFonts w:hint="default"/>
                <w:color w:val="auto"/>
              </w:rPr>
              <w:t>m</w:t>
            </w:r>
            <w:r>
              <w:rPr>
                <w:rFonts w:hint="default"/>
                <w:color w:val="auto"/>
                <w:vertAlign w:val="superscript"/>
              </w:rPr>
              <w:t>3</w:t>
            </w:r>
            <w:r>
              <w:rPr>
                <w:rFonts w:hint="eastAsia"/>
                <w:color w:val="auto"/>
              </w:rPr>
              <w:t>），</w:t>
            </w:r>
            <w:r>
              <w:rPr>
                <w:rFonts w:hint="default"/>
                <w:color w:val="auto"/>
              </w:rPr>
              <w:t>总库容</w:t>
            </w:r>
            <w:r>
              <w:rPr>
                <w:rFonts w:hint="eastAsia"/>
                <w:color w:val="auto"/>
              </w:rPr>
              <w:t>17.2万</w:t>
            </w:r>
            <w:r>
              <w:rPr>
                <w:rFonts w:hint="default"/>
                <w:color w:val="auto"/>
              </w:rPr>
              <w:t>m</w:t>
            </w:r>
            <w:r>
              <w:rPr>
                <w:rFonts w:hint="default"/>
                <w:color w:val="auto"/>
                <w:vertAlign w:val="superscript"/>
              </w:rPr>
              <w:t>3</w:t>
            </w:r>
            <w:r>
              <w:rPr>
                <w:rFonts w:hint="eastAsia"/>
                <w:color w:val="auto"/>
              </w:rPr>
              <w:t>。</w:t>
            </w:r>
          </w:p>
          <w:p w14:paraId="28ACB425">
            <w:pPr>
              <w:pStyle w:val="167"/>
              <w:keepNext w:val="0"/>
              <w:keepLines w:val="0"/>
              <w:suppressLineNumbers w:val="0"/>
              <w:spacing w:before="0" w:beforeAutospacing="0" w:after="0" w:afterAutospacing="0"/>
              <w:ind w:right="0"/>
              <w:jc w:val="both"/>
              <w:rPr>
                <w:rFonts w:hint="eastAsia" w:eastAsia="宋体"/>
                <w:color w:val="auto"/>
                <w:lang w:eastAsia="zh-CN"/>
              </w:rPr>
            </w:pPr>
            <w:r>
              <w:rPr>
                <w:rFonts w:hint="eastAsia"/>
                <w:color w:val="auto"/>
              </w:rPr>
              <w:t>主要</w:t>
            </w:r>
            <w:r>
              <w:rPr>
                <w:rFonts w:hint="default"/>
                <w:color w:val="auto"/>
              </w:rPr>
              <w:t>装卸和储存货种为原油、润滑油、冷冻液化气、常温液化气</w:t>
            </w:r>
            <w:r>
              <w:rPr>
                <w:rFonts w:hint="eastAsia"/>
                <w:color w:val="auto"/>
                <w:lang w:eastAsia="zh-CN"/>
              </w:rPr>
              <w:t>。建设火车装车线。</w:t>
            </w:r>
          </w:p>
        </w:tc>
        <w:tc>
          <w:tcPr>
            <w:tcW w:w="1580" w:type="dxa"/>
          </w:tcPr>
          <w:p w14:paraId="0487B188">
            <w:pPr>
              <w:pStyle w:val="167"/>
              <w:keepNext w:val="0"/>
              <w:keepLines w:val="0"/>
              <w:suppressLineNumbers w:val="0"/>
              <w:spacing w:before="0" w:beforeAutospacing="0" w:after="0" w:afterAutospacing="0"/>
              <w:ind w:right="0"/>
              <w:jc w:val="both"/>
              <w:rPr>
                <w:rFonts w:hint="default"/>
                <w:color w:val="auto"/>
              </w:rPr>
            </w:pPr>
            <w:r>
              <w:rPr>
                <w:rFonts w:hint="eastAsia"/>
                <w:color w:val="auto"/>
              </w:rPr>
              <w:t>建设</w:t>
            </w:r>
            <w:r>
              <w:rPr>
                <w:rFonts w:hint="default"/>
                <w:color w:val="auto"/>
              </w:rPr>
              <w:t>过程中，</w:t>
            </w:r>
            <w:r>
              <w:rPr>
                <w:rFonts w:hint="eastAsia"/>
                <w:color w:val="auto"/>
              </w:rPr>
              <w:t>业主变更为广西东油沥青有限公司，对主体工程的建设内容进行调整</w:t>
            </w:r>
          </w:p>
        </w:tc>
      </w:tr>
      <w:tr w14:paraId="528A1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4" w:type="dxa"/>
          </w:tcPr>
          <w:p w14:paraId="2B929F11">
            <w:pPr>
              <w:pStyle w:val="167"/>
              <w:keepNext w:val="0"/>
              <w:keepLines w:val="0"/>
              <w:numPr>
                <w:ilvl w:val="0"/>
                <w:numId w:val="13"/>
              </w:numPr>
              <w:suppressLineNumbers w:val="0"/>
              <w:spacing w:before="0" w:beforeAutospacing="0" w:after="0" w:afterAutospacing="0"/>
              <w:ind w:right="0"/>
              <w:rPr>
                <w:rFonts w:hint="default"/>
                <w:color w:val="auto"/>
              </w:rPr>
            </w:pPr>
          </w:p>
        </w:tc>
        <w:tc>
          <w:tcPr>
            <w:tcW w:w="2343" w:type="dxa"/>
          </w:tcPr>
          <w:p w14:paraId="32ED19BB">
            <w:pPr>
              <w:pStyle w:val="167"/>
              <w:keepNext w:val="0"/>
              <w:keepLines w:val="0"/>
              <w:suppressLineNumbers w:val="0"/>
              <w:spacing w:before="0" w:beforeAutospacing="0" w:after="0" w:afterAutospacing="0"/>
              <w:ind w:right="0"/>
              <w:rPr>
                <w:rFonts w:hint="default"/>
                <w:color w:val="auto"/>
              </w:rPr>
            </w:pPr>
            <w:r>
              <w:rPr>
                <w:rFonts w:hint="eastAsia"/>
                <w:color w:val="auto"/>
              </w:rPr>
              <w:t>广西东油沥青有限公司五万吨级油气码头及库区工程环境影响报告书</w:t>
            </w:r>
          </w:p>
        </w:tc>
        <w:tc>
          <w:tcPr>
            <w:tcW w:w="2413" w:type="dxa"/>
          </w:tcPr>
          <w:p w14:paraId="4D00EA82">
            <w:pPr>
              <w:pStyle w:val="167"/>
              <w:keepNext w:val="0"/>
              <w:keepLines w:val="0"/>
              <w:suppressLineNumbers w:val="0"/>
              <w:spacing w:before="0" w:beforeAutospacing="0" w:after="0" w:afterAutospacing="0"/>
              <w:ind w:right="0"/>
              <w:rPr>
                <w:rFonts w:hint="default"/>
                <w:color w:val="auto"/>
              </w:rPr>
            </w:pPr>
            <w:r>
              <w:rPr>
                <w:rFonts w:hint="eastAsia"/>
                <w:color w:val="auto"/>
              </w:rPr>
              <w:t>2008年9月12日，广西壮族自治区环境保护局的批复，批文号为：桂环管字〔2008〕246号</w:t>
            </w:r>
          </w:p>
        </w:tc>
        <w:tc>
          <w:tcPr>
            <w:tcW w:w="1475" w:type="dxa"/>
          </w:tcPr>
          <w:p w14:paraId="37315352">
            <w:pPr>
              <w:pStyle w:val="167"/>
              <w:keepNext w:val="0"/>
              <w:keepLines w:val="0"/>
              <w:suppressLineNumbers w:val="0"/>
              <w:spacing w:before="0" w:beforeAutospacing="0" w:after="0" w:afterAutospacing="0"/>
              <w:ind w:right="0"/>
              <w:rPr>
                <w:rFonts w:hint="default"/>
                <w:color w:val="auto"/>
              </w:rPr>
            </w:pPr>
            <w:r>
              <w:rPr>
                <w:rFonts w:hint="eastAsia"/>
                <w:color w:val="auto"/>
              </w:rPr>
              <w:t>2010年11月2日，验收</w:t>
            </w:r>
            <w:r>
              <w:rPr>
                <w:rFonts w:hint="default"/>
                <w:color w:val="auto"/>
              </w:rPr>
              <w:t>批复：</w:t>
            </w:r>
            <w:r>
              <w:rPr>
                <w:rFonts w:hint="eastAsia"/>
                <w:color w:val="auto"/>
              </w:rPr>
              <w:t>桂环验字〔2010〕114号</w:t>
            </w:r>
          </w:p>
        </w:tc>
        <w:tc>
          <w:tcPr>
            <w:tcW w:w="5573" w:type="dxa"/>
          </w:tcPr>
          <w:p w14:paraId="7A563F50">
            <w:pPr>
              <w:pStyle w:val="91"/>
              <w:keepNext w:val="0"/>
              <w:keepLines w:val="0"/>
              <w:suppressLineNumbers w:val="0"/>
              <w:spacing w:before="0" w:beforeAutospacing="0" w:after="0" w:afterAutospacing="0"/>
              <w:ind w:left="0" w:right="0"/>
              <w:rPr>
                <w:rFonts w:hint="default"/>
                <w:color w:val="auto"/>
              </w:rPr>
            </w:pPr>
            <w:r>
              <w:rPr>
                <w:rFonts w:hint="default"/>
                <w:color w:val="auto"/>
              </w:rPr>
              <w:t>五万吨级油气码头</w:t>
            </w:r>
            <w:r>
              <w:rPr>
                <w:rFonts w:hint="eastAsia"/>
                <w:color w:val="auto"/>
              </w:rPr>
              <w:t>：</w:t>
            </w:r>
            <w:r>
              <w:rPr>
                <w:rFonts w:hint="default"/>
                <w:color w:val="auto"/>
              </w:rPr>
              <w:t>大</w:t>
            </w:r>
            <w:r>
              <w:rPr>
                <w:rFonts w:hint="eastAsia"/>
                <w:color w:val="auto"/>
              </w:rPr>
              <w:t>圆</w:t>
            </w:r>
            <w:r>
              <w:rPr>
                <w:rFonts w:hint="default"/>
                <w:color w:val="auto"/>
              </w:rPr>
              <w:t>墩</w:t>
            </w:r>
            <w:r>
              <w:rPr>
                <w:rFonts w:hint="eastAsia"/>
                <w:color w:val="auto"/>
              </w:rPr>
              <w:t>、</w:t>
            </w:r>
            <w:r>
              <w:rPr>
                <w:rFonts w:hint="default"/>
                <w:color w:val="auto"/>
              </w:rPr>
              <w:t>钢筋混凝土</w:t>
            </w:r>
            <w:r>
              <w:rPr>
                <w:rFonts w:hint="eastAsia"/>
                <w:color w:val="auto"/>
              </w:rPr>
              <w:t>T梁结构</w:t>
            </w:r>
            <w:r>
              <w:rPr>
                <w:rFonts w:hint="default"/>
                <w:color w:val="auto"/>
              </w:rPr>
              <w:t>，泊位长度</w:t>
            </w:r>
            <w:r>
              <w:rPr>
                <w:rFonts w:hint="eastAsia"/>
                <w:color w:val="auto"/>
              </w:rPr>
              <w:t>300</w:t>
            </w:r>
            <w:r>
              <w:rPr>
                <w:rFonts w:hint="default"/>
                <w:color w:val="auto"/>
              </w:rPr>
              <w:t>m，引桥长</w:t>
            </w:r>
            <w:r>
              <w:rPr>
                <w:rFonts w:hint="eastAsia"/>
                <w:color w:val="auto"/>
              </w:rPr>
              <w:t>223.9</w:t>
            </w:r>
            <w:r>
              <w:rPr>
                <w:rFonts w:hint="default"/>
                <w:color w:val="auto"/>
              </w:rPr>
              <w:t>m，桥面宽</w:t>
            </w:r>
            <w:r>
              <w:rPr>
                <w:rFonts w:hint="eastAsia"/>
                <w:color w:val="auto"/>
              </w:rPr>
              <w:t>4.5</w:t>
            </w:r>
            <w:r>
              <w:rPr>
                <w:rFonts w:hint="default"/>
                <w:color w:val="auto"/>
              </w:rPr>
              <w:t>m，引桥末端与库区之间设长</w:t>
            </w:r>
            <w:r>
              <w:rPr>
                <w:rFonts w:hint="eastAsia"/>
                <w:color w:val="auto"/>
              </w:rPr>
              <w:t>29.26</w:t>
            </w:r>
            <w:r>
              <w:rPr>
                <w:rFonts w:hint="default"/>
                <w:color w:val="auto"/>
              </w:rPr>
              <w:t>m的实体引堤</w:t>
            </w:r>
            <w:r>
              <w:rPr>
                <w:rFonts w:hint="eastAsia"/>
                <w:color w:val="auto"/>
              </w:rPr>
              <w:t>连接</w:t>
            </w:r>
            <w:r>
              <w:rPr>
                <w:rFonts w:hint="default"/>
                <w:color w:val="auto"/>
              </w:rPr>
              <w:t>。</w:t>
            </w:r>
          </w:p>
          <w:p w14:paraId="55D90C12">
            <w:pPr>
              <w:pStyle w:val="91"/>
              <w:keepNext w:val="0"/>
              <w:keepLines w:val="0"/>
              <w:suppressLineNumbers w:val="0"/>
              <w:spacing w:before="0" w:beforeAutospacing="0" w:after="0" w:afterAutospacing="0"/>
              <w:ind w:left="0" w:right="0"/>
              <w:rPr>
                <w:rFonts w:hint="eastAsia"/>
                <w:color w:val="auto"/>
              </w:rPr>
            </w:pPr>
            <w:r>
              <w:rPr>
                <w:rFonts w:hint="eastAsia"/>
                <w:color w:val="auto"/>
              </w:rPr>
              <w:t>库区</w:t>
            </w:r>
            <w:r>
              <w:rPr>
                <w:rFonts w:hint="default"/>
                <w:color w:val="auto"/>
              </w:rPr>
              <w:t>：总库容35.5</w:t>
            </w:r>
            <w:r>
              <w:rPr>
                <w:rFonts w:hint="eastAsia"/>
                <w:color w:val="auto"/>
              </w:rPr>
              <w:t>万</w:t>
            </w:r>
            <w:r>
              <w:rPr>
                <w:rFonts w:hint="default"/>
                <w:color w:val="auto"/>
              </w:rPr>
              <w:t>m</w:t>
            </w:r>
            <w:r>
              <w:rPr>
                <w:rFonts w:hint="default"/>
                <w:color w:val="auto"/>
                <w:vertAlign w:val="superscript"/>
              </w:rPr>
              <w:t>3</w:t>
            </w:r>
            <w:r>
              <w:rPr>
                <w:rFonts w:hint="eastAsia"/>
                <w:color w:val="auto"/>
              </w:rPr>
              <w:t>。共</w:t>
            </w:r>
            <w:r>
              <w:rPr>
                <w:rFonts w:hint="default"/>
                <w:color w:val="auto"/>
              </w:rPr>
              <w:t>分为</w:t>
            </w:r>
            <w:r>
              <w:rPr>
                <w:rFonts w:hint="eastAsia"/>
                <w:color w:val="auto"/>
              </w:rPr>
              <w:t>5个</w:t>
            </w:r>
            <w:r>
              <w:rPr>
                <w:rFonts w:hint="default"/>
                <w:color w:val="auto"/>
              </w:rPr>
              <w:t>罐组</w:t>
            </w:r>
            <w:r>
              <w:rPr>
                <w:rFonts w:hint="eastAsia"/>
                <w:color w:val="auto"/>
              </w:rPr>
              <w:t>：原油罐组、汽油罐组、柴油罐组、重油罐组、混合罐组，主要</w:t>
            </w:r>
            <w:r>
              <w:rPr>
                <w:rFonts w:hint="default"/>
                <w:color w:val="auto"/>
              </w:rPr>
              <w:t>装卸和储存货种为原油、</w:t>
            </w:r>
            <w:r>
              <w:rPr>
                <w:rFonts w:hint="eastAsia"/>
                <w:color w:val="auto"/>
              </w:rPr>
              <w:t>汽油</w:t>
            </w:r>
            <w:r>
              <w:rPr>
                <w:rFonts w:hint="default"/>
                <w:color w:val="auto"/>
              </w:rPr>
              <w:t>、柴油、重油、甲醇</w:t>
            </w:r>
            <w:r>
              <w:rPr>
                <w:rFonts w:hint="eastAsia"/>
                <w:color w:val="auto"/>
              </w:rPr>
              <w:t>、</w:t>
            </w:r>
            <w:r>
              <w:rPr>
                <w:rFonts w:hint="default"/>
                <w:color w:val="auto"/>
              </w:rPr>
              <w:t>燃料油</w:t>
            </w:r>
            <w:r>
              <w:rPr>
                <w:rFonts w:hint="eastAsia"/>
                <w:color w:val="auto"/>
              </w:rPr>
              <w:t>。</w:t>
            </w:r>
          </w:p>
          <w:p w14:paraId="60448CDE">
            <w:pPr>
              <w:pStyle w:val="91"/>
              <w:keepNext w:val="0"/>
              <w:keepLines w:val="0"/>
              <w:suppressLineNumbers w:val="0"/>
              <w:spacing w:before="0" w:beforeAutospacing="0" w:after="0" w:afterAutospacing="0"/>
              <w:ind w:left="0" w:right="0"/>
              <w:rPr>
                <w:rFonts w:hint="default"/>
                <w:color w:val="auto"/>
              </w:rPr>
            </w:pPr>
            <w:r>
              <w:rPr>
                <w:rFonts w:hint="eastAsia"/>
                <w:color w:val="auto"/>
              </w:rPr>
              <w:t>原油罐组：</w:t>
            </w:r>
            <w:r>
              <w:rPr>
                <w:rFonts w:hint="default"/>
                <w:color w:val="auto"/>
              </w:rPr>
              <w:t>3</w:t>
            </w:r>
            <w:r>
              <w:rPr>
                <w:rFonts w:hint="eastAsia"/>
                <w:color w:val="auto"/>
              </w:rPr>
              <w:t>个</w:t>
            </w:r>
            <w:r>
              <w:rPr>
                <w:rFonts w:hint="default"/>
                <w:color w:val="auto"/>
              </w:rPr>
              <w:t>4</w:t>
            </w:r>
            <w:r>
              <w:rPr>
                <w:rFonts w:hint="eastAsia"/>
                <w:color w:val="auto"/>
              </w:rPr>
              <w:t>0000</w:t>
            </w:r>
            <w:r>
              <w:rPr>
                <w:rFonts w:hint="default"/>
                <w:color w:val="auto"/>
              </w:rPr>
              <w:t>m</w:t>
            </w:r>
            <w:r>
              <w:rPr>
                <w:rFonts w:hint="default"/>
                <w:color w:val="auto"/>
                <w:vertAlign w:val="superscript"/>
              </w:rPr>
              <w:t>3</w:t>
            </w:r>
            <w:r>
              <w:rPr>
                <w:rFonts w:hint="eastAsia"/>
                <w:color w:val="auto"/>
              </w:rPr>
              <w:t>原油储罐；</w:t>
            </w:r>
          </w:p>
          <w:p w14:paraId="40DD09FF">
            <w:pPr>
              <w:pStyle w:val="91"/>
              <w:keepNext w:val="0"/>
              <w:keepLines w:val="0"/>
              <w:suppressLineNumbers w:val="0"/>
              <w:spacing w:before="0" w:beforeAutospacing="0" w:after="0" w:afterAutospacing="0"/>
              <w:ind w:left="0" w:right="0"/>
              <w:rPr>
                <w:rFonts w:hint="default"/>
                <w:color w:val="auto"/>
              </w:rPr>
            </w:pPr>
            <w:r>
              <w:rPr>
                <w:rFonts w:hint="eastAsia"/>
                <w:color w:val="auto"/>
              </w:rPr>
              <w:t>汽油罐组：8个</w:t>
            </w:r>
            <w:r>
              <w:rPr>
                <w:rFonts w:hint="default"/>
                <w:color w:val="auto"/>
              </w:rPr>
              <w:t>10</w:t>
            </w:r>
            <w:r>
              <w:rPr>
                <w:rFonts w:hint="eastAsia"/>
                <w:color w:val="auto"/>
              </w:rPr>
              <w:t>000</w:t>
            </w:r>
            <w:r>
              <w:rPr>
                <w:rFonts w:hint="default"/>
                <w:color w:val="auto"/>
              </w:rPr>
              <w:t>m</w:t>
            </w:r>
            <w:r>
              <w:rPr>
                <w:rFonts w:hint="default"/>
                <w:color w:val="auto"/>
                <w:vertAlign w:val="superscript"/>
              </w:rPr>
              <w:t>3</w:t>
            </w:r>
            <w:r>
              <w:rPr>
                <w:rFonts w:hint="eastAsia"/>
                <w:color w:val="auto"/>
              </w:rPr>
              <w:t>汽</w:t>
            </w:r>
            <w:r>
              <w:rPr>
                <w:rFonts w:hint="default"/>
                <w:color w:val="auto"/>
              </w:rPr>
              <w:t>油储罐</w:t>
            </w:r>
            <w:r>
              <w:rPr>
                <w:rFonts w:hint="eastAsia"/>
                <w:color w:val="auto"/>
              </w:rPr>
              <w:t>；</w:t>
            </w:r>
          </w:p>
          <w:p w14:paraId="7AD5644F">
            <w:pPr>
              <w:pStyle w:val="91"/>
              <w:keepNext w:val="0"/>
              <w:keepLines w:val="0"/>
              <w:suppressLineNumbers w:val="0"/>
              <w:spacing w:before="0" w:beforeAutospacing="0" w:after="0" w:afterAutospacing="0"/>
              <w:ind w:left="0" w:right="0"/>
              <w:rPr>
                <w:rFonts w:hint="default"/>
                <w:color w:val="auto"/>
              </w:rPr>
            </w:pPr>
            <w:r>
              <w:rPr>
                <w:rFonts w:hint="eastAsia"/>
                <w:color w:val="auto"/>
              </w:rPr>
              <w:t>柴油罐组：8个</w:t>
            </w:r>
            <w:r>
              <w:rPr>
                <w:rFonts w:hint="default"/>
                <w:color w:val="auto"/>
              </w:rPr>
              <w:t>1</w:t>
            </w:r>
            <w:r>
              <w:rPr>
                <w:rFonts w:hint="eastAsia"/>
                <w:color w:val="auto"/>
              </w:rPr>
              <w:t>0</w:t>
            </w:r>
            <w:r>
              <w:rPr>
                <w:rFonts w:hint="default"/>
                <w:color w:val="auto"/>
              </w:rPr>
              <w:t>0</w:t>
            </w:r>
            <w:r>
              <w:rPr>
                <w:rFonts w:hint="eastAsia"/>
                <w:color w:val="auto"/>
              </w:rPr>
              <w:t>00</w:t>
            </w:r>
            <w:r>
              <w:rPr>
                <w:rFonts w:hint="default"/>
                <w:color w:val="auto"/>
              </w:rPr>
              <w:t>m</w:t>
            </w:r>
            <w:r>
              <w:rPr>
                <w:rFonts w:hint="default"/>
                <w:color w:val="auto"/>
                <w:vertAlign w:val="superscript"/>
              </w:rPr>
              <w:t>3</w:t>
            </w:r>
            <w:r>
              <w:rPr>
                <w:rFonts w:hint="eastAsia"/>
                <w:color w:val="auto"/>
              </w:rPr>
              <w:t>柴油</w:t>
            </w:r>
            <w:r>
              <w:rPr>
                <w:rFonts w:hint="default"/>
                <w:color w:val="auto"/>
              </w:rPr>
              <w:t>储罐</w:t>
            </w:r>
            <w:r>
              <w:rPr>
                <w:rFonts w:hint="eastAsia"/>
                <w:color w:val="auto"/>
              </w:rPr>
              <w:t>；</w:t>
            </w:r>
          </w:p>
          <w:p w14:paraId="67762162">
            <w:pPr>
              <w:pStyle w:val="91"/>
              <w:keepNext w:val="0"/>
              <w:keepLines w:val="0"/>
              <w:suppressLineNumbers w:val="0"/>
              <w:spacing w:before="0" w:beforeAutospacing="0" w:after="0" w:afterAutospacing="0"/>
              <w:ind w:left="0" w:right="0"/>
              <w:rPr>
                <w:rFonts w:hint="default"/>
                <w:color w:val="auto"/>
              </w:rPr>
            </w:pPr>
            <w:r>
              <w:rPr>
                <w:rFonts w:hint="eastAsia"/>
                <w:color w:val="auto"/>
              </w:rPr>
              <w:t>重油（燃料油）罐组：</w:t>
            </w:r>
            <w:r>
              <w:rPr>
                <w:rFonts w:hint="default"/>
                <w:color w:val="auto"/>
              </w:rPr>
              <w:t>3</w:t>
            </w:r>
            <w:r>
              <w:rPr>
                <w:rFonts w:hint="eastAsia"/>
                <w:color w:val="auto"/>
              </w:rPr>
              <w:t>个</w:t>
            </w:r>
            <w:r>
              <w:rPr>
                <w:rFonts w:hint="default"/>
                <w:color w:val="auto"/>
              </w:rPr>
              <w:t>50</w:t>
            </w:r>
            <w:r>
              <w:rPr>
                <w:rFonts w:hint="eastAsia"/>
                <w:color w:val="auto"/>
              </w:rPr>
              <w:t>00</w:t>
            </w:r>
            <w:r>
              <w:rPr>
                <w:rFonts w:hint="default"/>
                <w:color w:val="auto"/>
              </w:rPr>
              <w:t>m</w:t>
            </w:r>
            <w:r>
              <w:rPr>
                <w:rFonts w:hint="default"/>
                <w:color w:val="auto"/>
                <w:vertAlign w:val="superscript"/>
              </w:rPr>
              <w:t>3</w:t>
            </w:r>
            <w:r>
              <w:rPr>
                <w:rFonts w:hint="eastAsia"/>
                <w:color w:val="auto"/>
              </w:rPr>
              <w:t>重油</w:t>
            </w:r>
            <w:r>
              <w:rPr>
                <w:rFonts w:hint="default"/>
                <w:color w:val="auto"/>
              </w:rPr>
              <w:t>储罐</w:t>
            </w:r>
            <w:r>
              <w:rPr>
                <w:rFonts w:hint="eastAsia"/>
                <w:color w:val="auto"/>
              </w:rPr>
              <w:t>；</w:t>
            </w:r>
          </w:p>
          <w:p w14:paraId="39EBA204">
            <w:pPr>
              <w:pStyle w:val="91"/>
              <w:keepNext w:val="0"/>
              <w:keepLines w:val="0"/>
              <w:suppressLineNumbers w:val="0"/>
              <w:spacing w:before="0" w:beforeAutospacing="0" w:after="0" w:afterAutospacing="0"/>
              <w:ind w:left="0" w:right="0"/>
              <w:jc w:val="both"/>
              <w:rPr>
                <w:rFonts w:hint="eastAsia"/>
                <w:color w:val="auto"/>
              </w:rPr>
            </w:pPr>
            <w:r>
              <w:rPr>
                <w:rFonts w:hint="eastAsia"/>
                <w:color w:val="auto"/>
              </w:rPr>
              <w:t>混合罐组：</w:t>
            </w:r>
            <w:r>
              <w:rPr>
                <w:rFonts w:hint="default"/>
                <w:color w:val="auto"/>
              </w:rPr>
              <w:t>2</w:t>
            </w:r>
            <w:r>
              <w:rPr>
                <w:rFonts w:hint="eastAsia"/>
                <w:color w:val="auto"/>
              </w:rPr>
              <w:t>个</w:t>
            </w:r>
            <w:r>
              <w:rPr>
                <w:rFonts w:hint="default"/>
                <w:color w:val="auto"/>
              </w:rPr>
              <w:t>1</w:t>
            </w:r>
            <w:r>
              <w:rPr>
                <w:rFonts w:hint="eastAsia"/>
                <w:color w:val="auto"/>
              </w:rPr>
              <w:t>0</w:t>
            </w:r>
            <w:r>
              <w:rPr>
                <w:rFonts w:hint="default"/>
                <w:color w:val="auto"/>
              </w:rPr>
              <w:t>0</w:t>
            </w:r>
            <w:r>
              <w:rPr>
                <w:rFonts w:hint="eastAsia"/>
                <w:color w:val="auto"/>
              </w:rPr>
              <w:t>00</w:t>
            </w:r>
            <w:r>
              <w:rPr>
                <w:rFonts w:hint="default"/>
                <w:color w:val="auto"/>
              </w:rPr>
              <w:t>m</w:t>
            </w:r>
            <w:r>
              <w:rPr>
                <w:rFonts w:hint="default"/>
                <w:color w:val="auto"/>
                <w:vertAlign w:val="superscript"/>
              </w:rPr>
              <w:t>3</w:t>
            </w:r>
            <w:r>
              <w:rPr>
                <w:rFonts w:hint="eastAsia"/>
                <w:color w:val="auto"/>
              </w:rPr>
              <w:t>柴油</w:t>
            </w:r>
            <w:r>
              <w:rPr>
                <w:rFonts w:hint="default"/>
                <w:color w:val="auto"/>
              </w:rPr>
              <w:t>储罐</w:t>
            </w:r>
            <w:r>
              <w:rPr>
                <w:rFonts w:hint="eastAsia"/>
                <w:color w:val="auto"/>
              </w:rPr>
              <w:t>；3个</w:t>
            </w:r>
            <w:r>
              <w:rPr>
                <w:rFonts w:hint="default"/>
                <w:color w:val="auto"/>
              </w:rPr>
              <w:t>10</w:t>
            </w:r>
            <w:r>
              <w:rPr>
                <w:rFonts w:hint="eastAsia"/>
                <w:color w:val="auto"/>
              </w:rPr>
              <w:t>000</w:t>
            </w:r>
            <w:r>
              <w:rPr>
                <w:rFonts w:hint="default"/>
                <w:color w:val="auto"/>
              </w:rPr>
              <w:t>m</w:t>
            </w:r>
            <w:r>
              <w:rPr>
                <w:rFonts w:hint="default"/>
                <w:color w:val="auto"/>
                <w:vertAlign w:val="superscript"/>
              </w:rPr>
              <w:t>3</w:t>
            </w:r>
            <w:r>
              <w:rPr>
                <w:rFonts w:hint="eastAsia"/>
                <w:color w:val="auto"/>
              </w:rPr>
              <w:t>汽</w:t>
            </w:r>
            <w:r>
              <w:rPr>
                <w:rFonts w:hint="default"/>
                <w:color w:val="auto"/>
              </w:rPr>
              <w:t>油储罐</w:t>
            </w:r>
            <w:r>
              <w:rPr>
                <w:rFonts w:hint="eastAsia"/>
                <w:color w:val="auto"/>
              </w:rPr>
              <w:t>；</w:t>
            </w:r>
            <w:r>
              <w:rPr>
                <w:rFonts w:hint="default"/>
                <w:color w:val="auto"/>
              </w:rPr>
              <w:t>1</w:t>
            </w:r>
            <w:r>
              <w:rPr>
                <w:rFonts w:hint="eastAsia"/>
                <w:color w:val="auto"/>
              </w:rPr>
              <w:t>个</w:t>
            </w:r>
            <w:r>
              <w:rPr>
                <w:rFonts w:hint="default"/>
                <w:color w:val="auto"/>
              </w:rPr>
              <w:t>100</w:t>
            </w:r>
            <w:r>
              <w:rPr>
                <w:rFonts w:hint="eastAsia"/>
                <w:color w:val="auto"/>
              </w:rPr>
              <w:t>00</w:t>
            </w:r>
            <w:r>
              <w:rPr>
                <w:rFonts w:hint="default"/>
                <w:color w:val="auto"/>
              </w:rPr>
              <w:t>m</w:t>
            </w:r>
            <w:r>
              <w:rPr>
                <w:rFonts w:hint="default"/>
                <w:color w:val="auto"/>
                <w:vertAlign w:val="superscript"/>
              </w:rPr>
              <w:t>3</w:t>
            </w:r>
            <w:r>
              <w:rPr>
                <w:rFonts w:hint="eastAsia"/>
                <w:color w:val="auto"/>
              </w:rPr>
              <w:t>甲醇</w:t>
            </w:r>
            <w:r>
              <w:rPr>
                <w:rFonts w:hint="default"/>
                <w:color w:val="auto"/>
              </w:rPr>
              <w:t>储罐</w:t>
            </w:r>
            <w:r>
              <w:rPr>
                <w:rFonts w:hint="eastAsia"/>
                <w:color w:val="auto"/>
              </w:rPr>
              <w:t>；</w:t>
            </w:r>
          </w:p>
          <w:p w14:paraId="1FB33F22">
            <w:pPr>
              <w:pStyle w:val="91"/>
              <w:keepNext w:val="0"/>
              <w:keepLines w:val="0"/>
              <w:suppressLineNumbers w:val="0"/>
              <w:spacing w:before="0" w:beforeAutospacing="0" w:after="0" w:afterAutospacing="0"/>
              <w:ind w:left="0" w:right="0"/>
              <w:jc w:val="both"/>
              <w:rPr>
                <w:rFonts w:hint="default"/>
                <w:color w:val="auto"/>
                <w:u w:val="single"/>
              </w:rPr>
            </w:pPr>
            <w:r>
              <w:rPr>
                <w:rFonts w:hint="eastAsia"/>
                <w:color w:val="auto"/>
                <w:u w:val="single"/>
              </w:rPr>
              <w:t>增加</w:t>
            </w:r>
            <w:r>
              <w:rPr>
                <w:rFonts w:hint="default"/>
                <w:color w:val="auto"/>
                <w:u w:val="single"/>
              </w:rPr>
              <w:t>燃油锅炉房，</w:t>
            </w:r>
            <w:r>
              <w:rPr>
                <w:rFonts w:hint="eastAsia"/>
                <w:color w:val="auto"/>
                <w:u w:val="single"/>
                <w:lang w:val="en-US" w:eastAsia="zh-CN"/>
              </w:rPr>
              <w:t>根据</w:t>
            </w:r>
            <w:r>
              <w:rPr>
                <w:rFonts w:hint="eastAsia"/>
                <w:color w:val="auto"/>
                <w:u w:val="single"/>
              </w:rPr>
              <w:t>桂环管字〔2008〕246号</w:t>
            </w:r>
            <w:r>
              <w:rPr>
                <w:rFonts w:hint="eastAsia"/>
                <w:color w:val="auto"/>
                <w:u w:val="single"/>
                <w:lang w:val="en-US" w:eastAsia="zh-CN"/>
              </w:rPr>
              <w:t>环评验收报告，2009年建设一条自广西石化十万吨级码头蒸汽线，2010年2月蒸汽线投用，</w:t>
            </w:r>
            <w:r>
              <w:rPr>
                <w:rFonts w:hint="eastAsia"/>
                <w:color w:val="auto"/>
                <w:u w:val="single"/>
              </w:rPr>
              <w:t>2010年桂环管字〔2008〕246号</w:t>
            </w:r>
            <w:r>
              <w:rPr>
                <w:rFonts w:hint="eastAsia"/>
                <w:color w:val="auto"/>
                <w:u w:val="single"/>
                <w:lang w:val="en-US" w:eastAsia="zh-CN"/>
              </w:rPr>
              <w:t>环评验收报</w:t>
            </w:r>
            <w:r>
              <w:rPr>
                <w:rFonts w:hint="default"/>
                <w:color w:val="auto"/>
                <w:u w:val="single"/>
              </w:rPr>
              <w:t>时已停用，改用广西石化提供的蒸汽。</w:t>
            </w:r>
          </w:p>
          <w:p w14:paraId="3A89C05C">
            <w:pPr>
              <w:pStyle w:val="167"/>
              <w:keepNext w:val="0"/>
              <w:keepLines w:val="0"/>
              <w:suppressLineNumbers w:val="0"/>
              <w:spacing w:before="0" w:beforeAutospacing="0" w:after="0" w:afterAutospacing="0"/>
              <w:ind w:right="0"/>
              <w:jc w:val="both"/>
              <w:rPr>
                <w:rFonts w:hint="default"/>
                <w:color w:val="auto"/>
              </w:rPr>
            </w:pPr>
            <w:r>
              <w:rPr>
                <w:rFonts w:hint="eastAsia"/>
                <w:color w:val="auto"/>
              </w:rPr>
              <w:t>含油污水（储罐</w:t>
            </w:r>
            <w:r>
              <w:rPr>
                <w:rFonts w:hint="default"/>
                <w:color w:val="auto"/>
              </w:rPr>
              <w:t>切水、清罐污水</w:t>
            </w:r>
            <w:r>
              <w:rPr>
                <w:rFonts w:hint="eastAsia"/>
                <w:color w:val="auto"/>
              </w:rPr>
              <w:t>）</w:t>
            </w:r>
            <w:r>
              <w:rPr>
                <w:rFonts w:hint="default"/>
                <w:color w:val="auto"/>
              </w:rPr>
              <w:t>经污水处理站处理后排放</w:t>
            </w:r>
            <w:r>
              <w:rPr>
                <w:rFonts w:hint="eastAsia"/>
                <w:color w:val="auto"/>
              </w:rPr>
              <w:t>；</w:t>
            </w:r>
            <w:r>
              <w:rPr>
                <w:rFonts w:hint="default"/>
                <w:color w:val="auto"/>
              </w:rPr>
              <w:t>初期雨水井隔油</w:t>
            </w:r>
            <w:r>
              <w:rPr>
                <w:rFonts w:hint="eastAsia"/>
                <w:color w:val="auto"/>
              </w:rPr>
              <w:t>处理</w:t>
            </w:r>
            <w:r>
              <w:rPr>
                <w:rFonts w:hint="default"/>
                <w:color w:val="auto"/>
              </w:rPr>
              <w:t>后</w:t>
            </w:r>
            <w:r>
              <w:rPr>
                <w:rFonts w:hint="eastAsia"/>
                <w:color w:val="auto"/>
              </w:rPr>
              <w:t>外排</w:t>
            </w:r>
            <w:r>
              <w:rPr>
                <w:rFonts w:hint="default"/>
                <w:color w:val="auto"/>
              </w:rPr>
              <w:t>；</w:t>
            </w:r>
          </w:p>
        </w:tc>
        <w:tc>
          <w:tcPr>
            <w:tcW w:w="1580" w:type="dxa"/>
          </w:tcPr>
          <w:p w14:paraId="51A56E6D">
            <w:pPr>
              <w:pStyle w:val="167"/>
              <w:keepNext w:val="0"/>
              <w:keepLines w:val="0"/>
              <w:suppressLineNumbers w:val="0"/>
              <w:spacing w:before="0" w:beforeAutospacing="0" w:after="0" w:afterAutospacing="0"/>
              <w:ind w:right="0"/>
              <w:rPr>
                <w:rFonts w:hint="default"/>
                <w:color w:val="auto"/>
              </w:rPr>
            </w:pPr>
            <w:r>
              <w:rPr>
                <w:rFonts w:hint="eastAsia"/>
                <w:color w:val="auto"/>
              </w:rPr>
              <w:t>对批复</w:t>
            </w:r>
            <w:r>
              <w:rPr>
                <w:rFonts w:hint="default"/>
                <w:color w:val="auto"/>
              </w:rPr>
              <w:t>的</w:t>
            </w:r>
            <w:r>
              <w:rPr>
                <w:rFonts w:hint="eastAsia"/>
                <w:color w:val="auto"/>
              </w:rPr>
              <w:t>桂环管字〔2002〕12号主体</w:t>
            </w:r>
            <w:r>
              <w:rPr>
                <w:rFonts w:hint="default"/>
                <w:color w:val="auto"/>
              </w:rPr>
              <w:t>工程调整</w:t>
            </w:r>
            <w:r>
              <w:rPr>
                <w:rFonts w:hint="eastAsia"/>
                <w:color w:val="auto"/>
              </w:rPr>
              <w:t>的</w:t>
            </w:r>
            <w:r>
              <w:rPr>
                <w:rFonts w:hint="default"/>
                <w:color w:val="auto"/>
              </w:rPr>
              <w:t>环评</w:t>
            </w:r>
            <w:r>
              <w:rPr>
                <w:rFonts w:hint="eastAsia"/>
                <w:color w:val="auto"/>
              </w:rPr>
              <w:t>；2</w:t>
            </w:r>
            <w:r>
              <w:rPr>
                <w:rFonts w:hint="default"/>
                <w:color w:val="auto"/>
              </w:rPr>
              <w:t>016</w:t>
            </w:r>
            <w:r>
              <w:rPr>
                <w:rFonts w:hint="eastAsia"/>
                <w:color w:val="auto"/>
              </w:rPr>
              <w:t>年，</w:t>
            </w:r>
            <w:r>
              <w:rPr>
                <w:rFonts w:hint="default"/>
                <w:color w:val="auto"/>
              </w:rPr>
              <w:t>污水装置已停运，</w:t>
            </w:r>
            <w:r>
              <w:rPr>
                <w:rFonts w:hint="eastAsia"/>
                <w:color w:val="auto"/>
              </w:rPr>
              <w:t>生活污水、罐区内初期污染雨水</w:t>
            </w:r>
            <w:r>
              <w:rPr>
                <w:rFonts w:hint="default"/>
                <w:color w:val="auto"/>
              </w:rPr>
              <w:t>、储罐油品切水、地面冲洗水</w:t>
            </w:r>
            <w:r>
              <w:rPr>
                <w:rFonts w:hint="eastAsia"/>
                <w:color w:val="auto"/>
              </w:rPr>
              <w:t>收集后，由罐车运回东油</w:t>
            </w:r>
            <w:r>
              <w:rPr>
                <w:rFonts w:hint="default"/>
                <w:color w:val="auto"/>
              </w:rPr>
              <w:t>沥青</w:t>
            </w:r>
            <w:r>
              <w:rPr>
                <w:rFonts w:hint="eastAsia"/>
                <w:color w:val="auto"/>
              </w:rPr>
              <w:t>厂区后统一通过管网输送至广西石化</w:t>
            </w:r>
            <w:r>
              <w:rPr>
                <w:rFonts w:hint="eastAsia"/>
                <w:color w:val="auto"/>
                <w:lang w:eastAsia="zh-CN"/>
              </w:rPr>
              <w:t>污水处理厂</w:t>
            </w:r>
            <w:r>
              <w:rPr>
                <w:rFonts w:hint="eastAsia"/>
                <w:color w:val="auto"/>
              </w:rPr>
              <w:t>进行处理</w:t>
            </w:r>
          </w:p>
        </w:tc>
      </w:tr>
      <w:tr w14:paraId="21E48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4" w:type="dxa"/>
          </w:tcPr>
          <w:p w14:paraId="17F09531">
            <w:pPr>
              <w:pStyle w:val="167"/>
              <w:keepNext w:val="0"/>
              <w:keepLines w:val="0"/>
              <w:numPr>
                <w:ilvl w:val="0"/>
                <w:numId w:val="13"/>
              </w:numPr>
              <w:suppressLineNumbers w:val="0"/>
              <w:spacing w:before="0" w:beforeAutospacing="0" w:after="0" w:afterAutospacing="0"/>
              <w:ind w:right="0"/>
              <w:rPr>
                <w:rFonts w:hint="default"/>
                <w:color w:val="auto"/>
              </w:rPr>
            </w:pPr>
          </w:p>
        </w:tc>
        <w:tc>
          <w:tcPr>
            <w:tcW w:w="2343" w:type="dxa"/>
          </w:tcPr>
          <w:p w14:paraId="03983220">
            <w:pPr>
              <w:pStyle w:val="167"/>
              <w:keepNext w:val="0"/>
              <w:keepLines w:val="0"/>
              <w:suppressLineNumbers w:val="0"/>
              <w:spacing w:before="0" w:beforeAutospacing="0" w:after="0" w:afterAutospacing="0"/>
              <w:ind w:right="0"/>
              <w:rPr>
                <w:rFonts w:hint="default"/>
                <w:color w:val="auto"/>
              </w:rPr>
            </w:pPr>
            <w:r>
              <w:rPr>
                <w:rFonts w:hint="eastAsia"/>
                <w:color w:val="auto"/>
              </w:rPr>
              <w:t>广西东油沥青有限公司5万吨级油气码头油库新建汽油装船油气回收系统项目环境影响报告表</w:t>
            </w:r>
          </w:p>
        </w:tc>
        <w:tc>
          <w:tcPr>
            <w:tcW w:w="2413" w:type="dxa"/>
          </w:tcPr>
          <w:p w14:paraId="00C7A762">
            <w:pPr>
              <w:pStyle w:val="167"/>
              <w:keepNext w:val="0"/>
              <w:keepLines w:val="0"/>
              <w:suppressLineNumbers w:val="0"/>
              <w:spacing w:before="0" w:beforeAutospacing="0" w:after="0" w:afterAutospacing="0"/>
              <w:ind w:right="0"/>
              <w:rPr>
                <w:rFonts w:hint="default"/>
                <w:color w:val="auto"/>
              </w:rPr>
            </w:pPr>
            <w:r>
              <w:rPr>
                <w:rFonts w:hint="eastAsia"/>
                <w:color w:val="auto"/>
              </w:rPr>
              <w:t>2019年12月9日取得钦州市生态环境局的批复，批文号：钦港环管字〔2019〕21号</w:t>
            </w:r>
          </w:p>
        </w:tc>
        <w:tc>
          <w:tcPr>
            <w:tcW w:w="1475" w:type="dxa"/>
          </w:tcPr>
          <w:p w14:paraId="066CFF18">
            <w:pPr>
              <w:pStyle w:val="167"/>
              <w:keepNext w:val="0"/>
              <w:keepLines w:val="0"/>
              <w:suppressLineNumbers w:val="0"/>
              <w:spacing w:before="0" w:beforeAutospacing="0" w:after="0" w:afterAutospacing="0"/>
              <w:ind w:right="0"/>
              <w:rPr>
                <w:rFonts w:hint="default"/>
                <w:color w:val="auto"/>
              </w:rPr>
            </w:pPr>
            <w:r>
              <w:rPr>
                <w:rFonts w:hint="eastAsia"/>
                <w:color w:val="auto"/>
              </w:rPr>
              <w:t>2021年11月15日完成</w:t>
            </w:r>
            <w:r>
              <w:rPr>
                <w:rFonts w:hint="default"/>
                <w:color w:val="auto"/>
              </w:rPr>
              <w:t>验收</w:t>
            </w:r>
          </w:p>
        </w:tc>
        <w:tc>
          <w:tcPr>
            <w:tcW w:w="5573" w:type="dxa"/>
          </w:tcPr>
          <w:p w14:paraId="1E8300CE">
            <w:pPr>
              <w:pStyle w:val="167"/>
              <w:keepNext w:val="0"/>
              <w:keepLines w:val="0"/>
              <w:suppressLineNumbers w:val="0"/>
              <w:spacing w:before="0" w:beforeAutospacing="0" w:after="0" w:afterAutospacing="0"/>
              <w:ind w:right="0"/>
              <w:rPr>
                <w:rFonts w:hint="default"/>
                <w:color w:val="auto"/>
              </w:rPr>
            </w:pPr>
            <w:r>
              <w:rPr>
                <w:rFonts w:hint="eastAsia"/>
                <w:color w:val="auto"/>
              </w:rPr>
              <w:t>在汽油罐组南侧空地上新建800m</w:t>
            </w:r>
            <w:r>
              <w:rPr>
                <w:rFonts w:hint="eastAsia"/>
                <w:color w:val="auto"/>
                <w:vertAlign w:val="superscript"/>
              </w:rPr>
              <w:t>3</w:t>
            </w:r>
            <w:r>
              <w:rPr>
                <w:rFonts w:hint="eastAsia"/>
                <w:color w:val="auto"/>
              </w:rPr>
              <w:t>/h装船油气回收系统的冷凝、吸附模块，</w:t>
            </w:r>
            <w:r>
              <w:rPr>
                <w:rFonts w:hint="default"/>
                <w:color w:val="auto"/>
              </w:rPr>
              <w:t>并设置围堰</w:t>
            </w:r>
            <w:r>
              <w:rPr>
                <w:rFonts w:hint="eastAsia"/>
                <w:color w:val="auto"/>
              </w:rPr>
              <w:t>等</w:t>
            </w:r>
            <w:r>
              <w:rPr>
                <w:rFonts w:hint="default"/>
                <w:color w:val="auto"/>
              </w:rPr>
              <w:t>配套设施。</w:t>
            </w:r>
          </w:p>
        </w:tc>
        <w:tc>
          <w:tcPr>
            <w:tcW w:w="1580" w:type="dxa"/>
          </w:tcPr>
          <w:p w14:paraId="22C2AFF1">
            <w:pPr>
              <w:pStyle w:val="167"/>
              <w:keepNext w:val="0"/>
              <w:keepLines w:val="0"/>
              <w:suppressLineNumbers w:val="0"/>
              <w:spacing w:before="0" w:beforeAutospacing="0" w:after="0" w:afterAutospacing="0"/>
              <w:ind w:right="0"/>
              <w:rPr>
                <w:rFonts w:hint="default"/>
                <w:color w:val="auto"/>
              </w:rPr>
            </w:pPr>
            <w:r>
              <w:rPr>
                <w:rFonts w:hint="eastAsia"/>
                <w:color w:val="auto"/>
              </w:rPr>
              <w:t>/</w:t>
            </w:r>
          </w:p>
        </w:tc>
      </w:tr>
      <w:tr w14:paraId="24872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4" w:type="dxa"/>
          </w:tcPr>
          <w:p w14:paraId="573224D9">
            <w:pPr>
              <w:pStyle w:val="167"/>
              <w:keepNext w:val="0"/>
              <w:keepLines w:val="0"/>
              <w:numPr>
                <w:ilvl w:val="0"/>
                <w:numId w:val="13"/>
              </w:numPr>
              <w:suppressLineNumbers w:val="0"/>
              <w:spacing w:before="0" w:beforeAutospacing="0" w:after="0" w:afterAutospacing="0"/>
              <w:ind w:right="0"/>
              <w:rPr>
                <w:rFonts w:hint="default"/>
                <w:color w:val="auto"/>
              </w:rPr>
            </w:pPr>
          </w:p>
        </w:tc>
        <w:tc>
          <w:tcPr>
            <w:tcW w:w="2343" w:type="dxa"/>
          </w:tcPr>
          <w:p w14:paraId="39BC867E">
            <w:pPr>
              <w:pStyle w:val="167"/>
              <w:keepNext w:val="0"/>
              <w:keepLines w:val="0"/>
              <w:suppressLineNumbers w:val="0"/>
              <w:spacing w:before="0" w:beforeAutospacing="0" w:after="0" w:afterAutospacing="0"/>
              <w:ind w:right="0"/>
              <w:rPr>
                <w:rFonts w:hint="default"/>
                <w:color w:val="auto"/>
              </w:rPr>
            </w:pPr>
            <w:r>
              <w:rPr>
                <w:rFonts w:hint="eastAsia"/>
                <w:color w:val="auto"/>
              </w:rPr>
              <w:t>广西东油沥青有限公司5万吨级油气码头油库甲醇储存、装车系统改造项目环境影响报告表</w:t>
            </w:r>
          </w:p>
        </w:tc>
        <w:tc>
          <w:tcPr>
            <w:tcW w:w="2413" w:type="dxa"/>
          </w:tcPr>
          <w:p w14:paraId="10804FEA">
            <w:pPr>
              <w:pStyle w:val="167"/>
              <w:keepNext w:val="0"/>
              <w:keepLines w:val="0"/>
              <w:suppressLineNumbers w:val="0"/>
              <w:spacing w:before="0" w:beforeAutospacing="0" w:after="0" w:afterAutospacing="0"/>
              <w:ind w:right="0"/>
              <w:rPr>
                <w:rFonts w:hint="default"/>
                <w:color w:val="auto"/>
              </w:rPr>
            </w:pPr>
            <w:r>
              <w:rPr>
                <w:rFonts w:hint="eastAsia"/>
                <w:color w:val="auto"/>
              </w:rPr>
              <w:t>2019年12月9日取得钦州市生态环境局的批复，批文号：钦港环管字〔2019〕22号</w:t>
            </w:r>
          </w:p>
        </w:tc>
        <w:tc>
          <w:tcPr>
            <w:tcW w:w="1475" w:type="dxa"/>
          </w:tcPr>
          <w:p w14:paraId="25868A11">
            <w:pPr>
              <w:pStyle w:val="167"/>
              <w:keepNext w:val="0"/>
              <w:keepLines w:val="0"/>
              <w:suppressLineNumbers w:val="0"/>
              <w:spacing w:before="0" w:beforeAutospacing="0" w:after="0" w:afterAutospacing="0"/>
              <w:ind w:right="0"/>
              <w:rPr>
                <w:rFonts w:hint="default"/>
                <w:color w:val="auto"/>
              </w:rPr>
            </w:pPr>
            <w:r>
              <w:rPr>
                <w:rFonts w:hint="eastAsia"/>
                <w:color w:val="auto"/>
              </w:rPr>
              <w:t>2021年11月15日完成</w:t>
            </w:r>
            <w:r>
              <w:rPr>
                <w:rFonts w:hint="default"/>
                <w:color w:val="auto"/>
              </w:rPr>
              <w:t>验收</w:t>
            </w:r>
          </w:p>
        </w:tc>
        <w:tc>
          <w:tcPr>
            <w:tcW w:w="5573" w:type="dxa"/>
          </w:tcPr>
          <w:p w14:paraId="356B81A6">
            <w:pPr>
              <w:pStyle w:val="167"/>
              <w:keepNext w:val="0"/>
              <w:keepLines w:val="0"/>
              <w:numPr>
                <w:ilvl w:val="0"/>
                <w:numId w:val="14"/>
              </w:numPr>
              <w:suppressLineNumbers w:val="0"/>
              <w:spacing w:before="0" w:beforeAutospacing="0" w:after="0" w:afterAutospacing="0"/>
              <w:ind w:left="0" w:right="0" w:firstLine="0"/>
              <w:jc w:val="both"/>
              <w:rPr>
                <w:rFonts w:hint="default"/>
                <w:color w:val="auto"/>
              </w:rPr>
            </w:pPr>
            <w:r>
              <w:rPr>
                <w:rFonts w:hint="eastAsia"/>
                <w:color w:val="auto"/>
              </w:rPr>
              <w:t>新增1套600m</w:t>
            </w:r>
            <w:r>
              <w:rPr>
                <w:rFonts w:hint="eastAsia"/>
                <w:color w:val="auto"/>
                <w:vertAlign w:val="superscript"/>
              </w:rPr>
              <w:t>3</w:t>
            </w:r>
            <w:r>
              <w:rPr>
                <w:rFonts w:hint="eastAsia"/>
                <w:color w:val="auto"/>
              </w:rPr>
              <w:t>/h的制氮系统；</w:t>
            </w:r>
          </w:p>
          <w:p w14:paraId="78597E1D">
            <w:pPr>
              <w:pStyle w:val="167"/>
              <w:keepNext w:val="0"/>
              <w:keepLines w:val="0"/>
              <w:numPr>
                <w:ilvl w:val="0"/>
                <w:numId w:val="14"/>
              </w:numPr>
              <w:suppressLineNumbers w:val="0"/>
              <w:spacing w:before="0" w:beforeAutospacing="0" w:after="0" w:afterAutospacing="0"/>
              <w:ind w:left="0" w:right="0" w:firstLine="0"/>
              <w:jc w:val="both"/>
              <w:rPr>
                <w:rFonts w:hint="default"/>
                <w:color w:val="auto"/>
              </w:rPr>
            </w:pPr>
            <w:r>
              <w:rPr>
                <w:rFonts w:hint="eastAsia"/>
                <w:color w:val="auto"/>
              </w:rPr>
              <w:t>混合罐组中V501、V503、V505三座汽油储罐改造为甲醇储罐；</w:t>
            </w:r>
          </w:p>
          <w:p w14:paraId="1C482350">
            <w:pPr>
              <w:pStyle w:val="167"/>
              <w:keepNext w:val="0"/>
              <w:keepLines w:val="0"/>
              <w:numPr>
                <w:ilvl w:val="0"/>
                <w:numId w:val="14"/>
              </w:numPr>
              <w:suppressLineNumbers w:val="0"/>
              <w:spacing w:before="0" w:beforeAutospacing="0" w:after="0" w:afterAutospacing="0"/>
              <w:ind w:left="0" w:right="0" w:firstLine="0"/>
              <w:jc w:val="both"/>
              <w:rPr>
                <w:rFonts w:hint="default"/>
                <w:color w:val="auto"/>
              </w:rPr>
            </w:pPr>
            <w:r>
              <w:rPr>
                <w:rFonts w:hint="eastAsia"/>
                <w:color w:val="auto"/>
              </w:rPr>
              <w:t>混合罐组中V501、V503、V505、V506四座甲醇储罐新增氮封系统；</w:t>
            </w:r>
          </w:p>
          <w:p w14:paraId="167F6272">
            <w:pPr>
              <w:pStyle w:val="167"/>
              <w:keepNext w:val="0"/>
              <w:keepLines w:val="0"/>
              <w:numPr>
                <w:ilvl w:val="0"/>
                <w:numId w:val="14"/>
              </w:numPr>
              <w:suppressLineNumbers w:val="0"/>
              <w:spacing w:before="0" w:beforeAutospacing="0" w:after="0" w:afterAutospacing="0"/>
              <w:ind w:left="0" w:right="0" w:firstLine="0"/>
              <w:jc w:val="both"/>
              <w:rPr>
                <w:rFonts w:hint="default"/>
                <w:color w:val="auto"/>
              </w:rPr>
            </w:pPr>
            <w:r>
              <w:rPr>
                <w:rFonts w:hint="eastAsia"/>
                <w:color w:val="auto"/>
              </w:rPr>
              <w:t>混合罐组中V501、V503、V505、V506四座甲醇储罐消防泡沫系统改造；</w:t>
            </w:r>
          </w:p>
          <w:p w14:paraId="2FF0739A">
            <w:pPr>
              <w:pStyle w:val="167"/>
              <w:keepNext w:val="0"/>
              <w:keepLines w:val="0"/>
              <w:numPr>
                <w:ilvl w:val="0"/>
                <w:numId w:val="14"/>
              </w:numPr>
              <w:suppressLineNumbers w:val="0"/>
              <w:spacing w:before="0" w:beforeAutospacing="0" w:after="0" w:afterAutospacing="0"/>
              <w:ind w:left="0" w:right="0" w:firstLine="0"/>
              <w:jc w:val="both"/>
              <w:rPr>
                <w:rFonts w:hint="default"/>
                <w:color w:val="auto"/>
              </w:rPr>
            </w:pPr>
            <w:r>
              <w:rPr>
                <w:rFonts w:hint="eastAsia"/>
                <w:color w:val="auto"/>
              </w:rPr>
              <w:t>将原重油装车位改为甲醇装车位，新增2套甲醇装车鹤管；</w:t>
            </w:r>
          </w:p>
          <w:p w14:paraId="368F99A9">
            <w:pPr>
              <w:pStyle w:val="167"/>
              <w:keepNext w:val="0"/>
              <w:keepLines w:val="0"/>
              <w:numPr>
                <w:ilvl w:val="0"/>
                <w:numId w:val="14"/>
              </w:numPr>
              <w:suppressLineNumbers w:val="0"/>
              <w:spacing w:before="0" w:beforeAutospacing="0" w:after="0" w:afterAutospacing="0"/>
              <w:ind w:left="0" w:right="0" w:firstLine="0"/>
              <w:jc w:val="both"/>
              <w:rPr>
                <w:rFonts w:hint="default"/>
                <w:color w:val="auto"/>
              </w:rPr>
            </w:pPr>
            <w:r>
              <w:rPr>
                <w:rFonts w:hint="eastAsia"/>
                <w:color w:val="auto"/>
              </w:rPr>
              <w:t>新增1套300m3/h的甲醇装车油气回收装置；</w:t>
            </w:r>
          </w:p>
        </w:tc>
        <w:tc>
          <w:tcPr>
            <w:tcW w:w="1580" w:type="dxa"/>
          </w:tcPr>
          <w:p w14:paraId="3E06C382">
            <w:pPr>
              <w:pStyle w:val="167"/>
              <w:keepNext w:val="0"/>
              <w:keepLines w:val="0"/>
              <w:suppressLineNumbers w:val="0"/>
              <w:spacing w:before="0" w:beforeAutospacing="0" w:after="0" w:afterAutospacing="0"/>
              <w:ind w:right="0"/>
              <w:rPr>
                <w:rFonts w:hint="default"/>
                <w:color w:val="auto"/>
              </w:rPr>
            </w:pPr>
            <w:r>
              <w:rPr>
                <w:rFonts w:hint="eastAsia"/>
                <w:color w:val="auto"/>
              </w:rPr>
              <w:t>/</w:t>
            </w:r>
          </w:p>
        </w:tc>
      </w:tr>
      <w:tr w14:paraId="05686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4" w:type="dxa"/>
          </w:tcPr>
          <w:p w14:paraId="6FFA621F">
            <w:pPr>
              <w:pStyle w:val="167"/>
              <w:keepNext w:val="0"/>
              <w:keepLines w:val="0"/>
              <w:numPr>
                <w:ilvl w:val="0"/>
                <w:numId w:val="13"/>
              </w:numPr>
              <w:suppressLineNumbers w:val="0"/>
              <w:spacing w:before="0" w:beforeAutospacing="0" w:after="0" w:afterAutospacing="0"/>
              <w:ind w:right="0"/>
              <w:rPr>
                <w:rFonts w:hint="default"/>
                <w:color w:val="auto"/>
              </w:rPr>
            </w:pPr>
          </w:p>
        </w:tc>
        <w:tc>
          <w:tcPr>
            <w:tcW w:w="2343" w:type="dxa"/>
          </w:tcPr>
          <w:p w14:paraId="73933A37">
            <w:pPr>
              <w:pStyle w:val="167"/>
              <w:keepNext w:val="0"/>
              <w:keepLines w:val="0"/>
              <w:suppressLineNumbers w:val="0"/>
              <w:spacing w:before="0" w:beforeAutospacing="0" w:after="0" w:afterAutospacing="0"/>
              <w:ind w:right="0"/>
              <w:rPr>
                <w:rFonts w:hint="default"/>
                <w:color w:val="auto"/>
              </w:rPr>
            </w:pPr>
            <w:r>
              <w:rPr>
                <w:rFonts w:hint="eastAsia"/>
                <w:color w:val="auto"/>
              </w:rPr>
              <w:t>海域使用权证书</w:t>
            </w:r>
          </w:p>
        </w:tc>
        <w:tc>
          <w:tcPr>
            <w:tcW w:w="2413" w:type="dxa"/>
          </w:tcPr>
          <w:p w14:paraId="722D5307">
            <w:pPr>
              <w:pStyle w:val="167"/>
              <w:keepNext w:val="0"/>
              <w:keepLines w:val="0"/>
              <w:suppressLineNumbers w:val="0"/>
              <w:spacing w:before="0" w:beforeAutospacing="0" w:after="0" w:afterAutospacing="0"/>
              <w:ind w:right="0"/>
              <w:rPr>
                <w:rFonts w:hint="default"/>
                <w:color w:val="auto"/>
              </w:rPr>
            </w:pPr>
            <w:r>
              <w:rPr>
                <w:rFonts w:hint="eastAsia"/>
                <w:color w:val="auto"/>
              </w:rPr>
              <w:t>2006年1月24日</w:t>
            </w:r>
          </w:p>
        </w:tc>
        <w:tc>
          <w:tcPr>
            <w:tcW w:w="1475" w:type="dxa"/>
          </w:tcPr>
          <w:p w14:paraId="4FD727E8">
            <w:pPr>
              <w:pStyle w:val="167"/>
              <w:keepNext w:val="0"/>
              <w:keepLines w:val="0"/>
              <w:suppressLineNumbers w:val="0"/>
              <w:spacing w:before="0" w:beforeAutospacing="0" w:after="0" w:afterAutospacing="0"/>
              <w:ind w:right="0"/>
              <w:rPr>
                <w:rFonts w:hint="default"/>
                <w:color w:val="auto"/>
              </w:rPr>
            </w:pPr>
            <w:r>
              <w:rPr>
                <w:rFonts w:hint="eastAsia"/>
                <w:color w:val="auto"/>
              </w:rPr>
              <w:t>/</w:t>
            </w:r>
          </w:p>
        </w:tc>
        <w:tc>
          <w:tcPr>
            <w:tcW w:w="5573" w:type="dxa"/>
          </w:tcPr>
          <w:p w14:paraId="0C22CC92">
            <w:pPr>
              <w:pStyle w:val="167"/>
              <w:keepNext w:val="0"/>
              <w:keepLines w:val="0"/>
              <w:suppressLineNumbers w:val="0"/>
              <w:spacing w:before="0" w:beforeAutospacing="0" w:after="0" w:afterAutospacing="0"/>
              <w:ind w:right="0"/>
              <w:rPr>
                <w:rFonts w:hint="default"/>
                <w:color w:val="auto"/>
              </w:rPr>
            </w:pPr>
            <w:r>
              <w:rPr>
                <w:rFonts w:hint="eastAsia"/>
                <w:color w:val="auto"/>
              </w:rPr>
              <w:t>/</w:t>
            </w:r>
          </w:p>
        </w:tc>
        <w:tc>
          <w:tcPr>
            <w:tcW w:w="1580" w:type="dxa"/>
          </w:tcPr>
          <w:p w14:paraId="2E0EB5FC">
            <w:pPr>
              <w:pStyle w:val="167"/>
              <w:keepNext w:val="0"/>
              <w:keepLines w:val="0"/>
              <w:suppressLineNumbers w:val="0"/>
              <w:spacing w:before="0" w:beforeAutospacing="0" w:after="0" w:afterAutospacing="0"/>
              <w:ind w:right="0"/>
              <w:rPr>
                <w:rFonts w:hint="default"/>
                <w:color w:val="auto"/>
              </w:rPr>
            </w:pPr>
            <w:r>
              <w:rPr>
                <w:rFonts w:hint="eastAsia"/>
                <w:color w:val="auto"/>
              </w:rPr>
              <w:t>/</w:t>
            </w:r>
          </w:p>
        </w:tc>
      </w:tr>
      <w:tr w14:paraId="169E6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4" w:type="dxa"/>
          </w:tcPr>
          <w:p w14:paraId="103ECA89">
            <w:pPr>
              <w:pStyle w:val="167"/>
              <w:keepNext w:val="0"/>
              <w:keepLines w:val="0"/>
              <w:numPr>
                <w:ilvl w:val="0"/>
                <w:numId w:val="13"/>
              </w:numPr>
              <w:suppressLineNumbers w:val="0"/>
              <w:spacing w:before="0" w:beforeAutospacing="0" w:after="0" w:afterAutospacing="0"/>
              <w:ind w:right="0"/>
              <w:rPr>
                <w:rFonts w:hint="default"/>
                <w:color w:val="auto"/>
              </w:rPr>
            </w:pPr>
          </w:p>
        </w:tc>
        <w:tc>
          <w:tcPr>
            <w:tcW w:w="2343" w:type="dxa"/>
          </w:tcPr>
          <w:p w14:paraId="53ECACFB">
            <w:pPr>
              <w:pStyle w:val="167"/>
              <w:keepNext w:val="0"/>
              <w:keepLines w:val="0"/>
              <w:suppressLineNumbers w:val="0"/>
              <w:spacing w:before="0" w:beforeAutospacing="0" w:after="0" w:afterAutospacing="0"/>
              <w:ind w:right="0"/>
              <w:rPr>
                <w:rFonts w:hint="default"/>
                <w:color w:val="auto"/>
              </w:rPr>
            </w:pPr>
            <w:r>
              <w:rPr>
                <w:rFonts w:hint="eastAsia"/>
                <w:color w:val="auto"/>
              </w:rPr>
              <w:t>《港口经营许可证》</w:t>
            </w:r>
          </w:p>
        </w:tc>
        <w:tc>
          <w:tcPr>
            <w:tcW w:w="2413" w:type="dxa"/>
          </w:tcPr>
          <w:p w14:paraId="39B4F067">
            <w:pPr>
              <w:pStyle w:val="167"/>
              <w:keepNext w:val="0"/>
              <w:keepLines w:val="0"/>
              <w:suppressLineNumbers w:val="0"/>
              <w:spacing w:before="0" w:beforeAutospacing="0" w:after="0" w:afterAutospacing="0"/>
              <w:ind w:right="0"/>
              <w:rPr>
                <w:rFonts w:hint="default"/>
                <w:color w:val="auto"/>
              </w:rPr>
            </w:pPr>
            <w:r>
              <w:rPr>
                <w:rFonts w:hint="eastAsia"/>
                <w:color w:val="auto"/>
              </w:rPr>
              <w:t>（桂）港经证（0170）号</w:t>
            </w:r>
          </w:p>
        </w:tc>
        <w:tc>
          <w:tcPr>
            <w:tcW w:w="1475" w:type="dxa"/>
          </w:tcPr>
          <w:p w14:paraId="6D776360">
            <w:pPr>
              <w:pStyle w:val="167"/>
              <w:keepNext w:val="0"/>
              <w:keepLines w:val="0"/>
              <w:suppressLineNumbers w:val="0"/>
              <w:spacing w:before="0" w:beforeAutospacing="0" w:after="0" w:afterAutospacing="0"/>
              <w:ind w:right="0"/>
              <w:rPr>
                <w:rFonts w:hint="default"/>
                <w:color w:val="auto"/>
              </w:rPr>
            </w:pPr>
            <w:r>
              <w:rPr>
                <w:rFonts w:hint="eastAsia"/>
                <w:color w:val="auto"/>
              </w:rPr>
              <w:t>/</w:t>
            </w:r>
          </w:p>
        </w:tc>
        <w:tc>
          <w:tcPr>
            <w:tcW w:w="5573" w:type="dxa"/>
          </w:tcPr>
          <w:p w14:paraId="182C506A">
            <w:pPr>
              <w:pStyle w:val="167"/>
              <w:keepNext w:val="0"/>
              <w:keepLines w:val="0"/>
              <w:suppressLineNumbers w:val="0"/>
              <w:spacing w:before="0" w:beforeAutospacing="0" w:after="0" w:afterAutospacing="0"/>
              <w:ind w:right="0"/>
              <w:rPr>
                <w:rFonts w:hint="default"/>
                <w:color w:val="auto"/>
              </w:rPr>
            </w:pPr>
            <w:r>
              <w:rPr>
                <w:rFonts w:hint="eastAsia"/>
                <w:color w:val="auto"/>
              </w:rPr>
              <w:t>/</w:t>
            </w:r>
          </w:p>
        </w:tc>
        <w:tc>
          <w:tcPr>
            <w:tcW w:w="1580" w:type="dxa"/>
          </w:tcPr>
          <w:p w14:paraId="7715B3C4">
            <w:pPr>
              <w:pStyle w:val="167"/>
              <w:keepNext w:val="0"/>
              <w:keepLines w:val="0"/>
              <w:suppressLineNumbers w:val="0"/>
              <w:spacing w:before="0" w:beforeAutospacing="0" w:after="0" w:afterAutospacing="0"/>
              <w:ind w:right="0"/>
              <w:rPr>
                <w:rFonts w:hint="default"/>
                <w:color w:val="auto"/>
              </w:rPr>
            </w:pPr>
            <w:r>
              <w:rPr>
                <w:rFonts w:hint="default"/>
                <w:color w:val="auto"/>
              </w:rPr>
              <w:t>最新</w:t>
            </w:r>
            <w:r>
              <w:rPr>
                <w:rFonts w:hint="eastAsia"/>
                <w:color w:val="auto"/>
              </w:rPr>
              <w:t>2025年10月1日</w:t>
            </w:r>
            <w:r>
              <w:rPr>
                <w:rFonts w:hint="default"/>
                <w:color w:val="auto"/>
              </w:rPr>
              <w:t>获得</w:t>
            </w:r>
          </w:p>
        </w:tc>
      </w:tr>
      <w:tr w14:paraId="483F7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4" w:type="dxa"/>
          </w:tcPr>
          <w:p w14:paraId="56FF07C4">
            <w:pPr>
              <w:pStyle w:val="167"/>
              <w:keepNext w:val="0"/>
              <w:keepLines w:val="0"/>
              <w:numPr>
                <w:ilvl w:val="0"/>
                <w:numId w:val="13"/>
              </w:numPr>
              <w:suppressLineNumbers w:val="0"/>
              <w:spacing w:before="0" w:beforeAutospacing="0" w:after="0" w:afterAutospacing="0"/>
              <w:ind w:right="0"/>
              <w:rPr>
                <w:rFonts w:hint="default"/>
                <w:color w:val="auto"/>
              </w:rPr>
            </w:pPr>
          </w:p>
        </w:tc>
        <w:tc>
          <w:tcPr>
            <w:tcW w:w="2343" w:type="dxa"/>
          </w:tcPr>
          <w:p w14:paraId="10D9BE93">
            <w:pPr>
              <w:pStyle w:val="167"/>
              <w:keepNext w:val="0"/>
              <w:keepLines w:val="0"/>
              <w:suppressLineNumbers w:val="0"/>
              <w:spacing w:before="0" w:beforeAutospacing="0" w:after="0" w:afterAutospacing="0"/>
              <w:ind w:right="0"/>
              <w:rPr>
                <w:rFonts w:hint="default"/>
                <w:color w:val="auto"/>
              </w:rPr>
            </w:pPr>
            <w:r>
              <w:rPr>
                <w:rFonts w:hint="eastAsia"/>
                <w:color w:val="auto"/>
              </w:rPr>
              <w:t>《港口危险货物作业附证》</w:t>
            </w:r>
          </w:p>
        </w:tc>
        <w:tc>
          <w:tcPr>
            <w:tcW w:w="2413" w:type="dxa"/>
          </w:tcPr>
          <w:p w14:paraId="0C70D51D">
            <w:pPr>
              <w:pStyle w:val="167"/>
              <w:keepNext w:val="0"/>
              <w:keepLines w:val="0"/>
              <w:suppressLineNumbers w:val="0"/>
              <w:spacing w:before="0" w:beforeAutospacing="0" w:after="0" w:afterAutospacing="0"/>
              <w:ind w:right="0"/>
              <w:rPr>
                <w:rFonts w:hint="default"/>
                <w:color w:val="auto"/>
              </w:rPr>
            </w:pPr>
            <w:r>
              <w:rPr>
                <w:rFonts w:hint="eastAsia"/>
                <w:color w:val="auto"/>
              </w:rPr>
              <w:t>（桂）港经证（0170）号-M001</w:t>
            </w:r>
          </w:p>
        </w:tc>
        <w:tc>
          <w:tcPr>
            <w:tcW w:w="1475" w:type="dxa"/>
          </w:tcPr>
          <w:p w14:paraId="5FAC667E">
            <w:pPr>
              <w:pStyle w:val="167"/>
              <w:keepNext w:val="0"/>
              <w:keepLines w:val="0"/>
              <w:suppressLineNumbers w:val="0"/>
              <w:spacing w:before="0" w:beforeAutospacing="0" w:after="0" w:afterAutospacing="0"/>
              <w:ind w:right="0"/>
              <w:rPr>
                <w:rFonts w:hint="default"/>
                <w:color w:val="auto"/>
              </w:rPr>
            </w:pPr>
            <w:r>
              <w:rPr>
                <w:rFonts w:hint="eastAsia"/>
                <w:color w:val="auto"/>
              </w:rPr>
              <w:t>/</w:t>
            </w:r>
          </w:p>
        </w:tc>
        <w:tc>
          <w:tcPr>
            <w:tcW w:w="5573" w:type="dxa"/>
          </w:tcPr>
          <w:p w14:paraId="73E4C903">
            <w:pPr>
              <w:pStyle w:val="167"/>
              <w:keepNext w:val="0"/>
              <w:keepLines w:val="0"/>
              <w:suppressLineNumbers w:val="0"/>
              <w:spacing w:before="0" w:beforeAutospacing="0" w:after="0" w:afterAutospacing="0"/>
              <w:ind w:right="0"/>
              <w:rPr>
                <w:rFonts w:hint="default"/>
                <w:color w:val="auto"/>
              </w:rPr>
            </w:pPr>
            <w:r>
              <w:rPr>
                <w:rFonts w:hint="eastAsia"/>
                <w:color w:val="auto"/>
              </w:rPr>
              <w:t>原油、汽油、柴油、重油、甲醇、石油沥青、燃料油、航煤、白油</w:t>
            </w:r>
          </w:p>
        </w:tc>
        <w:tc>
          <w:tcPr>
            <w:tcW w:w="1580" w:type="dxa"/>
          </w:tcPr>
          <w:p w14:paraId="2B005EBE">
            <w:pPr>
              <w:pStyle w:val="167"/>
              <w:keepNext w:val="0"/>
              <w:keepLines w:val="0"/>
              <w:suppressLineNumbers w:val="0"/>
              <w:spacing w:before="0" w:beforeAutospacing="0" w:after="0" w:afterAutospacing="0"/>
              <w:ind w:right="0"/>
              <w:rPr>
                <w:rFonts w:hint="default"/>
                <w:color w:val="auto"/>
              </w:rPr>
            </w:pPr>
            <w:r>
              <w:rPr>
                <w:rFonts w:hint="default"/>
                <w:color w:val="auto"/>
              </w:rPr>
              <w:t>最新</w:t>
            </w:r>
            <w:r>
              <w:rPr>
                <w:rFonts w:hint="eastAsia"/>
                <w:color w:val="auto"/>
              </w:rPr>
              <w:t>2025年10月1日</w:t>
            </w:r>
            <w:r>
              <w:rPr>
                <w:rFonts w:hint="default"/>
                <w:color w:val="auto"/>
              </w:rPr>
              <w:t>获得</w:t>
            </w:r>
          </w:p>
        </w:tc>
      </w:tr>
      <w:tr w14:paraId="684FB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4" w:type="dxa"/>
          </w:tcPr>
          <w:p w14:paraId="453211C9">
            <w:pPr>
              <w:pStyle w:val="167"/>
              <w:keepNext w:val="0"/>
              <w:keepLines w:val="0"/>
              <w:numPr>
                <w:ilvl w:val="0"/>
                <w:numId w:val="13"/>
              </w:numPr>
              <w:suppressLineNumbers w:val="0"/>
              <w:spacing w:before="0" w:beforeAutospacing="0" w:after="0" w:afterAutospacing="0"/>
              <w:ind w:right="0"/>
              <w:rPr>
                <w:rFonts w:hint="default"/>
                <w:color w:val="auto"/>
              </w:rPr>
            </w:pPr>
          </w:p>
        </w:tc>
        <w:tc>
          <w:tcPr>
            <w:tcW w:w="2343" w:type="dxa"/>
          </w:tcPr>
          <w:p w14:paraId="2CE12BB4">
            <w:pPr>
              <w:pStyle w:val="167"/>
              <w:keepNext w:val="0"/>
              <w:keepLines w:val="0"/>
              <w:suppressLineNumbers w:val="0"/>
              <w:spacing w:before="0" w:beforeAutospacing="0" w:after="0" w:afterAutospacing="0"/>
              <w:ind w:right="0"/>
              <w:rPr>
                <w:rFonts w:hint="default"/>
                <w:color w:val="auto"/>
              </w:rPr>
            </w:pPr>
            <w:r>
              <w:rPr>
                <w:rFonts w:hint="eastAsia"/>
                <w:color w:val="auto"/>
              </w:rPr>
              <w:t>排污</w:t>
            </w:r>
            <w:r>
              <w:rPr>
                <w:rFonts w:hint="default"/>
                <w:color w:val="auto"/>
              </w:rPr>
              <w:t>许可证</w:t>
            </w:r>
          </w:p>
        </w:tc>
        <w:tc>
          <w:tcPr>
            <w:tcW w:w="2413" w:type="dxa"/>
          </w:tcPr>
          <w:p w14:paraId="55567081">
            <w:pPr>
              <w:pStyle w:val="167"/>
              <w:keepNext w:val="0"/>
              <w:keepLines w:val="0"/>
              <w:suppressLineNumbers w:val="0"/>
              <w:spacing w:before="0" w:beforeAutospacing="0" w:after="0" w:afterAutospacing="0"/>
              <w:ind w:right="0"/>
              <w:rPr>
                <w:rFonts w:hint="default"/>
                <w:color w:val="auto"/>
              </w:rPr>
            </w:pPr>
            <w:r>
              <w:rPr>
                <w:rFonts w:hint="eastAsia"/>
                <w:color w:val="auto"/>
              </w:rPr>
              <w:t>证书</w:t>
            </w:r>
            <w:r>
              <w:rPr>
                <w:rFonts w:hint="default"/>
                <w:color w:val="auto"/>
              </w:rPr>
              <w:t>编号：91450700739966997P001R</w:t>
            </w:r>
          </w:p>
        </w:tc>
        <w:tc>
          <w:tcPr>
            <w:tcW w:w="1475" w:type="dxa"/>
          </w:tcPr>
          <w:p w14:paraId="7026F614">
            <w:pPr>
              <w:pStyle w:val="167"/>
              <w:keepNext w:val="0"/>
              <w:keepLines w:val="0"/>
              <w:suppressLineNumbers w:val="0"/>
              <w:spacing w:before="0" w:beforeAutospacing="0" w:after="0" w:afterAutospacing="0"/>
              <w:ind w:right="0"/>
              <w:rPr>
                <w:rFonts w:hint="default"/>
                <w:color w:val="auto"/>
              </w:rPr>
            </w:pPr>
            <w:r>
              <w:rPr>
                <w:rFonts w:hint="eastAsia"/>
                <w:color w:val="auto"/>
              </w:rPr>
              <w:t>/</w:t>
            </w:r>
          </w:p>
        </w:tc>
        <w:tc>
          <w:tcPr>
            <w:tcW w:w="5573" w:type="dxa"/>
          </w:tcPr>
          <w:p w14:paraId="21BB48B7">
            <w:pPr>
              <w:pStyle w:val="167"/>
              <w:keepNext w:val="0"/>
              <w:keepLines w:val="0"/>
              <w:suppressLineNumbers w:val="0"/>
              <w:spacing w:before="0" w:beforeAutospacing="0" w:after="0" w:afterAutospacing="0"/>
              <w:ind w:right="0"/>
              <w:rPr>
                <w:rFonts w:hint="default"/>
                <w:color w:val="auto"/>
              </w:rPr>
            </w:pPr>
            <w:r>
              <w:rPr>
                <w:rFonts w:hint="eastAsia"/>
                <w:color w:val="auto"/>
              </w:rPr>
              <w:t>/</w:t>
            </w:r>
          </w:p>
        </w:tc>
        <w:tc>
          <w:tcPr>
            <w:tcW w:w="1580" w:type="dxa"/>
          </w:tcPr>
          <w:p w14:paraId="28E15A3E">
            <w:pPr>
              <w:pStyle w:val="167"/>
              <w:keepNext w:val="0"/>
              <w:keepLines w:val="0"/>
              <w:suppressLineNumbers w:val="0"/>
              <w:spacing w:before="0" w:beforeAutospacing="0" w:after="0" w:afterAutospacing="0"/>
              <w:ind w:right="0"/>
              <w:rPr>
                <w:rFonts w:hint="default"/>
                <w:color w:val="auto"/>
              </w:rPr>
            </w:pPr>
            <w:r>
              <w:rPr>
                <w:rFonts w:hint="eastAsia"/>
                <w:color w:val="auto"/>
              </w:rPr>
              <w:t>2025年10月28日续证</w:t>
            </w:r>
          </w:p>
        </w:tc>
      </w:tr>
      <w:tr w14:paraId="2027C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4" w:type="dxa"/>
          </w:tcPr>
          <w:p w14:paraId="54BDDA8F">
            <w:pPr>
              <w:pStyle w:val="167"/>
              <w:keepNext w:val="0"/>
              <w:keepLines w:val="0"/>
              <w:numPr>
                <w:ilvl w:val="0"/>
                <w:numId w:val="13"/>
              </w:numPr>
              <w:suppressLineNumbers w:val="0"/>
              <w:spacing w:before="0" w:beforeAutospacing="0" w:after="0" w:afterAutospacing="0"/>
              <w:ind w:right="0"/>
              <w:rPr>
                <w:rFonts w:hint="default"/>
                <w:color w:val="auto"/>
              </w:rPr>
            </w:pPr>
          </w:p>
        </w:tc>
        <w:tc>
          <w:tcPr>
            <w:tcW w:w="2343" w:type="dxa"/>
          </w:tcPr>
          <w:p w14:paraId="12767CDD">
            <w:pPr>
              <w:pStyle w:val="167"/>
              <w:keepNext w:val="0"/>
              <w:keepLines w:val="0"/>
              <w:suppressLineNumbers w:val="0"/>
              <w:spacing w:before="0" w:beforeAutospacing="0" w:after="0" w:afterAutospacing="0"/>
              <w:ind w:right="0"/>
              <w:rPr>
                <w:rFonts w:hint="default"/>
                <w:color w:val="auto"/>
              </w:rPr>
            </w:pPr>
            <w:r>
              <w:rPr>
                <w:rFonts w:hint="eastAsia"/>
                <w:color w:val="auto"/>
              </w:rPr>
              <w:t>广西东油沥青</w:t>
            </w:r>
            <w:r>
              <w:rPr>
                <w:rFonts w:hint="default"/>
                <w:color w:val="auto"/>
              </w:rPr>
              <w:t>有限公司突发环境事件应急预案</w:t>
            </w:r>
          </w:p>
        </w:tc>
        <w:tc>
          <w:tcPr>
            <w:tcW w:w="2413" w:type="dxa"/>
          </w:tcPr>
          <w:p w14:paraId="66A0E6C0">
            <w:pPr>
              <w:pStyle w:val="167"/>
              <w:keepNext w:val="0"/>
              <w:keepLines w:val="0"/>
              <w:suppressLineNumbers w:val="0"/>
              <w:spacing w:before="0" w:beforeAutospacing="0" w:after="0" w:afterAutospacing="0"/>
              <w:ind w:right="0"/>
              <w:rPr>
                <w:rFonts w:hint="default"/>
                <w:color w:val="auto"/>
              </w:rPr>
            </w:pPr>
            <w:r>
              <w:rPr>
                <w:rFonts w:hint="eastAsia"/>
                <w:color w:val="auto"/>
              </w:rPr>
              <w:t>备案编号</w:t>
            </w:r>
            <w:r>
              <w:rPr>
                <w:rFonts w:hint="default"/>
                <w:color w:val="auto"/>
              </w:rPr>
              <w:t>：</w:t>
            </w:r>
            <w:r>
              <w:rPr>
                <w:rFonts w:hint="eastAsia"/>
                <w:color w:val="auto"/>
              </w:rPr>
              <w:t>450702-2023-071-M</w:t>
            </w:r>
          </w:p>
        </w:tc>
        <w:tc>
          <w:tcPr>
            <w:tcW w:w="1475" w:type="dxa"/>
          </w:tcPr>
          <w:p w14:paraId="45C143FE">
            <w:pPr>
              <w:pStyle w:val="167"/>
              <w:keepNext w:val="0"/>
              <w:keepLines w:val="0"/>
              <w:suppressLineNumbers w:val="0"/>
              <w:spacing w:before="0" w:beforeAutospacing="0" w:after="0" w:afterAutospacing="0"/>
              <w:ind w:right="0"/>
              <w:rPr>
                <w:rFonts w:hint="default"/>
                <w:color w:val="auto"/>
              </w:rPr>
            </w:pPr>
            <w:r>
              <w:rPr>
                <w:rFonts w:hint="eastAsia"/>
                <w:color w:val="auto"/>
              </w:rPr>
              <w:t>/</w:t>
            </w:r>
          </w:p>
        </w:tc>
        <w:tc>
          <w:tcPr>
            <w:tcW w:w="5573" w:type="dxa"/>
          </w:tcPr>
          <w:p w14:paraId="225A44DC">
            <w:pPr>
              <w:pStyle w:val="167"/>
              <w:keepNext w:val="0"/>
              <w:keepLines w:val="0"/>
              <w:suppressLineNumbers w:val="0"/>
              <w:spacing w:before="0" w:beforeAutospacing="0" w:after="0" w:afterAutospacing="0"/>
              <w:ind w:right="0"/>
              <w:rPr>
                <w:rFonts w:hint="default"/>
                <w:color w:val="auto"/>
              </w:rPr>
            </w:pPr>
            <w:r>
              <w:rPr>
                <w:rFonts w:hint="eastAsia"/>
                <w:color w:val="auto"/>
              </w:rPr>
              <w:t>/</w:t>
            </w:r>
          </w:p>
        </w:tc>
        <w:tc>
          <w:tcPr>
            <w:tcW w:w="1580" w:type="dxa"/>
          </w:tcPr>
          <w:p w14:paraId="7C1080BD">
            <w:pPr>
              <w:pStyle w:val="167"/>
              <w:keepNext w:val="0"/>
              <w:keepLines w:val="0"/>
              <w:suppressLineNumbers w:val="0"/>
              <w:spacing w:before="0" w:beforeAutospacing="0" w:after="0" w:afterAutospacing="0"/>
              <w:ind w:right="0"/>
              <w:rPr>
                <w:rFonts w:hint="default"/>
                <w:color w:val="auto"/>
              </w:rPr>
            </w:pPr>
            <w:r>
              <w:rPr>
                <w:rFonts w:hint="eastAsia"/>
                <w:color w:val="auto"/>
              </w:rPr>
              <w:t>2023年8月28日</w:t>
            </w:r>
            <w:r>
              <w:rPr>
                <w:rFonts w:hint="default"/>
                <w:color w:val="auto"/>
              </w:rPr>
              <w:t>最新版</w:t>
            </w:r>
          </w:p>
        </w:tc>
      </w:tr>
    </w:tbl>
    <w:p w14:paraId="309DD362">
      <w:pPr>
        <w:ind w:left="480" w:firstLine="0" w:firstLineChars="0"/>
        <w:rPr>
          <w:color w:val="auto"/>
        </w:rPr>
      </w:pPr>
    </w:p>
    <w:p w14:paraId="31C312B2">
      <w:pPr>
        <w:ind w:left="480" w:firstLine="0" w:firstLineChars="0"/>
        <w:rPr>
          <w:color w:val="auto"/>
        </w:rPr>
        <w:sectPr>
          <w:headerReference r:id="rId13" w:type="default"/>
          <w:pgSz w:w="16838" w:h="11906" w:orient="landscape"/>
          <w:pgMar w:top="1418" w:right="1440" w:bottom="1418" w:left="1440" w:header="851" w:footer="992" w:gutter="0"/>
          <w:cols w:space="720" w:num="1"/>
          <w:docGrid w:type="lines" w:linePitch="326" w:charSpace="0"/>
        </w:sectPr>
      </w:pPr>
    </w:p>
    <w:p w14:paraId="23B10411">
      <w:pPr>
        <w:pStyle w:val="4"/>
        <w:rPr>
          <w:color w:val="auto"/>
        </w:rPr>
      </w:pPr>
      <w:r>
        <w:rPr>
          <w:rFonts w:hint="eastAsia"/>
          <w:color w:val="auto"/>
        </w:rPr>
        <w:t>现有</w:t>
      </w:r>
      <w:r>
        <w:rPr>
          <w:color w:val="auto"/>
        </w:rPr>
        <w:t>工程基本情况</w:t>
      </w:r>
    </w:p>
    <w:p w14:paraId="58F5CC01">
      <w:pPr>
        <w:pStyle w:val="6"/>
        <w:rPr>
          <w:color w:val="auto"/>
        </w:rPr>
      </w:pPr>
      <w:r>
        <w:rPr>
          <w:rFonts w:hint="eastAsia"/>
          <w:color w:val="auto"/>
        </w:rPr>
        <w:t>现有</w:t>
      </w:r>
      <w:r>
        <w:rPr>
          <w:color w:val="auto"/>
        </w:rPr>
        <w:t>工程</w:t>
      </w:r>
      <w:r>
        <w:rPr>
          <w:rFonts w:hint="eastAsia"/>
          <w:color w:val="auto"/>
        </w:rPr>
        <w:t>建设</w:t>
      </w:r>
      <w:r>
        <w:rPr>
          <w:color w:val="auto"/>
        </w:rPr>
        <w:t>情况</w:t>
      </w:r>
    </w:p>
    <w:p w14:paraId="68A0154F">
      <w:pPr>
        <w:autoSpaceDE w:val="0"/>
        <w:autoSpaceDN w:val="0"/>
        <w:ind w:firstLine="480"/>
        <w:rPr>
          <w:color w:val="auto"/>
        </w:rPr>
      </w:pPr>
      <w:r>
        <w:rPr>
          <w:rFonts w:hint="eastAsia"/>
          <w:color w:val="auto"/>
        </w:rPr>
        <w:t>广西东油沥青有限公司5万吨级油气码头（6#泊位）设计年通过能力121万吨，泊位长度为300m，主要水工建筑物包括码头平台、引桥、消防平台等。陆域库区</w:t>
      </w:r>
      <w:r>
        <w:rPr>
          <w:color w:val="auto"/>
        </w:rPr>
        <w:t>占地面积</w:t>
      </w:r>
      <w:r>
        <w:rPr>
          <w:rFonts w:hint="eastAsia"/>
          <w:color w:val="auto"/>
        </w:rPr>
        <w:t>18</w:t>
      </w:r>
      <w:r>
        <w:rPr>
          <w:color w:val="auto"/>
        </w:rPr>
        <w:t>0511.26m</w:t>
      </w:r>
      <w:r>
        <w:rPr>
          <w:color w:val="auto"/>
          <w:vertAlign w:val="superscript"/>
        </w:rPr>
        <w:t>2</w:t>
      </w:r>
      <w:r>
        <w:rPr>
          <w:rFonts w:hint="eastAsia"/>
          <w:color w:val="auto"/>
        </w:rPr>
        <w:t>，库区共设置五个罐组，分别为原油罐组、汽油罐组、柴油罐组、重油罐组、混合罐组，总库容35.5万m</w:t>
      </w:r>
      <w:r>
        <w:rPr>
          <w:rFonts w:hint="eastAsia"/>
          <w:color w:val="auto"/>
          <w:vertAlign w:val="superscript"/>
        </w:rPr>
        <w:t>3</w:t>
      </w:r>
      <w:r>
        <w:rPr>
          <w:rFonts w:hint="eastAsia"/>
          <w:color w:val="auto"/>
        </w:rPr>
        <w:t>。广西东油沥青有限公司5万吨级油气码头前期</w:t>
      </w:r>
      <w:r>
        <w:rPr>
          <w:color w:val="auto"/>
        </w:rPr>
        <w:t>环保手续</w:t>
      </w:r>
      <w:r>
        <w:rPr>
          <w:rFonts w:hint="eastAsia"/>
          <w:color w:val="auto"/>
        </w:rPr>
        <w:t>均</w:t>
      </w:r>
      <w:r>
        <w:rPr>
          <w:color w:val="auto"/>
        </w:rPr>
        <w:t>已办理。</w:t>
      </w:r>
      <w:r>
        <w:rPr>
          <w:rFonts w:hint="eastAsia"/>
          <w:color w:val="auto"/>
        </w:rPr>
        <w:t>码头</w:t>
      </w:r>
      <w:r>
        <w:rPr>
          <w:color w:val="auto"/>
        </w:rPr>
        <w:t>劳动定员</w:t>
      </w:r>
      <w:r>
        <w:rPr>
          <w:rFonts w:hint="eastAsia"/>
          <w:color w:val="auto"/>
        </w:rPr>
        <w:t>36人</w:t>
      </w:r>
      <w:r>
        <w:rPr>
          <w:color w:val="auto"/>
        </w:rPr>
        <w:t>，年工作时间</w:t>
      </w:r>
      <w:r>
        <w:rPr>
          <w:rFonts w:hint="eastAsia"/>
          <w:color w:val="auto"/>
        </w:rPr>
        <w:t>350天</w:t>
      </w:r>
      <w:r>
        <w:rPr>
          <w:color w:val="auto"/>
        </w:rPr>
        <w:t>。</w:t>
      </w:r>
    </w:p>
    <w:p w14:paraId="605E5475">
      <w:pPr>
        <w:pStyle w:val="14"/>
        <w:rPr>
          <w:color w:val="auto"/>
        </w:rPr>
      </w:pPr>
      <w:r>
        <w:rPr>
          <w:rFonts w:hint="eastAsia"/>
          <w:color w:val="auto"/>
        </w:rPr>
        <w:t>表</w:t>
      </w:r>
      <w:r>
        <w:rPr>
          <w:color w:val="auto"/>
        </w:rPr>
        <w:t>2.1</w:t>
      </w:r>
      <w:r>
        <w:rPr>
          <w:color w:val="auto"/>
        </w:rPr>
        <w:noBreakHyphen/>
      </w:r>
      <w:r>
        <w:rPr>
          <w:color w:val="auto"/>
        </w:rPr>
        <w:t>2</w:t>
      </w:r>
      <w:r>
        <w:rPr>
          <w:rFonts w:hint="eastAsia"/>
          <w:color w:val="auto"/>
        </w:rPr>
        <w:t>现有</w:t>
      </w:r>
      <w:r>
        <w:rPr>
          <w:color w:val="auto"/>
        </w:rPr>
        <w:t>工程组成一览表</w:t>
      </w:r>
    </w:p>
    <w:tbl>
      <w:tblPr>
        <w:tblStyle w:val="43"/>
        <w:tblW w:w="95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04"/>
        <w:gridCol w:w="1559"/>
        <w:gridCol w:w="6078"/>
        <w:gridCol w:w="1174"/>
      </w:tblGrid>
      <w:tr w14:paraId="55F1D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tcPr>
          <w:p w14:paraId="1DDB07C3">
            <w:pPr>
              <w:pStyle w:val="167"/>
              <w:keepNext w:val="0"/>
              <w:keepLines w:val="0"/>
              <w:suppressLineNumbers w:val="0"/>
              <w:spacing w:before="0" w:beforeAutospacing="0" w:after="0" w:afterAutospacing="0"/>
              <w:ind w:right="0"/>
              <w:rPr>
                <w:rFonts w:hint="default"/>
                <w:b/>
                <w:color w:val="auto"/>
              </w:rPr>
            </w:pPr>
            <w:r>
              <w:rPr>
                <w:rFonts w:hint="eastAsia"/>
                <w:b/>
                <w:color w:val="auto"/>
              </w:rPr>
              <w:t>类别</w:t>
            </w:r>
          </w:p>
        </w:tc>
        <w:tc>
          <w:tcPr>
            <w:tcW w:w="1559" w:type="dxa"/>
          </w:tcPr>
          <w:p w14:paraId="76C595F5">
            <w:pPr>
              <w:pStyle w:val="167"/>
              <w:keepNext w:val="0"/>
              <w:keepLines w:val="0"/>
              <w:suppressLineNumbers w:val="0"/>
              <w:spacing w:before="0" w:beforeAutospacing="0" w:after="0" w:afterAutospacing="0"/>
              <w:ind w:right="0"/>
              <w:rPr>
                <w:rFonts w:hint="default"/>
                <w:b/>
                <w:color w:val="auto"/>
              </w:rPr>
            </w:pPr>
            <w:r>
              <w:rPr>
                <w:rFonts w:hint="eastAsia"/>
                <w:b/>
                <w:color w:val="auto"/>
              </w:rPr>
              <w:t>名称</w:t>
            </w:r>
          </w:p>
        </w:tc>
        <w:tc>
          <w:tcPr>
            <w:tcW w:w="6078" w:type="dxa"/>
          </w:tcPr>
          <w:p w14:paraId="1516DB35">
            <w:pPr>
              <w:pStyle w:val="167"/>
              <w:keepNext w:val="0"/>
              <w:keepLines w:val="0"/>
              <w:suppressLineNumbers w:val="0"/>
              <w:spacing w:before="0" w:beforeAutospacing="0" w:after="0" w:afterAutospacing="0"/>
              <w:ind w:right="0"/>
              <w:rPr>
                <w:rFonts w:hint="default"/>
                <w:b/>
                <w:color w:val="auto"/>
              </w:rPr>
            </w:pPr>
            <w:r>
              <w:rPr>
                <w:rFonts w:hint="eastAsia"/>
                <w:b/>
                <w:color w:val="auto"/>
              </w:rPr>
              <w:t>现有</w:t>
            </w:r>
            <w:r>
              <w:rPr>
                <w:rFonts w:hint="default"/>
                <w:b/>
                <w:color w:val="auto"/>
              </w:rPr>
              <w:t>工程建设情况</w:t>
            </w:r>
          </w:p>
        </w:tc>
        <w:tc>
          <w:tcPr>
            <w:tcW w:w="1174" w:type="dxa"/>
          </w:tcPr>
          <w:p w14:paraId="28E435D4">
            <w:pPr>
              <w:pStyle w:val="167"/>
              <w:keepNext w:val="0"/>
              <w:keepLines w:val="0"/>
              <w:suppressLineNumbers w:val="0"/>
              <w:spacing w:before="0" w:beforeAutospacing="0" w:after="0" w:afterAutospacing="0"/>
              <w:ind w:right="0"/>
              <w:rPr>
                <w:rFonts w:hint="default"/>
                <w:b/>
                <w:color w:val="auto"/>
              </w:rPr>
            </w:pPr>
            <w:r>
              <w:rPr>
                <w:rFonts w:hint="eastAsia"/>
                <w:b/>
                <w:color w:val="auto"/>
              </w:rPr>
              <w:t>备注</w:t>
            </w:r>
          </w:p>
        </w:tc>
      </w:tr>
      <w:tr w14:paraId="6E900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restart"/>
            <w:vAlign w:val="center"/>
          </w:tcPr>
          <w:p w14:paraId="3A6ACEA3">
            <w:pPr>
              <w:pStyle w:val="167"/>
              <w:keepNext w:val="0"/>
              <w:keepLines w:val="0"/>
              <w:suppressLineNumbers w:val="0"/>
              <w:spacing w:before="0" w:beforeAutospacing="0" w:after="0" w:afterAutospacing="0"/>
              <w:ind w:right="0"/>
              <w:rPr>
                <w:rFonts w:hint="default"/>
                <w:color w:val="auto"/>
              </w:rPr>
            </w:pPr>
            <w:r>
              <w:rPr>
                <w:rFonts w:hint="eastAsia"/>
                <w:color w:val="auto"/>
              </w:rPr>
              <w:t>主体</w:t>
            </w:r>
            <w:r>
              <w:rPr>
                <w:rFonts w:hint="default"/>
                <w:color w:val="auto"/>
              </w:rPr>
              <w:t>工程</w:t>
            </w:r>
          </w:p>
        </w:tc>
        <w:tc>
          <w:tcPr>
            <w:tcW w:w="1559" w:type="dxa"/>
          </w:tcPr>
          <w:p w14:paraId="2E861BEE">
            <w:pPr>
              <w:pStyle w:val="167"/>
              <w:keepNext w:val="0"/>
              <w:keepLines w:val="0"/>
              <w:suppressLineNumbers w:val="0"/>
              <w:spacing w:before="0" w:beforeAutospacing="0" w:after="0" w:afterAutospacing="0"/>
              <w:ind w:right="0"/>
              <w:rPr>
                <w:rFonts w:hint="default"/>
                <w:color w:val="auto"/>
              </w:rPr>
            </w:pPr>
            <w:r>
              <w:rPr>
                <w:rFonts w:hint="eastAsia"/>
                <w:color w:val="auto"/>
              </w:rPr>
              <w:t>码头工程</w:t>
            </w:r>
          </w:p>
        </w:tc>
        <w:tc>
          <w:tcPr>
            <w:tcW w:w="6078" w:type="dxa"/>
          </w:tcPr>
          <w:p w14:paraId="69EA55B2">
            <w:pPr>
              <w:pStyle w:val="167"/>
              <w:keepNext w:val="0"/>
              <w:keepLines w:val="0"/>
              <w:suppressLineNumbers w:val="0"/>
              <w:spacing w:before="0" w:beforeAutospacing="0" w:after="0" w:afterAutospacing="0"/>
              <w:ind w:right="0"/>
              <w:jc w:val="both"/>
              <w:rPr>
                <w:rFonts w:hint="default"/>
                <w:color w:val="auto"/>
              </w:rPr>
            </w:pPr>
            <w:r>
              <w:rPr>
                <w:rFonts w:hint="eastAsia"/>
                <w:color w:val="auto"/>
              </w:rPr>
              <w:t>1个5万</w:t>
            </w:r>
            <w:r>
              <w:rPr>
                <w:rFonts w:hint="default"/>
                <w:color w:val="auto"/>
              </w:rPr>
              <w:t>吨级油气</w:t>
            </w:r>
            <w:r>
              <w:rPr>
                <w:rFonts w:hint="eastAsia"/>
                <w:color w:val="auto"/>
              </w:rPr>
              <w:t>码头</w:t>
            </w:r>
            <w:r>
              <w:rPr>
                <w:rFonts w:hint="default"/>
                <w:color w:val="auto"/>
              </w:rPr>
              <w:t>，泊位长</w:t>
            </w:r>
            <w:r>
              <w:rPr>
                <w:rFonts w:hint="eastAsia"/>
                <w:color w:val="auto"/>
              </w:rPr>
              <w:t>300</w:t>
            </w:r>
            <w:r>
              <w:rPr>
                <w:rFonts w:hint="default"/>
                <w:color w:val="auto"/>
              </w:rPr>
              <w:t>m，</w:t>
            </w:r>
            <w:r>
              <w:rPr>
                <w:rFonts w:hint="eastAsia"/>
                <w:color w:val="auto"/>
              </w:rPr>
              <w:t>由2个靠船墩、6个系缆墩及连接各墩之间的工作栈桥组成</w:t>
            </w:r>
          </w:p>
        </w:tc>
        <w:tc>
          <w:tcPr>
            <w:tcW w:w="1174" w:type="dxa"/>
          </w:tcPr>
          <w:p w14:paraId="5DE67E81">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37592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26D60A98">
            <w:pPr>
              <w:pStyle w:val="167"/>
              <w:keepNext w:val="0"/>
              <w:keepLines w:val="0"/>
              <w:suppressLineNumbers w:val="0"/>
              <w:spacing w:before="0" w:beforeAutospacing="0" w:after="0" w:afterAutospacing="0"/>
              <w:ind w:right="0"/>
              <w:rPr>
                <w:rFonts w:hint="default"/>
                <w:color w:val="auto"/>
              </w:rPr>
            </w:pPr>
          </w:p>
        </w:tc>
        <w:tc>
          <w:tcPr>
            <w:tcW w:w="1559" w:type="dxa"/>
          </w:tcPr>
          <w:p w14:paraId="7C61375E">
            <w:pPr>
              <w:pStyle w:val="167"/>
              <w:keepNext w:val="0"/>
              <w:keepLines w:val="0"/>
              <w:suppressLineNumbers w:val="0"/>
              <w:spacing w:before="0" w:beforeAutospacing="0" w:after="0" w:afterAutospacing="0"/>
              <w:ind w:right="0"/>
              <w:rPr>
                <w:rFonts w:hint="default"/>
                <w:color w:val="auto"/>
              </w:rPr>
            </w:pPr>
            <w:r>
              <w:rPr>
                <w:rFonts w:hint="eastAsia"/>
                <w:color w:val="auto"/>
              </w:rPr>
              <w:t>引桥</w:t>
            </w:r>
          </w:p>
        </w:tc>
        <w:tc>
          <w:tcPr>
            <w:tcW w:w="6078" w:type="dxa"/>
          </w:tcPr>
          <w:p w14:paraId="3895FC4C">
            <w:pPr>
              <w:pStyle w:val="167"/>
              <w:keepNext w:val="0"/>
              <w:keepLines w:val="0"/>
              <w:suppressLineNumbers w:val="0"/>
              <w:spacing w:before="0" w:beforeAutospacing="0" w:after="0" w:afterAutospacing="0"/>
              <w:ind w:right="0"/>
              <w:jc w:val="both"/>
              <w:rPr>
                <w:rFonts w:hint="default"/>
                <w:color w:val="auto"/>
              </w:rPr>
            </w:pPr>
            <w:r>
              <w:rPr>
                <w:rFonts w:hint="eastAsia"/>
                <w:color w:val="auto"/>
              </w:rPr>
              <w:t>引桥长193m，桥面宽6m，引桥末端与库区之间设一段长29.26m的实体引堤连接，堤顶宽6m</w:t>
            </w:r>
          </w:p>
        </w:tc>
        <w:tc>
          <w:tcPr>
            <w:tcW w:w="1174" w:type="dxa"/>
          </w:tcPr>
          <w:p w14:paraId="6CFCBFDB">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605D9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71A0AD4F">
            <w:pPr>
              <w:pStyle w:val="167"/>
              <w:keepNext w:val="0"/>
              <w:keepLines w:val="0"/>
              <w:suppressLineNumbers w:val="0"/>
              <w:spacing w:before="0" w:beforeAutospacing="0" w:after="0" w:afterAutospacing="0"/>
              <w:ind w:right="0"/>
              <w:rPr>
                <w:rFonts w:hint="default"/>
                <w:color w:val="auto"/>
              </w:rPr>
            </w:pPr>
          </w:p>
        </w:tc>
        <w:tc>
          <w:tcPr>
            <w:tcW w:w="1559" w:type="dxa"/>
          </w:tcPr>
          <w:p w14:paraId="3C25A8A2">
            <w:pPr>
              <w:pStyle w:val="167"/>
              <w:keepNext w:val="0"/>
              <w:keepLines w:val="0"/>
              <w:suppressLineNumbers w:val="0"/>
              <w:spacing w:before="0" w:beforeAutospacing="0" w:after="0" w:afterAutospacing="0"/>
              <w:ind w:right="0"/>
              <w:rPr>
                <w:rFonts w:hint="default"/>
                <w:color w:val="auto"/>
              </w:rPr>
            </w:pPr>
            <w:r>
              <w:rPr>
                <w:rFonts w:hint="eastAsia"/>
                <w:color w:val="auto"/>
              </w:rPr>
              <w:t>装卸</w:t>
            </w:r>
            <w:r>
              <w:rPr>
                <w:rFonts w:hint="default"/>
                <w:color w:val="auto"/>
              </w:rPr>
              <w:t>设施</w:t>
            </w:r>
          </w:p>
        </w:tc>
        <w:tc>
          <w:tcPr>
            <w:tcW w:w="6078" w:type="dxa"/>
          </w:tcPr>
          <w:p w14:paraId="0BC32F4A">
            <w:pPr>
              <w:pStyle w:val="167"/>
              <w:keepNext w:val="0"/>
              <w:keepLines w:val="0"/>
              <w:suppressLineNumbers w:val="0"/>
              <w:spacing w:before="0" w:beforeAutospacing="0" w:after="0" w:afterAutospacing="0"/>
              <w:ind w:right="0"/>
              <w:rPr>
                <w:rFonts w:hint="default"/>
                <w:color w:val="auto"/>
              </w:rPr>
            </w:pPr>
            <w:r>
              <w:rPr>
                <w:rFonts w:hint="eastAsia"/>
                <w:color w:val="auto"/>
              </w:rPr>
              <w:t>6台装卸臂</w:t>
            </w:r>
            <w:r>
              <w:rPr>
                <w:rFonts w:hint="default"/>
                <w:color w:val="auto"/>
              </w:rPr>
              <w:t>，其中</w:t>
            </w:r>
            <w:r>
              <w:rPr>
                <w:rFonts w:hint="eastAsia"/>
                <w:color w:val="auto"/>
              </w:rPr>
              <w:t>2台</w:t>
            </w:r>
            <w:r>
              <w:rPr>
                <w:rFonts w:hint="default"/>
                <w:color w:val="auto"/>
              </w:rPr>
              <w:t>原油、1台柴油、1台汽油、1台甲醇、1台重油</w:t>
            </w:r>
            <w:r>
              <w:rPr>
                <w:rFonts w:hint="eastAsia"/>
                <w:color w:val="auto"/>
              </w:rPr>
              <w:t>。</w:t>
            </w:r>
          </w:p>
        </w:tc>
        <w:tc>
          <w:tcPr>
            <w:tcW w:w="1174" w:type="dxa"/>
          </w:tcPr>
          <w:p w14:paraId="59F9D497">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0B1DD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00E5E0E8">
            <w:pPr>
              <w:pStyle w:val="167"/>
              <w:keepNext w:val="0"/>
              <w:keepLines w:val="0"/>
              <w:suppressLineNumbers w:val="0"/>
              <w:spacing w:before="0" w:beforeAutospacing="0" w:after="0" w:afterAutospacing="0"/>
              <w:ind w:right="0"/>
              <w:rPr>
                <w:rFonts w:hint="default"/>
                <w:color w:val="auto"/>
              </w:rPr>
            </w:pPr>
          </w:p>
        </w:tc>
        <w:tc>
          <w:tcPr>
            <w:tcW w:w="1559" w:type="dxa"/>
          </w:tcPr>
          <w:p w14:paraId="0DF1C6AD">
            <w:pPr>
              <w:pStyle w:val="167"/>
              <w:keepNext w:val="0"/>
              <w:keepLines w:val="0"/>
              <w:suppressLineNumbers w:val="0"/>
              <w:spacing w:before="0" w:beforeAutospacing="0" w:after="0" w:afterAutospacing="0"/>
              <w:ind w:right="0"/>
              <w:rPr>
                <w:rFonts w:hint="default"/>
                <w:color w:val="auto"/>
              </w:rPr>
            </w:pPr>
            <w:r>
              <w:rPr>
                <w:rFonts w:hint="eastAsia"/>
                <w:color w:val="auto"/>
              </w:rPr>
              <w:t>码头</w:t>
            </w:r>
            <w:r>
              <w:rPr>
                <w:rFonts w:hint="default"/>
                <w:color w:val="auto"/>
              </w:rPr>
              <w:t>管线</w:t>
            </w:r>
          </w:p>
        </w:tc>
        <w:tc>
          <w:tcPr>
            <w:tcW w:w="6078" w:type="dxa"/>
          </w:tcPr>
          <w:p w14:paraId="0F5F9CA4">
            <w:pPr>
              <w:pStyle w:val="167"/>
              <w:keepNext w:val="0"/>
              <w:keepLines w:val="0"/>
              <w:suppressLineNumbers w:val="0"/>
              <w:spacing w:before="0" w:beforeAutospacing="0" w:after="0" w:afterAutospacing="0"/>
              <w:ind w:right="0"/>
              <w:rPr>
                <w:rFonts w:hint="default"/>
                <w:color w:val="auto"/>
              </w:rPr>
            </w:pPr>
            <w:r>
              <w:rPr>
                <w:rFonts w:hint="eastAsia"/>
                <w:color w:val="auto"/>
              </w:rPr>
              <w:t>12根</w:t>
            </w:r>
            <w:r>
              <w:rPr>
                <w:rFonts w:hint="default"/>
                <w:color w:val="auto"/>
              </w:rPr>
              <w:t>工艺物料装卸船管线，</w:t>
            </w:r>
            <w:r>
              <w:rPr>
                <w:rFonts w:hint="eastAsia"/>
                <w:color w:val="auto"/>
              </w:rPr>
              <w:t>1根</w:t>
            </w:r>
            <w:r>
              <w:rPr>
                <w:rFonts w:hint="default"/>
                <w:color w:val="auto"/>
              </w:rPr>
              <w:t>氮气管线，</w:t>
            </w:r>
            <w:r>
              <w:rPr>
                <w:rFonts w:hint="eastAsia"/>
                <w:color w:val="auto"/>
              </w:rPr>
              <w:t>1根</w:t>
            </w:r>
            <w:r>
              <w:rPr>
                <w:rFonts w:hint="default"/>
                <w:color w:val="auto"/>
              </w:rPr>
              <w:t>污油管线，</w:t>
            </w:r>
            <w:r>
              <w:rPr>
                <w:rFonts w:hint="eastAsia"/>
                <w:color w:val="auto"/>
              </w:rPr>
              <w:t>1根</w:t>
            </w:r>
            <w:r>
              <w:rPr>
                <w:rFonts w:hint="default"/>
                <w:color w:val="auto"/>
              </w:rPr>
              <w:t>蒸汽管线</w:t>
            </w:r>
            <w:r>
              <w:rPr>
                <w:rFonts w:hint="eastAsia"/>
                <w:color w:val="auto"/>
              </w:rPr>
              <w:t>，1根</w:t>
            </w:r>
            <w:r>
              <w:rPr>
                <w:rFonts w:hint="default"/>
                <w:color w:val="auto"/>
              </w:rPr>
              <w:t>消防水管线，</w:t>
            </w:r>
            <w:r>
              <w:rPr>
                <w:rFonts w:hint="eastAsia"/>
                <w:color w:val="auto"/>
              </w:rPr>
              <w:t>1根消防</w:t>
            </w:r>
            <w:r>
              <w:rPr>
                <w:rFonts w:hint="default"/>
                <w:color w:val="auto"/>
              </w:rPr>
              <w:t>泡沫</w:t>
            </w:r>
            <w:r>
              <w:rPr>
                <w:rFonts w:hint="eastAsia"/>
                <w:color w:val="auto"/>
              </w:rPr>
              <w:t>管线</w:t>
            </w:r>
            <w:r>
              <w:rPr>
                <w:rFonts w:hint="default"/>
                <w:color w:val="auto"/>
              </w:rPr>
              <w:t>，</w:t>
            </w:r>
            <w:r>
              <w:rPr>
                <w:rFonts w:hint="eastAsia"/>
                <w:color w:val="auto"/>
              </w:rPr>
              <w:t>2根</w:t>
            </w:r>
            <w:r>
              <w:rPr>
                <w:rFonts w:hint="default"/>
                <w:color w:val="auto"/>
              </w:rPr>
              <w:t>压舱水管线</w:t>
            </w:r>
          </w:p>
        </w:tc>
        <w:tc>
          <w:tcPr>
            <w:tcW w:w="1174" w:type="dxa"/>
          </w:tcPr>
          <w:p w14:paraId="6208EA9F">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58854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11CD3022">
            <w:pPr>
              <w:pStyle w:val="167"/>
              <w:keepNext w:val="0"/>
              <w:keepLines w:val="0"/>
              <w:suppressLineNumbers w:val="0"/>
              <w:spacing w:before="0" w:beforeAutospacing="0" w:after="0" w:afterAutospacing="0"/>
              <w:ind w:right="0"/>
              <w:rPr>
                <w:rFonts w:hint="default"/>
                <w:color w:val="auto"/>
              </w:rPr>
            </w:pPr>
          </w:p>
        </w:tc>
        <w:tc>
          <w:tcPr>
            <w:tcW w:w="1559" w:type="dxa"/>
          </w:tcPr>
          <w:p w14:paraId="07BC3C21">
            <w:pPr>
              <w:pStyle w:val="167"/>
              <w:keepNext w:val="0"/>
              <w:keepLines w:val="0"/>
              <w:suppressLineNumbers w:val="0"/>
              <w:spacing w:before="0" w:beforeAutospacing="0" w:after="0" w:afterAutospacing="0"/>
              <w:ind w:right="0"/>
              <w:rPr>
                <w:rFonts w:hint="default"/>
                <w:color w:val="auto"/>
              </w:rPr>
            </w:pPr>
            <w:r>
              <w:rPr>
                <w:rFonts w:hint="eastAsia"/>
                <w:color w:val="auto"/>
              </w:rPr>
              <w:t>陆域</w:t>
            </w:r>
            <w:r>
              <w:rPr>
                <w:rFonts w:hint="default"/>
                <w:color w:val="auto"/>
              </w:rPr>
              <w:t>库区</w:t>
            </w:r>
          </w:p>
        </w:tc>
        <w:tc>
          <w:tcPr>
            <w:tcW w:w="6078" w:type="dxa"/>
          </w:tcPr>
          <w:p w14:paraId="5B5B852B">
            <w:pPr>
              <w:pStyle w:val="167"/>
              <w:keepNext w:val="0"/>
              <w:keepLines w:val="0"/>
              <w:suppressLineNumbers w:val="0"/>
              <w:spacing w:before="0" w:beforeAutospacing="0" w:after="0" w:afterAutospacing="0"/>
              <w:ind w:right="0"/>
              <w:rPr>
                <w:rFonts w:hint="default"/>
                <w:color w:val="auto"/>
              </w:rPr>
            </w:pPr>
            <w:r>
              <w:rPr>
                <w:rFonts w:hint="default"/>
                <w:color w:val="auto"/>
              </w:rPr>
              <w:t>占地面积</w:t>
            </w:r>
            <w:r>
              <w:rPr>
                <w:rFonts w:hint="eastAsia"/>
                <w:color w:val="auto"/>
              </w:rPr>
              <w:t>18</w:t>
            </w:r>
            <w:r>
              <w:rPr>
                <w:rFonts w:hint="default"/>
                <w:color w:val="auto"/>
              </w:rPr>
              <w:t>0511.26m</w:t>
            </w:r>
            <w:r>
              <w:rPr>
                <w:rFonts w:hint="default"/>
                <w:color w:val="auto"/>
                <w:vertAlign w:val="superscript"/>
              </w:rPr>
              <w:t>2</w:t>
            </w:r>
            <w:r>
              <w:rPr>
                <w:rFonts w:hint="eastAsia"/>
                <w:color w:val="auto"/>
              </w:rPr>
              <w:t>，库区共设置五个罐组，分别为原油罐组、汽油罐组、柴油罐组、重油罐组、混合罐组，总库容35.5万m</w:t>
            </w:r>
            <w:r>
              <w:rPr>
                <w:rFonts w:hint="eastAsia"/>
                <w:color w:val="auto"/>
                <w:vertAlign w:val="superscript"/>
              </w:rPr>
              <w:t>3</w:t>
            </w:r>
            <w:r>
              <w:rPr>
                <w:rFonts w:hint="eastAsia"/>
                <w:color w:val="auto"/>
              </w:rPr>
              <w:t>。</w:t>
            </w:r>
          </w:p>
        </w:tc>
        <w:tc>
          <w:tcPr>
            <w:tcW w:w="1174" w:type="dxa"/>
          </w:tcPr>
          <w:p w14:paraId="6110B1E3">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780ED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0C16D041">
            <w:pPr>
              <w:pStyle w:val="167"/>
              <w:keepNext w:val="0"/>
              <w:keepLines w:val="0"/>
              <w:suppressLineNumbers w:val="0"/>
              <w:spacing w:before="0" w:beforeAutospacing="0" w:after="0" w:afterAutospacing="0"/>
              <w:ind w:right="0"/>
              <w:rPr>
                <w:rFonts w:hint="default"/>
                <w:color w:val="auto"/>
              </w:rPr>
            </w:pPr>
          </w:p>
        </w:tc>
        <w:tc>
          <w:tcPr>
            <w:tcW w:w="1559" w:type="dxa"/>
          </w:tcPr>
          <w:p w14:paraId="624013E5">
            <w:pPr>
              <w:pStyle w:val="167"/>
              <w:keepNext w:val="0"/>
              <w:keepLines w:val="0"/>
              <w:suppressLineNumbers w:val="0"/>
              <w:spacing w:before="0" w:beforeAutospacing="0" w:after="0" w:afterAutospacing="0"/>
              <w:ind w:right="0"/>
              <w:rPr>
                <w:rFonts w:hint="default"/>
                <w:color w:val="auto"/>
              </w:rPr>
            </w:pPr>
            <w:r>
              <w:rPr>
                <w:rFonts w:hint="eastAsia"/>
                <w:color w:val="auto"/>
              </w:rPr>
              <w:t>1#原油</w:t>
            </w:r>
            <w:r>
              <w:rPr>
                <w:rFonts w:hint="default"/>
                <w:color w:val="auto"/>
              </w:rPr>
              <w:t>罐区</w:t>
            </w:r>
          </w:p>
        </w:tc>
        <w:tc>
          <w:tcPr>
            <w:tcW w:w="6078" w:type="dxa"/>
          </w:tcPr>
          <w:p w14:paraId="4F482091">
            <w:pPr>
              <w:pStyle w:val="167"/>
              <w:keepNext w:val="0"/>
              <w:keepLines w:val="0"/>
              <w:suppressLineNumbers w:val="0"/>
              <w:spacing w:before="0" w:beforeAutospacing="0" w:after="0" w:afterAutospacing="0"/>
              <w:ind w:right="0"/>
              <w:jc w:val="both"/>
              <w:rPr>
                <w:rFonts w:hint="default"/>
                <w:color w:val="auto"/>
              </w:rPr>
            </w:pPr>
            <w:r>
              <w:rPr>
                <w:rFonts w:hint="eastAsia"/>
                <w:color w:val="auto"/>
              </w:rPr>
              <w:t>位于</w:t>
            </w:r>
            <w:r>
              <w:rPr>
                <w:rFonts w:hint="default"/>
                <w:color w:val="auto"/>
              </w:rPr>
              <w:t>码头后方库区，共有</w:t>
            </w:r>
            <w:r>
              <w:rPr>
                <w:rFonts w:hint="eastAsia"/>
                <w:color w:val="auto"/>
              </w:rPr>
              <w:t>3×40000</w:t>
            </w:r>
            <w:r>
              <w:rPr>
                <w:rFonts w:hint="default"/>
                <w:color w:val="auto"/>
              </w:rPr>
              <w:t>m</w:t>
            </w:r>
            <w:r>
              <w:rPr>
                <w:rFonts w:hint="default"/>
                <w:color w:val="auto"/>
                <w:vertAlign w:val="superscript"/>
              </w:rPr>
              <w:t>3</w:t>
            </w:r>
            <w:r>
              <w:rPr>
                <w:rFonts w:hint="eastAsia"/>
                <w:color w:val="auto"/>
              </w:rPr>
              <w:t>的外浮顶罐，</w:t>
            </w:r>
            <w:r>
              <w:rPr>
                <w:rFonts w:hint="default"/>
                <w:color w:val="auto"/>
              </w:rPr>
              <w:t>主要储存原油</w:t>
            </w:r>
            <w:r>
              <w:rPr>
                <w:rFonts w:hint="eastAsia"/>
                <w:color w:val="auto"/>
              </w:rPr>
              <w:t>；</w:t>
            </w:r>
          </w:p>
        </w:tc>
        <w:tc>
          <w:tcPr>
            <w:tcW w:w="1174" w:type="dxa"/>
          </w:tcPr>
          <w:p w14:paraId="1D16357E">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3B2A3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6D189D17">
            <w:pPr>
              <w:pStyle w:val="167"/>
              <w:keepNext w:val="0"/>
              <w:keepLines w:val="0"/>
              <w:suppressLineNumbers w:val="0"/>
              <w:spacing w:before="0" w:beforeAutospacing="0" w:after="0" w:afterAutospacing="0"/>
              <w:ind w:right="0"/>
              <w:rPr>
                <w:rFonts w:hint="default"/>
                <w:color w:val="auto"/>
              </w:rPr>
            </w:pPr>
          </w:p>
        </w:tc>
        <w:tc>
          <w:tcPr>
            <w:tcW w:w="1559" w:type="dxa"/>
          </w:tcPr>
          <w:p w14:paraId="644F74F6">
            <w:pPr>
              <w:pStyle w:val="167"/>
              <w:keepNext w:val="0"/>
              <w:keepLines w:val="0"/>
              <w:suppressLineNumbers w:val="0"/>
              <w:spacing w:before="0" w:beforeAutospacing="0" w:after="0" w:afterAutospacing="0"/>
              <w:ind w:right="0"/>
              <w:rPr>
                <w:rFonts w:hint="default"/>
                <w:color w:val="auto"/>
              </w:rPr>
            </w:pPr>
            <w:r>
              <w:rPr>
                <w:rFonts w:hint="eastAsia"/>
                <w:color w:val="auto"/>
              </w:rPr>
              <w:t>2#重油</w:t>
            </w:r>
            <w:r>
              <w:rPr>
                <w:rFonts w:hint="default"/>
                <w:color w:val="auto"/>
              </w:rPr>
              <w:t>罐区</w:t>
            </w:r>
          </w:p>
        </w:tc>
        <w:tc>
          <w:tcPr>
            <w:tcW w:w="6078" w:type="dxa"/>
          </w:tcPr>
          <w:p w14:paraId="5746FA13">
            <w:pPr>
              <w:pStyle w:val="167"/>
              <w:keepNext w:val="0"/>
              <w:keepLines w:val="0"/>
              <w:suppressLineNumbers w:val="0"/>
              <w:spacing w:before="0" w:beforeAutospacing="0" w:after="0" w:afterAutospacing="0"/>
              <w:ind w:right="0"/>
              <w:rPr>
                <w:rFonts w:hint="default"/>
                <w:color w:val="auto"/>
              </w:rPr>
            </w:pPr>
            <w:r>
              <w:rPr>
                <w:rFonts w:hint="eastAsia"/>
                <w:color w:val="auto"/>
              </w:rPr>
              <w:t>位于</w:t>
            </w:r>
            <w:r>
              <w:rPr>
                <w:rFonts w:hint="default"/>
                <w:color w:val="auto"/>
              </w:rPr>
              <w:t>码头后方库区，共有</w:t>
            </w:r>
            <w:r>
              <w:rPr>
                <w:rFonts w:hint="eastAsia"/>
                <w:color w:val="auto"/>
              </w:rPr>
              <w:t>3×</w:t>
            </w:r>
            <w:r>
              <w:rPr>
                <w:rFonts w:hint="default"/>
                <w:color w:val="auto"/>
              </w:rPr>
              <w:t>5</w:t>
            </w:r>
            <w:r>
              <w:rPr>
                <w:rFonts w:hint="eastAsia"/>
                <w:color w:val="auto"/>
              </w:rPr>
              <w:t>000</w:t>
            </w:r>
            <w:r>
              <w:rPr>
                <w:rFonts w:hint="default"/>
                <w:color w:val="auto"/>
              </w:rPr>
              <w:t>m</w:t>
            </w:r>
            <w:r>
              <w:rPr>
                <w:rFonts w:hint="default"/>
                <w:color w:val="auto"/>
                <w:vertAlign w:val="superscript"/>
              </w:rPr>
              <w:t>3</w:t>
            </w:r>
            <w:r>
              <w:rPr>
                <w:rFonts w:hint="eastAsia"/>
                <w:color w:val="auto"/>
              </w:rPr>
              <w:t>的拱顶罐，</w:t>
            </w:r>
            <w:r>
              <w:rPr>
                <w:rFonts w:hint="default"/>
                <w:color w:val="auto"/>
              </w:rPr>
              <w:t>主要储存重油；</w:t>
            </w:r>
          </w:p>
        </w:tc>
        <w:tc>
          <w:tcPr>
            <w:tcW w:w="1174" w:type="dxa"/>
          </w:tcPr>
          <w:p w14:paraId="58F49CA4">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451FD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5D50FF2C">
            <w:pPr>
              <w:pStyle w:val="167"/>
              <w:keepNext w:val="0"/>
              <w:keepLines w:val="0"/>
              <w:suppressLineNumbers w:val="0"/>
              <w:spacing w:before="0" w:beforeAutospacing="0" w:after="0" w:afterAutospacing="0"/>
              <w:ind w:right="0"/>
              <w:rPr>
                <w:rFonts w:hint="default"/>
                <w:color w:val="auto"/>
              </w:rPr>
            </w:pPr>
          </w:p>
        </w:tc>
        <w:tc>
          <w:tcPr>
            <w:tcW w:w="1559" w:type="dxa"/>
          </w:tcPr>
          <w:p w14:paraId="075A33FF">
            <w:pPr>
              <w:pStyle w:val="167"/>
              <w:keepNext w:val="0"/>
              <w:keepLines w:val="0"/>
              <w:suppressLineNumbers w:val="0"/>
              <w:spacing w:before="0" w:beforeAutospacing="0" w:after="0" w:afterAutospacing="0"/>
              <w:ind w:right="0"/>
              <w:rPr>
                <w:rFonts w:hint="default"/>
                <w:color w:val="auto"/>
              </w:rPr>
            </w:pPr>
            <w:r>
              <w:rPr>
                <w:rFonts w:hint="eastAsia"/>
                <w:color w:val="auto"/>
              </w:rPr>
              <w:t>3</w:t>
            </w:r>
            <w:r>
              <w:rPr>
                <w:rFonts w:hint="default"/>
                <w:color w:val="auto"/>
              </w:rPr>
              <w:t>#汽油罐区</w:t>
            </w:r>
          </w:p>
        </w:tc>
        <w:tc>
          <w:tcPr>
            <w:tcW w:w="6078" w:type="dxa"/>
          </w:tcPr>
          <w:p w14:paraId="2A897E87">
            <w:pPr>
              <w:pStyle w:val="167"/>
              <w:keepNext w:val="0"/>
              <w:keepLines w:val="0"/>
              <w:suppressLineNumbers w:val="0"/>
              <w:spacing w:before="0" w:beforeAutospacing="0" w:after="0" w:afterAutospacing="0"/>
              <w:ind w:right="0"/>
              <w:rPr>
                <w:rFonts w:hint="default"/>
                <w:color w:val="auto"/>
              </w:rPr>
            </w:pPr>
            <w:r>
              <w:rPr>
                <w:rFonts w:hint="eastAsia"/>
                <w:color w:val="auto"/>
              </w:rPr>
              <w:t>位于</w:t>
            </w:r>
            <w:r>
              <w:rPr>
                <w:rFonts w:hint="default"/>
                <w:color w:val="auto"/>
              </w:rPr>
              <w:t>码头后方库区，共有8×1</w:t>
            </w:r>
            <w:r>
              <w:rPr>
                <w:rFonts w:hint="eastAsia"/>
                <w:color w:val="auto"/>
              </w:rPr>
              <w:t>0000</w:t>
            </w:r>
            <w:r>
              <w:rPr>
                <w:rFonts w:hint="default"/>
                <w:color w:val="auto"/>
              </w:rPr>
              <w:t>m</w:t>
            </w:r>
            <w:r>
              <w:rPr>
                <w:rFonts w:hint="default"/>
                <w:color w:val="auto"/>
                <w:vertAlign w:val="superscript"/>
              </w:rPr>
              <w:t>3</w:t>
            </w:r>
            <w:r>
              <w:rPr>
                <w:rFonts w:hint="eastAsia"/>
                <w:color w:val="auto"/>
              </w:rPr>
              <w:t>的内浮顶罐，</w:t>
            </w:r>
            <w:r>
              <w:rPr>
                <w:rFonts w:hint="default"/>
                <w:color w:val="auto"/>
              </w:rPr>
              <w:t>其中</w:t>
            </w:r>
          </w:p>
        </w:tc>
        <w:tc>
          <w:tcPr>
            <w:tcW w:w="1174" w:type="dxa"/>
          </w:tcPr>
          <w:p w14:paraId="77C7C00E">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4D212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707E2D76">
            <w:pPr>
              <w:pStyle w:val="167"/>
              <w:keepNext w:val="0"/>
              <w:keepLines w:val="0"/>
              <w:suppressLineNumbers w:val="0"/>
              <w:spacing w:before="0" w:beforeAutospacing="0" w:after="0" w:afterAutospacing="0"/>
              <w:ind w:right="0"/>
              <w:rPr>
                <w:rFonts w:hint="default"/>
                <w:color w:val="auto"/>
              </w:rPr>
            </w:pPr>
          </w:p>
        </w:tc>
        <w:tc>
          <w:tcPr>
            <w:tcW w:w="1559" w:type="dxa"/>
          </w:tcPr>
          <w:p w14:paraId="33A2E96D">
            <w:pPr>
              <w:pStyle w:val="167"/>
              <w:keepNext w:val="0"/>
              <w:keepLines w:val="0"/>
              <w:suppressLineNumbers w:val="0"/>
              <w:spacing w:before="0" w:beforeAutospacing="0" w:after="0" w:afterAutospacing="0"/>
              <w:ind w:right="0"/>
              <w:rPr>
                <w:rFonts w:hint="default"/>
                <w:color w:val="auto"/>
              </w:rPr>
            </w:pPr>
            <w:r>
              <w:rPr>
                <w:rFonts w:hint="default"/>
                <w:color w:val="auto"/>
              </w:rPr>
              <w:t>4#</w:t>
            </w:r>
            <w:r>
              <w:rPr>
                <w:rFonts w:hint="eastAsia"/>
                <w:color w:val="auto"/>
              </w:rPr>
              <w:t>柴油</w:t>
            </w:r>
            <w:r>
              <w:rPr>
                <w:rFonts w:hint="default"/>
                <w:color w:val="auto"/>
              </w:rPr>
              <w:t>罐区</w:t>
            </w:r>
          </w:p>
        </w:tc>
        <w:tc>
          <w:tcPr>
            <w:tcW w:w="6078" w:type="dxa"/>
          </w:tcPr>
          <w:p w14:paraId="0BE1C142">
            <w:pPr>
              <w:pStyle w:val="167"/>
              <w:keepNext w:val="0"/>
              <w:keepLines w:val="0"/>
              <w:suppressLineNumbers w:val="0"/>
              <w:spacing w:before="0" w:beforeAutospacing="0" w:after="0" w:afterAutospacing="0"/>
              <w:ind w:right="0"/>
              <w:rPr>
                <w:rFonts w:hint="default"/>
                <w:color w:val="auto"/>
              </w:rPr>
            </w:pPr>
            <w:r>
              <w:rPr>
                <w:rFonts w:hint="eastAsia"/>
                <w:color w:val="auto"/>
              </w:rPr>
              <w:t>位于</w:t>
            </w:r>
            <w:r>
              <w:rPr>
                <w:rFonts w:hint="default"/>
                <w:color w:val="auto"/>
              </w:rPr>
              <w:t>码头后方库区，共有8×1</w:t>
            </w:r>
            <w:r>
              <w:rPr>
                <w:rFonts w:hint="eastAsia"/>
                <w:color w:val="auto"/>
              </w:rPr>
              <w:t>0000</w:t>
            </w:r>
            <w:r>
              <w:rPr>
                <w:rFonts w:hint="default"/>
                <w:color w:val="auto"/>
              </w:rPr>
              <w:t>m</w:t>
            </w:r>
            <w:r>
              <w:rPr>
                <w:rFonts w:hint="default"/>
                <w:color w:val="auto"/>
                <w:vertAlign w:val="superscript"/>
              </w:rPr>
              <w:t>3</w:t>
            </w:r>
            <w:r>
              <w:rPr>
                <w:rFonts w:hint="eastAsia"/>
                <w:color w:val="auto"/>
              </w:rPr>
              <w:t>的拱顶罐，</w:t>
            </w:r>
            <w:r>
              <w:rPr>
                <w:rFonts w:hint="default"/>
                <w:color w:val="auto"/>
              </w:rPr>
              <w:t>主要储存柴油；</w:t>
            </w:r>
          </w:p>
        </w:tc>
        <w:tc>
          <w:tcPr>
            <w:tcW w:w="1174" w:type="dxa"/>
          </w:tcPr>
          <w:p w14:paraId="6EBFBF77">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22F91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0B8DADF5">
            <w:pPr>
              <w:pStyle w:val="167"/>
              <w:keepNext w:val="0"/>
              <w:keepLines w:val="0"/>
              <w:suppressLineNumbers w:val="0"/>
              <w:spacing w:before="0" w:beforeAutospacing="0" w:after="0" w:afterAutospacing="0"/>
              <w:ind w:right="0"/>
              <w:rPr>
                <w:rFonts w:hint="default"/>
                <w:color w:val="auto"/>
              </w:rPr>
            </w:pPr>
          </w:p>
        </w:tc>
        <w:tc>
          <w:tcPr>
            <w:tcW w:w="1559" w:type="dxa"/>
          </w:tcPr>
          <w:p w14:paraId="55574F8B">
            <w:pPr>
              <w:pStyle w:val="167"/>
              <w:keepNext w:val="0"/>
              <w:keepLines w:val="0"/>
              <w:suppressLineNumbers w:val="0"/>
              <w:spacing w:before="0" w:beforeAutospacing="0" w:after="0" w:afterAutospacing="0"/>
              <w:ind w:right="0"/>
              <w:rPr>
                <w:rFonts w:hint="default"/>
                <w:color w:val="auto"/>
              </w:rPr>
            </w:pPr>
            <w:r>
              <w:rPr>
                <w:rFonts w:hint="default"/>
                <w:color w:val="auto"/>
              </w:rPr>
              <w:t>5#</w:t>
            </w:r>
            <w:r>
              <w:rPr>
                <w:rFonts w:hint="eastAsia"/>
                <w:color w:val="auto"/>
              </w:rPr>
              <w:t>混合</w:t>
            </w:r>
            <w:r>
              <w:rPr>
                <w:rFonts w:hint="default"/>
                <w:color w:val="auto"/>
              </w:rPr>
              <w:t>罐区</w:t>
            </w:r>
          </w:p>
        </w:tc>
        <w:tc>
          <w:tcPr>
            <w:tcW w:w="6078" w:type="dxa"/>
          </w:tcPr>
          <w:p w14:paraId="1193628A">
            <w:pPr>
              <w:pStyle w:val="167"/>
              <w:keepNext w:val="0"/>
              <w:keepLines w:val="0"/>
              <w:suppressLineNumbers w:val="0"/>
              <w:spacing w:before="0" w:beforeAutospacing="0" w:after="0" w:afterAutospacing="0"/>
              <w:ind w:right="0"/>
              <w:rPr>
                <w:rFonts w:hint="default"/>
                <w:color w:val="auto"/>
              </w:rPr>
            </w:pPr>
            <w:r>
              <w:rPr>
                <w:rFonts w:hint="eastAsia"/>
                <w:color w:val="auto"/>
              </w:rPr>
              <w:t>位于</w:t>
            </w:r>
            <w:r>
              <w:rPr>
                <w:rFonts w:hint="default"/>
                <w:color w:val="auto"/>
              </w:rPr>
              <w:t>码头后方库区，共有6×1</w:t>
            </w:r>
            <w:r>
              <w:rPr>
                <w:rFonts w:hint="eastAsia"/>
                <w:color w:val="auto"/>
              </w:rPr>
              <w:t>0000</w:t>
            </w:r>
            <w:r>
              <w:rPr>
                <w:rFonts w:hint="default"/>
                <w:color w:val="auto"/>
              </w:rPr>
              <w:t>m</w:t>
            </w:r>
            <w:r>
              <w:rPr>
                <w:rFonts w:hint="default"/>
                <w:color w:val="auto"/>
                <w:vertAlign w:val="superscript"/>
              </w:rPr>
              <w:t>3</w:t>
            </w:r>
            <w:r>
              <w:rPr>
                <w:rFonts w:hint="eastAsia"/>
                <w:color w:val="auto"/>
              </w:rPr>
              <w:t>的内浮顶罐，其中2个</w:t>
            </w:r>
            <w:r>
              <w:rPr>
                <w:rFonts w:hint="default"/>
                <w:color w:val="auto"/>
              </w:rPr>
              <w:t>储罐储存柴油，</w:t>
            </w:r>
            <w:r>
              <w:rPr>
                <w:rFonts w:hint="eastAsia"/>
                <w:color w:val="auto"/>
              </w:rPr>
              <w:t>4个</w:t>
            </w:r>
            <w:r>
              <w:rPr>
                <w:rFonts w:hint="default"/>
                <w:color w:val="auto"/>
              </w:rPr>
              <w:t>储罐储存甲醇</w:t>
            </w:r>
          </w:p>
        </w:tc>
        <w:tc>
          <w:tcPr>
            <w:tcW w:w="1174" w:type="dxa"/>
          </w:tcPr>
          <w:p w14:paraId="5E37EFD8">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680B8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restart"/>
            <w:vAlign w:val="center"/>
          </w:tcPr>
          <w:p w14:paraId="48C05586">
            <w:pPr>
              <w:pStyle w:val="167"/>
              <w:keepNext w:val="0"/>
              <w:keepLines w:val="0"/>
              <w:suppressLineNumbers w:val="0"/>
              <w:spacing w:before="0" w:beforeAutospacing="0" w:after="0" w:afterAutospacing="0"/>
              <w:ind w:right="0"/>
              <w:rPr>
                <w:rFonts w:hint="default"/>
                <w:color w:val="auto"/>
              </w:rPr>
            </w:pPr>
            <w:r>
              <w:rPr>
                <w:rFonts w:hint="eastAsia"/>
                <w:color w:val="auto"/>
              </w:rPr>
              <w:t>辅助</w:t>
            </w:r>
            <w:r>
              <w:rPr>
                <w:rFonts w:hint="default"/>
                <w:color w:val="auto"/>
              </w:rPr>
              <w:t>工程</w:t>
            </w:r>
          </w:p>
        </w:tc>
        <w:tc>
          <w:tcPr>
            <w:tcW w:w="1559" w:type="dxa"/>
          </w:tcPr>
          <w:p w14:paraId="159DD5D1">
            <w:pPr>
              <w:pStyle w:val="167"/>
              <w:keepNext w:val="0"/>
              <w:keepLines w:val="0"/>
              <w:suppressLineNumbers w:val="0"/>
              <w:spacing w:before="0" w:beforeAutospacing="0" w:after="0" w:afterAutospacing="0"/>
              <w:ind w:right="0"/>
              <w:rPr>
                <w:rFonts w:hint="default"/>
                <w:color w:val="auto"/>
              </w:rPr>
            </w:pPr>
            <w:r>
              <w:rPr>
                <w:rFonts w:hint="eastAsia"/>
                <w:color w:val="auto"/>
              </w:rPr>
              <w:t>保安室、</w:t>
            </w:r>
            <w:r>
              <w:rPr>
                <w:rFonts w:hint="default"/>
                <w:color w:val="auto"/>
              </w:rPr>
              <w:t>值班室</w:t>
            </w:r>
            <w:r>
              <w:rPr>
                <w:rFonts w:hint="eastAsia"/>
                <w:color w:val="auto"/>
              </w:rPr>
              <w:t>、</w:t>
            </w:r>
            <w:r>
              <w:rPr>
                <w:rFonts w:hint="default"/>
                <w:color w:val="auto"/>
              </w:rPr>
              <w:t>岗亭</w:t>
            </w:r>
          </w:p>
        </w:tc>
        <w:tc>
          <w:tcPr>
            <w:tcW w:w="6078" w:type="dxa"/>
          </w:tcPr>
          <w:p w14:paraId="63206820">
            <w:pPr>
              <w:pStyle w:val="167"/>
              <w:keepNext w:val="0"/>
              <w:keepLines w:val="0"/>
              <w:suppressLineNumbers w:val="0"/>
              <w:spacing w:before="0" w:beforeAutospacing="0" w:after="0" w:afterAutospacing="0"/>
              <w:ind w:right="0"/>
              <w:rPr>
                <w:rFonts w:hint="eastAsia" w:eastAsia="宋体"/>
                <w:color w:val="auto"/>
                <w:lang w:eastAsia="zh-CN"/>
              </w:rPr>
            </w:pPr>
            <w:r>
              <w:rPr>
                <w:rFonts w:hint="eastAsia"/>
                <w:color w:val="auto"/>
              </w:rPr>
              <w:t>库区</w:t>
            </w:r>
            <w:r>
              <w:rPr>
                <w:rFonts w:hint="default"/>
                <w:color w:val="auto"/>
              </w:rPr>
              <w:t>大门设置</w:t>
            </w:r>
            <w:r>
              <w:rPr>
                <w:rFonts w:hint="eastAsia"/>
                <w:color w:val="auto"/>
              </w:rPr>
              <w:t>1间</w:t>
            </w:r>
            <w:r>
              <w:rPr>
                <w:rFonts w:hint="default"/>
                <w:color w:val="auto"/>
              </w:rPr>
              <w:t>保安室</w:t>
            </w:r>
            <w:r>
              <w:rPr>
                <w:rFonts w:hint="eastAsia"/>
                <w:color w:val="auto"/>
              </w:rPr>
              <w:t>，</w:t>
            </w:r>
            <w:r>
              <w:rPr>
                <w:rFonts w:hint="default"/>
                <w:color w:val="auto"/>
              </w:rPr>
              <w:t>厂区北侧设置维保值班室，汽油罐区旁设置</w:t>
            </w:r>
            <w:r>
              <w:rPr>
                <w:rFonts w:hint="eastAsia"/>
                <w:color w:val="auto"/>
              </w:rPr>
              <w:t>1间</w:t>
            </w:r>
            <w:r>
              <w:rPr>
                <w:rFonts w:hint="default"/>
                <w:color w:val="auto"/>
              </w:rPr>
              <w:t>值班室，码头与陆域连接处设置</w:t>
            </w:r>
            <w:r>
              <w:rPr>
                <w:rFonts w:hint="eastAsia"/>
                <w:color w:val="auto"/>
              </w:rPr>
              <w:t>1间</w:t>
            </w:r>
            <w:r>
              <w:rPr>
                <w:rFonts w:hint="default"/>
                <w:color w:val="auto"/>
              </w:rPr>
              <w:t>岗亭</w:t>
            </w:r>
          </w:p>
        </w:tc>
        <w:tc>
          <w:tcPr>
            <w:tcW w:w="1174" w:type="dxa"/>
          </w:tcPr>
          <w:p w14:paraId="6D476C1D">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6C1AE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1C8FE847">
            <w:pPr>
              <w:pStyle w:val="167"/>
              <w:keepNext w:val="0"/>
              <w:keepLines w:val="0"/>
              <w:suppressLineNumbers w:val="0"/>
              <w:spacing w:before="0" w:beforeAutospacing="0" w:after="0" w:afterAutospacing="0"/>
              <w:ind w:right="0"/>
              <w:rPr>
                <w:rFonts w:hint="default"/>
                <w:color w:val="auto"/>
              </w:rPr>
            </w:pPr>
          </w:p>
        </w:tc>
        <w:tc>
          <w:tcPr>
            <w:tcW w:w="1559" w:type="dxa"/>
          </w:tcPr>
          <w:p w14:paraId="57CEB346">
            <w:pPr>
              <w:pStyle w:val="167"/>
              <w:keepNext w:val="0"/>
              <w:keepLines w:val="0"/>
              <w:suppressLineNumbers w:val="0"/>
              <w:spacing w:before="0" w:beforeAutospacing="0" w:after="0" w:afterAutospacing="0"/>
              <w:ind w:right="0"/>
              <w:rPr>
                <w:rFonts w:hint="default"/>
                <w:color w:val="auto"/>
              </w:rPr>
            </w:pPr>
            <w:r>
              <w:rPr>
                <w:rFonts w:hint="eastAsia"/>
                <w:color w:val="auto"/>
              </w:rPr>
              <w:t>控制室及</w:t>
            </w:r>
            <w:r>
              <w:rPr>
                <w:rFonts w:hint="default"/>
                <w:color w:val="auto"/>
              </w:rPr>
              <w:t>检修房</w:t>
            </w:r>
          </w:p>
        </w:tc>
        <w:tc>
          <w:tcPr>
            <w:tcW w:w="6078" w:type="dxa"/>
          </w:tcPr>
          <w:p w14:paraId="2FC06936">
            <w:pPr>
              <w:pStyle w:val="167"/>
              <w:keepNext w:val="0"/>
              <w:keepLines w:val="0"/>
              <w:suppressLineNumbers w:val="0"/>
              <w:spacing w:before="0" w:beforeAutospacing="0" w:after="0" w:afterAutospacing="0"/>
              <w:ind w:right="0"/>
              <w:rPr>
                <w:rFonts w:hint="default"/>
                <w:color w:val="auto"/>
              </w:rPr>
            </w:pPr>
            <w:r>
              <w:rPr>
                <w:rFonts w:hint="eastAsia"/>
                <w:color w:val="auto"/>
              </w:rPr>
              <w:t>位于</w:t>
            </w:r>
            <w:r>
              <w:rPr>
                <w:rFonts w:hint="default"/>
                <w:color w:val="auto"/>
              </w:rPr>
              <w:t>厂区北侧维保值班室旁，占地面积约</w:t>
            </w:r>
            <w:r>
              <w:rPr>
                <w:rFonts w:hint="eastAsia"/>
                <w:color w:val="auto"/>
              </w:rPr>
              <w:t>600</w:t>
            </w:r>
            <w:r>
              <w:rPr>
                <w:rFonts w:hint="default"/>
                <w:color w:val="auto"/>
              </w:rPr>
              <w:t>m</w:t>
            </w:r>
            <w:r>
              <w:rPr>
                <w:rFonts w:hint="default"/>
                <w:color w:val="auto"/>
                <w:vertAlign w:val="superscript"/>
              </w:rPr>
              <w:t>2</w:t>
            </w:r>
          </w:p>
        </w:tc>
        <w:tc>
          <w:tcPr>
            <w:tcW w:w="1174" w:type="dxa"/>
          </w:tcPr>
          <w:p w14:paraId="0390FBDC">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26D87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5EF9B88D">
            <w:pPr>
              <w:pStyle w:val="167"/>
              <w:keepNext w:val="0"/>
              <w:keepLines w:val="0"/>
              <w:suppressLineNumbers w:val="0"/>
              <w:spacing w:before="0" w:beforeAutospacing="0" w:after="0" w:afterAutospacing="0"/>
              <w:ind w:right="0"/>
              <w:rPr>
                <w:rFonts w:hint="default"/>
                <w:color w:val="auto"/>
              </w:rPr>
            </w:pPr>
          </w:p>
        </w:tc>
        <w:tc>
          <w:tcPr>
            <w:tcW w:w="1559" w:type="dxa"/>
          </w:tcPr>
          <w:p w14:paraId="2D29DC0E">
            <w:pPr>
              <w:pStyle w:val="167"/>
              <w:keepNext w:val="0"/>
              <w:keepLines w:val="0"/>
              <w:suppressLineNumbers w:val="0"/>
              <w:spacing w:before="0" w:beforeAutospacing="0" w:after="0" w:afterAutospacing="0"/>
              <w:ind w:right="0"/>
              <w:rPr>
                <w:rFonts w:hint="default"/>
                <w:color w:val="auto"/>
              </w:rPr>
            </w:pPr>
            <w:r>
              <w:rPr>
                <w:rFonts w:hint="eastAsia"/>
                <w:color w:val="auto"/>
              </w:rPr>
              <w:t>空压站、配电房</w:t>
            </w:r>
          </w:p>
        </w:tc>
        <w:tc>
          <w:tcPr>
            <w:tcW w:w="6078" w:type="dxa"/>
          </w:tcPr>
          <w:p w14:paraId="39EBCEF7">
            <w:pPr>
              <w:pStyle w:val="167"/>
              <w:keepNext w:val="0"/>
              <w:keepLines w:val="0"/>
              <w:suppressLineNumbers w:val="0"/>
              <w:spacing w:before="0" w:beforeAutospacing="0" w:after="0" w:afterAutospacing="0"/>
              <w:ind w:right="0"/>
              <w:rPr>
                <w:rFonts w:hint="default"/>
                <w:color w:val="auto"/>
              </w:rPr>
            </w:pPr>
            <w:r>
              <w:rPr>
                <w:rFonts w:hint="eastAsia"/>
                <w:color w:val="auto"/>
              </w:rPr>
              <w:t>空压站设置</w:t>
            </w:r>
            <w:r>
              <w:rPr>
                <w:rFonts w:hint="default"/>
                <w:color w:val="auto"/>
              </w:rPr>
              <w:t>1</w:t>
            </w:r>
            <w:r>
              <w:rPr>
                <w:rFonts w:hint="eastAsia"/>
                <w:color w:val="auto"/>
              </w:rPr>
              <w:t>间</w:t>
            </w:r>
            <w:r>
              <w:rPr>
                <w:rFonts w:hint="default"/>
                <w:color w:val="auto"/>
              </w:rPr>
              <w:t>，</w:t>
            </w:r>
            <w:r>
              <w:rPr>
                <w:rFonts w:hint="eastAsia"/>
                <w:color w:val="auto"/>
              </w:rPr>
              <w:t>配电房</w:t>
            </w:r>
            <w:r>
              <w:rPr>
                <w:rFonts w:hint="default"/>
                <w:color w:val="auto"/>
              </w:rPr>
              <w:t>设置2</w:t>
            </w:r>
            <w:r>
              <w:rPr>
                <w:rFonts w:hint="eastAsia"/>
                <w:color w:val="auto"/>
              </w:rPr>
              <w:t>间</w:t>
            </w:r>
            <w:r>
              <w:rPr>
                <w:rFonts w:hint="default"/>
                <w:color w:val="auto"/>
              </w:rPr>
              <w:t>，</w:t>
            </w:r>
            <w:r>
              <w:rPr>
                <w:rFonts w:hint="eastAsia"/>
                <w:color w:val="auto"/>
              </w:rPr>
              <w:t>空压站</w:t>
            </w:r>
            <w:r>
              <w:rPr>
                <w:rFonts w:hint="default"/>
                <w:color w:val="auto"/>
              </w:rPr>
              <w:t>与</w:t>
            </w:r>
            <w:r>
              <w:rPr>
                <w:rFonts w:hint="eastAsia"/>
                <w:color w:val="auto"/>
              </w:rPr>
              <w:t>1间</w:t>
            </w:r>
            <w:r>
              <w:rPr>
                <w:rFonts w:hint="default"/>
                <w:color w:val="auto"/>
              </w:rPr>
              <w:t>配电房</w:t>
            </w:r>
            <w:r>
              <w:rPr>
                <w:rFonts w:hint="eastAsia"/>
                <w:color w:val="auto"/>
              </w:rPr>
              <w:t>位于厂区北侧维保值班室旁；另一件</w:t>
            </w:r>
            <w:r>
              <w:rPr>
                <w:rFonts w:hint="default"/>
                <w:color w:val="auto"/>
              </w:rPr>
              <w:t>配电房位于汽油罐区旁</w:t>
            </w:r>
          </w:p>
        </w:tc>
        <w:tc>
          <w:tcPr>
            <w:tcW w:w="1174" w:type="dxa"/>
          </w:tcPr>
          <w:p w14:paraId="266FB751">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5B89B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58CA030A">
            <w:pPr>
              <w:pStyle w:val="167"/>
              <w:keepNext w:val="0"/>
              <w:keepLines w:val="0"/>
              <w:suppressLineNumbers w:val="0"/>
              <w:spacing w:before="0" w:beforeAutospacing="0" w:after="0" w:afterAutospacing="0"/>
              <w:ind w:right="0"/>
              <w:rPr>
                <w:rFonts w:hint="default"/>
                <w:color w:val="auto"/>
              </w:rPr>
            </w:pPr>
          </w:p>
        </w:tc>
        <w:tc>
          <w:tcPr>
            <w:tcW w:w="1559" w:type="dxa"/>
          </w:tcPr>
          <w:p w14:paraId="58E37797">
            <w:pPr>
              <w:pStyle w:val="167"/>
              <w:keepNext w:val="0"/>
              <w:keepLines w:val="0"/>
              <w:suppressLineNumbers w:val="0"/>
              <w:spacing w:before="0" w:beforeAutospacing="0" w:after="0" w:afterAutospacing="0"/>
              <w:ind w:right="0"/>
              <w:rPr>
                <w:rFonts w:hint="default"/>
                <w:color w:val="auto"/>
              </w:rPr>
            </w:pPr>
            <w:r>
              <w:rPr>
                <w:rFonts w:hint="eastAsia"/>
                <w:color w:val="auto"/>
              </w:rPr>
              <w:t>仪表间</w:t>
            </w:r>
          </w:p>
        </w:tc>
        <w:tc>
          <w:tcPr>
            <w:tcW w:w="6078" w:type="dxa"/>
          </w:tcPr>
          <w:p w14:paraId="296FB758">
            <w:pPr>
              <w:pStyle w:val="167"/>
              <w:keepNext w:val="0"/>
              <w:keepLines w:val="0"/>
              <w:suppressLineNumbers w:val="0"/>
              <w:spacing w:before="0" w:beforeAutospacing="0" w:after="0" w:afterAutospacing="0"/>
              <w:ind w:right="0"/>
              <w:rPr>
                <w:rFonts w:hint="default"/>
                <w:color w:val="auto"/>
              </w:rPr>
            </w:pPr>
            <w:r>
              <w:rPr>
                <w:rFonts w:hint="eastAsia"/>
                <w:color w:val="auto"/>
              </w:rPr>
              <w:t>设置1间仪表间</w:t>
            </w:r>
            <w:r>
              <w:rPr>
                <w:rFonts w:hint="default"/>
                <w:color w:val="auto"/>
              </w:rPr>
              <w:t>，位于柴油罐区旁</w:t>
            </w:r>
          </w:p>
        </w:tc>
        <w:tc>
          <w:tcPr>
            <w:tcW w:w="1174" w:type="dxa"/>
          </w:tcPr>
          <w:p w14:paraId="3DD97C7E">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0784D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4D93BC89">
            <w:pPr>
              <w:pStyle w:val="167"/>
              <w:keepNext w:val="0"/>
              <w:keepLines w:val="0"/>
              <w:suppressLineNumbers w:val="0"/>
              <w:spacing w:before="0" w:beforeAutospacing="0" w:after="0" w:afterAutospacing="0"/>
              <w:ind w:right="0"/>
              <w:rPr>
                <w:rFonts w:hint="default"/>
                <w:color w:val="auto"/>
              </w:rPr>
            </w:pPr>
          </w:p>
        </w:tc>
        <w:tc>
          <w:tcPr>
            <w:tcW w:w="1559" w:type="dxa"/>
          </w:tcPr>
          <w:p w14:paraId="37B4C523">
            <w:pPr>
              <w:pStyle w:val="167"/>
              <w:keepNext w:val="0"/>
              <w:keepLines w:val="0"/>
              <w:suppressLineNumbers w:val="0"/>
              <w:spacing w:before="0" w:beforeAutospacing="0" w:after="0" w:afterAutospacing="0"/>
              <w:ind w:right="0"/>
              <w:rPr>
                <w:rFonts w:hint="default"/>
                <w:color w:val="auto"/>
              </w:rPr>
            </w:pPr>
            <w:r>
              <w:rPr>
                <w:rFonts w:hint="eastAsia"/>
                <w:color w:val="auto"/>
              </w:rPr>
              <w:t>泵房</w:t>
            </w:r>
          </w:p>
        </w:tc>
        <w:tc>
          <w:tcPr>
            <w:tcW w:w="6078" w:type="dxa"/>
          </w:tcPr>
          <w:p w14:paraId="2CFBA2BD">
            <w:pPr>
              <w:pStyle w:val="167"/>
              <w:keepNext w:val="0"/>
              <w:keepLines w:val="0"/>
              <w:suppressLineNumbers w:val="0"/>
              <w:spacing w:before="0" w:beforeAutospacing="0" w:after="0" w:afterAutospacing="0"/>
              <w:ind w:right="0"/>
              <w:rPr>
                <w:rFonts w:hint="default"/>
                <w:color w:val="auto"/>
              </w:rPr>
            </w:pPr>
            <w:r>
              <w:rPr>
                <w:rFonts w:hint="eastAsia"/>
                <w:color w:val="auto"/>
              </w:rPr>
              <w:t>共</w:t>
            </w:r>
            <w:r>
              <w:rPr>
                <w:rFonts w:hint="default"/>
                <w:color w:val="auto"/>
              </w:rPr>
              <w:t>设置</w:t>
            </w:r>
            <w:r>
              <w:rPr>
                <w:rFonts w:hint="eastAsia"/>
                <w:color w:val="auto"/>
              </w:rPr>
              <w:t>6处</w:t>
            </w:r>
            <w:r>
              <w:rPr>
                <w:rFonts w:hint="default"/>
                <w:color w:val="auto"/>
              </w:rPr>
              <w:t>泵房，分别为</w:t>
            </w:r>
            <w:r>
              <w:rPr>
                <w:rFonts w:hint="eastAsia"/>
                <w:color w:val="auto"/>
              </w:rPr>
              <w:t>重油</w:t>
            </w:r>
            <w:r>
              <w:rPr>
                <w:rFonts w:hint="default"/>
                <w:color w:val="auto"/>
              </w:rPr>
              <w:t>泵房、柴油泵房、</w:t>
            </w:r>
            <w:r>
              <w:rPr>
                <w:rFonts w:hint="eastAsia"/>
                <w:color w:val="auto"/>
              </w:rPr>
              <w:t>汽油</w:t>
            </w:r>
            <w:r>
              <w:rPr>
                <w:rFonts w:hint="default"/>
                <w:color w:val="auto"/>
              </w:rPr>
              <w:t>泵房、</w:t>
            </w:r>
            <w:r>
              <w:rPr>
                <w:rFonts w:hint="eastAsia"/>
                <w:color w:val="auto"/>
              </w:rPr>
              <w:t>原油</w:t>
            </w:r>
            <w:r>
              <w:rPr>
                <w:rFonts w:hint="default"/>
                <w:color w:val="auto"/>
              </w:rPr>
              <w:t>泵房、</w:t>
            </w:r>
            <w:r>
              <w:rPr>
                <w:rFonts w:hint="eastAsia"/>
                <w:color w:val="auto"/>
              </w:rPr>
              <w:t>消防</w:t>
            </w:r>
            <w:r>
              <w:rPr>
                <w:rFonts w:hint="default"/>
                <w:color w:val="auto"/>
              </w:rPr>
              <w:t>泵房、提升泵</w:t>
            </w:r>
            <w:r>
              <w:rPr>
                <w:rFonts w:hint="eastAsia"/>
                <w:color w:val="auto"/>
              </w:rPr>
              <w:t>棚</w:t>
            </w:r>
            <w:r>
              <w:rPr>
                <w:rFonts w:hint="default"/>
                <w:color w:val="auto"/>
              </w:rPr>
              <w:t>（</w:t>
            </w:r>
            <w:r>
              <w:rPr>
                <w:rFonts w:hint="eastAsia"/>
                <w:color w:val="auto"/>
              </w:rPr>
              <w:t>用于</w:t>
            </w:r>
            <w:r>
              <w:rPr>
                <w:rFonts w:hint="default"/>
                <w:color w:val="auto"/>
              </w:rPr>
              <w:t>事故应急池的污水提升）</w:t>
            </w:r>
          </w:p>
        </w:tc>
        <w:tc>
          <w:tcPr>
            <w:tcW w:w="1174" w:type="dxa"/>
          </w:tcPr>
          <w:p w14:paraId="4C9EEA07">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0A557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0F77F8ED">
            <w:pPr>
              <w:pStyle w:val="167"/>
              <w:keepNext w:val="0"/>
              <w:keepLines w:val="0"/>
              <w:suppressLineNumbers w:val="0"/>
              <w:spacing w:before="0" w:beforeAutospacing="0" w:after="0" w:afterAutospacing="0"/>
              <w:ind w:right="0"/>
              <w:rPr>
                <w:rFonts w:hint="default"/>
                <w:color w:val="auto"/>
              </w:rPr>
            </w:pPr>
          </w:p>
        </w:tc>
        <w:tc>
          <w:tcPr>
            <w:tcW w:w="1559" w:type="dxa"/>
          </w:tcPr>
          <w:p w14:paraId="08954F0D">
            <w:pPr>
              <w:pStyle w:val="167"/>
              <w:keepNext w:val="0"/>
              <w:keepLines w:val="0"/>
              <w:suppressLineNumbers w:val="0"/>
              <w:spacing w:before="0" w:beforeAutospacing="0" w:after="0" w:afterAutospacing="0"/>
              <w:ind w:right="0"/>
              <w:rPr>
                <w:rFonts w:hint="default"/>
                <w:color w:val="auto"/>
              </w:rPr>
            </w:pPr>
            <w:r>
              <w:rPr>
                <w:rFonts w:hint="eastAsia"/>
                <w:color w:val="auto"/>
              </w:rPr>
              <w:t>消防</w:t>
            </w:r>
            <w:r>
              <w:rPr>
                <w:rFonts w:hint="default"/>
                <w:color w:val="auto"/>
              </w:rPr>
              <w:t>水罐</w:t>
            </w:r>
          </w:p>
        </w:tc>
        <w:tc>
          <w:tcPr>
            <w:tcW w:w="6078" w:type="dxa"/>
          </w:tcPr>
          <w:p w14:paraId="63066CFA">
            <w:pPr>
              <w:pStyle w:val="167"/>
              <w:keepNext w:val="0"/>
              <w:keepLines w:val="0"/>
              <w:suppressLineNumbers w:val="0"/>
              <w:spacing w:before="0" w:beforeAutospacing="0" w:after="0" w:afterAutospacing="0"/>
              <w:ind w:right="0"/>
              <w:rPr>
                <w:rFonts w:hint="default"/>
                <w:color w:val="auto"/>
              </w:rPr>
            </w:pPr>
            <w:r>
              <w:rPr>
                <w:rFonts w:hint="eastAsia"/>
                <w:color w:val="auto"/>
              </w:rPr>
              <w:t>位于</w:t>
            </w:r>
            <w:r>
              <w:rPr>
                <w:rFonts w:hint="default"/>
                <w:color w:val="auto"/>
              </w:rPr>
              <w:t>库区西南角，共</w:t>
            </w:r>
            <w:r>
              <w:rPr>
                <w:rFonts w:hint="eastAsia"/>
                <w:color w:val="auto"/>
              </w:rPr>
              <w:t>设有2个</w:t>
            </w:r>
            <w:r>
              <w:rPr>
                <w:rFonts w:hint="default"/>
                <w:color w:val="auto"/>
              </w:rPr>
              <w:t>消防水罐，每个</w:t>
            </w:r>
            <w:r>
              <w:rPr>
                <w:rFonts w:hint="eastAsia"/>
                <w:color w:val="auto"/>
              </w:rPr>
              <w:t>3000</w:t>
            </w:r>
            <w:r>
              <w:rPr>
                <w:rFonts w:hint="default"/>
                <w:color w:val="auto"/>
              </w:rPr>
              <w:t>m</w:t>
            </w:r>
            <w:r>
              <w:rPr>
                <w:rFonts w:hint="default"/>
                <w:color w:val="auto"/>
                <w:vertAlign w:val="superscript"/>
              </w:rPr>
              <w:t>3</w:t>
            </w:r>
          </w:p>
        </w:tc>
        <w:tc>
          <w:tcPr>
            <w:tcW w:w="1174" w:type="dxa"/>
          </w:tcPr>
          <w:p w14:paraId="088FA910">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1BA68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0AB88721">
            <w:pPr>
              <w:pStyle w:val="167"/>
              <w:keepNext w:val="0"/>
              <w:keepLines w:val="0"/>
              <w:suppressLineNumbers w:val="0"/>
              <w:spacing w:before="0" w:beforeAutospacing="0" w:after="0" w:afterAutospacing="0"/>
              <w:ind w:right="0"/>
              <w:rPr>
                <w:rFonts w:hint="default"/>
                <w:color w:val="auto"/>
              </w:rPr>
            </w:pPr>
          </w:p>
        </w:tc>
        <w:tc>
          <w:tcPr>
            <w:tcW w:w="1559" w:type="dxa"/>
            <w:vAlign w:val="center"/>
          </w:tcPr>
          <w:p w14:paraId="6424BFBF">
            <w:pPr>
              <w:pStyle w:val="167"/>
              <w:keepNext w:val="0"/>
              <w:keepLines w:val="0"/>
              <w:suppressLineNumbers w:val="0"/>
              <w:spacing w:before="0" w:beforeAutospacing="0" w:after="0" w:afterAutospacing="0"/>
              <w:ind w:right="0"/>
              <w:jc w:val="center"/>
              <w:rPr>
                <w:rFonts w:hint="default"/>
                <w:color w:val="auto"/>
                <w:u w:val="single"/>
              </w:rPr>
            </w:pPr>
            <w:r>
              <w:rPr>
                <w:rFonts w:hint="eastAsia"/>
                <w:color w:val="auto"/>
                <w:u w:val="single"/>
              </w:rPr>
              <w:t>污水</w:t>
            </w:r>
            <w:r>
              <w:rPr>
                <w:rFonts w:hint="default"/>
                <w:color w:val="auto"/>
                <w:u w:val="single"/>
              </w:rPr>
              <w:t>处理设施</w:t>
            </w:r>
          </w:p>
        </w:tc>
        <w:tc>
          <w:tcPr>
            <w:tcW w:w="6078" w:type="dxa"/>
            <w:vAlign w:val="center"/>
          </w:tcPr>
          <w:p w14:paraId="70DCFC84">
            <w:pPr>
              <w:pStyle w:val="167"/>
              <w:keepNext w:val="0"/>
              <w:keepLines w:val="0"/>
              <w:suppressLineNumbers w:val="0"/>
              <w:spacing w:before="0" w:beforeAutospacing="0" w:after="0" w:afterAutospacing="0"/>
              <w:ind w:right="0"/>
              <w:jc w:val="center"/>
              <w:rPr>
                <w:rFonts w:hint="default"/>
                <w:color w:val="auto"/>
                <w:u w:val="single"/>
              </w:rPr>
            </w:pPr>
            <w:r>
              <w:rPr>
                <w:rFonts w:hint="eastAsia"/>
                <w:color w:val="auto"/>
                <w:u w:val="single"/>
              </w:rPr>
              <w:t>设计处理</w:t>
            </w:r>
            <w:r>
              <w:rPr>
                <w:rFonts w:hint="default"/>
                <w:color w:val="auto"/>
                <w:u w:val="single"/>
              </w:rPr>
              <w:t>规模为</w:t>
            </w:r>
            <w:r>
              <w:rPr>
                <w:rFonts w:hint="eastAsia"/>
                <w:color w:val="auto"/>
                <w:u w:val="single"/>
              </w:rPr>
              <w:t>100</w:t>
            </w:r>
            <w:r>
              <w:rPr>
                <w:rFonts w:hint="default"/>
                <w:color w:val="auto"/>
                <w:u w:val="single"/>
              </w:rPr>
              <w:t>m</w:t>
            </w:r>
            <w:r>
              <w:rPr>
                <w:rFonts w:hint="default"/>
                <w:color w:val="auto"/>
                <w:u w:val="single"/>
                <w:vertAlign w:val="superscript"/>
              </w:rPr>
              <w:t>3</w:t>
            </w:r>
            <w:r>
              <w:rPr>
                <w:rFonts w:hint="default"/>
                <w:color w:val="auto"/>
                <w:u w:val="single"/>
              </w:rPr>
              <w:t>/h，</w:t>
            </w:r>
            <w:r>
              <w:rPr>
                <w:rFonts w:hint="eastAsia"/>
                <w:color w:val="auto"/>
                <w:u w:val="single"/>
              </w:rPr>
              <w:t>设有</w:t>
            </w:r>
            <w:r>
              <w:rPr>
                <w:rFonts w:hint="default"/>
                <w:color w:val="auto"/>
                <w:u w:val="single"/>
              </w:rPr>
              <w:t>集水井、沉砂池、调节池、气浮池、沉淀池、清水池等，各池总容积</w:t>
            </w:r>
            <w:r>
              <w:rPr>
                <w:rFonts w:hint="eastAsia"/>
                <w:color w:val="auto"/>
                <w:u w:val="single"/>
              </w:rPr>
              <w:t>约3000</w:t>
            </w:r>
            <w:r>
              <w:rPr>
                <w:rFonts w:hint="default"/>
                <w:color w:val="auto"/>
                <w:u w:val="single"/>
              </w:rPr>
              <w:t>m</w:t>
            </w:r>
            <w:r>
              <w:rPr>
                <w:rFonts w:hint="default"/>
                <w:color w:val="auto"/>
                <w:u w:val="single"/>
                <w:vertAlign w:val="superscript"/>
              </w:rPr>
              <w:t>3</w:t>
            </w:r>
            <w:r>
              <w:rPr>
                <w:rFonts w:hint="eastAsia"/>
                <w:color w:val="auto"/>
                <w:u w:val="single"/>
              </w:rPr>
              <w:t>。</w:t>
            </w:r>
          </w:p>
        </w:tc>
        <w:tc>
          <w:tcPr>
            <w:tcW w:w="1174" w:type="dxa"/>
          </w:tcPr>
          <w:p w14:paraId="68D05700">
            <w:pPr>
              <w:pStyle w:val="167"/>
              <w:keepNext w:val="0"/>
              <w:keepLines w:val="0"/>
              <w:suppressLineNumbers w:val="0"/>
              <w:spacing w:before="0" w:beforeAutospacing="0" w:after="0" w:afterAutospacing="0"/>
              <w:ind w:right="0"/>
              <w:jc w:val="both"/>
              <w:rPr>
                <w:rFonts w:hint="default"/>
                <w:color w:val="auto"/>
                <w:u w:val="single"/>
              </w:rPr>
            </w:pPr>
            <w:r>
              <w:rPr>
                <w:rFonts w:hint="eastAsia"/>
                <w:color w:val="auto"/>
                <w:u w:val="single"/>
              </w:rPr>
              <w:t>2016年已</w:t>
            </w:r>
            <w:r>
              <w:rPr>
                <w:rFonts w:hint="default"/>
                <w:color w:val="auto"/>
                <w:u w:val="single"/>
              </w:rPr>
              <w:t>停</w:t>
            </w:r>
            <w:r>
              <w:rPr>
                <w:rFonts w:hint="eastAsia"/>
                <w:color w:val="auto"/>
                <w:u w:val="single"/>
              </w:rPr>
              <w:t>运</w:t>
            </w:r>
            <w:r>
              <w:rPr>
                <w:rFonts w:hint="default"/>
                <w:color w:val="auto"/>
                <w:u w:val="single"/>
              </w:rPr>
              <w:t>，</w:t>
            </w:r>
            <w:r>
              <w:rPr>
                <w:rFonts w:hint="eastAsia"/>
                <w:color w:val="auto"/>
                <w:u w:val="single"/>
              </w:rPr>
              <w:t>目前</w:t>
            </w:r>
            <w:r>
              <w:rPr>
                <w:rFonts w:hint="default"/>
                <w:color w:val="auto"/>
                <w:u w:val="single"/>
              </w:rPr>
              <w:t>仅做收集污水</w:t>
            </w:r>
            <w:r>
              <w:rPr>
                <w:rFonts w:hint="eastAsia"/>
                <w:color w:val="auto"/>
                <w:u w:val="single"/>
                <w:lang w:eastAsia="zh-CN"/>
              </w:rPr>
              <w:t>及隔油使</w:t>
            </w:r>
            <w:r>
              <w:rPr>
                <w:rFonts w:hint="default"/>
                <w:color w:val="auto"/>
                <w:u w:val="single"/>
              </w:rPr>
              <w:t>用</w:t>
            </w:r>
          </w:p>
        </w:tc>
      </w:tr>
      <w:tr w14:paraId="52CE8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5FD6BFFF">
            <w:pPr>
              <w:pStyle w:val="167"/>
              <w:keepNext w:val="0"/>
              <w:keepLines w:val="0"/>
              <w:suppressLineNumbers w:val="0"/>
              <w:spacing w:before="0" w:beforeAutospacing="0" w:after="0" w:afterAutospacing="0"/>
              <w:ind w:right="0"/>
              <w:rPr>
                <w:rFonts w:hint="default"/>
                <w:color w:val="auto"/>
              </w:rPr>
            </w:pPr>
          </w:p>
        </w:tc>
        <w:tc>
          <w:tcPr>
            <w:tcW w:w="1559" w:type="dxa"/>
          </w:tcPr>
          <w:p w14:paraId="4C9071FA">
            <w:pPr>
              <w:pStyle w:val="167"/>
              <w:keepNext w:val="0"/>
              <w:keepLines w:val="0"/>
              <w:suppressLineNumbers w:val="0"/>
              <w:spacing w:before="0" w:beforeAutospacing="0" w:after="0" w:afterAutospacing="0"/>
              <w:ind w:right="0"/>
              <w:rPr>
                <w:rFonts w:hint="default"/>
                <w:color w:val="auto"/>
              </w:rPr>
            </w:pPr>
            <w:r>
              <w:rPr>
                <w:rFonts w:hint="eastAsia"/>
                <w:color w:val="auto"/>
              </w:rPr>
              <w:t>装车</w:t>
            </w:r>
            <w:r>
              <w:rPr>
                <w:rFonts w:hint="default"/>
                <w:color w:val="auto"/>
              </w:rPr>
              <w:t>台</w:t>
            </w:r>
          </w:p>
        </w:tc>
        <w:tc>
          <w:tcPr>
            <w:tcW w:w="6078" w:type="dxa"/>
          </w:tcPr>
          <w:p w14:paraId="5C716394">
            <w:pPr>
              <w:pStyle w:val="167"/>
              <w:keepNext w:val="0"/>
              <w:keepLines w:val="0"/>
              <w:suppressLineNumbers w:val="0"/>
              <w:spacing w:before="0" w:beforeAutospacing="0" w:after="0" w:afterAutospacing="0"/>
              <w:ind w:right="0"/>
              <w:rPr>
                <w:rFonts w:hint="default"/>
                <w:color w:val="auto"/>
              </w:rPr>
            </w:pPr>
            <w:r>
              <w:rPr>
                <w:rFonts w:hint="eastAsia"/>
                <w:color w:val="auto"/>
              </w:rPr>
              <w:t>设置1处</w:t>
            </w:r>
            <w:r>
              <w:rPr>
                <w:rFonts w:hint="default"/>
                <w:color w:val="auto"/>
              </w:rPr>
              <w:t>装车台</w:t>
            </w:r>
            <w:r>
              <w:rPr>
                <w:rFonts w:hint="eastAsia"/>
                <w:color w:val="auto"/>
              </w:rPr>
              <w:t>和1处火车</w:t>
            </w:r>
            <w:r>
              <w:rPr>
                <w:rFonts w:hint="default"/>
                <w:color w:val="auto"/>
              </w:rPr>
              <w:t>装车台（</w:t>
            </w:r>
            <w:r>
              <w:rPr>
                <w:rFonts w:hint="eastAsia"/>
                <w:color w:val="auto"/>
              </w:rPr>
              <w:t>火车</w:t>
            </w:r>
            <w:r>
              <w:rPr>
                <w:rFonts w:hint="default"/>
                <w:color w:val="auto"/>
              </w:rPr>
              <w:t>装车台有</w:t>
            </w:r>
            <w:r>
              <w:rPr>
                <w:rFonts w:hint="eastAsia"/>
                <w:color w:val="auto"/>
              </w:rPr>
              <w:t>2条</w:t>
            </w:r>
            <w:r>
              <w:rPr>
                <w:rFonts w:hint="default"/>
                <w:color w:val="auto"/>
              </w:rPr>
              <w:t>装车线）</w:t>
            </w:r>
          </w:p>
        </w:tc>
        <w:tc>
          <w:tcPr>
            <w:tcW w:w="1174" w:type="dxa"/>
          </w:tcPr>
          <w:p w14:paraId="050603DB">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7A7A6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5867D7EB">
            <w:pPr>
              <w:pStyle w:val="167"/>
              <w:keepNext w:val="0"/>
              <w:keepLines w:val="0"/>
              <w:suppressLineNumbers w:val="0"/>
              <w:spacing w:before="0" w:beforeAutospacing="0" w:after="0" w:afterAutospacing="0"/>
              <w:ind w:right="0"/>
              <w:rPr>
                <w:rFonts w:hint="default"/>
                <w:color w:val="auto"/>
              </w:rPr>
            </w:pPr>
          </w:p>
        </w:tc>
        <w:tc>
          <w:tcPr>
            <w:tcW w:w="1559" w:type="dxa"/>
          </w:tcPr>
          <w:p w14:paraId="22D33AD3">
            <w:pPr>
              <w:pStyle w:val="167"/>
              <w:keepNext w:val="0"/>
              <w:keepLines w:val="0"/>
              <w:suppressLineNumbers w:val="0"/>
              <w:spacing w:before="0" w:beforeAutospacing="0" w:after="0" w:afterAutospacing="0"/>
              <w:ind w:right="0"/>
              <w:rPr>
                <w:rFonts w:hint="default"/>
                <w:color w:val="auto"/>
              </w:rPr>
            </w:pPr>
            <w:r>
              <w:rPr>
                <w:rFonts w:hint="eastAsia"/>
                <w:color w:val="auto"/>
              </w:rPr>
              <w:t>应急</w:t>
            </w:r>
            <w:r>
              <w:rPr>
                <w:rFonts w:hint="default"/>
                <w:color w:val="auto"/>
              </w:rPr>
              <w:t>物资库</w:t>
            </w:r>
          </w:p>
        </w:tc>
        <w:tc>
          <w:tcPr>
            <w:tcW w:w="6078" w:type="dxa"/>
          </w:tcPr>
          <w:p w14:paraId="1C846C13">
            <w:pPr>
              <w:pStyle w:val="167"/>
              <w:keepNext w:val="0"/>
              <w:keepLines w:val="0"/>
              <w:suppressLineNumbers w:val="0"/>
              <w:spacing w:before="0" w:beforeAutospacing="0" w:after="0" w:afterAutospacing="0"/>
              <w:ind w:right="0"/>
              <w:rPr>
                <w:rFonts w:hint="default"/>
                <w:color w:val="auto"/>
              </w:rPr>
            </w:pPr>
            <w:r>
              <w:rPr>
                <w:rFonts w:hint="eastAsia"/>
                <w:color w:val="auto"/>
              </w:rPr>
              <w:t>共2间</w:t>
            </w:r>
            <w:r>
              <w:rPr>
                <w:rFonts w:hint="default"/>
                <w:color w:val="auto"/>
              </w:rPr>
              <w:t>，</w:t>
            </w:r>
            <w:r>
              <w:rPr>
                <w:rFonts w:hint="eastAsia"/>
                <w:color w:val="auto"/>
              </w:rPr>
              <w:t>分别</w:t>
            </w:r>
            <w:r>
              <w:rPr>
                <w:rFonts w:hint="default"/>
                <w:color w:val="auto"/>
              </w:rPr>
              <w:t>为溢油应急物资库和应急物资库</w:t>
            </w:r>
          </w:p>
        </w:tc>
        <w:tc>
          <w:tcPr>
            <w:tcW w:w="1174" w:type="dxa"/>
          </w:tcPr>
          <w:p w14:paraId="1F32C9F4">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03FB6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restart"/>
          </w:tcPr>
          <w:p w14:paraId="43C92DBD">
            <w:pPr>
              <w:pStyle w:val="167"/>
              <w:keepNext w:val="0"/>
              <w:keepLines w:val="0"/>
              <w:suppressLineNumbers w:val="0"/>
              <w:spacing w:before="0" w:beforeAutospacing="0" w:after="0" w:afterAutospacing="0"/>
              <w:ind w:right="0"/>
              <w:rPr>
                <w:rFonts w:hint="default"/>
                <w:color w:val="auto"/>
              </w:rPr>
            </w:pPr>
            <w:r>
              <w:rPr>
                <w:rFonts w:hint="eastAsia"/>
                <w:color w:val="auto"/>
              </w:rPr>
              <w:t>配套</w:t>
            </w:r>
            <w:r>
              <w:rPr>
                <w:rFonts w:hint="default"/>
                <w:color w:val="auto"/>
              </w:rPr>
              <w:t>工程</w:t>
            </w:r>
          </w:p>
        </w:tc>
        <w:tc>
          <w:tcPr>
            <w:tcW w:w="1559" w:type="dxa"/>
          </w:tcPr>
          <w:p w14:paraId="17EC81E8">
            <w:pPr>
              <w:pStyle w:val="167"/>
              <w:keepNext w:val="0"/>
              <w:keepLines w:val="0"/>
              <w:suppressLineNumbers w:val="0"/>
              <w:spacing w:before="0" w:beforeAutospacing="0" w:after="0" w:afterAutospacing="0"/>
              <w:ind w:right="0"/>
              <w:rPr>
                <w:rFonts w:hint="default"/>
                <w:color w:val="auto"/>
              </w:rPr>
            </w:pPr>
            <w:r>
              <w:rPr>
                <w:rFonts w:hint="eastAsia"/>
                <w:color w:val="auto"/>
              </w:rPr>
              <w:t>给排水</w:t>
            </w:r>
          </w:p>
        </w:tc>
        <w:tc>
          <w:tcPr>
            <w:tcW w:w="6078" w:type="dxa"/>
          </w:tcPr>
          <w:p w14:paraId="67405761">
            <w:pPr>
              <w:pStyle w:val="167"/>
              <w:keepNext w:val="0"/>
              <w:keepLines w:val="0"/>
              <w:suppressLineNumbers w:val="0"/>
              <w:spacing w:before="0" w:beforeAutospacing="0" w:after="0" w:afterAutospacing="0"/>
              <w:ind w:right="0"/>
              <w:jc w:val="both"/>
              <w:rPr>
                <w:rFonts w:hint="default"/>
                <w:color w:val="auto"/>
              </w:rPr>
            </w:pPr>
            <w:r>
              <w:rPr>
                <w:rFonts w:hint="eastAsia"/>
                <w:color w:val="auto"/>
              </w:rPr>
              <w:t>由</w:t>
            </w:r>
            <w:r>
              <w:rPr>
                <w:rFonts w:hint="default"/>
                <w:color w:val="auto"/>
              </w:rPr>
              <w:t>钦州港自来水管网供给，</w:t>
            </w:r>
            <w:r>
              <w:rPr>
                <w:rFonts w:hint="eastAsia"/>
                <w:color w:val="auto"/>
              </w:rPr>
              <w:t>提供</w:t>
            </w:r>
            <w:r>
              <w:rPr>
                <w:rFonts w:hint="default"/>
                <w:color w:val="auto"/>
              </w:rPr>
              <w:t>码头及库区的清扫用水、油罐冲洗用水</w:t>
            </w:r>
            <w:r>
              <w:rPr>
                <w:rFonts w:hint="eastAsia"/>
                <w:color w:val="auto"/>
              </w:rPr>
              <w:t>、</w:t>
            </w:r>
            <w:r>
              <w:rPr>
                <w:rFonts w:hint="default"/>
                <w:color w:val="auto"/>
              </w:rPr>
              <w:t>生活用水等，管网压力</w:t>
            </w:r>
            <w:r>
              <w:rPr>
                <w:rFonts w:hint="eastAsia"/>
                <w:color w:val="auto"/>
              </w:rPr>
              <w:t>0.3MP</w:t>
            </w:r>
            <w:r>
              <w:rPr>
                <w:rFonts w:hint="default"/>
                <w:color w:val="auto"/>
              </w:rPr>
              <w:t>a。</w:t>
            </w:r>
          </w:p>
          <w:p w14:paraId="2A6503A0">
            <w:pPr>
              <w:pStyle w:val="167"/>
              <w:keepNext w:val="0"/>
              <w:keepLines w:val="0"/>
              <w:suppressLineNumbers w:val="0"/>
              <w:spacing w:before="0" w:beforeAutospacing="0" w:after="0" w:afterAutospacing="0"/>
              <w:ind w:right="0"/>
              <w:jc w:val="both"/>
              <w:rPr>
                <w:rFonts w:hint="default"/>
                <w:color w:val="auto"/>
              </w:rPr>
            </w:pPr>
            <w:r>
              <w:rPr>
                <w:rFonts w:hint="eastAsia"/>
                <w:color w:val="auto"/>
              </w:rPr>
              <w:t>生活污水、罐区内初期污染雨水、储罐油品切水、地面冲洗水收集后，由罐车运回东油沥青厂区后统一通过管网输送至广西石化污水处理场进行处理。</w:t>
            </w:r>
          </w:p>
        </w:tc>
        <w:tc>
          <w:tcPr>
            <w:tcW w:w="1174" w:type="dxa"/>
          </w:tcPr>
          <w:p w14:paraId="0048CD5F">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6008B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5F3100FF">
            <w:pPr>
              <w:pStyle w:val="167"/>
              <w:keepNext w:val="0"/>
              <w:keepLines w:val="0"/>
              <w:suppressLineNumbers w:val="0"/>
              <w:spacing w:before="0" w:beforeAutospacing="0" w:after="0" w:afterAutospacing="0"/>
              <w:ind w:right="0"/>
              <w:rPr>
                <w:rFonts w:hint="default"/>
                <w:color w:val="auto"/>
              </w:rPr>
            </w:pPr>
          </w:p>
        </w:tc>
        <w:tc>
          <w:tcPr>
            <w:tcW w:w="1559" w:type="dxa"/>
          </w:tcPr>
          <w:p w14:paraId="760018B3">
            <w:pPr>
              <w:pStyle w:val="167"/>
              <w:keepNext w:val="0"/>
              <w:keepLines w:val="0"/>
              <w:suppressLineNumbers w:val="0"/>
              <w:spacing w:before="0" w:beforeAutospacing="0" w:after="0" w:afterAutospacing="0"/>
              <w:ind w:right="0"/>
              <w:rPr>
                <w:rFonts w:hint="default"/>
                <w:color w:val="auto"/>
              </w:rPr>
            </w:pPr>
            <w:r>
              <w:rPr>
                <w:rFonts w:hint="eastAsia"/>
                <w:color w:val="auto"/>
              </w:rPr>
              <w:t>供电</w:t>
            </w:r>
          </w:p>
        </w:tc>
        <w:tc>
          <w:tcPr>
            <w:tcW w:w="6078" w:type="dxa"/>
          </w:tcPr>
          <w:p w14:paraId="7CC091D2">
            <w:pPr>
              <w:pStyle w:val="167"/>
              <w:keepNext w:val="0"/>
              <w:keepLines w:val="0"/>
              <w:suppressLineNumbers w:val="0"/>
              <w:spacing w:before="0" w:beforeAutospacing="0" w:after="0" w:afterAutospacing="0"/>
              <w:ind w:right="0"/>
              <w:jc w:val="both"/>
              <w:rPr>
                <w:rFonts w:hint="default"/>
                <w:color w:val="auto"/>
              </w:rPr>
            </w:pPr>
            <w:r>
              <w:rPr>
                <w:rFonts w:hint="eastAsia"/>
                <w:color w:val="auto"/>
              </w:rPr>
              <w:t>库区中部设有10/0.4kV变配电所1座，变配电所由变压器室、高压配电间及低压配电间组成，变压器室内设有1台500kVA变压器。库区北部空压站旁设有低压配电间1间，设有1台500kVA变压器。码头入口处设置有配电间。</w:t>
            </w:r>
          </w:p>
        </w:tc>
        <w:tc>
          <w:tcPr>
            <w:tcW w:w="1174" w:type="dxa"/>
          </w:tcPr>
          <w:p w14:paraId="02A71CCE">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7E14C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48DBE75C">
            <w:pPr>
              <w:pStyle w:val="167"/>
              <w:keepNext w:val="0"/>
              <w:keepLines w:val="0"/>
              <w:suppressLineNumbers w:val="0"/>
              <w:spacing w:before="0" w:beforeAutospacing="0" w:after="0" w:afterAutospacing="0"/>
              <w:ind w:right="0"/>
              <w:rPr>
                <w:rFonts w:hint="default"/>
                <w:color w:val="auto"/>
              </w:rPr>
            </w:pPr>
          </w:p>
        </w:tc>
        <w:tc>
          <w:tcPr>
            <w:tcW w:w="1559" w:type="dxa"/>
          </w:tcPr>
          <w:p w14:paraId="3747906F">
            <w:pPr>
              <w:pStyle w:val="167"/>
              <w:keepNext w:val="0"/>
              <w:keepLines w:val="0"/>
              <w:suppressLineNumbers w:val="0"/>
              <w:spacing w:before="0" w:beforeAutospacing="0" w:after="0" w:afterAutospacing="0"/>
              <w:ind w:right="0"/>
              <w:rPr>
                <w:rFonts w:hint="default"/>
                <w:color w:val="auto"/>
              </w:rPr>
            </w:pPr>
            <w:r>
              <w:rPr>
                <w:rFonts w:hint="eastAsia"/>
                <w:color w:val="auto"/>
              </w:rPr>
              <w:t>消防</w:t>
            </w:r>
          </w:p>
        </w:tc>
        <w:tc>
          <w:tcPr>
            <w:tcW w:w="6078" w:type="dxa"/>
          </w:tcPr>
          <w:p w14:paraId="4F7CCE43">
            <w:pPr>
              <w:pStyle w:val="167"/>
              <w:keepNext w:val="0"/>
              <w:keepLines w:val="0"/>
              <w:suppressLineNumbers w:val="0"/>
              <w:spacing w:before="0" w:beforeAutospacing="0" w:after="0" w:afterAutospacing="0"/>
              <w:ind w:right="0"/>
              <w:rPr>
                <w:rFonts w:hint="default"/>
                <w:color w:val="auto"/>
              </w:rPr>
            </w:pPr>
            <w:r>
              <w:rPr>
                <w:rFonts w:hint="eastAsia"/>
                <w:color w:val="auto"/>
              </w:rPr>
              <w:t>库区</w:t>
            </w:r>
            <w:r>
              <w:rPr>
                <w:rFonts w:hint="default"/>
                <w:color w:val="auto"/>
              </w:rPr>
              <w:t>设有</w:t>
            </w:r>
            <w:r>
              <w:rPr>
                <w:rFonts w:hint="eastAsia"/>
                <w:color w:val="auto"/>
              </w:rPr>
              <w:t>2个3000</w:t>
            </w:r>
            <w:r>
              <w:rPr>
                <w:rFonts w:hint="default"/>
                <w:color w:val="auto"/>
              </w:rPr>
              <w:t>m</w:t>
            </w:r>
            <w:r>
              <w:rPr>
                <w:rFonts w:hint="default"/>
                <w:color w:val="auto"/>
                <w:vertAlign w:val="superscript"/>
              </w:rPr>
              <w:t>3</w:t>
            </w:r>
            <w:r>
              <w:rPr>
                <w:rFonts w:hint="eastAsia"/>
                <w:color w:val="auto"/>
              </w:rPr>
              <w:t>的</w:t>
            </w:r>
            <w:r>
              <w:rPr>
                <w:rFonts w:hint="default"/>
                <w:color w:val="auto"/>
              </w:rPr>
              <w:t>消防水罐</w:t>
            </w:r>
            <w:r>
              <w:rPr>
                <w:rFonts w:hint="eastAsia"/>
                <w:color w:val="auto"/>
              </w:rPr>
              <w:t>，</w:t>
            </w:r>
            <w:r>
              <w:rPr>
                <w:rFonts w:hint="default"/>
                <w:color w:val="auto"/>
              </w:rPr>
              <w:t>连接库区和码头的消防水管，</w:t>
            </w:r>
            <w:r>
              <w:rPr>
                <w:rFonts w:hint="eastAsia"/>
                <w:color w:val="auto"/>
              </w:rPr>
              <w:t>消防水罐。消防泵房1座，内设2台</w:t>
            </w:r>
          </w:p>
          <w:p w14:paraId="0201B550">
            <w:pPr>
              <w:pStyle w:val="167"/>
              <w:keepNext w:val="0"/>
              <w:keepLines w:val="0"/>
              <w:suppressLineNumbers w:val="0"/>
              <w:spacing w:before="0" w:beforeAutospacing="0" w:after="0" w:afterAutospacing="0"/>
              <w:ind w:right="0"/>
              <w:jc w:val="both"/>
              <w:rPr>
                <w:rFonts w:hint="default"/>
                <w:color w:val="auto"/>
              </w:rPr>
            </w:pPr>
            <w:r>
              <w:rPr>
                <w:rFonts w:hint="eastAsia"/>
                <w:color w:val="auto"/>
              </w:rPr>
              <w:t>消防水泵、2台泡沫消防泵，2座泡沫比例混合装置。</w:t>
            </w:r>
          </w:p>
        </w:tc>
        <w:tc>
          <w:tcPr>
            <w:tcW w:w="1174" w:type="dxa"/>
          </w:tcPr>
          <w:p w14:paraId="169570CB">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5A51E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7F338851">
            <w:pPr>
              <w:pStyle w:val="167"/>
              <w:keepNext w:val="0"/>
              <w:keepLines w:val="0"/>
              <w:suppressLineNumbers w:val="0"/>
              <w:spacing w:before="0" w:beforeAutospacing="0" w:after="0" w:afterAutospacing="0"/>
              <w:ind w:right="0"/>
              <w:rPr>
                <w:rFonts w:hint="default"/>
                <w:color w:val="auto"/>
              </w:rPr>
            </w:pPr>
          </w:p>
        </w:tc>
        <w:tc>
          <w:tcPr>
            <w:tcW w:w="1559" w:type="dxa"/>
          </w:tcPr>
          <w:p w14:paraId="770199B6">
            <w:pPr>
              <w:pStyle w:val="167"/>
              <w:keepNext w:val="0"/>
              <w:keepLines w:val="0"/>
              <w:suppressLineNumbers w:val="0"/>
              <w:spacing w:before="0" w:beforeAutospacing="0" w:after="0" w:afterAutospacing="0"/>
              <w:ind w:right="0"/>
              <w:rPr>
                <w:rFonts w:hint="default"/>
                <w:color w:val="auto"/>
              </w:rPr>
            </w:pPr>
            <w:r>
              <w:rPr>
                <w:rFonts w:hint="eastAsia"/>
                <w:color w:val="auto"/>
              </w:rPr>
              <w:t>控制</w:t>
            </w:r>
            <w:r>
              <w:rPr>
                <w:rFonts w:hint="default"/>
                <w:color w:val="auto"/>
              </w:rPr>
              <w:t>系统</w:t>
            </w:r>
          </w:p>
        </w:tc>
        <w:tc>
          <w:tcPr>
            <w:tcW w:w="6078" w:type="dxa"/>
          </w:tcPr>
          <w:p w14:paraId="1372D8ED">
            <w:pPr>
              <w:pStyle w:val="167"/>
              <w:keepNext w:val="0"/>
              <w:keepLines w:val="0"/>
              <w:suppressLineNumbers w:val="0"/>
              <w:spacing w:before="0" w:beforeAutospacing="0" w:after="0" w:afterAutospacing="0"/>
              <w:ind w:right="0"/>
              <w:rPr>
                <w:rFonts w:hint="default"/>
                <w:color w:val="auto"/>
              </w:rPr>
            </w:pPr>
            <w:r>
              <w:rPr>
                <w:rFonts w:hint="eastAsia"/>
                <w:color w:val="auto"/>
              </w:rPr>
              <w:t>码头</w:t>
            </w:r>
            <w:r>
              <w:rPr>
                <w:rFonts w:hint="default"/>
                <w:color w:val="auto"/>
              </w:rPr>
              <w:t>和库区设置</w:t>
            </w:r>
            <w:r>
              <w:rPr>
                <w:rFonts w:hint="eastAsia"/>
                <w:color w:val="auto"/>
              </w:rPr>
              <w:t>可燃气体报警器、火灾自动报警系统、工业电视监控系统；可燃气体报警器共</w:t>
            </w:r>
            <w:r>
              <w:rPr>
                <w:rFonts w:hint="default"/>
                <w:color w:val="auto"/>
              </w:rPr>
              <w:t>107</w:t>
            </w:r>
            <w:r>
              <w:rPr>
                <w:rFonts w:hint="eastAsia"/>
                <w:color w:val="auto"/>
              </w:rPr>
              <w:t>台、手动报警按钮7</w:t>
            </w:r>
            <w:r>
              <w:rPr>
                <w:rFonts w:hint="default"/>
                <w:color w:val="auto"/>
              </w:rPr>
              <w:t>0</w:t>
            </w:r>
            <w:r>
              <w:rPr>
                <w:rFonts w:hint="eastAsia"/>
                <w:color w:val="auto"/>
              </w:rPr>
              <w:t>台；激光辅助靠泊系统1套</w:t>
            </w:r>
            <w:r>
              <w:rPr>
                <w:rFonts w:hint="default"/>
                <w:color w:val="auto"/>
              </w:rPr>
              <w:t>；</w:t>
            </w:r>
          </w:p>
        </w:tc>
        <w:tc>
          <w:tcPr>
            <w:tcW w:w="1174" w:type="dxa"/>
          </w:tcPr>
          <w:p w14:paraId="37F8AEAD">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48299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1415F79B">
            <w:pPr>
              <w:pStyle w:val="167"/>
              <w:keepNext w:val="0"/>
              <w:keepLines w:val="0"/>
              <w:suppressLineNumbers w:val="0"/>
              <w:spacing w:before="0" w:beforeAutospacing="0" w:after="0" w:afterAutospacing="0"/>
              <w:ind w:right="0"/>
              <w:rPr>
                <w:rFonts w:hint="default"/>
                <w:color w:val="auto"/>
              </w:rPr>
            </w:pPr>
          </w:p>
        </w:tc>
        <w:tc>
          <w:tcPr>
            <w:tcW w:w="1559" w:type="dxa"/>
          </w:tcPr>
          <w:p w14:paraId="29C8BF0A">
            <w:pPr>
              <w:pStyle w:val="167"/>
              <w:keepNext w:val="0"/>
              <w:keepLines w:val="0"/>
              <w:suppressLineNumbers w:val="0"/>
              <w:spacing w:before="0" w:beforeAutospacing="0" w:after="0" w:afterAutospacing="0"/>
              <w:ind w:right="0"/>
              <w:rPr>
                <w:rFonts w:hint="default"/>
                <w:color w:val="auto"/>
              </w:rPr>
            </w:pPr>
            <w:r>
              <w:rPr>
                <w:rFonts w:hint="eastAsia"/>
                <w:color w:val="auto"/>
              </w:rPr>
              <w:t>制氮</w:t>
            </w:r>
            <w:r>
              <w:rPr>
                <w:rFonts w:hint="default"/>
                <w:color w:val="auto"/>
              </w:rPr>
              <w:t>系统</w:t>
            </w:r>
          </w:p>
        </w:tc>
        <w:tc>
          <w:tcPr>
            <w:tcW w:w="6078" w:type="dxa"/>
          </w:tcPr>
          <w:p w14:paraId="1555B249">
            <w:pPr>
              <w:pStyle w:val="167"/>
              <w:keepNext w:val="0"/>
              <w:keepLines w:val="0"/>
              <w:suppressLineNumbers w:val="0"/>
              <w:spacing w:before="0" w:beforeAutospacing="0" w:after="0" w:afterAutospacing="0"/>
              <w:ind w:right="0"/>
              <w:rPr>
                <w:rFonts w:hint="default"/>
                <w:color w:val="auto"/>
              </w:rPr>
            </w:pPr>
            <w:r>
              <w:rPr>
                <w:rFonts w:hint="eastAsia"/>
                <w:color w:val="auto"/>
              </w:rPr>
              <w:t>位于溢油</w:t>
            </w:r>
            <w:r>
              <w:rPr>
                <w:rFonts w:hint="default"/>
                <w:color w:val="auto"/>
              </w:rPr>
              <w:t>应急物资库旁，1</w:t>
            </w:r>
            <w:r>
              <w:rPr>
                <w:rFonts w:hint="eastAsia"/>
                <w:color w:val="auto"/>
              </w:rPr>
              <w:t>套，Q=600Nm</w:t>
            </w:r>
            <w:r>
              <w:rPr>
                <w:rFonts w:hint="eastAsia"/>
                <w:color w:val="auto"/>
                <w:vertAlign w:val="superscript"/>
              </w:rPr>
              <w:t>3</w:t>
            </w:r>
            <w:r>
              <w:rPr>
                <w:rFonts w:hint="eastAsia"/>
                <w:color w:val="auto"/>
              </w:rPr>
              <w:t>/h</w:t>
            </w:r>
          </w:p>
        </w:tc>
        <w:tc>
          <w:tcPr>
            <w:tcW w:w="1174" w:type="dxa"/>
          </w:tcPr>
          <w:p w14:paraId="13A55138">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3A948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7F48D662">
            <w:pPr>
              <w:pStyle w:val="167"/>
              <w:keepNext w:val="0"/>
              <w:keepLines w:val="0"/>
              <w:suppressLineNumbers w:val="0"/>
              <w:spacing w:before="0" w:beforeAutospacing="0" w:after="0" w:afterAutospacing="0"/>
              <w:ind w:right="0"/>
              <w:rPr>
                <w:rFonts w:hint="default"/>
                <w:color w:val="auto"/>
              </w:rPr>
            </w:pPr>
          </w:p>
        </w:tc>
        <w:tc>
          <w:tcPr>
            <w:tcW w:w="1559" w:type="dxa"/>
          </w:tcPr>
          <w:p w14:paraId="2855724D">
            <w:pPr>
              <w:pStyle w:val="167"/>
              <w:keepNext w:val="0"/>
              <w:keepLines w:val="0"/>
              <w:suppressLineNumbers w:val="0"/>
              <w:spacing w:before="0" w:beforeAutospacing="0" w:after="0" w:afterAutospacing="0"/>
              <w:ind w:right="0"/>
              <w:rPr>
                <w:rFonts w:hint="default"/>
                <w:color w:val="auto"/>
              </w:rPr>
            </w:pPr>
            <w:r>
              <w:rPr>
                <w:rFonts w:hint="eastAsia"/>
                <w:color w:val="auto"/>
              </w:rPr>
              <w:t>蒸汽</w:t>
            </w:r>
          </w:p>
        </w:tc>
        <w:tc>
          <w:tcPr>
            <w:tcW w:w="6078" w:type="dxa"/>
          </w:tcPr>
          <w:p w14:paraId="710EC1D2">
            <w:pPr>
              <w:pStyle w:val="167"/>
              <w:keepNext w:val="0"/>
              <w:keepLines w:val="0"/>
              <w:suppressLineNumbers w:val="0"/>
              <w:spacing w:before="0" w:beforeAutospacing="0" w:after="0" w:afterAutospacing="0"/>
              <w:ind w:right="0"/>
              <w:rPr>
                <w:rFonts w:hint="default"/>
                <w:color w:val="auto"/>
              </w:rPr>
            </w:pPr>
            <w:r>
              <w:rPr>
                <w:rFonts w:hint="eastAsia"/>
                <w:color w:val="auto"/>
              </w:rPr>
              <w:t>广西石化提供的蒸汽，</w:t>
            </w:r>
            <w:r>
              <w:rPr>
                <w:rFonts w:hint="default"/>
                <w:color w:val="auto"/>
              </w:rPr>
              <w:t>通过管线输送至库区和码头</w:t>
            </w:r>
          </w:p>
        </w:tc>
        <w:tc>
          <w:tcPr>
            <w:tcW w:w="1174" w:type="dxa"/>
          </w:tcPr>
          <w:p w14:paraId="5E2E8AED">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63DCB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restart"/>
          </w:tcPr>
          <w:p w14:paraId="6F055FF5">
            <w:pPr>
              <w:pStyle w:val="167"/>
              <w:keepNext w:val="0"/>
              <w:keepLines w:val="0"/>
              <w:suppressLineNumbers w:val="0"/>
              <w:spacing w:before="0" w:beforeAutospacing="0" w:after="0" w:afterAutospacing="0"/>
              <w:ind w:right="0"/>
              <w:rPr>
                <w:rFonts w:hint="default"/>
                <w:color w:val="auto"/>
              </w:rPr>
            </w:pPr>
            <w:r>
              <w:rPr>
                <w:rFonts w:hint="eastAsia"/>
                <w:color w:val="auto"/>
              </w:rPr>
              <w:t>环保</w:t>
            </w:r>
            <w:r>
              <w:rPr>
                <w:rFonts w:hint="default"/>
                <w:color w:val="auto"/>
              </w:rPr>
              <w:t>工程</w:t>
            </w:r>
          </w:p>
        </w:tc>
        <w:tc>
          <w:tcPr>
            <w:tcW w:w="1559" w:type="dxa"/>
          </w:tcPr>
          <w:p w14:paraId="3C3F3E41">
            <w:pPr>
              <w:pStyle w:val="167"/>
              <w:keepNext w:val="0"/>
              <w:keepLines w:val="0"/>
              <w:suppressLineNumbers w:val="0"/>
              <w:spacing w:before="0" w:beforeAutospacing="0" w:after="0" w:afterAutospacing="0"/>
              <w:ind w:right="0"/>
              <w:rPr>
                <w:rFonts w:hint="default"/>
                <w:color w:val="auto"/>
              </w:rPr>
            </w:pPr>
            <w:r>
              <w:rPr>
                <w:rFonts w:hint="eastAsia"/>
                <w:color w:val="auto"/>
              </w:rPr>
              <w:t>废气</w:t>
            </w:r>
          </w:p>
        </w:tc>
        <w:tc>
          <w:tcPr>
            <w:tcW w:w="6078" w:type="dxa"/>
          </w:tcPr>
          <w:p w14:paraId="61440E04">
            <w:pPr>
              <w:pStyle w:val="167"/>
              <w:keepNext w:val="0"/>
              <w:keepLines w:val="0"/>
              <w:numPr>
                <w:ilvl w:val="0"/>
                <w:numId w:val="15"/>
              </w:numPr>
              <w:suppressLineNumbers w:val="0"/>
              <w:spacing w:before="0" w:beforeAutospacing="0" w:after="0" w:afterAutospacing="0"/>
              <w:ind w:right="0"/>
              <w:jc w:val="both"/>
              <w:rPr>
                <w:rFonts w:hint="default"/>
                <w:color w:val="auto"/>
                <w:u w:val="single"/>
              </w:rPr>
            </w:pPr>
            <w:r>
              <w:rPr>
                <w:rFonts w:hint="eastAsia"/>
                <w:color w:val="auto"/>
                <w:u w:val="single"/>
              </w:rPr>
              <w:t>汽油</w:t>
            </w:r>
            <w:r>
              <w:rPr>
                <w:rFonts w:hint="default"/>
                <w:color w:val="auto"/>
                <w:u w:val="single"/>
              </w:rPr>
              <w:t>装车油气回收设施，</w:t>
            </w:r>
            <w:r>
              <w:rPr>
                <w:rFonts w:hint="eastAsia"/>
                <w:color w:val="auto"/>
                <w:u w:val="single"/>
              </w:rPr>
              <w:t>主要</w:t>
            </w:r>
            <w:r>
              <w:rPr>
                <w:rFonts w:hint="default"/>
                <w:color w:val="auto"/>
                <w:u w:val="single"/>
              </w:rPr>
              <w:t>处理汽油装车废气，采用</w:t>
            </w:r>
            <w:r>
              <w:rPr>
                <w:rFonts w:hint="eastAsia"/>
                <w:color w:val="auto"/>
                <w:u w:val="single"/>
              </w:rPr>
              <w:t>冷凝+吸附工艺</w:t>
            </w:r>
            <w:r>
              <w:rPr>
                <w:rFonts w:hint="default"/>
                <w:color w:val="auto"/>
                <w:u w:val="single"/>
              </w:rPr>
              <w:t>，处理后</w:t>
            </w:r>
            <w:r>
              <w:rPr>
                <w:rFonts w:hint="eastAsia"/>
                <w:color w:val="auto"/>
                <w:u w:val="single"/>
              </w:rPr>
              <w:t>15m高排气筒（DA002）排放；</w:t>
            </w:r>
          </w:p>
          <w:p w14:paraId="0ADA9775">
            <w:pPr>
              <w:pStyle w:val="167"/>
              <w:keepNext w:val="0"/>
              <w:keepLines w:val="0"/>
              <w:numPr>
                <w:ilvl w:val="0"/>
                <w:numId w:val="15"/>
              </w:numPr>
              <w:suppressLineNumbers w:val="0"/>
              <w:spacing w:before="0" w:beforeAutospacing="0" w:after="0" w:afterAutospacing="0"/>
              <w:ind w:right="0"/>
              <w:jc w:val="both"/>
              <w:rPr>
                <w:rFonts w:hint="default"/>
                <w:color w:val="auto"/>
                <w:u w:val="single"/>
              </w:rPr>
            </w:pPr>
            <w:r>
              <w:rPr>
                <w:rFonts w:hint="eastAsia"/>
                <w:color w:val="auto"/>
                <w:u w:val="single"/>
              </w:rPr>
              <w:t>甲醇</w:t>
            </w:r>
            <w:r>
              <w:rPr>
                <w:rFonts w:hint="default"/>
                <w:color w:val="auto"/>
                <w:u w:val="single"/>
              </w:rPr>
              <w:t>装车</w:t>
            </w:r>
            <w:r>
              <w:rPr>
                <w:rFonts w:hint="eastAsia"/>
                <w:color w:val="auto"/>
                <w:u w:val="single"/>
              </w:rPr>
              <w:t>油气回收设施，</w:t>
            </w:r>
            <w:r>
              <w:rPr>
                <w:rFonts w:hint="default"/>
                <w:color w:val="auto"/>
                <w:u w:val="single"/>
              </w:rPr>
              <w:t>主要</w:t>
            </w:r>
            <w:r>
              <w:rPr>
                <w:rFonts w:hint="eastAsia"/>
                <w:color w:val="auto"/>
                <w:u w:val="single"/>
              </w:rPr>
              <w:t>处理甲醇装车废气，</w:t>
            </w:r>
            <w:r>
              <w:rPr>
                <w:rFonts w:hint="default"/>
                <w:color w:val="auto"/>
                <w:u w:val="single"/>
              </w:rPr>
              <w:t>采用</w:t>
            </w:r>
            <w:r>
              <w:rPr>
                <w:rFonts w:hint="eastAsia"/>
                <w:color w:val="auto"/>
                <w:u w:val="single"/>
              </w:rPr>
              <w:t>冷凝+吸附工艺</w:t>
            </w:r>
            <w:r>
              <w:rPr>
                <w:rFonts w:hint="default"/>
                <w:color w:val="auto"/>
                <w:u w:val="single"/>
              </w:rPr>
              <w:t>，处理后</w:t>
            </w:r>
            <w:r>
              <w:rPr>
                <w:rFonts w:hint="eastAsia"/>
                <w:color w:val="auto"/>
                <w:u w:val="single"/>
              </w:rPr>
              <w:t>15m高排气筒（DA00</w:t>
            </w:r>
            <w:r>
              <w:rPr>
                <w:rFonts w:hint="default"/>
                <w:color w:val="auto"/>
                <w:u w:val="single"/>
              </w:rPr>
              <w:t>4</w:t>
            </w:r>
            <w:r>
              <w:rPr>
                <w:rFonts w:hint="eastAsia"/>
                <w:color w:val="auto"/>
                <w:u w:val="single"/>
              </w:rPr>
              <w:t>）排放；</w:t>
            </w:r>
          </w:p>
          <w:p w14:paraId="7EF11B79">
            <w:pPr>
              <w:pStyle w:val="167"/>
              <w:keepNext w:val="0"/>
              <w:keepLines w:val="0"/>
              <w:numPr>
                <w:ilvl w:val="0"/>
                <w:numId w:val="15"/>
              </w:numPr>
              <w:suppressLineNumbers w:val="0"/>
              <w:spacing w:before="0" w:beforeAutospacing="0" w:after="0" w:afterAutospacing="0"/>
              <w:ind w:right="0"/>
              <w:jc w:val="both"/>
              <w:rPr>
                <w:rFonts w:hint="default"/>
                <w:color w:val="auto"/>
                <w:u w:val="single"/>
              </w:rPr>
            </w:pPr>
            <w:r>
              <w:rPr>
                <w:rFonts w:hint="eastAsia"/>
                <w:color w:val="auto"/>
                <w:u w:val="single"/>
              </w:rPr>
              <w:t>码头</w:t>
            </w:r>
            <w:r>
              <w:rPr>
                <w:rFonts w:hint="default"/>
                <w:color w:val="auto"/>
                <w:u w:val="single"/>
              </w:rPr>
              <w:t>装船油气回收设施</w:t>
            </w:r>
            <w:r>
              <w:rPr>
                <w:rFonts w:hint="eastAsia"/>
                <w:color w:val="auto"/>
                <w:u w:val="single"/>
              </w:rPr>
              <w:t>，</w:t>
            </w:r>
            <w:r>
              <w:rPr>
                <w:rFonts w:hint="default"/>
                <w:color w:val="auto"/>
                <w:u w:val="single"/>
              </w:rPr>
              <w:t>采用</w:t>
            </w:r>
            <w:r>
              <w:rPr>
                <w:rFonts w:hint="eastAsia"/>
                <w:color w:val="auto"/>
                <w:u w:val="single"/>
              </w:rPr>
              <w:t>冷凝+吸附工艺</w:t>
            </w:r>
            <w:r>
              <w:rPr>
                <w:rFonts w:hint="default"/>
                <w:color w:val="auto"/>
                <w:u w:val="single"/>
              </w:rPr>
              <w:t>，处理后</w:t>
            </w:r>
            <w:r>
              <w:rPr>
                <w:rFonts w:hint="eastAsia"/>
                <w:color w:val="auto"/>
                <w:u w:val="single"/>
              </w:rPr>
              <w:t>15m高排气筒（DA00</w:t>
            </w:r>
            <w:r>
              <w:rPr>
                <w:rFonts w:hint="default"/>
                <w:color w:val="auto"/>
                <w:u w:val="single"/>
              </w:rPr>
              <w:t>3</w:t>
            </w:r>
            <w:r>
              <w:rPr>
                <w:rFonts w:hint="eastAsia"/>
                <w:color w:val="auto"/>
                <w:u w:val="single"/>
              </w:rPr>
              <w:t>）排放；</w:t>
            </w:r>
          </w:p>
        </w:tc>
        <w:tc>
          <w:tcPr>
            <w:tcW w:w="1174" w:type="dxa"/>
          </w:tcPr>
          <w:p w14:paraId="02B7E51A">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774BC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25A0526A">
            <w:pPr>
              <w:pStyle w:val="167"/>
              <w:keepNext w:val="0"/>
              <w:keepLines w:val="0"/>
              <w:suppressLineNumbers w:val="0"/>
              <w:spacing w:before="0" w:beforeAutospacing="0" w:after="0" w:afterAutospacing="0"/>
              <w:ind w:right="0"/>
              <w:rPr>
                <w:rFonts w:hint="default"/>
                <w:color w:val="auto"/>
              </w:rPr>
            </w:pPr>
          </w:p>
        </w:tc>
        <w:tc>
          <w:tcPr>
            <w:tcW w:w="1559" w:type="dxa"/>
          </w:tcPr>
          <w:p w14:paraId="1286738B">
            <w:pPr>
              <w:pStyle w:val="167"/>
              <w:keepNext w:val="0"/>
              <w:keepLines w:val="0"/>
              <w:suppressLineNumbers w:val="0"/>
              <w:spacing w:before="0" w:beforeAutospacing="0" w:after="0" w:afterAutospacing="0"/>
              <w:ind w:right="0"/>
              <w:rPr>
                <w:rFonts w:hint="default"/>
                <w:color w:val="auto"/>
              </w:rPr>
            </w:pPr>
            <w:r>
              <w:rPr>
                <w:rFonts w:hint="eastAsia"/>
                <w:color w:val="auto"/>
              </w:rPr>
              <w:t>废水</w:t>
            </w:r>
          </w:p>
        </w:tc>
        <w:tc>
          <w:tcPr>
            <w:tcW w:w="6078" w:type="dxa"/>
          </w:tcPr>
          <w:p w14:paraId="4B0B5677">
            <w:pPr>
              <w:pStyle w:val="167"/>
              <w:keepNext w:val="0"/>
              <w:keepLines w:val="0"/>
              <w:suppressLineNumbers w:val="0"/>
              <w:spacing w:before="0" w:beforeAutospacing="0" w:after="0" w:afterAutospacing="0"/>
              <w:ind w:right="0"/>
              <w:jc w:val="both"/>
              <w:rPr>
                <w:rFonts w:hint="eastAsia"/>
                <w:color w:val="auto"/>
                <w:u w:val="single"/>
              </w:rPr>
            </w:pPr>
            <w:r>
              <w:rPr>
                <w:rFonts w:hint="eastAsia"/>
                <w:color w:val="auto"/>
                <w:u w:val="single"/>
                <w:lang w:eastAsia="zh-CN"/>
              </w:rPr>
              <w:t>初期雨水、冲洗废水、库区生活污水等</w:t>
            </w:r>
            <w:r>
              <w:rPr>
                <w:rFonts w:hint="eastAsia"/>
                <w:color w:val="auto"/>
                <w:u w:val="single"/>
              </w:rPr>
              <w:t>依托东油</w:t>
            </w:r>
            <w:r>
              <w:rPr>
                <w:rFonts w:hint="default"/>
                <w:color w:val="auto"/>
                <w:u w:val="single"/>
              </w:rPr>
              <w:t>沥青厂区</w:t>
            </w:r>
            <w:r>
              <w:rPr>
                <w:rFonts w:hint="eastAsia"/>
                <w:color w:val="auto"/>
                <w:u w:val="single"/>
              </w:rPr>
              <w:t>的</w:t>
            </w:r>
            <w:r>
              <w:rPr>
                <w:rFonts w:hint="default"/>
                <w:color w:val="auto"/>
                <w:u w:val="single"/>
              </w:rPr>
              <w:t>管网输送至</w:t>
            </w:r>
            <w:r>
              <w:rPr>
                <w:rFonts w:hint="eastAsia"/>
                <w:color w:val="auto"/>
                <w:u w:val="single"/>
              </w:rPr>
              <w:t>广西石化污水处理场进行处理。</w:t>
            </w:r>
          </w:p>
          <w:p w14:paraId="552452C3">
            <w:pPr>
              <w:pStyle w:val="167"/>
              <w:keepNext w:val="0"/>
              <w:keepLines w:val="0"/>
              <w:suppressLineNumbers w:val="0"/>
              <w:spacing w:before="0" w:beforeAutospacing="0" w:after="0" w:afterAutospacing="0"/>
              <w:ind w:right="0"/>
              <w:jc w:val="both"/>
              <w:rPr>
                <w:rFonts w:hint="eastAsia"/>
                <w:color w:val="auto"/>
                <w:u w:val="single"/>
                <w:lang w:eastAsia="zh-CN"/>
              </w:rPr>
            </w:pPr>
            <w:r>
              <w:rPr>
                <w:rFonts w:hint="eastAsia"/>
                <w:color w:val="auto"/>
                <w:u w:val="single"/>
                <w:lang w:eastAsia="zh-CN"/>
              </w:rPr>
              <w:t>船舶污水（生活污水、含油污水）由船舶公司委托有资质单位处理；</w:t>
            </w:r>
          </w:p>
          <w:p w14:paraId="1E55F54A">
            <w:pPr>
              <w:pStyle w:val="167"/>
              <w:keepNext w:val="0"/>
              <w:keepLines w:val="0"/>
              <w:suppressLineNumbers w:val="0"/>
              <w:spacing w:before="0" w:beforeAutospacing="0" w:after="0" w:afterAutospacing="0"/>
              <w:ind w:right="0"/>
              <w:jc w:val="both"/>
              <w:rPr>
                <w:rFonts w:hint="default"/>
                <w:color w:val="auto"/>
                <w:u w:val="single"/>
                <w:lang w:val="en-US" w:eastAsia="zh-CN"/>
              </w:rPr>
            </w:pPr>
            <w:r>
              <w:rPr>
                <w:rFonts w:hint="eastAsia"/>
                <w:color w:val="auto"/>
                <w:u w:val="single"/>
                <w:lang w:eastAsia="zh-CN"/>
              </w:rPr>
              <w:t>后期雨水排放至钦州湾海域。现有工程库区西南角设置</w:t>
            </w:r>
            <w:r>
              <w:rPr>
                <w:rFonts w:hint="eastAsia"/>
                <w:color w:val="auto"/>
                <w:u w:val="single"/>
                <w:lang w:val="en-US" w:eastAsia="zh-CN"/>
              </w:rPr>
              <w:t>1个雨水排放口，码头装卸区设置2个雨水排放口，均配备有阀门。</w:t>
            </w:r>
          </w:p>
        </w:tc>
        <w:tc>
          <w:tcPr>
            <w:tcW w:w="1174" w:type="dxa"/>
          </w:tcPr>
          <w:p w14:paraId="0D00EB33">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2EDC0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3022A2BE">
            <w:pPr>
              <w:pStyle w:val="167"/>
              <w:keepNext w:val="0"/>
              <w:keepLines w:val="0"/>
              <w:suppressLineNumbers w:val="0"/>
              <w:spacing w:before="0" w:beforeAutospacing="0" w:after="0" w:afterAutospacing="0"/>
              <w:ind w:right="0"/>
              <w:rPr>
                <w:rFonts w:hint="default"/>
                <w:color w:val="auto"/>
              </w:rPr>
            </w:pPr>
          </w:p>
        </w:tc>
        <w:tc>
          <w:tcPr>
            <w:tcW w:w="1559" w:type="dxa"/>
          </w:tcPr>
          <w:p w14:paraId="3BCA17E2">
            <w:pPr>
              <w:pStyle w:val="167"/>
              <w:keepNext w:val="0"/>
              <w:keepLines w:val="0"/>
              <w:suppressLineNumbers w:val="0"/>
              <w:spacing w:before="0" w:beforeAutospacing="0" w:after="0" w:afterAutospacing="0"/>
              <w:ind w:right="0"/>
              <w:rPr>
                <w:rFonts w:hint="default"/>
                <w:color w:val="auto"/>
              </w:rPr>
            </w:pPr>
            <w:r>
              <w:rPr>
                <w:rFonts w:hint="eastAsia"/>
                <w:color w:val="auto"/>
              </w:rPr>
              <w:t>噪声</w:t>
            </w:r>
          </w:p>
        </w:tc>
        <w:tc>
          <w:tcPr>
            <w:tcW w:w="6078" w:type="dxa"/>
          </w:tcPr>
          <w:p w14:paraId="5303102B">
            <w:pPr>
              <w:pStyle w:val="167"/>
              <w:keepNext w:val="0"/>
              <w:keepLines w:val="0"/>
              <w:suppressLineNumbers w:val="0"/>
              <w:spacing w:before="0" w:beforeAutospacing="0" w:after="0" w:afterAutospacing="0"/>
              <w:ind w:right="0"/>
              <w:rPr>
                <w:rFonts w:hint="default"/>
                <w:color w:val="auto"/>
              </w:rPr>
            </w:pPr>
            <w:r>
              <w:rPr>
                <w:rFonts w:hint="eastAsia"/>
                <w:color w:val="auto"/>
              </w:rPr>
              <w:t>选用低噪声设备、减振等。</w:t>
            </w:r>
          </w:p>
        </w:tc>
        <w:tc>
          <w:tcPr>
            <w:tcW w:w="1174" w:type="dxa"/>
          </w:tcPr>
          <w:p w14:paraId="37901E02">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7A50C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4AA44ACE">
            <w:pPr>
              <w:pStyle w:val="167"/>
              <w:keepNext w:val="0"/>
              <w:keepLines w:val="0"/>
              <w:suppressLineNumbers w:val="0"/>
              <w:spacing w:before="0" w:beforeAutospacing="0" w:after="0" w:afterAutospacing="0"/>
              <w:ind w:right="0"/>
              <w:rPr>
                <w:rFonts w:hint="default"/>
                <w:color w:val="auto"/>
              </w:rPr>
            </w:pPr>
          </w:p>
        </w:tc>
        <w:tc>
          <w:tcPr>
            <w:tcW w:w="1559" w:type="dxa"/>
          </w:tcPr>
          <w:p w14:paraId="1BD69BCD">
            <w:pPr>
              <w:pStyle w:val="167"/>
              <w:keepNext w:val="0"/>
              <w:keepLines w:val="0"/>
              <w:suppressLineNumbers w:val="0"/>
              <w:spacing w:before="0" w:beforeAutospacing="0" w:after="0" w:afterAutospacing="0"/>
              <w:ind w:right="0"/>
              <w:rPr>
                <w:rFonts w:hint="default"/>
                <w:color w:val="auto"/>
              </w:rPr>
            </w:pPr>
            <w:r>
              <w:rPr>
                <w:rFonts w:hint="eastAsia"/>
                <w:color w:val="auto"/>
              </w:rPr>
              <w:t>固体</w:t>
            </w:r>
            <w:r>
              <w:rPr>
                <w:rFonts w:hint="default"/>
                <w:color w:val="auto"/>
              </w:rPr>
              <w:t>废物</w:t>
            </w:r>
          </w:p>
        </w:tc>
        <w:tc>
          <w:tcPr>
            <w:tcW w:w="6078" w:type="dxa"/>
          </w:tcPr>
          <w:p w14:paraId="1323CE95">
            <w:pPr>
              <w:pStyle w:val="167"/>
              <w:keepNext w:val="0"/>
              <w:keepLines w:val="0"/>
              <w:suppressLineNumbers w:val="0"/>
              <w:spacing w:before="0" w:beforeAutospacing="0" w:after="0" w:afterAutospacing="0"/>
              <w:ind w:right="0"/>
              <w:jc w:val="both"/>
              <w:rPr>
                <w:rFonts w:hint="default"/>
                <w:color w:val="auto"/>
              </w:rPr>
            </w:pPr>
            <w:r>
              <w:rPr>
                <w:rFonts w:hint="eastAsia"/>
                <w:color w:val="auto"/>
              </w:rPr>
              <w:t>含油废物、罐底油泥、废活性炭、含油废滤芯收集</w:t>
            </w:r>
            <w:r>
              <w:rPr>
                <w:rFonts w:hint="default"/>
                <w:color w:val="auto"/>
              </w:rPr>
              <w:t>后暂存于危废暂存库，交由崇左海中环保科技有限责任公司处理。</w:t>
            </w:r>
          </w:p>
          <w:p w14:paraId="5FB8EC10">
            <w:pPr>
              <w:pStyle w:val="167"/>
              <w:keepNext w:val="0"/>
              <w:keepLines w:val="0"/>
              <w:suppressLineNumbers w:val="0"/>
              <w:spacing w:before="0" w:beforeAutospacing="0" w:after="0" w:afterAutospacing="0"/>
              <w:ind w:right="0"/>
              <w:jc w:val="both"/>
              <w:rPr>
                <w:rFonts w:hint="default"/>
                <w:color w:val="auto"/>
              </w:rPr>
            </w:pPr>
            <w:r>
              <w:rPr>
                <w:rFonts w:hint="eastAsia"/>
                <w:color w:val="auto"/>
              </w:rPr>
              <w:t>库</w:t>
            </w:r>
            <w:r>
              <w:rPr>
                <w:rFonts w:hint="eastAsia"/>
                <w:color w:val="auto"/>
                <w:u w:val="single"/>
              </w:rPr>
              <w:t>区</w:t>
            </w:r>
            <w:r>
              <w:rPr>
                <w:rFonts w:hint="default"/>
                <w:color w:val="auto"/>
                <w:u w:val="single"/>
              </w:rPr>
              <w:t>设置</w:t>
            </w:r>
            <w:r>
              <w:rPr>
                <w:rFonts w:hint="eastAsia"/>
                <w:color w:val="auto"/>
                <w:u w:val="single"/>
              </w:rPr>
              <w:t>1间</w:t>
            </w:r>
            <w:r>
              <w:rPr>
                <w:rFonts w:hint="default"/>
                <w:color w:val="auto"/>
                <w:u w:val="single"/>
              </w:rPr>
              <w:t>危废暂存库，</w:t>
            </w:r>
            <w:r>
              <w:rPr>
                <w:rFonts w:hint="eastAsia"/>
                <w:color w:val="auto"/>
                <w:u w:val="single"/>
              </w:rPr>
              <w:t>占地</w:t>
            </w:r>
            <w:r>
              <w:rPr>
                <w:rFonts w:hint="default"/>
                <w:color w:val="auto"/>
                <w:u w:val="single"/>
              </w:rPr>
              <w:t>面积约</w:t>
            </w:r>
            <w:r>
              <w:rPr>
                <w:rFonts w:hint="eastAsia"/>
                <w:color w:val="auto"/>
                <w:u w:val="single"/>
              </w:rPr>
              <w:t>40</w:t>
            </w:r>
            <w:r>
              <w:rPr>
                <w:rFonts w:hint="default"/>
                <w:color w:val="auto"/>
                <w:u w:val="single"/>
              </w:rPr>
              <w:t>m</w:t>
            </w:r>
            <w:r>
              <w:rPr>
                <w:rFonts w:hint="default"/>
                <w:color w:val="auto"/>
                <w:u w:val="single"/>
                <w:vertAlign w:val="superscript"/>
              </w:rPr>
              <w:t>2</w:t>
            </w:r>
            <w:r>
              <w:rPr>
                <w:rFonts w:hint="eastAsia"/>
                <w:color w:val="auto"/>
                <w:u w:val="single"/>
              </w:rPr>
              <w:t>，</w:t>
            </w:r>
            <w:r>
              <w:rPr>
                <w:rFonts w:hint="eastAsia"/>
                <w:color w:val="auto"/>
              </w:rPr>
              <w:t>位于3#汽油罐区</w:t>
            </w:r>
            <w:r>
              <w:rPr>
                <w:rFonts w:hint="default"/>
                <w:color w:val="auto"/>
              </w:rPr>
              <w:t>左侧。</w:t>
            </w:r>
          </w:p>
        </w:tc>
        <w:tc>
          <w:tcPr>
            <w:tcW w:w="1174" w:type="dxa"/>
          </w:tcPr>
          <w:p w14:paraId="54451C05">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r w14:paraId="7B1AD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04" w:type="dxa"/>
            <w:vMerge w:val="continue"/>
          </w:tcPr>
          <w:p w14:paraId="09341EC4">
            <w:pPr>
              <w:pStyle w:val="167"/>
              <w:keepNext w:val="0"/>
              <w:keepLines w:val="0"/>
              <w:suppressLineNumbers w:val="0"/>
              <w:spacing w:before="0" w:beforeAutospacing="0" w:after="0" w:afterAutospacing="0"/>
              <w:ind w:right="0"/>
              <w:rPr>
                <w:rFonts w:hint="default"/>
                <w:color w:val="auto"/>
              </w:rPr>
            </w:pPr>
          </w:p>
        </w:tc>
        <w:tc>
          <w:tcPr>
            <w:tcW w:w="1559" w:type="dxa"/>
          </w:tcPr>
          <w:p w14:paraId="2F8CF589">
            <w:pPr>
              <w:pStyle w:val="167"/>
              <w:keepNext w:val="0"/>
              <w:keepLines w:val="0"/>
              <w:suppressLineNumbers w:val="0"/>
              <w:spacing w:before="0" w:beforeAutospacing="0" w:after="0" w:afterAutospacing="0"/>
              <w:ind w:right="0"/>
              <w:rPr>
                <w:rFonts w:hint="default"/>
                <w:color w:val="auto"/>
              </w:rPr>
            </w:pPr>
            <w:r>
              <w:rPr>
                <w:rFonts w:hint="eastAsia"/>
                <w:color w:val="auto"/>
              </w:rPr>
              <w:t>环境</w:t>
            </w:r>
            <w:r>
              <w:rPr>
                <w:rFonts w:hint="default"/>
                <w:color w:val="auto"/>
              </w:rPr>
              <w:t>风险</w:t>
            </w:r>
          </w:p>
        </w:tc>
        <w:tc>
          <w:tcPr>
            <w:tcW w:w="6078" w:type="dxa"/>
          </w:tcPr>
          <w:p w14:paraId="4DB44250">
            <w:pPr>
              <w:pStyle w:val="167"/>
              <w:keepNext w:val="0"/>
              <w:keepLines w:val="0"/>
              <w:suppressLineNumbers w:val="0"/>
              <w:spacing w:before="0" w:beforeAutospacing="0" w:after="0" w:afterAutospacing="0"/>
              <w:ind w:right="0"/>
              <w:rPr>
                <w:rFonts w:hint="default"/>
                <w:color w:val="auto"/>
              </w:rPr>
            </w:pPr>
            <w:r>
              <w:rPr>
                <w:rFonts w:hint="eastAsia"/>
                <w:color w:val="auto"/>
              </w:rPr>
              <w:t>库区设置2间应急物资库，分别为溢油应急物资库和应急物资库。</w:t>
            </w:r>
            <w:r>
              <w:rPr>
                <w:rFonts w:hint="default"/>
                <w:color w:val="auto"/>
              </w:rPr>
              <w:t>配备有</w:t>
            </w:r>
            <w:r>
              <w:rPr>
                <w:rFonts w:hint="eastAsia"/>
                <w:color w:val="auto"/>
              </w:rPr>
              <w:t>围油栏、收油机等风险事故应急设施。</w:t>
            </w:r>
          </w:p>
        </w:tc>
        <w:tc>
          <w:tcPr>
            <w:tcW w:w="1174" w:type="dxa"/>
          </w:tcPr>
          <w:p w14:paraId="1760E416">
            <w:pPr>
              <w:pStyle w:val="167"/>
              <w:keepNext w:val="0"/>
              <w:keepLines w:val="0"/>
              <w:suppressLineNumbers w:val="0"/>
              <w:spacing w:before="0" w:beforeAutospacing="0" w:after="0" w:afterAutospacing="0"/>
              <w:ind w:right="0"/>
              <w:rPr>
                <w:rFonts w:hint="default"/>
                <w:color w:val="auto"/>
              </w:rPr>
            </w:pPr>
            <w:r>
              <w:rPr>
                <w:rFonts w:hint="eastAsia"/>
                <w:color w:val="auto"/>
              </w:rPr>
              <w:t>已建</w:t>
            </w:r>
          </w:p>
        </w:tc>
      </w:tr>
    </w:tbl>
    <w:p w14:paraId="50D60141">
      <w:pPr>
        <w:pStyle w:val="6"/>
        <w:rPr>
          <w:color w:val="auto"/>
        </w:rPr>
      </w:pPr>
      <w:r>
        <w:rPr>
          <w:rFonts w:hint="eastAsia"/>
          <w:color w:val="auto"/>
        </w:rPr>
        <w:t>现有</w:t>
      </w:r>
      <w:r>
        <w:rPr>
          <w:color w:val="auto"/>
        </w:rPr>
        <w:t>工程设计船型</w:t>
      </w:r>
    </w:p>
    <w:p w14:paraId="3CFAFC18">
      <w:pPr>
        <w:ind w:firstLine="480"/>
        <w:rPr>
          <w:color w:val="auto"/>
        </w:rPr>
      </w:pPr>
      <w:r>
        <w:rPr>
          <w:rFonts w:hint="eastAsia"/>
          <w:color w:val="auto"/>
        </w:rPr>
        <w:t>设计船型尺度见表2.1-3。</w:t>
      </w:r>
    </w:p>
    <w:p w14:paraId="03A60AA0">
      <w:pPr>
        <w:pStyle w:val="14"/>
        <w:rPr>
          <w:color w:val="auto"/>
        </w:rPr>
      </w:pPr>
      <w:r>
        <w:rPr>
          <w:rFonts w:hint="eastAsia"/>
          <w:color w:val="auto"/>
        </w:rPr>
        <w:t>表</w:t>
      </w:r>
      <w:r>
        <w:rPr>
          <w:color w:val="auto"/>
        </w:rPr>
        <w:t>2.1</w:t>
      </w:r>
      <w:r>
        <w:rPr>
          <w:color w:val="auto"/>
        </w:rPr>
        <w:noBreakHyphen/>
      </w:r>
      <w:r>
        <w:rPr>
          <w:color w:val="auto"/>
        </w:rPr>
        <w:t>36#</w:t>
      </w:r>
      <w:r>
        <w:rPr>
          <w:rFonts w:hint="eastAsia"/>
          <w:color w:val="auto"/>
        </w:rPr>
        <w:t>泊位靠泊</w:t>
      </w:r>
      <w:r>
        <w:rPr>
          <w:color w:val="auto"/>
        </w:rPr>
        <w:t>船型一览表</w:t>
      </w:r>
    </w:p>
    <w:tbl>
      <w:tblPr>
        <w:tblStyle w:val="43"/>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8"/>
        <w:gridCol w:w="1240"/>
        <w:gridCol w:w="1119"/>
        <w:gridCol w:w="1158"/>
        <w:gridCol w:w="1259"/>
        <w:gridCol w:w="1684"/>
        <w:gridCol w:w="1975"/>
      </w:tblGrid>
      <w:tr w14:paraId="017BB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590" w:type="pct"/>
            <w:vMerge w:val="restart"/>
            <w:vAlign w:val="center"/>
          </w:tcPr>
          <w:p w14:paraId="13F250CD">
            <w:pPr>
              <w:pStyle w:val="91"/>
              <w:keepNext w:val="0"/>
              <w:keepLines w:val="0"/>
              <w:suppressLineNumbers w:val="0"/>
              <w:spacing w:before="0" w:beforeAutospacing="0" w:after="0" w:afterAutospacing="0"/>
              <w:ind w:left="0" w:right="0"/>
              <w:rPr>
                <w:rFonts w:hint="default"/>
                <w:b/>
                <w:color w:val="auto"/>
              </w:rPr>
            </w:pPr>
            <w:r>
              <w:rPr>
                <w:rFonts w:hint="default"/>
                <w:b/>
                <w:color w:val="auto"/>
              </w:rPr>
              <w:t>船型</w:t>
            </w:r>
          </w:p>
        </w:tc>
        <w:tc>
          <w:tcPr>
            <w:tcW w:w="648" w:type="pct"/>
            <w:vMerge w:val="restart"/>
            <w:vAlign w:val="center"/>
          </w:tcPr>
          <w:p w14:paraId="5212968C">
            <w:pPr>
              <w:pStyle w:val="91"/>
              <w:keepNext w:val="0"/>
              <w:keepLines w:val="0"/>
              <w:suppressLineNumbers w:val="0"/>
              <w:spacing w:before="0" w:beforeAutospacing="0" w:after="0" w:afterAutospacing="0"/>
              <w:ind w:left="0" w:right="0"/>
              <w:rPr>
                <w:rFonts w:hint="default"/>
                <w:b/>
                <w:color w:val="auto"/>
              </w:rPr>
            </w:pPr>
            <w:r>
              <w:rPr>
                <w:rFonts w:hint="default"/>
                <w:b/>
                <w:color w:val="auto"/>
              </w:rPr>
              <w:t>载重吨（t）</w:t>
            </w:r>
          </w:p>
        </w:tc>
        <w:tc>
          <w:tcPr>
            <w:tcW w:w="2728" w:type="pct"/>
            <w:gridSpan w:val="4"/>
            <w:vAlign w:val="center"/>
          </w:tcPr>
          <w:p w14:paraId="2E265D0A">
            <w:pPr>
              <w:pStyle w:val="91"/>
              <w:keepNext w:val="0"/>
              <w:keepLines w:val="0"/>
              <w:suppressLineNumbers w:val="0"/>
              <w:spacing w:before="0" w:beforeAutospacing="0" w:after="0" w:afterAutospacing="0"/>
              <w:ind w:left="0" w:right="0"/>
              <w:rPr>
                <w:rFonts w:hint="default"/>
                <w:b/>
                <w:color w:val="auto"/>
              </w:rPr>
            </w:pPr>
            <w:r>
              <w:rPr>
                <w:rFonts w:hint="default"/>
                <w:b/>
                <w:color w:val="auto"/>
              </w:rPr>
              <w:t>设计船型主尺度（m）</w:t>
            </w:r>
          </w:p>
        </w:tc>
        <w:tc>
          <w:tcPr>
            <w:tcW w:w="1032" w:type="pct"/>
            <w:vMerge w:val="restart"/>
            <w:vAlign w:val="center"/>
          </w:tcPr>
          <w:p w14:paraId="10CC1CDB">
            <w:pPr>
              <w:pStyle w:val="91"/>
              <w:keepNext w:val="0"/>
              <w:keepLines w:val="0"/>
              <w:suppressLineNumbers w:val="0"/>
              <w:spacing w:before="0" w:beforeAutospacing="0" w:after="0" w:afterAutospacing="0"/>
              <w:ind w:left="0" w:right="0"/>
              <w:rPr>
                <w:rFonts w:hint="default"/>
                <w:b/>
                <w:color w:val="auto"/>
              </w:rPr>
            </w:pPr>
            <w:r>
              <w:rPr>
                <w:rFonts w:hint="default"/>
                <w:b/>
                <w:color w:val="auto"/>
              </w:rPr>
              <w:t>备注</w:t>
            </w:r>
          </w:p>
        </w:tc>
      </w:tr>
      <w:tr w14:paraId="55905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0" w:type="pct"/>
            <w:vMerge w:val="continue"/>
            <w:vAlign w:val="center"/>
          </w:tcPr>
          <w:p w14:paraId="0234ED15">
            <w:pPr>
              <w:pStyle w:val="91"/>
              <w:keepNext w:val="0"/>
              <w:keepLines w:val="0"/>
              <w:suppressLineNumbers w:val="0"/>
              <w:spacing w:before="0" w:beforeAutospacing="0" w:after="0" w:afterAutospacing="0"/>
              <w:ind w:left="0" w:right="0"/>
              <w:rPr>
                <w:rFonts w:hint="default"/>
                <w:b/>
                <w:color w:val="auto"/>
              </w:rPr>
            </w:pPr>
          </w:p>
        </w:tc>
        <w:tc>
          <w:tcPr>
            <w:tcW w:w="648" w:type="pct"/>
            <w:vMerge w:val="continue"/>
            <w:vAlign w:val="center"/>
          </w:tcPr>
          <w:p w14:paraId="4377F0C2">
            <w:pPr>
              <w:pStyle w:val="91"/>
              <w:keepNext w:val="0"/>
              <w:keepLines w:val="0"/>
              <w:suppressLineNumbers w:val="0"/>
              <w:spacing w:before="0" w:beforeAutospacing="0" w:after="0" w:afterAutospacing="0"/>
              <w:ind w:left="0" w:right="0"/>
              <w:rPr>
                <w:rFonts w:hint="default"/>
                <w:b/>
                <w:color w:val="auto"/>
              </w:rPr>
            </w:pPr>
          </w:p>
        </w:tc>
        <w:tc>
          <w:tcPr>
            <w:tcW w:w="585" w:type="pct"/>
            <w:vAlign w:val="center"/>
          </w:tcPr>
          <w:p w14:paraId="6B5C154E">
            <w:pPr>
              <w:pStyle w:val="91"/>
              <w:keepNext w:val="0"/>
              <w:keepLines w:val="0"/>
              <w:suppressLineNumbers w:val="0"/>
              <w:spacing w:before="0" w:beforeAutospacing="0" w:after="0" w:afterAutospacing="0"/>
              <w:ind w:left="0" w:right="0"/>
              <w:rPr>
                <w:rFonts w:hint="default"/>
                <w:b/>
                <w:color w:val="auto"/>
              </w:rPr>
            </w:pPr>
            <w:r>
              <w:rPr>
                <w:rFonts w:hint="default"/>
                <w:b/>
                <w:color w:val="auto"/>
              </w:rPr>
              <w:t>总长L</w:t>
            </w:r>
          </w:p>
        </w:tc>
        <w:tc>
          <w:tcPr>
            <w:tcW w:w="605" w:type="pct"/>
            <w:vAlign w:val="center"/>
          </w:tcPr>
          <w:p w14:paraId="46AA4639">
            <w:pPr>
              <w:pStyle w:val="91"/>
              <w:keepNext w:val="0"/>
              <w:keepLines w:val="0"/>
              <w:suppressLineNumbers w:val="0"/>
              <w:spacing w:before="0" w:beforeAutospacing="0" w:after="0" w:afterAutospacing="0"/>
              <w:ind w:left="0" w:right="0"/>
              <w:rPr>
                <w:rFonts w:hint="default"/>
                <w:b/>
                <w:color w:val="auto"/>
              </w:rPr>
            </w:pPr>
            <w:r>
              <w:rPr>
                <w:rFonts w:hint="default"/>
                <w:b/>
                <w:color w:val="auto"/>
              </w:rPr>
              <w:t>型宽B</w:t>
            </w:r>
          </w:p>
        </w:tc>
        <w:tc>
          <w:tcPr>
            <w:tcW w:w="658" w:type="pct"/>
            <w:vAlign w:val="center"/>
          </w:tcPr>
          <w:p w14:paraId="0D54E056">
            <w:pPr>
              <w:pStyle w:val="91"/>
              <w:keepNext w:val="0"/>
              <w:keepLines w:val="0"/>
              <w:suppressLineNumbers w:val="0"/>
              <w:spacing w:before="0" w:beforeAutospacing="0" w:after="0" w:afterAutospacing="0"/>
              <w:ind w:left="0" w:right="0"/>
              <w:rPr>
                <w:rFonts w:hint="default"/>
                <w:b/>
                <w:color w:val="auto"/>
              </w:rPr>
            </w:pPr>
            <w:r>
              <w:rPr>
                <w:rFonts w:hint="default"/>
                <w:b/>
                <w:color w:val="auto"/>
              </w:rPr>
              <w:t>型深H</w:t>
            </w:r>
          </w:p>
        </w:tc>
        <w:tc>
          <w:tcPr>
            <w:tcW w:w="877" w:type="pct"/>
            <w:vAlign w:val="center"/>
          </w:tcPr>
          <w:p w14:paraId="0C2EFEBD">
            <w:pPr>
              <w:pStyle w:val="91"/>
              <w:keepNext w:val="0"/>
              <w:keepLines w:val="0"/>
              <w:suppressLineNumbers w:val="0"/>
              <w:spacing w:before="0" w:beforeAutospacing="0" w:after="0" w:afterAutospacing="0"/>
              <w:ind w:left="0" w:right="0"/>
              <w:rPr>
                <w:rFonts w:hint="default"/>
                <w:b/>
                <w:color w:val="auto"/>
              </w:rPr>
            </w:pPr>
            <w:r>
              <w:rPr>
                <w:rFonts w:hint="default"/>
                <w:b/>
                <w:color w:val="auto"/>
              </w:rPr>
              <w:t>满载吃水T</w:t>
            </w:r>
          </w:p>
        </w:tc>
        <w:tc>
          <w:tcPr>
            <w:tcW w:w="1032" w:type="pct"/>
            <w:vMerge w:val="continue"/>
            <w:vAlign w:val="center"/>
          </w:tcPr>
          <w:p w14:paraId="01EF54AF">
            <w:pPr>
              <w:pStyle w:val="91"/>
              <w:keepNext w:val="0"/>
              <w:keepLines w:val="0"/>
              <w:suppressLineNumbers w:val="0"/>
              <w:spacing w:before="0" w:beforeAutospacing="0" w:after="0" w:afterAutospacing="0"/>
              <w:ind w:left="0" w:right="0"/>
              <w:rPr>
                <w:rFonts w:hint="default"/>
                <w:color w:val="auto"/>
              </w:rPr>
            </w:pPr>
          </w:p>
        </w:tc>
      </w:tr>
      <w:tr w14:paraId="75223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0" w:type="pct"/>
            <w:vMerge w:val="restart"/>
            <w:vAlign w:val="center"/>
          </w:tcPr>
          <w:p w14:paraId="1E6552E5">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油船</w:t>
            </w:r>
            <w:r>
              <w:rPr>
                <w:rFonts w:hint="eastAsia"/>
                <w:bCs/>
                <w:color w:val="auto"/>
              </w:rPr>
              <w:t>/化学品</w:t>
            </w:r>
          </w:p>
        </w:tc>
        <w:tc>
          <w:tcPr>
            <w:tcW w:w="648" w:type="pct"/>
            <w:vAlign w:val="center"/>
          </w:tcPr>
          <w:p w14:paraId="3029DE67">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50000</w:t>
            </w:r>
          </w:p>
        </w:tc>
        <w:tc>
          <w:tcPr>
            <w:tcW w:w="585" w:type="pct"/>
            <w:vAlign w:val="center"/>
          </w:tcPr>
          <w:p w14:paraId="5145ECA2">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229</w:t>
            </w:r>
          </w:p>
        </w:tc>
        <w:tc>
          <w:tcPr>
            <w:tcW w:w="605" w:type="pct"/>
            <w:vAlign w:val="center"/>
          </w:tcPr>
          <w:p w14:paraId="0293ED2E">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32.2</w:t>
            </w:r>
          </w:p>
        </w:tc>
        <w:tc>
          <w:tcPr>
            <w:tcW w:w="658" w:type="pct"/>
            <w:vAlign w:val="center"/>
          </w:tcPr>
          <w:p w14:paraId="7FFEA784">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19.1</w:t>
            </w:r>
          </w:p>
        </w:tc>
        <w:tc>
          <w:tcPr>
            <w:tcW w:w="877" w:type="pct"/>
            <w:vAlign w:val="center"/>
          </w:tcPr>
          <w:p w14:paraId="676D80CB">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12.8</w:t>
            </w:r>
          </w:p>
        </w:tc>
        <w:tc>
          <w:tcPr>
            <w:tcW w:w="1032" w:type="pct"/>
            <w:vAlign w:val="center"/>
          </w:tcPr>
          <w:p w14:paraId="6EF2D6AB">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设计船型</w:t>
            </w:r>
          </w:p>
        </w:tc>
      </w:tr>
      <w:tr w14:paraId="2223C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0" w:type="pct"/>
            <w:vMerge w:val="continue"/>
            <w:vAlign w:val="center"/>
          </w:tcPr>
          <w:p w14:paraId="3DF1BCDE">
            <w:pPr>
              <w:pStyle w:val="91"/>
              <w:keepNext w:val="0"/>
              <w:keepLines w:val="0"/>
              <w:suppressLineNumbers w:val="0"/>
              <w:spacing w:before="0" w:beforeAutospacing="0" w:after="0" w:afterAutospacing="0"/>
              <w:ind w:left="0" w:right="0"/>
              <w:rPr>
                <w:rFonts w:hint="default"/>
                <w:color w:val="auto"/>
              </w:rPr>
            </w:pPr>
          </w:p>
        </w:tc>
        <w:tc>
          <w:tcPr>
            <w:tcW w:w="648" w:type="pct"/>
            <w:vAlign w:val="center"/>
          </w:tcPr>
          <w:p w14:paraId="7DE77593">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30000</w:t>
            </w:r>
          </w:p>
        </w:tc>
        <w:tc>
          <w:tcPr>
            <w:tcW w:w="585" w:type="pct"/>
            <w:vAlign w:val="center"/>
          </w:tcPr>
          <w:p w14:paraId="33967BF1">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185</w:t>
            </w:r>
          </w:p>
        </w:tc>
        <w:tc>
          <w:tcPr>
            <w:tcW w:w="605" w:type="pct"/>
            <w:vAlign w:val="center"/>
          </w:tcPr>
          <w:p w14:paraId="2F1DA9FD">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31.5</w:t>
            </w:r>
          </w:p>
        </w:tc>
        <w:tc>
          <w:tcPr>
            <w:tcW w:w="658" w:type="pct"/>
            <w:vAlign w:val="center"/>
          </w:tcPr>
          <w:p w14:paraId="200F15CB">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17.3</w:t>
            </w:r>
          </w:p>
        </w:tc>
        <w:tc>
          <w:tcPr>
            <w:tcW w:w="877" w:type="pct"/>
            <w:vAlign w:val="center"/>
          </w:tcPr>
          <w:p w14:paraId="7DC3E023">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12.0</w:t>
            </w:r>
          </w:p>
        </w:tc>
        <w:tc>
          <w:tcPr>
            <w:tcW w:w="1032" w:type="pct"/>
            <w:vAlign w:val="center"/>
          </w:tcPr>
          <w:p w14:paraId="5E7AA549">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设计船型</w:t>
            </w:r>
          </w:p>
        </w:tc>
      </w:tr>
      <w:tr w14:paraId="5DAD5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0" w:type="pct"/>
            <w:vMerge w:val="continue"/>
            <w:vAlign w:val="center"/>
          </w:tcPr>
          <w:p w14:paraId="5124FB17">
            <w:pPr>
              <w:pStyle w:val="91"/>
              <w:keepNext w:val="0"/>
              <w:keepLines w:val="0"/>
              <w:suppressLineNumbers w:val="0"/>
              <w:spacing w:before="0" w:beforeAutospacing="0" w:after="0" w:afterAutospacing="0"/>
              <w:ind w:left="0" w:right="0"/>
              <w:rPr>
                <w:rFonts w:hint="default"/>
                <w:color w:val="auto"/>
              </w:rPr>
            </w:pPr>
          </w:p>
        </w:tc>
        <w:tc>
          <w:tcPr>
            <w:tcW w:w="648" w:type="pct"/>
            <w:vAlign w:val="center"/>
          </w:tcPr>
          <w:p w14:paraId="12C18F6E">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20000</w:t>
            </w:r>
          </w:p>
        </w:tc>
        <w:tc>
          <w:tcPr>
            <w:tcW w:w="585" w:type="pct"/>
            <w:vAlign w:val="center"/>
          </w:tcPr>
          <w:p w14:paraId="26A81BEB">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164</w:t>
            </w:r>
          </w:p>
        </w:tc>
        <w:tc>
          <w:tcPr>
            <w:tcW w:w="605" w:type="pct"/>
            <w:vAlign w:val="center"/>
          </w:tcPr>
          <w:p w14:paraId="1A43DF9D">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26.0</w:t>
            </w:r>
          </w:p>
        </w:tc>
        <w:tc>
          <w:tcPr>
            <w:tcW w:w="658" w:type="pct"/>
            <w:vAlign w:val="center"/>
          </w:tcPr>
          <w:p w14:paraId="38E64A53">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13.4</w:t>
            </w:r>
          </w:p>
        </w:tc>
        <w:tc>
          <w:tcPr>
            <w:tcW w:w="877" w:type="pct"/>
            <w:vAlign w:val="center"/>
          </w:tcPr>
          <w:p w14:paraId="75BE2625">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10.0</w:t>
            </w:r>
          </w:p>
        </w:tc>
        <w:tc>
          <w:tcPr>
            <w:tcW w:w="1032" w:type="pct"/>
            <w:vAlign w:val="center"/>
          </w:tcPr>
          <w:p w14:paraId="1ACA4B09">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设计船型</w:t>
            </w:r>
          </w:p>
        </w:tc>
      </w:tr>
      <w:tr w14:paraId="471D3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0" w:type="pct"/>
            <w:vMerge w:val="continue"/>
            <w:vAlign w:val="center"/>
          </w:tcPr>
          <w:p w14:paraId="5E5C17BE">
            <w:pPr>
              <w:pStyle w:val="91"/>
              <w:keepNext w:val="0"/>
              <w:keepLines w:val="0"/>
              <w:suppressLineNumbers w:val="0"/>
              <w:spacing w:before="0" w:beforeAutospacing="0" w:after="0" w:afterAutospacing="0"/>
              <w:ind w:left="0" w:right="0"/>
              <w:rPr>
                <w:rFonts w:hint="default"/>
                <w:color w:val="auto"/>
              </w:rPr>
            </w:pPr>
          </w:p>
        </w:tc>
        <w:tc>
          <w:tcPr>
            <w:tcW w:w="648" w:type="pct"/>
            <w:vAlign w:val="center"/>
          </w:tcPr>
          <w:p w14:paraId="0E07CC49">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10000</w:t>
            </w:r>
          </w:p>
        </w:tc>
        <w:tc>
          <w:tcPr>
            <w:tcW w:w="585" w:type="pct"/>
            <w:vAlign w:val="center"/>
          </w:tcPr>
          <w:p w14:paraId="5C34D473">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141</w:t>
            </w:r>
          </w:p>
        </w:tc>
        <w:tc>
          <w:tcPr>
            <w:tcW w:w="605" w:type="pct"/>
            <w:vAlign w:val="center"/>
          </w:tcPr>
          <w:p w14:paraId="71C72800">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20.4</w:t>
            </w:r>
          </w:p>
        </w:tc>
        <w:tc>
          <w:tcPr>
            <w:tcW w:w="658" w:type="pct"/>
            <w:vAlign w:val="center"/>
          </w:tcPr>
          <w:p w14:paraId="00567B3E">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10.7</w:t>
            </w:r>
          </w:p>
        </w:tc>
        <w:tc>
          <w:tcPr>
            <w:tcW w:w="877" w:type="pct"/>
            <w:vAlign w:val="center"/>
          </w:tcPr>
          <w:p w14:paraId="10C2BB17">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8.3</w:t>
            </w:r>
          </w:p>
        </w:tc>
        <w:tc>
          <w:tcPr>
            <w:tcW w:w="1032" w:type="pct"/>
            <w:vAlign w:val="center"/>
          </w:tcPr>
          <w:p w14:paraId="1990125D">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设计船型</w:t>
            </w:r>
          </w:p>
        </w:tc>
      </w:tr>
      <w:tr w14:paraId="2A0F3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0" w:type="pct"/>
            <w:vMerge w:val="continue"/>
            <w:vAlign w:val="center"/>
          </w:tcPr>
          <w:p w14:paraId="4654B1EC">
            <w:pPr>
              <w:pStyle w:val="91"/>
              <w:keepNext w:val="0"/>
              <w:keepLines w:val="0"/>
              <w:suppressLineNumbers w:val="0"/>
              <w:spacing w:before="0" w:beforeAutospacing="0" w:after="0" w:afterAutospacing="0"/>
              <w:ind w:left="0" w:right="0"/>
              <w:rPr>
                <w:rFonts w:hint="default"/>
                <w:color w:val="auto"/>
              </w:rPr>
            </w:pPr>
          </w:p>
        </w:tc>
        <w:tc>
          <w:tcPr>
            <w:tcW w:w="648" w:type="pct"/>
            <w:vAlign w:val="center"/>
          </w:tcPr>
          <w:p w14:paraId="3A3A85A0">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5000</w:t>
            </w:r>
          </w:p>
        </w:tc>
        <w:tc>
          <w:tcPr>
            <w:tcW w:w="585" w:type="pct"/>
            <w:vAlign w:val="center"/>
          </w:tcPr>
          <w:p w14:paraId="72250B43">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125</w:t>
            </w:r>
          </w:p>
        </w:tc>
        <w:tc>
          <w:tcPr>
            <w:tcW w:w="605" w:type="pct"/>
            <w:vAlign w:val="center"/>
          </w:tcPr>
          <w:p w14:paraId="122DF5C4">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17.5</w:t>
            </w:r>
          </w:p>
        </w:tc>
        <w:tc>
          <w:tcPr>
            <w:tcW w:w="658" w:type="pct"/>
            <w:vAlign w:val="center"/>
          </w:tcPr>
          <w:p w14:paraId="083A0D63">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7.0</w:t>
            </w:r>
          </w:p>
        </w:tc>
        <w:tc>
          <w:tcPr>
            <w:tcW w:w="877" w:type="pct"/>
            <w:vAlign w:val="center"/>
          </w:tcPr>
          <w:p w14:paraId="362056BF">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8.0</w:t>
            </w:r>
          </w:p>
        </w:tc>
        <w:tc>
          <w:tcPr>
            <w:tcW w:w="1032" w:type="pct"/>
            <w:vAlign w:val="center"/>
          </w:tcPr>
          <w:p w14:paraId="11ACB7AE">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设计船型</w:t>
            </w:r>
          </w:p>
        </w:tc>
      </w:tr>
      <w:tr w14:paraId="6F03D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0" w:type="pct"/>
            <w:vMerge w:val="continue"/>
            <w:vAlign w:val="center"/>
          </w:tcPr>
          <w:p w14:paraId="25A2B6C2">
            <w:pPr>
              <w:pStyle w:val="91"/>
              <w:keepNext w:val="0"/>
              <w:keepLines w:val="0"/>
              <w:suppressLineNumbers w:val="0"/>
              <w:spacing w:before="0" w:beforeAutospacing="0" w:after="0" w:afterAutospacing="0"/>
              <w:ind w:left="0" w:right="0"/>
              <w:rPr>
                <w:rFonts w:hint="default"/>
                <w:color w:val="auto"/>
              </w:rPr>
            </w:pPr>
          </w:p>
        </w:tc>
        <w:tc>
          <w:tcPr>
            <w:tcW w:w="648" w:type="pct"/>
            <w:vAlign w:val="center"/>
          </w:tcPr>
          <w:p w14:paraId="6E4A00F2">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3000</w:t>
            </w:r>
          </w:p>
        </w:tc>
        <w:tc>
          <w:tcPr>
            <w:tcW w:w="585" w:type="pct"/>
            <w:vAlign w:val="center"/>
          </w:tcPr>
          <w:p w14:paraId="28134744">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98</w:t>
            </w:r>
          </w:p>
        </w:tc>
        <w:tc>
          <w:tcPr>
            <w:tcW w:w="605" w:type="pct"/>
            <w:vAlign w:val="center"/>
          </w:tcPr>
          <w:p w14:paraId="06A1BF38">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14.5</w:t>
            </w:r>
          </w:p>
        </w:tc>
        <w:tc>
          <w:tcPr>
            <w:tcW w:w="658" w:type="pct"/>
            <w:vAlign w:val="center"/>
          </w:tcPr>
          <w:p w14:paraId="06316DB6">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6.2</w:t>
            </w:r>
          </w:p>
        </w:tc>
        <w:tc>
          <w:tcPr>
            <w:tcW w:w="877" w:type="pct"/>
            <w:vAlign w:val="center"/>
          </w:tcPr>
          <w:p w14:paraId="314A9298">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7.0</w:t>
            </w:r>
          </w:p>
        </w:tc>
        <w:tc>
          <w:tcPr>
            <w:tcW w:w="1032" w:type="pct"/>
            <w:vAlign w:val="center"/>
          </w:tcPr>
          <w:p w14:paraId="14E6A2E5">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设计船型</w:t>
            </w:r>
          </w:p>
        </w:tc>
      </w:tr>
    </w:tbl>
    <w:p w14:paraId="0270D893">
      <w:pPr>
        <w:pStyle w:val="6"/>
        <w:rPr>
          <w:color w:val="auto"/>
        </w:rPr>
      </w:pPr>
      <w:r>
        <w:rPr>
          <w:rFonts w:hint="eastAsia"/>
          <w:color w:val="auto"/>
        </w:rPr>
        <w:t>现有</w:t>
      </w:r>
      <w:r>
        <w:rPr>
          <w:color w:val="auto"/>
        </w:rPr>
        <w:t>工程</w:t>
      </w:r>
      <w:r>
        <w:rPr>
          <w:rFonts w:hint="eastAsia"/>
          <w:color w:val="auto"/>
        </w:rPr>
        <w:t>装卸</w:t>
      </w:r>
      <w:r>
        <w:rPr>
          <w:color w:val="auto"/>
        </w:rPr>
        <w:t>、储存货种</w:t>
      </w:r>
      <w:r>
        <w:rPr>
          <w:rFonts w:hint="eastAsia"/>
          <w:color w:val="auto"/>
        </w:rPr>
        <w:t>及</w:t>
      </w:r>
      <w:r>
        <w:rPr>
          <w:color w:val="auto"/>
        </w:rPr>
        <w:t>吞吐量</w:t>
      </w:r>
    </w:p>
    <w:p w14:paraId="15492EF3">
      <w:pPr>
        <w:autoSpaceDE w:val="0"/>
        <w:autoSpaceDN w:val="0"/>
        <w:ind w:firstLine="480"/>
        <w:jc w:val="left"/>
        <w:rPr>
          <w:color w:val="auto"/>
        </w:rPr>
      </w:pPr>
      <w:r>
        <w:rPr>
          <w:rFonts w:hint="eastAsia"/>
          <w:color w:val="auto"/>
        </w:rPr>
        <w:t>根据历年环评批复，码头和</w:t>
      </w:r>
      <w:r>
        <w:rPr>
          <w:color w:val="auto"/>
        </w:rPr>
        <w:t>库区</w:t>
      </w:r>
      <w:r>
        <w:rPr>
          <w:rFonts w:hint="eastAsia"/>
          <w:color w:val="auto"/>
        </w:rPr>
        <w:t>批复装卸货种为：原油、汽油、柴油、重油、甲醇，共</w:t>
      </w:r>
      <w:r>
        <w:rPr>
          <w:color w:val="auto"/>
        </w:rPr>
        <w:t>5</w:t>
      </w:r>
      <w:r>
        <w:rPr>
          <w:rFonts w:hint="eastAsia"/>
          <w:color w:val="auto"/>
        </w:rPr>
        <w:t>种。码头</w:t>
      </w:r>
      <w:r>
        <w:rPr>
          <w:color w:val="auto"/>
        </w:rPr>
        <w:t>设计吞吐量为</w:t>
      </w:r>
      <w:r>
        <w:rPr>
          <w:rFonts w:hint="eastAsia"/>
          <w:color w:val="auto"/>
        </w:rPr>
        <w:t>121万吨/年</w:t>
      </w:r>
      <w:r>
        <w:rPr>
          <w:color w:val="auto"/>
        </w:rPr>
        <w:t>，</w:t>
      </w:r>
      <w:r>
        <w:rPr>
          <w:rFonts w:hint="eastAsia"/>
          <w:color w:val="auto"/>
        </w:rPr>
        <w:t>根据</w:t>
      </w:r>
      <w:r>
        <w:rPr>
          <w:color w:val="auto"/>
        </w:rPr>
        <w:t>建设单位提供的资料，</w:t>
      </w:r>
      <w:r>
        <w:rPr>
          <w:rFonts w:hint="eastAsia"/>
          <w:color w:val="auto"/>
        </w:rPr>
        <w:t>2025年码头</w:t>
      </w:r>
      <w:r>
        <w:rPr>
          <w:color w:val="auto"/>
        </w:rPr>
        <w:t>吞吐量</w:t>
      </w:r>
      <w:r>
        <w:rPr>
          <w:rFonts w:hint="eastAsia"/>
          <w:color w:val="auto"/>
        </w:rPr>
        <w:t>约为60.7万吨</w:t>
      </w:r>
      <w:r>
        <w:rPr>
          <w:color w:val="auto"/>
        </w:rPr>
        <w:t>。</w:t>
      </w:r>
    </w:p>
    <w:p w14:paraId="5732F3D8">
      <w:pPr>
        <w:autoSpaceDE w:val="0"/>
        <w:autoSpaceDN w:val="0"/>
        <w:ind w:firstLine="480"/>
        <w:jc w:val="left"/>
        <w:rPr>
          <w:color w:val="auto"/>
        </w:rPr>
      </w:pPr>
      <w:r>
        <w:rPr>
          <w:rFonts w:hint="eastAsia"/>
          <w:color w:val="auto"/>
        </w:rPr>
        <w:t>（1）码头</w:t>
      </w:r>
    </w:p>
    <w:p w14:paraId="5866F5DD">
      <w:pPr>
        <w:autoSpaceDE w:val="0"/>
        <w:autoSpaceDN w:val="0"/>
        <w:ind w:firstLine="480"/>
        <w:jc w:val="left"/>
        <w:rPr>
          <w:color w:val="auto"/>
        </w:rPr>
      </w:pPr>
      <w:r>
        <w:rPr>
          <w:rFonts w:hint="eastAsia"/>
          <w:color w:val="auto"/>
        </w:rPr>
        <w:t>码头装卸货种几吞吐量情况如下表所示：</w:t>
      </w:r>
    </w:p>
    <w:p w14:paraId="077C6D92">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2.1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rFonts w:hint="eastAsia"/>
          <w:color w:val="auto"/>
        </w:rPr>
        <w:t>现有工程码头吞吐量情况</w:t>
      </w:r>
    </w:p>
    <w:tbl>
      <w:tblPr>
        <w:tblStyle w:val="43"/>
        <w:tblW w:w="89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517"/>
        <w:gridCol w:w="900"/>
        <w:gridCol w:w="2273"/>
        <w:gridCol w:w="2850"/>
        <w:gridCol w:w="1380"/>
      </w:tblGrid>
      <w:tr w14:paraId="2C4FA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1517" w:type="dxa"/>
            <w:vAlign w:val="center"/>
          </w:tcPr>
          <w:p w14:paraId="61AC457B">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货种名称</w:t>
            </w:r>
          </w:p>
        </w:tc>
        <w:tc>
          <w:tcPr>
            <w:tcW w:w="900" w:type="dxa"/>
            <w:vAlign w:val="center"/>
          </w:tcPr>
          <w:p w14:paraId="28F26C68">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进/出</w:t>
            </w:r>
          </w:p>
        </w:tc>
        <w:tc>
          <w:tcPr>
            <w:tcW w:w="2273" w:type="dxa"/>
            <w:vAlign w:val="center"/>
          </w:tcPr>
          <w:p w14:paraId="5FA42BF0">
            <w:pPr>
              <w:pStyle w:val="91"/>
              <w:keepNext w:val="0"/>
              <w:keepLines w:val="0"/>
              <w:suppressLineNumbers w:val="0"/>
              <w:spacing w:before="0" w:beforeAutospacing="0" w:after="0" w:afterAutospacing="0"/>
              <w:ind w:left="0" w:right="0"/>
              <w:jc w:val="center"/>
              <w:rPr>
                <w:rFonts w:hint="default" w:eastAsia="宋体"/>
                <w:b/>
                <w:color w:val="auto"/>
                <w:u w:val="single"/>
                <w:lang w:val="en-US" w:eastAsia="zh-CN"/>
              </w:rPr>
            </w:pPr>
            <w:r>
              <w:rPr>
                <w:rFonts w:hint="eastAsia"/>
                <w:b/>
                <w:color w:val="auto"/>
                <w:u w:val="single"/>
                <w:lang w:val="en-US" w:eastAsia="zh-CN"/>
              </w:rPr>
              <w:t>设计吞吐量</w:t>
            </w:r>
            <w:r>
              <w:rPr>
                <w:rFonts w:hint="default"/>
                <w:b/>
                <w:color w:val="auto"/>
                <w:u w:val="single"/>
              </w:rPr>
              <w:t>（</w:t>
            </w:r>
            <w:r>
              <w:rPr>
                <w:rFonts w:hint="eastAsia"/>
                <w:b/>
                <w:color w:val="auto"/>
                <w:u w:val="single"/>
              </w:rPr>
              <w:t>万吨/年</w:t>
            </w:r>
            <w:r>
              <w:rPr>
                <w:rFonts w:hint="default"/>
                <w:b/>
                <w:color w:val="auto"/>
                <w:u w:val="single"/>
              </w:rPr>
              <w:t>）</w:t>
            </w:r>
          </w:p>
        </w:tc>
        <w:tc>
          <w:tcPr>
            <w:tcW w:w="2850" w:type="dxa"/>
            <w:vAlign w:val="center"/>
          </w:tcPr>
          <w:p w14:paraId="476C99A8">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2025年码头吞吐量</w:t>
            </w:r>
            <w:r>
              <w:rPr>
                <w:rFonts w:hint="default"/>
                <w:b/>
                <w:color w:val="auto"/>
              </w:rPr>
              <w:t>（</w:t>
            </w:r>
            <w:r>
              <w:rPr>
                <w:rFonts w:hint="eastAsia"/>
                <w:b/>
                <w:color w:val="auto"/>
              </w:rPr>
              <w:t>万吨/年</w:t>
            </w:r>
            <w:r>
              <w:rPr>
                <w:rFonts w:hint="default"/>
                <w:b/>
                <w:color w:val="auto"/>
              </w:rPr>
              <w:t>）</w:t>
            </w:r>
          </w:p>
        </w:tc>
        <w:tc>
          <w:tcPr>
            <w:tcW w:w="1380" w:type="dxa"/>
          </w:tcPr>
          <w:p w14:paraId="775CB025">
            <w:pPr>
              <w:pStyle w:val="91"/>
              <w:keepNext w:val="0"/>
              <w:keepLines w:val="0"/>
              <w:suppressLineNumbers w:val="0"/>
              <w:spacing w:before="0" w:beforeAutospacing="0" w:after="0" w:afterAutospacing="0"/>
              <w:ind w:left="0" w:right="0"/>
              <w:jc w:val="center"/>
              <w:rPr>
                <w:rFonts w:hint="eastAsia"/>
                <w:b/>
                <w:color w:val="auto"/>
                <w:u w:val="single"/>
              </w:rPr>
            </w:pPr>
            <w:r>
              <w:rPr>
                <w:rFonts w:hint="eastAsia"/>
                <w:b/>
                <w:color w:val="auto"/>
                <w:u w:val="single"/>
              </w:rPr>
              <w:t>货种</w:t>
            </w:r>
            <w:r>
              <w:rPr>
                <w:rFonts w:hint="default"/>
                <w:b/>
                <w:color w:val="auto"/>
                <w:u w:val="single"/>
              </w:rPr>
              <w:t>危险性</w:t>
            </w:r>
          </w:p>
        </w:tc>
      </w:tr>
      <w:tr w14:paraId="63F47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17" w:type="dxa"/>
            <w:vAlign w:val="center"/>
          </w:tcPr>
          <w:p w14:paraId="062F7F4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原油</w:t>
            </w:r>
          </w:p>
        </w:tc>
        <w:tc>
          <w:tcPr>
            <w:tcW w:w="900" w:type="dxa"/>
            <w:vAlign w:val="center"/>
          </w:tcPr>
          <w:p w14:paraId="6732477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卸船</w:t>
            </w:r>
          </w:p>
        </w:tc>
        <w:tc>
          <w:tcPr>
            <w:tcW w:w="2273" w:type="dxa"/>
            <w:vAlign w:val="center"/>
          </w:tcPr>
          <w:p w14:paraId="14887F77">
            <w:pPr>
              <w:pStyle w:val="91"/>
              <w:keepNext w:val="0"/>
              <w:keepLines w:val="0"/>
              <w:suppressLineNumbers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20</w:t>
            </w:r>
          </w:p>
        </w:tc>
        <w:tc>
          <w:tcPr>
            <w:tcW w:w="2850" w:type="dxa"/>
            <w:vAlign w:val="center"/>
          </w:tcPr>
          <w:p w14:paraId="42E846E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16.16</w:t>
            </w:r>
          </w:p>
        </w:tc>
        <w:tc>
          <w:tcPr>
            <w:tcW w:w="1380" w:type="dxa"/>
          </w:tcPr>
          <w:p w14:paraId="23F5C040">
            <w:pPr>
              <w:pStyle w:val="91"/>
              <w:keepNext w:val="0"/>
              <w:keepLines w:val="0"/>
              <w:suppressLineNumbers w:val="0"/>
              <w:spacing w:before="0" w:beforeAutospacing="0" w:after="0" w:afterAutospacing="0"/>
              <w:ind w:left="0" w:right="0"/>
              <w:jc w:val="center"/>
              <w:rPr>
                <w:rFonts w:hint="eastAsia"/>
                <w:color w:val="auto"/>
                <w:u w:val="single"/>
              </w:rPr>
            </w:pPr>
            <w:r>
              <w:rPr>
                <w:rFonts w:hint="eastAsia"/>
                <w:color w:val="auto"/>
                <w:u w:val="single"/>
              </w:rPr>
              <w:t>甲B</w:t>
            </w:r>
          </w:p>
        </w:tc>
      </w:tr>
      <w:tr w14:paraId="24E8B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17" w:type="dxa"/>
            <w:vAlign w:val="center"/>
          </w:tcPr>
          <w:p w14:paraId="346135F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重油/燃料油</w:t>
            </w:r>
          </w:p>
        </w:tc>
        <w:tc>
          <w:tcPr>
            <w:tcW w:w="900" w:type="dxa"/>
            <w:vAlign w:val="center"/>
          </w:tcPr>
          <w:p w14:paraId="1060713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卸船</w:t>
            </w:r>
          </w:p>
        </w:tc>
        <w:tc>
          <w:tcPr>
            <w:tcW w:w="2273" w:type="dxa"/>
            <w:vAlign w:val="center"/>
          </w:tcPr>
          <w:p w14:paraId="729EF11E">
            <w:pPr>
              <w:pStyle w:val="91"/>
              <w:keepNext w:val="0"/>
              <w:keepLines w:val="0"/>
              <w:suppressLineNumbers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20</w:t>
            </w:r>
          </w:p>
        </w:tc>
        <w:tc>
          <w:tcPr>
            <w:tcW w:w="2850" w:type="dxa"/>
            <w:vAlign w:val="center"/>
          </w:tcPr>
          <w:p w14:paraId="238E4B3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16.18</w:t>
            </w:r>
          </w:p>
        </w:tc>
        <w:tc>
          <w:tcPr>
            <w:tcW w:w="1380" w:type="dxa"/>
          </w:tcPr>
          <w:p w14:paraId="2D5E62D2">
            <w:pPr>
              <w:pStyle w:val="91"/>
              <w:keepNext w:val="0"/>
              <w:keepLines w:val="0"/>
              <w:suppressLineNumbers w:val="0"/>
              <w:spacing w:before="0" w:beforeAutospacing="0" w:after="0" w:afterAutospacing="0"/>
              <w:ind w:left="0" w:right="0"/>
              <w:jc w:val="center"/>
              <w:rPr>
                <w:rFonts w:hint="eastAsia"/>
                <w:color w:val="auto"/>
                <w:u w:val="single"/>
              </w:rPr>
            </w:pPr>
            <w:r>
              <w:rPr>
                <w:rFonts w:hint="eastAsia"/>
                <w:color w:val="auto"/>
                <w:u w:val="single"/>
              </w:rPr>
              <w:t>丙</w:t>
            </w:r>
          </w:p>
        </w:tc>
      </w:tr>
      <w:tr w14:paraId="64647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17" w:type="dxa"/>
            <w:vAlign w:val="center"/>
          </w:tcPr>
          <w:p w14:paraId="0E43E79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汽油</w:t>
            </w:r>
          </w:p>
        </w:tc>
        <w:tc>
          <w:tcPr>
            <w:tcW w:w="900" w:type="dxa"/>
            <w:vAlign w:val="center"/>
          </w:tcPr>
          <w:p w14:paraId="5E18AA2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装卸船</w:t>
            </w:r>
          </w:p>
        </w:tc>
        <w:tc>
          <w:tcPr>
            <w:tcW w:w="2273" w:type="dxa"/>
            <w:vAlign w:val="center"/>
          </w:tcPr>
          <w:p w14:paraId="3CA83EDE">
            <w:pPr>
              <w:pStyle w:val="91"/>
              <w:keepNext w:val="0"/>
              <w:keepLines w:val="0"/>
              <w:suppressLineNumbers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20</w:t>
            </w:r>
          </w:p>
        </w:tc>
        <w:tc>
          <w:tcPr>
            <w:tcW w:w="2850" w:type="dxa"/>
            <w:vAlign w:val="center"/>
          </w:tcPr>
          <w:p w14:paraId="5E259F7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5.76</w:t>
            </w:r>
          </w:p>
        </w:tc>
        <w:tc>
          <w:tcPr>
            <w:tcW w:w="1380" w:type="dxa"/>
          </w:tcPr>
          <w:p w14:paraId="76098AFB">
            <w:pPr>
              <w:pStyle w:val="91"/>
              <w:keepNext w:val="0"/>
              <w:keepLines w:val="0"/>
              <w:suppressLineNumbers w:val="0"/>
              <w:spacing w:before="0" w:beforeAutospacing="0" w:after="0" w:afterAutospacing="0"/>
              <w:ind w:left="0" w:right="0"/>
              <w:jc w:val="center"/>
              <w:rPr>
                <w:rFonts w:hint="eastAsia"/>
                <w:color w:val="auto"/>
                <w:u w:val="single"/>
              </w:rPr>
            </w:pPr>
            <w:r>
              <w:rPr>
                <w:rFonts w:hint="eastAsia"/>
                <w:color w:val="auto"/>
                <w:u w:val="single"/>
              </w:rPr>
              <w:t>甲B</w:t>
            </w:r>
          </w:p>
        </w:tc>
      </w:tr>
      <w:tr w14:paraId="0BED5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17" w:type="dxa"/>
            <w:vAlign w:val="center"/>
          </w:tcPr>
          <w:p w14:paraId="7D462B1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柴油</w:t>
            </w:r>
          </w:p>
        </w:tc>
        <w:tc>
          <w:tcPr>
            <w:tcW w:w="900" w:type="dxa"/>
            <w:vAlign w:val="center"/>
          </w:tcPr>
          <w:p w14:paraId="07F129A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卸船</w:t>
            </w:r>
          </w:p>
        </w:tc>
        <w:tc>
          <w:tcPr>
            <w:tcW w:w="2273" w:type="dxa"/>
            <w:vAlign w:val="center"/>
          </w:tcPr>
          <w:p w14:paraId="612721B7">
            <w:pPr>
              <w:pStyle w:val="91"/>
              <w:keepNext w:val="0"/>
              <w:keepLines w:val="0"/>
              <w:suppressLineNumbers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30</w:t>
            </w:r>
          </w:p>
        </w:tc>
        <w:tc>
          <w:tcPr>
            <w:tcW w:w="2850" w:type="dxa"/>
            <w:vAlign w:val="center"/>
          </w:tcPr>
          <w:p w14:paraId="6E108C9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2.32</w:t>
            </w:r>
          </w:p>
        </w:tc>
        <w:tc>
          <w:tcPr>
            <w:tcW w:w="1380" w:type="dxa"/>
          </w:tcPr>
          <w:p w14:paraId="2E06AC78">
            <w:pPr>
              <w:pStyle w:val="91"/>
              <w:keepNext w:val="0"/>
              <w:keepLines w:val="0"/>
              <w:suppressLineNumbers w:val="0"/>
              <w:spacing w:before="0" w:beforeAutospacing="0" w:after="0" w:afterAutospacing="0"/>
              <w:ind w:left="0" w:right="0"/>
              <w:jc w:val="center"/>
              <w:rPr>
                <w:rFonts w:hint="eastAsia"/>
                <w:color w:val="auto"/>
                <w:u w:val="single"/>
              </w:rPr>
            </w:pPr>
            <w:r>
              <w:rPr>
                <w:rFonts w:hint="eastAsia"/>
                <w:color w:val="auto"/>
                <w:u w:val="single"/>
              </w:rPr>
              <w:t>乙B</w:t>
            </w:r>
          </w:p>
        </w:tc>
      </w:tr>
      <w:tr w14:paraId="4DF19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17" w:type="dxa"/>
            <w:vAlign w:val="center"/>
          </w:tcPr>
          <w:p w14:paraId="1677B06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甲醇</w:t>
            </w:r>
          </w:p>
        </w:tc>
        <w:tc>
          <w:tcPr>
            <w:tcW w:w="900" w:type="dxa"/>
            <w:vAlign w:val="center"/>
          </w:tcPr>
          <w:p w14:paraId="08B70AF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卸船</w:t>
            </w:r>
          </w:p>
        </w:tc>
        <w:tc>
          <w:tcPr>
            <w:tcW w:w="2273" w:type="dxa"/>
            <w:vAlign w:val="center"/>
          </w:tcPr>
          <w:p w14:paraId="50CF7F13">
            <w:pPr>
              <w:pStyle w:val="91"/>
              <w:keepNext w:val="0"/>
              <w:keepLines w:val="0"/>
              <w:suppressLineNumbers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31</w:t>
            </w:r>
          </w:p>
        </w:tc>
        <w:tc>
          <w:tcPr>
            <w:tcW w:w="2850" w:type="dxa"/>
            <w:vAlign w:val="center"/>
          </w:tcPr>
          <w:p w14:paraId="548A0513">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20.32</w:t>
            </w:r>
          </w:p>
        </w:tc>
        <w:tc>
          <w:tcPr>
            <w:tcW w:w="1380" w:type="dxa"/>
            <w:vAlign w:val="center"/>
          </w:tcPr>
          <w:p w14:paraId="6BB511AD">
            <w:pPr>
              <w:pStyle w:val="91"/>
              <w:keepNext w:val="0"/>
              <w:keepLines w:val="0"/>
              <w:suppressLineNumbers w:val="0"/>
              <w:spacing w:before="0" w:beforeAutospacing="0" w:after="0" w:afterAutospacing="0"/>
              <w:ind w:left="0" w:right="0"/>
              <w:jc w:val="center"/>
              <w:rPr>
                <w:rFonts w:hint="eastAsia"/>
                <w:color w:val="auto"/>
                <w:u w:val="single"/>
              </w:rPr>
            </w:pPr>
            <w:r>
              <w:rPr>
                <w:rFonts w:hint="eastAsia"/>
                <w:color w:val="auto"/>
                <w:u w:val="single"/>
              </w:rPr>
              <w:t>甲B</w:t>
            </w:r>
          </w:p>
        </w:tc>
      </w:tr>
      <w:tr w14:paraId="37D72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17" w:type="dxa"/>
            <w:vAlign w:val="center"/>
          </w:tcPr>
          <w:p w14:paraId="491BF82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合计</w:t>
            </w:r>
          </w:p>
        </w:tc>
        <w:tc>
          <w:tcPr>
            <w:tcW w:w="900" w:type="dxa"/>
            <w:vAlign w:val="center"/>
          </w:tcPr>
          <w:p w14:paraId="48DE791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c>
          <w:tcPr>
            <w:tcW w:w="2273" w:type="dxa"/>
            <w:vAlign w:val="center"/>
          </w:tcPr>
          <w:p w14:paraId="73BDD820">
            <w:pPr>
              <w:pStyle w:val="91"/>
              <w:keepNext w:val="0"/>
              <w:keepLines w:val="0"/>
              <w:suppressLineNumbers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121</w:t>
            </w:r>
          </w:p>
        </w:tc>
        <w:tc>
          <w:tcPr>
            <w:tcW w:w="2850" w:type="dxa"/>
            <w:vAlign w:val="center"/>
          </w:tcPr>
          <w:p w14:paraId="52CDAF9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60.7</w:t>
            </w:r>
          </w:p>
        </w:tc>
        <w:tc>
          <w:tcPr>
            <w:tcW w:w="1380" w:type="dxa"/>
          </w:tcPr>
          <w:p w14:paraId="2C35209D">
            <w:pPr>
              <w:pStyle w:val="91"/>
              <w:keepNext w:val="0"/>
              <w:keepLines w:val="0"/>
              <w:suppressLineNumbers w:val="0"/>
              <w:spacing w:before="0" w:beforeAutospacing="0" w:after="0" w:afterAutospacing="0"/>
              <w:ind w:left="0" w:right="0"/>
              <w:jc w:val="center"/>
              <w:rPr>
                <w:rFonts w:hint="eastAsia"/>
                <w:color w:val="auto"/>
                <w:u w:val="single"/>
              </w:rPr>
            </w:pPr>
            <w:r>
              <w:rPr>
                <w:rFonts w:hint="eastAsia"/>
                <w:color w:val="auto"/>
                <w:u w:val="single"/>
              </w:rPr>
              <w:t>/</w:t>
            </w:r>
          </w:p>
        </w:tc>
      </w:tr>
    </w:tbl>
    <w:p w14:paraId="2377DFE3">
      <w:pPr>
        <w:autoSpaceDE w:val="0"/>
        <w:autoSpaceDN w:val="0"/>
        <w:ind w:firstLine="480"/>
        <w:jc w:val="left"/>
        <w:rPr>
          <w:color w:val="auto"/>
        </w:rPr>
      </w:pPr>
      <w:r>
        <w:rPr>
          <w:rFonts w:hint="eastAsia"/>
          <w:color w:val="auto"/>
        </w:rPr>
        <w:t>（2）库区</w:t>
      </w:r>
    </w:p>
    <w:p w14:paraId="3E3124CB">
      <w:pPr>
        <w:autoSpaceDE w:val="0"/>
        <w:autoSpaceDN w:val="0"/>
        <w:ind w:firstLine="480"/>
        <w:jc w:val="left"/>
        <w:rPr>
          <w:color w:val="auto"/>
        </w:rPr>
      </w:pPr>
      <w:r>
        <w:rPr>
          <w:rFonts w:hint="eastAsia"/>
          <w:color w:val="auto"/>
        </w:rPr>
        <w:t>库区储罐</w:t>
      </w:r>
      <w:r>
        <w:rPr>
          <w:color w:val="auto"/>
        </w:rPr>
        <w:t>储存</w:t>
      </w:r>
      <w:r>
        <w:rPr>
          <w:rFonts w:hint="eastAsia"/>
          <w:color w:val="auto"/>
        </w:rPr>
        <w:t>及</w:t>
      </w:r>
      <w:r>
        <w:rPr>
          <w:color w:val="auto"/>
        </w:rPr>
        <w:t>周转情况如下表：</w:t>
      </w:r>
    </w:p>
    <w:p w14:paraId="7E5D4BB9">
      <w:pPr>
        <w:pStyle w:val="14"/>
        <w:rPr>
          <w:color w:val="auto"/>
        </w:rPr>
      </w:pPr>
      <w:r>
        <w:rPr>
          <w:rFonts w:hint="eastAsia"/>
          <w:color w:val="auto"/>
        </w:rPr>
        <w:t>表</w:t>
      </w:r>
      <w:r>
        <w:rPr>
          <w:color w:val="auto"/>
        </w:rPr>
        <w:t>2.1</w:t>
      </w:r>
      <w:r>
        <w:rPr>
          <w:color w:val="auto"/>
        </w:rPr>
        <w:noBreakHyphen/>
      </w:r>
      <w:r>
        <w:rPr>
          <w:color w:val="auto"/>
        </w:rPr>
        <w:t>4</w:t>
      </w:r>
      <w:r>
        <w:rPr>
          <w:rFonts w:hint="eastAsia"/>
          <w:color w:val="auto"/>
        </w:rPr>
        <w:t>库区货种周转量</w:t>
      </w:r>
      <w:r>
        <w:rPr>
          <w:color w:val="auto"/>
        </w:rPr>
        <w:t>情况一览表</w:t>
      </w:r>
    </w:p>
    <w:tbl>
      <w:tblPr>
        <w:tblStyle w:val="43"/>
        <w:tblW w:w="934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217"/>
        <w:gridCol w:w="709"/>
        <w:gridCol w:w="992"/>
        <w:gridCol w:w="885"/>
        <w:gridCol w:w="15"/>
        <w:gridCol w:w="1261"/>
        <w:gridCol w:w="15"/>
        <w:gridCol w:w="977"/>
        <w:gridCol w:w="15"/>
        <w:gridCol w:w="791"/>
        <w:gridCol w:w="15"/>
        <w:gridCol w:w="1173"/>
        <w:gridCol w:w="1276"/>
      </w:tblGrid>
      <w:tr w14:paraId="3F602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217" w:type="dxa"/>
            <w:vAlign w:val="center"/>
          </w:tcPr>
          <w:p w14:paraId="6CB4CB64">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罐组</w:t>
            </w:r>
          </w:p>
        </w:tc>
        <w:tc>
          <w:tcPr>
            <w:tcW w:w="709" w:type="dxa"/>
            <w:vAlign w:val="center"/>
          </w:tcPr>
          <w:p w14:paraId="0FBD942D">
            <w:pPr>
              <w:pStyle w:val="91"/>
              <w:keepNext w:val="0"/>
              <w:keepLines w:val="0"/>
              <w:suppressLineNumbers w:val="0"/>
              <w:spacing w:before="0" w:beforeAutospacing="0" w:after="0" w:afterAutospacing="0"/>
              <w:ind w:left="0" w:right="0"/>
              <w:jc w:val="center"/>
              <w:rPr>
                <w:rFonts w:hint="default"/>
                <w:b/>
                <w:color w:val="auto"/>
                <w:u w:val="single"/>
              </w:rPr>
            </w:pPr>
            <w:r>
              <w:rPr>
                <w:rFonts w:hint="eastAsia"/>
                <w:b/>
                <w:color w:val="auto"/>
                <w:u w:val="single"/>
              </w:rPr>
              <w:t>储罐</w:t>
            </w:r>
            <w:r>
              <w:rPr>
                <w:rFonts w:hint="default"/>
                <w:b/>
                <w:color w:val="auto"/>
                <w:u w:val="single"/>
              </w:rPr>
              <w:t>类型</w:t>
            </w:r>
          </w:p>
        </w:tc>
        <w:tc>
          <w:tcPr>
            <w:tcW w:w="992" w:type="dxa"/>
            <w:vAlign w:val="center"/>
          </w:tcPr>
          <w:p w14:paraId="119E5726">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储罐</w:t>
            </w:r>
            <w:r>
              <w:rPr>
                <w:rFonts w:hint="default"/>
                <w:b/>
                <w:color w:val="auto"/>
              </w:rPr>
              <w:t>容积</w:t>
            </w:r>
            <w:r>
              <w:rPr>
                <w:rFonts w:hint="eastAsia"/>
                <w:b/>
                <w:color w:val="auto"/>
              </w:rPr>
              <w:t>（m</w:t>
            </w:r>
            <w:r>
              <w:rPr>
                <w:rFonts w:hint="default"/>
                <w:b/>
                <w:color w:val="auto"/>
                <w:vertAlign w:val="superscript"/>
              </w:rPr>
              <w:t>3</w:t>
            </w:r>
            <w:r>
              <w:rPr>
                <w:rFonts w:hint="eastAsia"/>
                <w:b/>
                <w:color w:val="auto"/>
              </w:rPr>
              <w:t>）</w:t>
            </w:r>
          </w:p>
        </w:tc>
        <w:tc>
          <w:tcPr>
            <w:tcW w:w="900" w:type="dxa"/>
            <w:gridSpan w:val="2"/>
            <w:vAlign w:val="center"/>
          </w:tcPr>
          <w:p w14:paraId="0281F98A">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储罐</w:t>
            </w:r>
            <w:r>
              <w:rPr>
                <w:rFonts w:hint="default"/>
                <w:b/>
                <w:color w:val="auto"/>
              </w:rPr>
              <w:t>数量</w:t>
            </w:r>
            <w:r>
              <w:rPr>
                <w:rFonts w:hint="eastAsia"/>
                <w:b/>
                <w:color w:val="auto"/>
              </w:rPr>
              <w:t>（个）</w:t>
            </w:r>
          </w:p>
        </w:tc>
        <w:tc>
          <w:tcPr>
            <w:tcW w:w="1276" w:type="dxa"/>
            <w:gridSpan w:val="2"/>
            <w:vAlign w:val="center"/>
          </w:tcPr>
          <w:p w14:paraId="4F4EE778">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规格型号（m）</w:t>
            </w:r>
          </w:p>
        </w:tc>
        <w:tc>
          <w:tcPr>
            <w:tcW w:w="992" w:type="dxa"/>
            <w:gridSpan w:val="2"/>
            <w:vAlign w:val="center"/>
          </w:tcPr>
          <w:p w14:paraId="2112B340">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储存</w:t>
            </w:r>
            <w:r>
              <w:rPr>
                <w:rFonts w:hint="default"/>
                <w:b/>
                <w:color w:val="auto"/>
              </w:rPr>
              <w:t>容积（</w:t>
            </w:r>
            <w:r>
              <w:rPr>
                <w:rFonts w:hint="eastAsia"/>
                <w:b/>
                <w:color w:val="auto"/>
              </w:rPr>
              <w:t>万m</w:t>
            </w:r>
            <w:r>
              <w:rPr>
                <w:rFonts w:hint="default"/>
                <w:b/>
                <w:color w:val="auto"/>
                <w:vertAlign w:val="superscript"/>
              </w:rPr>
              <w:t>3</w:t>
            </w:r>
            <w:r>
              <w:rPr>
                <w:rFonts w:hint="default"/>
                <w:b/>
                <w:color w:val="auto"/>
              </w:rPr>
              <w:t>）</w:t>
            </w:r>
          </w:p>
        </w:tc>
        <w:tc>
          <w:tcPr>
            <w:tcW w:w="806" w:type="dxa"/>
            <w:gridSpan w:val="2"/>
            <w:vAlign w:val="center"/>
          </w:tcPr>
          <w:p w14:paraId="47C4E850">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储存</w:t>
            </w:r>
            <w:r>
              <w:rPr>
                <w:rFonts w:hint="default"/>
                <w:b/>
                <w:color w:val="auto"/>
              </w:rPr>
              <w:t>货种</w:t>
            </w:r>
          </w:p>
        </w:tc>
        <w:tc>
          <w:tcPr>
            <w:tcW w:w="1173" w:type="dxa"/>
            <w:vAlign w:val="center"/>
          </w:tcPr>
          <w:p w14:paraId="657361C2">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储存</w:t>
            </w:r>
            <w:r>
              <w:rPr>
                <w:rFonts w:hint="default"/>
                <w:b/>
                <w:color w:val="auto"/>
              </w:rPr>
              <w:t>天数（</w:t>
            </w:r>
            <w:r>
              <w:rPr>
                <w:rFonts w:hint="eastAsia"/>
                <w:b/>
                <w:color w:val="auto"/>
              </w:rPr>
              <w:t>天</w:t>
            </w:r>
            <w:r>
              <w:rPr>
                <w:rFonts w:hint="default"/>
                <w:b/>
                <w:color w:val="auto"/>
              </w:rPr>
              <w:t>）</w:t>
            </w:r>
          </w:p>
        </w:tc>
        <w:tc>
          <w:tcPr>
            <w:tcW w:w="1276" w:type="dxa"/>
            <w:vAlign w:val="center"/>
          </w:tcPr>
          <w:p w14:paraId="167A4292">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库区年</w:t>
            </w:r>
            <w:r>
              <w:rPr>
                <w:rFonts w:hint="default"/>
                <w:b/>
                <w:color w:val="auto"/>
              </w:rPr>
              <w:t>周转量（</w:t>
            </w:r>
            <w:r>
              <w:rPr>
                <w:rFonts w:hint="eastAsia"/>
                <w:b/>
                <w:color w:val="auto"/>
              </w:rPr>
              <w:t>万吨/年</w:t>
            </w:r>
            <w:r>
              <w:rPr>
                <w:rFonts w:hint="default"/>
                <w:b/>
                <w:color w:val="auto"/>
              </w:rPr>
              <w:t>）</w:t>
            </w:r>
          </w:p>
        </w:tc>
      </w:tr>
      <w:tr w14:paraId="3D8C6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217" w:type="dxa"/>
            <w:vAlign w:val="center"/>
          </w:tcPr>
          <w:p w14:paraId="63AE8BC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1#原油罐组</w:t>
            </w:r>
          </w:p>
        </w:tc>
        <w:tc>
          <w:tcPr>
            <w:tcW w:w="709" w:type="dxa"/>
            <w:vAlign w:val="center"/>
          </w:tcPr>
          <w:p w14:paraId="4510E3EB">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外浮顶</w:t>
            </w:r>
          </w:p>
        </w:tc>
        <w:tc>
          <w:tcPr>
            <w:tcW w:w="992" w:type="dxa"/>
            <w:vAlign w:val="center"/>
          </w:tcPr>
          <w:p w14:paraId="2F51759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40000</w:t>
            </w:r>
          </w:p>
        </w:tc>
        <w:tc>
          <w:tcPr>
            <w:tcW w:w="900" w:type="dxa"/>
            <w:gridSpan w:val="2"/>
            <w:vAlign w:val="center"/>
          </w:tcPr>
          <w:p w14:paraId="6319E1D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3</w:t>
            </w:r>
          </w:p>
        </w:tc>
        <w:tc>
          <w:tcPr>
            <w:tcW w:w="1276" w:type="dxa"/>
            <w:gridSpan w:val="2"/>
            <w:vAlign w:val="center"/>
          </w:tcPr>
          <w:p w14:paraId="72FB200B">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Φ</w:t>
            </w:r>
            <w:r>
              <w:rPr>
                <w:rFonts w:hint="default"/>
                <w:color w:val="auto"/>
              </w:rPr>
              <w:t>52×19.55</w:t>
            </w:r>
          </w:p>
        </w:tc>
        <w:tc>
          <w:tcPr>
            <w:tcW w:w="992" w:type="dxa"/>
            <w:gridSpan w:val="2"/>
            <w:vAlign w:val="center"/>
          </w:tcPr>
          <w:p w14:paraId="270945C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w:t>
            </w:r>
            <w:r>
              <w:rPr>
                <w:rFonts w:hint="default"/>
                <w:color w:val="auto"/>
              </w:rPr>
              <w:t>2</w:t>
            </w:r>
          </w:p>
        </w:tc>
        <w:tc>
          <w:tcPr>
            <w:tcW w:w="806" w:type="dxa"/>
            <w:gridSpan w:val="2"/>
            <w:vAlign w:val="center"/>
          </w:tcPr>
          <w:p w14:paraId="744E506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原油</w:t>
            </w:r>
          </w:p>
        </w:tc>
        <w:tc>
          <w:tcPr>
            <w:tcW w:w="1173" w:type="dxa"/>
            <w:vAlign w:val="center"/>
          </w:tcPr>
          <w:p w14:paraId="29C5A50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w:t>
            </w:r>
            <w:r>
              <w:rPr>
                <w:rFonts w:hint="default"/>
                <w:color w:val="auto"/>
              </w:rPr>
              <w:t>0</w:t>
            </w:r>
          </w:p>
        </w:tc>
        <w:tc>
          <w:tcPr>
            <w:tcW w:w="1276" w:type="dxa"/>
            <w:vAlign w:val="center"/>
          </w:tcPr>
          <w:p w14:paraId="1E59B67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140</w:t>
            </w:r>
          </w:p>
        </w:tc>
      </w:tr>
      <w:tr w14:paraId="614A4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217" w:type="dxa"/>
            <w:vAlign w:val="center"/>
          </w:tcPr>
          <w:p w14:paraId="250985E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2#重油罐组</w:t>
            </w:r>
          </w:p>
        </w:tc>
        <w:tc>
          <w:tcPr>
            <w:tcW w:w="709" w:type="dxa"/>
            <w:vAlign w:val="center"/>
          </w:tcPr>
          <w:p w14:paraId="0732D4F3">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拱顶</w:t>
            </w:r>
          </w:p>
        </w:tc>
        <w:tc>
          <w:tcPr>
            <w:tcW w:w="992" w:type="dxa"/>
            <w:vAlign w:val="center"/>
          </w:tcPr>
          <w:p w14:paraId="2250DD0B">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5000</w:t>
            </w:r>
          </w:p>
        </w:tc>
        <w:tc>
          <w:tcPr>
            <w:tcW w:w="900" w:type="dxa"/>
            <w:gridSpan w:val="2"/>
            <w:vAlign w:val="center"/>
          </w:tcPr>
          <w:p w14:paraId="133CAD4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3</w:t>
            </w:r>
          </w:p>
        </w:tc>
        <w:tc>
          <w:tcPr>
            <w:tcW w:w="1276" w:type="dxa"/>
            <w:gridSpan w:val="2"/>
            <w:vAlign w:val="center"/>
          </w:tcPr>
          <w:p w14:paraId="19CFBB0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Φ</w:t>
            </w:r>
            <w:r>
              <w:rPr>
                <w:rFonts w:hint="default"/>
                <w:color w:val="auto"/>
              </w:rPr>
              <w:t>20×15.5</w:t>
            </w:r>
          </w:p>
        </w:tc>
        <w:tc>
          <w:tcPr>
            <w:tcW w:w="992" w:type="dxa"/>
            <w:gridSpan w:val="2"/>
            <w:vAlign w:val="center"/>
          </w:tcPr>
          <w:p w14:paraId="5146032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1.5</w:t>
            </w:r>
          </w:p>
        </w:tc>
        <w:tc>
          <w:tcPr>
            <w:tcW w:w="806" w:type="dxa"/>
            <w:gridSpan w:val="2"/>
            <w:vAlign w:val="center"/>
          </w:tcPr>
          <w:p w14:paraId="0EF8D64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重油/燃料油</w:t>
            </w:r>
          </w:p>
        </w:tc>
        <w:tc>
          <w:tcPr>
            <w:tcW w:w="1173" w:type="dxa"/>
            <w:vAlign w:val="center"/>
          </w:tcPr>
          <w:p w14:paraId="05F30D2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w:t>
            </w:r>
            <w:r>
              <w:rPr>
                <w:rFonts w:hint="default"/>
                <w:color w:val="auto"/>
              </w:rPr>
              <w:t>0</w:t>
            </w:r>
          </w:p>
        </w:tc>
        <w:tc>
          <w:tcPr>
            <w:tcW w:w="1276" w:type="dxa"/>
            <w:vAlign w:val="center"/>
          </w:tcPr>
          <w:p w14:paraId="584CC79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8</w:t>
            </w:r>
          </w:p>
        </w:tc>
      </w:tr>
      <w:tr w14:paraId="20B43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217" w:type="dxa"/>
            <w:vAlign w:val="center"/>
          </w:tcPr>
          <w:p w14:paraId="7717282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3#汽油罐组</w:t>
            </w:r>
          </w:p>
        </w:tc>
        <w:tc>
          <w:tcPr>
            <w:tcW w:w="709" w:type="dxa"/>
            <w:vAlign w:val="center"/>
          </w:tcPr>
          <w:p w14:paraId="07954D6A">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内浮顶</w:t>
            </w:r>
          </w:p>
        </w:tc>
        <w:tc>
          <w:tcPr>
            <w:tcW w:w="992" w:type="dxa"/>
            <w:vAlign w:val="center"/>
          </w:tcPr>
          <w:p w14:paraId="5277BA3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10000</w:t>
            </w:r>
          </w:p>
        </w:tc>
        <w:tc>
          <w:tcPr>
            <w:tcW w:w="900" w:type="dxa"/>
            <w:gridSpan w:val="2"/>
            <w:vAlign w:val="center"/>
          </w:tcPr>
          <w:p w14:paraId="562FE16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8</w:t>
            </w:r>
          </w:p>
        </w:tc>
        <w:tc>
          <w:tcPr>
            <w:tcW w:w="1276" w:type="dxa"/>
            <w:gridSpan w:val="2"/>
            <w:vAlign w:val="center"/>
          </w:tcPr>
          <w:p w14:paraId="05E78F0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Φ</w:t>
            </w:r>
            <w:r>
              <w:rPr>
                <w:rFonts w:hint="default"/>
                <w:color w:val="auto"/>
              </w:rPr>
              <w:t>28×16.8</w:t>
            </w:r>
          </w:p>
        </w:tc>
        <w:tc>
          <w:tcPr>
            <w:tcW w:w="992" w:type="dxa"/>
            <w:gridSpan w:val="2"/>
            <w:vAlign w:val="center"/>
          </w:tcPr>
          <w:p w14:paraId="1F65D7A2">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8</w:t>
            </w:r>
          </w:p>
        </w:tc>
        <w:tc>
          <w:tcPr>
            <w:tcW w:w="806" w:type="dxa"/>
            <w:gridSpan w:val="2"/>
            <w:vAlign w:val="center"/>
          </w:tcPr>
          <w:p w14:paraId="2E2CF2E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汽油</w:t>
            </w:r>
          </w:p>
        </w:tc>
        <w:tc>
          <w:tcPr>
            <w:tcW w:w="1173" w:type="dxa"/>
            <w:vAlign w:val="center"/>
          </w:tcPr>
          <w:p w14:paraId="210E132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w:t>
            </w:r>
            <w:r>
              <w:rPr>
                <w:rFonts w:hint="default"/>
                <w:color w:val="auto"/>
              </w:rPr>
              <w:t>0</w:t>
            </w:r>
          </w:p>
        </w:tc>
        <w:tc>
          <w:tcPr>
            <w:tcW w:w="1276" w:type="dxa"/>
            <w:vAlign w:val="center"/>
          </w:tcPr>
          <w:p w14:paraId="3401ACF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80</w:t>
            </w:r>
          </w:p>
        </w:tc>
      </w:tr>
      <w:tr w14:paraId="53188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217" w:type="dxa"/>
            <w:vAlign w:val="center"/>
          </w:tcPr>
          <w:p w14:paraId="08F4215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4#柴油罐组</w:t>
            </w:r>
          </w:p>
        </w:tc>
        <w:tc>
          <w:tcPr>
            <w:tcW w:w="709" w:type="dxa"/>
            <w:vAlign w:val="center"/>
          </w:tcPr>
          <w:p w14:paraId="6E91CF7B">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拱顶</w:t>
            </w:r>
          </w:p>
        </w:tc>
        <w:tc>
          <w:tcPr>
            <w:tcW w:w="992" w:type="dxa"/>
            <w:vAlign w:val="center"/>
          </w:tcPr>
          <w:p w14:paraId="05E6428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10000</w:t>
            </w:r>
          </w:p>
        </w:tc>
        <w:tc>
          <w:tcPr>
            <w:tcW w:w="900" w:type="dxa"/>
            <w:gridSpan w:val="2"/>
            <w:vAlign w:val="center"/>
          </w:tcPr>
          <w:p w14:paraId="6D93063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8</w:t>
            </w:r>
          </w:p>
        </w:tc>
        <w:tc>
          <w:tcPr>
            <w:tcW w:w="1276" w:type="dxa"/>
            <w:gridSpan w:val="2"/>
            <w:vAlign w:val="center"/>
          </w:tcPr>
          <w:p w14:paraId="3C6154C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Φ</w:t>
            </w:r>
            <w:r>
              <w:rPr>
                <w:rFonts w:hint="default"/>
                <w:color w:val="auto"/>
              </w:rPr>
              <w:t>28×16.8</w:t>
            </w:r>
          </w:p>
        </w:tc>
        <w:tc>
          <w:tcPr>
            <w:tcW w:w="992" w:type="dxa"/>
            <w:gridSpan w:val="2"/>
            <w:vAlign w:val="center"/>
          </w:tcPr>
          <w:p w14:paraId="7CFE1B2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8</w:t>
            </w:r>
          </w:p>
        </w:tc>
        <w:tc>
          <w:tcPr>
            <w:tcW w:w="806" w:type="dxa"/>
            <w:gridSpan w:val="2"/>
            <w:vMerge w:val="restart"/>
            <w:vAlign w:val="center"/>
          </w:tcPr>
          <w:p w14:paraId="62C12BD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柴油</w:t>
            </w:r>
          </w:p>
        </w:tc>
        <w:tc>
          <w:tcPr>
            <w:tcW w:w="1173" w:type="dxa"/>
            <w:vAlign w:val="center"/>
          </w:tcPr>
          <w:p w14:paraId="3B647E3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w:t>
            </w:r>
            <w:r>
              <w:rPr>
                <w:rFonts w:hint="default"/>
                <w:color w:val="auto"/>
              </w:rPr>
              <w:t>0</w:t>
            </w:r>
          </w:p>
        </w:tc>
        <w:tc>
          <w:tcPr>
            <w:tcW w:w="1276" w:type="dxa"/>
            <w:vMerge w:val="restart"/>
            <w:vAlign w:val="center"/>
          </w:tcPr>
          <w:p w14:paraId="194BA05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90</w:t>
            </w:r>
          </w:p>
        </w:tc>
      </w:tr>
      <w:tr w14:paraId="5166D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217" w:type="dxa"/>
            <w:vMerge w:val="restart"/>
            <w:vAlign w:val="center"/>
          </w:tcPr>
          <w:p w14:paraId="035AD53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5#混合</w:t>
            </w:r>
            <w:r>
              <w:rPr>
                <w:rFonts w:hint="default"/>
                <w:color w:val="auto"/>
              </w:rPr>
              <w:t>罐组</w:t>
            </w:r>
          </w:p>
        </w:tc>
        <w:tc>
          <w:tcPr>
            <w:tcW w:w="709" w:type="dxa"/>
            <w:vMerge w:val="restart"/>
            <w:vAlign w:val="center"/>
          </w:tcPr>
          <w:p w14:paraId="6FFADF0E">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内浮顶</w:t>
            </w:r>
          </w:p>
        </w:tc>
        <w:tc>
          <w:tcPr>
            <w:tcW w:w="992" w:type="dxa"/>
            <w:vAlign w:val="center"/>
          </w:tcPr>
          <w:p w14:paraId="2CE6C2A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10000</w:t>
            </w:r>
          </w:p>
        </w:tc>
        <w:tc>
          <w:tcPr>
            <w:tcW w:w="900" w:type="dxa"/>
            <w:gridSpan w:val="2"/>
            <w:vAlign w:val="center"/>
          </w:tcPr>
          <w:p w14:paraId="2BC703C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w:t>
            </w:r>
          </w:p>
        </w:tc>
        <w:tc>
          <w:tcPr>
            <w:tcW w:w="1276" w:type="dxa"/>
            <w:gridSpan w:val="2"/>
            <w:vAlign w:val="center"/>
          </w:tcPr>
          <w:p w14:paraId="0CE87AC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Φ</w:t>
            </w:r>
            <w:r>
              <w:rPr>
                <w:rFonts w:hint="default"/>
                <w:color w:val="auto"/>
              </w:rPr>
              <w:t>28×16.8</w:t>
            </w:r>
          </w:p>
        </w:tc>
        <w:tc>
          <w:tcPr>
            <w:tcW w:w="992" w:type="dxa"/>
            <w:gridSpan w:val="2"/>
            <w:vAlign w:val="center"/>
          </w:tcPr>
          <w:p w14:paraId="4DB9FDF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w:t>
            </w:r>
          </w:p>
        </w:tc>
        <w:tc>
          <w:tcPr>
            <w:tcW w:w="806" w:type="dxa"/>
            <w:gridSpan w:val="2"/>
            <w:vMerge w:val="continue"/>
            <w:vAlign w:val="center"/>
          </w:tcPr>
          <w:p w14:paraId="76D3898B">
            <w:pPr>
              <w:pStyle w:val="91"/>
              <w:keepNext w:val="0"/>
              <w:keepLines w:val="0"/>
              <w:suppressLineNumbers w:val="0"/>
              <w:spacing w:before="0" w:beforeAutospacing="0" w:after="0" w:afterAutospacing="0"/>
              <w:ind w:left="0" w:right="0"/>
              <w:jc w:val="center"/>
              <w:rPr>
                <w:rFonts w:hint="default"/>
                <w:color w:val="auto"/>
              </w:rPr>
            </w:pPr>
          </w:p>
        </w:tc>
        <w:tc>
          <w:tcPr>
            <w:tcW w:w="1173" w:type="dxa"/>
            <w:vAlign w:val="center"/>
          </w:tcPr>
          <w:p w14:paraId="73504A3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w:t>
            </w:r>
            <w:r>
              <w:rPr>
                <w:rFonts w:hint="default"/>
                <w:color w:val="auto"/>
              </w:rPr>
              <w:t>0</w:t>
            </w:r>
          </w:p>
        </w:tc>
        <w:tc>
          <w:tcPr>
            <w:tcW w:w="1276" w:type="dxa"/>
            <w:vMerge w:val="continue"/>
            <w:vAlign w:val="center"/>
          </w:tcPr>
          <w:p w14:paraId="6A3AF764">
            <w:pPr>
              <w:pStyle w:val="91"/>
              <w:keepNext w:val="0"/>
              <w:keepLines w:val="0"/>
              <w:suppressLineNumbers w:val="0"/>
              <w:spacing w:before="0" w:beforeAutospacing="0" w:after="0" w:afterAutospacing="0"/>
              <w:ind w:left="0" w:right="0"/>
              <w:jc w:val="center"/>
              <w:rPr>
                <w:rFonts w:hint="default"/>
                <w:color w:val="auto"/>
              </w:rPr>
            </w:pPr>
          </w:p>
        </w:tc>
      </w:tr>
      <w:tr w14:paraId="16874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217" w:type="dxa"/>
            <w:vMerge w:val="continue"/>
            <w:vAlign w:val="center"/>
          </w:tcPr>
          <w:p w14:paraId="54E2970E">
            <w:pPr>
              <w:pStyle w:val="91"/>
              <w:keepNext w:val="0"/>
              <w:keepLines w:val="0"/>
              <w:suppressLineNumbers w:val="0"/>
              <w:spacing w:before="0" w:beforeAutospacing="0" w:after="0" w:afterAutospacing="0"/>
              <w:ind w:left="0" w:right="0"/>
              <w:jc w:val="center"/>
              <w:rPr>
                <w:rFonts w:hint="default"/>
                <w:color w:val="auto"/>
              </w:rPr>
            </w:pPr>
          </w:p>
        </w:tc>
        <w:tc>
          <w:tcPr>
            <w:tcW w:w="709" w:type="dxa"/>
            <w:vMerge w:val="continue"/>
            <w:vAlign w:val="center"/>
          </w:tcPr>
          <w:p w14:paraId="09B789A1">
            <w:pPr>
              <w:pStyle w:val="91"/>
              <w:keepNext w:val="0"/>
              <w:keepLines w:val="0"/>
              <w:suppressLineNumbers w:val="0"/>
              <w:spacing w:before="0" w:beforeAutospacing="0" w:after="0" w:afterAutospacing="0"/>
              <w:ind w:left="0" w:right="0"/>
              <w:jc w:val="center"/>
              <w:rPr>
                <w:rFonts w:hint="default"/>
                <w:color w:val="auto"/>
              </w:rPr>
            </w:pPr>
          </w:p>
        </w:tc>
        <w:tc>
          <w:tcPr>
            <w:tcW w:w="992" w:type="dxa"/>
            <w:vAlign w:val="center"/>
          </w:tcPr>
          <w:p w14:paraId="459D1EF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10000</w:t>
            </w:r>
          </w:p>
        </w:tc>
        <w:tc>
          <w:tcPr>
            <w:tcW w:w="900" w:type="dxa"/>
            <w:gridSpan w:val="2"/>
            <w:vAlign w:val="center"/>
          </w:tcPr>
          <w:p w14:paraId="37BAC0AE">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4</w:t>
            </w:r>
          </w:p>
        </w:tc>
        <w:tc>
          <w:tcPr>
            <w:tcW w:w="1276" w:type="dxa"/>
            <w:gridSpan w:val="2"/>
            <w:vAlign w:val="center"/>
          </w:tcPr>
          <w:p w14:paraId="127E94D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Φ</w:t>
            </w:r>
            <w:r>
              <w:rPr>
                <w:rFonts w:hint="default"/>
                <w:color w:val="auto"/>
              </w:rPr>
              <w:t>28×16.8</w:t>
            </w:r>
          </w:p>
        </w:tc>
        <w:tc>
          <w:tcPr>
            <w:tcW w:w="992" w:type="dxa"/>
            <w:gridSpan w:val="2"/>
            <w:vAlign w:val="center"/>
          </w:tcPr>
          <w:p w14:paraId="1D21272B">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4</w:t>
            </w:r>
          </w:p>
        </w:tc>
        <w:tc>
          <w:tcPr>
            <w:tcW w:w="806" w:type="dxa"/>
            <w:gridSpan w:val="2"/>
            <w:vAlign w:val="center"/>
          </w:tcPr>
          <w:p w14:paraId="29FA473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甲醇</w:t>
            </w:r>
          </w:p>
        </w:tc>
        <w:tc>
          <w:tcPr>
            <w:tcW w:w="1173" w:type="dxa"/>
            <w:vAlign w:val="center"/>
          </w:tcPr>
          <w:p w14:paraId="1BE86A6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20</w:t>
            </w:r>
          </w:p>
        </w:tc>
        <w:tc>
          <w:tcPr>
            <w:tcW w:w="1276" w:type="dxa"/>
            <w:vAlign w:val="center"/>
          </w:tcPr>
          <w:p w14:paraId="3E46935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40</w:t>
            </w:r>
          </w:p>
        </w:tc>
      </w:tr>
      <w:tr w14:paraId="6D2FF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217" w:type="dxa"/>
            <w:vAlign w:val="center"/>
          </w:tcPr>
          <w:p w14:paraId="4229D50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c>
          <w:tcPr>
            <w:tcW w:w="709" w:type="dxa"/>
            <w:vAlign w:val="center"/>
          </w:tcPr>
          <w:p w14:paraId="5F5F0CA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合计</w:t>
            </w:r>
          </w:p>
        </w:tc>
        <w:tc>
          <w:tcPr>
            <w:tcW w:w="992" w:type="dxa"/>
            <w:vAlign w:val="center"/>
          </w:tcPr>
          <w:p w14:paraId="7107A0E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c>
          <w:tcPr>
            <w:tcW w:w="885" w:type="dxa"/>
            <w:vAlign w:val="center"/>
          </w:tcPr>
          <w:p w14:paraId="4CB48E7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28个</w:t>
            </w:r>
          </w:p>
        </w:tc>
        <w:tc>
          <w:tcPr>
            <w:tcW w:w="1276" w:type="dxa"/>
            <w:gridSpan w:val="2"/>
            <w:vAlign w:val="center"/>
          </w:tcPr>
          <w:p w14:paraId="45CA4F4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c>
          <w:tcPr>
            <w:tcW w:w="992" w:type="dxa"/>
            <w:gridSpan w:val="2"/>
            <w:vAlign w:val="center"/>
          </w:tcPr>
          <w:p w14:paraId="7D4F839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35.5</w:t>
            </w:r>
          </w:p>
        </w:tc>
        <w:tc>
          <w:tcPr>
            <w:tcW w:w="806" w:type="dxa"/>
            <w:gridSpan w:val="2"/>
            <w:vAlign w:val="center"/>
          </w:tcPr>
          <w:p w14:paraId="55A2E8E6">
            <w:pPr>
              <w:pStyle w:val="91"/>
              <w:keepNext w:val="0"/>
              <w:keepLines w:val="0"/>
              <w:suppressLineNumbers w:val="0"/>
              <w:spacing w:before="0" w:beforeAutospacing="0" w:after="0" w:afterAutospacing="0"/>
              <w:ind w:left="0" w:right="0"/>
              <w:jc w:val="center"/>
              <w:rPr>
                <w:rFonts w:hint="default"/>
                <w:color w:val="auto"/>
              </w:rPr>
            </w:pPr>
          </w:p>
        </w:tc>
        <w:tc>
          <w:tcPr>
            <w:tcW w:w="1188" w:type="dxa"/>
            <w:gridSpan w:val="2"/>
            <w:vAlign w:val="center"/>
          </w:tcPr>
          <w:p w14:paraId="6E79532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c>
          <w:tcPr>
            <w:tcW w:w="1276" w:type="dxa"/>
            <w:vAlign w:val="center"/>
          </w:tcPr>
          <w:p w14:paraId="3F77409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358</w:t>
            </w:r>
          </w:p>
        </w:tc>
      </w:tr>
    </w:tbl>
    <w:p w14:paraId="63A5361A">
      <w:pPr>
        <w:pStyle w:val="6"/>
        <w:rPr>
          <w:color w:val="auto"/>
        </w:rPr>
      </w:pPr>
      <w:r>
        <w:rPr>
          <w:rFonts w:hint="eastAsia"/>
          <w:color w:val="auto"/>
        </w:rPr>
        <w:t>设备</w:t>
      </w:r>
      <w:r>
        <w:rPr>
          <w:color w:val="auto"/>
        </w:rPr>
        <w:t>及工艺管线</w:t>
      </w:r>
    </w:p>
    <w:p w14:paraId="54196B12">
      <w:pPr>
        <w:autoSpaceDE w:val="0"/>
        <w:autoSpaceDN w:val="0"/>
        <w:ind w:firstLine="480"/>
        <w:jc w:val="left"/>
        <w:rPr>
          <w:color w:val="auto"/>
        </w:rPr>
      </w:pPr>
      <w:r>
        <w:rPr>
          <w:rFonts w:hint="eastAsia"/>
          <w:color w:val="auto"/>
        </w:rPr>
        <w:t>现有</w:t>
      </w:r>
      <w:r>
        <w:rPr>
          <w:color w:val="auto"/>
        </w:rPr>
        <w:t>工程码头前沿</w:t>
      </w:r>
      <w:r>
        <w:rPr>
          <w:rFonts w:hint="eastAsia"/>
          <w:color w:val="auto"/>
        </w:rPr>
        <w:t>6台装卸臂，其中2台原油、1台柴油、1台汽油、1台甲醇、1台重油。</w:t>
      </w:r>
    </w:p>
    <w:p w14:paraId="6E2D7365">
      <w:pPr>
        <w:autoSpaceDE w:val="0"/>
        <w:autoSpaceDN w:val="0"/>
        <w:ind w:firstLine="480"/>
        <w:rPr>
          <w:color w:val="auto"/>
        </w:rPr>
      </w:pPr>
      <w:r>
        <w:rPr>
          <w:rFonts w:hint="eastAsia"/>
          <w:color w:val="auto"/>
        </w:rPr>
        <w:t>码头平台已建成有管廊架为2层，宽4.5m；第一层管架（+3.0m）、第二层管架（+4.6m），第一层管线主要为汽油和柴油的装船线、燃料油和原油的卸船线及污水管线；第二层主要为汽油和柴油的卸船线、重油和甲醇的装船线、仪表风和蒸汽管线。</w:t>
      </w:r>
    </w:p>
    <w:p w14:paraId="60B0CC12">
      <w:pPr>
        <w:autoSpaceDE w:val="0"/>
        <w:autoSpaceDN w:val="0"/>
        <w:ind w:firstLine="480"/>
        <w:jc w:val="left"/>
        <w:rPr>
          <w:color w:val="auto"/>
        </w:rPr>
      </w:pPr>
      <w:r>
        <w:rPr>
          <w:rFonts w:hint="eastAsia"/>
          <w:color w:val="auto"/>
        </w:rPr>
        <w:t>库区和</w:t>
      </w:r>
      <w:r>
        <w:rPr>
          <w:color w:val="auto"/>
        </w:rPr>
        <w:t>码头</w:t>
      </w:r>
      <w:r>
        <w:rPr>
          <w:rFonts w:hint="eastAsia"/>
          <w:color w:val="auto"/>
        </w:rPr>
        <w:t>输油臂</w:t>
      </w:r>
      <w:r>
        <w:rPr>
          <w:color w:val="auto"/>
        </w:rPr>
        <w:t>及管线等设备情况见下表。</w:t>
      </w:r>
    </w:p>
    <w:p w14:paraId="7991BB68">
      <w:pPr>
        <w:pStyle w:val="14"/>
        <w:rPr>
          <w:color w:val="auto"/>
        </w:rPr>
      </w:pPr>
      <w:r>
        <w:rPr>
          <w:rFonts w:hint="eastAsia"/>
          <w:color w:val="auto"/>
        </w:rPr>
        <w:t>表</w:t>
      </w:r>
      <w:r>
        <w:rPr>
          <w:color w:val="auto"/>
        </w:rPr>
        <w:t>2.1</w:t>
      </w:r>
      <w:r>
        <w:rPr>
          <w:color w:val="auto"/>
        </w:rPr>
        <w:noBreakHyphen/>
      </w:r>
      <w:r>
        <w:rPr>
          <w:color w:val="auto"/>
        </w:rPr>
        <w:t>5</w:t>
      </w:r>
      <w:r>
        <w:rPr>
          <w:rFonts w:hint="eastAsia"/>
          <w:color w:val="auto"/>
        </w:rPr>
        <w:t>码头</w:t>
      </w:r>
      <w:r>
        <w:rPr>
          <w:color w:val="auto"/>
        </w:rPr>
        <w:t>输油臂设施一览表</w:t>
      </w:r>
    </w:p>
    <w:tbl>
      <w:tblPr>
        <w:tblStyle w:val="43"/>
        <w:tblW w:w="46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61"/>
        <w:gridCol w:w="1993"/>
        <w:gridCol w:w="1922"/>
        <w:gridCol w:w="1919"/>
        <w:gridCol w:w="2241"/>
      </w:tblGrid>
      <w:tr w14:paraId="49407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25" w:type="pct"/>
            <w:vAlign w:val="center"/>
          </w:tcPr>
          <w:p w14:paraId="66CF820F">
            <w:pPr>
              <w:pStyle w:val="38"/>
              <w:keepNext w:val="0"/>
              <w:keepLines w:val="0"/>
              <w:widowControl/>
              <w:suppressLineNumbers w:val="0"/>
              <w:spacing w:line="320" w:lineRule="exact"/>
              <w:ind w:left="0" w:right="0"/>
              <w:jc w:val="center"/>
              <w:rPr>
                <w:rFonts w:hint="default"/>
                <w:b/>
                <w:color w:val="auto"/>
                <w:kern w:val="2"/>
                <w:sz w:val="21"/>
                <w:szCs w:val="21"/>
              </w:rPr>
            </w:pPr>
            <w:r>
              <w:rPr>
                <w:rFonts w:hint="default"/>
                <w:b/>
                <w:color w:val="auto"/>
                <w:kern w:val="2"/>
                <w:sz w:val="21"/>
                <w:szCs w:val="21"/>
              </w:rPr>
              <w:t>序号</w:t>
            </w:r>
          </w:p>
        </w:tc>
        <w:tc>
          <w:tcPr>
            <w:tcW w:w="1154" w:type="pct"/>
            <w:vAlign w:val="center"/>
          </w:tcPr>
          <w:p w14:paraId="41BD6E43">
            <w:pPr>
              <w:pStyle w:val="38"/>
              <w:keepNext w:val="0"/>
              <w:keepLines w:val="0"/>
              <w:widowControl/>
              <w:suppressLineNumbers w:val="0"/>
              <w:spacing w:line="320" w:lineRule="exact"/>
              <w:ind w:left="0" w:right="0"/>
              <w:jc w:val="center"/>
              <w:rPr>
                <w:rFonts w:hint="default"/>
                <w:b/>
                <w:color w:val="auto"/>
                <w:kern w:val="2"/>
                <w:sz w:val="21"/>
                <w:szCs w:val="21"/>
              </w:rPr>
            </w:pPr>
            <w:r>
              <w:rPr>
                <w:rFonts w:hint="default"/>
                <w:b/>
                <w:color w:val="auto"/>
                <w:kern w:val="2"/>
                <w:sz w:val="21"/>
                <w:szCs w:val="21"/>
              </w:rPr>
              <w:t>设备名称</w:t>
            </w:r>
          </w:p>
        </w:tc>
        <w:tc>
          <w:tcPr>
            <w:tcW w:w="2224" w:type="pct"/>
            <w:gridSpan w:val="2"/>
            <w:vAlign w:val="center"/>
          </w:tcPr>
          <w:p w14:paraId="1B3BE100">
            <w:pPr>
              <w:pStyle w:val="38"/>
              <w:keepNext w:val="0"/>
              <w:keepLines w:val="0"/>
              <w:widowControl/>
              <w:suppressLineNumbers w:val="0"/>
              <w:spacing w:line="320" w:lineRule="exact"/>
              <w:ind w:left="0" w:right="0"/>
              <w:jc w:val="center"/>
              <w:rPr>
                <w:rFonts w:hint="default"/>
                <w:b/>
                <w:color w:val="auto"/>
                <w:kern w:val="2"/>
                <w:sz w:val="21"/>
                <w:szCs w:val="21"/>
              </w:rPr>
            </w:pPr>
            <w:r>
              <w:rPr>
                <w:rFonts w:hint="default"/>
                <w:b/>
                <w:color w:val="auto"/>
                <w:kern w:val="2"/>
                <w:sz w:val="21"/>
                <w:szCs w:val="21"/>
              </w:rPr>
              <w:t>规格型号</w:t>
            </w:r>
          </w:p>
        </w:tc>
        <w:tc>
          <w:tcPr>
            <w:tcW w:w="1297" w:type="pct"/>
            <w:vAlign w:val="center"/>
          </w:tcPr>
          <w:p w14:paraId="63337C9D">
            <w:pPr>
              <w:pStyle w:val="38"/>
              <w:keepNext w:val="0"/>
              <w:keepLines w:val="0"/>
              <w:widowControl/>
              <w:suppressLineNumbers w:val="0"/>
              <w:spacing w:line="320" w:lineRule="exact"/>
              <w:ind w:left="0" w:right="0"/>
              <w:jc w:val="center"/>
              <w:rPr>
                <w:rFonts w:hint="default"/>
                <w:b/>
                <w:color w:val="auto"/>
                <w:kern w:val="2"/>
                <w:sz w:val="21"/>
                <w:szCs w:val="21"/>
              </w:rPr>
            </w:pPr>
            <w:r>
              <w:rPr>
                <w:rFonts w:hint="eastAsia"/>
                <w:b/>
                <w:color w:val="auto"/>
                <w:kern w:val="2"/>
                <w:sz w:val="21"/>
                <w:szCs w:val="21"/>
              </w:rPr>
              <w:t>现有介质</w:t>
            </w:r>
          </w:p>
        </w:tc>
      </w:tr>
      <w:tr w14:paraId="120FE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25" w:type="pct"/>
            <w:vAlign w:val="center"/>
          </w:tcPr>
          <w:p w14:paraId="48D6F0F3">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1</w:t>
            </w:r>
          </w:p>
        </w:tc>
        <w:tc>
          <w:tcPr>
            <w:tcW w:w="1154" w:type="pct"/>
            <w:vAlign w:val="center"/>
          </w:tcPr>
          <w:p w14:paraId="78E67ED4">
            <w:pPr>
              <w:pStyle w:val="38"/>
              <w:keepNext w:val="0"/>
              <w:keepLines w:val="0"/>
              <w:widowControl/>
              <w:suppressLineNumbers w:val="0"/>
              <w:spacing w:line="320" w:lineRule="exact"/>
              <w:ind w:left="0" w:right="0"/>
              <w:jc w:val="center"/>
              <w:rPr>
                <w:rFonts w:hint="default"/>
                <w:bCs/>
                <w:color w:val="auto"/>
                <w:kern w:val="2"/>
                <w:sz w:val="21"/>
                <w:szCs w:val="21"/>
              </w:rPr>
            </w:pPr>
            <w:r>
              <w:rPr>
                <w:rFonts w:hint="eastAsia"/>
                <w:bCs/>
                <w:color w:val="auto"/>
                <w:kern w:val="2"/>
                <w:sz w:val="21"/>
                <w:szCs w:val="21"/>
              </w:rPr>
              <w:t>1#</w:t>
            </w:r>
            <w:r>
              <w:rPr>
                <w:rFonts w:hint="default"/>
                <w:bCs/>
                <w:color w:val="auto"/>
                <w:kern w:val="2"/>
                <w:sz w:val="21"/>
                <w:szCs w:val="21"/>
              </w:rPr>
              <w:t>液压输油臂</w:t>
            </w:r>
          </w:p>
        </w:tc>
        <w:tc>
          <w:tcPr>
            <w:tcW w:w="1113" w:type="pct"/>
            <w:vAlign w:val="center"/>
          </w:tcPr>
          <w:p w14:paraId="3D9C8214">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AM63YB</w:t>
            </w:r>
          </w:p>
        </w:tc>
        <w:tc>
          <w:tcPr>
            <w:tcW w:w="1111" w:type="pct"/>
            <w:vAlign w:val="center"/>
          </w:tcPr>
          <w:p w14:paraId="383704DE">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DN300</w:t>
            </w:r>
          </w:p>
        </w:tc>
        <w:tc>
          <w:tcPr>
            <w:tcW w:w="1297" w:type="pct"/>
            <w:vAlign w:val="center"/>
          </w:tcPr>
          <w:p w14:paraId="31C29D0E">
            <w:pPr>
              <w:pStyle w:val="38"/>
              <w:keepNext w:val="0"/>
              <w:keepLines w:val="0"/>
              <w:widowControl/>
              <w:suppressLineNumbers w:val="0"/>
              <w:spacing w:line="320" w:lineRule="exact"/>
              <w:ind w:left="0" w:right="0"/>
              <w:jc w:val="center"/>
              <w:rPr>
                <w:rFonts w:hint="default"/>
                <w:bCs/>
                <w:color w:val="auto"/>
                <w:kern w:val="2"/>
                <w:sz w:val="21"/>
                <w:szCs w:val="21"/>
              </w:rPr>
            </w:pPr>
            <w:r>
              <w:rPr>
                <w:rFonts w:hint="eastAsia"/>
                <w:bCs/>
                <w:color w:val="auto"/>
                <w:kern w:val="2"/>
                <w:sz w:val="21"/>
                <w:szCs w:val="21"/>
              </w:rPr>
              <w:t>原油</w:t>
            </w:r>
          </w:p>
        </w:tc>
      </w:tr>
      <w:tr w14:paraId="153FE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25" w:type="pct"/>
            <w:vAlign w:val="center"/>
          </w:tcPr>
          <w:p w14:paraId="06CB2C9B">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2</w:t>
            </w:r>
          </w:p>
        </w:tc>
        <w:tc>
          <w:tcPr>
            <w:tcW w:w="1154" w:type="pct"/>
            <w:vAlign w:val="center"/>
          </w:tcPr>
          <w:p w14:paraId="3B7AECA2">
            <w:pPr>
              <w:pStyle w:val="38"/>
              <w:keepNext w:val="0"/>
              <w:keepLines w:val="0"/>
              <w:widowControl/>
              <w:suppressLineNumbers w:val="0"/>
              <w:spacing w:line="320" w:lineRule="exact"/>
              <w:ind w:left="0" w:right="0"/>
              <w:jc w:val="center"/>
              <w:rPr>
                <w:rFonts w:hint="default"/>
                <w:bCs/>
                <w:color w:val="auto"/>
                <w:kern w:val="2"/>
                <w:sz w:val="21"/>
                <w:szCs w:val="21"/>
              </w:rPr>
            </w:pPr>
            <w:r>
              <w:rPr>
                <w:rFonts w:hint="eastAsia"/>
                <w:bCs/>
                <w:color w:val="auto"/>
                <w:kern w:val="2"/>
                <w:sz w:val="21"/>
                <w:szCs w:val="21"/>
              </w:rPr>
              <w:t>2#</w:t>
            </w:r>
            <w:r>
              <w:rPr>
                <w:rFonts w:hint="default"/>
                <w:bCs/>
                <w:color w:val="auto"/>
                <w:kern w:val="2"/>
                <w:sz w:val="21"/>
                <w:szCs w:val="21"/>
              </w:rPr>
              <w:t>液压输油臂</w:t>
            </w:r>
          </w:p>
        </w:tc>
        <w:tc>
          <w:tcPr>
            <w:tcW w:w="1113" w:type="pct"/>
            <w:vAlign w:val="center"/>
          </w:tcPr>
          <w:p w14:paraId="75D4D0C6">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AM63YB</w:t>
            </w:r>
          </w:p>
        </w:tc>
        <w:tc>
          <w:tcPr>
            <w:tcW w:w="1111" w:type="pct"/>
            <w:vAlign w:val="center"/>
          </w:tcPr>
          <w:p w14:paraId="005A388A">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DN300</w:t>
            </w:r>
          </w:p>
        </w:tc>
        <w:tc>
          <w:tcPr>
            <w:tcW w:w="1297" w:type="pct"/>
            <w:vAlign w:val="center"/>
          </w:tcPr>
          <w:p w14:paraId="2037BC4F">
            <w:pPr>
              <w:pStyle w:val="38"/>
              <w:keepNext w:val="0"/>
              <w:keepLines w:val="0"/>
              <w:widowControl/>
              <w:suppressLineNumbers w:val="0"/>
              <w:spacing w:line="320" w:lineRule="exact"/>
              <w:ind w:left="0" w:right="0"/>
              <w:jc w:val="center"/>
              <w:rPr>
                <w:rFonts w:hint="default"/>
                <w:bCs/>
                <w:color w:val="auto"/>
                <w:kern w:val="2"/>
                <w:sz w:val="21"/>
                <w:szCs w:val="21"/>
              </w:rPr>
            </w:pPr>
            <w:r>
              <w:rPr>
                <w:rFonts w:hint="eastAsia"/>
                <w:bCs/>
                <w:color w:val="auto"/>
                <w:kern w:val="2"/>
                <w:sz w:val="21"/>
                <w:szCs w:val="21"/>
              </w:rPr>
              <w:t>原油</w:t>
            </w:r>
          </w:p>
        </w:tc>
      </w:tr>
      <w:tr w14:paraId="55B00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25" w:type="pct"/>
            <w:vAlign w:val="center"/>
          </w:tcPr>
          <w:p w14:paraId="4EE866CF">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3</w:t>
            </w:r>
          </w:p>
        </w:tc>
        <w:tc>
          <w:tcPr>
            <w:tcW w:w="1154" w:type="pct"/>
            <w:vAlign w:val="center"/>
          </w:tcPr>
          <w:p w14:paraId="44BCEA1E">
            <w:pPr>
              <w:pStyle w:val="38"/>
              <w:keepNext w:val="0"/>
              <w:keepLines w:val="0"/>
              <w:widowControl/>
              <w:suppressLineNumbers w:val="0"/>
              <w:spacing w:line="320" w:lineRule="exact"/>
              <w:ind w:left="0" w:right="0"/>
              <w:jc w:val="center"/>
              <w:rPr>
                <w:rFonts w:hint="default"/>
                <w:bCs/>
                <w:color w:val="auto"/>
                <w:kern w:val="2"/>
                <w:sz w:val="21"/>
                <w:szCs w:val="21"/>
              </w:rPr>
            </w:pPr>
            <w:r>
              <w:rPr>
                <w:rFonts w:hint="eastAsia"/>
                <w:bCs/>
                <w:color w:val="auto"/>
                <w:kern w:val="2"/>
                <w:sz w:val="21"/>
                <w:szCs w:val="21"/>
              </w:rPr>
              <w:t>3#</w:t>
            </w:r>
            <w:r>
              <w:rPr>
                <w:rFonts w:hint="default"/>
                <w:bCs/>
                <w:color w:val="auto"/>
                <w:kern w:val="2"/>
                <w:sz w:val="21"/>
                <w:szCs w:val="21"/>
              </w:rPr>
              <w:t>液压输油臂</w:t>
            </w:r>
          </w:p>
        </w:tc>
        <w:tc>
          <w:tcPr>
            <w:tcW w:w="1113" w:type="pct"/>
            <w:vAlign w:val="center"/>
          </w:tcPr>
          <w:p w14:paraId="1E6E4F5A">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AM63YB</w:t>
            </w:r>
          </w:p>
        </w:tc>
        <w:tc>
          <w:tcPr>
            <w:tcW w:w="1111" w:type="pct"/>
            <w:vAlign w:val="center"/>
          </w:tcPr>
          <w:p w14:paraId="08E6E9FE">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DN250</w:t>
            </w:r>
          </w:p>
        </w:tc>
        <w:tc>
          <w:tcPr>
            <w:tcW w:w="1297" w:type="pct"/>
            <w:vAlign w:val="center"/>
          </w:tcPr>
          <w:p w14:paraId="1DAB74E4">
            <w:pPr>
              <w:pStyle w:val="38"/>
              <w:keepNext w:val="0"/>
              <w:keepLines w:val="0"/>
              <w:widowControl/>
              <w:suppressLineNumbers w:val="0"/>
              <w:spacing w:line="320" w:lineRule="exact"/>
              <w:ind w:left="0" w:right="0"/>
              <w:jc w:val="center"/>
              <w:rPr>
                <w:rFonts w:hint="default"/>
                <w:bCs/>
                <w:color w:val="auto"/>
                <w:kern w:val="2"/>
                <w:sz w:val="21"/>
                <w:szCs w:val="21"/>
              </w:rPr>
            </w:pPr>
            <w:r>
              <w:rPr>
                <w:rFonts w:hint="eastAsia"/>
                <w:bCs/>
                <w:color w:val="auto"/>
                <w:kern w:val="2"/>
                <w:sz w:val="21"/>
                <w:szCs w:val="21"/>
              </w:rPr>
              <w:t>柴油</w:t>
            </w:r>
          </w:p>
        </w:tc>
      </w:tr>
      <w:tr w14:paraId="4E3E7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25" w:type="pct"/>
            <w:vAlign w:val="center"/>
          </w:tcPr>
          <w:p w14:paraId="5D8E8DE9">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4</w:t>
            </w:r>
          </w:p>
        </w:tc>
        <w:tc>
          <w:tcPr>
            <w:tcW w:w="1154" w:type="pct"/>
            <w:vAlign w:val="center"/>
          </w:tcPr>
          <w:p w14:paraId="40E70833">
            <w:pPr>
              <w:pStyle w:val="38"/>
              <w:keepNext w:val="0"/>
              <w:keepLines w:val="0"/>
              <w:widowControl/>
              <w:suppressLineNumbers w:val="0"/>
              <w:spacing w:line="320" w:lineRule="exact"/>
              <w:ind w:left="0" w:right="0"/>
              <w:jc w:val="center"/>
              <w:rPr>
                <w:rFonts w:hint="default"/>
                <w:bCs/>
                <w:color w:val="auto"/>
                <w:kern w:val="2"/>
                <w:sz w:val="21"/>
                <w:szCs w:val="21"/>
              </w:rPr>
            </w:pPr>
            <w:r>
              <w:rPr>
                <w:rFonts w:hint="eastAsia"/>
                <w:bCs/>
                <w:color w:val="auto"/>
                <w:kern w:val="2"/>
                <w:sz w:val="21"/>
                <w:szCs w:val="21"/>
              </w:rPr>
              <w:t>4#</w:t>
            </w:r>
            <w:r>
              <w:rPr>
                <w:rFonts w:hint="default"/>
                <w:bCs/>
                <w:color w:val="auto"/>
                <w:kern w:val="2"/>
                <w:sz w:val="21"/>
                <w:szCs w:val="21"/>
              </w:rPr>
              <w:t>液压输油臂</w:t>
            </w:r>
          </w:p>
        </w:tc>
        <w:tc>
          <w:tcPr>
            <w:tcW w:w="1113" w:type="pct"/>
            <w:vAlign w:val="center"/>
          </w:tcPr>
          <w:p w14:paraId="7A325D39">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AM63YB</w:t>
            </w:r>
          </w:p>
        </w:tc>
        <w:tc>
          <w:tcPr>
            <w:tcW w:w="1111" w:type="pct"/>
            <w:vAlign w:val="center"/>
          </w:tcPr>
          <w:p w14:paraId="792F4598">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DN250</w:t>
            </w:r>
          </w:p>
        </w:tc>
        <w:tc>
          <w:tcPr>
            <w:tcW w:w="1297" w:type="pct"/>
            <w:vAlign w:val="center"/>
          </w:tcPr>
          <w:p w14:paraId="258DDC05">
            <w:pPr>
              <w:pStyle w:val="38"/>
              <w:keepNext w:val="0"/>
              <w:keepLines w:val="0"/>
              <w:widowControl/>
              <w:suppressLineNumbers w:val="0"/>
              <w:spacing w:line="320" w:lineRule="exact"/>
              <w:ind w:left="0" w:right="0"/>
              <w:jc w:val="center"/>
              <w:rPr>
                <w:rFonts w:hint="default"/>
                <w:bCs/>
                <w:color w:val="auto"/>
                <w:kern w:val="2"/>
                <w:sz w:val="21"/>
                <w:szCs w:val="21"/>
              </w:rPr>
            </w:pPr>
            <w:r>
              <w:rPr>
                <w:rFonts w:hint="eastAsia"/>
                <w:bCs/>
                <w:color w:val="auto"/>
                <w:kern w:val="2"/>
                <w:sz w:val="21"/>
                <w:szCs w:val="21"/>
              </w:rPr>
              <w:t>汽油</w:t>
            </w:r>
          </w:p>
        </w:tc>
      </w:tr>
      <w:tr w14:paraId="44617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25" w:type="pct"/>
            <w:vAlign w:val="center"/>
          </w:tcPr>
          <w:p w14:paraId="4CC5F04B">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5</w:t>
            </w:r>
          </w:p>
        </w:tc>
        <w:tc>
          <w:tcPr>
            <w:tcW w:w="1154" w:type="pct"/>
            <w:vAlign w:val="center"/>
          </w:tcPr>
          <w:p w14:paraId="60A04955">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5</w:t>
            </w:r>
            <w:r>
              <w:rPr>
                <w:rFonts w:hint="eastAsia"/>
                <w:bCs/>
                <w:color w:val="auto"/>
                <w:kern w:val="2"/>
                <w:sz w:val="21"/>
                <w:szCs w:val="21"/>
              </w:rPr>
              <w:t>#</w:t>
            </w:r>
            <w:r>
              <w:rPr>
                <w:rFonts w:hint="default"/>
                <w:bCs/>
                <w:color w:val="auto"/>
                <w:kern w:val="2"/>
                <w:sz w:val="21"/>
                <w:szCs w:val="21"/>
              </w:rPr>
              <w:t>输油臂</w:t>
            </w:r>
          </w:p>
        </w:tc>
        <w:tc>
          <w:tcPr>
            <w:tcW w:w="1113" w:type="pct"/>
            <w:vAlign w:val="center"/>
          </w:tcPr>
          <w:p w14:paraId="002A24CA">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250TS-E20D-ERC</w:t>
            </w:r>
          </w:p>
        </w:tc>
        <w:tc>
          <w:tcPr>
            <w:tcW w:w="1111" w:type="pct"/>
            <w:vAlign w:val="center"/>
          </w:tcPr>
          <w:p w14:paraId="6BD203DD">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DN250</w:t>
            </w:r>
          </w:p>
        </w:tc>
        <w:tc>
          <w:tcPr>
            <w:tcW w:w="1297" w:type="pct"/>
            <w:vAlign w:val="center"/>
          </w:tcPr>
          <w:p w14:paraId="72EB351D">
            <w:pPr>
              <w:pStyle w:val="38"/>
              <w:keepNext w:val="0"/>
              <w:keepLines w:val="0"/>
              <w:widowControl/>
              <w:suppressLineNumbers w:val="0"/>
              <w:spacing w:line="320" w:lineRule="exact"/>
              <w:ind w:left="0" w:right="0"/>
              <w:jc w:val="center"/>
              <w:rPr>
                <w:rFonts w:hint="default"/>
                <w:bCs/>
                <w:color w:val="auto"/>
                <w:kern w:val="2"/>
                <w:sz w:val="21"/>
                <w:szCs w:val="21"/>
              </w:rPr>
            </w:pPr>
            <w:r>
              <w:rPr>
                <w:rFonts w:hint="eastAsia"/>
                <w:bCs/>
                <w:color w:val="auto"/>
                <w:kern w:val="2"/>
                <w:sz w:val="21"/>
                <w:szCs w:val="21"/>
              </w:rPr>
              <w:t>甲醇</w:t>
            </w:r>
          </w:p>
        </w:tc>
      </w:tr>
      <w:tr w14:paraId="2F2B9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25" w:type="pct"/>
            <w:vAlign w:val="center"/>
          </w:tcPr>
          <w:p w14:paraId="6B09AACF">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6</w:t>
            </w:r>
          </w:p>
        </w:tc>
        <w:tc>
          <w:tcPr>
            <w:tcW w:w="1154" w:type="pct"/>
            <w:vAlign w:val="center"/>
          </w:tcPr>
          <w:p w14:paraId="6CEAA8E7">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6</w:t>
            </w:r>
            <w:r>
              <w:rPr>
                <w:rFonts w:hint="eastAsia"/>
                <w:bCs/>
                <w:color w:val="auto"/>
                <w:kern w:val="2"/>
                <w:sz w:val="21"/>
                <w:szCs w:val="21"/>
              </w:rPr>
              <w:t>#</w:t>
            </w:r>
            <w:r>
              <w:rPr>
                <w:rFonts w:hint="default"/>
                <w:bCs/>
                <w:color w:val="auto"/>
                <w:kern w:val="2"/>
                <w:sz w:val="21"/>
                <w:szCs w:val="21"/>
              </w:rPr>
              <w:t>手动液化气臂</w:t>
            </w:r>
          </w:p>
        </w:tc>
        <w:tc>
          <w:tcPr>
            <w:tcW w:w="1113" w:type="pct"/>
            <w:vAlign w:val="center"/>
          </w:tcPr>
          <w:p w14:paraId="015EA0BB">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RC06/04H</w:t>
            </w:r>
          </w:p>
        </w:tc>
        <w:tc>
          <w:tcPr>
            <w:tcW w:w="1111" w:type="pct"/>
            <w:vAlign w:val="center"/>
          </w:tcPr>
          <w:p w14:paraId="2648CE52">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DN</w:t>
            </w:r>
            <w:r>
              <w:rPr>
                <w:rFonts w:hint="eastAsia"/>
                <w:bCs/>
                <w:color w:val="auto"/>
                <w:kern w:val="2"/>
                <w:sz w:val="21"/>
                <w:szCs w:val="21"/>
              </w:rPr>
              <w:t>2</w:t>
            </w:r>
            <w:r>
              <w:rPr>
                <w:rFonts w:hint="default"/>
                <w:bCs/>
                <w:color w:val="auto"/>
                <w:kern w:val="2"/>
                <w:sz w:val="21"/>
                <w:szCs w:val="21"/>
              </w:rPr>
              <w:t>50</w:t>
            </w:r>
          </w:p>
        </w:tc>
        <w:tc>
          <w:tcPr>
            <w:tcW w:w="1297" w:type="pct"/>
            <w:vAlign w:val="center"/>
          </w:tcPr>
          <w:p w14:paraId="521FF5F5">
            <w:pPr>
              <w:pStyle w:val="38"/>
              <w:keepNext w:val="0"/>
              <w:keepLines w:val="0"/>
              <w:widowControl/>
              <w:suppressLineNumbers w:val="0"/>
              <w:spacing w:line="320" w:lineRule="exact"/>
              <w:ind w:left="0" w:right="0"/>
              <w:jc w:val="center"/>
              <w:rPr>
                <w:rFonts w:hint="default"/>
                <w:bCs/>
                <w:color w:val="auto"/>
                <w:kern w:val="2"/>
                <w:sz w:val="21"/>
                <w:szCs w:val="21"/>
              </w:rPr>
            </w:pPr>
            <w:r>
              <w:rPr>
                <w:rFonts w:hint="eastAsia"/>
                <w:bCs/>
                <w:color w:val="auto"/>
                <w:kern w:val="2"/>
                <w:sz w:val="21"/>
                <w:szCs w:val="21"/>
              </w:rPr>
              <w:t>重油/燃料油</w:t>
            </w:r>
          </w:p>
        </w:tc>
      </w:tr>
    </w:tbl>
    <w:p w14:paraId="3ED85D5E">
      <w:pPr>
        <w:pStyle w:val="14"/>
        <w:rPr>
          <w:color w:val="auto"/>
        </w:rPr>
      </w:pPr>
    </w:p>
    <w:p w14:paraId="352477F6">
      <w:pPr>
        <w:pStyle w:val="14"/>
        <w:rPr>
          <w:color w:val="auto"/>
        </w:rPr>
      </w:pPr>
      <w:r>
        <w:rPr>
          <w:rFonts w:hint="eastAsia"/>
          <w:color w:val="auto"/>
        </w:rPr>
        <w:t>表</w:t>
      </w:r>
      <w:r>
        <w:rPr>
          <w:color w:val="auto"/>
        </w:rPr>
        <w:t>2.1</w:t>
      </w:r>
      <w:r>
        <w:rPr>
          <w:color w:val="auto"/>
        </w:rPr>
        <w:noBreakHyphen/>
      </w:r>
      <w:r>
        <w:rPr>
          <w:color w:val="auto"/>
        </w:rPr>
        <w:t>6</w:t>
      </w:r>
      <w:r>
        <w:rPr>
          <w:rFonts w:hint="eastAsia"/>
          <w:color w:val="auto"/>
        </w:rPr>
        <w:t>码头</w:t>
      </w:r>
      <w:r>
        <w:rPr>
          <w:color w:val="auto"/>
        </w:rPr>
        <w:t>及库区管线情况一览表</w:t>
      </w:r>
    </w:p>
    <w:tbl>
      <w:tblPr>
        <w:tblStyle w:val="43"/>
        <w:tblW w:w="9065" w:type="dxa"/>
        <w:tblInd w:w="279" w:type="dxa"/>
        <w:tblLayout w:type="autofit"/>
        <w:tblCellMar>
          <w:top w:w="0" w:type="dxa"/>
          <w:left w:w="28" w:type="dxa"/>
          <w:bottom w:w="0" w:type="dxa"/>
          <w:right w:w="28" w:type="dxa"/>
        </w:tblCellMar>
      </w:tblPr>
      <w:tblGrid>
        <w:gridCol w:w="585"/>
        <w:gridCol w:w="2534"/>
        <w:gridCol w:w="850"/>
        <w:gridCol w:w="851"/>
        <w:gridCol w:w="720"/>
        <w:gridCol w:w="998"/>
        <w:gridCol w:w="1016"/>
        <w:gridCol w:w="1511"/>
      </w:tblGrid>
      <w:tr w14:paraId="2C682E5C">
        <w:tblPrEx>
          <w:tblCellMar>
            <w:top w:w="0" w:type="dxa"/>
            <w:left w:w="28" w:type="dxa"/>
            <w:bottom w:w="0" w:type="dxa"/>
            <w:right w:w="28" w:type="dxa"/>
          </w:tblCellMar>
        </w:tblPrEx>
        <w:tc>
          <w:tcPr>
            <w:tcW w:w="585" w:type="dxa"/>
            <w:vMerge w:val="restart"/>
            <w:tcBorders>
              <w:top w:val="single" w:color="auto" w:sz="4" w:space="0"/>
              <w:left w:val="single" w:color="auto" w:sz="4" w:space="0"/>
              <w:bottom w:val="single" w:color="auto" w:sz="4" w:space="0"/>
              <w:right w:val="single" w:color="auto" w:sz="4" w:space="0"/>
            </w:tcBorders>
            <w:vAlign w:val="center"/>
          </w:tcPr>
          <w:p w14:paraId="531AF521">
            <w:pPr>
              <w:pStyle w:val="167"/>
              <w:keepNext w:val="0"/>
              <w:keepLines w:val="0"/>
              <w:suppressLineNumbers w:val="0"/>
              <w:spacing w:before="0" w:beforeAutospacing="0" w:after="0" w:afterAutospacing="0"/>
              <w:ind w:right="0"/>
              <w:rPr>
                <w:rFonts w:hint="default"/>
                <w:color w:val="auto"/>
              </w:rPr>
            </w:pPr>
            <w:r>
              <w:rPr>
                <w:rFonts w:hint="eastAsia"/>
                <w:color w:val="auto"/>
              </w:rPr>
              <w:t>序号</w:t>
            </w:r>
          </w:p>
        </w:tc>
        <w:tc>
          <w:tcPr>
            <w:tcW w:w="2534" w:type="dxa"/>
            <w:vMerge w:val="restart"/>
            <w:tcBorders>
              <w:top w:val="single" w:color="auto" w:sz="4" w:space="0"/>
              <w:left w:val="single" w:color="auto" w:sz="4" w:space="0"/>
              <w:bottom w:val="single" w:color="auto" w:sz="4" w:space="0"/>
              <w:right w:val="single" w:color="auto" w:sz="4" w:space="0"/>
            </w:tcBorders>
            <w:vAlign w:val="center"/>
          </w:tcPr>
          <w:p w14:paraId="4C3AC7E2">
            <w:pPr>
              <w:pStyle w:val="167"/>
              <w:keepNext w:val="0"/>
              <w:keepLines w:val="0"/>
              <w:suppressLineNumbers w:val="0"/>
              <w:spacing w:before="0" w:beforeAutospacing="0" w:after="0" w:afterAutospacing="0"/>
              <w:ind w:right="0"/>
              <w:rPr>
                <w:rFonts w:hint="default"/>
                <w:color w:val="auto"/>
              </w:rPr>
            </w:pPr>
            <w:r>
              <w:rPr>
                <w:rFonts w:hint="eastAsia"/>
                <w:color w:val="auto"/>
              </w:rPr>
              <w:t>管道名称</w:t>
            </w:r>
          </w:p>
        </w:tc>
        <w:tc>
          <w:tcPr>
            <w:tcW w:w="2421" w:type="dxa"/>
            <w:gridSpan w:val="3"/>
            <w:tcBorders>
              <w:top w:val="single" w:color="auto" w:sz="4" w:space="0"/>
              <w:left w:val="nil"/>
              <w:bottom w:val="single" w:color="auto" w:sz="4" w:space="0"/>
              <w:right w:val="single" w:color="auto" w:sz="4" w:space="0"/>
            </w:tcBorders>
            <w:vAlign w:val="center"/>
          </w:tcPr>
          <w:p w14:paraId="0612FB3A">
            <w:pPr>
              <w:pStyle w:val="167"/>
              <w:keepNext w:val="0"/>
              <w:keepLines w:val="0"/>
              <w:suppressLineNumbers w:val="0"/>
              <w:spacing w:before="0" w:beforeAutospacing="0" w:after="0" w:afterAutospacing="0"/>
              <w:ind w:right="0"/>
              <w:rPr>
                <w:rFonts w:hint="default"/>
                <w:color w:val="auto"/>
              </w:rPr>
            </w:pPr>
            <w:r>
              <w:rPr>
                <w:rFonts w:hint="eastAsia"/>
                <w:color w:val="auto"/>
              </w:rPr>
              <w:t>管道规格</w:t>
            </w:r>
          </w:p>
        </w:tc>
        <w:tc>
          <w:tcPr>
            <w:tcW w:w="3525" w:type="dxa"/>
            <w:gridSpan w:val="3"/>
            <w:tcBorders>
              <w:top w:val="single" w:color="auto" w:sz="4" w:space="0"/>
              <w:left w:val="nil"/>
              <w:bottom w:val="single" w:color="auto" w:sz="4" w:space="0"/>
              <w:right w:val="single" w:color="auto" w:sz="4" w:space="0"/>
            </w:tcBorders>
            <w:vAlign w:val="center"/>
          </w:tcPr>
          <w:p w14:paraId="213C968C">
            <w:pPr>
              <w:pStyle w:val="167"/>
              <w:keepNext w:val="0"/>
              <w:keepLines w:val="0"/>
              <w:suppressLineNumbers w:val="0"/>
              <w:spacing w:before="0" w:beforeAutospacing="0" w:after="0" w:afterAutospacing="0"/>
              <w:ind w:right="0"/>
              <w:rPr>
                <w:rFonts w:hint="default"/>
                <w:color w:val="auto"/>
              </w:rPr>
            </w:pPr>
            <w:r>
              <w:rPr>
                <w:rFonts w:hint="eastAsia"/>
                <w:color w:val="auto"/>
              </w:rPr>
              <w:t>设计/工作条件</w:t>
            </w:r>
          </w:p>
        </w:tc>
      </w:tr>
      <w:tr w14:paraId="0A9A0CAA">
        <w:tblPrEx>
          <w:tblCellMar>
            <w:top w:w="0" w:type="dxa"/>
            <w:left w:w="28" w:type="dxa"/>
            <w:bottom w:w="0" w:type="dxa"/>
            <w:right w:w="28" w:type="dxa"/>
          </w:tblCellMar>
        </w:tblPrEx>
        <w:tc>
          <w:tcPr>
            <w:tcW w:w="585" w:type="dxa"/>
            <w:vMerge w:val="continue"/>
            <w:tcBorders>
              <w:top w:val="single" w:color="auto" w:sz="4" w:space="0"/>
              <w:left w:val="single" w:color="auto" w:sz="4" w:space="0"/>
              <w:bottom w:val="single" w:color="auto" w:sz="4" w:space="0"/>
              <w:right w:val="single" w:color="auto" w:sz="4" w:space="0"/>
            </w:tcBorders>
            <w:vAlign w:val="center"/>
          </w:tcPr>
          <w:p w14:paraId="33C74D6C">
            <w:pPr>
              <w:pStyle w:val="167"/>
              <w:keepNext w:val="0"/>
              <w:keepLines w:val="0"/>
              <w:suppressLineNumbers w:val="0"/>
              <w:spacing w:before="0" w:beforeAutospacing="0" w:after="0" w:afterAutospacing="0"/>
              <w:ind w:right="0"/>
              <w:rPr>
                <w:rFonts w:hint="default"/>
                <w:color w:val="auto"/>
              </w:rPr>
            </w:pPr>
          </w:p>
        </w:tc>
        <w:tc>
          <w:tcPr>
            <w:tcW w:w="2534" w:type="dxa"/>
            <w:vMerge w:val="continue"/>
            <w:tcBorders>
              <w:top w:val="single" w:color="auto" w:sz="4" w:space="0"/>
              <w:left w:val="single" w:color="auto" w:sz="4" w:space="0"/>
              <w:bottom w:val="single" w:color="auto" w:sz="4" w:space="0"/>
              <w:right w:val="single" w:color="auto" w:sz="4" w:space="0"/>
            </w:tcBorders>
            <w:vAlign w:val="center"/>
          </w:tcPr>
          <w:p w14:paraId="7FF20571">
            <w:pPr>
              <w:pStyle w:val="167"/>
              <w:keepNext w:val="0"/>
              <w:keepLines w:val="0"/>
              <w:suppressLineNumbers w:val="0"/>
              <w:spacing w:before="0" w:beforeAutospacing="0" w:after="0" w:afterAutospacing="0"/>
              <w:ind w:right="0"/>
              <w:rPr>
                <w:rFonts w:hint="default"/>
                <w:color w:val="auto"/>
              </w:rPr>
            </w:pPr>
          </w:p>
        </w:tc>
        <w:tc>
          <w:tcPr>
            <w:tcW w:w="850" w:type="dxa"/>
            <w:tcBorders>
              <w:top w:val="single" w:color="auto" w:sz="4" w:space="0"/>
              <w:left w:val="nil"/>
              <w:bottom w:val="single" w:color="auto" w:sz="4" w:space="0"/>
              <w:right w:val="single" w:color="auto" w:sz="4" w:space="0"/>
            </w:tcBorders>
            <w:vAlign w:val="center"/>
          </w:tcPr>
          <w:p w14:paraId="02C7BEC2">
            <w:pPr>
              <w:pStyle w:val="167"/>
              <w:keepNext w:val="0"/>
              <w:keepLines w:val="0"/>
              <w:suppressLineNumbers w:val="0"/>
              <w:spacing w:before="0" w:beforeAutospacing="0" w:after="0" w:afterAutospacing="0"/>
              <w:ind w:right="0"/>
              <w:rPr>
                <w:rFonts w:hint="default"/>
                <w:color w:val="auto"/>
              </w:rPr>
            </w:pPr>
            <w:r>
              <w:rPr>
                <w:rFonts w:hint="eastAsia"/>
                <w:color w:val="auto"/>
              </w:rPr>
              <w:t>公称直径mm</w:t>
            </w:r>
          </w:p>
        </w:tc>
        <w:tc>
          <w:tcPr>
            <w:tcW w:w="851" w:type="dxa"/>
            <w:tcBorders>
              <w:top w:val="single" w:color="auto" w:sz="4" w:space="0"/>
              <w:left w:val="nil"/>
              <w:bottom w:val="single" w:color="auto" w:sz="4" w:space="0"/>
              <w:right w:val="single" w:color="auto" w:sz="4" w:space="0"/>
            </w:tcBorders>
            <w:vAlign w:val="center"/>
          </w:tcPr>
          <w:p w14:paraId="43EDD1F2">
            <w:pPr>
              <w:pStyle w:val="167"/>
              <w:keepNext w:val="0"/>
              <w:keepLines w:val="0"/>
              <w:suppressLineNumbers w:val="0"/>
              <w:spacing w:before="0" w:beforeAutospacing="0" w:after="0" w:afterAutospacing="0"/>
              <w:ind w:right="0"/>
              <w:rPr>
                <w:rFonts w:hint="default"/>
                <w:color w:val="auto"/>
              </w:rPr>
            </w:pPr>
            <w:r>
              <w:rPr>
                <w:rFonts w:hint="eastAsia"/>
                <w:color w:val="auto"/>
              </w:rPr>
              <w:t>公称壁厚mm</w:t>
            </w:r>
          </w:p>
        </w:tc>
        <w:tc>
          <w:tcPr>
            <w:tcW w:w="720" w:type="dxa"/>
            <w:tcBorders>
              <w:top w:val="single" w:color="auto" w:sz="4" w:space="0"/>
              <w:left w:val="nil"/>
              <w:bottom w:val="single" w:color="auto" w:sz="4" w:space="0"/>
              <w:right w:val="single" w:color="auto" w:sz="4" w:space="0"/>
            </w:tcBorders>
            <w:vAlign w:val="center"/>
          </w:tcPr>
          <w:p w14:paraId="159C16F9">
            <w:pPr>
              <w:pStyle w:val="167"/>
              <w:keepNext w:val="0"/>
              <w:keepLines w:val="0"/>
              <w:suppressLineNumbers w:val="0"/>
              <w:spacing w:before="0" w:beforeAutospacing="0" w:after="0" w:afterAutospacing="0"/>
              <w:ind w:right="0"/>
              <w:rPr>
                <w:rFonts w:hint="default"/>
                <w:color w:val="auto"/>
              </w:rPr>
            </w:pPr>
            <w:r>
              <w:rPr>
                <w:rFonts w:hint="eastAsia"/>
                <w:color w:val="auto"/>
              </w:rPr>
              <w:t>管道长度m</w:t>
            </w:r>
          </w:p>
        </w:tc>
        <w:tc>
          <w:tcPr>
            <w:tcW w:w="998" w:type="dxa"/>
            <w:tcBorders>
              <w:top w:val="single" w:color="auto" w:sz="4" w:space="0"/>
              <w:left w:val="nil"/>
              <w:bottom w:val="single" w:color="auto" w:sz="4" w:space="0"/>
              <w:right w:val="single" w:color="auto" w:sz="4" w:space="0"/>
            </w:tcBorders>
            <w:vAlign w:val="center"/>
          </w:tcPr>
          <w:p w14:paraId="202A01B6">
            <w:pPr>
              <w:pStyle w:val="167"/>
              <w:keepNext w:val="0"/>
              <w:keepLines w:val="0"/>
              <w:suppressLineNumbers w:val="0"/>
              <w:spacing w:before="0" w:beforeAutospacing="0" w:after="0" w:afterAutospacing="0"/>
              <w:ind w:right="0"/>
              <w:rPr>
                <w:rFonts w:hint="default"/>
                <w:color w:val="auto"/>
              </w:rPr>
            </w:pPr>
            <w:r>
              <w:rPr>
                <w:rFonts w:hint="eastAsia"/>
                <w:color w:val="auto"/>
              </w:rPr>
              <w:t>压力Mpa</w:t>
            </w:r>
          </w:p>
        </w:tc>
        <w:tc>
          <w:tcPr>
            <w:tcW w:w="1016" w:type="dxa"/>
            <w:tcBorders>
              <w:top w:val="single" w:color="auto" w:sz="4" w:space="0"/>
              <w:left w:val="nil"/>
              <w:bottom w:val="single" w:color="auto" w:sz="4" w:space="0"/>
              <w:right w:val="single" w:color="auto" w:sz="4" w:space="0"/>
            </w:tcBorders>
            <w:vAlign w:val="center"/>
          </w:tcPr>
          <w:p w14:paraId="06905FE3">
            <w:pPr>
              <w:pStyle w:val="167"/>
              <w:keepNext w:val="0"/>
              <w:keepLines w:val="0"/>
              <w:suppressLineNumbers w:val="0"/>
              <w:spacing w:before="0" w:beforeAutospacing="0" w:after="0" w:afterAutospacing="0"/>
              <w:ind w:right="0"/>
              <w:rPr>
                <w:rFonts w:hint="default"/>
                <w:color w:val="auto"/>
              </w:rPr>
            </w:pPr>
            <w:r>
              <w:rPr>
                <w:rFonts w:hint="eastAsia"/>
                <w:color w:val="auto"/>
              </w:rPr>
              <w:t>温度℃</w:t>
            </w:r>
          </w:p>
        </w:tc>
        <w:tc>
          <w:tcPr>
            <w:tcW w:w="1511" w:type="dxa"/>
            <w:tcBorders>
              <w:top w:val="single" w:color="auto" w:sz="4" w:space="0"/>
              <w:left w:val="nil"/>
              <w:bottom w:val="single" w:color="auto" w:sz="4" w:space="0"/>
              <w:right w:val="single" w:color="auto" w:sz="4" w:space="0"/>
            </w:tcBorders>
            <w:vAlign w:val="center"/>
          </w:tcPr>
          <w:p w14:paraId="6BBB46DA">
            <w:pPr>
              <w:pStyle w:val="167"/>
              <w:keepNext w:val="0"/>
              <w:keepLines w:val="0"/>
              <w:suppressLineNumbers w:val="0"/>
              <w:spacing w:before="0" w:beforeAutospacing="0" w:after="0" w:afterAutospacing="0"/>
              <w:ind w:right="0"/>
              <w:rPr>
                <w:rFonts w:hint="default"/>
                <w:color w:val="auto"/>
              </w:rPr>
            </w:pPr>
            <w:r>
              <w:rPr>
                <w:rFonts w:hint="eastAsia"/>
                <w:color w:val="auto"/>
              </w:rPr>
              <w:t>介质</w:t>
            </w:r>
          </w:p>
        </w:tc>
      </w:tr>
      <w:tr w14:paraId="7CBD4867">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52E485C9">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23ED5A6B">
            <w:pPr>
              <w:pStyle w:val="167"/>
              <w:keepNext w:val="0"/>
              <w:keepLines w:val="0"/>
              <w:suppressLineNumbers w:val="0"/>
              <w:spacing w:before="0" w:beforeAutospacing="0" w:after="0" w:afterAutospacing="0"/>
              <w:ind w:right="0"/>
              <w:rPr>
                <w:rFonts w:hint="default"/>
                <w:color w:val="auto"/>
              </w:rPr>
            </w:pPr>
            <w:r>
              <w:rPr>
                <w:rFonts w:hint="eastAsia"/>
                <w:color w:val="auto"/>
              </w:rPr>
              <w:t>原油卸船线1</w:t>
            </w:r>
          </w:p>
        </w:tc>
        <w:tc>
          <w:tcPr>
            <w:tcW w:w="850" w:type="dxa"/>
            <w:tcBorders>
              <w:top w:val="single" w:color="auto" w:sz="4" w:space="0"/>
              <w:left w:val="single" w:color="auto" w:sz="4" w:space="0"/>
              <w:bottom w:val="single" w:color="auto" w:sz="4" w:space="0"/>
              <w:right w:val="single" w:color="auto" w:sz="4" w:space="0"/>
            </w:tcBorders>
            <w:vAlign w:val="center"/>
          </w:tcPr>
          <w:p w14:paraId="63B29203">
            <w:pPr>
              <w:pStyle w:val="167"/>
              <w:keepNext w:val="0"/>
              <w:keepLines w:val="0"/>
              <w:suppressLineNumbers w:val="0"/>
              <w:spacing w:before="0" w:beforeAutospacing="0" w:after="0" w:afterAutospacing="0"/>
              <w:ind w:right="0"/>
              <w:rPr>
                <w:rFonts w:hint="default"/>
                <w:color w:val="auto"/>
              </w:rPr>
            </w:pPr>
            <w:r>
              <w:rPr>
                <w:rFonts w:hint="eastAsia"/>
                <w:color w:val="auto"/>
              </w:rPr>
              <w:t>400</w:t>
            </w:r>
          </w:p>
        </w:tc>
        <w:tc>
          <w:tcPr>
            <w:tcW w:w="851" w:type="dxa"/>
            <w:tcBorders>
              <w:top w:val="single" w:color="auto" w:sz="4" w:space="0"/>
              <w:left w:val="single" w:color="auto" w:sz="4" w:space="0"/>
              <w:bottom w:val="single" w:color="auto" w:sz="4" w:space="0"/>
              <w:right w:val="single" w:color="auto" w:sz="4" w:space="0"/>
            </w:tcBorders>
            <w:noWrap/>
            <w:vAlign w:val="center"/>
          </w:tcPr>
          <w:p w14:paraId="54986072">
            <w:pPr>
              <w:pStyle w:val="167"/>
              <w:keepNext w:val="0"/>
              <w:keepLines w:val="0"/>
              <w:suppressLineNumbers w:val="0"/>
              <w:spacing w:before="0" w:beforeAutospacing="0" w:after="0" w:afterAutospacing="0"/>
              <w:ind w:right="0"/>
              <w:rPr>
                <w:rFonts w:hint="default"/>
                <w:color w:val="auto"/>
              </w:rPr>
            </w:pPr>
            <w:r>
              <w:rPr>
                <w:rFonts w:hint="eastAsia"/>
                <w:color w:val="auto"/>
              </w:rPr>
              <w:t>9.5</w:t>
            </w:r>
          </w:p>
        </w:tc>
        <w:tc>
          <w:tcPr>
            <w:tcW w:w="720" w:type="dxa"/>
            <w:tcBorders>
              <w:top w:val="single" w:color="auto" w:sz="4" w:space="0"/>
              <w:left w:val="single" w:color="auto" w:sz="4" w:space="0"/>
              <w:bottom w:val="single" w:color="auto" w:sz="4" w:space="0"/>
              <w:right w:val="single" w:color="auto" w:sz="4" w:space="0"/>
            </w:tcBorders>
            <w:vAlign w:val="center"/>
          </w:tcPr>
          <w:p w14:paraId="74B8C9B5">
            <w:pPr>
              <w:pStyle w:val="167"/>
              <w:keepNext w:val="0"/>
              <w:keepLines w:val="0"/>
              <w:suppressLineNumbers w:val="0"/>
              <w:spacing w:before="0" w:beforeAutospacing="0" w:after="0" w:afterAutospacing="0"/>
              <w:ind w:right="0"/>
              <w:rPr>
                <w:rFonts w:hint="default"/>
                <w:color w:val="auto"/>
              </w:rPr>
            </w:pPr>
            <w:r>
              <w:rPr>
                <w:rFonts w:hint="eastAsia"/>
                <w:color w:val="auto"/>
              </w:rPr>
              <w:t>625</w:t>
            </w:r>
          </w:p>
        </w:tc>
        <w:tc>
          <w:tcPr>
            <w:tcW w:w="998" w:type="dxa"/>
            <w:tcBorders>
              <w:top w:val="single" w:color="auto" w:sz="4" w:space="0"/>
              <w:left w:val="single" w:color="auto" w:sz="4" w:space="0"/>
              <w:bottom w:val="single" w:color="auto" w:sz="4" w:space="0"/>
              <w:right w:val="single" w:color="auto" w:sz="4" w:space="0"/>
            </w:tcBorders>
            <w:vAlign w:val="center"/>
          </w:tcPr>
          <w:p w14:paraId="701F0BDA">
            <w:pPr>
              <w:pStyle w:val="167"/>
              <w:keepNext w:val="0"/>
              <w:keepLines w:val="0"/>
              <w:suppressLineNumbers w:val="0"/>
              <w:spacing w:before="0" w:beforeAutospacing="0" w:after="0" w:afterAutospacing="0"/>
              <w:ind w:right="0"/>
              <w:rPr>
                <w:rFonts w:hint="default"/>
                <w:color w:val="auto"/>
              </w:rPr>
            </w:pPr>
            <w:r>
              <w:rPr>
                <w:rFonts w:hint="eastAsia"/>
                <w:color w:val="auto"/>
              </w:rPr>
              <w:t>1.0/0.8</w:t>
            </w:r>
          </w:p>
        </w:tc>
        <w:tc>
          <w:tcPr>
            <w:tcW w:w="1016" w:type="dxa"/>
            <w:tcBorders>
              <w:top w:val="single" w:color="auto" w:sz="4" w:space="0"/>
              <w:left w:val="single" w:color="auto" w:sz="4" w:space="0"/>
              <w:bottom w:val="single" w:color="auto" w:sz="4" w:space="0"/>
              <w:right w:val="single" w:color="auto" w:sz="4" w:space="0"/>
            </w:tcBorders>
          </w:tcPr>
          <w:p w14:paraId="7216A7FF">
            <w:pPr>
              <w:pStyle w:val="91"/>
              <w:keepNext w:val="0"/>
              <w:keepLines w:val="0"/>
              <w:suppressLineNumbers w:val="0"/>
              <w:spacing w:before="0" w:beforeAutospacing="0" w:after="0" w:afterAutospacing="0"/>
              <w:ind w:left="0" w:right="0"/>
              <w:rPr>
                <w:rFonts w:hint="default"/>
                <w:color w:val="auto"/>
              </w:rPr>
            </w:pPr>
            <w:r>
              <w:rPr>
                <w:rFonts w:hint="eastAsia"/>
                <w:color w:val="auto"/>
              </w:rPr>
              <w:t>50</w:t>
            </w:r>
          </w:p>
        </w:tc>
        <w:tc>
          <w:tcPr>
            <w:tcW w:w="1511" w:type="dxa"/>
            <w:tcBorders>
              <w:top w:val="single" w:color="auto" w:sz="4" w:space="0"/>
              <w:left w:val="single" w:color="auto" w:sz="4" w:space="0"/>
              <w:bottom w:val="single" w:color="auto" w:sz="4" w:space="0"/>
              <w:right w:val="single" w:color="auto" w:sz="4" w:space="0"/>
            </w:tcBorders>
            <w:vAlign w:val="center"/>
          </w:tcPr>
          <w:p w14:paraId="6A37E0F0">
            <w:pPr>
              <w:pStyle w:val="167"/>
              <w:keepNext w:val="0"/>
              <w:keepLines w:val="0"/>
              <w:suppressLineNumbers w:val="0"/>
              <w:spacing w:before="0" w:beforeAutospacing="0" w:after="0" w:afterAutospacing="0"/>
              <w:ind w:right="0"/>
              <w:rPr>
                <w:rFonts w:hint="default"/>
                <w:color w:val="auto"/>
              </w:rPr>
            </w:pPr>
            <w:r>
              <w:rPr>
                <w:rFonts w:hint="eastAsia"/>
                <w:color w:val="auto"/>
              </w:rPr>
              <w:t>原油</w:t>
            </w:r>
          </w:p>
        </w:tc>
      </w:tr>
      <w:tr w14:paraId="2528FB45">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048F82DE">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109C4469">
            <w:pPr>
              <w:pStyle w:val="167"/>
              <w:keepNext w:val="0"/>
              <w:keepLines w:val="0"/>
              <w:suppressLineNumbers w:val="0"/>
              <w:spacing w:before="0" w:beforeAutospacing="0" w:after="0" w:afterAutospacing="0"/>
              <w:ind w:right="0"/>
              <w:rPr>
                <w:rFonts w:hint="default"/>
                <w:color w:val="auto"/>
              </w:rPr>
            </w:pPr>
            <w:r>
              <w:rPr>
                <w:rFonts w:hint="eastAsia"/>
                <w:color w:val="auto"/>
              </w:rPr>
              <w:t>原油卸船线2</w:t>
            </w:r>
          </w:p>
        </w:tc>
        <w:tc>
          <w:tcPr>
            <w:tcW w:w="850" w:type="dxa"/>
            <w:tcBorders>
              <w:top w:val="single" w:color="auto" w:sz="4" w:space="0"/>
              <w:left w:val="single" w:color="auto" w:sz="4" w:space="0"/>
              <w:bottom w:val="single" w:color="auto" w:sz="4" w:space="0"/>
              <w:right w:val="single" w:color="auto" w:sz="4" w:space="0"/>
            </w:tcBorders>
            <w:vAlign w:val="center"/>
          </w:tcPr>
          <w:p w14:paraId="55F927BE">
            <w:pPr>
              <w:pStyle w:val="167"/>
              <w:keepNext w:val="0"/>
              <w:keepLines w:val="0"/>
              <w:suppressLineNumbers w:val="0"/>
              <w:spacing w:before="0" w:beforeAutospacing="0" w:after="0" w:afterAutospacing="0"/>
              <w:ind w:right="0"/>
              <w:rPr>
                <w:rFonts w:hint="default"/>
                <w:color w:val="auto"/>
              </w:rPr>
            </w:pPr>
            <w:r>
              <w:rPr>
                <w:rFonts w:hint="eastAsia"/>
                <w:color w:val="auto"/>
              </w:rPr>
              <w:t>400</w:t>
            </w:r>
          </w:p>
        </w:tc>
        <w:tc>
          <w:tcPr>
            <w:tcW w:w="851" w:type="dxa"/>
            <w:tcBorders>
              <w:top w:val="single" w:color="auto" w:sz="4" w:space="0"/>
              <w:left w:val="single" w:color="auto" w:sz="4" w:space="0"/>
              <w:bottom w:val="single" w:color="auto" w:sz="4" w:space="0"/>
              <w:right w:val="single" w:color="auto" w:sz="4" w:space="0"/>
            </w:tcBorders>
            <w:noWrap/>
            <w:vAlign w:val="center"/>
          </w:tcPr>
          <w:p w14:paraId="52767552">
            <w:pPr>
              <w:pStyle w:val="167"/>
              <w:keepNext w:val="0"/>
              <w:keepLines w:val="0"/>
              <w:suppressLineNumbers w:val="0"/>
              <w:spacing w:before="0" w:beforeAutospacing="0" w:after="0" w:afterAutospacing="0"/>
              <w:ind w:right="0"/>
              <w:rPr>
                <w:rFonts w:hint="default"/>
                <w:color w:val="auto"/>
              </w:rPr>
            </w:pPr>
            <w:r>
              <w:rPr>
                <w:rFonts w:hint="eastAsia"/>
                <w:color w:val="auto"/>
              </w:rPr>
              <w:t>9.5</w:t>
            </w:r>
          </w:p>
        </w:tc>
        <w:tc>
          <w:tcPr>
            <w:tcW w:w="720" w:type="dxa"/>
            <w:tcBorders>
              <w:top w:val="single" w:color="auto" w:sz="4" w:space="0"/>
              <w:left w:val="single" w:color="auto" w:sz="4" w:space="0"/>
              <w:bottom w:val="single" w:color="auto" w:sz="4" w:space="0"/>
              <w:right w:val="single" w:color="auto" w:sz="4" w:space="0"/>
            </w:tcBorders>
            <w:vAlign w:val="center"/>
          </w:tcPr>
          <w:p w14:paraId="257FA7B4">
            <w:pPr>
              <w:pStyle w:val="167"/>
              <w:keepNext w:val="0"/>
              <w:keepLines w:val="0"/>
              <w:suppressLineNumbers w:val="0"/>
              <w:spacing w:before="0" w:beforeAutospacing="0" w:after="0" w:afterAutospacing="0"/>
              <w:ind w:right="0"/>
              <w:rPr>
                <w:rFonts w:hint="default"/>
                <w:color w:val="auto"/>
              </w:rPr>
            </w:pPr>
            <w:r>
              <w:rPr>
                <w:rFonts w:hint="eastAsia"/>
                <w:color w:val="auto"/>
              </w:rPr>
              <w:t>625</w:t>
            </w:r>
          </w:p>
        </w:tc>
        <w:tc>
          <w:tcPr>
            <w:tcW w:w="998" w:type="dxa"/>
            <w:tcBorders>
              <w:top w:val="single" w:color="auto" w:sz="4" w:space="0"/>
              <w:left w:val="single" w:color="auto" w:sz="4" w:space="0"/>
              <w:bottom w:val="single" w:color="auto" w:sz="4" w:space="0"/>
              <w:right w:val="single" w:color="auto" w:sz="4" w:space="0"/>
            </w:tcBorders>
            <w:vAlign w:val="center"/>
          </w:tcPr>
          <w:p w14:paraId="2D5160DC">
            <w:pPr>
              <w:pStyle w:val="167"/>
              <w:keepNext w:val="0"/>
              <w:keepLines w:val="0"/>
              <w:suppressLineNumbers w:val="0"/>
              <w:spacing w:before="0" w:beforeAutospacing="0" w:after="0" w:afterAutospacing="0"/>
              <w:ind w:right="0"/>
              <w:rPr>
                <w:rFonts w:hint="default"/>
                <w:color w:val="auto"/>
              </w:rPr>
            </w:pPr>
            <w:r>
              <w:rPr>
                <w:rFonts w:hint="eastAsia"/>
                <w:color w:val="auto"/>
              </w:rPr>
              <w:t>1.0/0.8</w:t>
            </w:r>
          </w:p>
        </w:tc>
        <w:tc>
          <w:tcPr>
            <w:tcW w:w="1016" w:type="dxa"/>
            <w:tcBorders>
              <w:top w:val="single" w:color="auto" w:sz="4" w:space="0"/>
              <w:left w:val="single" w:color="auto" w:sz="4" w:space="0"/>
              <w:bottom w:val="single" w:color="auto" w:sz="4" w:space="0"/>
              <w:right w:val="single" w:color="auto" w:sz="4" w:space="0"/>
            </w:tcBorders>
          </w:tcPr>
          <w:p w14:paraId="25FDA1CE">
            <w:pPr>
              <w:pStyle w:val="91"/>
              <w:keepNext w:val="0"/>
              <w:keepLines w:val="0"/>
              <w:suppressLineNumbers w:val="0"/>
              <w:spacing w:before="0" w:beforeAutospacing="0" w:after="0" w:afterAutospacing="0"/>
              <w:ind w:left="0" w:right="0"/>
              <w:rPr>
                <w:rFonts w:hint="default"/>
                <w:color w:val="auto"/>
              </w:rPr>
            </w:pPr>
            <w:r>
              <w:rPr>
                <w:rFonts w:hint="eastAsia"/>
                <w:color w:val="auto"/>
              </w:rPr>
              <w:t>5</w:t>
            </w:r>
            <w:r>
              <w:rPr>
                <w:rFonts w:hint="default"/>
                <w:color w:val="auto"/>
              </w:rPr>
              <w:t>0</w:t>
            </w:r>
          </w:p>
        </w:tc>
        <w:tc>
          <w:tcPr>
            <w:tcW w:w="1511" w:type="dxa"/>
            <w:tcBorders>
              <w:top w:val="single" w:color="auto" w:sz="4" w:space="0"/>
              <w:left w:val="single" w:color="auto" w:sz="4" w:space="0"/>
              <w:bottom w:val="single" w:color="auto" w:sz="4" w:space="0"/>
              <w:right w:val="single" w:color="auto" w:sz="4" w:space="0"/>
            </w:tcBorders>
            <w:vAlign w:val="center"/>
          </w:tcPr>
          <w:p w14:paraId="0E351310">
            <w:pPr>
              <w:pStyle w:val="167"/>
              <w:keepNext w:val="0"/>
              <w:keepLines w:val="0"/>
              <w:suppressLineNumbers w:val="0"/>
              <w:spacing w:before="0" w:beforeAutospacing="0" w:after="0" w:afterAutospacing="0"/>
              <w:ind w:right="0"/>
              <w:rPr>
                <w:rFonts w:hint="default"/>
                <w:color w:val="auto"/>
              </w:rPr>
            </w:pPr>
            <w:r>
              <w:rPr>
                <w:rFonts w:hint="eastAsia"/>
                <w:color w:val="auto"/>
              </w:rPr>
              <w:t>原油</w:t>
            </w:r>
          </w:p>
        </w:tc>
      </w:tr>
      <w:tr w14:paraId="7D76E4F4">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303C5139">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1504B24E">
            <w:pPr>
              <w:pStyle w:val="167"/>
              <w:keepNext w:val="0"/>
              <w:keepLines w:val="0"/>
              <w:suppressLineNumbers w:val="0"/>
              <w:spacing w:before="0" w:beforeAutospacing="0" w:after="0" w:afterAutospacing="0"/>
              <w:ind w:right="0"/>
              <w:rPr>
                <w:rFonts w:hint="default"/>
                <w:color w:val="auto"/>
              </w:rPr>
            </w:pPr>
            <w:r>
              <w:rPr>
                <w:rFonts w:hint="eastAsia"/>
                <w:color w:val="auto"/>
              </w:rPr>
              <w:t>汽油装卸船线</w:t>
            </w:r>
          </w:p>
        </w:tc>
        <w:tc>
          <w:tcPr>
            <w:tcW w:w="850" w:type="dxa"/>
            <w:tcBorders>
              <w:top w:val="single" w:color="auto" w:sz="4" w:space="0"/>
              <w:left w:val="single" w:color="auto" w:sz="4" w:space="0"/>
              <w:bottom w:val="single" w:color="auto" w:sz="4" w:space="0"/>
              <w:right w:val="single" w:color="auto" w:sz="4" w:space="0"/>
            </w:tcBorders>
            <w:vAlign w:val="center"/>
          </w:tcPr>
          <w:p w14:paraId="70390F75">
            <w:pPr>
              <w:pStyle w:val="167"/>
              <w:keepNext w:val="0"/>
              <w:keepLines w:val="0"/>
              <w:suppressLineNumbers w:val="0"/>
              <w:spacing w:before="0" w:beforeAutospacing="0" w:after="0" w:afterAutospacing="0"/>
              <w:ind w:right="0"/>
              <w:rPr>
                <w:rFonts w:hint="default"/>
                <w:color w:val="auto"/>
              </w:rPr>
            </w:pPr>
            <w:r>
              <w:rPr>
                <w:rFonts w:hint="eastAsia"/>
                <w:color w:val="auto"/>
              </w:rPr>
              <w:t>350</w:t>
            </w:r>
          </w:p>
        </w:tc>
        <w:tc>
          <w:tcPr>
            <w:tcW w:w="851" w:type="dxa"/>
            <w:tcBorders>
              <w:top w:val="single" w:color="auto" w:sz="4" w:space="0"/>
              <w:left w:val="single" w:color="auto" w:sz="4" w:space="0"/>
              <w:bottom w:val="single" w:color="auto" w:sz="4" w:space="0"/>
              <w:right w:val="single" w:color="auto" w:sz="4" w:space="0"/>
            </w:tcBorders>
            <w:noWrap/>
            <w:vAlign w:val="center"/>
          </w:tcPr>
          <w:p w14:paraId="5812F363">
            <w:pPr>
              <w:pStyle w:val="167"/>
              <w:keepNext w:val="0"/>
              <w:keepLines w:val="0"/>
              <w:suppressLineNumbers w:val="0"/>
              <w:spacing w:before="0" w:beforeAutospacing="0" w:after="0" w:afterAutospacing="0"/>
              <w:ind w:right="0"/>
              <w:rPr>
                <w:rFonts w:hint="default"/>
                <w:color w:val="auto"/>
              </w:rPr>
            </w:pPr>
            <w:r>
              <w:rPr>
                <w:rFonts w:hint="eastAsia"/>
                <w:color w:val="auto"/>
              </w:rPr>
              <w:t>9.5</w:t>
            </w:r>
          </w:p>
        </w:tc>
        <w:tc>
          <w:tcPr>
            <w:tcW w:w="720" w:type="dxa"/>
            <w:tcBorders>
              <w:top w:val="single" w:color="auto" w:sz="4" w:space="0"/>
              <w:left w:val="single" w:color="auto" w:sz="4" w:space="0"/>
              <w:bottom w:val="single" w:color="auto" w:sz="4" w:space="0"/>
              <w:right w:val="single" w:color="auto" w:sz="4" w:space="0"/>
            </w:tcBorders>
            <w:vAlign w:val="center"/>
          </w:tcPr>
          <w:p w14:paraId="6A100EC7">
            <w:pPr>
              <w:pStyle w:val="167"/>
              <w:keepNext w:val="0"/>
              <w:keepLines w:val="0"/>
              <w:suppressLineNumbers w:val="0"/>
              <w:spacing w:before="0" w:beforeAutospacing="0" w:after="0" w:afterAutospacing="0"/>
              <w:ind w:right="0"/>
              <w:rPr>
                <w:rFonts w:hint="default"/>
                <w:color w:val="auto"/>
              </w:rPr>
            </w:pPr>
            <w:r>
              <w:rPr>
                <w:rFonts w:hint="eastAsia"/>
                <w:color w:val="auto"/>
              </w:rPr>
              <w:t>650</w:t>
            </w:r>
          </w:p>
        </w:tc>
        <w:tc>
          <w:tcPr>
            <w:tcW w:w="998" w:type="dxa"/>
            <w:tcBorders>
              <w:top w:val="single" w:color="auto" w:sz="4" w:space="0"/>
              <w:left w:val="single" w:color="auto" w:sz="4" w:space="0"/>
              <w:bottom w:val="single" w:color="auto" w:sz="4" w:space="0"/>
              <w:right w:val="single" w:color="auto" w:sz="4" w:space="0"/>
            </w:tcBorders>
            <w:vAlign w:val="center"/>
          </w:tcPr>
          <w:p w14:paraId="0513E521">
            <w:pPr>
              <w:pStyle w:val="167"/>
              <w:keepNext w:val="0"/>
              <w:keepLines w:val="0"/>
              <w:suppressLineNumbers w:val="0"/>
              <w:spacing w:before="0" w:beforeAutospacing="0" w:after="0" w:afterAutospacing="0"/>
              <w:ind w:right="0"/>
              <w:rPr>
                <w:rFonts w:hint="default"/>
                <w:color w:val="auto"/>
              </w:rPr>
            </w:pPr>
            <w:r>
              <w:rPr>
                <w:rFonts w:hint="eastAsia"/>
                <w:color w:val="auto"/>
              </w:rPr>
              <w:t>1.0/0.7</w:t>
            </w:r>
          </w:p>
        </w:tc>
        <w:tc>
          <w:tcPr>
            <w:tcW w:w="1016" w:type="dxa"/>
            <w:tcBorders>
              <w:top w:val="single" w:color="auto" w:sz="4" w:space="0"/>
              <w:left w:val="single" w:color="auto" w:sz="4" w:space="0"/>
              <w:bottom w:val="single" w:color="auto" w:sz="4" w:space="0"/>
              <w:right w:val="single" w:color="auto" w:sz="4" w:space="0"/>
            </w:tcBorders>
          </w:tcPr>
          <w:p w14:paraId="6749C7A0">
            <w:pPr>
              <w:pStyle w:val="91"/>
              <w:keepNext w:val="0"/>
              <w:keepLines w:val="0"/>
              <w:suppressLineNumbers w:val="0"/>
              <w:spacing w:before="0" w:beforeAutospacing="0" w:after="0" w:afterAutospacing="0"/>
              <w:ind w:left="0"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147C3E83">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r w14:paraId="16292C94">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553A5BC7">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3ADFB3F1">
            <w:pPr>
              <w:pStyle w:val="167"/>
              <w:keepNext w:val="0"/>
              <w:keepLines w:val="0"/>
              <w:suppressLineNumbers w:val="0"/>
              <w:spacing w:before="0" w:beforeAutospacing="0" w:after="0" w:afterAutospacing="0"/>
              <w:ind w:right="0"/>
              <w:rPr>
                <w:rFonts w:hint="default"/>
                <w:color w:val="auto"/>
              </w:rPr>
            </w:pPr>
            <w:r>
              <w:rPr>
                <w:rFonts w:hint="eastAsia"/>
                <w:color w:val="auto"/>
              </w:rPr>
              <w:t>柴油装船线</w:t>
            </w:r>
          </w:p>
        </w:tc>
        <w:tc>
          <w:tcPr>
            <w:tcW w:w="850" w:type="dxa"/>
            <w:tcBorders>
              <w:top w:val="single" w:color="auto" w:sz="4" w:space="0"/>
              <w:left w:val="single" w:color="auto" w:sz="4" w:space="0"/>
              <w:bottom w:val="single" w:color="auto" w:sz="4" w:space="0"/>
              <w:right w:val="single" w:color="auto" w:sz="4" w:space="0"/>
            </w:tcBorders>
            <w:vAlign w:val="center"/>
          </w:tcPr>
          <w:p w14:paraId="3306E571">
            <w:pPr>
              <w:pStyle w:val="167"/>
              <w:keepNext w:val="0"/>
              <w:keepLines w:val="0"/>
              <w:suppressLineNumbers w:val="0"/>
              <w:spacing w:before="0" w:beforeAutospacing="0" w:after="0" w:afterAutospacing="0"/>
              <w:ind w:right="0"/>
              <w:rPr>
                <w:rFonts w:hint="default"/>
                <w:color w:val="auto"/>
              </w:rPr>
            </w:pPr>
            <w:r>
              <w:rPr>
                <w:rFonts w:hint="eastAsia"/>
                <w:color w:val="auto"/>
              </w:rPr>
              <w:t>350</w:t>
            </w:r>
          </w:p>
        </w:tc>
        <w:tc>
          <w:tcPr>
            <w:tcW w:w="851" w:type="dxa"/>
            <w:tcBorders>
              <w:top w:val="single" w:color="auto" w:sz="4" w:space="0"/>
              <w:left w:val="single" w:color="auto" w:sz="4" w:space="0"/>
              <w:bottom w:val="single" w:color="auto" w:sz="4" w:space="0"/>
              <w:right w:val="single" w:color="auto" w:sz="4" w:space="0"/>
            </w:tcBorders>
            <w:noWrap/>
            <w:vAlign w:val="center"/>
          </w:tcPr>
          <w:p w14:paraId="2A9CDF11">
            <w:pPr>
              <w:pStyle w:val="167"/>
              <w:keepNext w:val="0"/>
              <w:keepLines w:val="0"/>
              <w:suppressLineNumbers w:val="0"/>
              <w:spacing w:before="0" w:beforeAutospacing="0" w:after="0" w:afterAutospacing="0"/>
              <w:ind w:right="0"/>
              <w:rPr>
                <w:rFonts w:hint="default"/>
                <w:color w:val="auto"/>
              </w:rPr>
            </w:pPr>
            <w:r>
              <w:rPr>
                <w:rFonts w:hint="eastAsia"/>
                <w:color w:val="auto"/>
              </w:rPr>
              <w:t>9.5</w:t>
            </w:r>
          </w:p>
        </w:tc>
        <w:tc>
          <w:tcPr>
            <w:tcW w:w="720" w:type="dxa"/>
            <w:tcBorders>
              <w:top w:val="single" w:color="auto" w:sz="4" w:space="0"/>
              <w:left w:val="single" w:color="auto" w:sz="4" w:space="0"/>
              <w:bottom w:val="single" w:color="auto" w:sz="4" w:space="0"/>
              <w:right w:val="single" w:color="auto" w:sz="4" w:space="0"/>
            </w:tcBorders>
            <w:vAlign w:val="center"/>
          </w:tcPr>
          <w:p w14:paraId="5F265FCC">
            <w:pPr>
              <w:pStyle w:val="167"/>
              <w:keepNext w:val="0"/>
              <w:keepLines w:val="0"/>
              <w:suppressLineNumbers w:val="0"/>
              <w:spacing w:before="0" w:beforeAutospacing="0" w:after="0" w:afterAutospacing="0"/>
              <w:ind w:right="0"/>
              <w:rPr>
                <w:rFonts w:hint="default"/>
                <w:color w:val="auto"/>
              </w:rPr>
            </w:pPr>
            <w:r>
              <w:rPr>
                <w:rFonts w:hint="eastAsia"/>
                <w:color w:val="auto"/>
              </w:rPr>
              <w:t>850</w:t>
            </w:r>
          </w:p>
        </w:tc>
        <w:tc>
          <w:tcPr>
            <w:tcW w:w="998" w:type="dxa"/>
            <w:tcBorders>
              <w:top w:val="single" w:color="auto" w:sz="4" w:space="0"/>
              <w:left w:val="single" w:color="auto" w:sz="4" w:space="0"/>
              <w:bottom w:val="single" w:color="auto" w:sz="4" w:space="0"/>
              <w:right w:val="single" w:color="auto" w:sz="4" w:space="0"/>
            </w:tcBorders>
            <w:vAlign w:val="center"/>
          </w:tcPr>
          <w:p w14:paraId="5E360008">
            <w:pPr>
              <w:pStyle w:val="167"/>
              <w:keepNext w:val="0"/>
              <w:keepLines w:val="0"/>
              <w:suppressLineNumbers w:val="0"/>
              <w:spacing w:before="0" w:beforeAutospacing="0" w:after="0" w:afterAutospacing="0"/>
              <w:ind w:right="0"/>
              <w:rPr>
                <w:rFonts w:hint="default"/>
                <w:color w:val="auto"/>
              </w:rPr>
            </w:pPr>
            <w:r>
              <w:rPr>
                <w:rFonts w:hint="eastAsia"/>
                <w:color w:val="auto"/>
              </w:rPr>
              <w:t>1.0/0.7</w:t>
            </w:r>
          </w:p>
        </w:tc>
        <w:tc>
          <w:tcPr>
            <w:tcW w:w="1016" w:type="dxa"/>
            <w:tcBorders>
              <w:top w:val="single" w:color="auto" w:sz="4" w:space="0"/>
              <w:left w:val="single" w:color="auto" w:sz="4" w:space="0"/>
              <w:bottom w:val="single" w:color="auto" w:sz="4" w:space="0"/>
              <w:right w:val="single" w:color="auto" w:sz="4" w:space="0"/>
            </w:tcBorders>
          </w:tcPr>
          <w:p w14:paraId="58AC1476">
            <w:pPr>
              <w:pStyle w:val="91"/>
              <w:keepNext w:val="0"/>
              <w:keepLines w:val="0"/>
              <w:suppressLineNumbers w:val="0"/>
              <w:spacing w:before="0" w:beforeAutospacing="0" w:after="0" w:afterAutospacing="0"/>
              <w:ind w:left="0"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5C99DFBD">
            <w:pPr>
              <w:pStyle w:val="167"/>
              <w:keepNext w:val="0"/>
              <w:keepLines w:val="0"/>
              <w:suppressLineNumbers w:val="0"/>
              <w:spacing w:before="0" w:beforeAutospacing="0" w:after="0" w:afterAutospacing="0"/>
              <w:ind w:right="0"/>
              <w:rPr>
                <w:rFonts w:hint="default"/>
                <w:color w:val="auto"/>
              </w:rPr>
            </w:pPr>
            <w:r>
              <w:rPr>
                <w:rFonts w:hint="eastAsia"/>
                <w:color w:val="auto"/>
              </w:rPr>
              <w:t>柴油</w:t>
            </w:r>
          </w:p>
        </w:tc>
      </w:tr>
      <w:tr w14:paraId="2BBEAFD7">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449FF837">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480236A3">
            <w:pPr>
              <w:pStyle w:val="167"/>
              <w:keepNext w:val="0"/>
              <w:keepLines w:val="0"/>
              <w:suppressLineNumbers w:val="0"/>
              <w:spacing w:before="0" w:beforeAutospacing="0" w:after="0" w:afterAutospacing="0"/>
              <w:ind w:right="0"/>
              <w:rPr>
                <w:rFonts w:hint="default"/>
                <w:color w:val="auto"/>
              </w:rPr>
            </w:pPr>
            <w:r>
              <w:rPr>
                <w:rFonts w:hint="eastAsia"/>
                <w:color w:val="auto"/>
              </w:rPr>
              <w:t>甲醇卸船线</w:t>
            </w:r>
          </w:p>
        </w:tc>
        <w:tc>
          <w:tcPr>
            <w:tcW w:w="850" w:type="dxa"/>
            <w:tcBorders>
              <w:top w:val="single" w:color="auto" w:sz="4" w:space="0"/>
              <w:left w:val="single" w:color="auto" w:sz="4" w:space="0"/>
              <w:bottom w:val="single" w:color="auto" w:sz="4" w:space="0"/>
              <w:right w:val="single" w:color="auto" w:sz="4" w:space="0"/>
            </w:tcBorders>
            <w:vAlign w:val="center"/>
          </w:tcPr>
          <w:p w14:paraId="17F6F132">
            <w:pPr>
              <w:pStyle w:val="167"/>
              <w:keepNext w:val="0"/>
              <w:keepLines w:val="0"/>
              <w:suppressLineNumbers w:val="0"/>
              <w:spacing w:before="0" w:beforeAutospacing="0" w:after="0" w:afterAutospacing="0"/>
              <w:ind w:right="0"/>
              <w:rPr>
                <w:rFonts w:hint="default"/>
                <w:color w:val="auto"/>
              </w:rPr>
            </w:pPr>
            <w:r>
              <w:rPr>
                <w:rFonts w:hint="eastAsia"/>
                <w:color w:val="auto"/>
              </w:rPr>
              <w:t>250</w:t>
            </w:r>
          </w:p>
        </w:tc>
        <w:tc>
          <w:tcPr>
            <w:tcW w:w="851" w:type="dxa"/>
            <w:tcBorders>
              <w:top w:val="single" w:color="auto" w:sz="4" w:space="0"/>
              <w:left w:val="single" w:color="auto" w:sz="4" w:space="0"/>
              <w:bottom w:val="single" w:color="auto" w:sz="4" w:space="0"/>
              <w:right w:val="single" w:color="auto" w:sz="4" w:space="0"/>
            </w:tcBorders>
            <w:noWrap/>
            <w:vAlign w:val="center"/>
          </w:tcPr>
          <w:p w14:paraId="778FC6CE">
            <w:pPr>
              <w:pStyle w:val="167"/>
              <w:keepNext w:val="0"/>
              <w:keepLines w:val="0"/>
              <w:suppressLineNumbers w:val="0"/>
              <w:spacing w:before="0" w:beforeAutospacing="0" w:after="0" w:afterAutospacing="0"/>
              <w:ind w:right="0"/>
              <w:rPr>
                <w:rFonts w:hint="default"/>
                <w:color w:val="auto"/>
              </w:rPr>
            </w:pPr>
            <w:r>
              <w:rPr>
                <w:rFonts w:hint="eastAsia"/>
                <w:color w:val="auto"/>
              </w:rPr>
              <w:t>5</w:t>
            </w:r>
          </w:p>
        </w:tc>
        <w:tc>
          <w:tcPr>
            <w:tcW w:w="720" w:type="dxa"/>
            <w:tcBorders>
              <w:top w:val="single" w:color="auto" w:sz="4" w:space="0"/>
              <w:left w:val="single" w:color="auto" w:sz="4" w:space="0"/>
              <w:bottom w:val="single" w:color="auto" w:sz="4" w:space="0"/>
              <w:right w:val="single" w:color="auto" w:sz="4" w:space="0"/>
            </w:tcBorders>
            <w:vAlign w:val="center"/>
          </w:tcPr>
          <w:p w14:paraId="61CABD27">
            <w:pPr>
              <w:pStyle w:val="167"/>
              <w:keepNext w:val="0"/>
              <w:keepLines w:val="0"/>
              <w:suppressLineNumbers w:val="0"/>
              <w:spacing w:before="0" w:beforeAutospacing="0" w:after="0" w:afterAutospacing="0"/>
              <w:ind w:right="0"/>
              <w:rPr>
                <w:rFonts w:hint="default"/>
                <w:color w:val="auto"/>
              </w:rPr>
            </w:pPr>
            <w:r>
              <w:rPr>
                <w:rFonts w:hint="eastAsia"/>
                <w:color w:val="auto"/>
              </w:rPr>
              <w:t>850</w:t>
            </w:r>
          </w:p>
        </w:tc>
        <w:tc>
          <w:tcPr>
            <w:tcW w:w="998" w:type="dxa"/>
            <w:tcBorders>
              <w:top w:val="single" w:color="auto" w:sz="4" w:space="0"/>
              <w:left w:val="single" w:color="auto" w:sz="4" w:space="0"/>
              <w:bottom w:val="single" w:color="auto" w:sz="4" w:space="0"/>
              <w:right w:val="single" w:color="auto" w:sz="4" w:space="0"/>
            </w:tcBorders>
            <w:vAlign w:val="center"/>
          </w:tcPr>
          <w:p w14:paraId="39C765CC">
            <w:pPr>
              <w:pStyle w:val="167"/>
              <w:keepNext w:val="0"/>
              <w:keepLines w:val="0"/>
              <w:suppressLineNumbers w:val="0"/>
              <w:spacing w:before="0" w:beforeAutospacing="0" w:after="0" w:afterAutospacing="0"/>
              <w:ind w:right="0"/>
              <w:rPr>
                <w:rFonts w:hint="default"/>
                <w:color w:val="auto"/>
              </w:rPr>
            </w:pPr>
            <w:r>
              <w:rPr>
                <w:rFonts w:hint="eastAsia"/>
                <w:color w:val="auto"/>
              </w:rPr>
              <w:t>1.0/0.7</w:t>
            </w:r>
          </w:p>
        </w:tc>
        <w:tc>
          <w:tcPr>
            <w:tcW w:w="1016" w:type="dxa"/>
            <w:tcBorders>
              <w:top w:val="single" w:color="auto" w:sz="4" w:space="0"/>
              <w:left w:val="single" w:color="auto" w:sz="4" w:space="0"/>
              <w:bottom w:val="single" w:color="auto" w:sz="4" w:space="0"/>
              <w:right w:val="single" w:color="auto" w:sz="4" w:space="0"/>
            </w:tcBorders>
          </w:tcPr>
          <w:p w14:paraId="31991AC7">
            <w:pPr>
              <w:pStyle w:val="91"/>
              <w:keepNext w:val="0"/>
              <w:keepLines w:val="0"/>
              <w:suppressLineNumbers w:val="0"/>
              <w:spacing w:before="0" w:beforeAutospacing="0" w:after="0" w:afterAutospacing="0"/>
              <w:ind w:left="0"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59A50BB3">
            <w:pPr>
              <w:pStyle w:val="167"/>
              <w:keepNext w:val="0"/>
              <w:keepLines w:val="0"/>
              <w:suppressLineNumbers w:val="0"/>
              <w:spacing w:before="0" w:beforeAutospacing="0" w:after="0" w:afterAutospacing="0"/>
              <w:ind w:right="0"/>
              <w:rPr>
                <w:rFonts w:hint="default"/>
                <w:color w:val="auto"/>
              </w:rPr>
            </w:pPr>
            <w:r>
              <w:rPr>
                <w:rFonts w:hint="eastAsia"/>
                <w:color w:val="auto"/>
              </w:rPr>
              <w:t>甲醇</w:t>
            </w:r>
          </w:p>
        </w:tc>
      </w:tr>
      <w:tr w14:paraId="63CF6545">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4D6C8E77">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58A25062">
            <w:pPr>
              <w:pStyle w:val="167"/>
              <w:keepNext w:val="0"/>
              <w:keepLines w:val="0"/>
              <w:suppressLineNumbers w:val="0"/>
              <w:spacing w:before="0" w:beforeAutospacing="0" w:after="0" w:afterAutospacing="0"/>
              <w:ind w:right="0"/>
              <w:rPr>
                <w:rFonts w:hint="default"/>
                <w:color w:val="auto"/>
              </w:rPr>
            </w:pPr>
            <w:r>
              <w:rPr>
                <w:rFonts w:hint="eastAsia"/>
                <w:color w:val="auto"/>
              </w:rPr>
              <w:t>柴油装</w:t>
            </w:r>
            <w:r>
              <w:rPr>
                <w:rFonts w:hint="default"/>
                <w:color w:val="auto"/>
              </w:rPr>
              <w:t>船</w:t>
            </w:r>
            <w:r>
              <w:rPr>
                <w:rFonts w:hint="eastAsia"/>
                <w:color w:val="auto"/>
              </w:rPr>
              <w:t>线</w:t>
            </w:r>
          </w:p>
        </w:tc>
        <w:tc>
          <w:tcPr>
            <w:tcW w:w="850" w:type="dxa"/>
            <w:tcBorders>
              <w:top w:val="single" w:color="auto" w:sz="4" w:space="0"/>
              <w:left w:val="single" w:color="auto" w:sz="4" w:space="0"/>
              <w:bottom w:val="single" w:color="auto" w:sz="4" w:space="0"/>
              <w:right w:val="single" w:color="auto" w:sz="4" w:space="0"/>
            </w:tcBorders>
            <w:vAlign w:val="center"/>
          </w:tcPr>
          <w:p w14:paraId="65F2A1AE">
            <w:pPr>
              <w:pStyle w:val="167"/>
              <w:keepNext w:val="0"/>
              <w:keepLines w:val="0"/>
              <w:suppressLineNumbers w:val="0"/>
              <w:spacing w:before="0" w:beforeAutospacing="0" w:after="0" w:afterAutospacing="0"/>
              <w:ind w:right="0"/>
              <w:rPr>
                <w:rFonts w:hint="default"/>
                <w:color w:val="auto"/>
              </w:rPr>
            </w:pPr>
            <w:r>
              <w:rPr>
                <w:rFonts w:hint="default"/>
                <w:color w:val="auto"/>
              </w:rPr>
              <w:t>2</w:t>
            </w:r>
            <w:r>
              <w:rPr>
                <w:rFonts w:hint="eastAsia"/>
                <w:color w:val="auto"/>
              </w:rPr>
              <w:t>50</w:t>
            </w:r>
          </w:p>
        </w:tc>
        <w:tc>
          <w:tcPr>
            <w:tcW w:w="851" w:type="dxa"/>
            <w:tcBorders>
              <w:top w:val="single" w:color="auto" w:sz="4" w:space="0"/>
              <w:left w:val="single" w:color="auto" w:sz="4" w:space="0"/>
              <w:bottom w:val="single" w:color="auto" w:sz="4" w:space="0"/>
              <w:right w:val="single" w:color="auto" w:sz="4" w:space="0"/>
            </w:tcBorders>
            <w:noWrap/>
            <w:vAlign w:val="center"/>
          </w:tcPr>
          <w:p w14:paraId="28318780">
            <w:pPr>
              <w:pStyle w:val="167"/>
              <w:keepNext w:val="0"/>
              <w:keepLines w:val="0"/>
              <w:suppressLineNumbers w:val="0"/>
              <w:spacing w:before="0" w:beforeAutospacing="0" w:after="0" w:afterAutospacing="0"/>
              <w:ind w:right="0"/>
              <w:rPr>
                <w:rFonts w:hint="default"/>
                <w:color w:val="auto"/>
              </w:rPr>
            </w:pPr>
            <w:r>
              <w:rPr>
                <w:rFonts w:hint="default"/>
                <w:color w:val="auto"/>
              </w:rPr>
              <w:t>5</w:t>
            </w:r>
          </w:p>
        </w:tc>
        <w:tc>
          <w:tcPr>
            <w:tcW w:w="720" w:type="dxa"/>
            <w:tcBorders>
              <w:top w:val="single" w:color="auto" w:sz="4" w:space="0"/>
              <w:left w:val="single" w:color="auto" w:sz="4" w:space="0"/>
              <w:bottom w:val="single" w:color="auto" w:sz="4" w:space="0"/>
              <w:right w:val="single" w:color="auto" w:sz="4" w:space="0"/>
            </w:tcBorders>
            <w:vAlign w:val="center"/>
          </w:tcPr>
          <w:p w14:paraId="0F27F393">
            <w:pPr>
              <w:pStyle w:val="167"/>
              <w:keepNext w:val="0"/>
              <w:keepLines w:val="0"/>
              <w:suppressLineNumbers w:val="0"/>
              <w:spacing w:before="0" w:beforeAutospacing="0" w:after="0" w:afterAutospacing="0"/>
              <w:ind w:right="0"/>
              <w:rPr>
                <w:rFonts w:hint="default"/>
                <w:color w:val="auto"/>
              </w:rPr>
            </w:pPr>
            <w:r>
              <w:rPr>
                <w:rFonts w:hint="eastAsia"/>
                <w:color w:val="auto"/>
              </w:rPr>
              <w:t>850</w:t>
            </w:r>
          </w:p>
        </w:tc>
        <w:tc>
          <w:tcPr>
            <w:tcW w:w="998" w:type="dxa"/>
            <w:tcBorders>
              <w:top w:val="single" w:color="auto" w:sz="4" w:space="0"/>
              <w:left w:val="single" w:color="auto" w:sz="4" w:space="0"/>
              <w:bottom w:val="single" w:color="auto" w:sz="4" w:space="0"/>
              <w:right w:val="single" w:color="auto" w:sz="4" w:space="0"/>
            </w:tcBorders>
            <w:vAlign w:val="center"/>
          </w:tcPr>
          <w:p w14:paraId="0AB7F91D">
            <w:pPr>
              <w:pStyle w:val="167"/>
              <w:keepNext w:val="0"/>
              <w:keepLines w:val="0"/>
              <w:suppressLineNumbers w:val="0"/>
              <w:spacing w:before="0" w:beforeAutospacing="0" w:after="0" w:afterAutospacing="0"/>
              <w:ind w:right="0"/>
              <w:rPr>
                <w:rFonts w:hint="default"/>
                <w:color w:val="auto"/>
              </w:rPr>
            </w:pPr>
            <w:r>
              <w:rPr>
                <w:rFonts w:hint="eastAsia"/>
                <w:color w:val="auto"/>
              </w:rPr>
              <w:t>1.0/0.7</w:t>
            </w:r>
          </w:p>
        </w:tc>
        <w:tc>
          <w:tcPr>
            <w:tcW w:w="1016" w:type="dxa"/>
            <w:tcBorders>
              <w:top w:val="single" w:color="auto" w:sz="4" w:space="0"/>
              <w:left w:val="single" w:color="auto" w:sz="4" w:space="0"/>
              <w:bottom w:val="single" w:color="auto" w:sz="4" w:space="0"/>
              <w:right w:val="single" w:color="auto" w:sz="4" w:space="0"/>
            </w:tcBorders>
            <w:vAlign w:val="center"/>
          </w:tcPr>
          <w:p w14:paraId="4EDC958A">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7F61BE53">
            <w:pPr>
              <w:pStyle w:val="167"/>
              <w:keepNext w:val="0"/>
              <w:keepLines w:val="0"/>
              <w:suppressLineNumbers w:val="0"/>
              <w:spacing w:before="0" w:beforeAutospacing="0" w:after="0" w:afterAutospacing="0"/>
              <w:ind w:right="0"/>
              <w:rPr>
                <w:rFonts w:hint="default"/>
                <w:color w:val="auto"/>
              </w:rPr>
            </w:pPr>
            <w:r>
              <w:rPr>
                <w:rFonts w:hint="eastAsia"/>
                <w:color w:val="auto"/>
              </w:rPr>
              <w:t>柴油</w:t>
            </w:r>
          </w:p>
        </w:tc>
      </w:tr>
      <w:tr w14:paraId="5E74F083">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266CF04B">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3C4B3A20">
            <w:pPr>
              <w:pStyle w:val="167"/>
              <w:keepNext w:val="0"/>
              <w:keepLines w:val="0"/>
              <w:suppressLineNumbers w:val="0"/>
              <w:spacing w:before="0" w:beforeAutospacing="0" w:after="0" w:afterAutospacing="0"/>
              <w:ind w:right="0"/>
              <w:rPr>
                <w:rFonts w:hint="default"/>
                <w:color w:val="auto"/>
              </w:rPr>
            </w:pPr>
            <w:r>
              <w:rPr>
                <w:rFonts w:hint="eastAsia"/>
                <w:color w:val="auto"/>
              </w:rPr>
              <w:t>重油装卸</w:t>
            </w:r>
            <w:r>
              <w:rPr>
                <w:rFonts w:hint="default"/>
                <w:color w:val="auto"/>
              </w:rPr>
              <w:t>船线</w:t>
            </w:r>
          </w:p>
        </w:tc>
        <w:tc>
          <w:tcPr>
            <w:tcW w:w="850" w:type="dxa"/>
            <w:tcBorders>
              <w:top w:val="single" w:color="auto" w:sz="4" w:space="0"/>
              <w:left w:val="single" w:color="auto" w:sz="4" w:space="0"/>
              <w:bottom w:val="single" w:color="auto" w:sz="4" w:space="0"/>
              <w:right w:val="single" w:color="auto" w:sz="4" w:space="0"/>
            </w:tcBorders>
            <w:vAlign w:val="center"/>
          </w:tcPr>
          <w:p w14:paraId="2D019F0A">
            <w:pPr>
              <w:pStyle w:val="167"/>
              <w:keepNext w:val="0"/>
              <w:keepLines w:val="0"/>
              <w:suppressLineNumbers w:val="0"/>
              <w:spacing w:before="0" w:beforeAutospacing="0" w:after="0" w:afterAutospacing="0"/>
              <w:ind w:right="0"/>
              <w:rPr>
                <w:rFonts w:hint="default"/>
                <w:color w:val="auto"/>
              </w:rPr>
            </w:pPr>
            <w:r>
              <w:rPr>
                <w:rFonts w:hint="eastAsia"/>
                <w:color w:val="auto"/>
              </w:rPr>
              <w:t>250</w:t>
            </w:r>
          </w:p>
        </w:tc>
        <w:tc>
          <w:tcPr>
            <w:tcW w:w="851" w:type="dxa"/>
            <w:tcBorders>
              <w:top w:val="single" w:color="auto" w:sz="4" w:space="0"/>
              <w:left w:val="single" w:color="auto" w:sz="4" w:space="0"/>
              <w:bottom w:val="single" w:color="auto" w:sz="4" w:space="0"/>
              <w:right w:val="single" w:color="auto" w:sz="4" w:space="0"/>
            </w:tcBorders>
            <w:noWrap/>
            <w:vAlign w:val="center"/>
          </w:tcPr>
          <w:p w14:paraId="323F0C10">
            <w:pPr>
              <w:pStyle w:val="167"/>
              <w:keepNext w:val="0"/>
              <w:keepLines w:val="0"/>
              <w:suppressLineNumbers w:val="0"/>
              <w:spacing w:before="0" w:beforeAutospacing="0" w:after="0" w:afterAutospacing="0"/>
              <w:ind w:right="0"/>
              <w:rPr>
                <w:rFonts w:hint="default"/>
                <w:color w:val="auto"/>
              </w:rPr>
            </w:pPr>
            <w:r>
              <w:rPr>
                <w:rFonts w:hint="eastAsia"/>
                <w:color w:val="auto"/>
              </w:rPr>
              <w:t>5</w:t>
            </w:r>
          </w:p>
        </w:tc>
        <w:tc>
          <w:tcPr>
            <w:tcW w:w="720" w:type="dxa"/>
            <w:tcBorders>
              <w:top w:val="single" w:color="auto" w:sz="4" w:space="0"/>
              <w:left w:val="single" w:color="auto" w:sz="4" w:space="0"/>
              <w:bottom w:val="single" w:color="auto" w:sz="4" w:space="0"/>
              <w:right w:val="single" w:color="auto" w:sz="4" w:space="0"/>
            </w:tcBorders>
            <w:vAlign w:val="center"/>
          </w:tcPr>
          <w:p w14:paraId="37BE9BF4">
            <w:pPr>
              <w:pStyle w:val="167"/>
              <w:keepNext w:val="0"/>
              <w:keepLines w:val="0"/>
              <w:suppressLineNumbers w:val="0"/>
              <w:spacing w:before="0" w:beforeAutospacing="0" w:after="0" w:afterAutospacing="0"/>
              <w:ind w:right="0"/>
              <w:rPr>
                <w:rFonts w:hint="default"/>
                <w:color w:val="auto"/>
              </w:rPr>
            </w:pPr>
            <w:r>
              <w:rPr>
                <w:rFonts w:hint="eastAsia"/>
                <w:color w:val="auto"/>
              </w:rPr>
              <w:t>850</w:t>
            </w:r>
          </w:p>
        </w:tc>
        <w:tc>
          <w:tcPr>
            <w:tcW w:w="998" w:type="dxa"/>
            <w:tcBorders>
              <w:top w:val="single" w:color="auto" w:sz="4" w:space="0"/>
              <w:left w:val="single" w:color="auto" w:sz="4" w:space="0"/>
              <w:bottom w:val="single" w:color="auto" w:sz="4" w:space="0"/>
              <w:right w:val="single" w:color="auto" w:sz="4" w:space="0"/>
            </w:tcBorders>
            <w:vAlign w:val="center"/>
          </w:tcPr>
          <w:p w14:paraId="2671A6D3">
            <w:pPr>
              <w:pStyle w:val="167"/>
              <w:keepNext w:val="0"/>
              <w:keepLines w:val="0"/>
              <w:suppressLineNumbers w:val="0"/>
              <w:spacing w:before="0" w:beforeAutospacing="0" w:after="0" w:afterAutospacing="0"/>
              <w:ind w:right="0"/>
              <w:rPr>
                <w:rFonts w:hint="default"/>
                <w:color w:val="auto"/>
              </w:rPr>
            </w:pPr>
            <w:r>
              <w:rPr>
                <w:rFonts w:hint="eastAsia"/>
                <w:color w:val="auto"/>
              </w:rPr>
              <w:t>1.0/0.7</w:t>
            </w:r>
          </w:p>
        </w:tc>
        <w:tc>
          <w:tcPr>
            <w:tcW w:w="1016" w:type="dxa"/>
            <w:tcBorders>
              <w:top w:val="single" w:color="auto" w:sz="4" w:space="0"/>
              <w:left w:val="single" w:color="auto" w:sz="4" w:space="0"/>
              <w:bottom w:val="single" w:color="auto" w:sz="4" w:space="0"/>
              <w:right w:val="single" w:color="auto" w:sz="4" w:space="0"/>
            </w:tcBorders>
            <w:vAlign w:val="center"/>
          </w:tcPr>
          <w:p w14:paraId="7119B58E">
            <w:pPr>
              <w:pStyle w:val="167"/>
              <w:keepNext w:val="0"/>
              <w:keepLines w:val="0"/>
              <w:suppressLineNumbers w:val="0"/>
              <w:spacing w:before="0" w:beforeAutospacing="0" w:after="0" w:afterAutospacing="0"/>
              <w:ind w:right="0"/>
              <w:rPr>
                <w:rFonts w:hint="default"/>
                <w:color w:val="auto"/>
              </w:rPr>
            </w:pPr>
            <w:r>
              <w:rPr>
                <w:rFonts w:hint="eastAsia"/>
                <w:color w:val="auto"/>
              </w:rPr>
              <w:t>90</w:t>
            </w:r>
          </w:p>
        </w:tc>
        <w:tc>
          <w:tcPr>
            <w:tcW w:w="1511" w:type="dxa"/>
            <w:tcBorders>
              <w:top w:val="single" w:color="auto" w:sz="4" w:space="0"/>
              <w:left w:val="single" w:color="auto" w:sz="4" w:space="0"/>
              <w:bottom w:val="single" w:color="auto" w:sz="4" w:space="0"/>
              <w:right w:val="single" w:color="auto" w:sz="4" w:space="0"/>
            </w:tcBorders>
            <w:vAlign w:val="center"/>
          </w:tcPr>
          <w:p w14:paraId="0256FEAD">
            <w:pPr>
              <w:pStyle w:val="167"/>
              <w:keepNext w:val="0"/>
              <w:keepLines w:val="0"/>
              <w:suppressLineNumbers w:val="0"/>
              <w:spacing w:before="0" w:beforeAutospacing="0" w:after="0" w:afterAutospacing="0"/>
              <w:ind w:right="0"/>
              <w:rPr>
                <w:rFonts w:hint="default"/>
                <w:color w:val="auto"/>
              </w:rPr>
            </w:pPr>
            <w:r>
              <w:rPr>
                <w:rFonts w:hint="eastAsia"/>
                <w:color w:val="auto"/>
              </w:rPr>
              <w:t>重油、沥青</w:t>
            </w:r>
            <w:r>
              <w:rPr>
                <w:rFonts w:hint="default"/>
                <w:color w:val="auto"/>
              </w:rPr>
              <w:t>、燃料油</w:t>
            </w:r>
          </w:p>
        </w:tc>
      </w:tr>
      <w:tr w14:paraId="5DF20246">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473BBE3D">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59FE032C">
            <w:pPr>
              <w:pStyle w:val="167"/>
              <w:keepNext w:val="0"/>
              <w:keepLines w:val="0"/>
              <w:suppressLineNumbers w:val="0"/>
              <w:spacing w:before="0" w:beforeAutospacing="0" w:after="0" w:afterAutospacing="0"/>
              <w:ind w:right="0"/>
              <w:rPr>
                <w:rFonts w:hint="default"/>
                <w:color w:val="auto"/>
              </w:rPr>
            </w:pPr>
            <w:r>
              <w:rPr>
                <w:rFonts w:hint="eastAsia"/>
                <w:color w:val="auto"/>
              </w:rPr>
              <w:t>长输原油管线</w:t>
            </w:r>
          </w:p>
        </w:tc>
        <w:tc>
          <w:tcPr>
            <w:tcW w:w="850" w:type="dxa"/>
            <w:tcBorders>
              <w:top w:val="single" w:color="auto" w:sz="4" w:space="0"/>
              <w:left w:val="single" w:color="auto" w:sz="4" w:space="0"/>
              <w:bottom w:val="single" w:color="auto" w:sz="4" w:space="0"/>
              <w:right w:val="single" w:color="auto" w:sz="4" w:space="0"/>
            </w:tcBorders>
            <w:vAlign w:val="center"/>
          </w:tcPr>
          <w:p w14:paraId="00CCA719">
            <w:pPr>
              <w:pStyle w:val="167"/>
              <w:keepNext w:val="0"/>
              <w:keepLines w:val="0"/>
              <w:suppressLineNumbers w:val="0"/>
              <w:spacing w:before="0" w:beforeAutospacing="0" w:after="0" w:afterAutospacing="0"/>
              <w:ind w:right="0"/>
              <w:rPr>
                <w:rFonts w:hint="default"/>
                <w:color w:val="auto"/>
              </w:rPr>
            </w:pPr>
            <w:r>
              <w:rPr>
                <w:rFonts w:hint="eastAsia"/>
                <w:color w:val="auto"/>
              </w:rPr>
              <w:t>250</w:t>
            </w:r>
          </w:p>
        </w:tc>
        <w:tc>
          <w:tcPr>
            <w:tcW w:w="851" w:type="dxa"/>
            <w:tcBorders>
              <w:top w:val="single" w:color="auto" w:sz="4" w:space="0"/>
              <w:left w:val="single" w:color="auto" w:sz="4" w:space="0"/>
              <w:bottom w:val="single" w:color="auto" w:sz="4" w:space="0"/>
              <w:right w:val="single" w:color="auto" w:sz="4" w:space="0"/>
            </w:tcBorders>
            <w:noWrap/>
            <w:vAlign w:val="center"/>
          </w:tcPr>
          <w:p w14:paraId="46332414">
            <w:pPr>
              <w:pStyle w:val="167"/>
              <w:keepNext w:val="0"/>
              <w:keepLines w:val="0"/>
              <w:suppressLineNumbers w:val="0"/>
              <w:spacing w:before="0" w:beforeAutospacing="0" w:after="0" w:afterAutospacing="0"/>
              <w:ind w:right="0"/>
              <w:rPr>
                <w:rFonts w:hint="default"/>
                <w:color w:val="auto"/>
              </w:rPr>
            </w:pPr>
            <w:r>
              <w:rPr>
                <w:rFonts w:hint="eastAsia"/>
                <w:color w:val="auto"/>
              </w:rPr>
              <w:t>8</w:t>
            </w:r>
          </w:p>
        </w:tc>
        <w:tc>
          <w:tcPr>
            <w:tcW w:w="720" w:type="dxa"/>
            <w:tcBorders>
              <w:top w:val="single" w:color="auto" w:sz="4" w:space="0"/>
              <w:left w:val="single" w:color="auto" w:sz="4" w:space="0"/>
              <w:bottom w:val="single" w:color="auto" w:sz="4" w:space="0"/>
              <w:right w:val="single" w:color="auto" w:sz="4" w:space="0"/>
            </w:tcBorders>
            <w:vAlign w:val="center"/>
          </w:tcPr>
          <w:p w14:paraId="32FBDD5F">
            <w:pPr>
              <w:pStyle w:val="167"/>
              <w:keepNext w:val="0"/>
              <w:keepLines w:val="0"/>
              <w:suppressLineNumbers w:val="0"/>
              <w:spacing w:before="0" w:beforeAutospacing="0" w:after="0" w:afterAutospacing="0"/>
              <w:ind w:right="0"/>
              <w:rPr>
                <w:rFonts w:hint="default"/>
                <w:color w:val="auto"/>
              </w:rPr>
            </w:pPr>
            <w:r>
              <w:rPr>
                <w:rFonts w:hint="eastAsia"/>
                <w:color w:val="auto"/>
              </w:rPr>
              <w:t>10125</w:t>
            </w:r>
          </w:p>
        </w:tc>
        <w:tc>
          <w:tcPr>
            <w:tcW w:w="998" w:type="dxa"/>
            <w:tcBorders>
              <w:top w:val="single" w:color="auto" w:sz="4" w:space="0"/>
              <w:left w:val="single" w:color="auto" w:sz="4" w:space="0"/>
              <w:bottom w:val="single" w:color="auto" w:sz="4" w:space="0"/>
              <w:right w:val="single" w:color="auto" w:sz="4" w:space="0"/>
            </w:tcBorders>
            <w:vAlign w:val="center"/>
          </w:tcPr>
          <w:p w14:paraId="03685D1B">
            <w:pPr>
              <w:pStyle w:val="167"/>
              <w:keepNext w:val="0"/>
              <w:keepLines w:val="0"/>
              <w:suppressLineNumbers w:val="0"/>
              <w:spacing w:before="0" w:beforeAutospacing="0" w:after="0" w:afterAutospacing="0"/>
              <w:ind w:right="0"/>
              <w:rPr>
                <w:rFonts w:hint="default"/>
                <w:color w:val="auto"/>
              </w:rPr>
            </w:pPr>
            <w:r>
              <w:rPr>
                <w:rFonts w:hint="eastAsia"/>
                <w:color w:val="auto"/>
              </w:rPr>
              <w:t>3.3/2.2</w:t>
            </w:r>
          </w:p>
        </w:tc>
        <w:tc>
          <w:tcPr>
            <w:tcW w:w="1016" w:type="dxa"/>
            <w:tcBorders>
              <w:top w:val="single" w:color="auto" w:sz="4" w:space="0"/>
              <w:left w:val="single" w:color="auto" w:sz="4" w:space="0"/>
              <w:bottom w:val="single" w:color="auto" w:sz="4" w:space="0"/>
              <w:right w:val="single" w:color="auto" w:sz="4" w:space="0"/>
            </w:tcBorders>
            <w:vAlign w:val="center"/>
          </w:tcPr>
          <w:p w14:paraId="55C8953F">
            <w:pPr>
              <w:pStyle w:val="167"/>
              <w:keepNext w:val="0"/>
              <w:keepLines w:val="0"/>
              <w:suppressLineNumbers w:val="0"/>
              <w:spacing w:before="0" w:beforeAutospacing="0" w:after="0" w:afterAutospacing="0"/>
              <w:ind w:right="0"/>
              <w:rPr>
                <w:rFonts w:hint="default"/>
                <w:color w:val="auto"/>
              </w:rPr>
            </w:pPr>
            <w:r>
              <w:rPr>
                <w:rFonts w:hint="eastAsia"/>
                <w:color w:val="auto"/>
              </w:rPr>
              <w:t>60</w:t>
            </w:r>
          </w:p>
        </w:tc>
        <w:tc>
          <w:tcPr>
            <w:tcW w:w="1511" w:type="dxa"/>
            <w:tcBorders>
              <w:top w:val="single" w:color="auto" w:sz="4" w:space="0"/>
              <w:left w:val="single" w:color="auto" w:sz="4" w:space="0"/>
              <w:bottom w:val="single" w:color="auto" w:sz="4" w:space="0"/>
              <w:right w:val="single" w:color="auto" w:sz="4" w:space="0"/>
            </w:tcBorders>
            <w:vAlign w:val="center"/>
          </w:tcPr>
          <w:p w14:paraId="0B1273D2">
            <w:pPr>
              <w:pStyle w:val="167"/>
              <w:keepNext w:val="0"/>
              <w:keepLines w:val="0"/>
              <w:suppressLineNumbers w:val="0"/>
              <w:spacing w:before="0" w:beforeAutospacing="0" w:after="0" w:afterAutospacing="0"/>
              <w:ind w:right="0"/>
              <w:rPr>
                <w:rFonts w:hint="default"/>
                <w:color w:val="auto"/>
              </w:rPr>
            </w:pPr>
            <w:r>
              <w:rPr>
                <w:rFonts w:hint="eastAsia"/>
                <w:color w:val="auto"/>
              </w:rPr>
              <w:t>原油</w:t>
            </w:r>
          </w:p>
        </w:tc>
      </w:tr>
      <w:tr w14:paraId="598C94CA">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284E201B">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58327C21">
            <w:pPr>
              <w:pStyle w:val="167"/>
              <w:keepNext w:val="0"/>
              <w:keepLines w:val="0"/>
              <w:suppressLineNumbers w:val="0"/>
              <w:spacing w:before="0" w:beforeAutospacing="0" w:after="0" w:afterAutospacing="0"/>
              <w:ind w:right="0"/>
              <w:rPr>
                <w:rFonts w:hint="default"/>
                <w:color w:val="auto"/>
              </w:rPr>
            </w:pPr>
            <w:r>
              <w:rPr>
                <w:rFonts w:hint="eastAsia"/>
                <w:color w:val="auto"/>
              </w:rPr>
              <w:t>长输汽油管线</w:t>
            </w:r>
          </w:p>
        </w:tc>
        <w:tc>
          <w:tcPr>
            <w:tcW w:w="850" w:type="dxa"/>
            <w:tcBorders>
              <w:top w:val="single" w:color="auto" w:sz="4" w:space="0"/>
              <w:left w:val="single" w:color="auto" w:sz="4" w:space="0"/>
              <w:bottom w:val="single" w:color="auto" w:sz="4" w:space="0"/>
              <w:right w:val="single" w:color="auto" w:sz="4" w:space="0"/>
            </w:tcBorders>
            <w:vAlign w:val="center"/>
          </w:tcPr>
          <w:p w14:paraId="23D0F367">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noWrap/>
            <w:vAlign w:val="center"/>
          </w:tcPr>
          <w:p w14:paraId="22168219">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5489BE17">
            <w:pPr>
              <w:pStyle w:val="167"/>
              <w:keepNext w:val="0"/>
              <w:keepLines w:val="0"/>
              <w:suppressLineNumbers w:val="0"/>
              <w:spacing w:before="0" w:beforeAutospacing="0" w:after="0" w:afterAutospacing="0"/>
              <w:ind w:right="0"/>
              <w:rPr>
                <w:rFonts w:hint="default"/>
                <w:color w:val="auto"/>
              </w:rPr>
            </w:pPr>
            <w:r>
              <w:rPr>
                <w:rFonts w:hint="eastAsia"/>
                <w:color w:val="auto"/>
              </w:rPr>
              <w:t>10215</w:t>
            </w:r>
          </w:p>
        </w:tc>
        <w:tc>
          <w:tcPr>
            <w:tcW w:w="998" w:type="dxa"/>
            <w:tcBorders>
              <w:top w:val="single" w:color="auto" w:sz="4" w:space="0"/>
              <w:left w:val="single" w:color="auto" w:sz="4" w:space="0"/>
              <w:bottom w:val="single" w:color="auto" w:sz="4" w:space="0"/>
              <w:right w:val="single" w:color="auto" w:sz="4" w:space="0"/>
            </w:tcBorders>
            <w:vAlign w:val="center"/>
          </w:tcPr>
          <w:p w14:paraId="434E5D5C">
            <w:pPr>
              <w:pStyle w:val="167"/>
              <w:keepNext w:val="0"/>
              <w:keepLines w:val="0"/>
              <w:suppressLineNumbers w:val="0"/>
              <w:spacing w:before="0" w:beforeAutospacing="0" w:after="0" w:afterAutospacing="0"/>
              <w:ind w:right="0"/>
              <w:rPr>
                <w:rFonts w:hint="default"/>
                <w:color w:val="auto"/>
              </w:rPr>
            </w:pPr>
            <w:r>
              <w:rPr>
                <w:rFonts w:hint="eastAsia"/>
                <w:color w:val="auto"/>
              </w:rPr>
              <w:t>3.3/2.2</w:t>
            </w:r>
          </w:p>
        </w:tc>
        <w:tc>
          <w:tcPr>
            <w:tcW w:w="1016" w:type="dxa"/>
            <w:tcBorders>
              <w:top w:val="single" w:color="auto" w:sz="4" w:space="0"/>
              <w:left w:val="single" w:color="auto" w:sz="4" w:space="0"/>
              <w:bottom w:val="single" w:color="auto" w:sz="4" w:space="0"/>
              <w:right w:val="single" w:color="auto" w:sz="4" w:space="0"/>
            </w:tcBorders>
            <w:vAlign w:val="center"/>
          </w:tcPr>
          <w:p w14:paraId="30606691">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7D4BA1D6">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r w14:paraId="699CB7A5">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0134E194">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64BE9639">
            <w:pPr>
              <w:pStyle w:val="167"/>
              <w:keepNext w:val="0"/>
              <w:keepLines w:val="0"/>
              <w:suppressLineNumbers w:val="0"/>
              <w:spacing w:before="0" w:beforeAutospacing="0" w:after="0" w:afterAutospacing="0"/>
              <w:ind w:right="0"/>
              <w:rPr>
                <w:rFonts w:hint="default"/>
                <w:color w:val="auto"/>
              </w:rPr>
            </w:pPr>
            <w:r>
              <w:rPr>
                <w:rFonts w:hint="eastAsia"/>
                <w:color w:val="auto"/>
              </w:rPr>
              <w:t>长输柴油管线</w:t>
            </w:r>
          </w:p>
        </w:tc>
        <w:tc>
          <w:tcPr>
            <w:tcW w:w="850" w:type="dxa"/>
            <w:tcBorders>
              <w:top w:val="single" w:color="auto" w:sz="4" w:space="0"/>
              <w:left w:val="single" w:color="auto" w:sz="4" w:space="0"/>
              <w:bottom w:val="single" w:color="auto" w:sz="4" w:space="0"/>
              <w:right w:val="single" w:color="auto" w:sz="4" w:space="0"/>
            </w:tcBorders>
            <w:vAlign w:val="center"/>
          </w:tcPr>
          <w:p w14:paraId="7E95F008">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noWrap/>
            <w:vAlign w:val="center"/>
          </w:tcPr>
          <w:p w14:paraId="59265AB7">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2F730968">
            <w:pPr>
              <w:pStyle w:val="167"/>
              <w:keepNext w:val="0"/>
              <w:keepLines w:val="0"/>
              <w:suppressLineNumbers w:val="0"/>
              <w:spacing w:before="0" w:beforeAutospacing="0" w:after="0" w:afterAutospacing="0"/>
              <w:ind w:right="0"/>
              <w:rPr>
                <w:rFonts w:hint="default"/>
                <w:color w:val="auto"/>
              </w:rPr>
            </w:pPr>
            <w:r>
              <w:rPr>
                <w:rFonts w:hint="eastAsia"/>
                <w:color w:val="auto"/>
              </w:rPr>
              <w:t>10175</w:t>
            </w:r>
          </w:p>
        </w:tc>
        <w:tc>
          <w:tcPr>
            <w:tcW w:w="998" w:type="dxa"/>
            <w:tcBorders>
              <w:top w:val="single" w:color="auto" w:sz="4" w:space="0"/>
              <w:left w:val="single" w:color="auto" w:sz="4" w:space="0"/>
              <w:bottom w:val="single" w:color="auto" w:sz="4" w:space="0"/>
              <w:right w:val="single" w:color="auto" w:sz="4" w:space="0"/>
            </w:tcBorders>
            <w:vAlign w:val="center"/>
          </w:tcPr>
          <w:p w14:paraId="6B3C95F9">
            <w:pPr>
              <w:pStyle w:val="167"/>
              <w:keepNext w:val="0"/>
              <w:keepLines w:val="0"/>
              <w:suppressLineNumbers w:val="0"/>
              <w:spacing w:before="0" w:beforeAutospacing="0" w:after="0" w:afterAutospacing="0"/>
              <w:ind w:right="0"/>
              <w:rPr>
                <w:rFonts w:hint="default"/>
                <w:color w:val="auto"/>
              </w:rPr>
            </w:pPr>
            <w:r>
              <w:rPr>
                <w:rFonts w:hint="eastAsia"/>
                <w:color w:val="auto"/>
              </w:rPr>
              <w:t>3.3/2.2</w:t>
            </w:r>
          </w:p>
        </w:tc>
        <w:tc>
          <w:tcPr>
            <w:tcW w:w="1016" w:type="dxa"/>
            <w:tcBorders>
              <w:top w:val="single" w:color="auto" w:sz="4" w:space="0"/>
              <w:left w:val="single" w:color="auto" w:sz="4" w:space="0"/>
              <w:bottom w:val="single" w:color="auto" w:sz="4" w:space="0"/>
              <w:right w:val="single" w:color="auto" w:sz="4" w:space="0"/>
            </w:tcBorders>
            <w:vAlign w:val="center"/>
          </w:tcPr>
          <w:p w14:paraId="0E525E55">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08F99383">
            <w:pPr>
              <w:pStyle w:val="167"/>
              <w:keepNext w:val="0"/>
              <w:keepLines w:val="0"/>
              <w:suppressLineNumbers w:val="0"/>
              <w:spacing w:before="0" w:beforeAutospacing="0" w:after="0" w:afterAutospacing="0"/>
              <w:ind w:right="0"/>
              <w:rPr>
                <w:rFonts w:hint="default"/>
                <w:color w:val="auto"/>
              </w:rPr>
            </w:pPr>
            <w:r>
              <w:rPr>
                <w:rFonts w:hint="eastAsia"/>
                <w:color w:val="auto"/>
              </w:rPr>
              <w:t>柴油</w:t>
            </w:r>
          </w:p>
        </w:tc>
      </w:tr>
      <w:tr w14:paraId="762320ED">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3C3E117A">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34315BAC">
            <w:pPr>
              <w:pStyle w:val="167"/>
              <w:keepNext w:val="0"/>
              <w:keepLines w:val="0"/>
              <w:suppressLineNumbers w:val="0"/>
              <w:spacing w:before="0" w:beforeAutospacing="0" w:after="0" w:afterAutospacing="0"/>
              <w:ind w:right="0"/>
              <w:rPr>
                <w:rFonts w:hint="default"/>
                <w:color w:val="auto"/>
              </w:rPr>
            </w:pPr>
            <w:r>
              <w:rPr>
                <w:rFonts w:hint="eastAsia"/>
                <w:color w:val="auto"/>
              </w:rPr>
              <w:t>原油卸船线3</w:t>
            </w:r>
          </w:p>
        </w:tc>
        <w:tc>
          <w:tcPr>
            <w:tcW w:w="850" w:type="dxa"/>
            <w:tcBorders>
              <w:top w:val="single" w:color="auto" w:sz="4" w:space="0"/>
              <w:left w:val="single" w:color="auto" w:sz="4" w:space="0"/>
              <w:bottom w:val="single" w:color="auto" w:sz="4" w:space="0"/>
              <w:right w:val="single" w:color="auto" w:sz="4" w:space="0"/>
            </w:tcBorders>
            <w:vAlign w:val="center"/>
          </w:tcPr>
          <w:p w14:paraId="6496B3F8">
            <w:pPr>
              <w:pStyle w:val="167"/>
              <w:keepNext w:val="0"/>
              <w:keepLines w:val="0"/>
              <w:suppressLineNumbers w:val="0"/>
              <w:spacing w:before="0" w:beforeAutospacing="0" w:after="0" w:afterAutospacing="0"/>
              <w:ind w:right="0"/>
              <w:rPr>
                <w:rFonts w:hint="default"/>
                <w:color w:val="auto"/>
              </w:rPr>
            </w:pPr>
            <w:r>
              <w:rPr>
                <w:rFonts w:hint="eastAsia"/>
                <w:color w:val="auto"/>
              </w:rPr>
              <w:t>800</w:t>
            </w:r>
          </w:p>
        </w:tc>
        <w:tc>
          <w:tcPr>
            <w:tcW w:w="851" w:type="dxa"/>
            <w:tcBorders>
              <w:top w:val="single" w:color="auto" w:sz="4" w:space="0"/>
              <w:left w:val="single" w:color="auto" w:sz="4" w:space="0"/>
              <w:bottom w:val="single" w:color="auto" w:sz="4" w:space="0"/>
              <w:right w:val="single" w:color="auto" w:sz="4" w:space="0"/>
            </w:tcBorders>
            <w:noWrap/>
            <w:vAlign w:val="center"/>
          </w:tcPr>
          <w:p w14:paraId="04830CCF">
            <w:pPr>
              <w:pStyle w:val="167"/>
              <w:keepNext w:val="0"/>
              <w:keepLines w:val="0"/>
              <w:suppressLineNumbers w:val="0"/>
              <w:spacing w:before="0" w:beforeAutospacing="0" w:after="0" w:afterAutospacing="0"/>
              <w:ind w:right="0"/>
              <w:rPr>
                <w:rFonts w:hint="default"/>
                <w:color w:val="auto"/>
              </w:rPr>
            </w:pPr>
            <w:r>
              <w:rPr>
                <w:rFonts w:hint="eastAsia"/>
                <w:color w:val="auto"/>
              </w:rPr>
              <w:t>10</w:t>
            </w:r>
          </w:p>
        </w:tc>
        <w:tc>
          <w:tcPr>
            <w:tcW w:w="720" w:type="dxa"/>
            <w:tcBorders>
              <w:top w:val="single" w:color="auto" w:sz="4" w:space="0"/>
              <w:left w:val="single" w:color="auto" w:sz="4" w:space="0"/>
              <w:bottom w:val="single" w:color="auto" w:sz="4" w:space="0"/>
              <w:right w:val="single" w:color="auto" w:sz="4" w:space="0"/>
            </w:tcBorders>
            <w:vAlign w:val="center"/>
          </w:tcPr>
          <w:p w14:paraId="328F2144">
            <w:pPr>
              <w:pStyle w:val="167"/>
              <w:keepNext w:val="0"/>
              <w:keepLines w:val="0"/>
              <w:suppressLineNumbers w:val="0"/>
              <w:spacing w:before="0" w:beforeAutospacing="0" w:after="0" w:afterAutospacing="0"/>
              <w:ind w:right="0"/>
              <w:rPr>
                <w:rFonts w:hint="default"/>
                <w:color w:val="auto"/>
              </w:rPr>
            </w:pPr>
            <w:r>
              <w:rPr>
                <w:rFonts w:hint="eastAsia"/>
                <w:color w:val="auto"/>
              </w:rPr>
              <w:t>1500</w:t>
            </w:r>
          </w:p>
        </w:tc>
        <w:tc>
          <w:tcPr>
            <w:tcW w:w="998" w:type="dxa"/>
            <w:tcBorders>
              <w:top w:val="single" w:color="auto" w:sz="4" w:space="0"/>
              <w:left w:val="single" w:color="auto" w:sz="4" w:space="0"/>
              <w:bottom w:val="single" w:color="auto" w:sz="4" w:space="0"/>
              <w:right w:val="single" w:color="auto" w:sz="4" w:space="0"/>
            </w:tcBorders>
            <w:vAlign w:val="center"/>
          </w:tcPr>
          <w:p w14:paraId="37FBECCB">
            <w:pPr>
              <w:pStyle w:val="167"/>
              <w:keepNext w:val="0"/>
              <w:keepLines w:val="0"/>
              <w:suppressLineNumbers w:val="0"/>
              <w:spacing w:before="0" w:beforeAutospacing="0" w:after="0" w:afterAutospacing="0"/>
              <w:ind w:right="0"/>
              <w:rPr>
                <w:rFonts w:hint="default"/>
                <w:color w:val="auto"/>
              </w:rPr>
            </w:pPr>
            <w:r>
              <w:rPr>
                <w:rFonts w:hint="eastAsia"/>
                <w:color w:val="auto"/>
              </w:rPr>
              <w:t>1.38/0.5</w:t>
            </w:r>
          </w:p>
        </w:tc>
        <w:tc>
          <w:tcPr>
            <w:tcW w:w="1016" w:type="dxa"/>
            <w:tcBorders>
              <w:top w:val="single" w:color="auto" w:sz="4" w:space="0"/>
              <w:left w:val="single" w:color="auto" w:sz="4" w:space="0"/>
              <w:bottom w:val="single" w:color="auto" w:sz="4" w:space="0"/>
              <w:right w:val="single" w:color="auto" w:sz="4" w:space="0"/>
            </w:tcBorders>
            <w:vAlign w:val="center"/>
          </w:tcPr>
          <w:p w14:paraId="56B7FF56">
            <w:pPr>
              <w:pStyle w:val="167"/>
              <w:keepNext w:val="0"/>
              <w:keepLines w:val="0"/>
              <w:suppressLineNumbers w:val="0"/>
              <w:spacing w:before="0" w:beforeAutospacing="0" w:after="0" w:afterAutospacing="0"/>
              <w:ind w:right="0"/>
              <w:rPr>
                <w:rFonts w:hint="default"/>
                <w:color w:val="auto"/>
              </w:rPr>
            </w:pPr>
            <w:r>
              <w:rPr>
                <w:rFonts w:hint="eastAsia"/>
                <w:color w:val="auto"/>
              </w:rPr>
              <w:t>50</w:t>
            </w:r>
          </w:p>
        </w:tc>
        <w:tc>
          <w:tcPr>
            <w:tcW w:w="1511" w:type="dxa"/>
            <w:tcBorders>
              <w:top w:val="single" w:color="auto" w:sz="4" w:space="0"/>
              <w:left w:val="single" w:color="auto" w:sz="4" w:space="0"/>
              <w:bottom w:val="single" w:color="auto" w:sz="4" w:space="0"/>
              <w:right w:val="single" w:color="auto" w:sz="4" w:space="0"/>
            </w:tcBorders>
            <w:vAlign w:val="center"/>
          </w:tcPr>
          <w:p w14:paraId="6BCB6D0B">
            <w:pPr>
              <w:pStyle w:val="167"/>
              <w:keepNext w:val="0"/>
              <w:keepLines w:val="0"/>
              <w:suppressLineNumbers w:val="0"/>
              <w:spacing w:before="0" w:beforeAutospacing="0" w:after="0" w:afterAutospacing="0"/>
              <w:ind w:right="0"/>
              <w:rPr>
                <w:rFonts w:hint="default"/>
                <w:color w:val="auto"/>
              </w:rPr>
            </w:pPr>
            <w:r>
              <w:rPr>
                <w:rFonts w:hint="eastAsia"/>
                <w:color w:val="auto"/>
              </w:rPr>
              <w:t>原油</w:t>
            </w:r>
          </w:p>
        </w:tc>
      </w:tr>
      <w:tr w14:paraId="0FD95B50">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3CB30D86">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3C1A9709">
            <w:pPr>
              <w:pStyle w:val="167"/>
              <w:keepNext w:val="0"/>
              <w:keepLines w:val="0"/>
              <w:suppressLineNumbers w:val="0"/>
              <w:spacing w:before="0" w:beforeAutospacing="0" w:after="0" w:afterAutospacing="0"/>
              <w:ind w:right="0"/>
              <w:rPr>
                <w:rFonts w:hint="default"/>
                <w:color w:val="auto"/>
              </w:rPr>
            </w:pPr>
            <w:r>
              <w:rPr>
                <w:rFonts w:hint="eastAsia"/>
                <w:color w:val="auto"/>
              </w:rPr>
              <w:t>原油罐出口线</w:t>
            </w:r>
          </w:p>
        </w:tc>
        <w:tc>
          <w:tcPr>
            <w:tcW w:w="850" w:type="dxa"/>
            <w:tcBorders>
              <w:top w:val="single" w:color="auto" w:sz="4" w:space="0"/>
              <w:left w:val="single" w:color="auto" w:sz="4" w:space="0"/>
              <w:bottom w:val="single" w:color="auto" w:sz="4" w:space="0"/>
              <w:right w:val="single" w:color="auto" w:sz="4" w:space="0"/>
            </w:tcBorders>
            <w:vAlign w:val="center"/>
          </w:tcPr>
          <w:p w14:paraId="63210770">
            <w:pPr>
              <w:pStyle w:val="167"/>
              <w:keepNext w:val="0"/>
              <w:keepLines w:val="0"/>
              <w:suppressLineNumbers w:val="0"/>
              <w:spacing w:before="0" w:beforeAutospacing="0" w:after="0" w:afterAutospacing="0"/>
              <w:ind w:right="0"/>
              <w:rPr>
                <w:rFonts w:hint="default"/>
                <w:color w:val="auto"/>
              </w:rPr>
            </w:pPr>
            <w:r>
              <w:rPr>
                <w:rFonts w:hint="eastAsia"/>
                <w:color w:val="auto"/>
              </w:rPr>
              <w:t>300</w:t>
            </w:r>
          </w:p>
        </w:tc>
        <w:tc>
          <w:tcPr>
            <w:tcW w:w="851" w:type="dxa"/>
            <w:tcBorders>
              <w:top w:val="single" w:color="auto" w:sz="4" w:space="0"/>
              <w:left w:val="single" w:color="auto" w:sz="4" w:space="0"/>
              <w:bottom w:val="single" w:color="auto" w:sz="4" w:space="0"/>
              <w:right w:val="single" w:color="auto" w:sz="4" w:space="0"/>
            </w:tcBorders>
            <w:noWrap/>
            <w:vAlign w:val="center"/>
          </w:tcPr>
          <w:p w14:paraId="0527455C">
            <w:pPr>
              <w:pStyle w:val="167"/>
              <w:keepNext w:val="0"/>
              <w:keepLines w:val="0"/>
              <w:suppressLineNumbers w:val="0"/>
              <w:spacing w:before="0" w:beforeAutospacing="0" w:after="0" w:afterAutospacing="0"/>
              <w:ind w:right="0"/>
              <w:rPr>
                <w:rFonts w:hint="default"/>
                <w:color w:val="auto"/>
              </w:rPr>
            </w:pPr>
            <w:r>
              <w:rPr>
                <w:rFonts w:hint="eastAsia"/>
                <w:color w:val="auto"/>
              </w:rPr>
              <w:t>9</w:t>
            </w:r>
          </w:p>
        </w:tc>
        <w:tc>
          <w:tcPr>
            <w:tcW w:w="720" w:type="dxa"/>
            <w:tcBorders>
              <w:top w:val="single" w:color="auto" w:sz="4" w:space="0"/>
              <w:left w:val="single" w:color="auto" w:sz="4" w:space="0"/>
              <w:bottom w:val="single" w:color="auto" w:sz="4" w:space="0"/>
              <w:right w:val="single" w:color="auto" w:sz="4" w:space="0"/>
            </w:tcBorders>
            <w:vAlign w:val="center"/>
          </w:tcPr>
          <w:p w14:paraId="4E9C7C97">
            <w:pPr>
              <w:pStyle w:val="167"/>
              <w:keepNext w:val="0"/>
              <w:keepLines w:val="0"/>
              <w:suppressLineNumbers w:val="0"/>
              <w:spacing w:before="0" w:beforeAutospacing="0" w:after="0" w:afterAutospacing="0"/>
              <w:ind w:right="0"/>
              <w:rPr>
                <w:rFonts w:hint="default"/>
                <w:color w:val="auto"/>
              </w:rPr>
            </w:pPr>
            <w:r>
              <w:rPr>
                <w:rFonts w:hint="eastAsia"/>
                <w:color w:val="auto"/>
              </w:rPr>
              <w:t>220</w:t>
            </w:r>
          </w:p>
        </w:tc>
        <w:tc>
          <w:tcPr>
            <w:tcW w:w="998" w:type="dxa"/>
            <w:tcBorders>
              <w:top w:val="single" w:color="auto" w:sz="4" w:space="0"/>
              <w:left w:val="single" w:color="auto" w:sz="4" w:space="0"/>
              <w:bottom w:val="single" w:color="auto" w:sz="4" w:space="0"/>
              <w:right w:val="single" w:color="auto" w:sz="4" w:space="0"/>
            </w:tcBorders>
            <w:vAlign w:val="center"/>
          </w:tcPr>
          <w:p w14:paraId="64648019">
            <w:pPr>
              <w:pStyle w:val="167"/>
              <w:keepNext w:val="0"/>
              <w:keepLines w:val="0"/>
              <w:suppressLineNumbers w:val="0"/>
              <w:spacing w:before="0" w:beforeAutospacing="0" w:after="0" w:afterAutospacing="0"/>
              <w:ind w:right="0"/>
              <w:rPr>
                <w:rFonts w:hint="default"/>
                <w:color w:val="auto"/>
              </w:rPr>
            </w:pPr>
            <w:r>
              <w:rPr>
                <w:rFonts w:hint="eastAsia"/>
                <w:color w:val="auto"/>
              </w:rPr>
              <w:t>1.0/0.2</w:t>
            </w:r>
          </w:p>
        </w:tc>
        <w:tc>
          <w:tcPr>
            <w:tcW w:w="1016" w:type="dxa"/>
            <w:tcBorders>
              <w:top w:val="single" w:color="auto" w:sz="4" w:space="0"/>
              <w:left w:val="single" w:color="auto" w:sz="4" w:space="0"/>
              <w:bottom w:val="single" w:color="auto" w:sz="4" w:space="0"/>
              <w:right w:val="single" w:color="auto" w:sz="4" w:space="0"/>
            </w:tcBorders>
            <w:vAlign w:val="center"/>
          </w:tcPr>
          <w:p w14:paraId="7E9337B7">
            <w:pPr>
              <w:pStyle w:val="167"/>
              <w:keepNext w:val="0"/>
              <w:keepLines w:val="0"/>
              <w:suppressLineNumbers w:val="0"/>
              <w:spacing w:before="0" w:beforeAutospacing="0" w:after="0" w:afterAutospacing="0"/>
              <w:ind w:right="0"/>
              <w:rPr>
                <w:rFonts w:hint="default"/>
                <w:color w:val="auto"/>
              </w:rPr>
            </w:pPr>
            <w:r>
              <w:rPr>
                <w:rFonts w:hint="eastAsia"/>
                <w:color w:val="auto"/>
              </w:rPr>
              <w:t>50</w:t>
            </w:r>
          </w:p>
        </w:tc>
        <w:tc>
          <w:tcPr>
            <w:tcW w:w="1511" w:type="dxa"/>
            <w:tcBorders>
              <w:top w:val="single" w:color="auto" w:sz="4" w:space="0"/>
              <w:left w:val="single" w:color="auto" w:sz="4" w:space="0"/>
              <w:bottom w:val="single" w:color="auto" w:sz="4" w:space="0"/>
              <w:right w:val="single" w:color="auto" w:sz="4" w:space="0"/>
            </w:tcBorders>
            <w:vAlign w:val="center"/>
          </w:tcPr>
          <w:p w14:paraId="70CD5240">
            <w:pPr>
              <w:pStyle w:val="167"/>
              <w:keepNext w:val="0"/>
              <w:keepLines w:val="0"/>
              <w:suppressLineNumbers w:val="0"/>
              <w:spacing w:before="0" w:beforeAutospacing="0" w:after="0" w:afterAutospacing="0"/>
              <w:ind w:right="0"/>
              <w:rPr>
                <w:rFonts w:hint="default"/>
                <w:color w:val="auto"/>
              </w:rPr>
            </w:pPr>
            <w:r>
              <w:rPr>
                <w:rFonts w:hint="eastAsia"/>
                <w:color w:val="auto"/>
              </w:rPr>
              <w:t>原油</w:t>
            </w:r>
          </w:p>
        </w:tc>
      </w:tr>
      <w:tr w14:paraId="7C77741C">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2090BB7F">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6B75A9C9">
            <w:pPr>
              <w:pStyle w:val="167"/>
              <w:keepNext w:val="0"/>
              <w:keepLines w:val="0"/>
              <w:suppressLineNumbers w:val="0"/>
              <w:spacing w:before="0" w:beforeAutospacing="0" w:after="0" w:afterAutospacing="0"/>
              <w:ind w:right="0"/>
              <w:rPr>
                <w:rFonts w:hint="default"/>
                <w:color w:val="auto"/>
              </w:rPr>
            </w:pPr>
            <w:r>
              <w:rPr>
                <w:rFonts w:hint="eastAsia"/>
                <w:color w:val="auto"/>
              </w:rPr>
              <w:t>原油长输线</w:t>
            </w:r>
          </w:p>
        </w:tc>
        <w:tc>
          <w:tcPr>
            <w:tcW w:w="850" w:type="dxa"/>
            <w:tcBorders>
              <w:top w:val="single" w:color="auto" w:sz="4" w:space="0"/>
              <w:left w:val="single" w:color="auto" w:sz="4" w:space="0"/>
              <w:bottom w:val="single" w:color="auto" w:sz="4" w:space="0"/>
              <w:right w:val="single" w:color="auto" w:sz="4" w:space="0"/>
            </w:tcBorders>
            <w:vAlign w:val="center"/>
          </w:tcPr>
          <w:p w14:paraId="1BFF7C22">
            <w:pPr>
              <w:pStyle w:val="167"/>
              <w:keepNext w:val="0"/>
              <w:keepLines w:val="0"/>
              <w:suppressLineNumbers w:val="0"/>
              <w:spacing w:before="0" w:beforeAutospacing="0" w:after="0" w:afterAutospacing="0"/>
              <w:ind w:right="0"/>
              <w:rPr>
                <w:rFonts w:hint="default"/>
                <w:color w:val="auto"/>
              </w:rPr>
            </w:pPr>
            <w:r>
              <w:rPr>
                <w:rFonts w:hint="eastAsia"/>
                <w:color w:val="auto"/>
              </w:rPr>
              <w:t>300</w:t>
            </w:r>
          </w:p>
        </w:tc>
        <w:tc>
          <w:tcPr>
            <w:tcW w:w="851" w:type="dxa"/>
            <w:tcBorders>
              <w:top w:val="single" w:color="auto" w:sz="4" w:space="0"/>
              <w:left w:val="single" w:color="auto" w:sz="4" w:space="0"/>
              <w:bottom w:val="single" w:color="auto" w:sz="4" w:space="0"/>
              <w:right w:val="single" w:color="auto" w:sz="4" w:space="0"/>
            </w:tcBorders>
            <w:noWrap/>
            <w:vAlign w:val="center"/>
          </w:tcPr>
          <w:p w14:paraId="3349DE6C">
            <w:pPr>
              <w:pStyle w:val="167"/>
              <w:keepNext w:val="0"/>
              <w:keepLines w:val="0"/>
              <w:suppressLineNumbers w:val="0"/>
              <w:spacing w:before="0" w:beforeAutospacing="0" w:after="0" w:afterAutospacing="0"/>
              <w:ind w:right="0"/>
              <w:rPr>
                <w:rFonts w:hint="default"/>
                <w:color w:val="auto"/>
              </w:rPr>
            </w:pPr>
            <w:r>
              <w:rPr>
                <w:rFonts w:hint="eastAsia"/>
                <w:color w:val="auto"/>
              </w:rPr>
              <w:t>9</w:t>
            </w:r>
          </w:p>
        </w:tc>
        <w:tc>
          <w:tcPr>
            <w:tcW w:w="720" w:type="dxa"/>
            <w:tcBorders>
              <w:top w:val="single" w:color="auto" w:sz="4" w:space="0"/>
              <w:left w:val="single" w:color="auto" w:sz="4" w:space="0"/>
              <w:bottom w:val="single" w:color="auto" w:sz="4" w:space="0"/>
              <w:right w:val="single" w:color="auto" w:sz="4" w:space="0"/>
            </w:tcBorders>
            <w:vAlign w:val="center"/>
          </w:tcPr>
          <w:p w14:paraId="33E6A64F">
            <w:pPr>
              <w:pStyle w:val="167"/>
              <w:keepNext w:val="0"/>
              <w:keepLines w:val="0"/>
              <w:suppressLineNumbers w:val="0"/>
              <w:spacing w:before="0" w:beforeAutospacing="0" w:after="0" w:afterAutospacing="0"/>
              <w:ind w:right="0"/>
              <w:rPr>
                <w:rFonts w:hint="default"/>
                <w:color w:val="auto"/>
              </w:rPr>
            </w:pPr>
            <w:r>
              <w:rPr>
                <w:rFonts w:hint="eastAsia"/>
                <w:color w:val="auto"/>
              </w:rPr>
              <w:t>326</w:t>
            </w:r>
          </w:p>
        </w:tc>
        <w:tc>
          <w:tcPr>
            <w:tcW w:w="998" w:type="dxa"/>
            <w:tcBorders>
              <w:top w:val="single" w:color="auto" w:sz="4" w:space="0"/>
              <w:left w:val="single" w:color="auto" w:sz="4" w:space="0"/>
              <w:bottom w:val="single" w:color="auto" w:sz="4" w:space="0"/>
              <w:right w:val="single" w:color="auto" w:sz="4" w:space="0"/>
            </w:tcBorders>
            <w:vAlign w:val="center"/>
          </w:tcPr>
          <w:p w14:paraId="3286ECB5">
            <w:pPr>
              <w:pStyle w:val="167"/>
              <w:keepNext w:val="0"/>
              <w:keepLines w:val="0"/>
              <w:suppressLineNumbers w:val="0"/>
              <w:spacing w:before="0" w:beforeAutospacing="0" w:after="0" w:afterAutospacing="0"/>
              <w:ind w:right="0"/>
              <w:rPr>
                <w:rFonts w:hint="default"/>
                <w:color w:val="auto"/>
              </w:rPr>
            </w:pPr>
            <w:r>
              <w:rPr>
                <w:rFonts w:hint="eastAsia"/>
                <w:color w:val="auto"/>
              </w:rPr>
              <w:t>3.0/3.0</w:t>
            </w:r>
          </w:p>
        </w:tc>
        <w:tc>
          <w:tcPr>
            <w:tcW w:w="1016" w:type="dxa"/>
            <w:tcBorders>
              <w:top w:val="single" w:color="auto" w:sz="4" w:space="0"/>
              <w:left w:val="single" w:color="auto" w:sz="4" w:space="0"/>
              <w:bottom w:val="single" w:color="auto" w:sz="4" w:space="0"/>
              <w:right w:val="single" w:color="auto" w:sz="4" w:space="0"/>
            </w:tcBorders>
            <w:vAlign w:val="center"/>
          </w:tcPr>
          <w:p w14:paraId="7D33A495">
            <w:pPr>
              <w:pStyle w:val="167"/>
              <w:keepNext w:val="0"/>
              <w:keepLines w:val="0"/>
              <w:suppressLineNumbers w:val="0"/>
              <w:spacing w:before="0" w:beforeAutospacing="0" w:after="0" w:afterAutospacing="0"/>
              <w:ind w:right="0"/>
              <w:rPr>
                <w:rFonts w:hint="default"/>
                <w:color w:val="auto"/>
              </w:rPr>
            </w:pPr>
            <w:r>
              <w:rPr>
                <w:rFonts w:hint="eastAsia"/>
                <w:color w:val="auto"/>
              </w:rPr>
              <w:t>50</w:t>
            </w:r>
          </w:p>
        </w:tc>
        <w:tc>
          <w:tcPr>
            <w:tcW w:w="1511" w:type="dxa"/>
            <w:tcBorders>
              <w:top w:val="single" w:color="auto" w:sz="4" w:space="0"/>
              <w:left w:val="single" w:color="auto" w:sz="4" w:space="0"/>
              <w:bottom w:val="single" w:color="auto" w:sz="4" w:space="0"/>
              <w:right w:val="single" w:color="auto" w:sz="4" w:space="0"/>
            </w:tcBorders>
            <w:vAlign w:val="center"/>
          </w:tcPr>
          <w:p w14:paraId="413DD73F">
            <w:pPr>
              <w:pStyle w:val="167"/>
              <w:keepNext w:val="0"/>
              <w:keepLines w:val="0"/>
              <w:suppressLineNumbers w:val="0"/>
              <w:spacing w:before="0" w:beforeAutospacing="0" w:after="0" w:afterAutospacing="0"/>
              <w:ind w:right="0"/>
              <w:rPr>
                <w:rFonts w:hint="default"/>
                <w:color w:val="auto"/>
              </w:rPr>
            </w:pPr>
            <w:r>
              <w:rPr>
                <w:rFonts w:hint="eastAsia"/>
                <w:color w:val="auto"/>
              </w:rPr>
              <w:t>原油</w:t>
            </w:r>
          </w:p>
        </w:tc>
      </w:tr>
      <w:tr w14:paraId="675B1553">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0DAE496A">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72432911">
            <w:pPr>
              <w:pStyle w:val="167"/>
              <w:keepNext w:val="0"/>
              <w:keepLines w:val="0"/>
              <w:suppressLineNumbers w:val="0"/>
              <w:spacing w:before="0" w:beforeAutospacing="0" w:after="0" w:afterAutospacing="0"/>
              <w:ind w:right="0"/>
              <w:rPr>
                <w:rFonts w:hint="default"/>
                <w:color w:val="auto"/>
              </w:rPr>
            </w:pPr>
            <w:r>
              <w:rPr>
                <w:rFonts w:hint="eastAsia"/>
                <w:color w:val="auto"/>
              </w:rPr>
              <w:t>原油倒罐线</w:t>
            </w:r>
          </w:p>
        </w:tc>
        <w:tc>
          <w:tcPr>
            <w:tcW w:w="850" w:type="dxa"/>
            <w:tcBorders>
              <w:top w:val="single" w:color="auto" w:sz="4" w:space="0"/>
              <w:left w:val="single" w:color="auto" w:sz="4" w:space="0"/>
              <w:bottom w:val="single" w:color="auto" w:sz="4" w:space="0"/>
              <w:right w:val="single" w:color="auto" w:sz="4" w:space="0"/>
            </w:tcBorders>
            <w:vAlign w:val="center"/>
          </w:tcPr>
          <w:p w14:paraId="158B6EE9">
            <w:pPr>
              <w:pStyle w:val="167"/>
              <w:keepNext w:val="0"/>
              <w:keepLines w:val="0"/>
              <w:suppressLineNumbers w:val="0"/>
              <w:spacing w:before="0" w:beforeAutospacing="0" w:after="0" w:afterAutospacing="0"/>
              <w:ind w:right="0"/>
              <w:rPr>
                <w:rFonts w:hint="default"/>
                <w:color w:val="auto"/>
              </w:rPr>
            </w:pPr>
            <w:r>
              <w:rPr>
                <w:rFonts w:hint="eastAsia"/>
                <w:color w:val="auto"/>
              </w:rPr>
              <w:t>250</w:t>
            </w:r>
          </w:p>
        </w:tc>
        <w:tc>
          <w:tcPr>
            <w:tcW w:w="851" w:type="dxa"/>
            <w:tcBorders>
              <w:top w:val="single" w:color="auto" w:sz="4" w:space="0"/>
              <w:left w:val="single" w:color="auto" w:sz="4" w:space="0"/>
              <w:bottom w:val="single" w:color="auto" w:sz="4" w:space="0"/>
              <w:right w:val="single" w:color="auto" w:sz="4" w:space="0"/>
            </w:tcBorders>
            <w:noWrap/>
            <w:vAlign w:val="center"/>
          </w:tcPr>
          <w:p w14:paraId="212A8C54">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78564861">
            <w:pPr>
              <w:pStyle w:val="167"/>
              <w:keepNext w:val="0"/>
              <w:keepLines w:val="0"/>
              <w:suppressLineNumbers w:val="0"/>
              <w:spacing w:before="0" w:beforeAutospacing="0" w:after="0" w:afterAutospacing="0"/>
              <w:ind w:right="0"/>
              <w:rPr>
                <w:rFonts w:hint="default"/>
                <w:color w:val="auto"/>
              </w:rPr>
            </w:pPr>
            <w:r>
              <w:rPr>
                <w:rFonts w:hint="eastAsia"/>
                <w:color w:val="auto"/>
              </w:rPr>
              <w:t>220</w:t>
            </w:r>
          </w:p>
        </w:tc>
        <w:tc>
          <w:tcPr>
            <w:tcW w:w="998" w:type="dxa"/>
            <w:tcBorders>
              <w:top w:val="single" w:color="auto" w:sz="4" w:space="0"/>
              <w:left w:val="single" w:color="auto" w:sz="4" w:space="0"/>
              <w:bottom w:val="single" w:color="auto" w:sz="4" w:space="0"/>
              <w:right w:val="single" w:color="auto" w:sz="4" w:space="0"/>
            </w:tcBorders>
            <w:vAlign w:val="center"/>
          </w:tcPr>
          <w:p w14:paraId="2123B796">
            <w:pPr>
              <w:pStyle w:val="167"/>
              <w:keepNext w:val="0"/>
              <w:keepLines w:val="0"/>
              <w:suppressLineNumbers w:val="0"/>
              <w:spacing w:before="0" w:beforeAutospacing="0" w:after="0" w:afterAutospacing="0"/>
              <w:ind w:right="0"/>
              <w:rPr>
                <w:rFonts w:hint="default"/>
                <w:color w:val="auto"/>
              </w:rPr>
            </w:pPr>
            <w:r>
              <w:rPr>
                <w:rFonts w:hint="eastAsia"/>
                <w:color w:val="auto"/>
              </w:rPr>
              <w:t>1.0/1.0</w:t>
            </w:r>
          </w:p>
        </w:tc>
        <w:tc>
          <w:tcPr>
            <w:tcW w:w="1016" w:type="dxa"/>
            <w:tcBorders>
              <w:top w:val="single" w:color="auto" w:sz="4" w:space="0"/>
              <w:left w:val="single" w:color="auto" w:sz="4" w:space="0"/>
              <w:bottom w:val="single" w:color="auto" w:sz="4" w:space="0"/>
              <w:right w:val="single" w:color="auto" w:sz="4" w:space="0"/>
            </w:tcBorders>
            <w:vAlign w:val="center"/>
          </w:tcPr>
          <w:p w14:paraId="7246C331">
            <w:pPr>
              <w:pStyle w:val="167"/>
              <w:keepNext w:val="0"/>
              <w:keepLines w:val="0"/>
              <w:suppressLineNumbers w:val="0"/>
              <w:spacing w:before="0" w:beforeAutospacing="0" w:after="0" w:afterAutospacing="0"/>
              <w:ind w:right="0"/>
              <w:rPr>
                <w:rFonts w:hint="default"/>
                <w:color w:val="auto"/>
              </w:rPr>
            </w:pPr>
            <w:r>
              <w:rPr>
                <w:rFonts w:hint="eastAsia"/>
                <w:color w:val="auto"/>
              </w:rPr>
              <w:t>50</w:t>
            </w:r>
          </w:p>
        </w:tc>
        <w:tc>
          <w:tcPr>
            <w:tcW w:w="1511" w:type="dxa"/>
            <w:tcBorders>
              <w:top w:val="single" w:color="auto" w:sz="4" w:space="0"/>
              <w:left w:val="single" w:color="auto" w:sz="4" w:space="0"/>
              <w:bottom w:val="single" w:color="auto" w:sz="4" w:space="0"/>
              <w:right w:val="single" w:color="auto" w:sz="4" w:space="0"/>
            </w:tcBorders>
            <w:vAlign w:val="center"/>
          </w:tcPr>
          <w:p w14:paraId="1FBB1681">
            <w:pPr>
              <w:pStyle w:val="167"/>
              <w:keepNext w:val="0"/>
              <w:keepLines w:val="0"/>
              <w:suppressLineNumbers w:val="0"/>
              <w:spacing w:before="0" w:beforeAutospacing="0" w:after="0" w:afterAutospacing="0"/>
              <w:ind w:right="0"/>
              <w:rPr>
                <w:rFonts w:hint="default"/>
                <w:color w:val="auto"/>
              </w:rPr>
            </w:pPr>
            <w:r>
              <w:rPr>
                <w:rFonts w:hint="eastAsia"/>
                <w:color w:val="auto"/>
              </w:rPr>
              <w:t>原油</w:t>
            </w:r>
          </w:p>
        </w:tc>
      </w:tr>
      <w:tr w14:paraId="21A18308">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2C4DEF6A">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44E67C51">
            <w:pPr>
              <w:pStyle w:val="167"/>
              <w:keepNext w:val="0"/>
              <w:keepLines w:val="0"/>
              <w:suppressLineNumbers w:val="0"/>
              <w:spacing w:before="0" w:beforeAutospacing="0" w:after="0" w:afterAutospacing="0"/>
              <w:ind w:right="0"/>
              <w:rPr>
                <w:rFonts w:hint="default"/>
                <w:color w:val="auto"/>
              </w:rPr>
            </w:pPr>
            <w:r>
              <w:rPr>
                <w:rFonts w:hint="eastAsia"/>
                <w:color w:val="auto"/>
              </w:rPr>
              <w:t>重油罐出口线</w:t>
            </w:r>
          </w:p>
        </w:tc>
        <w:tc>
          <w:tcPr>
            <w:tcW w:w="850" w:type="dxa"/>
            <w:tcBorders>
              <w:top w:val="single" w:color="auto" w:sz="4" w:space="0"/>
              <w:left w:val="single" w:color="auto" w:sz="4" w:space="0"/>
              <w:bottom w:val="single" w:color="auto" w:sz="4" w:space="0"/>
              <w:right w:val="single" w:color="auto" w:sz="4" w:space="0"/>
            </w:tcBorders>
            <w:vAlign w:val="center"/>
          </w:tcPr>
          <w:p w14:paraId="593BFBDA">
            <w:pPr>
              <w:pStyle w:val="167"/>
              <w:keepNext w:val="0"/>
              <w:keepLines w:val="0"/>
              <w:suppressLineNumbers w:val="0"/>
              <w:spacing w:before="0" w:beforeAutospacing="0" w:after="0" w:afterAutospacing="0"/>
              <w:ind w:right="0"/>
              <w:rPr>
                <w:rFonts w:hint="default"/>
                <w:color w:val="auto"/>
              </w:rPr>
            </w:pPr>
            <w:r>
              <w:rPr>
                <w:rFonts w:hint="eastAsia"/>
                <w:color w:val="auto"/>
              </w:rPr>
              <w:t>300</w:t>
            </w:r>
          </w:p>
        </w:tc>
        <w:tc>
          <w:tcPr>
            <w:tcW w:w="851" w:type="dxa"/>
            <w:tcBorders>
              <w:top w:val="single" w:color="auto" w:sz="4" w:space="0"/>
              <w:left w:val="single" w:color="auto" w:sz="4" w:space="0"/>
              <w:bottom w:val="single" w:color="auto" w:sz="4" w:space="0"/>
              <w:right w:val="single" w:color="auto" w:sz="4" w:space="0"/>
            </w:tcBorders>
            <w:noWrap/>
            <w:vAlign w:val="center"/>
          </w:tcPr>
          <w:p w14:paraId="6D39BE86">
            <w:pPr>
              <w:pStyle w:val="167"/>
              <w:keepNext w:val="0"/>
              <w:keepLines w:val="0"/>
              <w:suppressLineNumbers w:val="0"/>
              <w:spacing w:before="0" w:beforeAutospacing="0" w:after="0" w:afterAutospacing="0"/>
              <w:ind w:right="0"/>
              <w:rPr>
                <w:rFonts w:hint="default"/>
                <w:color w:val="auto"/>
              </w:rPr>
            </w:pPr>
            <w:r>
              <w:rPr>
                <w:rFonts w:hint="eastAsia"/>
                <w:color w:val="auto"/>
              </w:rPr>
              <w:t>8.5</w:t>
            </w:r>
          </w:p>
        </w:tc>
        <w:tc>
          <w:tcPr>
            <w:tcW w:w="720" w:type="dxa"/>
            <w:tcBorders>
              <w:top w:val="single" w:color="auto" w:sz="4" w:space="0"/>
              <w:left w:val="single" w:color="auto" w:sz="4" w:space="0"/>
              <w:bottom w:val="single" w:color="auto" w:sz="4" w:space="0"/>
              <w:right w:val="single" w:color="auto" w:sz="4" w:space="0"/>
            </w:tcBorders>
            <w:vAlign w:val="center"/>
          </w:tcPr>
          <w:p w14:paraId="5B4EFCD6">
            <w:pPr>
              <w:pStyle w:val="167"/>
              <w:keepNext w:val="0"/>
              <w:keepLines w:val="0"/>
              <w:suppressLineNumbers w:val="0"/>
              <w:spacing w:before="0" w:beforeAutospacing="0" w:after="0" w:afterAutospacing="0"/>
              <w:ind w:right="0"/>
              <w:rPr>
                <w:rFonts w:hint="default"/>
                <w:color w:val="auto"/>
              </w:rPr>
            </w:pPr>
            <w:r>
              <w:rPr>
                <w:rFonts w:hint="eastAsia"/>
                <w:color w:val="auto"/>
              </w:rPr>
              <w:t>120</w:t>
            </w:r>
          </w:p>
        </w:tc>
        <w:tc>
          <w:tcPr>
            <w:tcW w:w="998" w:type="dxa"/>
            <w:tcBorders>
              <w:top w:val="single" w:color="auto" w:sz="4" w:space="0"/>
              <w:left w:val="single" w:color="auto" w:sz="4" w:space="0"/>
              <w:bottom w:val="single" w:color="auto" w:sz="4" w:space="0"/>
              <w:right w:val="single" w:color="auto" w:sz="4" w:space="0"/>
            </w:tcBorders>
            <w:vAlign w:val="center"/>
          </w:tcPr>
          <w:p w14:paraId="004675CA">
            <w:pPr>
              <w:pStyle w:val="167"/>
              <w:keepNext w:val="0"/>
              <w:keepLines w:val="0"/>
              <w:suppressLineNumbers w:val="0"/>
              <w:spacing w:before="0" w:beforeAutospacing="0" w:after="0" w:afterAutospacing="0"/>
              <w:ind w:right="0"/>
              <w:rPr>
                <w:rFonts w:hint="default"/>
                <w:color w:val="auto"/>
              </w:rPr>
            </w:pPr>
            <w:r>
              <w:rPr>
                <w:rFonts w:hint="eastAsia"/>
                <w:color w:val="auto"/>
              </w:rPr>
              <w:t>1.0/.0.2</w:t>
            </w:r>
          </w:p>
        </w:tc>
        <w:tc>
          <w:tcPr>
            <w:tcW w:w="1016" w:type="dxa"/>
            <w:tcBorders>
              <w:top w:val="single" w:color="auto" w:sz="4" w:space="0"/>
              <w:left w:val="single" w:color="auto" w:sz="4" w:space="0"/>
              <w:bottom w:val="single" w:color="auto" w:sz="4" w:space="0"/>
              <w:right w:val="single" w:color="auto" w:sz="4" w:space="0"/>
            </w:tcBorders>
            <w:vAlign w:val="center"/>
          </w:tcPr>
          <w:p w14:paraId="2A2163E8">
            <w:pPr>
              <w:pStyle w:val="167"/>
              <w:keepNext w:val="0"/>
              <w:keepLines w:val="0"/>
              <w:suppressLineNumbers w:val="0"/>
              <w:spacing w:before="0" w:beforeAutospacing="0" w:after="0" w:afterAutospacing="0"/>
              <w:ind w:right="0"/>
              <w:rPr>
                <w:rFonts w:hint="default"/>
                <w:color w:val="auto"/>
              </w:rPr>
            </w:pPr>
            <w:r>
              <w:rPr>
                <w:rFonts w:hint="eastAsia"/>
                <w:color w:val="auto"/>
              </w:rPr>
              <w:t>60～90</w:t>
            </w:r>
          </w:p>
        </w:tc>
        <w:tc>
          <w:tcPr>
            <w:tcW w:w="1511" w:type="dxa"/>
            <w:tcBorders>
              <w:top w:val="single" w:color="auto" w:sz="4" w:space="0"/>
              <w:left w:val="single" w:color="auto" w:sz="4" w:space="0"/>
              <w:bottom w:val="single" w:color="auto" w:sz="4" w:space="0"/>
              <w:right w:val="single" w:color="auto" w:sz="4" w:space="0"/>
            </w:tcBorders>
            <w:vAlign w:val="center"/>
          </w:tcPr>
          <w:p w14:paraId="5E02847C">
            <w:pPr>
              <w:pStyle w:val="167"/>
              <w:keepNext w:val="0"/>
              <w:keepLines w:val="0"/>
              <w:suppressLineNumbers w:val="0"/>
              <w:spacing w:before="0" w:beforeAutospacing="0" w:after="0" w:afterAutospacing="0"/>
              <w:ind w:right="0"/>
              <w:rPr>
                <w:rFonts w:hint="eastAsia" w:eastAsia="宋体"/>
                <w:color w:val="auto"/>
                <w:lang w:eastAsia="zh-CN"/>
              </w:rPr>
            </w:pPr>
            <w:r>
              <w:rPr>
                <w:rFonts w:hint="eastAsia"/>
                <w:color w:val="auto"/>
              </w:rPr>
              <w:t>重油</w:t>
            </w:r>
          </w:p>
        </w:tc>
      </w:tr>
      <w:tr w14:paraId="78F90D77">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4C2C98A8">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65E93B32">
            <w:pPr>
              <w:pStyle w:val="167"/>
              <w:keepNext w:val="0"/>
              <w:keepLines w:val="0"/>
              <w:suppressLineNumbers w:val="0"/>
              <w:spacing w:before="0" w:beforeAutospacing="0" w:after="0" w:afterAutospacing="0"/>
              <w:ind w:right="0"/>
              <w:rPr>
                <w:rFonts w:hint="default"/>
                <w:color w:val="auto"/>
              </w:rPr>
            </w:pPr>
            <w:r>
              <w:rPr>
                <w:rFonts w:hint="eastAsia"/>
                <w:color w:val="auto"/>
              </w:rPr>
              <w:t>重油倒罐线</w:t>
            </w:r>
          </w:p>
        </w:tc>
        <w:tc>
          <w:tcPr>
            <w:tcW w:w="850" w:type="dxa"/>
            <w:tcBorders>
              <w:top w:val="single" w:color="auto" w:sz="4" w:space="0"/>
              <w:left w:val="single" w:color="auto" w:sz="4" w:space="0"/>
              <w:bottom w:val="single" w:color="auto" w:sz="4" w:space="0"/>
              <w:right w:val="single" w:color="auto" w:sz="4" w:space="0"/>
            </w:tcBorders>
            <w:vAlign w:val="center"/>
          </w:tcPr>
          <w:p w14:paraId="3F90E905">
            <w:pPr>
              <w:pStyle w:val="167"/>
              <w:keepNext w:val="0"/>
              <w:keepLines w:val="0"/>
              <w:suppressLineNumbers w:val="0"/>
              <w:spacing w:before="0" w:beforeAutospacing="0" w:after="0" w:afterAutospacing="0"/>
              <w:ind w:right="0"/>
              <w:rPr>
                <w:rFonts w:hint="default"/>
                <w:color w:val="auto"/>
              </w:rPr>
            </w:pPr>
            <w:r>
              <w:rPr>
                <w:rFonts w:hint="eastAsia"/>
                <w:color w:val="auto"/>
              </w:rPr>
              <w:t>200</w:t>
            </w:r>
          </w:p>
        </w:tc>
        <w:tc>
          <w:tcPr>
            <w:tcW w:w="851" w:type="dxa"/>
            <w:tcBorders>
              <w:top w:val="single" w:color="auto" w:sz="4" w:space="0"/>
              <w:left w:val="single" w:color="auto" w:sz="4" w:space="0"/>
              <w:bottom w:val="single" w:color="auto" w:sz="4" w:space="0"/>
              <w:right w:val="single" w:color="auto" w:sz="4" w:space="0"/>
            </w:tcBorders>
            <w:vAlign w:val="center"/>
          </w:tcPr>
          <w:p w14:paraId="35484852">
            <w:pPr>
              <w:pStyle w:val="167"/>
              <w:keepNext w:val="0"/>
              <w:keepLines w:val="0"/>
              <w:suppressLineNumbers w:val="0"/>
              <w:spacing w:before="0" w:beforeAutospacing="0" w:after="0" w:afterAutospacing="0"/>
              <w:ind w:right="0"/>
              <w:rPr>
                <w:rFonts w:hint="default"/>
                <w:color w:val="auto"/>
              </w:rPr>
            </w:pPr>
            <w:r>
              <w:rPr>
                <w:rFonts w:hint="eastAsia"/>
                <w:color w:val="auto"/>
              </w:rPr>
              <w:t>6.5</w:t>
            </w:r>
          </w:p>
        </w:tc>
        <w:tc>
          <w:tcPr>
            <w:tcW w:w="720" w:type="dxa"/>
            <w:tcBorders>
              <w:top w:val="single" w:color="auto" w:sz="4" w:space="0"/>
              <w:left w:val="single" w:color="auto" w:sz="4" w:space="0"/>
              <w:bottom w:val="single" w:color="auto" w:sz="4" w:space="0"/>
              <w:right w:val="single" w:color="auto" w:sz="4" w:space="0"/>
            </w:tcBorders>
            <w:vAlign w:val="center"/>
          </w:tcPr>
          <w:p w14:paraId="310B5405">
            <w:pPr>
              <w:pStyle w:val="167"/>
              <w:keepNext w:val="0"/>
              <w:keepLines w:val="0"/>
              <w:suppressLineNumbers w:val="0"/>
              <w:spacing w:before="0" w:beforeAutospacing="0" w:after="0" w:afterAutospacing="0"/>
              <w:ind w:right="0"/>
              <w:rPr>
                <w:rFonts w:hint="default"/>
                <w:color w:val="auto"/>
              </w:rPr>
            </w:pPr>
            <w:r>
              <w:rPr>
                <w:rFonts w:hint="eastAsia"/>
                <w:color w:val="auto"/>
              </w:rPr>
              <w:t>120</w:t>
            </w:r>
          </w:p>
        </w:tc>
        <w:tc>
          <w:tcPr>
            <w:tcW w:w="998" w:type="dxa"/>
            <w:tcBorders>
              <w:top w:val="single" w:color="auto" w:sz="4" w:space="0"/>
              <w:left w:val="single" w:color="auto" w:sz="4" w:space="0"/>
              <w:bottom w:val="single" w:color="auto" w:sz="4" w:space="0"/>
              <w:right w:val="single" w:color="auto" w:sz="4" w:space="0"/>
            </w:tcBorders>
            <w:vAlign w:val="center"/>
          </w:tcPr>
          <w:p w14:paraId="1AA322AE">
            <w:pPr>
              <w:pStyle w:val="167"/>
              <w:keepNext w:val="0"/>
              <w:keepLines w:val="0"/>
              <w:suppressLineNumbers w:val="0"/>
              <w:spacing w:before="0" w:beforeAutospacing="0" w:after="0" w:afterAutospacing="0"/>
              <w:ind w:right="0"/>
              <w:rPr>
                <w:rFonts w:hint="default"/>
                <w:color w:val="auto"/>
              </w:rPr>
            </w:pPr>
            <w:r>
              <w:rPr>
                <w:rFonts w:hint="eastAsia"/>
                <w:color w:val="auto"/>
              </w:rPr>
              <w:t>1.0/0.6</w:t>
            </w:r>
          </w:p>
        </w:tc>
        <w:tc>
          <w:tcPr>
            <w:tcW w:w="1016" w:type="dxa"/>
            <w:tcBorders>
              <w:top w:val="single" w:color="auto" w:sz="4" w:space="0"/>
              <w:left w:val="single" w:color="auto" w:sz="4" w:space="0"/>
              <w:bottom w:val="single" w:color="auto" w:sz="4" w:space="0"/>
              <w:right w:val="single" w:color="auto" w:sz="4" w:space="0"/>
            </w:tcBorders>
            <w:vAlign w:val="center"/>
          </w:tcPr>
          <w:p w14:paraId="7F761F09">
            <w:pPr>
              <w:pStyle w:val="167"/>
              <w:keepNext w:val="0"/>
              <w:keepLines w:val="0"/>
              <w:suppressLineNumbers w:val="0"/>
              <w:spacing w:before="0" w:beforeAutospacing="0" w:after="0" w:afterAutospacing="0"/>
              <w:ind w:right="0"/>
              <w:rPr>
                <w:rFonts w:hint="default"/>
                <w:color w:val="auto"/>
              </w:rPr>
            </w:pPr>
            <w:r>
              <w:rPr>
                <w:rFonts w:hint="eastAsia"/>
                <w:color w:val="auto"/>
              </w:rPr>
              <w:t>60～90</w:t>
            </w:r>
          </w:p>
        </w:tc>
        <w:tc>
          <w:tcPr>
            <w:tcW w:w="1511" w:type="dxa"/>
            <w:tcBorders>
              <w:top w:val="single" w:color="auto" w:sz="4" w:space="0"/>
              <w:left w:val="single" w:color="auto" w:sz="4" w:space="0"/>
              <w:bottom w:val="single" w:color="auto" w:sz="4" w:space="0"/>
              <w:right w:val="single" w:color="auto" w:sz="4" w:space="0"/>
            </w:tcBorders>
            <w:vAlign w:val="center"/>
          </w:tcPr>
          <w:p w14:paraId="71919474">
            <w:pPr>
              <w:pStyle w:val="167"/>
              <w:keepNext w:val="0"/>
              <w:keepLines w:val="0"/>
              <w:suppressLineNumbers w:val="0"/>
              <w:spacing w:before="0" w:beforeAutospacing="0" w:after="0" w:afterAutospacing="0"/>
              <w:ind w:right="0"/>
              <w:rPr>
                <w:rFonts w:hint="eastAsia" w:eastAsia="宋体"/>
                <w:color w:val="auto"/>
                <w:lang w:eastAsia="zh-CN"/>
              </w:rPr>
            </w:pPr>
            <w:r>
              <w:rPr>
                <w:rFonts w:hint="eastAsia"/>
                <w:color w:val="auto"/>
              </w:rPr>
              <w:t>重油</w:t>
            </w:r>
          </w:p>
        </w:tc>
      </w:tr>
      <w:tr w14:paraId="10B1B288">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05867AA8">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131C2C37">
            <w:pPr>
              <w:pStyle w:val="167"/>
              <w:keepNext w:val="0"/>
              <w:keepLines w:val="0"/>
              <w:suppressLineNumbers w:val="0"/>
              <w:spacing w:before="0" w:beforeAutospacing="0" w:after="0" w:afterAutospacing="0"/>
              <w:ind w:right="0"/>
              <w:rPr>
                <w:rFonts w:hint="default"/>
                <w:color w:val="auto"/>
              </w:rPr>
            </w:pPr>
            <w:r>
              <w:rPr>
                <w:rFonts w:hint="eastAsia"/>
                <w:color w:val="auto"/>
              </w:rPr>
              <w:t>重油罐区污油线</w:t>
            </w:r>
          </w:p>
        </w:tc>
        <w:tc>
          <w:tcPr>
            <w:tcW w:w="850" w:type="dxa"/>
            <w:tcBorders>
              <w:top w:val="single" w:color="auto" w:sz="4" w:space="0"/>
              <w:left w:val="single" w:color="auto" w:sz="4" w:space="0"/>
              <w:bottom w:val="single" w:color="auto" w:sz="4" w:space="0"/>
              <w:right w:val="single" w:color="auto" w:sz="4" w:space="0"/>
            </w:tcBorders>
            <w:vAlign w:val="center"/>
          </w:tcPr>
          <w:p w14:paraId="3AD901C3">
            <w:pPr>
              <w:pStyle w:val="167"/>
              <w:keepNext w:val="0"/>
              <w:keepLines w:val="0"/>
              <w:suppressLineNumbers w:val="0"/>
              <w:spacing w:before="0" w:beforeAutospacing="0" w:after="0" w:afterAutospacing="0"/>
              <w:ind w:right="0"/>
              <w:rPr>
                <w:rFonts w:hint="default"/>
                <w:color w:val="auto"/>
              </w:rPr>
            </w:pPr>
            <w:r>
              <w:rPr>
                <w:rFonts w:hint="eastAsia"/>
                <w:color w:val="auto"/>
              </w:rPr>
              <w:t>200</w:t>
            </w:r>
          </w:p>
        </w:tc>
        <w:tc>
          <w:tcPr>
            <w:tcW w:w="851" w:type="dxa"/>
            <w:tcBorders>
              <w:top w:val="single" w:color="auto" w:sz="4" w:space="0"/>
              <w:left w:val="single" w:color="auto" w:sz="4" w:space="0"/>
              <w:bottom w:val="single" w:color="auto" w:sz="4" w:space="0"/>
              <w:right w:val="single" w:color="auto" w:sz="4" w:space="0"/>
            </w:tcBorders>
            <w:vAlign w:val="center"/>
          </w:tcPr>
          <w:p w14:paraId="32257021">
            <w:pPr>
              <w:pStyle w:val="167"/>
              <w:keepNext w:val="0"/>
              <w:keepLines w:val="0"/>
              <w:suppressLineNumbers w:val="0"/>
              <w:spacing w:before="0" w:beforeAutospacing="0" w:after="0" w:afterAutospacing="0"/>
              <w:ind w:right="0"/>
              <w:rPr>
                <w:rFonts w:hint="default"/>
                <w:color w:val="auto"/>
              </w:rPr>
            </w:pPr>
            <w:r>
              <w:rPr>
                <w:rFonts w:hint="eastAsia"/>
                <w:color w:val="auto"/>
              </w:rPr>
              <w:t>6.5</w:t>
            </w:r>
          </w:p>
        </w:tc>
        <w:tc>
          <w:tcPr>
            <w:tcW w:w="720" w:type="dxa"/>
            <w:tcBorders>
              <w:top w:val="single" w:color="auto" w:sz="4" w:space="0"/>
              <w:left w:val="single" w:color="auto" w:sz="4" w:space="0"/>
              <w:bottom w:val="single" w:color="auto" w:sz="4" w:space="0"/>
              <w:right w:val="single" w:color="auto" w:sz="4" w:space="0"/>
            </w:tcBorders>
            <w:vAlign w:val="center"/>
          </w:tcPr>
          <w:p w14:paraId="614B771B">
            <w:pPr>
              <w:pStyle w:val="167"/>
              <w:keepNext w:val="0"/>
              <w:keepLines w:val="0"/>
              <w:suppressLineNumbers w:val="0"/>
              <w:spacing w:before="0" w:beforeAutospacing="0" w:after="0" w:afterAutospacing="0"/>
              <w:ind w:right="0"/>
              <w:rPr>
                <w:rFonts w:hint="default"/>
                <w:color w:val="auto"/>
              </w:rPr>
            </w:pPr>
            <w:r>
              <w:rPr>
                <w:rFonts w:hint="eastAsia"/>
                <w:color w:val="auto"/>
              </w:rPr>
              <w:t>160</w:t>
            </w:r>
          </w:p>
        </w:tc>
        <w:tc>
          <w:tcPr>
            <w:tcW w:w="998" w:type="dxa"/>
            <w:tcBorders>
              <w:top w:val="single" w:color="auto" w:sz="4" w:space="0"/>
              <w:left w:val="single" w:color="auto" w:sz="4" w:space="0"/>
              <w:bottom w:val="single" w:color="auto" w:sz="4" w:space="0"/>
              <w:right w:val="single" w:color="auto" w:sz="4" w:space="0"/>
            </w:tcBorders>
            <w:vAlign w:val="center"/>
          </w:tcPr>
          <w:p w14:paraId="27252DD6">
            <w:pPr>
              <w:pStyle w:val="167"/>
              <w:keepNext w:val="0"/>
              <w:keepLines w:val="0"/>
              <w:suppressLineNumbers w:val="0"/>
              <w:spacing w:before="0" w:beforeAutospacing="0" w:after="0" w:afterAutospacing="0"/>
              <w:ind w:right="0"/>
              <w:rPr>
                <w:rFonts w:hint="default"/>
                <w:color w:val="auto"/>
              </w:rPr>
            </w:pPr>
            <w:r>
              <w:rPr>
                <w:rFonts w:hint="eastAsia"/>
                <w:color w:val="auto"/>
              </w:rPr>
              <w:t>1.0/0.6</w:t>
            </w:r>
          </w:p>
        </w:tc>
        <w:tc>
          <w:tcPr>
            <w:tcW w:w="1016" w:type="dxa"/>
            <w:tcBorders>
              <w:top w:val="single" w:color="auto" w:sz="4" w:space="0"/>
              <w:left w:val="single" w:color="auto" w:sz="4" w:space="0"/>
              <w:bottom w:val="single" w:color="auto" w:sz="4" w:space="0"/>
              <w:right w:val="single" w:color="auto" w:sz="4" w:space="0"/>
            </w:tcBorders>
            <w:vAlign w:val="center"/>
          </w:tcPr>
          <w:p w14:paraId="585C3B37">
            <w:pPr>
              <w:pStyle w:val="167"/>
              <w:keepNext w:val="0"/>
              <w:keepLines w:val="0"/>
              <w:suppressLineNumbers w:val="0"/>
              <w:spacing w:before="0" w:beforeAutospacing="0" w:after="0" w:afterAutospacing="0"/>
              <w:ind w:right="0"/>
              <w:rPr>
                <w:rFonts w:hint="default"/>
                <w:color w:val="auto"/>
              </w:rPr>
            </w:pPr>
            <w:r>
              <w:rPr>
                <w:rFonts w:hint="eastAsia"/>
                <w:color w:val="auto"/>
              </w:rPr>
              <w:t>60～90</w:t>
            </w:r>
          </w:p>
        </w:tc>
        <w:tc>
          <w:tcPr>
            <w:tcW w:w="1511" w:type="dxa"/>
            <w:tcBorders>
              <w:top w:val="single" w:color="auto" w:sz="4" w:space="0"/>
              <w:left w:val="single" w:color="auto" w:sz="4" w:space="0"/>
              <w:bottom w:val="single" w:color="auto" w:sz="4" w:space="0"/>
              <w:right w:val="single" w:color="auto" w:sz="4" w:space="0"/>
            </w:tcBorders>
            <w:vAlign w:val="center"/>
          </w:tcPr>
          <w:p w14:paraId="655889F7">
            <w:pPr>
              <w:pStyle w:val="167"/>
              <w:keepNext w:val="0"/>
              <w:keepLines w:val="0"/>
              <w:suppressLineNumbers w:val="0"/>
              <w:spacing w:before="0" w:beforeAutospacing="0" w:after="0" w:afterAutospacing="0"/>
              <w:ind w:right="0"/>
              <w:rPr>
                <w:rFonts w:hint="eastAsia" w:eastAsia="宋体"/>
                <w:color w:val="auto"/>
                <w:lang w:eastAsia="zh-CN"/>
              </w:rPr>
            </w:pPr>
            <w:r>
              <w:rPr>
                <w:rFonts w:hint="eastAsia"/>
                <w:color w:val="auto"/>
              </w:rPr>
              <w:t>重油</w:t>
            </w:r>
          </w:p>
        </w:tc>
      </w:tr>
      <w:tr w14:paraId="576ECA22">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0C1AD12B">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7BD71637">
            <w:pPr>
              <w:pStyle w:val="167"/>
              <w:keepNext w:val="0"/>
              <w:keepLines w:val="0"/>
              <w:suppressLineNumbers w:val="0"/>
              <w:spacing w:before="0" w:beforeAutospacing="0" w:after="0" w:afterAutospacing="0"/>
              <w:ind w:right="0"/>
              <w:rPr>
                <w:rFonts w:hint="default"/>
                <w:color w:val="auto"/>
              </w:rPr>
            </w:pPr>
            <w:r>
              <w:rPr>
                <w:rFonts w:hint="eastAsia"/>
                <w:color w:val="auto"/>
              </w:rPr>
              <w:t>汽油罐出口线1</w:t>
            </w:r>
          </w:p>
        </w:tc>
        <w:tc>
          <w:tcPr>
            <w:tcW w:w="850" w:type="dxa"/>
            <w:tcBorders>
              <w:top w:val="single" w:color="auto" w:sz="4" w:space="0"/>
              <w:left w:val="single" w:color="auto" w:sz="4" w:space="0"/>
              <w:bottom w:val="single" w:color="auto" w:sz="4" w:space="0"/>
              <w:right w:val="single" w:color="auto" w:sz="4" w:space="0"/>
            </w:tcBorders>
            <w:vAlign w:val="center"/>
          </w:tcPr>
          <w:p w14:paraId="057C33A5">
            <w:pPr>
              <w:pStyle w:val="167"/>
              <w:keepNext w:val="0"/>
              <w:keepLines w:val="0"/>
              <w:suppressLineNumbers w:val="0"/>
              <w:spacing w:before="0" w:beforeAutospacing="0" w:after="0" w:afterAutospacing="0"/>
              <w:ind w:right="0"/>
              <w:rPr>
                <w:rFonts w:hint="default"/>
                <w:color w:val="auto"/>
              </w:rPr>
            </w:pPr>
            <w:r>
              <w:rPr>
                <w:rFonts w:hint="eastAsia"/>
                <w:color w:val="auto"/>
              </w:rPr>
              <w:t>400</w:t>
            </w:r>
          </w:p>
        </w:tc>
        <w:tc>
          <w:tcPr>
            <w:tcW w:w="851" w:type="dxa"/>
            <w:tcBorders>
              <w:top w:val="single" w:color="auto" w:sz="4" w:space="0"/>
              <w:left w:val="single" w:color="auto" w:sz="4" w:space="0"/>
              <w:bottom w:val="single" w:color="auto" w:sz="4" w:space="0"/>
              <w:right w:val="single" w:color="auto" w:sz="4" w:space="0"/>
            </w:tcBorders>
            <w:vAlign w:val="center"/>
          </w:tcPr>
          <w:p w14:paraId="08D5F791">
            <w:pPr>
              <w:pStyle w:val="167"/>
              <w:keepNext w:val="0"/>
              <w:keepLines w:val="0"/>
              <w:suppressLineNumbers w:val="0"/>
              <w:spacing w:before="0" w:beforeAutospacing="0" w:after="0" w:afterAutospacing="0"/>
              <w:ind w:right="0"/>
              <w:rPr>
                <w:rFonts w:hint="default"/>
                <w:color w:val="auto"/>
              </w:rPr>
            </w:pPr>
            <w:r>
              <w:rPr>
                <w:rFonts w:hint="eastAsia"/>
                <w:color w:val="auto"/>
              </w:rPr>
              <w:t>9.5</w:t>
            </w:r>
          </w:p>
        </w:tc>
        <w:tc>
          <w:tcPr>
            <w:tcW w:w="720" w:type="dxa"/>
            <w:tcBorders>
              <w:top w:val="single" w:color="auto" w:sz="4" w:space="0"/>
              <w:left w:val="single" w:color="auto" w:sz="4" w:space="0"/>
              <w:bottom w:val="single" w:color="auto" w:sz="4" w:space="0"/>
              <w:right w:val="single" w:color="auto" w:sz="4" w:space="0"/>
            </w:tcBorders>
            <w:vAlign w:val="center"/>
          </w:tcPr>
          <w:p w14:paraId="1387391D">
            <w:pPr>
              <w:pStyle w:val="167"/>
              <w:keepNext w:val="0"/>
              <w:keepLines w:val="0"/>
              <w:suppressLineNumbers w:val="0"/>
              <w:spacing w:before="0" w:beforeAutospacing="0" w:after="0" w:afterAutospacing="0"/>
              <w:ind w:right="0"/>
              <w:rPr>
                <w:rFonts w:hint="default"/>
                <w:color w:val="auto"/>
              </w:rPr>
            </w:pPr>
            <w:r>
              <w:rPr>
                <w:rFonts w:hint="eastAsia"/>
                <w:color w:val="auto"/>
              </w:rPr>
              <w:t>230</w:t>
            </w:r>
          </w:p>
        </w:tc>
        <w:tc>
          <w:tcPr>
            <w:tcW w:w="998" w:type="dxa"/>
            <w:tcBorders>
              <w:top w:val="single" w:color="auto" w:sz="4" w:space="0"/>
              <w:left w:val="single" w:color="auto" w:sz="4" w:space="0"/>
              <w:bottom w:val="single" w:color="auto" w:sz="4" w:space="0"/>
              <w:right w:val="single" w:color="auto" w:sz="4" w:space="0"/>
            </w:tcBorders>
            <w:vAlign w:val="center"/>
          </w:tcPr>
          <w:p w14:paraId="45A6D34B">
            <w:pPr>
              <w:pStyle w:val="167"/>
              <w:keepNext w:val="0"/>
              <w:keepLines w:val="0"/>
              <w:suppressLineNumbers w:val="0"/>
              <w:spacing w:before="0" w:beforeAutospacing="0" w:after="0" w:afterAutospacing="0"/>
              <w:ind w:right="0"/>
              <w:rPr>
                <w:rFonts w:hint="default"/>
                <w:color w:val="auto"/>
              </w:rPr>
            </w:pPr>
            <w:r>
              <w:rPr>
                <w:rFonts w:hint="eastAsia"/>
                <w:color w:val="auto"/>
              </w:rPr>
              <w:t>1.0/0.11</w:t>
            </w:r>
          </w:p>
        </w:tc>
        <w:tc>
          <w:tcPr>
            <w:tcW w:w="1016" w:type="dxa"/>
            <w:tcBorders>
              <w:top w:val="single" w:color="auto" w:sz="4" w:space="0"/>
              <w:left w:val="single" w:color="auto" w:sz="4" w:space="0"/>
              <w:bottom w:val="single" w:color="auto" w:sz="4" w:space="0"/>
              <w:right w:val="single" w:color="auto" w:sz="4" w:space="0"/>
            </w:tcBorders>
            <w:vAlign w:val="center"/>
          </w:tcPr>
          <w:p w14:paraId="2C04C235">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4D9B3C8D">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r w14:paraId="4D4AC6FB">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504D5D2E">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42FC9DF4">
            <w:pPr>
              <w:pStyle w:val="167"/>
              <w:keepNext w:val="0"/>
              <w:keepLines w:val="0"/>
              <w:suppressLineNumbers w:val="0"/>
              <w:spacing w:before="0" w:beforeAutospacing="0" w:after="0" w:afterAutospacing="0"/>
              <w:ind w:right="0"/>
              <w:rPr>
                <w:rFonts w:hint="default"/>
                <w:color w:val="auto"/>
              </w:rPr>
            </w:pPr>
            <w:r>
              <w:rPr>
                <w:rFonts w:hint="eastAsia"/>
                <w:color w:val="auto"/>
              </w:rPr>
              <w:t>汽油罐出口线2</w:t>
            </w:r>
          </w:p>
        </w:tc>
        <w:tc>
          <w:tcPr>
            <w:tcW w:w="850" w:type="dxa"/>
            <w:tcBorders>
              <w:top w:val="single" w:color="auto" w:sz="4" w:space="0"/>
              <w:left w:val="single" w:color="auto" w:sz="4" w:space="0"/>
              <w:bottom w:val="single" w:color="auto" w:sz="4" w:space="0"/>
              <w:right w:val="single" w:color="auto" w:sz="4" w:space="0"/>
            </w:tcBorders>
            <w:vAlign w:val="center"/>
          </w:tcPr>
          <w:p w14:paraId="70447739">
            <w:pPr>
              <w:pStyle w:val="167"/>
              <w:keepNext w:val="0"/>
              <w:keepLines w:val="0"/>
              <w:suppressLineNumbers w:val="0"/>
              <w:spacing w:before="0" w:beforeAutospacing="0" w:after="0" w:afterAutospacing="0"/>
              <w:ind w:right="0"/>
              <w:rPr>
                <w:rFonts w:hint="default"/>
                <w:color w:val="auto"/>
              </w:rPr>
            </w:pPr>
            <w:r>
              <w:rPr>
                <w:rFonts w:hint="eastAsia"/>
                <w:color w:val="auto"/>
              </w:rPr>
              <w:t>400</w:t>
            </w:r>
          </w:p>
        </w:tc>
        <w:tc>
          <w:tcPr>
            <w:tcW w:w="851" w:type="dxa"/>
            <w:tcBorders>
              <w:top w:val="single" w:color="auto" w:sz="4" w:space="0"/>
              <w:left w:val="single" w:color="auto" w:sz="4" w:space="0"/>
              <w:bottom w:val="single" w:color="auto" w:sz="4" w:space="0"/>
              <w:right w:val="single" w:color="auto" w:sz="4" w:space="0"/>
            </w:tcBorders>
            <w:vAlign w:val="center"/>
          </w:tcPr>
          <w:p w14:paraId="0D9EC0E4">
            <w:pPr>
              <w:pStyle w:val="167"/>
              <w:keepNext w:val="0"/>
              <w:keepLines w:val="0"/>
              <w:suppressLineNumbers w:val="0"/>
              <w:spacing w:before="0" w:beforeAutospacing="0" w:after="0" w:afterAutospacing="0"/>
              <w:ind w:right="0"/>
              <w:rPr>
                <w:rFonts w:hint="default"/>
                <w:color w:val="auto"/>
              </w:rPr>
            </w:pPr>
            <w:r>
              <w:rPr>
                <w:rFonts w:hint="eastAsia"/>
                <w:color w:val="auto"/>
              </w:rPr>
              <w:t>9.5</w:t>
            </w:r>
          </w:p>
        </w:tc>
        <w:tc>
          <w:tcPr>
            <w:tcW w:w="720" w:type="dxa"/>
            <w:tcBorders>
              <w:top w:val="single" w:color="auto" w:sz="4" w:space="0"/>
              <w:left w:val="single" w:color="auto" w:sz="4" w:space="0"/>
              <w:bottom w:val="single" w:color="auto" w:sz="4" w:space="0"/>
              <w:right w:val="single" w:color="auto" w:sz="4" w:space="0"/>
            </w:tcBorders>
            <w:vAlign w:val="center"/>
          </w:tcPr>
          <w:p w14:paraId="1E5AB5FC">
            <w:pPr>
              <w:pStyle w:val="167"/>
              <w:keepNext w:val="0"/>
              <w:keepLines w:val="0"/>
              <w:suppressLineNumbers w:val="0"/>
              <w:spacing w:before="0" w:beforeAutospacing="0" w:after="0" w:afterAutospacing="0"/>
              <w:ind w:right="0"/>
              <w:rPr>
                <w:rFonts w:hint="default"/>
                <w:color w:val="auto"/>
              </w:rPr>
            </w:pPr>
            <w:r>
              <w:rPr>
                <w:rFonts w:hint="eastAsia"/>
                <w:color w:val="auto"/>
              </w:rPr>
              <w:t>230</w:t>
            </w:r>
          </w:p>
        </w:tc>
        <w:tc>
          <w:tcPr>
            <w:tcW w:w="998" w:type="dxa"/>
            <w:tcBorders>
              <w:top w:val="single" w:color="auto" w:sz="4" w:space="0"/>
              <w:left w:val="single" w:color="auto" w:sz="4" w:space="0"/>
              <w:bottom w:val="single" w:color="auto" w:sz="4" w:space="0"/>
              <w:right w:val="single" w:color="auto" w:sz="4" w:space="0"/>
            </w:tcBorders>
            <w:vAlign w:val="center"/>
          </w:tcPr>
          <w:p w14:paraId="19043F25">
            <w:pPr>
              <w:pStyle w:val="167"/>
              <w:keepNext w:val="0"/>
              <w:keepLines w:val="0"/>
              <w:suppressLineNumbers w:val="0"/>
              <w:spacing w:before="0" w:beforeAutospacing="0" w:after="0" w:afterAutospacing="0"/>
              <w:ind w:right="0"/>
              <w:rPr>
                <w:rFonts w:hint="default"/>
                <w:color w:val="auto"/>
              </w:rPr>
            </w:pPr>
            <w:r>
              <w:rPr>
                <w:rFonts w:hint="eastAsia"/>
                <w:color w:val="auto"/>
              </w:rPr>
              <w:t>1.0/0.11</w:t>
            </w:r>
          </w:p>
        </w:tc>
        <w:tc>
          <w:tcPr>
            <w:tcW w:w="1016" w:type="dxa"/>
            <w:tcBorders>
              <w:top w:val="single" w:color="auto" w:sz="4" w:space="0"/>
              <w:left w:val="single" w:color="auto" w:sz="4" w:space="0"/>
              <w:bottom w:val="single" w:color="auto" w:sz="4" w:space="0"/>
              <w:right w:val="single" w:color="auto" w:sz="4" w:space="0"/>
            </w:tcBorders>
            <w:vAlign w:val="center"/>
          </w:tcPr>
          <w:p w14:paraId="52F72391">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6E1C4332">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r w14:paraId="09F2B1E1">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48C061BA">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1771EE8B">
            <w:pPr>
              <w:pStyle w:val="167"/>
              <w:keepNext w:val="0"/>
              <w:keepLines w:val="0"/>
              <w:suppressLineNumbers w:val="0"/>
              <w:spacing w:before="0" w:beforeAutospacing="0" w:after="0" w:afterAutospacing="0"/>
              <w:ind w:right="0"/>
              <w:rPr>
                <w:rFonts w:hint="default"/>
                <w:color w:val="auto"/>
              </w:rPr>
            </w:pPr>
            <w:r>
              <w:rPr>
                <w:rFonts w:hint="eastAsia"/>
                <w:color w:val="auto"/>
              </w:rPr>
              <w:t>汽油倒罐线</w:t>
            </w:r>
          </w:p>
        </w:tc>
        <w:tc>
          <w:tcPr>
            <w:tcW w:w="850" w:type="dxa"/>
            <w:tcBorders>
              <w:top w:val="single" w:color="auto" w:sz="4" w:space="0"/>
              <w:left w:val="single" w:color="auto" w:sz="4" w:space="0"/>
              <w:bottom w:val="single" w:color="auto" w:sz="4" w:space="0"/>
              <w:right w:val="single" w:color="auto" w:sz="4" w:space="0"/>
            </w:tcBorders>
            <w:vAlign w:val="center"/>
          </w:tcPr>
          <w:p w14:paraId="08D91966">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vAlign w:val="center"/>
          </w:tcPr>
          <w:p w14:paraId="0BB01BCD">
            <w:pPr>
              <w:pStyle w:val="167"/>
              <w:keepNext w:val="0"/>
              <w:keepLines w:val="0"/>
              <w:suppressLineNumbers w:val="0"/>
              <w:spacing w:before="0" w:beforeAutospacing="0" w:after="0" w:afterAutospacing="0"/>
              <w:ind w:right="0"/>
              <w:rPr>
                <w:rFonts w:hint="default"/>
                <w:color w:val="auto"/>
              </w:rPr>
            </w:pPr>
          </w:p>
        </w:tc>
        <w:tc>
          <w:tcPr>
            <w:tcW w:w="720" w:type="dxa"/>
            <w:tcBorders>
              <w:top w:val="single" w:color="auto" w:sz="4" w:space="0"/>
              <w:left w:val="single" w:color="auto" w:sz="4" w:space="0"/>
              <w:bottom w:val="single" w:color="auto" w:sz="4" w:space="0"/>
              <w:right w:val="single" w:color="auto" w:sz="4" w:space="0"/>
            </w:tcBorders>
            <w:vAlign w:val="center"/>
          </w:tcPr>
          <w:p w14:paraId="7E272E5B">
            <w:pPr>
              <w:pStyle w:val="167"/>
              <w:keepNext w:val="0"/>
              <w:keepLines w:val="0"/>
              <w:suppressLineNumbers w:val="0"/>
              <w:spacing w:before="0" w:beforeAutospacing="0" w:after="0" w:afterAutospacing="0"/>
              <w:ind w:right="0"/>
              <w:rPr>
                <w:rFonts w:hint="default"/>
                <w:color w:val="auto"/>
              </w:rPr>
            </w:pPr>
            <w:r>
              <w:rPr>
                <w:rFonts w:hint="eastAsia"/>
                <w:color w:val="auto"/>
              </w:rPr>
              <w:t>230</w:t>
            </w:r>
          </w:p>
        </w:tc>
        <w:tc>
          <w:tcPr>
            <w:tcW w:w="998" w:type="dxa"/>
            <w:tcBorders>
              <w:top w:val="single" w:color="auto" w:sz="4" w:space="0"/>
              <w:left w:val="single" w:color="auto" w:sz="4" w:space="0"/>
              <w:bottom w:val="single" w:color="auto" w:sz="4" w:space="0"/>
              <w:right w:val="single" w:color="auto" w:sz="4" w:space="0"/>
            </w:tcBorders>
            <w:vAlign w:val="center"/>
          </w:tcPr>
          <w:p w14:paraId="402A63AD">
            <w:pPr>
              <w:pStyle w:val="167"/>
              <w:keepNext w:val="0"/>
              <w:keepLines w:val="0"/>
              <w:suppressLineNumbers w:val="0"/>
              <w:spacing w:before="0" w:beforeAutospacing="0" w:after="0" w:afterAutospacing="0"/>
              <w:ind w:right="0"/>
              <w:rPr>
                <w:rFonts w:hint="default"/>
                <w:color w:val="auto"/>
              </w:rPr>
            </w:pPr>
            <w:r>
              <w:rPr>
                <w:rFonts w:hint="eastAsia"/>
                <w:color w:val="auto"/>
              </w:rPr>
              <w:t>1.0/0.38</w:t>
            </w:r>
          </w:p>
        </w:tc>
        <w:tc>
          <w:tcPr>
            <w:tcW w:w="1016" w:type="dxa"/>
            <w:tcBorders>
              <w:top w:val="single" w:color="auto" w:sz="4" w:space="0"/>
              <w:left w:val="single" w:color="auto" w:sz="4" w:space="0"/>
              <w:bottom w:val="single" w:color="auto" w:sz="4" w:space="0"/>
              <w:right w:val="single" w:color="auto" w:sz="4" w:space="0"/>
            </w:tcBorders>
            <w:vAlign w:val="center"/>
          </w:tcPr>
          <w:p w14:paraId="353EBF30">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43395806">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r w14:paraId="2C109729">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3E9EB418">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696FCEC3">
            <w:pPr>
              <w:pStyle w:val="167"/>
              <w:keepNext w:val="0"/>
              <w:keepLines w:val="0"/>
              <w:suppressLineNumbers w:val="0"/>
              <w:spacing w:before="0" w:beforeAutospacing="0" w:after="0" w:afterAutospacing="0"/>
              <w:ind w:right="0"/>
              <w:rPr>
                <w:rFonts w:hint="default"/>
                <w:color w:val="auto"/>
              </w:rPr>
            </w:pPr>
            <w:r>
              <w:rPr>
                <w:rFonts w:hint="eastAsia"/>
                <w:color w:val="auto"/>
              </w:rPr>
              <w:t>汽油长输线</w:t>
            </w:r>
          </w:p>
        </w:tc>
        <w:tc>
          <w:tcPr>
            <w:tcW w:w="850" w:type="dxa"/>
            <w:tcBorders>
              <w:top w:val="single" w:color="auto" w:sz="4" w:space="0"/>
              <w:left w:val="single" w:color="auto" w:sz="4" w:space="0"/>
              <w:bottom w:val="single" w:color="auto" w:sz="4" w:space="0"/>
              <w:right w:val="single" w:color="auto" w:sz="4" w:space="0"/>
            </w:tcBorders>
            <w:vAlign w:val="center"/>
          </w:tcPr>
          <w:p w14:paraId="015C0B13">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vAlign w:val="center"/>
          </w:tcPr>
          <w:p w14:paraId="43219186">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79D88F4E">
            <w:pPr>
              <w:pStyle w:val="167"/>
              <w:keepNext w:val="0"/>
              <w:keepLines w:val="0"/>
              <w:suppressLineNumbers w:val="0"/>
              <w:spacing w:before="0" w:beforeAutospacing="0" w:after="0" w:afterAutospacing="0"/>
              <w:ind w:right="0"/>
              <w:rPr>
                <w:rFonts w:hint="default"/>
                <w:color w:val="auto"/>
              </w:rPr>
            </w:pPr>
            <w:r>
              <w:rPr>
                <w:rFonts w:hint="eastAsia"/>
                <w:color w:val="auto"/>
              </w:rPr>
              <w:t>650</w:t>
            </w:r>
          </w:p>
        </w:tc>
        <w:tc>
          <w:tcPr>
            <w:tcW w:w="998" w:type="dxa"/>
            <w:tcBorders>
              <w:top w:val="single" w:color="auto" w:sz="4" w:space="0"/>
              <w:left w:val="single" w:color="auto" w:sz="4" w:space="0"/>
              <w:bottom w:val="single" w:color="auto" w:sz="4" w:space="0"/>
              <w:right w:val="single" w:color="auto" w:sz="4" w:space="0"/>
            </w:tcBorders>
            <w:vAlign w:val="center"/>
          </w:tcPr>
          <w:p w14:paraId="03FE8F89">
            <w:pPr>
              <w:pStyle w:val="167"/>
              <w:keepNext w:val="0"/>
              <w:keepLines w:val="0"/>
              <w:suppressLineNumbers w:val="0"/>
              <w:spacing w:before="0" w:beforeAutospacing="0" w:after="0" w:afterAutospacing="0"/>
              <w:ind w:right="0"/>
              <w:rPr>
                <w:rFonts w:hint="default"/>
                <w:color w:val="auto"/>
              </w:rPr>
            </w:pPr>
            <w:r>
              <w:rPr>
                <w:rFonts w:hint="eastAsia"/>
                <w:color w:val="auto"/>
              </w:rPr>
              <w:t>4.0/2.0</w:t>
            </w:r>
          </w:p>
        </w:tc>
        <w:tc>
          <w:tcPr>
            <w:tcW w:w="1016" w:type="dxa"/>
            <w:tcBorders>
              <w:top w:val="single" w:color="auto" w:sz="4" w:space="0"/>
              <w:left w:val="single" w:color="auto" w:sz="4" w:space="0"/>
              <w:bottom w:val="single" w:color="auto" w:sz="4" w:space="0"/>
              <w:right w:val="single" w:color="auto" w:sz="4" w:space="0"/>
            </w:tcBorders>
            <w:vAlign w:val="center"/>
          </w:tcPr>
          <w:p w14:paraId="57D53955">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2A05656C">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r w14:paraId="1101AC4E">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1383B8D8">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3F56EBBE">
            <w:pPr>
              <w:pStyle w:val="167"/>
              <w:keepNext w:val="0"/>
              <w:keepLines w:val="0"/>
              <w:suppressLineNumbers w:val="0"/>
              <w:spacing w:before="0" w:beforeAutospacing="0" w:after="0" w:afterAutospacing="0"/>
              <w:ind w:right="0"/>
              <w:rPr>
                <w:rFonts w:hint="default"/>
                <w:color w:val="auto"/>
              </w:rPr>
            </w:pPr>
            <w:r>
              <w:rPr>
                <w:rFonts w:hint="eastAsia"/>
                <w:color w:val="auto"/>
              </w:rPr>
              <w:t>汽油抽罐底线</w:t>
            </w:r>
          </w:p>
        </w:tc>
        <w:tc>
          <w:tcPr>
            <w:tcW w:w="850" w:type="dxa"/>
            <w:tcBorders>
              <w:top w:val="single" w:color="auto" w:sz="4" w:space="0"/>
              <w:left w:val="single" w:color="auto" w:sz="4" w:space="0"/>
              <w:bottom w:val="single" w:color="auto" w:sz="4" w:space="0"/>
              <w:right w:val="single" w:color="auto" w:sz="4" w:space="0"/>
            </w:tcBorders>
            <w:vAlign w:val="center"/>
          </w:tcPr>
          <w:p w14:paraId="049EB77C">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vAlign w:val="center"/>
          </w:tcPr>
          <w:p w14:paraId="57F1D342">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73426231">
            <w:pPr>
              <w:pStyle w:val="167"/>
              <w:keepNext w:val="0"/>
              <w:keepLines w:val="0"/>
              <w:suppressLineNumbers w:val="0"/>
              <w:spacing w:before="0" w:beforeAutospacing="0" w:after="0" w:afterAutospacing="0"/>
              <w:ind w:right="0"/>
              <w:rPr>
                <w:rFonts w:hint="default"/>
                <w:color w:val="auto"/>
              </w:rPr>
            </w:pPr>
            <w:r>
              <w:rPr>
                <w:rFonts w:hint="eastAsia"/>
                <w:color w:val="auto"/>
              </w:rPr>
              <w:t>230</w:t>
            </w:r>
          </w:p>
        </w:tc>
        <w:tc>
          <w:tcPr>
            <w:tcW w:w="998" w:type="dxa"/>
            <w:tcBorders>
              <w:top w:val="single" w:color="auto" w:sz="4" w:space="0"/>
              <w:left w:val="single" w:color="auto" w:sz="4" w:space="0"/>
              <w:bottom w:val="single" w:color="auto" w:sz="4" w:space="0"/>
              <w:right w:val="single" w:color="auto" w:sz="4" w:space="0"/>
            </w:tcBorders>
            <w:vAlign w:val="center"/>
          </w:tcPr>
          <w:p w14:paraId="54BDDC20">
            <w:pPr>
              <w:pStyle w:val="167"/>
              <w:keepNext w:val="0"/>
              <w:keepLines w:val="0"/>
              <w:suppressLineNumbers w:val="0"/>
              <w:spacing w:before="0" w:beforeAutospacing="0" w:after="0" w:afterAutospacing="0"/>
              <w:ind w:right="0"/>
              <w:rPr>
                <w:rFonts w:hint="default"/>
                <w:color w:val="auto"/>
              </w:rPr>
            </w:pPr>
            <w:r>
              <w:rPr>
                <w:rFonts w:hint="eastAsia"/>
                <w:color w:val="auto"/>
              </w:rPr>
              <w:t>1.0/0.11</w:t>
            </w:r>
          </w:p>
        </w:tc>
        <w:tc>
          <w:tcPr>
            <w:tcW w:w="1016" w:type="dxa"/>
            <w:tcBorders>
              <w:top w:val="single" w:color="auto" w:sz="4" w:space="0"/>
              <w:left w:val="single" w:color="auto" w:sz="4" w:space="0"/>
              <w:bottom w:val="single" w:color="auto" w:sz="4" w:space="0"/>
              <w:right w:val="single" w:color="auto" w:sz="4" w:space="0"/>
            </w:tcBorders>
            <w:vAlign w:val="center"/>
          </w:tcPr>
          <w:p w14:paraId="12B287E0">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66136474">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r w14:paraId="0258BC29">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083BF0F9">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7E98429D">
            <w:pPr>
              <w:pStyle w:val="167"/>
              <w:keepNext w:val="0"/>
              <w:keepLines w:val="0"/>
              <w:suppressLineNumbers w:val="0"/>
              <w:spacing w:before="0" w:beforeAutospacing="0" w:after="0" w:afterAutospacing="0"/>
              <w:ind w:right="0"/>
              <w:rPr>
                <w:rFonts w:hint="default"/>
                <w:color w:val="auto"/>
              </w:rPr>
            </w:pPr>
            <w:r>
              <w:rPr>
                <w:rFonts w:hint="eastAsia"/>
                <w:color w:val="auto"/>
              </w:rPr>
              <w:t>汽油装火车线</w:t>
            </w:r>
          </w:p>
        </w:tc>
        <w:tc>
          <w:tcPr>
            <w:tcW w:w="850" w:type="dxa"/>
            <w:tcBorders>
              <w:top w:val="single" w:color="auto" w:sz="4" w:space="0"/>
              <w:left w:val="single" w:color="auto" w:sz="4" w:space="0"/>
              <w:bottom w:val="single" w:color="auto" w:sz="4" w:space="0"/>
              <w:right w:val="single" w:color="auto" w:sz="4" w:space="0"/>
            </w:tcBorders>
            <w:vAlign w:val="center"/>
          </w:tcPr>
          <w:p w14:paraId="32409026">
            <w:pPr>
              <w:pStyle w:val="167"/>
              <w:keepNext w:val="0"/>
              <w:keepLines w:val="0"/>
              <w:suppressLineNumbers w:val="0"/>
              <w:spacing w:before="0" w:beforeAutospacing="0" w:after="0" w:afterAutospacing="0"/>
              <w:ind w:right="0"/>
              <w:rPr>
                <w:rFonts w:hint="default"/>
                <w:color w:val="auto"/>
              </w:rPr>
            </w:pPr>
            <w:r>
              <w:rPr>
                <w:rFonts w:hint="eastAsia"/>
                <w:color w:val="auto"/>
              </w:rPr>
              <w:t>250</w:t>
            </w:r>
          </w:p>
        </w:tc>
        <w:tc>
          <w:tcPr>
            <w:tcW w:w="851" w:type="dxa"/>
            <w:tcBorders>
              <w:top w:val="single" w:color="auto" w:sz="4" w:space="0"/>
              <w:left w:val="single" w:color="auto" w:sz="4" w:space="0"/>
              <w:bottom w:val="single" w:color="auto" w:sz="4" w:space="0"/>
              <w:right w:val="single" w:color="auto" w:sz="4" w:space="0"/>
            </w:tcBorders>
            <w:vAlign w:val="center"/>
          </w:tcPr>
          <w:p w14:paraId="71E6D93E">
            <w:pPr>
              <w:pStyle w:val="167"/>
              <w:keepNext w:val="0"/>
              <w:keepLines w:val="0"/>
              <w:suppressLineNumbers w:val="0"/>
              <w:spacing w:before="0" w:beforeAutospacing="0" w:after="0" w:afterAutospacing="0"/>
              <w:ind w:right="0"/>
              <w:rPr>
                <w:rFonts w:hint="default"/>
                <w:color w:val="auto"/>
              </w:rPr>
            </w:pPr>
            <w:r>
              <w:rPr>
                <w:rFonts w:hint="eastAsia"/>
                <w:color w:val="auto"/>
              </w:rPr>
              <w:t>8</w:t>
            </w:r>
          </w:p>
        </w:tc>
        <w:tc>
          <w:tcPr>
            <w:tcW w:w="720" w:type="dxa"/>
            <w:tcBorders>
              <w:top w:val="single" w:color="auto" w:sz="4" w:space="0"/>
              <w:left w:val="single" w:color="auto" w:sz="4" w:space="0"/>
              <w:bottom w:val="single" w:color="auto" w:sz="4" w:space="0"/>
              <w:right w:val="single" w:color="auto" w:sz="4" w:space="0"/>
            </w:tcBorders>
            <w:vAlign w:val="center"/>
          </w:tcPr>
          <w:p w14:paraId="40291EC1">
            <w:pPr>
              <w:pStyle w:val="167"/>
              <w:keepNext w:val="0"/>
              <w:keepLines w:val="0"/>
              <w:suppressLineNumbers w:val="0"/>
              <w:spacing w:before="0" w:beforeAutospacing="0" w:after="0" w:afterAutospacing="0"/>
              <w:ind w:right="0"/>
              <w:rPr>
                <w:rFonts w:hint="default"/>
                <w:color w:val="auto"/>
              </w:rPr>
            </w:pPr>
            <w:r>
              <w:rPr>
                <w:rFonts w:hint="eastAsia"/>
                <w:color w:val="auto"/>
              </w:rPr>
              <w:t>660</w:t>
            </w:r>
          </w:p>
        </w:tc>
        <w:tc>
          <w:tcPr>
            <w:tcW w:w="998" w:type="dxa"/>
            <w:tcBorders>
              <w:top w:val="single" w:color="auto" w:sz="4" w:space="0"/>
              <w:left w:val="single" w:color="auto" w:sz="4" w:space="0"/>
              <w:bottom w:val="single" w:color="auto" w:sz="4" w:space="0"/>
              <w:right w:val="single" w:color="auto" w:sz="4" w:space="0"/>
            </w:tcBorders>
            <w:vAlign w:val="center"/>
          </w:tcPr>
          <w:p w14:paraId="048D9614">
            <w:pPr>
              <w:pStyle w:val="167"/>
              <w:keepNext w:val="0"/>
              <w:keepLines w:val="0"/>
              <w:suppressLineNumbers w:val="0"/>
              <w:spacing w:before="0" w:beforeAutospacing="0" w:after="0" w:afterAutospacing="0"/>
              <w:ind w:right="0"/>
              <w:rPr>
                <w:rFonts w:hint="default"/>
                <w:color w:val="auto"/>
              </w:rPr>
            </w:pPr>
            <w:r>
              <w:rPr>
                <w:rFonts w:hint="eastAsia"/>
                <w:color w:val="auto"/>
              </w:rPr>
              <w:t>1.0/0.48</w:t>
            </w:r>
          </w:p>
        </w:tc>
        <w:tc>
          <w:tcPr>
            <w:tcW w:w="1016" w:type="dxa"/>
            <w:tcBorders>
              <w:top w:val="single" w:color="auto" w:sz="4" w:space="0"/>
              <w:left w:val="single" w:color="auto" w:sz="4" w:space="0"/>
              <w:bottom w:val="single" w:color="auto" w:sz="4" w:space="0"/>
              <w:right w:val="single" w:color="auto" w:sz="4" w:space="0"/>
            </w:tcBorders>
            <w:vAlign w:val="center"/>
          </w:tcPr>
          <w:p w14:paraId="46C32713">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47BEEB61">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r w14:paraId="699B4E60">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21373528">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5DFF0537">
            <w:pPr>
              <w:pStyle w:val="167"/>
              <w:keepNext w:val="0"/>
              <w:keepLines w:val="0"/>
              <w:suppressLineNumbers w:val="0"/>
              <w:spacing w:before="0" w:beforeAutospacing="0" w:after="0" w:afterAutospacing="0"/>
              <w:ind w:right="0"/>
              <w:rPr>
                <w:rFonts w:hint="default"/>
                <w:color w:val="auto"/>
              </w:rPr>
            </w:pPr>
            <w:r>
              <w:rPr>
                <w:rFonts w:hint="eastAsia"/>
                <w:color w:val="auto"/>
              </w:rPr>
              <w:t>柴油罐出口线</w:t>
            </w:r>
          </w:p>
        </w:tc>
        <w:tc>
          <w:tcPr>
            <w:tcW w:w="850" w:type="dxa"/>
            <w:tcBorders>
              <w:top w:val="single" w:color="auto" w:sz="4" w:space="0"/>
              <w:left w:val="single" w:color="auto" w:sz="4" w:space="0"/>
              <w:bottom w:val="single" w:color="auto" w:sz="4" w:space="0"/>
              <w:right w:val="single" w:color="auto" w:sz="4" w:space="0"/>
            </w:tcBorders>
            <w:vAlign w:val="center"/>
          </w:tcPr>
          <w:p w14:paraId="1B77FCFA">
            <w:pPr>
              <w:pStyle w:val="167"/>
              <w:keepNext w:val="0"/>
              <w:keepLines w:val="0"/>
              <w:suppressLineNumbers w:val="0"/>
              <w:spacing w:before="0" w:beforeAutospacing="0" w:after="0" w:afterAutospacing="0"/>
              <w:ind w:right="0"/>
              <w:rPr>
                <w:rFonts w:hint="default"/>
                <w:color w:val="auto"/>
              </w:rPr>
            </w:pPr>
            <w:r>
              <w:rPr>
                <w:rFonts w:hint="eastAsia"/>
                <w:color w:val="auto"/>
              </w:rPr>
              <w:t>400</w:t>
            </w:r>
          </w:p>
        </w:tc>
        <w:tc>
          <w:tcPr>
            <w:tcW w:w="851" w:type="dxa"/>
            <w:tcBorders>
              <w:top w:val="single" w:color="auto" w:sz="4" w:space="0"/>
              <w:left w:val="single" w:color="auto" w:sz="4" w:space="0"/>
              <w:bottom w:val="single" w:color="auto" w:sz="4" w:space="0"/>
              <w:right w:val="single" w:color="auto" w:sz="4" w:space="0"/>
            </w:tcBorders>
            <w:vAlign w:val="center"/>
          </w:tcPr>
          <w:p w14:paraId="6530CF2C">
            <w:pPr>
              <w:pStyle w:val="167"/>
              <w:keepNext w:val="0"/>
              <w:keepLines w:val="0"/>
              <w:suppressLineNumbers w:val="0"/>
              <w:spacing w:before="0" w:beforeAutospacing="0" w:after="0" w:afterAutospacing="0"/>
              <w:ind w:right="0"/>
              <w:rPr>
                <w:rFonts w:hint="default"/>
                <w:color w:val="auto"/>
              </w:rPr>
            </w:pPr>
            <w:r>
              <w:rPr>
                <w:rFonts w:hint="eastAsia"/>
                <w:color w:val="auto"/>
              </w:rPr>
              <w:t>9.5</w:t>
            </w:r>
          </w:p>
        </w:tc>
        <w:tc>
          <w:tcPr>
            <w:tcW w:w="720" w:type="dxa"/>
            <w:tcBorders>
              <w:top w:val="single" w:color="auto" w:sz="4" w:space="0"/>
              <w:left w:val="single" w:color="auto" w:sz="4" w:space="0"/>
              <w:bottom w:val="single" w:color="auto" w:sz="4" w:space="0"/>
              <w:right w:val="single" w:color="auto" w:sz="4" w:space="0"/>
            </w:tcBorders>
            <w:vAlign w:val="center"/>
          </w:tcPr>
          <w:p w14:paraId="1C88A859">
            <w:pPr>
              <w:pStyle w:val="167"/>
              <w:keepNext w:val="0"/>
              <w:keepLines w:val="0"/>
              <w:suppressLineNumbers w:val="0"/>
              <w:spacing w:before="0" w:beforeAutospacing="0" w:after="0" w:afterAutospacing="0"/>
              <w:ind w:right="0"/>
              <w:rPr>
                <w:rFonts w:hint="default"/>
                <w:color w:val="auto"/>
              </w:rPr>
            </w:pPr>
            <w:r>
              <w:rPr>
                <w:rFonts w:hint="eastAsia"/>
                <w:color w:val="auto"/>
              </w:rPr>
              <w:t>246</w:t>
            </w:r>
          </w:p>
        </w:tc>
        <w:tc>
          <w:tcPr>
            <w:tcW w:w="998" w:type="dxa"/>
            <w:tcBorders>
              <w:top w:val="single" w:color="auto" w:sz="4" w:space="0"/>
              <w:left w:val="single" w:color="auto" w:sz="4" w:space="0"/>
              <w:bottom w:val="single" w:color="auto" w:sz="4" w:space="0"/>
              <w:right w:val="single" w:color="auto" w:sz="4" w:space="0"/>
            </w:tcBorders>
            <w:vAlign w:val="center"/>
          </w:tcPr>
          <w:p w14:paraId="41AF1E3F">
            <w:pPr>
              <w:pStyle w:val="167"/>
              <w:keepNext w:val="0"/>
              <w:keepLines w:val="0"/>
              <w:suppressLineNumbers w:val="0"/>
              <w:spacing w:before="0" w:beforeAutospacing="0" w:after="0" w:afterAutospacing="0"/>
              <w:ind w:right="0"/>
              <w:rPr>
                <w:rFonts w:hint="default"/>
                <w:color w:val="auto"/>
              </w:rPr>
            </w:pPr>
            <w:r>
              <w:rPr>
                <w:rFonts w:hint="eastAsia"/>
                <w:color w:val="auto"/>
              </w:rPr>
              <w:t>1.0/0.11</w:t>
            </w:r>
          </w:p>
        </w:tc>
        <w:tc>
          <w:tcPr>
            <w:tcW w:w="1016" w:type="dxa"/>
            <w:tcBorders>
              <w:top w:val="single" w:color="auto" w:sz="4" w:space="0"/>
              <w:left w:val="single" w:color="auto" w:sz="4" w:space="0"/>
              <w:bottom w:val="single" w:color="auto" w:sz="4" w:space="0"/>
              <w:right w:val="single" w:color="auto" w:sz="4" w:space="0"/>
            </w:tcBorders>
            <w:vAlign w:val="center"/>
          </w:tcPr>
          <w:p w14:paraId="76282E66">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7E89053F">
            <w:pPr>
              <w:pStyle w:val="167"/>
              <w:keepNext w:val="0"/>
              <w:keepLines w:val="0"/>
              <w:suppressLineNumbers w:val="0"/>
              <w:spacing w:before="0" w:beforeAutospacing="0" w:after="0" w:afterAutospacing="0"/>
              <w:ind w:right="0"/>
              <w:rPr>
                <w:rFonts w:hint="default"/>
                <w:color w:val="auto"/>
              </w:rPr>
            </w:pPr>
            <w:r>
              <w:rPr>
                <w:rFonts w:hint="eastAsia"/>
                <w:color w:val="auto"/>
              </w:rPr>
              <w:t>柴油</w:t>
            </w:r>
          </w:p>
        </w:tc>
      </w:tr>
      <w:tr w14:paraId="0697058C">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061AA8E6">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47CE21DF">
            <w:pPr>
              <w:pStyle w:val="167"/>
              <w:keepNext w:val="0"/>
              <w:keepLines w:val="0"/>
              <w:suppressLineNumbers w:val="0"/>
              <w:spacing w:before="0" w:beforeAutospacing="0" w:after="0" w:afterAutospacing="0"/>
              <w:ind w:right="0"/>
              <w:rPr>
                <w:rFonts w:hint="default"/>
                <w:color w:val="auto"/>
              </w:rPr>
            </w:pPr>
            <w:r>
              <w:rPr>
                <w:rFonts w:hint="eastAsia"/>
                <w:color w:val="auto"/>
              </w:rPr>
              <w:t>柴油倒罐线</w:t>
            </w:r>
          </w:p>
        </w:tc>
        <w:tc>
          <w:tcPr>
            <w:tcW w:w="850" w:type="dxa"/>
            <w:tcBorders>
              <w:top w:val="single" w:color="auto" w:sz="4" w:space="0"/>
              <w:left w:val="single" w:color="auto" w:sz="4" w:space="0"/>
              <w:bottom w:val="single" w:color="auto" w:sz="4" w:space="0"/>
              <w:right w:val="single" w:color="auto" w:sz="4" w:space="0"/>
            </w:tcBorders>
            <w:vAlign w:val="center"/>
          </w:tcPr>
          <w:p w14:paraId="49F64932">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vAlign w:val="center"/>
          </w:tcPr>
          <w:p w14:paraId="0862CD32">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5166BC52">
            <w:pPr>
              <w:pStyle w:val="167"/>
              <w:keepNext w:val="0"/>
              <w:keepLines w:val="0"/>
              <w:suppressLineNumbers w:val="0"/>
              <w:spacing w:before="0" w:beforeAutospacing="0" w:after="0" w:afterAutospacing="0"/>
              <w:ind w:right="0"/>
              <w:rPr>
                <w:rFonts w:hint="default"/>
                <w:color w:val="auto"/>
              </w:rPr>
            </w:pPr>
            <w:r>
              <w:rPr>
                <w:rFonts w:hint="eastAsia"/>
                <w:color w:val="auto"/>
              </w:rPr>
              <w:t>246</w:t>
            </w:r>
          </w:p>
        </w:tc>
        <w:tc>
          <w:tcPr>
            <w:tcW w:w="998" w:type="dxa"/>
            <w:tcBorders>
              <w:top w:val="single" w:color="auto" w:sz="4" w:space="0"/>
              <w:left w:val="single" w:color="auto" w:sz="4" w:space="0"/>
              <w:bottom w:val="single" w:color="auto" w:sz="4" w:space="0"/>
              <w:right w:val="single" w:color="auto" w:sz="4" w:space="0"/>
            </w:tcBorders>
            <w:vAlign w:val="center"/>
          </w:tcPr>
          <w:p w14:paraId="6D5388BA">
            <w:pPr>
              <w:pStyle w:val="167"/>
              <w:keepNext w:val="0"/>
              <w:keepLines w:val="0"/>
              <w:suppressLineNumbers w:val="0"/>
              <w:spacing w:before="0" w:beforeAutospacing="0" w:after="0" w:afterAutospacing="0"/>
              <w:ind w:right="0"/>
              <w:rPr>
                <w:rFonts w:hint="default"/>
                <w:color w:val="auto"/>
              </w:rPr>
            </w:pPr>
            <w:r>
              <w:rPr>
                <w:rFonts w:hint="eastAsia"/>
                <w:color w:val="auto"/>
              </w:rPr>
              <w:t>1.6/0.43</w:t>
            </w:r>
          </w:p>
        </w:tc>
        <w:tc>
          <w:tcPr>
            <w:tcW w:w="1016" w:type="dxa"/>
            <w:tcBorders>
              <w:top w:val="single" w:color="auto" w:sz="4" w:space="0"/>
              <w:left w:val="single" w:color="auto" w:sz="4" w:space="0"/>
              <w:bottom w:val="single" w:color="auto" w:sz="4" w:space="0"/>
              <w:right w:val="single" w:color="auto" w:sz="4" w:space="0"/>
            </w:tcBorders>
            <w:vAlign w:val="center"/>
          </w:tcPr>
          <w:p w14:paraId="38B139D6">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0204A0BC">
            <w:pPr>
              <w:pStyle w:val="167"/>
              <w:keepNext w:val="0"/>
              <w:keepLines w:val="0"/>
              <w:suppressLineNumbers w:val="0"/>
              <w:spacing w:before="0" w:beforeAutospacing="0" w:after="0" w:afterAutospacing="0"/>
              <w:ind w:right="0"/>
              <w:rPr>
                <w:rFonts w:hint="default"/>
                <w:color w:val="auto"/>
              </w:rPr>
            </w:pPr>
            <w:r>
              <w:rPr>
                <w:rFonts w:hint="eastAsia"/>
                <w:color w:val="auto"/>
              </w:rPr>
              <w:t>柴油</w:t>
            </w:r>
          </w:p>
        </w:tc>
      </w:tr>
      <w:tr w14:paraId="5B17EAAE">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6ABC76A5">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5B207DE8">
            <w:pPr>
              <w:pStyle w:val="167"/>
              <w:keepNext w:val="0"/>
              <w:keepLines w:val="0"/>
              <w:suppressLineNumbers w:val="0"/>
              <w:spacing w:before="0" w:beforeAutospacing="0" w:after="0" w:afterAutospacing="0"/>
              <w:ind w:right="0"/>
              <w:rPr>
                <w:rFonts w:hint="default"/>
                <w:color w:val="auto"/>
              </w:rPr>
            </w:pPr>
            <w:r>
              <w:rPr>
                <w:rFonts w:hint="eastAsia"/>
                <w:color w:val="auto"/>
              </w:rPr>
              <w:t>柴油抽罐底线</w:t>
            </w:r>
          </w:p>
        </w:tc>
        <w:tc>
          <w:tcPr>
            <w:tcW w:w="850" w:type="dxa"/>
            <w:tcBorders>
              <w:top w:val="single" w:color="auto" w:sz="4" w:space="0"/>
              <w:left w:val="single" w:color="auto" w:sz="4" w:space="0"/>
              <w:bottom w:val="single" w:color="auto" w:sz="4" w:space="0"/>
              <w:right w:val="single" w:color="auto" w:sz="4" w:space="0"/>
            </w:tcBorders>
            <w:vAlign w:val="center"/>
          </w:tcPr>
          <w:p w14:paraId="088B265E">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vAlign w:val="center"/>
          </w:tcPr>
          <w:p w14:paraId="5D4BAC01">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3B12839F">
            <w:pPr>
              <w:pStyle w:val="167"/>
              <w:keepNext w:val="0"/>
              <w:keepLines w:val="0"/>
              <w:suppressLineNumbers w:val="0"/>
              <w:spacing w:before="0" w:beforeAutospacing="0" w:after="0" w:afterAutospacing="0"/>
              <w:ind w:right="0"/>
              <w:rPr>
                <w:rFonts w:hint="default"/>
                <w:color w:val="auto"/>
              </w:rPr>
            </w:pPr>
            <w:r>
              <w:rPr>
                <w:rFonts w:hint="eastAsia"/>
                <w:color w:val="auto"/>
              </w:rPr>
              <w:t>278</w:t>
            </w:r>
          </w:p>
        </w:tc>
        <w:tc>
          <w:tcPr>
            <w:tcW w:w="998" w:type="dxa"/>
            <w:tcBorders>
              <w:top w:val="single" w:color="auto" w:sz="4" w:space="0"/>
              <w:left w:val="single" w:color="auto" w:sz="4" w:space="0"/>
              <w:bottom w:val="single" w:color="auto" w:sz="4" w:space="0"/>
              <w:right w:val="single" w:color="auto" w:sz="4" w:space="0"/>
            </w:tcBorders>
            <w:vAlign w:val="center"/>
          </w:tcPr>
          <w:p w14:paraId="50503BC2">
            <w:pPr>
              <w:pStyle w:val="167"/>
              <w:keepNext w:val="0"/>
              <w:keepLines w:val="0"/>
              <w:suppressLineNumbers w:val="0"/>
              <w:spacing w:before="0" w:beforeAutospacing="0" w:after="0" w:afterAutospacing="0"/>
              <w:ind w:right="0"/>
              <w:rPr>
                <w:rFonts w:hint="default"/>
                <w:color w:val="auto"/>
              </w:rPr>
            </w:pPr>
            <w:r>
              <w:rPr>
                <w:rFonts w:hint="eastAsia"/>
                <w:color w:val="auto"/>
              </w:rPr>
              <w:t>1.0/0.12</w:t>
            </w:r>
          </w:p>
        </w:tc>
        <w:tc>
          <w:tcPr>
            <w:tcW w:w="1016" w:type="dxa"/>
            <w:tcBorders>
              <w:top w:val="single" w:color="auto" w:sz="4" w:space="0"/>
              <w:left w:val="single" w:color="auto" w:sz="4" w:space="0"/>
              <w:bottom w:val="single" w:color="auto" w:sz="4" w:space="0"/>
              <w:right w:val="single" w:color="auto" w:sz="4" w:space="0"/>
            </w:tcBorders>
            <w:vAlign w:val="center"/>
          </w:tcPr>
          <w:p w14:paraId="311168E1">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03F14CB2">
            <w:pPr>
              <w:pStyle w:val="167"/>
              <w:keepNext w:val="0"/>
              <w:keepLines w:val="0"/>
              <w:suppressLineNumbers w:val="0"/>
              <w:spacing w:before="0" w:beforeAutospacing="0" w:after="0" w:afterAutospacing="0"/>
              <w:ind w:right="0"/>
              <w:rPr>
                <w:rFonts w:hint="default"/>
                <w:color w:val="auto"/>
              </w:rPr>
            </w:pPr>
            <w:r>
              <w:rPr>
                <w:rFonts w:hint="eastAsia"/>
                <w:color w:val="auto"/>
              </w:rPr>
              <w:t>柴油</w:t>
            </w:r>
          </w:p>
        </w:tc>
      </w:tr>
      <w:tr w14:paraId="3808B77C">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3F9300E2">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0595B89E">
            <w:pPr>
              <w:pStyle w:val="167"/>
              <w:keepNext w:val="0"/>
              <w:keepLines w:val="0"/>
              <w:suppressLineNumbers w:val="0"/>
              <w:spacing w:before="0" w:beforeAutospacing="0" w:after="0" w:afterAutospacing="0"/>
              <w:ind w:right="0"/>
              <w:rPr>
                <w:rFonts w:hint="default"/>
                <w:color w:val="auto"/>
              </w:rPr>
            </w:pPr>
            <w:r>
              <w:rPr>
                <w:rFonts w:hint="eastAsia"/>
                <w:color w:val="auto"/>
              </w:rPr>
              <w:t>柴油装火车线</w:t>
            </w:r>
          </w:p>
        </w:tc>
        <w:tc>
          <w:tcPr>
            <w:tcW w:w="850" w:type="dxa"/>
            <w:tcBorders>
              <w:top w:val="single" w:color="auto" w:sz="4" w:space="0"/>
              <w:left w:val="single" w:color="auto" w:sz="4" w:space="0"/>
              <w:bottom w:val="single" w:color="auto" w:sz="4" w:space="0"/>
              <w:right w:val="single" w:color="auto" w:sz="4" w:space="0"/>
            </w:tcBorders>
            <w:vAlign w:val="center"/>
          </w:tcPr>
          <w:p w14:paraId="5BD8490F">
            <w:pPr>
              <w:pStyle w:val="167"/>
              <w:keepNext w:val="0"/>
              <w:keepLines w:val="0"/>
              <w:suppressLineNumbers w:val="0"/>
              <w:spacing w:before="0" w:beforeAutospacing="0" w:after="0" w:afterAutospacing="0"/>
              <w:ind w:right="0"/>
              <w:rPr>
                <w:rFonts w:hint="default"/>
                <w:color w:val="auto"/>
              </w:rPr>
            </w:pPr>
            <w:r>
              <w:rPr>
                <w:rFonts w:hint="eastAsia"/>
                <w:color w:val="auto"/>
              </w:rPr>
              <w:t>250</w:t>
            </w:r>
          </w:p>
        </w:tc>
        <w:tc>
          <w:tcPr>
            <w:tcW w:w="851" w:type="dxa"/>
            <w:tcBorders>
              <w:top w:val="single" w:color="auto" w:sz="4" w:space="0"/>
              <w:left w:val="single" w:color="auto" w:sz="4" w:space="0"/>
              <w:bottom w:val="single" w:color="auto" w:sz="4" w:space="0"/>
              <w:right w:val="single" w:color="auto" w:sz="4" w:space="0"/>
            </w:tcBorders>
            <w:vAlign w:val="center"/>
          </w:tcPr>
          <w:p w14:paraId="13779F1E">
            <w:pPr>
              <w:pStyle w:val="167"/>
              <w:keepNext w:val="0"/>
              <w:keepLines w:val="0"/>
              <w:suppressLineNumbers w:val="0"/>
              <w:spacing w:before="0" w:beforeAutospacing="0" w:after="0" w:afterAutospacing="0"/>
              <w:ind w:right="0"/>
              <w:rPr>
                <w:rFonts w:hint="default"/>
                <w:color w:val="auto"/>
              </w:rPr>
            </w:pPr>
            <w:r>
              <w:rPr>
                <w:rFonts w:hint="eastAsia"/>
                <w:color w:val="auto"/>
              </w:rPr>
              <w:t>8</w:t>
            </w:r>
          </w:p>
        </w:tc>
        <w:tc>
          <w:tcPr>
            <w:tcW w:w="720" w:type="dxa"/>
            <w:tcBorders>
              <w:top w:val="single" w:color="auto" w:sz="4" w:space="0"/>
              <w:left w:val="single" w:color="auto" w:sz="4" w:space="0"/>
              <w:bottom w:val="single" w:color="auto" w:sz="4" w:space="0"/>
              <w:right w:val="single" w:color="auto" w:sz="4" w:space="0"/>
            </w:tcBorders>
            <w:vAlign w:val="center"/>
          </w:tcPr>
          <w:p w14:paraId="6F1FED21">
            <w:pPr>
              <w:pStyle w:val="167"/>
              <w:keepNext w:val="0"/>
              <w:keepLines w:val="0"/>
              <w:suppressLineNumbers w:val="0"/>
              <w:spacing w:before="0" w:beforeAutospacing="0" w:after="0" w:afterAutospacing="0"/>
              <w:ind w:right="0"/>
              <w:rPr>
                <w:rFonts w:hint="default"/>
                <w:color w:val="auto"/>
              </w:rPr>
            </w:pPr>
            <w:r>
              <w:rPr>
                <w:rFonts w:hint="eastAsia"/>
                <w:color w:val="auto"/>
              </w:rPr>
              <w:t>550</w:t>
            </w:r>
          </w:p>
        </w:tc>
        <w:tc>
          <w:tcPr>
            <w:tcW w:w="998" w:type="dxa"/>
            <w:tcBorders>
              <w:top w:val="single" w:color="auto" w:sz="4" w:space="0"/>
              <w:left w:val="single" w:color="auto" w:sz="4" w:space="0"/>
              <w:bottom w:val="single" w:color="auto" w:sz="4" w:space="0"/>
              <w:right w:val="single" w:color="auto" w:sz="4" w:space="0"/>
            </w:tcBorders>
            <w:vAlign w:val="center"/>
          </w:tcPr>
          <w:p w14:paraId="36D903C6">
            <w:pPr>
              <w:pStyle w:val="167"/>
              <w:keepNext w:val="0"/>
              <w:keepLines w:val="0"/>
              <w:suppressLineNumbers w:val="0"/>
              <w:spacing w:before="0" w:beforeAutospacing="0" w:after="0" w:afterAutospacing="0"/>
              <w:ind w:right="0"/>
              <w:rPr>
                <w:rFonts w:hint="default"/>
                <w:color w:val="auto"/>
              </w:rPr>
            </w:pPr>
            <w:r>
              <w:rPr>
                <w:rFonts w:hint="eastAsia"/>
                <w:color w:val="auto"/>
              </w:rPr>
              <w:t>1.0/0.55</w:t>
            </w:r>
          </w:p>
        </w:tc>
        <w:tc>
          <w:tcPr>
            <w:tcW w:w="1016" w:type="dxa"/>
            <w:tcBorders>
              <w:top w:val="single" w:color="auto" w:sz="4" w:space="0"/>
              <w:left w:val="single" w:color="auto" w:sz="4" w:space="0"/>
              <w:bottom w:val="single" w:color="auto" w:sz="4" w:space="0"/>
              <w:right w:val="single" w:color="auto" w:sz="4" w:space="0"/>
            </w:tcBorders>
            <w:vAlign w:val="center"/>
          </w:tcPr>
          <w:p w14:paraId="3E729547">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4CD5902C">
            <w:pPr>
              <w:pStyle w:val="167"/>
              <w:keepNext w:val="0"/>
              <w:keepLines w:val="0"/>
              <w:suppressLineNumbers w:val="0"/>
              <w:spacing w:before="0" w:beforeAutospacing="0" w:after="0" w:afterAutospacing="0"/>
              <w:ind w:right="0"/>
              <w:rPr>
                <w:rFonts w:hint="default"/>
                <w:color w:val="auto"/>
              </w:rPr>
            </w:pPr>
            <w:r>
              <w:rPr>
                <w:rFonts w:hint="eastAsia"/>
                <w:color w:val="auto"/>
              </w:rPr>
              <w:t>柴油</w:t>
            </w:r>
          </w:p>
        </w:tc>
      </w:tr>
      <w:tr w14:paraId="049570FE">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4173DF2C">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15456DA2">
            <w:pPr>
              <w:pStyle w:val="167"/>
              <w:keepNext w:val="0"/>
              <w:keepLines w:val="0"/>
              <w:suppressLineNumbers w:val="0"/>
              <w:spacing w:before="0" w:beforeAutospacing="0" w:after="0" w:afterAutospacing="0"/>
              <w:ind w:right="0"/>
              <w:rPr>
                <w:rFonts w:hint="eastAsia" w:eastAsia="宋体"/>
                <w:color w:val="auto"/>
                <w:lang w:eastAsia="zh-CN"/>
              </w:rPr>
            </w:pPr>
            <w:r>
              <w:rPr>
                <w:rFonts w:hint="eastAsia"/>
                <w:color w:val="auto"/>
              </w:rPr>
              <w:t>柴油罐区柴油长输线</w:t>
            </w:r>
          </w:p>
        </w:tc>
        <w:tc>
          <w:tcPr>
            <w:tcW w:w="850" w:type="dxa"/>
            <w:tcBorders>
              <w:top w:val="single" w:color="auto" w:sz="4" w:space="0"/>
              <w:left w:val="single" w:color="auto" w:sz="4" w:space="0"/>
              <w:bottom w:val="single" w:color="auto" w:sz="4" w:space="0"/>
              <w:right w:val="single" w:color="auto" w:sz="4" w:space="0"/>
            </w:tcBorders>
            <w:vAlign w:val="center"/>
          </w:tcPr>
          <w:p w14:paraId="238BA0BE">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vAlign w:val="center"/>
          </w:tcPr>
          <w:p w14:paraId="3EA2580A">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75184841">
            <w:pPr>
              <w:pStyle w:val="167"/>
              <w:keepNext w:val="0"/>
              <w:keepLines w:val="0"/>
              <w:suppressLineNumbers w:val="0"/>
              <w:spacing w:before="0" w:beforeAutospacing="0" w:after="0" w:afterAutospacing="0"/>
              <w:ind w:right="0"/>
              <w:rPr>
                <w:rFonts w:hint="default"/>
                <w:color w:val="auto"/>
              </w:rPr>
            </w:pPr>
            <w:r>
              <w:rPr>
                <w:rFonts w:hint="eastAsia"/>
                <w:color w:val="auto"/>
              </w:rPr>
              <w:t>500</w:t>
            </w:r>
          </w:p>
        </w:tc>
        <w:tc>
          <w:tcPr>
            <w:tcW w:w="998" w:type="dxa"/>
            <w:tcBorders>
              <w:top w:val="single" w:color="auto" w:sz="4" w:space="0"/>
              <w:left w:val="single" w:color="auto" w:sz="4" w:space="0"/>
              <w:bottom w:val="single" w:color="auto" w:sz="4" w:space="0"/>
              <w:right w:val="single" w:color="auto" w:sz="4" w:space="0"/>
            </w:tcBorders>
            <w:vAlign w:val="center"/>
          </w:tcPr>
          <w:p w14:paraId="3F98D089">
            <w:pPr>
              <w:pStyle w:val="167"/>
              <w:keepNext w:val="0"/>
              <w:keepLines w:val="0"/>
              <w:suppressLineNumbers w:val="0"/>
              <w:spacing w:before="0" w:beforeAutospacing="0" w:after="0" w:afterAutospacing="0"/>
              <w:ind w:right="0"/>
              <w:rPr>
                <w:rFonts w:hint="default"/>
                <w:color w:val="auto"/>
              </w:rPr>
            </w:pPr>
            <w:r>
              <w:rPr>
                <w:rFonts w:hint="eastAsia"/>
                <w:color w:val="auto"/>
              </w:rPr>
              <w:t>4.0/2.0</w:t>
            </w:r>
          </w:p>
        </w:tc>
        <w:tc>
          <w:tcPr>
            <w:tcW w:w="1016" w:type="dxa"/>
            <w:tcBorders>
              <w:top w:val="single" w:color="auto" w:sz="4" w:space="0"/>
              <w:left w:val="single" w:color="auto" w:sz="4" w:space="0"/>
              <w:bottom w:val="single" w:color="auto" w:sz="4" w:space="0"/>
              <w:right w:val="single" w:color="auto" w:sz="4" w:space="0"/>
            </w:tcBorders>
            <w:vAlign w:val="center"/>
          </w:tcPr>
          <w:p w14:paraId="6484F966">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5C60B1E4">
            <w:pPr>
              <w:pStyle w:val="167"/>
              <w:keepNext w:val="0"/>
              <w:keepLines w:val="0"/>
              <w:suppressLineNumbers w:val="0"/>
              <w:spacing w:before="0" w:beforeAutospacing="0" w:after="0" w:afterAutospacing="0"/>
              <w:ind w:right="0"/>
              <w:rPr>
                <w:rFonts w:hint="default"/>
                <w:color w:val="auto"/>
              </w:rPr>
            </w:pPr>
            <w:r>
              <w:rPr>
                <w:rFonts w:hint="eastAsia"/>
                <w:color w:val="auto"/>
              </w:rPr>
              <w:t>柴油</w:t>
            </w:r>
          </w:p>
        </w:tc>
      </w:tr>
      <w:tr w14:paraId="67371381">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741C68BB">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00EAD170">
            <w:pPr>
              <w:pStyle w:val="167"/>
              <w:keepNext w:val="0"/>
              <w:keepLines w:val="0"/>
              <w:suppressLineNumbers w:val="0"/>
              <w:spacing w:before="0" w:beforeAutospacing="0" w:after="0" w:afterAutospacing="0"/>
              <w:ind w:right="0"/>
              <w:rPr>
                <w:rFonts w:hint="default"/>
                <w:color w:val="auto"/>
              </w:rPr>
            </w:pPr>
            <w:r>
              <w:rPr>
                <w:rFonts w:hint="eastAsia"/>
                <w:color w:val="auto"/>
              </w:rPr>
              <w:t>混合罐区汽油罐出口线1</w:t>
            </w:r>
          </w:p>
        </w:tc>
        <w:tc>
          <w:tcPr>
            <w:tcW w:w="850" w:type="dxa"/>
            <w:tcBorders>
              <w:top w:val="single" w:color="auto" w:sz="4" w:space="0"/>
              <w:left w:val="single" w:color="auto" w:sz="4" w:space="0"/>
              <w:bottom w:val="single" w:color="auto" w:sz="4" w:space="0"/>
              <w:right w:val="single" w:color="auto" w:sz="4" w:space="0"/>
            </w:tcBorders>
            <w:vAlign w:val="center"/>
          </w:tcPr>
          <w:p w14:paraId="4B7160C5">
            <w:pPr>
              <w:pStyle w:val="167"/>
              <w:keepNext w:val="0"/>
              <w:keepLines w:val="0"/>
              <w:suppressLineNumbers w:val="0"/>
              <w:spacing w:before="0" w:beforeAutospacing="0" w:after="0" w:afterAutospacing="0"/>
              <w:ind w:right="0"/>
              <w:rPr>
                <w:rFonts w:hint="default"/>
                <w:color w:val="auto"/>
              </w:rPr>
            </w:pPr>
            <w:r>
              <w:rPr>
                <w:rFonts w:hint="eastAsia"/>
                <w:color w:val="auto"/>
              </w:rPr>
              <w:t>400</w:t>
            </w:r>
          </w:p>
        </w:tc>
        <w:tc>
          <w:tcPr>
            <w:tcW w:w="851" w:type="dxa"/>
            <w:tcBorders>
              <w:top w:val="single" w:color="auto" w:sz="4" w:space="0"/>
              <w:left w:val="single" w:color="auto" w:sz="4" w:space="0"/>
              <w:bottom w:val="single" w:color="auto" w:sz="4" w:space="0"/>
              <w:right w:val="single" w:color="auto" w:sz="4" w:space="0"/>
            </w:tcBorders>
            <w:vAlign w:val="center"/>
          </w:tcPr>
          <w:p w14:paraId="579A506A">
            <w:pPr>
              <w:pStyle w:val="167"/>
              <w:keepNext w:val="0"/>
              <w:keepLines w:val="0"/>
              <w:suppressLineNumbers w:val="0"/>
              <w:spacing w:before="0" w:beforeAutospacing="0" w:after="0" w:afterAutospacing="0"/>
              <w:ind w:right="0"/>
              <w:rPr>
                <w:rFonts w:hint="default"/>
                <w:color w:val="auto"/>
              </w:rPr>
            </w:pPr>
            <w:r>
              <w:rPr>
                <w:rFonts w:hint="eastAsia"/>
                <w:color w:val="auto"/>
              </w:rPr>
              <w:t>10</w:t>
            </w:r>
          </w:p>
        </w:tc>
        <w:tc>
          <w:tcPr>
            <w:tcW w:w="720" w:type="dxa"/>
            <w:tcBorders>
              <w:top w:val="single" w:color="auto" w:sz="4" w:space="0"/>
              <w:left w:val="single" w:color="auto" w:sz="4" w:space="0"/>
              <w:bottom w:val="single" w:color="auto" w:sz="4" w:space="0"/>
              <w:right w:val="single" w:color="auto" w:sz="4" w:space="0"/>
            </w:tcBorders>
            <w:vAlign w:val="center"/>
          </w:tcPr>
          <w:p w14:paraId="560BD88F">
            <w:pPr>
              <w:pStyle w:val="167"/>
              <w:keepNext w:val="0"/>
              <w:keepLines w:val="0"/>
              <w:suppressLineNumbers w:val="0"/>
              <w:spacing w:before="0" w:beforeAutospacing="0" w:after="0" w:afterAutospacing="0"/>
              <w:ind w:right="0"/>
              <w:rPr>
                <w:rFonts w:hint="default"/>
                <w:color w:val="auto"/>
              </w:rPr>
            </w:pPr>
            <w:r>
              <w:rPr>
                <w:rFonts w:hint="eastAsia"/>
                <w:color w:val="auto"/>
              </w:rPr>
              <w:t>400</w:t>
            </w:r>
          </w:p>
        </w:tc>
        <w:tc>
          <w:tcPr>
            <w:tcW w:w="998" w:type="dxa"/>
            <w:tcBorders>
              <w:top w:val="single" w:color="auto" w:sz="4" w:space="0"/>
              <w:left w:val="single" w:color="auto" w:sz="4" w:space="0"/>
              <w:bottom w:val="single" w:color="auto" w:sz="4" w:space="0"/>
              <w:right w:val="single" w:color="auto" w:sz="4" w:space="0"/>
            </w:tcBorders>
            <w:vAlign w:val="center"/>
          </w:tcPr>
          <w:p w14:paraId="1F7FCEED">
            <w:pPr>
              <w:pStyle w:val="167"/>
              <w:keepNext w:val="0"/>
              <w:keepLines w:val="0"/>
              <w:suppressLineNumbers w:val="0"/>
              <w:spacing w:before="0" w:beforeAutospacing="0" w:after="0" w:afterAutospacing="0"/>
              <w:ind w:right="0"/>
              <w:rPr>
                <w:rFonts w:hint="default"/>
                <w:color w:val="auto"/>
              </w:rPr>
            </w:pPr>
            <w:r>
              <w:rPr>
                <w:rFonts w:hint="eastAsia"/>
                <w:color w:val="auto"/>
              </w:rPr>
              <w:t>1.0/0.2</w:t>
            </w:r>
          </w:p>
        </w:tc>
        <w:tc>
          <w:tcPr>
            <w:tcW w:w="1016" w:type="dxa"/>
            <w:tcBorders>
              <w:top w:val="single" w:color="auto" w:sz="4" w:space="0"/>
              <w:left w:val="single" w:color="auto" w:sz="4" w:space="0"/>
              <w:bottom w:val="single" w:color="auto" w:sz="4" w:space="0"/>
              <w:right w:val="single" w:color="auto" w:sz="4" w:space="0"/>
            </w:tcBorders>
            <w:vAlign w:val="center"/>
          </w:tcPr>
          <w:p w14:paraId="05321FEF">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6EFFD263">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r w14:paraId="456834B4">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46F4194C">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1D7B65DB">
            <w:pPr>
              <w:pStyle w:val="167"/>
              <w:keepNext w:val="0"/>
              <w:keepLines w:val="0"/>
              <w:suppressLineNumbers w:val="0"/>
              <w:spacing w:before="0" w:beforeAutospacing="0" w:after="0" w:afterAutospacing="0"/>
              <w:ind w:right="0"/>
              <w:rPr>
                <w:rFonts w:hint="default"/>
                <w:color w:val="auto"/>
              </w:rPr>
            </w:pPr>
            <w:r>
              <w:rPr>
                <w:rFonts w:hint="eastAsia"/>
                <w:color w:val="auto"/>
              </w:rPr>
              <w:t>混合罐区汽油罐出口线2</w:t>
            </w:r>
          </w:p>
        </w:tc>
        <w:tc>
          <w:tcPr>
            <w:tcW w:w="850" w:type="dxa"/>
            <w:tcBorders>
              <w:top w:val="single" w:color="auto" w:sz="4" w:space="0"/>
              <w:left w:val="single" w:color="auto" w:sz="4" w:space="0"/>
              <w:bottom w:val="single" w:color="auto" w:sz="4" w:space="0"/>
              <w:right w:val="single" w:color="auto" w:sz="4" w:space="0"/>
            </w:tcBorders>
            <w:vAlign w:val="center"/>
          </w:tcPr>
          <w:p w14:paraId="21FF55F5">
            <w:pPr>
              <w:pStyle w:val="167"/>
              <w:keepNext w:val="0"/>
              <w:keepLines w:val="0"/>
              <w:suppressLineNumbers w:val="0"/>
              <w:spacing w:before="0" w:beforeAutospacing="0" w:after="0" w:afterAutospacing="0"/>
              <w:ind w:right="0"/>
              <w:rPr>
                <w:rFonts w:hint="default"/>
                <w:color w:val="auto"/>
              </w:rPr>
            </w:pPr>
            <w:r>
              <w:rPr>
                <w:rFonts w:hint="eastAsia"/>
                <w:color w:val="auto"/>
              </w:rPr>
              <w:t>400</w:t>
            </w:r>
          </w:p>
        </w:tc>
        <w:tc>
          <w:tcPr>
            <w:tcW w:w="851" w:type="dxa"/>
            <w:tcBorders>
              <w:top w:val="single" w:color="auto" w:sz="4" w:space="0"/>
              <w:left w:val="single" w:color="auto" w:sz="4" w:space="0"/>
              <w:bottom w:val="single" w:color="auto" w:sz="4" w:space="0"/>
              <w:right w:val="single" w:color="auto" w:sz="4" w:space="0"/>
            </w:tcBorders>
            <w:vAlign w:val="center"/>
          </w:tcPr>
          <w:p w14:paraId="5B9151D9">
            <w:pPr>
              <w:pStyle w:val="167"/>
              <w:keepNext w:val="0"/>
              <w:keepLines w:val="0"/>
              <w:suppressLineNumbers w:val="0"/>
              <w:spacing w:before="0" w:beforeAutospacing="0" w:after="0" w:afterAutospacing="0"/>
              <w:ind w:right="0"/>
              <w:rPr>
                <w:rFonts w:hint="default"/>
                <w:color w:val="auto"/>
              </w:rPr>
            </w:pPr>
            <w:r>
              <w:rPr>
                <w:rFonts w:hint="eastAsia"/>
                <w:color w:val="auto"/>
              </w:rPr>
              <w:t>10</w:t>
            </w:r>
          </w:p>
        </w:tc>
        <w:tc>
          <w:tcPr>
            <w:tcW w:w="720" w:type="dxa"/>
            <w:tcBorders>
              <w:top w:val="single" w:color="auto" w:sz="4" w:space="0"/>
              <w:left w:val="single" w:color="auto" w:sz="4" w:space="0"/>
              <w:bottom w:val="single" w:color="auto" w:sz="4" w:space="0"/>
              <w:right w:val="single" w:color="auto" w:sz="4" w:space="0"/>
            </w:tcBorders>
            <w:vAlign w:val="center"/>
          </w:tcPr>
          <w:p w14:paraId="70FDD45C">
            <w:pPr>
              <w:pStyle w:val="167"/>
              <w:keepNext w:val="0"/>
              <w:keepLines w:val="0"/>
              <w:suppressLineNumbers w:val="0"/>
              <w:spacing w:before="0" w:beforeAutospacing="0" w:after="0" w:afterAutospacing="0"/>
              <w:ind w:right="0"/>
              <w:rPr>
                <w:rFonts w:hint="default"/>
                <w:color w:val="auto"/>
              </w:rPr>
            </w:pPr>
            <w:r>
              <w:rPr>
                <w:rFonts w:hint="eastAsia"/>
                <w:color w:val="auto"/>
              </w:rPr>
              <w:t>400</w:t>
            </w:r>
          </w:p>
        </w:tc>
        <w:tc>
          <w:tcPr>
            <w:tcW w:w="998" w:type="dxa"/>
            <w:tcBorders>
              <w:top w:val="single" w:color="auto" w:sz="4" w:space="0"/>
              <w:left w:val="single" w:color="auto" w:sz="4" w:space="0"/>
              <w:bottom w:val="single" w:color="auto" w:sz="4" w:space="0"/>
              <w:right w:val="single" w:color="auto" w:sz="4" w:space="0"/>
            </w:tcBorders>
            <w:vAlign w:val="center"/>
          </w:tcPr>
          <w:p w14:paraId="54C8C827">
            <w:pPr>
              <w:pStyle w:val="167"/>
              <w:keepNext w:val="0"/>
              <w:keepLines w:val="0"/>
              <w:suppressLineNumbers w:val="0"/>
              <w:spacing w:before="0" w:beforeAutospacing="0" w:after="0" w:afterAutospacing="0"/>
              <w:ind w:right="0"/>
              <w:rPr>
                <w:rFonts w:hint="default"/>
                <w:color w:val="auto"/>
              </w:rPr>
            </w:pPr>
            <w:r>
              <w:rPr>
                <w:rFonts w:hint="eastAsia"/>
                <w:color w:val="auto"/>
              </w:rPr>
              <w:t>1.0/0.2</w:t>
            </w:r>
          </w:p>
        </w:tc>
        <w:tc>
          <w:tcPr>
            <w:tcW w:w="1016" w:type="dxa"/>
            <w:tcBorders>
              <w:top w:val="single" w:color="auto" w:sz="4" w:space="0"/>
              <w:left w:val="single" w:color="auto" w:sz="4" w:space="0"/>
              <w:bottom w:val="single" w:color="auto" w:sz="4" w:space="0"/>
              <w:right w:val="single" w:color="auto" w:sz="4" w:space="0"/>
            </w:tcBorders>
            <w:vAlign w:val="center"/>
          </w:tcPr>
          <w:p w14:paraId="35B36E63">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3F9EAD39">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r w14:paraId="694901AD">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49BAC4CB">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1D1C6CB3">
            <w:pPr>
              <w:pStyle w:val="167"/>
              <w:keepNext w:val="0"/>
              <w:keepLines w:val="0"/>
              <w:suppressLineNumbers w:val="0"/>
              <w:spacing w:before="0" w:beforeAutospacing="0" w:after="0" w:afterAutospacing="0"/>
              <w:ind w:right="0"/>
              <w:rPr>
                <w:rFonts w:hint="default"/>
                <w:color w:val="auto"/>
              </w:rPr>
            </w:pPr>
            <w:r>
              <w:rPr>
                <w:rFonts w:hint="eastAsia"/>
                <w:color w:val="auto"/>
              </w:rPr>
              <w:t>混合罐区汽油装车线</w:t>
            </w:r>
          </w:p>
        </w:tc>
        <w:tc>
          <w:tcPr>
            <w:tcW w:w="850" w:type="dxa"/>
            <w:tcBorders>
              <w:top w:val="single" w:color="auto" w:sz="4" w:space="0"/>
              <w:left w:val="single" w:color="auto" w:sz="4" w:space="0"/>
              <w:bottom w:val="single" w:color="auto" w:sz="4" w:space="0"/>
              <w:right w:val="single" w:color="auto" w:sz="4" w:space="0"/>
            </w:tcBorders>
            <w:vAlign w:val="center"/>
          </w:tcPr>
          <w:p w14:paraId="6682D768">
            <w:pPr>
              <w:pStyle w:val="167"/>
              <w:keepNext w:val="0"/>
              <w:keepLines w:val="0"/>
              <w:suppressLineNumbers w:val="0"/>
              <w:spacing w:before="0" w:beforeAutospacing="0" w:after="0" w:afterAutospacing="0"/>
              <w:ind w:right="0"/>
              <w:rPr>
                <w:rFonts w:hint="default"/>
                <w:color w:val="auto"/>
              </w:rPr>
            </w:pPr>
            <w:r>
              <w:rPr>
                <w:rFonts w:hint="eastAsia"/>
                <w:color w:val="auto"/>
              </w:rPr>
              <w:t>200</w:t>
            </w:r>
          </w:p>
        </w:tc>
        <w:tc>
          <w:tcPr>
            <w:tcW w:w="851" w:type="dxa"/>
            <w:tcBorders>
              <w:top w:val="single" w:color="auto" w:sz="4" w:space="0"/>
              <w:left w:val="single" w:color="auto" w:sz="4" w:space="0"/>
              <w:bottom w:val="single" w:color="auto" w:sz="4" w:space="0"/>
              <w:right w:val="single" w:color="auto" w:sz="4" w:space="0"/>
            </w:tcBorders>
            <w:vAlign w:val="center"/>
          </w:tcPr>
          <w:p w14:paraId="448E9C74">
            <w:pPr>
              <w:pStyle w:val="167"/>
              <w:keepNext w:val="0"/>
              <w:keepLines w:val="0"/>
              <w:suppressLineNumbers w:val="0"/>
              <w:spacing w:before="0" w:beforeAutospacing="0" w:after="0" w:afterAutospacing="0"/>
              <w:ind w:right="0"/>
              <w:rPr>
                <w:rFonts w:hint="default"/>
                <w:color w:val="auto"/>
              </w:rPr>
            </w:pPr>
            <w:r>
              <w:rPr>
                <w:rFonts w:hint="eastAsia"/>
                <w:color w:val="auto"/>
              </w:rPr>
              <w:t>8</w:t>
            </w:r>
          </w:p>
        </w:tc>
        <w:tc>
          <w:tcPr>
            <w:tcW w:w="720" w:type="dxa"/>
            <w:tcBorders>
              <w:top w:val="single" w:color="auto" w:sz="4" w:space="0"/>
              <w:left w:val="single" w:color="auto" w:sz="4" w:space="0"/>
              <w:bottom w:val="single" w:color="auto" w:sz="4" w:space="0"/>
              <w:right w:val="single" w:color="auto" w:sz="4" w:space="0"/>
            </w:tcBorders>
            <w:vAlign w:val="center"/>
          </w:tcPr>
          <w:p w14:paraId="2E14E8A8">
            <w:pPr>
              <w:pStyle w:val="167"/>
              <w:keepNext w:val="0"/>
              <w:keepLines w:val="0"/>
              <w:suppressLineNumbers w:val="0"/>
              <w:spacing w:before="0" w:beforeAutospacing="0" w:after="0" w:afterAutospacing="0"/>
              <w:ind w:right="0"/>
              <w:rPr>
                <w:rFonts w:hint="default"/>
                <w:color w:val="auto"/>
              </w:rPr>
            </w:pPr>
            <w:r>
              <w:rPr>
                <w:rFonts w:hint="eastAsia"/>
                <w:color w:val="auto"/>
              </w:rPr>
              <w:t>400</w:t>
            </w:r>
          </w:p>
        </w:tc>
        <w:tc>
          <w:tcPr>
            <w:tcW w:w="998" w:type="dxa"/>
            <w:tcBorders>
              <w:top w:val="single" w:color="auto" w:sz="4" w:space="0"/>
              <w:left w:val="single" w:color="auto" w:sz="4" w:space="0"/>
              <w:bottom w:val="single" w:color="auto" w:sz="4" w:space="0"/>
              <w:right w:val="single" w:color="auto" w:sz="4" w:space="0"/>
            </w:tcBorders>
            <w:vAlign w:val="center"/>
          </w:tcPr>
          <w:p w14:paraId="732E38B0">
            <w:pPr>
              <w:pStyle w:val="167"/>
              <w:keepNext w:val="0"/>
              <w:keepLines w:val="0"/>
              <w:suppressLineNumbers w:val="0"/>
              <w:spacing w:before="0" w:beforeAutospacing="0" w:after="0" w:afterAutospacing="0"/>
              <w:ind w:right="0"/>
              <w:rPr>
                <w:rFonts w:hint="default"/>
                <w:color w:val="auto"/>
              </w:rPr>
            </w:pPr>
            <w:r>
              <w:rPr>
                <w:rFonts w:hint="eastAsia"/>
                <w:color w:val="auto"/>
              </w:rPr>
              <w:t>1.6/0.2</w:t>
            </w:r>
          </w:p>
        </w:tc>
        <w:tc>
          <w:tcPr>
            <w:tcW w:w="1016" w:type="dxa"/>
            <w:tcBorders>
              <w:top w:val="single" w:color="auto" w:sz="4" w:space="0"/>
              <w:left w:val="single" w:color="auto" w:sz="4" w:space="0"/>
              <w:bottom w:val="single" w:color="auto" w:sz="4" w:space="0"/>
              <w:right w:val="single" w:color="auto" w:sz="4" w:space="0"/>
            </w:tcBorders>
            <w:vAlign w:val="center"/>
          </w:tcPr>
          <w:p w14:paraId="4F41B8F7">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2761AD7B">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r w14:paraId="73587BCB">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30D23A51">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0C14018E">
            <w:pPr>
              <w:pStyle w:val="167"/>
              <w:keepNext w:val="0"/>
              <w:keepLines w:val="0"/>
              <w:suppressLineNumbers w:val="0"/>
              <w:spacing w:before="0" w:beforeAutospacing="0" w:after="0" w:afterAutospacing="0"/>
              <w:ind w:right="0"/>
              <w:rPr>
                <w:rFonts w:hint="default"/>
                <w:color w:val="auto"/>
              </w:rPr>
            </w:pPr>
            <w:r>
              <w:rPr>
                <w:rFonts w:hint="eastAsia"/>
                <w:color w:val="auto"/>
              </w:rPr>
              <w:t>混合罐区柴油罐出口线</w:t>
            </w:r>
          </w:p>
        </w:tc>
        <w:tc>
          <w:tcPr>
            <w:tcW w:w="850" w:type="dxa"/>
            <w:tcBorders>
              <w:top w:val="single" w:color="auto" w:sz="4" w:space="0"/>
              <w:left w:val="single" w:color="auto" w:sz="4" w:space="0"/>
              <w:bottom w:val="single" w:color="auto" w:sz="4" w:space="0"/>
              <w:right w:val="single" w:color="auto" w:sz="4" w:space="0"/>
            </w:tcBorders>
            <w:vAlign w:val="center"/>
          </w:tcPr>
          <w:p w14:paraId="768C6D0A">
            <w:pPr>
              <w:pStyle w:val="167"/>
              <w:keepNext w:val="0"/>
              <w:keepLines w:val="0"/>
              <w:suppressLineNumbers w:val="0"/>
              <w:spacing w:before="0" w:beforeAutospacing="0" w:after="0" w:afterAutospacing="0"/>
              <w:ind w:right="0"/>
              <w:rPr>
                <w:rFonts w:hint="default"/>
                <w:color w:val="auto"/>
              </w:rPr>
            </w:pPr>
            <w:r>
              <w:rPr>
                <w:rFonts w:hint="eastAsia"/>
                <w:color w:val="auto"/>
              </w:rPr>
              <w:t>400</w:t>
            </w:r>
          </w:p>
        </w:tc>
        <w:tc>
          <w:tcPr>
            <w:tcW w:w="851" w:type="dxa"/>
            <w:tcBorders>
              <w:top w:val="single" w:color="auto" w:sz="4" w:space="0"/>
              <w:left w:val="single" w:color="auto" w:sz="4" w:space="0"/>
              <w:bottom w:val="single" w:color="auto" w:sz="4" w:space="0"/>
              <w:right w:val="single" w:color="auto" w:sz="4" w:space="0"/>
            </w:tcBorders>
            <w:vAlign w:val="center"/>
          </w:tcPr>
          <w:p w14:paraId="04400B47">
            <w:pPr>
              <w:pStyle w:val="167"/>
              <w:keepNext w:val="0"/>
              <w:keepLines w:val="0"/>
              <w:suppressLineNumbers w:val="0"/>
              <w:spacing w:before="0" w:beforeAutospacing="0" w:after="0" w:afterAutospacing="0"/>
              <w:ind w:right="0"/>
              <w:rPr>
                <w:rFonts w:hint="default"/>
                <w:color w:val="auto"/>
              </w:rPr>
            </w:pPr>
            <w:r>
              <w:rPr>
                <w:rFonts w:hint="eastAsia"/>
                <w:color w:val="auto"/>
              </w:rPr>
              <w:t>10</w:t>
            </w:r>
          </w:p>
        </w:tc>
        <w:tc>
          <w:tcPr>
            <w:tcW w:w="720" w:type="dxa"/>
            <w:tcBorders>
              <w:top w:val="single" w:color="auto" w:sz="4" w:space="0"/>
              <w:left w:val="single" w:color="auto" w:sz="4" w:space="0"/>
              <w:bottom w:val="single" w:color="auto" w:sz="4" w:space="0"/>
              <w:right w:val="single" w:color="auto" w:sz="4" w:space="0"/>
            </w:tcBorders>
            <w:vAlign w:val="center"/>
          </w:tcPr>
          <w:p w14:paraId="27FD52F9">
            <w:pPr>
              <w:pStyle w:val="167"/>
              <w:keepNext w:val="0"/>
              <w:keepLines w:val="0"/>
              <w:suppressLineNumbers w:val="0"/>
              <w:spacing w:before="0" w:beforeAutospacing="0" w:after="0" w:afterAutospacing="0"/>
              <w:ind w:right="0"/>
              <w:rPr>
                <w:rFonts w:hint="default"/>
                <w:color w:val="auto"/>
              </w:rPr>
            </w:pPr>
            <w:r>
              <w:rPr>
                <w:rFonts w:hint="eastAsia"/>
                <w:color w:val="auto"/>
              </w:rPr>
              <w:t>300</w:t>
            </w:r>
          </w:p>
        </w:tc>
        <w:tc>
          <w:tcPr>
            <w:tcW w:w="998" w:type="dxa"/>
            <w:tcBorders>
              <w:top w:val="single" w:color="auto" w:sz="4" w:space="0"/>
              <w:left w:val="single" w:color="auto" w:sz="4" w:space="0"/>
              <w:bottom w:val="single" w:color="auto" w:sz="4" w:space="0"/>
              <w:right w:val="single" w:color="auto" w:sz="4" w:space="0"/>
            </w:tcBorders>
            <w:vAlign w:val="center"/>
          </w:tcPr>
          <w:p w14:paraId="3C64EC6E">
            <w:pPr>
              <w:pStyle w:val="167"/>
              <w:keepNext w:val="0"/>
              <w:keepLines w:val="0"/>
              <w:suppressLineNumbers w:val="0"/>
              <w:spacing w:before="0" w:beforeAutospacing="0" w:after="0" w:afterAutospacing="0"/>
              <w:ind w:right="0"/>
              <w:rPr>
                <w:rFonts w:hint="default"/>
                <w:color w:val="auto"/>
              </w:rPr>
            </w:pPr>
            <w:r>
              <w:rPr>
                <w:rFonts w:hint="eastAsia"/>
                <w:color w:val="auto"/>
              </w:rPr>
              <w:t>1.0/0.2</w:t>
            </w:r>
          </w:p>
        </w:tc>
        <w:tc>
          <w:tcPr>
            <w:tcW w:w="1016" w:type="dxa"/>
            <w:tcBorders>
              <w:top w:val="single" w:color="auto" w:sz="4" w:space="0"/>
              <w:left w:val="single" w:color="auto" w:sz="4" w:space="0"/>
              <w:bottom w:val="single" w:color="auto" w:sz="4" w:space="0"/>
              <w:right w:val="single" w:color="auto" w:sz="4" w:space="0"/>
            </w:tcBorders>
            <w:vAlign w:val="center"/>
          </w:tcPr>
          <w:p w14:paraId="06CF06DD">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4F470A07">
            <w:pPr>
              <w:pStyle w:val="167"/>
              <w:keepNext w:val="0"/>
              <w:keepLines w:val="0"/>
              <w:suppressLineNumbers w:val="0"/>
              <w:spacing w:before="0" w:beforeAutospacing="0" w:after="0" w:afterAutospacing="0"/>
              <w:ind w:right="0"/>
              <w:rPr>
                <w:rFonts w:hint="default"/>
                <w:color w:val="auto"/>
              </w:rPr>
            </w:pPr>
            <w:r>
              <w:rPr>
                <w:rFonts w:hint="eastAsia"/>
                <w:color w:val="auto"/>
              </w:rPr>
              <w:t>柴油</w:t>
            </w:r>
          </w:p>
        </w:tc>
      </w:tr>
      <w:tr w14:paraId="16EA4682">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2491FF01">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0FF07E57">
            <w:pPr>
              <w:pStyle w:val="167"/>
              <w:keepNext w:val="0"/>
              <w:keepLines w:val="0"/>
              <w:suppressLineNumbers w:val="0"/>
              <w:spacing w:before="0" w:beforeAutospacing="0" w:after="0" w:afterAutospacing="0"/>
              <w:ind w:right="0"/>
              <w:rPr>
                <w:rFonts w:hint="default"/>
                <w:color w:val="auto"/>
              </w:rPr>
            </w:pPr>
            <w:r>
              <w:rPr>
                <w:rFonts w:hint="eastAsia"/>
                <w:color w:val="auto"/>
              </w:rPr>
              <w:t>混合罐区柴油罐装车线</w:t>
            </w:r>
          </w:p>
        </w:tc>
        <w:tc>
          <w:tcPr>
            <w:tcW w:w="850" w:type="dxa"/>
            <w:tcBorders>
              <w:top w:val="single" w:color="auto" w:sz="4" w:space="0"/>
              <w:left w:val="single" w:color="auto" w:sz="4" w:space="0"/>
              <w:bottom w:val="single" w:color="auto" w:sz="4" w:space="0"/>
              <w:right w:val="single" w:color="auto" w:sz="4" w:space="0"/>
            </w:tcBorders>
            <w:vAlign w:val="center"/>
          </w:tcPr>
          <w:p w14:paraId="182B9332">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vAlign w:val="center"/>
          </w:tcPr>
          <w:p w14:paraId="5ABA927F">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4292E7DB">
            <w:pPr>
              <w:pStyle w:val="167"/>
              <w:keepNext w:val="0"/>
              <w:keepLines w:val="0"/>
              <w:suppressLineNumbers w:val="0"/>
              <w:spacing w:before="0" w:beforeAutospacing="0" w:after="0" w:afterAutospacing="0"/>
              <w:ind w:right="0"/>
              <w:rPr>
                <w:rFonts w:hint="default"/>
                <w:color w:val="auto"/>
              </w:rPr>
            </w:pPr>
            <w:r>
              <w:rPr>
                <w:rFonts w:hint="eastAsia"/>
                <w:color w:val="auto"/>
              </w:rPr>
              <w:t>300</w:t>
            </w:r>
          </w:p>
        </w:tc>
        <w:tc>
          <w:tcPr>
            <w:tcW w:w="998" w:type="dxa"/>
            <w:tcBorders>
              <w:top w:val="single" w:color="auto" w:sz="4" w:space="0"/>
              <w:left w:val="single" w:color="auto" w:sz="4" w:space="0"/>
              <w:bottom w:val="single" w:color="auto" w:sz="4" w:space="0"/>
              <w:right w:val="single" w:color="auto" w:sz="4" w:space="0"/>
            </w:tcBorders>
            <w:vAlign w:val="center"/>
          </w:tcPr>
          <w:p w14:paraId="18D58E9C">
            <w:pPr>
              <w:pStyle w:val="167"/>
              <w:keepNext w:val="0"/>
              <w:keepLines w:val="0"/>
              <w:suppressLineNumbers w:val="0"/>
              <w:spacing w:before="0" w:beforeAutospacing="0" w:after="0" w:afterAutospacing="0"/>
              <w:ind w:right="0"/>
              <w:rPr>
                <w:rFonts w:hint="default"/>
                <w:color w:val="auto"/>
              </w:rPr>
            </w:pPr>
            <w:r>
              <w:rPr>
                <w:rFonts w:hint="eastAsia"/>
                <w:color w:val="auto"/>
              </w:rPr>
              <w:t>1.0/0.2</w:t>
            </w:r>
          </w:p>
        </w:tc>
        <w:tc>
          <w:tcPr>
            <w:tcW w:w="1016" w:type="dxa"/>
            <w:tcBorders>
              <w:top w:val="single" w:color="auto" w:sz="4" w:space="0"/>
              <w:left w:val="single" w:color="auto" w:sz="4" w:space="0"/>
              <w:bottom w:val="single" w:color="auto" w:sz="4" w:space="0"/>
              <w:right w:val="single" w:color="auto" w:sz="4" w:space="0"/>
            </w:tcBorders>
            <w:vAlign w:val="center"/>
          </w:tcPr>
          <w:p w14:paraId="53CCA62D">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6D0FEC54">
            <w:pPr>
              <w:pStyle w:val="167"/>
              <w:keepNext w:val="0"/>
              <w:keepLines w:val="0"/>
              <w:suppressLineNumbers w:val="0"/>
              <w:spacing w:before="0" w:beforeAutospacing="0" w:after="0" w:afterAutospacing="0"/>
              <w:ind w:right="0"/>
              <w:rPr>
                <w:rFonts w:hint="default"/>
                <w:color w:val="auto"/>
              </w:rPr>
            </w:pPr>
            <w:r>
              <w:rPr>
                <w:rFonts w:hint="eastAsia"/>
                <w:color w:val="auto"/>
              </w:rPr>
              <w:t>柴油</w:t>
            </w:r>
          </w:p>
        </w:tc>
      </w:tr>
      <w:tr w14:paraId="04BBB606">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349FA399">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6B53EB2A">
            <w:pPr>
              <w:pStyle w:val="167"/>
              <w:keepNext w:val="0"/>
              <w:keepLines w:val="0"/>
              <w:suppressLineNumbers w:val="0"/>
              <w:spacing w:before="0" w:beforeAutospacing="0" w:after="0" w:afterAutospacing="0"/>
              <w:ind w:right="0"/>
              <w:rPr>
                <w:rFonts w:hint="default"/>
                <w:color w:val="auto"/>
              </w:rPr>
            </w:pPr>
            <w:r>
              <w:rPr>
                <w:rFonts w:hint="eastAsia"/>
                <w:color w:val="auto"/>
              </w:rPr>
              <w:t>混合罐区柴油罐装车线</w:t>
            </w:r>
          </w:p>
        </w:tc>
        <w:tc>
          <w:tcPr>
            <w:tcW w:w="850" w:type="dxa"/>
            <w:tcBorders>
              <w:top w:val="single" w:color="auto" w:sz="4" w:space="0"/>
              <w:left w:val="single" w:color="auto" w:sz="4" w:space="0"/>
              <w:bottom w:val="single" w:color="auto" w:sz="4" w:space="0"/>
              <w:right w:val="single" w:color="auto" w:sz="4" w:space="0"/>
            </w:tcBorders>
            <w:vAlign w:val="center"/>
          </w:tcPr>
          <w:p w14:paraId="0D718825">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vAlign w:val="center"/>
          </w:tcPr>
          <w:p w14:paraId="5780BDD8">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00FFEF79">
            <w:pPr>
              <w:pStyle w:val="167"/>
              <w:keepNext w:val="0"/>
              <w:keepLines w:val="0"/>
              <w:suppressLineNumbers w:val="0"/>
              <w:spacing w:before="0" w:beforeAutospacing="0" w:after="0" w:afterAutospacing="0"/>
              <w:ind w:right="0"/>
              <w:rPr>
                <w:rFonts w:hint="default"/>
                <w:color w:val="auto"/>
              </w:rPr>
            </w:pPr>
            <w:r>
              <w:rPr>
                <w:rFonts w:hint="eastAsia"/>
                <w:color w:val="auto"/>
              </w:rPr>
              <w:t>200</w:t>
            </w:r>
          </w:p>
        </w:tc>
        <w:tc>
          <w:tcPr>
            <w:tcW w:w="998" w:type="dxa"/>
            <w:tcBorders>
              <w:top w:val="single" w:color="auto" w:sz="4" w:space="0"/>
              <w:left w:val="single" w:color="auto" w:sz="4" w:space="0"/>
              <w:bottom w:val="single" w:color="auto" w:sz="4" w:space="0"/>
              <w:right w:val="single" w:color="auto" w:sz="4" w:space="0"/>
            </w:tcBorders>
            <w:vAlign w:val="center"/>
          </w:tcPr>
          <w:p w14:paraId="7592ACED">
            <w:pPr>
              <w:pStyle w:val="167"/>
              <w:keepNext w:val="0"/>
              <w:keepLines w:val="0"/>
              <w:suppressLineNumbers w:val="0"/>
              <w:spacing w:before="0" w:beforeAutospacing="0" w:after="0" w:afterAutospacing="0"/>
              <w:ind w:right="0"/>
              <w:rPr>
                <w:rFonts w:hint="default"/>
                <w:color w:val="auto"/>
              </w:rPr>
            </w:pPr>
            <w:r>
              <w:rPr>
                <w:rFonts w:hint="eastAsia"/>
                <w:color w:val="auto"/>
              </w:rPr>
              <w:t>1.0/0.2</w:t>
            </w:r>
          </w:p>
        </w:tc>
        <w:tc>
          <w:tcPr>
            <w:tcW w:w="1016" w:type="dxa"/>
            <w:tcBorders>
              <w:top w:val="single" w:color="auto" w:sz="4" w:space="0"/>
              <w:left w:val="single" w:color="auto" w:sz="4" w:space="0"/>
              <w:bottom w:val="single" w:color="auto" w:sz="4" w:space="0"/>
              <w:right w:val="single" w:color="auto" w:sz="4" w:space="0"/>
            </w:tcBorders>
            <w:vAlign w:val="center"/>
          </w:tcPr>
          <w:p w14:paraId="1700F43E">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1AA69C02">
            <w:pPr>
              <w:pStyle w:val="167"/>
              <w:keepNext w:val="0"/>
              <w:keepLines w:val="0"/>
              <w:suppressLineNumbers w:val="0"/>
              <w:spacing w:before="0" w:beforeAutospacing="0" w:after="0" w:afterAutospacing="0"/>
              <w:ind w:right="0"/>
              <w:rPr>
                <w:rFonts w:hint="default"/>
                <w:color w:val="auto"/>
              </w:rPr>
            </w:pPr>
            <w:r>
              <w:rPr>
                <w:rFonts w:hint="eastAsia"/>
                <w:color w:val="auto"/>
              </w:rPr>
              <w:t>柴油</w:t>
            </w:r>
          </w:p>
        </w:tc>
      </w:tr>
      <w:tr w14:paraId="66B5F7E2">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3042A79F">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08255562">
            <w:pPr>
              <w:pStyle w:val="167"/>
              <w:keepNext w:val="0"/>
              <w:keepLines w:val="0"/>
              <w:suppressLineNumbers w:val="0"/>
              <w:spacing w:before="0" w:beforeAutospacing="0" w:after="0" w:afterAutospacing="0"/>
              <w:ind w:right="0"/>
              <w:rPr>
                <w:rFonts w:hint="default"/>
                <w:color w:val="auto"/>
              </w:rPr>
            </w:pPr>
            <w:r>
              <w:rPr>
                <w:rFonts w:hint="eastAsia"/>
                <w:color w:val="auto"/>
              </w:rPr>
              <w:t>混合罐区柴油长输线</w:t>
            </w:r>
          </w:p>
        </w:tc>
        <w:tc>
          <w:tcPr>
            <w:tcW w:w="850" w:type="dxa"/>
            <w:tcBorders>
              <w:top w:val="single" w:color="auto" w:sz="4" w:space="0"/>
              <w:left w:val="single" w:color="auto" w:sz="4" w:space="0"/>
              <w:bottom w:val="single" w:color="auto" w:sz="4" w:space="0"/>
              <w:right w:val="single" w:color="auto" w:sz="4" w:space="0"/>
            </w:tcBorders>
            <w:vAlign w:val="center"/>
          </w:tcPr>
          <w:p w14:paraId="1B49432E">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vAlign w:val="center"/>
          </w:tcPr>
          <w:p w14:paraId="64A3067D">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5D3CCDE3">
            <w:pPr>
              <w:pStyle w:val="167"/>
              <w:keepNext w:val="0"/>
              <w:keepLines w:val="0"/>
              <w:suppressLineNumbers w:val="0"/>
              <w:spacing w:before="0" w:beforeAutospacing="0" w:after="0" w:afterAutospacing="0"/>
              <w:ind w:right="0"/>
              <w:rPr>
                <w:rFonts w:hint="default"/>
                <w:color w:val="auto"/>
              </w:rPr>
            </w:pPr>
            <w:r>
              <w:rPr>
                <w:rFonts w:hint="eastAsia"/>
                <w:color w:val="auto"/>
              </w:rPr>
              <w:t>320</w:t>
            </w:r>
          </w:p>
        </w:tc>
        <w:tc>
          <w:tcPr>
            <w:tcW w:w="998" w:type="dxa"/>
            <w:tcBorders>
              <w:top w:val="single" w:color="auto" w:sz="4" w:space="0"/>
              <w:left w:val="single" w:color="auto" w:sz="4" w:space="0"/>
              <w:bottom w:val="single" w:color="auto" w:sz="4" w:space="0"/>
              <w:right w:val="single" w:color="auto" w:sz="4" w:space="0"/>
            </w:tcBorders>
            <w:vAlign w:val="center"/>
          </w:tcPr>
          <w:p w14:paraId="00B36D90">
            <w:pPr>
              <w:pStyle w:val="167"/>
              <w:keepNext w:val="0"/>
              <w:keepLines w:val="0"/>
              <w:suppressLineNumbers w:val="0"/>
              <w:spacing w:before="0" w:beforeAutospacing="0" w:after="0" w:afterAutospacing="0"/>
              <w:ind w:right="0"/>
              <w:rPr>
                <w:rFonts w:hint="default"/>
                <w:color w:val="auto"/>
              </w:rPr>
            </w:pPr>
            <w:r>
              <w:rPr>
                <w:rFonts w:hint="eastAsia"/>
                <w:color w:val="auto"/>
              </w:rPr>
              <w:t>4.0/2.0</w:t>
            </w:r>
          </w:p>
        </w:tc>
        <w:tc>
          <w:tcPr>
            <w:tcW w:w="1016" w:type="dxa"/>
            <w:tcBorders>
              <w:top w:val="single" w:color="auto" w:sz="4" w:space="0"/>
              <w:left w:val="single" w:color="auto" w:sz="4" w:space="0"/>
              <w:bottom w:val="single" w:color="auto" w:sz="4" w:space="0"/>
              <w:right w:val="single" w:color="auto" w:sz="4" w:space="0"/>
            </w:tcBorders>
            <w:vAlign w:val="center"/>
          </w:tcPr>
          <w:p w14:paraId="7E7ED698">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62FB88A4">
            <w:pPr>
              <w:pStyle w:val="167"/>
              <w:keepNext w:val="0"/>
              <w:keepLines w:val="0"/>
              <w:suppressLineNumbers w:val="0"/>
              <w:spacing w:before="0" w:beforeAutospacing="0" w:after="0" w:afterAutospacing="0"/>
              <w:ind w:right="0"/>
              <w:rPr>
                <w:rFonts w:hint="default"/>
                <w:color w:val="auto"/>
              </w:rPr>
            </w:pPr>
            <w:r>
              <w:rPr>
                <w:rFonts w:hint="eastAsia"/>
                <w:color w:val="auto"/>
              </w:rPr>
              <w:t>柴油</w:t>
            </w:r>
          </w:p>
        </w:tc>
      </w:tr>
      <w:tr w14:paraId="47CC8CF8">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6DF3800D">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31846298">
            <w:pPr>
              <w:pStyle w:val="167"/>
              <w:keepNext w:val="0"/>
              <w:keepLines w:val="0"/>
              <w:suppressLineNumbers w:val="0"/>
              <w:spacing w:before="0" w:beforeAutospacing="0" w:after="0" w:afterAutospacing="0"/>
              <w:ind w:right="0"/>
              <w:rPr>
                <w:rFonts w:hint="default"/>
                <w:color w:val="auto"/>
              </w:rPr>
            </w:pPr>
            <w:r>
              <w:rPr>
                <w:rFonts w:hint="eastAsia"/>
                <w:color w:val="auto"/>
              </w:rPr>
              <w:t>火车装车汽油回流线</w:t>
            </w:r>
          </w:p>
        </w:tc>
        <w:tc>
          <w:tcPr>
            <w:tcW w:w="850" w:type="dxa"/>
            <w:tcBorders>
              <w:top w:val="single" w:color="auto" w:sz="4" w:space="0"/>
              <w:left w:val="single" w:color="auto" w:sz="4" w:space="0"/>
              <w:bottom w:val="single" w:color="auto" w:sz="4" w:space="0"/>
              <w:right w:val="single" w:color="auto" w:sz="4" w:space="0"/>
            </w:tcBorders>
            <w:vAlign w:val="center"/>
          </w:tcPr>
          <w:p w14:paraId="3EC71C0A">
            <w:pPr>
              <w:pStyle w:val="167"/>
              <w:keepNext w:val="0"/>
              <w:keepLines w:val="0"/>
              <w:suppressLineNumbers w:val="0"/>
              <w:spacing w:before="0" w:beforeAutospacing="0" w:after="0" w:afterAutospacing="0"/>
              <w:ind w:right="0"/>
              <w:rPr>
                <w:rFonts w:hint="default"/>
                <w:color w:val="auto"/>
              </w:rPr>
            </w:pPr>
            <w:r>
              <w:rPr>
                <w:rFonts w:hint="eastAsia"/>
                <w:color w:val="auto"/>
              </w:rPr>
              <w:t>80</w:t>
            </w:r>
          </w:p>
        </w:tc>
        <w:tc>
          <w:tcPr>
            <w:tcW w:w="851" w:type="dxa"/>
            <w:tcBorders>
              <w:top w:val="single" w:color="auto" w:sz="4" w:space="0"/>
              <w:left w:val="single" w:color="auto" w:sz="4" w:space="0"/>
              <w:bottom w:val="single" w:color="auto" w:sz="4" w:space="0"/>
              <w:right w:val="single" w:color="auto" w:sz="4" w:space="0"/>
            </w:tcBorders>
            <w:vAlign w:val="center"/>
          </w:tcPr>
          <w:p w14:paraId="778B75A9">
            <w:pPr>
              <w:pStyle w:val="167"/>
              <w:keepNext w:val="0"/>
              <w:keepLines w:val="0"/>
              <w:suppressLineNumbers w:val="0"/>
              <w:spacing w:before="0" w:beforeAutospacing="0" w:after="0" w:afterAutospacing="0"/>
              <w:ind w:right="0"/>
              <w:rPr>
                <w:rFonts w:hint="default"/>
                <w:color w:val="auto"/>
              </w:rPr>
            </w:pPr>
            <w:r>
              <w:rPr>
                <w:rFonts w:hint="eastAsia"/>
                <w:color w:val="auto"/>
              </w:rPr>
              <w:t>4</w:t>
            </w:r>
          </w:p>
        </w:tc>
        <w:tc>
          <w:tcPr>
            <w:tcW w:w="720" w:type="dxa"/>
            <w:tcBorders>
              <w:top w:val="single" w:color="auto" w:sz="4" w:space="0"/>
              <w:left w:val="single" w:color="auto" w:sz="4" w:space="0"/>
              <w:bottom w:val="single" w:color="auto" w:sz="4" w:space="0"/>
              <w:right w:val="single" w:color="auto" w:sz="4" w:space="0"/>
            </w:tcBorders>
            <w:vAlign w:val="center"/>
          </w:tcPr>
          <w:p w14:paraId="3C2DBFEB">
            <w:pPr>
              <w:pStyle w:val="167"/>
              <w:keepNext w:val="0"/>
              <w:keepLines w:val="0"/>
              <w:suppressLineNumbers w:val="0"/>
              <w:spacing w:before="0" w:beforeAutospacing="0" w:after="0" w:afterAutospacing="0"/>
              <w:ind w:right="0"/>
              <w:rPr>
                <w:rFonts w:hint="default"/>
                <w:color w:val="auto"/>
              </w:rPr>
            </w:pPr>
            <w:r>
              <w:rPr>
                <w:rFonts w:hint="eastAsia"/>
                <w:color w:val="auto"/>
              </w:rPr>
              <w:t>660</w:t>
            </w:r>
          </w:p>
        </w:tc>
        <w:tc>
          <w:tcPr>
            <w:tcW w:w="998" w:type="dxa"/>
            <w:tcBorders>
              <w:top w:val="single" w:color="auto" w:sz="4" w:space="0"/>
              <w:left w:val="single" w:color="auto" w:sz="4" w:space="0"/>
              <w:bottom w:val="single" w:color="auto" w:sz="4" w:space="0"/>
              <w:right w:val="single" w:color="auto" w:sz="4" w:space="0"/>
            </w:tcBorders>
            <w:vAlign w:val="center"/>
          </w:tcPr>
          <w:p w14:paraId="42286706">
            <w:pPr>
              <w:pStyle w:val="167"/>
              <w:keepNext w:val="0"/>
              <w:keepLines w:val="0"/>
              <w:suppressLineNumbers w:val="0"/>
              <w:spacing w:before="0" w:beforeAutospacing="0" w:after="0" w:afterAutospacing="0"/>
              <w:ind w:right="0"/>
              <w:rPr>
                <w:rFonts w:hint="default"/>
                <w:color w:val="auto"/>
              </w:rPr>
            </w:pPr>
            <w:r>
              <w:rPr>
                <w:rFonts w:hint="eastAsia"/>
                <w:color w:val="auto"/>
              </w:rPr>
              <w:t>1.6/0.5</w:t>
            </w:r>
          </w:p>
        </w:tc>
        <w:tc>
          <w:tcPr>
            <w:tcW w:w="1016" w:type="dxa"/>
            <w:tcBorders>
              <w:top w:val="single" w:color="auto" w:sz="4" w:space="0"/>
              <w:left w:val="single" w:color="auto" w:sz="4" w:space="0"/>
              <w:bottom w:val="single" w:color="auto" w:sz="4" w:space="0"/>
              <w:right w:val="single" w:color="auto" w:sz="4" w:space="0"/>
            </w:tcBorders>
            <w:vAlign w:val="center"/>
          </w:tcPr>
          <w:p w14:paraId="2305240D">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1744DC85">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r w14:paraId="49B74F91">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0D48D7D8">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3E8D3377">
            <w:pPr>
              <w:pStyle w:val="167"/>
              <w:keepNext w:val="0"/>
              <w:keepLines w:val="0"/>
              <w:suppressLineNumbers w:val="0"/>
              <w:spacing w:before="0" w:beforeAutospacing="0" w:after="0" w:afterAutospacing="0"/>
              <w:ind w:right="0"/>
              <w:rPr>
                <w:rFonts w:hint="default"/>
                <w:color w:val="auto"/>
              </w:rPr>
            </w:pPr>
            <w:r>
              <w:rPr>
                <w:rFonts w:hint="eastAsia"/>
                <w:color w:val="auto"/>
              </w:rPr>
              <w:t>火车装车柴油回流线</w:t>
            </w:r>
          </w:p>
        </w:tc>
        <w:tc>
          <w:tcPr>
            <w:tcW w:w="850" w:type="dxa"/>
            <w:tcBorders>
              <w:top w:val="single" w:color="auto" w:sz="4" w:space="0"/>
              <w:left w:val="single" w:color="auto" w:sz="4" w:space="0"/>
              <w:bottom w:val="single" w:color="auto" w:sz="4" w:space="0"/>
              <w:right w:val="single" w:color="auto" w:sz="4" w:space="0"/>
            </w:tcBorders>
            <w:vAlign w:val="center"/>
          </w:tcPr>
          <w:p w14:paraId="49FC2656">
            <w:pPr>
              <w:pStyle w:val="167"/>
              <w:keepNext w:val="0"/>
              <w:keepLines w:val="0"/>
              <w:suppressLineNumbers w:val="0"/>
              <w:spacing w:before="0" w:beforeAutospacing="0" w:after="0" w:afterAutospacing="0"/>
              <w:ind w:right="0"/>
              <w:rPr>
                <w:rFonts w:hint="default"/>
                <w:color w:val="auto"/>
              </w:rPr>
            </w:pPr>
            <w:r>
              <w:rPr>
                <w:rFonts w:hint="eastAsia"/>
                <w:color w:val="auto"/>
              </w:rPr>
              <w:t>80</w:t>
            </w:r>
          </w:p>
        </w:tc>
        <w:tc>
          <w:tcPr>
            <w:tcW w:w="851" w:type="dxa"/>
            <w:tcBorders>
              <w:top w:val="single" w:color="auto" w:sz="4" w:space="0"/>
              <w:left w:val="single" w:color="auto" w:sz="4" w:space="0"/>
              <w:bottom w:val="single" w:color="auto" w:sz="4" w:space="0"/>
              <w:right w:val="single" w:color="auto" w:sz="4" w:space="0"/>
            </w:tcBorders>
            <w:vAlign w:val="center"/>
          </w:tcPr>
          <w:p w14:paraId="69577D5E">
            <w:pPr>
              <w:pStyle w:val="167"/>
              <w:keepNext w:val="0"/>
              <w:keepLines w:val="0"/>
              <w:suppressLineNumbers w:val="0"/>
              <w:spacing w:before="0" w:beforeAutospacing="0" w:after="0" w:afterAutospacing="0"/>
              <w:ind w:right="0"/>
              <w:rPr>
                <w:rFonts w:hint="default"/>
                <w:color w:val="auto"/>
              </w:rPr>
            </w:pPr>
            <w:r>
              <w:rPr>
                <w:rFonts w:hint="eastAsia"/>
                <w:color w:val="auto"/>
              </w:rPr>
              <w:t>4</w:t>
            </w:r>
          </w:p>
        </w:tc>
        <w:tc>
          <w:tcPr>
            <w:tcW w:w="720" w:type="dxa"/>
            <w:tcBorders>
              <w:top w:val="single" w:color="auto" w:sz="4" w:space="0"/>
              <w:left w:val="single" w:color="auto" w:sz="4" w:space="0"/>
              <w:bottom w:val="single" w:color="auto" w:sz="4" w:space="0"/>
              <w:right w:val="single" w:color="auto" w:sz="4" w:space="0"/>
            </w:tcBorders>
            <w:vAlign w:val="center"/>
          </w:tcPr>
          <w:p w14:paraId="5C716DF7">
            <w:pPr>
              <w:pStyle w:val="167"/>
              <w:keepNext w:val="0"/>
              <w:keepLines w:val="0"/>
              <w:suppressLineNumbers w:val="0"/>
              <w:spacing w:before="0" w:beforeAutospacing="0" w:after="0" w:afterAutospacing="0"/>
              <w:ind w:right="0"/>
              <w:rPr>
                <w:rFonts w:hint="default"/>
                <w:color w:val="auto"/>
              </w:rPr>
            </w:pPr>
            <w:r>
              <w:rPr>
                <w:rFonts w:hint="eastAsia"/>
                <w:color w:val="auto"/>
              </w:rPr>
              <w:t>550</w:t>
            </w:r>
          </w:p>
        </w:tc>
        <w:tc>
          <w:tcPr>
            <w:tcW w:w="998" w:type="dxa"/>
            <w:tcBorders>
              <w:top w:val="single" w:color="auto" w:sz="4" w:space="0"/>
              <w:left w:val="single" w:color="auto" w:sz="4" w:space="0"/>
              <w:bottom w:val="single" w:color="auto" w:sz="4" w:space="0"/>
              <w:right w:val="single" w:color="auto" w:sz="4" w:space="0"/>
            </w:tcBorders>
            <w:vAlign w:val="center"/>
          </w:tcPr>
          <w:p w14:paraId="06948F60">
            <w:pPr>
              <w:pStyle w:val="167"/>
              <w:keepNext w:val="0"/>
              <w:keepLines w:val="0"/>
              <w:suppressLineNumbers w:val="0"/>
              <w:spacing w:before="0" w:beforeAutospacing="0" w:after="0" w:afterAutospacing="0"/>
              <w:ind w:right="0"/>
              <w:rPr>
                <w:rFonts w:hint="default"/>
                <w:color w:val="auto"/>
              </w:rPr>
            </w:pPr>
            <w:r>
              <w:rPr>
                <w:rFonts w:hint="eastAsia"/>
                <w:color w:val="auto"/>
              </w:rPr>
              <w:t>1.6/0.5</w:t>
            </w:r>
          </w:p>
        </w:tc>
        <w:tc>
          <w:tcPr>
            <w:tcW w:w="1016" w:type="dxa"/>
            <w:tcBorders>
              <w:top w:val="single" w:color="auto" w:sz="4" w:space="0"/>
              <w:left w:val="single" w:color="auto" w:sz="4" w:space="0"/>
              <w:bottom w:val="single" w:color="auto" w:sz="4" w:space="0"/>
              <w:right w:val="single" w:color="auto" w:sz="4" w:space="0"/>
            </w:tcBorders>
            <w:vAlign w:val="center"/>
          </w:tcPr>
          <w:p w14:paraId="0C4D05E8">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01E85952">
            <w:pPr>
              <w:pStyle w:val="167"/>
              <w:keepNext w:val="0"/>
              <w:keepLines w:val="0"/>
              <w:suppressLineNumbers w:val="0"/>
              <w:spacing w:before="0" w:beforeAutospacing="0" w:after="0" w:afterAutospacing="0"/>
              <w:ind w:right="0"/>
              <w:rPr>
                <w:rFonts w:hint="default"/>
                <w:color w:val="auto"/>
              </w:rPr>
            </w:pPr>
            <w:r>
              <w:rPr>
                <w:rFonts w:hint="eastAsia"/>
                <w:color w:val="auto"/>
              </w:rPr>
              <w:t>柴油</w:t>
            </w:r>
          </w:p>
        </w:tc>
      </w:tr>
      <w:tr w14:paraId="5E497E28">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18745109">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41558B34">
            <w:pPr>
              <w:pStyle w:val="167"/>
              <w:keepNext w:val="0"/>
              <w:keepLines w:val="0"/>
              <w:suppressLineNumbers w:val="0"/>
              <w:spacing w:before="0" w:beforeAutospacing="0" w:after="0" w:afterAutospacing="0"/>
              <w:ind w:right="0"/>
              <w:rPr>
                <w:rFonts w:hint="default"/>
                <w:color w:val="auto"/>
              </w:rPr>
            </w:pPr>
            <w:r>
              <w:rPr>
                <w:rFonts w:hint="eastAsia"/>
                <w:color w:val="auto"/>
              </w:rPr>
              <w:t>蒸汽总管线1</w:t>
            </w:r>
          </w:p>
        </w:tc>
        <w:tc>
          <w:tcPr>
            <w:tcW w:w="850" w:type="dxa"/>
            <w:tcBorders>
              <w:top w:val="single" w:color="auto" w:sz="4" w:space="0"/>
              <w:left w:val="single" w:color="auto" w:sz="4" w:space="0"/>
              <w:bottom w:val="single" w:color="auto" w:sz="4" w:space="0"/>
              <w:right w:val="single" w:color="auto" w:sz="4" w:space="0"/>
            </w:tcBorders>
            <w:vAlign w:val="center"/>
          </w:tcPr>
          <w:p w14:paraId="09CA27EE">
            <w:pPr>
              <w:pStyle w:val="167"/>
              <w:keepNext w:val="0"/>
              <w:keepLines w:val="0"/>
              <w:suppressLineNumbers w:val="0"/>
              <w:spacing w:before="0" w:beforeAutospacing="0" w:after="0" w:afterAutospacing="0"/>
              <w:ind w:right="0"/>
              <w:rPr>
                <w:rFonts w:hint="default"/>
                <w:color w:val="auto"/>
              </w:rPr>
            </w:pPr>
            <w:r>
              <w:rPr>
                <w:rFonts w:hint="eastAsia"/>
                <w:color w:val="auto"/>
              </w:rPr>
              <w:t>250</w:t>
            </w:r>
          </w:p>
        </w:tc>
        <w:tc>
          <w:tcPr>
            <w:tcW w:w="851" w:type="dxa"/>
            <w:tcBorders>
              <w:top w:val="single" w:color="auto" w:sz="4" w:space="0"/>
              <w:left w:val="single" w:color="auto" w:sz="4" w:space="0"/>
              <w:bottom w:val="single" w:color="auto" w:sz="4" w:space="0"/>
              <w:right w:val="single" w:color="auto" w:sz="4" w:space="0"/>
            </w:tcBorders>
            <w:noWrap/>
            <w:vAlign w:val="center"/>
          </w:tcPr>
          <w:p w14:paraId="2B6A875D">
            <w:pPr>
              <w:pStyle w:val="167"/>
              <w:keepNext w:val="0"/>
              <w:keepLines w:val="0"/>
              <w:suppressLineNumbers w:val="0"/>
              <w:spacing w:before="0" w:beforeAutospacing="0" w:after="0" w:afterAutospacing="0"/>
              <w:ind w:right="0"/>
              <w:rPr>
                <w:rFonts w:hint="default"/>
                <w:color w:val="auto"/>
              </w:rPr>
            </w:pPr>
            <w:r>
              <w:rPr>
                <w:rFonts w:hint="eastAsia"/>
                <w:color w:val="auto"/>
              </w:rPr>
              <w:t>10</w:t>
            </w:r>
          </w:p>
        </w:tc>
        <w:tc>
          <w:tcPr>
            <w:tcW w:w="720" w:type="dxa"/>
            <w:tcBorders>
              <w:top w:val="single" w:color="auto" w:sz="4" w:space="0"/>
              <w:left w:val="single" w:color="auto" w:sz="4" w:space="0"/>
              <w:bottom w:val="single" w:color="auto" w:sz="4" w:space="0"/>
              <w:right w:val="single" w:color="auto" w:sz="4" w:space="0"/>
            </w:tcBorders>
            <w:vAlign w:val="center"/>
          </w:tcPr>
          <w:p w14:paraId="30D7D394">
            <w:pPr>
              <w:pStyle w:val="167"/>
              <w:keepNext w:val="0"/>
              <w:keepLines w:val="0"/>
              <w:suppressLineNumbers w:val="0"/>
              <w:spacing w:before="0" w:beforeAutospacing="0" w:after="0" w:afterAutospacing="0"/>
              <w:ind w:right="0"/>
              <w:rPr>
                <w:rFonts w:hint="default"/>
                <w:color w:val="auto"/>
              </w:rPr>
            </w:pPr>
            <w:r>
              <w:rPr>
                <w:rFonts w:hint="eastAsia"/>
                <w:color w:val="auto"/>
              </w:rPr>
              <w:t>167</w:t>
            </w:r>
          </w:p>
        </w:tc>
        <w:tc>
          <w:tcPr>
            <w:tcW w:w="998" w:type="dxa"/>
            <w:tcBorders>
              <w:top w:val="single" w:color="auto" w:sz="4" w:space="0"/>
              <w:left w:val="single" w:color="auto" w:sz="4" w:space="0"/>
              <w:bottom w:val="single" w:color="auto" w:sz="4" w:space="0"/>
              <w:right w:val="single" w:color="auto" w:sz="4" w:space="0"/>
            </w:tcBorders>
            <w:vAlign w:val="center"/>
          </w:tcPr>
          <w:p w14:paraId="62DC919B">
            <w:pPr>
              <w:pStyle w:val="167"/>
              <w:keepNext w:val="0"/>
              <w:keepLines w:val="0"/>
              <w:suppressLineNumbers w:val="0"/>
              <w:spacing w:before="0" w:beforeAutospacing="0" w:after="0" w:afterAutospacing="0"/>
              <w:ind w:right="0"/>
              <w:rPr>
                <w:rFonts w:hint="default"/>
                <w:color w:val="auto"/>
              </w:rPr>
            </w:pPr>
            <w:r>
              <w:rPr>
                <w:rFonts w:hint="eastAsia"/>
                <w:color w:val="auto"/>
              </w:rPr>
              <w:t>2.5/0.8</w:t>
            </w:r>
          </w:p>
        </w:tc>
        <w:tc>
          <w:tcPr>
            <w:tcW w:w="1016" w:type="dxa"/>
            <w:tcBorders>
              <w:top w:val="single" w:color="auto" w:sz="4" w:space="0"/>
              <w:left w:val="single" w:color="auto" w:sz="4" w:space="0"/>
              <w:bottom w:val="single" w:color="auto" w:sz="4" w:space="0"/>
              <w:right w:val="single" w:color="auto" w:sz="4" w:space="0"/>
            </w:tcBorders>
            <w:vAlign w:val="center"/>
          </w:tcPr>
          <w:p w14:paraId="42CAD408">
            <w:pPr>
              <w:pStyle w:val="167"/>
              <w:keepNext w:val="0"/>
              <w:keepLines w:val="0"/>
              <w:suppressLineNumbers w:val="0"/>
              <w:spacing w:before="0" w:beforeAutospacing="0" w:after="0" w:afterAutospacing="0"/>
              <w:ind w:right="0"/>
              <w:rPr>
                <w:rFonts w:hint="default"/>
                <w:color w:val="auto"/>
              </w:rPr>
            </w:pPr>
            <w:r>
              <w:rPr>
                <w:rFonts w:hint="eastAsia"/>
                <w:color w:val="auto"/>
              </w:rPr>
              <w:t>160</w:t>
            </w:r>
          </w:p>
        </w:tc>
        <w:tc>
          <w:tcPr>
            <w:tcW w:w="1511" w:type="dxa"/>
            <w:tcBorders>
              <w:top w:val="single" w:color="auto" w:sz="4" w:space="0"/>
              <w:left w:val="single" w:color="auto" w:sz="4" w:space="0"/>
              <w:bottom w:val="single" w:color="auto" w:sz="4" w:space="0"/>
              <w:right w:val="single" w:color="auto" w:sz="4" w:space="0"/>
            </w:tcBorders>
            <w:vAlign w:val="center"/>
          </w:tcPr>
          <w:p w14:paraId="7A34FFE2">
            <w:pPr>
              <w:pStyle w:val="167"/>
              <w:keepNext w:val="0"/>
              <w:keepLines w:val="0"/>
              <w:suppressLineNumbers w:val="0"/>
              <w:spacing w:before="0" w:beforeAutospacing="0" w:after="0" w:afterAutospacing="0"/>
              <w:ind w:right="0"/>
              <w:rPr>
                <w:rFonts w:hint="default"/>
                <w:color w:val="auto"/>
              </w:rPr>
            </w:pPr>
            <w:r>
              <w:rPr>
                <w:rFonts w:hint="eastAsia"/>
                <w:color w:val="auto"/>
              </w:rPr>
              <w:t>蒸汽</w:t>
            </w:r>
          </w:p>
        </w:tc>
      </w:tr>
      <w:tr w14:paraId="79F02197">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4479A484">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09A92995">
            <w:pPr>
              <w:pStyle w:val="167"/>
              <w:keepNext w:val="0"/>
              <w:keepLines w:val="0"/>
              <w:suppressLineNumbers w:val="0"/>
              <w:spacing w:before="0" w:beforeAutospacing="0" w:after="0" w:afterAutospacing="0"/>
              <w:ind w:right="0"/>
              <w:rPr>
                <w:rFonts w:hint="default"/>
                <w:color w:val="auto"/>
              </w:rPr>
            </w:pPr>
            <w:r>
              <w:rPr>
                <w:rFonts w:hint="eastAsia"/>
                <w:color w:val="auto"/>
              </w:rPr>
              <w:t>蒸汽总管线2</w:t>
            </w:r>
          </w:p>
        </w:tc>
        <w:tc>
          <w:tcPr>
            <w:tcW w:w="850" w:type="dxa"/>
            <w:tcBorders>
              <w:top w:val="single" w:color="auto" w:sz="4" w:space="0"/>
              <w:left w:val="single" w:color="auto" w:sz="4" w:space="0"/>
              <w:bottom w:val="single" w:color="auto" w:sz="4" w:space="0"/>
              <w:right w:val="single" w:color="auto" w:sz="4" w:space="0"/>
            </w:tcBorders>
            <w:vAlign w:val="center"/>
          </w:tcPr>
          <w:p w14:paraId="39ACF380">
            <w:pPr>
              <w:pStyle w:val="167"/>
              <w:keepNext w:val="0"/>
              <w:keepLines w:val="0"/>
              <w:suppressLineNumbers w:val="0"/>
              <w:spacing w:before="0" w:beforeAutospacing="0" w:after="0" w:afterAutospacing="0"/>
              <w:ind w:right="0"/>
              <w:rPr>
                <w:rFonts w:hint="default"/>
                <w:color w:val="auto"/>
              </w:rPr>
            </w:pPr>
            <w:r>
              <w:rPr>
                <w:rFonts w:hint="eastAsia"/>
                <w:color w:val="auto"/>
              </w:rPr>
              <w:t>100</w:t>
            </w:r>
          </w:p>
        </w:tc>
        <w:tc>
          <w:tcPr>
            <w:tcW w:w="851" w:type="dxa"/>
            <w:tcBorders>
              <w:top w:val="single" w:color="auto" w:sz="4" w:space="0"/>
              <w:left w:val="single" w:color="auto" w:sz="4" w:space="0"/>
              <w:bottom w:val="single" w:color="auto" w:sz="4" w:space="0"/>
              <w:right w:val="single" w:color="auto" w:sz="4" w:space="0"/>
            </w:tcBorders>
            <w:noWrap/>
            <w:vAlign w:val="center"/>
          </w:tcPr>
          <w:p w14:paraId="3B063C15">
            <w:pPr>
              <w:pStyle w:val="167"/>
              <w:keepNext w:val="0"/>
              <w:keepLines w:val="0"/>
              <w:suppressLineNumbers w:val="0"/>
              <w:spacing w:before="0" w:beforeAutospacing="0" w:after="0" w:afterAutospacing="0"/>
              <w:ind w:right="0"/>
              <w:rPr>
                <w:rFonts w:hint="default"/>
                <w:color w:val="auto"/>
              </w:rPr>
            </w:pPr>
            <w:r>
              <w:rPr>
                <w:rFonts w:hint="eastAsia"/>
                <w:color w:val="auto"/>
              </w:rPr>
              <w:t>5.5</w:t>
            </w:r>
          </w:p>
        </w:tc>
        <w:tc>
          <w:tcPr>
            <w:tcW w:w="720" w:type="dxa"/>
            <w:tcBorders>
              <w:top w:val="single" w:color="auto" w:sz="4" w:space="0"/>
              <w:left w:val="single" w:color="auto" w:sz="4" w:space="0"/>
              <w:bottom w:val="single" w:color="auto" w:sz="4" w:space="0"/>
              <w:right w:val="single" w:color="auto" w:sz="4" w:space="0"/>
            </w:tcBorders>
            <w:vAlign w:val="center"/>
          </w:tcPr>
          <w:p w14:paraId="793BCF83">
            <w:pPr>
              <w:pStyle w:val="167"/>
              <w:keepNext w:val="0"/>
              <w:keepLines w:val="0"/>
              <w:suppressLineNumbers w:val="0"/>
              <w:spacing w:before="0" w:beforeAutospacing="0" w:after="0" w:afterAutospacing="0"/>
              <w:ind w:right="0"/>
              <w:rPr>
                <w:rFonts w:hint="default"/>
                <w:color w:val="auto"/>
              </w:rPr>
            </w:pPr>
            <w:r>
              <w:rPr>
                <w:rFonts w:hint="eastAsia"/>
                <w:color w:val="auto"/>
              </w:rPr>
              <w:t>650</w:t>
            </w:r>
          </w:p>
        </w:tc>
        <w:tc>
          <w:tcPr>
            <w:tcW w:w="998" w:type="dxa"/>
            <w:tcBorders>
              <w:top w:val="single" w:color="auto" w:sz="4" w:space="0"/>
              <w:left w:val="single" w:color="auto" w:sz="4" w:space="0"/>
              <w:bottom w:val="single" w:color="auto" w:sz="4" w:space="0"/>
              <w:right w:val="single" w:color="auto" w:sz="4" w:space="0"/>
            </w:tcBorders>
            <w:vAlign w:val="center"/>
          </w:tcPr>
          <w:p w14:paraId="0694C549">
            <w:pPr>
              <w:pStyle w:val="167"/>
              <w:keepNext w:val="0"/>
              <w:keepLines w:val="0"/>
              <w:suppressLineNumbers w:val="0"/>
              <w:spacing w:before="0" w:beforeAutospacing="0" w:after="0" w:afterAutospacing="0"/>
              <w:ind w:right="0"/>
              <w:rPr>
                <w:rFonts w:hint="default"/>
                <w:color w:val="auto"/>
              </w:rPr>
            </w:pPr>
            <w:r>
              <w:rPr>
                <w:rFonts w:hint="eastAsia"/>
                <w:color w:val="auto"/>
              </w:rPr>
              <w:t>2.5/0.8</w:t>
            </w:r>
          </w:p>
        </w:tc>
        <w:tc>
          <w:tcPr>
            <w:tcW w:w="1016" w:type="dxa"/>
            <w:tcBorders>
              <w:top w:val="single" w:color="auto" w:sz="4" w:space="0"/>
              <w:left w:val="single" w:color="auto" w:sz="4" w:space="0"/>
              <w:bottom w:val="single" w:color="auto" w:sz="4" w:space="0"/>
              <w:right w:val="single" w:color="auto" w:sz="4" w:space="0"/>
            </w:tcBorders>
            <w:vAlign w:val="center"/>
          </w:tcPr>
          <w:p w14:paraId="14613C31">
            <w:pPr>
              <w:pStyle w:val="167"/>
              <w:keepNext w:val="0"/>
              <w:keepLines w:val="0"/>
              <w:suppressLineNumbers w:val="0"/>
              <w:spacing w:before="0" w:beforeAutospacing="0" w:after="0" w:afterAutospacing="0"/>
              <w:ind w:right="0"/>
              <w:rPr>
                <w:rFonts w:hint="default"/>
                <w:color w:val="auto"/>
              </w:rPr>
            </w:pPr>
            <w:r>
              <w:rPr>
                <w:rFonts w:hint="eastAsia"/>
                <w:color w:val="auto"/>
              </w:rPr>
              <w:t>160</w:t>
            </w:r>
          </w:p>
        </w:tc>
        <w:tc>
          <w:tcPr>
            <w:tcW w:w="1511" w:type="dxa"/>
            <w:tcBorders>
              <w:top w:val="single" w:color="auto" w:sz="4" w:space="0"/>
              <w:left w:val="single" w:color="auto" w:sz="4" w:space="0"/>
              <w:bottom w:val="single" w:color="auto" w:sz="4" w:space="0"/>
              <w:right w:val="single" w:color="auto" w:sz="4" w:space="0"/>
            </w:tcBorders>
            <w:vAlign w:val="center"/>
          </w:tcPr>
          <w:p w14:paraId="714EDFE4">
            <w:pPr>
              <w:pStyle w:val="167"/>
              <w:keepNext w:val="0"/>
              <w:keepLines w:val="0"/>
              <w:suppressLineNumbers w:val="0"/>
              <w:spacing w:before="0" w:beforeAutospacing="0" w:after="0" w:afterAutospacing="0"/>
              <w:ind w:right="0"/>
              <w:rPr>
                <w:rFonts w:hint="default"/>
                <w:color w:val="auto"/>
              </w:rPr>
            </w:pPr>
            <w:r>
              <w:rPr>
                <w:rFonts w:hint="eastAsia"/>
                <w:color w:val="auto"/>
              </w:rPr>
              <w:t>蒸汽</w:t>
            </w:r>
          </w:p>
        </w:tc>
      </w:tr>
      <w:tr w14:paraId="48E4B1F5">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0C459020">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63B6CF40">
            <w:pPr>
              <w:pStyle w:val="167"/>
              <w:keepNext w:val="0"/>
              <w:keepLines w:val="0"/>
              <w:suppressLineNumbers w:val="0"/>
              <w:spacing w:before="0" w:beforeAutospacing="0" w:after="0" w:afterAutospacing="0"/>
              <w:ind w:right="0"/>
              <w:rPr>
                <w:rFonts w:hint="default"/>
                <w:color w:val="auto"/>
              </w:rPr>
            </w:pPr>
            <w:r>
              <w:rPr>
                <w:rFonts w:hint="eastAsia"/>
                <w:color w:val="auto"/>
              </w:rPr>
              <w:t>码头蒸汽长输线</w:t>
            </w:r>
          </w:p>
        </w:tc>
        <w:tc>
          <w:tcPr>
            <w:tcW w:w="850" w:type="dxa"/>
            <w:tcBorders>
              <w:top w:val="single" w:color="auto" w:sz="4" w:space="0"/>
              <w:left w:val="single" w:color="auto" w:sz="4" w:space="0"/>
              <w:bottom w:val="single" w:color="auto" w:sz="4" w:space="0"/>
              <w:right w:val="single" w:color="auto" w:sz="4" w:space="0"/>
            </w:tcBorders>
            <w:vAlign w:val="center"/>
          </w:tcPr>
          <w:p w14:paraId="7739A9DB">
            <w:pPr>
              <w:pStyle w:val="167"/>
              <w:keepNext w:val="0"/>
              <w:keepLines w:val="0"/>
              <w:suppressLineNumbers w:val="0"/>
              <w:spacing w:before="0" w:beforeAutospacing="0" w:after="0" w:afterAutospacing="0"/>
              <w:ind w:right="0"/>
              <w:rPr>
                <w:rFonts w:hint="default"/>
                <w:color w:val="auto"/>
              </w:rPr>
            </w:pPr>
            <w:r>
              <w:rPr>
                <w:rFonts w:hint="eastAsia"/>
                <w:color w:val="auto"/>
              </w:rPr>
              <w:t>100</w:t>
            </w:r>
          </w:p>
        </w:tc>
        <w:tc>
          <w:tcPr>
            <w:tcW w:w="851" w:type="dxa"/>
            <w:tcBorders>
              <w:top w:val="single" w:color="auto" w:sz="4" w:space="0"/>
              <w:left w:val="single" w:color="auto" w:sz="4" w:space="0"/>
              <w:bottom w:val="single" w:color="auto" w:sz="4" w:space="0"/>
              <w:right w:val="single" w:color="auto" w:sz="4" w:space="0"/>
            </w:tcBorders>
            <w:noWrap/>
            <w:vAlign w:val="center"/>
          </w:tcPr>
          <w:p w14:paraId="7A362E11">
            <w:pPr>
              <w:pStyle w:val="167"/>
              <w:keepNext w:val="0"/>
              <w:keepLines w:val="0"/>
              <w:suppressLineNumbers w:val="0"/>
              <w:spacing w:before="0" w:beforeAutospacing="0" w:after="0" w:afterAutospacing="0"/>
              <w:ind w:right="0"/>
              <w:rPr>
                <w:rFonts w:hint="default"/>
                <w:color w:val="auto"/>
              </w:rPr>
            </w:pPr>
            <w:r>
              <w:rPr>
                <w:rFonts w:hint="eastAsia"/>
                <w:color w:val="auto"/>
              </w:rPr>
              <w:t>5.5</w:t>
            </w:r>
          </w:p>
        </w:tc>
        <w:tc>
          <w:tcPr>
            <w:tcW w:w="720" w:type="dxa"/>
            <w:tcBorders>
              <w:top w:val="single" w:color="auto" w:sz="4" w:space="0"/>
              <w:left w:val="single" w:color="auto" w:sz="4" w:space="0"/>
              <w:bottom w:val="single" w:color="auto" w:sz="4" w:space="0"/>
              <w:right w:val="single" w:color="auto" w:sz="4" w:space="0"/>
            </w:tcBorders>
            <w:vAlign w:val="center"/>
          </w:tcPr>
          <w:p w14:paraId="0B923798">
            <w:pPr>
              <w:pStyle w:val="167"/>
              <w:keepNext w:val="0"/>
              <w:keepLines w:val="0"/>
              <w:suppressLineNumbers w:val="0"/>
              <w:spacing w:before="0" w:beforeAutospacing="0" w:after="0" w:afterAutospacing="0"/>
              <w:ind w:right="0"/>
              <w:rPr>
                <w:rFonts w:hint="default"/>
                <w:color w:val="auto"/>
              </w:rPr>
            </w:pPr>
            <w:r>
              <w:rPr>
                <w:rFonts w:hint="eastAsia"/>
                <w:color w:val="auto"/>
              </w:rPr>
              <w:t>1200</w:t>
            </w:r>
          </w:p>
        </w:tc>
        <w:tc>
          <w:tcPr>
            <w:tcW w:w="998" w:type="dxa"/>
            <w:tcBorders>
              <w:top w:val="single" w:color="auto" w:sz="4" w:space="0"/>
              <w:left w:val="single" w:color="auto" w:sz="4" w:space="0"/>
              <w:bottom w:val="single" w:color="auto" w:sz="4" w:space="0"/>
              <w:right w:val="single" w:color="auto" w:sz="4" w:space="0"/>
            </w:tcBorders>
            <w:vAlign w:val="center"/>
          </w:tcPr>
          <w:p w14:paraId="036B679D">
            <w:pPr>
              <w:pStyle w:val="167"/>
              <w:keepNext w:val="0"/>
              <w:keepLines w:val="0"/>
              <w:suppressLineNumbers w:val="0"/>
              <w:spacing w:before="0" w:beforeAutospacing="0" w:after="0" w:afterAutospacing="0"/>
              <w:ind w:right="0"/>
              <w:rPr>
                <w:rFonts w:hint="default"/>
                <w:color w:val="auto"/>
              </w:rPr>
            </w:pPr>
            <w:r>
              <w:rPr>
                <w:rFonts w:hint="eastAsia"/>
                <w:color w:val="auto"/>
              </w:rPr>
              <w:t>2.5/0.8</w:t>
            </w:r>
          </w:p>
        </w:tc>
        <w:tc>
          <w:tcPr>
            <w:tcW w:w="1016" w:type="dxa"/>
            <w:tcBorders>
              <w:top w:val="single" w:color="auto" w:sz="4" w:space="0"/>
              <w:left w:val="single" w:color="auto" w:sz="4" w:space="0"/>
              <w:bottom w:val="single" w:color="auto" w:sz="4" w:space="0"/>
              <w:right w:val="single" w:color="auto" w:sz="4" w:space="0"/>
            </w:tcBorders>
            <w:vAlign w:val="center"/>
          </w:tcPr>
          <w:p w14:paraId="4A7297A6">
            <w:pPr>
              <w:pStyle w:val="167"/>
              <w:keepNext w:val="0"/>
              <w:keepLines w:val="0"/>
              <w:suppressLineNumbers w:val="0"/>
              <w:spacing w:before="0" w:beforeAutospacing="0" w:after="0" w:afterAutospacing="0"/>
              <w:ind w:right="0"/>
              <w:rPr>
                <w:rFonts w:hint="default"/>
                <w:color w:val="auto"/>
              </w:rPr>
            </w:pPr>
            <w:r>
              <w:rPr>
                <w:rFonts w:hint="eastAsia"/>
                <w:color w:val="auto"/>
              </w:rPr>
              <w:t>160</w:t>
            </w:r>
          </w:p>
        </w:tc>
        <w:tc>
          <w:tcPr>
            <w:tcW w:w="1511" w:type="dxa"/>
            <w:tcBorders>
              <w:top w:val="single" w:color="auto" w:sz="4" w:space="0"/>
              <w:left w:val="single" w:color="auto" w:sz="4" w:space="0"/>
              <w:bottom w:val="single" w:color="auto" w:sz="4" w:space="0"/>
              <w:right w:val="single" w:color="auto" w:sz="4" w:space="0"/>
            </w:tcBorders>
            <w:vAlign w:val="center"/>
          </w:tcPr>
          <w:p w14:paraId="29309C30">
            <w:pPr>
              <w:pStyle w:val="167"/>
              <w:keepNext w:val="0"/>
              <w:keepLines w:val="0"/>
              <w:suppressLineNumbers w:val="0"/>
              <w:spacing w:before="0" w:beforeAutospacing="0" w:after="0" w:afterAutospacing="0"/>
              <w:ind w:right="0"/>
              <w:rPr>
                <w:rFonts w:hint="default"/>
                <w:color w:val="auto"/>
              </w:rPr>
            </w:pPr>
            <w:r>
              <w:rPr>
                <w:rFonts w:hint="eastAsia"/>
                <w:color w:val="auto"/>
              </w:rPr>
              <w:t>蒸汽</w:t>
            </w:r>
          </w:p>
        </w:tc>
      </w:tr>
      <w:tr w14:paraId="13FC5EDE">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088BD9A7">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78298061">
            <w:pPr>
              <w:pStyle w:val="167"/>
              <w:keepNext w:val="0"/>
              <w:keepLines w:val="0"/>
              <w:suppressLineNumbers w:val="0"/>
              <w:spacing w:before="0" w:beforeAutospacing="0" w:after="0" w:afterAutospacing="0"/>
              <w:ind w:right="0"/>
              <w:rPr>
                <w:rFonts w:hint="default"/>
                <w:color w:val="auto"/>
              </w:rPr>
            </w:pPr>
            <w:r>
              <w:rPr>
                <w:rFonts w:hint="eastAsia"/>
                <w:color w:val="auto"/>
              </w:rPr>
              <w:t>汽油装汽车1#线</w:t>
            </w:r>
          </w:p>
        </w:tc>
        <w:tc>
          <w:tcPr>
            <w:tcW w:w="850" w:type="dxa"/>
            <w:tcBorders>
              <w:top w:val="single" w:color="auto" w:sz="4" w:space="0"/>
              <w:left w:val="single" w:color="auto" w:sz="4" w:space="0"/>
              <w:bottom w:val="single" w:color="auto" w:sz="4" w:space="0"/>
              <w:right w:val="single" w:color="auto" w:sz="4" w:space="0"/>
            </w:tcBorders>
            <w:vAlign w:val="center"/>
          </w:tcPr>
          <w:p w14:paraId="6B2F0997">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noWrap/>
            <w:vAlign w:val="center"/>
          </w:tcPr>
          <w:p w14:paraId="068FC58B">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549A1753">
            <w:pPr>
              <w:pStyle w:val="167"/>
              <w:keepNext w:val="0"/>
              <w:keepLines w:val="0"/>
              <w:suppressLineNumbers w:val="0"/>
              <w:spacing w:before="0" w:beforeAutospacing="0" w:after="0" w:afterAutospacing="0"/>
              <w:ind w:right="0"/>
              <w:rPr>
                <w:rFonts w:hint="default"/>
                <w:color w:val="auto"/>
              </w:rPr>
            </w:pPr>
            <w:r>
              <w:rPr>
                <w:rFonts w:hint="eastAsia"/>
                <w:color w:val="auto"/>
              </w:rPr>
              <w:t>420</w:t>
            </w:r>
          </w:p>
        </w:tc>
        <w:tc>
          <w:tcPr>
            <w:tcW w:w="998" w:type="dxa"/>
            <w:tcBorders>
              <w:top w:val="single" w:color="auto" w:sz="4" w:space="0"/>
              <w:left w:val="single" w:color="auto" w:sz="4" w:space="0"/>
              <w:bottom w:val="single" w:color="auto" w:sz="4" w:space="0"/>
              <w:right w:val="single" w:color="auto" w:sz="4" w:space="0"/>
            </w:tcBorders>
            <w:vAlign w:val="center"/>
          </w:tcPr>
          <w:p w14:paraId="367D9CFA">
            <w:pPr>
              <w:pStyle w:val="167"/>
              <w:keepNext w:val="0"/>
              <w:keepLines w:val="0"/>
              <w:suppressLineNumbers w:val="0"/>
              <w:spacing w:before="0" w:beforeAutospacing="0" w:after="0" w:afterAutospacing="0"/>
              <w:ind w:right="0"/>
              <w:rPr>
                <w:rFonts w:hint="default"/>
                <w:color w:val="auto"/>
              </w:rPr>
            </w:pPr>
            <w:r>
              <w:rPr>
                <w:rFonts w:hint="eastAsia"/>
                <w:color w:val="auto"/>
              </w:rPr>
              <w:t>1.0/0.5</w:t>
            </w:r>
          </w:p>
        </w:tc>
        <w:tc>
          <w:tcPr>
            <w:tcW w:w="1016" w:type="dxa"/>
            <w:tcBorders>
              <w:top w:val="single" w:color="auto" w:sz="4" w:space="0"/>
              <w:left w:val="single" w:color="auto" w:sz="4" w:space="0"/>
              <w:bottom w:val="single" w:color="auto" w:sz="4" w:space="0"/>
              <w:right w:val="single" w:color="auto" w:sz="4" w:space="0"/>
            </w:tcBorders>
            <w:vAlign w:val="center"/>
          </w:tcPr>
          <w:p w14:paraId="0BFBE3C9">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595E5C00">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r w14:paraId="53D26341">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53D02F95">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74BE4529">
            <w:pPr>
              <w:pStyle w:val="167"/>
              <w:keepNext w:val="0"/>
              <w:keepLines w:val="0"/>
              <w:suppressLineNumbers w:val="0"/>
              <w:spacing w:before="0" w:beforeAutospacing="0" w:after="0" w:afterAutospacing="0"/>
              <w:ind w:right="0"/>
              <w:rPr>
                <w:rFonts w:hint="default"/>
                <w:color w:val="auto"/>
              </w:rPr>
            </w:pPr>
            <w:r>
              <w:rPr>
                <w:rFonts w:hint="eastAsia"/>
                <w:color w:val="auto"/>
              </w:rPr>
              <w:t>汽油装汽车2#线</w:t>
            </w:r>
          </w:p>
        </w:tc>
        <w:tc>
          <w:tcPr>
            <w:tcW w:w="850" w:type="dxa"/>
            <w:tcBorders>
              <w:top w:val="single" w:color="auto" w:sz="4" w:space="0"/>
              <w:left w:val="single" w:color="auto" w:sz="4" w:space="0"/>
              <w:bottom w:val="single" w:color="auto" w:sz="4" w:space="0"/>
              <w:right w:val="single" w:color="auto" w:sz="4" w:space="0"/>
            </w:tcBorders>
            <w:vAlign w:val="center"/>
          </w:tcPr>
          <w:p w14:paraId="42703486">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noWrap/>
            <w:vAlign w:val="center"/>
          </w:tcPr>
          <w:p w14:paraId="659BD19E">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25C58B8B">
            <w:pPr>
              <w:pStyle w:val="167"/>
              <w:keepNext w:val="0"/>
              <w:keepLines w:val="0"/>
              <w:suppressLineNumbers w:val="0"/>
              <w:spacing w:before="0" w:beforeAutospacing="0" w:after="0" w:afterAutospacing="0"/>
              <w:ind w:right="0"/>
              <w:rPr>
                <w:rFonts w:hint="default"/>
                <w:color w:val="auto"/>
              </w:rPr>
            </w:pPr>
            <w:r>
              <w:rPr>
                <w:rFonts w:hint="eastAsia"/>
                <w:color w:val="auto"/>
              </w:rPr>
              <w:t>420</w:t>
            </w:r>
          </w:p>
        </w:tc>
        <w:tc>
          <w:tcPr>
            <w:tcW w:w="998" w:type="dxa"/>
            <w:tcBorders>
              <w:top w:val="single" w:color="auto" w:sz="4" w:space="0"/>
              <w:left w:val="single" w:color="auto" w:sz="4" w:space="0"/>
              <w:bottom w:val="single" w:color="auto" w:sz="4" w:space="0"/>
              <w:right w:val="single" w:color="auto" w:sz="4" w:space="0"/>
            </w:tcBorders>
            <w:vAlign w:val="center"/>
          </w:tcPr>
          <w:p w14:paraId="2687119D">
            <w:pPr>
              <w:pStyle w:val="167"/>
              <w:keepNext w:val="0"/>
              <w:keepLines w:val="0"/>
              <w:suppressLineNumbers w:val="0"/>
              <w:spacing w:before="0" w:beforeAutospacing="0" w:after="0" w:afterAutospacing="0"/>
              <w:ind w:right="0"/>
              <w:rPr>
                <w:rFonts w:hint="default"/>
                <w:color w:val="auto"/>
              </w:rPr>
            </w:pPr>
            <w:r>
              <w:rPr>
                <w:rFonts w:hint="eastAsia"/>
                <w:color w:val="auto"/>
              </w:rPr>
              <w:t>1.0/0.5</w:t>
            </w:r>
          </w:p>
        </w:tc>
        <w:tc>
          <w:tcPr>
            <w:tcW w:w="1016" w:type="dxa"/>
            <w:tcBorders>
              <w:top w:val="single" w:color="auto" w:sz="4" w:space="0"/>
              <w:left w:val="single" w:color="auto" w:sz="4" w:space="0"/>
              <w:bottom w:val="single" w:color="auto" w:sz="4" w:space="0"/>
              <w:right w:val="single" w:color="auto" w:sz="4" w:space="0"/>
            </w:tcBorders>
            <w:vAlign w:val="center"/>
          </w:tcPr>
          <w:p w14:paraId="26BB7DC4">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01D497DB">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r w14:paraId="40A4708D">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4936A562">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5073793E">
            <w:pPr>
              <w:pStyle w:val="167"/>
              <w:keepNext w:val="0"/>
              <w:keepLines w:val="0"/>
              <w:suppressLineNumbers w:val="0"/>
              <w:spacing w:before="0" w:beforeAutospacing="0" w:after="0" w:afterAutospacing="0"/>
              <w:ind w:right="0"/>
              <w:rPr>
                <w:rFonts w:hint="default"/>
                <w:color w:val="auto"/>
              </w:rPr>
            </w:pPr>
            <w:r>
              <w:rPr>
                <w:rFonts w:hint="eastAsia"/>
                <w:color w:val="auto"/>
              </w:rPr>
              <w:t>柴油装汽车1#线</w:t>
            </w:r>
          </w:p>
        </w:tc>
        <w:tc>
          <w:tcPr>
            <w:tcW w:w="850" w:type="dxa"/>
            <w:tcBorders>
              <w:top w:val="single" w:color="auto" w:sz="4" w:space="0"/>
              <w:left w:val="single" w:color="auto" w:sz="4" w:space="0"/>
              <w:bottom w:val="single" w:color="auto" w:sz="4" w:space="0"/>
              <w:right w:val="single" w:color="auto" w:sz="4" w:space="0"/>
            </w:tcBorders>
            <w:vAlign w:val="center"/>
          </w:tcPr>
          <w:p w14:paraId="78FF14CA">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noWrap/>
            <w:vAlign w:val="center"/>
          </w:tcPr>
          <w:p w14:paraId="6CCD7E58">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2274E4A4">
            <w:pPr>
              <w:pStyle w:val="167"/>
              <w:keepNext w:val="0"/>
              <w:keepLines w:val="0"/>
              <w:suppressLineNumbers w:val="0"/>
              <w:spacing w:before="0" w:beforeAutospacing="0" w:after="0" w:afterAutospacing="0"/>
              <w:ind w:right="0"/>
              <w:rPr>
                <w:rFonts w:hint="default"/>
                <w:color w:val="auto"/>
              </w:rPr>
            </w:pPr>
            <w:r>
              <w:rPr>
                <w:rFonts w:hint="eastAsia"/>
                <w:color w:val="auto"/>
              </w:rPr>
              <w:t>320</w:t>
            </w:r>
          </w:p>
        </w:tc>
        <w:tc>
          <w:tcPr>
            <w:tcW w:w="998" w:type="dxa"/>
            <w:tcBorders>
              <w:top w:val="single" w:color="auto" w:sz="4" w:space="0"/>
              <w:left w:val="single" w:color="auto" w:sz="4" w:space="0"/>
              <w:bottom w:val="single" w:color="auto" w:sz="4" w:space="0"/>
              <w:right w:val="single" w:color="auto" w:sz="4" w:space="0"/>
            </w:tcBorders>
            <w:vAlign w:val="center"/>
          </w:tcPr>
          <w:p w14:paraId="797425FD">
            <w:pPr>
              <w:pStyle w:val="167"/>
              <w:keepNext w:val="0"/>
              <w:keepLines w:val="0"/>
              <w:suppressLineNumbers w:val="0"/>
              <w:spacing w:before="0" w:beforeAutospacing="0" w:after="0" w:afterAutospacing="0"/>
              <w:ind w:right="0"/>
              <w:rPr>
                <w:rFonts w:hint="default"/>
                <w:color w:val="auto"/>
              </w:rPr>
            </w:pPr>
            <w:r>
              <w:rPr>
                <w:rFonts w:hint="eastAsia"/>
                <w:color w:val="auto"/>
              </w:rPr>
              <w:t>1.0/0.5</w:t>
            </w:r>
          </w:p>
        </w:tc>
        <w:tc>
          <w:tcPr>
            <w:tcW w:w="1016" w:type="dxa"/>
            <w:tcBorders>
              <w:top w:val="single" w:color="auto" w:sz="4" w:space="0"/>
              <w:left w:val="single" w:color="auto" w:sz="4" w:space="0"/>
              <w:bottom w:val="single" w:color="auto" w:sz="4" w:space="0"/>
              <w:right w:val="single" w:color="auto" w:sz="4" w:space="0"/>
            </w:tcBorders>
            <w:vAlign w:val="center"/>
          </w:tcPr>
          <w:p w14:paraId="77E266E0">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439184E7">
            <w:pPr>
              <w:pStyle w:val="167"/>
              <w:keepNext w:val="0"/>
              <w:keepLines w:val="0"/>
              <w:suppressLineNumbers w:val="0"/>
              <w:spacing w:before="0" w:beforeAutospacing="0" w:after="0" w:afterAutospacing="0"/>
              <w:ind w:right="0"/>
              <w:rPr>
                <w:rFonts w:hint="default"/>
                <w:color w:val="auto"/>
              </w:rPr>
            </w:pPr>
            <w:r>
              <w:rPr>
                <w:rFonts w:hint="eastAsia"/>
                <w:color w:val="auto"/>
              </w:rPr>
              <w:t>柴油</w:t>
            </w:r>
          </w:p>
        </w:tc>
      </w:tr>
      <w:tr w14:paraId="51CFB4A2">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7F7EBADE">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3BD3DB32">
            <w:pPr>
              <w:pStyle w:val="167"/>
              <w:keepNext w:val="0"/>
              <w:keepLines w:val="0"/>
              <w:suppressLineNumbers w:val="0"/>
              <w:spacing w:before="0" w:beforeAutospacing="0" w:after="0" w:afterAutospacing="0"/>
              <w:ind w:right="0"/>
              <w:rPr>
                <w:rFonts w:hint="default"/>
                <w:color w:val="auto"/>
              </w:rPr>
            </w:pPr>
            <w:r>
              <w:rPr>
                <w:rFonts w:hint="eastAsia"/>
                <w:color w:val="auto"/>
              </w:rPr>
              <w:t>柴油装汽车2#线</w:t>
            </w:r>
          </w:p>
        </w:tc>
        <w:tc>
          <w:tcPr>
            <w:tcW w:w="850" w:type="dxa"/>
            <w:tcBorders>
              <w:top w:val="single" w:color="auto" w:sz="4" w:space="0"/>
              <w:left w:val="single" w:color="auto" w:sz="4" w:space="0"/>
              <w:bottom w:val="single" w:color="auto" w:sz="4" w:space="0"/>
              <w:right w:val="single" w:color="auto" w:sz="4" w:space="0"/>
            </w:tcBorders>
            <w:vAlign w:val="center"/>
          </w:tcPr>
          <w:p w14:paraId="498CF371">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noWrap/>
            <w:vAlign w:val="center"/>
          </w:tcPr>
          <w:p w14:paraId="3F640D91">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7C695381">
            <w:pPr>
              <w:pStyle w:val="167"/>
              <w:keepNext w:val="0"/>
              <w:keepLines w:val="0"/>
              <w:suppressLineNumbers w:val="0"/>
              <w:spacing w:before="0" w:beforeAutospacing="0" w:after="0" w:afterAutospacing="0"/>
              <w:ind w:right="0"/>
              <w:rPr>
                <w:rFonts w:hint="default"/>
                <w:color w:val="auto"/>
              </w:rPr>
            </w:pPr>
            <w:r>
              <w:rPr>
                <w:rFonts w:hint="eastAsia"/>
                <w:color w:val="auto"/>
              </w:rPr>
              <w:t>300</w:t>
            </w:r>
          </w:p>
        </w:tc>
        <w:tc>
          <w:tcPr>
            <w:tcW w:w="998" w:type="dxa"/>
            <w:tcBorders>
              <w:top w:val="single" w:color="auto" w:sz="4" w:space="0"/>
              <w:left w:val="single" w:color="auto" w:sz="4" w:space="0"/>
              <w:bottom w:val="single" w:color="auto" w:sz="4" w:space="0"/>
              <w:right w:val="single" w:color="auto" w:sz="4" w:space="0"/>
            </w:tcBorders>
            <w:vAlign w:val="center"/>
          </w:tcPr>
          <w:p w14:paraId="6FB58847">
            <w:pPr>
              <w:pStyle w:val="167"/>
              <w:keepNext w:val="0"/>
              <w:keepLines w:val="0"/>
              <w:suppressLineNumbers w:val="0"/>
              <w:spacing w:before="0" w:beforeAutospacing="0" w:after="0" w:afterAutospacing="0"/>
              <w:ind w:right="0"/>
              <w:rPr>
                <w:rFonts w:hint="default"/>
                <w:color w:val="auto"/>
              </w:rPr>
            </w:pPr>
            <w:r>
              <w:rPr>
                <w:rFonts w:hint="eastAsia"/>
                <w:color w:val="auto"/>
              </w:rPr>
              <w:t>1.0/0.5</w:t>
            </w:r>
          </w:p>
        </w:tc>
        <w:tc>
          <w:tcPr>
            <w:tcW w:w="1016" w:type="dxa"/>
            <w:tcBorders>
              <w:top w:val="single" w:color="auto" w:sz="4" w:space="0"/>
              <w:left w:val="single" w:color="auto" w:sz="4" w:space="0"/>
              <w:bottom w:val="single" w:color="auto" w:sz="4" w:space="0"/>
              <w:right w:val="single" w:color="auto" w:sz="4" w:space="0"/>
            </w:tcBorders>
            <w:vAlign w:val="center"/>
          </w:tcPr>
          <w:p w14:paraId="2239F4EB">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2475AF38">
            <w:pPr>
              <w:pStyle w:val="167"/>
              <w:keepNext w:val="0"/>
              <w:keepLines w:val="0"/>
              <w:suppressLineNumbers w:val="0"/>
              <w:spacing w:before="0" w:beforeAutospacing="0" w:after="0" w:afterAutospacing="0"/>
              <w:ind w:right="0"/>
              <w:rPr>
                <w:rFonts w:hint="default"/>
                <w:color w:val="auto"/>
              </w:rPr>
            </w:pPr>
            <w:r>
              <w:rPr>
                <w:rFonts w:hint="eastAsia"/>
                <w:color w:val="auto"/>
              </w:rPr>
              <w:t>柴油</w:t>
            </w:r>
          </w:p>
        </w:tc>
      </w:tr>
      <w:tr w14:paraId="0B359E2E">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28519B05">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5DB4E56F">
            <w:pPr>
              <w:pStyle w:val="167"/>
              <w:keepNext w:val="0"/>
              <w:keepLines w:val="0"/>
              <w:suppressLineNumbers w:val="0"/>
              <w:spacing w:before="0" w:beforeAutospacing="0" w:after="0" w:afterAutospacing="0"/>
              <w:ind w:right="0"/>
              <w:rPr>
                <w:rFonts w:hint="default"/>
                <w:color w:val="auto"/>
              </w:rPr>
            </w:pPr>
            <w:r>
              <w:rPr>
                <w:rFonts w:hint="eastAsia"/>
                <w:color w:val="auto"/>
              </w:rPr>
              <w:t>混合罐区汽油长输线</w:t>
            </w:r>
          </w:p>
        </w:tc>
        <w:tc>
          <w:tcPr>
            <w:tcW w:w="850" w:type="dxa"/>
            <w:tcBorders>
              <w:top w:val="single" w:color="auto" w:sz="4" w:space="0"/>
              <w:left w:val="single" w:color="auto" w:sz="4" w:space="0"/>
              <w:bottom w:val="single" w:color="auto" w:sz="4" w:space="0"/>
              <w:right w:val="single" w:color="auto" w:sz="4" w:space="0"/>
            </w:tcBorders>
            <w:vAlign w:val="center"/>
          </w:tcPr>
          <w:p w14:paraId="7FD2AC43">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noWrap/>
            <w:vAlign w:val="center"/>
          </w:tcPr>
          <w:p w14:paraId="5027777B">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151F8E51">
            <w:pPr>
              <w:pStyle w:val="167"/>
              <w:keepNext w:val="0"/>
              <w:keepLines w:val="0"/>
              <w:suppressLineNumbers w:val="0"/>
              <w:spacing w:before="0" w:beforeAutospacing="0" w:after="0" w:afterAutospacing="0"/>
              <w:ind w:right="0"/>
              <w:rPr>
                <w:rFonts w:hint="default"/>
                <w:color w:val="auto"/>
              </w:rPr>
            </w:pPr>
            <w:r>
              <w:rPr>
                <w:rFonts w:hint="eastAsia"/>
                <w:color w:val="auto"/>
              </w:rPr>
              <w:t>430</w:t>
            </w:r>
          </w:p>
        </w:tc>
        <w:tc>
          <w:tcPr>
            <w:tcW w:w="998" w:type="dxa"/>
            <w:tcBorders>
              <w:top w:val="single" w:color="auto" w:sz="4" w:space="0"/>
              <w:left w:val="single" w:color="auto" w:sz="4" w:space="0"/>
              <w:bottom w:val="single" w:color="auto" w:sz="4" w:space="0"/>
              <w:right w:val="single" w:color="auto" w:sz="4" w:space="0"/>
            </w:tcBorders>
            <w:vAlign w:val="center"/>
          </w:tcPr>
          <w:p w14:paraId="76A36ABA">
            <w:pPr>
              <w:pStyle w:val="167"/>
              <w:keepNext w:val="0"/>
              <w:keepLines w:val="0"/>
              <w:suppressLineNumbers w:val="0"/>
              <w:spacing w:before="0" w:beforeAutospacing="0" w:after="0" w:afterAutospacing="0"/>
              <w:ind w:right="0"/>
              <w:rPr>
                <w:rFonts w:hint="default"/>
                <w:color w:val="auto"/>
              </w:rPr>
            </w:pPr>
            <w:r>
              <w:rPr>
                <w:rFonts w:hint="eastAsia"/>
                <w:color w:val="auto"/>
              </w:rPr>
              <w:t>1.0/0.5</w:t>
            </w:r>
          </w:p>
        </w:tc>
        <w:tc>
          <w:tcPr>
            <w:tcW w:w="1016" w:type="dxa"/>
            <w:tcBorders>
              <w:top w:val="single" w:color="auto" w:sz="4" w:space="0"/>
              <w:left w:val="single" w:color="auto" w:sz="4" w:space="0"/>
              <w:bottom w:val="single" w:color="auto" w:sz="4" w:space="0"/>
              <w:right w:val="single" w:color="auto" w:sz="4" w:space="0"/>
            </w:tcBorders>
            <w:vAlign w:val="center"/>
          </w:tcPr>
          <w:p w14:paraId="76424F56">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68EA9A7D">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r w14:paraId="4C09C867">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23020C5A">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20A090AB">
            <w:pPr>
              <w:pStyle w:val="167"/>
              <w:keepNext w:val="0"/>
              <w:keepLines w:val="0"/>
              <w:suppressLineNumbers w:val="0"/>
              <w:spacing w:before="0" w:beforeAutospacing="0" w:after="0" w:afterAutospacing="0"/>
              <w:ind w:right="0"/>
              <w:rPr>
                <w:rFonts w:hint="default"/>
                <w:color w:val="auto"/>
              </w:rPr>
            </w:pPr>
            <w:r>
              <w:rPr>
                <w:rFonts w:hint="eastAsia"/>
                <w:color w:val="auto"/>
              </w:rPr>
              <w:t>码头卸船污水线</w:t>
            </w:r>
          </w:p>
        </w:tc>
        <w:tc>
          <w:tcPr>
            <w:tcW w:w="850" w:type="dxa"/>
            <w:tcBorders>
              <w:top w:val="single" w:color="auto" w:sz="4" w:space="0"/>
              <w:left w:val="single" w:color="auto" w:sz="4" w:space="0"/>
              <w:bottom w:val="single" w:color="auto" w:sz="4" w:space="0"/>
              <w:right w:val="single" w:color="auto" w:sz="4" w:space="0"/>
            </w:tcBorders>
            <w:vAlign w:val="center"/>
          </w:tcPr>
          <w:p w14:paraId="4ADABDE5">
            <w:pPr>
              <w:pStyle w:val="167"/>
              <w:keepNext w:val="0"/>
              <w:keepLines w:val="0"/>
              <w:suppressLineNumbers w:val="0"/>
              <w:spacing w:before="0" w:beforeAutospacing="0" w:after="0" w:afterAutospacing="0"/>
              <w:ind w:right="0"/>
              <w:rPr>
                <w:rFonts w:hint="default"/>
                <w:color w:val="auto"/>
              </w:rPr>
            </w:pPr>
            <w:r>
              <w:rPr>
                <w:rFonts w:hint="eastAsia"/>
                <w:color w:val="auto"/>
              </w:rPr>
              <w:t>250</w:t>
            </w:r>
          </w:p>
        </w:tc>
        <w:tc>
          <w:tcPr>
            <w:tcW w:w="851" w:type="dxa"/>
            <w:tcBorders>
              <w:top w:val="single" w:color="auto" w:sz="4" w:space="0"/>
              <w:left w:val="single" w:color="auto" w:sz="4" w:space="0"/>
              <w:bottom w:val="single" w:color="auto" w:sz="4" w:space="0"/>
              <w:right w:val="single" w:color="auto" w:sz="4" w:space="0"/>
            </w:tcBorders>
            <w:noWrap/>
            <w:vAlign w:val="center"/>
          </w:tcPr>
          <w:p w14:paraId="44B3E8DC">
            <w:pPr>
              <w:pStyle w:val="167"/>
              <w:keepNext w:val="0"/>
              <w:keepLines w:val="0"/>
              <w:suppressLineNumbers w:val="0"/>
              <w:spacing w:before="0" w:beforeAutospacing="0" w:after="0" w:afterAutospacing="0"/>
              <w:ind w:right="0"/>
              <w:rPr>
                <w:rFonts w:hint="default"/>
                <w:color w:val="auto"/>
              </w:rPr>
            </w:pPr>
            <w:r>
              <w:rPr>
                <w:rFonts w:hint="eastAsia"/>
                <w:color w:val="auto"/>
              </w:rPr>
              <w:t>10</w:t>
            </w:r>
          </w:p>
        </w:tc>
        <w:tc>
          <w:tcPr>
            <w:tcW w:w="720" w:type="dxa"/>
            <w:tcBorders>
              <w:top w:val="single" w:color="auto" w:sz="4" w:space="0"/>
              <w:left w:val="single" w:color="auto" w:sz="4" w:space="0"/>
              <w:bottom w:val="single" w:color="auto" w:sz="4" w:space="0"/>
              <w:right w:val="single" w:color="auto" w:sz="4" w:space="0"/>
            </w:tcBorders>
            <w:vAlign w:val="center"/>
          </w:tcPr>
          <w:p w14:paraId="44F924A0">
            <w:pPr>
              <w:pStyle w:val="167"/>
              <w:keepNext w:val="0"/>
              <w:keepLines w:val="0"/>
              <w:suppressLineNumbers w:val="0"/>
              <w:spacing w:before="0" w:beforeAutospacing="0" w:after="0" w:afterAutospacing="0"/>
              <w:ind w:right="0"/>
              <w:rPr>
                <w:rFonts w:hint="default"/>
                <w:color w:val="auto"/>
              </w:rPr>
            </w:pPr>
            <w:r>
              <w:rPr>
                <w:rFonts w:hint="eastAsia"/>
                <w:color w:val="auto"/>
              </w:rPr>
              <w:t>400</w:t>
            </w:r>
          </w:p>
        </w:tc>
        <w:tc>
          <w:tcPr>
            <w:tcW w:w="998" w:type="dxa"/>
            <w:tcBorders>
              <w:top w:val="single" w:color="auto" w:sz="4" w:space="0"/>
              <w:left w:val="single" w:color="auto" w:sz="4" w:space="0"/>
              <w:bottom w:val="single" w:color="auto" w:sz="4" w:space="0"/>
              <w:right w:val="single" w:color="auto" w:sz="4" w:space="0"/>
            </w:tcBorders>
            <w:vAlign w:val="center"/>
          </w:tcPr>
          <w:p w14:paraId="24FEECC3">
            <w:pPr>
              <w:pStyle w:val="167"/>
              <w:keepNext w:val="0"/>
              <w:keepLines w:val="0"/>
              <w:suppressLineNumbers w:val="0"/>
              <w:spacing w:before="0" w:beforeAutospacing="0" w:after="0" w:afterAutospacing="0"/>
              <w:ind w:right="0"/>
              <w:rPr>
                <w:rFonts w:hint="default"/>
                <w:color w:val="auto"/>
              </w:rPr>
            </w:pPr>
            <w:r>
              <w:rPr>
                <w:rFonts w:hint="eastAsia"/>
                <w:color w:val="auto"/>
              </w:rPr>
              <w:t>1.0/0.5</w:t>
            </w:r>
          </w:p>
        </w:tc>
        <w:tc>
          <w:tcPr>
            <w:tcW w:w="1016" w:type="dxa"/>
            <w:tcBorders>
              <w:top w:val="single" w:color="auto" w:sz="4" w:space="0"/>
              <w:left w:val="single" w:color="auto" w:sz="4" w:space="0"/>
              <w:bottom w:val="single" w:color="auto" w:sz="4" w:space="0"/>
              <w:right w:val="single" w:color="auto" w:sz="4" w:space="0"/>
            </w:tcBorders>
            <w:vAlign w:val="center"/>
          </w:tcPr>
          <w:p w14:paraId="62CDB820">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091D81D0">
            <w:pPr>
              <w:pStyle w:val="167"/>
              <w:keepNext w:val="0"/>
              <w:keepLines w:val="0"/>
              <w:suppressLineNumbers w:val="0"/>
              <w:spacing w:before="0" w:beforeAutospacing="0" w:after="0" w:afterAutospacing="0"/>
              <w:ind w:right="0"/>
              <w:rPr>
                <w:rFonts w:hint="default"/>
                <w:color w:val="auto"/>
              </w:rPr>
            </w:pPr>
            <w:r>
              <w:rPr>
                <w:rFonts w:hint="eastAsia"/>
                <w:color w:val="auto"/>
              </w:rPr>
              <w:t>污水</w:t>
            </w:r>
          </w:p>
        </w:tc>
      </w:tr>
      <w:tr w14:paraId="6BEB5802">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2E59E7F8">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4A24D2AF">
            <w:pPr>
              <w:pStyle w:val="167"/>
              <w:keepNext w:val="0"/>
              <w:keepLines w:val="0"/>
              <w:suppressLineNumbers w:val="0"/>
              <w:spacing w:before="0" w:beforeAutospacing="0" w:after="0" w:afterAutospacing="0"/>
              <w:ind w:right="0"/>
              <w:rPr>
                <w:rFonts w:hint="default"/>
                <w:color w:val="auto"/>
              </w:rPr>
            </w:pPr>
            <w:r>
              <w:rPr>
                <w:rFonts w:hint="eastAsia"/>
                <w:color w:val="auto"/>
              </w:rPr>
              <w:t>重油罐区蒸汽线</w:t>
            </w:r>
          </w:p>
        </w:tc>
        <w:tc>
          <w:tcPr>
            <w:tcW w:w="850" w:type="dxa"/>
            <w:tcBorders>
              <w:top w:val="single" w:color="auto" w:sz="4" w:space="0"/>
              <w:left w:val="single" w:color="auto" w:sz="4" w:space="0"/>
              <w:bottom w:val="single" w:color="auto" w:sz="4" w:space="0"/>
              <w:right w:val="single" w:color="auto" w:sz="4" w:space="0"/>
            </w:tcBorders>
            <w:vAlign w:val="center"/>
          </w:tcPr>
          <w:p w14:paraId="01B36942">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noWrap/>
            <w:vAlign w:val="center"/>
          </w:tcPr>
          <w:p w14:paraId="5AD9A8BF">
            <w:pPr>
              <w:pStyle w:val="167"/>
              <w:keepNext w:val="0"/>
              <w:keepLines w:val="0"/>
              <w:suppressLineNumbers w:val="0"/>
              <w:spacing w:before="0" w:beforeAutospacing="0" w:after="0" w:afterAutospacing="0"/>
              <w:ind w:right="0"/>
              <w:rPr>
                <w:rFonts w:hint="default"/>
                <w:color w:val="auto"/>
              </w:rPr>
            </w:pPr>
            <w:r>
              <w:rPr>
                <w:rFonts w:hint="eastAsia"/>
                <w:color w:val="auto"/>
              </w:rPr>
              <w:t>5.5</w:t>
            </w:r>
          </w:p>
        </w:tc>
        <w:tc>
          <w:tcPr>
            <w:tcW w:w="720" w:type="dxa"/>
            <w:tcBorders>
              <w:top w:val="single" w:color="auto" w:sz="4" w:space="0"/>
              <w:left w:val="single" w:color="auto" w:sz="4" w:space="0"/>
              <w:bottom w:val="single" w:color="auto" w:sz="4" w:space="0"/>
              <w:right w:val="single" w:color="auto" w:sz="4" w:space="0"/>
            </w:tcBorders>
            <w:vAlign w:val="center"/>
          </w:tcPr>
          <w:p w14:paraId="6B2B81D3">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998" w:type="dxa"/>
            <w:tcBorders>
              <w:top w:val="single" w:color="auto" w:sz="4" w:space="0"/>
              <w:left w:val="single" w:color="auto" w:sz="4" w:space="0"/>
              <w:bottom w:val="single" w:color="auto" w:sz="4" w:space="0"/>
              <w:right w:val="single" w:color="auto" w:sz="4" w:space="0"/>
            </w:tcBorders>
            <w:vAlign w:val="center"/>
          </w:tcPr>
          <w:p w14:paraId="7F2075B5">
            <w:pPr>
              <w:pStyle w:val="167"/>
              <w:keepNext w:val="0"/>
              <w:keepLines w:val="0"/>
              <w:suppressLineNumbers w:val="0"/>
              <w:spacing w:before="0" w:beforeAutospacing="0" w:after="0" w:afterAutospacing="0"/>
              <w:ind w:right="0"/>
              <w:rPr>
                <w:rFonts w:hint="default"/>
                <w:color w:val="auto"/>
              </w:rPr>
            </w:pPr>
            <w:r>
              <w:rPr>
                <w:rFonts w:hint="eastAsia"/>
                <w:color w:val="auto"/>
              </w:rPr>
              <w:t>2.5/0.8</w:t>
            </w:r>
          </w:p>
        </w:tc>
        <w:tc>
          <w:tcPr>
            <w:tcW w:w="1016" w:type="dxa"/>
            <w:tcBorders>
              <w:top w:val="single" w:color="auto" w:sz="4" w:space="0"/>
              <w:left w:val="single" w:color="auto" w:sz="4" w:space="0"/>
              <w:bottom w:val="single" w:color="auto" w:sz="4" w:space="0"/>
              <w:right w:val="single" w:color="auto" w:sz="4" w:space="0"/>
            </w:tcBorders>
            <w:vAlign w:val="center"/>
          </w:tcPr>
          <w:p w14:paraId="1B509CEA">
            <w:pPr>
              <w:pStyle w:val="167"/>
              <w:keepNext w:val="0"/>
              <w:keepLines w:val="0"/>
              <w:suppressLineNumbers w:val="0"/>
              <w:spacing w:before="0" w:beforeAutospacing="0" w:after="0" w:afterAutospacing="0"/>
              <w:ind w:right="0"/>
              <w:rPr>
                <w:rFonts w:hint="default"/>
                <w:color w:val="auto"/>
              </w:rPr>
            </w:pPr>
            <w:r>
              <w:rPr>
                <w:rFonts w:hint="eastAsia"/>
                <w:color w:val="auto"/>
              </w:rPr>
              <w:t>160</w:t>
            </w:r>
          </w:p>
        </w:tc>
        <w:tc>
          <w:tcPr>
            <w:tcW w:w="1511" w:type="dxa"/>
            <w:tcBorders>
              <w:top w:val="single" w:color="auto" w:sz="4" w:space="0"/>
              <w:left w:val="single" w:color="auto" w:sz="4" w:space="0"/>
              <w:bottom w:val="single" w:color="auto" w:sz="4" w:space="0"/>
              <w:right w:val="single" w:color="auto" w:sz="4" w:space="0"/>
            </w:tcBorders>
            <w:vAlign w:val="center"/>
          </w:tcPr>
          <w:p w14:paraId="7EA06FBB">
            <w:pPr>
              <w:pStyle w:val="167"/>
              <w:keepNext w:val="0"/>
              <w:keepLines w:val="0"/>
              <w:suppressLineNumbers w:val="0"/>
              <w:spacing w:before="0" w:beforeAutospacing="0" w:after="0" w:afterAutospacing="0"/>
              <w:ind w:right="0"/>
              <w:rPr>
                <w:rFonts w:hint="default"/>
                <w:color w:val="auto"/>
              </w:rPr>
            </w:pPr>
            <w:r>
              <w:rPr>
                <w:rFonts w:hint="eastAsia"/>
                <w:color w:val="auto"/>
              </w:rPr>
              <w:t>蒸汽</w:t>
            </w:r>
          </w:p>
        </w:tc>
      </w:tr>
      <w:tr w14:paraId="47EB144C">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3E9C4754">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0C692C13">
            <w:pPr>
              <w:pStyle w:val="167"/>
              <w:keepNext w:val="0"/>
              <w:keepLines w:val="0"/>
              <w:suppressLineNumbers w:val="0"/>
              <w:spacing w:before="0" w:beforeAutospacing="0" w:after="0" w:afterAutospacing="0"/>
              <w:ind w:right="0"/>
              <w:rPr>
                <w:rFonts w:hint="default"/>
                <w:color w:val="auto"/>
              </w:rPr>
            </w:pPr>
            <w:r>
              <w:rPr>
                <w:rFonts w:hint="eastAsia"/>
                <w:color w:val="auto"/>
              </w:rPr>
              <w:t>原油罐区蒸汽线</w:t>
            </w:r>
          </w:p>
        </w:tc>
        <w:tc>
          <w:tcPr>
            <w:tcW w:w="850" w:type="dxa"/>
            <w:tcBorders>
              <w:top w:val="single" w:color="auto" w:sz="4" w:space="0"/>
              <w:left w:val="single" w:color="auto" w:sz="4" w:space="0"/>
              <w:bottom w:val="single" w:color="auto" w:sz="4" w:space="0"/>
              <w:right w:val="single" w:color="auto" w:sz="4" w:space="0"/>
            </w:tcBorders>
            <w:vAlign w:val="center"/>
          </w:tcPr>
          <w:p w14:paraId="39CC7E1D">
            <w:pPr>
              <w:pStyle w:val="167"/>
              <w:keepNext w:val="0"/>
              <w:keepLines w:val="0"/>
              <w:suppressLineNumbers w:val="0"/>
              <w:spacing w:before="0" w:beforeAutospacing="0" w:after="0" w:afterAutospacing="0"/>
              <w:ind w:right="0"/>
              <w:rPr>
                <w:rFonts w:hint="default"/>
                <w:color w:val="auto"/>
              </w:rPr>
            </w:pPr>
            <w:r>
              <w:rPr>
                <w:rFonts w:hint="eastAsia"/>
                <w:color w:val="auto"/>
              </w:rPr>
              <w:t>250</w:t>
            </w:r>
          </w:p>
        </w:tc>
        <w:tc>
          <w:tcPr>
            <w:tcW w:w="851" w:type="dxa"/>
            <w:tcBorders>
              <w:top w:val="single" w:color="auto" w:sz="4" w:space="0"/>
              <w:left w:val="single" w:color="auto" w:sz="4" w:space="0"/>
              <w:bottom w:val="single" w:color="auto" w:sz="4" w:space="0"/>
              <w:right w:val="single" w:color="auto" w:sz="4" w:space="0"/>
            </w:tcBorders>
            <w:noWrap/>
            <w:vAlign w:val="center"/>
          </w:tcPr>
          <w:p w14:paraId="750EF4A0">
            <w:pPr>
              <w:pStyle w:val="167"/>
              <w:keepNext w:val="0"/>
              <w:keepLines w:val="0"/>
              <w:suppressLineNumbers w:val="0"/>
              <w:spacing w:before="0" w:beforeAutospacing="0" w:after="0" w:afterAutospacing="0"/>
              <w:ind w:right="0"/>
              <w:rPr>
                <w:rFonts w:hint="default"/>
                <w:color w:val="auto"/>
              </w:rPr>
            </w:pPr>
            <w:r>
              <w:rPr>
                <w:rFonts w:hint="eastAsia"/>
                <w:color w:val="auto"/>
              </w:rPr>
              <w:t>10</w:t>
            </w:r>
          </w:p>
        </w:tc>
        <w:tc>
          <w:tcPr>
            <w:tcW w:w="720" w:type="dxa"/>
            <w:tcBorders>
              <w:top w:val="single" w:color="auto" w:sz="4" w:space="0"/>
              <w:left w:val="single" w:color="auto" w:sz="4" w:space="0"/>
              <w:bottom w:val="single" w:color="auto" w:sz="4" w:space="0"/>
              <w:right w:val="single" w:color="auto" w:sz="4" w:space="0"/>
            </w:tcBorders>
            <w:vAlign w:val="center"/>
          </w:tcPr>
          <w:p w14:paraId="59CB9303">
            <w:pPr>
              <w:pStyle w:val="167"/>
              <w:keepNext w:val="0"/>
              <w:keepLines w:val="0"/>
              <w:suppressLineNumbers w:val="0"/>
              <w:spacing w:before="0" w:beforeAutospacing="0" w:after="0" w:afterAutospacing="0"/>
              <w:ind w:right="0"/>
              <w:rPr>
                <w:rFonts w:hint="default"/>
                <w:color w:val="auto"/>
              </w:rPr>
            </w:pPr>
            <w:r>
              <w:rPr>
                <w:rFonts w:hint="eastAsia"/>
                <w:color w:val="auto"/>
              </w:rPr>
              <w:t>200</w:t>
            </w:r>
          </w:p>
        </w:tc>
        <w:tc>
          <w:tcPr>
            <w:tcW w:w="998" w:type="dxa"/>
            <w:tcBorders>
              <w:top w:val="single" w:color="auto" w:sz="4" w:space="0"/>
              <w:left w:val="single" w:color="auto" w:sz="4" w:space="0"/>
              <w:bottom w:val="single" w:color="auto" w:sz="4" w:space="0"/>
              <w:right w:val="single" w:color="auto" w:sz="4" w:space="0"/>
            </w:tcBorders>
            <w:vAlign w:val="center"/>
          </w:tcPr>
          <w:p w14:paraId="71D3C1B7">
            <w:pPr>
              <w:pStyle w:val="167"/>
              <w:keepNext w:val="0"/>
              <w:keepLines w:val="0"/>
              <w:suppressLineNumbers w:val="0"/>
              <w:spacing w:before="0" w:beforeAutospacing="0" w:after="0" w:afterAutospacing="0"/>
              <w:ind w:right="0"/>
              <w:rPr>
                <w:rFonts w:hint="default"/>
                <w:color w:val="auto"/>
              </w:rPr>
            </w:pPr>
            <w:r>
              <w:rPr>
                <w:rFonts w:hint="eastAsia"/>
                <w:color w:val="auto"/>
              </w:rPr>
              <w:t>2.5/1.0</w:t>
            </w:r>
          </w:p>
        </w:tc>
        <w:tc>
          <w:tcPr>
            <w:tcW w:w="1016" w:type="dxa"/>
            <w:tcBorders>
              <w:top w:val="single" w:color="auto" w:sz="4" w:space="0"/>
              <w:left w:val="single" w:color="auto" w:sz="4" w:space="0"/>
              <w:bottom w:val="single" w:color="auto" w:sz="4" w:space="0"/>
              <w:right w:val="single" w:color="auto" w:sz="4" w:space="0"/>
            </w:tcBorders>
            <w:vAlign w:val="center"/>
          </w:tcPr>
          <w:p w14:paraId="63BB6B56">
            <w:pPr>
              <w:pStyle w:val="167"/>
              <w:keepNext w:val="0"/>
              <w:keepLines w:val="0"/>
              <w:suppressLineNumbers w:val="0"/>
              <w:spacing w:before="0" w:beforeAutospacing="0" w:after="0" w:afterAutospacing="0"/>
              <w:ind w:right="0"/>
              <w:rPr>
                <w:rFonts w:hint="default"/>
                <w:color w:val="auto"/>
              </w:rPr>
            </w:pPr>
            <w:r>
              <w:rPr>
                <w:rFonts w:hint="eastAsia"/>
                <w:color w:val="auto"/>
              </w:rPr>
              <w:t>160</w:t>
            </w:r>
          </w:p>
        </w:tc>
        <w:tc>
          <w:tcPr>
            <w:tcW w:w="1511" w:type="dxa"/>
            <w:tcBorders>
              <w:top w:val="single" w:color="auto" w:sz="4" w:space="0"/>
              <w:left w:val="single" w:color="auto" w:sz="4" w:space="0"/>
              <w:bottom w:val="single" w:color="auto" w:sz="4" w:space="0"/>
              <w:right w:val="single" w:color="auto" w:sz="4" w:space="0"/>
            </w:tcBorders>
            <w:vAlign w:val="center"/>
          </w:tcPr>
          <w:p w14:paraId="2811A4C6">
            <w:pPr>
              <w:pStyle w:val="167"/>
              <w:keepNext w:val="0"/>
              <w:keepLines w:val="0"/>
              <w:suppressLineNumbers w:val="0"/>
              <w:spacing w:before="0" w:beforeAutospacing="0" w:after="0" w:afterAutospacing="0"/>
              <w:ind w:right="0"/>
              <w:rPr>
                <w:rFonts w:hint="default"/>
                <w:color w:val="auto"/>
              </w:rPr>
            </w:pPr>
            <w:r>
              <w:rPr>
                <w:rFonts w:hint="eastAsia"/>
                <w:color w:val="auto"/>
              </w:rPr>
              <w:t>蒸汽</w:t>
            </w:r>
          </w:p>
        </w:tc>
      </w:tr>
      <w:tr w14:paraId="6E64F9E1">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207695AE">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00590789">
            <w:pPr>
              <w:pStyle w:val="167"/>
              <w:keepNext w:val="0"/>
              <w:keepLines w:val="0"/>
              <w:suppressLineNumbers w:val="0"/>
              <w:spacing w:before="0" w:beforeAutospacing="0" w:after="0" w:afterAutospacing="0"/>
              <w:ind w:right="0"/>
              <w:rPr>
                <w:rFonts w:hint="default"/>
                <w:color w:val="auto"/>
              </w:rPr>
            </w:pPr>
            <w:r>
              <w:rPr>
                <w:rFonts w:hint="eastAsia"/>
                <w:color w:val="auto"/>
              </w:rPr>
              <w:t>火车装车蒸汽线</w:t>
            </w:r>
          </w:p>
        </w:tc>
        <w:tc>
          <w:tcPr>
            <w:tcW w:w="850" w:type="dxa"/>
            <w:tcBorders>
              <w:top w:val="single" w:color="auto" w:sz="4" w:space="0"/>
              <w:left w:val="single" w:color="auto" w:sz="4" w:space="0"/>
              <w:bottom w:val="single" w:color="auto" w:sz="4" w:space="0"/>
              <w:right w:val="single" w:color="auto" w:sz="4" w:space="0"/>
            </w:tcBorders>
            <w:vAlign w:val="center"/>
          </w:tcPr>
          <w:p w14:paraId="7282C5A5">
            <w:pPr>
              <w:pStyle w:val="167"/>
              <w:keepNext w:val="0"/>
              <w:keepLines w:val="0"/>
              <w:suppressLineNumbers w:val="0"/>
              <w:spacing w:before="0" w:beforeAutospacing="0" w:after="0" w:afterAutospacing="0"/>
              <w:ind w:right="0"/>
              <w:rPr>
                <w:rFonts w:hint="default"/>
                <w:color w:val="auto"/>
              </w:rPr>
            </w:pPr>
            <w:r>
              <w:rPr>
                <w:rFonts w:hint="eastAsia"/>
                <w:color w:val="auto"/>
              </w:rPr>
              <w:t>100</w:t>
            </w:r>
          </w:p>
        </w:tc>
        <w:tc>
          <w:tcPr>
            <w:tcW w:w="851" w:type="dxa"/>
            <w:tcBorders>
              <w:top w:val="single" w:color="auto" w:sz="4" w:space="0"/>
              <w:left w:val="single" w:color="auto" w:sz="4" w:space="0"/>
              <w:bottom w:val="single" w:color="auto" w:sz="4" w:space="0"/>
              <w:right w:val="single" w:color="auto" w:sz="4" w:space="0"/>
            </w:tcBorders>
            <w:noWrap/>
            <w:vAlign w:val="center"/>
          </w:tcPr>
          <w:p w14:paraId="1DE53199">
            <w:pPr>
              <w:pStyle w:val="167"/>
              <w:keepNext w:val="0"/>
              <w:keepLines w:val="0"/>
              <w:suppressLineNumbers w:val="0"/>
              <w:spacing w:before="0" w:beforeAutospacing="0" w:after="0" w:afterAutospacing="0"/>
              <w:ind w:right="0"/>
              <w:rPr>
                <w:rFonts w:hint="default"/>
                <w:color w:val="auto"/>
              </w:rPr>
            </w:pPr>
            <w:r>
              <w:rPr>
                <w:rFonts w:hint="eastAsia"/>
                <w:color w:val="auto"/>
              </w:rPr>
              <w:t>5.5</w:t>
            </w:r>
          </w:p>
        </w:tc>
        <w:tc>
          <w:tcPr>
            <w:tcW w:w="720" w:type="dxa"/>
            <w:tcBorders>
              <w:top w:val="single" w:color="auto" w:sz="4" w:space="0"/>
              <w:left w:val="single" w:color="auto" w:sz="4" w:space="0"/>
              <w:bottom w:val="single" w:color="auto" w:sz="4" w:space="0"/>
              <w:right w:val="single" w:color="auto" w:sz="4" w:space="0"/>
            </w:tcBorders>
            <w:vAlign w:val="center"/>
          </w:tcPr>
          <w:p w14:paraId="7CAC7699">
            <w:pPr>
              <w:pStyle w:val="167"/>
              <w:keepNext w:val="0"/>
              <w:keepLines w:val="0"/>
              <w:suppressLineNumbers w:val="0"/>
              <w:spacing w:before="0" w:beforeAutospacing="0" w:after="0" w:afterAutospacing="0"/>
              <w:ind w:right="0"/>
              <w:rPr>
                <w:rFonts w:hint="default"/>
                <w:color w:val="auto"/>
              </w:rPr>
            </w:pPr>
            <w:r>
              <w:rPr>
                <w:rFonts w:hint="eastAsia"/>
                <w:color w:val="auto"/>
              </w:rPr>
              <w:t>320</w:t>
            </w:r>
          </w:p>
        </w:tc>
        <w:tc>
          <w:tcPr>
            <w:tcW w:w="998" w:type="dxa"/>
            <w:tcBorders>
              <w:top w:val="single" w:color="auto" w:sz="4" w:space="0"/>
              <w:left w:val="single" w:color="auto" w:sz="4" w:space="0"/>
              <w:bottom w:val="single" w:color="auto" w:sz="4" w:space="0"/>
              <w:right w:val="single" w:color="auto" w:sz="4" w:space="0"/>
            </w:tcBorders>
            <w:vAlign w:val="center"/>
          </w:tcPr>
          <w:p w14:paraId="7F4EB860">
            <w:pPr>
              <w:pStyle w:val="167"/>
              <w:keepNext w:val="0"/>
              <w:keepLines w:val="0"/>
              <w:suppressLineNumbers w:val="0"/>
              <w:spacing w:before="0" w:beforeAutospacing="0" w:after="0" w:afterAutospacing="0"/>
              <w:ind w:right="0"/>
              <w:rPr>
                <w:rFonts w:hint="default"/>
                <w:color w:val="auto"/>
              </w:rPr>
            </w:pPr>
            <w:r>
              <w:rPr>
                <w:rFonts w:hint="eastAsia"/>
                <w:color w:val="auto"/>
              </w:rPr>
              <w:t>2.5/1.0</w:t>
            </w:r>
          </w:p>
        </w:tc>
        <w:tc>
          <w:tcPr>
            <w:tcW w:w="1016" w:type="dxa"/>
            <w:tcBorders>
              <w:top w:val="single" w:color="auto" w:sz="4" w:space="0"/>
              <w:left w:val="single" w:color="auto" w:sz="4" w:space="0"/>
              <w:bottom w:val="single" w:color="auto" w:sz="4" w:space="0"/>
              <w:right w:val="single" w:color="auto" w:sz="4" w:space="0"/>
            </w:tcBorders>
            <w:vAlign w:val="center"/>
          </w:tcPr>
          <w:p w14:paraId="0A043131">
            <w:pPr>
              <w:pStyle w:val="167"/>
              <w:keepNext w:val="0"/>
              <w:keepLines w:val="0"/>
              <w:suppressLineNumbers w:val="0"/>
              <w:spacing w:before="0" w:beforeAutospacing="0" w:after="0" w:afterAutospacing="0"/>
              <w:ind w:right="0"/>
              <w:rPr>
                <w:rFonts w:hint="default"/>
                <w:color w:val="auto"/>
              </w:rPr>
            </w:pPr>
            <w:r>
              <w:rPr>
                <w:rFonts w:hint="eastAsia"/>
                <w:color w:val="auto"/>
              </w:rPr>
              <w:t>160</w:t>
            </w:r>
          </w:p>
        </w:tc>
        <w:tc>
          <w:tcPr>
            <w:tcW w:w="1511" w:type="dxa"/>
            <w:tcBorders>
              <w:top w:val="single" w:color="auto" w:sz="4" w:space="0"/>
              <w:left w:val="single" w:color="auto" w:sz="4" w:space="0"/>
              <w:bottom w:val="single" w:color="auto" w:sz="4" w:space="0"/>
              <w:right w:val="single" w:color="auto" w:sz="4" w:space="0"/>
            </w:tcBorders>
            <w:vAlign w:val="center"/>
          </w:tcPr>
          <w:p w14:paraId="5DDFD115">
            <w:pPr>
              <w:pStyle w:val="167"/>
              <w:keepNext w:val="0"/>
              <w:keepLines w:val="0"/>
              <w:suppressLineNumbers w:val="0"/>
              <w:spacing w:before="0" w:beforeAutospacing="0" w:after="0" w:afterAutospacing="0"/>
              <w:ind w:right="0"/>
              <w:rPr>
                <w:rFonts w:hint="default"/>
                <w:color w:val="auto"/>
              </w:rPr>
            </w:pPr>
            <w:r>
              <w:rPr>
                <w:rFonts w:hint="eastAsia"/>
                <w:color w:val="auto"/>
              </w:rPr>
              <w:t>蒸汽</w:t>
            </w:r>
          </w:p>
        </w:tc>
      </w:tr>
      <w:tr w14:paraId="24BF6DFC">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32D3121E">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666AD998">
            <w:pPr>
              <w:pStyle w:val="167"/>
              <w:keepNext w:val="0"/>
              <w:keepLines w:val="0"/>
              <w:suppressLineNumbers w:val="0"/>
              <w:spacing w:before="0" w:beforeAutospacing="0" w:after="0" w:afterAutospacing="0"/>
              <w:ind w:right="0"/>
              <w:rPr>
                <w:rFonts w:hint="default"/>
                <w:color w:val="auto"/>
              </w:rPr>
            </w:pPr>
            <w:r>
              <w:rPr>
                <w:rFonts w:hint="eastAsia"/>
                <w:color w:val="auto"/>
              </w:rPr>
              <w:t>MTBE长输线</w:t>
            </w:r>
          </w:p>
        </w:tc>
        <w:tc>
          <w:tcPr>
            <w:tcW w:w="850" w:type="dxa"/>
            <w:tcBorders>
              <w:top w:val="single" w:color="auto" w:sz="4" w:space="0"/>
              <w:left w:val="single" w:color="auto" w:sz="4" w:space="0"/>
              <w:bottom w:val="single" w:color="auto" w:sz="4" w:space="0"/>
              <w:right w:val="single" w:color="auto" w:sz="4" w:space="0"/>
            </w:tcBorders>
            <w:vAlign w:val="center"/>
          </w:tcPr>
          <w:p w14:paraId="2C2A8E1C">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noWrap/>
            <w:vAlign w:val="center"/>
          </w:tcPr>
          <w:p w14:paraId="779AA59B">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02D0188F">
            <w:pPr>
              <w:pStyle w:val="167"/>
              <w:keepNext w:val="0"/>
              <w:keepLines w:val="0"/>
              <w:suppressLineNumbers w:val="0"/>
              <w:spacing w:before="0" w:beforeAutospacing="0" w:after="0" w:afterAutospacing="0"/>
              <w:ind w:right="0"/>
              <w:rPr>
                <w:rFonts w:hint="default"/>
                <w:color w:val="auto"/>
              </w:rPr>
            </w:pPr>
            <w:r>
              <w:rPr>
                <w:rFonts w:hint="eastAsia"/>
                <w:color w:val="auto"/>
              </w:rPr>
              <w:t>600</w:t>
            </w:r>
          </w:p>
        </w:tc>
        <w:tc>
          <w:tcPr>
            <w:tcW w:w="998" w:type="dxa"/>
            <w:tcBorders>
              <w:top w:val="single" w:color="auto" w:sz="4" w:space="0"/>
              <w:left w:val="single" w:color="auto" w:sz="4" w:space="0"/>
              <w:bottom w:val="single" w:color="auto" w:sz="4" w:space="0"/>
              <w:right w:val="single" w:color="auto" w:sz="4" w:space="0"/>
            </w:tcBorders>
            <w:vAlign w:val="center"/>
          </w:tcPr>
          <w:p w14:paraId="044AD323">
            <w:pPr>
              <w:pStyle w:val="167"/>
              <w:keepNext w:val="0"/>
              <w:keepLines w:val="0"/>
              <w:suppressLineNumbers w:val="0"/>
              <w:spacing w:before="0" w:beforeAutospacing="0" w:after="0" w:afterAutospacing="0"/>
              <w:ind w:right="0"/>
              <w:rPr>
                <w:rFonts w:hint="default"/>
                <w:color w:val="auto"/>
              </w:rPr>
            </w:pPr>
            <w:r>
              <w:rPr>
                <w:rFonts w:hint="eastAsia"/>
                <w:color w:val="auto"/>
              </w:rPr>
              <w:t>1.0/0.8</w:t>
            </w:r>
          </w:p>
        </w:tc>
        <w:tc>
          <w:tcPr>
            <w:tcW w:w="1016" w:type="dxa"/>
            <w:tcBorders>
              <w:top w:val="single" w:color="auto" w:sz="4" w:space="0"/>
              <w:left w:val="single" w:color="auto" w:sz="4" w:space="0"/>
              <w:bottom w:val="single" w:color="auto" w:sz="4" w:space="0"/>
              <w:right w:val="single" w:color="auto" w:sz="4" w:space="0"/>
            </w:tcBorders>
            <w:vAlign w:val="center"/>
          </w:tcPr>
          <w:p w14:paraId="45928723">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215714A3">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r w14:paraId="69CE796B">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5EEB1BEF">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7C9B9349">
            <w:pPr>
              <w:pStyle w:val="167"/>
              <w:keepNext w:val="0"/>
              <w:keepLines w:val="0"/>
              <w:suppressLineNumbers w:val="0"/>
              <w:spacing w:before="0" w:beforeAutospacing="0" w:after="0" w:afterAutospacing="0"/>
              <w:ind w:right="0"/>
              <w:rPr>
                <w:rFonts w:hint="default"/>
                <w:color w:val="auto"/>
              </w:rPr>
            </w:pPr>
            <w:r>
              <w:rPr>
                <w:rFonts w:hint="eastAsia"/>
                <w:color w:val="auto"/>
              </w:rPr>
              <w:t>甲醇装车1#线</w:t>
            </w:r>
          </w:p>
        </w:tc>
        <w:tc>
          <w:tcPr>
            <w:tcW w:w="850" w:type="dxa"/>
            <w:tcBorders>
              <w:top w:val="single" w:color="auto" w:sz="4" w:space="0"/>
              <w:left w:val="single" w:color="auto" w:sz="4" w:space="0"/>
              <w:bottom w:val="single" w:color="auto" w:sz="4" w:space="0"/>
              <w:right w:val="single" w:color="auto" w:sz="4" w:space="0"/>
            </w:tcBorders>
            <w:vAlign w:val="center"/>
          </w:tcPr>
          <w:p w14:paraId="776E5432">
            <w:pPr>
              <w:pStyle w:val="167"/>
              <w:keepNext w:val="0"/>
              <w:keepLines w:val="0"/>
              <w:suppressLineNumbers w:val="0"/>
              <w:spacing w:before="0" w:beforeAutospacing="0" w:after="0" w:afterAutospacing="0"/>
              <w:ind w:right="0"/>
              <w:rPr>
                <w:rFonts w:hint="default"/>
                <w:color w:val="auto"/>
              </w:rPr>
            </w:pPr>
            <w:r>
              <w:rPr>
                <w:rFonts w:hint="eastAsia"/>
                <w:color w:val="auto"/>
              </w:rPr>
              <w:t>100</w:t>
            </w:r>
          </w:p>
        </w:tc>
        <w:tc>
          <w:tcPr>
            <w:tcW w:w="851" w:type="dxa"/>
            <w:tcBorders>
              <w:top w:val="single" w:color="auto" w:sz="4" w:space="0"/>
              <w:left w:val="single" w:color="auto" w:sz="4" w:space="0"/>
              <w:bottom w:val="single" w:color="auto" w:sz="4" w:space="0"/>
              <w:right w:val="single" w:color="auto" w:sz="4" w:space="0"/>
            </w:tcBorders>
            <w:noWrap/>
            <w:vAlign w:val="center"/>
          </w:tcPr>
          <w:p w14:paraId="5EA10BF5">
            <w:pPr>
              <w:pStyle w:val="167"/>
              <w:keepNext w:val="0"/>
              <w:keepLines w:val="0"/>
              <w:suppressLineNumbers w:val="0"/>
              <w:spacing w:before="0" w:beforeAutospacing="0" w:after="0" w:afterAutospacing="0"/>
              <w:ind w:right="0"/>
              <w:rPr>
                <w:rFonts w:hint="default"/>
                <w:color w:val="auto"/>
              </w:rPr>
            </w:pPr>
            <w:r>
              <w:rPr>
                <w:rFonts w:hint="eastAsia"/>
                <w:color w:val="auto"/>
              </w:rPr>
              <w:t>5.5</w:t>
            </w:r>
          </w:p>
        </w:tc>
        <w:tc>
          <w:tcPr>
            <w:tcW w:w="720" w:type="dxa"/>
            <w:tcBorders>
              <w:top w:val="single" w:color="auto" w:sz="4" w:space="0"/>
              <w:left w:val="single" w:color="auto" w:sz="4" w:space="0"/>
              <w:bottom w:val="single" w:color="auto" w:sz="4" w:space="0"/>
              <w:right w:val="single" w:color="auto" w:sz="4" w:space="0"/>
            </w:tcBorders>
            <w:vAlign w:val="center"/>
          </w:tcPr>
          <w:p w14:paraId="63549157">
            <w:pPr>
              <w:pStyle w:val="167"/>
              <w:keepNext w:val="0"/>
              <w:keepLines w:val="0"/>
              <w:suppressLineNumbers w:val="0"/>
              <w:spacing w:before="0" w:beforeAutospacing="0" w:after="0" w:afterAutospacing="0"/>
              <w:ind w:right="0"/>
              <w:rPr>
                <w:rFonts w:hint="default"/>
                <w:color w:val="auto"/>
              </w:rPr>
            </w:pPr>
            <w:r>
              <w:rPr>
                <w:rFonts w:hint="eastAsia"/>
                <w:color w:val="auto"/>
              </w:rPr>
              <w:t>280</w:t>
            </w:r>
          </w:p>
        </w:tc>
        <w:tc>
          <w:tcPr>
            <w:tcW w:w="998" w:type="dxa"/>
            <w:tcBorders>
              <w:top w:val="single" w:color="auto" w:sz="4" w:space="0"/>
              <w:left w:val="single" w:color="auto" w:sz="4" w:space="0"/>
              <w:bottom w:val="single" w:color="auto" w:sz="4" w:space="0"/>
              <w:right w:val="single" w:color="auto" w:sz="4" w:space="0"/>
            </w:tcBorders>
            <w:vAlign w:val="center"/>
          </w:tcPr>
          <w:p w14:paraId="3E58A08E">
            <w:pPr>
              <w:pStyle w:val="167"/>
              <w:keepNext w:val="0"/>
              <w:keepLines w:val="0"/>
              <w:suppressLineNumbers w:val="0"/>
              <w:spacing w:before="0" w:beforeAutospacing="0" w:after="0" w:afterAutospacing="0"/>
              <w:ind w:right="0"/>
              <w:rPr>
                <w:rFonts w:hint="default"/>
                <w:color w:val="auto"/>
              </w:rPr>
            </w:pPr>
            <w:r>
              <w:rPr>
                <w:rFonts w:hint="eastAsia"/>
                <w:color w:val="auto"/>
              </w:rPr>
              <w:t>1.0/0.8</w:t>
            </w:r>
          </w:p>
        </w:tc>
        <w:tc>
          <w:tcPr>
            <w:tcW w:w="1016" w:type="dxa"/>
            <w:tcBorders>
              <w:top w:val="single" w:color="auto" w:sz="4" w:space="0"/>
              <w:left w:val="single" w:color="auto" w:sz="4" w:space="0"/>
              <w:bottom w:val="single" w:color="auto" w:sz="4" w:space="0"/>
              <w:right w:val="single" w:color="auto" w:sz="4" w:space="0"/>
            </w:tcBorders>
            <w:vAlign w:val="center"/>
          </w:tcPr>
          <w:p w14:paraId="69143B47">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48330EE0">
            <w:pPr>
              <w:pStyle w:val="167"/>
              <w:keepNext w:val="0"/>
              <w:keepLines w:val="0"/>
              <w:suppressLineNumbers w:val="0"/>
              <w:spacing w:before="0" w:beforeAutospacing="0" w:after="0" w:afterAutospacing="0"/>
              <w:ind w:right="0"/>
              <w:rPr>
                <w:rFonts w:hint="default"/>
                <w:color w:val="auto"/>
              </w:rPr>
            </w:pPr>
            <w:r>
              <w:rPr>
                <w:rFonts w:hint="eastAsia"/>
                <w:color w:val="auto"/>
              </w:rPr>
              <w:t>甲醇</w:t>
            </w:r>
          </w:p>
        </w:tc>
      </w:tr>
      <w:tr w14:paraId="1F9EDA76">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3114FA1A">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0CCB976F">
            <w:pPr>
              <w:pStyle w:val="167"/>
              <w:keepNext w:val="0"/>
              <w:keepLines w:val="0"/>
              <w:suppressLineNumbers w:val="0"/>
              <w:spacing w:before="0" w:beforeAutospacing="0" w:after="0" w:afterAutospacing="0"/>
              <w:ind w:right="0"/>
              <w:rPr>
                <w:rFonts w:hint="default"/>
                <w:color w:val="auto"/>
              </w:rPr>
            </w:pPr>
            <w:r>
              <w:rPr>
                <w:rFonts w:hint="eastAsia"/>
                <w:color w:val="auto"/>
              </w:rPr>
              <w:t>甲醇装车2#线</w:t>
            </w:r>
          </w:p>
        </w:tc>
        <w:tc>
          <w:tcPr>
            <w:tcW w:w="850" w:type="dxa"/>
            <w:tcBorders>
              <w:top w:val="single" w:color="auto" w:sz="4" w:space="0"/>
              <w:left w:val="single" w:color="auto" w:sz="4" w:space="0"/>
              <w:bottom w:val="single" w:color="auto" w:sz="4" w:space="0"/>
              <w:right w:val="single" w:color="auto" w:sz="4" w:space="0"/>
            </w:tcBorders>
            <w:vAlign w:val="center"/>
          </w:tcPr>
          <w:p w14:paraId="797D2495">
            <w:pPr>
              <w:pStyle w:val="167"/>
              <w:keepNext w:val="0"/>
              <w:keepLines w:val="0"/>
              <w:suppressLineNumbers w:val="0"/>
              <w:spacing w:before="0" w:beforeAutospacing="0" w:after="0" w:afterAutospacing="0"/>
              <w:ind w:right="0"/>
              <w:rPr>
                <w:rFonts w:hint="default"/>
                <w:color w:val="auto"/>
              </w:rPr>
            </w:pPr>
            <w:r>
              <w:rPr>
                <w:rFonts w:hint="eastAsia"/>
                <w:color w:val="auto"/>
              </w:rPr>
              <w:t>100</w:t>
            </w:r>
          </w:p>
        </w:tc>
        <w:tc>
          <w:tcPr>
            <w:tcW w:w="851" w:type="dxa"/>
            <w:tcBorders>
              <w:top w:val="single" w:color="auto" w:sz="4" w:space="0"/>
              <w:left w:val="single" w:color="auto" w:sz="4" w:space="0"/>
              <w:bottom w:val="single" w:color="auto" w:sz="4" w:space="0"/>
              <w:right w:val="single" w:color="auto" w:sz="4" w:space="0"/>
            </w:tcBorders>
            <w:noWrap/>
            <w:vAlign w:val="center"/>
          </w:tcPr>
          <w:p w14:paraId="50F16F39">
            <w:pPr>
              <w:pStyle w:val="167"/>
              <w:keepNext w:val="0"/>
              <w:keepLines w:val="0"/>
              <w:suppressLineNumbers w:val="0"/>
              <w:spacing w:before="0" w:beforeAutospacing="0" w:after="0" w:afterAutospacing="0"/>
              <w:ind w:right="0"/>
              <w:rPr>
                <w:rFonts w:hint="default"/>
                <w:color w:val="auto"/>
              </w:rPr>
            </w:pPr>
            <w:r>
              <w:rPr>
                <w:rFonts w:hint="eastAsia"/>
                <w:color w:val="auto"/>
              </w:rPr>
              <w:t>5.5</w:t>
            </w:r>
          </w:p>
        </w:tc>
        <w:tc>
          <w:tcPr>
            <w:tcW w:w="720" w:type="dxa"/>
            <w:tcBorders>
              <w:top w:val="single" w:color="auto" w:sz="4" w:space="0"/>
              <w:left w:val="single" w:color="auto" w:sz="4" w:space="0"/>
              <w:bottom w:val="single" w:color="auto" w:sz="4" w:space="0"/>
              <w:right w:val="single" w:color="auto" w:sz="4" w:space="0"/>
            </w:tcBorders>
            <w:vAlign w:val="center"/>
          </w:tcPr>
          <w:p w14:paraId="5944CABA">
            <w:pPr>
              <w:pStyle w:val="167"/>
              <w:keepNext w:val="0"/>
              <w:keepLines w:val="0"/>
              <w:suppressLineNumbers w:val="0"/>
              <w:spacing w:before="0" w:beforeAutospacing="0" w:after="0" w:afterAutospacing="0"/>
              <w:ind w:right="0"/>
              <w:rPr>
                <w:rFonts w:hint="default"/>
                <w:color w:val="auto"/>
              </w:rPr>
            </w:pPr>
            <w:r>
              <w:rPr>
                <w:rFonts w:hint="eastAsia"/>
                <w:color w:val="auto"/>
              </w:rPr>
              <w:t>280</w:t>
            </w:r>
          </w:p>
        </w:tc>
        <w:tc>
          <w:tcPr>
            <w:tcW w:w="998" w:type="dxa"/>
            <w:tcBorders>
              <w:top w:val="single" w:color="auto" w:sz="4" w:space="0"/>
              <w:left w:val="single" w:color="auto" w:sz="4" w:space="0"/>
              <w:bottom w:val="single" w:color="auto" w:sz="4" w:space="0"/>
              <w:right w:val="single" w:color="auto" w:sz="4" w:space="0"/>
            </w:tcBorders>
            <w:vAlign w:val="center"/>
          </w:tcPr>
          <w:p w14:paraId="3F22266D">
            <w:pPr>
              <w:pStyle w:val="167"/>
              <w:keepNext w:val="0"/>
              <w:keepLines w:val="0"/>
              <w:suppressLineNumbers w:val="0"/>
              <w:spacing w:before="0" w:beforeAutospacing="0" w:after="0" w:afterAutospacing="0"/>
              <w:ind w:right="0"/>
              <w:rPr>
                <w:rFonts w:hint="default"/>
                <w:color w:val="auto"/>
              </w:rPr>
            </w:pPr>
            <w:r>
              <w:rPr>
                <w:rFonts w:hint="eastAsia"/>
                <w:color w:val="auto"/>
              </w:rPr>
              <w:t>1.0/0.5</w:t>
            </w:r>
          </w:p>
        </w:tc>
        <w:tc>
          <w:tcPr>
            <w:tcW w:w="1016" w:type="dxa"/>
            <w:tcBorders>
              <w:top w:val="single" w:color="auto" w:sz="4" w:space="0"/>
              <w:left w:val="single" w:color="auto" w:sz="4" w:space="0"/>
              <w:bottom w:val="single" w:color="auto" w:sz="4" w:space="0"/>
              <w:right w:val="single" w:color="auto" w:sz="4" w:space="0"/>
            </w:tcBorders>
            <w:vAlign w:val="center"/>
          </w:tcPr>
          <w:p w14:paraId="1C28E9CF">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689E653E">
            <w:pPr>
              <w:pStyle w:val="167"/>
              <w:keepNext w:val="0"/>
              <w:keepLines w:val="0"/>
              <w:suppressLineNumbers w:val="0"/>
              <w:spacing w:before="0" w:beforeAutospacing="0" w:after="0" w:afterAutospacing="0"/>
              <w:ind w:right="0"/>
              <w:rPr>
                <w:rFonts w:hint="default"/>
                <w:color w:val="auto"/>
              </w:rPr>
            </w:pPr>
            <w:r>
              <w:rPr>
                <w:rFonts w:hint="eastAsia"/>
                <w:color w:val="auto"/>
              </w:rPr>
              <w:t>甲醇</w:t>
            </w:r>
          </w:p>
        </w:tc>
      </w:tr>
      <w:tr w14:paraId="597D0B7D">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2C2F99AA">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3926DC76">
            <w:pPr>
              <w:pStyle w:val="167"/>
              <w:keepNext w:val="0"/>
              <w:keepLines w:val="0"/>
              <w:suppressLineNumbers w:val="0"/>
              <w:spacing w:before="0" w:beforeAutospacing="0" w:after="0" w:afterAutospacing="0"/>
              <w:ind w:right="0"/>
              <w:rPr>
                <w:rFonts w:hint="default"/>
                <w:color w:val="auto"/>
              </w:rPr>
            </w:pPr>
            <w:r>
              <w:rPr>
                <w:rFonts w:hint="eastAsia"/>
                <w:color w:val="auto"/>
              </w:rPr>
              <w:t>重油装车线</w:t>
            </w:r>
          </w:p>
        </w:tc>
        <w:tc>
          <w:tcPr>
            <w:tcW w:w="850" w:type="dxa"/>
            <w:tcBorders>
              <w:top w:val="single" w:color="auto" w:sz="4" w:space="0"/>
              <w:left w:val="single" w:color="auto" w:sz="4" w:space="0"/>
              <w:bottom w:val="single" w:color="auto" w:sz="4" w:space="0"/>
              <w:right w:val="single" w:color="auto" w:sz="4" w:space="0"/>
            </w:tcBorders>
            <w:vAlign w:val="center"/>
          </w:tcPr>
          <w:p w14:paraId="22E45C35">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851" w:type="dxa"/>
            <w:tcBorders>
              <w:top w:val="single" w:color="auto" w:sz="4" w:space="0"/>
              <w:left w:val="single" w:color="auto" w:sz="4" w:space="0"/>
              <w:bottom w:val="single" w:color="auto" w:sz="4" w:space="0"/>
              <w:right w:val="single" w:color="auto" w:sz="4" w:space="0"/>
            </w:tcBorders>
            <w:noWrap/>
            <w:vAlign w:val="center"/>
          </w:tcPr>
          <w:p w14:paraId="2DB21FB7">
            <w:pPr>
              <w:pStyle w:val="167"/>
              <w:keepNext w:val="0"/>
              <w:keepLines w:val="0"/>
              <w:suppressLineNumbers w:val="0"/>
              <w:spacing w:before="0" w:beforeAutospacing="0" w:after="0" w:afterAutospacing="0"/>
              <w:ind w:right="0"/>
              <w:rPr>
                <w:rFonts w:hint="default"/>
                <w:color w:val="auto"/>
              </w:rPr>
            </w:pPr>
            <w:r>
              <w:rPr>
                <w:rFonts w:hint="eastAsia"/>
                <w:color w:val="auto"/>
              </w:rPr>
              <w:t>7</w:t>
            </w:r>
          </w:p>
        </w:tc>
        <w:tc>
          <w:tcPr>
            <w:tcW w:w="720" w:type="dxa"/>
            <w:tcBorders>
              <w:top w:val="single" w:color="auto" w:sz="4" w:space="0"/>
              <w:left w:val="single" w:color="auto" w:sz="4" w:space="0"/>
              <w:bottom w:val="single" w:color="auto" w:sz="4" w:space="0"/>
              <w:right w:val="single" w:color="auto" w:sz="4" w:space="0"/>
            </w:tcBorders>
            <w:vAlign w:val="center"/>
          </w:tcPr>
          <w:p w14:paraId="25778DBE">
            <w:pPr>
              <w:pStyle w:val="167"/>
              <w:keepNext w:val="0"/>
              <w:keepLines w:val="0"/>
              <w:suppressLineNumbers w:val="0"/>
              <w:spacing w:before="0" w:beforeAutospacing="0" w:after="0" w:afterAutospacing="0"/>
              <w:ind w:right="0"/>
              <w:rPr>
                <w:rFonts w:hint="default"/>
                <w:color w:val="auto"/>
              </w:rPr>
            </w:pPr>
            <w:r>
              <w:rPr>
                <w:rFonts w:hint="eastAsia"/>
                <w:color w:val="auto"/>
              </w:rPr>
              <w:t>230</w:t>
            </w:r>
          </w:p>
        </w:tc>
        <w:tc>
          <w:tcPr>
            <w:tcW w:w="998" w:type="dxa"/>
            <w:tcBorders>
              <w:top w:val="single" w:color="auto" w:sz="4" w:space="0"/>
              <w:left w:val="single" w:color="auto" w:sz="4" w:space="0"/>
              <w:bottom w:val="single" w:color="auto" w:sz="4" w:space="0"/>
              <w:right w:val="single" w:color="auto" w:sz="4" w:space="0"/>
            </w:tcBorders>
            <w:vAlign w:val="center"/>
          </w:tcPr>
          <w:p w14:paraId="768578D4">
            <w:pPr>
              <w:pStyle w:val="167"/>
              <w:keepNext w:val="0"/>
              <w:keepLines w:val="0"/>
              <w:suppressLineNumbers w:val="0"/>
              <w:spacing w:before="0" w:beforeAutospacing="0" w:after="0" w:afterAutospacing="0"/>
              <w:ind w:right="0"/>
              <w:rPr>
                <w:rFonts w:hint="default"/>
                <w:color w:val="auto"/>
              </w:rPr>
            </w:pPr>
            <w:r>
              <w:rPr>
                <w:rFonts w:hint="eastAsia"/>
                <w:color w:val="auto"/>
              </w:rPr>
              <w:t>2.5/0.5</w:t>
            </w:r>
          </w:p>
        </w:tc>
        <w:tc>
          <w:tcPr>
            <w:tcW w:w="1016" w:type="dxa"/>
            <w:tcBorders>
              <w:top w:val="single" w:color="auto" w:sz="4" w:space="0"/>
              <w:left w:val="single" w:color="auto" w:sz="4" w:space="0"/>
              <w:bottom w:val="single" w:color="auto" w:sz="4" w:space="0"/>
              <w:right w:val="single" w:color="auto" w:sz="4" w:space="0"/>
            </w:tcBorders>
            <w:vAlign w:val="center"/>
          </w:tcPr>
          <w:p w14:paraId="79794FCD">
            <w:pPr>
              <w:pStyle w:val="167"/>
              <w:keepNext w:val="0"/>
              <w:keepLines w:val="0"/>
              <w:suppressLineNumbers w:val="0"/>
              <w:spacing w:before="0" w:beforeAutospacing="0" w:after="0" w:afterAutospacing="0"/>
              <w:ind w:right="0"/>
              <w:rPr>
                <w:rFonts w:hint="default"/>
                <w:color w:val="auto"/>
              </w:rPr>
            </w:pPr>
            <w:r>
              <w:rPr>
                <w:rFonts w:hint="eastAsia"/>
                <w:color w:val="auto"/>
              </w:rPr>
              <w:t>60～92</w:t>
            </w:r>
          </w:p>
        </w:tc>
        <w:tc>
          <w:tcPr>
            <w:tcW w:w="1511" w:type="dxa"/>
            <w:tcBorders>
              <w:top w:val="single" w:color="auto" w:sz="4" w:space="0"/>
              <w:left w:val="single" w:color="auto" w:sz="4" w:space="0"/>
              <w:bottom w:val="single" w:color="auto" w:sz="4" w:space="0"/>
              <w:right w:val="single" w:color="auto" w:sz="4" w:space="0"/>
            </w:tcBorders>
            <w:vAlign w:val="center"/>
          </w:tcPr>
          <w:p w14:paraId="3DF7762A">
            <w:pPr>
              <w:pStyle w:val="167"/>
              <w:keepNext w:val="0"/>
              <w:keepLines w:val="0"/>
              <w:suppressLineNumbers w:val="0"/>
              <w:spacing w:before="0" w:beforeAutospacing="0" w:after="0" w:afterAutospacing="0"/>
              <w:ind w:right="0"/>
              <w:rPr>
                <w:rFonts w:hint="default"/>
                <w:color w:val="auto"/>
              </w:rPr>
            </w:pPr>
            <w:r>
              <w:rPr>
                <w:rFonts w:hint="eastAsia"/>
                <w:color w:val="auto"/>
              </w:rPr>
              <w:t>重油</w:t>
            </w:r>
          </w:p>
        </w:tc>
      </w:tr>
      <w:tr w14:paraId="569CFC7F">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2D2E9945">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6FBAC441">
            <w:pPr>
              <w:pStyle w:val="167"/>
              <w:keepNext w:val="0"/>
              <w:keepLines w:val="0"/>
              <w:suppressLineNumbers w:val="0"/>
              <w:spacing w:before="0" w:beforeAutospacing="0" w:after="0" w:afterAutospacing="0"/>
              <w:ind w:right="0"/>
              <w:rPr>
                <w:rFonts w:hint="default"/>
                <w:color w:val="auto"/>
              </w:rPr>
            </w:pPr>
            <w:r>
              <w:rPr>
                <w:rFonts w:hint="eastAsia"/>
                <w:color w:val="auto"/>
              </w:rPr>
              <w:t>油气回收线</w:t>
            </w:r>
          </w:p>
        </w:tc>
        <w:tc>
          <w:tcPr>
            <w:tcW w:w="850" w:type="dxa"/>
            <w:tcBorders>
              <w:top w:val="single" w:color="auto" w:sz="4" w:space="0"/>
              <w:left w:val="single" w:color="auto" w:sz="4" w:space="0"/>
              <w:bottom w:val="single" w:color="auto" w:sz="4" w:space="0"/>
              <w:right w:val="single" w:color="auto" w:sz="4" w:space="0"/>
            </w:tcBorders>
            <w:vAlign w:val="center"/>
          </w:tcPr>
          <w:p w14:paraId="6B07E9CC">
            <w:pPr>
              <w:pStyle w:val="167"/>
              <w:keepNext w:val="0"/>
              <w:keepLines w:val="0"/>
              <w:suppressLineNumbers w:val="0"/>
              <w:spacing w:before="0" w:beforeAutospacing="0" w:after="0" w:afterAutospacing="0"/>
              <w:ind w:right="0"/>
              <w:rPr>
                <w:rFonts w:hint="default"/>
                <w:color w:val="auto"/>
              </w:rPr>
            </w:pPr>
            <w:r>
              <w:rPr>
                <w:rFonts w:hint="eastAsia"/>
                <w:color w:val="auto"/>
              </w:rPr>
              <w:t>100</w:t>
            </w:r>
          </w:p>
        </w:tc>
        <w:tc>
          <w:tcPr>
            <w:tcW w:w="851" w:type="dxa"/>
            <w:tcBorders>
              <w:top w:val="single" w:color="auto" w:sz="4" w:space="0"/>
              <w:left w:val="single" w:color="auto" w:sz="4" w:space="0"/>
              <w:bottom w:val="single" w:color="auto" w:sz="4" w:space="0"/>
              <w:right w:val="single" w:color="auto" w:sz="4" w:space="0"/>
            </w:tcBorders>
            <w:noWrap/>
            <w:vAlign w:val="center"/>
          </w:tcPr>
          <w:p w14:paraId="29A11E70">
            <w:pPr>
              <w:pStyle w:val="167"/>
              <w:keepNext w:val="0"/>
              <w:keepLines w:val="0"/>
              <w:suppressLineNumbers w:val="0"/>
              <w:spacing w:before="0" w:beforeAutospacing="0" w:after="0" w:afterAutospacing="0"/>
              <w:ind w:right="0"/>
              <w:rPr>
                <w:rFonts w:hint="default"/>
                <w:color w:val="auto"/>
              </w:rPr>
            </w:pPr>
            <w:r>
              <w:rPr>
                <w:rFonts w:hint="eastAsia"/>
                <w:color w:val="auto"/>
              </w:rPr>
              <w:t>4</w:t>
            </w:r>
          </w:p>
        </w:tc>
        <w:tc>
          <w:tcPr>
            <w:tcW w:w="720" w:type="dxa"/>
            <w:tcBorders>
              <w:top w:val="single" w:color="auto" w:sz="4" w:space="0"/>
              <w:left w:val="single" w:color="auto" w:sz="4" w:space="0"/>
              <w:bottom w:val="single" w:color="auto" w:sz="4" w:space="0"/>
              <w:right w:val="single" w:color="auto" w:sz="4" w:space="0"/>
            </w:tcBorders>
            <w:vAlign w:val="center"/>
          </w:tcPr>
          <w:p w14:paraId="251974BF">
            <w:pPr>
              <w:pStyle w:val="167"/>
              <w:keepNext w:val="0"/>
              <w:keepLines w:val="0"/>
              <w:suppressLineNumbers w:val="0"/>
              <w:spacing w:before="0" w:beforeAutospacing="0" w:after="0" w:afterAutospacing="0"/>
              <w:ind w:right="0"/>
              <w:rPr>
                <w:rFonts w:hint="default"/>
                <w:color w:val="auto"/>
              </w:rPr>
            </w:pPr>
            <w:r>
              <w:rPr>
                <w:rFonts w:hint="eastAsia"/>
                <w:color w:val="auto"/>
              </w:rPr>
              <w:t>100</w:t>
            </w:r>
          </w:p>
        </w:tc>
        <w:tc>
          <w:tcPr>
            <w:tcW w:w="998" w:type="dxa"/>
            <w:tcBorders>
              <w:top w:val="single" w:color="auto" w:sz="4" w:space="0"/>
              <w:left w:val="single" w:color="auto" w:sz="4" w:space="0"/>
              <w:bottom w:val="single" w:color="auto" w:sz="4" w:space="0"/>
              <w:right w:val="single" w:color="auto" w:sz="4" w:space="0"/>
            </w:tcBorders>
            <w:vAlign w:val="center"/>
          </w:tcPr>
          <w:p w14:paraId="5CA096DB">
            <w:pPr>
              <w:pStyle w:val="167"/>
              <w:keepNext w:val="0"/>
              <w:keepLines w:val="0"/>
              <w:suppressLineNumbers w:val="0"/>
              <w:spacing w:before="0" w:beforeAutospacing="0" w:after="0" w:afterAutospacing="0"/>
              <w:ind w:right="0"/>
              <w:rPr>
                <w:rFonts w:hint="default"/>
                <w:color w:val="auto"/>
              </w:rPr>
            </w:pPr>
            <w:r>
              <w:rPr>
                <w:rFonts w:hint="eastAsia"/>
                <w:color w:val="auto"/>
              </w:rPr>
              <w:t>1.0/0.1</w:t>
            </w:r>
          </w:p>
        </w:tc>
        <w:tc>
          <w:tcPr>
            <w:tcW w:w="1016" w:type="dxa"/>
            <w:tcBorders>
              <w:top w:val="single" w:color="auto" w:sz="4" w:space="0"/>
              <w:left w:val="single" w:color="auto" w:sz="4" w:space="0"/>
              <w:bottom w:val="single" w:color="auto" w:sz="4" w:space="0"/>
              <w:right w:val="single" w:color="auto" w:sz="4" w:space="0"/>
            </w:tcBorders>
            <w:vAlign w:val="center"/>
          </w:tcPr>
          <w:p w14:paraId="17C836BD">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76E8A8B4">
            <w:pPr>
              <w:pStyle w:val="167"/>
              <w:keepNext w:val="0"/>
              <w:keepLines w:val="0"/>
              <w:suppressLineNumbers w:val="0"/>
              <w:spacing w:before="0" w:beforeAutospacing="0" w:after="0" w:afterAutospacing="0"/>
              <w:ind w:right="0"/>
              <w:rPr>
                <w:rFonts w:hint="default"/>
                <w:color w:val="auto"/>
              </w:rPr>
            </w:pPr>
            <w:r>
              <w:rPr>
                <w:rFonts w:hint="eastAsia"/>
                <w:color w:val="auto"/>
              </w:rPr>
              <w:t>油气</w:t>
            </w:r>
          </w:p>
        </w:tc>
      </w:tr>
      <w:tr w14:paraId="1DADEDCD">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5F8F7EC2">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1EFEC487">
            <w:pPr>
              <w:pStyle w:val="167"/>
              <w:keepNext w:val="0"/>
              <w:keepLines w:val="0"/>
              <w:suppressLineNumbers w:val="0"/>
              <w:spacing w:before="0" w:beforeAutospacing="0" w:after="0" w:afterAutospacing="0"/>
              <w:ind w:right="0"/>
              <w:rPr>
                <w:rFonts w:hint="default"/>
                <w:color w:val="auto"/>
              </w:rPr>
            </w:pPr>
            <w:r>
              <w:rPr>
                <w:rFonts w:hint="eastAsia"/>
                <w:color w:val="auto"/>
              </w:rPr>
              <w:t>甲醇装车3#线泵入口线1</w:t>
            </w:r>
          </w:p>
        </w:tc>
        <w:tc>
          <w:tcPr>
            <w:tcW w:w="850" w:type="dxa"/>
            <w:tcBorders>
              <w:top w:val="single" w:color="auto" w:sz="4" w:space="0"/>
              <w:left w:val="single" w:color="auto" w:sz="4" w:space="0"/>
              <w:bottom w:val="single" w:color="auto" w:sz="4" w:space="0"/>
              <w:right w:val="single" w:color="auto" w:sz="4" w:space="0"/>
            </w:tcBorders>
            <w:vAlign w:val="center"/>
          </w:tcPr>
          <w:p w14:paraId="2EC61FAC">
            <w:pPr>
              <w:pStyle w:val="167"/>
              <w:keepNext w:val="0"/>
              <w:keepLines w:val="0"/>
              <w:suppressLineNumbers w:val="0"/>
              <w:spacing w:before="0" w:beforeAutospacing="0" w:after="0" w:afterAutospacing="0"/>
              <w:ind w:right="0"/>
              <w:rPr>
                <w:rFonts w:hint="default"/>
                <w:color w:val="auto"/>
              </w:rPr>
            </w:pPr>
            <w:r>
              <w:rPr>
                <w:rFonts w:hint="eastAsia"/>
                <w:color w:val="auto"/>
              </w:rPr>
              <w:t>159</w:t>
            </w:r>
          </w:p>
        </w:tc>
        <w:tc>
          <w:tcPr>
            <w:tcW w:w="851" w:type="dxa"/>
            <w:tcBorders>
              <w:top w:val="single" w:color="auto" w:sz="4" w:space="0"/>
              <w:left w:val="single" w:color="auto" w:sz="4" w:space="0"/>
              <w:bottom w:val="single" w:color="auto" w:sz="4" w:space="0"/>
              <w:right w:val="single" w:color="auto" w:sz="4" w:space="0"/>
            </w:tcBorders>
            <w:vAlign w:val="center"/>
          </w:tcPr>
          <w:p w14:paraId="01B9DEE8">
            <w:pPr>
              <w:pStyle w:val="167"/>
              <w:keepNext w:val="0"/>
              <w:keepLines w:val="0"/>
              <w:suppressLineNumbers w:val="0"/>
              <w:spacing w:before="0" w:beforeAutospacing="0" w:after="0" w:afterAutospacing="0"/>
              <w:ind w:right="0"/>
              <w:rPr>
                <w:rFonts w:hint="default"/>
                <w:color w:val="auto"/>
              </w:rPr>
            </w:pPr>
            <w:r>
              <w:rPr>
                <w:rFonts w:hint="eastAsia"/>
                <w:color w:val="auto"/>
              </w:rPr>
              <w:t>5.5</w:t>
            </w:r>
          </w:p>
        </w:tc>
        <w:tc>
          <w:tcPr>
            <w:tcW w:w="720" w:type="dxa"/>
            <w:tcBorders>
              <w:top w:val="single" w:color="auto" w:sz="4" w:space="0"/>
              <w:left w:val="single" w:color="auto" w:sz="4" w:space="0"/>
              <w:bottom w:val="single" w:color="auto" w:sz="4" w:space="0"/>
              <w:right w:val="single" w:color="auto" w:sz="4" w:space="0"/>
            </w:tcBorders>
            <w:noWrap/>
            <w:vAlign w:val="center"/>
          </w:tcPr>
          <w:p w14:paraId="52A92074">
            <w:pPr>
              <w:pStyle w:val="167"/>
              <w:keepNext w:val="0"/>
              <w:keepLines w:val="0"/>
              <w:suppressLineNumbers w:val="0"/>
              <w:spacing w:before="0" w:beforeAutospacing="0" w:after="0" w:afterAutospacing="0"/>
              <w:ind w:right="0"/>
              <w:rPr>
                <w:rFonts w:hint="default"/>
                <w:color w:val="auto"/>
              </w:rPr>
            </w:pPr>
            <w:r>
              <w:rPr>
                <w:rFonts w:hint="eastAsia"/>
                <w:color w:val="auto"/>
              </w:rPr>
              <w:t>14.5</w:t>
            </w:r>
          </w:p>
        </w:tc>
        <w:tc>
          <w:tcPr>
            <w:tcW w:w="998" w:type="dxa"/>
            <w:tcBorders>
              <w:top w:val="single" w:color="auto" w:sz="4" w:space="0"/>
              <w:left w:val="single" w:color="auto" w:sz="4" w:space="0"/>
              <w:bottom w:val="single" w:color="auto" w:sz="4" w:space="0"/>
              <w:right w:val="single" w:color="auto" w:sz="4" w:space="0"/>
            </w:tcBorders>
            <w:vAlign w:val="center"/>
          </w:tcPr>
          <w:p w14:paraId="3D4EE87F">
            <w:pPr>
              <w:pStyle w:val="167"/>
              <w:keepNext w:val="0"/>
              <w:keepLines w:val="0"/>
              <w:suppressLineNumbers w:val="0"/>
              <w:spacing w:before="0" w:beforeAutospacing="0" w:after="0" w:afterAutospacing="0"/>
              <w:ind w:right="0"/>
              <w:rPr>
                <w:rFonts w:hint="default"/>
                <w:color w:val="auto"/>
              </w:rPr>
            </w:pPr>
            <w:r>
              <w:rPr>
                <w:rFonts w:hint="eastAsia"/>
                <w:color w:val="auto"/>
              </w:rPr>
              <w:t>1.0/0.2</w:t>
            </w:r>
          </w:p>
        </w:tc>
        <w:tc>
          <w:tcPr>
            <w:tcW w:w="1016" w:type="dxa"/>
            <w:tcBorders>
              <w:top w:val="single" w:color="auto" w:sz="4" w:space="0"/>
              <w:left w:val="single" w:color="auto" w:sz="4" w:space="0"/>
              <w:bottom w:val="single" w:color="auto" w:sz="4" w:space="0"/>
              <w:right w:val="single" w:color="auto" w:sz="4" w:space="0"/>
            </w:tcBorders>
            <w:vAlign w:val="center"/>
          </w:tcPr>
          <w:p w14:paraId="173A1F44">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2BCE1FFD">
            <w:pPr>
              <w:pStyle w:val="167"/>
              <w:keepNext w:val="0"/>
              <w:keepLines w:val="0"/>
              <w:suppressLineNumbers w:val="0"/>
              <w:spacing w:before="0" w:beforeAutospacing="0" w:after="0" w:afterAutospacing="0"/>
              <w:ind w:right="0"/>
              <w:rPr>
                <w:rFonts w:hint="default"/>
                <w:color w:val="auto"/>
              </w:rPr>
            </w:pPr>
            <w:r>
              <w:rPr>
                <w:rFonts w:hint="eastAsia"/>
                <w:color w:val="auto"/>
              </w:rPr>
              <w:t>甲醇</w:t>
            </w:r>
          </w:p>
        </w:tc>
      </w:tr>
      <w:tr w14:paraId="446F8980">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3488907D">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761BDC08">
            <w:pPr>
              <w:pStyle w:val="167"/>
              <w:keepNext w:val="0"/>
              <w:keepLines w:val="0"/>
              <w:suppressLineNumbers w:val="0"/>
              <w:spacing w:before="0" w:beforeAutospacing="0" w:after="0" w:afterAutospacing="0"/>
              <w:ind w:right="0"/>
              <w:rPr>
                <w:rFonts w:hint="default"/>
                <w:color w:val="auto"/>
              </w:rPr>
            </w:pPr>
            <w:r>
              <w:rPr>
                <w:rFonts w:hint="eastAsia"/>
                <w:color w:val="auto"/>
              </w:rPr>
              <w:t>甲醇装车3#线泵入口线2</w:t>
            </w:r>
          </w:p>
        </w:tc>
        <w:tc>
          <w:tcPr>
            <w:tcW w:w="850" w:type="dxa"/>
            <w:tcBorders>
              <w:top w:val="single" w:color="auto" w:sz="4" w:space="0"/>
              <w:left w:val="single" w:color="auto" w:sz="4" w:space="0"/>
              <w:bottom w:val="single" w:color="auto" w:sz="4" w:space="0"/>
              <w:right w:val="single" w:color="auto" w:sz="4" w:space="0"/>
            </w:tcBorders>
            <w:vAlign w:val="center"/>
          </w:tcPr>
          <w:p w14:paraId="25D509D5">
            <w:pPr>
              <w:pStyle w:val="167"/>
              <w:keepNext w:val="0"/>
              <w:keepLines w:val="0"/>
              <w:suppressLineNumbers w:val="0"/>
              <w:spacing w:before="0" w:beforeAutospacing="0" w:after="0" w:afterAutospacing="0"/>
              <w:ind w:right="0"/>
              <w:rPr>
                <w:rFonts w:hint="default"/>
                <w:color w:val="auto"/>
              </w:rPr>
            </w:pPr>
            <w:r>
              <w:rPr>
                <w:rFonts w:hint="eastAsia"/>
                <w:color w:val="auto"/>
              </w:rPr>
              <w:t>159</w:t>
            </w:r>
          </w:p>
        </w:tc>
        <w:tc>
          <w:tcPr>
            <w:tcW w:w="851" w:type="dxa"/>
            <w:tcBorders>
              <w:top w:val="single" w:color="auto" w:sz="4" w:space="0"/>
              <w:left w:val="single" w:color="auto" w:sz="4" w:space="0"/>
              <w:bottom w:val="single" w:color="auto" w:sz="4" w:space="0"/>
              <w:right w:val="single" w:color="auto" w:sz="4" w:space="0"/>
            </w:tcBorders>
            <w:vAlign w:val="center"/>
          </w:tcPr>
          <w:p w14:paraId="78E6EBA5">
            <w:pPr>
              <w:pStyle w:val="167"/>
              <w:keepNext w:val="0"/>
              <w:keepLines w:val="0"/>
              <w:suppressLineNumbers w:val="0"/>
              <w:spacing w:before="0" w:beforeAutospacing="0" w:after="0" w:afterAutospacing="0"/>
              <w:ind w:right="0"/>
              <w:rPr>
                <w:rFonts w:hint="default"/>
                <w:color w:val="auto"/>
              </w:rPr>
            </w:pPr>
            <w:r>
              <w:rPr>
                <w:rFonts w:hint="eastAsia"/>
                <w:color w:val="auto"/>
              </w:rPr>
              <w:t>5.5</w:t>
            </w:r>
          </w:p>
        </w:tc>
        <w:tc>
          <w:tcPr>
            <w:tcW w:w="720" w:type="dxa"/>
            <w:tcBorders>
              <w:top w:val="single" w:color="auto" w:sz="4" w:space="0"/>
              <w:left w:val="single" w:color="auto" w:sz="4" w:space="0"/>
              <w:bottom w:val="single" w:color="auto" w:sz="4" w:space="0"/>
              <w:right w:val="single" w:color="auto" w:sz="4" w:space="0"/>
            </w:tcBorders>
            <w:noWrap/>
            <w:vAlign w:val="center"/>
          </w:tcPr>
          <w:p w14:paraId="4DEB0CC8">
            <w:pPr>
              <w:pStyle w:val="167"/>
              <w:keepNext w:val="0"/>
              <w:keepLines w:val="0"/>
              <w:suppressLineNumbers w:val="0"/>
              <w:spacing w:before="0" w:beforeAutospacing="0" w:after="0" w:afterAutospacing="0"/>
              <w:ind w:right="0"/>
              <w:rPr>
                <w:rFonts w:hint="default"/>
                <w:color w:val="auto"/>
              </w:rPr>
            </w:pPr>
            <w:r>
              <w:rPr>
                <w:rFonts w:hint="eastAsia"/>
                <w:color w:val="auto"/>
              </w:rPr>
              <w:t>14.5</w:t>
            </w:r>
          </w:p>
        </w:tc>
        <w:tc>
          <w:tcPr>
            <w:tcW w:w="998" w:type="dxa"/>
            <w:tcBorders>
              <w:top w:val="single" w:color="auto" w:sz="4" w:space="0"/>
              <w:left w:val="single" w:color="auto" w:sz="4" w:space="0"/>
              <w:bottom w:val="single" w:color="auto" w:sz="4" w:space="0"/>
              <w:right w:val="single" w:color="auto" w:sz="4" w:space="0"/>
            </w:tcBorders>
            <w:vAlign w:val="center"/>
          </w:tcPr>
          <w:p w14:paraId="4D56279A">
            <w:pPr>
              <w:pStyle w:val="167"/>
              <w:keepNext w:val="0"/>
              <w:keepLines w:val="0"/>
              <w:suppressLineNumbers w:val="0"/>
              <w:spacing w:before="0" w:beforeAutospacing="0" w:after="0" w:afterAutospacing="0"/>
              <w:ind w:right="0"/>
              <w:rPr>
                <w:rFonts w:hint="default"/>
                <w:color w:val="auto"/>
              </w:rPr>
            </w:pPr>
            <w:r>
              <w:rPr>
                <w:rFonts w:hint="eastAsia"/>
                <w:color w:val="auto"/>
              </w:rPr>
              <w:t>1.0/0.2</w:t>
            </w:r>
          </w:p>
        </w:tc>
        <w:tc>
          <w:tcPr>
            <w:tcW w:w="1016" w:type="dxa"/>
            <w:tcBorders>
              <w:top w:val="single" w:color="auto" w:sz="4" w:space="0"/>
              <w:left w:val="single" w:color="auto" w:sz="4" w:space="0"/>
              <w:bottom w:val="single" w:color="auto" w:sz="4" w:space="0"/>
              <w:right w:val="single" w:color="auto" w:sz="4" w:space="0"/>
            </w:tcBorders>
            <w:vAlign w:val="center"/>
          </w:tcPr>
          <w:p w14:paraId="7D3A1BB4">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3945C3A6">
            <w:pPr>
              <w:pStyle w:val="167"/>
              <w:keepNext w:val="0"/>
              <w:keepLines w:val="0"/>
              <w:suppressLineNumbers w:val="0"/>
              <w:spacing w:before="0" w:beforeAutospacing="0" w:after="0" w:afterAutospacing="0"/>
              <w:ind w:right="0"/>
              <w:rPr>
                <w:rFonts w:hint="default"/>
                <w:color w:val="auto"/>
              </w:rPr>
            </w:pPr>
            <w:r>
              <w:rPr>
                <w:rFonts w:hint="eastAsia"/>
                <w:color w:val="auto"/>
              </w:rPr>
              <w:t>甲醇</w:t>
            </w:r>
          </w:p>
        </w:tc>
      </w:tr>
      <w:tr w14:paraId="58B849BC">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05FAD74F">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0322A315">
            <w:pPr>
              <w:pStyle w:val="167"/>
              <w:keepNext w:val="0"/>
              <w:keepLines w:val="0"/>
              <w:suppressLineNumbers w:val="0"/>
              <w:spacing w:before="0" w:beforeAutospacing="0" w:after="0" w:afterAutospacing="0"/>
              <w:ind w:right="0"/>
              <w:rPr>
                <w:rFonts w:hint="default"/>
                <w:color w:val="auto"/>
              </w:rPr>
            </w:pPr>
            <w:r>
              <w:rPr>
                <w:rFonts w:hint="eastAsia"/>
                <w:color w:val="auto"/>
              </w:rPr>
              <w:t>甲醇装车3#线泵出口线1</w:t>
            </w:r>
          </w:p>
        </w:tc>
        <w:tc>
          <w:tcPr>
            <w:tcW w:w="850" w:type="dxa"/>
            <w:tcBorders>
              <w:top w:val="single" w:color="auto" w:sz="4" w:space="0"/>
              <w:left w:val="single" w:color="auto" w:sz="4" w:space="0"/>
              <w:bottom w:val="single" w:color="auto" w:sz="4" w:space="0"/>
              <w:right w:val="single" w:color="auto" w:sz="4" w:space="0"/>
            </w:tcBorders>
            <w:vAlign w:val="center"/>
          </w:tcPr>
          <w:p w14:paraId="62D704A4">
            <w:pPr>
              <w:pStyle w:val="167"/>
              <w:keepNext w:val="0"/>
              <w:keepLines w:val="0"/>
              <w:suppressLineNumbers w:val="0"/>
              <w:spacing w:before="0" w:beforeAutospacing="0" w:after="0" w:afterAutospacing="0"/>
              <w:ind w:right="0"/>
              <w:rPr>
                <w:rFonts w:hint="default"/>
                <w:color w:val="auto"/>
              </w:rPr>
            </w:pPr>
            <w:r>
              <w:rPr>
                <w:rFonts w:hint="eastAsia"/>
                <w:color w:val="auto"/>
              </w:rPr>
              <w:t>159</w:t>
            </w:r>
          </w:p>
        </w:tc>
        <w:tc>
          <w:tcPr>
            <w:tcW w:w="851" w:type="dxa"/>
            <w:tcBorders>
              <w:top w:val="single" w:color="auto" w:sz="4" w:space="0"/>
              <w:left w:val="single" w:color="auto" w:sz="4" w:space="0"/>
              <w:bottom w:val="single" w:color="auto" w:sz="4" w:space="0"/>
              <w:right w:val="single" w:color="auto" w:sz="4" w:space="0"/>
            </w:tcBorders>
            <w:vAlign w:val="center"/>
          </w:tcPr>
          <w:p w14:paraId="6DD9E144">
            <w:pPr>
              <w:pStyle w:val="167"/>
              <w:keepNext w:val="0"/>
              <w:keepLines w:val="0"/>
              <w:suppressLineNumbers w:val="0"/>
              <w:spacing w:before="0" w:beforeAutospacing="0" w:after="0" w:afterAutospacing="0"/>
              <w:ind w:right="0"/>
              <w:rPr>
                <w:rFonts w:hint="default"/>
                <w:color w:val="auto"/>
              </w:rPr>
            </w:pPr>
            <w:r>
              <w:rPr>
                <w:rFonts w:hint="eastAsia"/>
                <w:color w:val="auto"/>
              </w:rPr>
              <w:t>5.5</w:t>
            </w:r>
          </w:p>
        </w:tc>
        <w:tc>
          <w:tcPr>
            <w:tcW w:w="720" w:type="dxa"/>
            <w:tcBorders>
              <w:top w:val="single" w:color="auto" w:sz="4" w:space="0"/>
              <w:left w:val="single" w:color="auto" w:sz="4" w:space="0"/>
              <w:bottom w:val="single" w:color="auto" w:sz="4" w:space="0"/>
              <w:right w:val="single" w:color="auto" w:sz="4" w:space="0"/>
            </w:tcBorders>
            <w:noWrap/>
            <w:vAlign w:val="center"/>
          </w:tcPr>
          <w:p w14:paraId="5AA3EECE">
            <w:pPr>
              <w:pStyle w:val="167"/>
              <w:keepNext w:val="0"/>
              <w:keepLines w:val="0"/>
              <w:suppressLineNumbers w:val="0"/>
              <w:spacing w:before="0" w:beforeAutospacing="0" w:after="0" w:afterAutospacing="0"/>
              <w:ind w:right="0"/>
              <w:rPr>
                <w:rFonts w:hint="default"/>
                <w:color w:val="auto"/>
              </w:rPr>
            </w:pPr>
            <w:r>
              <w:rPr>
                <w:rFonts w:hint="eastAsia"/>
                <w:color w:val="auto"/>
              </w:rPr>
              <w:t>1</w:t>
            </w:r>
          </w:p>
        </w:tc>
        <w:tc>
          <w:tcPr>
            <w:tcW w:w="998" w:type="dxa"/>
            <w:tcBorders>
              <w:top w:val="single" w:color="auto" w:sz="4" w:space="0"/>
              <w:left w:val="single" w:color="auto" w:sz="4" w:space="0"/>
              <w:bottom w:val="single" w:color="auto" w:sz="4" w:space="0"/>
              <w:right w:val="single" w:color="auto" w:sz="4" w:space="0"/>
            </w:tcBorders>
            <w:vAlign w:val="center"/>
          </w:tcPr>
          <w:p w14:paraId="5E0D2D79">
            <w:pPr>
              <w:pStyle w:val="167"/>
              <w:keepNext w:val="0"/>
              <w:keepLines w:val="0"/>
              <w:suppressLineNumbers w:val="0"/>
              <w:spacing w:before="0" w:beforeAutospacing="0" w:after="0" w:afterAutospacing="0"/>
              <w:ind w:right="0"/>
              <w:rPr>
                <w:rFonts w:hint="default"/>
                <w:color w:val="auto"/>
              </w:rPr>
            </w:pPr>
            <w:r>
              <w:rPr>
                <w:rFonts w:hint="eastAsia"/>
                <w:color w:val="auto"/>
              </w:rPr>
              <w:t>1.0/0.54</w:t>
            </w:r>
          </w:p>
        </w:tc>
        <w:tc>
          <w:tcPr>
            <w:tcW w:w="1016" w:type="dxa"/>
            <w:tcBorders>
              <w:top w:val="single" w:color="auto" w:sz="4" w:space="0"/>
              <w:left w:val="single" w:color="auto" w:sz="4" w:space="0"/>
              <w:bottom w:val="single" w:color="auto" w:sz="4" w:space="0"/>
              <w:right w:val="single" w:color="auto" w:sz="4" w:space="0"/>
            </w:tcBorders>
            <w:vAlign w:val="center"/>
          </w:tcPr>
          <w:p w14:paraId="3A967697">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39504D75">
            <w:pPr>
              <w:pStyle w:val="167"/>
              <w:keepNext w:val="0"/>
              <w:keepLines w:val="0"/>
              <w:suppressLineNumbers w:val="0"/>
              <w:spacing w:before="0" w:beforeAutospacing="0" w:after="0" w:afterAutospacing="0"/>
              <w:ind w:right="0"/>
              <w:rPr>
                <w:rFonts w:hint="default"/>
                <w:color w:val="auto"/>
              </w:rPr>
            </w:pPr>
            <w:r>
              <w:rPr>
                <w:rFonts w:hint="eastAsia"/>
                <w:color w:val="auto"/>
              </w:rPr>
              <w:t>甲醇</w:t>
            </w:r>
          </w:p>
        </w:tc>
      </w:tr>
      <w:tr w14:paraId="15AECB21">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30F18F09">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3E0908AA">
            <w:pPr>
              <w:pStyle w:val="167"/>
              <w:keepNext w:val="0"/>
              <w:keepLines w:val="0"/>
              <w:suppressLineNumbers w:val="0"/>
              <w:spacing w:before="0" w:beforeAutospacing="0" w:after="0" w:afterAutospacing="0"/>
              <w:ind w:right="0"/>
              <w:rPr>
                <w:rFonts w:hint="default"/>
                <w:color w:val="auto"/>
              </w:rPr>
            </w:pPr>
            <w:r>
              <w:rPr>
                <w:rFonts w:hint="eastAsia"/>
                <w:color w:val="auto"/>
              </w:rPr>
              <w:t>甲醇装车3#线泵出口线2</w:t>
            </w:r>
          </w:p>
        </w:tc>
        <w:tc>
          <w:tcPr>
            <w:tcW w:w="850" w:type="dxa"/>
            <w:tcBorders>
              <w:top w:val="single" w:color="auto" w:sz="4" w:space="0"/>
              <w:left w:val="single" w:color="auto" w:sz="4" w:space="0"/>
              <w:bottom w:val="single" w:color="auto" w:sz="4" w:space="0"/>
              <w:right w:val="single" w:color="auto" w:sz="4" w:space="0"/>
            </w:tcBorders>
            <w:vAlign w:val="center"/>
          </w:tcPr>
          <w:p w14:paraId="7B9E24AA">
            <w:pPr>
              <w:pStyle w:val="167"/>
              <w:keepNext w:val="0"/>
              <w:keepLines w:val="0"/>
              <w:suppressLineNumbers w:val="0"/>
              <w:spacing w:before="0" w:beforeAutospacing="0" w:after="0" w:afterAutospacing="0"/>
              <w:ind w:right="0"/>
              <w:rPr>
                <w:rFonts w:hint="default"/>
                <w:color w:val="auto"/>
              </w:rPr>
            </w:pPr>
            <w:r>
              <w:rPr>
                <w:rFonts w:hint="eastAsia"/>
                <w:color w:val="auto"/>
              </w:rPr>
              <w:t>159</w:t>
            </w:r>
          </w:p>
        </w:tc>
        <w:tc>
          <w:tcPr>
            <w:tcW w:w="851" w:type="dxa"/>
            <w:tcBorders>
              <w:top w:val="single" w:color="auto" w:sz="4" w:space="0"/>
              <w:left w:val="single" w:color="auto" w:sz="4" w:space="0"/>
              <w:bottom w:val="single" w:color="auto" w:sz="4" w:space="0"/>
              <w:right w:val="single" w:color="auto" w:sz="4" w:space="0"/>
            </w:tcBorders>
            <w:vAlign w:val="center"/>
          </w:tcPr>
          <w:p w14:paraId="7CF195D3">
            <w:pPr>
              <w:pStyle w:val="167"/>
              <w:keepNext w:val="0"/>
              <w:keepLines w:val="0"/>
              <w:suppressLineNumbers w:val="0"/>
              <w:spacing w:before="0" w:beforeAutospacing="0" w:after="0" w:afterAutospacing="0"/>
              <w:ind w:right="0"/>
              <w:rPr>
                <w:rFonts w:hint="default"/>
                <w:color w:val="auto"/>
              </w:rPr>
            </w:pPr>
            <w:r>
              <w:rPr>
                <w:rFonts w:hint="eastAsia"/>
                <w:color w:val="auto"/>
              </w:rPr>
              <w:t>5.5</w:t>
            </w:r>
          </w:p>
        </w:tc>
        <w:tc>
          <w:tcPr>
            <w:tcW w:w="720" w:type="dxa"/>
            <w:tcBorders>
              <w:top w:val="single" w:color="auto" w:sz="4" w:space="0"/>
              <w:left w:val="single" w:color="auto" w:sz="4" w:space="0"/>
              <w:bottom w:val="single" w:color="auto" w:sz="4" w:space="0"/>
              <w:right w:val="single" w:color="auto" w:sz="4" w:space="0"/>
            </w:tcBorders>
            <w:noWrap/>
            <w:vAlign w:val="center"/>
          </w:tcPr>
          <w:p w14:paraId="5B0DBA75">
            <w:pPr>
              <w:pStyle w:val="167"/>
              <w:keepNext w:val="0"/>
              <w:keepLines w:val="0"/>
              <w:suppressLineNumbers w:val="0"/>
              <w:spacing w:before="0" w:beforeAutospacing="0" w:after="0" w:afterAutospacing="0"/>
              <w:ind w:right="0"/>
              <w:rPr>
                <w:rFonts w:hint="default"/>
                <w:color w:val="auto"/>
              </w:rPr>
            </w:pPr>
            <w:r>
              <w:rPr>
                <w:rFonts w:hint="eastAsia"/>
                <w:color w:val="auto"/>
              </w:rPr>
              <w:t>230</w:t>
            </w:r>
          </w:p>
        </w:tc>
        <w:tc>
          <w:tcPr>
            <w:tcW w:w="998" w:type="dxa"/>
            <w:tcBorders>
              <w:top w:val="single" w:color="auto" w:sz="4" w:space="0"/>
              <w:left w:val="single" w:color="auto" w:sz="4" w:space="0"/>
              <w:bottom w:val="single" w:color="auto" w:sz="4" w:space="0"/>
              <w:right w:val="single" w:color="auto" w:sz="4" w:space="0"/>
            </w:tcBorders>
            <w:vAlign w:val="center"/>
          </w:tcPr>
          <w:p w14:paraId="38B70F9E">
            <w:pPr>
              <w:pStyle w:val="167"/>
              <w:keepNext w:val="0"/>
              <w:keepLines w:val="0"/>
              <w:suppressLineNumbers w:val="0"/>
              <w:spacing w:before="0" w:beforeAutospacing="0" w:after="0" w:afterAutospacing="0"/>
              <w:ind w:right="0"/>
              <w:rPr>
                <w:rFonts w:hint="default"/>
                <w:color w:val="auto"/>
              </w:rPr>
            </w:pPr>
            <w:r>
              <w:rPr>
                <w:rFonts w:hint="eastAsia"/>
                <w:color w:val="auto"/>
              </w:rPr>
              <w:t>1.0/0.54</w:t>
            </w:r>
          </w:p>
        </w:tc>
        <w:tc>
          <w:tcPr>
            <w:tcW w:w="1016" w:type="dxa"/>
            <w:tcBorders>
              <w:top w:val="single" w:color="auto" w:sz="4" w:space="0"/>
              <w:left w:val="single" w:color="auto" w:sz="4" w:space="0"/>
              <w:bottom w:val="single" w:color="auto" w:sz="4" w:space="0"/>
              <w:right w:val="single" w:color="auto" w:sz="4" w:space="0"/>
            </w:tcBorders>
            <w:vAlign w:val="center"/>
          </w:tcPr>
          <w:p w14:paraId="61DEF690">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41A5EE2B">
            <w:pPr>
              <w:pStyle w:val="167"/>
              <w:keepNext w:val="0"/>
              <w:keepLines w:val="0"/>
              <w:suppressLineNumbers w:val="0"/>
              <w:spacing w:before="0" w:beforeAutospacing="0" w:after="0" w:afterAutospacing="0"/>
              <w:ind w:right="0"/>
              <w:rPr>
                <w:rFonts w:hint="default"/>
                <w:color w:val="auto"/>
              </w:rPr>
            </w:pPr>
            <w:r>
              <w:rPr>
                <w:rFonts w:hint="eastAsia"/>
                <w:color w:val="auto"/>
              </w:rPr>
              <w:t>甲醇</w:t>
            </w:r>
          </w:p>
        </w:tc>
      </w:tr>
      <w:tr w14:paraId="4E5C63F2">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6DB36CDB">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1763EC6C">
            <w:pPr>
              <w:pStyle w:val="167"/>
              <w:keepNext w:val="0"/>
              <w:keepLines w:val="0"/>
              <w:suppressLineNumbers w:val="0"/>
              <w:spacing w:before="0" w:beforeAutospacing="0" w:after="0" w:afterAutospacing="0"/>
              <w:ind w:right="0"/>
              <w:rPr>
                <w:rFonts w:hint="default"/>
                <w:color w:val="auto"/>
              </w:rPr>
            </w:pPr>
            <w:r>
              <w:rPr>
                <w:rFonts w:hint="eastAsia"/>
                <w:color w:val="auto"/>
              </w:rPr>
              <w:t>甲醇装车油气回收排油线</w:t>
            </w:r>
          </w:p>
        </w:tc>
        <w:tc>
          <w:tcPr>
            <w:tcW w:w="850" w:type="dxa"/>
            <w:tcBorders>
              <w:top w:val="single" w:color="auto" w:sz="4" w:space="0"/>
              <w:left w:val="single" w:color="auto" w:sz="4" w:space="0"/>
              <w:bottom w:val="single" w:color="auto" w:sz="4" w:space="0"/>
              <w:right w:val="single" w:color="auto" w:sz="4" w:space="0"/>
            </w:tcBorders>
            <w:vAlign w:val="center"/>
          </w:tcPr>
          <w:p w14:paraId="6F719D35">
            <w:pPr>
              <w:pStyle w:val="167"/>
              <w:keepNext w:val="0"/>
              <w:keepLines w:val="0"/>
              <w:suppressLineNumbers w:val="0"/>
              <w:spacing w:before="0" w:beforeAutospacing="0" w:after="0" w:afterAutospacing="0"/>
              <w:ind w:right="0"/>
              <w:rPr>
                <w:rFonts w:hint="default"/>
                <w:color w:val="auto"/>
              </w:rPr>
            </w:pPr>
            <w:r>
              <w:rPr>
                <w:rFonts w:hint="eastAsia"/>
                <w:color w:val="auto"/>
              </w:rPr>
              <w:t>57</w:t>
            </w:r>
          </w:p>
        </w:tc>
        <w:tc>
          <w:tcPr>
            <w:tcW w:w="851" w:type="dxa"/>
            <w:tcBorders>
              <w:top w:val="single" w:color="auto" w:sz="4" w:space="0"/>
              <w:left w:val="single" w:color="auto" w:sz="4" w:space="0"/>
              <w:bottom w:val="single" w:color="auto" w:sz="4" w:space="0"/>
              <w:right w:val="single" w:color="auto" w:sz="4" w:space="0"/>
            </w:tcBorders>
            <w:vAlign w:val="center"/>
          </w:tcPr>
          <w:p w14:paraId="74A9005F">
            <w:pPr>
              <w:pStyle w:val="167"/>
              <w:keepNext w:val="0"/>
              <w:keepLines w:val="0"/>
              <w:suppressLineNumbers w:val="0"/>
              <w:spacing w:before="0" w:beforeAutospacing="0" w:after="0" w:afterAutospacing="0"/>
              <w:ind w:right="0"/>
              <w:rPr>
                <w:rFonts w:hint="default"/>
                <w:color w:val="auto"/>
              </w:rPr>
            </w:pPr>
            <w:r>
              <w:rPr>
                <w:rFonts w:hint="eastAsia"/>
                <w:color w:val="auto"/>
              </w:rPr>
              <w:t>4</w:t>
            </w:r>
          </w:p>
        </w:tc>
        <w:tc>
          <w:tcPr>
            <w:tcW w:w="720" w:type="dxa"/>
            <w:tcBorders>
              <w:top w:val="single" w:color="auto" w:sz="4" w:space="0"/>
              <w:left w:val="single" w:color="auto" w:sz="4" w:space="0"/>
              <w:bottom w:val="single" w:color="auto" w:sz="4" w:space="0"/>
              <w:right w:val="single" w:color="auto" w:sz="4" w:space="0"/>
            </w:tcBorders>
            <w:noWrap/>
            <w:vAlign w:val="center"/>
          </w:tcPr>
          <w:p w14:paraId="1280421D">
            <w:pPr>
              <w:pStyle w:val="167"/>
              <w:keepNext w:val="0"/>
              <w:keepLines w:val="0"/>
              <w:suppressLineNumbers w:val="0"/>
              <w:spacing w:before="0" w:beforeAutospacing="0" w:after="0" w:afterAutospacing="0"/>
              <w:ind w:right="0"/>
              <w:rPr>
                <w:rFonts w:hint="default"/>
                <w:color w:val="auto"/>
              </w:rPr>
            </w:pPr>
            <w:r>
              <w:rPr>
                <w:rFonts w:hint="eastAsia"/>
                <w:color w:val="auto"/>
              </w:rPr>
              <w:t>108</w:t>
            </w:r>
          </w:p>
        </w:tc>
        <w:tc>
          <w:tcPr>
            <w:tcW w:w="998" w:type="dxa"/>
            <w:tcBorders>
              <w:top w:val="single" w:color="auto" w:sz="4" w:space="0"/>
              <w:left w:val="single" w:color="auto" w:sz="4" w:space="0"/>
              <w:bottom w:val="single" w:color="auto" w:sz="4" w:space="0"/>
              <w:right w:val="single" w:color="auto" w:sz="4" w:space="0"/>
            </w:tcBorders>
            <w:vAlign w:val="center"/>
          </w:tcPr>
          <w:p w14:paraId="5D7500EA">
            <w:pPr>
              <w:pStyle w:val="167"/>
              <w:keepNext w:val="0"/>
              <w:keepLines w:val="0"/>
              <w:suppressLineNumbers w:val="0"/>
              <w:spacing w:before="0" w:beforeAutospacing="0" w:after="0" w:afterAutospacing="0"/>
              <w:ind w:right="0"/>
              <w:rPr>
                <w:rFonts w:hint="default"/>
                <w:color w:val="auto"/>
              </w:rPr>
            </w:pPr>
            <w:r>
              <w:rPr>
                <w:rFonts w:hint="eastAsia"/>
                <w:color w:val="auto"/>
              </w:rPr>
              <w:t>1.0/0.6</w:t>
            </w:r>
          </w:p>
        </w:tc>
        <w:tc>
          <w:tcPr>
            <w:tcW w:w="1016" w:type="dxa"/>
            <w:tcBorders>
              <w:top w:val="single" w:color="auto" w:sz="4" w:space="0"/>
              <w:left w:val="single" w:color="auto" w:sz="4" w:space="0"/>
              <w:bottom w:val="single" w:color="auto" w:sz="4" w:space="0"/>
              <w:right w:val="single" w:color="auto" w:sz="4" w:space="0"/>
            </w:tcBorders>
            <w:vAlign w:val="center"/>
          </w:tcPr>
          <w:p w14:paraId="6CB0FB8E">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5CAF5BAA">
            <w:pPr>
              <w:pStyle w:val="167"/>
              <w:keepNext w:val="0"/>
              <w:keepLines w:val="0"/>
              <w:suppressLineNumbers w:val="0"/>
              <w:spacing w:before="0" w:beforeAutospacing="0" w:after="0" w:afterAutospacing="0"/>
              <w:ind w:right="0"/>
              <w:rPr>
                <w:rFonts w:hint="default"/>
                <w:color w:val="auto"/>
              </w:rPr>
            </w:pPr>
            <w:r>
              <w:rPr>
                <w:rFonts w:hint="eastAsia"/>
                <w:color w:val="auto"/>
              </w:rPr>
              <w:t>甲醇</w:t>
            </w:r>
          </w:p>
        </w:tc>
      </w:tr>
      <w:tr w14:paraId="118CB1F2">
        <w:tblPrEx>
          <w:tblCellMar>
            <w:top w:w="0" w:type="dxa"/>
            <w:left w:w="28" w:type="dxa"/>
            <w:bottom w:w="0" w:type="dxa"/>
            <w:right w:w="28" w:type="dxa"/>
          </w:tblCellMar>
        </w:tblPrEx>
        <w:tc>
          <w:tcPr>
            <w:tcW w:w="585" w:type="dxa"/>
            <w:tcBorders>
              <w:top w:val="single" w:color="auto" w:sz="4" w:space="0"/>
              <w:left w:val="single" w:color="auto" w:sz="4" w:space="0"/>
              <w:bottom w:val="single" w:color="auto" w:sz="4" w:space="0"/>
              <w:right w:val="single" w:color="auto" w:sz="4" w:space="0"/>
            </w:tcBorders>
            <w:vAlign w:val="center"/>
          </w:tcPr>
          <w:p w14:paraId="497316ED">
            <w:pPr>
              <w:pStyle w:val="167"/>
              <w:keepNext w:val="0"/>
              <w:keepLines w:val="0"/>
              <w:numPr>
                <w:ilvl w:val="0"/>
                <w:numId w:val="16"/>
              </w:numPr>
              <w:suppressLineNumbers w:val="0"/>
              <w:spacing w:before="0" w:beforeAutospacing="0" w:after="0" w:afterAutospacing="0"/>
              <w:ind w:right="0"/>
              <w:rPr>
                <w:rFonts w:hint="default"/>
                <w:color w:val="auto"/>
              </w:rPr>
            </w:pPr>
          </w:p>
        </w:tc>
        <w:tc>
          <w:tcPr>
            <w:tcW w:w="2534" w:type="dxa"/>
            <w:tcBorders>
              <w:top w:val="single" w:color="auto" w:sz="4" w:space="0"/>
              <w:left w:val="single" w:color="auto" w:sz="4" w:space="0"/>
              <w:bottom w:val="single" w:color="auto" w:sz="4" w:space="0"/>
              <w:right w:val="single" w:color="auto" w:sz="4" w:space="0"/>
            </w:tcBorders>
            <w:vAlign w:val="center"/>
          </w:tcPr>
          <w:p w14:paraId="5F435E08">
            <w:pPr>
              <w:pStyle w:val="167"/>
              <w:keepNext w:val="0"/>
              <w:keepLines w:val="0"/>
              <w:suppressLineNumbers w:val="0"/>
              <w:spacing w:before="0" w:beforeAutospacing="0" w:after="0" w:afterAutospacing="0"/>
              <w:ind w:right="0"/>
              <w:rPr>
                <w:rFonts w:hint="default"/>
                <w:color w:val="auto"/>
              </w:rPr>
            </w:pPr>
            <w:r>
              <w:rPr>
                <w:rFonts w:hint="eastAsia"/>
                <w:color w:val="auto"/>
              </w:rPr>
              <w:t>汽油装船油气回收排油线</w:t>
            </w:r>
          </w:p>
        </w:tc>
        <w:tc>
          <w:tcPr>
            <w:tcW w:w="850" w:type="dxa"/>
            <w:tcBorders>
              <w:top w:val="single" w:color="auto" w:sz="4" w:space="0"/>
              <w:left w:val="single" w:color="auto" w:sz="4" w:space="0"/>
              <w:bottom w:val="single" w:color="auto" w:sz="4" w:space="0"/>
              <w:right w:val="single" w:color="auto" w:sz="4" w:space="0"/>
            </w:tcBorders>
            <w:vAlign w:val="center"/>
          </w:tcPr>
          <w:p w14:paraId="367B543D">
            <w:pPr>
              <w:pStyle w:val="167"/>
              <w:keepNext w:val="0"/>
              <w:keepLines w:val="0"/>
              <w:suppressLineNumbers w:val="0"/>
              <w:spacing w:before="0" w:beforeAutospacing="0" w:after="0" w:afterAutospacing="0"/>
              <w:ind w:right="0"/>
              <w:rPr>
                <w:rFonts w:hint="default"/>
                <w:color w:val="auto"/>
              </w:rPr>
            </w:pPr>
            <w:r>
              <w:rPr>
                <w:rFonts w:hint="eastAsia"/>
                <w:color w:val="auto"/>
              </w:rPr>
              <w:t>57</w:t>
            </w:r>
          </w:p>
        </w:tc>
        <w:tc>
          <w:tcPr>
            <w:tcW w:w="851" w:type="dxa"/>
            <w:tcBorders>
              <w:top w:val="single" w:color="auto" w:sz="4" w:space="0"/>
              <w:left w:val="single" w:color="auto" w:sz="4" w:space="0"/>
              <w:bottom w:val="single" w:color="auto" w:sz="4" w:space="0"/>
              <w:right w:val="single" w:color="auto" w:sz="4" w:space="0"/>
            </w:tcBorders>
            <w:vAlign w:val="center"/>
          </w:tcPr>
          <w:p w14:paraId="345B8140">
            <w:pPr>
              <w:pStyle w:val="167"/>
              <w:keepNext w:val="0"/>
              <w:keepLines w:val="0"/>
              <w:suppressLineNumbers w:val="0"/>
              <w:spacing w:before="0" w:beforeAutospacing="0" w:after="0" w:afterAutospacing="0"/>
              <w:ind w:right="0"/>
              <w:rPr>
                <w:rFonts w:hint="default"/>
                <w:color w:val="auto"/>
              </w:rPr>
            </w:pPr>
            <w:r>
              <w:rPr>
                <w:rFonts w:hint="eastAsia"/>
                <w:color w:val="auto"/>
              </w:rPr>
              <w:t>4</w:t>
            </w:r>
          </w:p>
        </w:tc>
        <w:tc>
          <w:tcPr>
            <w:tcW w:w="720" w:type="dxa"/>
            <w:tcBorders>
              <w:top w:val="single" w:color="auto" w:sz="4" w:space="0"/>
              <w:left w:val="single" w:color="auto" w:sz="4" w:space="0"/>
              <w:bottom w:val="single" w:color="auto" w:sz="4" w:space="0"/>
              <w:right w:val="single" w:color="auto" w:sz="4" w:space="0"/>
            </w:tcBorders>
            <w:noWrap/>
            <w:vAlign w:val="center"/>
          </w:tcPr>
          <w:p w14:paraId="357A4CF7">
            <w:pPr>
              <w:pStyle w:val="167"/>
              <w:keepNext w:val="0"/>
              <w:keepLines w:val="0"/>
              <w:suppressLineNumbers w:val="0"/>
              <w:spacing w:before="0" w:beforeAutospacing="0" w:after="0" w:afterAutospacing="0"/>
              <w:ind w:right="0"/>
              <w:rPr>
                <w:rFonts w:hint="default"/>
                <w:color w:val="auto"/>
              </w:rPr>
            </w:pPr>
            <w:r>
              <w:rPr>
                <w:rFonts w:hint="eastAsia"/>
                <w:color w:val="auto"/>
              </w:rPr>
              <w:t>150</w:t>
            </w:r>
          </w:p>
        </w:tc>
        <w:tc>
          <w:tcPr>
            <w:tcW w:w="998" w:type="dxa"/>
            <w:tcBorders>
              <w:top w:val="single" w:color="auto" w:sz="4" w:space="0"/>
              <w:left w:val="single" w:color="auto" w:sz="4" w:space="0"/>
              <w:bottom w:val="single" w:color="auto" w:sz="4" w:space="0"/>
              <w:right w:val="single" w:color="auto" w:sz="4" w:space="0"/>
            </w:tcBorders>
            <w:vAlign w:val="center"/>
          </w:tcPr>
          <w:p w14:paraId="2FE77BF8">
            <w:pPr>
              <w:pStyle w:val="167"/>
              <w:keepNext w:val="0"/>
              <w:keepLines w:val="0"/>
              <w:suppressLineNumbers w:val="0"/>
              <w:spacing w:before="0" w:beforeAutospacing="0" w:after="0" w:afterAutospacing="0"/>
              <w:ind w:right="0"/>
              <w:rPr>
                <w:rFonts w:hint="default"/>
                <w:color w:val="auto"/>
              </w:rPr>
            </w:pPr>
            <w:r>
              <w:rPr>
                <w:rFonts w:hint="eastAsia"/>
                <w:color w:val="auto"/>
              </w:rPr>
              <w:t>1.0/0.6</w:t>
            </w:r>
          </w:p>
        </w:tc>
        <w:tc>
          <w:tcPr>
            <w:tcW w:w="1016" w:type="dxa"/>
            <w:tcBorders>
              <w:top w:val="single" w:color="auto" w:sz="4" w:space="0"/>
              <w:left w:val="single" w:color="auto" w:sz="4" w:space="0"/>
              <w:bottom w:val="single" w:color="auto" w:sz="4" w:space="0"/>
              <w:right w:val="single" w:color="auto" w:sz="4" w:space="0"/>
            </w:tcBorders>
            <w:vAlign w:val="center"/>
          </w:tcPr>
          <w:p w14:paraId="5E8BA392">
            <w:pPr>
              <w:pStyle w:val="167"/>
              <w:keepNext w:val="0"/>
              <w:keepLines w:val="0"/>
              <w:suppressLineNumbers w:val="0"/>
              <w:spacing w:before="0" w:beforeAutospacing="0" w:after="0" w:afterAutospacing="0"/>
              <w:ind w:right="0"/>
              <w:rPr>
                <w:rFonts w:hint="default"/>
                <w:color w:val="auto"/>
              </w:rPr>
            </w:pPr>
            <w:r>
              <w:rPr>
                <w:rFonts w:hint="eastAsia"/>
                <w:color w:val="auto"/>
              </w:rPr>
              <w:t>常温</w:t>
            </w:r>
          </w:p>
        </w:tc>
        <w:tc>
          <w:tcPr>
            <w:tcW w:w="1511" w:type="dxa"/>
            <w:tcBorders>
              <w:top w:val="single" w:color="auto" w:sz="4" w:space="0"/>
              <w:left w:val="single" w:color="auto" w:sz="4" w:space="0"/>
              <w:bottom w:val="single" w:color="auto" w:sz="4" w:space="0"/>
              <w:right w:val="single" w:color="auto" w:sz="4" w:space="0"/>
            </w:tcBorders>
            <w:vAlign w:val="center"/>
          </w:tcPr>
          <w:p w14:paraId="2E0F0702">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r>
    </w:tbl>
    <w:p w14:paraId="5D9338B3">
      <w:pPr>
        <w:pStyle w:val="6"/>
        <w:rPr>
          <w:color w:val="auto"/>
        </w:rPr>
      </w:pPr>
      <w:r>
        <w:rPr>
          <w:rFonts w:hint="eastAsia"/>
          <w:color w:val="auto"/>
        </w:rPr>
        <w:t>平面</w:t>
      </w:r>
      <w:r>
        <w:rPr>
          <w:color w:val="auto"/>
        </w:rPr>
        <w:t>布置</w:t>
      </w:r>
    </w:p>
    <w:p w14:paraId="73F3162C">
      <w:pPr>
        <w:autoSpaceDE w:val="0"/>
        <w:autoSpaceDN w:val="0"/>
        <w:ind w:firstLine="480"/>
        <w:rPr>
          <w:color w:val="auto"/>
        </w:rPr>
      </w:pPr>
      <w:r>
        <w:rPr>
          <w:rFonts w:hint="eastAsia"/>
          <w:color w:val="auto"/>
        </w:rPr>
        <w:t>五万吨级油气码头采用大圆筒结构方案，卸油平台墩、靠船墩、系缆墩均采用大圆筒结构，工作桥采用预应力钢筋混凝土T梁结构。根据</w:t>
      </w:r>
      <w:r>
        <w:rPr>
          <w:color w:val="auto"/>
        </w:rPr>
        <w:t>历年环评，</w:t>
      </w:r>
      <w:r>
        <w:rPr>
          <w:rFonts w:hint="eastAsia"/>
          <w:color w:val="auto"/>
        </w:rPr>
        <w:t>码头泊位长度为300m，引桥长223.9m，桥面宽4.5m，引桥末端与库区之间设一段长29.26m的实体引堤连接，堤顶宽4.5m。根据《广西东油沥青5万吨级油码头工程主体结构监测报告（2025年度）》（广西交科集团有限公司，2025年5月19日），实际泊位长度为300m，停泊水域设计底标高为-14.20m，宽度为64.0m，调头地设计底标高为-8.90m，调头圆直径458m，引桥长193m，桥面宽6m，引桥末端与库区之间设一段长29.26m的实体引堤连接，堤顶宽6m。引桥</w:t>
      </w:r>
      <w:r>
        <w:rPr>
          <w:color w:val="auto"/>
        </w:rPr>
        <w:t>与</w:t>
      </w:r>
      <w:r>
        <w:rPr>
          <w:rFonts w:hint="eastAsia"/>
          <w:color w:val="auto"/>
        </w:rPr>
        <w:t>库区</w:t>
      </w:r>
      <w:r>
        <w:rPr>
          <w:color w:val="auto"/>
        </w:rPr>
        <w:t>连接处东侧有岗亭和装船油气回收设施，西侧有事故应急池。</w:t>
      </w:r>
    </w:p>
    <w:p w14:paraId="4FA68C72">
      <w:pPr>
        <w:autoSpaceDE w:val="0"/>
        <w:autoSpaceDN w:val="0"/>
        <w:ind w:firstLine="480"/>
        <w:rPr>
          <w:color w:val="auto"/>
        </w:rPr>
      </w:pPr>
      <w:r>
        <w:rPr>
          <w:rFonts w:hint="eastAsia"/>
          <w:color w:val="auto"/>
        </w:rPr>
        <w:t>油气库区用地18</w:t>
      </w:r>
      <w:r>
        <w:rPr>
          <w:color w:val="auto"/>
        </w:rPr>
        <w:t>0511.26</w:t>
      </w:r>
      <w:r>
        <w:rPr>
          <w:rFonts w:hint="eastAsia"/>
          <w:color w:val="auto"/>
        </w:rPr>
        <w:t>㎡，铁路装卸区预留布置在库区的最北端，该区以南的部分为库区由贯穿南北的库区道路分为东西两个区。</w:t>
      </w:r>
    </w:p>
    <w:p w14:paraId="4366D1FF">
      <w:pPr>
        <w:autoSpaceDE w:val="0"/>
        <w:autoSpaceDN w:val="0"/>
        <w:ind w:firstLine="480"/>
        <w:rPr>
          <w:color w:val="auto"/>
        </w:rPr>
      </w:pPr>
      <w:r>
        <w:rPr>
          <w:rFonts w:hint="eastAsia"/>
          <w:color w:val="auto"/>
        </w:rPr>
        <w:t>东区的布置共分四块，南部布置汽油罐区（8座汽油储罐）、汽油泵棚、</w:t>
      </w:r>
      <w:r>
        <w:rPr>
          <w:color w:val="auto"/>
        </w:rPr>
        <w:t>配电房</w:t>
      </w:r>
      <w:r>
        <w:rPr>
          <w:rFonts w:hint="eastAsia"/>
          <w:color w:val="auto"/>
        </w:rPr>
        <w:t>、</w:t>
      </w:r>
      <w:r>
        <w:rPr>
          <w:color w:val="auto"/>
        </w:rPr>
        <w:t>值班室及危废间</w:t>
      </w:r>
      <w:r>
        <w:rPr>
          <w:rFonts w:hint="eastAsia"/>
          <w:color w:val="auto"/>
        </w:rPr>
        <w:t>；中部布置柴油罐区（8座柴油储罐）及柴油泵棚、仪表操作室；北部东面为汽车、</w:t>
      </w:r>
      <w:r>
        <w:rPr>
          <w:color w:val="auto"/>
        </w:rPr>
        <w:t>甲醇</w:t>
      </w:r>
      <w:r>
        <w:rPr>
          <w:rFonts w:hint="eastAsia"/>
          <w:color w:val="auto"/>
        </w:rPr>
        <w:t>装卸设施以及</w:t>
      </w:r>
      <w:r>
        <w:rPr>
          <w:color w:val="auto"/>
        </w:rPr>
        <w:t>油气回收装置</w:t>
      </w:r>
      <w:r>
        <w:rPr>
          <w:rFonts w:hint="eastAsia"/>
          <w:color w:val="auto"/>
        </w:rPr>
        <w:t>；北面西部为混合罐区，共布置4个甲醇储罐和2个轻柴油储罐。</w:t>
      </w:r>
    </w:p>
    <w:p w14:paraId="5A9302A5">
      <w:pPr>
        <w:autoSpaceDE w:val="0"/>
        <w:autoSpaceDN w:val="0"/>
        <w:ind w:firstLine="480"/>
        <w:rPr>
          <w:color w:val="auto"/>
        </w:rPr>
      </w:pPr>
      <w:r>
        <w:rPr>
          <w:rFonts w:hint="eastAsia"/>
          <w:color w:val="auto"/>
        </w:rPr>
        <w:t>西区的布置共分三块，南部东面布置原油罐区（3座原油储罐）及原油泵棚；南部西面布置污水处理站及泡沫消防系统；北部布置重油罐区（3座重油储罐）及重油泵棚、2间</w:t>
      </w:r>
      <w:r>
        <w:rPr>
          <w:color w:val="auto"/>
        </w:rPr>
        <w:t>应急物资库配电房、检修房、控制室、制氮装置及液氮设施</w:t>
      </w:r>
      <w:r>
        <w:rPr>
          <w:rFonts w:hint="eastAsia"/>
          <w:color w:val="auto"/>
        </w:rPr>
        <w:t>等。</w:t>
      </w:r>
    </w:p>
    <w:p w14:paraId="54D95A11">
      <w:pPr>
        <w:pStyle w:val="6"/>
        <w:rPr>
          <w:color w:val="auto"/>
        </w:rPr>
      </w:pPr>
      <w:r>
        <w:rPr>
          <w:rFonts w:hint="eastAsia"/>
          <w:color w:val="auto"/>
        </w:rPr>
        <w:t>装卸</w:t>
      </w:r>
      <w:r>
        <w:rPr>
          <w:color w:val="auto"/>
        </w:rPr>
        <w:t>工艺</w:t>
      </w:r>
    </w:p>
    <w:p w14:paraId="31612E1F">
      <w:pPr>
        <w:autoSpaceDE w:val="0"/>
        <w:autoSpaceDN w:val="0"/>
        <w:ind w:firstLine="480"/>
        <w:jc w:val="left"/>
        <w:rPr>
          <w:color w:val="auto"/>
        </w:rPr>
      </w:pPr>
      <w:r>
        <w:rPr>
          <w:rFonts w:hint="eastAsia"/>
          <w:color w:val="auto"/>
        </w:rPr>
        <w:t>（1）卸船</w:t>
      </w:r>
      <w:r>
        <w:rPr>
          <w:color w:val="auto"/>
        </w:rPr>
        <w:t>流程</w:t>
      </w:r>
    </w:p>
    <w:p w14:paraId="78331CF9">
      <w:pPr>
        <w:autoSpaceDE w:val="0"/>
        <w:autoSpaceDN w:val="0"/>
        <w:ind w:firstLine="0" w:firstLineChars="0"/>
        <w:jc w:val="left"/>
        <w:rPr>
          <w:color w:val="auto"/>
        </w:rPr>
      </w:pPr>
      <w:r>
        <w:rPr>
          <w:rFonts w:hint="eastAsia"/>
          <w:color w:val="auto"/>
        </w:rPr>
        <w:t>船舶（船上卸船泵）→操作台上装卸臂→码头管道→栈桥根部切断阀→库区管道→库区储罐；</w:t>
      </w:r>
    </w:p>
    <w:p w14:paraId="5261721B">
      <w:pPr>
        <w:autoSpaceDE w:val="0"/>
        <w:autoSpaceDN w:val="0"/>
        <w:ind w:firstLine="0" w:firstLineChars="0"/>
        <w:jc w:val="left"/>
        <w:rPr>
          <w:color w:val="auto"/>
        </w:rPr>
      </w:pPr>
      <w:r>
        <w:rPr>
          <w:rFonts w:hint="eastAsia"/>
          <w:color w:val="auto"/>
        </w:rPr>
        <w:t>船舶（船上卸船泵）→操作台上装卸臂→码头管道→栈桥根部切断阀→长输管道→广西石化罐区</w:t>
      </w:r>
    </w:p>
    <w:p w14:paraId="5BEB61C2">
      <w:pPr>
        <w:autoSpaceDE w:val="0"/>
        <w:autoSpaceDN w:val="0"/>
        <w:ind w:firstLine="480"/>
        <w:jc w:val="left"/>
        <w:rPr>
          <w:color w:val="auto"/>
        </w:rPr>
      </w:pPr>
      <w:r>
        <w:rPr>
          <w:rFonts w:hint="eastAsia"/>
          <w:color w:val="auto"/>
        </w:rPr>
        <w:t>（2）装船流程</w:t>
      </w:r>
    </w:p>
    <w:p w14:paraId="70123F7E">
      <w:pPr>
        <w:autoSpaceDE w:val="0"/>
        <w:autoSpaceDN w:val="0"/>
        <w:ind w:firstLine="0" w:firstLineChars="0"/>
        <w:jc w:val="left"/>
        <w:rPr>
          <w:color w:val="auto"/>
        </w:rPr>
      </w:pPr>
      <w:r>
        <w:rPr>
          <w:rFonts w:hint="eastAsia"/>
          <w:color w:val="auto"/>
        </w:rPr>
        <w:t>库区储罐→库区输油泵→库区管道→栈桥根部切断→码头管道→操作台上装卸臂→船舶</w:t>
      </w:r>
    </w:p>
    <w:p w14:paraId="7412BF10">
      <w:pPr>
        <w:ind w:firstLine="480"/>
        <w:rPr>
          <w:color w:val="auto"/>
        </w:rPr>
      </w:pPr>
      <w:r>
        <w:rPr>
          <w:rFonts w:hint="eastAsia"/>
          <w:color w:val="auto"/>
        </w:rPr>
        <w:t>（3）装/卸车</w:t>
      </w:r>
    </w:p>
    <w:p w14:paraId="30EC6E00">
      <w:pPr>
        <w:ind w:firstLine="480"/>
        <w:rPr>
          <w:color w:val="auto"/>
        </w:rPr>
      </w:pPr>
      <w:r>
        <w:rPr>
          <w:rFonts w:hint="eastAsia"/>
          <w:color w:val="auto"/>
        </w:rPr>
        <w:t>广西石化罐区/汽车→长输管道→东油库区储罐→装车泵→汽车</w:t>
      </w:r>
    </w:p>
    <w:p w14:paraId="77888C18">
      <w:pPr>
        <w:ind w:firstLine="480"/>
        <w:rPr>
          <w:color w:val="auto"/>
          <w:u w:val="single"/>
        </w:rPr>
      </w:pPr>
      <w:r>
        <w:rPr>
          <w:rFonts w:hint="eastAsia"/>
          <w:color w:val="auto"/>
          <w:u w:val="single"/>
        </w:rPr>
        <w:t>（4）清管工艺</w:t>
      </w:r>
    </w:p>
    <w:p w14:paraId="79062739">
      <w:pPr>
        <w:ind w:firstLine="480"/>
        <w:rPr>
          <w:rFonts w:hint="eastAsia"/>
          <w:color w:val="auto"/>
          <w:u w:val="single"/>
        </w:rPr>
      </w:pPr>
      <w:r>
        <w:rPr>
          <w:rFonts w:hint="eastAsia"/>
          <w:color w:val="auto"/>
          <w:u w:val="single"/>
        </w:rPr>
        <w:t>货种卸船结束后，管线不进行清洗，将氮气管线接入清管阀，利用氮气将装卸外臂内的物料推向船舶货舱，从而有效</w:t>
      </w:r>
      <w:r>
        <w:rPr>
          <w:rFonts w:hint="eastAsia"/>
          <w:color w:val="auto"/>
          <w:u w:val="single"/>
          <w:lang w:eastAsia="zh-CN"/>
        </w:rPr>
        <w:t>地</w:t>
      </w:r>
      <w:r>
        <w:rPr>
          <w:rFonts w:hint="eastAsia"/>
          <w:color w:val="auto"/>
          <w:u w:val="single"/>
        </w:rPr>
        <w:t>将管道内物料清空，管道内的氮气封存起到隔绝氧气和保压的作用。装卸</w:t>
      </w:r>
      <w:r>
        <w:rPr>
          <w:rFonts w:hint="eastAsia"/>
          <w:color w:val="auto"/>
          <w:u w:val="single"/>
          <w:lang w:eastAsia="zh-CN"/>
        </w:rPr>
        <w:t>内壁</w:t>
      </w:r>
      <w:r>
        <w:rPr>
          <w:rFonts w:hint="eastAsia"/>
          <w:color w:val="auto"/>
          <w:u w:val="single"/>
        </w:rPr>
        <w:t>及管线内的残余物料，利用输送泵泵入储罐内，从而达到清管的目的。</w:t>
      </w:r>
    </w:p>
    <w:p w14:paraId="071AB3D2">
      <w:pPr>
        <w:pStyle w:val="6"/>
        <w:rPr>
          <w:color w:val="auto"/>
        </w:rPr>
      </w:pPr>
      <w:r>
        <w:rPr>
          <w:rFonts w:hint="eastAsia"/>
          <w:color w:val="auto"/>
        </w:rPr>
        <w:t>配套</w:t>
      </w:r>
      <w:r>
        <w:rPr>
          <w:color w:val="auto"/>
        </w:rPr>
        <w:t>工程</w:t>
      </w:r>
    </w:p>
    <w:p w14:paraId="26713A42">
      <w:pPr>
        <w:autoSpaceDE w:val="0"/>
        <w:autoSpaceDN w:val="0"/>
        <w:ind w:firstLine="482"/>
        <w:rPr>
          <w:b/>
          <w:color w:val="auto"/>
        </w:rPr>
      </w:pPr>
      <w:r>
        <w:rPr>
          <w:rFonts w:hint="eastAsia"/>
          <w:b/>
          <w:color w:val="auto"/>
        </w:rPr>
        <w:t>（1）供电</w:t>
      </w:r>
      <w:r>
        <w:rPr>
          <w:b/>
          <w:color w:val="auto"/>
        </w:rPr>
        <w:t>系统</w:t>
      </w:r>
    </w:p>
    <w:p w14:paraId="60D4CDF1">
      <w:pPr>
        <w:autoSpaceDE w:val="0"/>
        <w:autoSpaceDN w:val="0"/>
        <w:ind w:firstLine="480"/>
        <w:rPr>
          <w:color w:val="auto"/>
        </w:rPr>
      </w:pPr>
      <w:r>
        <w:rPr>
          <w:rFonts w:hint="eastAsia"/>
          <w:color w:val="auto"/>
        </w:rPr>
        <w:t>6#泊位设有配电室，供电电源依托库区3#罐区西侧的中心变电所，该中心变电所设有1台800kVA的室内油浸变压器，用电电源一路</w:t>
      </w:r>
      <w:r>
        <w:rPr>
          <w:rFonts w:hint="eastAsia"/>
          <w:color w:val="auto"/>
          <w:lang w:eastAsia="zh-CN"/>
        </w:rPr>
        <w:t>引自</w:t>
      </w:r>
      <w:r>
        <w:rPr>
          <w:rFonts w:hint="eastAsia"/>
          <w:color w:val="auto"/>
        </w:rPr>
        <w:t>钦州港果子山变电站，另一路引自港口220kV变电所，即采用双电源的供电方式。接入码头6#泊位配电室的供电量为800kW，用电量为120kW，满足用电需求。</w:t>
      </w:r>
    </w:p>
    <w:p w14:paraId="5EED79D4">
      <w:pPr>
        <w:autoSpaceDE w:val="0"/>
        <w:autoSpaceDN w:val="0"/>
        <w:ind w:firstLine="482"/>
        <w:jc w:val="left"/>
        <w:rPr>
          <w:b/>
          <w:color w:val="auto"/>
        </w:rPr>
      </w:pPr>
      <w:r>
        <w:rPr>
          <w:rFonts w:hint="eastAsia"/>
          <w:b/>
          <w:color w:val="auto"/>
        </w:rPr>
        <w:t>（2）供气</w:t>
      </w:r>
      <w:r>
        <w:rPr>
          <w:b/>
          <w:color w:val="auto"/>
        </w:rPr>
        <w:t>系统</w:t>
      </w:r>
    </w:p>
    <w:p w14:paraId="5767ADB4">
      <w:pPr>
        <w:autoSpaceDE w:val="0"/>
        <w:autoSpaceDN w:val="0"/>
        <w:ind w:firstLine="480"/>
        <w:jc w:val="left"/>
        <w:rPr>
          <w:color w:val="auto"/>
        </w:rPr>
      </w:pPr>
      <w:r>
        <w:rPr>
          <w:rFonts w:hint="eastAsia"/>
          <w:color w:val="auto"/>
        </w:rPr>
        <w:t>6#泊位管线吹扫使用氮气，氮气来自后方库区600m</w:t>
      </w:r>
      <w:r>
        <w:rPr>
          <w:rFonts w:hint="eastAsia"/>
          <w:color w:val="auto"/>
          <w:vertAlign w:val="superscript"/>
        </w:rPr>
        <w:t>3</w:t>
      </w:r>
      <w:r>
        <w:rPr>
          <w:rFonts w:hint="eastAsia"/>
          <w:color w:val="auto"/>
        </w:rPr>
        <w:t>/h氮气站及10m</w:t>
      </w:r>
      <w:r>
        <w:rPr>
          <w:rFonts w:hint="eastAsia"/>
          <w:color w:val="auto"/>
          <w:vertAlign w:val="superscript"/>
        </w:rPr>
        <w:t>3</w:t>
      </w:r>
      <w:r>
        <w:rPr>
          <w:rFonts w:hint="eastAsia"/>
          <w:color w:val="auto"/>
        </w:rPr>
        <w:t>的液氮储罐。</w:t>
      </w:r>
    </w:p>
    <w:p w14:paraId="3F7FBD9D">
      <w:pPr>
        <w:autoSpaceDE w:val="0"/>
        <w:autoSpaceDN w:val="0"/>
        <w:ind w:firstLine="482"/>
        <w:jc w:val="left"/>
        <w:rPr>
          <w:b/>
          <w:color w:val="auto"/>
        </w:rPr>
      </w:pPr>
      <w:r>
        <w:rPr>
          <w:rFonts w:hint="eastAsia"/>
          <w:b/>
          <w:color w:val="auto"/>
        </w:rPr>
        <w:t>（3）通信</w:t>
      </w:r>
    </w:p>
    <w:p w14:paraId="229A071B">
      <w:pPr>
        <w:autoSpaceDE w:val="0"/>
        <w:autoSpaceDN w:val="0"/>
        <w:ind w:firstLine="480"/>
        <w:rPr>
          <w:color w:val="auto"/>
        </w:rPr>
      </w:pPr>
      <w:r>
        <w:rPr>
          <w:rFonts w:hint="eastAsia"/>
          <w:color w:val="auto"/>
        </w:rPr>
        <w:t>码头及库区共设有5部固定电话机，分别设在码头（防爆型）、操作室、办公室、开票室和门卫室。另有9台防爆型对讲机和1台与海事联络的固定式高频对讲机。</w:t>
      </w:r>
    </w:p>
    <w:p w14:paraId="0A0F4CD6">
      <w:pPr>
        <w:ind w:firstLine="482"/>
        <w:rPr>
          <w:b/>
          <w:color w:val="auto"/>
        </w:rPr>
      </w:pPr>
      <w:r>
        <w:rPr>
          <w:rFonts w:hint="eastAsia"/>
          <w:b/>
          <w:color w:val="auto"/>
        </w:rPr>
        <w:t>（4）助导航及安全监督设施</w:t>
      </w:r>
    </w:p>
    <w:p w14:paraId="08035FCC">
      <w:pPr>
        <w:ind w:firstLine="480"/>
        <w:rPr>
          <w:color w:val="auto"/>
        </w:rPr>
      </w:pPr>
      <w:r>
        <w:rPr>
          <w:rFonts w:hint="eastAsia"/>
          <w:color w:val="auto"/>
        </w:rPr>
        <w:t>6#泊位进港航道可利用已有多用途码头航道进港，在该公司码头外侧端部设有1座航标灯，码头设有激光辅助靠泊系统和快速脱缆钩系统。</w:t>
      </w:r>
    </w:p>
    <w:p w14:paraId="047ED57A">
      <w:pPr>
        <w:ind w:firstLine="482"/>
        <w:rPr>
          <w:b/>
          <w:color w:val="auto"/>
        </w:rPr>
      </w:pPr>
      <w:r>
        <w:rPr>
          <w:rFonts w:hint="eastAsia"/>
          <w:b/>
          <w:color w:val="auto"/>
        </w:rPr>
        <w:t>（5）控制</w:t>
      </w:r>
      <w:r>
        <w:rPr>
          <w:b/>
          <w:color w:val="auto"/>
        </w:rPr>
        <w:t>系统</w:t>
      </w:r>
    </w:p>
    <w:p w14:paraId="10D05DEC">
      <w:pPr>
        <w:ind w:firstLine="480"/>
        <w:rPr>
          <w:color w:val="auto"/>
        </w:rPr>
      </w:pPr>
      <w:r>
        <w:rPr>
          <w:rFonts w:hint="eastAsia"/>
          <w:color w:val="auto"/>
        </w:rPr>
        <w:t>自动控制系统设在位于该公司码头库区的控制室内。该公司码头自动控制系统由可燃气体检测报警系统、火灾自动报警系统、工业电视监控系统、激光辅助靠泊系统、汽油装船油气回收装置控制系统等组成。监控调度室为24h人员值守场所。</w:t>
      </w:r>
    </w:p>
    <w:p w14:paraId="24AFEDD8">
      <w:pPr>
        <w:pStyle w:val="127"/>
        <w:numPr>
          <w:ilvl w:val="0"/>
          <w:numId w:val="17"/>
        </w:numPr>
        <w:ind w:firstLineChars="0"/>
        <w:rPr>
          <w:color w:val="auto"/>
        </w:rPr>
      </w:pPr>
      <w:r>
        <w:rPr>
          <w:rFonts w:hint="eastAsia"/>
          <w:color w:val="auto"/>
        </w:rPr>
        <w:t>可燃</w:t>
      </w:r>
      <w:r>
        <w:rPr>
          <w:color w:val="auto"/>
        </w:rPr>
        <w:t>气体检测报警</w:t>
      </w:r>
      <w:r>
        <w:rPr>
          <w:rFonts w:hint="eastAsia"/>
          <w:color w:val="auto"/>
        </w:rPr>
        <w:t>系统</w:t>
      </w:r>
    </w:p>
    <w:p w14:paraId="0C443969">
      <w:pPr>
        <w:ind w:firstLine="480"/>
        <w:rPr>
          <w:color w:val="auto"/>
        </w:rPr>
      </w:pPr>
      <w:r>
        <w:rPr>
          <w:rFonts w:hint="eastAsia"/>
          <w:color w:val="auto"/>
        </w:rPr>
        <w:t>6#泊位前沿有可能泄漏可燃气体的场所设置可燃气体检测报警器，报警信号发送至操作人员常驻的控制室、现场操作室等进行报警，可燃气体检测报警器现场采用声光报警；报警信号均送入总控制室内独立的SIS控制系统，并在系统内设立独立显示画面。</w:t>
      </w:r>
    </w:p>
    <w:p w14:paraId="305B1EA1">
      <w:pPr>
        <w:ind w:firstLine="480"/>
        <w:rPr>
          <w:color w:val="auto"/>
        </w:rPr>
      </w:pPr>
      <w:r>
        <w:rPr>
          <w:rFonts w:hint="eastAsia"/>
          <w:color w:val="auto"/>
        </w:rPr>
        <w:t>码头前沿等处共设置点型可燃气体报警器2个。当检测达到25%LEL浓度时，系统会发出急促的报警声，系统采用不间断电源（UPS）供电。</w:t>
      </w:r>
    </w:p>
    <w:p w14:paraId="32B2C3C8">
      <w:pPr>
        <w:ind w:firstLine="480"/>
        <w:rPr>
          <w:color w:val="auto"/>
        </w:rPr>
      </w:pPr>
      <w:r>
        <w:rPr>
          <w:rFonts w:hint="eastAsia"/>
          <w:color w:val="auto"/>
        </w:rPr>
        <w:t>②火灾</w:t>
      </w:r>
      <w:r>
        <w:rPr>
          <w:color w:val="auto"/>
        </w:rPr>
        <w:t>报警系统</w:t>
      </w:r>
    </w:p>
    <w:p w14:paraId="0F0D9977">
      <w:pPr>
        <w:ind w:firstLine="480"/>
        <w:rPr>
          <w:color w:val="auto"/>
        </w:rPr>
      </w:pPr>
      <w:r>
        <w:rPr>
          <w:rFonts w:hint="eastAsia"/>
          <w:color w:val="auto"/>
        </w:rPr>
        <w:t>为了有效</w:t>
      </w:r>
      <w:r>
        <w:rPr>
          <w:rFonts w:hint="eastAsia"/>
          <w:color w:val="auto"/>
          <w:lang w:eastAsia="zh-CN"/>
        </w:rPr>
        <w:t>地</w:t>
      </w:r>
      <w:r>
        <w:rPr>
          <w:rFonts w:hint="eastAsia"/>
          <w:color w:val="auto"/>
        </w:rPr>
        <w:t>预防火灾，及时发现和通报火情，保障码头的安全，该码头库区在控制室设行政电话“119”报火警外，还设置火灾自动报警系统一套，该系统由集中报警控制器、区域报警控制器、火灾报警探测器及防爆手动报警按钮组成。</w:t>
      </w:r>
    </w:p>
    <w:p w14:paraId="17C51A7D">
      <w:pPr>
        <w:ind w:firstLine="480" w:firstLineChars="0"/>
        <w:rPr>
          <w:color w:val="auto"/>
        </w:rPr>
      </w:pPr>
      <w:r>
        <w:rPr>
          <w:rFonts w:hint="eastAsia"/>
          <w:color w:val="auto"/>
        </w:rPr>
        <w:t>③工业电视监控系统</w:t>
      </w:r>
    </w:p>
    <w:p w14:paraId="7F95DFFC">
      <w:pPr>
        <w:ind w:firstLine="480"/>
        <w:rPr>
          <w:color w:val="auto"/>
        </w:rPr>
      </w:pPr>
      <w:r>
        <w:rPr>
          <w:rFonts w:hint="eastAsia"/>
          <w:color w:val="auto"/>
        </w:rPr>
        <w:t>码头和库区控制室设有1套工业电视监控系统，码头6#泊位设置了2个监控摄像头，并且监控画面可远传至控制室，可实现对码头6#泊位的保安状况、消防等进行全方位监视。</w:t>
      </w:r>
    </w:p>
    <w:p w14:paraId="33BEB7B1">
      <w:pPr>
        <w:ind w:firstLine="480"/>
        <w:rPr>
          <w:color w:val="auto"/>
        </w:rPr>
      </w:pPr>
      <w:r>
        <w:rPr>
          <w:rFonts w:hint="eastAsia"/>
          <w:color w:val="auto"/>
        </w:rPr>
        <w:t>④汽油装船油气回收装置控制系统</w:t>
      </w:r>
    </w:p>
    <w:p w14:paraId="3699BF91">
      <w:pPr>
        <w:ind w:firstLine="480"/>
        <w:rPr>
          <w:color w:val="auto"/>
        </w:rPr>
      </w:pPr>
      <w:r>
        <w:rPr>
          <w:rFonts w:hint="eastAsia"/>
          <w:color w:val="auto"/>
        </w:rPr>
        <w:t>该码头库区东南角、引堤北侧设有汽油装船油气回收装置，其设置独立PLC控制系统，并连接至中控室。</w:t>
      </w:r>
    </w:p>
    <w:p w14:paraId="4356F558">
      <w:pPr>
        <w:ind w:firstLine="482"/>
        <w:rPr>
          <w:b/>
          <w:color w:val="auto"/>
        </w:rPr>
      </w:pPr>
      <w:r>
        <w:rPr>
          <w:rFonts w:hint="eastAsia"/>
          <w:b/>
          <w:color w:val="auto"/>
        </w:rPr>
        <w:t>（6）消防</w:t>
      </w:r>
      <w:r>
        <w:rPr>
          <w:b/>
          <w:color w:val="auto"/>
        </w:rPr>
        <w:t>系统</w:t>
      </w:r>
    </w:p>
    <w:p w14:paraId="7A0EF85F">
      <w:pPr>
        <w:ind w:firstLine="480"/>
        <w:rPr>
          <w:color w:val="auto"/>
        </w:rPr>
      </w:pPr>
      <w:r>
        <w:rPr>
          <w:rFonts w:hint="eastAsia"/>
          <w:color w:val="auto"/>
        </w:rPr>
        <w:t>6#泊位设有固定式水消防及泡沫消防设施，并配备移动式灭火器、消防沙等移动式消防设施。</w:t>
      </w:r>
    </w:p>
    <w:p w14:paraId="2B5B58B0">
      <w:pPr>
        <w:ind w:left="480" w:firstLine="0" w:firstLineChars="0"/>
        <w:rPr>
          <w:color w:val="auto"/>
        </w:rPr>
      </w:pPr>
      <w:r>
        <w:rPr>
          <w:rFonts w:hint="eastAsia"/>
          <w:color w:val="auto"/>
        </w:rPr>
        <w:t>①</w:t>
      </w:r>
      <w:r>
        <w:rPr>
          <w:color w:val="auto"/>
        </w:rPr>
        <w:t>消防水系统</w:t>
      </w:r>
    </w:p>
    <w:p w14:paraId="6A661B4C">
      <w:pPr>
        <w:ind w:firstLine="480"/>
        <w:rPr>
          <w:color w:val="auto"/>
        </w:rPr>
      </w:pPr>
      <w:r>
        <w:rPr>
          <w:rFonts w:hint="eastAsia"/>
          <w:color w:val="auto"/>
        </w:rPr>
        <w:t>码头6#泊位消防用水为码头库区消防水系统。库区现有消防稳压系统，设有2台稳压泵（1备1用）、1个隔膜式气压罐、1个电接点压力表。消防水管道环状布置，按规范要求设置消火栓，消火栓间距不超过40m，并用阀门将管道分成独立的管段，每段消火栓数量不多于5个，消防管网运行压力稳定在0.7～1.2MPa。有消防水泵4座（Q=745m</w:t>
      </w:r>
      <w:r>
        <w:rPr>
          <w:rFonts w:hint="eastAsia"/>
          <w:color w:val="auto"/>
          <w:vertAlign w:val="superscript"/>
        </w:rPr>
        <w:t>3</w:t>
      </w:r>
      <w:r>
        <w:rPr>
          <w:rFonts w:hint="eastAsia"/>
          <w:color w:val="auto"/>
        </w:rPr>
        <w:t>/h，H=120m），供水能力不小于1000m</w:t>
      </w:r>
      <w:r>
        <w:rPr>
          <w:rFonts w:hint="eastAsia"/>
          <w:color w:val="auto"/>
          <w:vertAlign w:val="superscript"/>
        </w:rPr>
        <w:t>3</w:t>
      </w:r>
      <w:r>
        <w:rPr>
          <w:rFonts w:hint="eastAsia"/>
          <w:color w:val="auto"/>
        </w:rPr>
        <w:t>/h；库区设有2座3000m</w:t>
      </w:r>
      <w:r>
        <w:rPr>
          <w:rFonts w:hint="eastAsia"/>
          <w:color w:val="auto"/>
          <w:vertAlign w:val="superscript"/>
        </w:rPr>
        <w:t>3</w:t>
      </w:r>
      <w:r>
        <w:rPr>
          <w:rFonts w:hint="eastAsia"/>
          <w:color w:val="auto"/>
        </w:rPr>
        <w:t>消防水罐，并将原已停用的2座500m</w:t>
      </w:r>
      <w:r>
        <w:rPr>
          <w:rFonts w:hint="eastAsia"/>
          <w:color w:val="auto"/>
          <w:vertAlign w:val="superscript"/>
        </w:rPr>
        <w:t>3</w:t>
      </w:r>
      <w:r>
        <w:rPr>
          <w:rFonts w:hint="eastAsia"/>
          <w:color w:val="auto"/>
        </w:rPr>
        <w:t>顶线热水储罐及其连接工艺管道进行了改造，故总储水量7000m</w:t>
      </w:r>
      <w:r>
        <w:rPr>
          <w:rFonts w:hint="eastAsia"/>
          <w:color w:val="auto"/>
          <w:vertAlign w:val="superscript"/>
        </w:rPr>
        <w:t>3</w:t>
      </w:r>
      <w:r>
        <w:rPr>
          <w:rFonts w:hint="eastAsia"/>
          <w:color w:val="auto"/>
        </w:rPr>
        <w:t>。消防补充水由来自市政管网DN150自来水管直接供给。</w:t>
      </w:r>
    </w:p>
    <w:p w14:paraId="6A3217C3">
      <w:pPr>
        <w:ind w:firstLine="480"/>
        <w:rPr>
          <w:color w:val="auto"/>
        </w:rPr>
      </w:pPr>
      <w:r>
        <w:rPr>
          <w:rFonts w:hint="eastAsia"/>
          <w:color w:val="auto"/>
        </w:rPr>
        <w:t>②</w:t>
      </w:r>
      <w:r>
        <w:rPr>
          <w:color w:val="auto"/>
        </w:rPr>
        <w:t>灭火系统</w:t>
      </w:r>
    </w:p>
    <w:p w14:paraId="1EC675EC">
      <w:pPr>
        <w:ind w:firstLine="480"/>
        <w:rPr>
          <w:rFonts w:hint="eastAsia"/>
          <w:color w:val="auto"/>
        </w:rPr>
      </w:pPr>
      <w:r>
        <w:rPr>
          <w:rFonts w:hint="eastAsia"/>
          <w:color w:val="auto"/>
        </w:rPr>
        <w:t>6#泊位采用固定钢塔架载消防炮的灭火方式，在码头6#泊位前沿布置2门遥控消防水炮和2门遥控泡沫消防炮，设置2套储缸压力式泡沫自动比例混合装置，泡沫储罐罐容分别为7.6m</w:t>
      </w:r>
      <w:r>
        <w:rPr>
          <w:rFonts w:hint="eastAsia"/>
          <w:color w:val="auto"/>
          <w:vertAlign w:val="superscript"/>
        </w:rPr>
        <w:t>3</w:t>
      </w:r>
      <w:r>
        <w:rPr>
          <w:rFonts w:hint="eastAsia"/>
          <w:color w:val="auto"/>
        </w:rPr>
        <w:t>，目前储罐泡沫存量为满罐状态（2025年已更换新的泡沫），同时配备2台ZL35推车式干粉灭火器。另外，该公司配置200具MFZ8型干粉灭火器，作为辅助灭火设施。</w:t>
      </w:r>
    </w:p>
    <w:p w14:paraId="5A0B6F4C">
      <w:pPr>
        <w:ind w:firstLine="480"/>
        <w:rPr>
          <w:rFonts w:hint="eastAsia" w:eastAsia="宋体"/>
          <w:b/>
          <w:bCs/>
          <w:color w:val="auto"/>
          <w:lang w:eastAsia="zh-CN"/>
        </w:rPr>
      </w:pPr>
      <w:r>
        <w:rPr>
          <w:rFonts w:hint="eastAsia"/>
          <w:b/>
          <w:bCs/>
          <w:color w:val="auto"/>
          <w:lang w:eastAsia="zh-CN"/>
        </w:rPr>
        <w:t>（</w:t>
      </w:r>
      <w:r>
        <w:rPr>
          <w:rFonts w:hint="eastAsia"/>
          <w:b/>
          <w:bCs/>
          <w:color w:val="auto"/>
          <w:lang w:val="en-US" w:eastAsia="zh-CN"/>
        </w:rPr>
        <w:t>7</w:t>
      </w:r>
      <w:r>
        <w:rPr>
          <w:rFonts w:hint="eastAsia"/>
          <w:b/>
          <w:bCs/>
          <w:color w:val="auto"/>
          <w:lang w:eastAsia="zh-CN"/>
        </w:rPr>
        <w:t>）油气回收设施</w:t>
      </w:r>
    </w:p>
    <w:p w14:paraId="73A90DB9">
      <w:pPr>
        <w:ind w:firstLine="480"/>
        <w:rPr>
          <w:rFonts w:hint="eastAsia"/>
          <w:color w:val="auto"/>
          <w:u w:val="single"/>
          <w:lang w:val="en-US" w:eastAsia="zh-CN"/>
        </w:rPr>
      </w:pPr>
      <w:r>
        <w:rPr>
          <w:rFonts w:hint="eastAsia"/>
          <w:color w:val="auto"/>
          <w:u w:val="single"/>
          <w:lang w:eastAsia="zh-CN"/>
        </w:rPr>
        <w:t>现有工程共有</w:t>
      </w:r>
      <w:r>
        <w:rPr>
          <w:rFonts w:hint="eastAsia"/>
          <w:color w:val="auto"/>
          <w:u w:val="single"/>
          <w:lang w:val="en-US" w:eastAsia="zh-CN"/>
        </w:rPr>
        <w:t>3套油气回收设施，均采用“冷凝+吸附”工艺。冷凝采用机械制冷系统。冷凝模块采用双通道设计，以避免冷凝通道内结霜产生冰堵导致的设备停机等问题。利用气体在不同温度下的饱和分压，将95%的组分冷凝液化析出，分离出油后的低温气体，与系统冷凝器单元热源进行回热交换(油气加热器)，温度回升到+5~25℃，输送到后级油气回收装置吸附单元。</w:t>
      </w:r>
    </w:p>
    <w:p w14:paraId="5536FE32">
      <w:pPr>
        <w:ind w:firstLine="480"/>
        <w:rPr>
          <w:rFonts w:hint="default" w:eastAsia="宋体"/>
          <w:color w:val="auto"/>
          <w:u w:val="single"/>
          <w:lang w:val="en-US" w:eastAsia="zh-CN"/>
        </w:rPr>
      </w:pPr>
      <w:r>
        <w:rPr>
          <w:rFonts w:hint="eastAsia"/>
          <w:color w:val="auto"/>
          <w:u w:val="single"/>
          <w:lang w:val="en-US" w:eastAsia="zh-CN"/>
        </w:rPr>
        <w:t>低浓度油气进入到吸附系统，吸附系统由两个吸附罐交替进行吸附一脱附一一清扫过程，在常压下A罐吸附原料中的剩余油气组分、当吸附饱和后、系统自动切入B罐进行吸附处理，问断对A、B罐进行真空脱附使吸附剂获得再生，真空泵脱附出的油气再次进入冷凝单元入口进行冷凝处理。经过吸附系统分离出来的尾气达标排放。</w:t>
      </w:r>
    </w:p>
    <w:p w14:paraId="3EA6AFA8">
      <w:pPr>
        <w:pStyle w:val="6"/>
        <w:rPr>
          <w:color w:val="auto"/>
        </w:rPr>
      </w:pPr>
      <w:r>
        <w:rPr>
          <w:rFonts w:hint="eastAsia"/>
          <w:color w:val="auto"/>
        </w:rPr>
        <w:t>现有依托</w:t>
      </w:r>
      <w:r>
        <w:rPr>
          <w:color w:val="auto"/>
        </w:rPr>
        <w:t>工程概况</w:t>
      </w:r>
    </w:p>
    <w:p w14:paraId="1BADA077">
      <w:pPr>
        <w:ind w:firstLine="480"/>
        <w:rPr>
          <w:color w:val="auto"/>
        </w:rPr>
      </w:pPr>
      <w:r>
        <w:rPr>
          <w:rFonts w:hint="eastAsia"/>
          <w:color w:val="auto"/>
        </w:rPr>
        <w:t>（1）废水依托</w:t>
      </w:r>
      <w:r>
        <w:rPr>
          <w:color w:val="auto"/>
        </w:rPr>
        <w:t>处理工程</w:t>
      </w:r>
    </w:p>
    <w:p w14:paraId="6EF1C64D">
      <w:pPr>
        <w:ind w:firstLine="480"/>
        <w:rPr>
          <w:color w:val="auto"/>
        </w:rPr>
      </w:pPr>
      <w:r>
        <w:rPr>
          <w:rFonts w:hint="eastAsia"/>
          <w:color w:val="auto"/>
        </w:rPr>
        <w:t>现有</w:t>
      </w:r>
      <w:r>
        <w:rPr>
          <w:color w:val="auto"/>
        </w:rPr>
        <w:t>工程库区的污水处理</w:t>
      </w:r>
      <w:r>
        <w:rPr>
          <w:rFonts w:hint="eastAsia"/>
          <w:color w:val="auto"/>
        </w:rPr>
        <w:t>设施由于广西东油沥青有限公司与广西石化签订污水处理接收协议的原因，已于2016年</w:t>
      </w:r>
      <w:r>
        <w:rPr>
          <w:color w:val="auto"/>
        </w:rPr>
        <w:t>已经停运</w:t>
      </w:r>
      <w:r>
        <w:rPr>
          <w:rFonts w:hint="eastAsia"/>
          <w:color w:val="auto"/>
        </w:rPr>
        <w:t>，现有工程产生的库区生活污水、初期污染雨水、储罐清洗废水、码头地面冲洗水收集后，由罐车运回东油沥青厂区后统一通过管网输送至广西石化污水处理场进行处理。广西东油沥青有限公司与广西</w:t>
      </w:r>
      <w:r>
        <w:rPr>
          <w:color w:val="auto"/>
        </w:rPr>
        <w:t>石化分公司签订污水</w:t>
      </w:r>
      <w:r>
        <w:rPr>
          <w:rFonts w:hint="eastAsia"/>
          <w:color w:val="auto"/>
        </w:rPr>
        <w:t>接收处理</w:t>
      </w:r>
      <w:r>
        <w:rPr>
          <w:color w:val="auto"/>
        </w:rPr>
        <w:t>协议</w:t>
      </w:r>
      <w:r>
        <w:rPr>
          <w:rFonts w:hint="eastAsia"/>
          <w:color w:val="auto"/>
        </w:rPr>
        <w:t>，现有工程位产生的废水需满足的纳管限值具体见表1.3-10。</w:t>
      </w:r>
    </w:p>
    <w:p w14:paraId="4C516657">
      <w:pPr>
        <w:pStyle w:val="127"/>
        <w:numPr>
          <w:ilvl w:val="0"/>
          <w:numId w:val="18"/>
        </w:numPr>
        <w:ind w:firstLineChars="0"/>
        <w:rPr>
          <w:color w:val="auto"/>
        </w:rPr>
      </w:pPr>
      <w:r>
        <w:rPr>
          <w:color w:val="auto"/>
        </w:rPr>
        <w:t>东油沥青厂污水处理设施概况</w:t>
      </w:r>
    </w:p>
    <w:p w14:paraId="69D006DF">
      <w:pPr>
        <w:ind w:firstLine="480"/>
        <w:rPr>
          <w:color w:val="auto"/>
        </w:rPr>
      </w:pPr>
      <w:r>
        <w:rPr>
          <w:rFonts w:hint="eastAsia"/>
          <w:color w:val="auto"/>
        </w:rPr>
        <w:t>广西东油</w:t>
      </w:r>
      <w:r>
        <w:rPr>
          <w:color w:val="auto"/>
        </w:rPr>
        <w:t>沥青</w:t>
      </w:r>
      <w:r>
        <w:rPr>
          <w:rFonts w:hint="eastAsia"/>
          <w:color w:val="auto"/>
        </w:rPr>
        <w:t>有限</w:t>
      </w:r>
      <w:r>
        <w:rPr>
          <w:color w:val="auto"/>
        </w:rPr>
        <w:t>公司沥青厂与</w:t>
      </w:r>
      <w:r>
        <w:rPr>
          <w:rFonts w:hint="eastAsia"/>
          <w:color w:val="auto"/>
        </w:rPr>
        <w:t>广西东油沥青有限公司5万吨级油气码头为</w:t>
      </w:r>
      <w:r>
        <w:rPr>
          <w:color w:val="auto"/>
        </w:rPr>
        <w:t>同一个建设单位，东油沥青厂于2016</w:t>
      </w:r>
      <w:r>
        <w:rPr>
          <w:rFonts w:hint="eastAsia"/>
          <w:color w:val="auto"/>
        </w:rPr>
        <w:t>年5月3</w:t>
      </w:r>
      <w:r>
        <w:rPr>
          <w:color w:val="auto"/>
        </w:rPr>
        <w:t>1</w:t>
      </w:r>
      <w:r>
        <w:rPr>
          <w:rFonts w:hint="eastAsia"/>
          <w:color w:val="auto"/>
        </w:rPr>
        <w:t>日取得《广西东油沥青有限公司</w:t>
      </w:r>
      <w:r>
        <w:rPr>
          <w:color w:val="auto"/>
        </w:rPr>
        <w:t>沥青厂</w:t>
      </w:r>
      <w:r>
        <w:rPr>
          <w:rFonts w:hint="eastAsia"/>
          <w:color w:val="auto"/>
        </w:rPr>
        <w:t>污水处理及动力燃料变更环境影响</w:t>
      </w:r>
      <w:r>
        <w:rPr>
          <w:color w:val="auto"/>
        </w:rPr>
        <w:t>分析报告</w:t>
      </w:r>
      <w:r>
        <w:rPr>
          <w:rFonts w:hint="eastAsia"/>
          <w:color w:val="auto"/>
        </w:rPr>
        <w:t>》</w:t>
      </w:r>
      <w:r>
        <w:rPr>
          <w:color w:val="auto"/>
        </w:rPr>
        <w:t>的批复</w:t>
      </w:r>
      <w:r>
        <w:rPr>
          <w:rFonts w:hint="eastAsia"/>
          <w:color w:val="auto"/>
        </w:rPr>
        <w:t>，</w:t>
      </w:r>
      <w:r>
        <w:rPr>
          <w:color w:val="auto"/>
        </w:rPr>
        <w:t>批文号</w:t>
      </w:r>
      <w:r>
        <w:rPr>
          <w:rFonts w:hint="eastAsia"/>
          <w:color w:val="auto"/>
        </w:rPr>
        <w:t>：钦</w:t>
      </w:r>
      <w:r>
        <w:rPr>
          <w:color w:val="auto"/>
        </w:rPr>
        <w:t>港环管字</w:t>
      </w:r>
      <w:r>
        <w:rPr>
          <w:rFonts w:hint="eastAsia"/>
          <w:color w:val="auto"/>
        </w:rPr>
        <w:t>〔2016〕12号</w:t>
      </w:r>
      <w:r>
        <w:rPr>
          <w:color w:val="auto"/>
        </w:rPr>
        <w:t>，并于2017</w:t>
      </w:r>
      <w:r>
        <w:rPr>
          <w:rFonts w:hint="eastAsia"/>
          <w:color w:val="auto"/>
        </w:rPr>
        <w:t>年12月17日完成</w:t>
      </w:r>
      <w:r>
        <w:rPr>
          <w:color w:val="auto"/>
        </w:rPr>
        <w:t>竣工环境保护验收。</w:t>
      </w:r>
      <w:r>
        <w:rPr>
          <w:rFonts w:hint="eastAsia"/>
          <w:color w:val="auto"/>
        </w:rPr>
        <w:t>2016年</w:t>
      </w:r>
      <w:r>
        <w:rPr>
          <w:color w:val="auto"/>
        </w:rPr>
        <w:t>东油沥青厂</w:t>
      </w:r>
      <w:r>
        <w:rPr>
          <w:rFonts w:hint="eastAsia"/>
          <w:color w:val="auto"/>
        </w:rPr>
        <w:t>环评</w:t>
      </w:r>
      <w:r>
        <w:rPr>
          <w:color w:val="auto"/>
        </w:rPr>
        <w:t>批复后，东油沥青厂的污水</w:t>
      </w:r>
      <w:r>
        <w:rPr>
          <w:rFonts w:hint="eastAsia"/>
          <w:color w:val="auto"/>
        </w:rPr>
        <w:t>经收集后直接</w:t>
      </w:r>
      <w:r>
        <w:rPr>
          <w:color w:val="auto"/>
        </w:rPr>
        <w:t>通过</w:t>
      </w:r>
      <w:r>
        <w:rPr>
          <w:rFonts w:hint="eastAsia"/>
          <w:color w:val="auto"/>
        </w:rPr>
        <w:t>原有</w:t>
      </w:r>
      <w:r>
        <w:rPr>
          <w:color w:val="auto"/>
        </w:rPr>
        <w:t>的污水管网直接将污水泵送至</w:t>
      </w:r>
      <w:r>
        <w:rPr>
          <w:rFonts w:hint="eastAsia"/>
          <w:color w:val="auto"/>
        </w:rPr>
        <w:t>广西石化分公司污水处理厂进行处理</w:t>
      </w:r>
      <w:r>
        <w:rPr>
          <w:color w:val="auto"/>
        </w:rPr>
        <w:t>，不</w:t>
      </w:r>
      <w:r>
        <w:rPr>
          <w:rFonts w:hint="eastAsia"/>
          <w:color w:val="auto"/>
        </w:rPr>
        <w:t>在东油</w:t>
      </w:r>
      <w:r>
        <w:rPr>
          <w:color w:val="auto"/>
        </w:rPr>
        <w:t>沥青厂处理污水。</w:t>
      </w:r>
    </w:p>
    <w:p w14:paraId="6CA48F19">
      <w:pPr>
        <w:ind w:firstLine="480"/>
        <w:rPr>
          <w:color w:val="auto"/>
        </w:rPr>
      </w:pPr>
      <w:r>
        <w:rPr>
          <w:rFonts w:hint="eastAsia"/>
          <w:color w:val="auto"/>
        </w:rPr>
        <w:t>②广西石化分公司污水</w:t>
      </w:r>
      <w:r>
        <w:rPr>
          <w:color w:val="auto"/>
        </w:rPr>
        <w:t>处理</w:t>
      </w:r>
      <w:r>
        <w:rPr>
          <w:rFonts w:hint="eastAsia"/>
          <w:color w:val="auto"/>
        </w:rPr>
        <w:t>厂</w:t>
      </w:r>
      <w:r>
        <w:rPr>
          <w:color w:val="auto"/>
        </w:rPr>
        <w:t>概况</w:t>
      </w:r>
    </w:p>
    <w:p w14:paraId="0012961E">
      <w:pPr>
        <w:ind w:firstLine="480"/>
        <w:rPr>
          <w:color w:val="auto"/>
        </w:rPr>
      </w:pPr>
      <w:r>
        <w:rPr>
          <w:rFonts w:hint="eastAsia"/>
          <w:color w:val="auto"/>
        </w:rPr>
        <w:t>广西石化分公司污水处理场是中国石油广西石化1000万吨/年炼油项目的配套项目，由CPE大连分公司进行EPC总承包，该项目于2006年12月开始建设，2009年9月建成投用，设计处理污水能为1000m</w:t>
      </w:r>
      <w:r>
        <w:rPr>
          <w:rFonts w:hint="eastAsia"/>
          <w:color w:val="auto"/>
          <w:vertAlign w:val="superscript"/>
        </w:rPr>
        <w:t>3</w:t>
      </w:r>
      <w:r>
        <w:rPr>
          <w:rFonts w:hint="eastAsia"/>
          <w:color w:val="auto"/>
        </w:rPr>
        <w:t>/h。</w:t>
      </w:r>
    </w:p>
    <w:p w14:paraId="64159CE4">
      <w:pPr>
        <w:ind w:firstLine="480"/>
        <w:rPr>
          <w:color w:val="auto"/>
        </w:rPr>
      </w:pPr>
      <w:r>
        <w:rPr>
          <w:rFonts w:hint="eastAsia"/>
          <w:color w:val="auto"/>
        </w:rPr>
        <w:t>废水经广西石化污水处理厂处理达到《石油炼制工业污染物排放标准》（GB31570</w:t>
      </w:r>
      <w:r>
        <w:rPr>
          <w:color w:val="auto"/>
        </w:rPr>
        <w:t>-</w:t>
      </w:r>
      <w:r>
        <w:rPr>
          <w:rFonts w:hint="eastAsia"/>
          <w:color w:val="auto"/>
        </w:rPr>
        <w:t>2015）表1水污染物排放限值后部分通</w:t>
      </w:r>
      <w:r>
        <w:rPr>
          <w:rFonts w:hint="eastAsia"/>
          <w:color w:val="auto"/>
          <w:u w:val="single"/>
        </w:rPr>
        <w:t>过</w:t>
      </w:r>
      <w:r>
        <w:rPr>
          <w:rFonts w:hint="eastAsia"/>
          <w:color w:val="auto"/>
          <w:u w:val="single"/>
          <w:lang w:val="en-US" w:eastAsia="zh-CN"/>
        </w:rPr>
        <w:t>A1排放区</w:t>
      </w:r>
      <w:r>
        <w:rPr>
          <w:rFonts w:hint="eastAsia"/>
          <w:color w:val="auto"/>
        </w:rPr>
        <w:t>排放，部分污水提升至回用水单元处理，作为循环水的补水使用。</w:t>
      </w:r>
    </w:p>
    <w:p w14:paraId="2C30C62D">
      <w:pPr>
        <w:ind w:firstLine="0" w:firstLineChars="0"/>
        <w:jc w:val="center"/>
        <w:rPr>
          <w:color w:val="auto"/>
        </w:rPr>
      </w:pPr>
      <w:r>
        <w:rPr>
          <w:color w:val="auto"/>
        </w:rPr>
        <w:drawing>
          <wp:inline distT="0" distB="0" distL="0" distR="0">
            <wp:extent cx="5062855" cy="2863850"/>
            <wp:effectExtent l="0" t="0" r="4445" b="1651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062855" cy="2863850"/>
                    </a:xfrm>
                    <a:prstGeom prst="rect">
                      <a:avLst/>
                    </a:prstGeom>
                  </pic:spPr>
                </pic:pic>
              </a:graphicData>
            </a:graphic>
          </wp:inline>
        </w:drawing>
      </w:r>
    </w:p>
    <w:p w14:paraId="662F6A50">
      <w:pPr>
        <w:pStyle w:val="14"/>
        <w:rPr>
          <w:color w:val="auto"/>
        </w:rPr>
      </w:pPr>
      <w:r>
        <w:rPr>
          <w:rFonts w:hint="eastAsia"/>
          <w:color w:val="auto"/>
        </w:rPr>
        <w:t>表</w:t>
      </w:r>
      <w:r>
        <w:rPr>
          <w:color w:val="auto"/>
        </w:rPr>
        <w:t>2.1</w:t>
      </w:r>
      <w:r>
        <w:rPr>
          <w:color w:val="auto"/>
        </w:rPr>
        <w:noBreakHyphen/>
      </w:r>
      <w:r>
        <w:rPr>
          <w:color w:val="auto"/>
        </w:rPr>
        <w:t>7</w:t>
      </w:r>
      <w:r>
        <w:rPr>
          <w:rFonts w:hint="eastAsia"/>
          <w:color w:val="auto"/>
        </w:rPr>
        <w:t>广西石化污水处理厂污水</w:t>
      </w:r>
      <w:r>
        <w:rPr>
          <w:color w:val="auto"/>
        </w:rPr>
        <w:t>处理工艺</w:t>
      </w:r>
    </w:p>
    <w:p w14:paraId="440E6138">
      <w:pPr>
        <w:ind w:firstLine="482"/>
        <w:rPr>
          <w:color w:val="auto"/>
        </w:rPr>
      </w:pPr>
      <w:r>
        <w:rPr>
          <w:rFonts w:hint="eastAsia"/>
          <w:b/>
          <w:color w:val="auto"/>
        </w:rPr>
        <w:t>除油</w:t>
      </w:r>
      <w:r>
        <w:rPr>
          <w:rFonts w:hint="eastAsia"/>
          <w:color w:val="auto"/>
        </w:rPr>
        <w:t>：DCI除油池用于对污水初级隔油和沉淀。该处理池利用重力分离的原理，借助悬浮油、无机泥渣与水的比重差实现油水泥分离。</w:t>
      </w:r>
    </w:p>
    <w:p w14:paraId="76B4793B">
      <w:pPr>
        <w:ind w:firstLine="480"/>
        <w:rPr>
          <w:color w:val="auto"/>
        </w:rPr>
      </w:pPr>
      <w:r>
        <w:rPr>
          <w:rFonts w:hint="eastAsia"/>
          <w:color w:val="auto"/>
        </w:rPr>
        <w:t>污水进入DCI除油池后，流速降低，呈平流状，在一定相对停留时间下，粗分散油和重质泥渣与污水发生分层分离池内的驱动桥连续运转，将浮油刮入收油料斗，自流至浮油池，经泵提升至污油罐；驱动桥将池底沉积泥渣刮入锥形料斗，经泵提升进污泥快速混合池。</w:t>
      </w:r>
    </w:p>
    <w:p w14:paraId="049BCF1D">
      <w:pPr>
        <w:ind w:firstLine="482"/>
        <w:rPr>
          <w:color w:val="auto"/>
        </w:rPr>
      </w:pPr>
      <w:r>
        <w:rPr>
          <w:rFonts w:hint="eastAsia"/>
          <w:b/>
          <w:color w:val="auto"/>
        </w:rPr>
        <w:t>中和</w:t>
      </w:r>
      <w:r>
        <w:rPr>
          <w:color w:val="auto"/>
        </w:rPr>
        <w:t>：</w:t>
      </w:r>
      <w:r>
        <w:rPr>
          <w:rFonts w:hint="eastAsia"/>
          <w:color w:val="auto"/>
        </w:rPr>
        <w:t>中和池利用酸碱中和原理调节PH值。该池根据原水的PH值，向中和池内投加氢氧化钠，调节污水的PH值，同时投加三氯化铁与污水中的硫化物发生凝聚反应生成凝聚絮体，以便后续工艺处理。</w:t>
      </w:r>
    </w:p>
    <w:p w14:paraId="6865369E">
      <w:pPr>
        <w:ind w:firstLine="482"/>
        <w:rPr>
          <w:color w:val="auto"/>
        </w:rPr>
      </w:pPr>
      <w:r>
        <w:rPr>
          <w:rFonts w:hint="eastAsia"/>
          <w:b/>
          <w:color w:val="auto"/>
        </w:rPr>
        <w:t>调节</w:t>
      </w:r>
      <w:r>
        <w:rPr>
          <w:color w:val="auto"/>
        </w:rPr>
        <w:t>：</w:t>
      </w:r>
      <w:r>
        <w:rPr>
          <w:rFonts w:hint="eastAsia"/>
          <w:color w:val="auto"/>
        </w:rPr>
        <w:t>旧调节罐用于去除硫化物和均衡水质水量。该罐通过催化氧化作用去除硫化物，同时，在调节罐内的停留时间有助于均衡水质和水量，降低对后续工艺的冲击。通过向调节罐内曝气，提供催化氧化反应需要的氧气。</w:t>
      </w:r>
    </w:p>
    <w:p w14:paraId="0DED3640">
      <w:pPr>
        <w:ind w:firstLine="482"/>
        <w:rPr>
          <w:color w:val="auto"/>
        </w:rPr>
      </w:pPr>
      <w:r>
        <w:rPr>
          <w:rFonts w:hint="eastAsia"/>
          <w:b/>
          <w:color w:val="auto"/>
        </w:rPr>
        <w:t>混凝</w:t>
      </w:r>
      <w:r>
        <w:rPr>
          <w:b/>
          <w:color w:val="auto"/>
        </w:rPr>
        <w:t>絮凝</w:t>
      </w:r>
      <w:r>
        <w:rPr>
          <w:color w:val="auto"/>
        </w:rPr>
        <w:t>：</w:t>
      </w:r>
      <w:r>
        <w:rPr>
          <w:rFonts w:hint="eastAsia"/>
          <w:color w:val="auto"/>
        </w:rPr>
        <w:t>为在气浮设施中，高效去除污水中呈胶体状态的微细悬浮物、乳化油和微粒分散油，必须在其工艺前的混凝池、絮凝池中通过投加药剂和机械搅拌，进行物理化学反应，达到气浮所需工艺条件。</w:t>
      </w:r>
    </w:p>
    <w:p w14:paraId="6046E979">
      <w:pPr>
        <w:ind w:firstLine="480"/>
        <w:rPr>
          <w:color w:val="auto"/>
        </w:rPr>
      </w:pPr>
      <w:r>
        <w:rPr>
          <w:rFonts w:hint="eastAsia"/>
          <w:color w:val="auto"/>
        </w:rPr>
        <w:t>向混凝池投加FeCl3药剂溶液，通过铁盐的水解，产生带电荷络合物的吸附电荷作用和双电层压缩作用，破坏污水中胶体污染物的δ电位，使胶体物质凝聚形成微絮体。</w:t>
      </w:r>
    </w:p>
    <w:p w14:paraId="1B77B7F4">
      <w:pPr>
        <w:ind w:firstLine="480"/>
        <w:rPr>
          <w:color w:val="auto"/>
        </w:rPr>
      </w:pPr>
      <w:r>
        <w:rPr>
          <w:rFonts w:hint="eastAsia"/>
          <w:color w:val="auto"/>
        </w:rPr>
        <w:t>向絮凝池投加聚合物（聚丙烯酰胺）溶液，通过聚合物水解产生的氢键结合、静电结合和范德华力等，使之与凝聚后形成的微絮体发生吸附桥架和沉淀网捕作用，进而使微絮体增大，变牢，形成稳定的絮凝体。</w:t>
      </w:r>
    </w:p>
    <w:p w14:paraId="5AD8BBD1">
      <w:pPr>
        <w:ind w:firstLine="480"/>
        <w:rPr>
          <w:color w:val="auto"/>
        </w:rPr>
      </w:pPr>
      <w:r>
        <w:rPr>
          <w:rFonts w:hint="eastAsia"/>
          <w:color w:val="auto"/>
        </w:rPr>
        <w:t>混凝、絮凝反应后的污水自流进入DAF气浮池底部，与气浮池出水部分回流加压溶气水混合进入气浮池。污水中已形成的悬浮状絮凝体与高压溶气水释压后释放出的微气泡结合并附着上浮，在气浮池表面形成均匀的油泥、浮渣混合层，粗分散油和重质泥渣与污水发生分层分离，池内的驱动桥连续运转，将浮渣刮入浮渣料斗，自流至浮渣池；驱动桥将池底沉积泥渣刮入底部泥斗，经泵提升进污泥快速混合池，实现了胶体污染物、悬浮物与污水的分层分离。</w:t>
      </w:r>
    </w:p>
    <w:p w14:paraId="47AA3943">
      <w:pPr>
        <w:ind w:firstLine="482"/>
        <w:rPr>
          <w:color w:val="auto"/>
        </w:rPr>
      </w:pPr>
      <w:r>
        <w:rPr>
          <w:rFonts w:hint="eastAsia"/>
          <w:b/>
          <w:color w:val="auto"/>
        </w:rPr>
        <w:t>A/O</w:t>
      </w:r>
      <w:r>
        <w:rPr>
          <w:rFonts w:hint="eastAsia"/>
          <w:color w:val="auto"/>
        </w:rPr>
        <w:t>：A池是采用缺氧活性污泥法的污水生化处理池，O池为采用好氧活性污泥法的污水生化处理池。</w:t>
      </w:r>
    </w:p>
    <w:p w14:paraId="68638E3D">
      <w:pPr>
        <w:ind w:firstLine="480"/>
        <w:rPr>
          <w:color w:val="auto"/>
        </w:rPr>
      </w:pPr>
      <w:r>
        <w:rPr>
          <w:rFonts w:hint="eastAsia"/>
          <w:color w:val="auto"/>
        </w:rPr>
        <w:t>A池即在缺氧条件下，利用污水中存在的人工培养驯化的缺氧兼性微生物聚集群体（即厌氧活性污泥），通过潜水推进器的推动，使污泥与污水充分接触并纵向推流，在自养菌作用下，将硝酸氮、亚硝酸氮转化成氮气从系统中分离出来，所发生的生物化学反应即反硝化作用；同时还发生缺氧有机反应，分解高分子有机物，提高了污水的可生化性。生化反应式是：</w:t>
      </w:r>
    </w:p>
    <w:p w14:paraId="4E549E44">
      <w:pPr>
        <w:ind w:firstLine="480"/>
        <w:rPr>
          <w:color w:val="auto"/>
        </w:rPr>
      </w:pPr>
      <w:r>
        <w:rPr>
          <w:color w:val="auto"/>
        </w:rPr>
        <w:t>C</w:t>
      </w:r>
      <w:r>
        <w:rPr>
          <w:rFonts w:hint="eastAsia"/>
          <w:color w:val="auto"/>
        </w:rPr>
        <w:t>（有机碳）</w:t>
      </w:r>
      <w:r>
        <w:rPr>
          <w:color w:val="auto"/>
        </w:rPr>
        <w:t>+H</w:t>
      </w:r>
      <w:r>
        <w:rPr>
          <w:color w:val="auto"/>
          <w:vertAlign w:val="subscript"/>
        </w:rPr>
        <w:t>2</w:t>
      </w:r>
      <w:r>
        <w:rPr>
          <w:color w:val="auto"/>
        </w:rPr>
        <w:t>O+NO</w:t>
      </w:r>
      <w:r>
        <w:rPr>
          <w:color w:val="auto"/>
          <w:vertAlign w:val="subscript"/>
        </w:rPr>
        <w:t>3</w:t>
      </w:r>
      <w:r>
        <w:rPr>
          <w:color w:val="auto"/>
        </w:rPr>
        <w:t>→N</w:t>
      </w:r>
      <w:r>
        <w:rPr>
          <w:color w:val="auto"/>
          <w:vertAlign w:val="subscript"/>
        </w:rPr>
        <w:t>2</w:t>
      </w:r>
      <w:r>
        <w:rPr>
          <w:rFonts w:hint="eastAsia"/>
          <w:color w:val="auto"/>
        </w:rPr>
        <w:t>↑</w:t>
      </w:r>
      <w:r>
        <w:rPr>
          <w:color w:val="auto"/>
        </w:rPr>
        <w:t>+OH−+CO</w:t>
      </w:r>
      <w:r>
        <w:rPr>
          <w:color w:val="auto"/>
          <w:vertAlign w:val="subscript"/>
        </w:rPr>
        <w:t>2</w:t>
      </w:r>
      <w:r>
        <w:rPr>
          <w:rFonts w:hint="eastAsia"/>
          <w:color w:val="auto"/>
        </w:rPr>
        <w:t>↑</w:t>
      </w:r>
    </w:p>
    <w:p w14:paraId="1F4863F5">
      <w:pPr>
        <w:ind w:firstLine="480"/>
        <w:rPr>
          <w:color w:val="auto"/>
        </w:rPr>
      </w:pPr>
      <w:r>
        <w:rPr>
          <w:rFonts w:hint="eastAsia"/>
          <w:color w:val="auto"/>
        </w:rPr>
        <w:t>O池即在好氧条件下，利用好氧活性污泥微生物菌胶团较强的吸附和氧化分解能力，将污水中的有机物氧化分解为无机盐，并发生硝化反应，即将N-NH</w:t>
      </w:r>
      <w:r>
        <w:rPr>
          <w:rFonts w:hint="eastAsia"/>
          <w:color w:val="auto"/>
          <w:vertAlign w:val="subscript"/>
        </w:rPr>
        <w:t>3</w:t>
      </w:r>
      <w:r>
        <w:rPr>
          <w:rFonts w:hint="eastAsia"/>
          <w:color w:val="auto"/>
        </w:rPr>
        <w:t>氧化成硝酸氮、亚硝酸氮。生化反应式是：</w:t>
      </w:r>
    </w:p>
    <w:p w14:paraId="372F6BE5">
      <w:pPr>
        <w:ind w:firstLine="480"/>
        <w:rPr>
          <w:color w:val="auto"/>
        </w:rPr>
      </w:pPr>
      <w:r>
        <w:rPr>
          <w:rFonts w:hint="eastAsia"/>
          <w:color w:val="auto"/>
        </w:rPr>
        <w:t>C</w:t>
      </w:r>
      <w:r>
        <w:rPr>
          <w:rFonts w:hint="eastAsia"/>
          <w:color w:val="auto"/>
          <w:vertAlign w:val="subscript"/>
        </w:rPr>
        <w:t>X</w:t>
      </w:r>
      <w:r>
        <w:rPr>
          <w:rFonts w:hint="eastAsia"/>
          <w:color w:val="auto"/>
        </w:rPr>
        <w:t>H</w:t>
      </w:r>
      <w:r>
        <w:rPr>
          <w:rFonts w:hint="eastAsia"/>
          <w:color w:val="auto"/>
          <w:vertAlign w:val="subscript"/>
        </w:rPr>
        <w:t>y</w:t>
      </w:r>
      <w:r>
        <w:rPr>
          <w:rFonts w:hint="eastAsia"/>
          <w:color w:val="auto"/>
        </w:rPr>
        <w:t>O</w:t>
      </w:r>
      <w:r>
        <w:rPr>
          <w:rFonts w:hint="eastAsia"/>
          <w:color w:val="auto"/>
          <w:vertAlign w:val="subscript"/>
        </w:rPr>
        <w:t>Z</w:t>
      </w:r>
      <w:r>
        <w:rPr>
          <w:rFonts w:hint="eastAsia"/>
          <w:color w:val="auto"/>
        </w:rPr>
        <w:t>（有机物）+O</w:t>
      </w:r>
      <w:r>
        <w:rPr>
          <w:rFonts w:hint="eastAsia"/>
          <w:color w:val="auto"/>
          <w:vertAlign w:val="subscript"/>
        </w:rPr>
        <w:t>2</w:t>
      </w:r>
      <w:r>
        <w:rPr>
          <w:rFonts w:hint="eastAsia"/>
          <w:color w:val="auto"/>
        </w:rPr>
        <w:t>→CO</w:t>
      </w:r>
      <w:r>
        <w:rPr>
          <w:rFonts w:hint="eastAsia"/>
          <w:color w:val="auto"/>
          <w:vertAlign w:val="subscript"/>
        </w:rPr>
        <w:t>2</w:t>
      </w:r>
      <w:r>
        <w:rPr>
          <w:rFonts w:hint="eastAsia"/>
          <w:color w:val="auto"/>
        </w:rPr>
        <w:t>+H</w:t>
      </w:r>
      <w:r>
        <w:rPr>
          <w:rFonts w:hint="eastAsia"/>
          <w:color w:val="auto"/>
          <w:vertAlign w:val="subscript"/>
        </w:rPr>
        <w:t>2</w:t>
      </w:r>
      <w:r>
        <w:rPr>
          <w:rFonts w:hint="eastAsia"/>
          <w:color w:val="auto"/>
        </w:rPr>
        <w:t>O</w:t>
      </w:r>
    </w:p>
    <w:p w14:paraId="314B0B61">
      <w:pPr>
        <w:ind w:firstLine="480"/>
        <w:rPr>
          <w:color w:val="auto"/>
        </w:rPr>
      </w:pPr>
      <w:r>
        <w:rPr>
          <w:color w:val="auto"/>
        </w:rPr>
        <w:t>NH</w:t>
      </w:r>
      <w:r>
        <w:rPr>
          <w:color w:val="auto"/>
          <w:vertAlign w:val="subscript"/>
        </w:rPr>
        <w:t>4</w:t>
      </w:r>
      <w:r>
        <w:rPr>
          <w:color w:val="auto"/>
          <w:vertAlign w:val="superscript"/>
        </w:rPr>
        <w:t>+</w:t>
      </w:r>
      <w:r>
        <w:rPr>
          <w:color w:val="auto"/>
        </w:rPr>
        <w:t>+O</w:t>
      </w:r>
      <w:r>
        <w:rPr>
          <w:color w:val="auto"/>
          <w:vertAlign w:val="subscript"/>
        </w:rPr>
        <w:t>2</w:t>
      </w:r>
      <w:r>
        <w:rPr>
          <w:rFonts w:hint="eastAsia"/>
          <w:color w:val="auto"/>
        </w:rPr>
        <w:t>→</w:t>
      </w:r>
      <w:r>
        <w:rPr>
          <w:color w:val="auto"/>
        </w:rPr>
        <w:t>NO</w:t>
      </w:r>
      <w:r>
        <w:rPr>
          <w:color w:val="auto"/>
          <w:vertAlign w:val="subscript"/>
        </w:rPr>
        <w:t>3</w:t>
      </w:r>
      <w:r>
        <w:rPr>
          <w:color w:val="auto"/>
          <w:vertAlign w:val="superscript"/>
        </w:rPr>
        <w:t>−</w:t>
      </w:r>
      <w:r>
        <w:rPr>
          <w:color w:val="auto"/>
        </w:rPr>
        <w:t>+H</w:t>
      </w:r>
      <w:r>
        <w:rPr>
          <w:color w:val="auto"/>
          <w:vertAlign w:val="superscript"/>
        </w:rPr>
        <w:t>+</w:t>
      </w:r>
      <w:r>
        <w:rPr>
          <w:color w:val="auto"/>
        </w:rPr>
        <w:t>+H</w:t>
      </w:r>
      <w:r>
        <w:rPr>
          <w:color w:val="auto"/>
          <w:vertAlign w:val="subscript"/>
        </w:rPr>
        <w:t>2</w:t>
      </w:r>
      <w:r>
        <w:rPr>
          <w:color w:val="auto"/>
        </w:rPr>
        <w:t>O</w:t>
      </w:r>
    </w:p>
    <w:p w14:paraId="27006441">
      <w:pPr>
        <w:ind w:firstLine="482"/>
        <w:rPr>
          <w:color w:val="auto"/>
        </w:rPr>
      </w:pPr>
      <w:r>
        <w:rPr>
          <w:rFonts w:hint="eastAsia"/>
          <w:b/>
          <w:color w:val="auto"/>
        </w:rPr>
        <w:t>二沉池</w:t>
      </w:r>
      <w:r>
        <w:rPr>
          <w:color w:val="auto"/>
        </w:rPr>
        <w:t>：</w:t>
      </w:r>
      <w:r>
        <w:rPr>
          <w:rFonts w:hint="eastAsia"/>
          <w:color w:val="auto"/>
        </w:rPr>
        <w:t>污水从二沉池中心进入，在辐流状态下，利用悬浮污泥与水的比重差，在一定的停留时间进行物理重力沉淀，絮状活性污泥沉淀于池底，同时将池底部的沉降污泥输送至A/O池前段，保证生化池污泥的量，池顶部的上清液溢流排出，实现泥水分离目的。</w:t>
      </w:r>
    </w:p>
    <w:p w14:paraId="5512C730">
      <w:pPr>
        <w:ind w:firstLine="482"/>
        <w:rPr>
          <w:color w:val="auto"/>
        </w:rPr>
      </w:pPr>
      <w:r>
        <w:rPr>
          <w:rFonts w:hint="eastAsia"/>
          <w:b/>
          <w:color w:val="auto"/>
        </w:rPr>
        <w:t>高密度沉淀池：</w:t>
      </w:r>
      <w:r>
        <w:rPr>
          <w:rFonts w:hint="eastAsia"/>
          <w:color w:val="auto"/>
        </w:rPr>
        <w:t>高密度沉淀池简称高密池。该池前两段为混凝、絮凝反应区，分别投加FeCl</w:t>
      </w:r>
      <w:r>
        <w:rPr>
          <w:rFonts w:hint="eastAsia"/>
          <w:color w:val="auto"/>
          <w:vertAlign w:val="subscript"/>
        </w:rPr>
        <w:t>3</w:t>
      </w:r>
      <w:r>
        <w:rPr>
          <w:rFonts w:hint="eastAsia"/>
          <w:color w:val="auto"/>
        </w:rPr>
        <w:t>和高分子有机聚合物，利用其电离、水解与二沉池中的胶体污染物及剩余活性污泥发生物理化学反应，产生吸附、中和、表面接触、架桥、网捕等作用，使细微悬浮物能量分散脱稳，凝聚成为较大的絮凝体。</w:t>
      </w:r>
    </w:p>
    <w:p w14:paraId="4C705168">
      <w:pPr>
        <w:ind w:firstLine="480"/>
        <w:rPr>
          <w:color w:val="auto"/>
        </w:rPr>
      </w:pPr>
      <w:r>
        <w:rPr>
          <w:rFonts w:hint="eastAsia"/>
          <w:color w:val="auto"/>
        </w:rPr>
        <w:t>高密池后段为沉降区，采用倾角为60°的斜管填料，通过增加沉淀面积，降低沉降高度，缩短沉降时间，改善水力条件的浅池沉降原理，大幅度提高颗粒沉降效果，使悬浮物（絮凝体）沉降分离；再利用沉降区底部排泥设施，将剩余污泥转出。</w:t>
      </w:r>
    </w:p>
    <w:p w14:paraId="0BEFDBE0">
      <w:pPr>
        <w:pStyle w:val="4"/>
        <w:rPr>
          <w:color w:val="auto"/>
        </w:rPr>
      </w:pPr>
      <w:r>
        <w:rPr>
          <w:rFonts w:hint="eastAsia"/>
          <w:color w:val="auto"/>
        </w:rPr>
        <w:t>现有</w:t>
      </w:r>
      <w:r>
        <w:rPr>
          <w:color w:val="auto"/>
        </w:rPr>
        <w:t>工程环保措施</w:t>
      </w:r>
    </w:p>
    <w:p w14:paraId="0BD2D2BB">
      <w:pPr>
        <w:pStyle w:val="6"/>
        <w:rPr>
          <w:color w:val="auto"/>
        </w:rPr>
      </w:pPr>
      <w:r>
        <w:rPr>
          <w:rFonts w:hint="eastAsia"/>
          <w:color w:val="auto"/>
        </w:rPr>
        <w:t>废气</w:t>
      </w:r>
      <w:r>
        <w:rPr>
          <w:color w:val="auto"/>
        </w:rPr>
        <w:t>治理措施</w:t>
      </w:r>
    </w:p>
    <w:p w14:paraId="31EB05CF">
      <w:pPr>
        <w:ind w:firstLine="480"/>
        <w:rPr>
          <w:color w:val="auto"/>
        </w:rPr>
      </w:pPr>
      <w:r>
        <w:rPr>
          <w:rFonts w:hint="eastAsia"/>
          <w:color w:val="auto"/>
        </w:rPr>
        <w:t>（1）</w:t>
      </w:r>
      <w:r>
        <w:rPr>
          <w:color w:val="auto"/>
        </w:rPr>
        <w:t>甲醇装车废气</w:t>
      </w:r>
    </w:p>
    <w:p w14:paraId="204AA0AE">
      <w:pPr>
        <w:ind w:firstLine="480"/>
        <w:rPr>
          <w:color w:val="auto"/>
        </w:rPr>
      </w:pPr>
      <w:r>
        <w:rPr>
          <w:rFonts w:hint="eastAsia"/>
          <w:color w:val="auto"/>
        </w:rPr>
        <w:t>现有工程甲醇</w:t>
      </w:r>
      <w:r>
        <w:rPr>
          <w:color w:val="auto"/>
        </w:rPr>
        <w:t>共采用</w:t>
      </w:r>
      <w:r>
        <w:rPr>
          <w:rFonts w:hint="eastAsia"/>
          <w:color w:val="auto"/>
        </w:rPr>
        <w:t>4个10000</w:t>
      </w:r>
      <w:r>
        <w:rPr>
          <w:color w:val="auto"/>
        </w:rPr>
        <w:t>m</w:t>
      </w:r>
      <w:r>
        <w:rPr>
          <w:color w:val="auto"/>
          <w:vertAlign w:val="superscript"/>
        </w:rPr>
        <w:t>3</w:t>
      </w:r>
      <w:r>
        <w:rPr>
          <w:rFonts w:hint="eastAsia"/>
          <w:color w:val="auto"/>
        </w:rPr>
        <w:t>的内浮顶罐</w:t>
      </w:r>
      <w:r>
        <w:rPr>
          <w:color w:val="auto"/>
        </w:rPr>
        <w:t>进行储存</w:t>
      </w:r>
      <w:r>
        <w:rPr>
          <w:rFonts w:hint="eastAsia"/>
          <w:color w:val="auto"/>
        </w:rPr>
        <w:t>，甲醇出库采用汽车装车，装载</w:t>
      </w:r>
      <w:r>
        <w:rPr>
          <w:color w:val="auto"/>
        </w:rPr>
        <w:t>方式为底部装载</w:t>
      </w:r>
      <w:r>
        <w:rPr>
          <w:rFonts w:hint="eastAsia"/>
          <w:color w:val="auto"/>
        </w:rPr>
        <w:t>。</w:t>
      </w:r>
      <w:r>
        <w:rPr>
          <w:color w:val="auto"/>
        </w:rPr>
        <w:t>甲醇</w:t>
      </w:r>
      <w:r>
        <w:rPr>
          <w:rFonts w:hint="eastAsia"/>
          <w:color w:val="auto"/>
        </w:rPr>
        <w:t>装车</w:t>
      </w:r>
      <w:r>
        <w:rPr>
          <w:color w:val="auto"/>
        </w:rPr>
        <w:t>过程中产生的</w:t>
      </w:r>
      <w:r>
        <w:rPr>
          <w:rFonts w:hint="eastAsia"/>
          <w:color w:val="auto"/>
        </w:rPr>
        <w:t>废气</w:t>
      </w:r>
      <w:r>
        <w:rPr>
          <w:color w:val="auto"/>
        </w:rPr>
        <w:t>经过</w:t>
      </w:r>
      <w:r>
        <w:rPr>
          <w:rFonts w:hint="eastAsia"/>
          <w:color w:val="auto"/>
        </w:rPr>
        <w:t>甲醇装车油气回收设施处理后15m高排气筒（DA004）排放。</w:t>
      </w:r>
      <w:r>
        <w:rPr>
          <w:rFonts w:hint="eastAsia"/>
          <w:color w:val="auto"/>
          <w:u w:val="single"/>
        </w:rPr>
        <w:t>甲醇装车油气回收设施采用冷凝+吸附工艺，处理能力为</w:t>
      </w:r>
      <w:r>
        <w:rPr>
          <w:color w:val="auto"/>
          <w:u w:val="single"/>
        </w:rPr>
        <w:t>300m</w:t>
      </w:r>
      <w:r>
        <w:rPr>
          <w:color w:val="auto"/>
          <w:vertAlign w:val="superscript"/>
        </w:rPr>
        <w:t>3</w:t>
      </w:r>
      <w:r>
        <w:rPr>
          <w:color w:val="auto"/>
          <w:u w:val="single"/>
        </w:rPr>
        <w:t>/h</w:t>
      </w:r>
      <w:r>
        <w:rPr>
          <w:rFonts w:hint="eastAsia"/>
          <w:color w:val="auto"/>
          <w:u w:val="single"/>
        </w:rPr>
        <w:t>。</w:t>
      </w:r>
    </w:p>
    <w:p w14:paraId="6A02FBD0">
      <w:pPr>
        <w:ind w:firstLine="480"/>
        <w:rPr>
          <w:color w:val="auto"/>
        </w:rPr>
      </w:pPr>
      <w:r>
        <w:rPr>
          <w:rFonts w:hint="eastAsia"/>
          <w:color w:val="auto"/>
        </w:rPr>
        <w:t>（2）汽油</w:t>
      </w:r>
      <w:r>
        <w:rPr>
          <w:color w:val="auto"/>
        </w:rPr>
        <w:t>装车废气</w:t>
      </w:r>
    </w:p>
    <w:p w14:paraId="0F835B25">
      <w:pPr>
        <w:ind w:firstLine="480"/>
        <w:rPr>
          <w:color w:val="auto"/>
        </w:rPr>
      </w:pPr>
      <w:r>
        <w:rPr>
          <w:rFonts w:hint="eastAsia"/>
          <w:color w:val="auto"/>
        </w:rPr>
        <w:t>现有工程汽油</w:t>
      </w:r>
      <w:r>
        <w:rPr>
          <w:color w:val="auto"/>
        </w:rPr>
        <w:t>共采用8</w:t>
      </w:r>
      <w:r>
        <w:rPr>
          <w:rFonts w:hint="eastAsia"/>
          <w:color w:val="auto"/>
        </w:rPr>
        <w:t>个10000</w:t>
      </w:r>
      <w:r>
        <w:rPr>
          <w:color w:val="auto"/>
        </w:rPr>
        <w:t>m</w:t>
      </w:r>
      <w:r>
        <w:rPr>
          <w:color w:val="auto"/>
          <w:vertAlign w:val="superscript"/>
        </w:rPr>
        <w:t>3</w:t>
      </w:r>
      <w:r>
        <w:rPr>
          <w:rFonts w:hint="eastAsia"/>
          <w:color w:val="auto"/>
        </w:rPr>
        <w:t>的内浮顶罐</w:t>
      </w:r>
      <w:r>
        <w:rPr>
          <w:color w:val="auto"/>
        </w:rPr>
        <w:t>进行储存</w:t>
      </w:r>
      <w:r>
        <w:rPr>
          <w:rFonts w:hint="eastAsia"/>
          <w:color w:val="auto"/>
        </w:rPr>
        <w:t>，汽油出库采用汽车装车，装载</w:t>
      </w:r>
      <w:r>
        <w:rPr>
          <w:color w:val="auto"/>
        </w:rPr>
        <w:t>方式为底部装载</w:t>
      </w:r>
      <w:r>
        <w:rPr>
          <w:rFonts w:hint="eastAsia"/>
          <w:color w:val="auto"/>
        </w:rPr>
        <w:t>。汽油装车</w:t>
      </w:r>
      <w:r>
        <w:rPr>
          <w:color w:val="auto"/>
        </w:rPr>
        <w:t>过程中产生的</w:t>
      </w:r>
      <w:r>
        <w:rPr>
          <w:rFonts w:hint="eastAsia"/>
          <w:color w:val="auto"/>
        </w:rPr>
        <w:t>废气</w:t>
      </w:r>
      <w:r>
        <w:rPr>
          <w:color w:val="auto"/>
        </w:rPr>
        <w:t>经过</w:t>
      </w:r>
      <w:r>
        <w:rPr>
          <w:rFonts w:hint="eastAsia"/>
          <w:color w:val="auto"/>
        </w:rPr>
        <w:t>汽油装车油气回收设施处理后15m高排气筒（DA00</w:t>
      </w:r>
      <w:r>
        <w:rPr>
          <w:color w:val="auto"/>
        </w:rPr>
        <w:t>2</w:t>
      </w:r>
      <w:r>
        <w:rPr>
          <w:rFonts w:hint="eastAsia"/>
          <w:color w:val="auto"/>
        </w:rPr>
        <w:t>）排放。</w:t>
      </w:r>
      <w:r>
        <w:rPr>
          <w:rFonts w:hint="eastAsia"/>
          <w:color w:val="auto"/>
          <w:u w:val="single"/>
        </w:rPr>
        <w:t>汽油装车油气回收设施采用冷凝+吸附工艺，处理能力为</w:t>
      </w:r>
      <w:r>
        <w:rPr>
          <w:color w:val="auto"/>
          <w:u w:val="single"/>
        </w:rPr>
        <w:t>800m</w:t>
      </w:r>
      <w:r>
        <w:rPr>
          <w:color w:val="auto"/>
          <w:vertAlign w:val="superscript"/>
        </w:rPr>
        <w:t>3</w:t>
      </w:r>
      <w:r>
        <w:rPr>
          <w:color w:val="auto"/>
          <w:u w:val="single"/>
        </w:rPr>
        <w:t>/h</w:t>
      </w:r>
      <w:r>
        <w:rPr>
          <w:rFonts w:hint="eastAsia"/>
          <w:color w:val="auto"/>
          <w:u w:val="single"/>
        </w:rPr>
        <w:t>。</w:t>
      </w:r>
    </w:p>
    <w:p w14:paraId="31959638">
      <w:pPr>
        <w:ind w:firstLine="480"/>
        <w:rPr>
          <w:color w:val="auto"/>
        </w:rPr>
      </w:pPr>
      <w:r>
        <w:rPr>
          <w:rFonts w:hint="eastAsia"/>
          <w:color w:val="auto"/>
        </w:rPr>
        <w:t>（3）装船废气</w:t>
      </w:r>
    </w:p>
    <w:p w14:paraId="52B0B271">
      <w:pPr>
        <w:ind w:firstLine="480"/>
        <w:rPr>
          <w:color w:val="auto"/>
        </w:rPr>
      </w:pPr>
      <w:r>
        <w:rPr>
          <w:rFonts w:hint="eastAsia"/>
          <w:color w:val="auto"/>
        </w:rPr>
        <w:t>现有</w:t>
      </w:r>
      <w:r>
        <w:rPr>
          <w:color w:val="auto"/>
        </w:rPr>
        <w:t>工程装船</w:t>
      </w:r>
      <w:r>
        <w:rPr>
          <w:rFonts w:hint="eastAsia"/>
          <w:color w:val="auto"/>
        </w:rPr>
        <w:t>过程</w:t>
      </w:r>
      <w:r>
        <w:rPr>
          <w:color w:val="auto"/>
        </w:rPr>
        <w:t>中</w:t>
      </w:r>
      <w:r>
        <w:rPr>
          <w:rFonts w:hint="eastAsia"/>
          <w:color w:val="auto"/>
        </w:rPr>
        <w:t>采用</w:t>
      </w:r>
      <w:r>
        <w:rPr>
          <w:color w:val="auto"/>
        </w:rPr>
        <w:t>装船油气回收设施</w:t>
      </w:r>
      <w:r>
        <w:rPr>
          <w:rFonts w:hint="eastAsia"/>
          <w:color w:val="auto"/>
        </w:rPr>
        <w:t>进行</w:t>
      </w:r>
      <w:r>
        <w:rPr>
          <w:color w:val="auto"/>
        </w:rPr>
        <w:t>处理</w:t>
      </w:r>
      <w:r>
        <w:rPr>
          <w:rFonts w:hint="eastAsia"/>
          <w:color w:val="auto"/>
        </w:rPr>
        <w:t>，处理后15m高排气筒（DA00</w:t>
      </w:r>
      <w:r>
        <w:rPr>
          <w:color w:val="auto"/>
        </w:rPr>
        <w:t>3</w:t>
      </w:r>
      <w:r>
        <w:rPr>
          <w:rFonts w:hint="eastAsia"/>
          <w:color w:val="auto"/>
        </w:rPr>
        <w:t>）排放，</w:t>
      </w:r>
      <w:r>
        <w:rPr>
          <w:color w:val="auto"/>
        </w:rPr>
        <w:t>主要收集</w:t>
      </w:r>
      <w:r>
        <w:rPr>
          <w:rFonts w:hint="eastAsia"/>
          <w:color w:val="auto"/>
        </w:rPr>
        <w:t>汽油</w:t>
      </w:r>
      <w:r>
        <w:rPr>
          <w:color w:val="auto"/>
        </w:rPr>
        <w:t>装船过程</w:t>
      </w:r>
      <w:r>
        <w:rPr>
          <w:rFonts w:hint="eastAsia"/>
          <w:color w:val="auto"/>
        </w:rPr>
        <w:t>中</w:t>
      </w:r>
      <w:r>
        <w:rPr>
          <w:color w:val="auto"/>
        </w:rPr>
        <w:t>产生的废气。</w:t>
      </w:r>
      <w:r>
        <w:rPr>
          <w:rFonts w:hint="eastAsia"/>
          <w:color w:val="auto"/>
          <w:u w:val="single"/>
        </w:rPr>
        <w:t>装船油气回收设施采用冷凝+吸附工艺，处理能力为</w:t>
      </w:r>
      <w:r>
        <w:rPr>
          <w:color w:val="auto"/>
          <w:u w:val="single"/>
        </w:rPr>
        <w:t>800m</w:t>
      </w:r>
      <w:r>
        <w:rPr>
          <w:color w:val="auto"/>
          <w:vertAlign w:val="superscript"/>
        </w:rPr>
        <w:t>3</w:t>
      </w:r>
      <w:r>
        <w:rPr>
          <w:color w:val="auto"/>
          <w:u w:val="single"/>
        </w:rPr>
        <w:t>/h</w:t>
      </w:r>
      <w:r>
        <w:rPr>
          <w:rFonts w:hint="eastAsia"/>
          <w:color w:val="auto"/>
          <w:u w:val="single"/>
        </w:rPr>
        <w:t>。</w:t>
      </w:r>
    </w:p>
    <w:p w14:paraId="5FBA798F">
      <w:pPr>
        <w:ind w:firstLine="480"/>
        <w:rPr>
          <w:color w:val="auto"/>
        </w:rPr>
      </w:pPr>
      <w:r>
        <w:rPr>
          <w:rFonts w:hint="eastAsia"/>
          <w:color w:val="auto"/>
        </w:rPr>
        <w:t>（4）储罐</w:t>
      </w:r>
      <w:r>
        <w:rPr>
          <w:color w:val="auto"/>
        </w:rPr>
        <w:t>大小呼吸废气</w:t>
      </w:r>
    </w:p>
    <w:p w14:paraId="0FD63AFE">
      <w:pPr>
        <w:ind w:firstLine="480"/>
        <w:rPr>
          <w:color w:val="auto"/>
        </w:rPr>
      </w:pPr>
      <w:r>
        <w:rPr>
          <w:rFonts w:hint="eastAsia"/>
          <w:color w:val="auto"/>
        </w:rPr>
        <w:t>现有</w:t>
      </w:r>
      <w:r>
        <w:rPr>
          <w:color w:val="auto"/>
        </w:rPr>
        <w:t>工程</w:t>
      </w:r>
      <w:r>
        <w:rPr>
          <w:rFonts w:hint="eastAsia"/>
          <w:color w:val="auto"/>
        </w:rPr>
        <w:t>原油</w:t>
      </w:r>
      <w:r>
        <w:rPr>
          <w:color w:val="auto"/>
        </w:rPr>
        <w:t>、汽油、甲醇、</w:t>
      </w:r>
      <w:r>
        <w:rPr>
          <w:rFonts w:hint="eastAsia"/>
          <w:color w:val="auto"/>
        </w:rPr>
        <w:t>部分</w:t>
      </w:r>
      <w:r>
        <w:rPr>
          <w:color w:val="auto"/>
        </w:rPr>
        <w:t>柴油采用浮顶罐</w:t>
      </w:r>
      <w:r>
        <w:rPr>
          <w:rFonts w:hint="eastAsia"/>
          <w:color w:val="auto"/>
        </w:rPr>
        <w:t>进行</w:t>
      </w:r>
      <w:r>
        <w:rPr>
          <w:color w:val="auto"/>
        </w:rPr>
        <w:t>储存，</w:t>
      </w:r>
      <w:r>
        <w:rPr>
          <w:rFonts w:hint="eastAsia"/>
          <w:color w:val="auto"/>
        </w:rPr>
        <w:t>汽油、甲醇储罐</w:t>
      </w:r>
      <w:r>
        <w:rPr>
          <w:color w:val="auto"/>
        </w:rPr>
        <w:t>采取氮封措施</w:t>
      </w:r>
      <w:r>
        <w:rPr>
          <w:rFonts w:hint="eastAsia"/>
          <w:color w:val="auto"/>
        </w:rPr>
        <w:t>，</w:t>
      </w:r>
      <w:r>
        <w:rPr>
          <w:color w:val="auto"/>
        </w:rPr>
        <w:t>码头库区各储罐</w:t>
      </w:r>
      <w:r>
        <w:rPr>
          <w:rFonts w:hint="eastAsia"/>
          <w:color w:val="auto"/>
        </w:rPr>
        <w:t>的</w:t>
      </w:r>
      <w:r>
        <w:rPr>
          <w:color w:val="auto"/>
        </w:rPr>
        <w:t>表面均涂刷</w:t>
      </w:r>
      <w:r>
        <w:rPr>
          <w:rFonts w:hint="eastAsia"/>
          <w:color w:val="auto"/>
        </w:rPr>
        <w:t>白色</w:t>
      </w:r>
      <w:r>
        <w:rPr>
          <w:color w:val="auto"/>
        </w:rPr>
        <w:t>或浅色涂料</w:t>
      </w:r>
      <w:r>
        <w:rPr>
          <w:rFonts w:hint="eastAsia"/>
          <w:color w:val="auto"/>
        </w:rPr>
        <w:t>，</w:t>
      </w:r>
      <w:r>
        <w:rPr>
          <w:color w:val="auto"/>
        </w:rPr>
        <w:t>反射太阳辐射，降低罐体温度。</w:t>
      </w:r>
    </w:p>
    <w:p w14:paraId="28A1E629">
      <w:pPr>
        <w:ind w:firstLine="480"/>
        <w:rPr>
          <w:color w:val="auto"/>
        </w:rPr>
      </w:pPr>
      <w:r>
        <w:rPr>
          <w:rFonts w:hint="eastAsia"/>
          <w:color w:val="auto"/>
        </w:rPr>
        <w:t>（5）卸船</w:t>
      </w:r>
      <w:r>
        <w:rPr>
          <w:color w:val="auto"/>
        </w:rPr>
        <w:t>废气</w:t>
      </w:r>
    </w:p>
    <w:p w14:paraId="66077C19">
      <w:pPr>
        <w:ind w:firstLine="480"/>
        <w:rPr>
          <w:color w:val="auto"/>
        </w:rPr>
      </w:pPr>
      <w:r>
        <w:rPr>
          <w:rFonts w:hint="eastAsia"/>
          <w:color w:val="auto"/>
        </w:rPr>
        <w:t>①每台装卸臂通过液压系统控制，每台装卸臂上都安装有快速紧急脱离接头，在紧急情况下，实现液化烃船与装卸臂快速安全脱离。</w:t>
      </w:r>
    </w:p>
    <w:p w14:paraId="4830B6AE">
      <w:pPr>
        <w:ind w:firstLine="480"/>
        <w:rPr>
          <w:color w:val="auto"/>
        </w:rPr>
      </w:pPr>
      <w:r>
        <w:rPr>
          <w:rFonts w:hint="eastAsia"/>
          <w:color w:val="auto"/>
        </w:rPr>
        <w:t>②装卸操作初期，控制泵压，使液面缓缓上升，装卸作业结束后，将码头布置的氮气管线与装卸臂的氮气接口连接，利用氮气从码头方向往依托罐区吹扫残液。</w:t>
      </w:r>
    </w:p>
    <w:p w14:paraId="0FDD04C2">
      <w:pPr>
        <w:ind w:firstLine="480"/>
        <w:rPr>
          <w:color w:val="auto"/>
        </w:rPr>
      </w:pPr>
      <w:r>
        <w:rPr>
          <w:rFonts w:hint="eastAsia"/>
          <w:color w:val="auto"/>
        </w:rPr>
        <w:t>③工艺管线均采用密闭方式；加强设备管线的日常维护、管理，提高设备运行完好率，杜绝管线、阀门和泵机的跑冒滴漏。</w:t>
      </w:r>
    </w:p>
    <w:p w14:paraId="2D0C4E42">
      <w:pPr>
        <w:ind w:firstLine="480"/>
        <w:rPr>
          <w:color w:val="auto"/>
        </w:rPr>
      </w:pPr>
      <w:r>
        <w:rPr>
          <w:rFonts w:hint="eastAsia"/>
          <w:color w:val="auto"/>
        </w:rPr>
        <w:t>④</w:t>
      </w:r>
      <w:r>
        <w:rPr>
          <w:color w:val="auto"/>
        </w:rPr>
        <w:t>库区及码头各管线</w:t>
      </w:r>
      <w:r>
        <w:rPr>
          <w:rFonts w:hint="eastAsia"/>
          <w:color w:val="auto"/>
        </w:rPr>
        <w:t>均</w:t>
      </w:r>
      <w:r>
        <w:rPr>
          <w:color w:val="auto"/>
        </w:rPr>
        <w:t>密闭连接，</w:t>
      </w:r>
      <w:r>
        <w:rPr>
          <w:rFonts w:hint="eastAsia"/>
          <w:color w:val="auto"/>
        </w:rPr>
        <w:t>卸船作业</w:t>
      </w:r>
      <w:r>
        <w:rPr>
          <w:color w:val="auto"/>
        </w:rPr>
        <w:t>结束后，经过氮气扫线，将</w:t>
      </w:r>
      <w:r>
        <w:rPr>
          <w:rFonts w:hint="eastAsia"/>
          <w:color w:val="auto"/>
        </w:rPr>
        <w:t>装卸臂</w:t>
      </w:r>
      <w:r>
        <w:rPr>
          <w:color w:val="auto"/>
        </w:rPr>
        <w:t>内的残余油品及废气</w:t>
      </w:r>
      <w:r>
        <w:rPr>
          <w:rFonts w:hint="eastAsia"/>
          <w:color w:val="auto"/>
        </w:rPr>
        <w:t>扫</w:t>
      </w:r>
      <w:r>
        <w:rPr>
          <w:color w:val="auto"/>
        </w:rPr>
        <w:t>至船舶货舱中</w:t>
      </w:r>
      <w:r>
        <w:rPr>
          <w:rFonts w:hint="eastAsia"/>
          <w:color w:val="auto"/>
        </w:rPr>
        <w:t>，管道内的气体及物料</w:t>
      </w:r>
      <w:r>
        <w:rPr>
          <w:color w:val="auto"/>
        </w:rPr>
        <w:t>通过泵将管道内的残余油品及废气抽送回储罐中，废气通过储罐的呼吸口</w:t>
      </w:r>
      <w:r>
        <w:rPr>
          <w:rFonts w:hint="eastAsia"/>
          <w:color w:val="auto"/>
        </w:rPr>
        <w:t>排出</w:t>
      </w:r>
      <w:r>
        <w:rPr>
          <w:color w:val="auto"/>
        </w:rPr>
        <w:t>。</w:t>
      </w:r>
    </w:p>
    <w:p w14:paraId="4C231444">
      <w:pPr>
        <w:ind w:firstLine="480"/>
        <w:rPr>
          <w:color w:val="auto"/>
        </w:rPr>
      </w:pPr>
      <w:r>
        <w:rPr>
          <w:rFonts w:hint="eastAsia"/>
          <w:color w:val="auto"/>
        </w:rPr>
        <w:t>（6）船舶</w:t>
      </w:r>
      <w:r>
        <w:rPr>
          <w:color w:val="auto"/>
        </w:rPr>
        <w:t>废气</w:t>
      </w:r>
    </w:p>
    <w:p w14:paraId="78CD49D2">
      <w:pPr>
        <w:ind w:firstLine="480"/>
        <w:rPr>
          <w:color w:val="auto"/>
        </w:rPr>
      </w:pPr>
      <w:r>
        <w:rPr>
          <w:rFonts w:hint="eastAsia"/>
          <w:color w:val="auto"/>
        </w:rPr>
        <w:t>选用含硫量低的燃料，控制燃料的含硫量；尽可能降低辅机运转负荷，停泊时尽量启用单辅机发电，减少耗油量。</w:t>
      </w:r>
    </w:p>
    <w:p w14:paraId="7695E450">
      <w:pPr>
        <w:pStyle w:val="6"/>
        <w:rPr>
          <w:color w:val="auto"/>
        </w:rPr>
      </w:pPr>
      <w:r>
        <w:rPr>
          <w:rFonts w:hint="eastAsia"/>
          <w:color w:val="auto"/>
        </w:rPr>
        <w:t>废水</w:t>
      </w:r>
      <w:r>
        <w:rPr>
          <w:color w:val="auto"/>
        </w:rPr>
        <w:t>治理措施</w:t>
      </w:r>
    </w:p>
    <w:p w14:paraId="6F64C7F9">
      <w:pPr>
        <w:ind w:firstLine="480"/>
        <w:rPr>
          <w:color w:val="auto"/>
        </w:rPr>
      </w:pPr>
      <w:r>
        <w:rPr>
          <w:rFonts w:hint="eastAsia"/>
          <w:color w:val="auto"/>
        </w:rPr>
        <w:t>（1）码头冲洗</w:t>
      </w:r>
      <w:r>
        <w:rPr>
          <w:color w:val="auto"/>
        </w:rPr>
        <w:t>废水及初期雨水</w:t>
      </w:r>
    </w:p>
    <w:p w14:paraId="08587F7D">
      <w:pPr>
        <w:ind w:firstLine="480"/>
        <w:rPr>
          <w:rFonts w:hint="eastAsia"/>
          <w:color w:val="auto"/>
          <w:u w:val="single"/>
        </w:rPr>
      </w:pPr>
      <w:r>
        <w:rPr>
          <w:rFonts w:hint="eastAsia"/>
          <w:color w:val="auto"/>
        </w:rPr>
        <w:t>码头已建围污坎、排水明沟、地漏、污水收集池、废水管等设施。本项目码头初期雨水和废水由码头平台污水收集管网收集进入码头污水收集池（容积约2m</w:t>
      </w:r>
      <w:r>
        <w:rPr>
          <w:rFonts w:hint="eastAsia"/>
          <w:color w:val="auto"/>
          <w:vertAlign w:val="superscript"/>
        </w:rPr>
        <w:t>3</w:t>
      </w:r>
      <w:r>
        <w:rPr>
          <w:rFonts w:hint="eastAsia"/>
          <w:color w:val="auto"/>
        </w:rPr>
        <w:t>），通过提升泵泵送至</w:t>
      </w:r>
      <w:r>
        <w:rPr>
          <w:color w:val="auto"/>
        </w:rPr>
        <w:t>引桥</w:t>
      </w:r>
      <w:r>
        <w:rPr>
          <w:rFonts w:hint="eastAsia"/>
          <w:color w:val="auto"/>
        </w:rPr>
        <w:t>与</w:t>
      </w:r>
      <w:r>
        <w:rPr>
          <w:color w:val="auto"/>
        </w:rPr>
        <w:t>库区连接处</w:t>
      </w:r>
      <w:r>
        <w:rPr>
          <w:rFonts w:hint="eastAsia"/>
          <w:color w:val="auto"/>
        </w:rPr>
        <w:t>左侧</w:t>
      </w:r>
      <w:r>
        <w:rPr>
          <w:color w:val="auto"/>
        </w:rPr>
        <w:t>的事故应急池</w:t>
      </w:r>
      <w:r>
        <w:rPr>
          <w:rFonts w:hint="eastAsia"/>
          <w:color w:val="auto"/>
        </w:rPr>
        <w:t>（容积20000</w:t>
      </w:r>
      <w:r>
        <w:rPr>
          <w:color w:val="auto"/>
        </w:rPr>
        <w:t>m</w:t>
      </w:r>
      <w:r>
        <w:rPr>
          <w:color w:val="auto"/>
          <w:vertAlign w:val="superscript"/>
        </w:rPr>
        <w:t>3</w:t>
      </w:r>
      <w:r>
        <w:rPr>
          <w:rFonts w:hint="eastAsia"/>
          <w:color w:val="auto"/>
        </w:rPr>
        <w:t>）</w:t>
      </w:r>
      <w:r>
        <w:rPr>
          <w:color w:val="auto"/>
        </w:rPr>
        <w:t>中，现有工程事故应急池兼顾初期雨水池的功能。再</w:t>
      </w:r>
      <w:r>
        <w:rPr>
          <w:rFonts w:hint="eastAsia"/>
          <w:color w:val="auto"/>
        </w:rPr>
        <w:t>经过</w:t>
      </w:r>
      <w:r>
        <w:rPr>
          <w:color w:val="auto"/>
        </w:rPr>
        <w:t>泵将水抽送至</w:t>
      </w:r>
      <w:r>
        <w:rPr>
          <w:rFonts w:hint="eastAsia"/>
          <w:color w:val="auto"/>
        </w:rPr>
        <w:t>库区</w:t>
      </w:r>
      <w:r>
        <w:rPr>
          <w:color w:val="auto"/>
        </w:rPr>
        <w:t>污水处理</w:t>
      </w:r>
      <w:r>
        <w:rPr>
          <w:rFonts w:hint="eastAsia"/>
          <w:color w:val="auto"/>
        </w:rPr>
        <w:t>设施</w:t>
      </w:r>
      <w:r>
        <w:rPr>
          <w:color w:val="auto"/>
        </w:rPr>
        <w:t>，由罐车</w:t>
      </w:r>
      <w:r>
        <w:rPr>
          <w:rFonts w:hint="eastAsia"/>
          <w:color w:val="auto"/>
        </w:rPr>
        <w:t>运回东油沥青厂区后统一通过管网输送至广西石化污水处理场进行处理。现有</w:t>
      </w:r>
      <w:r>
        <w:rPr>
          <w:color w:val="auto"/>
        </w:rPr>
        <w:t>工程库区的污水处理</w:t>
      </w:r>
      <w:r>
        <w:rPr>
          <w:rFonts w:hint="eastAsia"/>
          <w:color w:val="auto"/>
        </w:rPr>
        <w:t>设施由于广西东油沥青有限公司与广西石化签订污水处理接收协议的原因，已于2016年</w:t>
      </w:r>
      <w:r>
        <w:rPr>
          <w:color w:val="auto"/>
        </w:rPr>
        <w:t>已经停运</w:t>
      </w:r>
      <w:r>
        <w:rPr>
          <w:rFonts w:hint="eastAsia"/>
          <w:color w:val="auto"/>
        </w:rPr>
        <w:t>，目前仅作为储存</w:t>
      </w:r>
      <w:r>
        <w:rPr>
          <w:rFonts w:hint="eastAsia"/>
          <w:color w:val="auto"/>
          <w:lang w:val="en-US" w:eastAsia="zh-CN"/>
        </w:rPr>
        <w:t>和隔油</w:t>
      </w:r>
      <w:r>
        <w:rPr>
          <w:rFonts w:hint="eastAsia"/>
          <w:color w:val="auto"/>
        </w:rPr>
        <w:t>使用。</w:t>
      </w:r>
      <w:r>
        <w:rPr>
          <w:rFonts w:hint="eastAsia"/>
          <w:color w:val="auto"/>
          <w:u w:val="single"/>
        </w:rPr>
        <w:t>现有工程污水处理设施设计处理</w:t>
      </w:r>
      <w:r>
        <w:rPr>
          <w:color w:val="auto"/>
          <w:u w:val="single"/>
        </w:rPr>
        <w:t>规模为</w:t>
      </w:r>
      <w:r>
        <w:rPr>
          <w:rFonts w:hint="eastAsia"/>
          <w:color w:val="auto"/>
          <w:u w:val="single"/>
        </w:rPr>
        <w:t>100</w:t>
      </w:r>
      <w:r>
        <w:rPr>
          <w:color w:val="auto"/>
          <w:u w:val="single"/>
        </w:rPr>
        <w:t>m</w:t>
      </w:r>
      <w:r>
        <w:rPr>
          <w:color w:val="auto"/>
          <w:vertAlign w:val="superscript"/>
        </w:rPr>
        <w:t>3</w:t>
      </w:r>
      <w:r>
        <w:rPr>
          <w:color w:val="auto"/>
          <w:u w:val="single"/>
        </w:rPr>
        <w:t>/h，</w:t>
      </w:r>
      <w:r>
        <w:rPr>
          <w:rFonts w:hint="eastAsia"/>
          <w:color w:val="auto"/>
          <w:u w:val="single"/>
        </w:rPr>
        <w:t>处理工艺为：调节→隔油→气浮→生化→过滤等处理，</w:t>
      </w:r>
      <w:r>
        <w:rPr>
          <w:color w:val="auto"/>
          <w:u w:val="single"/>
        </w:rPr>
        <w:t>各池总容积</w:t>
      </w:r>
      <w:r>
        <w:rPr>
          <w:rFonts w:hint="eastAsia"/>
          <w:color w:val="auto"/>
          <w:u w:val="single"/>
        </w:rPr>
        <w:t>约3000</w:t>
      </w:r>
      <w:r>
        <w:rPr>
          <w:color w:val="auto"/>
          <w:u w:val="single"/>
        </w:rPr>
        <w:t>m</w:t>
      </w:r>
      <w:r>
        <w:rPr>
          <w:color w:val="auto"/>
          <w:vertAlign w:val="superscript"/>
        </w:rPr>
        <w:t>3</w:t>
      </w:r>
      <w:r>
        <w:rPr>
          <w:rFonts w:hint="eastAsia"/>
          <w:color w:val="auto"/>
          <w:u w:val="single"/>
        </w:rPr>
        <w:t>。</w:t>
      </w:r>
    </w:p>
    <w:p w14:paraId="3361DE49">
      <w:pPr>
        <w:keepNext w:val="0"/>
        <w:keepLines w:val="0"/>
        <w:pageBreakBefore w:val="0"/>
        <w:widowControl w:val="0"/>
        <w:numPr>
          <w:ilvl w:val="0"/>
          <w:numId w:val="0"/>
        </w:numPr>
        <w:kinsoku/>
        <w:wordWrap/>
        <w:overflowPunct/>
        <w:topLinePunct w:val="0"/>
        <w:autoSpaceDE/>
        <w:autoSpaceDN/>
        <w:bidi w:val="0"/>
        <w:adjustRightInd/>
        <w:snapToGrid/>
        <w:ind w:left="0" w:leftChars="0" w:firstLine="480" w:firstLineChars="200"/>
        <w:textAlignment w:val="auto"/>
        <w:rPr>
          <w:rFonts w:hint="eastAsia"/>
          <w:color w:val="auto"/>
          <w:u w:val="single"/>
          <w:lang w:eastAsia="zh-CN"/>
        </w:rPr>
      </w:pPr>
      <w:r>
        <w:rPr>
          <w:rFonts w:hint="eastAsia" w:ascii="Times New Roman" w:hAnsi="Times New Roman" w:eastAsia="宋体" w:cs="Times New Roman"/>
          <w:color w:val="auto"/>
          <w:kern w:val="2"/>
          <w:sz w:val="24"/>
          <w:szCs w:val="24"/>
          <w:u w:val="single"/>
          <w:lang w:val="en-US" w:eastAsia="zh-CN" w:bidi="ar-SA"/>
        </w:rPr>
        <w:t>（2）</w:t>
      </w:r>
      <w:r>
        <w:rPr>
          <w:rFonts w:hint="eastAsia"/>
          <w:color w:val="auto"/>
          <w:u w:val="single"/>
          <w:lang w:eastAsia="zh-CN"/>
        </w:rPr>
        <w:t>原油切水</w:t>
      </w:r>
    </w:p>
    <w:p w14:paraId="2EDF3501">
      <w:pPr>
        <w:pStyle w:val="215"/>
        <w:bidi w:val="0"/>
        <w:rPr>
          <w:rFonts w:hint="eastAsia"/>
          <w:color w:val="auto"/>
          <w:u w:val="single"/>
          <w:lang w:eastAsia="zh-CN"/>
        </w:rPr>
      </w:pPr>
      <w:r>
        <w:rPr>
          <w:rFonts w:hint="eastAsia"/>
          <w:color w:val="auto"/>
          <w:u w:val="single"/>
          <w:lang w:eastAsia="zh-CN"/>
        </w:rPr>
        <w:t>根据建设单位提供资料，原油无切水作业。</w:t>
      </w:r>
    </w:p>
    <w:p w14:paraId="361CBE3C">
      <w:pPr>
        <w:ind w:firstLine="480" w:firstLineChars="0"/>
        <w:rPr>
          <w:color w:val="auto"/>
        </w:rPr>
      </w:pPr>
      <w:r>
        <w:rPr>
          <w:rFonts w:hint="eastAsia"/>
          <w:color w:val="auto"/>
        </w:rPr>
        <w:t>（</w:t>
      </w:r>
      <w:r>
        <w:rPr>
          <w:rFonts w:hint="eastAsia"/>
          <w:color w:val="auto"/>
          <w:lang w:val="en-US" w:eastAsia="zh-CN"/>
        </w:rPr>
        <w:t>3</w:t>
      </w:r>
      <w:r>
        <w:rPr>
          <w:rFonts w:hint="eastAsia"/>
          <w:color w:val="auto"/>
        </w:rPr>
        <w:t>）罐区初期雨水</w:t>
      </w:r>
    </w:p>
    <w:p w14:paraId="615E3335">
      <w:pPr>
        <w:ind w:firstLine="480" w:firstLineChars="0"/>
        <w:rPr>
          <w:color w:val="auto"/>
        </w:rPr>
      </w:pPr>
      <w:r>
        <w:rPr>
          <w:rFonts w:hint="eastAsia"/>
          <w:color w:val="auto"/>
        </w:rPr>
        <w:t>库区设置5个罐组，每个罐组均设置有围堰，罐组内的初期雨水通过雨水管网收集后，排至事故应急池，</w:t>
      </w:r>
      <w:r>
        <w:rPr>
          <w:color w:val="auto"/>
        </w:rPr>
        <w:t>现有工程事故应急池兼顾初期雨水池的功能</w:t>
      </w:r>
      <w:r>
        <w:rPr>
          <w:rFonts w:hint="eastAsia"/>
          <w:color w:val="auto"/>
        </w:rPr>
        <w:t>。</w:t>
      </w:r>
      <w:r>
        <w:rPr>
          <w:color w:val="auto"/>
        </w:rPr>
        <w:t>再</w:t>
      </w:r>
      <w:r>
        <w:rPr>
          <w:rFonts w:hint="eastAsia"/>
          <w:color w:val="auto"/>
        </w:rPr>
        <w:t>经过</w:t>
      </w:r>
      <w:r>
        <w:rPr>
          <w:color w:val="auto"/>
        </w:rPr>
        <w:t>泵将水抽送至</w:t>
      </w:r>
      <w:r>
        <w:rPr>
          <w:rFonts w:hint="eastAsia"/>
          <w:color w:val="auto"/>
        </w:rPr>
        <w:t>库区</w:t>
      </w:r>
      <w:r>
        <w:rPr>
          <w:color w:val="auto"/>
        </w:rPr>
        <w:t>污水处理</w:t>
      </w:r>
      <w:r>
        <w:rPr>
          <w:rFonts w:hint="eastAsia"/>
          <w:color w:val="auto"/>
        </w:rPr>
        <w:t>设施</w:t>
      </w:r>
      <w:r>
        <w:rPr>
          <w:color w:val="auto"/>
        </w:rPr>
        <w:t>，由罐车</w:t>
      </w:r>
      <w:r>
        <w:rPr>
          <w:rFonts w:hint="eastAsia"/>
          <w:color w:val="auto"/>
        </w:rPr>
        <w:t>运回东油沥青厂区后统一通过管网输送至广西石化污水处理场进行处理。</w:t>
      </w:r>
    </w:p>
    <w:p w14:paraId="6A2ACE35">
      <w:pPr>
        <w:ind w:firstLine="480" w:firstLineChars="0"/>
        <w:rPr>
          <w:color w:val="auto"/>
        </w:rPr>
      </w:pPr>
      <w:r>
        <w:rPr>
          <w:rFonts w:hint="eastAsia"/>
          <w:color w:val="auto"/>
        </w:rPr>
        <w:t>（</w:t>
      </w:r>
      <w:r>
        <w:rPr>
          <w:rFonts w:hint="eastAsia"/>
          <w:color w:val="auto"/>
          <w:lang w:val="en-US" w:eastAsia="zh-CN"/>
        </w:rPr>
        <w:t>4</w:t>
      </w:r>
      <w:r>
        <w:rPr>
          <w:rFonts w:hint="eastAsia"/>
          <w:color w:val="auto"/>
        </w:rPr>
        <w:t>）洗罐</w:t>
      </w:r>
      <w:r>
        <w:rPr>
          <w:color w:val="auto"/>
        </w:rPr>
        <w:t>废水</w:t>
      </w:r>
    </w:p>
    <w:p w14:paraId="05D873CC">
      <w:pPr>
        <w:ind w:firstLine="480" w:firstLineChars="0"/>
        <w:rPr>
          <w:color w:val="auto"/>
        </w:rPr>
      </w:pPr>
      <w:r>
        <w:rPr>
          <w:rFonts w:hint="eastAsia"/>
          <w:color w:val="auto"/>
        </w:rPr>
        <w:t>洗罐</w:t>
      </w:r>
      <w:r>
        <w:rPr>
          <w:color w:val="auto"/>
        </w:rPr>
        <w:t>废水经收集后进入现有污水处理设施进行隔油处理，废水由罐车运至</w:t>
      </w:r>
      <w:r>
        <w:rPr>
          <w:rFonts w:hint="eastAsia"/>
          <w:color w:val="auto"/>
        </w:rPr>
        <w:t>广西</w:t>
      </w:r>
      <w:r>
        <w:rPr>
          <w:color w:val="auto"/>
        </w:rPr>
        <w:t>东油沥青有限公司沥青厂</w:t>
      </w:r>
      <w:r>
        <w:rPr>
          <w:rFonts w:hint="eastAsia"/>
          <w:color w:val="auto"/>
        </w:rPr>
        <w:t>区后统一通过管网输送至广西石化污水处理场进行处理。</w:t>
      </w:r>
    </w:p>
    <w:p w14:paraId="461FA4C5">
      <w:pPr>
        <w:ind w:firstLine="480"/>
        <w:rPr>
          <w:color w:val="auto"/>
        </w:rPr>
      </w:pPr>
      <w:r>
        <w:rPr>
          <w:rFonts w:hint="eastAsia"/>
          <w:color w:val="auto"/>
        </w:rPr>
        <w:t>（</w:t>
      </w:r>
      <w:r>
        <w:rPr>
          <w:rFonts w:hint="eastAsia"/>
          <w:color w:val="auto"/>
          <w:lang w:val="en-US" w:eastAsia="zh-CN"/>
        </w:rPr>
        <w:t>5</w:t>
      </w:r>
      <w:r>
        <w:rPr>
          <w:rFonts w:hint="eastAsia"/>
          <w:color w:val="auto"/>
        </w:rPr>
        <w:t>）陆域</w:t>
      </w:r>
      <w:r>
        <w:rPr>
          <w:color w:val="auto"/>
        </w:rPr>
        <w:t>生活污水</w:t>
      </w:r>
    </w:p>
    <w:p w14:paraId="16F08DB2">
      <w:pPr>
        <w:ind w:firstLine="480"/>
        <w:rPr>
          <w:color w:val="auto"/>
        </w:rPr>
      </w:pPr>
      <w:r>
        <w:rPr>
          <w:rFonts w:hint="eastAsia"/>
          <w:color w:val="auto"/>
        </w:rPr>
        <w:t>陆域</w:t>
      </w:r>
      <w:r>
        <w:rPr>
          <w:color w:val="auto"/>
        </w:rPr>
        <w:t>生活污水</w:t>
      </w:r>
      <w:r>
        <w:rPr>
          <w:rFonts w:hint="eastAsia"/>
          <w:color w:val="auto"/>
        </w:rPr>
        <w:t>进入</w:t>
      </w:r>
      <w:r>
        <w:rPr>
          <w:color w:val="auto"/>
        </w:rPr>
        <w:t>化粪池后，</w:t>
      </w:r>
      <w:r>
        <w:rPr>
          <w:rFonts w:hint="eastAsia"/>
          <w:color w:val="auto"/>
        </w:rPr>
        <w:t>由吸污车运至东油沥青厂后，统一通过管网输送至广西石化污水处理场进行处理。</w:t>
      </w:r>
    </w:p>
    <w:p w14:paraId="07FFEB8E">
      <w:pPr>
        <w:ind w:firstLine="480"/>
        <w:rPr>
          <w:color w:val="auto"/>
        </w:rPr>
      </w:pPr>
      <w:r>
        <w:rPr>
          <w:rFonts w:hint="eastAsia"/>
          <w:color w:val="auto"/>
        </w:rPr>
        <w:t>（</w:t>
      </w:r>
      <w:r>
        <w:rPr>
          <w:rFonts w:hint="eastAsia"/>
          <w:color w:val="auto"/>
          <w:lang w:val="en-US" w:eastAsia="zh-CN"/>
        </w:rPr>
        <w:t>6</w:t>
      </w:r>
      <w:r>
        <w:rPr>
          <w:rFonts w:hint="eastAsia"/>
          <w:color w:val="auto"/>
        </w:rPr>
        <w:t>）船舶含油污水</w:t>
      </w:r>
      <w:r>
        <w:rPr>
          <w:color w:val="auto"/>
        </w:rPr>
        <w:t>、生活污水</w:t>
      </w:r>
    </w:p>
    <w:p w14:paraId="7FFC6021">
      <w:pPr>
        <w:ind w:firstLine="480"/>
        <w:rPr>
          <w:color w:val="auto"/>
        </w:rPr>
      </w:pPr>
      <w:r>
        <w:rPr>
          <w:rFonts w:hint="eastAsia"/>
          <w:color w:val="auto"/>
        </w:rPr>
        <w:t>港船舶污水委托有资质单位处理。</w:t>
      </w:r>
    </w:p>
    <w:p w14:paraId="1000BF03">
      <w:pPr>
        <w:ind w:firstLine="480"/>
        <w:rPr>
          <w:color w:val="auto"/>
        </w:rPr>
      </w:pPr>
      <w:r>
        <w:rPr>
          <w:rFonts w:hint="eastAsia"/>
          <w:color w:val="auto"/>
        </w:rPr>
        <w:t>（</w:t>
      </w:r>
      <w:r>
        <w:rPr>
          <w:rFonts w:hint="eastAsia"/>
          <w:color w:val="auto"/>
          <w:lang w:val="en-US" w:eastAsia="zh-CN"/>
        </w:rPr>
        <w:t>7</w:t>
      </w:r>
      <w:r>
        <w:rPr>
          <w:rFonts w:hint="eastAsia"/>
          <w:color w:val="auto"/>
        </w:rPr>
        <w:t>）船舶压舱水</w:t>
      </w:r>
    </w:p>
    <w:p w14:paraId="07AC94A9">
      <w:pPr>
        <w:ind w:firstLine="480"/>
        <w:rPr>
          <w:color w:val="auto"/>
        </w:rPr>
      </w:pPr>
      <w:r>
        <w:rPr>
          <w:rFonts w:hint="eastAsia"/>
          <w:color w:val="auto"/>
        </w:rPr>
        <w:t>运输船舶使用专用压载水舱隔舱型，即船舶压载水舱与货品舱分离，压载水不受所运送的货品物料的污染。到船舶压载水按照《MARPOL73/78防污公约》要求，进行深海置换。</w:t>
      </w:r>
    </w:p>
    <w:p w14:paraId="02CFBE36">
      <w:pPr>
        <w:pStyle w:val="6"/>
        <w:rPr>
          <w:color w:val="auto"/>
        </w:rPr>
      </w:pPr>
      <w:r>
        <w:rPr>
          <w:rFonts w:hint="eastAsia"/>
          <w:color w:val="auto"/>
        </w:rPr>
        <w:t>固体</w:t>
      </w:r>
      <w:r>
        <w:rPr>
          <w:color w:val="auto"/>
        </w:rPr>
        <w:t>废物</w:t>
      </w:r>
    </w:p>
    <w:p w14:paraId="76C0D489">
      <w:pPr>
        <w:ind w:firstLine="480"/>
        <w:rPr>
          <w:color w:val="auto"/>
        </w:rPr>
      </w:pPr>
      <w:r>
        <w:rPr>
          <w:rFonts w:hint="eastAsia"/>
          <w:color w:val="auto"/>
        </w:rPr>
        <w:t>现有工程的固体废物主要包括到港船舶垃圾、陆域生活垃圾及维修产生的危险废物、罐底油泥、废活性炭、含油废滤芯等。</w:t>
      </w:r>
    </w:p>
    <w:p w14:paraId="5EA69171">
      <w:pPr>
        <w:ind w:firstLine="480"/>
        <w:rPr>
          <w:color w:val="auto"/>
        </w:rPr>
      </w:pPr>
      <w:r>
        <w:rPr>
          <w:rFonts w:hint="eastAsia"/>
          <w:color w:val="auto"/>
        </w:rPr>
        <w:t>（1）到港船舶生活垃圾用密封式袋或桶收集上岸，由环卫部门统一清运处置。船舶检修废物委托有资质单位处理。</w:t>
      </w:r>
    </w:p>
    <w:p w14:paraId="37268EC4">
      <w:pPr>
        <w:ind w:firstLine="480"/>
        <w:rPr>
          <w:color w:val="auto"/>
        </w:rPr>
      </w:pPr>
      <w:r>
        <w:rPr>
          <w:rFonts w:hint="eastAsia"/>
          <w:color w:val="auto"/>
        </w:rPr>
        <w:t>（2）在码头平台和</w:t>
      </w:r>
      <w:r>
        <w:rPr>
          <w:color w:val="auto"/>
        </w:rPr>
        <w:t>库区内</w:t>
      </w:r>
      <w:r>
        <w:rPr>
          <w:rFonts w:hint="eastAsia"/>
          <w:color w:val="auto"/>
        </w:rPr>
        <w:t>设置了垃圾桶，生活垃圾进行统一收集后由环卫部门定期清运处理。</w:t>
      </w:r>
    </w:p>
    <w:p w14:paraId="5D3FD290">
      <w:pPr>
        <w:ind w:firstLine="480"/>
        <w:rPr>
          <w:color w:val="auto"/>
        </w:rPr>
      </w:pPr>
      <w:r>
        <w:rPr>
          <w:rFonts w:hint="eastAsia"/>
          <w:color w:val="auto"/>
        </w:rPr>
        <w:t>（3）储罐</w:t>
      </w:r>
      <w:r>
        <w:rPr>
          <w:color w:val="auto"/>
        </w:rPr>
        <w:t>清理过程产生的</w:t>
      </w:r>
      <w:r>
        <w:rPr>
          <w:rFonts w:hint="eastAsia"/>
          <w:color w:val="auto"/>
        </w:rPr>
        <w:t>罐底油泥，</w:t>
      </w:r>
      <w:r>
        <w:rPr>
          <w:color w:val="auto"/>
        </w:rPr>
        <w:t>检修过程产生的</w:t>
      </w:r>
      <w:r>
        <w:rPr>
          <w:rFonts w:hint="eastAsia"/>
          <w:color w:val="auto"/>
        </w:rPr>
        <w:t>含油抹布</w:t>
      </w:r>
      <w:r>
        <w:rPr>
          <w:color w:val="auto"/>
        </w:rPr>
        <w:t>等含油废物</w:t>
      </w:r>
      <w:r>
        <w:rPr>
          <w:rFonts w:hint="eastAsia"/>
          <w:color w:val="auto"/>
        </w:rPr>
        <w:t>，</w:t>
      </w:r>
      <w:r>
        <w:rPr>
          <w:color w:val="auto"/>
        </w:rPr>
        <w:t>油气回收装置产生的</w:t>
      </w:r>
      <w:r>
        <w:rPr>
          <w:rFonts w:hint="eastAsia"/>
          <w:color w:val="auto"/>
        </w:rPr>
        <w:t>废活性炭、含油废滤芯，</w:t>
      </w:r>
      <w:r>
        <w:rPr>
          <w:color w:val="auto"/>
        </w:rPr>
        <w:t>收集后储存在库区危废暂存库中，交由</w:t>
      </w:r>
      <w:r>
        <w:rPr>
          <w:rFonts w:hint="eastAsia"/>
          <w:color w:val="auto"/>
        </w:rPr>
        <w:t>崇左</w:t>
      </w:r>
      <w:r>
        <w:rPr>
          <w:color w:val="auto"/>
        </w:rPr>
        <w:t>海中环保科技</w:t>
      </w:r>
      <w:r>
        <w:rPr>
          <w:rFonts w:hint="eastAsia"/>
          <w:color w:val="auto"/>
        </w:rPr>
        <w:t>有限</w:t>
      </w:r>
      <w:r>
        <w:rPr>
          <w:color w:val="auto"/>
        </w:rPr>
        <w:t>责任公司处理。</w:t>
      </w:r>
    </w:p>
    <w:p w14:paraId="747DC496">
      <w:pPr>
        <w:pStyle w:val="6"/>
        <w:rPr>
          <w:color w:val="auto"/>
        </w:rPr>
      </w:pPr>
      <w:r>
        <w:rPr>
          <w:rFonts w:hint="eastAsia"/>
          <w:color w:val="auto"/>
        </w:rPr>
        <w:t>风险</w:t>
      </w:r>
      <w:r>
        <w:rPr>
          <w:color w:val="auto"/>
        </w:rPr>
        <w:t>防范措施</w:t>
      </w:r>
    </w:p>
    <w:p w14:paraId="17EBAC60">
      <w:pPr>
        <w:ind w:firstLine="480"/>
        <w:rPr>
          <w:color w:val="auto"/>
        </w:rPr>
      </w:pPr>
      <w:r>
        <w:rPr>
          <w:rFonts w:hint="eastAsia"/>
          <w:color w:val="auto"/>
        </w:rPr>
        <w:t>码头及</w:t>
      </w:r>
      <w:r>
        <w:rPr>
          <w:color w:val="auto"/>
        </w:rPr>
        <w:t>后方库区设置了</w:t>
      </w:r>
      <w:r>
        <w:rPr>
          <w:rFonts w:hint="eastAsia"/>
          <w:color w:val="auto"/>
        </w:rPr>
        <w:t>可燃气体检测报警系统、火灾自动报警系统、</w:t>
      </w:r>
      <w:r>
        <w:rPr>
          <w:color w:val="auto"/>
        </w:rPr>
        <w:t>监控系统</w:t>
      </w:r>
      <w:r>
        <w:rPr>
          <w:rFonts w:hint="eastAsia"/>
          <w:color w:val="auto"/>
        </w:rPr>
        <w:t>，</w:t>
      </w:r>
      <w:r>
        <w:rPr>
          <w:color w:val="auto"/>
        </w:rPr>
        <w:t>码头水域设置了围油栏</w:t>
      </w:r>
      <w:r>
        <w:rPr>
          <w:rFonts w:hint="eastAsia"/>
          <w:color w:val="auto"/>
        </w:rPr>
        <w:t>。码头</w:t>
      </w:r>
      <w:r>
        <w:rPr>
          <w:color w:val="auto"/>
        </w:rPr>
        <w:t>后方库区</w:t>
      </w:r>
      <w:r>
        <w:rPr>
          <w:rFonts w:hint="eastAsia"/>
          <w:color w:val="auto"/>
        </w:rPr>
        <w:t>设置2间应急物资库，分别为溢油应急物资库和应急物资库，配备有围油栏、收油机等风险事故应急设施。库区设有2个3000m</w:t>
      </w:r>
      <w:r>
        <w:rPr>
          <w:rFonts w:hint="eastAsia"/>
          <w:color w:val="auto"/>
          <w:vertAlign w:val="superscript"/>
        </w:rPr>
        <w:t>3</w:t>
      </w:r>
      <w:r>
        <w:rPr>
          <w:rFonts w:hint="eastAsia"/>
          <w:color w:val="auto"/>
        </w:rPr>
        <w:t>的消防水罐，连接库区和码头的消防水管，消防水罐。消防泵房1座，内设2台消防水泵、2台泡沫消防泵，2座泡沫比例混合装置。</w:t>
      </w:r>
    </w:p>
    <w:p w14:paraId="47409858">
      <w:pPr>
        <w:ind w:firstLine="480"/>
        <w:rPr>
          <w:color w:val="auto"/>
        </w:rPr>
      </w:pPr>
      <w:r>
        <w:rPr>
          <w:rFonts w:hint="eastAsia"/>
          <w:color w:val="auto"/>
        </w:rPr>
        <w:t>广西东油沥青有限公司突发环境事件应急预案已编制完成并于202</w:t>
      </w:r>
      <w:r>
        <w:rPr>
          <w:color w:val="auto"/>
        </w:rPr>
        <w:t>3</w:t>
      </w:r>
      <w:r>
        <w:rPr>
          <w:rFonts w:hint="eastAsia"/>
          <w:color w:val="auto"/>
        </w:rPr>
        <w:t>年8月28日进行备案。同时</w:t>
      </w:r>
      <w:r>
        <w:rPr>
          <w:color w:val="auto"/>
        </w:rPr>
        <w:t>，</w:t>
      </w:r>
      <w:r>
        <w:rPr>
          <w:rFonts w:hint="eastAsia"/>
          <w:color w:val="auto"/>
        </w:rPr>
        <w:t>广西东油沥青有限公司与</w:t>
      </w:r>
      <w:r>
        <w:rPr>
          <w:color w:val="auto"/>
        </w:rPr>
        <w:t>钦州市桂通船舶服务有限公司签订</w:t>
      </w:r>
      <w:r>
        <w:rPr>
          <w:rFonts w:hint="eastAsia"/>
          <w:color w:val="auto"/>
        </w:rPr>
        <w:t>码头</w:t>
      </w:r>
      <w:r>
        <w:rPr>
          <w:color w:val="auto"/>
        </w:rPr>
        <w:t>溢油应急值守服务合同，委托钦州市桂通船舶服务有限公司</w:t>
      </w:r>
      <w:r>
        <w:rPr>
          <w:rFonts w:hint="eastAsia"/>
          <w:color w:val="auto"/>
        </w:rPr>
        <w:t>在</w:t>
      </w:r>
      <w:r>
        <w:rPr>
          <w:color w:val="auto"/>
        </w:rPr>
        <w:t>码头</w:t>
      </w:r>
      <w:r>
        <w:rPr>
          <w:rFonts w:hint="eastAsia"/>
          <w:color w:val="auto"/>
        </w:rPr>
        <w:t>监控</w:t>
      </w:r>
      <w:r>
        <w:rPr>
          <w:color w:val="auto"/>
        </w:rPr>
        <w:t>船舶溢油状况及溢油事故时的应急清除等工作。</w:t>
      </w:r>
    </w:p>
    <w:p w14:paraId="7CF46E08">
      <w:pPr>
        <w:pStyle w:val="4"/>
        <w:rPr>
          <w:color w:val="auto"/>
        </w:rPr>
      </w:pPr>
      <w:r>
        <w:rPr>
          <w:rFonts w:hint="eastAsia"/>
          <w:color w:val="auto"/>
        </w:rPr>
        <w:t>现有</w:t>
      </w:r>
      <w:r>
        <w:rPr>
          <w:color w:val="auto"/>
        </w:rPr>
        <w:t>工程污染物排放及达标情况</w:t>
      </w:r>
    </w:p>
    <w:p w14:paraId="7CC0117F">
      <w:pPr>
        <w:rPr>
          <w:rFonts w:hint="eastAsia" w:eastAsia="宋体"/>
          <w:color w:val="auto"/>
          <w:u w:val="single"/>
          <w:lang w:eastAsia="zh-CN"/>
        </w:rPr>
      </w:pPr>
      <w:r>
        <w:rPr>
          <w:rFonts w:hint="eastAsia"/>
          <w:color w:val="auto"/>
          <w:u w:val="single"/>
          <w:lang w:eastAsia="zh-CN"/>
        </w:rPr>
        <w:t>根据企业近几年的运行情况，码头主要进行卸船作业，以及储罐周转储存进行装车作业，原油、汽油、柴油等货种均有卸船、装车作业，汽油装船作业极少，因此，汽油装船油气回收设施由于无汽油装船作业，近几年无常规检测。根据其余油气回收设施等的常规检测报告，废气等均可达标排放。</w:t>
      </w:r>
    </w:p>
    <w:p w14:paraId="482E2403">
      <w:pPr>
        <w:pStyle w:val="6"/>
        <w:rPr>
          <w:color w:val="auto"/>
        </w:rPr>
      </w:pPr>
      <w:r>
        <w:rPr>
          <w:rFonts w:hint="eastAsia"/>
          <w:color w:val="auto"/>
        </w:rPr>
        <w:t>废气</w:t>
      </w:r>
    </w:p>
    <w:p w14:paraId="2D2871B7">
      <w:pPr>
        <w:ind w:firstLine="480"/>
        <w:rPr>
          <w:color w:val="auto"/>
        </w:rPr>
      </w:pPr>
      <w:r>
        <w:rPr>
          <w:rFonts w:hint="eastAsia"/>
          <w:color w:val="auto"/>
        </w:rPr>
        <w:t>（1）有组织废气</w:t>
      </w:r>
    </w:p>
    <w:p w14:paraId="039F3F2B">
      <w:pPr>
        <w:ind w:firstLine="480"/>
        <w:rPr>
          <w:color w:val="auto"/>
        </w:rPr>
      </w:pPr>
      <w:r>
        <w:rPr>
          <w:rFonts w:hint="eastAsia"/>
          <w:color w:val="auto"/>
        </w:rPr>
        <w:t>现有</w:t>
      </w:r>
      <w:r>
        <w:rPr>
          <w:color w:val="auto"/>
        </w:rPr>
        <w:t>工程有组织废气主要包括甲醇装车废气、汽油装车废气以及</w:t>
      </w:r>
      <w:r>
        <w:rPr>
          <w:rFonts w:hint="eastAsia"/>
          <w:color w:val="auto"/>
        </w:rPr>
        <w:t>装船</w:t>
      </w:r>
      <w:r>
        <w:rPr>
          <w:color w:val="auto"/>
        </w:rPr>
        <w:t>废气</w:t>
      </w:r>
      <w:r>
        <w:rPr>
          <w:rFonts w:hint="eastAsia"/>
          <w:color w:val="auto"/>
        </w:rPr>
        <w:t>，</w:t>
      </w:r>
      <w:r>
        <w:rPr>
          <w:color w:val="auto"/>
        </w:rPr>
        <w:t>以</w:t>
      </w:r>
      <w:r>
        <w:rPr>
          <w:rFonts w:hint="eastAsia"/>
          <w:color w:val="auto"/>
        </w:rPr>
        <w:t>非甲烷总烃表征。</w:t>
      </w:r>
      <w:r>
        <w:rPr>
          <w:color w:val="auto"/>
        </w:rPr>
        <w:t>甲醇</w:t>
      </w:r>
      <w:r>
        <w:rPr>
          <w:rFonts w:hint="eastAsia"/>
          <w:color w:val="auto"/>
        </w:rPr>
        <w:t>装车</w:t>
      </w:r>
      <w:r>
        <w:rPr>
          <w:color w:val="auto"/>
        </w:rPr>
        <w:t>过程中产生的</w:t>
      </w:r>
      <w:r>
        <w:rPr>
          <w:rFonts w:hint="eastAsia"/>
          <w:color w:val="auto"/>
        </w:rPr>
        <w:t>废气</w:t>
      </w:r>
      <w:r>
        <w:rPr>
          <w:color w:val="auto"/>
        </w:rPr>
        <w:t>经过</w:t>
      </w:r>
      <w:r>
        <w:rPr>
          <w:rFonts w:hint="eastAsia"/>
          <w:color w:val="auto"/>
        </w:rPr>
        <w:t>甲醇装车油气回收设施处理后15m高排气筒（DA004）排放。汽油装车</w:t>
      </w:r>
      <w:r>
        <w:rPr>
          <w:color w:val="auto"/>
        </w:rPr>
        <w:t>过程中产生的</w:t>
      </w:r>
      <w:r>
        <w:rPr>
          <w:rFonts w:hint="eastAsia"/>
          <w:color w:val="auto"/>
        </w:rPr>
        <w:t>废气</w:t>
      </w:r>
      <w:r>
        <w:rPr>
          <w:color w:val="auto"/>
        </w:rPr>
        <w:t>经过</w:t>
      </w:r>
      <w:r>
        <w:rPr>
          <w:rFonts w:hint="eastAsia"/>
          <w:color w:val="auto"/>
        </w:rPr>
        <w:t>汽油装车油气回收设施处理后15m高排气筒（DA00</w:t>
      </w:r>
      <w:r>
        <w:rPr>
          <w:color w:val="auto"/>
        </w:rPr>
        <w:t>2</w:t>
      </w:r>
      <w:r>
        <w:rPr>
          <w:rFonts w:hint="eastAsia"/>
          <w:color w:val="auto"/>
        </w:rPr>
        <w:t>）排放。汽油</w:t>
      </w:r>
      <w:r>
        <w:rPr>
          <w:color w:val="auto"/>
        </w:rPr>
        <w:t>装船过程产生的</w:t>
      </w:r>
      <w:r>
        <w:rPr>
          <w:rFonts w:hint="eastAsia"/>
          <w:color w:val="auto"/>
        </w:rPr>
        <w:t>废气</w:t>
      </w:r>
      <w:r>
        <w:rPr>
          <w:color w:val="auto"/>
        </w:rPr>
        <w:t>经过装船油气回收设施</w:t>
      </w:r>
      <w:r>
        <w:rPr>
          <w:rFonts w:hint="eastAsia"/>
          <w:color w:val="auto"/>
        </w:rPr>
        <w:t>处理后15m高排气筒（DA00</w:t>
      </w:r>
      <w:r>
        <w:rPr>
          <w:color w:val="auto"/>
        </w:rPr>
        <w:t>3</w:t>
      </w:r>
      <w:r>
        <w:rPr>
          <w:rFonts w:hint="eastAsia"/>
          <w:color w:val="auto"/>
        </w:rPr>
        <w:t>）排放。油气</w:t>
      </w:r>
      <w:r>
        <w:rPr>
          <w:color w:val="auto"/>
        </w:rPr>
        <w:t>回收设施的处理效率大于</w:t>
      </w:r>
      <w:r>
        <w:rPr>
          <w:rFonts w:hint="eastAsia"/>
          <w:color w:val="auto"/>
        </w:rPr>
        <w:t>95%。</w:t>
      </w:r>
      <w:r>
        <w:rPr>
          <w:color w:val="auto"/>
        </w:rPr>
        <w:t>根据</w:t>
      </w:r>
      <w:r>
        <w:rPr>
          <w:rFonts w:hint="eastAsia"/>
          <w:color w:val="auto"/>
          <w:lang w:eastAsia="zh-CN"/>
        </w:rPr>
        <w:t>《广西东油沥青有限公司5万吨级油气码头油库甲醇储存、装车系统改造项目环境影响报告表》</w:t>
      </w:r>
      <w:r>
        <w:rPr>
          <w:rFonts w:hint="eastAsia"/>
          <w:color w:val="auto"/>
          <w:lang w:val="en-US" w:eastAsia="zh-CN"/>
        </w:rPr>
        <w:t>等</w:t>
      </w:r>
      <w:r>
        <w:rPr>
          <w:rFonts w:hint="eastAsia"/>
          <w:color w:val="auto"/>
        </w:rPr>
        <w:t>历年</w:t>
      </w:r>
      <w:r>
        <w:rPr>
          <w:color w:val="auto"/>
        </w:rPr>
        <w:t>环评计算结果，现有工程</w:t>
      </w:r>
      <w:r>
        <w:rPr>
          <w:rFonts w:hint="eastAsia"/>
          <w:color w:val="auto"/>
        </w:rPr>
        <w:t>非甲烷总烃</w:t>
      </w:r>
      <w:r>
        <w:rPr>
          <w:color w:val="auto"/>
        </w:rPr>
        <w:t>有组织排放量为</w:t>
      </w:r>
      <w:r>
        <w:rPr>
          <w:rFonts w:hint="eastAsia"/>
          <w:color w:val="auto"/>
        </w:rPr>
        <w:t>2.888</w:t>
      </w:r>
      <w:r>
        <w:rPr>
          <w:color w:val="auto"/>
        </w:rPr>
        <w:t>t/a，其中</w:t>
      </w:r>
      <w:r>
        <w:rPr>
          <w:rFonts w:hint="eastAsia"/>
          <w:color w:val="auto"/>
        </w:rPr>
        <w:t>甲醇</w:t>
      </w:r>
      <w:r>
        <w:rPr>
          <w:color w:val="auto"/>
        </w:rPr>
        <w:t>装车排放量为</w:t>
      </w:r>
      <w:r>
        <w:rPr>
          <w:rFonts w:hint="eastAsia"/>
          <w:color w:val="auto"/>
        </w:rPr>
        <w:t>0.848</w:t>
      </w:r>
      <w:r>
        <w:rPr>
          <w:color w:val="auto"/>
        </w:rPr>
        <w:t>t/a，汽油装车排放量为</w:t>
      </w:r>
      <w:r>
        <w:rPr>
          <w:rFonts w:hint="eastAsia"/>
          <w:color w:val="auto"/>
        </w:rPr>
        <w:t>0.358</w:t>
      </w:r>
      <w:r>
        <w:rPr>
          <w:color w:val="auto"/>
        </w:rPr>
        <w:t>t/a，汽油装船排放量为</w:t>
      </w:r>
      <w:r>
        <w:rPr>
          <w:rFonts w:hint="eastAsia"/>
          <w:color w:val="auto"/>
        </w:rPr>
        <w:t>1.682</w:t>
      </w:r>
      <w:r>
        <w:rPr>
          <w:color w:val="auto"/>
        </w:rPr>
        <w:t>t/a</w:t>
      </w:r>
      <w:r>
        <w:rPr>
          <w:rFonts w:hint="eastAsia"/>
          <w:color w:val="auto"/>
        </w:rPr>
        <w:t>。</w:t>
      </w:r>
    </w:p>
    <w:p w14:paraId="0F470541">
      <w:pPr>
        <w:ind w:firstLine="480"/>
        <w:rPr>
          <w:color w:val="auto"/>
        </w:rPr>
      </w:pPr>
      <w:r>
        <w:rPr>
          <w:rFonts w:hint="eastAsia"/>
          <w:color w:val="auto"/>
        </w:rPr>
        <w:t>根据广西</w:t>
      </w:r>
      <w:r>
        <w:rPr>
          <w:color w:val="auto"/>
        </w:rPr>
        <w:t>华测检测认证有限公司2025</w:t>
      </w:r>
      <w:r>
        <w:rPr>
          <w:rFonts w:hint="eastAsia"/>
          <w:color w:val="auto"/>
        </w:rPr>
        <w:t>年3月19日</w:t>
      </w:r>
      <w:r>
        <w:rPr>
          <w:color w:val="auto"/>
        </w:rPr>
        <w:t>对甲醇</w:t>
      </w:r>
      <w:r>
        <w:rPr>
          <w:rFonts w:hint="eastAsia"/>
          <w:color w:val="auto"/>
        </w:rPr>
        <w:t>装车油气</w:t>
      </w:r>
      <w:r>
        <w:rPr>
          <w:color w:val="auto"/>
        </w:rPr>
        <w:t>回收设施、汽油</w:t>
      </w:r>
      <w:r>
        <w:rPr>
          <w:rFonts w:hint="eastAsia"/>
          <w:color w:val="auto"/>
        </w:rPr>
        <w:t>装车</w:t>
      </w:r>
      <w:r>
        <w:rPr>
          <w:color w:val="auto"/>
        </w:rPr>
        <w:t>油气回收设施</w:t>
      </w:r>
      <w:r>
        <w:rPr>
          <w:rFonts w:hint="eastAsia"/>
          <w:color w:val="auto"/>
        </w:rPr>
        <w:t>自行</w:t>
      </w:r>
      <w:r>
        <w:rPr>
          <w:color w:val="auto"/>
        </w:rPr>
        <w:t>监测结果</w:t>
      </w:r>
      <w:r>
        <w:rPr>
          <w:rFonts w:hint="eastAsia"/>
          <w:color w:val="auto"/>
          <w:lang w:eastAsia="zh-CN"/>
        </w:rPr>
        <w:t>。</w:t>
      </w:r>
      <w:r>
        <w:rPr>
          <w:rFonts w:hint="eastAsia"/>
          <w:color w:val="auto"/>
          <w:u w:val="single"/>
          <w:lang w:val="en-US" w:eastAsia="zh-CN"/>
        </w:rPr>
        <w:t>自验收后，由于汽油装船油气回收设施使用频次少且时间短，因此采用</w:t>
      </w:r>
      <w:r>
        <w:rPr>
          <w:rFonts w:hint="eastAsia"/>
          <w:color w:val="auto"/>
        </w:rPr>
        <w:t>《广西东油沥青有限公司5万吨级油气码头油库新建汽油装船油气回收系统项目环境保护设施竣工验收监测报告表》（20</w:t>
      </w:r>
      <w:r>
        <w:rPr>
          <w:color w:val="auto"/>
        </w:rPr>
        <w:t>21</w:t>
      </w:r>
      <w:r>
        <w:rPr>
          <w:rFonts w:hint="eastAsia"/>
          <w:color w:val="auto"/>
        </w:rPr>
        <w:t>年10月）中2021年9月19日~20日对</w:t>
      </w:r>
      <w:r>
        <w:rPr>
          <w:color w:val="auto"/>
        </w:rPr>
        <w:t>汽油</w:t>
      </w:r>
      <w:r>
        <w:rPr>
          <w:rFonts w:hint="eastAsia"/>
          <w:color w:val="auto"/>
        </w:rPr>
        <w:t>装船</w:t>
      </w:r>
      <w:r>
        <w:rPr>
          <w:color w:val="auto"/>
        </w:rPr>
        <w:t>油气回收设施</w:t>
      </w:r>
      <w:r>
        <w:rPr>
          <w:rFonts w:hint="eastAsia"/>
          <w:color w:val="auto"/>
        </w:rPr>
        <w:t>的</w:t>
      </w:r>
      <w:r>
        <w:rPr>
          <w:color w:val="auto"/>
        </w:rPr>
        <w:t>监测结果</w:t>
      </w:r>
      <w:r>
        <w:rPr>
          <w:rFonts w:hint="eastAsia"/>
          <w:color w:val="auto"/>
        </w:rPr>
        <w:t>。现有</w:t>
      </w:r>
      <w:r>
        <w:rPr>
          <w:color w:val="auto"/>
        </w:rPr>
        <w:t>工程有组织排放检测</w:t>
      </w:r>
      <w:r>
        <w:rPr>
          <w:rFonts w:hint="eastAsia"/>
          <w:color w:val="auto"/>
        </w:rPr>
        <w:t>结果</w:t>
      </w:r>
      <w:r>
        <w:rPr>
          <w:color w:val="auto"/>
        </w:rPr>
        <w:t>如下表：</w:t>
      </w:r>
    </w:p>
    <w:p w14:paraId="32A13DAB">
      <w:pPr>
        <w:pStyle w:val="14"/>
        <w:rPr>
          <w:rFonts w:hint="eastAsia" w:eastAsia="宋体"/>
          <w:color w:val="auto"/>
          <w:lang w:eastAsia="zh-CN"/>
        </w:rPr>
      </w:pPr>
      <w:r>
        <w:rPr>
          <w:rFonts w:hint="eastAsia"/>
          <w:color w:val="auto"/>
        </w:rPr>
        <w:t>表</w:t>
      </w:r>
      <w:r>
        <w:rPr>
          <w:color w:val="auto"/>
        </w:rPr>
        <w:t>2.1</w:t>
      </w:r>
      <w:r>
        <w:rPr>
          <w:color w:val="auto"/>
        </w:rPr>
        <w:noBreakHyphen/>
      </w:r>
      <w:r>
        <w:rPr>
          <w:color w:val="auto"/>
        </w:rPr>
        <w:t>9</w:t>
      </w:r>
      <w:r>
        <w:rPr>
          <w:rFonts w:hint="eastAsia"/>
          <w:color w:val="auto"/>
        </w:rPr>
        <w:t>现有</w:t>
      </w:r>
      <w:r>
        <w:rPr>
          <w:color w:val="auto"/>
        </w:rPr>
        <w:t>工程</w:t>
      </w:r>
      <w:r>
        <w:rPr>
          <w:rFonts w:hint="eastAsia"/>
          <w:color w:val="auto"/>
        </w:rPr>
        <w:t>有组织废气</w:t>
      </w:r>
      <w:r>
        <w:rPr>
          <w:color w:val="auto"/>
        </w:rPr>
        <w:t>监测结果</w:t>
      </w:r>
    </w:p>
    <w:tbl>
      <w:tblPr>
        <w:tblStyle w:val="44"/>
        <w:tblW w:w="92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88"/>
        <w:gridCol w:w="832"/>
        <w:gridCol w:w="1552"/>
        <w:gridCol w:w="786"/>
        <w:gridCol w:w="974"/>
        <w:gridCol w:w="1609"/>
        <w:gridCol w:w="911"/>
        <w:gridCol w:w="699"/>
        <w:gridCol w:w="918"/>
      </w:tblGrid>
      <w:tr w14:paraId="123C2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tcPr>
          <w:p w14:paraId="77C939FA">
            <w:pPr>
              <w:pStyle w:val="91"/>
              <w:keepNext w:val="0"/>
              <w:keepLines w:val="0"/>
              <w:suppressLineNumbers w:val="0"/>
              <w:spacing w:before="0" w:beforeAutospacing="0" w:after="0" w:afterAutospacing="0"/>
              <w:ind w:left="0" w:right="0"/>
              <w:rPr>
                <w:rFonts w:hint="default"/>
                <w:color w:val="auto"/>
              </w:rPr>
            </w:pPr>
            <w:r>
              <w:rPr>
                <w:rFonts w:hint="eastAsia"/>
                <w:color w:val="auto"/>
              </w:rPr>
              <w:t>监测</w:t>
            </w:r>
            <w:r>
              <w:rPr>
                <w:rFonts w:hint="default"/>
                <w:color w:val="auto"/>
              </w:rPr>
              <w:t>时间</w:t>
            </w:r>
          </w:p>
        </w:tc>
        <w:tc>
          <w:tcPr>
            <w:tcW w:w="832" w:type="dxa"/>
          </w:tcPr>
          <w:p w14:paraId="6EC7A5A8">
            <w:pPr>
              <w:pStyle w:val="91"/>
              <w:keepNext w:val="0"/>
              <w:keepLines w:val="0"/>
              <w:suppressLineNumbers w:val="0"/>
              <w:spacing w:before="0" w:beforeAutospacing="0" w:after="0" w:afterAutospacing="0"/>
              <w:ind w:left="0" w:right="0"/>
              <w:rPr>
                <w:rFonts w:hint="default"/>
                <w:color w:val="auto"/>
              </w:rPr>
            </w:pPr>
            <w:r>
              <w:rPr>
                <w:rFonts w:hint="eastAsia"/>
                <w:color w:val="auto"/>
              </w:rPr>
              <w:t>排气筒</w:t>
            </w:r>
            <w:r>
              <w:rPr>
                <w:rFonts w:hint="default"/>
                <w:color w:val="auto"/>
              </w:rPr>
              <w:t>编号</w:t>
            </w:r>
          </w:p>
        </w:tc>
        <w:tc>
          <w:tcPr>
            <w:tcW w:w="2338" w:type="dxa"/>
            <w:gridSpan w:val="2"/>
          </w:tcPr>
          <w:p w14:paraId="7C2B0461">
            <w:pPr>
              <w:pStyle w:val="91"/>
              <w:keepNext w:val="0"/>
              <w:keepLines w:val="0"/>
              <w:suppressLineNumbers w:val="0"/>
              <w:spacing w:before="0" w:beforeAutospacing="0" w:after="0" w:afterAutospacing="0"/>
              <w:ind w:left="0" w:right="0"/>
              <w:rPr>
                <w:rFonts w:hint="default"/>
                <w:color w:val="auto"/>
              </w:rPr>
            </w:pPr>
            <w:r>
              <w:rPr>
                <w:rFonts w:hint="eastAsia"/>
                <w:color w:val="auto"/>
              </w:rPr>
              <w:t>采样点</w:t>
            </w:r>
            <w:r>
              <w:rPr>
                <w:rFonts w:hint="default"/>
                <w:color w:val="auto"/>
              </w:rPr>
              <w:t>名称</w:t>
            </w:r>
          </w:p>
        </w:tc>
        <w:tc>
          <w:tcPr>
            <w:tcW w:w="974" w:type="dxa"/>
          </w:tcPr>
          <w:p w14:paraId="1954023D">
            <w:pPr>
              <w:pStyle w:val="91"/>
              <w:keepNext w:val="0"/>
              <w:keepLines w:val="0"/>
              <w:suppressLineNumbers w:val="0"/>
              <w:spacing w:before="0" w:beforeAutospacing="0" w:after="0" w:afterAutospacing="0"/>
              <w:ind w:left="0" w:right="0"/>
              <w:rPr>
                <w:rFonts w:hint="default"/>
                <w:color w:val="auto"/>
              </w:rPr>
            </w:pPr>
            <w:r>
              <w:rPr>
                <w:rFonts w:hint="eastAsia"/>
                <w:color w:val="auto"/>
              </w:rPr>
              <w:t>污染物</w:t>
            </w:r>
          </w:p>
        </w:tc>
        <w:tc>
          <w:tcPr>
            <w:tcW w:w="1609" w:type="dxa"/>
          </w:tcPr>
          <w:p w14:paraId="46E6A185">
            <w:pPr>
              <w:pStyle w:val="91"/>
              <w:keepNext w:val="0"/>
              <w:keepLines w:val="0"/>
              <w:suppressLineNumbers w:val="0"/>
              <w:spacing w:before="0" w:beforeAutospacing="0" w:after="0" w:afterAutospacing="0"/>
              <w:ind w:left="0" w:right="0"/>
              <w:rPr>
                <w:rFonts w:hint="default"/>
                <w:color w:val="auto"/>
              </w:rPr>
            </w:pPr>
            <w:r>
              <w:rPr>
                <w:rFonts w:hint="eastAsia"/>
                <w:color w:val="auto"/>
              </w:rPr>
              <w:t>检测</w:t>
            </w:r>
            <w:r>
              <w:rPr>
                <w:rFonts w:hint="default"/>
                <w:color w:val="auto"/>
              </w:rPr>
              <w:t>结果</w:t>
            </w:r>
            <w:r>
              <w:rPr>
                <w:rFonts w:hint="eastAsia"/>
                <w:color w:val="auto"/>
              </w:rPr>
              <w:t>（平均值）</w:t>
            </w:r>
            <w:r>
              <w:rPr>
                <w:rFonts w:hint="default"/>
                <w:color w:val="auto"/>
              </w:rPr>
              <w:t>mg/m</w:t>
            </w:r>
            <w:r>
              <w:rPr>
                <w:rFonts w:hint="default"/>
                <w:color w:val="auto"/>
                <w:vertAlign w:val="superscript"/>
              </w:rPr>
              <w:t>3</w:t>
            </w:r>
          </w:p>
        </w:tc>
        <w:tc>
          <w:tcPr>
            <w:tcW w:w="911" w:type="dxa"/>
          </w:tcPr>
          <w:p w14:paraId="18CF5079">
            <w:pPr>
              <w:pStyle w:val="91"/>
              <w:keepNext w:val="0"/>
              <w:keepLines w:val="0"/>
              <w:suppressLineNumbers w:val="0"/>
              <w:spacing w:before="0" w:beforeAutospacing="0" w:after="0" w:afterAutospacing="0"/>
              <w:ind w:left="0" w:right="0"/>
              <w:rPr>
                <w:rFonts w:hint="default"/>
                <w:color w:val="auto"/>
              </w:rPr>
            </w:pPr>
            <w:r>
              <w:rPr>
                <w:rFonts w:hint="eastAsia"/>
                <w:color w:val="auto"/>
              </w:rPr>
              <w:t>处理</w:t>
            </w:r>
            <w:r>
              <w:rPr>
                <w:rFonts w:hint="default"/>
                <w:color w:val="auto"/>
              </w:rPr>
              <w:t>效率</w:t>
            </w:r>
            <w:r>
              <w:rPr>
                <w:rFonts w:hint="eastAsia"/>
                <w:color w:val="auto"/>
              </w:rPr>
              <w:t>%</w:t>
            </w:r>
          </w:p>
        </w:tc>
        <w:tc>
          <w:tcPr>
            <w:tcW w:w="699" w:type="dxa"/>
          </w:tcPr>
          <w:p w14:paraId="644EEDAC">
            <w:pPr>
              <w:pStyle w:val="91"/>
              <w:keepNext w:val="0"/>
              <w:keepLines w:val="0"/>
              <w:suppressLineNumbers w:val="0"/>
              <w:spacing w:before="0" w:beforeAutospacing="0" w:after="0" w:afterAutospacing="0"/>
              <w:ind w:left="0" w:right="0"/>
              <w:rPr>
                <w:rFonts w:hint="default"/>
                <w:color w:val="auto"/>
              </w:rPr>
            </w:pPr>
            <w:r>
              <w:rPr>
                <w:rFonts w:hint="eastAsia"/>
                <w:color w:val="auto"/>
              </w:rPr>
              <w:t>标准</w:t>
            </w:r>
            <w:r>
              <w:rPr>
                <w:rFonts w:hint="default"/>
                <w:color w:val="auto"/>
              </w:rPr>
              <w:t>限值</w:t>
            </w:r>
            <w:r>
              <w:rPr>
                <w:rFonts w:hint="eastAsia"/>
                <w:color w:val="auto"/>
              </w:rPr>
              <w:t>%</w:t>
            </w:r>
          </w:p>
        </w:tc>
        <w:tc>
          <w:tcPr>
            <w:tcW w:w="918" w:type="dxa"/>
          </w:tcPr>
          <w:p w14:paraId="4300D6C5">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r>
              <w:rPr>
                <w:rFonts w:hint="default"/>
                <w:color w:val="auto"/>
              </w:rPr>
              <w:t>情况</w:t>
            </w:r>
          </w:p>
        </w:tc>
      </w:tr>
      <w:tr w14:paraId="13F4B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Merge w:val="restart"/>
          </w:tcPr>
          <w:p w14:paraId="1D36B2E5">
            <w:pPr>
              <w:pStyle w:val="91"/>
              <w:keepNext w:val="0"/>
              <w:keepLines w:val="0"/>
              <w:suppressLineNumbers w:val="0"/>
              <w:spacing w:before="0" w:beforeAutospacing="0" w:after="0" w:afterAutospacing="0"/>
              <w:ind w:left="0" w:right="0"/>
              <w:rPr>
                <w:rFonts w:hint="default"/>
                <w:color w:val="auto"/>
              </w:rPr>
            </w:pPr>
            <w:r>
              <w:rPr>
                <w:rFonts w:hint="eastAsia"/>
                <w:color w:val="auto"/>
              </w:rPr>
              <w:t>2025年3月19日</w:t>
            </w:r>
          </w:p>
        </w:tc>
        <w:tc>
          <w:tcPr>
            <w:tcW w:w="832" w:type="dxa"/>
            <w:vMerge w:val="restart"/>
          </w:tcPr>
          <w:p w14:paraId="283DE513">
            <w:pPr>
              <w:pStyle w:val="91"/>
              <w:keepNext w:val="0"/>
              <w:keepLines w:val="0"/>
              <w:suppressLineNumbers w:val="0"/>
              <w:spacing w:before="0" w:beforeAutospacing="0" w:after="0" w:afterAutospacing="0"/>
              <w:ind w:left="0" w:right="0"/>
              <w:rPr>
                <w:rFonts w:hint="default"/>
                <w:color w:val="auto"/>
              </w:rPr>
            </w:pPr>
            <w:r>
              <w:rPr>
                <w:rFonts w:hint="default"/>
                <w:color w:val="auto"/>
              </w:rPr>
              <w:t>DA004</w:t>
            </w:r>
          </w:p>
        </w:tc>
        <w:tc>
          <w:tcPr>
            <w:tcW w:w="1552" w:type="dxa"/>
            <w:vMerge w:val="restart"/>
          </w:tcPr>
          <w:p w14:paraId="6989D1E8">
            <w:pPr>
              <w:pStyle w:val="91"/>
              <w:keepNext w:val="0"/>
              <w:keepLines w:val="0"/>
              <w:suppressLineNumbers w:val="0"/>
              <w:spacing w:before="0" w:beforeAutospacing="0" w:after="0" w:afterAutospacing="0"/>
              <w:ind w:left="0" w:right="0"/>
              <w:rPr>
                <w:rFonts w:hint="default"/>
                <w:color w:val="auto"/>
              </w:rPr>
            </w:pPr>
            <w:r>
              <w:rPr>
                <w:rFonts w:hint="eastAsia"/>
                <w:color w:val="auto"/>
              </w:rPr>
              <w:t>甲醇装车油气回收设施排气筒</w:t>
            </w:r>
          </w:p>
        </w:tc>
        <w:tc>
          <w:tcPr>
            <w:tcW w:w="786" w:type="dxa"/>
          </w:tcPr>
          <w:p w14:paraId="6746A079">
            <w:pPr>
              <w:pStyle w:val="91"/>
              <w:keepNext w:val="0"/>
              <w:keepLines w:val="0"/>
              <w:suppressLineNumbers w:val="0"/>
              <w:spacing w:before="0" w:beforeAutospacing="0" w:after="0" w:afterAutospacing="0"/>
              <w:ind w:left="0" w:right="0"/>
              <w:rPr>
                <w:rFonts w:hint="default"/>
                <w:color w:val="auto"/>
              </w:rPr>
            </w:pPr>
            <w:r>
              <w:rPr>
                <w:rFonts w:hint="eastAsia"/>
                <w:color w:val="auto"/>
              </w:rPr>
              <w:t>进口</w:t>
            </w:r>
          </w:p>
        </w:tc>
        <w:tc>
          <w:tcPr>
            <w:tcW w:w="974" w:type="dxa"/>
            <w:vMerge w:val="restart"/>
          </w:tcPr>
          <w:p w14:paraId="1B873114">
            <w:pPr>
              <w:pStyle w:val="91"/>
              <w:keepNext w:val="0"/>
              <w:keepLines w:val="0"/>
              <w:suppressLineNumbers w:val="0"/>
              <w:spacing w:before="0" w:beforeAutospacing="0" w:after="0" w:afterAutospacing="0"/>
              <w:ind w:left="0" w:right="0"/>
              <w:rPr>
                <w:rFonts w:hint="default"/>
                <w:color w:val="auto"/>
              </w:rPr>
            </w:pPr>
            <w:r>
              <w:rPr>
                <w:rFonts w:hint="eastAsia"/>
                <w:color w:val="auto"/>
              </w:rPr>
              <w:t>非甲烷总烃</w:t>
            </w:r>
          </w:p>
        </w:tc>
        <w:tc>
          <w:tcPr>
            <w:tcW w:w="1609" w:type="dxa"/>
          </w:tcPr>
          <w:p w14:paraId="2C728E0E">
            <w:pPr>
              <w:pStyle w:val="91"/>
              <w:keepNext w:val="0"/>
              <w:keepLines w:val="0"/>
              <w:suppressLineNumbers w:val="0"/>
              <w:spacing w:before="0" w:beforeAutospacing="0" w:after="0" w:afterAutospacing="0"/>
              <w:ind w:left="0" w:right="0"/>
              <w:rPr>
                <w:rFonts w:hint="default"/>
                <w:color w:val="auto"/>
              </w:rPr>
            </w:pPr>
            <w:r>
              <w:rPr>
                <w:rFonts w:hint="eastAsia"/>
                <w:color w:val="auto"/>
              </w:rPr>
              <w:t>2×10</w:t>
            </w:r>
            <w:r>
              <w:rPr>
                <w:rFonts w:hint="default"/>
                <w:color w:val="auto"/>
                <w:vertAlign w:val="superscript"/>
              </w:rPr>
              <w:t>4</w:t>
            </w:r>
          </w:p>
        </w:tc>
        <w:tc>
          <w:tcPr>
            <w:tcW w:w="911" w:type="dxa"/>
            <w:vMerge w:val="restart"/>
          </w:tcPr>
          <w:p w14:paraId="41C074FF">
            <w:pPr>
              <w:pStyle w:val="91"/>
              <w:keepNext w:val="0"/>
              <w:keepLines w:val="0"/>
              <w:suppressLineNumbers w:val="0"/>
              <w:spacing w:before="0" w:beforeAutospacing="0" w:after="0" w:afterAutospacing="0"/>
              <w:ind w:left="0" w:right="0"/>
              <w:rPr>
                <w:rFonts w:hint="default"/>
                <w:color w:val="auto"/>
              </w:rPr>
            </w:pPr>
            <w:r>
              <w:rPr>
                <w:rFonts w:hint="eastAsia"/>
                <w:color w:val="auto"/>
              </w:rPr>
              <w:t>97</w:t>
            </w:r>
          </w:p>
        </w:tc>
        <w:tc>
          <w:tcPr>
            <w:tcW w:w="699" w:type="dxa"/>
            <w:vMerge w:val="restart"/>
          </w:tcPr>
          <w:p w14:paraId="0F55202C">
            <w:pPr>
              <w:pStyle w:val="91"/>
              <w:keepNext w:val="0"/>
              <w:keepLines w:val="0"/>
              <w:suppressLineNumbers w:val="0"/>
              <w:spacing w:before="0" w:beforeAutospacing="0" w:after="0" w:afterAutospacing="0"/>
              <w:ind w:left="0" w:right="0"/>
              <w:rPr>
                <w:rFonts w:hint="default"/>
                <w:color w:val="auto"/>
              </w:rPr>
            </w:pPr>
            <w:r>
              <w:rPr>
                <w:rFonts w:hint="eastAsia"/>
                <w:color w:val="auto"/>
              </w:rPr>
              <w:t>95</w:t>
            </w:r>
          </w:p>
        </w:tc>
        <w:tc>
          <w:tcPr>
            <w:tcW w:w="918" w:type="dxa"/>
            <w:vMerge w:val="restart"/>
          </w:tcPr>
          <w:p w14:paraId="4FC0010A">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r w14:paraId="00B00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Merge w:val="continue"/>
          </w:tcPr>
          <w:p w14:paraId="16FA931B">
            <w:pPr>
              <w:pStyle w:val="91"/>
              <w:keepNext w:val="0"/>
              <w:keepLines w:val="0"/>
              <w:suppressLineNumbers w:val="0"/>
              <w:spacing w:before="0" w:beforeAutospacing="0" w:after="0" w:afterAutospacing="0"/>
              <w:ind w:left="0" w:right="0"/>
              <w:rPr>
                <w:rFonts w:hint="default"/>
                <w:color w:val="auto"/>
              </w:rPr>
            </w:pPr>
          </w:p>
        </w:tc>
        <w:tc>
          <w:tcPr>
            <w:tcW w:w="832" w:type="dxa"/>
            <w:vMerge w:val="continue"/>
          </w:tcPr>
          <w:p w14:paraId="2E9BAB09">
            <w:pPr>
              <w:pStyle w:val="91"/>
              <w:keepNext w:val="0"/>
              <w:keepLines w:val="0"/>
              <w:suppressLineNumbers w:val="0"/>
              <w:spacing w:before="0" w:beforeAutospacing="0" w:after="0" w:afterAutospacing="0"/>
              <w:ind w:left="0" w:right="0"/>
              <w:rPr>
                <w:rFonts w:hint="default"/>
                <w:color w:val="auto"/>
              </w:rPr>
            </w:pPr>
          </w:p>
        </w:tc>
        <w:tc>
          <w:tcPr>
            <w:tcW w:w="1552" w:type="dxa"/>
            <w:vMerge w:val="continue"/>
          </w:tcPr>
          <w:p w14:paraId="24FD3F4E">
            <w:pPr>
              <w:pStyle w:val="91"/>
              <w:keepNext w:val="0"/>
              <w:keepLines w:val="0"/>
              <w:suppressLineNumbers w:val="0"/>
              <w:spacing w:before="0" w:beforeAutospacing="0" w:after="0" w:afterAutospacing="0"/>
              <w:ind w:left="0" w:right="0"/>
              <w:rPr>
                <w:rFonts w:hint="default"/>
                <w:color w:val="auto"/>
              </w:rPr>
            </w:pPr>
          </w:p>
        </w:tc>
        <w:tc>
          <w:tcPr>
            <w:tcW w:w="786" w:type="dxa"/>
          </w:tcPr>
          <w:p w14:paraId="22724E4E">
            <w:pPr>
              <w:pStyle w:val="91"/>
              <w:keepNext w:val="0"/>
              <w:keepLines w:val="0"/>
              <w:suppressLineNumbers w:val="0"/>
              <w:spacing w:before="0" w:beforeAutospacing="0" w:after="0" w:afterAutospacing="0"/>
              <w:ind w:left="0" w:right="0"/>
              <w:rPr>
                <w:rFonts w:hint="default"/>
                <w:color w:val="auto"/>
              </w:rPr>
            </w:pPr>
            <w:r>
              <w:rPr>
                <w:rFonts w:hint="eastAsia"/>
                <w:color w:val="auto"/>
              </w:rPr>
              <w:t>出口</w:t>
            </w:r>
          </w:p>
        </w:tc>
        <w:tc>
          <w:tcPr>
            <w:tcW w:w="974" w:type="dxa"/>
            <w:vMerge w:val="continue"/>
          </w:tcPr>
          <w:p w14:paraId="1632DE4E">
            <w:pPr>
              <w:pStyle w:val="91"/>
              <w:keepNext w:val="0"/>
              <w:keepLines w:val="0"/>
              <w:suppressLineNumbers w:val="0"/>
              <w:spacing w:before="0" w:beforeAutospacing="0" w:after="0" w:afterAutospacing="0"/>
              <w:ind w:left="0" w:right="0"/>
              <w:rPr>
                <w:rFonts w:hint="default"/>
                <w:color w:val="auto"/>
              </w:rPr>
            </w:pPr>
          </w:p>
        </w:tc>
        <w:tc>
          <w:tcPr>
            <w:tcW w:w="1609" w:type="dxa"/>
          </w:tcPr>
          <w:p w14:paraId="38871341">
            <w:pPr>
              <w:pStyle w:val="91"/>
              <w:keepNext w:val="0"/>
              <w:keepLines w:val="0"/>
              <w:suppressLineNumbers w:val="0"/>
              <w:spacing w:before="0" w:beforeAutospacing="0" w:after="0" w:afterAutospacing="0"/>
              <w:ind w:left="0" w:right="0"/>
              <w:rPr>
                <w:rFonts w:hint="default"/>
                <w:color w:val="auto"/>
              </w:rPr>
            </w:pPr>
            <w:r>
              <w:rPr>
                <w:rFonts w:hint="eastAsia"/>
                <w:color w:val="auto"/>
              </w:rPr>
              <w:t>558</w:t>
            </w:r>
          </w:p>
        </w:tc>
        <w:tc>
          <w:tcPr>
            <w:tcW w:w="911" w:type="dxa"/>
            <w:vMerge w:val="continue"/>
          </w:tcPr>
          <w:p w14:paraId="30FA71F1">
            <w:pPr>
              <w:pStyle w:val="91"/>
              <w:keepNext w:val="0"/>
              <w:keepLines w:val="0"/>
              <w:suppressLineNumbers w:val="0"/>
              <w:spacing w:before="0" w:beforeAutospacing="0" w:after="0" w:afterAutospacing="0"/>
              <w:ind w:left="0" w:right="0"/>
              <w:rPr>
                <w:rFonts w:hint="default"/>
                <w:color w:val="auto"/>
              </w:rPr>
            </w:pPr>
          </w:p>
        </w:tc>
        <w:tc>
          <w:tcPr>
            <w:tcW w:w="699" w:type="dxa"/>
            <w:vMerge w:val="continue"/>
          </w:tcPr>
          <w:p w14:paraId="12F1EF6A">
            <w:pPr>
              <w:pStyle w:val="91"/>
              <w:keepNext w:val="0"/>
              <w:keepLines w:val="0"/>
              <w:suppressLineNumbers w:val="0"/>
              <w:spacing w:before="0" w:beforeAutospacing="0" w:after="0" w:afterAutospacing="0"/>
              <w:ind w:left="0" w:right="0"/>
              <w:rPr>
                <w:rFonts w:hint="default"/>
                <w:color w:val="auto"/>
              </w:rPr>
            </w:pPr>
          </w:p>
        </w:tc>
        <w:tc>
          <w:tcPr>
            <w:tcW w:w="918" w:type="dxa"/>
            <w:vMerge w:val="continue"/>
          </w:tcPr>
          <w:p w14:paraId="667A6636">
            <w:pPr>
              <w:pStyle w:val="91"/>
              <w:keepNext w:val="0"/>
              <w:keepLines w:val="0"/>
              <w:suppressLineNumbers w:val="0"/>
              <w:spacing w:before="0" w:beforeAutospacing="0" w:after="0" w:afterAutospacing="0"/>
              <w:ind w:left="0" w:right="0"/>
              <w:rPr>
                <w:rFonts w:hint="default"/>
                <w:color w:val="auto"/>
              </w:rPr>
            </w:pPr>
          </w:p>
        </w:tc>
      </w:tr>
      <w:tr w14:paraId="47D0D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Merge w:val="continue"/>
          </w:tcPr>
          <w:p w14:paraId="21A65D63">
            <w:pPr>
              <w:pStyle w:val="91"/>
              <w:keepNext w:val="0"/>
              <w:keepLines w:val="0"/>
              <w:suppressLineNumbers w:val="0"/>
              <w:spacing w:before="0" w:beforeAutospacing="0" w:after="0" w:afterAutospacing="0"/>
              <w:ind w:left="0" w:right="0"/>
              <w:rPr>
                <w:rFonts w:hint="default"/>
                <w:color w:val="auto"/>
              </w:rPr>
            </w:pPr>
          </w:p>
        </w:tc>
        <w:tc>
          <w:tcPr>
            <w:tcW w:w="832" w:type="dxa"/>
            <w:vMerge w:val="restart"/>
          </w:tcPr>
          <w:p w14:paraId="7B49B8C6">
            <w:pPr>
              <w:pStyle w:val="91"/>
              <w:keepNext w:val="0"/>
              <w:keepLines w:val="0"/>
              <w:suppressLineNumbers w:val="0"/>
              <w:spacing w:before="0" w:beforeAutospacing="0" w:after="0" w:afterAutospacing="0"/>
              <w:ind w:left="0" w:right="0"/>
              <w:rPr>
                <w:rFonts w:hint="default"/>
                <w:color w:val="auto"/>
              </w:rPr>
            </w:pPr>
            <w:r>
              <w:rPr>
                <w:rFonts w:hint="eastAsia"/>
                <w:color w:val="auto"/>
              </w:rPr>
              <w:t>DA002</w:t>
            </w:r>
          </w:p>
        </w:tc>
        <w:tc>
          <w:tcPr>
            <w:tcW w:w="1552" w:type="dxa"/>
            <w:vMerge w:val="restart"/>
          </w:tcPr>
          <w:p w14:paraId="56429105">
            <w:pPr>
              <w:pStyle w:val="91"/>
              <w:keepNext w:val="0"/>
              <w:keepLines w:val="0"/>
              <w:suppressLineNumbers w:val="0"/>
              <w:spacing w:before="0" w:beforeAutospacing="0" w:after="0" w:afterAutospacing="0"/>
              <w:ind w:left="0" w:right="0"/>
              <w:rPr>
                <w:rFonts w:hint="default"/>
                <w:color w:val="auto"/>
              </w:rPr>
            </w:pPr>
            <w:r>
              <w:rPr>
                <w:rFonts w:hint="eastAsia"/>
                <w:color w:val="auto"/>
              </w:rPr>
              <w:t>汽油装车油气回收设施排气筒</w:t>
            </w:r>
          </w:p>
        </w:tc>
        <w:tc>
          <w:tcPr>
            <w:tcW w:w="786" w:type="dxa"/>
          </w:tcPr>
          <w:p w14:paraId="52C25364">
            <w:pPr>
              <w:pStyle w:val="91"/>
              <w:keepNext w:val="0"/>
              <w:keepLines w:val="0"/>
              <w:suppressLineNumbers w:val="0"/>
              <w:spacing w:before="0" w:beforeAutospacing="0" w:after="0" w:afterAutospacing="0"/>
              <w:ind w:left="0" w:right="0"/>
              <w:rPr>
                <w:rFonts w:hint="default"/>
                <w:color w:val="auto"/>
              </w:rPr>
            </w:pPr>
            <w:r>
              <w:rPr>
                <w:rFonts w:hint="eastAsia"/>
                <w:color w:val="auto"/>
              </w:rPr>
              <w:t>进口</w:t>
            </w:r>
          </w:p>
        </w:tc>
        <w:tc>
          <w:tcPr>
            <w:tcW w:w="974" w:type="dxa"/>
            <w:vMerge w:val="restart"/>
          </w:tcPr>
          <w:p w14:paraId="040616B9">
            <w:pPr>
              <w:pStyle w:val="91"/>
              <w:keepNext w:val="0"/>
              <w:keepLines w:val="0"/>
              <w:suppressLineNumbers w:val="0"/>
              <w:spacing w:before="0" w:beforeAutospacing="0" w:after="0" w:afterAutospacing="0"/>
              <w:ind w:left="0" w:right="0"/>
              <w:rPr>
                <w:rFonts w:hint="default"/>
                <w:color w:val="auto"/>
              </w:rPr>
            </w:pPr>
            <w:r>
              <w:rPr>
                <w:rFonts w:hint="eastAsia"/>
                <w:color w:val="auto"/>
              </w:rPr>
              <w:t>非甲烷总烃</w:t>
            </w:r>
          </w:p>
        </w:tc>
        <w:tc>
          <w:tcPr>
            <w:tcW w:w="1609" w:type="dxa"/>
          </w:tcPr>
          <w:p w14:paraId="78A26031">
            <w:pPr>
              <w:pStyle w:val="91"/>
              <w:keepNext w:val="0"/>
              <w:keepLines w:val="0"/>
              <w:suppressLineNumbers w:val="0"/>
              <w:spacing w:before="0" w:beforeAutospacing="0" w:after="0" w:afterAutospacing="0"/>
              <w:ind w:left="0" w:right="0"/>
              <w:rPr>
                <w:rFonts w:hint="default"/>
                <w:color w:val="auto"/>
              </w:rPr>
            </w:pPr>
            <w:r>
              <w:rPr>
                <w:rFonts w:hint="eastAsia"/>
                <w:color w:val="auto"/>
              </w:rPr>
              <w:t>1.92×10</w:t>
            </w:r>
            <w:r>
              <w:rPr>
                <w:rFonts w:hint="eastAsia"/>
                <w:color w:val="auto"/>
                <w:vertAlign w:val="superscript"/>
              </w:rPr>
              <w:t>5</w:t>
            </w:r>
          </w:p>
        </w:tc>
        <w:tc>
          <w:tcPr>
            <w:tcW w:w="911" w:type="dxa"/>
            <w:vMerge w:val="restart"/>
          </w:tcPr>
          <w:p w14:paraId="08511F5B">
            <w:pPr>
              <w:pStyle w:val="91"/>
              <w:keepNext w:val="0"/>
              <w:keepLines w:val="0"/>
              <w:suppressLineNumbers w:val="0"/>
              <w:spacing w:before="0" w:beforeAutospacing="0" w:after="0" w:afterAutospacing="0"/>
              <w:ind w:left="0" w:right="0"/>
              <w:rPr>
                <w:rFonts w:hint="default"/>
                <w:color w:val="auto"/>
              </w:rPr>
            </w:pPr>
            <w:r>
              <w:rPr>
                <w:rFonts w:hint="eastAsia"/>
                <w:color w:val="auto"/>
              </w:rPr>
              <w:t>96</w:t>
            </w:r>
          </w:p>
        </w:tc>
        <w:tc>
          <w:tcPr>
            <w:tcW w:w="699" w:type="dxa"/>
            <w:vMerge w:val="restart"/>
          </w:tcPr>
          <w:p w14:paraId="2B2C9ABC">
            <w:pPr>
              <w:pStyle w:val="91"/>
              <w:keepNext w:val="0"/>
              <w:keepLines w:val="0"/>
              <w:suppressLineNumbers w:val="0"/>
              <w:spacing w:before="0" w:beforeAutospacing="0" w:after="0" w:afterAutospacing="0"/>
              <w:ind w:left="0" w:right="0"/>
              <w:rPr>
                <w:rFonts w:hint="default"/>
                <w:color w:val="auto"/>
              </w:rPr>
            </w:pPr>
            <w:r>
              <w:rPr>
                <w:rFonts w:hint="eastAsia"/>
                <w:color w:val="auto"/>
              </w:rPr>
              <w:t>95</w:t>
            </w:r>
          </w:p>
        </w:tc>
        <w:tc>
          <w:tcPr>
            <w:tcW w:w="918" w:type="dxa"/>
            <w:vMerge w:val="restart"/>
          </w:tcPr>
          <w:p w14:paraId="6938EC5F">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r w14:paraId="67D4B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Merge w:val="continue"/>
          </w:tcPr>
          <w:p w14:paraId="2B6C0E58">
            <w:pPr>
              <w:pStyle w:val="91"/>
              <w:keepNext w:val="0"/>
              <w:keepLines w:val="0"/>
              <w:suppressLineNumbers w:val="0"/>
              <w:spacing w:before="0" w:beforeAutospacing="0" w:after="0" w:afterAutospacing="0"/>
              <w:ind w:left="0" w:right="0"/>
              <w:rPr>
                <w:rFonts w:hint="default"/>
                <w:color w:val="auto"/>
              </w:rPr>
            </w:pPr>
          </w:p>
        </w:tc>
        <w:tc>
          <w:tcPr>
            <w:tcW w:w="832" w:type="dxa"/>
            <w:vMerge w:val="continue"/>
          </w:tcPr>
          <w:p w14:paraId="32AF4685">
            <w:pPr>
              <w:pStyle w:val="91"/>
              <w:keepNext w:val="0"/>
              <w:keepLines w:val="0"/>
              <w:suppressLineNumbers w:val="0"/>
              <w:spacing w:before="0" w:beforeAutospacing="0" w:after="0" w:afterAutospacing="0"/>
              <w:ind w:left="0" w:right="0"/>
              <w:rPr>
                <w:rFonts w:hint="default"/>
                <w:color w:val="auto"/>
              </w:rPr>
            </w:pPr>
          </w:p>
        </w:tc>
        <w:tc>
          <w:tcPr>
            <w:tcW w:w="1552" w:type="dxa"/>
            <w:vMerge w:val="continue"/>
          </w:tcPr>
          <w:p w14:paraId="09313C74">
            <w:pPr>
              <w:pStyle w:val="91"/>
              <w:keepNext w:val="0"/>
              <w:keepLines w:val="0"/>
              <w:suppressLineNumbers w:val="0"/>
              <w:spacing w:before="0" w:beforeAutospacing="0" w:after="0" w:afterAutospacing="0"/>
              <w:ind w:left="0" w:right="0"/>
              <w:rPr>
                <w:rFonts w:hint="default"/>
                <w:color w:val="auto"/>
              </w:rPr>
            </w:pPr>
          </w:p>
        </w:tc>
        <w:tc>
          <w:tcPr>
            <w:tcW w:w="786" w:type="dxa"/>
          </w:tcPr>
          <w:p w14:paraId="40E8E357">
            <w:pPr>
              <w:pStyle w:val="91"/>
              <w:keepNext w:val="0"/>
              <w:keepLines w:val="0"/>
              <w:suppressLineNumbers w:val="0"/>
              <w:spacing w:before="0" w:beforeAutospacing="0" w:after="0" w:afterAutospacing="0"/>
              <w:ind w:left="0" w:right="0"/>
              <w:rPr>
                <w:rFonts w:hint="default"/>
                <w:color w:val="auto"/>
              </w:rPr>
            </w:pPr>
            <w:r>
              <w:rPr>
                <w:rFonts w:hint="eastAsia"/>
                <w:color w:val="auto"/>
              </w:rPr>
              <w:t>出口</w:t>
            </w:r>
          </w:p>
        </w:tc>
        <w:tc>
          <w:tcPr>
            <w:tcW w:w="974" w:type="dxa"/>
            <w:vMerge w:val="continue"/>
          </w:tcPr>
          <w:p w14:paraId="41665919">
            <w:pPr>
              <w:pStyle w:val="91"/>
              <w:keepNext w:val="0"/>
              <w:keepLines w:val="0"/>
              <w:suppressLineNumbers w:val="0"/>
              <w:spacing w:before="0" w:beforeAutospacing="0" w:after="0" w:afterAutospacing="0"/>
              <w:ind w:left="0" w:right="0"/>
              <w:rPr>
                <w:rFonts w:hint="default"/>
                <w:color w:val="auto"/>
              </w:rPr>
            </w:pPr>
          </w:p>
        </w:tc>
        <w:tc>
          <w:tcPr>
            <w:tcW w:w="1609" w:type="dxa"/>
          </w:tcPr>
          <w:p w14:paraId="0E74DB6B">
            <w:pPr>
              <w:pStyle w:val="91"/>
              <w:keepNext w:val="0"/>
              <w:keepLines w:val="0"/>
              <w:suppressLineNumbers w:val="0"/>
              <w:spacing w:before="0" w:beforeAutospacing="0" w:after="0" w:afterAutospacing="0"/>
              <w:ind w:left="0" w:right="0"/>
              <w:rPr>
                <w:rFonts w:hint="default"/>
                <w:color w:val="auto"/>
              </w:rPr>
            </w:pPr>
            <w:r>
              <w:rPr>
                <w:rFonts w:hint="eastAsia"/>
                <w:color w:val="auto"/>
              </w:rPr>
              <w:t>8.54×10</w:t>
            </w:r>
            <w:r>
              <w:rPr>
                <w:rFonts w:hint="default"/>
                <w:color w:val="auto"/>
                <w:vertAlign w:val="superscript"/>
              </w:rPr>
              <w:t>3</w:t>
            </w:r>
          </w:p>
        </w:tc>
        <w:tc>
          <w:tcPr>
            <w:tcW w:w="911" w:type="dxa"/>
            <w:vMerge w:val="continue"/>
          </w:tcPr>
          <w:p w14:paraId="3412485A">
            <w:pPr>
              <w:pStyle w:val="91"/>
              <w:keepNext w:val="0"/>
              <w:keepLines w:val="0"/>
              <w:suppressLineNumbers w:val="0"/>
              <w:spacing w:before="0" w:beforeAutospacing="0" w:after="0" w:afterAutospacing="0"/>
              <w:ind w:left="0" w:right="0"/>
              <w:rPr>
                <w:rFonts w:hint="default"/>
                <w:color w:val="auto"/>
              </w:rPr>
            </w:pPr>
          </w:p>
        </w:tc>
        <w:tc>
          <w:tcPr>
            <w:tcW w:w="699" w:type="dxa"/>
            <w:vMerge w:val="continue"/>
          </w:tcPr>
          <w:p w14:paraId="3C6E6C2D">
            <w:pPr>
              <w:pStyle w:val="91"/>
              <w:keepNext w:val="0"/>
              <w:keepLines w:val="0"/>
              <w:suppressLineNumbers w:val="0"/>
              <w:spacing w:before="0" w:beforeAutospacing="0" w:after="0" w:afterAutospacing="0"/>
              <w:ind w:left="0" w:right="0"/>
              <w:rPr>
                <w:rFonts w:hint="default"/>
                <w:color w:val="auto"/>
              </w:rPr>
            </w:pPr>
          </w:p>
        </w:tc>
        <w:tc>
          <w:tcPr>
            <w:tcW w:w="918" w:type="dxa"/>
            <w:vMerge w:val="continue"/>
          </w:tcPr>
          <w:p w14:paraId="7338DF20">
            <w:pPr>
              <w:pStyle w:val="91"/>
              <w:keepNext w:val="0"/>
              <w:keepLines w:val="0"/>
              <w:suppressLineNumbers w:val="0"/>
              <w:spacing w:before="0" w:beforeAutospacing="0" w:after="0" w:afterAutospacing="0"/>
              <w:ind w:left="0" w:right="0"/>
              <w:rPr>
                <w:rFonts w:hint="default"/>
                <w:color w:val="auto"/>
              </w:rPr>
            </w:pPr>
          </w:p>
        </w:tc>
      </w:tr>
      <w:tr w14:paraId="38328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1" w:hRule="atLeast"/>
        </w:trPr>
        <w:tc>
          <w:tcPr>
            <w:tcW w:w="988" w:type="dxa"/>
            <w:vMerge w:val="restart"/>
          </w:tcPr>
          <w:p w14:paraId="211E5A22">
            <w:pPr>
              <w:pStyle w:val="91"/>
              <w:keepNext w:val="0"/>
              <w:keepLines w:val="0"/>
              <w:suppressLineNumbers w:val="0"/>
              <w:spacing w:before="0" w:beforeAutospacing="0" w:after="0" w:afterAutospacing="0"/>
              <w:ind w:left="0" w:right="0"/>
              <w:rPr>
                <w:rFonts w:hint="default"/>
                <w:color w:val="auto"/>
              </w:rPr>
            </w:pPr>
            <w:r>
              <w:rPr>
                <w:rFonts w:hint="eastAsia"/>
                <w:color w:val="auto"/>
              </w:rPr>
              <w:t>2021年9月19日~20日</w:t>
            </w:r>
          </w:p>
        </w:tc>
        <w:tc>
          <w:tcPr>
            <w:tcW w:w="832" w:type="dxa"/>
            <w:vMerge w:val="restart"/>
            <w:vAlign w:val="center"/>
          </w:tcPr>
          <w:p w14:paraId="6612FA99">
            <w:pPr>
              <w:pStyle w:val="91"/>
              <w:keepNext w:val="0"/>
              <w:keepLines w:val="0"/>
              <w:suppressLineNumbers w:val="0"/>
              <w:spacing w:before="0" w:beforeAutospacing="0" w:after="0" w:afterAutospacing="0"/>
              <w:ind w:left="0" w:right="0"/>
              <w:jc w:val="left"/>
              <w:rPr>
                <w:rFonts w:hint="default"/>
                <w:color w:val="auto"/>
              </w:rPr>
            </w:pPr>
            <w:r>
              <w:rPr>
                <w:rFonts w:hint="eastAsia"/>
                <w:color w:val="auto"/>
              </w:rPr>
              <w:t>DA003</w:t>
            </w:r>
          </w:p>
        </w:tc>
        <w:tc>
          <w:tcPr>
            <w:tcW w:w="1552" w:type="dxa"/>
            <w:vMerge w:val="restart"/>
            <w:vAlign w:val="center"/>
          </w:tcPr>
          <w:p w14:paraId="01249E25">
            <w:pPr>
              <w:pStyle w:val="91"/>
              <w:keepNext w:val="0"/>
              <w:keepLines w:val="0"/>
              <w:suppressLineNumbers w:val="0"/>
              <w:spacing w:before="0" w:beforeAutospacing="0" w:after="0" w:afterAutospacing="0"/>
              <w:ind w:left="0" w:right="0"/>
              <w:jc w:val="left"/>
              <w:rPr>
                <w:rFonts w:hint="default"/>
                <w:color w:val="auto"/>
              </w:rPr>
            </w:pPr>
            <w:r>
              <w:rPr>
                <w:rFonts w:hint="eastAsia"/>
                <w:color w:val="auto"/>
              </w:rPr>
              <w:t>汽油装船油气回收设施排气筒</w:t>
            </w:r>
          </w:p>
        </w:tc>
        <w:tc>
          <w:tcPr>
            <w:tcW w:w="786" w:type="dxa"/>
            <w:vAlign w:val="center"/>
          </w:tcPr>
          <w:p w14:paraId="74D3ADC1">
            <w:pPr>
              <w:pStyle w:val="91"/>
              <w:keepNext w:val="0"/>
              <w:keepLines w:val="0"/>
              <w:suppressLineNumbers w:val="0"/>
              <w:spacing w:before="0" w:beforeAutospacing="0" w:after="0" w:afterAutospacing="0"/>
              <w:ind w:left="0" w:right="0"/>
              <w:jc w:val="left"/>
              <w:rPr>
                <w:rFonts w:hint="default"/>
                <w:color w:val="auto"/>
              </w:rPr>
            </w:pPr>
            <w:r>
              <w:rPr>
                <w:rFonts w:hint="eastAsia"/>
                <w:color w:val="auto"/>
              </w:rPr>
              <w:t>进口</w:t>
            </w:r>
          </w:p>
        </w:tc>
        <w:tc>
          <w:tcPr>
            <w:tcW w:w="974" w:type="dxa"/>
            <w:vMerge w:val="restart"/>
            <w:vAlign w:val="center"/>
          </w:tcPr>
          <w:p w14:paraId="77BDCDC8">
            <w:pPr>
              <w:pStyle w:val="91"/>
              <w:keepNext w:val="0"/>
              <w:keepLines w:val="0"/>
              <w:suppressLineNumbers w:val="0"/>
              <w:spacing w:before="0" w:beforeAutospacing="0" w:after="0" w:afterAutospacing="0"/>
              <w:ind w:left="0" w:right="0"/>
              <w:jc w:val="left"/>
              <w:rPr>
                <w:rFonts w:hint="default"/>
                <w:color w:val="auto"/>
              </w:rPr>
            </w:pPr>
            <w:r>
              <w:rPr>
                <w:rFonts w:hint="eastAsia"/>
                <w:color w:val="auto"/>
              </w:rPr>
              <w:t>非甲烷总烃</w:t>
            </w:r>
          </w:p>
        </w:tc>
        <w:tc>
          <w:tcPr>
            <w:tcW w:w="1609" w:type="dxa"/>
            <w:vAlign w:val="center"/>
          </w:tcPr>
          <w:p w14:paraId="478C630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44915</w:t>
            </w:r>
          </w:p>
        </w:tc>
        <w:tc>
          <w:tcPr>
            <w:tcW w:w="911" w:type="dxa"/>
            <w:vMerge w:val="restart"/>
          </w:tcPr>
          <w:p w14:paraId="6FBFB046">
            <w:pPr>
              <w:pStyle w:val="91"/>
              <w:keepNext w:val="0"/>
              <w:keepLines w:val="0"/>
              <w:suppressLineNumbers w:val="0"/>
              <w:spacing w:before="0" w:beforeAutospacing="0" w:after="0" w:afterAutospacing="0"/>
              <w:ind w:left="0" w:right="0"/>
              <w:rPr>
                <w:rFonts w:hint="default"/>
                <w:color w:val="auto"/>
              </w:rPr>
            </w:pPr>
            <w:r>
              <w:rPr>
                <w:rFonts w:hint="eastAsia"/>
                <w:color w:val="auto"/>
              </w:rPr>
              <w:t>99.98</w:t>
            </w:r>
          </w:p>
        </w:tc>
        <w:tc>
          <w:tcPr>
            <w:tcW w:w="699" w:type="dxa"/>
            <w:vMerge w:val="restart"/>
          </w:tcPr>
          <w:p w14:paraId="27DA5821">
            <w:pPr>
              <w:pStyle w:val="91"/>
              <w:keepNext w:val="0"/>
              <w:keepLines w:val="0"/>
              <w:suppressLineNumbers w:val="0"/>
              <w:spacing w:before="0" w:beforeAutospacing="0" w:after="0" w:afterAutospacing="0"/>
              <w:ind w:left="0" w:right="0"/>
              <w:rPr>
                <w:rFonts w:hint="default"/>
                <w:color w:val="auto"/>
              </w:rPr>
            </w:pPr>
            <w:r>
              <w:rPr>
                <w:rFonts w:hint="eastAsia"/>
                <w:color w:val="auto"/>
              </w:rPr>
              <w:t>95</w:t>
            </w:r>
          </w:p>
        </w:tc>
        <w:tc>
          <w:tcPr>
            <w:tcW w:w="918" w:type="dxa"/>
            <w:vMerge w:val="restart"/>
          </w:tcPr>
          <w:p w14:paraId="7E73B6A3">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r w14:paraId="20D1A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Merge w:val="continue"/>
          </w:tcPr>
          <w:p w14:paraId="2536F23D">
            <w:pPr>
              <w:pStyle w:val="91"/>
              <w:keepNext w:val="0"/>
              <w:keepLines w:val="0"/>
              <w:suppressLineNumbers w:val="0"/>
              <w:spacing w:before="0" w:beforeAutospacing="0" w:after="0" w:afterAutospacing="0"/>
              <w:ind w:left="0" w:right="0"/>
              <w:rPr>
                <w:rFonts w:hint="default"/>
                <w:color w:val="auto"/>
              </w:rPr>
            </w:pPr>
          </w:p>
        </w:tc>
        <w:tc>
          <w:tcPr>
            <w:tcW w:w="832" w:type="dxa"/>
            <w:vMerge w:val="continue"/>
          </w:tcPr>
          <w:p w14:paraId="051005B9">
            <w:pPr>
              <w:pStyle w:val="91"/>
              <w:keepNext w:val="0"/>
              <w:keepLines w:val="0"/>
              <w:suppressLineNumbers w:val="0"/>
              <w:spacing w:before="0" w:beforeAutospacing="0" w:after="0" w:afterAutospacing="0"/>
              <w:ind w:left="0" w:right="0"/>
              <w:rPr>
                <w:rFonts w:hint="default"/>
                <w:color w:val="auto"/>
              </w:rPr>
            </w:pPr>
          </w:p>
        </w:tc>
        <w:tc>
          <w:tcPr>
            <w:tcW w:w="1552" w:type="dxa"/>
            <w:vMerge w:val="continue"/>
          </w:tcPr>
          <w:p w14:paraId="52B84ACB">
            <w:pPr>
              <w:pStyle w:val="91"/>
              <w:keepNext w:val="0"/>
              <w:keepLines w:val="0"/>
              <w:suppressLineNumbers w:val="0"/>
              <w:spacing w:before="0" w:beforeAutospacing="0" w:after="0" w:afterAutospacing="0"/>
              <w:ind w:left="0" w:right="0"/>
              <w:rPr>
                <w:rFonts w:hint="default"/>
                <w:color w:val="auto"/>
              </w:rPr>
            </w:pPr>
          </w:p>
        </w:tc>
        <w:tc>
          <w:tcPr>
            <w:tcW w:w="786" w:type="dxa"/>
          </w:tcPr>
          <w:p w14:paraId="031A3D9E">
            <w:pPr>
              <w:pStyle w:val="91"/>
              <w:keepNext w:val="0"/>
              <w:keepLines w:val="0"/>
              <w:suppressLineNumbers w:val="0"/>
              <w:spacing w:before="0" w:beforeAutospacing="0" w:after="0" w:afterAutospacing="0"/>
              <w:ind w:left="0" w:right="0"/>
              <w:rPr>
                <w:rFonts w:hint="default"/>
                <w:color w:val="auto"/>
              </w:rPr>
            </w:pPr>
            <w:r>
              <w:rPr>
                <w:rFonts w:hint="eastAsia"/>
                <w:color w:val="auto"/>
              </w:rPr>
              <w:t>出口</w:t>
            </w:r>
          </w:p>
        </w:tc>
        <w:tc>
          <w:tcPr>
            <w:tcW w:w="974" w:type="dxa"/>
            <w:vMerge w:val="continue"/>
          </w:tcPr>
          <w:p w14:paraId="20BA9125">
            <w:pPr>
              <w:pStyle w:val="91"/>
              <w:keepNext w:val="0"/>
              <w:keepLines w:val="0"/>
              <w:suppressLineNumbers w:val="0"/>
              <w:spacing w:before="0" w:beforeAutospacing="0" w:after="0" w:afterAutospacing="0"/>
              <w:ind w:left="0" w:right="0"/>
              <w:rPr>
                <w:rFonts w:hint="default"/>
                <w:color w:val="auto"/>
              </w:rPr>
            </w:pPr>
          </w:p>
        </w:tc>
        <w:tc>
          <w:tcPr>
            <w:tcW w:w="1609" w:type="dxa"/>
            <w:vAlign w:val="center"/>
          </w:tcPr>
          <w:p w14:paraId="305EFB8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10.3</w:t>
            </w:r>
          </w:p>
        </w:tc>
        <w:tc>
          <w:tcPr>
            <w:tcW w:w="911" w:type="dxa"/>
            <w:vMerge w:val="continue"/>
          </w:tcPr>
          <w:p w14:paraId="46E36425">
            <w:pPr>
              <w:pStyle w:val="91"/>
              <w:keepNext w:val="0"/>
              <w:keepLines w:val="0"/>
              <w:suppressLineNumbers w:val="0"/>
              <w:spacing w:before="0" w:beforeAutospacing="0" w:after="0" w:afterAutospacing="0"/>
              <w:ind w:left="0" w:right="0"/>
              <w:rPr>
                <w:rFonts w:hint="default"/>
                <w:color w:val="auto"/>
              </w:rPr>
            </w:pPr>
          </w:p>
        </w:tc>
        <w:tc>
          <w:tcPr>
            <w:tcW w:w="699" w:type="dxa"/>
            <w:vMerge w:val="continue"/>
          </w:tcPr>
          <w:p w14:paraId="1C85C8F1">
            <w:pPr>
              <w:pStyle w:val="91"/>
              <w:keepNext w:val="0"/>
              <w:keepLines w:val="0"/>
              <w:suppressLineNumbers w:val="0"/>
              <w:spacing w:before="0" w:beforeAutospacing="0" w:after="0" w:afterAutospacing="0"/>
              <w:ind w:left="0" w:right="0"/>
              <w:rPr>
                <w:rFonts w:hint="default"/>
                <w:color w:val="auto"/>
              </w:rPr>
            </w:pPr>
          </w:p>
        </w:tc>
        <w:tc>
          <w:tcPr>
            <w:tcW w:w="918" w:type="dxa"/>
            <w:vMerge w:val="continue"/>
          </w:tcPr>
          <w:p w14:paraId="537A95CC">
            <w:pPr>
              <w:pStyle w:val="91"/>
              <w:keepNext w:val="0"/>
              <w:keepLines w:val="0"/>
              <w:suppressLineNumbers w:val="0"/>
              <w:spacing w:before="0" w:beforeAutospacing="0" w:after="0" w:afterAutospacing="0"/>
              <w:ind w:left="0" w:right="0"/>
              <w:rPr>
                <w:rFonts w:hint="default"/>
                <w:color w:val="auto"/>
              </w:rPr>
            </w:pPr>
          </w:p>
        </w:tc>
      </w:tr>
    </w:tbl>
    <w:p w14:paraId="7399E402">
      <w:pPr>
        <w:pStyle w:val="117"/>
        <w:rPr>
          <w:color w:val="auto"/>
        </w:rPr>
      </w:pPr>
      <w:r>
        <w:rPr>
          <w:rFonts w:hint="eastAsia"/>
          <w:color w:val="auto"/>
        </w:rPr>
        <w:t>注</w:t>
      </w:r>
      <w:r>
        <w:rPr>
          <w:color w:val="auto"/>
        </w:rPr>
        <w:t>：</w:t>
      </w:r>
      <w:r>
        <w:rPr>
          <w:rFonts w:hint="eastAsia"/>
          <w:color w:val="auto"/>
        </w:rPr>
        <w:t>汽油装船油气回收设施的</w:t>
      </w:r>
      <w:r>
        <w:rPr>
          <w:color w:val="auto"/>
        </w:rPr>
        <w:t>检测结果取均值。</w:t>
      </w:r>
    </w:p>
    <w:p w14:paraId="252F9463">
      <w:pPr>
        <w:ind w:firstLine="480"/>
        <w:rPr>
          <w:color w:val="auto"/>
        </w:rPr>
      </w:pPr>
      <w:r>
        <w:rPr>
          <w:rFonts w:hint="eastAsia"/>
          <w:color w:val="auto"/>
        </w:rPr>
        <w:t>根据</w:t>
      </w:r>
      <w:r>
        <w:rPr>
          <w:color w:val="auto"/>
        </w:rPr>
        <w:t>检测结果可知，甲醇</w:t>
      </w:r>
      <w:r>
        <w:rPr>
          <w:rFonts w:hint="eastAsia"/>
          <w:color w:val="auto"/>
        </w:rPr>
        <w:t>装车油气</w:t>
      </w:r>
      <w:r>
        <w:rPr>
          <w:color w:val="auto"/>
        </w:rPr>
        <w:t>回收设施</w:t>
      </w:r>
      <w:r>
        <w:rPr>
          <w:rFonts w:hint="eastAsia"/>
          <w:color w:val="auto"/>
        </w:rPr>
        <w:t>排气筒</w:t>
      </w:r>
      <w:r>
        <w:rPr>
          <w:color w:val="auto"/>
        </w:rPr>
        <w:t>（</w:t>
      </w:r>
      <w:r>
        <w:rPr>
          <w:rFonts w:hint="eastAsia"/>
          <w:color w:val="auto"/>
        </w:rPr>
        <w:t>DA00</w:t>
      </w:r>
      <w:r>
        <w:rPr>
          <w:color w:val="auto"/>
        </w:rPr>
        <w:t>4）</w:t>
      </w:r>
      <w:r>
        <w:rPr>
          <w:rFonts w:hint="eastAsia"/>
          <w:color w:val="auto"/>
        </w:rPr>
        <w:t>、汽油装车油气</w:t>
      </w:r>
      <w:r>
        <w:rPr>
          <w:color w:val="auto"/>
        </w:rPr>
        <w:t>回收设施</w:t>
      </w:r>
      <w:r>
        <w:rPr>
          <w:rFonts w:hint="eastAsia"/>
          <w:color w:val="auto"/>
        </w:rPr>
        <w:t>排气筒</w:t>
      </w:r>
      <w:r>
        <w:rPr>
          <w:color w:val="auto"/>
        </w:rPr>
        <w:t>（</w:t>
      </w:r>
      <w:r>
        <w:rPr>
          <w:rFonts w:hint="eastAsia"/>
          <w:color w:val="auto"/>
        </w:rPr>
        <w:t>DA00</w:t>
      </w:r>
      <w:r>
        <w:rPr>
          <w:color w:val="auto"/>
        </w:rPr>
        <w:t>2）</w:t>
      </w:r>
      <w:r>
        <w:rPr>
          <w:rFonts w:hint="eastAsia"/>
          <w:color w:val="auto"/>
        </w:rPr>
        <w:t>、汽油装船油气</w:t>
      </w:r>
      <w:r>
        <w:rPr>
          <w:color w:val="auto"/>
        </w:rPr>
        <w:t>回收设施</w:t>
      </w:r>
      <w:r>
        <w:rPr>
          <w:rFonts w:hint="eastAsia"/>
          <w:color w:val="auto"/>
        </w:rPr>
        <w:t>排气筒</w:t>
      </w:r>
      <w:r>
        <w:rPr>
          <w:color w:val="auto"/>
        </w:rPr>
        <w:t>（</w:t>
      </w:r>
      <w:r>
        <w:rPr>
          <w:rFonts w:hint="eastAsia"/>
          <w:color w:val="auto"/>
        </w:rPr>
        <w:t>DA00</w:t>
      </w:r>
      <w:r>
        <w:rPr>
          <w:color w:val="auto"/>
        </w:rPr>
        <w:t>3）</w:t>
      </w:r>
      <w:r>
        <w:rPr>
          <w:rFonts w:hint="eastAsia"/>
          <w:color w:val="auto"/>
        </w:rPr>
        <w:t>排放</w:t>
      </w:r>
      <w:r>
        <w:rPr>
          <w:color w:val="auto"/>
        </w:rPr>
        <w:t>的非甲烷总烃均可达到</w:t>
      </w:r>
      <w:r>
        <w:rPr>
          <w:rFonts w:hint="eastAsia"/>
          <w:color w:val="auto"/>
        </w:rPr>
        <w:t>《石油炼制工业污染物排放标准》（GB31570-2015，含2024年修改单）表3大气污染物排放限值要求。</w:t>
      </w:r>
    </w:p>
    <w:p w14:paraId="2D5C5E9A">
      <w:pPr>
        <w:ind w:firstLine="480"/>
        <w:rPr>
          <w:color w:val="auto"/>
        </w:rPr>
      </w:pPr>
      <w:r>
        <w:rPr>
          <w:rFonts w:hint="eastAsia"/>
          <w:color w:val="auto"/>
        </w:rPr>
        <w:t>（</w:t>
      </w:r>
      <w:r>
        <w:rPr>
          <w:color w:val="auto"/>
        </w:rPr>
        <w:t>2</w:t>
      </w:r>
      <w:r>
        <w:rPr>
          <w:rFonts w:hint="eastAsia"/>
          <w:color w:val="auto"/>
        </w:rPr>
        <w:t>）无组织</w:t>
      </w:r>
      <w:r>
        <w:rPr>
          <w:color w:val="auto"/>
        </w:rPr>
        <w:t>废气</w:t>
      </w:r>
    </w:p>
    <w:p w14:paraId="4BA5FC1B">
      <w:pPr>
        <w:ind w:firstLine="480"/>
        <w:rPr>
          <w:color w:val="auto"/>
        </w:rPr>
      </w:pPr>
      <w:r>
        <w:rPr>
          <w:rFonts w:hint="eastAsia"/>
          <w:color w:val="auto"/>
        </w:rPr>
        <w:t>现有</w:t>
      </w:r>
      <w:r>
        <w:rPr>
          <w:color w:val="auto"/>
        </w:rPr>
        <w:t>工程</w:t>
      </w:r>
      <w:r>
        <w:rPr>
          <w:rFonts w:hint="eastAsia"/>
          <w:color w:val="auto"/>
        </w:rPr>
        <w:t>无组织</w:t>
      </w:r>
      <w:r>
        <w:rPr>
          <w:color w:val="auto"/>
        </w:rPr>
        <w:t>排放废气主要</w:t>
      </w:r>
      <w:r>
        <w:rPr>
          <w:rFonts w:hint="eastAsia"/>
          <w:color w:val="auto"/>
        </w:rPr>
        <w:t>为储罐</w:t>
      </w:r>
      <w:r>
        <w:rPr>
          <w:color w:val="auto"/>
        </w:rPr>
        <w:t>呼吸废气</w:t>
      </w:r>
      <w:r>
        <w:rPr>
          <w:rFonts w:hint="eastAsia"/>
          <w:color w:val="auto"/>
        </w:rPr>
        <w:t>、</w:t>
      </w:r>
      <w:r>
        <w:rPr>
          <w:color w:val="auto"/>
        </w:rPr>
        <w:t>原油和柴油等装卸废气</w:t>
      </w:r>
      <w:r>
        <w:rPr>
          <w:rFonts w:hint="eastAsia"/>
          <w:color w:val="auto"/>
        </w:rPr>
        <w:t>，</w:t>
      </w:r>
      <w:r>
        <w:rPr>
          <w:color w:val="auto"/>
        </w:rPr>
        <w:t>以</w:t>
      </w:r>
      <w:r>
        <w:rPr>
          <w:rFonts w:hint="eastAsia"/>
          <w:color w:val="auto"/>
        </w:rPr>
        <w:t>非甲烷总烃表征。根据《广西东油沥青有限公司5万吨级油气码头油库新建汽油装船油气回收系统项目环境影响报告表》核算</w:t>
      </w:r>
      <w:r>
        <w:rPr>
          <w:color w:val="auto"/>
        </w:rPr>
        <w:t>结果，现有工程无组织废气排放量为</w:t>
      </w:r>
      <w:r>
        <w:rPr>
          <w:rFonts w:hint="eastAsia"/>
          <w:color w:val="auto"/>
        </w:rPr>
        <w:t>305.216t/a</w:t>
      </w:r>
      <w:r>
        <w:rPr>
          <w:color w:val="auto"/>
        </w:rPr>
        <w:t>。</w:t>
      </w:r>
    </w:p>
    <w:p w14:paraId="39C5808F">
      <w:pPr>
        <w:ind w:firstLine="480"/>
        <w:rPr>
          <w:rFonts w:hint="eastAsia"/>
          <w:color w:val="auto"/>
        </w:rPr>
      </w:pPr>
      <w:r>
        <w:rPr>
          <w:rFonts w:hint="eastAsia"/>
          <w:color w:val="auto"/>
        </w:rPr>
        <w:t>根据</w:t>
      </w:r>
      <w:r>
        <w:rPr>
          <w:color w:val="auto"/>
        </w:rPr>
        <w:t>《</w:t>
      </w:r>
      <w:r>
        <w:rPr>
          <w:rFonts w:hint="eastAsia"/>
          <w:color w:val="auto"/>
        </w:rPr>
        <w:t>广西东油沥青有限公司5万吨级油气码头油库新建汽油装船油气回收系统项目环境保护设施竣工验收监测报告表</w:t>
      </w:r>
      <w:r>
        <w:rPr>
          <w:color w:val="auto"/>
        </w:rPr>
        <w:t>》</w:t>
      </w:r>
      <w:r>
        <w:rPr>
          <w:rFonts w:hint="eastAsia"/>
          <w:color w:val="auto"/>
        </w:rPr>
        <w:t>2021年9月19日~20日的</w:t>
      </w:r>
      <w:r>
        <w:rPr>
          <w:color w:val="auto"/>
        </w:rPr>
        <w:t>验收监测</w:t>
      </w:r>
      <w:r>
        <w:rPr>
          <w:rFonts w:hint="eastAsia"/>
          <w:color w:val="auto"/>
        </w:rPr>
        <w:t>结果，厂界外无组织排放废气非甲烷总烃监测结果均达到《石油炼制工业污染物排放标准》（GB31570-2015）表5标准限值要求。检测结果如下：</w:t>
      </w:r>
    </w:p>
    <w:p w14:paraId="60A29AF6">
      <w:pPr>
        <w:ind w:firstLine="480"/>
        <w:rPr>
          <w:rFonts w:hint="eastAsia"/>
          <w:color w:val="auto"/>
        </w:rPr>
      </w:pPr>
    </w:p>
    <w:p w14:paraId="2ED714E0">
      <w:pPr>
        <w:ind w:firstLine="480"/>
        <w:rPr>
          <w:rFonts w:hint="eastAsia"/>
          <w:color w:val="auto"/>
        </w:rPr>
      </w:pPr>
    </w:p>
    <w:p w14:paraId="6A643D0E">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2.1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2</w:t>
      </w:r>
      <w:r>
        <w:rPr>
          <w:color w:val="auto"/>
        </w:rPr>
        <w:fldChar w:fldCharType="end"/>
      </w:r>
      <w:r>
        <w:rPr>
          <w:rFonts w:hint="eastAsia"/>
          <w:color w:val="auto"/>
        </w:rPr>
        <w:t>现有工程厂界无组织监测结果</w:t>
      </w:r>
    </w:p>
    <w:tbl>
      <w:tblPr>
        <w:tblStyle w:val="4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20"/>
        <w:gridCol w:w="3020"/>
        <w:gridCol w:w="3020"/>
      </w:tblGrid>
      <w:tr w14:paraId="2081F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0" w:type="dxa"/>
            <w:vMerge w:val="restart"/>
            <w:vAlign w:val="center"/>
          </w:tcPr>
          <w:p w14:paraId="0D42361A">
            <w:pPr>
              <w:pStyle w:val="91"/>
              <w:keepNext w:val="0"/>
              <w:keepLines w:val="0"/>
              <w:suppressLineNumbers w:val="0"/>
              <w:spacing w:before="0" w:beforeAutospacing="0" w:after="0" w:afterAutospacing="0"/>
              <w:ind w:left="0" w:right="0"/>
              <w:jc w:val="center"/>
              <w:rPr>
                <w:rFonts w:hint="default"/>
                <w:b/>
                <w:bCs/>
                <w:color w:val="auto"/>
              </w:rPr>
            </w:pPr>
            <w:r>
              <w:rPr>
                <w:rFonts w:hint="eastAsia"/>
                <w:b/>
                <w:bCs/>
                <w:color w:val="auto"/>
              </w:rPr>
              <w:t>监测点位</w:t>
            </w:r>
          </w:p>
        </w:tc>
        <w:tc>
          <w:tcPr>
            <w:tcW w:w="6040" w:type="dxa"/>
            <w:gridSpan w:val="2"/>
            <w:vAlign w:val="center"/>
          </w:tcPr>
          <w:p w14:paraId="7E4B0EC1">
            <w:pPr>
              <w:pStyle w:val="91"/>
              <w:keepNext w:val="0"/>
              <w:keepLines w:val="0"/>
              <w:suppressLineNumbers w:val="0"/>
              <w:spacing w:before="0" w:beforeAutospacing="0" w:after="0" w:afterAutospacing="0"/>
              <w:ind w:left="0" w:right="0"/>
              <w:jc w:val="center"/>
              <w:rPr>
                <w:rFonts w:hint="default"/>
                <w:b/>
                <w:bCs/>
                <w:color w:val="auto"/>
              </w:rPr>
            </w:pPr>
            <w:r>
              <w:rPr>
                <w:rFonts w:hint="eastAsia"/>
                <w:b/>
                <w:bCs/>
                <w:color w:val="auto"/>
              </w:rPr>
              <w:t>监测结果（mg/m</w:t>
            </w:r>
            <w:r>
              <w:rPr>
                <w:rFonts w:hint="eastAsia"/>
                <w:b/>
                <w:bCs/>
                <w:color w:val="auto"/>
                <w:vertAlign w:val="superscript"/>
              </w:rPr>
              <w:t>3</w:t>
            </w:r>
            <w:r>
              <w:rPr>
                <w:rFonts w:hint="eastAsia"/>
                <w:b/>
                <w:bCs/>
                <w:color w:val="auto"/>
              </w:rPr>
              <w:t>）</w:t>
            </w:r>
          </w:p>
        </w:tc>
      </w:tr>
      <w:tr w14:paraId="4D34A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0" w:type="dxa"/>
            <w:vMerge w:val="continue"/>
            <w:vAlign w:val="center"/>
          </w:tcPr>
          <w:p w14:paraId="33EAEE6B">
            <w:pPr>
              <w:pStyle w:val="91"/>
              <w:keepNext w:val="0"/>
              <w:keepLines w:val="0"/>
              <w:suppressLineNumbers w:val="0"/>
              <w:spacing w:before="0" w:beforeAutospacing="0" w:after="0" w:afterAutospacing="0"/>
              <w:ind w:left="0" w:right="0"/>
              <w:jc w:val="center"/>
              <w:rPr>
                <w:rFonts w:hint="default"/>
                <w:b/>
                <w:bCs/>
                <w:color w:val="auto"/>
              </w:rPr>
            </w:pPr>
          </w:p>
        </w:tc>
        <w:tc>
          <w:tcPr>
            <w:tcW w:w="3020" w:type="dxa"/>
            <w:vAlign w:val="center"/>
          </w:tcPr>
          <w:p w14:paraId="56C93B90">
            <w:pPr>
              <w:pStyle w:val="91"/>
              <w:keepNext w:val="0"/>
              <w:keepLines w:val="0"/>
              <w:suppressLineNumbers w:val="0"/>
              <w:spacing w:before="0" w:beforeAutospacing="0" w:after="0" w:afterAutospacing="0"/>
              <w:ind w:left="0" w:right="0"/>
              <w:jc w:val="center"/>
              <w:rPr>
                <w:rFonts w:hint="default"/>
                <w:b/>
                <w:bCs/>
                <w:color w:val="auto"/>
              </w:rPr>
            </w:pPr>
            <w:r>
              <w:rPr>
                <w:rFonts w:hint="eastAsia"/>
                <w:b/>
                <w:bCs/>
                <w:color w:val="auto"/>
              </w:rPr>
              <w:t>2021.9.19</w:t>
            </w:r>
          </w:p>
        </w:tc>
        <w:tc>
          <w:tcPr>
            <w:tcW w:w="3020" w:type="dxa"/>
            <w:vAlign w:val="center"/>
          </w:tcPr>
          <w:p w14:paraId="00FEE21A">
            <w:pPr>
              <w:pStyle w:val="91"/>
              <w:keepNext w:val="0"/>
              <w:keepLines w:val="0"/>
              <w:suppressLineNumbers w:val="0"/>
              <w:spacing w:before="0" w:beforeAutospacing="0" w:after="0" w:afterAutospacing="0"/>
              <w:ind w:left="0" w:right="0"/>
              <w:jc w:val="center"/>
              <w:rPr>
                <w:rFonts w:hint="default"/>
                <w:b/>
                <w:bCs/>
                <w:color w:val="auto"/>
              </w:rPr>
            </w:pPr>
            <w:r>
              <w:rPr>
                <w:rFonts w:hint="eastAsia"/>
                <w:b/>
                <w:bCs/>
                <w:color w:val="auto"/>
              </w:rPr>
              <w:t>2021.9.20</w:t>
            </w:r>
          </w:p>
        </w:tc>
      </w:tr>
      <w:tr w14:paraId="3DAEB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0" w:type="dxa"/>
            <w:vAlign w:val="center"/>
          </w:tcPr>
          <w:p w14:paraId="7876484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厂界上风向</w:t>
            </w:r>
          </w:p>
        </w:tc>
        <w:tc>
          <w:tcPr>
            <w:tcW w:w="3020" w:type="dxa"/>
            <w:vAlign w:val="center"/>
          </w:tcPr>
          <w:p w14:paraId="6CBFBE3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0.32</w:t>
            </w:r>
          </w:p>
        </w:tc>
        <w:tc>
          <w:tcPr>
            <w:tcW w:w="3020" w:type="dxa"/>
            <w:vAlign w:val="center"/>
          </w:tcPr>
          <w:p w14:paraId="12F0DF2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0.503</w:t>
            </w:r>
          </w:p>
        </w:tc>
      </w:tr>
      <w:tr w14:paraId="27E80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0" w:type="dxa"/>
            <w:vAlign w:val="center"/>
          </w:tcPr>
          <w:p w14:paraId="73E8140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厂界下风向</w:t>
            </w:r>
          </w:p>
        </w:tc>
        <w:tc>
          <w:tcPr>
            <w:tcW w:w="3020" w:type="dxa"/>
            <w:vAlign w:val="center"/>
          </w:tcPr>
          <w:p w14:paraId="2955611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0.61</w:t>
            </w:r>
          </w:p>
        </w:tc>
        <w:tc>
          <w:tcPr>
            <w:tcW w:w="3020" w:type="dxa"/>
            <w:vAlign w:val="center"/>
          </w:tcPr>
          <w:p w14:paraId="4B7A24F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0.39</w:t>
            </w:r>
          </w:p>
        </w:tc>
      </w:tr>
      <w:tr w14:paraId="460FF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0" w:type="dxa"/>
            <w:vAlign w:val="center"/>
          </w:tcPr>
          <w:p w14:paraId="0A9CBD6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厂界下风向</w:t>
            </w:r>
          </w:p>
        </w:tc>
        <w:tc>
          <w:tcPr>
            <w:tcW w:w="3020" w:type="dxa"/>
            <w:vAlign w:val="center"/>
          </w:tcPr>
          <w:p w14:paraId="3A1BCA4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0.36</w:t>
            </w:r>
          </w:p>
        </w:tc>
        <w:tc>
          <w:tcPr>
            <w:tcW w:w="3020" w:type="dxa"/>
            <w:vAlign w:val="center"/>
          </w:tcPr>
          <w:p w14:paraId="572BCAC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0.421</w:t>
            </w:r>
          </w:p>
        </w:tc>
      </w:tr>
      <w:tr w14:paraId="4C4A0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0" w:type="dxa"/>
            <w:vAlign w:val="center"/>
          </w:tcPr>
          <w:p w14:paraId="6EC8BF7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厂界下风向</w:t>
            </w:r>
          </w:p>
        </w:tc>
        <w:tc>
          <w:tcPr>
            <w:tcW w:w="3020" w:type="dxa"/>
            <w:vAlign w:val="center"/>
          </w:tcPr>
          <w:p w14:paraId="2666116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0.23</w:t>
            </w:r>
          </w:p>
        </w:tc>
        <w:tc>
          <w:tcPr>
            <w:tcW w:w="3020" w:type="dxa"/>
            <w:vAlign w:val="center"/>
          </w:tcPr>
          <w:p w14:paraId="34B62F8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0.427</w:t>
            </w:r>
          </w:p>
        </w:tc>
      </w:tr>
      <w:tr w14:paraId="4562F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0" w:type="dxa"/>
            <w:vAlign w:val="center"/>
          </w:tcPr>
          <w:p w14:paraId="1426638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标准限值</w:t>
            </w:r>
          </w:p>
        </w:tc>
        <w:tc>
          <w:tcPr>
            <w:tcW w:w="3020" w:type="dxa"/>
            <w:vAlign w:val="center"/>
          </w:tcPr>
          <w:p w14:paraId="1FC5C16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4</w:t>
            </w:r>
          </w:p>
        </w:tc>
        <w:tc>
          <w:tcPr>
            <w:tcW w:w="3020" w:type="dxa"/>
            <w:vAlign w:val="center"/>
          </w:tcPr>
          <w:p w14:paraId="009A956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4</w:t>
            </w:r>
          </w:p>
        </w:tc>
      </w:tr>
    </w:tbl>
    <w:p w14:paraId="35161B76">
      <w:pPr>
        <w:pStyle w:val="117"/>
        <w:rPr>
          <w:color w:val="auto"/>
        </w:rPr>
      </w:pPr>
      <w:r>
        <w:rPr>
          <w:rFonts w:hint="eastAsia"/>
          <w:color w:val="auto"/>
        </w:rPr>
        <w:t>注：监测结果取均值</w:t>
      </w:r>
    </w:p>
    <w:p w14:paraId="68E1C53D">
      <w:pPr>
        <w:ind w:firstLine="480"/>
        <w:rPr>
          <w:color w:val="auto"/>
        </w:rPr>
      </w:pPr>
      <w:r>
        <w:rPr>
          <w:rFonts w:hint="eastAsia"/>
          <w:color w:val="auto"/>
        </w:rPr>
        <w:t>（3）船舶废气</w:t>
      </w:r>
    </w:p>
    <w:p w14:paraId="3858A674">
      <w:pPr>
        <w:tabs>
          <w:tab w:val="left" w:pos="425"/>
        </w:tabs>
        <w:ind w:firstLine="480"/>
        <w:rPr>
          <w:color w:val="auto"/>
        </w:rPr>
      </w:pPr>
      <w:r>
        <w:rPr>
          <w:rFonts w:hint="eastAsia" w:cs="宋体"/>
          <w:color w:val="auto"/>
          <w:kern w:val="0"/>
          <w:lang w:bidi="ar"/>
        </w:rPr>
        <w:t>船舶到港停靠期间主机处于停运状态，发电机仍在工作，船舶废气主要是发电机耗油产生。</w:t>
      </w:r>
      <w:r>
        <w:rPr>
          <w:rFonts w:hint="eastAsia"/>
          <w:color w:val="auto"/>
        </w:rPr>
        <w:t>根据建设单位提供资料，货种运输船型，3000-</w:t>
      </w:r>
      <w:r>
        <w:rPr>
          <w:color w:val="auto"/>
        </w:rPr>
        <w:t>5</w:t>
      </w:r>
      <w:r>
        <w:rPr>
          <w:rFonts w:hint="eastAsia"/>
          <w:color w:val="auto"/>
        </w:rPr>
        <w:t>0000吨级。</w:t>
      </w:r>
    </w:p>
    <w:p w14:paraId="3BF67C32">
      <w:pPr>
        <w:ind w:firstLine="480"/>
        <w:rPr>
          <w:color w:val="auto"/>
        </w:rPr>
      </w:pPr>
      <w:r>
        <w:rPr>
          <w:rFonts w:hint="eastAsia"/>
          <w:color w:val="auto"/>
        </w:rPr>
        <w:t>结合吞吐量，现有工程全年到港船舶大约</w:t>
      </w:r>
      <w:r>
        <w:rPr>
          <w:color w:val="auto"/>
        </w:rPr>
        <w:t>为</w:t>
      </w:r>
      <w:r>
        <w:rPr>
          <w:rFonts w:hint="eastAsia"/>
          <w:color w:val="auto"/>
        </w:rPr>
        <w:t>5万</w:t>
      </w:r>
      <w:r>
        <w:rPr>
          <w:color w:val="auto"/>
        </w:rPr>
        <w:t>吨级</w:t>
      </w:r>
      <w:r>
        <w:rPr>
          <w:rFonts w:hint="eastAsia"/>
          <w:color w:val="auto"/>
        </w:rPr>
        <w:t>6艘</w:t>
      </w:r>
      <w:r>
        <w:rPr>
          <w:color w:val="auto"/>
        </w:rPr>
        <w:t>次、3万吨级</w:t>
      </w:r>
      <w:r>
        <w:rPr>
          <w:rFonts w:hint="eastAsia"/>
          <w:color w:val="auto"/>
        </w:rPr>
        <w:t>12艘次</w:t>
      </w:r>
      <w:r>
        <w:rPr>
          <w:color w:val="auto"/>
        </w:rPr>
        <w:t>、2万吨级</w:t>
      </w:r>
      <w:r>
        <w:rPr>
          <w:rFonts w:hint="eastAsia"/>
          <w:color w:val="auto"/>
        </w:rPr>
        <w:t>18艘次</w:t>
      </w:r>
      <w:r>
        <w:rPr>
          <w:color w:val="auto"/>
        </w:rPr>
        <w:t>、</w:t>
      </w:r>
      <w:r>
        <w:rPr>
          <w:rFonts w:hint="eastAsia"/>
          <w:color w:val="auto"/>
        </w:rPr>
        <w:t>1万</w:t>
      </w:r>
      <w:r>
        <w:rPr>
          <w:color w:val="auto"/>
        </w:rPr>
        <w:t>吨级</w:t>
      </w:r>
      <w:r>
        <w:rPr>
          <w:rFonts w:hint="eastAsia"/>
          <w:color w:val="auto"/>
        </w:rPr>
        <w:t>24艘次</w:t>
      </w:r>
      <w:r>
        <w:rPr>
          <w:color w:val="auto"/>
        </w:rPr>
        <w:t>、5千吨级</w:t>
      </w:r>
      <w:r>
        <w:rPr>
          <w:rFonts w:hint="eastAsia"/>
          <w:color w:val="auto"/>
        </w:rPr>
        <w:t>16艘次、</w:t>
      </w:r>
      <w:r>
        <w:rPr>
          <w:color w:val="auto"/>
        </w:rPr>
        <w:t>3千吨级</w:t>
      </w:r>
      <w:r>
        <w:rPr>
          <w:rFonts w:hint="eastAsia"/>
          <w:color w:val="auto"/>
        </w:rPr>
        <w:t>10艘次</w:t>
      </w:r>
      <w:r>
        <w:rPr>
          <w:color w:val="auto"/>
        </w:rPr>
        <w:t>。</w:t>
      </w:r>
      <w:r>
        <w:rPr>
          <w:rFonts w:hint="eastAsia" w:ascii="宋体" w:hAnsi="宋体" w:cs="宋体"/>
          <w:color w:val="auto"/>
          <w:kern w:val="0"/>
          <w:lang w:bidi="ar"/>
        </w:rPr>
        <w:t>发电机功率按</w:t>
      </w:r>
      <w:r>
        <w:rPr>
          <w:rFonts w:hint="eastAsia"/>
          <w:color w:val="auto"/>
          <w:kern w:val="0"/>
          <w:lang w:bidi="ar"/>
        </w:rPr>
        <w:t>40</w:t>
      </w:r>
      <w:r>
        <w:rPr>
          <w:color w:val="auto"/>
          <w:kern w:val="0"/>
          <w:lang w:bidi="ar"/>
        </w:rPr>
        <w:t>0</w:t>
      </w:r>
      <w:r>
        <w:rPr>
          <w:rFonts w:hint="eastAsia"/>
          <w:color w:val="auto"/>
          <w:kern w:val="0"/>
          <w:lang w:bidi="ar"/>
        </w:rPr>
        <w:t>kW</w:t>
      </w:r>
      <w:r>
        <w:rPr>
          <w:rFonts w:hint="eastAsia" w:ascii="宋体" w:hAnsi="宋体" w:cs="宋体"/>
          <w:color w:val="auto"/>
          <w:kern w:val="0"/>
          <w:lang w:bidi="ar"/>
        </w:rPr>
        <w:t>，按照船舶耗油量</w:t>
      </w:r>
      <w:r>
        <w:rPr>
          <w:color w:val="auto"/>
          <w:kern w:val="0"/>
          <w:lang w:bidi="ar"/>
        </w:rPr>
        <w:t>150g/</w:t>
      </w:r>
      <w:r>
        <w:rPr>
          <w:rFonts w:hint="eastAsia" w:ascii="宋体" w:hAnsi="宋体" w:cs="宋体"/>
          <w:color w:val="auto"/>
          <w:kern w:val="0"/>
          <w:lang w:bidi="ar"/>
        </w:rPr>
        <w:t>马力估算，则船舶每小时的耗油量为：</w:t>
      </w:r>
      <w:r>
        <w:rPr>
          <w:color w:val="auto"/>
          <w:kern w:val="0"/>
          <w:lang w:bidi="ar"/>
        </w:rPr>
        <w:t>M=150g/</w:t>
      </w:r>
      <w:r>
        <w:rPr>
          <w:rFonts w:hint="eastAsia" w:ascii="宋体" w:hAnsi="宋体" w:cs="宋体"/>
          <w:color w:val="auto"/>
          <w:kern w:val="0"/>
          <w:lang w:bidi="ar"/>
        </w:rPr>
        <w:t>马力</w:t>
      </w:r>
      <w:r>
        <w:rPr>
          <w:color w:val="auto"/>
          <w:kern w:val="0"/>
          <w:lang w:bidi="ar"/>
        </w:rPr>
        <w:t>×</w:t>
      </w:r>
      <w:r>
        <w:rPr>
          <w:rFonts w:hint="eastAsia" w:ascii="宋体" w:hAnsi="宋体" w:cs="宋体"/>
          <w:color w:val="auto"/>
          <w:kern w:val="0"/>
          <w:lang w:bidi="ar"/>
        </w:rPr>
        <w:t>（</w:t>
      </w:r>
      <w:r>
        <w:rPr>
          <w:rFonts w:hint="eastAsia"/>
          <w:color w:val="auto"/>
          <w:kern w:val="0"/>
          <w:lang w:bidi="ar"/>
        </w:rPr>
        <w:t>4</w:t>
      </w:r>
      <w:r>
        <w:rPr>
          <w:color w:val="auto"/>
          <w:kern w:val="0"/>
          <w:lang w:bidi="ar"/>
        </w:rPr>
        <w:t>00×1.36</w:t>
      </w:r>
      <w:r>
        <w:rPr>
          <w:rFonts w:hint="eastAsia" w:ascii="宋体" w:hAnsi="宋体" w:cs="宋体"/>
          <w:color w:val="auto"/>
          <w:kern w:val="0"/>
          <w:lang w:bidi="ar"/>
        </w:rPr>
        <w:t>）马力</w:t>
      </w:r>
      <w:r>
        <w:rPr>
          <w:color w:val="auto"/>
          <w:kern w:val="0"/>
          <w:lang w:bidi="ar"/>
        </w:rPr>
        <w:t>/h</w:t>
      </w:r>
      <w:r>
        <w:rPr>
          <w:rFonts w:hint="eastAsia" w:ascii="宋体" w:hAnsi="宋体" w:cs="宋体"/>
          <w:color w:val="auto"/>
          <w:kern w:val="0"/>
          <w:lang w:bidi="ar"/>
        </w:rPr>
        <w:t>＝</w:t>
      </w:r>
      <w:r>
        <w:rPr>
          <w:rFonts w:hint="eastAsia"/>
          <w:color w:val="auto"/>
          <w:kern w:val="0"/>
          <w:lang w:bidi="ar"/>
        </w:rPr>
        <w:t>81.6</w:t>
      </w:r>
      <w:r>
        <w:rPr>
          <w:color w:val="auto"/>
          <w:kern w:val="0"/>
          <w:lang w:bidi="ar"/>
        </w:rPr>
        <w:t>kg/h</w:t>
      </w:r>
      <w:r>
        <w:rPr>
          <w:rFonts w:hint="eastAsia" w:ascii="宋体" w:hAnsi="宋体" w:cs="宋体"/>
          <w:color w:val="auto"/>
          <w:kern w:val="0"/>
          <w:lang w:bidi="ar"/>
        </w:rPr>
        <w:t>。</w:t>
      </w:r>
      <w:r>
        <w:rPr>
          <w:rFonts w:hint="eastAsia"/>
          <w:color w:val="auto"/>
        </w:rPr>
        <w:t>每艘船平均在港停留按</w:t>
      </w:r>
      <w:r>
        <w:rPr>
          <w:color w:val="auto"/>
        </w:rPr>
        <w:t>2</w:t>
      </w:r>
      <w:r>
        <w:rPr>
          <w:rFonts w:hint="eastAsia"/>
          <w:color w:val="auto"/>
        </w:rPr>
        <w:t>天计算，则船舶总耗油量为</w:t>
      </w:r>
      <w:r>
        <w:rPr>
          <w:color w:val="auto"/>
        </w:rPr>
        <w:t>336.84</w:t>
      </w:r>
      <w:r>
        <w:rPr>
          <w:rFonts w:hint="eastAsia"/>
          <w:color w:val="auto"/>
        </w:rPr>
        <w:t>t，根据《中国环境影响评价培训教材》提供燃油的排放系数进行计算。</w:t>
      </w:r>
    </w:p>
    <w:p w14:paraId="7A074BA6">
      <w:pPr>
        <w:pStyle w:val="14"/>
        <w:rPr>
          <w:color w:val="auto"/>
          <w:lang w:val="zh-CN" w:bidi="zh-CN"/>
        </w:rPr>
      </w:pPr>
      <w:r>
        <w:rPr>
          <w:rFonts w:hint="eastAsia"/>
          <w:color w:val="auto"/>
        </w:rPr>
        <w:t>表</w:t>
      </w:r>
      <w:r>
        <w:rPr>
          <w:color w:val="auto"/>
        </w:rPr>
        <w:t>2.1</w:t>
      </w:r>
      <w:r>
        <w:rPr>
          <w:color w:val="auto"/>
        </w:rPr>
        <w:noBreakHyphen/>
      </w:r>
      <w:r>
        <w:rPr>
          <w:color w:val="auto"/>
        </w:rPr>
        <w:t>10</w:t>
      </w:r>
      <w:r>
        <w:rPr>
          <w:rFonts w:hint="eastAsia"/>
          <w:color w:val="auto"/>
          <w:lang w:val="zh-CN" w:bidi="zh-CN"/>
        </w:rPr>
        <w:t>现有工程</w:t>
      </w:r>
      <w:r>
        <w:rPr>
          <w:color w:val="auto"/>
          <w:lang w:val="zh-CN" w:bidi="zh-CN"/>
        </w:rPr>
        <w:t>船舶废气污染物排放计算结果</w:t>
      </w:r>
    </w:p>
    <w:tbl>
      <w:tblPr>
        <w:tblStyle w:val="43"/>
        <w:tblW w:w="5003" w:type="pct"/>
        <w:tblInd w:w="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193"/>
        <w:gridCol w:w="3190"/>
        <w:gridCol w:w="3194"/>
      </w:tblGrid>
      <w:tr w14:paraId="564E59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667" w:type="pct"/>
            <w:vAlign w:val="center"/>
          </w:tcPr>
          <w:p w14:paraId="04EE1612">
            <w:pPr>
              <w:keepNext w:val="0"/>
              <w:keepLines w:val="0"/>
              <w:suppressLineNumbers w:val="0"/>
              <w:spacing w:before="0" w:beforeAutospacing="0" w:after="0" w:afterAutospacing="0" w:line="240" w:lineRule="auto"/>
              <w:ind w:left="0" w:right="0" w:firstLine="420"/>
              <w:jc w:val="center"/>
              <w:rPr>
                <w:rFonts w:hint="default"/>
                <w:color w:val="auto"/>
                <w:sz w:val="21"/>
                <w:szCs w:val="21"/>
              </w:rPr>
            </w:pPr>
            <w:r>
              <w:rPr>
                <w:rFonts w:hint="default"/>
                <w:color w:val="auto"/>
                <w:sz w:val="21"/>
                <w:szCs w:val="21"/>
              </w:rPr>
              <w:t>项目</w:t>
            </w:r>
          </w:p>
        </w:tc>
        <w:tc>
          <w:tcPr>
            <w:tcW w:w="1665" w:type="pct"/>
            <w:vAlign w:val="center"/>
          </w:tcPr>
          <w:p w14:paraId="3CD16045">
            <w:pPr>
              <w:keepNext w:val="0"/>
              <w:keepLines w:val="0"/>
              <w:suppressLineNumbers w:val="0"/>
              <w:spacing w:before="0" w:beforeAutospacing="0" w:after="0" w:afterAutospacing="0" w:line="240" w:lineRule="auto"/>
              <w:ind w:left="0" w:right="0" w:firstLine="420"/>
              <w:jc w:val="center"/>
              <w:rPr>
                <w:rFonts w:hint="default"/>
                <w:color w:val="auto"/>
                <w:sz w:val="21"/>
                <w:szCs w:val="21"/>
              </w:rPr>
            </w:pPr>
            <w:r>
              <w:rPr>
                <w:rFonts w:hint="default"/>
                <w:color w:val="auto"/>
                <w:sz w:val="21"/>
                <w:szCs w:val="21"/>
              </w:rPr>
              <w:t>SO</w:t>
            </w:r>
            <w:r>
              <w:rPr>
                <w:rFonts w:hint="default"/>
                <w:color w:val="auto"/>
                <w:sz w:val="21"/>
                <w:szCs w:val="21"/>
                <w:vertAlign w:val="subscript"/>
              </w:rPr>
              <w:t>2</w:t>
            </w:r>
          </w:p>
        </w:tc>
        <w:tc>
          <w:tcPr>
            <w:tcW w:w="1667" w:type="pct"/>
            <w:vAlign w:val="center"/>
          </w:tcPr>
          <w:p w14:paraId="47670597">
            <w:pPr>
              <w:keepNext w:val="0"/>
              <w:keepLines w:val="0"/>
              <w:suppressLineNumbers w:val="0"/>
              <w:spacing w:before="0" w:beforeAutospacing="0" w:after="0" w:afterAutospacing="0" w:line="240" w:lineRule="auto"/>
              <w:ind w:left="0" w:right="0" w:firstLine="420"/>
              <w:jc w:val="center"/>
              <w:rPr>
                <w:rFonts w:hint="default"/>
                <w:color w:val="auto"/>
                <w:sz w:val="21"/>
                <w:szCs w:val="21"/>
              </w:rPr>
            </w:pPr>
            <w:r>
              <w:rPr>
                <w:rFonts w:hint="default"/>
                <w:color w:val="auto"/>
                <w:sz w:val="21"/>
                <w:szCs w:val="21"/>
              </w:rPr>
              <w:t>NO</w:t>
            </w:r>
            <w:r>
              <w:rPr>
                <w:rFonts w:hint="default"/>
                <w:color w:val="auto"/>
                <w:sz w:val="21"/>
                <w:szCs w:val="21"/>
                <w:vertAlign w:val="subscript"/>
              </w:rPr>
              <w:t>X</w:t>
            </w:r>
          </w:p>
        </w:tc>
      </w:tr>
      <w:tr w14:paraId="598F84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667" w:type="pct"/>
            <w:vAlign w:val="center"/>
          </w:tcPr>
          <w:p w14:paraId="16CBA58B">
            <w:pPr>
              <w:keepNext w:val="0"/>
              <w:keepLines w:val="0"/>
              <w:suppressLineNumbers w:val="0"/>
              <w:spacing w:before="0" w:beforeAutospacing="0" w:after="0" w:afterAutospacing="0" w:line="240" w:lineRule="auto"/>
              <w:ind w:left="0" w:right="0" w:firstLine="420"/>
              <w:jc w:val="center"/>
              <w:rPr>
                <w:rFonts w:hint="default"/>
                <w:color w:val="auto"/>
                <w:sz w:val="21"/>
                <w:szCs w:val="21"/>
              </w:rPr>
            </w:pPr>
            <w:r>
              <w:rPr>
                <w:rFonts w:hint="default"/>
                <w:color w:val="auto"/>
                <w:sz w:val="21"/>
                <w:szCs w:val="21"/>
              </w:rPr>
              <w:t>排放系数kg/t</w:t>
            </w:r>
          </w:p>
        </w:tc>
        <w:tc>
          <w:tcPr>
            <w:tcW w:w="1665" w:type="pct"/>
            <w:vAlign w:val="center"/>
          </w:tcPr>
          <w:p w14:paraId="1D9A8184">
            <w:pPr>
              <w:keepNext w:val="0"/>
              <w:keepLines w:val="0"/>
              <w:suppressLineNumbers w:val="0"/>
              <w:spacing w:before="0" w:beforeAutospacing="0" w:after="0" w:afterAutospacing="0" w:line="240" w:lineRule="auto"/>
              <w:ind w:left="0" w:right="0" w:firstLine="420"/>
              <w:jc w:val="center"/>
              <w:rPr>
                <w:rFonts w:hint="default"/>
                <w:color w:val="auto"/>
                <w:sz w:val="21"/>
                <w:szCs w:val="21"/>
              </w:rPr>
            </w:pPr>
            <w:r>
              <w:rPr>
                <w:rFonts w:hint="default"/>
                <w:color w:val="auto"/>
                <w:sz w:val="21"/>
                <w:szCs w:val="21"/>
              </w:rPr>
              <w:t>2.6</w:t>
            </w:r>
          </w:p>
        </w:tc>
        <w:tc>
          <w:tcPr>
            <w:tcW w:w="1667" w:type="pct"/>
            <w:vAlign w:val="center"/>
          </w:tcPr>
          <w:p w14:paraId="4B676B63">
            <w:pPr>
              <w:keepNext w:val="0"/>
              <w:keepLines w:val="0"/>
              <w:suppressLineNumbers w:val="0"/>
              <w:spacing w:before="0" w:beforeAutospacing="0" w:after="0" w:afterAutospacing="0" w:line="240" w:lineRule="auto"/>
              <w:ind w:left="0" w:right="0" w:firstLine="420"/>
              <w:jc w:val="center"/>
              <w:rPr>
                <w:rFonts w:hint="default"/>
                <w:color w:val="auto"/>
                <w:sz w:val="21"/>
                <w:szCs w:val="21"/>
              </w:rPr>
            </w:pPr>
            <w:r>
              <w:rPr>
                <w:rFonts w:hint="default"/>
                <w:color w:val="auto"/>
                <w:sz w:val="21"/>
                <w:szCs w:val="21"/>
              </w:rPr>
              <w:t>8.57</w:t>
            </w:r>
          </w:p>
        </w:tc>
      </w:tr>
      <w:tr w14:paraId="26D09A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667" w:type="pct"/>
            <w:vAlign w:val="center"/>
          </w:tcPr>
          <w:p w14:paraId="71EAD793">
            <w:pPr>
              <w:keepNext w:val="0"/>
              <w:keepLines w:val="0"/>
              <w:suppressLineNumbers w:val="0"/>
              <w:spacing w:before="0" w:beforeAutospacing="0" w:after="0" w:afterAutospacing="0" w:line="240" w:lineRule="auto"/>
              <w:ind w:left="0" w:right="0" w:firstLine="420"/>
              <w:jc w:val="center"/>
              <w:rPr>
                <w:rFonts w:hint="default"/>
                <w:color w:val="auto"/>
                <w:sz w:val="21"/>
                <w:szCs w:val="21"/>
              </w:rPr>
            </w:pPr>
            <w:r>
              <w:rPr>
                <w:rFonts w:hint="eastAsia"/>
                <w:color w:val="auto"/>
                <w:sz w:val="21"/>
                <w:szCs w:val="21"/>
              </w:rPr>
              <w:t>排放量t/a</w:t>
            </w:r>
          </w:p>
        </w:tc>
        <w:tc>
          <w:tcPr>
            <w:tcW w:w="1665" w:type="pct"/>
            <w:vAlign w:val="center"/>
          </w:tcPr>
          <w:p w14:paraId="595D290C">
            <w:pPr>
              <w:keepNext w:val="0"/>
              <w:keepLines w:val="0"/>
              <w:suppressLineNumbers w:val="0"/>
              <w:spacing w:before="0" w:beforeAutospacing="0" w:after="0" w:afterAutospacing="0" w:line="240" w:lineRule="auto"/>
              <w:ind w:left="0" w:right="0" w:firstLine="420"/>
              <w:jc w:val="center"/>
              <w:rPr>
                <w:rFonts w:hint="default"/>
                <w:color w:val="auto"/>
                <w:sz w:val="21"/>
                <w:szCs w:val="21"/>
              </w:rPr>
            </w:pPr>
            <w:r>
              <w:rPr>
                <w:rFonts w:hint="eastAsia"/>
                <w:color w:val="auto"/>
                <w:sz w:val="21"/>
                <w:szCs w:val="21"/>
              </w:rPr>
              <w:t>0.</w:t>
            </w:r>
            <w:r>
              <w:rPr>
                <w:rFonts w:hint="default"/>
                <w:color w:val="auto"/>
                <w:sz w:val="21"/>
                <w:szCs w:val="21"/>
              </w:rPr>
              <w:t>876</w:t>
            </w:r>
          </w:p>
        </w:tc>
        <w:tc>
          <w:tcPr>
            <w:tcW w:w="1667" w:type="pct"/>
            <w:vAlign w:val="center"/>
          </w:tcPr>
          <w:p w14:paraId="65FC9AEE">
            <w:pPr>
              <w:keepNext w:val="0"/>
              <w:keepLines w:val="0"/>
              <w:suppressLineNumbers w:val="0"/>
              <w:spacing w:before="0" w:beforeAutospacing="0" w:after="0" w:afterAutospacing="0" w:line="240" w:lineRule="auto"/>
              <w:ind w:left="0" w:right="0" w:firstLine="420"/>
              <w:jc w:val="center"/>
              <w:rPr>
                <w:rFonts w:hint="default"/>
                <w:color w:val="auto"/>
                <w:sz w:val="21"/>
                <w:szCs w:val="21"/>
              </w:rPr>
            </w:pPr>
            <w:r>
              <w:rPr>
                <w:rFonts w:hint="default"/>
                <w:color w:val="auto"/>
                <w:sz w:val="21"/>
                <w:szCs w:val="21"/>
              </w:rPr>
              <w:t>2.887</w:t>
            </w:r>
          </w:p>
        </w:tc>
      </w:tr>
    </w:tbl>
    <w:p w14:paraId="2BB25BF5">
      <w:pPr>
        <w:ind w:firstLine="480"/>
        <w:rPr>
          <w:color w:val="auto"/>
        </w:rPr>
      </w:pPr>
      <w:r>
        <w:rPr>
          <w:rFonts w:cs="瀹嬩綋"/>
          <w:color w:val="auto"/>
          <w:kern w:val="0"/>
          <w:lang w:bidi="ar"/>
        </w:rPr>
        <w:t>根据货种运量</w:t>
      </w:r>
      <w:r>
        <w:rPr>
          <w:rFonts w:hint="eastAsia" w:cs="瀹嬩綋"/>
          <w:color w:val="auto"/>
          <w:kern w:val="0"/>
          <w:lang w:bidi="ar"/>
        </w:rPr>
        <w:t>，现有</w:t>
      </w:r>
      <w:r>
        <w:rPr>
          <w:rFonts w:cs="瀹嬩綋"/>
          <w:color w:val="auto"/>
          <w:kern w:val="0"/>
          <w:lang w:bidi="ar"/>
        </w:rPr>
        <w:t>工程</w:t>
      </w:r>
      <w:r>
        <w:rPr>
          <w:rFonts w:hint="eastAsia"/>
          <w:color w:val="auto"/>
        </w:rPr>
        <w:t>全年新增到港船舶约86艘，每艘船平均在港停留按</w:t>
      </w:r>
      <w:r>
        <w:rPr>
          <w:color w:val="auto"/>
        </w:rPr>
        <w:t>2</w:t>
      </w:r>
      <w:r>
        <w:rPr>
          <w:rFonts w:hint="eastAsia"/>
          <w:color w:val="auto"/>
        </w:rPr>
        <w:t>天计算。因此，SO</w:t>
      </w:r>
      <w:r>
        <w:rPr>
          <w:rFonts w:hint="eastAsia"/>
          <w:color w:val="auto"/>
          <w:vertAlign w:val="subscript"/>
        </w:rPr>
        <w:t>2</w:t>
      </w:r>
      <w:r>
        <w:rPr>
          <w:rFonts w:hint="eastAsia"/>
          <w:color w:val="auto"/>
        </w:rPr>
        <w:t>排放量为</w:t>
      </w:r>
      <w:r>
        <w:rPr>
          <w:color w:val="auto"/>
        </w:rPr>
        <w:t>0.876</w:t>
      </w:r>
      <w:r>
        <w:rPr>
          <w:rFonts w:hint="eastAsia"/>
          <w:color w:val="auto"/>
        </w:rPr>
        <w:t>t/a，NO</w:t>
      </w:r>
      <w:r>
        <w:rPr>
          <w:rFonts w:hint="eastAsia"/>
          <w:color w:val="auto"/>
          <w:vertAlign w:val="subscript"/>
        </w:rPr>
        <w:t>x</w:t>
      </w:r>
      <w:r>
        <w:rPr>
          <w:rFonts w:hint="eastAsia"/>
          <w:color w:val="auto"/>
        </w:rPr>
        <w:t>排放量为</w:t>
      </w:r>
      <w:r>
        <w:rPr>
          <w:color w:val="auto"/>
        </w:rPr>
        <w:t>2.887</w:t>
      </w:r>
      <w:r>
        <w:rPr>
          <w:rFonts w:hint="eastAsia"/>
          <w:color w:val="auto"/>
        </w:rPr>
        <w:t>t/a。</w:t>
      </w:r>
    </w:p>
    <w:p w14:paraId="747E962D">
      <w:pPr>
        <w:pStyle w:val="6"/>
        <w:rPr>
          <w:color w:val="auto"/>
        </w:rPr>
      </w:pPr>
      <w:r>
        <w:rPr>
          <w:rFonts w:hint="eastAsia"/>
          <w:color w:val="auto"/>
        </w:rPr>
        <w:t>废水</w:t>
      </w:r>
    </w:p>
    <w:p w14:paraId="375423D3">
      <w:pPr>
        <w:ind w:firstLine="480"/>
        <w:rPr>
          <w:color w:val="auto"/>
        </w:rPr>
      </w:pPr>
      <w:r>
        <w:rPr>
          <w:rFonts w:hint="eastAsia"/>
          <w:color w:val="auto"/>
        </w:rPr>
        <w:t>（1）船舶</w:t>
      </w:r>
      <w:r>
        <w:rPr>
          <w:color w:val="auto"/>
        </w:rPr>
        <w:t>生活污水</w:t>
      </w:r>
    </w:p>
    <w:p w14:paraId="31EF29A6">
      <w:pPr>
        <w:ind w:firstLine="480"/>
        <w:rPr>
          <w:color w:val="auto"/>
        </w:rPr>
      </w:pPr>
      <w:r>
        <w:rPr>
          <w:rFonts w:hint="eastAsia"/>
          <w:color w:val="auto"/>
        </w:rPr>
        <w:t>船舶生活污水主要来源于船员洗手、如厕等。现有工程</w:t>
      </w:r>
      <w:r>
        <w:rPr>
          <w:color w:val="auto"/>
        </w:rPr>
        <w:t>船型为</w:t>
      </w:r>
      <w:r>
        <w:rPr>
          <w:rFonts w:hint="eastAsia"/>
          <w:color w:val="auto"/>
        </w:rPr>
        <w:t>3000~50000吨级</w:t>
      </w:r>
      <w:r>
        <w:rPr>
          <w:color w:val="auto"/>
        </w:rPr>
        <w:t>，以最大</w:t>
      </w:r>
      <w:r>
        <w:rPr>
          <w:rFonts w:hint="eastAsia"/>
          <w:color w:val="auto"/>
        </w:rPr>
        <w:t>5万</w:t>
      </w:r>
      <w:r>
        <w:rPr>
          <w:color w:val="auto"/>
        </w:rPr>
        <w:t>吨级船型估算，</w:t>
      </w:r>
      <w:r>
        <w:rPr>
          <w:rFonts w:hint="eastAsia"/>
          <w:color w:val="auto"/>
        </w:rPr>
        <w:t>现有工程船舶生活污水的产生量为</w:t>
      </w:r>
      <w:r>
        <w:rPr>
          <w:color w:val="auto"/>
        </w:rPr>
        <w:t>344</w:t>
      </w:r>
      <w:r>
        <w:rPr>
          <w:rFonts w:hint="eastAsia"/>
          <w:color w:val="auto"/>
        </w:rPr>
        <w:t>m</w:t>
      </w:r>
      <w:r>
        <w:rPr>
          <w:rFonts w:hint="eastAsia"/>
          <w:color w:val="auto"/>
          <w:vertAlign w:val="superscript"/>
        </w:rPr>
        <w:t>3</w:t>
      </w:r>
      <w:r>
        <w:rPr>
          <w:rFonts w:hint="eastAsia"/>
          <w:color w:val="auto"/>
        </w:rPr>
        <w:t>/a，根据《水运工程环境保护设计规范》（JTS149-2018），生活污水水质无实测资料时，SS浓度可取350～500mg/L，BOD</w:t>
      </w:r>
      <w:r>
        <w:rPr>
          <w:rFonts w:hint="eastAsia"/>
          <w:color w:val="auto"/>
          <w:vertAlign w:val="subscript"/>
        </w:rPr>
        <w:t>5</w:t>
      </w:r>
      <w:r>
        <w:rPr>
          <w:rFonts w:hint="eastAsia"/>
          <w:color w:val="auto"/>
        </w:rPr>
        <w:t>值可取150～300mg/L，船舶生活污水宜取下限值，即SS产生浓度为350mg/L，BOD</w:t>
      </w:r>
      <w:r>
        <w:rPr>
          <w:rFonts w:hint="eastAsia"/>
          <w:color w:val="auto"/>
          <w:vertAlign w:val="subscript"/>
        </w:rPr>
        <w:t>5</w:t>
      </w:r>
      <w:r>
        <w:rPr>
          <w:rFonts w:hint="eastAsia"/>
          <w:color w:val="auto"/>
        </w:rPr>
        <w:t>产生浓度为150mg/L，污染因子还包括COD、NH</w:t>
      </w:r>
      <w:r>
        <w:rPr>
          <w:rFonts w:hint="eastAsia"/>
          <w:color w:val="auto"/>
          <w:vertAlign w:val="subscript"/>
        </w:rPr>
        <w:t>3</w:t>
      </w:r>
      <w:r>
        <w:rPr>
          <w:rFonts w:hint="eastAsia"/>
          <w:color w:val="auto"/>
        </w:rPr>
        <w:t>-N，产生浓度分别为300mg/L、35mg/L，则SS、COD、BOD</w:t>
      </w:r>
      <w:r>
        <w:rPr>
          <w:rFonts w:hint="eastAsia"/>
          <w:color w:val="auto"/>
          <w:vertAlign w:val="subscript"/>
        </w:rPr>
        <w:t>5</w:t>
      </w:r>
      <w:r>
        <w:rPr>
          <w:rFonts w:hint="eastAsia"/>
          <w:color w:val="auto"/>
        </w:rPr>
        <w:t>和NH</w:t>
      </w:r>
      <w:r>
        <w:rPr>
          <w:rFonts w:hint="eastAsia"/>
          <w:color w:val="auto"/>
          <w:vertAlign w:val="subscript"/>
        </w:rPr>
        <w:t>3</w:t>
      </w:r>
      <w:r>
        <w:rPr>
          <w:rFonts w:hint="eastAsia"/>
          <w:color w:val="auto"/>
        </w:rPr>
        <w:t>-N的产生量分别为0.</w:t>
      </w:r>
      <w:r>
        <w:rPr>
          <w:color w:val="auto"/>
        </w:rPr>
        <w:t>172</w:t>
      </w:r>
      <w:r>
        <w:rPr>
          <w:rFonts w:hint="eastAsia"/>
          <w:color w:val="auto"/>
        </w:rPr>
        <w:t>t/a、</w:t>
      </w:r>
      <w:r>
        <w:rPr>
          <w:color w:val="auto"/>
        </w:rPr>
        <w:t>0.103t</w:t>
      </w:r>
      <w:r>
        <w:rPr>
          <w:rFonts w:hint="eastAsia"/>
          <w:color w:val="auto"/>
        </w:rPr>
        <w:t>/a、0.0</w:t>
      </w:r>
      <w:r>
        <w:rPr>
          <w:color w:val="auto"/>
        </w:rPr>
        <w:t>52</w:t>
      </w:r>
      <w:r>
        <w:rPr>
          <w:rFonts w:hint="eastAsia"/>
          <w:color w:val="auto"/>
        </w:rPr>
        <w:t>t/a、0.0</w:t>
      </w:r>
      <w:r>
        <w:rPr>
          <w:color w:val="auto"/>
        </w:rPr>
        <w:t>12</w:t>
      </w:r>
      <w:r>
        <w:rPr>
          <w:rFonts w:hint="eastAsia"/>
          <w:color w:val="auto"/>
        </w:rPr>
        <w:t>t/a。由</w:t>
      </w:r>
      <w:r>
        <w:rPr>
          <w:rFonts w:hint="eastAsia"/>
          <w:color w:val="auto"/>
          <w:lang w:val="en-US" w:eastAsia="zh-CN"/>
        </w:rPr>
        <w:t>船舶公司委托</w:t>
      </w:r>
      <w:r>
        <w:rPr>
          <w:rFonts w:hint="eastAsia"/>
          <w:color w:val="auto"/>
        </w:rPr>
        <w:t>钦州市有资质单位接收处置。</w:t>
      </w:r>
    </w:p>
    <w:p w14:paraId="3F1D9088">
      <w:pPr>
        <w:ind w:firstLine="480"/>
        <w:rPr>
          <w:color w:val="auto"/>
        </w:rPr>
      </w:pPr>
      <w:r>
        <w:rPr>
          <w:rFonts w:hint="eastAsia"/>
          <w:color w:val="auto"/>
        </w:rPr>
        <w:t>（2）船舶</w:t>
      </w:r>
      <w:r>
        <w:rPr>
          <w:color w:val="auto"/>
        </w:rPr>
        <w:t>含油污水</w:t>
      </w:r>
    </w:p>
    <w:p w14:paraId="6C3E9954">
      <w:pPr>
        <w:ind w:firstLine="480"/>
        <w:rPr>
          <w:color w:val="auto"/>
        </w:rPr>
      </w:pPr>
      <w:r>
        <w:rPr>
          <w:rFonts w:hint="eastAsia"/>
          <w:color w:val="auto"/>
        </w:rPr>
        <w:t>到港船舶机舱油污水是机舱内各闸阀和管路中漏出的水与机器运转时漏出的润滑油、主辅机燃料油，加油时的溢出油，机舱及机舱板洗刷时产生的油污水等混合在一起的含油污水，主要污染物是石油类。《水运工程环境保护设计规范》（JTS149-2018）船舶机舱油污水的发生量系数估算，船舶停留2天计，到港船舶机舱油污水的发生量为</w:t>
      </w:r>
      <w:r>
        <w:rPr>
          <w:color w:val="auto"/>
        </w:rPr>
        <w:t>573.92</w:t>
      </w:r>
      <w:r>
        <w:rPr>
          <w:rFonts w:hint="eastAsia"/>
          <w:color w:val="auto"/>
        </w:rPr>
        <w:t>t/a。机舱含油污水的平均含油浓度达到</w:t>
      </w:r>
      <w:r>
        <w:rPr>
          <w:color w:val="auto"/>
        </w:rPr>
        <w:t>10</w:t>
      </w:r>
      <w:r>
        <w:rPr>
          <w:rFonts w:hint="eastAsia"/>
          <w:color w:val="auto"/>
        </w:rPr>
        <w:t>000mg/L，石油类的发生量为</w:t>
      </w:r>
      <w:r>
        <w:rPr>
          <w:color w:val="auto"/>
        </w:rPr>
        <w:t>5.74</w:t>
      </w:r>
      <w:r>
        <w:rPr>
          <w:rFonts w:hint="eastAsia"/>
          <w:color w:val="auto"/>
        </w:rPr>
        <w:t>t/a。含油污水由有资质单位接收处理。</w:t>
      </w:r>
    </w:p>
    <w:p w14:paraId="388D293F">
      <w:pPr>
        <w:ind w:firstLine="480"/>
        <w:rPr>
          <w:color w:val="auto"/>
        </w:rPr>
      </w:pPr>
      <w:r>
        <w:rPr>
          <w:rFonts w:hint="eastAsia"/>
          <w:color w:val="auto"/>
        </w:rPr>
        <w:t>（3）船舶压载水</w:t>
      </w:r>
    </w:p>
    <w:p w14:paraId="1A7427F0">
      <w:pPr>
        <w:ind w:firstLine="480"/>
        <w:rPr>
          <w:color w:val="auto"/>
        </w:rPr>
      </w:pPr>
      <w:r>
        <w:rPr>
          <w:rFonts w:hint="eastAsia"/>
          <w:color w:val="auto"/>
        </w:rPr>
        <w:t>根据《2004年国际船舶压载水和沉积物控制和管理公约》及《2014年中国船级社压载水公约实施指南》，压载水的管理主要包括压载水置换和压载水处理两种方式。压载水置换是指要求在深海中将在港口内装载的压载水置换成深海中的水，因为深海中的水即使携带某些水生物，被排放到接收港水域内后，水生物一般因生存条件的差异性而不易存活，因而减少了或避免了对当地港口水生环境的不利影响。压载水处理则是指对加装上船的压载水在排放到另一水域内前必须对其中的水生物进行杀灭处理，使得其在压载水中的存活率达到一定的限定标准而不再会对接收港水域造成不利影响。两种管理方式分别对应D-1标准（压载水置换标准）和D-2标准（压载水排放性能标准）。公约B-3条规定2009年之后建造的压载舱容量小于5000m</w:t>
      </w:r>
      <w:r>
        <w:rPr>
          <w:rFonts w:hint="eastAsia"/>
          <w:color w:val="auto"/>
          <w:vertAlign w:val="superscript"/>
        </w:rPr>
        <w:t>3</w:t>
      </w:r>
      <w:r>
        <w:rPr>
          <w:rFonts w:hint="eastAsia"/>
          <w:color w:val="auto"/>
        </w:rPr>
        <w:t>的船舶，或者2012年以后建造的压载舱容量大于5000m</w:t>
      </w:r>
      <w:r>
        <w:rPr>
          <w:rFonts w:hint="eastAsia"/>
          <w:color w:val="auto"/>
          <w:vertAlign w:val="superscript"/>
        </w:rPr>
        <w:t>3</w:t>
      </w:r>
      <w:r>
        <w:rPr>
          <w:rFonts w:hint="eastAsia"/>
          <w:color w:val="auto"/>
        </w:rPr>
        <w:t>的船舶，应于建造阶段强制实施D-2标准，其余船舶应于2016年强制实施D-2标准。D-2标准的实现途径为船舶安装获得型式认可的压载水处理系统。</w:t>
      </w:r>
    </w:p>
    <w:p w14:paraId="752CD1B0">
      <w:pPr>
        <w:ind w:firstLine="480"/>
        <w:rPr>
          <w:color w:val="auto"/>
        </w:rPr>
      </w:pPr>
      <w:r>
        <w:rPr>
          <w:rFonts w:hint="eastAsia"/>
          <w:color w:val="auto"/>
        </w:rPr>
        <w:t>《2004年船舶压载水及沉积物控制和管理国际公约》已于2017年9月8日起生效，未经处理的压载水不能在港内排放，现有工程来港船舶均应强制实施D-2标准，安装获得型式认可的压载水处理系统。因此，现有工程来港的外贸船舶压载水排放前必须对其中的水生物进行杀灭处理，不再会对接收港水域造成不利影响。</w:t>
      </w:r>
    </w:p>
    <w:p w14:paraId="53755348">
      <w:pPr>
        <w:ind w:firstLine="480"/>
        <w:rPr>
          <w:color w:val="auto"/>
        </w:rPr>
      </w:pPr>
      <w:r>
        <w:rPr>
          <w:rFonts w:hint="eastAsia"/>
          <w:color w:val="auto"/>
        </w:rPr>
        <w:t>此外，本项目运输船舶要求只使用专用压载水舱隔舱型，即船舶压载水舱与货品舱分离，压载水不受所运送的货品物料的污染。</w:t>
      </w:r>
    </w:p>
    <w:p w14:paraId="5708E538">
      <w:pPr>
        <w:ind w:firstLine="480"/>
        <w:rPr>
          <w:color w:val="auto"/>
        </w:rPr>
      </w:pPr>
      <w:r>
        <w:rPr>
          <w:rFonts w:hint="eastAsia"/>
          <w:color w:val="auto"/>
        </w:rPr>
        <w:t>（</w:t>
      </w:r>
      <w:r>
        <w:rPr>
          <w:color w:val="auto"/>
        </w:rPr>
        <w:t>4</w:t>
      </w:r>
      <w:r>
        <w:rPr>
          <w:rFonts w:hint="eastAsia"/>
          <w:color w:val="auto"/>
        </w:rPr>
        <w:t>）陆域</w:t>
      </w:r>
      <w:r>
        <w:rPr>
          <w:color w:val="auto"/>
        </w:rPr>
        <w:t>生活污水</w:t>
      </w:r>
    </w:p>
    <w:p w14:paraId="0B4E7D0C">
      <w:pPr>
        <w:ind w:firstLine="480"/>
        <w:rPr>
          <w:color w:val="auto"/>
        </w:rPr>
      </w:pPr>
      <w:r>
        <w:rPr>
          <w:rFonts w:hint="eastAsia"/>
          <w:color w:val="auto"/>
        </w:rPr>
        <w:t>现有</w:t>
      </w:r>
      <w:r>
        <w:rPr>
          <w:color w:val="auto"/>
        </w:rPr>
        <w:t>工程库区和码头共有员工</w:t>
      </w:r>
      <w:r>
        <w:rPr>
          <w:rFonts w:hint="eastAsia"/>
          <w:color w:val="auto"/>
        </w:rPr>
        <w:t>36人</w:t>
      </w:r>
      <w:r>
        <w:rPr>
          <w:color w:val="auto"/>
        </w:rPr>
        <w:t>，</w:t>
      </w:r>
      <w:r>
        <w:rPr>
          <w:rFonts w:hint="eastAsia"/>
          <w:color w:val="auto"/>
        </w:rPr>
        <w:t>码头</w:t>
      </w:r>
      <w:r>
        <w:rPr>
          <w:color w:val="auto"/>
        </w:rPr>
        <w:t>不设置食堂</w:t>
      </w:r>
      <w:r>
        <w:rPr>
          <w:rFonts w:hint="eastAsia"/>
          <w:color w:val="auto"/>
        </w:rPr>
        <w:t>和</w:t>
      </w:r>
      <w:r>
        <w:rPr>
          <w:color w:val="auto"/>
        </w:rPr>
        <w:t>宿舍，</w:t>
      </w:r>
      <w:r>
        <w:rPr>
          <w:rFonts w:hint="eastAsia"/>
          <w:color w:val="auto"/>
        </w:rPr>
        <w:t>年</w:t>
      </w:r>
      <w:r>
        <w:rPr>
          <w:color w:val="auto"/>
        </w:rPr>
        <w:t>工作</w:t>
      </w:r>
      <w:r>
        <w:rPr>
          <w:rFonts w:hint="eastAsia"/>
          <w:color w:val="auto"/>
        </w:rPr>
        <w:t>350天</w:t>
      </w:r>
      <w:r>
        <w:rPr>
          <w:color w:val="auto"/>
        </w:rPr>
        <w:t>，用水量按</w:t>
      </w:r>
      <w:r>
        <w:rPr>
          <w:rFonts w:hint="eastAsia"/>
          <w:color w:val="auto"/>
        </w:rPr>
        <w:t>1</w:t>
      </w:r>
      <w:r>
        <w:rPr>
          <w:color w:val="auto"/>
        </w:rPr>
        <w:t>0</w:t>
      </w:r>
      <w:r>
        <w:rPr>
          <w:rFonts w:hint="eastAsia"/>
          <w:color w:val="auto"/>
        </w:rPr>
        <w:t>0L/人</w:t>
      </w:r>
      <w:r>
        <w:rPr>
          <w:color w:val="auto"/>
        </w:rPr>
        <w:t>·天计</w:t>
      </w:r>
      <w:r>
        <w:rPr>
          <w:rFonts w:hint="eastAsia"/>
          <w:color w:val="auto"/>
        </w:rPr>
        <w:t>，产污</w:t>
      </w:r>
      <w:r>
        <w:rPr>
          <w:color w:val="auto"/>
        </w:rPr>
        <w:t>系数按</w:t>
      </w:r>
      <w:r>
        <w:rPr>
          <w:rFonts w:hint="eastAsia"/>
          <w:color w:val="auto"/>
        </w:rPr>
        <w:t>0.8计，陆域</w:t>
      </w:r>
      <w:r>
        <w:rPr>
          <w:color w:val="auto"/>
        </w:rPr>
        <w:t>生活污水产生量为1008</w:t>
      </w:r>
      <w:r>
        <w:rPr>
          <w:rFonts w:hint="eastAsia"/>
          <w:color w:val="auto"/>
        </w:rPr>
        <w:t>m</w:t>
      </w:r>
      <w:r>
        <w:rPr>
          <w:rFonts w:hint="eastAsia"/>
          <w:color w:val="auto"/>
          <w:vertAlign w:val="superscript"/>
        </w:rPr>
        <w:t>3</w:t>
      </w:r>
      <w:r>
        <w:rPr>
          <w:rFonts w:hint="eastAsia"/>
          <w:color w:val="auto"/>
        </w:rPr>
        <w:t>/a，SS、COD、BOD</w:t>
      </w:r>
      <w:r>
        <w:rPr>
          <w:rFonts w:hint="eastAsia"/>
          <w:color w:val="auto"/>
          <w:vertAlign w:val="subscript"/>
        </w:rPr>
        <w:t>5</w:t>
      </w:r>
      <w:r>
        <w:rPr>
          <w:rFonts w:hint="eastAsia"/>
          <w:color w:val="auto"/>
        </w:rPr>
        <w:t>和NH</w:t>
      </w:r>
      <w:r>
        <w:rPr>
          <w:rFonts w:hint="eastAsia"/>
          <w:color w:val="auto"/>
          <w:vertAlign w:val="subscript"/>
        </w:rPr>
        <w:t>3</w:t>
      </w:r>
      <w:r>
        <w:rPr>
          <w:rFonts w:hint="eastAsia"/>
          <w:color w:val="auto"/>
        </w:rPr>
        <w:t>-N的产生量分别为0.</w:t>
      </w:r>
      <w:r>
        <w:rPr>
          <w:color w:val="auto"/>
        </w:rPr>
        <w:t>504</w:t>
      </w:r>
      <w:r>
        <w:rPr>
          <w:rFonts w:hint="eastAsia"/>
          <w:color w:val="auto"/>
        </w:rPr>
        <w:t>t/a、0.</w:t>
      </w:r>
      <w:r>
        <w:rPr>
          <w:color w:val="auto"/>
        </w:rPr>
        <w:t>31t</w:t>
      </w:r>
      <w:r>
        <w:rPr>
          <w:rFonts w:hint="eastAsia"/>
          <w:color w:val="auto"/>
        </w:rPr>
        <w:t>/a、0.</w:t>
      </w:r>
      <w:r>
        <w:rPr>
          <w:color w:val="auto"/>
        </w:rPr>
        <w:t>15</w:t>
      </w:r>
      <w:r>
        <w:rPr>
          <w:rFonts w:hint="eastAsia"/>
          <w:color w:val="auto"/>
        </w:rPr>
        <w:t>t/a、0.0</w:t>
      </w:r>
      <w:r>
        <w:rPr>
          <w:color w:val="auto"/>
        </w:rPr>
        <w:t>4</w:t>
      </w:r>
      <w:r>
        <w:rPr>
          <w:rFonts w:hint="eastAsia"/>
          <w:color w:val="auto"/>
        </w:rPr>
        <w:t>t/a。收集后由罐车运至广西石化污水处理场进行处理。</w:t>
      </w:r>
    </w:p>
    <w:p w14:paraId="5D1FF7D2">
      <w:pPr>
        <w:ind w:firstLine="480"/>
        <w:rPr>
          <w:color w:val="auto"/>
        </w:rPr>
      </w:pPr>
      <w:r>
        <w:rPr>
          <w:rFonts w:hint="eastAsia"/>
          <w:color w:val="auto"/>
        </w:rPr>
        <w:t>（</w:t>
      </w:r>
      <w:r>
        <w:rPr>
          <w:color w:val="auto"/>
        </w:rPr>
        <w:t>5</w:t>
      </w:r>
      <w:r>
        <w:rPr>
          <w:rFonts w:hint="eastAsia"/>
          <w:color w:val="auto"/>
        </w:rPr>
        <w:t>）码头</w:t>
      </w:r>
      <w:r>
        <w:rPr>
          <w:color w:val="auto"/>
        </w:rPr>
        <w:t>冲洗废水</w:t>
      </w:r>
    </w:p>
    <w:p w14:paraId="2E73118D">
      <w:pPr>
        <w:ind w:firstLine="480"/>
        <w:rPr>
          <w:color w:val="auto"/>
        </w:rPr>
      </w:pPr>
      <w:r>
        <w:rPr>
          <w:rFonts w:hint="eastAsia"/>
          <w:color w:val="auto"/>
        </w:rPr>
        <w:t>据《水运工程环境保护设计规范》（JTS149-2018），码头装卸平台的冲洗水量指标按5L/m²•次计。码头泊位装卸区四周设置围坎，围坎内设置集污池（容积大约为2m</w:t>
      </w:r>
      <w:r>
        <w:rPr>
          <w:rFonts w:hint="eastAsia"/>
          <w:color w:val="auto"/>
          <w:vertAlign w:val="superscript"/>
        </w:rPr>
        <w:t>3</w:t>
      </w:r>
      <w:r>
        <w:rPr>
          <w:rFonts w:hint="eastAsia"/>
          <w:color w:val="auto"/>
        </w:rPr>
        <w:t>）收集冲洗水；6#泊位装卸区域面积为</w:t>
      </w:r>
      <w:r>
        <w:rPr>
          <w:color w:val="auto"/>
        </w:rPr>
        <w:t>578</w:t>
      </w:r>
      <w:r>
        <w:rPr>
          <w:rFonts w:hint="eastAsia"/>
          <w:color w:val="auto"/>
        </w:rPr>
        <w:t>m²，则</w:t>
      </w:r>
      <w:r>
        <w:rPr>
          <w:color w:val="auto"/>
        </w:rPr>
        <w:t>6</w:t>
      </w:r>
      <w:r>
        <w:rPr>
          <w:rFonts w:hint="eastAsia"/>
          <w:color w:val="auto"/>
        </w:rPr>
        <w:t>#泊位装卸区冲洗水最大产生量为</w:t>
      </w:r>
      <w:r>
        <w:rPr>
          <w:color w:val="auto"/>
        </w:rPr>
        <w:t>2.89</w:t>
      </w:r>
      <w:r>
        <w:rPr>
          <w:rFonts w:hint="eastAsia"/>
          <w:color w:val="auto"/>
        </w:rPr>
        <w:t>m³/次，全年冲洗次数按50次计算，装卸区冲洗水全年产生量为</w:t>
      </w:r>
      <w:r>
        <w:rPr>
          <w:color w:val="auto"/>
        </w:rPr>
        <w:t>144.5</w:t>
      </w:r>
      <w:r>
        <w:rPr>
          <w:rFonts w:hint="eastAsia"/>
          <w:color w:val="auto"/>
        </w:rPr>
        <w:t>m³。现有</w:t>
      </w:r>
      <w:r>
        <w:rPr>
          <w:color w:val="auto"/>
        </w:rPr>
        <w:t>工程</w:t>
      </w:r>
      <w:r>
        <w:rPr>
          <w:rFonts w:hint="eastAsia"/>
          <w:color w:val="auto"/>
        </w:rPr>
        <w:t>冲洗废水与初期雨水污染特征相似，废水</w:t>
      </w:r>
      <w:r>
        <w:rPr>
          <w:color w:val="auto"/>
        </w:rPr>
        <w:t>中的主要污染物是石油类，</w:t>
      </w:r>
      <w:r>
        <w:rPr>
          <w:rFonts w:hint="eastAsia"/>
          <w:color w:val="auto"/>
        </w:rPr>
        <w:t>石油类</w:t>
      </w:r>
      <w:r>
        <w:rPr>
          <w:color w:val="auto"/>
        </w:rPr>
        <w:t>浓度取</w:t>
      </w:r>
      <w:r>
        <w:rPr>
          <w:rFonts w:hint="eastAsia"/>
          <w:color w:val="auto"/>
        </w:rPr>
        <w:t>300</w:t>
      </w:r>
      <w:r>
        <w:rPr>
          <w:color w:val="auto"/>
        </w:rPr>
        <w:t>mg/L</w:t>
      </w:r>
      <w:r>
        <w:rPr>
          <w:rFonts w:hint="eastAsia"/>
          <w:color w:val="auto"/>
        </w:rPr>
        <w:t>，</w:t>
      </w:r>
      <w:r>
        <w:rPr>
          <w:color w:val="auto"/>
        </w:rPr>
        <w:t>石油类产生量为</w:t>
      </w:r>
      <w:r>
        <w:rPr>
          <w:rFonts w:hint="eastAsia"/>
          <w:color w:val="auto"/>
        </w:rPr>
        <w:t>0.044</w:t>
      </w:r>
      <w:r>
        <w:rPr>
          <w:color w:val="auto"/>
        </w:rPr>
        <w:t>t/a。</w:t>
      </w:r>
      <w:r>
        <w:rPr>
          <w:rFonts w:hint="eastAsia"/>
          <w:color w:val="auto"/>
        </w:rPr>
        <w:t>码头平台污水收集管网收集进入码头污水收集池（容积约2m</w:t>
      </w:r>
      <w:r>
        <w:rPr>
          <w:rFonts w:hint="eastAsia"/>
          <w:color w:val="auto"/>
          <w:vertAlign w:val="superscript"/>
        </w:rPr>
        <w:t>3</w:t>
      </w:r>
      <w:r>
        <w:rPr>
          <w:rFonts w:hint="eastAsia"/>
          <w:color w:val="auto"/>
        </w:rPr>
        <w:t>），通过提升泵泵送至</w:t>
      </w:r>
      <w:r>
        <w:rPr>
          <w:color w:val="auto"/>
        </w:rPr>
        <w:t>引桥</w:t>
      </w:r>
      <w:r>
        <w:rPr>
          <w:rFonts w:hint="eastAsia"/>
          <w:color w:val="auto"/>
        </w:rPr>
        <w:t>与</w:t>
      </w:r>
      <w:r>
        <w:rPr>
          <w:color w:val="auto"/>
        </w:rPr>
        <w:t>库区连接处</w:t>
      </w:r>
      <w:r>
        <w:rPr>
          <w:rFonts w:hint="eastAsia"/>
          <w:color w:val="auto"/>
        </w:rPr>
        <w:t>左侧</w:t>
      </w:r>
      <w:r>
        <w:rPr>
          <w:color w:val="auto"/>
        </w:rPr>
        <w:t>的事故应急池</w:t>
      </w:r>
      <w:r>
        <w:rPr>
          <w:rFonts w:hint="eastAsia"/>
          <w:color w:val="auto"/>
        </w:rPr>
        <w:t>（容积20000</w:t>
      </w:r>
      <w:r>
        <w:rPr>
          <w:color w:val="auto"/>
        </w:rPr>
        <w:t>m</w:t>
      </w:r>
      <w:r>
        <w:rPr>
          <w:color w:val="auto"/>
          <w:vertAlign w:val="superscript"/>
        </w:rPr>
        <w:t>3</w:t>
      </w:r>
      <w:r>
        <w:rPr>
          <w:rFonts w:hint="eastAsia"/>
          <w:color w:val="auto"/>
        </w:rPr>
        <w:t>）</w:t>
      </w:r>
      <w:r>
        <w:rPr>
          <w:color w:val="auto"/>
        </w:rPr>
        <w:t>中，现有工程事故应急池兼顾初期雨水池的功能</w:t>
      </w:r>
      <w:r>
        <w:rPr>
          <w:rFonts w:hint="eastAsia"/>
          <w:color w:val="auto"/>
        </w:rPr>
        <w:t>，</w:t>
      </w:r>
      <w:r>
        <w:rPr>
          <w:color w:val="auto"/>
        </w:rPr>
        <w:t>再</w:t>
      </w:r>
      <w:r>
        <w:rPr>
          <w:rFonts w:hint="eastAsia"/>
          <w:color w:val="auto"/>
        </w:rPr>
        <w:t>经过</w:t>
      </w:r>
      <w:r>
        <w:rPr>
          <w:color w:val="auto"/>
        </w:rPr>
        <w:t>泵将水抽送至</w:t>
      </w:r>
      <w:r>
        <w:rPr>
          <w:rFonts w:hint="eastAsia"/>
          <w:color w:val="auto"/>
        </w:rPr>
        <w:t>库区</w:t>
      </w:r>
      <w:r>
        <w:rPr>
          <w:color w:val="auto"/>
        </w:rPr>
        <w:t>污水处理</w:t>
      </w:r>
      <w:r>
        <w:rPr>
          <w:rFonts w:hint="eastAsia"/>
          <w:color w:val="auto"/>
        </w:rPr>
        <w:t>设施</w:t>
      </w:r>
      <w:r>
        <w:rPr>
          <w:color w:val="auto"/>
        </w:rPr>
        <w:t>，</w:t>
      </w:r>
      <w:r>
        <w:rPr>
          <w:rFonts w:hint="eastAsia"/>
          <w:color w:val="auto"/>
        </w:rPr>
        <w:t>由罐车运回东油沥青厂区后统一通过管网输送至广西石化污水处理场进行处理。</w:t>
      </w:r>
    </w:p>
    <w:p w14:paraId="0F751508">
      <w:pPr>
        <w:ind w:firstLine="480"/>
        <w:rPr>
          <w:color w:val="auto"/>
        </w:rPr>
      </w:pPr>
      <w:r>
        <w:rPr>
          <w:rFonts w:hint="eastAsia"/>
          <w:color w:val="auto"/>
        </w:rPr>
        <w:t>（6）洗罐</w:t>
      </w:r>
      <w:r>
        <w:rPr>
          <w:color w:val="auto"/>
        </w:rPr>
        <w:t>废水</w:t>
      </w:r>
    </w:p>
    <w:p w14:paraId="19B4A056">
      <w:pPr>
        <w:ind w:firstLine="480"/>
        <w:rPr>
          <w:color w:val="auto"/>
        </w:rPr>
      </w:pPr>
      <w:r>
        <w:rPr>
          <w:rFonts w:hint="eastAsia"/>
          <w:color w:val="auto"/>
        </w:rPr>
        <w:t>现有</w:t>
      </w:r>
      <w:r>
        <w:rPr>
          <w:color w:val="auto"/>
        </w:rPr>
        <w:t>工程共有</w:t>
      </w:r>
      <w:r>
        <w:rPr>
          <w:rFonts w:hint="eastAsia"/>
          <w:color w:val="auto"/>
        </w:rPr>
        <w:t>28个</w:t>
      </w:r>
      <w:r>
        <w:rPr>
          <w:color w:val="auto"/>
        </w:rPr>
        <w:t>储罐，约</w:t>
      </w:r>
      <w:r>
        <w:rPr>
          <w:rFonts w:hint="eastAsia"/>
          <w:color w:val="auto"/>
        </w:rPr>
        <w:t>4~5年</w:t>
      </w:r>
      <w:r>
        <w:rPr>
          <w:color w:val="auto"/>
        </w:rPr>
        <w:t>清洗一次，</w:t>
      </w:r>
      <w:r>
        <w:rPr>
          <w:rFonts w:hint="eastAsia"/>
          <w:color w:val="auto"/>
        </w:rPr>
        <w:t>委托专业的清洗单位对储罐进行</w:t>
      </w:r>
      <w:r>
        <w:rPr>
          <w:color w:val="auto"/>
        </w:rPr>
        <w:t>分批次</w:t>
      </w:r>
      <w:r>
        <w:rPr>
          <w:rFonts w:hint="eastAsia"/>
          <w:color w:val="auto"/>
        </w:rPr>
        <w:t>清洗，单次</w:t>
      </w:r>
      <w:r>
        <w:rPr>
          <w:color w:val="auto"/>
        </w:rPr>
        <w:t>清洗约</w:t>
      </w:r>
      <w:r>
        <w:rPr>
          <w:rFonts w:hint="eastAsia"/>
          <w:color w:val="auto"/>
        </w:rPr>
        <w:t>2~3个</w:t>
      </w:r>
      <w:r>
        <w:rPr>
          <w:color w:val="auto"/>
        </w:rPr>
        <w:t>储罐。</w:t>
      </w:r>
      <w:r>
        <w:rPr>
          <w:rFonts w:hint="eastAsia"/>
          <w:color w:val="auto"/>
        </w:rPr>
        <w:t>根据经验可知，储罐清洗用水量约为储罐容积的1%，28个</w:t>
      </w:r>
      <w:r>
        <w:rPr>
          <w:color w:val="auto"/>
        </w:rPr>
        <w:t>储罐</w:t>
      </w:r>
      <w:r>
        <w:rPr>
          <w:rFonts w:hint="eastAsia"/>
          <w:color w:val="auto"/>
        </w:rPr>
        <w:t>总</w:t>
      </w:r>
      <w:r>
        <w:rPr>
          <w:color w:val="auto"/>
        </w:rPr>
        <w:t>容积为</w:t>
      </w:r>
      <w:r>
        <w:rPr>
          <w:rFonts w:hint="eastAsia"/>
          <w:color w:val="auto"/>
        </w:rPr>
        <w:t>35.5万</w:t>
      </w:r>
      <w:r>
        <w:rPr>
          <w:color w:val="auto"/>
        </w:rPr>
        <w:t>m</w:t>
      </w:r>
      <w:r>
        <w:rPr>
          <w:color w:val="auto"/>
          <w:vertAlign w:val="superscript"/>
        </w:rPr>
        <w:t>3</w:t>
      </w:r>
      <w:r>
        <w:rPr>
          <w:rFonts w:hint="eastAsia"/>
          <w:color w:val="auto"/>
        </w:rPr>
        <w:t>，</w:t>
      </w:r>
      <w:r>
        <w:rPr>
          <w:color w:val="auto"/>
        </w:rPr>
        <w:t>储罐</w:t>
      </w:r>
      <w:r>
        <w:rPr>
          <w:rFonts w:hint="eastAsia"/>
          <w:color w:val="auto"/>
        </w:rPr>
        <w:t>容积</w:t>
      </w:r>
      <w:r>
        <w:rPr>
          <w:color w:val="auto"/>
        </w:rPr>
        <w:t>有</w:t>
      </w:r>
      <w:r>
        <w:rPr>
          <w:rFonts w:hint="eastAsia"/>
          <w:color w:val="auto"/>
        </w:rPr>
        <w:t>40000</w:t>
      </w:r>
      <w:r>
        <w:rPr>
          <w:color w:val="auto"/>
        </w:rPr>
        <w:t>m</w:t>
      </w:r>
      <w:r>
        <w:rPr>
          <w:color w:val="auto"/>
          <w:vertAlign w:val="superscript"/>
        </w:rPr>
        <w:t>3</w:t>
      </w:r>
      <w:r>
        <w:rPr>
          <w:rFonts w:hint="eastAsia"/>
          <w:color w:val="auto"/>
        </w:rPr>
        <w:t>、</w:t>
      </w:r>
      <w:r>
        <w:rPr>
          <w:color w:val="auto"/>
        </w:rPr>
        <w:t>5</w:t>
      </w:r>
      <w:r>
        <w:rPr>
          <w:rFonts w:hint="eastAsia"/>
          <w:color w:val="auto"/>
        </w:rPr>
        <w:t>000</w:t>
      </w:r>
      <w:r>
        <w:rPr>
          <w:color w:val="auto"/>
        </w:rPr>
        <w:t>m</w:t>
      </w:r>
      <w:r>
        <w:rPr>
          <w:color w:val="auto"/>
          <w:vertAlign w:val="superscript"/>
        </w:rPr>
        <w:t>3</w:t>
      </w:r>
      <w:r>
        <w:rPr>
          <w:rFonts w:hint="eastAsia"/>
          <w:color w:val="auto"/>
        </w:rPr>
        <w:t>、</w:t>
      </w:r>
      <w:r>
        <w:rPr>
          <w:color w:val="auto"/>
        </w:rPr>
        <w:t>1</w:t>
      </w:r>
      <w:r>
        <w:rPr>
          <w:rFonts w:hint="eastAsia"/>
          <w:color w:val="auto"/>
        </w:rPr>
        <w:t>0000</w:t>
      </w:r>
      <w:r>
        <w:rPr>
          <w:color w:val="auto"/>
        </w:rPr>
        <w:t>m</w:t>
      </w:r>
      <w:r>
        <w:rPr>
          <w:color w:val="auto"/>
          <w:vertAlign w:val="superscript"/>
        </w:rPr>
        <w:t>3</w:t>
      </w:r>
      <w:r>
        <w:rPr>
          <w:rFonts w:hint="eastAsia"/>
          <w:color w:val="auto"/>
        </w:rPr>
        <w:t>，</w:t>
      </w:r>
      <w:r>
        <w:rPr>
          <w:color w:val="auto"/>
        </w:rPr>
        <w:t>按最多清洗</w:t>
      </w:r>
      <w:r>
        <w:rPr>
          <w:rFonts w:hint="eastAsia"/>
          <w:color w:val="auto"/>
        </w:rPr>
        <w:t>3个</w:t>
      </w:r>
      <w:r>
        <w:rPr>
          <w:color w:val="auto"/>
        </w:rPr>
        <w:t>储罐计算</w:t>
      </w:r>
      <w:r>
        <w:rPr>
          <w:rFonts w:hint="eastAsia"/>
          <w:color w:val="auto"/>
        </w:rPr>
        <w:t>，清洗1个40000</w:t>
      </w:r>
      <w:r>
        <w:rPr>
          <w:color w:val="auto"/>
        </w:rPr>
        <w:t>m</w:t>
      </w:r>
      <w:r>
        <w:rPr>
          <w:color w:val="auto"/>
          <w:vertAlign w:val="superscript"/>
        </w:rPr>
        <w:t>3</w:t>
      </w:r>
      <w:r>
        <w:rPr>
          <w:rFonts w:hint="eastAsia"/>
          <w:color w:val="auto"/>
        </w:rPr>
        <w:t>和2个</w:t>
      </w:r>
      <w:r>
        <w:rPr>
          <w:color w:val="auto"/>
        </w:rPr>
        <w:t>1</w:t>
      </w:r>
      <w:r>
        <w:rPr>
          <w:rFonts w:hint="eastAsia"/>
          <w:color w:val="auto"/>
        </w:rPr>
        <w:t>0000</w:t>
      </w:r>
      <w:r>
        <w:rPr>
          <w:color w:val="auto"/>
        </w:rPr>
        <w:t>m</w:t>
      </w:r>
      <w:r>
        <w:rPr>
          <w:color w:val="auto"/>
          <w:vertAlign w:val="superscript"/>
        </w:rPr>
        <w:t>3</w:t>
      </w:r>
      <w:r>
        <w:rPr>
          <w:rFonts w:hint="eastAsia"/>
          <w:color w:val="auto"/>
        </w:rPr>
        <w:t>，清洗</w:t>
      </w:r>
      <w:r>
        <w:rPr>
          <w:color w:val="auto"/>
        </w:rPr>
        <w:t>用水量约为</w:t>
      </w:r>
      <w:r>
        <w:rPr>
          <w:rFonts w:hint="eastAsia"/>
          <w:color w:val="auto"/>
        </w:rPr>
        <w:t>600</w:t>
      </w:r>
      <w:r>
        <w:rPr>
          <w:color w:val="auto"/>
        </w:rPr>
        <w:t>m</w:t>
      </w:r>
      <w:r>
        <w:rPr>
          <w:color w:val="auto"/>
          <w:vertAlign w:val="superscript"/>
        </w:rPr>
        <w:t>3</w:t>
      </w:r>
      <w:r>
        <w:rPr>
          <w:color w:val="auto"/>
        </w:rPr>
        <w:t>/</w:t>
      </w:r>
      <w:r>
        <w:rPr>
          <w:rFonts w:hint="eastAsia"/>
          <w:color w:val="auto"/>
        </w:rPr>
        <w:t>次。</w:t>
      </w:r>
      <w:r>
        <w:rPr>
          <w:color w:val="auto"/>
        </w:rPr>
        <w:t>产污系数按0.9计，则</w:t>
      </w:r>
      <w:r>
        <w:rPr>
          <w:rFonts w:hint="eastAsia"/>
          <w:color w:val="auto"/>
        </w:rPr>
        <w:t>洗</w:t>
      </w:r>
      <w:r>
        <w:rPr>
          <w:color w:val="auto"/>
        </w:rPr>
        <w:t>罐废水产生量为540m</w:t>
      </w:r>
      <w:r>
        <w:rPr>
          <w:color w:val="auto"/>
          <w:vertAlign w:val="superscript"/>
        </w:rPr>
        <w:t>3</w:t>
      </w:r>
      <w:r>
        <w:rPr>
          <w:color w:val="auto"/>
        </w:rPr>
        <w:t>/</w:t>
      </w:r>
      <w:r>
        <w:rPr>
          <w:rFonts w:hint="eastAsia"/>
          <w:color w:val="auto"/>
        </w:rPr>
        <w:t>次</w:t>
      </w:r>
      <w:r>
        <w:rPr>
          <w:color w:val="auto"/>
        </w:rPr>
        <w:t>。</w:t>
      </w:r>
      <w:r>
        <w:rPr>
          <w:rFonts w:hint="eastAsia"/>
          <w:color w:val="auto"/>
        </w:rPr>
        <w:t>洗罐</w:t>
      </w:r>
      <w:r>
        <w:rPr>
          <w:color w:val="auto"/>
        </w:rPr>
        <w:t>废水经收集后进入现有污水处理设施进行隔油处理，废水由罐车运至</w:t>
      </w:r>
      <w:r>
        <w:rPr>
          <w:rFonts w:hint="eastAsia"/>
          <w:color w:val="auto"/>
        </w:rPr>
        <w:t>广西</w:t>
      </w:r>
      <w:r>
        <w:rPr>
          <w:color w:val="auto"/>
        </w:rPr>
        <w:t>东油沥青有限公司沥青厂</w:t>
      </w:r>
      <w:r>
        <w:rPr>
          <w:rFonts w:hint="eastAsia"/>
          <w:color w:val="auto"/>
        </w:rPr>
        <w:t>区后统一通过管网输送至广西石化污水处理场进行处理。</w:t>
      </w:r>
    </w:p>
    <w:p w14:paraId="4177C135">
      <w:pPr>
        <w:ind w:firstLine="480"/>
        <w:rPr>
          <w:color w:val="auto"/>
        </w:rPr>
      </w:pPr>
      <w:r>
        <w:rPr>
          <w:rFonts w:hint="eastAsia"/>
          <w:color w:val="auto"/>
        </w:rPr>
        <w:t>（</w:t>
      </w:r>
      <w:r>
        <w:rPr>
          <w:color w:val="auto"/>
        </w:rPr>
        <w:t>7</w:t>
      </w:r>
      <w:r>
        <w:rPr>
          <w:rFonts w:hint="eastAsia"/>
          <w:color w:val="auto"/>
        </w:rPr>
        <w:t>）初期</w:t>
      </w:r>
      <w:r>
        <w:rPr>
          <w:color w:val="auto"/>
        </w:rPr>
        <w:t>雨水</w:t>
      </w:r>
    </w:p>
    <w:p w14:paraId="2A3BF069">
      <w:pPr>
        <w:ind w:firstLine="480"/>
        <w:rPr>
          <w:color w:val="auto"/>
        </w:rPr>
      </w:pPr>
      <w:r>
        <w:rPr>
          <w:rFonts w:hint="eastAsia"/>
          <w:color w:val="auto"/>
        </w:rPr>
        <w:t>参照《水运工程环境保护设计规范》（JTS149-2018），码头初期雨水计算方式：</w:t>
      </w:r>
    </w:p>
    <w:p w14:paraId="5882C409">
      <w:pPr>
        <w:ind w:firstLine="0" w:firstLineChars="0"/>
        <w:jc w:val="center"/>
        <w:rPr>
          <w:color w:val="auto"/>
        </w:rPr>
      </w:pPr>
      <w:r>
        <w:rPr>
          <w:rFonts w:hint="eastAsia"/>
          <w:color w:val="auto"/>
        </w:rPr>
        <w:t>V＝ψ×h×F</w:t>
      </w:r>
    </w:p>
    <w:p w14:paraId="2BA76995">
      <w:pPr>
        <w:ind w:firstLine="480"/>
        <w:rPr>
          <w:color w:val="auto"/>
        </w:rPr>
      </w:pPr>
      <w:r>
        <w:rPr>
          <w:rFonts w:hint="eastAsia"/>
          <w:color w:val="auto"/>
        </w:rPr>
        <w:t>式中：V―初期雨水量，m</w:t>
      </w:r>
      <w:r>
        <w:rPr>
          <w:rFonts w:hint="eastAsia"/>
          <w:color w:val="auto"/>
          <w:vertAlign w:val="superscript"/>
        </w:rPr>
        <w:t>3</w:t>
      </w:r>
      <w:r>
        <w:rPr>
          <w:rFonts w:hint="eastAsia"/>
          <w:color w:val="auto"/>
        </w:rPr>
        <w:t>；</w:t>
      </w:r>
    </w:p>
    <w:p w14:paraId="508A4A93">
      <w:pPr>
        <w:ind w:firstLine="480"/>
        <w:rPr>
          <w:color w:val="auto"/>
        </w:rPr>
      </w:pPr>
      <w:r>
        <w:rPr>
          <w:rFonts w:hint="eastAsia"/>
          <w:color w:val="auto"/>
        </w:rPr>
        <w:t>ψ―径流系数，取0.9；</w:t>
      </w:r>
    </w:p>
    <w:p w14:paraId="645BD440">
      <w:pPr>
        <w:ind w:firstLine="480"/>
        <w:rPr>
          <w:color w:val="auto"/>
        </w:rPr>
      </w:pPr>
      <w:r>
        <w:rPr>
          <w:rFonts w:hint="eastAsia"/>
          <w:color w:val="auto"/>
        </w:rPr>
        <w:t>h―降雨深度（m），取0.0</w:t>
      </w:r>
      <w:r>
        <w:rPr>
          <w:color w:val="auto"/>
        </w:rPr>
        <w:t>3</w:t>
      </w:r>
      <w:r>
        <w:rPr>
          <w:rFonts w:hint="eastAsia"/>
          <w:color w:val="auto"/>
        </w:rPr>
        <w:t>m；</w:t>
      </w:r>
    </w:p>
    <w:p w14:paraId="48F03DF9">
      <w:pPr>
        <w:ind w:firstLine="480" w:firstLineChars="0"/>
        <w:rPr>
          <w:color w:val="auto"/>
        </w:rPr>
      </w:pPr>
      <w:r>
        <w:rPr>
          <w:rFonts w:hint="eastAsia"/>
          <w:color w:val="auto"/>
        </w:rPr>
        <w:t>F―汇水面积，m</w:t>
      </w:r>
      <w:r>
        <w:rPr>
          <w:rFonts w:hint="eastAsia"/>
          <w:color w:val="auto"/>
          <w:vertAlign w:val="superscript"/>
        </w:rPr>
        <w:t>2</w:t>
      </w:r>
      <w:r>
        <w:rPr>
          <w:rFonts w:hint="eastAsia"/>
          <w:color w:val="auto"/>
        </w:rPr>
        <w:t>；其中</w:t>
      </w:r>
      <w:r>
        <w:rPr>
          <w:color w:val="auto"/>
        </w:rPr>
        <w:t>6</w:t>
      </w:r>
      <w:r>
        <w:rPr>
          <w:rFonts w:hint="eastAsia"/>
          <w:color w:val="auto"/>
        </w:rPr>
        <w:t>#泊位初期雨水收集面积约</w:t>
      </w:r>
      <w:r>
        <w:rPr>
          <w:color w:val="auto"/>
        </w:rPr>
        <w:t>578</w:t>
      </w:r>
      <w:r>
        <w:rPr>
          <w:rFonts w:hint="eastAsia"/>
          <w:color w:val="auto"/>
        </w:rPr>
        <w:t>m</w:t>
      </w:r>
      <w:r>
        <w:rPr>
          <w:rFonts w:hint="eastAsia"/>
          <w:color w:val="auto"/>
          <w:vertAlign w:val="superscript"/>
        </w:rPr>
        <w:t>2</w:t>
      </w:r>
      <w:r>
        <w:rPr>
          <w:rFonts w:hint="eastAsia"/>
          <w:color w:val="auto"/>
        </w:rPr>
        <w:t>，罐组</w:t>
      </w:r>
      <w:r>
        <w:rPr>
          <w:color w:val="auto"/>
        </w:rPr>
        <w:t>初期雨水收集面积约63361</w:t>
      </w:r>
      <w:r>
        <w:rPr>
          <w:rFonts w:hint="eastAsia"/>
          <w:color w:val="auto"/>
        </w:rPr>
        <w:t>m</w:t>
      </w:r>
      <w:r>
        <w:rPr>
          <w:rFonts w:hint="eastAsia"/>
          <w:color w:val="auto"/>
          <w:vertAlign w:val="superscript"/>
        </w:rPr>
        <w:t>2</w:t>
      </w:r>
      <w:r>
        <w:rPr>
          <w:rFonts w:hint="eastAsia"/>
          <w:color w:val="auto"/>
        </w:rPr>
        <w:t>。</w:t>
      </w:r>
    </w:p>
    <w:p w14:paraId="358FDFFA">
      <w:pPr>
        <w:ind w:firstLine="480"/>
        <w:rPr>
          <w:color w:val="auto"/>
        </w:rPr>
      </w:pPr>
      <w:r>
        <w:rPr>
          <w:rFonts w:hint="eastAsia"/>
          <w:color w:val="auto"/>
        </w:rPr>
        <w:t>经</w:t>
      </w:r>
      <w:r>
        <w:rPr>
          <w:color w:val="auto"/>
        </w:rPr>
        <w:t>计算，现有</w:t>
      </w:r>
      <w:r>
        <w:rPr>
          <w:rFonts w:hint="eastAsia"/>
          <w:color w:val="auto"/>
        </w:rPr>
        <w:t>工程码头装卸区初期雨水产生量为15.61m</w:t>
      </w:r>
      <w:r>
        <w:rPr>
          <w:rFonts w:hint="eastAsia"/>
          <w:color w:val="auto"/>
          <w:vertAlign w:val="superscript"/>
        </w:rPr>
        <w:t>3</w:t>
      </w:r>
      <w:r>
        <w:rPr>
          <w:rFonts w:hint="eastAsia"/>
          <w:color w:val="auto"/>
        </w:rPr>
        <w:t>/次，罐组初期雨水产生量为</w:t>
      </w:r>
      <w:r>
        <w:rPr>
          <w:color w:val="auto"/>
        </w:rPr>
        <w:t>17</w:t>
      </w:r>
      <w:r>
        <w:rPr>
          <w:rFonts w:hint="eastAsia"/>
          <w:color w:val="auto"/>
        </w:rPr>
        <w:t>10</w:t>
      </w:r>
      <w:r>
        <w:rPr>
          <w:color w:val="auto"/>
        </w:rPr>
        <w:t>.</w:t>
      </w:r>
      <w:r>
        <w:rPr>
          <w:rFonts w:hint="eastAsia"/>
          <w:color w:val="auto"/>
        </w:rPr>
        <w:t>75m</w:t>
      </w:r>
      <w:r>
        <w:rPr>
          <w:rFonts w:hint="eastAsia"/>
          <w:color w:val="auto"/>
          <w:vertAlign w:val="superscript"/>
        </w:rPr>
        <w:t>3</w:t>
      </w:r>
      <w:r>
        <w:rPr>
          <w:rFonts w:hint="eastAsia"/>
          <w:color w:val="auto"/>
        </w:rPr>
        <w:t>/次。废水</w:t>
      </w:r>
      <w:r>
        <w:rPr>
          <w:color w:val="auto"/>
        </w:rPr>
        <w:t>中的主要污染物是石油类，</w:t>
      </w:r>
      <w:r>
        <w:rPr>
          <w:rFonts w:hint="eastAsia"/>
          <w:color w:val="auto"/>
        </w:rPr>
        <w:t>石油类</w:t>
      </w:r>
      <w:r>
        <w:rPr>
          <w:color w:val="auto"/>
        </w:rPr>
        <w:t>浓度取</w:t>
      </w:r>
      <w:r>
        <w:rPr>
          <w:rFonts w:hint="eastAsia"/>
          <w:color w:val="auto"/>
        </w:rPr>
        <w:t>300</w:t>
      </w:r>
      <w:r>
        <w:rPr>
          <w:color w:val="auto"/>
        </w:rPr>
        <w:t>mg/L</w:t>
      </w:r>
      <w:r>
        <w:rPr>
          <w:rFonts w:hint="eastAsia"/>
          <w:color w:val="auto"/>
        </w:rPr>
        <w:t>，</w:t>
      </w:r>
      <w:r>
        <w:rPr>
          <w:color w:val="auto"/>
        </w:rPr>
        <w:t>石油类产生量为</w:t>
      </w:r>
      <w:r>
        <w:rPr>
          <w:rFonts w:hint="eastAsia"/>
          <w:color w:val="auto"/>
        </w:rPr>
        <w:t>0.</w:t>
      </w:r>
      <w:r>
        <w:rPr>
          <w:color w:val="auto"/>
        </w:rPr>
        <w:t>52t/a。</w:t>
      </w:r>
    </w:p>
    <w:p w14:paraId="77620FA2">
      <w:pPr>
        <w:ind w:firstLine="480" w:firstLineChars="0"/>
        <w:rPr>
          <w:color w:val="auto"/>
        </w:rPr>
      </w:pPr>
      <w:r>
        <w:rPr>
          <w:rFonts w:hint="eastAsia"/>
          <w:color w:val="auto"/>
        </w:rPr>
        <w:t>现有工程码头初期雨水由码头平台污水收集管网收集进入码头污水收集池（容积约2m3），通过泵将收集池中的水泵至引桥与库区连接处左侧的事故应急池（兼做初期雨水池，容积20000m</w:t>
      </w:r>
      <w:r>
        <w:rPr>
          <w:rFonts w:hint="eastAsia"/>
          <w:color w:val="auto"/>
          <w:vertAlign w:val="superscript"/>
        </w:rPr>
        <w:t>3</w:t>
      </w:r>
      <w:r>
        <w:rPr>
          <w:rFonts w:hint="eastAsia"/>
          <w:color w:val="auto"/>
        </w:rPr>
        <w:t>）中，经过泵将水抽送至库区污水处理设施，由罐车运回东油沥青厂区后统一通过管网输送至广西石化污水处理场进行处理。罐组内的初期雨水通过雨水管网收集后，排至事故应急池（兼做初期雨水池），</w:t>
      </w:r>
      <w:r>
        <w:rPr>
          <w:color w:val="auto"/>
        </w:rPr>
        <w:t>再</w:t>
      </w:r>
      <w:r>
        <w:rPr>
          <w:rFonts w:hint="eastAsia"/>
          <w:color w:val="auto"/>
        </w:rPr>
        <w:t>经过</w:t>
      </w:r>
      <w:r>
        <w:rPr>
          <w:color w:val="auto"/>
        </w:rPr>
        <w:t>泵将水抽送至</w:t>
      </w:r>
      <w:r>
        <w:rPr>
          <w:rFonts w:hint="eastAsia"/>
          <w:color w:val="auto"/>
        </w:rPr>
        <w:t>库区</w:t>
      </w:r>
      <w:r>
        <w:rPr>
          <w:color w:val="auto"/>
        </w:rPr>
        <w:t>污水处理</w:t>
      </w:r>
      <w:r>
        <w:rPr>
          <w:rFonts w:hint="eastAsia"/>
          <w:color w:val="auto"/>
        </w:rPr>
        <w:t>设施</w:t>
      </w:r>
      <w:r>
        <w:rPr>
          <w:color w:val="auto"/>
        </w:rPr>
        <w:t>，由罐车</w:t>
      </w:r>
      <w:r>
        <w:rPr>
          <w:rFonts w:hint="eastAsia"/>
          <w:color w:val="auto"/>
        </w:rPr>
        <w:t>运回东油沥青厂区后统一通过管网输送至广西石化污水处理场进行处理。</w:t>
      </w:r>
    </w:p>
    <w:p w14:paraId="3D4599D7">
      <w:pPr>
        <w:pStyle w:val="6"/>
        <w:rPr>
          <w:color w:val="auto"/>
        </w:rPr>
      </w:pPr>
      <w:r>
        <w:rPr>
          <w:rFonts w:hint="eastAsia"/>
          <w:color w:val="auto"/>
        </w:rPr>
        <w:t>噪声</w:t>
      </w:r>
    </w:p>
    <w:p w14:paraId="322B9F14">
      <w:pPr>
        <w:ind w:firstLine="480"/>
        <w:rPr>
          <w:color w:val="auto"/>
        </w:rPr>
      </w:pPr>
      <w:r>
        <w:rPr>
          <w:rFonts w:hint="eastAsia"/>
          <w:color w:val="auto"/>
        </w:rPr>
        <w:t>现有</w:t>
      </w:r>
      <w:r>
        <w:rPr>
          <w:color w:val="auto"/>
        </w:rPr>
        <w:t>工程的噪声主要来源于</w:t>
      </w:r>
      <w:r>
        <w:rPr>
          <w:rFonts w:hint="eastAsia"/>
          <w:color w:val="auto"/>
        </w:rPr>
        <w:t>泵</w:t>
      </w:r>
      <w:r>
        <w:rPr>
          <w:color w:val="auto"/>
        </w:rPr>
        <w:t>、</w:t>
      </w:r>
      <w:r>
        <w:rPr>
          <w:rFonts w:hint="eastAsia"/>
          <w:color w:val="auto"/>
        </w:rPr>
        <w:t>机电</w:t>
      </w:r>
      <w:r>
        <w:rPr>
          <w:color w:val="auto"/>
        </w:rPr>
        <w:t>设备、运输车辆、制氮设备等产生，根据</w:t>
      </w:r>
      <w:r>
        <w:rPr>
          <w:rFonts w:hint="eastAsia"/>
          <w:color w:val="auto"/>
        </w:rPr>
        <w:t>《广西东油沥青有限公司5万吨级油气码头油库新建汽油装船油气回收系统项目环境保护设施竣工验收监测报告表》2021年9月19日~20日的验收监测结果，厂界昼夜间噪声监测结果均低于《工业企业厂界环境噪声排放标准》（GB12348-2008）3类标准限值。</w:t>
      </w:r>
    </w:p>
    <w:p w14:paraId="021533AA">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2.1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3</w:t>
      </w:r>
      <w:r>
        <w:rPr>
          <w:color w:val="auto"/>
        </w:rPr>
        <w:fldChar w:fldCharType="end"/>
      </w:r>
      <w:r>
        <w:rPr>
          <w:rFonts w:hint="eastAsia"/>
          <w:color w:val="auto"/>
        </w:rPr>
        <w:t>现有工程厂界噪声监测结果</w:t>
      </w:r>
    </w:p>
    <w:tbl>
      <w:tblPr>
        <w:tblStyle w:val="4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2"/>
        <w:gridCol w:w="1812"/>
        <w:gridCol w:w="1812"/>
        <w:gridCol w:w="1812"/>
        <w:gridCol w:w="1812"/>
      </w:tblGrid>
      <w:tr w14:paraId="0A547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2" w:type="dxa"/>
            <w:vMerge w:val="restart"/>
            <w:vAlign w:val="center"/>
          </w:tcPr>
          <w:p w14:paraId="13AA8862">
            <w:pPr>
              <w:pStyle w:val="91"/>
              <w:keepNext w:val="0"/>
              <w:keepLines w:val="0"/>
              <w:suppressLineNumbers w:val="0"/>
              <w:spacing w:before="0" w:beforeAutospacing="0" w:after="0" w:afterAutospacing="0"/>
              <w:ind w:left="0" w:right="0"/>
              <w:jc w:val="center"/>
              <w:rPr>
                <w:rFonts w:hint="default"/>
                <w:b/>
                <w:bCs/>
                <w:color w:val="auto"/>
              </w:rPr>
            </w:pPr>
            <w:r>
              <w:rPr>
                <w:rFonts w:hint="eastAsia"/>
                <w:b/>
                <w:bCs/>
                <w:color w:val="auto"/>
              </w:rPr>
              <w:t>监测点位</w:t>
            </w:r>
          </w:p>
        </w:tc>
        <w:tc>
          <w:tcPr>
            <w:tcW w:w="7248" w:type="dxa"/>
            <w:gridSpan w:val="4"/>
            <w:vAlign w:val="center"/>
          </w:tcPr>
          <w:p w14:paraId="0D2CCA2A">
            <w:pPr>
              <w:pStyle w:val="91"/>
              <w:keepNext w:val="0"/>
              <w:keepLines w:val="0"/>
              <w:suppressLineNumbers w:val="0"/>
              <w:spacing w:before="0" w:beforeAutospacing="0" w:after="0" w:afterAutospacing="0"/>
              <w:ind w:left="0" w:right="0"/>
              <w:jc w:val="center"/>
              <w:rPr>
                <w:rFonts w:hint="default"/>
                <w:b/>
                <w:bCs/>
                <w:color w:val="auto"/>
              </w:rPr>
            </w:pPr>
            <w:r>
              <w:rPr>
                <w:rFonts w:hint="eastAsia"/>
                <w:b/>
                <w:bCs/>
                <w:color w:val="auto"/>
              </w:rPr>
              <w:t>监测结果（dB（A））</w:t>
            </w:r>
          </w:p>
        </w:tc>
      </w:tr>
      <w:tr w14:paraId="2EB60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2" w:type="dxa"/>
            <w:vMerge w:val="continue"/>
            <w:vAlign w:val="center"/>
          </w:tcPr>
          <w:p w14:paraId="646E62AE">
            <w:pPr>
              <w:pStyle w:val="91"/>
              <w:keepNext w:val="0"/>
              <w:keepLines w:val="0"/>
              <w:suppressLineNumbers w:val="0"/>
              <w:spacing w:before="0" w:beforeAutospacing="0" w:after="0" w:afterAutospacing="0"/>
              <w:ind w:left="0" w:right="0"/>
              <w:jc w:val="center"/>
              <w:rPr>
                <w:rFonts w:hint="default"/>
                <w:b/>
                <w:bCs/>
                <w:color w:val="auto"/>
              </w:rPr>
            </w:pPr>
          </w:p>
        </w:tc>
        <w:tc>
          <w:tcPr>
            <w:tcW w:w="3624" w:type="dxa"/>
            <w:gridSpan w:val="2"/>
            <w:vAlign w:val="center"/>
          </w:tcPr>
          <w:p w14:paraId="38401A0E">
            <w:pPr>
              <w:pStyle w:val="91"/>
              <w:keepNext w:val="0"/>
              <w:keepLines w:val="0"/>
              <w:suppressLineNumbers w:val="0"/>
              <w:spacing w:before="0" w:beforeAutospacing="0" w:after="0" w:afterAutospacing="0"/>
              <w:ind w:left="0" w:right="0"/>
              <w:jc w:val="center"/>
              <w:rPr>
                <w:rFonts w:hint="default"/>
                <w:b/>
                <w:bCs/>
                <w:color w:val="auto"/>
              </w:rPr>
            </w:pPr>
            <w:r>
              <w:rPr>
                <w:rFonts w:hint="eastAsia"/>
                <w:b/>
                <w:bCs/>
                <w:color w:val="auto"/>
              </w:rPr>
              <w:t>9.19</w:t>
            </w:r>
          </w:p>
        </w:tc>
        <w:tc>
          <w:tcPr>
            <w:tcW w:w="3624" w:type="dxa"/>
            <w:gridSpan w:val="2"/>
            <w:vAlign w:val="center"/>
          </w:tcPr>
          <w:p w14:paraId="0C97982F">
            <w:pPr>
              <w:pStyle w:val="91"/>
              <w:keepNext w:val="0"/>
              <w:keepLines w:val="0"/>
              <w:suppressLineNumbers w:val="0"/>
              <w:spacing w:before="0" w:beforeAutospacing="0" w:after="0" w:afterAutospacing="0"/>
              <w:ind w:left="0" w:right="0"/>
              <w:jc w:val="center"/>
              <w:rPr>
                <w:rFonts w:hint="default"/>
                <w:b/>
                <w:bCs/>
                <w:color w:val="auto"/>
              </w:rPr>
            </w:pPr>
            <w:r>
              <w:rPr>
                <w:rFonts w:hint="eastAsia"/>
                <w:b/>
                <w:bCs/>
                <w:color w:val="auto"/>
              </w:rPr>
              <w:t>9.20</w:t>
            </w:r>
          </w:p>
        </w:tc>
      </w:tr>
      <w:tr w14:paraId="4CE54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2" w:type="dxa"/>
            <w:vMerge w:val="continue"/>
            <w:vAlign w:val="center"/>
          </w:tcPr>
          <w:p w14:paraId="17EDF7CF">
            <w:pPr>
              <w:pStyle w:val="91"/>
              <w:keepNext w:val="0"/>
              <w:keepLines w:val="0"/>
              <w:suppressLineNumbers w:val="0"/>
              <w:spacing w:before="0" w:beforeAutospacing="0" w:after="0" w:afterAutospacing="0"/>
              <w:ind w:left="0" w:right="0"/>
              <w:jc w:val="center"/>
              <w:rPr>
                <w:rFonts w:hint="default"/>
                <w:b/>
                <w:bCs/>
                <w:color w:val="auto"/>
              </w:rPr>
            </w:pPr>
          </w:p>
        </w:tc>
        <w:tc>
          <w:tcPr>
            <w:tcW w:w="1812" w:type="dxa"/>
            <w:vAlign w:val="center"/>
          </w:tcPr>
          <w:p w14:paraId="1F48795F">
            <w:pPr>
              <w:pStyle w:val="91"/>
              <w:keepNext w:val="0"/>
              <w:keepLines w:val="0"/>
              <w:suppressLineNumbers w:val="0"/>
              <w:spacing w:before="0" w:beforeAutospacing="0" w:after="0" w:afterAutospacing="0"/>
              <w:ind w:left="0" w:right="0"/>
              <w:jc w:val="center"/>
              <w:rPr>
                <w:rFonts w:hint="default"/>
                <w:b/>
                <w:bCs/>
                <w:color w:val="auto"/>
              </w:rPr>
            </w:pPr>
            <w:r>
              <w:rPr>
                <w:rFonts w:hint="eastAsia"/>
                <w:b/>
                <w:bCs/>
                <w:color w:val="auto"/>
              </w:rPr>
              <w:t>昼间</w:t>
            </w:r>
          </w:p>
        </w:tc>
        <w:tc>
          <w:tcPr>
            <w:tcW w:w="1812" w:type="dxa"/>
            <w:vAlign w:val="center"/>
          </w:tcPr>
          <w:p w14:paraId="3A64FBB1">
            <w:pPr>
              <w:pStyle w:val="91"/>
              <w:keepNext w:val="0"/>
              <w:keepLines w:val="0"/>
              <w:suppressLineNumbers w:val="0"/>
              <w:spacing w:before="0" w:beforeAutospacing="0" w:after="0" w:afterAutospacing="0"/>
              <w:ind w:left="0" w:right="0"/>
              <w:jc w:val="center"/>
              <w:rPr>
                <w:rFonts w:hint="default"/>
                <w:b/>
                <w:bCs/>
                <w:color w:val="auto"/>
              </w:rPr>
            </w:pPr>
            <w:r>
              <w:rPr>
                <w:rFonts w:hint="eastAsia"/>
                <w:b/>
                <w:bCs/>
                <w:color w:val="auto"/>
              </w:rPr>
              <w:t>夜间</w:t>
            </w:r>
          </w:p>
        </w:tc>
        <w:tc>
          <w:tcPr>
            <w:tcW w:w="1812" w:type="dxa"/>
            <w:vAlign w:val="center"/>
          </w:tcPr>
          <w:p w14:paraId="4F188865">
            <w:pPr>
              <w:pStyle w:val="91"/>
              <w:keepNext w:val="0"/>
              <w:keepLines w:val="0"/>
              <w:suppressLineNumbers w:val="0"/>
              <w:spacing w:before="0" w:beforeAutospacing="0" w:after="0" w:afterAutospacing="0"/>
              <w:ind w:left="0" w:right="0"/>
              <w:jc w:val="center"/>
              <w:rPr>
                <w:rFonts w:hint="default"/>
                <w:b/>
                <w:bCs/>
                <w:color w:val="auto"/>
              </w:rPr>
            </w:pPr>
            <w:r>
              <w:rPr>
                <w:rFonts w:hint="eastAsia"/>
                <w:b/>
                <w:bCs/>
                <w:color w:val="auto"/>
              </w:rPr>
              <w:t>昼间</w:t>
            </w:r>
          </w:p>
        </w:tc>
        <w:tc>
          <w:tcPr>
            <w:tcW w:w="1812" w:type="dxa"/>
            <w:vAlign w:val="center"/>
          </w:tcPr>
          <w:p w14:paraId="7B357563">
            <w:pPr>
              <w:pStyle w:val="91"/>
              <w:keepNext w:val="0"/>
              <w:keepLines w:val="0"/>
              <w:suppressLineNumbers w:val="0"/>
              <w:spacing w:before="0" w:beforeAutospacing="0" w:after="0" w:afterAutospacing="0"/>
              <w:ind w:left="0" w:right="0"/>
              <w:jc w:val="center"/>
              <w:rPr>
                <w:rFonts w:hint="default"/>
                <w:b/>
                <w:bCs/>
                <w:color w:val="auto"/>
              </w:rPr>
            </w:pPr>
            <w:r>
              <w:rPr>
                <w:rFonts w:hint="eastAsia"/>
                <w:b/>
                <w:bCs/>
                <w:color w:val="auto"/>
              </w:rPr>
              <w:t>夜间</w:t>
            </w:r>
          </w:p>
        </w:tc>
      </w:tr>
      <w:tr w14:paraId="3C84A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2" w:type="dxa"/>
            <w:vAlign w:val="center"/>
          </w:tcPr>
          <w:p w14:paraId="1353F52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厂界南面</w:t>
            </w:r>
          </w:p>
        </w:tc>
        <w:tc>
          <w:tcPr>
            <w:tcW w:w="1812" w:type="dxa"/>
            <w:vAlign w:val="center"/>
          </w:tcPr>
          <w:p w14:paraId="16EFCFC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56.3</w:t>
            </w:r>
          </w:p>
        </w:tc>
        <w:tc>
          <w:tcPr>
            <w:tcW w:w="1812" w:type="dxa"/>
            <w:vAlign w:val="center"/>
          </w:tcPr>
          <w:p w14:paraId="0901CDA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52</w:t>
            </w:r>
          </w:p>
        </w:tc>
        <w:tc>
          <w:tcPr>
            <w:tcW w:w="1812" w:type="dxa"/>
            <w:vAlign w:val="center"/>
          </w:tcPr>
          <w:p w14:paraId="253B051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55.7</w:t>
            </w:r>
          </w:p>
        </w:tc>
        <w:tc>
          <w:tcPr>
            <w:tcW w:w="1812" w:type="dxa"/>
            <w:vAlign w:val="center"/>
          </w:tcPr>
          <w:p w14:paraId="643E13A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52</w:t>
            </w:r>
          </w:p>
        </w:tc>
      </w:tr>
      <w:tr w14:paraId="346B4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2" w:type="dxa"/>
            <w:vAlign w:val="center"/>
          </w:tcPr>
          <w:p w14:paraId="7422574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厂界北面</w:t>
            </w:r>
          </w:p>
        </w:tc>
        <w:tc>
          <w:tcPr>
            <w:tcW w:w="1812" w:type="dxa"/>
            <w:vAlign w:val="center"/>
          </w:tcPr>
          <w:p w14:paraId="647AD74B">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56.3</w:t>
            </w:r>
          </w:p>
        </w:tc>
        <w:tc>
          <w:tcPr>
            <w:tcW w:w="1812" w:type="dxa"/>
            <w:vAlign w:val="center"/>
          </w:tcPr>
          <w:p w14:paraId="57A2415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51.6</w:t>
            </w:r>
          </w:p>
        </w:tc>
        <w:tc>
          <w:tcPr>
            <w:tcW w:w="1812" w:type="dxa"/>
            <w:vAlign w:val="center"/>
          </w:tcPr>
          <w:p w14:paraId="06B2AD4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56.2</w:t>
            </w:r>
          </w:p>
        </w:tc>
        <w:tc>
          <w:tcPr>
            <w:tcW w:w="1812" w:type="dxa"/>
            <w:vAlign w:val="center"/>
          </w:tcPr>
          <w:p w14:paraId="0FAE7FD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52.4</w:t>
            </w:r>
          </w:p>
        </w:tc>
      </w:tr>
      <w:tr w14:paraId="36300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2" w:type="dxa"/>
            <w:vAlign w:val="center"/>
          </w:tcPr>
          <w:p w14:paraId="16F94E0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标准限值</w:t>
            </w:r>
          </w:p>
        </w:tc>
        <w:tc>
          <w:tcPr>
            <w:tcW w:w="1812" w:type="dxa"/>
            <w:vAlign w:val="center"/>
          </w:tcPr>
          <w:p w14:paraId="753440D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65</w:t>
            </w:r>
          </w:p>
        </w:tc>
        <w:tc>
          <w:tcPr>
            <w:tcW w:w="1812" w:type="dxa"/>
            <w:vAlign w:val="center"/>
          </w:tcPr>
          <w:p w14:paraId="70A80BB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55</w:t>
            </w:r>
          </w:p>
        </w:tc>
        <w:tc>
          <w:tcPr>
            <w:tcW w:w="1812" w:type="dxa"/>
            <w:vAlign w:val="center"/>
          </w:tcPr>
          <w:p w14:paraId="79D71BE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65</w:t>
            </w:r>
          </w:p>
        </w:tc>
        <w:tc>
          <w:tcPr>
            <w:tcW w:w="1812" w:type="dxa"/>
            <w:vAlign w:val="center"/>
          </w:tcPr>
          <w:p w14:paraId="4C56BA2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55</w:t>
            </w:r>
          </w:p>
        </w:tc>
      </w:tr>
      <w:tr w14:paraId="10F42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2" w:type="dxa"/>
            <w:vAlign w:val="center"/>
          </w:tcPr>
          <w:p w14:paraId="030B831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达标情况</w:t>
            </w:r>
          </w:p>
        </w:tc>
        <w:tc>
          <w:tcPr>
            <w:tcW w:w="1812" w:type="dxa"/>
            <w:vAlign w:val="center"/>
          </w:tcPr>
          <w:p w14:paraId="6BB04B3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c>
          <w:tcPr>
            <w:tcW w:w="1812" w:type="dxa"/>
            <w:vAlign w:val="center"/>
          </w:tcPr>
          <w:p w14:paraId="65434D1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c>
          <w:tcPr>
            <w:tcW w:w="1812" w:type="dxa"/>
            <w:vAlign w:val="center"/>
          </w:tcPr>
          <w:p w14:paraId="61F215F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c>
          <w:tcPr>
            <w:tcW w:w="1812" w:type="dxa"/>
            <w:vAlign w:val="center"/>
          </w:tcPr>
          <w:p w14:paraId="1F40B88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r>
    </w:tbl>
    <w:p w14:paraId="4E82912A">
      <w:pPr>
        <w:pStyle w:val="6"/>
        <w:rPr>
          <w:color w:val="auto"/>
        </w:rPr>
      </w:pPr>
      <w:r>
        <w:rPr>
          <w:rFonts w:hint="eastAsia"/>
          <w:color w:val="auto"/>
        </w:rPr>
        <w:t>固体</w:t>
      </w:r>
      <w:r>
        <w:rPr>
          <w:color w:val="auto"/>
        </w:rPr>
        <w:t>废物</w:t>
      </w:r>
    </w:p>
    <w:p w14:paraId="0207DC5E">
      <w:pPr>
        <w:ind w:firstLine="480"/>
        <w:rPr>
          <w:color w:val="auto"/>
        </w:rPr>
      </w:pPr>
      <w:r>
        <w:rPr>
          <w:rFonts w:hint="eastAsia"/>
          <w:color w:val="auto"/>
        </w:rPr>
        <w:t>现有</w:t>
      </w:r>
      <w:r>
        <w:rPr>
          <w:color w:val="auto"/>
        </w:rPr>
        <w:t>工程</w:t>
      </w:r>
      <w:r>
        <w:rPr>
          <w:rFonts w:hint="eastAsia"/>
          <w:color w:val="auto"/>
        </w:rPr>
        <w:t>主要进行码头的货种装卸作业以及货种的储存，产生</w:t>
      </w:r>
      <w:r>
        <w:rPr>
          <w:rFonts w:hint="eastAsia"/>
          <w:color w:val="auto"/>
          <w:lang w:eastAsia="zh-CN"/>
        </w:rPr>
        <w:t>的</w:t>
      </w:r>
      <w:r>
        <w:rPr>
          <w:rFonts w:hint="eastAsia"/>
          <w:color w:val="auto"/>
        </w:rPr>
        <w:t>固体废物主要包括到港船舶垃圾、陆域生活垃圾及维修产生的危险废物、罐底油泥、废活性炭、含油废滤芯等。</w:t>
      </w:r>
    </w:p>
    <w:p w14:paraId="029DA90A">
      <w:pPr>
        <w:ind w:firstLine="480"/>
        <w:rPr>
          <w:color w:val="auto"/>
        </w:rPr>
      </w:pPr>
      <w:r>
        <w:rPr>
          <w:rFonts w:hint="eastAsia"/>
          <w:color w:val="auto"/>
        </w:rPr>
        <w:t>（1）船舶固废</w:t>
      </w:r>
    </w:p>
    <w:p w14:paraId="756AA286">
      <w:pPr>
        <w:ind w:firstLine="480"/>
        <w:rPr>
          <w:color w:val="auto"/>
        </w:rPr>
      </w:pPr>
      <w:r>
        <w:rPr>
          <w:rFonts w:hint="eastAsia"/>
          <w:color w:val="auto"/>
        </w:rPr>
        <w:t>根据设计代表船型，船员生活垃圾发生量按1.5kg/天•人计算，到港船舶按</w:t>
      </w:r>
      <w:r>
        <w:rPr>
          <w:color w:val="auto"/>
        </w:rPr>
        <w:t>25</w:t>
      </w:r>
      <w:r>
        <w:rPr>
          <w:rFonts w:hint="eastAsia"/>
          <w:color w:val="auto"/>
        </w:rPr>
        <w:t>人/船估算，每艘船舶停靠2天，到港船舶生活垃圾产生量约为3</w:t>
      </w:r>
      <w:r>
        <w:rPr>
          <w:color w:val="auto"/>
        </w:rPr>
        <w:t>7.5kg/d，3</w:t>
      </w:r>
      <w:r>
        <w:rPr>
          <w:rFonts w:hint="eastAsia"/>
          <w:color w:val="auto"/>
        </w:rPr>
        <w:t>t/a。收集上岸</w:t>
      </w:r>
      <w:r>
        <w:rPr>
          <w:color w:val="auto"/>
        </w:rPr>
        <w:t>后交由环卫</w:t>
      </w:r>
      <w:r>
        <w:rPr>
          <w:rFonts w:hint="eastAsia"/>
          <w:color w:val="auto"/>
        </w:rPr>
        <w:t>部门</w:t>
      </w:r>
      <w:r>
        <w:rPr>
          <w:color w:val="auto"/>
        </w:rPr>
        <w:t>处理。</w:t>
      </w:r>
      <w:r>
        <w:rPr>
          <w:rFonts w:hint="eastAsia"/>
          <w:color w:val="auto"/>
        </w:rPr>
        <w:t>到港船舶不在本项目码头维修，故不产生船舶检修废物。</w:t>
      </w:r>
    </w:p>
    <w:p w14:paraId="16E9E0DE">
      <w:pPr>
        <w:ind w:firstLine="480"/>
        <w:rPr>
          <w:color w:val="auto"/>
        </w:rPr>
      </w:pPr>
      <w:r>
        <w:rPr>
          <w:rFonts w:hint="eastAsia"/>
          <w:color w:val="auto"/>
        </w:rPr>
        <w:t>（</w:t>
      </w:r>
      <w:r>
        <w:rPr>
          <w:color w:val="auto"/>
        </w:rPr>
        <w:t>2</w:t>
      </w:r>
      <w:r>
        <w:rPr>
          <w:rFonts w:hint="eastAsia"/>
          <w:color w:val="auto"/>
        </w:rPr>
        <w:t>）陆域</w:t>
      </w:r>
      <w:r>
        <w:rPr>
          <w:color w:val="auto"/>
        </w:rPr>
        <w:t>生活垃圾</w:t>
      </w:r>
    </w:p>
    <w:p w14:paraId="2564701A">
      <w:pPr>
        <w:ind w:firstLine="480"/>
        <w:rPr>
          <w:color w:val="auto"/>
        </w:rPr>
      </w:pPr>
      <w:r>
        <w:rPr>
          <w:rFonts w:hint="eastAsia"/>
          <w:color w:val="auto"/>
        </w:rPr>
        <w:t>现有</w:t>
      </w:r>
      <w:r>
        <w:rPr>
          <w:color w:val="auto"/>
        </w:rPr>
        <w:t>工程库区和码头共有员工</w:t>
      </w:r>
      <w:r>
        <w:rPr>
          <w:rFonts w:hint="eastAsia"/>
          <w:color w:val="auto"/>
        </w:rPr>
        <w:t>36人</w:t>
      </w:r>
      <w:r>
        <w:rPr>
          <w:color w:val="auto"/>
        </w:rPr>
        <w:t>，</w:t>
      </w:r>
      <w:r>
        <w:rPr>
          <w:rFonts w:hint="eastAsia"/>
          <w:color w:val="auto"/>
        </w:rPr>
        <w:t>生活垃圾产生量按1.5kg/人·天计算，项目年工作3</w:t>
      </w:r>
      <w:r>
        <w:rPr>
          <w:color w:val="auto"/>
        </w:rPr>
        <w:t>50</w:t>
      </w:r>
      <w:r>
        <w:rPr>
          <w:rFonts w:hint="eastAsia"/>
          <w:color w:val="auto"/>
        </w:rPr>
        <w:t>天，则员工生活垃圾产生量为</w:t>
      </w:r>
      <w:r>
        <w:rPr>
          <w:color w:val="auto"/>
        </w:rPr>
        <w:t>18.9</w:t>
      </w:r>
      <w:r>
        <w:rPr>
          <w:rFonts w:hint="eastAsia"/>
          <w:color w:val="auto"/>
        </w:rPr>
        <w:t>t/a，54kg/d，收集后交由环卫部门清运处理。</w:t>
      </w:r>
    </w:p>
    <w:p w14:paraId="192D6BEA">
      <w:pPr>
        <w:ind w:firstLine="480"/>
        <w:rPr>
          <w:color w:val="auto"/>
        </w:rPr>
      </w:pPr>
      <w:r>
        <w:rPr>
          <w:rFonts w:hint="eastAsia"/>
          <w:color w:val="auto"/>
        </w:rPr>
        <w:t>（</w:t>
      </w:r>
      <w:r>
        <w:rPr>
          <w:color w:val="auto"/>
        </w:rPr>
        <w:t>3</w:t>
      </w:r>
      <w:r>
        <w:rPr>
          <w:rFonts w:hint="eastAsia"/>
          <w:color w:val="auto"/>
        </w:rPr>
        <w:t>）罐底</w:t>
      </w:r>
      <w:r>
        <w:rPr>
          <w:color w:val="auto"/>
        </w:rPr>
        <w:t>油泥</w:t>
      </w:r>
    </w:p>
    <w:p w14:paraId="7E91BB02">
      <w:pPr>
        <w:ind w:firstLine="480"/>
        <w:rPr>
          <w:color w:val="auto"/>
        </w:rPr>
      </w:pPr>
      <w:r>
        <w:rPr>
          <w:rFonts w:hint="eastAsia"/>
          <w:color w:val="auto"/>
        </w:rPr>
        <w:t>现有工程的储罐约</w:t>
      </w:r>
      <w:r>
        <w:rPr>
          <w:color w:val="auto"/>
        </w:rPr>
        <w:t>4</w:t>
      </w:r>
      <w:r>
        <w:rPr>
          <w:rFonts w:hint="eastAsia"/>
          <w:color w:val="auto"/>
        </w:rPr>
        <w:t>~5年清洗一次，储罐在储存性质相近的货种时在更换储存时不对储罐进行清洗，仅对储罐进行定期清理，储罐的清洗均委托专业的清洗单位。根据</w:t>
      </w:r>
      <w:r>
        <w:rPr>
          <w:color w:val="auto"/>
        </w:rPr>
        <w:t>以往的经验，现有工程罐底油泥产生量约</w:t>
      </w:r>
      <w:r>
        <w:rPr>
          <w:rFonts w:hint="eastAsia"/>
          <w:color w:val="auto"/>
        </w:rPr>
        <w:t>1.2</w:t>
      </w:r>
      <w:r>
        <w:rPr>
          <w:color w:val="auto"/>
        </w:rPr>
        <w:t>t/个。</w:t>
      </w:r>
      <w:r>
        <w:rPr>
          <w:rFonts w:hint="eastAsia"/>
          <w:color w:val="auto"/>
        </w:rPr>
        <w:t>清罐过程中产生的油泥暂存于危废暂存库，交由崇左海中环保科技有限责任公司处理。</w:t>
      </w:r>
    </w:p>
    <w:p w14:paraId="37C0351C">
      <w:pPr>
        <w:ind w:firstLine="480"/>
        <w:rPr>
          <w:color w:val="auto"/>
        </w:rPr>
      </w:pPr>
      <w:r>
        <w:rPr>
          <w:rFonts w:hint="eastAsia"/>
          <w:color w:val="auto"/>
        </w:rPr>
        <w:t>（</w:t>
      </w:r>
      <w:r>
        <w:rPr>
          <w:color w:val="auto"/>
        </w:rPr>
        <w:t>4</w:t>
      </w:r>
      <w:r>
        <w:rPr>
          <w:rFonts w:hint="eastAsia"/>
          <w:color w:val="auto"/>
        </w:rPr>
        <w:t>）废</w:t>
      </w:r>
      <w:r>
        <w:rPr>
          <w:color w:val="auto"/>
        </w:rPr>
        <w:t>活性炭</w:t>
      </w:r>
      <w:r>
        <w:rPr>
          <w:rFonts w:hint="eastAsia"/>
          <w:color w:val="auto"/>
        </w:rPr>
        <w:t>、含油</w:t>
      </w:r>
      <w:r>
        <w:rPr>
          <w:color w:val="auto"/>
        </w:rPr>
        <w:t>废滤芯</w:t>
      </w:r>
    </w:p>
    <w:p w14:paraId="63C256E6">
      <w:pPr>
        <w:ind w:firstLine="480"/>
        <w:rPr>
          <w:rFonts w:hint="eastAsia"/>
          <w:color w:val="auto"/>
          <w:u w:val="single"/>
        </w:rPr>
      </w:pPr>
      <w:r>
        <w:rPr>
          <w:rFonts w:hint="eastAsia"/>
          <w:color w:val="auto"/>
          <w:u w:val="single"/>
        </w:rPr>
        <w:t>废活性炭、含油</w:t>
      </w:r>
      <w:r>
        <w:rPr>
          <w:color w:val="auto"/>
          <w:u w:val="single"/>
        </w:rPr>
        <w:t>废滤芯</w:t>
      </w:r>
      <w:r>
        <w:rPr>
          <w:rFonts w:hint="eastAsia"/>
          <w:color w:val="auto"/>
          <w:u w:val="single"/>
        </w:rPr>
        <w:t>主要是</w:t>
      </w:r>
      <w:r>
        <w:rPr>
          <w:color w:val="auto"/>
          <w:u w:val="single"/>
        </w:rPr>
        <w:t>油气回收设施产生，现有工程</w:t>
      </w:r>
      <w:r>
        <w:rPr>
          <w:rFonts w:hint="eastAsia"/>
          <w:color w:val="auto"/>
          <w:u w:val="single"/>
        </w:rPr>
        <w:t>共有3套</w:t>
      </w:r>
      <w:r>
        <w:rPr>
          <w:color w:val="auto"/>
          <w:u w:val="single"/>
        </w:rPr>
        <w:t>油气回收设施</w:t>
      </w:r>
      <w:r>
        <w:rPr>
          <w:rFonts w:hint="eastAsia"/>
          <w:color w:val="auto"/>
          <w:u w:val="single"/>
        </w:rPr>
        <w:t>，活性炭、含油</w:t>
      </w:r>
      <w:r>
        <w:rPr>
          <w:color w:val="auto"/>
          <w:u w:val="single"/>
        </w:rPr>
        <w:t>废滤芯约</w:t>
      </w:r>
      <w:r>
        <w:rPr>
          <w:rFonts w:hint="eastAsia"/>
          <w:color w:val="auto"/>
          <w:u w:val="single"/>
        </w:rPr>
        <w:t>5年</w:t>
      </w:r>
      <w:r>
        <w:rPr>
          <w:color w:val="auto"/>
          <w:u w:val="single"/>
        </w:rPr>
        <w:t>更换一次，</w:t>
      </w:r>
      <w:r>
        <w:rPr>
          <w:rFonts w:hint="eastAsia"/>
          <w:color w:val="auto"/>
          <w:u w:val="single"/>
        </w:rPr>
        <w:t>现有工程</w:t>
      </w:r>
      <w:r>
        <w:rPr>
          <w:color w:val="auto"/>
          <w:u w:val="single"/>
        </w:rPr>
        <w:t>废活性炭产生量约为</w:t>
      </w:r>
      <w:r>
        <w:rPr>
          <w:rFonts w:hint="eastAsia"/>
          <w:color w:val="auto"/>
          <w:u w:val="single"/>
        </w:rPr>
        <w:t>0.5</w:t>
      </w:r>
      <w:r>
        <w:rPr>
          <w:color w:val="auto"/>
          <w:u w:val="single"/>
        </w:rPr>
        <w:t>t/</w:t>
      </w:r>
      <w:r>
        <w:rPr>
          <w:rFonts w:hint="eastAsia"/>
          <w:color w:val="auto"/>
          <w:u w:val="single"/>
        </w:rPr>
        <w:t>套，</w:t>
      </w:r>
      <w:r>
        <w:rPr>
          <w:color w:val="auto"/>
          <w:u w:val="single"/>
        </w:rPr>
        <w:t>含油废滤芯</w:t>
      </w:r>
      <w:r>
        <w:rPr>
          <w:rFonts w:hint="eastAsia"/>
          <w:color w:val="auto"/>
          <w:u w:val="single"/>
        </w:rPr>
        <w:t>产生</w:t>
      </w:r>
      <w:r>
        <w:rPr>
          <w:color w:val="auto"/>
          <w:u w:val="single"/>
        </w:rPr>
        <w:t>量</w:t>
      </w:r>
      <w:r>
        <w:rPr>
          <w:rFonts w:hint="eastAsia"/>
          <w:color w:val="auto"/>
          <w:u w:val="single"/>
        </w:rPr>
        <w:t>约0.1</w:t>
      </w:r>
      <w:r>
        <w:rPr>
          <w:color w:val="auto"/>
          <w:u w:val="single"/>
        </w:rPr>
        <w:t>t/</w:t>
      </w:r>
      <w:r>
        <w:rPr>
          <w:rFonts w:hint="eastAsia"/>
          <w:color w:val="auto"/>
          <w:u w:val="single"/>
        </w:rPr>
        <w:t>个。</w:t>
      </w:r>
      <w:r>
        <w:rPr>
          <w:rFonts w:hint="eastAsia"/>
          <w:color w:val="auto"/>
          <w:u w:val="single"/>
          <w:lang w:val="en-US" w:eastAsia="zh-CN"/>
        </w:rPr>
        <w:t>现有工程</w:t>
      </w:r>
      <w:r>
        <w:rPr>
          <w:rFonts w:hint="eastAsia"/>
          <w:color w:val="auto"/>
          <w:u w:val="single"/>
        </w:rPr>
        <w:t>废活性炭</w:t>
      </w:r>
      <w:r>
        <w:rPr>
          <w:rFonts w:hint="eastAsia"/>
          <w:color w:val="auto"/>
          <w:u w:val="single"/>
          <w:lang w:val="en-US" w:eastAsia="zh-CN"/>
        </w:rPr>
        <w:t>产生量为1.5t，</w:t>
      </w:r>
      <w:r>
        <w:rPr>
          <w:color w:val="auto"/>
          <w:u w:val="single"/>
        </w:rPr>
        <w:t>含油废滤芯</w:t>
      </w:r>
      <w:r>
        <w:rPr>
          <w:rFonts w:hint="eastAsia"/>
          <w:color w:val="auto"/>
          <w:u w:val="single"/>
        </w:rPr>
        <w:t>产生</w:t>
      </w:r>
      <w:r>
        <w:rPr>
          <w:color w:val="auto"/>
          <w:u w:val="single"/>
        </w:rPr>
        <w:t>量</w:t>
      </w:r>
      <w:r>
        <w:rPr>
          <w:rFonts w:hint="eastAsia"/>
          <w:color w:val="auto"/>
          <w:u w:val="single"/>
          <w:lang w:val="en-US" w:eastAsia="zh-CN"/>
        </w:rPr>
        <w:t>为0.3t</w:t>
      </w:r>
      <w:r>
        <w:rPr>
          <w:rFonts w:hint="eastAsia"/>
          <w:color w:val="auto"/>
          <w:u w:val="single"/>
        </w:rPr>
        <w:t>。废活性炭、含油</w:t>
      </w:r>
      <w:r>
        <w:rPr>
          <w:color w:val="auto"/>
          <w:u w:val="single"/>
        </w:rPr>
        <w:t>废滤芯</w:t>
      </w:r>
      <w:r>
        <w:rPr>
          <w:rFonts w:hint="eastAsia"/>
          <w:color w:val="auto"/>
          <w:u w:val="single"/>
        </w:rPr>
        <w:t>均交由专业的公司进行更换，收集后暂存</w:t>
      </w:r>
      <w:r>
        <w:rPr>
          <w:color w:val="auto"/>
          <w:u w:val="single"/>
        </w:rPr>
        <w:t>于</w:t>
      </w:r>
      <w:r>
        <w:rPr>
          <w:rFonts w:hint="eastAsia"/>
          <w:color w:val="auto"/>
          <w:u w:val="single"/>
        </w:rPr>
        <w:t>危废暂存库，</w:t>
      </w:r>
      <w:r>
        <w:rPr>
          <w:color w:val="auto"/>
          <w:u w:val="single"/>
        </w:rPr>
        <w:t>交由</w:t>
      </w:r>
      <w:r>
        <w:rPr>
          <w:rFonts w:hint="eastAsia"/>
          <w:color w:val="auto"/>
          <w:u w:val="single"/>
        </w:rPr>
        <w:t>崇左</w:t>
      </w:r>
      <w:r>
        <w:rPr>
          <w:color w:val="auto"/>
          <w:u w:val="single"/>
        </w:rPr>
        <w:t>海中环保科技</w:t>
      </w:r>
      <w:r>
        <w:rPr>
          <w:rFonts w:hint="eastAsia"/>
          <w:color w:val="auto"/>
          <w:u w:val="single"/>
        </w:rPr>
        <w:t>有限</w:t>
      </w:r>
      <w:r>
        <w:rPr>
          <w:color w:val="auto"/>
          <w:u w:val="single"/>
        </w:rPr>
        <w:t>责任公司处理</w:t>
      </w:r>
      <w:r>
        <w:rPr>
          <w:rFonts w:hint="eastAsia"/>
          <w:color w:val="auto"/>
          <w:u w:val="single"/>
        </w:rPr>
        <w:t>。</w:t>
      </w:r>
    </w:p>
    <w:p w14:paraId="50A2ADF1">
      <w:pPr>
        <w:ind w:firstLine="480"/>
        <w:rPr>
          <w:rFonts w:hint="default" w:eastAsia="宋体"/>
          <w:color w:val="auto"/>
          <w:u w:val="single"/>
          <w:lang w:val="en-US" w:eastAsia="zh-CN"/>
        </w:rPr>
      </w:pPr>
      <w:r>
        <w:rPr>
          <w:rFonts w:hint="eastAsia"/>
          <w:color w:val="auto"/>
          <w:u w:val="single"/>
          <w:lang w:eastAsia="zh-CN"/>
        </w:rPr>
        <w:t>（</w:t>
      </w:r>
      <w:r>
        <w:rPr>
          <w:rFonts w:hint="eastAsia"/>
          <w:color w:val="auto"/>
          <w:u w:val="single"/>
          <w:lang w:val="en-US" w:eastAsia="zh-CN"/>
        </w:rPr>
        <w:t>5</w:t>
      </w:r>
      <w:r>
        <w:rPr>
          <w:rFonts w:hint="eastAsia"/>
          <w:color w:val="auto"/>
          <w:u w:val="single"/>
          <w:lang w:eastAsia="zh-CN"/>
        </w:rPr>
        <w:t>）</w:t>
      </w:r>
      <w:r>
        <w:rPr>
          <w:rFonts w:hint="eastAsia"/>
          <w:color w:val="auto"/>
          <w:u w:val="single"/>
          <w:lang w:val="en-US" w:eastAsia="zh-CN"/>
        </w:rPr>
        <w:t>油气回收装置冷凝的有机物</w:t>
      </w:r>
    </w:p>
    <w:p w14:paraId="6DB54133">
      <w:pPr>
        <w:ind w:firstLine="480"/>
        <w:rPr>
          <w:rFonts w:hint="default" w:eastAsia="宋体"/>
          <w:color w:val="auto"/>
          <w:u w:val="single"/>
          <w:lang w:val="en-US" w:eastAsia="zh-CN"/>
        </w:rPr>
      </w:pPr>
      <w:r>
        <w:rPr>
          <w:rFonts w:hint="eastAsia"/>
          <w:color w:val="auto"/>
          <w:u w:val="single"/>
          <w:lang w:val="en-US" w:eastAsia="zh-CN"/>
        </w:rPr>
        <w:t>现有工程共有3套油气回收装置，分别处理甲醇装车、汽油装车、汽油装船废气。油气回收装置冷凝的有机物参考冷凝法对挥发性有机物的处理相关资料，冷凝对有机物的回收率在50~85%之间。根据建设单位提供的资料，冷凝产生的有机物大约为40吨，经油气回收装置的油罐收集后，送入物料储罐中，与储罐中储存的物料一起输送利用，不作为危废处理。</w:t>
      </w:r>
    </w:p>
    <w:p w14:paraId="318CACB1">
      <w:pPr>
        <w:ind w:firstLine="480"/>
        <w:rPr>
          <w:color w:val="auto"/>
        </w:rPr>
      </w:pPr>
      <w:r>
        <w:rPr>
          <w:rFonts w:hint="eastAsia"/>
          <w:color w:val="auto"/>
        </w:rPr>
        <w:t>（</w:t>
      </w:r>
      <w:r>
        <w:rPr>
          <w:rFonts w:hint="eastAsia"/>
          <w:color w:val="auto"/>
          <w:lang w:val="en-US" w:eastAsia="zh-CN"/>
        </w:rPr>
        <w:t>6</w:t>
      </w:r>
      <w:r>
        <w:rPr>
          <w:rFonts w:hint="eastAsia"/>
          <w:color w:val="auto"/>
        </w:rPr>
        <w:t>）含油</w:t>
      </w:r>
      <w:r>
        <w:rPr>
          <w:color w:val="auto"/>
        </w:rPr>
        <w:t>废物</w:t>
      </w:r>
    </w:p>
    <w:p w14:paraId="7CC9D4CB">
      <w:pPr>
        <w:ind w:firstLine="480"/>
        <w:rPr>
          <w:rFonts w:hint="eastAsia"/>
          <w:color w:val="auto"/>
        </w:rPr>
      </w:pPr>
      <w:r>
        <w:rPr>
          <w:rFonts w:hint="eastAsia"/>
          <w:color w:val="auto"/>
        </w:rPr>
        <w:t>现有</w:t>
      </w:r>
      <w:r>
        <w:rPr>
          <w:color w:val="auto"/>
        </w:rPr>
        <w:t>工程含油废物</w:t>
      </w:r>
      <w:r>
        <w:rPr>
          <w:rFonts w:hint="eastAsia"/>
          <w:color w:val="auto"/>
        </w:rPr>
        <w:t>为</w:t>
      </w:r>
      <w:r>
        <w:rPr>
          <w:color w:val="auto"/>
        </w:rPr>
        <w:t>设备维护、维修过程中产生，主要</w:t>
      </w:r>
      <w:r>
        <w:rPr>
          <w:rFonts w:hint="eastAsia"/>
          <w:color w:val="auto"/>
        </w:rPr>
        <w:t>有废</w:t>
      </w:r>
      <w:r>
        <w:rPr>
          <w:color w:val="auto"/>
        </w:rPr>
        <w:t>含油抹布、</w:t>
      </w:r>
      <w:r>
        <w:rPr>
          <w:rFonts w:hint="eastAsia"/>
          <w:color w:val="auto"/>
        </w:rPr>
        <w:t>手套</w:t>
      </w:r>
      <w:r>
        <w:rPr>
          <w:color w:val="auto"/>
        </w:rPr>
        <w:t>等，</w:t>
      </w:r>
      <w:r>
        <w:rPr>
          <w:rFonts w:hint="eastAsia"/>
          <w:color w:val="auto"/>
        </w:rPr>
        <w:t>含油</w:t>
      </w:r>
      <w:r>
        <w:rPr>
          <w:color w:val="auto"/>
        </w:rPr>
        <w:t>废物的产生量约</w:t>
      </w:r>
      <w:r>
        <w:rPr>
          <w:rFonts w:hint="eastAsia"/>
          <w:color w:val="auto"/>
        </w:rPr>
        <w:t>0.</w:t>
      </w:r>
      <w:r>
        <w:rPr>
          <w:color w:val="auto"/>
        </w:rPr>
        <w:t>2t/a</w:t>
      </w:r>
      <w:r>
        <w:rPr>
          <w:rFonts w:hint="eastAsia"/>
          <w:color w:val="auto"/>
        </w:rPr>
        <w:t>，收集后暂存</w:t>
      </w:r>
      <w:r>
        <w:rPr>
          <w:color w:val="auto"/>
        </w:rPr>
        <w:t>于</w:t>
      </w:r>
      <w:r>
        <w:rPr>
          <w:rFonts w:hint="eastAsia"/>
          <w:color w:val="auto"/>
        </w:rPr>
        <w:t>危废暂存库，</w:t>
      </w:r>
      <w:r>
        <w:rPr>
          <w:color w:val="auto"/>
        </w:rPr>
        <w:t>交由</w:t>
      </w:r>
      <w:r>
        <w:rPr>
          <w:rFonts w:hint="eastAsia"/>
          <w:color w:val="auto"/>
        </w:rPr>
        <w:t>崇左</w:t>
      </w:r>
      <w:r>
        <w:rPr>
          <w:color w:val="auto"/>
        </w:rPr>
        <w:t>海中环保科技</w:t>
      </w:r>
      <w:r>
        <w:rPr>
          <w:rFonts w:hint="eastAsia"/>
          <w:color w:val="auto"/>
        </w:rPr>
        <w:t>有限</w:t>
      </w:r>
      <w:r>
        <w:rPr>
          <w:color w:val="auto"/>
        </w:rPr>
        <w:t>责任公司处理</w:t>
      </w:r>
      <w:r>
        <w:rPr>
          <w:rFonts w:hint="eastAsia"/>
          <w:color w:val="auto"/>
        </w:rPr>
        <w:t>。</w:t>
      </w:r>
    </w:p>
    <w:p w14:paraId="65F56F6C">
      <w:pPr>
        <w:pStyle w:val="6"/>
        <w:rPr>
          <w:color w:val="auto"/>
        </w:rPr>
      </w:pPr>
      <w:r>
        <w:rPr>
          <w:rFonts w:hint="eastAsia"/>
          <w:color w:val="auto"/>
        </w:rPr>
        <w:t>现有</w:t>
      </w:r>
      <w:r>
        <w:rPr>
          <w:color w:val="auto"/>
        </w:rPr>
        <w:t>工程污染物排放情况</w:t>
      </w:r>
    </w:p>
    <w:p w14:paraId="13C06FDC">
      <w:pPr>
        <w:ind w:firstLine="480"/>
        <w:rPr>
          <w:color w:val="auto"/>
        </w:rPr>
      </w:pPr>
      <w:r>
        <w:rPr>
          <w:rFonts w:hint="eastAsia"/>
          <w:color w:val="auto"/>
        </w:rPr>
        <w:t>现有</w:t>
      </w:r>
      <w:r>
        <w:rPr>
          <w:color w:val="auto"/>
        </w:rPr>
        <w:t>工程已取得排污</w:t>
      </w:r>
      <w:r>
        <w:rPr>
          <w:rFonts w:hint="eastAsia"/>
          <w:color w:val="auto"/>
        </w:rPr>
        <w:t>许可</w:t>
      </w:r>
      <w:r>
        <w:rPr>
          <w:color w:val="auto"/>
        </w:rPr>
        <w:t>（</w:t>
      </w:r>
      <w:r>
        <w:rPr>
          <w:rFonts w:hint="eastAsia"/>
          <w:color w:val="auto"/>
        </w:rPr>
        <w:t>证书编号：91450700739966997P001R</w:t>
      </w:r>
      <w:r>
        <w:rPr>
          <w:color w:val="auto"/>
        </w:rPr>
        <w:t>）</w:t>
      </w:r>
      <w:r>
        <w:rPr>
          <w:rFonts w:hint="eastAsia"/>
          <w:color w:val="auto"/>
        </w:rPr>
        <w:t>，现有</w:t>
      </w:r>
      <w:r>
        <w:rPr>
          <w:color w:val="auto"/>
        </w:rPr>
        <w:t>工程污染物排放情况见下表：</w:t>
      </w:r>
    </w:p>
    <w:p w14:paraId="588FF46E">
      <w:pPr>
        <w:pStyle w:val="14"/>
        <w:rPr>
          <w:color w:val="auto"/>
        </w:rPr>
      </w:pPr>
      <w:r>
        <w:rPr>
          <w:rFonts w:hint="eastAsia"/>
          <w:color w:val="auto"/>
        </w:rPr>
        <w:t>表</w:t>
      </w:r>
      <w:r>
        <w:rPr>
          <w:color w:val="auto"/>
        </w:rPr>
        <w:t>2.1</w:t>
      </w:r>
      <w:r>
        <w:rPr>
          <w:color w:val="auto"/>
        </w:rPr>
        <w:noBreakHyphen/>
      </w:r>
      <w:r>
        <w:rPr>
          <w:color w:val="auto"/>
        </w:rPr>
        <w:t>11</w:t>
      </w:r>
      <w:r>
        <w:rPr>
          <w:rFonts w:hint="eastAsia"/>
          <w:color w:val="auto"/>
        </w:rPr>
        <w:t>现有</w:t>
      </w:r>
      <w:r>
        <w:rPr>
          <w:color w:val="auto"/>
        </w:rPr>
        <w:t>工程污染物排放情况一览表</w:t>
      </w:r>
    </w:p>
    <w:tbl>
      <w:tblPr>
        <w:tblStyle w:val="4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0" w:type="dxa"/>
        </w:tblCellMar>
      </w:tblPr>
      <w:tblGrid>
        <w:gridCol w:w="887"/>
        <w:gridCol w:w="937"/>
        <w:gridCol w:w="2409"/>
        <w:gridCol w:w="298"/>
        <w:gridCol w:w="2130"/>
        <w:gridCol w:w="2268"/>
      </w:tblGrid>
      <w:tr w14:paraId="7B6E2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4531" w:type="dxa"/>
            <w:gridSpan w:val="4"/>
            <w:vAlign w:val="center"/>
          </w:tcPr>
          <w:p w14:paraId="25A111EE">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污染物</w:t>
            </w:r>
          </w:p>
        </w:tc>
        <w:tc>
          <w:tcPr>
            <w:tcW w:w="2130" w:type="dxa"/>
            <w:vAlign w:val="center"/>
          </w:tcPr>
          <w:p w14:paraId="2F399581">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污染</w:t>
            </w:r>
            <w:r>
              <w:rPr>
                <w:rFonts w:hint="default"/>
                <w:b/>
                <w:color w:val="auto"/>
              </w:rPr>
              <w:t>因子</w:t>
            </w:r>
          </w:p>
        </w:tc>
        <w:tc>
          <w:tcPr>
            <w:tcW w:w="2268" w:type="dxa"/>
            <w:vAlign w:val="center"/>
          </w:tcPr>
          <w:p w14:paraId="4F2938A0">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污染物</w:t>
            </w:r>
            <w:r>
              <w:rPr>
                <w:rFonts w:hint="default"/>
                <w:b/>
                <w:color w:val="auto"/>
              </w:rPr>
              <w:t>排放情况</w:t>
            </w:r>
            <w:r>
              <w:rPr>
                <w:rFonts w:hint="eastAsia"/>
                <w:b/>
                <w:color w:val="auto"/>
              </w:rPr>
              <w:t>（t/a）</w:t>
            </w:r>
          </w:p>
        </w:tc>
      </w:tr>
      <w:tr w14:paraId="7DB10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restart"/>
            <w:vAlign w:val="center"/>
          </w:tcPr>
          <w:p w14:paraId="4BB09EE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废气</w:t>
            </w:r>
          </w:p>
        </w:tc>
        <w:tc>
          <w:tcPr>
            <w:tcW w:w="937" w:type="dxa"/>
            <w:vMerge w:val="restart"/>
          </w:tcPr>
          <w:p w14:paraId="51CBEBBD">
            <w:pPr>
              <w:pStyle w:val="91"/>
              <w:keepNext w:val="0"/>
              <w:keepLines w:val="0"/>
              <w:suppressLineNumbers w:val="0"/>
              <w:spacing w:before="0" w:beforeAutospacing="0" w:after="0" w:afterAutospacing="0"/>
              <w:ind w:left="0" w:right="0"/>
              <w:rPr>
                <w:rFonts w:hint="default"/>
                <w:color w:val="auto"/>
              </w:rPr>
            </w:pPr>
            <w:r>
              <w:rPr>
                <w:rFonts w:hint="eastAsia"/>
                <w:color w:val="auto"/>
              </w:rPr>
              <w:t>有组织</w:t>
            </w:r>
          </w:p>
        </w:tc>
        <w:tc>
          <w:tcPr>
            <w:tcW w:w="2409" w:type="dxa"/>
          </w:tcPr>
          <w:p w14:paraId="171F8EE0">
            <w:pPr>
              <w:pStyle w:val="91"/>
              <w:keepNext w:val="0"/>
              <w:keepLines w:val="0"/>
              <w:suppressLineNumbers w:val="0"/>
              <w:spacing w:before="0" w:beforeAutospacing="0" w:after="0" w:afterAutospacing="0"/>
              <w:ind w:left="0" w:right="0"/>
              <w:rPr>
                <w:rFonts w:hint="default"/>
                <w:color w:val="auto"/>
              </w:rPr>
            </w:pPr>
            <w:r>
              <w:rPr>
                <w:rFonts w:hint="eastAsia"/>
                <w:color w:val="auto"/>
              </w:rPr>
              <w:t>甲醇</w:t>
            </w:r>
            <w:r>
              <w:rPr>
                <w:rFonts w:hint="default"/>
                <w:color w:val="auto"/>
              </w:rPr>
              <w:t>装车废气</w:t>
            </w:r>
          </w:p>
        </w:tc>
        <w:tc>
          <w:tcPr>
            <w:tcW w:w="2428" w:type="dxa"/>
            <w:gridSpan w:val="2"/>
          </w:tcPr>
          <w:p w14:paraId="30B8D95A">
            <w:pPr>
              <w:pStyle w:val="91"/>
              <w:keepNext w:val="0"/>
              <w:keepLines w:val="0"/>
              <w:suppressLineNumbers w:val="0"/>
              <w:spacing w:before="0" w:beforeAutospacing="0" w:after="0" w:afterAutospacing="0"/>
              <w:ind w:left="0" w:right="0"/>
              <w:rPr>
                <w:rFonts w:hint="default"/>
                <w:color w:val="auto"/>
              </w:rPr>
            </w:pPr>
            <w:r>
              <w:rPr>
                <w:rFonts w:hint="eastAsia"/>
                <w:color w:val="auto"/>
              </w:rPr>
              <w:t>DA004（非甲烷总烃）</w:t>
            </w:r>
          </w:p>
        </w:tc>
        <w:tc>
          <w:tcPr>
            <w:tcW w:w="2268" w:type="dxa"/>
          </w:tcPr>
          <w:p w14:paraId="3E773174">
            <w:pPr>
              <w:pStyle w:val="91"/>
              <w:keepNext w:val="0"/>
              <w:keepLines w:val="0"/>
              <w:suppressLineNumbers w:val="0"/>
              <w:spacing w:before="0" w:beforeAutospacing="0" w:after="0" w:afterAutospacing="0"/>
              <w:ind w:left="0" w:right="0"/>
              <w:rPr>
                <w:rFonts w:hint="default"/>
                <w:color w:val="auto"/>
              </w:rPr>
            </w:pPr>
            <w:r>
              <w:rPr>
                <w:rFonts w:hint="eastAsia"/>
                <w:color w:val="auto"/>
              </w:rPr>
              <w:t>0.848</w:t>
            </w:r>
          </w:p>
        </w:tc>
      </w:tr>
      <w:tr w14:paraId="7C093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0C7B8DCE">
            <w:pPr>
              <w:pStyle w:val="91"/>
              <w:keepNext w:val="0"/>
              <w:keepLines w:val="0"/>
              <w:suppressLineNumbers w:val="0"/>
              <w:spacing w:before="0" w:beforeAutospacing="0" w:after="0" w:afterAutospacing="0"/>
              <w:ind w:left="0" w:right="0"/>
              <w:rPr>
                <w:rFonts w:hint="default"/>
                <w:color w:val="auto"/>
              </w:rPr>
            </w:pPr>
          </w:p>
        </w:tc>
        <w:tc>
          <w:tcPr>
            <w:tcW w:w="937" w:type="dxa"/>
            <w:vMerge w:val="continue"/>
          </w:tcPr>
          <w:p w14:paraId="7AFBDD4B">
            <w:pPr>
              <w:pStyle w:val="91"/>
              <w:keepNext w:val="0"/>
              <w:keepLines w:val="0"/>
              <w:suppressLineNumbers w:val="0"/>
              <w:spacing w:before="0" w:beforeAutospacing="0" w:after="0" w:afterAutospacing="0"/>
              <w:ind w:left="0" w:right="0"/>
              <w:rPr>
                <w:rFonts w:hint="default"/>
                <w:color w:val="auto"/>
              </w:rPr>
            </w:pPr>
          </w:p>
        </w:tc>
        <w:tc>
          <w:tcPr>
            <w:tcW w:w="2409" w:type="dxa"/>
          </w:tcPr>
          <w:p w14:paraId="2B656EB3">
            <w:pPr>
              <w:pStyle w:val="91"/>
              <w:keepNext w:val="0"/>
              <w:keepLines w:val="0"/>
              <w:suppressLineNumbers w:val="0"/>
              <w:spacing w:before="0" w:beforeAutospacing="0" w:after="0" w:afterAutospacing="0"/>
              <w:ind w:left="0" w:right="0"/>
              <w:rPr>
                <w:rFonts w:hint="default"/>
                <w:color w:val="auto"/>
              </w:rPr>
            </w:pPr>
            <w:r>
              <w:rPr>
                <w:rFonts w:hint="eastAsia"/>
                <w:color w:val="auto"/>
              </w:rPr>
              <w:t>汽油</w:t>
            </w:r>
            <w:r>
              <w:rPr>
                <w:rFonts w:hint="default"/>
                <w:color w:val="auto"/>
              </w:rPr>
              <w:t>装车</w:t>
            </w:r>
          </w:p>
        </w:tc>
        <w:tc>
          <w:tcPr>
            <w:tcW w:w="2428" w:type="dxa"/>
            <w:gridSpan w:val="2"/>
          </w:tcPr>
          <w:p w14:paraId="6D548498">
            <w:pPr>
              <w:pStyle w:val="91"/>
              <w:keepNext w:val="0"/>
              <w:keepLines w:val="0"/>
              <w:suppressLineNumbers w:val="0"/>
              <w:spacing w:before="0" w:beforeAutospacing="0" w:after="0" w:afterAutospacing="0"/>
              <w:ind w:left="0" w:right="0"/>
              <w:rPr>
                <w:rFonts w:hint="default"/>
                <w:color w:val="auto"/>
              </w:rPr>
            </w:pPr>
            <w:r>
              <w:rPr>
                <w:rFonts w:hint="eastAsia"/>
                <w:color w:val="auto"/>
              </w:rPr>
              <w:t>DA002（非甲烷总烃）</w:t>
            </w:r>
          </w:p>
        </w:tc>
        <w:tc>
          <w:tcPr>
            <w:tcW w:w="2268" w:type="dxa"/>
          </w:tcPr>
          <w:p w14:paraId="5E6FA491">
            <w:pPr>
              <w:pStyle w:val="91"/>
              <w:keepNext w:val="0"/>
              <w:keepLines w:val="0"/>
              <w:suppressLineNumbers w:val="0"/>
              <w:spacing w:before="0" w:beforeAutospacing="0" w:after="0" w:afterAutospacing="0"/>
              <w:ind w:left="0" w:right="0"/>
              <w:rPr>
                <w:rFonts w:hint="default"/>
                <w:color w:val="auto"/>
              </w:rPr>
            </w:pPr>
            <w:r>
              <w:rPr>
                <w:rFonts w:hint="eastAsia"/>
                <w:color w:val="auto"/>
              </w:rPr>
              <w:t>0.358</w:t>
            </w:r>
          </w:p>
        </w:tc>
      </w:tr>
      <w:tr w14:paraId="083BD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08A307C3">
            <w:pPr>
              <w:pStyle w:val="91"/>
              <w:keepNext w:val="0"/>
              <w:keepLines w:val="0"/>
              <w:suppressLineNumbers w:val="0"/>
              <w:spacing w:before="0" w:beforeAutospacing="0" w:after="0" w:afterAutospacing="0"/>
              <w:ind w:left="0" w:right="0"/>
              <w:rPr>
                <w:rFonts w:hint="default"/>
                <w:color w:val="auto"/>
              </w:rPr>
            </w:pPr>
          </w:p>
        </w:tc>
        <w:tc>
          <w:tcPr>
            <w:tcW w:w="937" w:type="dxa"/>
            <w:vMerge w:val="continue"/>
          </w:tcPr>
          <w:p w14:paraId="716D8ACB">
            <w:pPr>
              <w:pStyle w:val="91"/>
              <w:keepNext w:val="0"/>
              <w:keepLines w:val="0"/>
              <w:suppressLineNumbers w:val="0"/>
              <w:spacing w:before="0" w:beforeAutospacing="0" w:after="0" w:afterAutospacing="0"/>
              <w:ind w:left="0" w:right="0"/>
              <w:rPr>
                <w:rFonts w:hint="default"/>
                <w:color w:val="auto"/>
              </w:rPr>
            </w:pPr>
          </w:p>
        </w:tc>
        <w:tc>
          <w:tcPr>
            <w:tcW w:w="2409" w:type="dxa"/>
          </w:tcPr>
          <w:p w14:paraId="12728E7A">
            <w:pPr>
              <w:pStyle w:val="91"/>
              <w:keepNext w:val="0"/>
              <w:keepLines w:val="0"/>
              <w:suppressLineNumbers w:val="0"/>
              <w:spacing w:before="0" w:beforeAutospacing="0" w:after="0" w:afterAutospacing="0"/>
              <w:ind w:left="0" w:right="0"/>
              <w:rPr>
                <w:rFonts w:hint="default"/>
                <w:color w:val="auto"/>
              </w:rPr>
            </w:pPr>
            <w:r>
              <w:rPr>
                <w:rFonts w:hint="eastAsia"/>
                <w:color w:val="auto"/>
              </w:rPr>
              <w:t>汽油</w:t>
            </w:r>
            <w:r>
              <w:rPr>
                <w:rFonts w:hint="default"/>
                <w:color w:val="auto"/>
              </w:rPr>
              <w:t>装船</w:t>
            </w:r>
          </w:p>
        </w:tc>
        <w:tc>
          <w:tcPr>
            <w:tcW w:w="2428" w:type="dxa"/>
            <w:gridSpan w:val="2"/>
          </w:tcPr>
          <w:p w14:paraId="4FD09431">
            <w:pPr>
              <w:pStyle w:val="91"/>
              <w:keepNext w:val="0"/>
              <w:keepLines w:val="0"/>
              <w:suppressLineNumbers w:val="0"/>
              <w:spacing w:before="0" w:beforeAutospacing="0" w:after="0" w:afterAutospacing="0"/>
              <w:ind w:left="0" w:right="0"/>
              <w:rPr>
                <w:rFonts w:hint="default"/>
                <w:color w:val="auto"/>
              </w:rPr>
            </w:pPr>
            <w:r>
              <w:rPr>
                <w:rFonts w:hint="eastAsia"/>
                <w:color w:val="auto"/>
              </w:rPr>
              <w:t>DA003（非甲烷总烃）</w:t>
            </w:r>
          </w:p>
        </w:tc>
        <w:tc>
          <w:tcPr>
            <w:tcW w:w="2268" w:type="dxa"/>
          </w:tcPr>
          <w:p w14:paraId="0FD20CA5">
            <w:pPr>
              <w:pStyle w:val="91"/>
              <w:keepNext w:val="0"/>
              <w:keepLines w:val="0"/>
              <w:suppressLineNumbers w:val="0"/>
              <w:spacing w:before="0" w:beforeAutospacing="0" w:after="0" w:afterAutospacing="0"/>
              <w:ind w:left="0" w:right="0"/>
              <w:rPr>
                <w:rFonts w:hint="default"/>
                <w:color w:val="auto"/>
              </w:rPr>
            </w:pPr>
            <w:r>
              <w:rPr>
                <w:rFonts w:hint="eastAsia"/>
                <w:color w:val="auto"/>
              </w:rPr>
              <w:t>1.682</w:t>
            </w:r>
          </w:p>
        </w:tc>
      </w:tr>
      <w:tr w14:paraId="0E0F9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7BD57B12">
            <w:pPr>
              <w:pStyle w:val="91"/>
              <w:keepNext w:val="0"/>
              <w:keepLines w:val="0"/>
              <w:suppressLineNumbers w:val="0"/>
              <w:spacing w:before="0" w:beforeAutospacing="0" w:after="0" w:afterAutospacing="0"/>
              <w:ind w:left="0" w:right="0"/>
              <w:rPr>
                <w:rFonts w:hint="default"/>
                <w:color w:val="auto"/>
              </w:rPr>
            </w:pPr>
          </w:p>
        </w:tc>
        <w:tc>
          <w:tcPr>
            <w:tcW w:w="937" w:type="dxa"/>
            <w:vMerge w:val="continue"/>
          </w:tcPr>
          <w:p w14:paraId="47DF560D">
            <w:pPr>
              <w:pStyle w:val="91"/>
              <w:keepNext w:val="0"/>
              <w:keepLines w:val="0"/>
              <w:suppressLineNumbers w:val="0"/>
              <w:spacing w:before="0" w:beforeAutospacing="0" w:after="0" w:afterAutospacing="0"/>
              <w:ind w:left="0" w:right="0"/>
              <w:rPr>
                <w:rFonts w:hint="default"/>
                <w:color w:val="auto"/>
              </w:rPr>
            </w:pPr>
          </w:p>
        </w:tc>
        <w:tc>
          <w:tcPr>
            <w:tcW w:w="2409" w:type="dxa"/>
            <w:vAlign w:val="center"/>
          </w:tcPr>
          <w:p w14:paraId="5DF51BF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合计</w:t>
            </w:r>
          </w:p>
        </w:tc>
        <w:tc>
          <w:tcPr>
            <w:tcW w:w="2428" w:type="dxa"/>
            <w:gridSpan w:val="2"/>
            <w:vAlign w:val="center"/>
          </w:tcPr>
          <w:p w14:paraId="1F3DE9F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c>
          <w:tcPr>
            <w:tcW w:w="2268" w:type="dxa"/>
          </w:tcPr>
          <w:p w14:paraId="25461E92">
            <w:pPr>
              <w:pStyle w:val="91"/>
              <w:keepNext w:val="0"/>
              <w:keepLines w:val="0"/>
              <w:suppressLineNumbers w:val="0"/>
              <w:spacing w:before="0" w:beforeAutospacing="0" w:after="0" w:afterAutospacing="0"/>
              <w:ind w:left="0" w:right="0"/>
              <w:rPr>
                <w:rFonts w:hint="default"/>
                <w:color w:val="auto"/>
              </w:rPr>
            </w:pPr>
            <w:r>
              <w:rPr>
                <w:rFonts w:hint="eastAsia"/>
                <w:color w:val="auto"/>
              </w:rPr>
              <w:t>2.888</w:t>
            </w:r>
          </w:p>
        </w:tc>
      </w:tr>
      <w:tr w14:paraId="7C6B4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08650BDF">
            <w:pPr>
              <w:pStyle w:val="91"/>
              <w:keepNext w:val="0"/>
              <w:keepLines w:val="0"/>
              <w:suppressLineNumbers w:val="0"/>
              <w:spacing w:before="0" w:beforeAutospacing="0" w:after="0" w:afterAutospacing="0"/>
              <w:ind w:left="0" w:right="0"/>
              <w:rPr>
                <w:rFonts w:hint="default"/>
                <w:color w:val="auto"/>
              </w:rPr>
            </w:pPr>
          </w:p>
        </w:tc>
        <w:tc>
          <w:tcPr>
            <w:tcW w:w="937" w:type="dxa"/>
            <w:vMerge w:val="restart"/>
          </w:tcPr>
          <w:p w14:paraId="27851E9D">
            <w:pPr>
              <w:pStyle w:val="91"/>
              <w:keepNext w:val="0"/>
              <w:keepLines w:val="0"/>
              <w:suppressLineNumbers w:val="0"/>
              <w:spacing w:before="0" w:beforeAutospacing="0" w:after="0" w:afterAutospacing="0"/>
              <w:ind w:left="0" w:right="0"/>
              <w:rPr>
                <w:rFonts w:hint="default"/>
                <w:color w:val="auto"/>
              </w:rPr>
            </w:pPr>
            <w:r>
              <w:rPr>
                <w:rFonts w:hint="eastAsia"/>
                <w:color w:val="auto"/>
              </w:rPr>
              <w:t>无组织</w:t>
            </w:r>
          </w:p>
        </w:tc>
        <w:tc>
          <w:tcPr>
            <w:tcW w:w="2409" w:type="dxa"/>
          </w:tcPr>
          <w:p w14:paraId="38F43425">
            <w:pPr>
              <w:pStyle w:val="91"/>
              <w:keepNext w:val="0"/>
              <w:keepLines w:val="0"/>
              <w:suppressLineNumbers w:val="0"/>
              <w:spacing w:before="0" w:beforeAutospacing="0" w:after="0" w:afterAutospacing="0"/>
              <w:ind w:left="0" w:right="0"/>
              <w:rPr>
                <w:rFonts w:hint="default"/>
                <w:color w:val="auto"/>
              </w:rPr>
            </w:pPr>
            <w:r>
              <w:rPr>
                <w:rFonts w:hint="eastAsia"/>
                <w:color w:val="auto"/>
              </w:rPr>
              <w:t>装卸</w:t>
            </w:r>
            <w:r>
              <w:rPr>
                <w:rFonts w:hint="default"/>
                <w:color w:val="auto"/>
              </w:rPr>
              <w:t>废气、</w:t>
            </w:r>
            <w:r>
              <w:rPr>
                <w:rFonts w:hint="eastAsia"/>
                <w:color w:val="auto"/>
              </w:rPr>
              <w:t>储罐</w:t>
            </w:r>
            <w:r>
              <w:rPr>
                <w:rFonts w:hint="default"/>
                <w:color w:val="auto"/>
              </w:rPr>
              <w:t>呼吸废气</w:t>
            </w:r>
          </w:p>
        </w:tc>
        <w:tc>
          <w:tcPr>
            <w:tcW w:w="2428" w:type="dxa"/>
            <w:gridSpan w:val="2"/>
          </w:tcPr>
          <w:p w14:paraId="0B813162">
            <w:pPr>
              <w:pStyle w:val="91"/>
              <w:keepNext w:val="0"/>
              <w:keepLines w:val="0"/>
              <w:suppressLineNumbers w:val="0"/>
              <w:spacing w:before="0" w:beforeAutospacing="0" w:after="0" w:afterAutospacing="0"/>
              <w:ind w:left="0" w:right="0"/>
              <w:rPr>
                <w:rFonts w:hint="default"/>
                <w:color w:val="auto"/>
              </w:rPr>
            </w:pPr>
            <w:r>
              <w:rPr>
                <w:rFonts w:hint="eastAsia"/>
                <w:color w:val="auto"/>
              </w:rPr>
              <w:t>非甲烷总烃</w:t>
            </w:r>
          </w:p>
        </w:tc>
        <w:tc>
          <w:tcPr>
            <w:tcW w:w="2268" w:type="dxa"/>
          </w:tcPr>
          <w:p w14:paraId="76502A14">
            <w:pPr>
              <w:pStyle w:val="91"/>
              <w:keepNext w:val="0"/>
              <w:keepLines w:val="0"/>
              <w:suppressLineNumbers w:val="0"/>
              <w:spacing w:before="0" w:beforeAutospacing="0" w:after="0" w:afterAutospacing="0"/>
              <w:ind w:left="0" w:right="0"/>
              <w:rPr>
                <w:rFonts w:hint="default"/>
                <w:color w:val="auto"/>
              </w:rPr>
            </w:pPr>
            <w:r>
              <w:rPr>
                <w:rFonts w:hint="eastAsia"/>
                <w:color w:val="auto"/>
              </w:rPr>
              <w:t>305.216</w:t>
            </w:r>
          </w:p>
        </w:tc>
      </w:tr>
      <w:tr w14:paraId="2DE19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3B33F979">
            <w:pPr>
              <w:pStyle w:val="91"/>
              <w:keepNext w:val="0"/>
              <w:keepLines w:val="0"/>
              <w:suppressLineNumbers w:val="0"/>
              <w:spacing w:before="0" w:beforeAutospacing="0" w:after="0" w:afterAutospacing="0"/>
              <w:ind w:left="0" w:right="0"/>
              <w:rPr>
                <w:rFonts w:hint="default"/>
                <w:color w:val="auto"/>
              </w:rPr>
            </w:pPr>
          </w:p>
        </w:tc>
        <w:tc>
          <w:tcPr>
            <w:tcW w:w="937" w:type="dxa"/>
            <w:vMerge w:val="continue"/>
          </w:tcPr>
          <w:p w14:paraId="53F67B96">
            <w:pPr>
              <w:pStyle w:val="91"/>
              <w:keepNext w:val="0"/>
              <w:keepLines w:val="0"/>
              <w:suppressLineNumbers w:val="0"/>
              <w:spacing w:before="0" w:beforeAutospacing="0" w:after="0" w:afterAutospacing="0"/>
              <w:ind w:left="0" w:right="0"/>
              <w:rPr>
                <w:rFonts w:hint="default"/>
                <w:color w:val="auto"/>
              </w:rPr>
            </w:pPr>
          </w:p>
        </w:tc>
        <w:tc>
          <w:tcPr>
            <w:tcW w:w="2409" w:type="dxa"/>
            <w:vMerge w:val="restart"/>
          </w:tcPr>
          <w:p w14:paraId="31F00129">
            <w:pPr>
              <w:pStyle w:val="91"/>
              <w:keepNext w:val="0"/>
              <w:keepLines w:val="0"/>
              <w:suppressLineNumbers w:val="0"/>
              <w:spacing w:before="0" w:beforeAutospacing="0" w:after="0" w:afterAutospacing="0"/>
              <w:ind w:left="0" w:right="0"/>
              <w:rPr>
                <w:rFonts w:hint="default"/>
                <w:color w:val="auto"/>
              </w:rPr>
            </w:pPr>
            <w:r>
              <w:rPr>
                <w:rFonts w:hint="eastAsia"/>
                <w:color w:val="auto"/>
              </w:rPr>
              <w:t>船舶</w:t>
            </w:r>
            <w:r>
              <w:rPr>
                <w:rFonts w:hint="default"/>
                <w:color w:val="auto"/>
              </w:rPr>
              <w:t>废气</w:t>
            </w:r>
          </w:p>
        </w:tc>
        <w:tc>
          <w:tcPr>
            <w:tcW w:w="2428" w:type="dxa"/>
            <w:gridSpan w:val="2"/>
          </w:tcPr>
          <w:p w14:paraId="5F69494D">
            <w:pPr>
              <w:pStyle w:val="91"/>
              <w:keepNext w:val="0"/>
              <w:keepLines w:val="0"/>
              <w:suppressLineNumbers w:val="0"/>
              <w:spacing w:before="0" w:beforeAutospacing="0" w:after="0" w:afterAutospacing="0"/>
              <w:ind w:left="0" w:right="0"/>
              <w:rPr>
                <w:rFonts w:hint="default"/>
                <w:color w:val="auto"/>
              </w:rPr>
            </w:pPr>
            <w:r>
              <w:rPr>
                <w:rFonts w:hint="eastAsia"/>
                <w:color w:val="auto"/>
              </w:rPr>
              <w:t>SO</w:t>
            </w:r>
            <w:r>
              <w:rPr>
                <w:rFonts w:hint="eastAsia"/>
                <w:color w:val="auto"/>
                <w:vertAlign w:val="subscript"/>
              </w:rPr>
              <w:t>2</w:t>
            </w:r>
          </w:p>
        </w:tc>
        <w:tc>
          <w:tcPr>
            <w:tcW w:w="2268" w:type="dxa"/>
          </w:tcPr>
          <w:p w14:paraId="652DECC8">
            <w:pPr>
              <w:pStyle w:val="91"/>
              <w:keepNext w:val="0"/>
              <w:keepLines w:val="0"/>
              <w:suppressLineNumbers w:val="0"/>
              <w:spacing w:before="0" w:beforeAutospacing="0" w:after="0" w:afterAutospacing="0"/>
              <w:ind w:left="0" w:right="0"/>
              <w:rPr>
                <w:rFonts w:hint="default"/>
                <w:color w:val="auto"/>
              </w:rPr>
            </w:pPr>
            <w:r>
              <w:rPr>
                <w:rFonts w:hint="eastAsia"/>
                <w:color w:val="auto"/>
              </w:rPr>
              <w:t>0.876</w:t>
            </w:r>
          </w:p>
        </w:tc>
      </w:tr>
      <w:tr w14:paraId="15F27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4385D464">
            <w:pPr>
              <w:pStyle w:val="91"/>
              <w:keepNext w:val="0"/>
              <w:keepLines w:val="0"/>
              <w:suppressLineNumbers w:val="0"/>
              <w:spacing w:before="0" w:beforeAutospacing="0" w:after="0" w:afterAutospacing="0"/>
              <w:ind w:left="0" w:right="0"/>
              <w:rPr>
                <w:rFonts w:hint="default"/>
                <w:color w:val="auto"/>
              </w:rPr>
            </w:pPr>
          </w:p>
        </w:tc>
        <w:tc>
          <w:tcPr>
            <w:tcW w:w="937" w:type="dxa"/>
            <w:vMerge w:val="continue"/>
          </w:tcPr>
          <w:p w14:paraId="0031E26A">
            <w:pPr>
              <w:pStyle w:val="91"/>
              <w:keepNext w:val="0"/>
              <w:keepLines w:val="0"/>
              <w:suppressLineNumbers w:val="0"/>
              <w:spacing w:before="0" w:beforeAutospacing="0" w:after="0" w:afterAutospacing="0"/>
              <w:ind w:left="0" w:right="0"/>
              <w:rPr>
                <w:rFonts w:hint="default"/>
                <w:color w:val="auto"/>
              </w:rPr>
            </w:pPr>
          </w:p>
        </w:tc>
        <w:tc>
          <w:tcPr>
            <w:tcW w:w="2409" w:type="dxa"/>
            <w:vMerge w:val="continue"/>
          </w:tcPr>
          <w:p w14:paraId="14C7A712">
            <w:pPr>
              <w:pStyle w:val="91"/>
              <w:keepNext w:val="0"/>
              <w:keepLines w:val="0"/>
              <w:suppressLineNumbers w:val="0"/>
              <w:spacing w:before="0" w:beforeAutospacing="0" w:after="0" w:afterAutospacing="0"/>
              <w:ind w:left="0" w:right="0"/>
              <w:rPr>
                <w:rFonts w:hint="default"/>
                <w:color w:val="auto"/>
              </w:rPr>
            </w:pPr>
          </w:p>
        </w:tc>
        <w:tc>
          <w:tcPr>
            <w:tcW w:w="2428" w:type="dxa"/>
            <w:gridSpan w:val="2"/>
          </w:tcPr>
          <w:p w14:paraId="4A61179C">
            <w:pPr>
              <w:pStyle w:val="91"/>
              <w:keepNext w:val="0"/>
              <w:keepLines w:val="0"/>
              <w:suppressLineNumbers w:val="0"/>
              <w:spacing w:before="0" w:beforeAutospacing="0" w:after="0" w:afterAutospacing="0"/>
              <w:ind w:left="0" w:right="0"/>
              <w:rPr>
                <w:rFonts w:hint="default"/>
                <w:color w:val="auto"/>
              </w:rPr>
            </w:pPr>
            <w:r>
              <w:rPr>
                <w:rFonts w:hint="eastAsia"/>
                <w:color w:val="auto"/>
              </w:rPr>
              <w:t>NO</w:t>
            </w:r>
            <w:r>
              <w:rPr>
                <w:rFonts w:hint="default"/>
                <w:color w:val="auto"/>
              </w:rPr>
              <w:t>x</w:t>
            </w:r>
          </w:p>
        </w:tc>
        <w:tc>
          <w:tcPr>
            <w:tcW w:w="2268" w:type="dxa"/>
          </w:tcPr>
          <w:p w14:paraId="09D39B1E">
            <w:pPr>
              <w:pStyle w:val="91"/>
              <w:keepNext w:val="0"/>
              <w:keepLines w:val="0"/>
              <w:suppressLineNumbers w:val="0"/>
              <w:spacing w:before="0" w:beforeAutospacing="0" w:after="0" w:afterAutospacing="0"/>
              <w:ind w:left="0" w:right="0"/>
              <w:rPr>
                <w:rFonts w:hint="default"/>
                <w:color w:val="auto"/>
              </w:rPr>
            </w:pPr>
            <w:r>
              <w:rPr>
                <w:rFonts w:hint="eastAsia"/>
                <w:color w:val="auto"/>
              </w:rPr>
              <w:t>2.887</w:t>
            </w:r>
          </w:p>
        </w:tc>
      </w:tr>
      <w:tr w14:paraId="5E6EB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restart"/>
          </w:tcPr>
          <w:p w14:paraId="1123CB07">
            <w:pPr>
              <w:pStyle w:val="91"/>
              <w:keepNext w:val="0"/>
              <w:keepLines w:val="0"/>
              <w:suppressLineNumbers w:val="0"/>
              <w:spacing w:before="0" w:beforeAutospacing="0" w:after="0" w:afterAutospacing="0"/>
              <w:ind w:left="0" w:right="0"/>
              <w:rPr>
                <w:rFonts w:hint="default"/>
                <w:color w:val="auto"/>
              </w:rPr>
            </w:pPr>
            <w:r>
              <w:rPr>
                <w:rFonts w:hint="eastAsia"/>
                <w:color w:val="auto"/>
              </w:rPr>
              <w:t>废水</w:t>
            </w:r>
          </w:p>
        </w:tc>
        <w:tc>
          <w:tcPr>
            <w:tcW w:w="3346" w:type="dxa"/>
            <w:gridSpan w:val="2"/>
            <w:vMerge w:val="restart"/>
            <w:vAlign w:val="center"/>
          </w:tcPr>
          <w:p w14:paraId="253084C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船舶</w:t>
            </w:r>
            <w:r>
              <w:rPr>
                <w:rFonts w:hint="default"/>
                <w:color w:val="auto"/>
              </w:rPr>
              <w:t>生活污水</w:t>
            </w:r>
          </w:p>
        </w:tc>
        <w:tc>
          <w:tcPr>
            <w:tcW w:w="2428" w:type="dxa"/>
            <w:gridSpan w:val="2"/>
          </w:tcPr>
          <w:p w14:paraId="51630A88">
            <w:pPr>
              <w:pStyle w:val="91"/>
              <w:keepNext w:val="0"/>
              <w:keepLines w:val="0"/>
              <w:suppressLineNumbers w:val="0"/>
              <w:spacing w:before="0" w:beforeAutospacing="0" w:after="0" w:afterAutospacing="0"/>
              <w:ind w:left="0" w:right="0"/>
              <w:rPr>
                <w:rFonts w:hint="default"/>
                <w:color w:val="auto"/>
              </w:rPr>
            </w:pPr>
            <w:r>
              <w:rPr>
                <w:rFonts w:hint="eastAsia"/>
                <w:color w:val="auto"/>
              </w:rPr>
              <w:t>废水</w:t>
            </w:r>
            <w:r>
              <w:rPr>
                <w:rFonts w:hint="default"/>
                <w:color w:val="auto"/>
              </w:rPr>
              <w:t>量</w:t>
            </w:r>
          </w:p>
        </w:tc>
        <w:tc>
          <w:tcPr>
            <w:tcW w:w="2268" w:type="dxa"/>
          </w:tcPr>
          <w:p w14:paraId="5F97D261">
            <w:pPr>
              <w:pStyle w:val="91"/>
              <w:keepNext w:val="0"/>
              <w:keepLines w:val="0"/>
              <w:suppressLineNumbers w:val="0"/>
              <w:spacing w:before="0" w:beforeAutospacing="0" w:after="0" w:afterAutospacing="0"/>
              <w:ind w:left="0" w:right="0"/>
              <w:rPr>
                <w:rFonts w:hint="default"/>
                <w:color w:val="auto"/>
              </w:rPr>
            </w:pPr>
            <w:r>
              <w:rPr>
                <w:rFonts w:hint="default"/>
                <w:color w:val="auto"/>
              </w:rPr>
              <w:t>344m</w:t>
            </w:r>
            <w:r>
              <w:rPr>
                <w:rFonts w:hint="default"/>
                <w:color w:val="auto"/>
                <w:vertAlign w:val="superscript"/>
              </w:rPr>
              <w:t>3</w:t>
            </w:r>
            <w:r>
              <w:rPr>
                <w:rFonts w:hint="default"/>
                <w:color w:val="auto"/>
              </w:rPr>
              <w:t>/a</w:t>
            </w:r>
          </w:p>
        </w:tc>
      </w:tr>
      <w:tr w14:paraId="5464F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5987CC31">
            <w:pPr>
              <w:pStyle w:val="91"/>
              <w:keepNext w:val="0"/>
              <w:keepLines w:val="0"/>
              <w:suppressLineNumbers w:val="0"/>
              <w:spacing w:before="0" w:beforeAutospacing="0" w:after="0" w:afterAutospacing="0"/>
              <w:ind w:left="0" w:right="0"/>
              <w:rPr>
                <w:rFonts w:hint="default"/>
                <w:color w:val="auto"/>
              </w:rPr>
            </w:pPr>
          </w:p>
        </w:tc>
        <w:tc>
          <w:tcPr>
            <w:tcW w:w="3346" w:type="dxa"/>
            <w:gridSpan w:val="2"/>
            <w:vMerge w:val="continue"/>
          </w:tcPr>
          <w:p w14:paraId="49B1586E">
            <w:pPr>
              <w:pStyle w:val="91"/>
              <w:keepNext w:val="0"/>
              <w:keepLines w:val="0"/>
              <w:suppressLineNumbers w:val="0"/>
              <w:spacing w:before="0" w:beforeAutospacing="0" w:after="0" w:afterAutospacing="0"/>
              <w:ind w:left="0" w:right="0"/>
              <w:rPr>
                <w:rFonts w:hint="default"/>
                <w:color w:val="auto"/>
              </w:rPr>
            </w:pPr>
          </w:p>
        </w:tc>
        <w:tc>
          <w:tcPr>
            <w:tcW w:w="2428" w:type="dxa"/>
            <w:gridSpan w:val="2"/>
          </w:tcPr>
          <w:p w14:paraId="339A4BA1">
            <w:pPr>
              <w:pStyle w:val="91"/>
              <w:keepNext w:val="0"/>
              <w:keepLines w:val="0"/>
              <w:suppressLineNumbers w:val="0"/>
              <w:spacing w:before="0" w:beforeAutospacing="0" w:after="0" w:afterAutospacing="0"/>
              <w:ind w:left="0" w:right="0"/>
              <w:rPr>
                <w:rFonts w:hint="default"/>
                <w:color w:val="auto"/>
              </w:rPr>
            </w:pPr>
            <w:r>
              <w:rPr>
                <w:rFonts w:hint="eastAsia"/>
                <w:color w:val="auto"/>
              </w:rPr>
              <w:t>SS</w:t>
            </w:r>
          </w:p>
        </w:tc>
        <w:tc>
          <w:tcPr>
            <w:tcW w:w="2268" w:type="dxa"/>
          </w:tcPr>
          <w:p w14:paraId="415426E5">
            <w:pPr>
              <w:pStyle w:val="91"/>
              <w:keepNext w:val="0"/>
              <w:keepLines w:val="0"/>
              <w:suppressLineNumbers w:val="0"/>
              <w:spacing w:before="0" w:beforeAutospacing="0" w:after="0" w:afterAutospacing="0"/>
              <w:ind w:left="0" w:right="0"/>
              <w:rPr>
                <w:rFonts w:hint="default"/>
                <w:color w:val="auto"/>
              </w:rPr>
            </w:pPr>
            <w:r>
              <w:rPr>
                <w:rFonts w:hint="default"/>
                <w:color w:val="auto"/>
              </w:rPr>
              <w:t>0.172</w:t>
            </w:r>
          </w:p>
        </w:tc>
      </w:tr>
      <w:tr w14:paraId="6E571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414AD2B9">
            <w:pPr>
              <w:pStyle w:val="91"/>
              <w:keepNext w:val="0"/>
              <w:keepLines w:val="0"/>
              <w:suppressLineNumbers w:val="0"/>
              <w:spacing w:before="0" w:beforeAutospacing="0" w:after="0" w:afterAutospacing="0"/>
              <w:ind w:left="0" w:right="0"/>
              <w:rPr>
                <w:rFonts w:hint="default"/>
                <w:color w:val="auto"/>
              </w:rPr>
            </w:pPr>
          </w:p>
        </w:tc>
        <w:tc>
          <w:tcPr>
            <w:tcW w:w="3346" w:type="dxa"/>
            <w:gridSpan w:val="2"/>
            <w:vMerge w:val="continue"/>
          </w:tcPr>
          <w:p w14:paraId="6E82E85C">
            <w:pPr>
              <w:pStyle w:val="91"/>
              <w:keepNext w:val="0"/>
              <w:keepLines w:val="0"/>
              <w:suppressLineNumbers w:val="0"/>
              <w:spacing w:before="0" w:beforeAutospacing="0" w:after="0" w:afterAutospacing="0"/>
              <w:ind w:left="0" w:right="0"/>
              <w:rPr>
                <w:rFonts w:hint="default"/>
                <w:color w:val="auto"/>
              </w:rPr>
            </w:pPr>
          </w:p>
        </w:tc>
        <w:tc>
          <w:tcPr>
            <w:tcW w:w="2428" w:type="dxa"/>
            <w:gridSpan w:val="2"/>
          </w:tcPr>
          <w:p w14:paraId="2F18F381">
            <w:pPr>
              <w:pStyle w:val="91"/>
              <w:keepNext w:val="0"/>
              <w:keepLines w:val="0"/>
              <w:suppressLineNumbers w:val="0"/>
              <w:spacing w:before="0" w:beforeAutospacing="0" w:after="0" w:afterAutospacing="0"/>
              <w:ind w:left="0" w:right="0"/>
              <w:rPr>
                <w:rFonts w:hint="default"/>
                <w:color w:val="auto"/>
              </w:rPr>
            </w:pPr>
            <w:r>
              <w:rPr>
                <w:rFonts w:hint="default"/>
                <w:color w:val="auto"/>
              </w:rPr>
              <w:t>COD</w:t>
            </w:r>
          </w:p>
        </w:tc>
        <w:tc>
          <w:tcPr>
            <w:tcW w:w="2268" w:type="dxa"/>
          </w:tcPr>
          <w:p w14:paraId="6B426CDC">
            <w:pPr>
              <w:pStyle w:val="91"/>
              <w:keepNext w:val="0"/>
              <w:keepLines w:val="0"/>
              <w:suppressLineNumbers w:val="0"/>
              <w:spacing w:before="0" w:beforeAutospacing="0" w:after="0" w:afterAutospacing="0"/>
              <w:ind w:left="0" w:right="0"/>
              <w:rPr>
                <w:rFonts w:hint="default"/>
                <w:color w:val="auto"/>
              </w:rPr>
            </w:pPr>
            <w:r>
              <w:rPr>
                <w:rFonts w:hint="default"/>
                <w:color w:val="auto"/>
              </w:rPr>
              <w:t>0.103</w:t>
            </w:r>
          </w:p>
        </w:tc>
      </w:tr>
      <w:tr w14:paraId="03328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1EC00C1B">
            <w:pPr>
              <w:pStyle w:val="91"/>
              <w:keepNext w:val="0"/>
              <w:keepLines w:val="0"/>
              <w:suppressLineNumbers w:val="0"/>
              <w:spacing w:before="0" w:beforeAutospacing="0" w:after="0" w:afterAutospacing="0"/>
              <w:ind w:left="0" w:right="0"/>
              <w:rPr>
                <w:rFonts w:hint="default"/>
                <w:color w:val="auto"/>
              </w:rPr>
            </w:pPr>
          </w:p>
        </w:tc>
        <w:tc>
          <w:tcPr>
            <w:tcW w:w="3346" w:type="dxa"/>
            <w:gridSpan w:val="2"/>
            <w:vMerge w:val="continue"/>
          </w:tcPr>
          <w:p w14:paraId="489D3044">
            <w:pPr>
              <w:pStyle w:val="91"/>
              <w:keepNext w:val="0"/>
              <w:keepLines w:val="0"/>
              <w:suppressLineNumbers w:val="0"/>
              <w:spacing w:before="0" w:beforeAutospacing="0" w:after="0" w:afterAutospacing="0"/>
              <w:ind w:left="0" w:right="0"/>
              <w:rPr>
                <w:rFonts w:hint="default"/>
                <w:color w:val="auto"/>
              </w:rPr>
            </w:pPr>
          </w:p>
        </w:tc>
        <w:tc>
          <w:tcPr>
            <w:tcW w:w="2428" w:type="dxa"/>
            <w:gridSpan w:val="2"/>
          </w:tcPr>
          <w:p w14:paraId="51516CFB">
            <w:pPr>
              <w:pStyle w:val="91"/>
              <w:keepNext w:val="0"/>
              <w:keepLines w:val="0"/>
              <w:suppressLineNumbers w:val="0"/>
              <w:spacing w:before="0" w:beforeAutospacing="0" w:after="0" w:afterAutospacing="0"/>
              <w:ind w:left="0" w:right="0"/>
              <w:rPr>
                <w:rFonts w:hint="default"/>
                <w:color w:val="auto"/>
              </w:rPr>
            </w:pPr>
            <w:r>
              <w:rPr>
                <w:rFonts w:hint="eastAsia"/>
                <w:color w:val="auto"/>
              </w:rPr>
              <w:t>BOD</w:t>
            </w:r>
            <w:r>
              <w:rPr>
                <w:rFonts w:hint="eastAsia"/>
                <w:color w:val="auto"/>
                <w:vertAlign w:val="subscript"/>
              </w:rPr>
              <w:t>5</w:t>
            </w:r>
          </w:p>
        </w:tc>
        <w:tc>
          <w:tcPr>
            <w:tcW w:w="2268" w:type="dxa"/>
          </w:tcPr>
          <w:p w14:paraId="3BCEAF94">
            <w:pPr>
              <w:pStyle w:val="91"/>
              <w:keepNext w:val="0"/>
              <w:keepLines w:val="0"/>
              <w:suppressLineNumbers w:val="0"/>
              <w:spacing w:before="0" w:beforeAutospacing="0" w:after="0" w:afterAutospacing="0"/>
              <w:ind w:left="0" w:right="0"/>
              <w:rPr>
                <w:rFonts w:hint="default"/>
                <w:color w:val="auto"/>
              </w:rPr>
            </w:pPr>
            <w:r>
              <w:rPr>
                <w:rFonts w:hint="default"/>
                <w:color w:val="auto"/>
              </w:rPr>
              <w:t>0.052</w:t>
            </w:r>
          </w:p>
        </w:tc>
      </w:tr>
      <w:tr w14:paraId="5F4BD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441D839D">
            <w:pPr>
              <w:pStyle w:val="91"/>
              <w:keepNext w:val="0"/>
              <w:keepLines w:val="0"/>
              <w:suppressLineNumbers w:val="0"/>
              <w:spacing w:before="0" w:beforeAutospacing="0" w:after="0" w:afterAutospacing="0"/>
              <w:ind w:left="0" w:right="0"/>
              <w:rPr>
                <w:rFonts w:hint="default"/>
                <w:color w:val="auto"/>
              </w:rPr>
            </w:pPr>
          </w:p>
        </w:tc>
        <w:tc>
          <w:tcPr>
            <w:tcW w:w="3346" w:type="dxa"/>
            <w:gridSpan w:val="2"/>
            <w:vMerge w:val="continue"/>
          </w:tcPr>
          <w:p w14:paraId="3B4F0165">
            <w:pPr>
              <w:pStyle w:val="91"/>
              <w:keepNext w:val="0"/>
              <w:keepLines w:val="0"/>
              <w:suppressLineNumbers w:val="0"/>
              <w:spacing w:before="0" w:beforeAutospacing="0" w:after="0" w:afterAutospacing="0"/>
              <w:ind w:left="0" w:right="0"/>
              <w:rPr>
                <w:rFonts w:hint="default"/>
                <w:color w:val="auto"/>
              </w:rPr>
            </w:pPr>
          </w:p>
        </w:tc>
        <w:tc>
          <w:tcPr>
            <w:tcW w:w="2428" w:type="dxa"/>
            <w:gridSpan w:val="2"/>
          </w:tcPr>
          <w:p w14:paraId="60F544A0">
            <w:pPr>
              <w:pStyle w:val="91"/>
              <w:keepNext w:val="0"/>
              <w:keepLines w:val="0"/>
              <w:suppressLineNumbers w:val="0"/>
              <w:spacing w:before="0" w:beforeAutospacing="0" w:after="0" w:afterAutospacing="0"/>
              <w:ind w:left="0" w:right="0"/>
              <w:rPr>
                <w:rFonts w:hint="default"/>
                <w:color w:val="auto"/>
              </w:rPr>
            </w:pPr>
            <w:r>
              <w:rPr>
                <w:rFonts w:hint="eastAsia"/>
                <w:color w:val="auto"/>
              </w:rPr>
              <w:t>氨氮</w:t>
            </w:r>
          </w:p>
        </w:tc>
        <w:tc>
          <w:tcPr>
            <w:tcW w:w="2268" w:type="dxa"/>
          </w:tcPr>
          <w:p w14:paraId="3C568C29">
            <w:pPr>
              <w:pStyle w:val="91"/>
              <w:keepNext w:val="0"/>
              <w:keepLines w:val="0"/>
              <w:suppressLineNumbers w:val="0"/>
              <w:spacing w:before="0" w:beforeAutospacing="0" w:after="0" w:afterAutospacing="0"/>
              <w:ind w:left="0" w:right="0"/>
              <w:rPr>
                <w:rFonts w:hint="default"/>
                <w:color w:val="auto"/>
              </w:rPr>
            </w:pPr>
            <w:r>
              <w:rPr>
                <w:rFonts w:hint="default"/>
                <w:color w:val="auto"/>
              </w:rPr>
              <w:t>0.012</w:t>
            </w:r>
          </w:p>
        </w:tc>
      </w:tr>
      <w:tr w14:paraId="429EE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7BD6D2AE">
            <w:pPr>
              <w:pStyle w:val="91"/>
              <w:keepNext w:val="0"/>
              <w:keepLines w:val="0"/>
              <w:suppressLineNumbers w:val="0"/>
              <w:spacing w:before="0" w:beforeAutospacing="0" w:after="0" w:afterAutospacing="0"/>
              <w:ind w:left="0" w:right="0"/>
              <w:rPr>
                <w:rFonts w:hint="default"/>
                <w:color w:val="auto"/>
              </w:rPr>
            </w:pPr>
          </w:p>
        </w:tc>
        <w:tc>
          <w:tcPr>
            <w:tcW w:w="3346" w:type="dxa"/>
            <w:gridSpan w:val="2"/>
            <w:vMerge w:val="restart"/>
            <w:vAlign w:val="center"/>
          </w:tcPr>
          <w:p w14:paraId="7B5D66C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船舶</w:t>
            </w:r>
            <w:r>
              <w:rPr>
                <w:rFonts w:hint="default"/>
                <w:color w:val="auto"/>
              </w:rPr>
              <w:t>含油污水</w:t>
            </w:r>
          </w:p>
        </w:tc>
        <w:tc>
          <w:tcPr>
            <w:tcW w:w="2428" w:type="dxa"/>
            <w:gridSpan w:val="2"/>
          </w:tcPr>
          <w:p w14:paraId="493CCD04">
            <w:pPr>
              <w:pStyle w:val="91"/>
              <w:keepNext w:val="0"/>
              <w:keepLines w:val="0"/>
              <w:suppressLineNumbers w:val="0"/>
              <w:spacing w:before="0" w:beforeAutospacing="0" w:after="0" w:afterAutospacing="0"/>
              <w:ind w:left="0" w:right="0"/>
              <w:rPr>
                <w:rFonts w:hint="default"/>
                <w:color w:val="auto"/>
              </w:rPr>
            </w:pPr>
            <w:r>
              <w:rPr>
                <w:rFonts w:hint="eastAsia"/>
                <w:color w:val="auto"/>
              </w:rPr>
              <w:t>废水</w:t>
            </w:r>
            <w:r>
              <w:rPr>
                <w:rFonts w:hint="default"/>
                <w:color w:val="auto"/>
              </w:rPr>
              <w:t>量</w:t>
            </w:r>
          </w:p>
        </w:tc>
        <w:tc>
          <w:tcPr>
            <w:tcW w:w="2268" w:type="dxa"/>
          </w:tcPr>
          <w:p w14:paraId="3C91DB82">
            <w:pPr>
              <w:pStyle w:val="91"/>
              <w:keepNext w:val="0"/>
              <w:keepLines w:val="0"/>
              <w:suppressLineNumbers w:val="0"/>
              <w:spacing w:before="0" w:beforeAutospacing="0" w:after="0" w:afterAutospacing="0"/>
              <w:ind w:left="0" w:right="0"/>
              <w:rPr>
                <w:rFonts w:hint="default"/>
                <w:color w:val="auto"/>
              </w:rPr>
            </w:pPr>
            <w:r>
              <w:rPr>
                <w:rFonts w:hint="default"/>
                <w:color w:val="auto"/>
              </w:rPr>
              <w:t>573.92t/a</w:t>
            </w:r>
          </w:p>
        </w:tc>
      </w:tr>
      <w:tr w14:paraId="7ADEE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6532CB40">
            <w:pPr>
              <w:pStyle w:val="91"/>
              <w:keepNext w:val="0"/>
              <w:keepLines w:val="0"/>
              <w:suppressLineNumbers w:val="0"/>
              <w:spacing w:before="0" w:beforeAutospacing="0" w:after="0" w:afterAutospacing="0"/>
              <w:ind w:left="0" w:right="0"/>
              <w:rPr>
                <w:rFonts w:hint="default"/>
                <w:color w:val="auto"/>
              </w:rPr>
            </w:pPr>
          </w:p>
        </w:tc>
        <w:tc>
          <w:tcPr>
            <w:tcW w:w="3346" w:type="dxa"/>
            <w:gridSpan w:val="2"/>
            <w:vMerge w:val="continue"/>
          </w:tcPr>
          <w:p w14:paraId="68AC43A5">
            <w:pPr>
              <w:pStyle w:val="91"/>
              <w:keepNext w:val="0"/>
              <w:keepLines w:val="0"/>
              <w:suppressLineNumbers w:val="0"/>
              <w:spacing w:before="0" w:beforeAutospacing="0" w:after="0" w:afterAutospacing="0"/>
              <w:ind w:left="0" w:right="0"/>
              <w:rPr>
                <w:rFonts w:hint="default"/>
                <w:color w:val="auto"/>
              </w:rPr>
            </w:pPr>
          </w:p>
        </w:tc>
        <w:tc>
          <w:tcPr>
            <w:tcW w:w="2428" w:type="dxa"/>
            <w:gridSpan w:val="2"/>
          </w:tcPr>
          <w:p w14:paraId="33ABF246">
            <w:pPr>
              <w:pStyle w:val="91"/>
              <w:keepNext w:val="0"/>
              <w:keepLines w:val="0"/>
              <w:suppressLineNumbers w:val="0"/>
              <w:spacing w:before="0" w:beforeAutospacing="0" w:after="0" w:afterAutospacing="0"/>
              <w:ind w:left="0" w:right="0"/>
              <w:rPr>
                <w:rFonts w:hint="default"/>
                <w:color w:val="auto"/>
              </w:rPr>
            </w:pPr>
            <w:r>
              <w:rPr>
                <w:rFonts w:hint="eastAsia"/>
                <w:color w:val="auto"/>
              </w:rPr>
              <w:t>石油类</w:t>
            </w:r>
          </w:p>
        </w:tc>
        <w:tc>
          <w:tcPr>
            <w:tcW w:w="2268" w:type="dxa"/>
          </w:tcPr>
          <w:p w14:paraId="667A3F65">
            <w:pPr>
              <w:pStyle w:val="91"/>
              <w:keepNext w:val="0"/>
              <w:keepLines w:val="0"/>
              <w:suppressLineNumbers w:val="0"/>
              <w:spacing w:before="0" w:beforeAutospacing="0" w:after="0" w:afterAutospacing="0"/>
              <w:ind w:left="0" w:right="0"/>
              <w:rPr>
                <w:rFonts w:hint="default"/>
                <w:color w:val="auto"/>
              </w:rPr>
            </w:pPr>
            <w:r>
              <w:rPr>
                <w:rFonts w:hint="default"/>
                <w:color w:val="auto"/>
              </w:rPr>
              <w:t>5.74</w:t>
            </w:r>
          </w:p>
        </w:tc>
      </w:tr>
      <w:tr w14:paraId="629DB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549C65C8">
            <w:pPr>
              <w:pStyle w:val="91"/>
              <w:keepNext w:val="0"/>
              <w:keepLines w:val="0"/>
              <w:suppressLineNumbers w:val="0"/>
              <w:spacing w:before="0" w:beforeAutospacing="0" w:after="0" w:afterAutospacing="0"/>
              <w:ind w:left="0" w:right="0"/>
              <w:rPr>
                <w:rFonts w:hint="default"/>
                <w:color w:val="auto"/>
              </w:rPr>
            </w:pPr>
          </w:p>
        </w:tc>
        <w:tc>
          <w:tcPr>
            <w:tcW w:w="3346" w:type="dxa"/>
            <w:gridSpan w:val="2"/>
            <w:vMerge w:val="restart"/>
            <w:vAlign w:val="center"/>
          </w:tcPr>
          <w:p w14:paraId="0EF994E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陆域生活</w:t>
            </w:r>
            <w:r>
              <w:rPr>
                <w:rFonts w:hint="default"/>
                <w:color w:val="auto"/>
              </w:rPr>
              <w:t>污水</w:t>
            </w:r>
          </w:p>
        </w:tc>
        <w:tc>
          <w:tcPr>
            <w:tcW w:w="2428" w:type="dxa"/>
            <w:gridSpan w:val="2"/>
          </w:tcPr>
          <w:p w14:paraId="17D152CF">
            <w:pPr>
              <w:pStyle w:val="91"/>
              <w:keepNext w:val="0"/>
              <w:keepLines w:val="0"/>
              <w:suppressLineNumbers w:val="0"/>
              <w:spacing w:before="0" w:beforeAutospacing="0" w:after="0" w:afterAutospacing="0"/>
              <w:ind w:left="0" w:right="0"/>
              <w:rPr>
                <w:rFonts w:hint="default"/>
                <w:color w:val="auto"/>
              </w:rPr>
            </w:pPr>
            <w:r>
              <w:rPr>
                <w:rFonts w:hint="eastAsia"/>
                <w:color w:val="auto"/>
              </w:rPr>
              <w:t>废水</w:t>
            </w:r>
            <w:r>
              <w:rPr>
                <w:rFonts w:hint="default"/>
                <w:color w:val="auto"/>
              </w:rPr>
              <w:t>量</w:t>
            </w:r>
          </w:p>
        </w:tc>
        <w:tc>
          <w:tcPr>
            <w:tcW w:w="2268" w:type="dxa"/>
          </w:tcPr>
          <w:p w14:paraId="54628539">
            <w:pPr>
              <w:pStyle w:val="91"/>
              <w:keepNext w:val="0"/>
              <w:keepLines w:val="0"/>
              <w:suppressLineNumbers w:val="0"/>
              <w:spacing w:before="0" w:beforeAutospacing="0" w:after="0" w:afterAutospacing="0"/>
              <w:ind w:left="0" w:right="0"/>
              <w:rPr>
                <w:rFonts w:hint="default"/>
                <w:color w:val="auto"/>
              </w:rPr>
            </w:pPr>
            <w:r>
              <w:rPr>
                <w:rFonts w:hint="default"/>
                <w:color w:val="auto"/>
              </w:rPr>
              <w:t>1008m</w:t>
            </w:r>
            <w:r>
              <w:rPr>
                <w:rFonts w:hint="default"/>
                <w:color w:val="auto"/>
                <w:vertAlign w:val="superscript"/>
              </w:rPr>
              <w:t>3</w:t>
            </w:r>
            <w:r>
              <w:rPr>
                <w:rFonts w:hint="default"/>
                <w:color w:val="auto"/>
              </w:rPr>
              <w:t>/a</w:t>
            </w:r>
          </w:p>
        </w:tc>
      </w:tr>
      <w:tr w14:paraId="0C40E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5713EFFD">
            <w:pPr>
              <w:pStyle w:val="91"/>
              <w:keepNext w:val="0"/>
              <w:keepLines w:val="0"/>
              <w:suppressLineNumbers w:val="0"/>
              <w:spacing w:before="0" w:beforeAutospacing="0" w:after="0" w:afterAutospacing="0"/>
              <w:ind w:left="0" w:right="0"/>
              <w:rPr>
                <w:rFonts w:hint="default"/>
                <w:color w:val="auto"/>
              </w:rPr>
            </w:pPr>
          </w:p>
        </w:tc>
        <w:tc>
          <w:tcPr>
            <w:tcW w:w="3346" w:type="dxa"/>
            <w:gridSpan w:val="2"/>
            <w:vMerge w:val="continue"/>
          </w:tcPr>
          <w:p w14:paraId="32EA97E0">
            <w:pPr>
              <w:pStyle w:val="91"/>
              <w:keepNext w:val="0"/>
              <w:keepLines w:val="0"/>
              <w:suppressLineNumbers w:val="0"/>
              <w:spacing w:before="0" w:beforeAutospacing="0" w:after="0" w:afterAutospacing="0"/>
              <w:ind w:left="0" w:right="0"/>
              <w:rPr>
                <w:rFonts w:hint="default"/>
                <w:color w:val="auto"/>
              </w:rPr>
            </w:pPr>
          </w:p>
        </w:tc>
        <w:tc>
          <w:tcPr>
            <w:tcW w:w="2428" w:type="dxa"/>
            <w:gridSpan w:val="2"/>
          </w:tcPr>
          <w:p w14:paraId="6CD1337B">
            <w:pPr>
              <w:pStyle w:val="91"/>
              <w:keepNext w:val="0"/>
              <w:keepLines w:val="0"/>
              <w:suppressLineNumbers w:val="0"/>
              <w:spacing w:before="0" w:beforeAutospacing="0" w:after="0" w:afterAutospacing="0"/>
              <w:ind w:left="0" w:right="0"/>
              <w:rPr>
                <w:rFonts w:hint="default"/>
                <w:color w:val="auto"/>
              </w:rPr>
            </w:pPr>
            <w:r>
              <w:rPr>
                <w:rFonts w:hint="eastAsia"/>
                <w:color w:val="auto"/>
              </w:rPr>
              <w:t>SS</w:t>
            </w:r>
          </w:p>
        </w:tc>
        <w:tc>
          <w:tcPr>
            <w:tcW w:w="2268" w:type="dxa"/>
          </w:tcPr>
          <w:p w14:paraId="30B0DDFC">
            <w:pPr>
              <w:pStyle w:val="91"/>
              <w:keepNext w:val="0"/>
              <w:keepLines w:val="0"/>
              <w:suppressLineNumbers w:val="0"/>
              <w:spacing w:before="0" w:beforeAutospacing="0" w:after="0" w:afterAutospacing="0"/>
              <w:ind w:left="0" w:right="0"/>
              <w:rPr>
                <w:rFonts w:hint="default"/>
                <w:color w:val="auto"/>
              </w:rPr>
            </w:pPr>
            <w:r>
              <w:rPr>
                <w:rFonts w:hint="eastAsia"/>
                <w:color w:val="auto"/>
              </w:rPr>
              <w:t>0.504</w:t>
            </w:r>
          </w:p>
        </w:tc>
      </w:tr>
      <w:tr w14:paraId="78F70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2FED3FFC">
            <w:pPr>
              <w:pStyle w:val="91"/>
              <w:keepNext w:val="0"/>
              <w:keepLines w:val="0"/>
              <w:suppressLineNumbers w:val="0"/>
              <w:spacing w:before="0" w:beforeAutospacing="0" w:after="0" w:afterAutospacing="0"/>
              <w:ind w:left="0" w:right="0"/>
              <w:rPr>
                <w:rFonts w:hint="default"/>
                <w:color w:val="auto"/>
              </w:rPr>
            </w:pPr>
          </w:p>
        </w:tc>
        <w:tc>
          <w:tcPr>
            <w:tcW w:w="3346" w:type="dxa"/>
            <w:gridSpan w:val="2"/>
            <w:vMerge w:val="continue"/>
          </w:tcPr>
          <w:p w14:paraId="3BBC705A">
            <w:pPr>
              <w:pStyle w:val="91"/>
              <w:keepNext w:val="0"/>
              <w:keepLines w:val="0"/>
              <w:suppressLineNumbers w:val="0"/>
              <w:spacing w:before="0" w:beforeAutospacing="0" w:after="0" w:afterAutospacing="0"/>
              <w:ind w:left="0" w:right="0"/>
              <w:rPr>
                <w:rFonts w:hint="default"/>
                <w:color w:val="auto"/>
              </w:rPr>
            </w:pPr>
          </w:p>
        </w:tc>
        <w:tc>
          <w:tcPr>
            <w:tcW w:w="2428" w:type="dxa"/>
            <w:gridSpan w:val="2"/>
          </w:tcPr>
          <w:p w14:paraId="472F0350">
            <w:pPr>
              <w:pStyle w:val="91"/>
              <w:keepNext w:val="0"/>
              <w:keepLines w:val="0"/>
              <w:suppressLineNumbers w:val="0"/>
              <w:spacing w:before="0" w:beforeAutospacing="0" w:after="0" w:afterAutospacing="0"/>
              <w:ind w:left="0" w:right="0"/>
              <w:rPr>
                <w:rFonts w:hint="default"/>
                <w:color w:val="auto"/>
              </w:rPr>
            </w:pPr>
            <w:r>
              <w:rPr>
                <w:rFonts w:hint="default"/>
                <w:color w:val="auto"/>
              </w:rPr>
              <w:t>COD</w:t>
            </w:r>
          </w:p>
        </w:tc>
        <w:tc>
          <w:tcPr>
            <w:tcW w:w="2268" w:type="dxa"/>
          </w:tcPr>
          <w:p w14:paraId="719EED00">
            <w:pPr>
              <w:pStyle w:val="91"/>
              <w:keepNext w:val="0"/>
              <w:keepLines w:val="0"/>
              <w:suppressLineNumbers w:val="0"/>
              <w:spacing w:before="0" w:beforeAutospacing="0" w:after="0" w:afterAutospacing="0"/>
              <w:ind w:left="0" w:right="0"/>
              <w:rPr>
                <w:rFonts w:hint="default"/>
                <w:color w:val="auto"/>
              </w:rPr>
            </w:pPr>
            <w:r>
              <w:rPr>
                <w:rFonts w:hint="eastAsia"/>
                <w:color w:val="auto"/>
              </w:rPr>
              <w:t>0.31</w:t>
            </w:r>
          </w:p>
        </w:tc>
      </w:tr>
      <w:tr w14:paraId="5E41B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384CEBB5">
            <w:pPr>
              <w:pStyle w:val="91"/>
              <w:keepNext w:val="0"/>
              <w:keepLines w:val="0"/>
              <w:suppressLineNumbers w:val="0"/>
              <w:spacing w:before="0" w:beforeAutospacing="0" w:after="0" w:afterAutospacing="0"/>
              <w:ind w:left="0" w:right="0"/>
              <w:rPr>
                <w:rFonts w:hint="default"/>
                <w:color w:val="auto"/>
              </w:rPr>
            </w:pPr>
          </w:p>
        </w:tc>
        <w:tc>
          <w:tcPr>
            <w:tcW w:w="3346" w:type="dxa"/>
            <w:gridSpan w:val="2"/>
            <w:vMerge w:val="continue"/>
          </w:tcPr>
          <w:p w14:paraId="79FB567E">
            <w:pPr>
              <w:pStyle w:val="91"/>
              <w:keepNext w:val="0"/>
              <w:keepLines w:val="0"/>
              <w:suppressLineNumbers w:val="0"/>
              <w:spacing w:before="0" w:beforeAutospacing="0" w:after="0" w:afterAutospacing="0"/>
              <w:ind w:left="0" w:right="0"/>
              <w:rPr>
                <w:rFonts w:hint="default"/>
                <w:color w:val="auto"/>
              </w:rPr>
            </w:pPr>
          </w:p>
        </w:tc>
        <w:tc>
          <w:tcPr>
            <w:tcW w:w="2428" w:type="dxa"/>
            <w:gridSpan w:val="2"/>
          </w:tcPr>
          <w:p w14:paraId="3A321483">
            <w:pPr>
              <w:pStyle w:val="91"/>
              <w:keepNext w:val="0"/>
              <w:keepLines w:val="0"/>
              <w:suppressLineNumbers w:val="0"/>
              <w:spacing w:before="0" w:beforeAutospacing="0" w:after="0" w:afterAutospacing="0"/>
              <w:ind w:left="0" w:right="0"/>
              <w:rPr>
                <w:rFonts w:hint="default"/>
                <w:color w:val="auto"/>
              </w:rPr>
            </w:pPr>
            <w:r>
              <w:rPr>
                <w:rFonts w:hint="eastAsia"/>
                <w:color w:val="auto"/>
              </w:rPr>
              <w:t>BOD</w:t>
            </w:r>
            <w:r>
              <w:rPr>
                <w:rFonts w:hint="eastAsia"/>
                <w:color w:val="auto"/>
                <w:vertAlign w:val="subscript"/>
              </w:rPr>
              <w:t>5</w:t>
            </w:r>
          </w:p>
        </w:tc>
        <w:tc>
          <w:tcPr>
            <w:tcW w:w="2268" w:type="dxa"/>
          </w:tcPr>
          <w:p w14:paraId="2E49BF6E">
            <w:pPr>
              <w:pStyle w:val="91"/>
              <w:keepNext w:val="0"/>
              <w:keepLines w:val="0"/>
              <w:suppressLineNumbers w:val="0"/>
              <w:spacing w:before="0" w:beforeAutospacing="0" w:after="0" w:afterAutospacing="0"/>
              <w:ind w:left="0" w:right="0"/>
              <w:rPr>
                <w:rFonts w:hint="default"/>
                <w:color w:val="auto"/>
              </w:rPr>
            </w:pPr>
            <w:r>
              <w:rPr>
                <w:rFonts w:hint="eastAsia"/>
                <w:color w:val="auto"/>
              </w:rPr>
              <w:t>0.15</w:t>
            </w:r>
          </w:p>
        </w:tc>
      </w:tr>
      <w:tr w14:paraId="38B61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1922103E">
            <w:pPr>
              <w:pStyle w:val="91"/>
              <w:keepNext w:val="0"/>
              <w:keepLines w:val="0"/>
              <w:suppressLineNumbers w:val="0"/>
              <w:spacing w:before="0" w:beforeAutospacing="0" w:after="0" w:afterAutospacing="0"/>
              <w:ind w:left="0" w:right="0"/>
              <w:rPr>
                <w:rFonts w:hint="default"/>
                <w:color w:val="auto"/>
              </w:rPr>
            </w:pPr>
          </w:p>
        </w:tc>
        <w:tc>
          <w:tcPr>
            <w:tcW w:w="3346" w:type="dxa"/>
            <w:gridSpan w:val="2"/>
            <w:vMerge w:val="continue"/>
          </w:tcPr>
          <w:p w14:paraId="4AD5E8C0">
            <w:pPr>
              <w:pStyle w:val="91"/>
              <w:keepNext w:val="0"/>
              <w:keepLines w:val="0"/>
              <w:suppressLineNumbers w:val="0"/>
              <w:spacing w:before="0" w:beforeAutospacing="0" w:after="0" w:afterAutospacing="0"/>
              <w:ind w:left="0" w:right="0"/>
              <w:rPr>
                <w:rFonts w:hint="default"/>
                <w:color w:val="auto"/>
              </w:rPr>
            </w:pPr>
          </w:p>
        </w:tc>
        <w:tc>
          <w:tcPr>
            <w:tcW w:w="2428" w:type="dxa"/>
            <w:gridSpan w:val="2"/>
          </w:tcPr>
          <w:p w14:paraId="0B4ED982">
            <w:pPr>
              <w:pStyle w:val="91"/>
              <w:keepNext w:val="0"/>
              <w:keepLines w:val="0"/>
              <w:suppressLineNumbers w:val="0"/>
              <w:spacing w:before="0" w:beforeAutospacing="0" w:after="0" w:afterAutospacing="0"/>
              <w:ind w:left="0" w:right="0"/>
              <w:rPr>
                <w:rFonts w:hint="default"/>
                <w:color w:val="auto"/>
              </w:rPr>
            </w:pPr>
            <w:r>
              <w:rPr>
                <w:rFonts w:hint="eastAsia"/>
                <w:color w:val="auto"/>
              </w:rPr>
              <w:t>氨氮</w:t>
            </w:r>
          </w:p>
        </w:tc>
        <w:tc>
          <w:tcPr>
            <w:tcW w:w="2268" w:type="dxa"/>
          </w:tcPr>
          <w:p w14:paraId="6AFAF5D7">
            <w:pPr>
              <w:pStyle w:val="91"/>
              <w:keepNext w:val="0"/>
              <w:keepLines w:val="0"/>
              <w:suppressLineNumbers w:val="0"/>
              <w:spacing w:before="0" w:beforeAutospacing="0" w:after="0" w:afterAutospacing="0"/>
              <w:ind w:left="0" w:right="0"/>
              <w:rPr>
                <w:rFonts w:hint="default"/>
                <w:color w:val="auto"/>
              </w:rPr>
            </w:pPr>
            <w:r>
              <w:rPr>
                <w:rFonts w:hint="eastAsia"/>
                <w:color w:val="auto"/>
              </w:rPr>
              <w:t>0.04</w:t>
            </w:r>
          </w:p>
        </w:tc>
      </w:tr>
      <w:tr w14:paraId="027E9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3D0FD381">
            <w:pPr>
              <w:pStyle w:val="91"/>
              <w:keepNext w:val="0"/>
              <w:keepLines w:val="0"/>
              <w:suppressLineNumbers w:val="0"/>
              <w:spacing w:before="0" w:beforeAutospacing="0" w:after="0" w:afterAutospacing="0"/>
              <w:ind w:left="0" w:right="0"/>
              <w:rPr>
                <w:rFonts w:hint="default"/>
                <w:color w:val="auto"/>
              </w:rPr>
            </w:pPr>
          </w:p>
        </w:tc>
        <w:tc>
          <w:tcPr>
            <w:tcW w:w="3346" w:type="dxa"/>
            <w:gridSpan w:val="2"/>
            <w:vMerge w:val="restart"/>
          </w:tcPr>
          <w:p w14:paraId="2331D87A">
            <w:pPr>
              <w:pStyle w:val="91"/>
              <w:keepNext w:val="0"/>
              <w:keepLines w:val="0"/>
              <w:suppressLineNumbers w:val="0"/>
              <w:spacing w:before="0" w:beforeAutospacing="0" w:after="0" w:afterAutospacing="0"/>
              <w:ind w:left="0" w:right="0"/>
              <w:rPr>
                <w:rFonts w:hint="default"/>
                <w:color w:val="auto"/>
              </w:rPr>
            </w:pPr>
            <w:r>
              <w:rPr>
                <w:rFonts w:hint="eastAsia"/>
                <w:color w:val="auto"/>
              </w:rPr>
              <w:t>码头</w:t>
            </w:r>
            <w:r>
              <w:rPr>
                <w:rFonts w:hint="default"/>
                <w:color w:val="auto"/>
              </w:rPr>
              <w:t>冲洗废水</w:t>
            </w:r>
          </w:p>
        </w:tc>
        <w:tc>
          <w:tcPr>
            <w:tcW w:w="2428" w:type="dxa"/>
            <w:gridSpan w:val="2"/>
          </w:tcPr>
          <w:p w14:paraId="4A4A8747">
            <w:pPr>
              <w:pStyle w:val="91"/>
              <w:keepNext w:val="0"/>
              <w:keepLines w:val="0"/>
              <w:suppressLineNumbers w:val="0"/>
              <w:spacing w:before="0" w:beforeAutospacing="0" w:after="0" w:afterAutospacing="0"/>
              <w:ind w:left="0" w:right="0"/>
              <w:rPr>
                <w:rFonts w:hint="default"/>
                <w:color w:val="auto"/>
              </w:rPr>
            </w:pPr>
            <w:r>
              <w:rPr>
                <w:rFonts w:hint="eastAsia"/>
                <w:color w:val="auto"/>
              </w:rPr>
              <w:t>废水</w:t>
            </w:r>
            <w:r>
              <w:rPr>
                <w:rFonts w:hint="default"/>
                <w:color w:val="auto"/>
              </w:rPr>
              <w:t>量</w:t>
            </w:r>
          </w:p>
        </w:tc>
        <w:tc>
          <w:tcPr>
            <w:tcW w:w="2268" w:type="dxa"/>
          </w:tcPr>
          <w:p w14:paraId="28348929">
            <w:pPr>
              <w:pStyle w:val="91"/>
              <w:keepNext w:val="0"/>
              <w:keepLines w:val="0"/>
              <w:suppressLineNumbers w:val="0"/>
              <w:spacing w:before="0" w:beforeAutospacing="0" w:after="0" w:afterAutospacing="0"/>
              <w:ind w:left="0" w:right="0"/>
              <w:rPr>
                <w:rFonts w:hint="default"/>
                <w:color w:val="auto"/>
              </w:rPr>
            </w:pPr>
            <w:r>
              <w:rPr>
                <w:rFonts w:hint="default"/>
                <w:color w:val="auto"/>
              </w:rPr>
              <w:t>144.5m³/a</w:t>
            </w:r>
          </w:p>
        </w:tc>
      </w:tr>
      <w:tr w14:paraId="78271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4EBE534E">
            <w:pPr>
              <w:pStyle w:val="91"/>
              <w:keepNext w:val="0"/>
              <w:keepLines w:val="0"/>
              <w:suppressLineNumbers w:val="0"/>
              <w:spacing w:before="0" w:beforeAutospacing="0" w:after="0" w:afterAutospacing="0"/>
              <w:ind w:left="0" w:right="0"/>
              <w:rPr>
                <w:rFonts w:hint="default"/>
                <w:color w:val="auto"/>
              </w:rPr>
            </w:pPr>
          </w:p>
        </w:tc>
        <w:tc>
          <w:tcPr>
            <w:tcW w:w="3346" w:type="dxa"/>
            <w:gridSpan w:val="2"/>
            <w:vMerge w:val="continue"/>
          </w:tcPr>
          <w:p w14:paraId="768EA82F">
            <w:pPr>
              <w:pStyle w:val="91"/>
              <w:keepNext w:val="0"/>
              <w:keepLines w:val="0"/>
              <w:suppressLineNumbers w:val="0"/>
              <w:spacing w:before="0" w:beforeAutospacing="0" w:after="0" w:afterAutospacing="0"/>
              <w:ind w:left="0" w:right="0"/>
              <w:rPr>
                <w:rFonts w:hint="default"/>
                <w:color w:val="auto"/>
              </w:rPr>
            </w:pPr>
          </w:p>
        </w:tc>
        <w:tc>
          <w:tcPr>
            <w:tcW w:w="2428" w:type="dxa"/>
            <w:gridSpan w:val="2"/>
          </w:tcPr>
          <w:p w14:paraId="59D7038A">
            <w:pPr>
              <w:pStyle w:val="91"/>
              <w:keepNext w:val="0"/>
              <w:keepLines w:val="0"/>
              <w:suppressLineNumbers w:val="0"/>
              <w:spacing w:before="0" w:beforeAutospacing="0" w:after="0" w:afterAutospacing="0"/>
              <w:ind w:left="0" w:right="0"/>
              <w:rPr>
                <w:rFonts w:hint="default"/>
                <w:color w:val="auto"/>
              </w:rPr>
            </w:pPr>
            <w:r>
              <w:rPr>
                <w:rFonts w:hint="eastAsia"/>
                <w:color w:val="auto"/>
              </w:rPr>
              <w:t>石油类</w:t>
            </w:r>
          </w:p>
        </w:tc>
        <w:tc>
          <w:tcPr>
            <w:tcW w:w="2268" w:type="dxa"/>
          </w:tcPr>
          <w:p w14:paraId="28AFB7B3">
            <w:pPr>
              <w:pStyle w:val="91"/>
              <w:keepNext w:val="0"/>
              <w:keepLines w:val="0"/>
              <w:suppressLineNumbers w:val="0"/>
              <w:spacing w:before="0" w:beforeAutospacing="0" w:after="0" w:afterAutospacing="0"/>
              <w:ind w:left="0" w:right="0"/>
              <w:rPr>
                <w:rFonts w:hint="default"/>
                <w:color w:val="auto"/>
              </w:rPr>
            </w:pPr>
            <w:r>
              <w:rPr>
                <w:rFonts w:hint="eastAsia"/>
                <w:color w:val="auto"/>
              </w:rPr>
              <w:t>0.044</w:t>
            </w:r>
          </w:p>
        </w:tc>
      </w:tr>
      <w:tr w14:paraId="058CE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0FA1B34D">
            <w:pPr>
              <w:pStyle w:val="91"/>
              <w:keepNext w:val="0"/>
              <w:keepLines w:val="0"/>
              <w:suppressLineNumbers w:val="0"/>
              <w:spacing w:before="0" w:beforeAutospacing="0" w:after="0" w:afterAutospacing="0"/>
              <w:ind w:left="0" w:right="0"/>
              <w:rPr>
                <w:rFonts w:hint="default"/>
                <w:color w:val="auto"/>
              </w:rPr>
            </w:pPr>
          </w:p>
        </w:tc>
        <w:tc>
          <w:tcPr>
            <w:tcW w:w="3346" w:type="dxa"/>
            <w:gridSpan w:val="2"/>
            <w:vMerge w:val="restart"/>
          </w:tcPr>
          <w:p w14:paraId="49684173">
            <w:pPr>
              <w:pStyle w:val="91"/>
              <w:keepNext w:val="0"/>
              <w:keepLines w:val="0"/>
              <w:suppressLineNumbers w:val="0"/>
              <w:spacing w:before="0" w:beforeAutospacing="0" w:after="0" w:afterAutospacing="0"/>
              <w:ind w:left="0" w:right="0"/>
              <w:rPr>
                <w:rFonts w:hint="default"/>
                <w:color w:val="auto"/>
              </w:rPr>
            </w:pPr>
            <w:r>
              <w:rPr>
                <w:rFonts w:hint="eastAsia"/>
                <w:color w:val="auto"/>
              </w:rPr>
              <w:t>初期雨水</w:t>
            </w:r>
          </w:p>
        </w:tc>
        <w:tc>
          <w:tcPr>
            <w:tcW w:w="2428" w:type="dxa"/>
            <w:gridSpan w:val="2"/>
          </w:tcPr>
          <w:p w14:paraId="3FA3C69F">
            <w:pPr>
              <w:pStyle w:val="91"/>
              <w:keepNext w:val="0"/>
              <w:keepLines w:val="0"/>
              <w:suppressLineNumbers w:val="0"/>
              <w:spacing w:before="0" w:beforeAutospacing="0" w:after="0" w:afterAutospacing="0"/>
              <w:ind w:left="0" w:right="0"/>
              <w:rPr>
                <w:rFonts w:hint="default"/>
                <w:color w:val="auto"/>
              </w:rPr>
            </w:pPr>
            <w:r>
              <w:rPr>
                <w:rFonts w:hint="eastAsia"/>
                <w:color w:val="auto"/>
              </w:rPr>
              <w:t>废水</w:t>
            </w:r>
            <w:r>
              <w:rPr>
                <w:rFonts w:hint="default"/>
                <w:color w:val="auto"/>
              </w:rPr>
              <w:t>量</w:t>
            </w:r>
          </w:p>
        </w:tc>
        <w:tc>
          <w:tcPr>
            <w:tcW w:w="2268" w:type="dxa"/>
          </w:tcPr>
          <w:p w14:paraId="0907A68B">
            <w:pPr>
              <w:pStyle w:val="91"/>
              <w:keepNext w:val="0"/>
              <w:keepLines w:val="0"/>
              <w:suppressLineNumbers w:val="0"/>
              <w:spacing w:before="0" w:beforeAutospacing="0" w:after="0" w:afterAutospacing="0"/>
              <w:ind w:left="0" w:right="0"/>
              <w:rPr>
                <w:rFonts w:hint="default"/>
                <w:color w:val="auto"/>
              </w:rPr>
            </w:pPr>
            <w:r>
              <w:rPr>
                <w:rFonts w:hint="eastAsia"/>
                <w:color w:val="auto"/>
              </w:rPr>
              <w:t>1726.4m</w:t>
            </w:r>
            <w:r>
              <w:rPr>
                <w:rFonts w:hint="eastAsia"/>
                <w:color w:val="auto"/>
                <w:vertAlign w:val="superscript"/>
              </w:rPr>
              <w:t>3</w:t>
            </w:r>
            <w:r>
              <w:rPr>
                <w:rFonts w:hint="eastAsia"/>
                <w:color w:val="auto"/>
              </w:rPr>
              <w:t>/次</w:t>
            </w:r>
          </w:p>
        </w:tc>
      </w:tr>
      <w:tr w14:paraId="7CD5F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08BCCED4">
            <w:pPr>
              <w:pStyle w:val="91"/>
              <w:keepNext w:val="0"/>
              <w:keepLines w:val="0"/>
              <w:suppressLineNumbers w:val="0"/>
              <w:spacing w:before="0" w:beforeAutospacing="0" w:after="0" w:afterAutospacing="0"/>
              <w:ind w:left="0" w:right="0"/>
              <w:rPr>
                <w:rFonts w:hint="default"/>
                <w:color w:val="auto"/>
              </w:rPr>
            </w:pPr>
          </w:p>
        </w:tc>
        <w:tc>
          <w:tcPr>
            <w:tcW w:w="3346" w:type="dxa"/>
            <w:gridSpan w:val="2"/>
            <w:vMerge w:val="continue"/>
          </w:tcPr>
          <w:p w14:paraId="4E575336">
            <w:pPr>
              <w:pStyle w:val="91"/>
              <w:keepNext w:val="0"/>
              <w:keepLines w:val="0"/>
              <w:suppressLineNumbers w:val="0"/>
              <w:spacing w:before="0" w:beforeAutospacing="0" w:after="0" w:afterAutospacing="0"/>
              <w:ind w:left="0" w:right="0"/>
              <w:rPr>
                <w:rFonts w:hint="default"/>
                <w:color w:val="auto"/>
              </w:rPr>
            </w:pPr>
          </w:p>
        </w:tc>
        <w:tc>
          <w:tcPr>
            <w:tcW w:w="2428" w:type="dxa"/>
            <w:gridSpan w:val="2"/>
          </w:tcPr>
          <w:p w14:paraId="0720214D">
            <w:pPr>
              <w:pStyle w:val="91"/>
              <w:keepNext w:val="0"/>
              <w:keepLines w:val="0"/>
              <w:suppressLineNumbers w:val="0"/>
              <w:spacing w:before="0" w:beforeAutospacing="0" w:after="0" w:afterAutospacing="0"/>
              <w:ind w:left="0" w:right="0"/>
              <w:rPr>
                <w:rFonts w:hint="default"/>
                <w:color w:val="auto"/>
              </w:rPr>
            </w:pPr>
            <w:r>
              <w:rPr>
                <w:rFonts w:hint="eastAsia"/>
                <w:color w:val="auto"/>
              </w:rPr>
              <w:t>石油类</w:t>
            </w:r>
          </w:p>
        </w:tc>
        <w:tc>
          <w:tcPr>
            <w:tcW w:w="2268" w:type="dxa"/>
          </w:tcPr>
          <w:p w14:paraId="76AA42EA">
            <w:pPr>
              <w:pStyle w:val="91"/>
              <w:keepNext w:val="0"/>
              <w:keepLines w:val="0"/>
              <w:suppressLineNumbers w:val="0"/>
              <w:spacing w:before="0" w:beforeAutospacing="0" w:after="0" w:afterAutospacing="0"/>
              <w:ind w:left="0" w:right="0"/>
              <w:rPr>
                <w:rFonts w:hint="default"/>
                <w:color w:val="auto"/>
              </w:rPr>
            </w:pPr>
            <w:r>
              <w:rPr>
                <w:rFonts w:hint="eastAsia"/>
                <w:color w:val="auto"/>
              </w:rPr>
              <w:t>0.52</w:t>
            </w:r>
          </w:p>
        </w:tc>
      </w:tr>
      <w:tr w14:paraId="0FC0C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restart"/>
          </w:tcPr>
          <w:p w14:paraId="368515E3">
            <w:pPr>
              <w:pStyle w:val="91"/>
              <w:keepNext w:val="0"/>
              <w:keepLines w:val="0"/>
              <w:suppressLineNumbers w:val="0"/>
              <w:spacing w:before="0" w:beforeAutospacing="0" w:after="0" w:afterAutospacing="0"/>
              <w:ind w:left="0" w:right="0"/>
              <w:rPr>
                <w:rFonts w:hint="default"/>
                <w:color w:val="auto"/>
              </w:rPr>
            </w:pPr>
            <w:r>
              <w:rPr>
                <w:rFonts w:hint="eastAsia"/>
                <w:color w:val="auto"/>
              </w:rPr>
              <w:t>固体</w:t>
            </w:r>
            <w:r>
              <w:rPr>
                <w:rFonts w:hint="default"/>
                <w:color w:val="auto"/>
              </w:rPr>
              <w:t>废物</w:t>
            </w:r>
          </w:p>
        </w:tc>
        <w:tc>
          <w:tcPr>
            <w:tcW w:w="5774" w:type="dxa"/>
            <w:gridSpan w:val="4"/>
          </w:tcPr>
          <w:p w14:paraId="2AA57EB5">
            <w:pPr>
              <w:pStyle w:val="91"/>
              <w:keepNext w:val="0"/>
              <w:keepLines w:val="0"/>
              <w:suppressLineNumbers w:val="0"/>
              <w:spacing w:before="0" w:beforeAutospacing="0" w:after="0" w:afterAutospacing="0"/>
              <w:ind w:left="0" w:right="0"/>
              <w:rPr>
                <w:rFonts w:hint="default"/>
                <w:color w:val="auto"/>
              </w:rPr>
            </w:pPr>
            <w:r>
              <w:rPr>
                <w:rFonts w:hint="eastAsia"/>
                <w:color w:val="auto"/>
              </w:rPr>
              <w:t>船舶</w:t>
            </w:r>
            <w:r>
              <w:rPr>
                <w:rFonts w:hint="default"/>
                <w:color w:val="auto"/>
              </w:rPr>
              <w:t>生活</w:t>
            </w:r>
            <w:r>
              <w:rPr>
                <w:rFonts w:hint="eastAsia"/>
                <w:color w:val="auto"/>
              </w:rPr>
              <w:t>垃圾</w:t>
            </w:r>
          </w:p>
        </w:tc>
        <w:tc>
          <w:tcPr>
            <w:tcW w:w="2268" w:type="dxa"/>
          </w:tcPr>
          <w:p w14:paraId="29FAA60B">
            <w:pPr>
              <w:pStyle w:val="91"/>
              <w:keepNext w:val="0"/>
              <w:keepLines w:val="0"/>
              <w:suppressLineNumbers w:val="0"/>
              <w:spacing w:before="0" w:beforeAutospacing="0" w:after="0" w:afterAutospacing="0"/>
              <w:ind w:left="0" w:right="0"/>
              <w:rPr>
                <w:rFonts w:hint="default"/>
                <w:color w:val="auto"/>
              </w:rPr>
            </w:pPr>
            <w:r>
              <w:rPr>
                <w:rFonts w:hint="default"/>
                <w:color w:val="auto"/>
              </w:rPr>
              <w:t>3</w:t>
            </w:r>
          </w:p>
        </w:tc>
      </w:tr>
      <w:tr w14:paraId="404EB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71C52680">
            <w:pPr>
              <w:pStyle w:val="91"/>
              <w:keepNext w:val="0"/>
              <w:keepLines w:val="0"/>
              <w:suppressLineNumbers w:val="0"/>
              <w:spacing w:before="0" w:beforeAutospacing="0" w:after="0" w:afterAutospacing="0"/>
              <w:ind w:left="0" w:right="0"/>
              <w:rPr>
                <w:rFonts w:hint="default"/>
                <w:color w:val="auto"/>
              </w:rPr>
            </w:pPr>
          </w:p>
        </w:tc>
        <w:tc>
          <w:tcPr>
            <w:tcW w:w="5774" w:type="dxa"/>
            <w:gridSpan w:val="4"/>
          </w:tcPr>
          <w:p w14:paraId="3362E46D">
            <w:pPr>
              <w:pStyle w:val="91"/>
              <w:keepNext w:val="0"/>
              <w:keepLines w:val="0"/>
              <w:suppressLineNumbers w:val="0"/>
              <w:spacing w:before="0" w:beforeAutospacing="0" w:after="0" w:afterAutospacing="0"/>
              <w:ind w:left="0" w:right="0"/>
              <w:rPr>
                <w:rFonts w:hint="default"/>
                <w:color w:val="auto"/>
              </w:rPr>
            </w:pPr>
            <w:r>
              <w:rPr>
                <w:rFonts w:hint="eastAsia"/>
                <w:color w:val="auto"/>
              </w:rPr>
              <w:t>陆域</w:t>
            </w:r>
            <w:r>
              <w:rPr>
                <w:rFonts w:hint="default"/>
                <w:color w:val="auto"/>
              </w:rPr>
              <w:t>生活垃圾</w:t>
            </w:r>
          </w:p>
        </w:tc>
        <w:tc>
          <w:tcPr>
            <w:tcW w:w="2268" w:type="dxa"/>
          </w:tcPr>
          <w:p w14:paraId="73E20109">
            <w:pPr>
              <w:pStyle w:val="91"/>
              <w:keepNext w:val="0"/>
              <w:keepLines w:val="0"/>
              <w:suppressLineNumbers w:val="0"/>
              <w:spacing w:before="0" w:beforeAutospacing="0" w:after="0" w:afterAutospacing="0"/>
              <w:ind w:left="0" w:right="0"/>
              <w:rPr>
                <w:rFonts w:hint="default"/>
                <w:color w:val="auto"/>
              </w:rPr>
            </w:pPr>
            <w:r>
              <w:rPr>
                <w:rFonts w:hint="eastAsia"/>
                <w:color w:val="auto"/>
              </w:rPr>
              <w:t>18.9</w:t>
            </w:r>
          </w:p>
        </w:tc>
      </w:tr>
      <w:tr w14:paraId="600FA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2695B376">
            <w:pPr>
              <w:pStyle w:val="91"/>
              <w:keepNext w:val="0"/>
              <w:keepLines w:val="0"/>
              <w:suppressLineNumbers w:val="0"/>
              <w:spacing w:before="0" w:beforeAutospacing="0" w:after="0" w:afterAutospacing="0"/>
              <w:ind w:left="0" w:right="0"/>
              <w:rPr>
                <w:rFonts w:hint="default"/>
                <w:color w:val="auto"/>
              </w:rPr>
            </w:pPr>
          </w:p>
        </w:tc>
        <w:tc>
          <w:tcPr>
            <w:tcW w:w="5774" w:type="dxa"/>
            <w:gridSpan w:val="4"/>
          </w:tcPr>
          <w:p w14:paraId="5812860A">
            <w:pPr>
              <w:pStyle w:val="91"/>
              <w:keepNext w:val="0"/>
              <w:keepLines w:val="0"/>
              <w:suppressLineNumbers w:val="0"/>
              <w:spacing w:before="0" w:beforeAutospacing="0" w:after="0" w:afterAutospacing="0"/>
              <w:ind w:left="0" w:right="0"/>
              <w:rPr>
                <w:rFonts w:hint="default"/>
                <w:color w:val="auto"/>
              </w:rPr>
            </w:pPr>
            <w:r>
              <w:rPr>
                <w:rFonts w:hint="eastAsia"/>
                <w:color w:val="auto"/>
              </w:rPr>
              <w:t>罐底</w:t>
            </w:r>
            <w:r>
              <w:rPr>
                <w:rFonts w:hint="default"/>
                <w:color w:val="auto"/>
              </w:rPr>
              <w:t>油泥</w:t>
            </w:r>
          </w:p>
        </w:tc>
        <w:tc>
          <w:tcPr>
            <w:tcW w:w="2268" w:type="dxa"/>
          </w:tcPr>
          <w:p w14:paraId="59AD151C">
            <w:pPr>
              <w:pStyle w:val="91"/>
              <w:keepNext w:val="0"/>
              <w:keepLines w:val="0"/>
              <w:suppressLineNumbers w:val="0"/>
              <w:spacing w:before="0" w:beforeAutospacing="0" w:after="0" w:afterAutospacing="0"/>
              <w:ind w:left="0" w:right="0"/>
              <w:rPr>
                <w:rFonts w:hint="default"/>
                <w:color w:val="auto"/>
              </w:rPr>
            </w:pPr>
            <w:r>
              <w:rPr>
                <w:rFonts w:hint="eastAsia"/>
                <w:color w:val="auto"/>
              </w:rPr>
              <w:t>1.2</w:t>
            </w:r>
            <w:r>
              <w:rPr>
                <w:rFonts w:hint="default"/>
                <w:color w:val="auto"/>
              </w:rPr>
              <w:t>t/</w:t>
            </w:r>
            <w:r>
              <w:rPr>
                <w:rFonts w:hint="eastAsia"/>
                <w:color w:val="auto"/>
              </w:rPr>
              <w:t>个</w:t>
            </w:r>
          </w:p>
        </w:tc>
      </w:tr>
      <w:tr w14:paraId="39FA4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538A07FA">
            <w:pPr>
              <w:pStyle w:val="91"/>
              <w:keepNext w:val="0"/>
              <w:keepLines w:val="0"/>
              <w:suppressLineNumbers w:val="0"/>
              <w:spacing w:before="0" w:beforeAutospacing="0" w:after="0" w:afterAutospacing="0"/>
              <w:ind w:left="0" w:right="0"/>
              <w:rPr>
                <w:rFonts w:hint="default"/>
                <w:color w:val="auto"/>
              </w:rPr>
            </w:pPr>
          </w:p>
        </w:tc>
        <w:tc>
          <w:tcPr>
            <w:tcW w:w="5774" w:type="dxa"/>
            <w:gridSpan w:val="4"/>
          </w:tcPr>
          <w:p w14:paraId="7160EDDD">
            <w:pPr>
              <w:pStyle w:val="91"/>
              <w:keepNext w:val="0"/>
              <w:keepLines w:val="0"/>
              <w:suppressLineNumbers w:val="0"/>
              <w:spacing w:before="0" w:beforeAutospacing="0" w:after="0" w:afterAutospacing="0"/>
              <w:ind w:left="0" w:right="0"/>
              <w:rPr>
                <w:rFonts w:hint="default"/>
                <w:color w:val="auto"/>
              </w:rPr>
            </w:pPr>
            <w:r>
              <w:rPr>
                <w:rFonts w:hint="eastAsia"/>
                <w:color w:val="auto"/>
              </w:rPr>
              <w:t>废活性炭、含油废滤芯</w:t>
            </w:r>
          </w:p>
        </w:tc>
        <w:tc>
          <w:tcPr>
            <w:tcW w:w="2268" w:type="dxa"/>
          </w:tcPr>
          <w:p w14:paraId="2E9234A4">
            <w:pPr>
              <w:pStyle w:val="91"/>
              <w:keepNext w:val="0"/>
              <w:keepLines w:val="0"/>
              <w:suppressLineNumbers w:val="0"/>
              <w:spacing w:before="0" w:beforeAutospacing="0" w:after="0" w:afterAutospacing="0"/>
              <w:ind w:left="0" w:right="0"/>
              <w:rPr>
                <w:rFonts w:hint="default" w:eastAsia="宋体"/>
                <w:color w:val="auto"/>
                <w:lang w:val="en-US" w:eastAsia="zh-CN"/>
              </w:rPr>
            </w:pPr>
            <w:r>
              <w:rPr>
                <w:rFonts w:hint="eastAsia"/>
                <w:color w:val="auto"/>
                <w:lang w:val="en-US" w:eastAsia="zh-CN"/>
              </w:rPr>
              <w:t>1.8</w:t>
            </w:r>
          </w:p>
        </w:tc>
      </w:tr>
      <w:tr w14:paraId="2DFEF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rPr>
          <w:trHeight w:val="90" w:hRule="atLeast"/>
        </w:trPr>
        <w:tc>
          <w:tcPr>
            <w:tcW w:w="887" w:type="dxa"/>
            <w:vMerge w:val="continue"/>
          </w:tcPr>
          <w:p w14:paraId="5A454962">
            <w:pPr>
              <w:pStyle w:val="91"/>
              <w:keepNext w:val="0"/>
              <w:keepLines w:val="0"/>
              <w:suppressLineNumbers w:val="0"/>
              <w:spacing w:before="0" w:beforeAutospacing="0" w:after="0" w:afterAutospacing="0"/>
              <w:ind w:left="0" w:right="0"/>
              <w:rPr>
                <w:rFonts w:hint="default"/>
                <w:color w:val="auto"/>
              </w:rPr>
            </w:pPr>
          </w:p>
        </w:tc>
        <w:tc>
          <w:tcPr>
            <w:tcW w:w="5774" w:type="dxa"/>
            <w:gridSpan w:val="4"/>
          </w:tcPr>
          <w:p w14:paraId="2E68CCD3">
            <w:pPr>
              <w:pStyle w:val="91"/>
              <w:keepNext w:val="0"/>
              <w:keepLines w:val="0"/>
              <w:suppressLineNumbers w:val="0"/>
              <w:spacing w:before="0" w:beforeAutospacing="0" w:after="0" w:afterAutospacing="0"/>
              <w:ind w:left="0" w:right="0"/>
              <w:rPr>
                <w:rFonts w:hint="eastAsia"/>
                <w:color w:val="auto"/>
              </w:rPr>
            </w:pPr>
            <w:r>
              <w:rPr>
                <w:rFonts w:hint="eastAsia"/>
                <w:color w:val="auto"/>
              </w:rPr>
              <w:t>油气回收装置冷凝的有机物</w:t>
            </w:r>
          </w:p>
        </w:tc>
        <w:tc>
          <w:tcPr>
            <w:tcW w:w="2268" w:type="dxa"/>
          </w:tcPr>
          <w:p w14:paraId="76F931F3">
            <w:pPr>
              <w:pStyle w:val="91"/>
              <w:keepNext w:val="0"/>
              <w:keepLines w:val="0"/>
              <w:suppressLineNumbers w:val="0"/>
              <w:spacing w:before="0" w:beforeAutospacing="0" w:after="0" w:afterAutospacing="0"/>
              <w:ind w:left="0" w:right="0"/>
              <w:rPr>
                <w:rFonts w:hint="default"/>
                <w:color w:val="auto"/>
                <w:lang w:val="en-US" w:eastAsia="zh-CN"/>
              </w:rPr>
            </w:pPr>
            <w:r>
              <w:rPr>
                <w:rFonts w:hint="eastAsia"/>
                <w:color w:val="auto"/>
                <w:lang w:val="en-US" w:eastAsia="zh-CN"/>
              </w:rPr>
              <w:t>40</w:t>
            </w:r>
          </w:p>
        </w:tc>
      </w:tr>
      <w:tr w14:paraId="16E20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0" w:type="dxa"/>
          </w:tblCellMar>
        </w:tblPrEx>
        <w:tc>
          <w:tcPr>
            <w:tcW w:w="887" w:type="dxa"/>
            <w:vMerge w:val="continue"/>
          </w:tcPr>
          <w:p w14:paraId="4F9A094D">
            <w:pPr>
              <w:pStyle w:val="91"/>
              <w:keepNext w:val="0"/>
              <w:keepLines w:val="0"/>
              <w:suppressLineNumbers w:val="0"/>
              <w:spacing w:before="0" w:beforeAutospacing="0" w:after="0" w:afterAutospacing="0"/>
              <w:ind w:left="0" w:right="0"/>
              <w:rPr>
                <w:rFonts w:hint="default"/>
                <w:color w:val="auto"/>
              </w:rPr>
            </w:pPr>
          </w:p>
        </w:tc>
        <w:tc>
          <w:tcPr>
            <w:tcW w:w="5774" w:type="dxa"/>
            <w:gridSpan w:val="4"/>
          </w:tcPr>
          <w:p w14:paraId="035B7B3B">
            <w:pPr>
              <w:pStyle w:val="91"/>
              <w:keepNext w:val="0"/>
              <w:keepLines w:val="0"/>
              <w:suppressLineNumbers w:val="0"/>
              <w:spacing w:before="0" w:beforeAutospacing="0" w:after="0" w:afterAutospacing="0"/>
              <w:ind w:left="0" w:right="0"/>
              <w:rPr>
                <w:rFonts w:hint="default"/>
                <w:color w:val="auto"/>
              </w:rPr>
            </w:pPr>
            <w:r>
              <w:rPr>
                <w:rFonts w:hint="eastAsia"/>
                <w:color w:val="auto"/>
              </w:rPr>
              <w:t>含油</w:t>
            </w:r>
            <w:r>
              <w:rPr>
                <w:rFonts w:hint="default"/>
                <w:color w:val="auto"/>
              </w:rPr>
              <w:t>废物</w:t>
            </w:r>
            <w:r>
              <w:rPr>
                <w:rFonts w:hint="eastAsia"/>
                <w:color w:val="auto"/>
              </w:rPr>
              <w:t>（含油</w:t>
            </w:r>
            <w:r>
              <w:rPr>
                <w:rFonts w:hint="default"/>
                <w:color w:val="auto"/>
              </w:rPr>
              <w:t>抹布、手套等</w:t>
            </w:r>
            <w:r>
              <w:rPr>
                <w:rFonts w:hint="eastAsia"/>
                <w:color w:val="auto"/>
              </w:rPr>
              <w:t>）</w:t>
            </w:r>
          </w:p>
        </w:tc>
        <w:tc>
          <w:tcPr>
            <w:tcW w:w="2268" w:type="dxa"/>
          </w:tcPr>
          <w:p w14:paraId="67933EED">
            <w:pPr>
              <w:pStyle w:val="91"/>
              <w:keepNext w:val="0"/>
              <w:keepLines w:val="0"/>
              <w:suppressLineNumbers w:val="0"/>
              <w:spacing w:before="0" w:beforeAutospacing="0" w:after="0" w:afterAutospacing="0"/>
              <w:ind w:left="0" w:right="0"/>
              <w:rPr>
                <w:rFonts w:hint="default"/>
                <w:color w:val="auto"/>
              </w:rPr>
            </w:pPr>
            <w:r>
              <w:rPr>
                <w:rFonts w:hint="eastAsia"/>
                <w:color w:val="auto"/>
              </w:rPr>
              <w:t>0.2</w:t>
            </w:r>
          </w:p>
        </w:tc>
      </w:tr>
    </w:tbl>
    <w:p w14:paraId="7872C07D">
      <w:pPr>
        <w:pStyle w:val="24"/>
        <w:keepNext w:val="0"/>
        <w:keepLines w:val="0"/>
        <w:pageBreakBefore w:val="0"/>
        <w:widowControl w:val="0"/>
        <w:kinsoku/>
        <w:wordWrap/>
        <w:overflowPunct w:val="0"/>
        <w:topLinePunct w:val="0"/>
        <w:autoSpaceDE/>
        <w:autoSpaceDN/>
        <w:bidi w:val="0"/>
        <w:adjustRightInd/>
        <w:snapToGrid/>
        <w:spacing w:after="0" w:line="240" w:lineRule="auto"/>
        <w:ind w:firstLine="0" w:firstLineChars="0"/>
        <w:textAlignment w:val="auto"/>
        <w:rPr>
          <w:color w:val="auto"/>
        </w:rPr>
      </w:pPr>
      <w:r>
        <w:rPr>
          <w:rFonts w:hint="eastAsia"/>
          <w:color w:val="auto"/>
        </w:rPr>
        <w:t>注</w:t>
      </w:r>
      <w:r>
        <w:rPr>
          <w:color w:val="auto"/>
        </w:rPr>
        <w:t>：固体废物为产生量。</w:t>
      </w:r>
    </w:p>
    <w:p w14:paraId="4505FF62">
      <w:pPr>
        <w:pStyle w:val="4"/>
        <w:rPr>
          <w:color w:val="auto"/>
        </w:rPr>
      </w:pPr>
      <w:r>
        <w:rPr>
          <w:rFonts w:hint="eastAsia"/>
          <w:color w:val="auto"/>
          <w:lang w:eastAsia="zh-CN"/>
        </w:rPr>
        <w:t>现有工程环境管理制度及执行情况</w:t>
      </w:r>
    </w:p>
    <w:p w14:paraId="3724C49F">
      <w:pPr>
        <w:rPr>
          <w:color w:val="auto"/>
          <w:u w:val="single"/>
        </w:rPr>
      </w:pPr>
      <w:r>
        <w:rPr>
          <w:rFonts w:hint="eastAsia"/>
          <w:color w:val="auto"/>
          <w:u w:val="single"/>
        </w:rPr>
        <w:t>企业规范建立了环境管理台账制度记录生产设施和污染防治设施信息，并安排专人专职进行台账的记录、整理、维护和管理。建设单位按时编制并上报执行报告和开展自行监测、信息公开。项目现有工程已落实环境管理要求。</w:t>
      </w:r>
    </w:p>
    <w:p w14:paraId="654F62BC">
      <w:pPr>
        <w:pStyle w:val="4"/>
        <w:rPr>
          <w:color w:val="auto"/>
        </w:rPr>
      </w:pPr>
      <w:r>
        <w:rPr>
          <w:rFonts w:hint="eastAsia"/>
          <w:color w:val="auto"/>
        </w:rPr>
        <w:t>现有环境问题况及整改措施</w:t>
      </w:r>
    </w:p>
    <w:p w14:paraId="6A416430">
      <w:pPr>
        <w:ind w:firstLine="480"/>
        <w:rPr>
          <w:rFonts w:hint="eastAsia"/>
          <w:color w:val="auto"/>
        </w:rPr>
      </w:pPr>
      <w:r>
        <w:rPr>
          <w:rFonts w:hint="eastAsia"/>
          <w:color w:val="auto"/>
        </w:rPr>
        <w:t>现有工程甲醇、汽油装车废气以及汽油装船废气均经过油气回收设施处理后经排气筒排放；汽油、甲醇储罐采用内浮顶罐储存，并采取氮封措施；各装卸管线、阀门、储罐均密闭，各储罐的表面均涂刷白色或浅色涂料，反射太阳辐射，降低罐体温度；装卸臂内采用氮气扫线等措施。码头冲洗废水、初期雨水、洗罐废水、生活污水等收集至污水处理设施储存后，</w:t>
      </w:r>
      <w:r>
        <w:rPr>
          <w:color w:val="auto"/>
        </w:rPr>
        <w:t>由罐车</w:t>
      </w:r>
      <w:r>
        <w:rPr>
          <w:rFonts w:hint="eastAsia"/>
          <w:color w:val="auto"/>
        </w:rPr>
        <w:t>运回东油沥青厂区后统一通过管网输送至广西石化污水处理场进行处理。现有工程产生的各固体废物均妥善处置。</w:t>
      </w:r>
    </w:p>
    <w:p w14:paraId="6F85882F">
      <w:pPr>
        <w:ind w:firstLine="480"/>
        <w:rPr>
          <w:rFonts w:hint="eastAsia"/>
          <w:color w:val="auto"/>
          <w:u w:val="single"/>
          <w:lang w:val="en-US" w:eastAsia="zh-CN"/>
        </w:rPr>
      </w:pPr>
      <w:r>
        <w:rPr>
          <w:rFonts w:hint="eastAsia"/>
          <w:color w:val="auto"/>
          <w:lang w:val="en-US" w:eastAsia="zh-CN"/>
        </w:rPr>
        <w:t>项目自运行以来，未发生过重大环境风险事故，</w:t>
      </w:r>
      <w:r>
        <w:rPr>
          <w:rFonts w:hint="eastAsia"/>
          <w:color w:val="auto"/>
          <w:u w:val="single"/>
          <w:lang w:val="en-US" w:eastAsia="zh-CN"/>
        </w:rPr>
        <w:t>根据现场勘察情况，项目存在的问题及整改的内容如下：</w:t>
      </w:r>
    </w:p>
    <w:p w14:paraId="4DB84DF1">
      <w:pPr>
        <w:numPr>
          <w:ilvl w:val="0"/>
          <w:numId w:val="19"/>
        </w:numPr>
        <w:ind w:firstLine="480"/>
        <w:rPr>
          <w:rFonts w:hint="eastAsia"/>
          <w:color w:val="auto"/>
          <w:u w:val="single"/>
          <w:lang w:val="en-US" w:eastAsia="zh-CN"/>
        </w:rPr>
      </w:pPr>
      <w:r>
        <w:rPr>
          <w:rFonts w:hint="eastAsia"/>
          <w:color w:val="auto"/>
          <w:u w:val="single"/>
          <w:lang w:val="en-US" w:eastAsia="zh-CN"/>
        </w:rPr>
        <w:t>汽油装船废气均经过油气回收设施的排气筒未设置标准的采样孔，需根据《排污单位污染物排放口检测点位设置技术规范》（HJ1405-2024）等规范要求设置监测孔。</w:t>
      </w:r>
    </w:p>
    <w:p w14:paraId="688581C8">
      <w:pPr>
        <w:numPr>
          <w:ilvl w:val="0"/>
          <w:numId w:val="19"/>
        </w:numPr>
        <w:ind w:firstLine="480"/>
        <w:rPr>
          <w:rFonts w:hint="default"/>
          <w:color w:val="auto"/>
          <w:u w:val="single"/>
          <w:lang w:val="en-US" w:eastAsia="zh-CN"/>
        </w:rPr>
      </w:pPr>
      <w:r>
        <w:rPr>
          <w:rFonts w:hint="eastAsia"/>
          <w:color w:val="auto"/>
          <w:u w:val="single"/>
          <w:lang w:val="en-US" w:eastAsia="zh-CN"/>
        </w:rPr>
        <w:t>现状码头装卸区的部分雨水管网未能接通收集池，通过漫灌的形式排至收集池内，再通过泵泵送至事故应急池（初期雨水池）。需对码头装卸区的雨水收集管网进行整改，确保初期雨水能收集至码头集污池中。</w:t>
      </w:r>
    </w:p>
    <w:p w14:paraId="0AF9A03F">
      <w:pPr>
        <w:numPr>
          <w:ilvl w:val="0"/>
          <w:numId w:val="19"/>
        </w:numPr>
        <w:ind w:firstLine="480"/>
        <w:rPr>
          <w:rFonts w:hint="default"/>
          <w:color w:val="auto"/>
          <w:u w:val="single"/>
          <w:lang w:val="en-US" w:eastAsia="zh-CN"/>
        </w:rPr>
      </w:pPr>
      <w:r>
        <w:rPr>
          <w:rFonts w:hint="eastAsia"/>
          <w:color w:val="auto"/>
          <w:u w:val="single"/>
          <w:lang w:val="en-US" w:eastAsia="zh-CN"/>
        </w:rPr>
        <w:t>现状事故应急池兼顾初期雨水池功能，需将事故应急池和初期雨水池分隔开，确保各功能池专池专用。</w:t>
      </w:r>
    </w:p>
    <w:p w14:paraId="15CB8008">
      <w:pPr>
        <w:ind w:firstLine="480"/>
        <w:rPr>
          <w:color w:val="auto"/>
        </w:rPr>
      </w:pPr>
      <w:r>
        <w:rPr>
          <w:rFonts w:hint="eastAsia"/>
          <w:color w:val="auto"/>
        </w:rPr>
        <w:t>参考《排污许可证申请与核发技术规范石化工业》（HJ</w:t>
      </w:r>
      <w:r>
        <w:rPr>
          <w:color w:val="auto"/>
        </w:rPr>
        <w:t>853</w:t>
      </w:r>
      <w:r>
        <w:rPr>
          <w:rFonts w:hint="eastAsia"/>
          <w:color w:val="auto"/>
        </w:rPr>
        <w:t>-20</w:t>
      </w:r>
      <w:r>
        <w:rPr>
          <w:color w:val="auto"/>
        </w:rPr>
        <w:t>17</w:t>
      </w:r>
      <w:r>
        <w:rPr>
          <w:rFonts w:hint="eastAsia"/>
          <w:color w:val="auto"/>
        </w:rPr>
        <w:t>）等规范要求，现有工程采取的措施均满足规范要求，各污染物均达标排放，无需进行整改。</w:t>
      </w:r>
    </w:p>
    <w:p w14:paraId="4F02B43D">
      <w:pPr>
        <w:pStyle w:val="5"/>
        <w:rPr>
          <w:color w:val="auto"/>
        </w:rPr>
      </w:pPr>
      <w:bookmarkStart w:id="288" w:name="_Toc216103196"/>
      <w:bookmarkStart w:id="289" w:name="_Toc216620355"/>
      <w:bookmarkStart w:id="290" w:name="_Toc223595760"/>
      <w:bookmarkStart w:id="291" w:name="_Toc223258456"/>
      <w:r>
        <w:rPr>
          <w:rFonts w:hint="eastAsia"/>
          <w:color w:val="auto"/>
        </w:rPr>
        <w:t>扩建工程</w:t>
      </w:r>
      <w:bookmarkEnd w:id="283"/>
      <w:bookmarkEnd w:id="284"/>
      <w:bookmarkEnd w:id="285"/>
      <w:bookmarkEnd w:id="286"/>
      <w:bookmarkEnd w:id="288"/>
      <w:bookmarkEnd w:id="289"/>
      <w:r>
        <w:rPr>
          <w:rFonts w:hint="eastAsia"/>
          <w:color w:val="auto"/>
        </w:rPr>
        <w:t>建设</w:t>
      </w:r>
      <w:r>
        <w:rPr>
          <w:color w:val="auto"/>
        </w:rPr>
        <w:t>情况</w:t>
      </w:r>
      <w:bookmarkEnd w:id="290"/>
      <w:bookmarkEnd w:id="291"/>
    </w:p>
    <w:p w14:paraId="35C96692">
      <w:pPr>
        <w:pStyle w:val="4"/>
        <w:rPr>
          <w:color w:val="auto"/>
        </w:rPr>
      </w:pPr>
      <w:r>
        <w:rPr>
          <w:rFonts w:hint="eastAsia"/>
          <w:color w:val="auto"/>
        </w:rPr>
        <w:t>扩建</w:t>
      </w:r>
      <w:r>
        <w:rPr>
          <w:color w:val="auto"/>
        </w:rPr>
        <w:t>工程基本</w:t>
      </w:r>
      <w:r>
        <w:rPr>
          <w:rFonts w:hint="eastAsia"/>
          <w:color w:val="auto"/>
        </w:rPr>
        <w:t>概况</w:t>
      </w:r>
    </w:p>
    <w:p w14:paraId="0A70C3C9">
      <w:pPr>
        <w:tabs>
          <w:tab w:val="left" w:pos="5812"/>
        </w:tabs>
        <w:ind w:firstLine="480"/>
        <w:rPr>
          <w:color w:val="auto"/>
        </w:rPr>
      </w:pPr>
      <w:r>
        <w:rPr>
          <w:color w:val="auto"/>
        </w:rPr>
        <w:t>（1）项目名称：</w:t>
      </w:r>
      <w:r>
        <w:rPr>
          <w:rFonts w:hint="eastAsia"/>
          <w:color w:val="auto"/>
        </w:rPr>
        <w:t>广西东油沥青有限公司5万吨级油气码头增加货种项目</w:t>
      </w:r>
    </w:p>
    <w:p w14:paraId="2313BA35">
      <w:pPr>
        <w:ind w:firstLine="480"/>
        <w:rPr>
          <w:color w:val="auto"/>
        </w:rPr>
      </w:pPr>
      <w:r>
        <w:rPr>
          <w:color w:val="auto"/>
        </w:rPr>
        <w:t>（2）建设单位：</w:t>
      </w:r>
      <w:r>
        <w:rPr>
          <w:rFonts w:hint="eastAsia"/>
          <w:color w:val="auto"/>
        </w:rPr>
        <w:t>广西东油沥青有限公司</w:t>
      </w:r>
    </w:p>
    <w:p w14:paraId="46DB41F8">
      <w:pPr>
        <w:ind w:firstLine="480"/>
        <w:rPr>
          <w:color w:val="auto"/>
        </w:rPr>
      </w:pPr>
      <w:r>
        <w:rPr>
          <w:color w:val="auto"/>
        </w:rPr>
        <w:t>（3）建设地点：</w:t>
      </w:r>
      <w:r>
        <w:rPr>
          <w:rFonts w:hint="eastAsia"/>
          <w:color w:val="auto"/>
        </w:rPr>
        <w:t>钦州港鹰岭作业区广西东油沥青有限公司5万吨级油气码头</w:t>
      </w:r>
      <w:r>
        <w:rPr>
          <w:color w:val="auto"/>
        </w:rPr>
        <w:t>，距</w:t>
      </w:r>
      <w:r>
        <w:rPr>
          <w:rFonts w:hint="eastAsia"/>
          <w:color w:val="auto"/>
        </w:rPr>
        <w:t>东侧</w:t>
      </w:r>
      <w:r>
        <w:rPr>
          <w:color w:val="auto"/>
        </w:rPr>
        <w:t>金鼓江航道口门约1.6km，</w:t>
      </w:r>
      <w:r>
        <w:rPr>
          <w:rFonts w:hint="eastAsia"/>
          <w:color w:val="auto"/>
        </w:rPr>
        <w:t>东侧与广西天盛港务有限责任公司码头和</w:t>
      </w:r>
      <w:r>
        <w:rPr>
          <w:color w:val="auto"/>
        </w:rPr>
        <w:t>库区相邻，</w:t>
      </w:r>
      <w:r>
        <w:rPr>
          <w:rFonts w:hint="eastAsia"/>
          <w:color w:val="auto"/>
        </w:rPr>
        <w:t>西侧与钦州国星油气有限公司码头及库区相邻，</w:t>
      </w:r>
      <w:r>
        <w:rPr>
          <w:color w:val="auto"/>
        </w:rPr>
        <w:t>南面</w:t>
      </w:r>
      <w:r>
        <w:rPr>
          <w:rFonts w:hint="eastAsia"/>
          <w:color w:val="auto"/>
        </w:rPr>
        <w:t>为海域</w:t>
      </w:r>
      <w:r>
        <w:rPr>
          <w:color w:val="auto"/>
        </w:rPr>
        <w:t>，北面</w:t>
      </w:r>
      <w:r>
        <w:rPr>
          <w:rFonts w:hint="eastAsia"/>
          <w:color w:val="auto"/>
        </w:rPr>
        <w:t>紧邻</w:t>
      </w:r>
      <w:r>
        <w:rPr>
          <w:color w:val="auto"/>
        </w:rPr>
        <w:t>果鹰</w:t>
      </w:r>
      <w:r>
        <w:rPr>
          <w:rFonts w:hint="eastAsia"/>
          <w:color w:val="auto"/>
        </w:rPr>
        <w:t>大道</w:t>
      </w:r>
      <w:r>
        <w:rPr>
          <w:color w:val="auto"/>
        </w:rPr>
        <w:t>。</w:t>
      </w:r>
    </w:p>
    <w:p w14:paraId="647EA234">
      <w:pPr>
        <w:ind w:firstLine="480"/>
        <w:rPr>
          <w:color w:val="auto"/>
        </w:rPr>
      </w:pPr>
      <w:r>
        <w:rPr>
          <w:color w:val="auto"/>
        </w:rPr>
        <w:t>（4）建设性质：</w:t>
      </w:r>
      <w:r>
        <w:rPr>
          <w:rFonts w:hint="eastAsia"/>
          <w:color w:val="auto"/>
        </w:rPr>
        <w:t>扩</w:t>
      </w:r>
      <w:r>
        <w:rPr>
          <w:color w:val="auto"/>
        </w:rPr>
        <w:t>建</w:t>
      </w:r>
    </w:p>
    <w:p w14:paraId="70532772">
      <w:pPr>
        <w:autoSpaceDE w:val="0"/>
        <w:autoSpaceDN w:val="0"/>
        <w:ind w:firstLine="480"/>
        <w:rPr>
          <w:color w:val="auto"/>
        </w:rPr>
      </w:pPr>
      <w:r>
        <w:rPr>
          <w:color w:val="auto"/>
        </w:rPr>
        <w:t>（5）建设</w:t>
      </w:r>
      <w:r>
        <w:rPr>
          <w:rFonts w:hint="eastAsia"/>
          <w:color w:val="auto"/>
        </w:rPr>
        <w:t>内容</w:t>
      </w:r>
      <w:r>
        <w:rPr>
          <w:color w:val="auto"/>
        </w:rPr>
        <w:t>：</w:t>
      </w:r>
      <w:r>
        <w:rPr>
          <w:rFonts w:hint="eastAsia"/>
          <w:color w:val="auto"/>
        </w:rPr>
        <w:t>扩建项目</w:t>
      </w:r>
      <w:r>
        <w:rPr>
          <w:color w:val="auto"/>
        </w:rPr>
        <w:t>不改变码头水工</w:t>
      </w:r>
      <w:r>
        <w:rPr>
          <w:rFonts w:hint="eastAsia"/>
          <w:color w:val="auto"/>
        </w:rPr>
        <w:t>建筑</w:t>
      </w:r>
      <w:r>
        <w:rPr>
          <w:color w:val="auto"/>
        </w:rPr>
        <w:t>的类型和</w:t>
      </w:r>
      <w:r>
        <w:rPr>
          <w:rFonts w:hint="eastAsia"/>
          <w:color w:val="auto"/>
        </w:rPr>
        <w:t>结构</w:t>
      </w:r>
      <w:r>
        <w:rPr>
          <w:color w:val="auto"/>
        </w:rPr>
        <w:t>，后方库区不新增占地面积。新增</w:t>
      </w:r>
      <w:r>
        <w:rPr>
          <w:rFonts w:hint="eastAsia"/>
          <w:color w:val="auto"/>
        </w:rPr>
        <w:t>甲基叔丁基醚（MTBE）、石脑油、蜡油、渣油、异辛烷（烷基化油）5个货种的</w:t>
      </w:r>
      <w:r>
        <w:rPr>
          <w:color w:val="auto"/>
        </w:rPr>
        <w:t>装卸</w:t>
      </w:r>
      <w:r>
        <w:rPr>
          <w:rFonts w:hint="eastAsia"/>
          <w:color w:val="auto"/>
        </w:rPr>
        <w:t>和</w:t>
      </w:r>
      <w:r>
        <w:rPr>
          <w:color w:val="auto"/>
        </w:rPr>
        <w:t>储存，吞吐量为</w:t>
      </w:r>
      <w:r>
        <w:rPr>
          <w:rFonts w:hint="eastAsia"/>
          <w:color w:val="auto"/>
        </w:rPr>
        <w:t>50万吨/年，均</w:t>
      </w:r>
      <w:r>
        <w:rPr>
          <w:color w:val="auto"/>
        </w:rPr>
        <w:t>利用</w:t>
      </w:r>
      <w:r>
        <w:rPr>
          <w:rFonts w:hint="eastAsia"/>
          <w:color w:val="auto"/>
        </w:rPr>
        <w:t>现有</w:t>
      </w:r>
      <w:r>
        <w:rPr>
          <w:color w:val="auto"/>
        </w:rPr>
        <w:t>的装卸和储存设施。</w:t>
      </w:r>
      <w:r>
        <w:rPr>
          <w:rFonts w:hint="eastAsia"/>
          <w:color w:val="auto"/>
        </w:rPr>
        <w:t>货种调整后不会突破121万吨/年的设计吞吐量</w:t>
      </w:r>
      <w:r>
        <w:rPr>
          <w:color w:val="auto"/>
        </w:rPr>
        <w:t>。</w:t>
      </w:r>
    </w:p>
    <w:p w14:paraId="411D341B">
      <w:pPr>
        <w:autoSpaceDE w:val="0"/>
        <w:autoSpaceDN w:val="0"/>
        <w:ind w:firstLine="480"/>
        <w:rPr>
          <w:color w:val="auto"/>
        </w:rPr>
      </w:pPr>
      <w:r>
        <w:rPr>
          <w:rFonts w:hint="eastAsia"/>
          <w:color w:val="auto"/>
        </w:rPr>
        <w:t>其中，石脑油需从本项目库区通过管道直接输送到广西石化罐区，因此从本项目库区汽油泵棚输送泵P301/1、2泵出口处新增一条DN150管道跨接至厂内柴油长输线（DN150），长度约</w:t>
      </w:r>
      <w:r>
        <w:rPr>
          <w:color w:val="auto"/>
        </w:rPr>
        <w:t>5</w:t>
      </w:r>
      <w:r>
        <w:rPr>
          <w:rFonts w:hint="eastAsia"/>
          <w:color w:val="auto"/>
        </w:rPr>
        <w:t>7</w:t>
      </w:r>
      <w:r>
        <w:rPr>
          <w:color w:val="auto"/>
        </w:rPr>
        <w:t>m</w:t>
      </w:r>
      <w:r>
        <w:rPr>
          <w:rFonts w:hint="eastAsia"/>
          <w:color w:val="auto"/>
        </w:rPr>
        <w:t>。</w:t>
      </w:r>
    </w:p>
    <w:p w14:paraId="1864B4AC">
      <w:pPr>
        <w:ind w:firstLine="480"/>
        <w:rPr>
          <w:color w:val="auto"/>
        </w:rPr>
      </w:pPr>
      <w:r>
        <w:rPr>
          <w:color w:val="auto"/>
        </w:rPr>
        <w:t>（</w:t>
      </w:r>
      <w:r>
        <w:rPr>
          <w:rFonts w:hint="eastAsia"/>
          <w:color w:val="auto"/>
        </w:rPr>
        <w:t>6</w:t>
      </w:r>
      <w:r>
        <w:rPr>
          <w:color w:val="auto"/>
        </w:rPr>
        <w:t>）</w:t>
      </w:r>
      <w:r>
        <w:rPr>
          <w:rFonts w:hint="eastAsia"/>
          <w:color w:val="auto"/>
        </w:rPr>
        <w:t>项目建设情况</w:t>
      </w:r>
      <w:r>
        <w:rPr>
          <w:color w:val="auto"/>
        </w:rPr>
        <w:t>：</w:t>
      </w:r>
      <w:r>
        <w:rPr>
          <w:rFonts w:hint="eastAsia"/>
          <w:color w:val="auto"/>
        </w:rPr>
        <w:t>本项目码头前沿的装卸臂、管线等装卸设施均依托现有工程。新增货种的储存均依托后方库区的现有储罐。因此码头前沿和罐区均无新增和改造工程，仅在库区汽油泵棚新增一段57米的输油管线，输油管线于2026年2月已经建设完成。</w:t>
      </w:r>
    </w:p>
    <w:p w14:paraId="4502E7AD">
      <w:pPr>
        <w:autoSpaceDE w:val="0"/>
        <w:autoSpaceDN w:val="0"/>
        <w:ind w:firstLine="480"/>
        <w:rPr>
          <w:color w:val="auto"/>
        </w:rPr>
      </w:pPr>
      <w:r>
        <w:rPr>
          <w:color w:val="auto"/>
        </w:rPr>
        <w:t>（</w:t>
      </w:r>
      <w:r>
        <w:rPr>
          <w:rFonts w:hint="eastAsia"/>
          <w:color w:val="auto"/>
        </w:rPr>
        <w:t>7</w:t>
      </w:r>
      <w:r>
        <w:rPr>
          <w:color w:val="auto"/>
        </w:rPr>
        <w:t>）总投资：10</w:t>
      </w:r>
      <w:r>
        <w:rPr>
          <w:rFonts w:hint="eastAsia"/>
          <w:color w:val="auto"/>
        </w:rPr>
        <w:t>0</w:t>
      </w:r>
      <w:r>
        <w:rPr>
          <w:color w:val="auto"/>
        </w:rPr>
        <w:t>万元。</w:t>
      </w:r>
    </w:p>
    <w:p w14:paraId="3E15B2A7">
      <w:pPr>
        <w:pStyle w:val="4"/>
        <w:rPr>
          <w:color w:val="auto"/>
        </w:rPr>
      </w:pPr>
      <w:r>
        <w:rPr>
          <w:rFonts w:hint="eastAsia"/>
          <w:color w:val="auto"/>
        </w:rPr>
        <w:t>扩建工程组成情况</w:t>
      </w:r>
    </w:p>
    <w:p w14:paraId="500EA3B0">
      <w:pPr>
        <w:ind w:firstLine="480"/>
        <w:rPr>
          <w:color w:val="auto"/>
        </w:rPr>
      </w:pPr>
      <w:r>
        <w:rPr>
          <w:rFonts w:hint="eastAsia"/>
          <w:color w:val="auto"/>
        </w:rPr>
        <w:t>本扩建项目仅新增5个货种，不改变码头前沿和后方库区的装卸作业设备，工程组成与现有工程基本一致，具体情况如下：</w:t>
      </w:r>
    </w:p>
    <w:p w14:paraId="66879DB4">
      <w:pPr>
        <w:pStyle w:val="14"/>
        <w:rPr>
          <w:color w:val="auto"/>
        </w:rPr>
      </w:pPr>
      <w:r>
        <w:rPr>
          <w:rFonts w:hint="eastAsia"/>
          <w:color w:val="auto"/>
        </w:rPr>
        <w:t>表</w:t>
      </w:r>
      <w:r>
        <w:rPr>
          <w:color w:val="auto"/>
        </w:rPr>
        <w:t>2.2</w:t>
      </w:r>
      <w:r>
        <w:rPr>
          <w:color w:val="auto"/>
        </w:rPr>
        <w:noBreakHyphen/>
      </w:r>
      <w:r>
        <w:rPr>
          <w:color w:val="auto"/>
        </w:rPr>
        <w:t>1</w:t>
      </w:r>
      <w:r>
        <w:rPr>
          <w:rFonts w:hint="eastAsia"/>
          <w:color w:val="auto"/>
        </w:rPr>
        <w:t>扩建</w:t>
      </w:r>
      <w:r>
        <w:rPr>
          <w:color w:val="auto"/>
        </w:rPr>
        <w:t>项目工程组成表</w:t>
      </w:r>
    </w:p>
    <w:tbl>
      <w:tblPr>
        <w:tblStyle w:val="43"/>
        <w:tblW w:w="95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10"/>
        <w:gridCol w:w="568"/>
        <w:gridCol w:w="568"/>
        <w:gridCol w:w="1296"/>
        <w:gridCol w:w="6729"/>
      </w:tblGrid>
      <w:tr w14:paraId="48A713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blHeader/>
          <w:jc w:val="center"/>
        </w:trPr>
        <w:tc>
          <w:tcPr>
            <w:tcW w:w="2842" w:type="dxa"/>
            <w:gridSpan w:val="4"/>
            <w:tcMar>
              <w:left w:w="0" w:type="dxa"/>
              <w:right w:w="0" w:type="dxa"/>
            </w:tcMar>
            <w:vAlign w:val="center"/>
          </w:tcPr>
          <w:p w14:paraId="7BB9E54B">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项目组成</w:t>
            </w:r>
          </w:p>
        </w:tc>
        <w:tc>
          <w:tcPr>
            <w:tcW w:w="6729" w:type="dxa"/>
            <w:tcMar>
              <w:left w:w="0" w:type="dxa"/>
              <w:right w:w="0" w:type="dxa"/>
            </w:tcMar>
            <w:vAlign w:val="center"/>
          </w:tcPr>
          <w:p w14:paraId="259E6575">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主要建设内容</w:t>
            </w:r>
          </w:p>
        </w:tc>
      </w:tr>
      <w:tr w14:paraId="44406B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restart"/>
            <w:tcMar>
              <w:left w:w="0" w:type="dxa"/>
              <w:right w:w="0" w:type="dxa"/>
            </w:tcMar>
            <w:vAlign w:val="center"/>
          </w:tcPr>
          <w:p w14:paraId="4C926928">
            <w:pPr>
              <w:pStyle w:val="77"/>
              <w:keepNext w:val="0"/>
              <w:keepLines w:val="0"/>
              <w:suppressLineNumbers w:val="0"/>
              <w:spacing w:before="0" w:beforeAutospacing="0" w:after="0" w:afterAutospacing="0"/>
              <w:ind w:left="0" w:right="0"/>
              <w:rPr>
                <w:rFonts w:hint="default"/>
                <w:color w:val="auto"/>
              </w:rPr>
            </w:pPr>
            <w:r>
              <w:rPr>
                <w:rFonts w:hint="default"/>
                <w:color w:val="auto"/>
              </w:rPr>
              <w:t>码头工程</w:t>
            </w:r>
          </w:p>
        </w:tc>
        <w:tc>
          <w:tcPr>
            <w:tcW w:w="568" w:type="dxa"/>
            <w:vMerge w:val="restart"/>
            <w:tcMar>
              <w:left w:w="0" w:type="dxa"/>
              <w:right w:w="0" w:type="dxa"/>
            </w:tcMar>
            <w:vAlign w:val="center"/>
          </w:tcPr>
          <w:p w14:paraId="27D90D68">
            <w:pPr>
              <w:pStyle w:val="77"/>
              <w:keepNext w:val="0"/>
              <w:keepLines w:val="0"/>
              <w:suppressLineNumbers w:val="0"/>
              <w:spacing w:before="0" w:beforeAutospacing="0" w:after="0" w:afterAutospacing="0"/>
              <w:ind w:left="0" w:right="0"/>
              <w:rPr>
                <w:rFonts w:hint="default"/>
                <w:color w:val="auto"/>
              </w:rPr>
            </w:pPr>
            <w:r>
              <w:rPr>
                <w:rFonts w:hint="default"/>
                <w:color w:val="auto"/>
              </w:rPr>
              <w:t>主体工程</w:t>
            </w:r>
          </w:p>
        </w:tc>
        <w:tc>
          <w:tcPr>
            <w:tcW w:w="568" w:type="dxa"/>
            <w:vMerge w:val="restart"/>
            <w:tcMar>
              <w:left w:w="0" w:type="dxa"/>
              <w:right w:w="0" w:type="dxa"/>
            </w:tcMar>
            <w:vAlign w:val="center"/>
          </w:tcPr>
          <w:p w14:paraId="4CE41B82">
            <w:pPr>
              <w:pStyle w:val="77"/>
              <w:keepNext w:val="0"/>
              <w:keepLines w:val="0"/>
              <w:suppressLineNumbers w:val="0"/>
              <w:spacing w:before="0" w:beforeAutospacing="0" w:after="0" w:afterAutospacing="0"/>
              <w:ind w:left="0" w:right="0"/>
              <w:rPr>
                <w:rFonts w:hint="default"/>
                <w:color w:val="auto"/>
              </w:rPr>
            </w:pPr>
            <w:r>
              <w:rPr>
                <w:rFonts w:hint="default"/>
                <w:color w:val="auto"/>
              </w:rPr>
              <w:t>水工建筑</w:t>
            </w:r>
          </w:p>
        </w:tc>
        <w:tc>
          <w:tcPr>
            <w:tcW w:w="1296" w:type="dxa"/>
            <w:tcMar>
              <w:left w:w="0" w:type="dxa"/>
              <w:right w:w="0" w:type="dxa"/>
            </w:tcMar>
            <w:vAlign w:val="center"/>
          </w:tcPr>
          <w:p w14:paraId="66002410">
            <w:pPr>
              <w:pStyle w:val="77"/>
              <w:keepNext w:val="0"/>
              <w:keepLines w:val="0"/>
              <w:suppressLineNumbers w:val="0"/>
              <w:spacing w:before="0" w:beforeAutospacing="0" w:after="0" w:afterAutospacing="0"/>
              <w:ind w:left="0" w:right="0"/>
              <w:rPr>
                <w:rFonts w:hint="default"/>
                <w:color w:val="auto"/>
              </w:rPr>
            </w:pPr>
            <w:r>
              <w:rPr>
                <w:rFonts w:hint="eastAsia"/>
                <w:color w:val="auto"/>
              </w:rPr>
              <w:t>码头工程</w:t>
            </w:r>
          </w:p>
        </w:tc>
        <w:tc>
          <w:tcPr>
            <w:tcW w:w="6729" w:type="dxa"/>
            <w:tcMar>
              <w:left w:w="0" w:type="dxa"/>
              <w:right w:w="0" w:type="dxa"/>
            </w:tcMar>
            <w:vAlign w:val="center"/>
          </w:tcPr>
          <w:p w14:paraId="2E7471D9">
            <w:pPr>
              <w:pStyle w:val="77"/>
              <w:keepNext w:val="0"/>
              <w:keepLines w:val="0"/>
              <w:suppressLineNumbers w:val="0"/>
              <w:spacing w:before="0" w:beforeAutospacing="0" w:after="0" w:afterAutospacing="0"/>
              <w:ind w:left="0" w:right="0"/>
              <w:rPr>
                <w:rFonts w:hint="default"/>
                <w:color w:val="auto"/>
              </w:rPr>
            </w:pPr>
            <w:r>
              <w:rPr>
                <w:rFonts w:hint="default"/>
                <w:color w:val="auto"/>
              </w:rPr>
              <w:t>依托现有工程</w:t>
            </w:r>
          </w:p>
        </w:tc>
      </w:tr>
      <w:tr w14:paraId="4EC51B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765E37EE">
            <w:pPr>
              <w:pStyle w:val="77"/>
              <w:keepNext w:val="0"/>
              <w:keepLines w:val="0"/>
              <w:suppressLineNumbers w:val="0"/>
              <w:spacing w:before="0" w:beforeAutospacing="0" w:after="0" w:afterAutospacing="0"/>
              <w:ind w:left="0" w:right="0"/>
              <w:rPr>
                <w:rFonts w:hint="default"/>
                <w:color w:val="auto"/>
              </w:rPr>
            </w:pPr>
          </w:p>
        </w:tc>
        <w:tc>
          <w:tcPr>
            <w:tcW w:w="568" w:type="dxa"/>
            <w:vMerge w:val="continue"/>
            <w:tcMar>
              <w:left w:w="0" w:type="dxa"/>
              <w:right w:w="0" w:type="dxa"/>
            </w:tcMar>
            <w:vAlign w:val="center"/>
          </w:tcPr>
          <w:p w14:paraId="17949794">
            <w:pPr>
              <w:pStyle w:val="77"/>
              <w:keepNext w:val="0"/>
              <w:keepLines w:val="0"/>
              <w:suppressLineNumbers w:val="0"/>
              <w:spacing w:before="0" w:beforeAutospacing="0" w:after="0" w:afterAutospacing="0"/>
              <w:ind w:left="0" w:right="0"/>
              <w:rPr>
                <w:rFonts w:hint="default"/>
                <w:color w:val="auto"/>
              </w:rPr>
            </w:pPr>
          </w:p>
        </w:tc>
        <w:tc>
          <w:tcPr>
            <w:tcW w:w="568" w:type="dxa"/>
            <w:vMerge w:val="continue"/>
            <w:tcMar>
              <w:left w:w="0" w:type="dxa"/>
              <w:right w:w="0" w:type="dxa"/>
            </w:tcMar>
            <w:vAlign w:val="center"/>
          </w:tcPr>
          <w:p w14:paraId="3A87D4D2">
            <w:pPr>
              <w:pStyle w:val="77"/>
              <w:keepNext w:val="0"/>
              <w:keepLines w:val="0"/>
              <w:suppressLineNumbers w:val="0"/>
              <w:spacing w:before="0" w:beforeAutospacing="0" w:after="0" w:afterAutospacing="0"/>
              <w:ind w:left="0" w:right="0"/>
              <w:rPr>
                <w:rFonts w:hint="default"/>
                <w:color w:val="auto"/>
              </w:rPr>
            </w:pPr>
          </w:p>
        </w:tc>
        <w:tc>
          <w:tcPr>
            <w:tcW w:w="1296" w:type="dxa"/>
            <w:tcMar>
              <w:left w:w="0" w:type="dxa"/>
              <w:right w:w="0" w:type="dxa"/>
            </w:tcMar>
            <w:vAlign w:val="center"/>
          </w:tcPr>
          <w:p w14:paraId="07FC3DC8">
            <w:pPr>
              <w:pStyle w:val="77"/>
              <w:keepNext w:val="0"/>
              <w:keepLines w:val="0"/>
              <w:suppressLineNumbers w:val="0"/>
              <w:spacing w:before="0" w:beforeAutospacing="0" w:after="0" w:afterAutospacing="0"/>
              <w:ind w:left="0" w:right="0"/>
              <w:rPr>
                <w:rFonts w:hint="default"/>
                <w:color w:val="auto"/>
              </w:rPr>
            </w:pPr>
            <w:r>
              <w:rPr>
                <w:rFonts w:hint="eastAsia"/>
                <w:color w:val="auto"/>
              </w:rPr>
              <w:t>引桥</w:t>
            </w:r>
          </w:p>
        </w:tc>
        <w:tc>
          <w:tcPr>
            <w:tcW w:w="6729" w:type="dxa"/>
            <w:tcMar>
              <w:left w:w="0" w:type="dxa"/>
              <w:right w:w="0" w:type="dxa"/>
            </w:tcMar>
            <w:vAlign w:val="center"/>
          </w:tcPr>
          <w:p w14:paraId="72DACBB0">
            <w:pPr>
              <w:pStyle w:val="77"/>
              <w:keepNext w:val="0"/>
              <w:keepLines w:val="0"/>
              <w:suppressLineNumbers w:val="0"/>
              <w:spacing w:before="0" w:beforeAutospacing="0" w:after="0" w:afterAutospacing="0"/>
              <w:ind w:left="0" w:right="0"/>
              <w:rPr>
                <w:rFonts w:hint="default"/>
                <w:color w:val="auto"/>
              </w:rPr>
            </w:pPr>
            <w:r>
              <w:rPr>
                <w:rFonts w:hint="default"/>
                <w:color w:val="auto"/>
              </w:rPr>
              <w:t>依托现有工程</w:t>
            </w:r>
          </w:p>
        </w:tc>
      </w:tr>
      <w:tr w14:paraId="658AAB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7AB5E058">
            <w:pPr>
              <w:pStyle w:val="77"/>
              <w:keepNext w:val="0"/>
              <w:keepLines w:val="0"/>
              <w:suppressLineNumbers w:val="0"/>
              <w:spacing w:before="0" w:beforeAutospacing="0" w:after="0" w:afterAutospacing="0"/>
              <w:ind w:left="0" w:right="0"/>
              <w:rPr>
                <w:rFonts w:hint="default"/>
                <w:color w:val="auto"/>
              </w:rPr>
            </w:pPr>
          </w:p>
        </w:tc>
        <w:tc>
          <w:tcPr>
            <w:tcW w:w="568" w:type="dxa"/>
            <w:vMerge w:val="continue"/>
            <w:tcMar>
              <w:left w:w="0" w:type="dxa"/>
              <w:right w:w="0" w:type="dxa"/>
            </w:tcMar>
            <w:vAlign w:val="center"/>
          </w:tcPr>
          <w:p w14:paraId="2E6C7BB8">
            <w:pPr>
              <w:pStyle w:val="77"/>
              <w:keepNext w:val="0"/>
              <w:keepLines w:val="0"/>
              <w:suppressLineNumbers w:val="0"/>
              <w:spacing w:before="0" w:beforeAutospacing="0" w:after="0" w:afterAutospacing="0"/>
              <w:ind w:left="0" w:right="0"/>
              <w:rPr>
                <w:rFonts w:hint="default"/>
                <w:color w:val="auto"/>
              </w:rPr>
            </w:pPr>
          </w:p>
        </w:tc>
        <w:tc>
          <w:tcPr>
            <w:tcW w:w="568" w:type="dxa"/>
            <w:vMerge w:val="restart"/>
            <w:tcMar>
              <w:left w:w="0" w:type="dxa"/>
              <w:right w:w="0" w:type="dxa"/>
            </w:tcMar>
            <w:vAlign w:val="center"/>
          </w:tcPr>
          <w:p w14:paraId="12D2FD1D">
            <w:pPr>
              <w:pStyle w:val="77"/>
              <w:keepNext w:val="0"/>
              <w:keepLines w:val="0"/>
              <w:suppressLineNumbers w:val="0"/>
              <w:spacing w:before="0" w:beforeAutospacing="0" w:after="0" w:afterAutospacing="0"/>
              <w:ind w:left="0" w:right="0"/>
              <w:rPr>
                <w:rFonts w:hint="default"/>
                <w:color w:val="auto"/>
              </w:rPr>
            </w:pPr>
            <w:r>
              <w:rPr>
                <w:rFonts w:hint="default"/>
                <w:color w:val="auto"/>
              </w:rPr>
              <w:t>装卸工艺</w:t>
            </w:r>
          </w:p>
        </w:tc>
        <w:tc>
          <w:tcPr>
            <w:tcW w:w="1296" w:type="dxa"/>
            <w:tcMar>
              <w:left w:w="0" w:type="dxa"/>
              <w:right w:w="0" w:type="dxa"/>
            </w:tcMar>
            <w:vAlign w:val="center"/>
          </w:tcPr>
          <w:p w14:paraId="43450F03">
            <w:pPr>
              <w:pStyle w:val="77"/>
              <w:keepNext w:val="0"/>
              <w:keepLines w:val="0"/>
              <w:suppressLineNumbers w:val="0"/>
              <w:spacing w:before="0" w:beforeAutospacing="0" w:after="0" w:afterAutospacing="0"/>
              <w:ind w:left="0" w:right="0"/>
              <w:rPr>
                <w:rFonts w:hint="default"/>
                <w:color w:val="auto"/>
              </w:rPr>
            </w:pPr>
            <w:r>
              <w:rPr>
                <w:rFonts w:hint="eastAsia"/>
                <w:color w:val="auto"/>
              </w:rPr>
              <w:t>新增货种吞吐量</w:t>
            </w:r>
          </w:p>
        </w:tc>
        <w:tc>
          <w:tcPr>
            <w:tcW w:w="6729" w:type="dxa"/>
            <w:tcMar>
              <w:left w:w="0" w:type="dxa"/>
              <w:right w:w="0" w:type="dxa"/>
            </w:tcMar>
            <w:vAlign w:val="center"/>
          </w:tcPr>
          <w:p w14:paraId="4B5DB8E3">
            <w:pPr>
              <w:pStyle w:val="77"/>
              <w:keepNext w:val="0"/>
              <w:keepLines w:val="0"/>
              <w:suppressLineNumbers w:val="0"/>
              <w:spacing w:before="0" w:beforeAutospacing="0" w:after="0" w:afterAutospacing="0"/>
              <w:ind w:left="0" w:right="0"/>
              <w:rPr>
                <w:rFonts w:hint="default"/>
                <w:color w:val="auto"/>
              </w:rPr>
            </w:pPr>
            <w:r>
              <w:rPr>
                <w:rFonts w:hint="eastAsia"/>
                <w:color w:val="auto"/>
              </w:rPr>
              <w:t>新增甲基叔丁基醚（MTBE）、石脑油、蜡油、渣油、异辛烷（烷基化油）的装卸和储存，</w:t>
            </w:r>
            <w:r>
              <w:rPr>
                <w:rFonts w:hint="default"/>
                <w:color w:val="auto"/>
              </w:rPr>
              <w:t>每个货种新增吞吐量</w:t>
            </w:r>
            <w:r>
              <w:rPr>
                <w:rFonts w:hint="eastAsia"/>
                <w:color w:val="auto"/>
              </w:rPr>
              <w:t>10万吨</w:t>
            </w:r>
          </w:p>
        </w:tc>
      </w:tr>
      <w:tr w14:paraId="0792E8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13DA1306">
            <w:pPr>
              <w:pStyle w:val="77"/>
              <w:keepNext w:val="0"/>
              <w:keepLines w:val="0"/>
              <w:suppressLineNumbers w:val="0"/>
              <w:spacing w:before="0" w:beforeAutospacing="0" w:after="0" w:afterAutospacing="0"/>
              <w:ind w:left="0" w:right="0"/>
              <w:rPr>
                <w:rFonts w:hint="default"/>
                <w:color w:val="auto"/>
              </w:rPr>
            </w:pPr>
          </w:p>
        </w:tc>
        <w:tc>
          <w:tcPr>
            <w:tcW w:w="568" w:type="dxa"/>
            <w:vMerge w:val="continue"/>
            <w:tcMar>
              <w:left w:w="0" w:type="dxa"/>
              <w:right w:w="0" w:type="dxa"/>
            </w:tcMar>
            <w:vAlign w:val="center"/>
          </w:tcPr>
          <w:p w14:paraId="30187831">
            <w:pPr>
              <w:pStyle w:val="77"/>
              <w:keepNext w:val="0"/>
              <w:keepLines w:val="0"/>
              <w:suppressLineNumbers w:val="0"/>
              <w:spacing w:before="0" w:beforeAutospacing="0" w:after="0" w:afterAutospacing="0"/>
              <w:ind w:left="0" w:right="0"/>
              <w:rPr>
                <w:rFonts w:hint="default"/>
                <w:color w:val="auto"/>
              </w:rPr>
            </w:pPr>
          </w:p>
        </w:tc>
        <w:tc>
          <w:tcPr>
            <w:tcW w:w="568" w:type="dxa"/>
            <w:vMerge w:val="continue"/>
            <w:tcMar>
              <w:left w:w="0" w:type="dxa"/>
              <w:right w:w="0" w:type="dxa"/>
            </w:tcMar>
            <w:vAlign w:val="center"/>
          </w:tcPr>
          <w:p w14:paraId="35C7AD51">
            <w:pPr>
              <w:pStyle w:val="77"/>
              <w:keepNext w:val="0"/>
              <w:keepLines w:val="0"/>
              <w:suppressLineNumbers w:val="0"/>
              <w:spacing w:before="0" w:beforeAutospacing="0" w:after="0" w:afterAutospacing="0"/>
              <w:ind w:left="0" w:right="0"/>
              <w:rPr>
                <w:rFonts w:hint="default"/>
                <w:color w:val="auto"/>
              </w:rPr>
            </w:pPr>
          </w:p>
        </w:tc>
        <w:tc>
          <w:tcPr>
            <w:tcW w:w="1296" w:type="dxa"/>
            <w:tcMar>
              <w:left w:w="0" w:type="dxa"/>
              <w:right w:w="0" w:type="dxa"/>
            </w:tcMar>
            <w:vAlign w:val="center"/>
          </w:tcPr>
          <w:p w14:paraId="4850DB23">
            <w:pPr>
              <w:pStyle w:val="77"/>
              <w:keepNext w:val="0"/>
              <w:keepLines w:val="0"/>
              <w:suppressLineNumbers w:val="0"/>
              <w:spacing w:before="0" w:beforeAutospacing="0" w:after="0" w:afterAutospacing="0"/>
              <w:ind w:left="0" w:right="0"/>
              <w:rPr>
                <w:rFonts w:hint="default"/>
                <w:color w:val="auto"/>
              </w:rPr>
            </w:pPr>
            <w:r>
              <w:rPr>
                <w:rFonts w:hint="default"/>
                <w:color w:val="auto"/>
              </w:rPr>
              <w:t>工艺流程</w:t>
            </w:r>
          </w:p>
        </w:tc>
        <w:tc>
          <w:tcPr>
            <w:tcW w:w="6729" w:type="dxa"/>
            <w:tcMar>
              <w:left w:w="0" w:type="dxa"/>
              <w:right w:w="0" w:type="dxa"/>
            </w:tcMar>
            <w:vAlign w:val="center"/>
          </w:tcPr>
          <w:p w14:paraId="3CD1FA32">
            <w:pPr>
              <w:pStyle w:val="77"/>
              <w:keepNext w:val="0"/>
              <w:keepLines w:val="0"/>
              <w:suppressLineNumbers w:val="0"/>
              <w:spacing w:before="0" w:beforeAutospacing="0" w:after="0" w:afterAutospacing="0"/>
              <w:ind w:left="0" w:right="0"/>
              <w:jc w:val="left"/>
              <w:rPr>
                <w:rFonts w:hint="default"/>
                <w:color w:val="auto"/>
              </w:rPr>
            </w:pPr>
            <w:r>
              <w:rPr>
                <w:rFonts w:hint="eastAsia"/>
                <w:color w:val="auto"/>
              </w:rPr>
              <w:t>石脑油、异辛烷（烷基化油）、蜡油、渣油这4个</w:t>
            </w:r>
            <w:r>
              <w:rPr>
                <w:rFonts w:hint="default"/>
                <w:color w:val="auto"/>
              </w:rPr>
              <w:t>货种进行卸船作业，</w:t>
            </w:r>
            <w:r>
              <w:rPr>
                <w:rFonts w:hint="eastAsia"/>
                <w:color w:val="auto"/>
              </w:rPr>
              <w:t>即从码头前沿利用现有装卸设备和管道卸船至后方罐区进行储存。其中异辛烷（烷基化油）、蜡油、渣油3个货种通过现有管线直接输送到广西石化罐区，石脑油则需要通过新建管线跨接到广西石化柴油长输线（DN150）从而进行广西石化罐区，新建管线长度为57米。</w:t>
            </w:r>
          </w:p>
          <w:p w14:paraId="7C19DF27">
            <w:pPr>
              <w:pStyle w:val="77"/>
              <w:keepNext w:val="0"/>
              <w:keepLines w:val="0"/>
              <w:suppressLineNumbers w:val="0"/>
              <w:spacing w:before="0" w:beforeAutospacing="0" w:after="0" w:afterAutospacing="0"/>
              <w:ind w:left="0" w:right="0"/>
              <w:jc w:val="left"/>
              <w:rPr>
                <w:rFonts w:hint="default"/>
                <w:color w:val="auto"/>
              </w:rPr>
            </w:pPr>
            <w:r>
              <w:rPr>
                <w:rFonts w:hint="eastAsia"/>
                <w:color w:val="auto"/>
              </w:rPr>
              <w:t>甲基叔丁基醚（MTBE）进行</w:t>
            </w:r>
            <w:r>
              <w:rPr>
                <w:rFonts w:hint="default"/>
                <w:color w:val="auto"/>
              </w:rPr>
              <w:t>装船作业</w:t>
            </w:r>
            <w:r>
              <w:rPr>
                <w:rFonts w:hint="eastAsia"/>
                <w:color w:val="auto"/>
              </w:rPr>
              <w:t>。即从本项目罐区通过管道和装卸设备输送到船舶上进行外运。</w:t>
            </w:r>
          </w:p>
        </w:tc>
      </w:tr>
      <w:tr w14:paraId="4FBA2A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07F8627D">
            <w:pPr>
              <w:pStyle w:val="77"/>
              <w:keepNext w:val="0"/>
              <w:keepLines w:val="0"/>
              <w:suppressLineNumbers w:val="0"/>
              <w:spacing w:before="0" w:beforeAutospacing="0" w:after="0" w:afterAutospacing="0"/>
              <w:ind w:left="0" w:right="0"/>
              <w:rPr>
                <w:rFonts w:hint="default"/>
                <w:color w:val="auto"/>
              </w:rPr>
            </w:pPr>
          </w:p>
        </w:tc>
        <w:tc>
          <w:tcPr>
            <w:tcW w:w="568" w:type="dxa"/>
            <w:tcMar>
              <w:left w:w="0" w:type="dxa"/>
              <w:right w:w="0" w:type="dxa"/>
            </w:tcMar>
            <w:vAlign w:val="center"/>
          </w:tcPr>
          <w:p w14:paraId="5EE70117">
            <w:pPr>
              <w:pStyle w:val="77"/>
              <w:keepNext w:val="0"/>
              <w:keepLines w:val="0"/>
              <w:suppressLineNumbers w:val="0"/>
              <w:spacing w:before="0" w:beforeAutospacing="0" w:after="0" w:afterAutospacing="0"/>
              <w:ind w:left="0" w:right="0"/>
              <w:rPr>
                <w:rFonts w:hint="default"/>
                <w:color w:val="auto"/>
              </w:rPr>
            </w:pPr>
            <w:r>
              <w:rPr>
                <w:rFonts w:hint="default"/>
                <w:color w:val="auto"/>
              </w:rPr>
              <w:t>仓储工程</w:t>
            </w:r>
          </w:p>
        </w:tc>
        <w:tc>
          <w:tcPr>
            <w:tcW w:w="1864" w:type="dxa"/>
            <w:gridSpan w:val="2"/>
            <w:tcMar>
              <w:left w:w="0" w:type="dxa"/>
              <w:right w:w="0" w:type="dxa"/>
            </w:tcMar>
            <w:vAlign w:val="center"/>
          </w:tcPr>
          <w:p w14:paraId="5F21CB96">
            <w:pPr>
              <w:pStyle w:val="77"/>
              <w:keepNext w:val="0"/>
              <w:keepLines w:val="0"/>
              <w:suppressLineNumbers w:val="0"/>
              <w:spacing w:before="0" w:beforeAutospacing="0" w:after="0" w:afterAutospacing="0"/>
              <w:ind w:left="0" w:right="0"/>
              <w:rPr>
                <w:rFonts w:hint="default"/>
                <w:color w:val="auto"/>
              </w:rPr>
            </w:pPr>
            <w:r>
              <w:rPr>
                <w:rFonts w:hint="default"/>
                <w:color w:val="auto"/>
              </w:rPr>
              <w:t>储罐区</w:t>
            </w:r>
          </w:p>
        </w:tc>
        <w:tc>
          <w:tcPr>
            <w:tcW w:w="6729" w:type="dxa"/>
            <w:tcMar>
              <w:left w:w="0" w:type="dxa"/>
              <w:right w:w="0" w:type="dxa"/>
            </w:tcMar>
            <w:vAlign w:val="center"/>
          </w:tcPr>
          <w:p w14:paraId="2E8C197A">
            <w:pPr>
              <w:pStyle w:val="77"/>
              <w:keepNext w:val="0"/>
              <w:keepLines w:val="0"/>
              <w:suppressLineNumbers w:val="0"/>
              <w:spacing w:before="0" w:beforeAutospacing="0" w:after="0" w:afterAutospacing="0"/>
              <w:ind w:left="0" w:right="0"/>
              <w:rPr>
                <w:rFonts w:hint="default"/>
                <w:color w:val="auto"/>
              </w:rPr>
            </w:pPr>
            <w:r>
              <w:rPr>
                <w:rFonts w:hint="eastAsia"/>
                <w:color w:val="auto"/>
              </w:rPr>
              <w:t>石脑油、异辛烷（烷基化油）、甲基叔丁基醚（MTBE）利用</w:t>
            </w:r>
            <w:r>
              <w:rPr>
                <w:rFonts w:hint="default"/>
                <w:color w:val="auto"/>
              </w:rPr>
              <w:t>现有</w:t>
            </w:r>
            <w:r>
              <w:rPr>
                <w:rFonts w:hint="eastAsia"/>
                <w:color w:val="auto"/>
              </w:rPr>
              <w:t>汽油</w:t>
            </w:r>
            <w:r>
              <w:rPr>
                <w:rFonts w:hint="default"/>
                <w:color w:val="auto"/>
              </w:rPr>
              <w:t>装卸臂及</w:t>
            </w:r>
            <w:r>
              <w:rPr>
                <w:rFonts w:hint="eastAsia"/>
                <w:color w:val="auto"/>
              </w:rPr>
              <w:t>管线</w:t>
            </w:r>
            <w:r>
              <w:rPr>
                <w:rFonts w:hint="default"/>
                <w:color w:val="auto"/>
              </w:rPr>
              <w:t>输送进后方库区</w:t>
            </w:r>
            <w:r>
              <w:rPr>
                <w:rFonts w:hint="eastAsia"/>
                <w:color w:val="auto"/>
              </w:rPr>
              <w:t>3#</w:t>
            </w:r>
            <w:r>
              <w:rPr>
                <w:rFonts w:hint="default"/>
                <w:color w:val="auto"/>
              </w:rPr>
              <w:t>罐组</w:t>
            </w:r>
            <w:r>
              <w:rPr>
                <w:rFonts w:hint="eastAsia"/>
                <w:color w:val="auto"/>
              </w:rPr>
              <w:t>现有</w:t>
            </w:r>
            <w:r>
              <w:rPr>
                <w:rFonts w:hint="default"/>
                <w:color w:val="auto"/>
              </w:rPr>
              <w:t>储罐储存</w:t>
            </w:r>
            <w:r>
              <w:rPr>
                <w:rFonts w:hint="eastAsia"/>
                <w:color w:val="auto"/>
              </w:rPr>
              <w:t>；蜡油、渣油利用</w:t>
            </w:r>
            <w:r>
              <w:rPr>
                <w:rFonts w:hint="default"/>
                <w:color w:val="auto"/>
              </w:rPr>
              <w:t>现有的原有装卸臂及管线输送进后方库区</w:t>
            </w:r>
            <w:r>
              <w:rPr>
                <w:rFonts w:hint="eastAsia"/>
                <w:color w:val="auto"/>
              </w:rPr>
              <w:t>1</w:t>
            </w:r>
            <w:r>
              <w:rPr>
                <w:rFonts w:hint="default"/>
                <w:color w:val="auto"/>
              </w:rPr>
              <w:t>#</w:t>
            </w:r>
            <w:r>
              <w:rPr>
                <w:rFonts w:hint="eastAsia"/>
                <w:color w:val="auto"/>
              </w:rPr>
              <w:t>罐组</w:t>
            </w:r>
            <w:r>
              <w:rPr>
                <w:rFonts w:hint="default"/>
                <w:color w:val="auto"/>
              </w:rPr>
              <w:t>中现有储罐储存；</w:t>
            </w:r>
          </w:p>
        </w:tc>
      </w:tr>
      <w:tr w14:paraId="3B0488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340E66A6">
            <w:pPr>
              <w:pStyle w:val="77"/>
              <w:keepNext w:val="0"/>
              <w:keepLines w:val="0"/>
              <w:suppressLineNumbers w:val="0"/>
              <w:spacing w:before="0" w:beforeAutospacing="0" w:after="0" w:afterAutospacing="0"/>
              <w:ind w:left="0" w:right="0"/>
              <w:rPr>
                <w:rFonts w:hint="default"/>
                <w:color w:val="auto"/>
              </w:rPr>
            </w:pPr>
          </w:p>
        </w:tc>
        <w:tc>
          <w:tcPr>
            <w:tcW w:w="568" w:type="dxa"/>
            <w:tcMar>
              <w:left w:w="0" w:type="dxa"/>
              <w:right w:w="0" w:type="dxa"/>
            </w:tcMar>
            <w:vAlign w:val="center"/>
          </w:tcPr>
          <w:p w14:paraId="2784B4E4">
            <w:pPr>
              <w:pStyle w:val="77"/>
              <w:keepNext w:val="0"/>
              <w:keepLines w:val="0"/>
              <w:suppressLineNumbers w:val="0"/>
              <w:spacing w:before="0" w:beforeAutospacing="0" w:after="0" w:afterAutospacing="0"/>
              <w:ind w:left="0" w:right="0"/>
              <w:rPr>
                <w:rFonts w:hint="default"/>
                <w:color w:val="auto"/>
              </w:rPr>
            </w:pPr>
            <w:r>
              <w:rPr>
                <w:rFonts w:hint="default"/>
                <w:color w:val="auto"/>
              </w:rPr>
              <w:t>运输</w:t>
            </w:r>
          </w:p>
        </w:tc>
        <w:tc>
          <w:tcPr>
            <w:tcW w:w="1864" w:type="dxa"/>
            <w:gridSpan w:val="2"/>
            <w:tcMar>
              <w:left w:w="0" w:type="dxa"/>
              <w:right w:w="0" w:type="dxa"/>
            </w:tcMar>
            <w:vAlign w:val="center"/>
          </w:tcPr>
          <w:p w14:paraId="291C465A">
            <w:pPr>
              <w:pStyle w:val="77"/>
              <w:keepNext w:val="0"/>
              <w:keepLines w:val="0"/>
              <w:suppressLineNumbers w:val="0"/>
              <w:spacing w:before="0" w:beforeAutospacing="0" w:after="0" w:afterAutospacing="0"/>
              <w:ind w:left="0" w:right="0"/>
              <w:rPr>
                <w:rFonts w:hint="default"/>
                <w:color w:val="auto"/>
              </w:rPr>
            </w:pPr>
            <w:r>
              <w:rPr>
                <w:rFonts w:hint="default"/>
                <w:color w:val="auto"/>
              </w:rPr>
              <w:t>船型</w:t>
            </w:r>
          </w:p>
        </w:tc>
        <w:tc>
          <w:tcPr>
            <w:tcW w:w="6729" w:type="dxa"/>
            <w:tcMar>
              <w:left w:w="0" w:type="dxa"/>
              <w:right w:w="0" w:type="dxa"/>
            </w:tcMar>
            <w:vAlign w:val="center"/>
          </w:tcPr>
          <w:p w14:paraId="3CC3B506">
            <w:pPr>
              <w:pStyle w:val="77"/>
              <w:keepNext w:val="0"/>
              <w:keepLines w:val="0"/>
              <w:suppressLineNumbers w:val="0"/>
              <w:spacing w:before="0" w:beforeAutospacing="0" w:after="0" w:afterAutospacing="0"/>
              <w:ind w:left="0" w:right="0"/>
              <w:rPr>
                <w:rFonts w:hint="default"/>
                <w:color w:val="auto"/>
              </w:rPr>
            </w:pPr>
            <w:r>
              <w:rPr>
                <w:rFonts w:hint="eastAsia"/>
                <w:color w:val="auto"/>
              </w:rPr>
              <w:t>设计代表</w:t>
            </w:r>
            <w:r>
              <w:rPr>
                <w:rFonts w:hint="default"/>
                <w:color w:val="auto"/>
              </w:rPr>
              <w:t>船型</w:t>
            </w:r>
            <w:r>
              <w:rPr>
                <w:rFonts w:hint="eastAsia"/>
                <w:color w:val="auto"/>
              </w:rPr>
              <w:t>3000~50000吨级</w:t>
            </w:r>
            <w:r>
              <w:rPr>
                <w:rFonts w:hint="default"/>
                <w:color w:val="auto"/>
              </w:rPr>
              <w:t>，详见表</w:t>
            </w:r>
            <w:r>
              <w:rPr>
                <w:rFonts w:hint="eastAsia"/>
                <w:color w:val="auto"/>
              </w:rPr>
              <w:t>2.1-3</w:t>
            </w:r>
          </w:p>
        </w:tc>
      </w:tr>
      <w:tr w14:paraId="6C0629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37EA6213">
            <w:pPr>
              <w:pStyle w:val="77"/>
              <w:keepNext w:val="0"/>
              <w:keepLines w:val="0"/>
              <w:suppressLineNumbers w:val="0"/>
              <w:spacing w:before="0" w:beforeAutospacing="0" w:after="0" w:afterAutospacing="0"/>
              <w:ind w:left="0" w:right="0"/>
              <w:rPr>
                <w:rFonts w:hint="default"/>
                <w:color w:val="auto"/>
              </w:rPr>
            </w:pPr>
          </w:p>
        </w:tc>
        <w:tc>
          <w:tcPr>
            <w:tcW w:w="568" w:type="dxa"/>
            <w:vMerge w:val="restart"/>
            <w:tcMar>
              <w:left w:w="0" w:type="dxa"/>
              <w:right w:w="0" w:type="dxa"/>
            </w:tcMar>
            <w:vAlign w:val="center"/>
          </w:tcPr>
          <w:p w14:paraId="35C1404E">
            <w:pPr>
              <w:pStyle w:val="77"/>
              <w:keepNext w:val="0"/>
              <w:keepLines w:val="0"/>
              <w:suppressLineNumbers w:val="0"/>
              <w:spacing w:before="0" w:beforeAutospacing="0" w:after="0" w:afterAutospacing="0"/>
              <w:ind w:left="0" w:right="0"/>
              <w:rPr>
                <w:rFonts w:hint="default"/>
                <w:color w:val="auto"/>
              </w:rPr>
            </w:pPr>
            <w:r>
              <w:rPr>
                <w:rFonts w:hint="default"/>
                <w:color w:val="auto"/>
              </w:rPr>
              <w:t>配套工程</w:t>
            </w:r>
          </w:p>
        </w:tc>
        <w:tc>
          <w:tcPr>
            <w:tcW w:w="1864" w:type="dxa"/>
            <w:gridSpan w:val="2"/>
            <w:tcMar>
              <w:left w:w="0" w:type="dxa"/>
              <w:right w:w="0" w:type="dxa"/>
            </w:tcMar>
            <w:vAlign w:val="center"/>
          </w:tcPr>
          <w:p w14:paraId="51CCBC2A">
            <w:pPr>
              <w:pStyle w:val="77"/>
              <w:keepNext w:val="0"/>
              <w:keepLines w:val="0"/>
              <w:suppressLineNumbers w:val="0"/>
              <w:spacing w:before="0" w:beforeAutospacing="0" w:after="0" w:afterAutospacing="0"/>
              <w:ind w:left="0" w:right="0"/>
              <w:rPr>
                <w:rFonts w:hint="default"/>
                <w:color w:val="auto"/>
              </w:rPr>
            </w:pPr>
            <w:r>
              <w:rPr>
                <w:rFonts w:hint="default"/>
                <w:color w:val="auto"/>
              </w:rPr>
              <w:t>给水</w:t>
            </w:r>
          </w:p>
        </w:tc>
        <w:tc>
          <w:tcPr>
            <w:tcW w:w="6729" w:type="dxa"/>
            <w:tcMar>
              <w:left w:w="0" w:type="dxa"/>
              <w:right w:w="0" w:type="dxa"/>
            </w:tcMar>
            <w:vAlign w:val="center"/>
          </w:tcPr>
          <w:p w14:paraId="365B6A34">
            <w:pPr>
              <w:pStyle w:val="77"/>
              <w:keepNext w:val="0"/>
              <w:keepLines w:val="0"/>
              <w:suppressLineNumbers w:val="0"/>
              <w:spacing w:before="0" w:beforeAutospacing="0" w:after="0" w:afterAutospacing="0"/>
              <w:ind w:left="0" w:right="0"/>
              <w:rPr>
                <w:rFonts w:hint="default"/>
                <w:color w:val="auto"/>
              </w:rPr>
            </w:pPr>
            <w:r>
              <w:rPr>
                <w:rFonts w:hint="default"/>
                <w:color w:val="auto"/>
              </w:rPr>
              <w:t>由</w:t>
            </w:r>
            <w:r>
              <w:rPr>
                <w:rFonts w:hint="eastAsia"/>
                <w:color w:val="auto"/>
              </w:rPr>
              <w:t>钦州港自来水管网供给，</w:t>
            </w:r>
            <w:r>
              <w:rPr>
                <w:rFonts w:hint="default"/>
                <w:color w:val="auto"/>
              </w:rPr>
              <w:t>本次扩建项目不新增</w:t>
            </w:r>
            <w:r>
              <w:rPr>
                <w:rFonts w:hint="eastAsia"/>
                <w:color w:val="auto"/>
              </w:rPr>
              <w:t>给水</w:t>
            </w:r>
            <w:r>
              <w:rPr>
                <w:rFonts w:hint="default"/>
                <w:color w:val="auto"/>
              </w:rPr>
              <w:t>管网</w:t>
            </w:r>
          </w:p>
        </w:tc>
      </w:tr>
      <w:tr w14:paraId="3C79A5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4378C090">
            <w:pPr>
              <w:pStyle w:val="77"/>
              <w:keepNext w:val="0"/>
              <w:keepLines w:val="0"/>
              <w:suppressLineNumbers w:val="0"/>
              <w:spacing w:before="0" w:beforeAutospacing="0" w:after="0" w:afterAutospacing="0"/>
              <w:ind w:left="0" w:right="0"/>
              <w:rPr>
                <w:rFonts w:hint="default"/>
                <w:color w:val="auto"/>
              </w:rPr>
            </w:pPr>
          </w:p>
        </w:tc>
        <w:tc>
          <w:tcPr>
            <w:tcW w:w="568" w:type="dxa"/>
            <w:vMerge w:val="continue"/>
            <w:tcMar>
              <w:left w:w="0" w:type="dxa"/>
              <w:right w:w="0" w:type="dxa"/>
            </w:tcMar>
            <w:vAlign w:val="center"/>
          </w:tcPr>
          <w:p w14:paraId="0A802683">
            <w:pPr>
              <w:pStyle w:val="77"/>
              <w:keepNext w:val="0"/>
              <w:keepLines w:val="0"/>
              <w:suppressLineNumbers w:val="0"/>
              <w:spacing w:before="0" w:beforeAutospacing="0" w:after="0" w:afterAutospacing="0"/>
              <w:ind w:left="0" w:right="0"/>
              <w:rPr>
                <w:rFonts w:hint="default"/>
                <w:color w:val="auto"/>
              </w:rPr>
            </w:pPr>
          </w:p>
        </w:tc>
        <w:tc>
          <w:tcPr>
            <w:tcW w:w="1864" w:type="dxa"/>
            <w:gridSpan w:val="2"/>
            <w:tcMar>
              <w:left w:w="0" w:type="dxa"/>
              <w:right w:w="0" w:type="dxa"/>
            </w:tcMar>
            <w:vAlign w:val="center"/>
          </w:tcPr>
          <w:p w14:paraId="71522D07">
            <w:pPr>
              <w:pStyle w:val="77"/>
              <w:keepNext w:val="0"/>
              <w:keepLines w:val="0"/>
              <w:suppressLineNumbers w:val="0"/>
              <w:spacing w:before="0" w:beforeAutospacing="0" w:after="0" w:afterAutospacing="0"/>
              <w:ind w:left="0" w:right="0"/>
              <w:rPr>
                <w:rFonts w:hint="default"/>
                <w:color w:val="auto"/>
              </w:rPr>
            </w:pPr>
            <w:r>
              <w:rPr>
                <w:rFonts w:hint="default"/>
                <w:color w:val="auto"/>
              </w:rPr>
              <w:t>排水</w:t>
            </w:r>
          </w:p>
        </w:tc>
        <w:tc>
          <w:tcPr>
            <w:tcW w:w="6729" w:type="dxa"/>
            <w:tcMar>
              <w:left w:w="0" w:type="dxa"/>
              <w:right w:w="0" w:type="dxa"/>
            </w:tcMar>
            <w:vAlign w:val="center"/>
          </w:tcPr>
          <w:p w14:paraId="789663A5">
            <w:pPr>
              <w:pStyle w:val="77"/>
              <w:keepNext w:val="0"/>
              <w:keepLines w:val="0"/>
              <w:suppressLineNumbers w:val="0"/>
              <w:spacing w:before="0" w:beforeAutospacing="0" w:after="0" w:afterAutospacing="0"/>
              <w:ind w:left="0" w:right="0"/>
              <w:rPr>
                <w:rFonts w:hint="default"/>
                <w:color w:val="auto"/>
              </w:rPr>
            </w:pPr>
            <w:r>
              <w:rPr>
                <w:rFonts w:hint="default"/>
                <w:color w:val="auto"/>
              </w:rPr>
              <w:t>项目产生的污水</w:t>
            </w:r>
            <w:bookmarkStart w:id="292" w:name="OLE_LINK9"/>
            <w:bookmarkStart w:id="293" w:name="OLE_LINK10"/>
            <w:r>
              <w:rPr>
                <w:rFonts w:hint="default"/>
                <w:color w:val="auto"/>
              </w:rPr>
              <w:t>经收集后</w:t>
            </w:r>
            <w:r>
              <w:rPr>
                <w:rFonts w:hint="eastAsia"/>
                <w:color w:val="auto"/>
              </w:rPr>
              <w:t>由罐车运回东油沥青厂区后统一通过管网输送至广西石化污水处理场进行处理。</w:t>
            </w:r>
            <w:bookmarkEnd w:id="292"/>
            <w:bookmarkEnd w:id="293"/>
          </w:p>
        </w:tc>
      </w:tr>
      <w:tr w14:paraId="0E2B3D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21D8BDD9">
            <w:pPr>
              <w:pStyle w:val="77"/>
              <w:keepNext w:val="0"/>
              <w:keepLines w:val="0"/>
              <w:suppressLineNumbers w:val="0"/>
              <w:spacing w:before="0" w:beforeAutospacing="0" w:after="0" w:afterAutospacing="0"/>
              <w:ind w:left="0" w:right="0"/>
              <w:rPr>
                <w:rFonts w:hint="default"/>
                <w:color w:val="auto"/>
              </w:rPr>
            </w:pPr>
          </w:p>
        </w:tc>
        <w:tc>
          <w:tcPr>
            <w:tcW w:w="568" w:type="dxa"/>
            <w:vMerge w:val="continue"/>
            <w:tcMar>
              <w:left w:w="0" w:type="dxa"/>
              <w:right w:w="0" w:type="dxa"/>
            </w:tcMar>
            <w:vAlign w:val="center"/>
          </w:tcPr>
          <w:p w14:paraId="12F7F46B">
            <w:pPr>
              <w:pStyle w:val="77"/>
              <w:keepNext w:val="0"/>
              <w:keepLines w:val="0"/>
              <w:suppressLineNumbers w:val="0"/>
              <w:spacing w:before="0" w:beforeAutospacing="0" w:after="0" w:afterAutospacing="0"/>
              <w:ind w:left="0" w:right="0"/>
              <w:rPr>
                <w:rFonts w:hint="default"/>
                <w:color w:val="auto"/>
              </w:rPr>
            </w:pPr>
          </w:p>
        </w:tc>
        <w:tc>
          <w:tcPr>
            <w:tcW w:w="1864" w:type="dxa"/>
            <w:gridSpan w:val="2"/>
            <w:tcMar>
              <w:left w:w="0" w:type="dxa"/>
              <w:right w:w="0" w:type="dxa"/>
            </w:tcMar>
            <w:vAlign w:val="center"/>
          </w:tcPr>
          <w:p w14:paraId="4D686464">
            <w:pPr>
              <w:pStyle w:val="77"/>
              <w:keepNext w:val="0"/>
              <w:keepLines w:val="0"/>
              <w:suppressLineNumbers w:val="0"/>
              <w:spacing w:before="0" w:beforeAutospacing="0" w:after="0" w:afterAutospacing="0"/>
              <w:ind w:left="0" w:right="0"/>
              <w:rPr>
                <w:rFonts w:hint="default"/>
                <w:color w:val="auto"/>
              </w:rPr>
            </w:pPr>
            <w:r>
              <w:rPr>
                <w:rFonts w:hint="default"/>
                <w:color w:val="auto"/>
              </w:rPr>
              <w:t>供电</w:t>
            </w:r>
          </w:p>
        </w:tc>
        <w:tc>
          <w:tcPr>
            <w:tcW w:w="6729" w:type="dxa"/>
            <w:tcMar>
              <w:left w:w="0" w:type="dxa"/>
              <w:right w:w="0" w:type="dxa"/>
            </w:tcMar>
            <w:vAlign w:val="center"/>
          </w:tcPr>
          <w:p w14:paraId="38E04105">
            <w:pPr>
              <w:pStyle w:val="77"/>
              <w:keepNext w:val="0"/>
              <w:keepLines w:val="0"/>
              <w:suppressLineNumbers w:val="0"/>
              <w:spacing w:before="0" w:beforeAutospacing="0" w:after="0" w:afterAutospacing="0"/>
              <w:ind w:left="0" w:right="0"/>
              <w:rPr>
                <w:rFonts w:hint="default"/>
                <w:color w:val="auto"/>
              </w:rPr>
            </w:pPr>
            <w:r>
              <w:rPr>
                <w:rFonts w:hint="eastAsia"/>
                <w:color w:val="auto"/>
              </w:rPr>
              <w:t>用电电源一路</w:t>
            </w:r>
            <w:r>
              <w:rPr>
                <w:rFonts w:hint="eastAsia"/>
                <w:color w:val="auto"/>
                <w:lang w:eastAsia="zh-CN"/>
              </w:rPr>
              <w:t>引自</w:t>
            </w:r>
            <w:r>
              <w:rPr>
                <w:rFonts w:hint="eastAsia"/>
                <w:color w:val="auto"/>
              </w:rPr>
              <w:t>钦州港果子山变电站，另一路引自港口220kV变电所，即采用双电源的供电方式</w:t>
            </w:r>
          </w:p>
        </w:tc>
      </w:tr>
      <w:tr w14:paraId="2C0A05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2BF0904A">
            <w:pPr>
              <w:pStyle w:val="77"/>
              <w:keepNext w:val="0"/>
              <w:keepLines w:val="0"/>
              <w:suppressLineNumbers w:val="0"/>
              <w:spacing w:before="0" w:beforeAutospacing="0" w:after="0" w:afterAutospacing="0"/>
              <w:ind w:left="0" w:right="0"/>
              <w:rPr>
                <w:rFonts w:hint="default"/>
                <w:color w:val="auto"/>
              </w:rPr>
            </w:pPr>
          </w:p>
        </w:tc>
        <w:tc>
          <w:tcPr>
            <w:tcW w:w="568" w:type="dxa"/>
            <w:vMerge w:val="continue"/>
            <w:tcMar>
              <w:left w:w="0" w:type="dxa"/>
              <w:right w:w="0" w:type="dxa"/>
            </w:tcMar>
            <w:vAlign w:val="center"/>
          </w:tcPr>
          <w:p w14:paraId="46DC3449">
            <w:pPr>
              <w:pStyle w:val="77"/>
              <w:keepNext w:val="0"/>
              <w:keepLines w:val="0"/>
              <w:suppressLineNumbers w:val="0"/>
              <w:spacing w:before="0" w:beforeAutospacing="0" w:after="0" w:afterAutospacing="0"/>
              <w:ind w:left="0" w:right="0"/>
              <w:rPr>
                <w:rFonts w:hint="default"/>
                <w:color w:val="auto"/>
              </w:rPr>
            </w:pPr>
          </w:p>
        </w:tc>
        <w:tc>
          <w:tcPr>
            <w:tcW w:w="1864" w:type="dxa"/>
            <w:gridSpan w:val="2"/>
            <w:tcMar>
              <w:left w:w="0" w:type="dxa"/>
              <w:right w:w="0" w:type="dxa"/>
            </w:tcMar>
            <w:vAlign w:val="center"/>
          </w:tcPr>
          <w:p w14:paraId="08CEA05A">
            <w:pPr>
              <w:pStyle w:val="77"/>
              <w:keepNext w:val="0"/>
              <w:keepLines w:val="0"/>
              <w:suppressLineNumbers w:val="0"/>
              <w:spacing w:before="0" w:beforeAutospacing="0" w:after="0" w:afterAutospacing="0"/>
              <w:ind w:left="0" w:right="0"/>
              <w:rPr>
                <w:rFonts w:hint="default"/>
                <w:color w:val="auto"/>
              </w:rPr>
            </w:pPr>
            <w:r>
              <w:rPr>
                <w:rFonts w:hint="default"/>
                <w:color w:val="auto"/>
              </w:rPr>
              <w:t>消防</w:t>
            </w:r>
          </w:p>
        </w:tc>
        <w:tc>
          <w:tcPr>
            <w:tcW w:w="6729" w:type="dxa"/>
            <w:tcMar>
              <w:left w:w="0" w:type="dxa"/>
              <w:right w:w="0" w:type="dxa"/>
            </w:tcMar>
            <w:vAlign w:val="center"/>
          </w:tcPr>
          <w:p w14:paraId="79EA4946">
            <w:pPr>
              <w:pStyle w:val="77"/>
              <w:keepNext w:val="0"/>
              <w:keepLines w:val="0"/>
              <w:suppressLineNumbers w:val="0"/>
              <w:spacing w:before="0" w:beforeAutospacing="0" w:after="0" w:afterAutospacing="0"/>
              <w:ind w:left="0" w:right="0"/>
              <w:rPr>
                <w:rFonts w:hint="default"/>
                <w:color w:val="auto"/>
              </w:rPr>
            </w:pPr>
            <w:r>
              <w:rPr>
                <w:rFonts w:hint="default"/>
                <w:color w:val="auto"/>
              </w:rPr>
              <w:t>码头</w:t>
            </w:r>
            <w:r>
              <w:rPr>
                <w:rFonts w:hint="eastAsia"/>
                <w:color w:val="auto"/>
              </w:rPr>
              <w:t>和</w:t>
            </w:r>
            <w:r>
              <w:rPr>
                <w:rFonts w:hint="default"/>
                <w:color w:val="auto"/>
              </w:rPr>
              <w:t>后方</w:t>
            </w:r>
            <w:r>
              <w:rPr>
                <w:rFonts w:hint="eastAsia"/>
                <w:color w:val="auto"/>
              </w:rPr>
              <w:t>库区</w:t>
            </w:r>
            <w:r>
              <w:rPr>
                <w:rFonts w:hint="default"/>
                <w:color w:val="auto"/>
              </w:rPr>
              <w:t>设有消防系统，消防采用泡沫灭火剂和水结合的方式</w:t>
            </w:r>
          </w:p>
        </w:tc>
      </w:tr>
      <w:tr w14:paraId="7D813D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1783EDA2">
            <w:pPr>
              <w:pStyle w:val="77"/>
              <w:keepNext w:val="0"/>
              <w:keepLines w:val="0"/>
              <w:suppressLineNumbers w:val="0"/>
              <w:spacing w:before="0" w:beforeAutospacing="0" w:after="0" w:afterAutospacing="0"/>
              <w:ind w:left="0" w:right="0"/>
              <w:rPr>
                <w:rFonts w:hint="default"/>
                <w:color w:val="auto"/>
              </w:rPr>
            </w:pPr>
          </w:p>
        </w:tc>
        <w:tc>
          <w:tcPr>
            <w:tcW w:w="568" w:type="dxa"/>
            <w:vMerge w:val="restart"/>
            <w:tcMar>
              <w:left w:w="0" w:type="dxa"/>
              <w:right w:w="0" w:type="dxa"/>
            </w:tcMar>
            <w:vAlign w:val="center"/>
          </w:tcPr>
          <w:p w14:paraId="3B40198C">
            <w:pPr>
              <w:pStyle w:val="77"/>
              <w:keepNext w:val="0"/>
              <w:keepLines w:val="0"/>
              <w:suppressLineNumbers w:val="0"/>
              <w:spacing w:before="0" w:beforeAutospacing="0" w:after="0" w:afterAutospacing="0"/>
              <w:ind w:left="0" w:right="0"/>
              <w:rPr>
                <w:rFonts w:hint="default"/>
                <w:color w:val="auto"/>
              </w:rPr>
            </w:pPr>
            <w:r>
              <w:rPr>
                <w:rFonts w:hint="default"/>
                <w:color w:val="auto"/>
              </w:rPr>
              <w:t>环保工程</w:t>
            </w:r>
          </w:p>
        </w:tc>
        <w:tc>
          <w:tcPr>
            <w:tcW w:w="1864" w:type="dxa"/>
            <w:gridSpan w:val="2"/>
            <w:tcMar>
              <w:left w:w="0" w:type="dxa"/>
              <w:right w:w="0" w:type="dxa"/>
            </w:tcMar>
            <w:vAlign w:val="center"/>
          </w:tcPr>
          <w:p w14:paraId="2520E475">
            <w:pPr>
              <w:pStyle w:val="77"/>
              <w:keepNext w:val="0"/>
              <w:keepLines w:val="0"/>
              <w:suppressLineNumbers w:val="0"/>
              <w:spacing w:before="0" w:beforeAutospacing="0" w:after="0" w:afterAutospacing="0"/>
              <w:ind w:left="0" w:right="0"/>
              <w:rPr>
                <w:rFonts w:hint="default"/>
                <w:color w:val="auto"/>
              </w:rPr>
            </w:pPr>
            <w:r>
              <w:rPr>
                <w:rFonts w:hint="default"/>
                <w:color w:val="auto"/>
              </w:rPr>
              <w:t>废气处理措施</w:t>
            </w:r>
          </w:p>
        </w:tc>
        <w:tc>
          <w:tcPr>
            <w:tcW w:w="6729" w:type="dxa"/>
            <w:tcMar>
              <w:left w:w="0" w:type="dxa"/>
              <w:right w:w="0" w:type="dxa"/>
            </w:tcMar>
            <w:vAlign w:val="center"/>
          </w:tcPr>
          <w:p w14:paraId="0409AFFF">
            <w:pPr>
              <w:pStyle w:val="77"/>
              <w:keepNext w:val="0"/>
              <w:keepLines w:val="0"/>
              <w:suppressLineNumbers w:val="0"/>
              <w:spacing w:before="0" w:beforeAutospacing="0" w:after="0" w:afterAutospacing="0"/>
              <w:ind w:left="0" w:right="0"/>
              <w:rPr>
                <w:rFonts w:hint="default"/>
                <w:color w:val="auto"/>
              </w:rPr>
            </w:pPr>
            <w:r>
              <w:rPr>
                <w:rFonts w:hint="eastAsia"/>
                <w:color w:val="auto"/>
              </w:rPr>
              <w:t>新增4个</w:t>
            </w:r>
            <w:r>
              <w:rPr>
                <w:rFonts w:hint="default"/>
                <w:color w:val="auto"/>
              </w:rPr>
              <w:t>货种</w:t>
            </w:r>
            <w:r>
              <w:rPr>
                <w:rFonts w:hint="eastAsia"/>
                <w:color w:val="auto"/>
              </w:rPr>
              <w:t>卸船</w:t>
            </w:r>
            <w:r>
              <w:rPr>
                <w:rFonts w:hint="default"/>
                <w:color w:val="auto"/>
              </w:rPr>
              <w:t>产生的</w:t>
            </w:r>
            <w:r>
              <w:rPr>
                <w:rFonts w:hint="eastAsia"/>
                <w:color w:val="auto"/>
              </w:rPr>
              <w:t>通过</w:t>
            </w:r>
            <w:r>
              <w:rPr>
                <w:rFonts w:hint="default"/>
                <w:color w:val="auto"/>
              </w:rPr>
              <w:t>储罐呼吸后无组织排放，储罐采取氮封等措施；</w:t>
            </w:r>
          </w:p>
          <w:p w14:paraId="79E912C0">
            <w:pPr>
              <w:pStyle w:val="77"/>
              <w:keepNext w:val="0"/>
              <w:keepLines w:val="0"/>
              <w:suppressLineNumbers w:val="0"/>
              <w:spacing w:before="0" w:beforeAutospacing="0" w:after="0" w:afterAutospacing="0"/>
              <w:ind w:left="0" w:right="0"/>
              <w:rPr>
                <w:rFonts w:hint="default"/>
                <w:color w:val="auto"/>
              </w:rPr>
            </w:pPr>
            <w:r>
              <w:rPr>
                <w:rFonts w:hint="eastAsia"/>
                <w:color w:val="auto"/>
              </w:rPr>
              <w:t>甲基叔丁基醚（MTBE）装船过程中产生的废气经汽油装船油气回收设施处理后经15m排气筒排放（DA003）</w:t>
            </w:r>
          </w:p>
        </w:tc>
      </w:tr>
      <w:tr w14:paraId="046751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6E461BF7">
            <w:pPr>
              <w:pStyle w:val="77"/>
              <w:keepNext w:val="0"/>
              <w:keepLines w:val="0"/>
              <w:suppressLineNumbers w:val="0"/>
              <w:spacing w:before="0" w:beforeAutospacing="0" w:after="0" w:afterAutospacing="0"/>
              <w:ind w:left="0" w:right="0"/>
              <w:rPr>
                <w:rFonts w:hint="default"/>
                <w:color w:val="auto"/>
              </w:rPr>
            </w:pPr>
          </w:p>
        </w:tc>
        <w:tc>
          <w:tcPr>
            <w:tcW w:w="568" w:type="dxa"/>
            <w:vMerge w:val="continue"/>
            <w:tcMar>
              <w:left w:w="0" w:type="dxa"/>
              <w:right w:w="0" w:type="dxa"/>
            </w:tcMar>
            <w:vAlign w:val="center"/>
          </w:tcPr>
          <w:p w14:paraId="12ABB9AF">
            <w:pPr>
              <w:pStyle w:val="77"/>
              <w:keepNext w:val="0"/>
              <w:keepLines w:val="0"/>
              <w:suppressLineNumbers w:val="0"/>
              <w:spacing w:before="0" w:beforeAutospacing="0" w:after="0" w:afterAutospacing="0"/>
              <w:ind w:left="0" w:right="0"/>
              <w:rPr>
                <w:rFonts w:hint="default"/>
                <w:color w:val="auto"/>
              </w:rPr>
            </w:pPr>
          </w:p>
        </w:tc>
        <w:tc>
          <w:tcPr>
            <w:tcW w:w="1864" w:type="dxa"/>
            <w:gridSpan w:val="2"/>
            <w:tcMar>
              <w:left w:w="0" w:type="dxa"/>
              <w:right w:w="0" w:type="dxa"/>
            </w:tcMar>
            <w:vAlign w:val="center"/>
          </w:tcPr>
          <w:p w14:paraId="60FF383A">
            <w:pPr>
              <w:pStyle w:val="77"/>
              <w:keepNext w:val="0"/>
              <w:keepLines w:val="0"/>
              <w:suppressLineNumbers w:val="0"/>
              <w:spacing w:before="0" w:beforeAutospacing="0" w:after="0" w:afterAutospacing="0"/>
              <w:ind w:left="0" w:right="0"/>
              <w:rPr>
                <w:rFonts w:hint="eastAsia"/>
                <w:color w:val="auto"/>
              </w:rPr>
            </w:pPr>
            <w:r>
              <w:rPr>
                <w:rFonts w:hint="eastAsia"/>
                <w:color w:val="auto"/>
                <w:u w:val="single"/>
              </w:rPr>
              <w:t>废水</w:t>
            </w:r>
            <w:r>
              <w:rPr>
                <w:rFonts w:hint="default"/>
                <w:color w:val="auto"/>
                <w:u w:val="single"/>
              </w:rPr>
              <w:t>处理</w:t>
            </w:r>
          </w:p>
        </w:tc>
        <w:tc>
          <w:tcPr>
            <w:tcW w:w="6729" w:type="dxa"/>
            <w:tcMar>
              <w:left w:w="0" w:type="dxa"/>
              <w:right w:w="0" w:type="dxa"/>
            </w:tcMar>
            <w:vAlign w:val="center"/>
          </w:tcPr>
          <w:p w14:paraId="3A1CF81D">
            <w:pPr>
              <w:pStyle w:val="77"/>
              <w:keepNext w:val="0"/>
              <w:keepLines w:val="0"/>
              <w:suppressLineNumbers w:val="0"/>
              <w:spacing w:before="0" w:beforeAutospacing="0" w:after="0" w:afterAutospacing="0"/>
              <w:ind w:left="0" w:right="0"/>
              <w:rPr>
                <w:rFonts w:hint="eastAsia"/>
                <w:color w:val="auto"/>
              </w:rPr>
            </w:pPr>
            <w:r>
              <w:rPr>
                <w:rFonts w:hint="eastAsia"/>
                <w:color w:val="auto"/>
                <w:u w:val="single"/>
              </w:rPr>
              <w:t>初期雨水、码头冲洗废水以及洗罐废水由罐车统一运回东油沥青厂区后统一通过管网输送至广西石化污水处理场进行处理。陆域生活污水进入化粪池后，由吸污车运至东油沥青厂后，统一通过管网输送至广西石化污水处理场进行处理。</w:t>
            </w:r>
          </w:p>
        </w:tc>
      </w:tr>
      <w:tr w14:paraId="15E575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6210B5FA">
            <w:pPr>
              <w:pStyle w:val="77"/>
              <w:keepNext w:val="0"/>
              <w:keepLines w:val="0"/>
              <w:suppressLineNumbers w:val="0"/>
              <w:spacing w:before="0" w:beforeAutospacing="0" w:after="0" w:afterAutospacing="0"/>
              <w:ind w:left="0" w:right="0"/>
              <w:rPr>
                <w:rFonts w:hint="default"/>
                <w:color w:val="auto"/>
              </w:rPr>
            </w:pPr>
          </w:p>
        </w:tc>
        <w:tc>
          <w:tcPr>
            <w:tcW w:w="568" w:type="dxa"/>
            <w:vMerge w:val="continue"/>
            <w:tcMar>
              <w:left w:w="0" w:type="dxa"/>
              <w:right w:w="0" w:type="dxa"/>
            </w:tcMar>
            <w:vAlign w:val="center"/>
          </w:tcPr>
          <w:p w14:paraId="36221AF4">
            <w:pPr>
              <w:pStyle w:val="77"/>
              <w:keepNext w:val="0"/>
              <w:keepLines w:val="0"/>
              <w:suppressLineNumbers w:val="0"/>
              <w:spacing w:before="0" w:beforeAutospacing="0" w:after="0" w:afterAutospacing="0"/>
              <w:ind w:left="0" w:right="0"/>
              <w:rPr>
                <w:rFonts w:hint="default"/>
                <w:color w:val="auto"/>
              </w:rPr>
            </w:pPr>
          </w:p>
        </w:tc>
        <w:tc>
          <w:tcPr>
            <w:tcW w:w="1864" w:type="dxa"/>
            <w:gridSpan w:val="2"/>
            <w:tcMar>
              <w:left w:w="0" w:type="dxa"/>
              <w:right w:w="0" w:type="dxa"/>
            </w:tcMar>
            <w:vAlign w:val="center"/>
          </w:tcPr>
          <w:p w14:paraId="5570C207">
            <w:pPr>
              <w:pStyle w:val="77"/>
              <w:keepNext w:val="0"/>
              <w:keepLines w:val="0"/>
              <w:suppressLineNumbers w:val="0"/>
              <w:spacing w:before="0" w:beforeAutospacing="0" w:after="0" w:afterAutospacing="0"/>
              <w:ind w:left="0" w:right="0"/>
              <w:rPr>
                <w:rFonts w:hint="default"/>
                <w:color w:val="auto"/>
              </w:rPr>
            </w:pPr>
            <w:r>
              <w:rPr>
                <w:rFonts w:hint="eastAsia"/>
                <w:color w:val="auto"/>
              </w:rPr>
              <w:t>危废暂存设施</w:t>
            </w:r>
          </w:p>
        </w:tc>
        <w:tc>
          <w:tcPr>
            <w:tcW w:w="6729" w:type="dxa"/>
            <w:tcMar>
              <w:left w:w="0" w:type="dxa"/>
              <w:right w:w="0" w:type="dxa"/>
            </w:tcMar>
            <w:vAlign w:val="center"/>
          </w:tcPr>
          <w:p w14:paraId="61D07A01">
            <w:pPr>
              <w:pStyle w:val="77"/>
              <w:keepNext w:val="0"/>
              <w:keepLines w:val="0"/>
              <w:suppressLineNumbers w:val="0"/>
              <w:spacing w:before="0" w:beforeAutospacing="0" w:after="0" w:afterAutospacing="0"/>
              <w:ind w:left="0" w:right="0"/>
              <w:rPr>
                <w:rFonts w:hint="default"/>
                <w:color w:val="auto"/>
              </w:rPr>
            </w:pPr>
            <w:r>
              <w:rPr>
                <w:rFonts w:hint="eastAsia"/>
                <w:color w:val="auto"/>
              </w:rPr>
              <w:t>依托现有工程危废暂存库，危废定期委托有资质单位处置</w:t>
            </w:r>
          </w:p>
        </w:tc>
      </w:tr>
      <w:tr w14:paraId="2021A6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1EC80A6E">
            <w:pPr>
              <w:pStyle w:val="77"/>
              <w:keepNext w:val="0"/>
              <w:keepLines w:val="0"/>
              <w:suppressLineNumbers w:val="0"/>
              <w:spacing w:before="0" w:beforeAutospacing="0" w:after="0" w:afterAutospacing="0"/>
              <w:ind w:left="0" w:right="0"/>
              <w:rPr>
                <w:rFonts w:hint="default"/>
                <w:color w:val="auto"/>
              </w:rPr>
            </w:pPr>
          </w:p>
        </w:tc>
        <w:tc>
          <w:tcPr>
            <w:tcW w:w="568" w:type="dxa"/>
            <w:vMerge w:val="continue"/>
            <w:tcMar>
              <w:left w:w="0" w:type="dxa"/>
              <w:right w:w="0" w:type="dxa"/>
            </w:tcMar>
            <w:vAlign w:val="center"/>
          </w:tcPr>
          <w:p w14:paraId="7B44D2DB">
            <w:pPr>
              <w:pStyle w:val="77"/>
              <w:keepNext w:val="0"/>
              <w:keepLines w:val="0"/>
              <w:suppressLineNumbers w:val="0"/>
              <w:spacing w:before="0" w:beforeAutospacing="0" w:after="0" w:afterAutospacing="0"/>
              <w:ind w:left="0" w:right="0"/>
              <w:rPr>
                <w:rFonts w:hint="default"/>
                <w:color w:val="auto"/>
              </w:rPr>
            </w:pPr>
          </w:p>
        </w:tc>
        <w:tc>
          <w:tcPr>
            <w:tcW w:w="1864" w:type="dxa"/>
            <w:gridSpan w:val="2"/>
            <w:tcMar>
              <w:left w:w="0" w:type="dxa"/>
              <w:right w:w="0" w:type="dxa"/>
            </w:tcMar>
            <w:vAlign w:val="center"/>
          </w:tcPr>
          <w:p w14:paraId="1A5A24E8">
            <w:pPr>
              <w:pStyle w:val="77"/>
              <w:keepNext w:val="0"/>
              <w:keepLines w:val="0"/>
              <w:suppressLineNumbers w:val="0"/>
              <w:spacing w:before="0" w:beforeAutospacing="0" w:after="0" w:afterAutospacing="0"/>
              <w:ind w:left="0" w:right="0"/>
              <w:rPr>
                <w:rFonts w:hint="default"/>
                <w:color w:val="auto"/>
              </w:rPr>
            </w:pPr>
            <w:r>
              <w:rPr>
                <w:rFonts w:hint="default"/>
                <w:color w:val="auto"/>
              </w:rPr>
              <w:t>环境风险防范措施</w:t>
            </w:r>
          </w:p>
        </w:tc>
        <w:tc>
          <w:tcPr>
            <w:tcW w:w="6729" w:type="dxa"/>
            <w:tcMar>
              <w:left w:w="0" w:type="dxa"/>
              <w:right w:w="0" w:type="dxa"/>
            </w:tcMar>
            <w:vAlign w:val="center"/>
          </w:tcPr>
          <w:p w14:paraId="0F4689D0">
            <w:pPr>
              <w:pStyle w:val="77"/>
              <w:keepNext w:val="0"/>
              <w:keepLines w:val="0"/>
              <w:suppressLineNumbers w:val="0"/>
              <w:spacing w:before="0" w:beforeAutospacing="0" w:after="0" w:afterAutospacing="0"/>
              <w:ind w:left="0" w:right="0"/>
              <w:rPr>
                <w:rFonts w:hint="default"/>
                <w:color w:val="auto"/>
              </w:rPr>
            </w:pPr>
            <w:r>
              <w:rPr>
                <w:rFonts w:hint="eastAsia"/>
                <w:color w:val="auto"/>
              </w:rPr>
              <w:t>依托现有工程应急设施，库区设置2间应急物资库，分别为溢油应急物资库和应急物资库，配备有围油栏、收油机等风险事故应急设施。</w:t>
            </w:r>
            <w:r>
              <w:rPr>
                <w:rFonts w:hint="default"/>
                <w:color w:val="auto"/>
              </w:rPr>
              <w:t>有</w:t>
            </w:r>
            <w:r>
              <w:rPr>
                <w:rFonts w:hint="eastAsia"/>
                <w:color w:val="auto"/>
              </w:rPr>
              <w:t>2个3000</w:t>
            </w:r>
            <w:r>
              <w:rPr>
                <w:rFonts w:hint="default"/>
                <w:color w:val="auto"/>
              </w:rPr>
              <w:t>m</w:t>
            </w:r>
            <w:r>
              <w:rPr>
                <w:rFonts w:hint="default"/>
                <w:color w:val="auto"/>
                <w:vertAlign w:val="superscript"/>
              </w:rPr>
              <w:t>3</w:t>
            </w:r>
            <w:r>
              <w:rPr>
                <w:rFonts w:hint="eastAsia"/>
                <w:color w:val="auto"/>
              </w:rPr>
              <w:t>的</w:t>
            </w:r>
            <w:r>
              <w:rPr>
                <w:rFonts w:hint="default"/>
                <w:color w:val="auto"/>
              </w:rPr>
              <w:t>消防水罐</w:t>
            </w:r>
            <w:r>
              <w:rPr>
                <w:rFonts w:hint="eastAsia"/>
                <w:color w:val="auto"/>
              </w:rPr>
              <w:t>。1个20000</w:t>
            </w:r>
            <w:r>
              <w:rPr>
                <w:rFonts w:hint="default"/>
                <w:color w:val="auto"/>
              </w:rPr>
              <w:t>m</w:t>
            </w:r>
            <w:r>
              <w:rPr>
                <w:rFonts w:hint="default"/>
                <w:color w:val="auto"/>
                <w:vertAlign w:val="superscript"/>
              </w:rPr>
              <w:t>3</w:t>
            </w:r>
            <w:r>
              <w:rPr>
                <w:rFonts w:hint="eastAsia"/>
                <w:color w:val="auto"/>
              </w:rPr>
              <w:t>的事故应急池。</w:t>
            </w:r>
            <w:r>
              <w:rPr>
                <w:rFonts w:hint="default"/>
                <w:color w:val="auto"/>
              </w:rPr>
              <w:t>码头操作区域设围堰，在管廊紧急切断阀组下方设置收集坎</w:t>
            </w:r>
            <w:r>
              <w:rPr>
                <w:rFonts w:hint="eastAsia"/>
                <w:color w:val="auto"/>
              </w:rPr>
              <w:t>；罐组设置围堰。</w:t>
            </w:r>
            <w:r>
              <w:rPr>
                <w:rFonts w:hint="default"/>
                <w:color w:val="auto"/>
              </w:rPr>
              <w:t>在码头</w:t>
            </w:r>
            <w:r>
              <w:rPr>
                <w:rFonts w:hint="eastAsia"/>
                <w:color w:val="auto"/>
              </w:rPr>
              <w:t>和</w:t>
            </w:r>
            <w:r>
              <w:rPr>
                <w:rFonts w:hint="default"/>
                <w:color w:val="auto"/>
              </w:rPr>
              <w:t>库区设置有毒及可燃气体监测仪，每隔一定距离设置火灾报警按钮，码头前方装卸平台上设置一体化防爆摄像机，在后方库区消防控制室设置监视器。</w:t>
            </w:r>
          </w:p>
        </w:tc>
      </w:tr>
      <w:bookmarkEnd w:id="287"/>
    </w:tbl>
    <w:p w14:paraId="45FDC109">
      <w:pPr>
        <w:pStyle w:val="4"/>
        <w:rPr>
          <w:color w:val="auto"/>
        </w:rPr>
      </w:pPr>
      <w:r>
        <w:rPr>
          <w:color w:val="auto"/>
        </w:rPr>
        <w:t>货种吞吐量</w:t>
      </w:r>
    </w:p>
    <w:p w14:paraId="5BE98745">
      <w:pPr>
        <w:ind w:firstLine="480"/>
        <w:rPr>
          <w:color w:val="auto"/>
        </w:rPr>
      </w:pPr>
      <w:r>
        <w:rPr>
          <w:rFonts w:hint="eastAsia"/>
          <w:color w:val="auto"/>
        </w:rPr>
        <w:t>本次</w:t>
      </w:r>
      <w:r>
        <w:rPr>
          <w:color w:val="auto"/>
        </w:rPr>
        <w:t>扩建项目新增</w:t>
      </w:r>
      <w:r>
        <w:rPr>
          <w:rFonts w:hint="eastAsia"/>
          <w:color w:val="auto"/>
        </w:rPr>
        <w:t>甲基叔丁基醚（MTBE）、石脑油、蜡油、渣油、异辛烷（烷基化油）5种</w:t>
      </w:r>
      <w:r>
        <w:rPr>
          <w:color w:val="auto"/>
        </w:rPr>
        <w:t>货种</w:t>
      </w:r>
      <w:r>
        <w:rPr>
          <w:rFonts w:hint="eastAsia"/>
          <w:color w:val="auto"/>
        </w:rPr>
        <w:t>的装卸和储存，其中</w:t>
      </w:r>
      <w:r>
        <w:rPr>
          <w:color w:val="auto"/>
        </w:rPr>
        <w:t>，</w:t>
      </w:r>
      <w:r>
        <w:rPr>
          <w:rFonts w:hint="eastAsia"/>
          <w:color w:val="auto"/>
        </w:rPr>
        <w:t>石脑油、异辛烷（烷基化油）、蜡油、渣油进行</w:t>
      </w:r>
      <w:r>
        <w:rPr>
          <w:color w:val="auto"/>
        </w:rPr>
        <w:t>卸船作业，</w:t>
      </w:r>
      <w:r>
        <w:rPr>
          <w:rFonts w:hint="eastAsia"/>
          <w:color w:val="auto"/>
        </w:rPr>
        <w:t>甲基叔丁基醚（MTBE）进行</w:t>
      </w:r>
      <w:r>
        <w:rPr>
          <w:color w:val="auto"/>
        </w:rPr>
        <w:t>装船作业。</w:t>
      </w:r>
    </w:p>
    <w:p w14:paraId="32E3611E">
      <w:pPr>
        <w:ind w:firstLine="480"/>
        <w:rPr>
          <w:rFonts w:hint="eastAsia"/>
          <w:color w:val="auto"/>
        </w:rPr>
      </w:pPr>
      <w:r>
        <w:rPr>
          <w:rFonts w:hint="eastAsia"/>
          <w:color w:val="auto"/>
        </w:rPr>
        <w:t>石脑油、异辛烷（烷基化油）利用汽油装卸</w:t>
      </w:r>
      <w:r>
        <w:rPr>
          <w:color w:val="auto"/>
        </w:rPr>
        <w:t>臂和</w:t>
      </w:r>
      <w:r>
        <w:rPr>
          <w:rFonts w:hint="eastAsia"/>
          <w:color w:val="auto"/>
        </w:rPr>
        <w:t>管线</w:t>
      </w:r>
      <w:r>
        <w:rPr>
          <w:color w:val="auto"/>
        </w:rPr>
        <w:t>，将</w:t>
      </w:r>
      <w:r>
        <w:rPr>
          <w:rFonts w:hint="eastAsia"/>
          <w:color w:val="auto"/>
        </w:rPr>
        <w:t>卸船</w:t>
      </w:r>
      <w:r>
        <w:rPr>
          <w:color w:val="auto"/>
        </w:rPr>
        <w:t>物料输送至后方库区</w:t>
      </w:r>
      <w:r>
        <w:rPr>
          <w:rFonts w:hint="eastAsia"/>
          <w:color w:val="auto"/>
        </w:rPr>
        <w:t>3#罐组</w:t>
      </w:r>
      <w:r>
        <w:rPr>
          <w:color w:val="auto"/>
        </w:rPr>
        <w:t>中储存，</w:t>
      </w:r>
      <w:r>
        <w:rPr>
          <w:rFonts w:hint="eastAsia"/>
          <w:color w:val="auto"/>
        </w:rPr>
        <w:t>蜡油、渣油利用</w:t>
      </w:r>
      <w:r>
        <w:rPr>
          <w:color w:val="auto"/>
        </w:rPr>
        <w:t>现有</w:t>
      </w:r>
      <w:r>
        <w:rPr>
          <w:rFonts w:hint="eastAsia"/>
          <w:color w:val="auto"/>
        </w:rPr>
        <w:t>原油输油臂和</w:t>
      </w:r>
      <w:r>
        <w:rPr>
          <w:color w:val="auto"/>
        </w:rPr>
        <w:t>管线</w:t>
      </w:r>
      <w:r>
        <w:rPr>
          <w:rFonts w:hint="eastAsia"/>
          <w:color w:val="auto"/>
        </w:rPr>
        <w:t>，</w:t>
      </w:r>
      <w:r>
        <w:rPr>
          <w:color w:val="auto"/>
        </w:rPr>
        <w:t>将货种输送至后方库区</w:t>
      </w:r>
      <w:r>
        <w:rPr>
          <w:rFonts w:hint="eastAsia"/>
          <w:color w:val="auto"/>
        </w:rPr>
        <w:t>1#罐组</w:t>
      </w:r>
      <w:r>
        <w:rPr>
          <w:color w:val="auto"/>
        </w:rPr>
        <w:t>中储存。储存在储罐中的</w:t>
      </w:r>
      <w:r>
        <w:rPr>
          <w:rFonts w:hint="eastAsia"/>
          <w:color w:val="auto"/>
        </w:rPr>
        <w:t>石脑油、蜡油、渣油、异辛烷（烷基化油）</w:t>
      </w:r>
      <w:r>
        <w:rPr>
          <w:color w:val="auto"/>
        </w:rPr>
        <w:t>，</w:t>
      </w:r>
      <w:r>
        <w:rPr>
          <w:rFonts w:hint="eastAsia"/>
          <w:color w:val="auto"/>
        </w:rPr>
        <w:t>经长输管线</w:t>
      </w:r>
      <w:r>
        <w:rPr>
          <w:color w:val="auto"/>
        </w:rPr>
        <w:t>输送至广西石化</w:t>
      </w:r>
      <w:r>
        <w:rPr>
          <w:rFonts w:hint="eastAsia"/>
          <w:color w:val="auto"/>
        </w:rPr>
        <w:t>罐区。甲基叔丁基醚（MTBE）从广西石化经长输管线输送至项目现有储罐中，从储罐经码头装船出口。</w:t>
      </w:r>
    </w:p>
    <w:p w14:paraId="731D5B8C">
      <w:pPr>
        <w:ind w:firstLine="480"/>
        <w:rPr>
          <w:rFonts w:hint="eastAsia" w:eastAsia="宋体"/>
          <w:color w:val="auto"/>
          <w:u w:val="single"/>
          <w:lang w:eastAsia="zh-CN"/>
        </w:rPr>
      </w:pPr>
      <w:r>
        <w:rPr>
          <w:rFonts w:hint="eastAsia"/>
          <w:color w:val="auto"/>
          <w:u w:val="single"/>
        </w:rPr>
        <w:t>甲基叔丁基醚（MTBE）、石脑油、异辛烷（烷基化油）这三种货种的性质与汽油相似，蜡油、渣油这两种新增货种与原油的性质相近，更换货种装卸无需对装卸臂、管道以及储罐进行清洗</w:t>
      </w:r>
      <w:r>
        <w:rPr>
          <w:rFonts w:hint="eastAsia"/>
          <w:color w:val="auto"/>
          <w:u w:val="single"/>
          <w:lang w:eastAsia="zh-CN"/>
        </w:rPr>
        <w:t>。</w:t>
      </w:r>
    </w:p>
    <w:p w14:paraId="730B888D">
      <w:pPr>
        <w:ind w:firstLine="482"/>
        <w:rPr>
          <w:rFonts w:hint="eastAsia"/>
          <w:b/>
          <w:color w:val="auto"/>
        </w:rPr>
      </w:pPr>
      <w:r>
        <w:rPr>
          <w:rFonts w:hint="eastAsia"/>
          <w:b/>
          <w:color w:val="auto"/>
        </w:rPr>
        <w:t>（1）吞吐量</w:t>
      </w:r>
    </w:p>
    <w:p w14:paraId="0E90D71D">
      <w:pPr>
        <w:ind w:firstLine="480"/>
        <w:rPr>
          <w:color w:val="auto"/>
        </w:rPr>
      </w:pPr>
      <w:r>
        <w:rPr>
          <w:rFonts w:hint="eastAsia"/>
          <w:color w:val="auto"/>
        </w:rPr>
        <w:t>本项目新增5个货种的吞吐量</w:t>
      </w:r>
      <w:r>
        <w:rPr>
          <w:color w:val="auto"/>
        </w:rPr>
        <w:t>50</w:t>
      </w:r>
      <w:r>
        <w:rPr>
          <w:rFonts w:hint="eastAsia"/>
          <w:color w:val="auto"/>
        </w:rPr>
        <w:t>万吨/年</w:t>
      </w:r>
      <w:r>
        <w:rPr>
          <w:color w:val="auto"/>
        </w:rPr>
        <w:t>。</w:t>
      </w:r>
      <w:r>
        <w:rPr>
          <w:rFonts w:hint="eastAsia"/>
          <w:color w:val="auto"/>
        </w:rPr>
        <w:t>预计货种调整后的吞吐量</w:t>
      </w:r>
      <w:r>
        <w:rPr>
          <w:color w:val="auto"/>
        </w:rPr>
        <w:t>见表2.2-2。</w:t>
      </w:r>
    </w:p>
    <w:p w14:paraId="35C7040A">
      <w:pPr>
        <w:pStyle w:val="14"/>
        <w:rPr>
          <w:color w:val="auto"/>
        </w:rPr>
      </w:pPr>
      <w:r>
        <w:rPr>
          <w:rFonts w:hint="eastAsia"/>
          <w:color w:val="auto"/>
        </w:rPr>
        <w:t>表</w:t>
      </w:r>
      <w:r>
        <w:rPr>
          <w:color w:val="auto"/>
        </w:rPr>
        <w:t>2.2</w:t>
      </w:r>
      <w:r>
        <w:rPr>
          <w:color w:val="auto"/>
        </w:rPr>
        <w:noBreakHyphen/>
      </w:r>
      <w:r>
        <w:rPr>
          <w:color w:val="auto"/>
        </w:rPr>
        <w:t>26#泊位货物年吞吐量一览表</w:t>
      </w:r>
    </w:p>
    <w:tbl>
      <w:tblPr>
        <w:tblStyle w:val="44"/>
        <w:tblW w:w="934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420"/>
        <w:gridCol w:w="1247"/>
        <w:gridCol w:w="926"/>
        <w:gridCol w:w="830"/>
        <w:gridCol w:w="709"/>
        <w:gridCol w:w="709"/>
        <w:gridCol w:w="709"/>
        <w:gridCol w:w="850"/>
        <w:gridCol w:w="1134"/>
        <w:gridCol w:w="1418"/>
        <w:gridCol w:w="389"/>
      </w:tblGrid>
      <w:tr w14:paraId="5811A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420" w:type="dxa"/>
            <w:vMerge w:val="restart"/>
            <w:vAlign w:val="center"/>
          </w:tcPr>
          <w:p w14:paraId="2EF2CA2D">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序号</w:t>
            </w:r>
          </w:p>
        </w:tc>
        <w:tc>
          <w:tcPr>
            <w:tcW w:w="1247" w:type="dxa"/>
            <w:vMerge w:val="restart"/>
            <w:vAlign w:val="center"/>
          </w:tcPr>
          <w:p w14:paraId="3342F252">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货种</w:t>
            </w:r>
            <w:r>
              <w:rPr>
                <w:rFonts w:hint="default"/>
                <w:b/>
                <w:color w:val="auto"/>
              </w:rPr>
              <w:t>名称</w:t>
            </w:r>
          </w:p>
        </w:tc>
        <w:tc>
          <w:tcPr>
            <w:tcW w:w="926" w:type="dxa"/>
            <w:vMerge w:val="restart"/>
            <w:vAlign w:val="center"/>
          </w:tcPr>
          <w:p w14:paraId="2A5702B1">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类别</w:t>
            </w:r>
          </w:p>
        </w:tc>
        <w:tc>
          <w:tcPr>
            <w:tcW w:w="2957" w:type="dxa"/>
            <w:gridSpan w:val="4"/>
            <w:vAlign w:val="center"/>
          </w:tcPr>
          <w:p w14:paraId="670EFE0A">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吞吐量</w:t>
            </w:r>
          </w:p>
        </w:tc>
        <w:tc>
          <w:tcPr>
            <w:tcW w:w="850" w:type="dxa"/>
            <w:vMerge w:val="restart"/>
            <w:vAlign w:val="center"/>
          </w:tcPr>
          <w:p w14:paraId="4534B93F">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装船/卸船</w:t>
            </w:r>
          </w:p>
        </w:tc>
        <w:tc>
          <w:tcPr>
            <w:tcW w:w="1134" w:type="dxa"/>
            <w:vMerge w:val="restart"/>
            <w:vAlign w:val="center"/>
          </w:tcPr>
          <w:p w14:paraId="12B38A25">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装卸船</w:t>
            </w:r>
            <w:r>
              <w:rPr>
                <w:rFonts w:hint="default"/>
                <w:b/>
                <w:color w:val="auto"/>
              </w:rPr>
              <w:t>方式</w:t>
            </w:r>
          </w:p>
        </w:tc>
        <w:tc>
          <w:tcPr>
            <w:tcW w:w="1418" w:type="dxa"/>
            <w:vMerge w:val="restart"/>
            <w:vAlign w:val="center"/>
          </w:tcPr>
          <w:p w14:paraId="0CC76245">
            <w:pPr>
              <w:pStyle w:val="91"/>
              <w:keepNext w:val="0"/>
              <w:keepLines w:val="0"/>
              <w:suppressLineNumbers w:val="0"/>
              <w:spacing w:before="0" w:beforeAutospacing="0" w:after="0" w:afterAutospacing="0"/>
              <w:ind w:left="0" w:right="0"/>
              <w:jc w:val="center"/>
              <w:rPr>
                <w:rFonts w:hint="eastAsia" w:eastAsia="宋体"/>
                <w:b/>
                <w:color w:val="auto"/>
                <w:lang w:eastAsia="zh-CN"/>
              </w:rPr>
            </w:pPr>
            <w:r>
              <w:rPr>
                <w:rFonts w:hint="eastAsia"/>
                <w:b/>
                <w:color w:val="auto"/>
                <w:lang w:eastAsia="zh-CN"/>
              </w:rPr>
              <w:t>储存情况</w:t>
            </w:r>
          </w:p>
        </w:tc>
        <w:tc>
          <w:tcPr>
            <w:tcW w:w="389" w:type="dxa"/>
            <w:vMerge w:val="restart"/>
            <w:vAlign w:val="center"/>
          </w:tcPr>
          <w:p w14:paraId="03EB2E94">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备注</w:t>
            </w:r>
          </w:p>
        </w:tc>
      </w:tr>
      <w:tr w14:paraId="367D8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420" w:type="dxa"/>
            <w:vMerge w:val="continue"/>
          </w:tcPr>
          <w:p w14:paraId="3835966B">
            <w:pPr>
              <w:pStyle w:val="91"/>
              <w:keepNext w:val="0"/>
              <w:keepLines w:val="0"/>
              <w:suppressLineNumbers w:val="0"/>
              <w:spacing w:before="0" w:beforeAutospacing="0" w:after="0" w:afterAutospacing="0"/>
              <w:ind w:left="0" w:right="0"/>
              <w:rPr>
                <w:rFonts w:hint="default"/>
                <w:color w:val="auto"/>
              </w:rPr>
            </w:pPr>
          </w:p>
        </w:tc>
        <w:tc>
          <w:tcPr>
            <w:tcW w:w="1247" w:type="dxa"/>
            <w:vMerge w:val="continue"/>
          </w:tcPr>
          <w:p w14:paraId="7AD85BD6">
            <w:pPr>
              <w:pStyle w:val="91"/>
              <w:keepNext w:val="0"/>
              <w:keepLines w:val="0"/>
              <w:suppressLineNumbers w:val="0"/>
              <w:spacing w:before="0" w:beforeAutospacing="0" w:after="0" w:afterAutospacing="0"/>
              <w:ind w:left="0" w:right="0"/>
              <w:rPr>
                <w:rFonts w:hint="default"/>
                <w:color w:val="auto"/>
              </w:rPr>
            </w:pPr>
          </w:p>
        </w:tc>
        <w:tc>
          <w:tcPr>
            <w:tcW w:w="926" w:type="dxa"/>
            <w:vMerge w:val="continue"/>
          </w:tcPr>
          <w:p w14:paraId="59482032">
            <w:pPr>
              <w:pStyle w:val="91"/>
              <w:keepNext w:val="0"/>
              <w:keepLines w:val="0"/>
              <w:suppressLineNumbers w:val="0"/>
              <w:spacing w:before="0" w:beforeAutospacing="0" w:after="0" w:afterAutospacing="0"/>
              <w:ind w:left="0" w:right="0"/>
              <w:rPr>
                <w:rFonts w:hint="default"/>
                <w:color w:val="auto"/>
              </w:rPr>
            </w:pPr>
          </w:p>
        </w:tc>
        <w:tc>
          <w:tcPr>
            <w:tcW w:w="830" w:type="dxa"/>
            <w:vAlign w:val="center"/>
          </w:tcPr>
          <w:p w14:paraId="154D8524">
            <w:pPr>
              <w:pStyle w:val="91"/>
              <w:keepNext w:val="0"/>
              <w:keepLines w:val="0"/>
              <w:suppressLineNumbers w:val="0"/>
              <w:spacing w:before="0" w:beforeAutospacing="0" w:after="0" w:afterAutospacing="0"/>
              <w:ind w:left="0" w:right="0" w:firstLine="0" w:firstLineChars="0"/>
              <w:jc w:val="center"/>
              <w:rPr>
                <w:rFonts w:hint="eastAsia"/>
                <w:b/>
                <w:color w:val="auto"/>
                <w:u w:val="single"/>
              </w:rPr>
            </w:pPr>
            <w:r>
              <w:rPr>
                <w:rFonts w:hint="eastAsia"/>
                <w:b/>
                <w:color w:val="auto"/>
                <w:u w:val="single"/>
                <w:lang w:val="en-US" w:eastAsia="zh-CN"/>
              </w:rPr>
              <w:t>设计吞吐量</w:t>
            </w:r>
            <w:r>
              <w:rPr>
                <w:rFonts w:hint="default"/>
                <w:b/>
                <w:color w:val="auto"/>
                <w:u w:val="single"/>
              </w:rPr>
              <w:t>（</w:t>
            </w:r>
            <w:r>
              <w:rPr>
                <w:rFonts w:hint="eastAsia"/>
                <w:b/>
                <w:color w:val="auto"/>
                <w:u w:val="single"/>
              </w:rPr>
              <w:t>万吨/年</w:t>
            </w:r>
            <w:r>
              <w:rPr>
                <w:rFonts w:hint="default"/>
                <w:b/>
                <w:color w:val="auto"/>
                <w:u w:val="single"/>
              </w:rPr>
              <w:t>）</w:t>
            </w:r>
          </w:p>
        </w:tc>
        <w:tc>
          <w:tcPr>
            <w:tcW w:w="709" w:type="dxa"/>
          </w:tcPr>
          <w:p w14:paraId="3F07F6F4">
            <w:pPr>
              <w:pStyle w:val="91"/>
              <w:keepNext w:val="0"/>
              <w:keepLines w:val="0"/>
              <w:suppressLineNumbers w:val="0"/>
              <w:spacing w:before="0" w:beforeAutospacing="0" w:after="0" w:afterAutospacing="0"/>
              <w:ind w:left="0" w:right="0"/>
              <w:rPr>
                <w:rFonts w:hint="default"/>
                <w:b/>
                <w:color w:val="auto"/>
              </w:rPr>
            </w:pPr>
            <w:r>
              <w:rPr>
                <w:rFonts w:hint="eastAsia"/>
                <w:b/>
                <w:color w:val="auto"/>
              </w:rPr>
              <w:t>2025年</w:t>
            </w:r>
          </w:p>
        </w:tc>
        <w:tc>
          <w:tcPr>
            <w:tcW w:w="709" w:type="dxa"/>
          </w:tcPr>
          <w:p w14:paraId="2F99D1D9">
            <w:pPr>
              <w:pStyle w:val="91"/>
              <w:keepNext w:val="0"/>
              <w:keepLines w:val="0"/>
              <w:suppressLineNumbers w:val="0"/>
              <w:spacing w:before="0" w:beforeAutospacing="0" w:after="0" w:afterAutospacing="0"/>
              <w:ind w:left="0" w:right="0"/>
              <w:rPr>
                <w:rFonts w:hint="default"/>
                <w:b/>
                <w:color w:val="auto"/>
              </w:rPr>
            </w:pPr>
            <w:r>
              <w:rPr>
                <w:rFonts w:hint="eastAsia"/>
                <w:b/>
                <w:color w:val="auto"/>
              </w:rPr>
              <w:t>本次</w:t>
            </w:r>
            <w:r>
              <w:rPr>
                <w:rFonts w:hint="default"/>
                <w:b/>
                <w:color w:val="auto"/>
              </w:rPr>
              <w:t>扩建</w:t>
            </w:r>
          </w:p>
        </w:tc>
        <w:tc>
          <w:tcPr>
            <w:tcW w:w="709" w:type="dxa"/>
          </w:tcPr>
          <w:p w14:paraId="3B143831">
            <w:pPr>
              <w:pStyle w:val="91"/>
              <w:keepNext w:val="0"/>
              <w:keepLines w:val="0"/>
              <w:suppressLineNumbers w:val="0"/>
              <w:spacing w:before="0" w:beforeAutospacing="0" w:after="0" w:afterAutospacing="0"/>
              <w:ind w:left="0" w:right="0"/>
              <w:rPr>
                <w:rFonts w:hint="default"/>
                <w:b/>
                <w:color w:val="auto"/>
              </w:rPr>
            </w:pPr>
            <w:r>
              <w:rPr>
                <w:rFonts w:hint="eastAsia"/>
                <w:b/>
                <w:color w:val="auto"/>
              </w:rPr>
              <w:t>扩建</w:t>
            </w:r>
            <w:r>
              <w:rPr>
                <w:rFonts w:hint="default"/>
                <w:b/>
                <w:color w:val="auto"/>
              </w:rPr>
              <w:t>后</w:t>
            </w:r>
          </w:p>
        </w:tc>
        <w:tc>
          <w:tcPr>
            <w:tcW w:w="850" w:type="dxa"/>
            <w:vMerge w:val="continue"/>
          </w:tcPr>
          <w:p w14:paraId="11BC78C9">
            <w:pPr>
              <w:pStyle w:val="91"/>
              <w:keepNext w:val="0"/>
              <w:keepLines w:val="0"/>
              <w:suppressLineNumbers w:val="0"/>
              <w:spacing w:before="0" w:beforeAutospacing="0" w:after="0" w:afterAutospacing="0"/>
              <w:ind w:left="0" w:right="0"/>
              <w:rPr>
                <w:rFonts w:hint="default"/>
                <w:color w:val="auto"/>
              </w:rPr>
            </w:pPr>
          </w:p>
        </w:tc>
        <w:tc>
          <w:tcPr>
            <w:tcW w:w="1134" w:type="dxa"/>
            <w:vMerge w:val="continue"/>
          </w:tcPr>
          <w:p w14:paraId="0672675A">
            <w:pPr>
              <w:pStyle w:val="91"/>
              <w:keepNext w:val="0"/>
              <w:keepLines w:val="0"/>
              <w:suppressLineNumbers w:val="0"/>
              <w:spacing w:before="0" w:beforeAutospacing="0" w:after="0" w:afterAutospacing="0"/>
              <w:ind w:left="0" w:right="0"/>
              <w:rPr>
                <w:rFonts w:hint="default"/>
                <w:color w:val="auto"/>
              </w:rPr>
            </w:pPr>
          </w:p>
        </w:tc>
        <w:tc>
          <w:tcPr>
            <w:tcW w:w="1418" w:type="dxa"/>
            <w:vMerge w:val="continue"/>
          </w:tcPr>
          <w:p w14:paraId="6DF3A13D">
            <w:pPr>
              <w:pStyle w:val="91"/>
              <w:keepNext w:val="0"/>
              <w:keepLines w:val="0"/>
              <w:suppressLineNumbers w:val="0"/>
              <w:spacing w:before="0" w:beforeAutospacing="0" w:after="0" w:afterAutospacing="0"/>
              <w:ind w:left="0" w:right="0"/>
              <w:rPr>
                <w:rFonts w:hint="default"/>
                <w:color w:val="auto"/>
              </w:rPr>
            </w:pPr>
          </w:p>
        </w:tc>
        <w:tc>
          <w:tcPr>
            <w:tcW w:w="389" w:type="dxa"/>
            <w:vMerge w:val="continue"/>
          </w:tcPr>
          <w:p w14:paraId="2A7FFA4D">
            <w:pPr>
              <w:pStyle w:val="91"/>
              <w:keepNext w:val="0"/>
              <w:keepLines w:val="0"/>
              <w:suppressLineNumbers w:val="0"/>
              <w:spacing w:before="0" w:beforeAutospacing="0" w:after="0" w:afterAutospacing="0"/>
              <w:ind w:left="0" w:right="0"/>
              <w:rPr>
                <w:rFonts w:hint="default"/>
                <w:color w:val="auto"/>
              </w:rPr>
            </w:pPr>
          </w:p>
        </w:tc>
      </w:tr>
      <w:tr w14:paraId="37A92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420" w:type="dxa"/>
          </w:tcPr>
          <w:p w14:paraId="09C45FA5">
            <w:pPr>
              <w:pStyle w:val="91"/>
              <w:keepNext w:val="0"/>
              <w:keepLines w:val="0"/>
              <w:numPr>
                <w:ilvl w:val="0"/>
                <w:numId w:val="20"/>
              </w:numPr>
              <w:suppressLineNumbers w:val="0"/>
              <w:spacing w:before="0" w:beforeAutospacing="0" w:after="0" w:afterAutospacing="0"/>
              <w:ind w:right="0"/>
              <w:rPr>
                <w:rFonts w:hint="default"/>
                <w:color w:val="auto"/>
              </w:rPr>
            </w:pPr>
          </w:p>
        </w:tc>
        <w:tc>
          <w:tcPr>
            <w:tcW w:w="1247" w:type="dxa"/>
          </w:tcPr>
          <w:p w14:paraId="4D95E3C1">
            <w:pPr>
              <w:pStyle w:val="91"/>
              <w:keepNext w:val="0"/>
              <w:keepLines w:val="0"/>
              <w:suppressLineNumbers w:val="0"/>
              <w:spacing w:before="0" w:beforeAutospacing="0" w:after="0" w:afterAutospacing="0"/>
              <w:ind w:left="0" w:right="0"/>
              <w:rPr>
                <w:rFonts w:hint="default"/>
                <w:color w:val="auto"/>
              </w:rPr>
            </w:pPr>
            <w:r>
              <w:rPr>
                <w:rFonts w:hint="eastAsia"/>
                <w:color w:val="auto"/>
              </w:rPr>
              <w:t>原油</w:t>
            </w:r>
          </w:p>
        </w:tc>
        <w:tc>
          <w:tcPr>
            <w:tcW w:w="926" w:type="dxa"/>
          </w:tcPr>
          <w:p w14:paraId="0A4F4067">
            <w:pPr>
              <w:pStyle w:val="91"/>
              <w:keepNext w:val="0"/>
              <w:keepLines w:val="0"/>
              <w:suppressLineNumbers w:val="0"/>
              <w:spacing w:before="0" w:beforeAutospacing="0" w:after="0" w:afterAutospacing="0"/>
              <w:ind w:left="0" w:right="0"/>
              <w:rPr>
                <w:rFonts w:hint="default"/>
                <w:color w:val="auto"/>
              </w:rPr>
            </w:pPr>
            <w:r>
              <w:rPr>
                <w:rFonts w:hint="eastAsia"/>
                <w:color w:val="auto"/>
              </w:rPr>
              <w:t>第3类</w:t>
            </w:r>
          </w:p>
        </w:tc>
        <w:tc>
          <w:tcPr>
            <w:tcW w:w="830" w:type="dxa"/>
            <w:vAlign w:val="center"/>
          </w:tcPr>
          <w:p w14:paraId="662C21A1">
            <w:pPr>
              <w:pStyle w:val="91"/>
              <w:keepNext w:val="0"/>
              <w:keepLines w:val="0"/>
              <w:suppressLineNumbers w:val="0"/>
              <w:spacing w:before="0" w:beforeAutospacing="0" w:after="0" w:afterAutospacing="0"/>
              <w:ind w:left="0" w:right="0" w:firstLine="0" w:firstLineChars="0"/>
              <w:jc w:val="center"/>
              <w:rPr>
                <w:rFonts w:hint="eastAsia"/>
                <w:color w:val="auto"/>
                <w:u w:val="single"/>
              </w:rPr>
            </w:pPr>
            <w:r>
              <w:rPr>
                <w:rFonts w:hint="eastAsia"/>
                <w:color w:val="auto"/>
                <w:u w:val="single"/>
                <w:lang w:val="en-US" w:eastAsia="zh-CN"/>
              </w:rPr>
              <w:t>20</w:t>
            </w:r>
          </w:p>
        </w:tc>
        <w:tc>
          <w:tcPr>
            <w:tcW w:w="709" w:type="dxa"/>
            <w:vAlign w:val="center"/>
          </w:tcPr>
          <w:p w14:paraId="1D66685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16.16</w:t>
            </w:r>
          </w:p>
        </w:tc>
        <w:tc>
          <w:tcPr>
            <w:tcW w:w="709" w:type="dxa"/>
            <w:vAlign w:val="center"/>
          </w:tcPr>
          <w:p w14:paraId="7CBE936B">
            <w:pPr>
              <w:pStyle w:val="91"/>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-10</w:t>
            </w:r>
          </w:p>
        </w:tc>
        <w:tc>
          <w:tcPr>
            <w:tcW w:w="709" w:type="dxa"/>
            <w:vAlign w:val="center"/>
          </w:tcPr>
          <w:p w14:paraId="362A75B2">
            <w:pPr>
              <w:pStyle w:val="91"/>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10</w:t>
            </w:r>
          </w:p>
        </w:tc>
        <w:tc>
          <w:tcPr>
            <w:tcW w:w="850" w:type="dxa"/>
          </w:tcPr>
          <w:p w14:paraId="15F1F107">
            <w:pPr>
              <w:pStyle w:val="91"/>
              <w:keepNext w:val="0"/>
              <w:keepLines w:val="0"/>
              <w:suppressLineNumbers w:val="0"/>
              <w:spacing w:before="0" w:beforeAutospacing="0" w:after="0" w:afterAutospacing="0"/>
              <w:ind w:left="0" w:right="0"/>
              <w:rPr>
                <w:rFonts w:hint="default"/>
                <w:color w:val="auto"/>
              </w:rPr>
            </w:pPr>
            <w:r>
              <w:rPr>
                <w:rFonts w:hint="eastAsia"/>
                <w:color w:val="auto"/>
              </w:rPr>
              <w:t>卸船</w:t>
            </w:r>
          </w:p>
        </w:tc>
        <w:tc>
          <w:tcPr>
            <w:tcW w:w="1134" w:type="dxa"/>
            <w:vAlign w:val="center"/>
          </w:tcPr>
          <w:p w14:paraId="7DB85854">
            <w:pPr>
              <w:pStyle w:val="38"/>
              <w:keepNext w:val="0"/>
              <w:keepLines w:val="0"/>
              <w:widowControl/>
              <w:suppressLineNumbers w:val="0"/>
              <w:spacing w:line="320" w:lineRule="exact"/>
              <w:ind w:left="0" w:right="0"/>
              <w:jc w:val="center"/>
              <w:rPr>
                <w:rFonts w:hint="default"/>
                <w:bCs/>
                <w:color w:val="auto"/>
                <w:kern w:val="2"/>
                <w:sz w:val="21"/>
                <w:szCs w:val="21"/>
              </w:rPr>
            </w:pPr>
            <w:r>
              <w:rPr>
                <w:rFonts w:hint="eastAsia"/>
                <w:bCs/>
                <w:color w:val="auto"/>
                <w:kern w:val="2"/>
                <w:sz w:val="21"/>
                <w:szCs w:val="21"/>
              </w:rPr>
              <w:t>1#、</w:t>
            </w:r>
            <w:r>
              <w:rPr>
                <w:rFonts w:hint="default"/>
                <w:bCs/>
                <w:color w:val="auto"/>
                <w:kern w:val="2"/>
                <w:sz w:val="21"/>
                <w:szCs w:val="21"/>
              </w:rPr>
              <w:t>2#液压输油臂</w:t>
            </w:r>
          </w:p>
        </w:tc>
        <w:tc>
          <w:tcPr>
            <w:tcW w:w="1418" w:type="dxa"/>
          </w:tcPr>
          <w:p w14:paraId="242196F6">
            <w:pPr>
              <w:pStyle w:val="38"/>
              <w:keepNext w:val="0"/>
              <w:keepLines w:val="0"/>
              <w:widowControl/>
              <w:suppressLineNumbers w:val="0"/>
              <w:spacing w:line="320" w:lineRule="exact"/>
              <w:ind w:left="0" w:right="0"/>
              <w:jc w:val="center"/>
              <w:rPr>
                <w:rFonts w:hint="default"/>
                <w:bCs/>
                <w:color w:val="auto"/>
                <w:kern w:val="2"/>
                <w:sz w:val="21"/>
                <w:szCs w:val="21"/>
              </w:rPr>
            </w:pPr>
            <w:r>
              <w:rPr>
                <w:rFonts w:hint="eastAsia"/>
                <w:bCs/>
                <w:color w:val="auto"/>
                <w:kern w:val="2"/>
                <w:sz w:val="21"/>
                <w:szCs w:val="21"/>
              </w:rPr>
              <w:t>1#原油罐组</w:t>
            </w:r>
          </w:p>
        </w:tc>
        <w:tc>
          <w:tcPr>
            <w:tcW w:w="389" w:type="dxa"/>
            <w:vMerge w:val="restart"/>
            <w:vAlign w:val="center"/>
          </w:tcPr>
          <w:p w14:paraId="6F4EDAAF">
            <w:pPr>
              <w:pStyle w:val="38"/>
              <w:keepNext w:val="0"/>
              <w:keepLines w:val="0"/>
              <w:widowControl/>
              <w:suppressLineNumbers w:val="0"/>
              <w:spacing w:line="320" w:lineRule="exact"/>
              <w:ind w:left="0" w:right="0"/>
              <w:jc w:val="center"/>
              <w:rPr>
                <w:rFonts w:hint="default"/>
                <w:bCs/>
                <w:color w:val="auto"/>
                <w:kern w:val="2"/>
                <w:sz w:val="21"/>
                <w:szCs w:val="21"/>
              </w:rPr>
            </w:pPr>
            <w:r>
              <w:rPr>
                <w:rFonts w:hint="eastAsia"/>
                <w:bCs/>
                <w:color w:val="auto"/>
                <w:kern w:val="2"/>
                <w:sz w:val="21"/>
                <w:szCs w:val="21"/>
              </w:rPr>
              <w:t>现有</w:t>
            </w:r>
          </w:p>
        </w:tc>
      </w:tr>
      <w:tr w14:paraId="13349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420" w:type="dxa"/>
          </w:tcPr>
          <w:p w14:paraId="7017D32F">
            <w:pPr>
              <w:pStyle w:val="91"/>
              <w:keepNext w:val="0"/>
              <w:keepLines w:val="0"/>
              <w:numPr>
                <w:ilvl w:val="0"/>
                <w:numId w:val="20"/>
              </w:numPr>
              <w:suppressLineNumbers w:val="0"/>
              <w:spacing w:before="0" w:beforeAutospacing="0" w:after="0" w:afterAutospacing="0"/>
              <w:ind w:right="0"/>
              <w:rPr>
                <w:rFonts w:hint="default"/>
                <w:color w:val="auto"/>
              </w:rPr>
            </w:pPr>
          </w:p>
        </w:tc>
        <w:tc>
          <w:tcPr>
            <w:tcW w:w="1247" w:type="dxa"/>
          </w:tcPr>
          <w:p w14:paraId="5D0DA563">
            <w:pPr>
              <w:pStyle w:val="91"/>
              <w:keepNext w:val="0"/>
              <w:keepLines w:val="0"/>
              <w:suppressLineNumbers w:val="0"/>
              <w:spacing w:before="0" w:beforeAutospacing="0" w:after="0" w:afterAutospacing="0"/>
              <w:ind w:left="0" w:right="0"/>
              <w:rPr>
                <w:rFonts w:hint="default"/>
                <w:color w:val="auto"/>
              </w:rPr>
            </w:pPr>
            <w:r>
              <w:rPr>
                <w:rFonts w:hint="eastAsia"/>
                <w:color w:val="auto"/>
              </w:rPr>
              <w:t>重油/燃料油</w:t>
            </w:r>
          </w:p>
        </w:tc>
        <w:tc>
          <w:tcPr>
            <w:tcW w:w="926" w:type="dxa"/>
          </w:tcPr>
          <w:p w14:paraId="6F8EB5C8">
            <w:pPr>
              <w:pStyle w:val="91"/>
              <w:keepNext w:val="0"/>
              <w:keepLines w:val="0"/>
              <w:suppressLineNumbers w:val="0"/>
              <w:spacing w:before="0" w:beforeAutospacing="0" w:after="0" w:afterAutospacing="0"/>
              <w:ind w:left="0" w:right="0"/>
              <w:rPr>
                <w:rFonts w:hint="default"/>
                <w:color w:val="auto"/>
              </w:rPr>
            </w:pPr>
            <w:r>
              <w:rPr>
                <w:rFonts w:hint="eastAsia"/>
                <w:color w:val="auto"/>
              </w:rPr>
              <w:t>第3类</w:t>
            </w:r>
          </w:p>
        </w:tc>
        <w:tc>
          <w:tcPr>
            <w:tcW w:w="830" w:type="dxa"/>
            <w:vAlign w:val="center"/>
          </w:tcPr>
          <w:p w14:paraId="24E20202">
            <w:pPr>
              <w:pStyle w:val="91"/>
              <w:keepNext w:val="0"/>
              <w:keepLines w:val="0"/>
              <w:suppressLineNumbers w:val="0"/>
              <w:spacing w:before="0" w:beforeAutospacing="0" w:after="0" w:afterAutospacing="0"/>
              <w:ind w:left="0" w:right="0" w:firstLine="0" w:firstLineChars="0"/>
              <w:jc w:val="center"/>
              <w:rPr>
                <w:rFonts w:hint="eastAsia"/>
                <w:color w:val="auto"/>
                <w:u w:val="single"/>
              </w:rPr>
            </w:pPr>
            <w:r>
              <w:rPr>
                <w:rFonts w:hint="eastAsia"/>
                <w:color w:val="auto"/>
                <w:u w:val="single"/>
                <w:lang w:val="en-US" w:eastAsia="zh-CN"/>
              </w:rPr>
              <w:t>20</w:t>
            </w:r>
          </w:p>
        </w:tc>
        <w:tc>
          <w:tcPr>
            <w:tcW w:w="709" w:type="dxa"/>
            <w:vAlign w:val="center"/>
          </w:tcPr>
          <w:p w14:paraId="50E0AC4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16.18</w:t>
            </w:r>
          </w:p>
        </w:tc>
        <w:tc>
          <w:tcPr>
            <w:tcW w:w="709" w:type="dxa"/>
            <w:vAlign w:val="center"/>
          </w:tcPr>
          <w:p w14:paraId="563EB62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w:t>
            </w:r>
          </w:p>
        </w:tc>
        <w:tc>
          <w:tcPr>
            <w:tcW w:w="709" w:type="dxa"/>
            <w:vAlign w:val="center"/>
          </w:tcPr>
          <w:p w14:paraId="3EDEC824">
            <w:pPr>
              <w:pStyle w:val="91"/>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20</w:t>
            </w:r>
          </w:p>
        </w:tc>
        <w:tc>
          <w:tcPr>
            <w:tcW w:w="850" w:type="dxa"/>
          </w:tcPr>
          <w:p w14:paraId="03B0DBFB">
            <w:pPr>
              <w:pStyle w:val="91"/>
              <w:keepNext w:val="0"/>
              <w:keepLines w:val="0"/>
              <w:suppressLineNumbers w:val="0"/>
              <w:spacing w:before="0" w:beforeAutospacing="0" w:after="0" w:afterAutospacing="0"/>
              <w:ind w:left="0" w:right="0"/>
              <w:rPr>
                <w:rFonts w:hint="default"/>
                <w:color w:val="auto"/>
              </w:rPr>
            </w:pPr>
            <w:r>
              <w:rPr>
                <w:rFonts w:hint="eastAsia"/>
                <w:color w:val="auto"/>
              </w:rPr>
              <w:t>卸船</w:t>
            </w:r>
          </w:p>
        </w:tc>
        <w:tc>
          <w:tcPr>
            <w:tcW w:w="1134" w:type="dxa"/>
            <w:vAlign w:val="center"/>
          </w:tcPr>
          <w:p w14:paraId="32F3E9ED">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6</w:t>
            </w:r>
            <w:r>
              <w:rPr>
                <w:rFonts w:hint="eastAsia"/>
                <w:bCs/>
                <w:color w:val="auto"/>
                <w:kern w:val="2"/>
                <w:sz w:val="21"/>
                <w:szCs w:val="21"/>
              </w:rPr>
              <w:t>#</w:t>
            </w:r>
            <w:r>
              <w:rPr>
                <w:rFonts w:hint="default"/>
                <w:bCs/>
                <w:color w:val="auto"/>
                <w:kern w:val="2"/>
                <w:sz w:val="21"/>
                <w:szCs w:val="21"/>
              </w:rPr>
              <w:t>液压输油臂</w:t>
            </w:r>
          </w:p>
        </w:tc>
        <w:tc>
          <w:tcPr>
            <w:tcW w:w="1418" w:type="dxa"/>
          </w:tcPr>
          <w:p w14:paraId="5261F659">
            <w:pPr>
              <w:pStyle w:val="91"/>
              <w:keepNext w:val="0"/>
              <w:keepLines w:val="0"/>
              <w:suppressLineNumbers w:val="0"/>
              <w:spacing w:before="0" w:beforeAutospacing="0" w:after="0" w:afterAutospacing="0"/>
              <w:ind w:left="0" w:right="0"/>
              <w:rPr>
                <w:rFonts w:hint="default"/>
                <w:color w:val="auto"/>
              </w:rPr>
            </w:pPr>
            <w:r>
              <w:rPr>
                <w:rFonts w:hint="eastAsia"/>
                <w:color w:val="auto"/>
              </w:rPr>
              <w:t>2#重油罐组</w:t>
            </w:r>
          </w:p>
        </w:tc>
        <w:tc>
          <w:tcPr>
            <w:tcW w:w="389" w:type="dxa"/>
            <w:vMerge w:val="continue"/>
          </w:tcPr>
          <w:p w14:paraId="0A8DDC22">
            <w:pPr>
              <w:pStyle w:val="91"/>
              <w:keepNext w:val="0"/>
              <w:keepLines w:val="0"/>
              <w:suppressLineNumbers w:val="0"/>
              <w:spacing w:before="0" w:beforeAutospacing="0" w:after="0" w:afterAutospacing="0"/>
              <w:ind w:left="0" w:right="0"/>
              <w:rPr>
                <w:rFonts w:hint="default"/>
                <w:color w:val="auto"/>
              </w:rPr>
            </w:pPr>
          </w:p>
        </w:tc>
      </w:tr>
      <w:tr w14:paraId="48DFE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420" w:type="dxa"/>
          </w:tcPr>
          <w:p w14:paraId="63CE8DAE">
            <w:pPr>
              <w:pStyle w:val="91"/>
              <w:keepNext w:val="0"/>
              <w:keepLines w:val="0"/>
              <w:numPr>
                <w:ilvl w:val="0"/>
                <w:numId w:val="20"/>
              </w:numPr>
              <w:suppressLineNumbers w:val="0"/>
              <w:spacing w:before="0" w:beforeAutospacing="0" w:after="0" w:afterAutospacing="0"/>
              <w:ind w:right="0"/>
              <w:rPr>
                <w:rFonts w:hint="default"/>
                <w:color w:val="auto"/>
              </w:rPr>
            </w:pPr>
          </w:p>
        </w:tc>
        <w:tc>
          <w:tcPr>
            <w:tcW w:w="1247" w:type="dxa"/>
          </w:tcPr>
          <w:p w14:paraId="061E283A">
            <w:pPr>
              <w:pStyle w:val="91"/>
              <w:keepNext w:val="0"/>
              <w:keepLines w:val="0"/>
              <w:suppressLineNumbers w:val="0"/>
              <w:spacing w:before="0" w:beforeAutospacing="0" w:after="0" w:afterAutospacing="0"/>
              <w:ind w:left="0" w:right="0"/>
              <w:rPr>
                <w:rFonts w:hint="default"/>
                <w:color w:val="auto"/>
              </w:rPr>
            </w:pPr>
            <w:r>
              <w:rPr>
                <w:rFonts w:hint="eastAsia"/>
                <w:color w:val="auto"/>
              </w:rPr>
              <w:t>汽油</w:t>
            </w:r>
          </w:p>
        </w:tc>
        <w:tc>
          <w:tcPr>
            <w:tcW w:w="926" w:type="dxa"/>
          </w:tcPr>
          <w:p w14:paraId="4DF9EEA5">
            <w:pPr>
              <w:pStyle w:val="91"/>
              <w:keepNext w:val="0"/>
              <w:keepLines w:val="0"/>
              <w:suppressLineNumbers w:val="0"/>
              <w:spacing w:before="0" w:beforeAutospacing="0" w:after="0" w:afterAutospacing="0"/>
              <w:ind w:left="0" w:right="0"/>
              <w:rPr>
                <w:rFonts w:hint="default"/>
                <w:color w:val="auto"/>
              </w:rPr>
            </w:pPr>
            <w:r>
              <w:rPr>
                <w:rFonts w:hint="eastAsia"/>
                <w:color w:val="auto"/>
              </w:rPr>
              <w:t>第3类</w:t>
            </w:r>
          </w:p>
        </w:tc>
        <w:tc>
          <w:tcPr>
            <w:tcW w:w="830" w:type="dxa"/>
            <w:vAlign w:val="center"/>
          </w:tcPr>
          <w:p w14:paraId="7038FC69">
            <w:pPr>
              <w:pStyle w:val="91"/>
              <w:keepNext w:val="0"/>
              <w:keepLines w:val="0"/>
              <w:suppressLineNumbers w:val="0"/>
              <w:spacing w:before="0" w:beforeAutospacing="0" w:after="0" w:afterAutospacing="0"/>
              <w:ind w:left="0" w:right="0" w:firstLine="0" w:firstLineChars="0"/>
              <w:jc w:val="center"/>
              <w:rPr>
                <w:rFonts w:hint="eastAsia"/>
                <w:color w:val="auto"/>
                <w:u w:val="single"/>
              </w:rPr>
            </w:pPr>
            <w:r>
              <w:rPr>
                <w:rFonts w:hint="eastAsia"/>
                <w:color w:val="auto"/>
                <w:u w:val="single"/>
                <w:lang w:val="en-US" w:eastAsia="zh-CN"/>
              </w:rPr>
              <w:t>20</w:t>
            </w:r>
          </w:p>
        </w:tc>
        <w:tc>
          <w:tcPr>
            <w:tcW w:w="709" w:type="dxa"/>
            <w:vAlign w:val="center"/>
          </w:tcPr>
          <w:p w14:paraId="084504E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5.76</w:t>
            </w:r>
          </w:p>
        </w:tc>
        <w:tc>
          <w:tcPr>
            <w:tcW w:w="709" w:type="dxa"/>
            <w:vAlign w:val="center"/>
          </w:tcPr>
          <w:p w14:paraId="5ADA37BC">
            <w:pPr>
              <w:pStyle w:val="91"/>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-10</w:t>
            </w:r>
          </w:p>
        </w:tc>
        <w:tc>
          <w:tcPr>
            <w:tcW w:w="709" w:type="dxa"/>
            <w:vAlign w:val="center"/>
          </w:tcPr>
          <w:p w14:paraId="00990004">
            <w:pPr>
              <w:pStyle w:val="91"/>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10</w:t>
            </w:r>
          </w:p>
        </w:tc>
        <w:tc>
          <w:tcPr>
            <w:tcW w:w="850" w:type="dxa"/>
          </w:tcPr>
          <w:p w14:paraId="08A24F55">
            <w:pPr>
              <w:pStyle w:val="91"/>
              <w:keepNext w:val="0"/>
              <w:keepLines w:val="0"/>
              <w:suppressLineNumbers w:val="0"/>
              <w:spacing w:before="0" w:beforeAutospacing="0" w:after="0" w:afterAutospacing="0"/>
              <w:ind w:left="0" w:right="0"/>
              <w:rPr>
                <w:rFonts w:hint="default"/>
                <w:color w:val="auto"/>
              </w:rPr>
            </w:pPr>
            <w:r>
              <w:rPr>
                <w:rFonts w:hint="eastAsia"/>
                <w:color w:val="auto"/>
              </w:rPr>
              <w:t>装卸船</w:t>
            </w:r>
          </w:p>
        </w:tc>
        <w:tc>
          <w:tcPr>
            <w:tcW w:w="1134" w:type="dxa"/>
            <w:vAlign w:val="center"/>
          </w:tcPr>
          <w:p w14:paraId="55CA13FF">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4</w:t>
            </w:r>
            <w:r>
              <w:rPr>
                <w:rFonts w:hint="eastAsia"/>
                <w:bCs/>
                <w:color w:val="auto"/>
                <w:kern w:val="2"/>
                <w:sz w:val="21"/>
                <w:szCs w:val="21"/>
              </w:rPr>
              <w:t>#</w:t>
            </w:r>
            <w:r>
              <w:rPr>
                <w:rFonts w:hint="default"/>
                <w:bCs/>
                <w:color w:val="auto"/>
                <w:kern w:val="2"/>
                <w:sz w:val="21"/>
                <w:szCs w:val="21"/>
              </w:rPr>
              <w:t>液压输油臂</w:t>
            </w:r>
          </w:p>
        </w:tc>
        <w:tc>
          <w:tcPr>
            <w:tcW w:w="1418" w:type="dxa"/>
          </w:tcPr>
          <w:p w14:paraId="446DF1BE">
            <w:pPr>
              <w:pStyle w:val="91"/>
              <w:keepNext w:val="0"/>
              <w:keepLines w:val="0"/>
              <w:suppressLineNumbers w:val="0"/>
              <w:spacing w:before="0" w:beforeAutospacing="0" w:after="0" w:afterAutospacing="0"/>
              <w:ind w:left="0" w:right="0"/>
              <w:rPr>
                <w:rFonts w:hint="default"/>
                <w:color w:val="auto"/>
              </w:rPr>
            </w:pPr>
            <w:r>
              <w:rPr>
                <w:rFonts w:hint="eastAsia"/>
                <w:color w:val="auto"/>
              </w:rPr>
              <w:t>3#汽油罐组</w:t>
            </w:r>
          </w:p>
        </w:tc>
        <w:tc>
          <w:tcPr>
            <w:tcW w:w="389" w:type="dxa"/>
            <w:vMerge w:val="continue"/>
          </w:tcPr>
          <w:p w14:paraId="3DA1710B">
            <w:pPr>
              <w:pStyle w:val="91"/>
              <w:keepNext w:val="0"/>
              <w:keepLines w:val="0"/>
              <w:suppressLineNumbers w:val="0"/>
              <w:spacing w:before="0" w:beforeAutospacing="0" w:after="0" w:afterAutospacing="0"/>
              <w:ind w:left="0" w:right="0"/>
              <w:rPr>
                <w:rFonts w:hint="default"/>
                <w:color w:val="auto"/>
              </w:rPr>
            </w:pPr>
          </w:p>
        </w:tc>
      </w:tr>
      <w:tr w14:paraId="6F7DC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420" w:type="dxa"/>
          </w:tcPr>
          <w:p w14:paraId="51DDB8F6">
            <w:pPr>
              <w:pStyle w:val="91"/>
              <w:keepNext w:val="0"/>
              <w:keepLines w:val="0"/>
              <w:numPr>
                <w:ilvl w:val="0"/>
                <w:numId w:val="20"/>
              </w:numPr>
              <w:suppressLineNumbers w:val="0"/>
              <w:spacing w:before="0" w:beforeAutospacing="0" w:after="0" w:afterAutospacing="0"/>
              <w:ind w:right="0"/>
              <w:rPr>
                <w:rFonts w:hint="default"/>
                <w:color w:val="auto"/>
              </w:rPr>
            </w:pPr>
          </w:p>
        </w:tc>
        <w:tc>
          <w:tcPr>
            <w:tcW w:w="1247" w:type="dxa"/>
          </w:tcPr>
          <w:p w14:paraId="420D9E6B">
            <w:pPr>
              <w:pStyle w:val="91"/>
              <w:keepNext w:val="0"/>
              <w:keepLines w:val="0"/>
              <w:suppressLineNumbers w:val="0"/>
              <w:spacing w:before="0" w:beforeAutospacing="0" w:after="0" w:afterAutospacing="0"/>
              <w:ind w:left="0" w:right="0"/>
              <w:rPr>
                <w:rFonts w:hint="default"/>
                <w:color w:val="auto"/>
              </w:rPr>
            </w:pPr>
            <w:r>
              <w:rPr>
                <w:rFonts w:hint="eastAsia"/>
                <w:color w:val="auto"/>
              </w:rPr>
              <w:t>柴油</w:t>
            </w:r>
          </w:p>
        </w:tc>
        <w:tc>
          <w:tcPr>
            <w:tcW w:w="926" w:type="dxa"/>
          </w:tcPr>
          <w:p w14:paraId="1F833BAD">
            <w:pPr>
              <w:pStyle w:val="91"/>
              <w:keepNext w:val="0"/>
              <w:keepLines w:val="0"/>
              <w:suppressLineNumbers w:val="0"/>
              <w:spacing w:before="0" w:beforeAutospacing="0" w:after="0" w:afterAutospacing="0"/>
              <w:ind w:left="0" w:right="0"/>
              <w:rPr>
                <w:rFonts w:hint="default"/>
                <w:color w:val="auto"/>
              </w:rPr>
            </w:pPr>
            <w:r>
              <w:rPr>
                <w:rFonts w:hint="eastAsia"/>
                <w:color w:val="auto"/>
              </w:rPr>
              <w:t>第3类</w:t>
            </w:r>
          </w:p>
        </w:tc>
        <w:tc>
          <w:tcPr>
            <w:tcW w:w="830" w:type="dxa"/>
            <w:vAlign w:val="center"/>
          </w:tcPr>
          <w:p w14:paraId="1BAF1487">
            <w:pPr>
              <w:pStyle w:val="91"/>
              <w:keepNext w:val="0"/>
              <w:keepLines w:val="0"/>
              <w:suppressLineNumbers w:val="0"/>
              <w:spacing w:before="0" w:beforeAutospacing="0" w:after="0" w:afterAutospacing="0"/>
              <w:ind w:left="0" w:right="0" w:firstLine="0" w:firstLineChars="0"/>
              <w:jc w:val="center"/>
              <w:rPr>
                <w:rFonts w:hint="eastAsia"/>
                <w:color w:val="auto"/>
                <w:u w:val="single"/>
              </w:rPr>
            </w:pPr>
            <w:r>
              <w:rPr>
                <w:rFonts w:hint="eastAsia"/>
                <w:color w:val="auto"/>
                <w:u w:val="single"/>
                <w:lang w:val="en-US" w:eastAsia="zh-CN"/>
              </w:rPr>
              <w:t>30</w:t>
            </w:r>
          </w:p>
        </w:tc>
        <w:tc>
          <w:tcPr>
            <w:tcW w:w="709" w:type="dxa"/>
            <w:vAlign w:val="center"/>
          </w:tcPr>
          <w:p w14:paraId="0895164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2.32</w:t>
            </w:r>
          </w:p>
        </w:tc>
        <w:tc>
          <w:tcPr>
            <w:tcW w:w="709" w:type="dxa"/>
            <w:vAlign w:val="center"/>
          </w:tcPr>
          <w:p w14:paraId="5A8508CC">
            <w:pPr>
              <w:pStyle w:val="91"/>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-20</w:t>
            </w:r>
          </w:p>
        </w:tc>
        <w:tc>
          <w:tcPr>
            <w:tcW w:w="709" w:type="dxa"/>
            <w:vAlign w:val="center"/>
          </w:tcPr>
          <w:p w14:paraId="3CAF53E0">
            <w:pPr>
              <w:pStyle w:val="91"/>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10</w:t>
            </w:r>
          </w:p>
        </w:tc>
        <w:tc>
          <w:tcPr>
            <w:tcW w:w="850" w:type="dxa"/>
          </w:tcPr>
          <w:p w14:paraId="2D318314">
            <w:pPr>
              <w:pStyle w:val="91"/>
              <w:keepNext w:val="0"/>
              <w:keepLines w:val="0"/>
              <w:suppressLineNumbers w:val="0"/>
              <w:spacing w:before="0" w:beforeAutospacing="0" w:after="0" w:afterAutospacing="0"/>
              <w:ind w:left="0" w:right="0"/>
              <w:rPr>
                <w:rFonts w:hint="default"/>
                <w:color w:val="auto"/>
              </w:rPr>
            </w:pPr>
            <w:r>
              <w:rPr>
                <w:rFonts w:hint="eastAsia"/>
                <w:color w:val="auto"/>
              </w:rPr>
              <w:t>卸船</w:t>
            </w:r>
          </w:p>
        </w:tc>
        <w:tc>
          <w:tcPr>
            <w:tcW w:w="1134" w:type="dxa"/>
            <w:vAlign w:val="center"/>
          </w:tcPr>
          <w:p w14:paraId="5F7E73C6">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3</w:t>
            </w:r>
            <w:r>
              <w:rPr>
                <w:rFonts w:hint="eastAsia"/>
                <w:bCs/>
                <w:color w:val="auto"/>
                <w:kern w:val="2"/>
                <w:sz w:val="21"/>
                <w:szCs w:val="21"/>
              </w:rPr>
              <w:t>#</w:t>
            </w:r>
            <w:r>
              <w:rPr>
                <w:rFonts w:hint="default"/>
                <w:bCs/>
                <w:color w:val="auto"/>
                <w:kern w:val="2"/>
                <w:sz w:val="21"/>
                <w:szCs w:val="21"/>
              </w:rPr>
              <w:t>液压输油臂</w:t>
            </w:r>
          </w:p>
        </w:tc>
        <w:tc>
          <w:tcPr>
            <w:tcW w:w="1418" w:type="dxa"/>
          </w:tcPr>
          <w:p w14:paraId="112C6726">
            <w:pPr>
              <w:pStyle w:val="91"/>
              <w:keepNext w:val="0"/>
              <w:keepLines w:val="0"/>
              <w:suppressLineNumbers w:val="0"/>
              <w:spacing w:before="0" w:beforeAutospacing="0" w:after="0" w:afterAutospacing="0"/>
              <w:ind w:left="0" w:right="0"/>
              <w:rPr>
                <w:rFonts w:hint="default"/>
                <w:color w:val="auto"/>
              </w:rPr>
            </w:pPr>
            <w:r>
              <w:rPr>
                <w:rFonts w:hint="default"/>
                <w:color w:val="auto"/>
              </w:rPr>
              <w:t>4</w:t>
            </w:r>
            <w:r>
              <w:rPr>
                <w:rFonts w:hint="eastAsia"/>
                <w:color w:val="auto"/>
              </w:rPr>
              <w:t>#/5#罐组</w:t>
            </w:r>
          </w:p>
        </w:tc>
        <w:tc>
          <w:tcPr>
            <w:tcW w:w="389" w:type="dxa"/>
            <w:vMerge w:val="continue"/>
          </w:tcPr>
          <w:p w14:paraId="7654E39F">
            <w:pPr>
              <w:pStyle w:val="91"/>
              <w:keepNext w:val="0"/>
              <w:keepLines w:val="0"/>
              <w:suppressLineNumbers w:val="0"/>
              <w:spacing w:before="0" w:beforeAutospacing="0" w:after="0" w:afterAutospacing="0"/>
              <w:ind w:left="0" w:right="0"/>
              <w:rPr>
                <w:rFonts w:hint="default"/>
                <w:color w:val="auto"/>
              </w:rPr>
            </w:pPr>
          </w:p>
        </w:tc>
      </w:tr>
      <w:tr w14:paraId="385AA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420" w:type="dxa"/>
          </w:tcPr>
          <w:p w14:paraId="4716DE10">
            <w:pPr>
              <w:pStyle w:val="91"/>
              <w:keepNext w:val="0"/>
              <w:keepLines w:val="0"/>
              <w:numPr>
                <w:ilvl w:val="0"/>
                <w:numId w:val="20"/>
              </w:numPr>
              <w:suppressLineNumbers w:val="0"/>
              <w:spacing w:before="0" w:beforeAutospacing="0" w:after="0" w:afterAutospacing="0"/>
              <w:ind w:right="0"/>
              <w:rPr>
                <w:rFonts w:hint="default"/>
                <w:color w:val="auto"/>
              </w:rPr>
            </w:pPr>
          </w:p>
        </w:tc>
        <w:tc>
          <w:tcPr>
            <w:tcW w:w="1247" w:type="dxa"/>
          </w:tcPr>
          <w:p w14:paraId="5351EAE5">
            <w:pPr>
              <w:pStyle w:val="91"/>
              <w:keepNext w:val="0"/>
              <w:keepLines w:val="0"/>
              <w:suppressLineNumbers w:val="0"/>
              <w:spacing w:before="0" w:beforeAutospacing="0" w:after="0" w:afterAutospacing="0"/>
              <w:ind w:left="0" w:right="0"/>
              <w:rPr>
                <w:rFonts w:hint="default"/>
                <w:color w:val="auto"/>
              </w:rPr>
            </w:pPr>
            <w:r>
              <w:rPr>
                <w:rFonts w:hint="eastAsia"/>
                <w:color w:val="auto"/>
              </w:rPr>
              <w:t>甲醇</w:t>
            </w:r>
          </w:p>
        </w:tc>
        <w:tc>
          <w:tcPr>
            <w:tcW w:w="926" w:type="dxa"/>
          </w:tcPr>
          <w:p w14:paraId="08AD404A">
            <w:pPr>
              <w:pStyle w:val="91"/>
              <w:keepNext w:val="0"/>
              <w:keepLines w:val="0"/>
              <w:suppressLineNumbers w:val="0"/>
              <w:spacing w:before="0" w:beforeAutospacing="0" w:after="0" w:afterAutospacing="0"/>
              <w:ind w:left="0" w:right="0"/>
              <w:rPr>
                <w:rFonts w:hint="default"/>
                <w:color w:val="auto"/>
              </w:rPr>
            </w:pPr>
            <w:r>
              <w:rPr>
                <w:rFonts w:hint="eastAsia"/>
                <w:color w:val="auto"/>
              </w:rPr>
              <w:t>第3类</w:t>
            </w:r>
          </w:p>
        </w:tc>
        <w:tc>
          <w:tcPr>
            <w:tcW w:w="830" w:type="dxa"/>
            <w:vAlign w:val="center"/>
          </w:tcPr>
          <w:p w14:paraId="318AA898">
            <w:pPr>
              <w:pStyle w:val="91"/>
              <w:keepNext w:val="0"/>
              <w:keepLines w:val="0"/>
              <w:suppressLineNumbers w:val="0"/>
              <w:spacing w:before="0" w:beforeAutospacing="0" w:after="0" w:afterAutospacing="0"/>
              <w:ind w:left="0" w:right="0" w:firstLine="0" w:firstLineChars="0"/>
              <w:jc w:val="center"/>
              <w:rPr>
                <w:rFonts w:hint="eastAsia"/>
                <w:color w:val="auto"/>
                <w:u w:val="single"/>
              </w:rPr>
            </w:pPr>
            <w:r>
              <w:rPr>
                <w:rFonts w:hint="eastAsia"/>
                <w:color w:val="auto"/>
                <w:u w:val="single"/>
                <w:lang w:val="en-US" w:eastAsia="zh-CN"/>
              </w:rPr>
              <w:t>31</w:t>
            </w:r>
          </w:p>
        </w:tc>
        <w:tc>
          <w:tcPr>
            <w:tcW w:w="709" w:type="dxa"/>
            <w:vAlign w:val="center"/>
          </w:tcPr>
          <w:p w14:paraId="79881C5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20.32</w:t>
            </w:r>
          </w:p>
        </w:tc>
        <w:tc>
          <w:tcPr>
            <w:tcW w:w="709" w:type="dxa"/>
            <w:vAlign w:val="center"/>
          </w:tcPr>
          <w:p w14:paraId="75B41E0D">
            <w:pPr>
              <w:pStyle w:val="91"/>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-10</w:t>
            </w:r>
          </w:p>
        </w:tc>
        <w:tc>
          <w:tcPr>
            <w:tcW w:w="709" w:type="dxa"/>
            <w:vAlign w:val="center"/>
          </w:tcPr>
          <w:p w14:paraId="19F1E105">
            <w:pPr>
              <w:pStyle w:val="91"/>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21</w:t>
            </w:r>
          </w:p>
        </w:tc>
        <w:tc>
          <w:tcPr>
            <w:tcW w:w="850" w:type="dxa"/>
          </w:tcPr>
          <w:p w14:paraId="6F523FE0">
            <w:pPr>
              <w:pStyle w:val="91"/>
              <w:keepNext w:val="0"/>
              <w:keepLines w:val="0"/>
              <w:suppressLineNumbers w:val="0"/>
              <w:spacing w:before="0" w:beforeAutospacing="0" w:after="0" w:afterAutospacing="0"/>
              <w:ind w:left="0" w:right="0"/>
              <w:rPr>
                <w:rFonts w:hint="default"/>
                <w:color w:val="auto"/>
              </w:rPr>
            </w:pPr>
            <w:r>
              <w:rPr>
                <w:rFonts w:hint="eastAsia"/>
                <w:color w:val="auto"/>
              </w:rPr>
              <w:t>卸船</w:t>
            </w:r>
          </w:p>
        </w:tc>
        <w:tc>
          <w:tcPr>
            <w:tcW w:w="1134" w:type="dxa"/>
            <w:vAlign w:val="center"/>
          </w:tcPr>
          <w:p w14:paraId="41696405">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5</w:t>
            </w:r>
            <w:r>
              <w:rPr>
                <w:rFonts w:hint="eastAsia"/>
                <w:bCs/>
                <w:color w:val="auto"/>
                <w:kern w:val="2"/>
                <w:sz w:val="21"/>
                <w:szCs w:val="21"/>
              </w:rPr>
              <w:t>#</w:t>
            </w:r>
            <w:r>
              <w:rPr>
                <w:rFonts w:hint="default"/>
                <w:bCs/>
                <w:color w:val="auto"/>
                <w:kern w:val="2"/>
                <w:sz w:val="21"/>
                <w:szCs w:val="21"/>
              </w:rPr>
              <w:t>输油臂</w:t>
            </w:r>
          </w:p>
        </w:tc>
        <w:tc>
          <w:tcPr>
            <w:tcW w:w="1418" w:type="dxa"/>
          </w:tcPr>
          <w:p w14:paraId="032EE02C">
            <w:pPr>
              <w:pStyle w:val="91"/>
              <w:keepNext w:val="0"/>
              <w:keepLines w:val="0"/>
              <w:suppressLineNumbers w:val="0"/>
              <w:spacing w:before="0" w:beforeAutospacing="0" w:after="0" w:afterAutospacing="0"/>
              <w:ind w:left="0" w:right="0"/>
              <w:rPr>
                <w:rFonts w:hint="default"/>
                <w:color w:val="auto"/>
              </w:rPr>
            </w:pPr>
            <w:r>
              <w:rPr>
                <w:rFonts w:hint="default"/>
                <w:color w:val="auto"/>
              </w:rPr>
              <w:t>5</w:t>
            </w:r>
            <w:r>
              <w:rPr>
                <w:rFonts w:hint="eastAsia"/>
                <w:color w:val="auto"/>
              </w:rPr>
              <w:t>#混合罐组</w:t>
            </w:r>
          </w:p>
        </w:tc>
        <w:tc>
          <w:tcPr>
            <w:tcW w:w="389" w:type="dxa"/>
            <w:vMerge w:val="continue"/>
          </w:tcPr>
          <w:p w14:paraId="608932D2">
            <w:pPr>
              <w:pStyle w:val="91"/>
              <w:keepNext w:val="0"/>
              <w:keepLines w:val="0"/>
              <w:suppressLineNumbers w:val="0"/>
              <w:spacing w:before="0" w:beforeAutospacing="0" w:after="0" w:afterAutospacing="0"/>
              <w:ind w:left="0" w:right="0"/>
              <w:rPr>
                <w:rFonts w:hint="default"/>
                <w:color w:val="auto"/>
              </w:rPr>
            </w:pPr>
          </w:p>
        </w:tc>
      </w:tr>
      <w:tr w14:paraId="12A30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420" w:type="dxa"/>
          </w:tcPr>
          <w:p w14:paraId="09F7B977">
            <w:pPr>
              <w:pStyle w:val="91"/>
              <w:keepNext w:val="0"/>
              <w:keepLines w:val="0"/>
              <w:numPr>
                <w:ilvl w:val="0"/>
                <w:numId w:val="20"/>
              </w:numPr>
              <w:suppressLineNumbers w:val="0"/>
              <w:spacing w:before="0" w:beforeAutospacing="0" w:after="0" w:afterAutospacing="0"/>
              <w:ind w:right="0"/>
              <w:rPr>
                <w:rFonts w:hint="default"/>
                <w:color w:val="auto"/>
              </w:rPr>
            </w:pPr>
          </w:p>
        </w:tc>
        <w:tc>
          <w:tcPr>
            <w:tcW w:w="1247" w:type="dxa"/>
          </w:tcPr>
          <w:p w14:paraId="7F92D262">
            <w:pPr>
              <w:pStyle w:val="91"/>
              <w:keepNext w:val="0"/>
              <w:keepLines w:val="0"/>
              <w:suppressLineNumbers w:val="0"/>
              <w:spacing w:before="0" w:beforeAutospacing="0" w:after="0" w:afterAutospacing="0"/>
              <w:ind w:left="0" w:right="0"/>
              <w:rPr>
                <w:rFonts w:hint="default"/>
                <w:color w:val="auto"/>
              </w:rPr>
            </w:pPr>
            <w:r>
              <w:rPr>
                <w:rFonts w:hint="eastAsia"/>
                <w:color w:val="auto"/>
              </w:rPr>
              <w:t>甲基叔丁基醚（MTBE）</w:t>
            </w:r>
          </w:p>
        </w:tc>
        <w:tc>
          <w:tcPr>
            <w:tcW w:w="926" w:type="dxa"/>
          </w:tcPr>
          <w:p w14:paraId="3E9DF6BB">
            <w:pPr>
              <w:pStyle w:val="91"/>
              <w:keepNext w:val="0"/>
              <w:keepLines w:val="0"/>
              <w:suppressLineNumbers w:val="0"/>
              <w:spacing w:before="0" w:beforeAutospacing="0" w:after="0" w:afterAutospacing="0"/>
              <w:ind w:left="0" w:right="0"/>
              <w:rPr>
                <w:rFonts w:hint="default"/>
                <w:color w:val="auto"/>
              </w:rPr>
            </w:pPr>
            <w:r>
              <w:rPr>
                <w:rFonts w:hint="eastAsia"/>
                <w:color w:val="auto"/>
              </w:rPr>
              <w:t>第3类</w:t>
            </w:r>
          </w:p>
        </w:tc>
        <w:tc>
          <w:tcPr>
            <w:tcW w:w="830" w:type="dxa"/>
            <w:vAlign w:val="center"/>
          </w:tcPr>
          <w:p w14:paraId="261AEE32">
            <w:pPr>
              <w:pStyle w:val="91"/>
              <w:keepNext w:val="0"/>
              <w:keepLines w:val="0"/>
              <w:suppressLineNumbers w:val="0"/>
              <w:spacing w:before="0" w:beforeAutospacing="0" w:after="0" w:afterAutospacing="0"/>
              <w:ind w:left="0" w:right="0" w:firstLine="0" w:firstLineChars="0"/>
              <w:jc w:val="center"/>
              <w:rPr>
                <w:rFonts w:hint="eastAsia"/>
                <w:color w:val="auto"/>
              </w:rPr>
            </w:pPr>
            <w:r>
              <w:rPr>
                <w:rFonts w:hint="eastAsia"/>
                <w:color w:val="auto"/>
              </w:rPr>
              <w:t>0</w:t>
            </w:r>
          </w:p>
        </w:tc>
        <w:tc>
          <w:tcPr>
            <w:tcW w:w="709" w:type="dxa"/>
            <w:vAlign w:val="center"/>
          </w:tcPr>
          <w:p w14:paraId="4D0F4AF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w:t>
            </w:r>
          </w:p>
        </w:tc>
        <w:tc>
          <w:tcPr>
            <w:tcW w:w="709" w:type="dxa"/>
            <w:vAlign w:val="center"/>
          </w:tcPr>
          <w:p w14:paraId="5EBB8FD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709" w:type="dxa"/>
            <w:vAlign w:val="center"/>
          </w:tcPr>
          <w:p w14:paraId="5C8A081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850" w:type="dxa"/>
          </w:tcPr>
          <w:p w14:paraId="36654428">
            <w:pPr>
              <w:pStyle w:val="91"/>
              <w:keepNext w:val="0"/>
              <w:keepLines w:val="0"/>
              <w:suppressLineNumbers w:val="0"/>
              <w:spacing w:before="0" w:beforeAutospacing="0" w:after="0" w:afterAutospacing="0"/>
              <w:ind w:left="0" w:right="0"/>
              <w:rPr>
                <w:rFonts w:hint="default"/>
                <w:color w:val="auto"/>
              </w:rPr>
            </w:pPr>
            <w:r>
              <w:rPr>
                <w:rFonts w:hint="eastAsia"/>
                <w:color w:val="auto"/>
              </w:rPr>
              <w:t>装船</w:t>
            </w:r>
          </w:p>
        </w:tc>
        <w:tc>
          <w:tcPr>
            <w:tcW w:w="1134" w:type="dxa"/>
            <w:vMerge w:val="restart"/>
            <w:vAlign w:val="center"/>
          </w:tcPr>
          <w:p w14:paraId="65F4784A">
            <w:pPr>
              <w:pStyle w:val="38"/>
              <w:keepNext w:val="0"/>
              <w:keepLines w:val="0"/>
              <w:widowControl/>
              <w:suppressLineNumbers w:val="0"/>
              <w:spacing w:line="320" w:lineRule="exact"/>
              <w:ind w:left="0" w:right="0"/>
              <w:jc w:val="center"/>
              <w:rPr>
                <w:rFonts w:hint="default"/>
                <w:bCs/>
                <w:color w:val="auto"/>
                <w:kern w:val="2"/>
                <w:sz w:val="21"/>
                <w:szCs w:val="21"/>
              </w:rPr>
            </w:pPr>
            <w:r>
              <w:rPr>
                <w:rFonts w:hint="default"/>
                <w:bCs/>
                <w:color w:val="auto"/>
                <w:kern w:val="2"/>
                <w:sz w:val="21"/>
                <w:szCs w:val="21"/>
              </w:rPr>
              <w:t>4</w:t>
            </w:r>
            <w:r>
              <w:rPr>
                <w:rFonts w:hint="eastAsia"/>
                <w:bCs/>
                <w:color w:val="auto"/>
                <w:kern w:val="2"/>
                <w:sz w:val="21"/>
                <w:szCs w:val="21"/>
              </w:rPr>
              <w:t>#</w:t>
            </w:r>
            <w:r>
              <w:rPr>
                <w:rFonts w:hint="default"/>
                <w:bCs/>
                <w:color w:val="auto"/>
                <w:kern w:val="2"/>
                <w:sz w:val="21"/>
                <w:szCs w:val="21"/>
              </w:rPr>
              <w:t>液压输油臂</w:t>
            </w:r>
          </w:p>
        </w:tc>
        <w:tc>
          <w:tcPr>
            <w:tcW w:w="1418" w:type="dxa"/>
          </w:tcPr>
          <w:p w14:paraId="6EB78CD7">
            <w:pPr>
              <w:pStyle w:val="38"/>
              <w:keepNext w:val="0"/>
              <w:keepLines w:val="0"/>
              <w:widowControl/>
              <w:suppressLineNumbers w:val="0"/>
              <w:spacing w:line="320" w:lineRule="exact"/>
              <w:ind w:left="0" w:right="0"/>
              <w:jc w:val="center"/>
              <w:rPr>
                <w:rFonts w:hint="default"/>
                <w:bCs/>
                <w:color w:val="auto"/>
                <w:kern w:val="2"/>
                <w:sz w:val="21"/>
                <w:szCs w:val="21"/>
                <w:u w:val="single"/>
              </w:rPr>
            </w:pPr>
            <w:r>
              <w:rPr>
                <w:rFonts w:hint="eastAsia"/>
                <w:bCs/>
                <w:color w:val="auto"/>
                <w:kern w:val="2"/>
                <w:sz w:val="21"/>
                <w:szCs w:val="21"/>
                <w:u w:val="single"/>
              </w:rPr>
              <w:t>3#罐组</w:t>
            </w:r>
            <w:r>
              <w:rPr>
                <w:rFonts w:hint="default"/>
                <w:bCs/>
                <w:color w:val="auto"/>
                <w:kern w:val="2"/>
                <w:sz w:val="21"/>
                <w:szCs w:val="21"/>
                <w:u w:val="single"/>
              </w:rPr>
              <w:t>的</w:t>
            </w:r>
            <w:r>
              <w:rPr>
                <w:rFonts w:hint="eastAsia"/>
                <w:bCs/>
                <w:color w:val="auto"/>
                <w:kern w:val="2"/>
                <w:sz w:val="21"/>
                <w:szCs w:val="21"/>
                <w:u w:val="single"/>
              </w:rPr>
              <w:t>V30</w:t>
            </w:r>
            <w:r>
              <w:rPr>
                <w:rFonts w:hint="eastAsia"/>
                <w:bCs/>
                <w:color w:val="auto"/>
                <w:kern w:val="2"/>
                <w:sz w:val="21"/>
                <w:szCs w:val="21"/>
                <w:u w:val="single"/>
                <w:lang w:val="en-US" w:eastAsia="zh-CN"/>
              </w:rPr>
              <w:t>7</w:t>
            </w:r>
            <w:r>
              <w:rPr>
                <w:rFonts w:hint="eastAsia"/>
                <w:bCs/>
                <w:color w:val="auto"/>
                <w:kern w:val="2"/>
                <w:sz w:val="21"/>
                <w:szCs w:val="21"/>
                <w:u w:val="single"/>
              </w:rPr>
              <w:t>储罐</w:t>
            </w:r>
          </w:p>
        </w:tc>
        <w:tc>
          <w:tcPr>
            <w:tcW w:w="389" w:type="dxa"/>
            <w:vMerge w:val="restart"/>
            <w:vAlign w:val="center"/>
          </w:tcPr>
          <w:p w14:paraId="73B75B9D">
            <w:pPr>
              <w:pStyle w:val="38"/>
              <w:keepNext w:val="0"/>
              <w:keepLines w:val="0"/>
              <w:widowControl/>
              <w:suppressLineNumbers w:val="0"/>
              <w:spacing w:line="320" w:lineRule="exact"/>
              <w:ind w:left="0" w:right="0"/>
              <w:jc w:val="center"/>
              <w:rPr>
                <w:rFonts w:hint="default"/>
                <w:bCs/>
                <w:color w:val="auto"/>
                <w:kern w:val="2"/>
                <w:sz w:val="21"/>
                <w:szCs w:val="21"/>
              </w:rPr>
            </w:pPr>
            <w:r>
              <w:rPr>
                <w:rFonts w:hint="eastAsia"/>
                <w:bCs/>
                <w:color w:val="auto"/>
                <w:kern w:val="2"/>
                <w:sz w:val="21"/>
                <w:szCs w:val="21"/>
              </w:rPr>
              <w:t>本次</w:t>
            </w:r>
            <w:r>
              <w:rPr>
                <w:rFonts w:hint="default"/>
                <w:bCs/>
                <w:color w:val="auto"/>
                <w:kern w:val="2"/>
                <w:sz w:val="21"/>
                <w:szCs w:val="21"/>
              </w:rPr>
              <w:t>扩建新增</w:t>
            </w:r>
          </w:p>
        </w:tc>
      </w:tr>
      <w:tr w14:paraId="72AAC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420" w:type="dxa"/>
          </w:tcPr>
          <w:p w14:paraId="14073B31">
            <w:pPr>
              <w:pStyle w:val="91"/>
              <w:keepNext w:val="0"/>
              <w:keepLines w:val="0"/>
              <w:numPr>
                <w:ilvl w:val="0"/>
                <w:numId w:val="20"/>
              </w:numPr>
              <w:suppressLineNumbers w:val="0"/>
              <w:spacing w:before="0" w:beforeAutospacing="0" w:after="0" w:afterAutospacing="0"/>
              <w:ind w:right="0"/>
              <w:rPr>
                <w:rFonts w:hint="default"/>
                <w:color w:val="auto"/>
              </w:rPr>
            </w:pPr>
          </w:p>
        </w:tc>
        <w:tc>
          <w:tcPr>
            <w:tcW w:w="1247" w:type="dxa"/>
          </w:tcPr>
          <w:p w14:paraId="74768A3C">
            <w:pPr>
              <w:pStyle w:val="91"/>
              <w:keepNext w:val="0"/>
              <w:keepLines w:val="0"/>
              <w:suppressLineNumbers w:val="0"/>
              <w:spacing w:before="0" w:beforeAutospacing="0" w:after="0" w:afterAutospacing="0"/>
              <w:ind w:left="0" w:right="0"/>
              <w:rPr>
                <w:rFonts w:hint="default"/>
                <w:color w:val="auto"/>
              </w:rPr>
            </w:pPr>
            <w:r>
              <w:rPr>
                <w:rFonts w:hint="eastAsia"/>
                <w:color w:val="auto"/>
              </w:rPr>
              <w:t>石脑油</w:t>
            </w:r>
          </w:p>
        </w:tc>
        <w:tc>
          <w:tcPr>
            <w:tcW w:w="926" w:type="dxa"/>
          </w:tcPr>
          <w:p w14:paraId="02A20BEC">
            <w:pPr>
              <w:pStyle w:val="91"/>
              <w:keepNext w:val="0"/>
              <w:keepLines w:val="0"/>
              <w:suppressLineNumbers w:val="0"/>
              <w:spacing w:before="0" w:beforeAutospacing="0" w:after="0" w:afterAutospacing="0"/>
              <w:ind w:left="0" w:right="0"/>
              <w:rPr>
                <w:rFonts w:hint="default"/>
                <w:color w:val="auto"/>
              </w:rPr>
            </w:pPr>
            <w:r>
              <w:rPr>
                <w:rFonts w:hint="eastAsia"/>
                <w:color w:val="auto"/>
              </w:rPr>
              <w:t>第3类</w:t>
            </w:r>
          </w:p>
        </w:tc>
        <w:tc>
          <w:tcPr>
            <w:tcW w:w="830" w:type="dxa"/>
            <w:vAlign w:val="center"/>
          </w:tcPr>
          <w:p w14:paraId="37D10B4E">
            <w:pPr>
              <w:pStyle w:val="91"/>
              <w:keepNext w:val="0"/>
              <w:keepLines w:val="0"/>
              <w:suppressLineNumbers w:val="0"/>
              <w:spacing w:before="0" w:beforeAutospacing="0" w:after="0" w:afterAutospacing="0"/>
              <w:ind w:left="0" w:right="0" w:firstLine="0" w:firstLineChars="0"/>
              <w:jc w:val="center"/>
              <w:rPr>
                <w:rFonts w:hint="eastAsia"/>
                <w:color w:val="auto"/>
              </w:rPr>
            </w:pPr>
            <w:r>
              <w:rPr>
                <w:rFonts w:hint="eastAsia"/>
                <w:color w:val="auto"/>
              </w:rPr>
              <w:t>0</w:t>
            </w:r>
          </w:p>
        </w:tc>
        <w:tc>
          <w:tcPr>
            <w:tcW w:w="709" w:type="dxa"/>
            <w:vAlign w:val="center"/>
          </w:tcPr>
          <w:p w14:paraId="1DB0146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w:t>
            </w:r>
          </w:p>
        </w:tc>
        <w:tc>
          <w:tcPr>
            <w:tcW w:w="709" w:type="dxa"/>
            <w:vAlign w:val="center"/>
          </w:tcPr>
          <w:p w14:paraId="070BB20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709" w:type="dxa"/>
            <w:vAlign w:val="center"/>
          </w:tcPr>
          <w:p w14:paraId="66BA662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850" w:type="dxa"/>
          </w:tcPr>
          <w:p w14:paraId="17EDC04F">
            <w:pPr>
              <w:pStyle w:val="91"/>
              <w:keepNext w:val="0"/>
              <w:keepLines w:val="0"/>
              <w:suppressLineNumbers w:val="0"/>
              <w:spacing w:before="0" w:beforeAutospacing="0" w:after="0" w:afterAutospacing="0"/>
              <w:ind w:left="0" w:right="0"/>
              <w:rPr>
                <w:rFonts w:hint="default"/>
                <w:color w:val="auto"/>
              </w:rPr>
            </w:pPr>
            <w:r>
              <w:rPr>
                <w:rFonts w:hint="eastAsia"/>
                <w:color w:val="auto"/>
              </w:rPr>
              <w:t>卸船</w:t>
            </w:r>
          </w:p>
        </w:tc>
        <w:tc>
          <w:tcPr>
            <w:tcW w:w="1134" w:type="dxa"/>
            <w:vMerge w:val="continue"/>
          </w:tcPr>
          <w:p w14:paraId="16F75DE2">
            <w:pPr>
              <w:pStyle w:val="91"/>
              <w:keepNext w:val="0"/>
              <w:keepLines w:val="0"/>
              <w:suppressLineNumbers w:val="0"/>
              <w:spacing w:before="0" w:beforeAutospacing="0" w:after="0" w:afterAutospacing="0"/>
              <w:ind w:left="0" w:right="0"/>
              <w:rPr>
                <w:rFonts w:hint="default"/>
                <w:color w:val="auto"/>
              </w:rPr>
            </w:pPr>
          </w:p>
        </w:tc>
        <w:tc>
          <w:tcPr>
            <w:tcW w:w="1418" w:type="dxa"/>
          </w:tcPr>
          <w:p w14:paraId="2AD97002">
            <w:pPr>
              <w:pStyle w:val="91"/>
              <w:keepNext w:val="0"/>
              <w:keepLines w:val="0"/>
              <w:suppressLineNumbers w:val="0"/>
              <w:spacing w:before="0" w:beforeAutospacing="0" w:after="0" w:afterAutospacing="0"/>
              <w:ind w:left="0" w:right="0"/>
              <w:rPr>
                <w:rFonts w:hint="default"/>
                <w:color w:val="auto"/>
                <w:u w:val="single"/>
              </w:rPr>
            </w:pPr>
            <w:r>
              <w:rPr>
                <w:rFonts w:hint="eastAsia"/>
                <w:bCs/>
                <w:color w:val="auto"/>
                <w:kern w:val="2"/>
                <w:u w:val="single"/>
              </w:rPr>
              <w:t>3#罐组</w:t>
            </w:r>
            <w:r>
              <w:rPr>
                <w:rFonts w:hint="default"/>
                <w:bCs/>
                <w:color w:val="auto"/>
                <w:kern w:val="2"/>
                <w:u w:val="single"/>
              </w:rPr>
              <w:t>的</w:t>
            </w:r>
            <w:r>
              <w:rPr>
                <w:rFonts w:hint="eastAsia"/>
                <w:bCs/>
                <w:color w:val="auto"/>
                <w:kern w:val="2"/>
                <w:u w:val="single"/>
              </w:rPr>
              <w:t>V30</w:t>
            </w:r>
            <w:r>
              <w:rPr>
                <w:rFonts w:hint="eastAsia"/>
                <w:bCs/>
                <w:color w:val="auto"/>
                <w:kern w:val="2"/>
                <w:u w:val="single"/>
                <w:lang w:val="en-US" w:eastAsia="zh-CN"/>
              </w:rPr>
              <w:t>5</w:t>
            </w:r>
            <w:r>
              <w:rPr>
                <w:rFonts w:hint="eastAsia"/>
                <w:bCs/>
                <w:color w:val="auto"/>
                <w:kern w:val="2"/>
                <w:u w:val="single"/>
              </w:rPr>
              <w:t>储罐</w:t>
            </w:r>
          </w:p>
        </w:tc>
        <w:tc>
          <w:tcPr>
            <w:tcW w:w="389" w:type="dxa"/>
            <w:vMerge w:val="continue"/>
          </w:tcPr>
          <w:p w14:paraId="7DBBFFAC">
            <w:pPr>
              <w:pStyle w:val="91"/>
              <w:keepNext w:val="0"/>
              <w:keepLines w:val="0"/>
              <w:suppressLineNumbers w:val="0"/>
              <w:spacing w:before="0" w:beforeAutospacing="0" w:after="0" w:afterAutospacing="0"/>
              <w:ind w:left="0" w:right="0"/>
              <w:rPr>
                <w:rFonts w:hint="default"/>
                <w:bCs/>
                <w:color w:val="auto"/>
                <w:kern w:val="2"/>
              </w:rPr>
            </w:pPr>
          </w:p>
        </w:tc>
      </w:tr>
      <w:tr w14:paraId="50282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420" w:type="dxa"/>
          </w:tcPr>
          <w:p w14:paraId="1D723BCF">
            <w:pPr>
              <w:pStyle w:val="91"/>
              <w:keepNext w:val="0"/>
              <w:keepLines w:val="0"/>
              <w:numPr>
                <w:ilvl w:val="0"/>
                <w:numId w:val="20"/>
              </w:numPr>
              <w:suppressLineNumbers w:val="0"/>
              <w:spacing w:before="0" w:beforeAutospacing="0" w:after="0" w:afterAutospacing="0"/>
              <w:ind w:right="0"/>
              <w:rPr>
                <w:rFonts w:hint="default"/>
                <w:color w:val="auto"/>
              </w:rPr>
            </w:pPr>
          </w:p>
        </w:tc>
        <w:tc>
          <w:tcPr>
            <w:tcW w:w="1247" w:type="dxa"/>
          </w:tcPr>
          <w:p w14:paraId="426D3A8F">
            <w:pPr>
              <w:pStyle w:val="91"/>
              <w:keepNext w:val="0"/>
              <w:keepLines w:val="0"/>
              <w:suppressLineNumbers w:val="0"/>
              <w:spacing w:before="0" w:beforeAutospacing="0" w:after="0" w:afterAutospacing="0"/>
              <w:ind w:left="0" w:right="0"/>
              <w:rPr>
                <w:rFonts w:hint="default"/>
                <w:color w:val="auto"/>
              </w:rPr>
            </w:pPr>
            <w:r>
              <w:rPr>
                <w:rFonts w:hint="eastAsia"/>
                <w:color w:val="auto"/>
              </w:rPr>
              <w:t>异辛烷（烷基化油）</w:t>
            </w:r>
          </w:p>
        </w:tc>
        <w:tc>
          <w:tcPr>
            <w:tcW w:w="926" w:type="dxa"/>
          </w:tcPr>
          <w:p w14:paraId="736C48ED">
            <w:pPr>
              <w:pStyle w:val="91"/>
              <w:keepNext w:val="0"/>
              <w:keepLines w:val="0"/>
              <w:suppressLineNumbers w:val="0"/>
              <w:spacing w:before="0" w:beforeAutospacing="0" w:after="0" w:afterAutospacing="0"/>
              <w:ind w:left="0" w:right="0"/>
              <w:rPr>
                <w:rFonts w:hint="default"/>
                <w:color w:val="auto"/>
              </w:rPr>
            </w:pPr>
            <w:r>
              <w:rPr>
                <w:rFonts w:hint="eastAsia"/>
                <w:color w:val="auto"/>
              </w:rPr>
              <w:t>第3类</w:t>
            </w:r>
          </w:p>
        </w:tc>
        <w:tc>
          <w:tcPr>
            <w:tcW w:w="830" w:type="dxa"/>
            <w:vAlign w:val="center"/>
          </w:tcPr>
          <w:p w14:paraId="3D2A78F4">
            <w:pPr>
              <w:pStyle w:val="91"/>
              <w:keepNext w:val="0"/>
              <w:keepLines w:val="0"/>
              <w:suppressLineNumbers w:val="0"/>
              <w:spacing w:before="0" w:beforeAutospacing="0" w:after="0" w:afterAutospacing="0"/>
              <w:ind w:left="0" w:right="0" w:firstLine="0" w:firstLineChars="0"/>
              <w:jc w:val="center"/>
              <w:rPr>
                <w:rFonts w:hint="eastAsia"/>
                <w:color w:val="auto"/>
              </w:rPr>
            </w:pPr>
            <w:r>
              <w:rPr>
                <w:rFonts w:hint="eastAsia"/>
                <w:color w:val="auto"/>
              </w:rPr>
              <w:t>0</w:t>
            </w:r>
          </w:p>
        </w:tc>
        <w:tc>
          <w:tcPr>
            <w:tcW w:w="709" w:type="dxa"/>
            <w:vAlign w:val="center"/>
          </w:tcPr>
          <w:p w14:paraId="1C36A92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w:t>
            </w:r>
          </w:p>
        </w:tc>
        <w:tc>
          <w:tcPr>
            <w:tcW w:w="709" w:type="dxa"/>
            <w:vAlign w:val="center"/>
          </w:tcPr>
          <w:p w14:paraId="78041D2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709" w:type="dxa"/>
            <w:vAlign w:val="center"/>
          </w:tcPr>
          <w:p w14:paraId="50DF2ECB">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850" w:type="dxa"/>
          </w:tcPr>
          <w:p w14:paraId="1D13027B">
            <w:pPr>
              <w:pStyle w:val="91"/>
              <w:keepNext w:val="0"/>
              <w:keepLines w:val="0"/>
              <w:suppressLineNumbers w:val="0"/>
              <w:spacing w:before="0" w:beforeAutospacing="0" w:after="0" w:afterAutospacing="0"/>
              <w:ind w:left="0" w:right="0"/>
              <w:rPr>
                <w:rFonts w:hint="default"/>
                <w:color w:val="auto"/>
              </w:rPr>
            </w:pPr>
            <w:r>
              <w:rPr>
                <w:rFonts w:hint="eastAsia"/>
                <w:color w:val="auto"/>
              </w:rPr>
              <w:t>卸船</w:t>
            </w:r>
          </w:p>
        </w:tc>
        <w:tc>
          <w:tcPr>
            <w:tcW w:w="1134" w:type="dxa"/>
          </w:tcPr>
          <w:p w14:paraId="7D52EF43">
            <w:pPr>
              <w:pStyle w:val="91"/>
              <w:keepNext w:val="0"/>
              <w:keepLines w:val="0"/>
              <w:suppressLineNumbers w:val="0"/>
              <w:spacing w:before="0" w:beforeAutospacing="0" w:after="0" w:afterAutospacing="0"/>
              <w:ind w:left="0" w:right="0"/>
              <w:rPr>
                <w:rFonts w:hint="default"/>
                <w:color w:val="auto"/>
              </w:rPr>
            </w:pPr>
            <w:r>
              <w:rPr>
                <w:rFonts w:hint="default"/>
                <w:bCs/>
                <w:color w:val="auto"/>
                <w:kern w:val="2"/>
              </w:rPr>
              <w:t>4</w:t>
            </w:r>
            <w:r>
              <w:rPr>
                <w:rFonts w:hint="eastAsia"/>
                <w:bCs/>
                <w:color w:val="auto"/>
                <w:kern w:val="2"/>
              </w:rPr>
              <w:t>#</w:t>
            </w:r>
            <w:r>
              <w:rPr>
                <w:rFonts w:hint="default"/>
                <w:bCs/>
                <w:color w:val="auto"/>
                <w:kern w:val="2"/>
              </w:rPr>
              <w:t>液压输油臂</w:t>
            </w:r>
          </w:p>
        </w:tc>
        <w:tc>
          <w:tcPr>
            <w:tcW w:w="1418" w:type="dxa"/>
          </w:tcPr>
          <w:p w14:paraId="71B1E196">
            <w:pPr>
              <w:pStyle w:val="91"/>
              <w:keepNext w:val="0"/>
              <w:keepLines w:val="0"/>
              <w:suppressLineNumbers w:val="0"/>
              <w:spacing w:before="0" w:beforeAutospacing="0" w:after="0" w:afterAutospacing="0"/>
              <w:ind w:left="0" w:right="0"/>
              <w:rPr>
                <w:rFonts w:hint="default"/>
                <w:color w:val="auto"/>
                <w:u w:val="single"/>
              </w:rPr>
            </w:pPr>
            <w:r>
              <w:rPr>
                <w:rFonts w:hint="eastAsia"/>
                <w:bCs/>
                <w:color w:val="auto"/>
                <w:kern w:val="2"/>
                <w:u w:val="single"/>
              </w:rPr>
              <w:t>3#罐组</w:t>
            </w:r>
            <w:r>
              <w:rPr>
                <w:rFonts w:hint="default"/>
                <w:bCs/>
                <w:color w:val="auto"/>
                <w:kern w:val="2"/>
                <w:u w:val="single"/>
              </w:rPr>
              <w:t>的</w:t>
            </w:r>
            <w:r>
              <w:rPr>
                <w:rFonts w:hint="eastAsia"/>
                <w:bCs/>
                <w:color w:val="auto"/>
                <w:kern w:val="2"/>
                <w:u w:val="single"/>
              </w:rPr>
              <w:t>V30</w:t>
            </w:r>
            <w:r>
              <w:rPr>
                <w:rFonts w:hint="eastAsia"/>
                <w:bCs/>
                <w:color w:val="auto"/>
                <w:kern w:val="2"/>
                <w:u w:val="single"/>
                <w:lang w:val="en-US" w:eastAsia="zh-CN"/>
              </w:rPr>
              <w:t>6</w:t>
            </w:r>
            <w:r>
              <w:rPr>
                <w:rFonts w:hint="eastAsia"/>
                <w:bCs/>
                <w:color w:val="auto"/>
                <w:kern w:val="2"/>
                <w:u w:val="single"/>
              </w:rPr>
              <w:t>储罐</w:t>
            </w:r>
          </w:p>
        </w:tc>
        <w:tc>
          <w:tcPr>
            <w:tcW w:w="389" w:type="dxa"/>
            <w:vMerge w:val="continue"/>
          </w:tcPr>
          <w:p w14:paraId="7B129E33">
            <w:pPr>
              <w:pStyle w:val="91"/>
              <w:keepNext w:val="0"/>
              <w:keepLines w:val="0"/>
              <w:suppressLineNumbers w:val="0"/>
              <w:spacing w:before="0" w:beforeAutospacing="0" w:after="0" w:afterAutospacing="0"/>
              <w:ind w:left="0" w:right="0"/>
              <w:rPr>
                <w:rFonts w:hint="default"/>
                <w:bCs/>
                <w:color w:val="auto"/>
                <w:kern w:val="2"/>
              </w:rPr>
            </w:pPr>
          </w:p>
        </w:tc>
      </w:tr>
      <w:tr w14:paraId="5C276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420" w:type="dxa"/>
          </w:tcPr>
          <w:p w14:paraId="2F9D540E">
            <w:pPr>
              <w:pStyle w:val="91"/>
              <w:keepNext w:val="0"/>
              <w:keepLines w:val="0"/>
              <w:numPr>
                <w:ilvl w:val="0"/>
                <w:numId w:val="20"/>
              </w:numPr>
              <w:suppressLineNumbers w:val="0"/>
              <w:spacing w:before="0" w:beforeAutospacing="0" w:after="0" w:afterAutospacing="0"/>
              <w:ind w:right="0"/>
              <w:rPr>
                <w:rFonts w:hint="default"/>
                <w:color w:val="auto"/>
              </w:rPr>
            </w:pPr>
          </w:p>
        </w:tc>
        <w:tc>
          <w:tcPr>
            <w:tcW w:w="1247" w:type="dxa"/>
          </w:tcPr>
          <w:p w14:paraId="41AE5C07">
            <w:pPr>
              <w:pStyle w:val="91"/>
              <w:keepNext w:val="0"/>
              <w:keepLines w:val="0"/>
              <w:suppressLineNumbers w:val="0"/>
              <w:spacing w:before="0" w:beforeAutospacing="0" w:after="0" w:afterAutospacing="0"/>
              <w:ind w:left="0" w:right="0"/>
              <w:rPr>
                <w:rFonts w:hint="default"/>
                <w:color w:val="auto"/>
              </w:rPr>
            </w:pPr>
            <w:r>
              <w:rPr>
                <w:rFonts w:hint="eastAsia"/>
                <w:color w:val="auto"/>
              </w:rPr>
              <w:t>蜡油</w:t>
            </w:r>
          </w:p>
        </w:tc>
        <w:tc>
          <w:tcPr>
            <w:tcW w:w="926" w:type="dxa"/>
          </w:tcPr>
          <w:p w14:paraId="590D4232">
            <w:pPr>
              <w:pStyle w:val="91"/>
              <w:keepNext w:val="0"/>
              <w:keepLines w:val="0"/>
              <w:suppressLineNumbers w:val="0"/>
              <w:spacing w:before="0" w:beforeAutospacing="0" w:after="0" w:afterAutospacing="0"/>
              <w:ind w:left="0" w:right="0"/>
              <w:rPr>
                <w:rFonts w:hint="default"/>
                <w:color w:val="auto"/>
              </w:rPr>
            </w:pPr>
            <w:r>
              <w:rPr>
                <w:rFonts w:hint="eastAsia"/>
                <w:color w:val="auto"/>
              </w:rPr>
              <w:t>第3类</w:t>
            </w:r>
          </w:p>
        </w:tc>
        <w:tc>
          <w:tcPr>
            <w:tcW w:w="830" w:type="dxa"/>
            <w:vAlign w:val="center"/>
          </w:tcPr>
          <w:p w14:paraId="16EE8EFC">
            <w:pPr>
              <w:pStyle w:val="91"/>
              <w:keepNext w:val="0"/>
              <w:keepLines w:val="0"/>
              <w:suppressLineNumbers w:val="0"/>
              <w:spacing w:before="0" w:beforeAutospacing="0" w:after="0" w:afterAutospacing="0"/>
              <w:ind w:left="0" w:right="0" w:firstLine="0" w:firstLineChars="0"/>
              <w:jc w:val="center"/>
              <w:rPr>
                <w:rFonts w:hint="eastAsia"/>
                <w:color w:val="auto"/>
              </w:rPr>
            </w:pPr>
            <w:r>
              <w:rPr>
                <w:rFonts w:hint="eastAsia"/>
                <w:color w:val="auto"/>
              </w:rPr>
              <w:t>0</w:t>
            </w:r>
          </w:p>
        </w:tc>
        <w:tc>
          <w:tcPr>
            <w:tcW w:w="709" w:type="dxa"/>
            <w:vAlign w:val="center"/>
          </w:tcPr>
          <w:p w14:paraId="6CB1673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w:t>
            </w:r>
          </w:p>
        </w:tc>
        <w:tc>
          <w:tcPr>
            <w:tcW w:w="709" w:type="dxa"/>
            <w:vAlign w:val="center"/>
          </w:tcPr>
          <w:p w14:paraId="6CD13D6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709" w:type="dxa"/>
            <w:vAlign w:val="center"/>
          </w:tcPr>
          <w:p w14:paraId="322EBBCB">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850" w:type="dxa"/>
          </w:tcPr>
          <w:p w14:paraId="45E726F3">
            <w:pPr>
              <w:pStyle w:val="91"/>
              <w:keepNext w:val="0"/>
              <w:keepLines w:val="0"/>
              <w:suppressLineNumbers w:val="0"/>
              <w:spacing w:before="0" w:beforeAutospacing="0" w:after="0" w:afterAutospacing="0"/>
              <w:ind w:left="0" w:right="0"/>
              <w:rPr>
                <w:rFonts w:hint="default"/>
                <w:color w:val="auto"/>
              </w:rPr>
            </w:pPr>
            <w:r>
              <w:rPr>
                <w:rFonts w:hint="eastAsia"/>
                <w:color w:val="auto"/>
              </w:rPr>
              <w:t>卸船</w:t>
            </w:r>
          </w:p>
        </w:tc>
        <w:tc>
          <w:tcPr>
            <w:tcW w:w="1134" w:type="dxa"/>
            <w:vMerge w:val="restart"/>
          </w:tcPr>
          <w:p w14:paraId="4FCE07B3">
            <w:pPr>
              <w:pStyle w:val="91"/>
              <w:keepNext w:val="0"/>
              <w:keepLines w:val="0"/>
              <w:suppressLineNumbers w:val="0"/>
              <w:spacing w:before="0" w:beforeAutospacing="0" w:after="0" w:afterAutospacing="0"/>
              <w:ind w:left="0" w:right="0"/>
              <w:rPr>
                <w:rFonts w:hint="default"/>
                <w:color w:val="auto"/>
              </w:rPr>
            </w:pPr>
            <w:r>
              <w:rPr>
                <w:rFonts w:hint="default"/>
                <w:bCs/>
                <w:color w:val="auto"/>
                <w:kern w:val="2"/>
              </w:rPr>
              <w:t>2#液压输油臂</w:t>
            </w:r>
          </w:p>
        </w:tc>
        <w:tc>
          <w:tcPr>
            <w:tcW w:w="1418" w:type="dxa"/>
          </w:tcPr>
          <w:p w14:paraId="2E0A4C8C">
            <w:pPr>
              <w:pStyle w:val="91"/>
              <w:keepNext w:val="0"/>
              <w:keepLines w:val="0"/>
              <w:suppressLineNumbers w:val="0"/>
              <w:spacing w:before="0" w:beforeAutospacing="0" w:after="0" w:afterAutospacing="0"/>
              <w:ind w:left="0" w:right="0"/>
              <w:rPr>
                <w:rFonts w:hint="default"/>
                <w:color w:val="auto"/>
              </w:rPr>
            </w:pPr>
            <w:r>
              <w:rPr>
                <w:rFonts w:hint="eastAsia"/>
                <w:color w:val="auto"/>
              </w:rPr>
              <w:t>1#原油</w:t>
            </w:r>
            <w:r>
              <w:rPr>
                <w:rFonts w:hint="default"/>
                <w:color w:val="auto"/>
              </w:rPr>
              <w:t>罐组</w:t>
            </w:r>
            <w:r>
              <w:rPr>
                <w:rFonts w:hint="eastAsia"/>
                <w:color w:val="auto"/>
              </w:rPr>
              <w:t>的V10</w:t>
            </w:r>
            <w:r>
              <w:rPr>
                <w:rFonts w:hint="default"/>
                <w:color w:val="auto"/>
              </w:rPr>
              <w:t>2</w:t>
            </w:r>
            <w:r>
              <w:rPr>
                <w:rFonts w:hint="eastAsia"/>
                <w:color w:val="auto"/>
              </w:rPr>
              <w:t>储罐</w:t>
            </w:r>
          </w:p>
        </w:tc>
        <w:tc>
          <w:tcPr>
            <w:tcW w:w="389" w:type="dxa"/>
            <w:vMerge w:val="continue"/>
          </w:tcPr>
          <w:p w14:paraId="44EE1220">
            <w:pPr>
              <w:pStyle w:val="91"/>
              <w:keepNext w:val="0"/>
              <w:keepLines w:val="0"/>
              <w:suppressLineNumbers w:val="0"/>
              <w:spacing w:before="0" w:beforeAutospacing="0" w:after="0" w:afterAutospacing="0"/>
              <w:ind w:left="0" w:right="0"/>
              <w:rPr>
                <w:rFonts w:hint="default"/>
                <w:color w:val="auto"/>
              </w:rPr>
            </w:pPr>
          </w:p>
        </w:tc>
      </w:tr>
      <w:tr w14:paraId="30D92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420" w:type="dxa"/>
          </w:tcPr>
          <w:p w14:paraId="6FA57A00">
            <w:pPr>
              <w:pStyle w:val="91"/>
              <w:keepNext w:val="0"/>
              <w:keepLines w:val="0"/>
              <w:numPr>
                <w:ilvl w:val="0"/>
                <w:numId w:val="20"/>
              </w:numPr>
              <w:suppressLineNumbers w:val="0"/>
              <w:spacing w:before="0" w:beforeAutospacing="0" w:after="0" w:afterAutospacing="0"/>
              <w:ind w:right="0"/>
              <w:rPr>
                <w:rFonts w:hint="default"/>
                <w:color w:val="auto"/>
              </w:rPr>
            </w:pPr>
          </w:p>
        </w:tc>
        <w:tc>
          <w:tcPr>
            <w:tcW w:w="1247" w:type="dxa"/>
          </w:tcPr>
          <w:p w14:paraId="3A463AE6">
            <w:pPr>
              <w:pStyle w:val="91"/>
              <w:keepNext w:val="0"/>
              <w:keepLines w:val="0"/>
              <w:suppressLineNumbers w:val="0"/>
              <w:spacing w:before="0" w:beforeAutospacing="0" w:after="0" w:afterAutospacing="0"/>
              <w:ind w:left="0" w:right="0"/>
              <w:rPr>
                <w:rFonts w:hint="default"/>
                <w:color w:val="auto"/>
              </w:rPr>
            </w:pPr>
            <w:r>
              <w:rPr>
                <w:rFonts w:hint="eastAsia"/>
                <w:color w:val="auto"/>
              </w:rPr>
              <w:t>渣油</w:t>
            </w:r>
          </w:p>
        </w:tc>
        <w:tc>
          <w:tcPr>
            <w:tcW w:w="926" w:type="dxa"/>
          </w:tcPr>
          <w:p w14:paraId="334E6EC9">
            <w:pPr>
              <w:pStyle w:val="91"/>
              <w:keepNext w:val="0"/>
              <w:keepLines w:val="0"/>
              <w:suppressLineNumbers w:val="0"/>
              <w:spacing w:before="0" w:beforeAutospacing="0" w:after="0" w:afterAutospacing="0"/>
              <w:ind w:left="0" w:right="0"/>
              <w:rPr>
                <w:rFonts w:hint="default"/>
                <w:color w:val="auto"/>
              </w:rPr>
            </w:pPr>
            <w:r>
              <w:rPr>
                <w:rFonts w:hint="eastAsia"/>
                <w:color w:val="auto"/>
              </w:rPr>
              <w:t>第3类</w:t>
            </w:r>
          </w:p>
        </w:tc>
        <w:tc>
          <w:tcPr>
            <w:tcW w:w="830" w:type="dxa"/>
            <w:vAlign w:val="center"/>
          </w:tcPr>
          <w:p w14:paraId="5971E37B">
            <w:pPr>
              <w:pStyle w:val="91"/>
              <w:keepNext w:val="0"/>
              <w:keepLines w:val="0"/>
              <w:suppressLineNumbers w:val="0"/>
              <w:spacing w:before="0" w:beforeAutospacing="0" w:after="0" w:afterAutospacing="0"/>
              <w:ind w:left="0" w:right="0" w:firstLine="0" w:firstLineChars="0"/>
              <w:jc w:val="center"/>
              <w:rPr>
                <w:rFonts w:hint="eastAsia"/>
                <w:color w:val="auto"/>
              </w:rPr>
            </w:pPr>
            <w:r>
              <w:rPr>
                <w:rFonts w:hint="eastAsia"/>
                <w:color w:val="auto"/>
              </w:rPr>
              <w:t>0</w:t>
            </w:r>
          </w:p>
        </w:tc>
        <w:tc>
          <w:tcPr>
            <w:tcW w:w="709" w:type="dxa"/>
            <w:vAlign w:val="center"/>
          </w:tcPr>
          <w:p w14:paraId="62FCD7B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w:t>
            </w:r>
          </w:p>
        </w:tc>
        <w:tc>
          <w:tcPr>
            <w:tcW w:w="709" w:type="dxa"/>
            <w:vAlign w:val="center"/>
          </w:tcPr>
          <w:p w14:paraId="18EC078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709" w:type="dxa"/>
            <w:vAlign w:val="center"/>
          </w:tcPr>
          <w:p w14:paraId="31EAB36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850" w:type="dxa"/>
          </w:tcPr>
          <w:p w14:paraId="13F0F73F">
            <w:pPr>
              <w:pStyle w:val="91"/>
              <w:keepNext w:val="0"/>
              <w:keepLines w:val="0"/>
              <w:suppressLineNumbers w:val="0"/>
              <w:spacing w:before="0" w:beforeAutospacing="0" w:after="0" w:afterAutospacing="0"/>
              <w:ind w:left="0" w:right="0"/>
              <w:rPr>
                <w:rFonts w:hint="default"/>
                <w:color w:val="auto"/>
              </w:rPr>
            </w:pPr>
            <w:r>
              <w:rPr>
                <w:rFonts w:hint="eastAsia"/>
                <w:color w:val="auto"/>
              </w:rPr>
              <w:t>卸船</w:t>
            </w:r>
          </w:p>
        </w:tc>
        <w:tc>
          <w:tcPr>
            <w:tcW w:w="1134" w:type="dxa"/>
            <w:vMerge w:val="continue"/>
          </w:tcPr>
          <w:p w14:paraId="1E49DF4A">
            <w:pPr>
              <w:pStyle w:val="91"/>
              <w:keepNext w:val="0"/>
              <w:keepLines w:val="0"/>
              <w:suppressLineNumbers w:val="0"/>
              <w:spacing w:before="0" w:beforeAutospacing="0" w:after="0" w:afterAutospacing="0"/>
              <w:ind w:left="0" w:right="0"/>
              <w:rPr>
                <w:rFonts w:hint="default"/>
                <w:color w:val="auto"/>
              </w:rPr>
            </w:pPr>
          </w:p>
        </w:tc>
        <w:tc>
          <w:tcPr>
            <w:tcW w:w="1418" w:type="dxa"/>
          </w:tcPr>
          <w:p w14:paraId="1307E497">
            <w:pPr>
              <w:pStyle w:val="91"/>
              <w:keepNext w:val="0"/>
              <w:keepLines w:val="0"/>
              <w:suppressLineNumbers w:val="0"/>
              <w:spacing w:before="0" w:beforeAutospacing="0" w:after="0" w:afterAutospacing="0"/>
              <w:ind w:left="0" w:right="0"/>
              <w:rPr>
                <w:rFonts w:hint="default"/>
                <w:color w:val="auto"/>
              </w:rPr>
            </w:pPr>
            <w:r>
              <w:rPr>
                <w:rFonts w:hint="eastAsia"/>
                <w:color w:val="auto"/>
              </w:rPr>
              <w:t>1#原油</w:t>
            </w:r>
            <w:r>
              <w:rPr>
                <w:rFonts w:hint="default"/>
                <w:color w:val="auto"/>
              </w:rPr>
              <w:t>罐组</w:t>
            </w:r>
            <w:r>
              <w:rPr>
                <w:rFonts w:hint="eastAsia"/>
                <w:color w:val="auto"/>
              </w:rPr>
              <w:t>的V10</w:t>
            </w:r>
            <w:r>
              <w:rPr>
                <w:rFonts w:hint="default"/>
                <w:color w:val="auto"/>
              </w:rPr>
              <w:t>3</w:t>
            </w:r>
            <w:r>
              <w:rPr>
                <w:rFonts w:hint="eastAsia"/>
                <w:color w:val="auto"/>
              </w:rPr>
              <w:t>储罐</w:t>
            </w:r>
          </w:p>
        </w:tc>
        <w:tc>
          <w:tcPr>
            <w:tcW w:w="389" w:type="dxa"/>
            <w:vMerge w:val="continue"/>
          </w:tcPr>
          <w:p w14:paraId="5F4FD8FF">
            <w:pPr>
              <w:pStyle w:val="91"/>
              <w:keepNext w:val="0"/>
              <w:keepLines w:val="0"/>
              <w:suppressLineNumbers w:val="0"/>
              <w:spacing w:before="0" w:beforeAutospacing="0" w:after="0" w:afterAutospacing="0"/>
              <w:ind w:left="0" w:right="0"/>
              <w:rPr>
                <w:rFonts w:hint="default"/>
                <w:color w:val="auto"/>
              </w:rPr>
            </w:pPr>
          </w:p>
        </w:tc>
      </w:tr>
      <w:tr w14:paraId="5AF9D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2593" w:type="dxa"/>
            <w:gridSpan w:val="3"/>
          </w:tcPr>
          <w:p w14:paraId="1679F037">
            <w:pPr>
              <w:pStyle w:val="91"/>
              <w:keepNext w:val="0"/>
              <w:keepLines w:val="0"/>
              <w:suppressLineNumbers w:val="0"/>
              <w:spacing w:before="0" w:beforeAutospacing="0" w:after="0" w:afterAutospacing="0"/>
              <w:ind w:left="0" w:right="0"/>
              <w:rPr>
                <w:rFonts w:hint="default"/>
                <w:color w:val="auto"/>
              </w:rPr>
            </w:pPr>
            <w:r>
              <w:rPr>
                <w:rFonts w:hint="eastAsia"/>
                <w:color w:val="auto"/>
              </w:rPr>
              <w:t>合计</w:t>
            </w:r>
          </w:p>
        </w:tc>
        <w:tc>
          <w:tcPr>
            <w:tcW w:w="830" w:type="dxa"/>
            <w:vAlign w:val="center"/>
          </w:tcPr>
          <w:p w14:paraId="20E15132">
            <w:pPr>
              <w:pStyle w:val="91"/>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121</w:t>
            </w:r>
          </w:p>
        </w:tc>
        <w:tc>
          <w:tcPr>
            <w:tcW w:w="709" w:type="dxa"/>
            <w:vAlign w:val="center"/>
          </w:tcPr>
          <w:p w14:paraId="5F013D4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60.7</w:t>
            </w:r>
          </w:p>
        </w:tc>
        <w:tc>
          <w:tcPr>
            <w:tcW w:w="709" w:type="dxa"/>
            <w:vAlign w:val="center"/>
          </w:tcPr>
          <w:p w14:paraId="4D97C73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50</w:t>
            </w:r>
          </w:p>
        </w:tc>
        <w:tc>
          <w:tcPr>
            <w:tcW w:w="709" w:type="dxa"/>
            <w:vAlign w:val="center"/>
          </w:tcPr>
          <w:p w14:paraId="52C1A82C">
            <w:pPr>
              <w:pStyle w:val="91"/>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121</w:t>
            </w:r>
          </w:p>
        </w:tc>
        <w:tc>
          <w:tcPr>
            <w:tcW w:w="850" w:type="dxa"/>
          </w:tcPr>
          <w:p w14:paraId="6A5D861C">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134" w:type="dxa"/>
          </w:tcPr>
          <w:p w14:paraId="20EED01E">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418" w:type="dxa"/>
          </w:tcPr>
          <w:p w14:paraId="04B2D09D">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389" w:type="dxa"/>
          </w:tcPr>
          <w:p w14:paraId="02933238">
            <w:pPr>
              <w:pStyle w:val="91"/>
              <w:keepNext w:val="0"/>
              <w:keepLines w:val="0"/>
              <w:suppressLineNumbers w:val="0"/>
              <w:spacing w:before="0" w:beforeAutospacing="0" w:after="0" w:afterAutospacing="0"/>
              <w:ind w:left="0" w:right="0"/>
              <w:rPr>
                <w:rFonts w:hint="eastAsia" w:eastAsia="宋体"/>
                <w:color w:val="auto"/>
                <w:lang w:val="en-US" w:eastAsia="zh-CN"/>
              </w:rPr>
            </w:pPr>
            <w:r>
              <w:rPr>
                <w:rFonts w:hint="eastAsia"/>
                <w:color w:val="auto"/>
                <w:lang w:val="en-US" w:eastAsia="zh-CN"/>
              </w:rPr>
              <w:t>/</w:t>
            </w:r>
          </w:p>
        </w:tc>
      </w:tr>
    </w:tbl>
    <w:p w14:paraId="69342CB8">
      <w:pPr>
        <w:pStyle w:val="14"/>
        <w:ind w:firstLine="422" w:firstLineChars="200"/>
        <w:jc w:val="both"/>
        <w:rPr>
          <w:rFonts w:hint="eastAsia"/>
          <w:color w:val="auto"/>
        </w:rPr>
      </w:pPr>
      <w:r>
        <w:rPr>
          <w:rFonts w:hint="eastAsia"/>
          <w:color w:val="auto"/>
        </w:rPr>
        <w:t>（2）库区</w:t>
      </w:r>
      <w:r>
        <w:rPr>
          <w:color w:val="auto"/>
        </w:rPr>
        <w:t>周转量</w:t>
      </w:r>
    </w:p>
    <w:p w14:paraId="3D92A17A">
      <w:pPr>
        <w:pStyle w:val="14"/>
        <w:rPr>
          <w:color w:val="auto"/>
        </w:rPr>
      </w:pPr>
      <w:r>
        <w:rPr>
          <w:rFonts w:hint="eastAsia"/>
          <w:color w:val="auto"/>
        </w:rPr>
        <w:t>表</w:t>
      </w:r>
      <w:r>
        <w:rPr>
          <w:color w:val="auto"/>
        </w:rPr>
        <w:t>2.2</w:t>
      </w:r>
      <w:r>
        <w:rPr>
          <w:color w:val="auto"/>
        </w:rPr>
        <w:noBreakHyphen/>
      </w:r>
      <w:r>
        <w:rPr>
          <w:color w:val="auto"/>
        </w:rPr>
        <w:t>3</w:t>
      </w:r>
      <w:r>
        <w:rPr>
          <w:rFonts w:hint="eastAsia"/>
          <w:color w:val="auto"/>
        </w:rPr>
        <w:t>库区</w:t>
      </w:r>
      <w:r>
        <w:rPr>
          <w:color w:val="auto"/>
        </w:rPr>
        <w:t>货种</w:t>
      </w:r>
      <w:r>
        <w:rPr>
          <w:rFonts w:hint="eastAsia"/>
          <w:color w:val="auto"/>
        </w:rPr>
        <w:t>周转量一览表</w:t>
      </w:r>
    </w:p>
    <w:tbl>
      <w:tblPr>
        <w:tblStyle w:val="43"/>
        <w:tblW w:w="95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846"/>
        <w:gridCol w:w="1134"/>
        <w:gridCol w:w="709"/>
        <w:gridCol w:w="794"/>
        <w:gridCol w:w="624"/>
        <w:gridCol w:w="1275"/>
        <w:gridCol w:w="705"/>
        <w:gridCol w:w="628"/>
        <w:gridCol w:w="1213"/>
        <w:gridCol w:w="961"/>
        <w:gridCol w:w="651"/>
      </w:tblGrid>
      <w:tr w14:paraId="18C9E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Merge w:val="restart"/>
            <w:vAlign w:val="center"/>
          </w:tcPr>
          <w:p w14:paraId="3D498E00">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罐组</w:t>
            </w:r>
          </w:p>
        </w:tc>
        <w:tc>
          <w:tcPr>
            <w:tcW w:w="1134" w:type="dxa"/>
            <w:vMerge w:val="restart"/>
            <w:vAlign w:val="center"/>
          </w:tcPr>
          <w:p w14:paraId="49D9772F">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储罐编号</w:t>
            </w:r>
          </w:p>
        </w:tc>
        <w:tc>
          <w:tcPr>
            <w:tcW w:w="709" w:type="dxa"/>
            <w:vMerge w:val="restart"/>
            <w:vAlign w:val="center"/>
          </w:tcPr>
          <w:p w14:paraId="36BE101B">
            <w:pPr>
              <w:pStyle w:val="91"/>
              <w:keepNext w:val="0"/>
              <w:keepLines w:val="0"/>
              <w:suppressLineNumbers w:val="0"/>
              <w:spacing w:before="0" w:beforeAutospacing="0" w:after="0" w:afterAutospacing="0"/>
              <w:ind w:left="0" w:right="0"/>
              <w:jc w:val="center"/>
              <w:rPr>
                <w:rFonts w:hint="default"/>
                <w:b/>
                <w:color w:val="auto"/>
                <w:u w:val="single"/>
              </w:rPr>
            </w:pPr>
            <w:r>
              <w:rPr>
                <w:rFonts w:hint="eastAsia"/>
                <w:b/>
                <w:color w:val="auto"/>
                <w:u w:val="single"/>
              </w:rPr>
              <w:t>储罐</w:t>
            </w:r>
            <w:r>
              <w:rPr>
                <w:rFonts w:hint="default"/>
                <w:b/>
                <w:color w:val="auto"/>
                <w:u w:val="single"/>
              </w:rPr>
              <w:t>类型</w:t>
            </w:r>
          </w:p>
        </w:tc>
        <w:tc>
          <w:tcPr>
            <w:tcW w:w="794" w:type="dxa"/>
            <w:vMerge w:val="restart"/>
            <w:vAlign w:val="center"/>
          </w:tcPr>
          <w:p w14:paraId="347CA0F8">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单个储罐</w:t>
            </w:r>
            <w:r>
              <w:rPr>
                <w:rFonts w:hint="default"/>
                <w:b/>
                <w:color w:val="auto"/>
              </w:rPr>
              <w:t>容积</w:t>
            </w:r>
            <w:r>
              <w:rPr>
                <w:rFonts w:hint="eastAsia"/>
                <w:b/>
                <w:color w:val="auto"/>
              </w:rPr>
              <w:t>（m</w:t>
            </w:r>
            <w:r>
              <w:rPr>
                <w:rFonts w:hint="default"/>
                <w:b/>
                <w:color w:val="auto"/>
                <w:vertAlign w:val="superscript"/>
              </w:rPr>
              <w:t>3</w:t>
            </w:r>
            <w:r>
              <w:rPr>
                <w:rFonts w:hint="eastAsia"/>
                <w:b/>
                <w:color w:val="auto"/>
              </w:rPr>
              <w:t>）</w:t>
            </w:r>
          </w:p>
        </w:tc>
        <w:tc>
          <w:tcPr>
            <w:tcW w:w="1899" w:type="dxa"/>
            <w:gridSpan w:val="2"/>
            <w:vAlign w:val="center"/>
          </w:tcPr>
          <w:p w14:paraId="2C3816AC">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储存</w:t>
            </w:r>
            <w:r>
              <w:rPr>
                <w:rFonts w:hint="eastAsia"/>
                <w:b/>
                <w:color w:val="auto"/>
              </w:rPr>
              <w:t>货种</w:t>
            </w:r>
          </w:p>
        </w:tc>
        <w:tc>
          <w:tcPr>
            <w:tcW w:w="705" w:type="dxa"/>
            <w:vMerge w:val="restart"/>
            <w:vAlign w:val="center"/>
          </w:tcPr>
          <w:p w14:paraId="7ECA9062">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储存</w:t>
            </w:r>
            <w:r>
              <w:rPr>
                <w:rFonts w:hint="default"/>
                <w:b/>
                <w:color w:val="auto"/>
              </w:rPr>
              <w:t>天数（</w:t>
            </w:r>
            <w:r>
              <w:rPr>
                <w:rFonts w:hint="eastAsia"/>
                <w:b/>
                <w:color w:val="auto"/>
              </w:rPr>
              <w:t>天</w:t>
            </w:r>
            <w:r>
              <w:rPr>
                <w:rFonts w:hint="default"/>
                <w:b/>
                <w:color w:val="auto"/>
              </w:rPr>
              <w:t>）</w:t>
            </w:r>
          </w:p>
        </w:tc>
        <w:tc>
          <w:tcPr>
            <w:tcW w:w="2802" w:type="dxa"/>
            <w:gridSpan w:val="3"/>
          </w:tcPr>
          <w:p w14:paraId="3C11FFE1">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周转量（</w:t>
            </w:r>
            <w:r>
              <w:rPr>
                <w:rFonts w:hint="eastAsia"/>
                <w:b/>
                <w:color w:val="auto"/>
              </w:rPr>
              <w:t>万吨/年</w:t>
            </w:r>
            <w:r>
              <w:rPr>
                <w:rFonts w:hint="default"/>
                <w:b/>
                <w:color w:val="auto"/>
              </w:rPr>
              <w:t>）</w:t>
            </w:r>
          </w:p>
        </w:tc>
        <w:tc>
          <w:tcPr>
            <w:tcW w:w="651" w:type="dxa"/>
            <w:vMerge w:val="restart"/>
          </w:tcPr>
          <w:p w14:paraId="19923362">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去向</w:t>
            </w:r>
          </w:p>
        </w:tc>
      </w:tr>
      <w:tr w14:paraId="6C2D4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Merge w:val="continue"/>
            <w:vAlign w:val="center"/>
          </w:tcPr>
          <w:p w14:paraId="14767AD4">
            <w:pPr>
              <w:pStyle w:val="91"/>
              <w:keepNext w:val="0"/>
              <w:keepLines w:val="0"/>
              <w:suppressLineNumbers w:val="0"/>
              <w:spacing w:before="0" w:beforeAutospacing="0" w:after="0" w:afterAutospacing="0"/>
              <w:ind w:left="0" w:right="0"/>
              <w:jc w:val="center"/>
              <w:rPr>
                <w:rFonts w:hint="default"/>
                <w:b/>
                <w:color w:val="auto"/>
              </w:rPr>
            </w:pPr>
          </w:p>
        </w:tc>
        <w:tc>
          <w:tcPr>
            <w:tcW w:w="1134" w:type="dxa"/>
            <w:vMerge w:val="continue"/>
            <w:vAlign w:val="center"/>
          </w:tcPr>
          <w:p w14:paraId="2052DF40">
            <w:pPr>
              <w:pStyle w:val="91"/>
              <w:keepNext w:val="0"/>
              <w:keepLines w:val="0"/>
              <w:suppressLineNumbers w:val="0"/>
              <w:spacing w:before="0" w:beforeAutospacing="0" w:after="0" w:afterAutospacing="0"/>
              <w:ind w:left="0" w:right="0"/>
              <w:jc w:val="center"/>
              <w:rPr>
                <w:rFonts w:hint="default"/>
                <w:b/>
                <w:color w:val="auto"/>
              </w:rPr>
            </w:pPr>
          </w:p>
        </w:tc>
        <w:tc>
          <w:tcPr>
            <w:tcW w:w="709" w:type="dxa"/>
            <w:vMerge w:val="continue"/>
            <w:vAlign w:val="center"/>
          </w:tcPr>
          <w:p w14:paraId="264B51A0">
            <w:pPr>
              <w:pStyle w:val="91"/>
              <w:keepNext w:val="0"/>
              <w:keepLines w:val="0"/>
              <w:suppressLineNumbers w:val="0"/>
              <w:spacing w:before="0" w:beforeAutospacing="0" w:after="0" w:afterAutospacing="0"/>
              <w:ind w:left="0" w:right="0"/>
              <w:jc w:val="center"/>
              <w:rPr>
                <w:rFonts w:hint="default"/>
                <w:b/>
                <w:color w:val="auto"/>
                <w:u w:val="single"/>
              </w:rPr>
            </w:pPr>
          </w:p>
        </w:tc>
        <w:tc>
          <w:tcPr>
            <w:tcW w:w="794" w:type="dxa"/>
            <w:vMerge w:val="continue"/>
            <w:vAlign w:val="center"/>
          </w:tcPr>
          <w:p w14:paraId="32872385">
            <w:pPr>
              <w:pStyle w:val="91"/>
              <w:keepNext w:val="0"/>
              <w:keepLines w:val="0"/>
              <w:suppressLineNumbers w:val="0"/>
              <w:spacing w:before="0" w:beforeAutospacing="0" w:after="0" w:afterAutospacing="0"/>
              <w:ind w:left="0" w:right="0"/>
              <w:jc w:val="center"/>
              <w:rPr>
                <w:rFonts w:hint="default"/>
                <w:b/>
                <w:color w:val="auto"/>
              </w:rPr>
            </w:pPr>
          </w:p>
        </w:tc>
        <w:tc>
          <w:tcPr>
            <w:tcW w:w="624" w:type="dxa"/>
            <w:vAlign w:val="center"/>
          </w:tcPr>
          <w:p w14:paraId="056A683B">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现有</w:t>
            </w:r>
            <w:r>
              <w:rPr>
                <w:rFonts w:hint="default"/>
                <w:b/>
                <w:color w:val="auto"/>
              </w:rPr>
              <w:t>工程</w:t>
            </w:r>
          </w:p>
        </w:tc>
        <w:tc>
          <w:tcPr>
            <w:tcW w:w="1275" w:type="dxa"/>
            <w:vAlign w:val="center"/>
          </w:tcPr>
          <w:p w14:paraId="5E2D5AC6">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扩建</w:t>
            </w:r>
            <w:r>
              <w:rPr>
                <w:rFonts w:hint="default"/>
                <w:b/>
                <w:color w:val="auto"/>
              </w:rPr>
              <w:t>后</w:t>
            </w:r>
          </w:p>
        </w:tc>
        <w:tc>
          <w:tcPr>
            <w:tcW w:w="705" w:type="dxa"/>
            <w:vMerge w:val="continue"/>
            <w:vAlign w:val="center"/>
          </w:tcPr>
          <w:p w14:paraId="0D0058BE">
            <w:pPr>
              <w:pStyle w:val="91"/>
              <w:keepNext w:val="0"/>
              <w:keepLines w:val="0"/>
              <w:suppressLineNumbers w:val="0"/>
              <w:spacing w:before="0" w:beforeAutospacing="0" w:after="0" w:afterAutospacing="0"/>
              <w:ind w:left="0" w:right="0"/>
              <w:jc w:val="center"/>
              <w:rPr>
                <w:rFonts w:hint="default"/>
                <w:b/>
                <w:color w:val="auto"/>
              </w:rPr>
            </w:pPr>
          </w:p>
        </w:tc>
        <w:tc>
          <w:tcPr>
            <w:tcW w:w="628" w:type="dxa"/>
            <w:vAlign w:val="center"/>
          </w:tcPr>
          <w:p w14:paraId="61591955">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现有</w:t>
            </w:r>
            <w:r>
              <w:rPr>
                <w:rFonts w:hint="default"/>
                <w:b/>
                <w:color w:val="auto"/>
              </w:rPr>
              <w:t>工程</w:t>
            </w:r>
          </w:p>
        </w:tc>
        <w:tc>
          <w:tcPr>
            <w:tcW w:w="1213" w:type="dxa"/>
          </w:tcPr>
          <w:p w14:paraId="322DC771">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扩建</w:t>
            </w:r>
            <w:r>
              <w:rPr>
                <w:rFonts w:hint="default"/>
                <w:b/>
                <w:color w:val="auto"/>
              </w:rPr>
              <w:t>项目</w:t>
            </w:r>
          </w:p>
        </w:tc>
        <w:tc>
          <w:tcPr>
            <w:tcW w:w="961" w:type="dxa"/>
            <w:vAlign w:val="center"/>
          </w:tcPr>
          <w:p w14:paraId="214913AB">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扩建</w:t>
            </w:r>
            <w:r>
              <w:rPr>
                <w:rFonts w:hint="default"/>
                <w:b/>
                <w:color w:val="auto"/>
              </w:rPr>
              <w:t>后</w:t>
            </w:r>
          </w:p>
        </w:tc>
        <w:tc>
          <w:tcPr>
            <w:tcW w:w="651" w:type="dxa"/>
            <w:vMerge w:val="continue"/>
          </w:tcPr>
          <w:p w14:paraId="0B8443E4">
            <w:pPr>
              <w:pStyle w:val="91"/>
              <w:keepNext w:val="0"/>
              <w:keepLines w:val="0"/>
              <w:suppressLineNumbers w:val="0"/>
              <w:spacing w:before="0" w:beforeAutospacing="0" w:after="0" w:afterAutospacing="0"/>
              <w:ind w:left="0" w:right="0"/>
              <w:jc w:val="center"/>
              <w:rPr>
                <w:rFonts w:hint="default"/>
                <w:b/>
                <w:color w:val="auto"/>
              </w:rPr>
            </w:pPr>
          </w:p>
        </w:tc>
      </w:tr>
      <w:tr w14:paraId="2121E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Merge w:val="restart"/>
            <w:vAlign w:val="center"/>
          </w:tcPr>
          <w:p w14:paraId="1F2BCE73">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1#原油罐组</w:t>
            </w:r>
          </w:p>
        </w:tc>
        <w:tc>
          <w:tcPr>
            <w:tcW w:w="1134" w:type="dxa"/>
            <w:vAlign w:val="center"/>
          </w:tcPr>
          <w:p w14:paraId="6E9BC1C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V101</w:t>
            </w:r>
          </w:p>
        </w:tc>
        <w:tc>
          <w:tcPr>
            <w:tcW w:w="709" w:type="dxa"/>
            <w:vMerge w:val="restart"/>
            <w:vAlign w:val="center"/>
          </w:tcPr>
          <w:p w14:paraId="6866E63B">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外浮顶</w:t>
            </w:r>
          </w:p>
        </w:tc>
        <w:tc>
          <w:tcPr>
            <w:tcW w:w="794" w:type="dxa"/>
            <w:vAlign w:val="center"/>
          </w:tcPr>
          <w:p w14:paraId="4E9B62F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40000</w:t>
            </w:r>
          </w:p>
        </w:tc>
        <w:tc>
          <w:tcPr>
            <w:tcW w:w="624" w:type="dxa"/>
            <w:vMerge w:val="restart"/>
            <w:vAlign w:val="center"/>
          </w:tcPr>
          <w:p w14:paraId="3A2F748B">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原油</w:t>
            </w:r>
          </w:p>
        </w:tc>
        <w:tc>
          <w:tcPr>
            <w:tcW w:w="1275" w:type="dxa"/>
            <w:vAlign w:val="center"/>
          </w:tcPr>
          <w:p w14:paraId="4996CCC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原油</w:t>
            </w:r>
          </w:p>
        </w:tc>
        <w:tc>
          <w:tcPr>
            <w:tcW w:w="705" w:type="dxa"/>
            <w:vAlign w:val="center"/>
          </w:tcPr>
          <w:p w14:paraId="393B487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w:t>
            </w:r>
            <w:r>
              <w:rPr>
                <w:rFonts w:hint="default"/>
                <w:color w:val="auto"/>
              </w:rPr>
              <w:t>0</w:t>
            </w:r>
          </w:p>
        </w:tc>
        <w:tc>
          <w:tcPr>
            <w:tcW w:w="628" w:type="dxa"/>
            <w:vMerge w:val="restart"/>
            <w:vAlign w:val="center"/>
          </w:tcPr>
          <w:p w14:paraId="3258947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140</w:t>
            </w:r>
          </w:p>
        </w:tc>
        <w:tc>
          <w:tcPr>
            <w:tcW w:w="1213" w:type="dxa"/>
          </w:tcPr>
          <w:p w14:paraId="0B45584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w:t>
            </w:r>
          </w:p>
        </w:tc>
        <w:tc>
          <w:tcPr>
            <w:tcW w:w="961" w:type="dxa"/>
            <w:vAlign w:val="center"/>
          </w:tcPr>
          <w:p w14:paraId="7E585F9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50</w:t>
            </w:r>
          </w:p>
        </w:tc>
        <w:tc>
          <w:tcPr>
            <w:tcW w:w="651" w:type="dxa"/>
            <w:vMerge w:val="restart"/>
          </w:tcPr>
          <w:p w14:paraId="1F587F8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广西</w:t>
            </w:r>
            <w:r>
              <w:rPr>
                <w:rFonts w:hint="default"/>
                <w:color w:val="auto"/>
              </w:rPr>
              <w:t>石化</w:t>
            </w:r>
          </w:p>
        </w:tc>
      </w:tr>
      <w:tr w14:paraId="5DF30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Merge w:val="continue"/>
            <w:vAlign w:val="center"/>
          </w:tcPr>
          <w:p w14:paraId="2CAFFC27">
            <w:pPr>
              <w:pStyle w:val="91"/>
              <w:keepNext w:val="0"/>
              <w:keepLines w:val="0"/>
              <w:suppressLineNumbers w:val="0"/>
              <w:spacing w:before="0" w:beforeAutospacing="0" w:after="0" w:afterAutospacing="0"/>
              <w:ind w:left="0" w:right="0"/>
              <w:jc w:val="center"/>
              <w:rPr>
                <w:rFonts w:hint="default"/>
                <w:color w:val="auto"/>
              </w:rPr>
            </w:pPr>
          </w:p>
        </w:tc>
        <w:tc>
          <w:tcPr>
            <w:tcW w:w="1134" w:type="dxa"/>
            <w:vAlign w:val="center"/>
          </w:tcPr>
          <w:p w14:paraId="76692F7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V102</w:t>
            </w:r>
          </w:p>
        </w:tc>
        <w:tc>
          <w:tcPr>
            <w:tcW w:w="709" w:type="dxa"/>
            <w:vMerge w:val="continue"/>
            <w:vAlign w:val="center"/>
          </w:tcPr>
          <w:p w14:paraId="3C4EFD7D">
            <w:pPr>
              <w:pStyle w:val="91"/>
              <w:keepNext w:val="0"/>
              <w:keepLines w:val="0"/>
              <w:suppressLineNumbers w:val="0"/>
              <w:spacing w:before="0" w:beforeAutospacing="0" w:after="0" w:afterAutospacing="0"/>
              <w:ind w:left="0" w:right="0"/>
              <w:jc w:val="center"/>
              <w:rPr>
                <w:rFonts w:hint="default"/>
                <w:color w:val="auto"/>
                <w:u w:val="single"/>
              </w:rPr>
            </w:pPr>
          </w:p>
        </w:tc>
        <w:tc>
          <w:tcPr>
            <w:tcW w:w="794" w:type="dxa"/>
            <w:vAlign w:val="center"/>
          </w:tcPr>
          <w:p w14:paraId="3D5F77A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40000</w:t>
            </w:r>
          </w:p>
        </w:tc>
        <w:tc>
          <w:tcPr>
            <w:tcW w:w="624" w:type="dxa"/>
            <w:vMerge w:val="continue"/>
            <w:vAlign w:val="center"/>
          </w:tcPr>
          <w:p w14:paraId="127E3A4E">
            <w:pPr>
              <w:pStyle w:val="91"/>
              <w:keepNext w:val="0"/>
              <w:keepLines w:val="0"/>
              <w:suppressLineNumbers w:val="0"/>
              <w:spacing w:before="0" w:beforeAutospacing="0" w:after="0" w:afterAutospacing="0"/>
              <w:ind w:left="0" w:right="0"/>
              <w:jc w:val="center"/>
              <w:rPr>
                <w:rFonts w:hint="default"/>
                <w:color w:val="auto"/>
              </w:rPr>
            </w:pPr>
          </w:p>
        </w:tc>
        <w:tc>
          <w:tcPr>
            <w:tcW w:w="1275" w:type="dxa"/>
            <w:vAlign w:val="center"/>
          </w:tcPr>
          <w:p w14:paraId="0F8F86C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原油、</w:t>
            </w:r>
            <w:r>
              <w:rPr>
                <w:rFonts w:hint="default"/>
                <w:color w:val="auto"/>
              </w:rPr>
              <w:t>蜡油</w:t>
            </w:r>
          </w:p>
        </w:tc>
        <w:tc>
          <w:tcPr>
            <w:tcW w:w="705" w:type="dxa"/>
            <w:vAlign w:val="center"/>
          </w:tcPr>
          <w:p w14:paraId="10312103">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20</w:t>
            </w:r>
          </w:p>
        </w:tc>
        <w:tc>
          <w:tcPr>
            <w:tcW w:w="628" w:type="dxa"/>
            <w:vMerge w:val="continue"/>
            <w:vAlign w:val="center"/>
          </w:tcPr>
          <w:p w14:paraId="47CC187A">
            <w:pPr>
              <w:pStyle w:val="91"/>
              <w:keepNext w:val="0"/>
              <w:keepLines w:val="0"/>
              <w:suppressLineNumbers w:val="0"/>
              <w:spacing w:before="0" w:beforeAutospacing="0" w:after="0" w:afterAutospacing="0"/>
              <w:ind w:left="0" w:right="0"/>
              <w:jc w:val="center"/>
              <w:rPr>
                <w:rFonts w:hint="default"/>
                <w:color w:val="auto"/>
              </w:rPr>
            </w:pPr>
          </w:p>
        </w:tc>
        <w:tc>
          <w:tcPr>
            <w:tcW w:w="1213" w:type="dxa"/>
          </w:tcPr>
          <w:p w14:paraId="7BD3D67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原油-10，</w:t>
            </w:r>
            <w:r>
              <w:rPr>
                <w:rFonts w:hint="default"/>
                <w:color w:val="auto"/>
              </w:rPr>
              <w:t>蜡油</w:t>
            </w:r>
            <w:r>
              <w:rPr>
                <w:rFonts w:hint="eastAsia"/>
                <w:color w:val="auto"/>
              </w:rPr>
              <w:t>+10</w:t>
            </w:r>
          </w:p>
        </w:tc>
        <w:tc>
          <w:tcPr>
            <w:tcW w:w="961" w:type="dxa"/>
            <w:vAlign w:val="center"/>
          </w:tcPr>
          <w:p w14:paraId="08D84EE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原油40，蜡油10</w:t>
            </w:r>
          </w:p>
        </w:tc>
        <w:tc>
          <w:tcPr>
            <w:tcW w:w="651" w:type="dxa"/>
            <w:vMerge w:val="continue"/>
          </w:tcPr>
          <w:p w14:paraId="6D57D77F">
            <w:pPr>
              <w:pStyle w:val="91"/>
              <w:keepNext w:val="0"/>
              <w:keepLines w:val="0"/>
              <w:suppressLineNumbers w:val="0"/>
              <w:spacing w:before="0" w:beforeAutospacing="0" w:after="0" w:afterAutospacing="0"/>
              <w:ind w:left="0" w:right="0"/>
              <w:jc w:val="center"/>
              <w:rPr>
                <w:rFonts w:hint="default"/>
                <w:color w:val="auto"/>
              </w:rPr>
            </w:pPr>
          </w:p>
        </w:tc>
      </w:tr>
      <w:tr w14:paraId="5EA46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Merge w:val="continue"/>
            <w:vAlign w:val="center"/>
          </w:tcPr>
          <w:p w14:paraId="502D19FB">
            <w:pPr>
              <w:pStyle w:val="91"/>
              <w:keepNext w:val="0"/>
              <w:keepLines w:val="0"/>
              <w:suppressLineNumbers w:val="0"/>
              <w:spacing w:before="0" w:beforeAutospacing="0" w:after="0" w:afterAutospacing="0"/>
              <w:ind w:left="0" w:right="0"/>
              <w:jc w:val="center"/>
              <w:rPr>
                <w:rFonts w:hint="default"/>
                <w:color w:val="auto"/>
              </w:rPr>
            </w:pPr>
          </w:p>
        </w:tc>
        <w:tc>
          <w:tcPr>
            <w:tcW w:w="1134" w:type="dxa"/>
            <w:vAlign w:val="center"/>
          </w:tcPr>
          <w:p w14:paraId="6D4A8AB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V103</w:t>
            </w:r>
          </w:p>
        </w:tc>
        <w:tc>
          <w:tcPr>
            <w:tcW w:w="709" w:type="dxa"/>
            <w:vMerge w:val="continue"/>
            <w:vAlign w:val="center"/>
          </w:tcPr>
          <w:p w14:paraId="5FB9B60C">
            <w:pPr>
              <w:pStyle w:val="91"/>
              <w:keepNext w:val="0"/>
              <w:keepLines w:val="0"/>
              <w:suppressLineNumbers w:val="0"/>
              <w:spacing w:before="0" w:beforeAutospacing="0" w:after="0" w:afterAutospacing="0"/>
              <w:ind w:left="0" w:right="0"/>
              <w:jc w:val="center"/>
              <w:rPr>
                <w:rFonts w:hint="default"/>
                <w:color w:val="auto"/>
                <w:u w:val="single"/>
              </w:rPr>
            </w:pPr>
          </w:p>
        </w:tc>
        <w:tc>
          <w:tcPr>
            <w:tcW w:w="794" w:type="dxa"/>
            <w:vAlign w:val="center"/>
          </w:tcPr>
          <w:p w14:paraId="7289E38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40000</w:t>
            </w:r>
          </w:p>
        </w:tc>
        <w:tc>
          <w:tcPr>
            <w:tcW w:w="624" w:type="dxa"/>
            <w:vMerge w:val="continue"/>
            <w:vAlign w:val="center"/>
          </w:tcPr>
          <w:p w14:paraId="2EEA3424">
            <w:pPr>
              <w:pStyle w:val="91"/>
              <w:keepNext w:val="0"/>
              <w:keepLines w:val="0"/>
              <w:suppressLineNumbers w:val="0"/>
              <w:spacing w:before="0" w:beforeAutospacing="0" w:after="0" w:afterAutospacing="0"/>
              <w:ind w:left="0" w:right="0"/>
              <w:jc w:val="center"/>
              <w:rPr>
                <w:rFonts w:hint="default"/>
                <w:color w:val="auto"/>
              </w:rPr>
            </w:pPr>
          </w:p>
        </w:tc>
        <w:tc>
          <w:tcPr>
            <w:tcW w:w="1275" w:type="dxa"/>
            <w:vAlign w:val="center"/>
          </w:tcPr>
          <w:p w14:paraId="69DF263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原油、</w:t>
            </w:r>
            <w:r>
              <w:rPr>
                <w:rFonts w:hint="default"/>
                <w:color w:val="auto"/>
              </w:rPr>
              <w:t>渣油</w:t>
            </w:r>
          </w:p>
        </w:tc>
        <w:tc>
          <w:tcPr>
            <w:tcW w:w="705" w:type="dxa"/>
            <w:vAlign w:val="center"/>
          </w:tcPr>
          <w:p w14:paraId="30C9DD5B">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w:t>
            </w:r>
            <w:r>
              <w:rPr>
                <w:rFonts w:hint="default"/>
                <w:color w:val="auto"/>
              </w:rPr>
              <w:t>0</w:t>
            </w:r>
          </w:p>
        </w:tc>
        <w:tc>
          <w:tcPr>
            <w:tcW w:w="628" w:type="dxa"/>
            <w:vMerge w:val="continue"/>
            <w:vAlign w:val="center"/>
          </w:tcPr>
          <w:p w14:paraId="4B3DA993">
            <w:pPr>
              <w:pStyle w:val="91"/>
              <w:keepNext w:val="0"/>
              <w:keepLines w:val="0"/>
              <w:suppressLineNumbers w:val="0"/>
              <w:spacing w:before="0" w:beforeAutospacing="0" w:after="0" w:afterAutospacing="0"/>
              <w:ind w:left="0" w:right="0"/>
              <w:jc w:val="center"/>
              <w:rPr>
                <w:rFonts w:hint="default"/>
                <w:color w:val="auto"/>
              </w:rPr>
            </w:pPr>
          </w:p>
        </w:tc>
        <w:tc>
          <w:tcPr>
            <w:tcW w:w="1213" w:type="dxa"/>
          </w:tcPr>
          <w:p w14:paraId="179F4B1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原油-10，</w:t>
            </w:r>
            <w:r>
              <w:rPr>
                <w:rFonts w:hint="default"/>
                <w:color w:val="auto"/>
              </w:rPr>
              <w:t>渣油</w:t>
            </w:r>
            <w:r>
              <w:rPr>
                <w:rFonts w:hint="eastAsia"/>
                <w:color w:val="auto"/>
              </w:rPr>
              <w:t>+10</w:t>
            </w:r>
          </w:p>
        </w:tc>
        <w:tc>
          <w:tcPr>
            <w:tcW w:w="961" w:type="dxa"/>
            <w:vAlign w:val="center"/>
          </w:tcPr>
          <w:p w14:paraId="551161C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原油</w:t>
            </w:r>
            <w:r>
              <w:rPr>
                <w:rFonts w:hint="default"/>
                <w:color w:val="auto"/>
              </w:rPr>
              <w:t>30</w:t>
            </w:r>
            <w:r>
              <w:rPr>
                <w:rFonts w:hint="eastAsia"/>
                <w:color w:val="auto"/>
              </w:rPr>
              <w:t>，</w:t>
            </w:r>
            <w:r>
              <w:rPr>
                <w:rFonts w:hint="default"/>
                <w:color w:val="auto"/>
              </w:rPr>
              <w:t>渣油</w:t>
            </w:r>
            <w:r>
              <w:rPr>
                <w:rFonts w:hint="eastAsia"/>
                <w:color w:val="auto"/>
              </w:rPr>
              <w:t>1</w:t>
            </w:r>
            <w:r>
              <w:rPr>
                <w:rFonts w:hint="default"/>
                <w:color w:val="auto"/>
              </w:rPr>
              <w:t>0</w:t>
            </w:r>
          </w:p>
        </w:tc>
        <w:tc>
          <w:tcPr>
            <w:tcW w:w="651" w:type="dxa"/>
            <w:vMerge w:val="continue"/>
          </w:tcPr>
          <w:p w14:paraId="16E15C73">
            <w:pPr>
              <w:pStyle w:val="91"/>
              <w:keepNext w:val="0"/>
              <w:keepLines w:val="0"/>
              <w:suppressLineNumbers w:val="0"/>
              <w:spacing w:before="0" w:beforeAutospacing="0" w:after="0" w:afterAutospacing="0"/>
              <w:ind w:left="0" w:right="0"/>
              <w:jc w:val="center"/>
              <w:rPr>
                <w:rFonts w:hint="default"/>
                <w:color w:val="auto"/>
              </w:rPr>
            </w:pPr>
          </w:p>
        </w:tc>
      </w:tr>
      <w:tr w14:paraId="527E6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Align w:val="center"/>
          </w:tcPr>
          <w:p w14:paraId="6436484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2#重油罐组</w:t>
            </w:r>
          </w:p>
        </w:tc>
        <w:tc>
          <w:tcPr>
            <w:tcW w:w="1134" w:type="dxa"/>
            <w:vAlign w:val="center"/>
          </w:tcPr>
          <w:p w14:paraId="11808153">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V</w:t>
            </w:r>
            <w:r>
              <w:rPr>
                <w:rFonts w:hint="default"/>
                <w:color w:val="auto"/>
              </w:rPr>
              <w:t>2</w:t>
            </w:r>
            <w:r>
              <w:rPr>
                <w:rFonts w:hint="eastAsia"/>
                <w:color w:val="auto"/>
              </w:rPr>
              <w:t>01~</w:t>
            </w:r>
            <w:r>
              <w:rPr>
                <w:rFonts w:hint="default"/>
                <w:color w:val="auto"/>
              </w:rPr>
              <w:t>V203</w:t>
            </w:r>
          </w:p>
        </w:tc>
        <w:tc>
          <w:tcPr>
            <w:tcW w:w="709" w:type="dxa"/>
            <w:vAlign w:val="center"/>
          </w:tcPr>
          <w:p w14:paraId="09EE0E58">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拱顶</w:t>
            </w:r>
          </w:p>
        </w:tc>
        <w:tc>
          <w:tcPr>
            <w:tcW w:w="794" w:type="dxa"/>
            <w:vAlign w:val="center"/>
          </w:tcPr>
          <w:p w14:paraId="0CA8FA7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5000</w:t>
            </w:r>
          </w:p>
        </w:tc>
        <w:tc>
          <w:tcPr>
            <w:tcW w:w="624" w:type="dxa"/>
            <w:vAlign w:val="center"/>
          </w:tcPr>
          <w:p w14:paraId="499E9A4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重油/燃料油</w:t>
            </w:r>
          </w:p>
        </w:tc>
        <w:tc>
          <w:tcPr>
            <w:tcW w:w="1275" w:type="dxa"/>
            <w:vAlign w:val="center"/>
          </w:tcPr>
          <w:p w14:paraId="64915BD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重油/燃料油</w:t>
            </w:r>
          </w:p>
        </w:tc>
        <w:tc>
          <w:tcPr>
            <w:tcW w:w="705" w:type="dxa"/>
            <w:vAlign w:val="center"/>
          </w:tcPr>
          <w:p w14:paraId="377D8DAB">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w:t>
            </w:r>
            <w:r>
              <w:rPr>
                <w:rFonts w:hint="default"/>
                <w:color w:val="auto"/>
              </w:rPr>
              <w:t>0</w:t>
            </w:r>
          </w:p>
        </w:tc>
        <w:tc>
          <w:tcPr>
            <w:tcW w:w="628" w:type="dxa"/>
            <w:vAlign w:val="center"/>
          </w:tcPr>
          <w:p w14:paraId="66B099E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8</w:t>
            </w:r>
          </w:p>
        </w:tc>
        <w:tc>
          <w:tcPr>
            <w:tcW w:w="1213" w:type="dxa"/>
          </w:tcPr>
          <w:p w14:paraId="200E443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w:t>
            </w:r>
          </w:p>
        </w:tc>
        <w:tc>
          <w:tcPr>
            <w:tcW w:w="961" w:type="dxa"/>
            <w:vAlign w:val="center"/>
          </w:tcPr>
          <w:p w14:paraId="5E5C868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8</w:t>
            </w:r>
          </w:p>
        </w:tc>
        <w:tc>
          <w:tcPr>
            <w:tcW w:w="651" w:type="dxa"/>
          </w:tcPr>
          <w:p w14:paraId="1EA246A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装船</w:t>
            </w:r>
          </w:p>
        </w:tc>
      </w:tr>
      <w:tr w14:paraId="65727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Merge w:val="restart"/>
            <w:vAlign w:val="center"/>
          </w:tcPr>
          <w:p w14:paraId="5626FFF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3#汽油罐组</w:t>
            </w:r>
          </w:p>
        </w:tc>
        <w:tc>
          <w:tcPr>
            <w:tcW w:w="1134" w:type="dxa"/>
            <w:vAlign w:val="center"/>
          </w:tcPr>
          <w:p w14:paraId="3137AEA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V</w:t>
            </w:r>
            <w:r>
              <w:rPr>
                <w:rFonts w:hint="default"/>
                <w:color w:val="auto"/>
              </w:rPr>
              <w:t>3</w:t>
            </w:r>
            <w:r>
              <w:rPr>
                <w:rFonts w:hint="eastAsia"/>
                <w:color w:val="auto"/>
              </w:rPr>
              <w:t>01~</w:t>
            </w:r>
            <w:r>
              <w:rPr>
                <w:rFonts w:hint="default"/>
                <w:color w:val="auto"/>
              </w:rPr>
              <w:t>V304</w:t>
            </w:r>
            <w:r>
              <w:rPr>
                <w:rFonts w:hint="eastAsia"/>
                <w:color w:val="auto"/>
              </w:rPr>
              <w:t>、V308</w:t>
            </w:r>
          </w:p>
        </w:tc>
        <w:tc>
          <w:tcPr>
            <w:tcW w:w="709" w:type="dxa"/>
            <w:vMerge w:val="restart"/>
            <w:vAlign w:val="center"/>
          </w:tcPr>
          <w:p w14:paraId="40352945">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内浮顶</w:t>
            </w:r>
          </w:p>
        </w:tc>
        <w:tc>
          <w:tcPr>
            <w:tcW w:w="794" w:type="dxa"/>
            <w:vAlign w:val="center"/>
          </w:tcPr>
          <w:p w14:paraId="527D10A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10000</w:t>
            </w:r>
          </w:p>
        </w:tc>
        <w:tc>
          <w:tcPr>
            <w:tcW w:w="624" w:type="dxa"/>
            <w:vMerge w:val="restart"/>
            <w:vAlign w:val="center"/>
          </w:tcPr>
          <w:p w14:paraId="22F5000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汽油</w:t>
            </w:r>
          </w:p>
        </w:tc>
        <w:tc>
          <w:tcPr>
            <w:tcW w:w="1275" w:type="dxa"/>
            <w:vAlign w:val="center"/>
          </w:tcPr>
          <w:p w14:paraId="2C0E13A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汽油</w:t>
            </w:r>
          </w:p>
        </w:tc>
        <w:tc>
          <w:tcPr>
            <w:tcW w:w="705" w:type="dxa"/>
            <w:vAlign w:val="center"/>
          </w:tcPr>
          <w:p w14:paraId="3315FAF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w:t>
            </w:r>
            <w:r>
              <w:rPr>
                <w:rFonts w:hint="default"/>
                <w:color w:val="auto"/>
              </w:rPr>
              <w:t>0</w:t>
            </w:r>
          </w:p>
        </w:tc>
        <w:tc>
          <w:tcPr>
            <w:tcW w:w="628" w:type="dxa"/>
            <w:vMerge w:val="restart"/>
            <w:vAlign w:val="center"/>
          </w:tcPr>
          <w:p w14:paraId="6D48A54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80</w:t>
            </w:r>
          </w:p>
        </w:tc>
        <w:tc>
          <w:tcPr>
            <w:tcW w:w="1213" w:type="dxa"/>
          </w:tcPr>
          <w:p w14:paraId="16F9515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w:t>
            </w:r>
          </w:p>
        </w:tc>
        <w:tc>
          <w:tcPr>
            <w:tcW w:w="961" w:type="dxa"/>
            <w:vAlign w:val="center"/>
          </w:tcPr>
          <w:p w14:paraId="75B22116">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70</w:t>
            </w:r>
          </w:p>
        </w:tc>
        <w:tc>
          <w:tcPr>
            <w:tcW w:w="651" w:type="dxa"/>
          </w:tcPr>
          <w:p w14:paraId="4DAC48D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装船</w:t>
            </w:r>
          </w:p>
        </w:tc>
      </w:tr>
      <w:tr w14:paraId="78014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Merge w:val="continue"/>
            <w:vAlign w:val="center"/>
          </w:tcPr>
          <w:p w14:paraId="73179D6B">
            <w:pPr>
              <w:pStyle w:val="91"/>
              <w:keepNext w:val="0"/>
              <w:keepLines w:val="0"/>
              <w:suppressLineNumbers w:val="0"/>
              <w:spacing w:before="0" w:beforeAutospacing="0" w:after="0" w:afterAutospacing="0"/>
              <w:ind w:left="0" w:right="0"/>
              <w:jc w:val="center"/>
              <w:rPr>
                <w:rFonts w:hint="default"/>
                <w:color w:val="auto"/>
              </w:rPr>
            </w:pPr>
          </w:p>
        </w:tc>
        <w:tc>
          <w:tcPr>
            <w:tcW w:w="1134" w:type="dxa"/>
            <w:vAlign w:val="center"/>
          </w:tcPr>
          <w:p w14:paraId="6BFEFC5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V</w:t>
            </w:r>
            <w:r>
              <w:rPr>
                <w:rFonts w:hint="default"/>
                <w:color w:val="auto"/>
              </w:rPr>
              <w:t>3</w:t>
            </w:r>
            <w:r>
              <w:rPr>
                <w:rFonts w:hint="eastAsia"/>
                <w:color w:val="auto"/>
              </w:rPr>
              <w:t>05</w:t>
            </w:r>
          </w:p>
        </w:tc>
        <w:tc>
          <w:tcPr>
            <w:tcW w:w="709" w:type="dxa"/>
            <w:vMerge w:val="continue"/>
            <w:vAlign w:val="center"/>
          </w:tcPr>
          <w:p w14:paraId="30239A28">
            <w:pPr>
              <w:pStyle w:val="91"/>
              <w:keepNext w:val="0"/>
              <w:keepLines w:val="0"/>
              <w:suppressLineNumbers w:val="0"/>
              <w:spacing w:before="0" w:beforeAutospacing="0" w:after="0" w:afterAutospacing="0"/>
              <w:ind w:left="0" w:right="0"/>
              <w:jc w:val="center"/>
              <w:rPr>
                <w:rFonts w:hint="default"/>
                <w:color w:val="auto"/>
                <w:u w:val="single"/>
              </w:rPr>
            </w:pPr>
          </w:p>
        </w:tc>
        <w:tc>
          <w:tcPr>
            <w:tcW w:w="794" w:type="dxa"/>
            <w:vAlign w:val="center"/>
          </w:tcPr>
          <w:p w14:paraId="60DDB07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10000</w:t>
            </w:r>
          </w:p>
        </w:tc>
        <w:tc>
          <w:tcPr>
            <w:tcW w:w="624" w:type="dxa"/>
            <w:vMerge w:val="continue"/>
            <w:vAlign w:val="center"/>
          </w:tcPr>
          <w:p w14:paraId="33C6DCEE">
            <w:pPr>
              <w:pStyle w:val="91"/>
              <w:keepNext w:val="0"/>
              <w:keepLines w:val="0"/>
              <w:suppressLineNumbers w:val="0"/>
              <w:spacing w:before="0" w:beforeAutospacing="0" w:after="0" w:afterAutospacing="0"/>
              <w:ind w:left="0" w:right="0"/>
              <w:jc w:val="center"/>
              <w:rPr>
                <w:rFonts w:hint="default"/>
                <w:color w:val="auto"/>
              </w:rPr>
            </w:pPr>
          </w:p>
        </w:tc>
        <w:tc>
          <w:tcPr>
            <w:tcW w:w="1275" w:type="dxa"/>
            <w:vAlign w:val="center"/>
          </w:tcPr>
          <w:p w14:paraId="6F16764B">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石脑油</w:t>
            </w:r>
          </w:p>
        </w:tc>
        <w:tc>
          <w:tcPr>
            <w:tcW w:w="705" w:type="dxa"/>
            <w:vAlign w:val="center"/>
          </w:tcPr>
          <w:p w14:paraId="4BC5014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20</w:t>
            </w:r>
          </w:p>
        </w:tc>
        <w:tc>
          <w:tcPr>
            <w:tcW w:w="628" w:type="dxa"/>
            <w:vMerge w:val="continue"/>
            <w:vAlign w:val="center"/>
          </w:tcPr>
          <w:p w14:paraId="5FCFA9BB">
            <w:pPr>
              <w:pStyle w:val="91"/>
              <w:keepNext w:val="0"/>
              <w:keepLines w:val="0"/>
              <w:suppressLineNumbers w:val="0"/>
              <w:spacing w:before="0" w:beforeAutospacing="0" w:after="0" w:afterAutospacing="0"/>
              <w:ind w:left="0" w:right="0"/>
              <w:jc w:val="center"/>
              <w:rPr>
                <w:rFonts w:hint="default"/>
                <w:color w:val="auto"/>
              </w:rPr>
            </w:pPr>
          </w:p>
        </w:tc>
        <w:tc>
          <w:tcPr>
            <w:tcW w:w="1213" w:type="dxa"/>
          </w:tcPr>
          <w:p w14:paraId="3CAF651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961" w:type="dxa"/>
            <w:vAlign w:val="center"/>
          </w:tcPr>
          <w:p w14:paraId="2FC519D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651" w:type="dxa"/>
            <w:vMerge w:val="restart"/>
          </w:tcPr>
          <w:p w14:paraId="377E013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广西</w:t>
            </w:r>
            <w:r>
              <w:rPr>
                <w:rFonts w:hint="default"/>
                <w:color w:val="auto"/>
              </w:rPr>
              <w:t>石化</w:t>
            </w:r>
          </w:p>
        </w:tc>
      </w:tr>
      <w:tr w14:paraId="2D7E5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Merge w:val="continue"/>
            <w:vAlign w:val="center"/>
          </w:tcPr>
          <w:p w14:paraId="64A1B662">
            <w:pPr>
              <w:pStyle w:val="91"/>
              <w:keepNext w:val="0"/>
              <w:keepLines w:val="0"/>
              <w:suppressLineNumbers w:val="0"/>
              <w:spacing w:before="0" w:beforeAutospacing="0" w:after="0" w:afterAutospacing="0"/>
              <w:ind w:left="0" w:right="0"/>
              <w:jc w:val="center"/>
              <w:rPr>
                <w:rFonts w:hint="default"/>
                <w:color w:val="auto"/>
              </w:rPr>
            </w:pPr>
          </w:p>
        </w:tc>
        <w:tc>
          <w:tcPr>
            <w:tcW w:w="1134" w:type="dxa"/>
            <w:vAlign w:val="center"/>
          </w:tcPr>
          <w:p w14:paraId="2ADEAD23">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V</w:t>
            </w:r>
            <w:r>
              <w:rPr>
                <w:rFonts w:hint="default"/>
                <w:color w:val="auto"/>
              </w:rPr>
              <w:t>3</w:t>
            </w:r>
            <w:r>
              <w:rPr>
                <w:rFonts w:hint="eastAsia"/>
                <w:color w:val="auto"/>
              </w:rPr>
              <w:t>06</w:t>
            </w:r>
          </w:p>
        </w:tc>
        <w:tc>
          <w:tcPr>
            <w:tcW w:w="709" w:type="dxa"/>
            <w:vMerge w:val="continue"/>
            <w:vAlign w:val="center"/>
          </w:tcPr>
          <w:p w14:paraId="3BA4E1E5">
            <w:pPr>
              <w:pStyle w:val="91"/>
              <w:keepNext w:val="0"/>
              <w:keepLines w:val="0"/>
              <w:suppressLineNumbers w:val="0"/>
              <w:spacing w:before="0" w:beforeAutospacing="0" w:after="0" w:afterAutospacing="0"/>
              <w:ind w:left="0" w:right="0"/>
              <w:jc w:val="center"/>
              <w:rPr>
                <w:rFonts w:hint="default"/>
                <w:color w:val="auto"/>
                <w:u w:val="single"/>
              </w:rPr>
            </w:pPr>
          </w:p>
        </w:tc>
        <w:tc>
          <w:tcPr>
            <w:tcW w:w="794" w:type="dxa"/>
            <w:vAlign w:val="center"/>
          </w:tcPr>
          <w:p w14:paraId="3F7AE14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10000</w:t>
            </w:r>
          </w:p>
        </w:tc>
        <w:tc>
          <w:tcPr>
            <w:tcW w:w="624" w:type="dxa"/>
            <w:vMerge w:val="continue"/>
            <w:vAlign w:val="center"/>
          </w:tcPr>
          <w:p w14:paraId="68219837">
            <w:pPr>
              <w:pStyle w:val="91"/>
              <w:keepNext w:val="0"/>
              <w:keepLines w:val="0"/>
              <w:suppressLineNumbers w:val="0"/>
              <w:spacing w:before="0" w:beforeAutospacing="0" w:after="0" w:afterAutospacing="0"/>
              <w:ind w:left="0" w:right="0"/>
              <w:jc w:val="center"/>
              <w:rPr>
                <w:rFonts w:hint="default"/>
                <w:color w:val="auto"/>
              </w:rPr>
            </w:pPr>
          </w:p>
        </w:tc>
        <w:tc>
          <w:tcPr>
            <w:tcW w:w="1275" w:type="dxa"/>
            <w:vAlign w:val="center"/>
          </w:tcPr>
          <w:p w14:paraId="6BD968F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异辛烷（烷基化油）</w:t>
            </w:r>
          </w:p>
        </w:tc>
        <w:tc>
          <w:tcPr>
            <w:tcW w:w="705" w:type="dxa"/>
            <w:vAlign w:val="center"/>
          </w:tcPr>
          <w:p w14:paraId="0E9DD183">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20</w:t>
            </w:r>
          </w:p>
        </w:tc>
        <w:tc>
          <w:tcPr>
            <w:tcW w:w="628" w:type="dxa"/>
            <w:vMerge w:val="continue"/>
            <w:vAlign w:val="center"/>
          </w:tcPr>
          <w:p w14:paraId="577B3E2B">
            <w:pPr>
              <w:pStyle w:val="91"/>
              <w:keepNext w:val="0"/>
              <w:keepLines w:val="0"/>
              <w:suppressLineNumbers w:val="0"/>
              <w:spacing w:before="0" w:beforeAutospacing="0" w:after="0" w:afterAutospacing="0"/>
              <w:ind w:left="0" w:right="0"/>
              <w:jc w:val="center"/>
              <w:rPr>
                <w:rFonts w:hint="default"/>
                <w:color w:val="auto"/>
              </w:rPr>
            </w:pPr>
          </w:p>
        </w:tc>
        <w:tc>
          <w:tcPr>
            <w:tcW w:w="1213" w:type="dxa"/>
            <w:vAlign w:val="center"/>
          </w:tcPr>
          <w:p w14:paraId="2E0CDE93">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961" w:type="dxa"/>
            <w:vAlign w:val="center"/>
          </w:tcPr>
          <w:p w14:paraId="3EC376E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651" w:type="dxa"/>
            <w:vMerge w:val="continue"/>
          </w:tcPr>
          <w:p w14:paraId="6BB58363">
            <w:pPr>
              <w:pStyle w:val="91"/>
              <w:keepNext w:val="0"/>
              <w:keepLines w:val="0"/>
              <w:suppressLineNumbers w:val="0"/>
              <w:spacing w:before="0" w:beforeAutospacing="0" w:after="0" w:afterAutospacing="0"/>
              <w:ind w:left="0" w:right="0"/>
              <w:jc w:val="center"/>
              <w:rPr>
                <w:rFonts w:hint="default"/>
                <w:color w:val="auto"/>
              </w:rPr>
            </w:pPr>
          </w:p>
        </w:tc>
      </w:tr>
      <w:tr w14:paraId="69C1D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Merge w:val="continue"/>
            <w:vAlign w:val="center"/>
          </w:tcPr>
          <w:p w14:paraId="62C503AE">
            <w:pPr>
              <w:pStyle w:val="91"/>
              <w:keepNext w:val="0"/>
              <w:keepLines w:val="0"/>
              <w:suppressLineNumbers w:val="0"/>
              <w:spacing w:before="0" w:beforeAutospacing="0" w:after="0" w:afterAutospacing="0"/>
              <w:ind w:left="0" w:right="0"/>
              <w:jc w:val="center"/>
              <w:rPr>
                <w:rFonts w:hint="default"/>
                <w:color w:val="auto"/>
              </w:rPr>
            </w:pPr>
          </w:p>
        </w:tc>
        <w:tc>
          <w:tcPr>
            <w:tcW w:w="1134" w:type="dxa"/>
            <w:vAlign w:val="center"/>
          </w:tcPr>
          <w:p w14:paraId="3B2B23B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V</w:t>
            </w:r>
            <w:r>
              <w:rPr>
                <w:rFonts w:hint="default"/>
                <w:color w:val="auto"/>
              </w:rPr>
              <w:t>3</w:t>
            </w:r>
            <w:r>
              <w:rPr>
                <w:rFonts w:hint="eastAsia"/>
                <w:color w:val="auto"/>
              </w:rPr>
              <w:t>07</w:t>
            </w:r>
          </w:p>
        </w:tc>
        <w:tc>
          <w:tcPr>
            <w:tcW w:w="709" w:type="dxa"/>
            <w:vMerge w:val="continue"/>
            <w:vAlign w:val="center"/>
          </w:tcPr>
          <w:p w14:paraId="010721B2">
            <w:pPr>
              <w:pStyle w:val="91"/>
              <w:keepNext w:val="0"/>
              <w:keepLines w:val="0"/>
              <w:suppressLineNumbers w:val="0"/>
              <w:spacing w:before="0" w:beforeAutospacing="0" w:after="0" w:afterAutospacing="0"/>
              <w:ind w:left="0" w:right="0"/>
              <w:jc w:val="center"/>
              <w:rPr>
                <w:rFonts w:hint="default"/>
                <w:color w:val="auto"/>
                <w:u w:val="single"/>
              </w:rPr>
            </w:pPr>
          </w:p>
        </w:tc>
        <w:tc>
          <w:tcPr>
            <w:tcW w:w="794" w:type="dxa"/>
            <w:vAlign w:val="center"/>
          </w:tcPr>
          <w:p w14:paraId="09A44BD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10000</w:t>
            </w:r>
          </w:p>
        </w:tc>
        <w:tc>
          <w:tcPr>
            <w:tcW w:w="624" w:type="dxa"/>
            <w:vMerge w:val="continue"/>
            <w:vAlign w:val="center"/>
          </w:tcPr>
          <w:p w14:paraId="7EFDFD9F">
            <w:pPr>
              <w:pStyle w:val="91"/>
              <w:keepNext w:val="0"/>
              <w:keepLines w:val="0"/>
              <w:suppressLineNumbers w:val="0"/>
              <w:spacing w:before="0" w:beforeAutospacing="0" w:after="0" w:afterAutospacing="0"/>
              <w:ind w:left="0" w:right="0"/>
              <w:jc w:val="center"/>
              <w:rPr>
                <w:rFonts w:hint="default"/>
                <w:color w:val="auto"/>
              </w:rPr>
            </w:pPr>
          </w:p>
        </w:tc>
        <w:tc>
          <w:tcPr>
            <w:tcW w:w="1275" w:type="dxa"/>
            <w:vAlign w:val="center"/>
          </w:tcPr>
          <w:p w14:paraId="70F7C0E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甲基叔丁基醚（MTBE）</w:t>
            </w:r>
          </w:p>
        </w:tc>
        <w:tc>
          <w:tcPr>
            <w:tcW w:w="705" w:type="dxa"/>
            <w:vAlign w:val="center"/>
          </w:tcPr>
          <w:p w14:paraId="6BB00AA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20</w:t>
            </w:r>
          </w:p>
        </w:tc>
        <w:tc>
          <w:tcPr>
            <w:tcW w:w="628" w:type="dxa"/>
            <w:vMerge w:val="continue"/>
            <w:vAlign w:val="center"/>
          </w:tcPr>
          <w:p w14:paraId="5B956D13">
            <w:pPr>
              <w:pStyle w:val="91"/>
              <w:keepNext w:val="0"/>
              <w:keepLines w:val="0"/>
              <w:suppressLineNumbers w:val="0"/>
              <w:spacing w:before="0" w:beforeAutospacing="0" w:after="0" w:afterAutospacing="0"/>
              <w:ind w:left="0" w:right="0"/>
              <w:jc w:val="center"/>
              <w:rPr>
                <w:rFonts w:hint="default"/>
                <w:color w:val="auto"/>
              </w:rPr>
            </w:pPr>
          </w:p>
        </w:tc>
        <w:tc>
          <w:tcPr>
            <w:tcW w:w="1213" w:type="dxa"/>
            <w:vAlign w:val="center"/>
          </w:tcPr>
          <w:p w14:paraId="0E866BF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961" w:type="dxa"/>
            <w:vAlign w:val="center"/>
          </w:tcPr>
          <w:p w14:paraId="55E8921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651" w:type="dxa"/>
          </w:tcPr>
          <w:p w14:paraId="5639280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装船</w:t>
            </w:r>
          </w:p>
        </w:tc>
      </w:tr>
      <w:tr w14:paraId="3DB0C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Align w:val="center"/>
          </w:tcPr>
          <w:p w14:paraId="4D5B577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4#柴油罐组</w:t>
            </w:r>
          </w:p>
        </w:tc>
        <w:tc>
          <w:tcPr>
            <w:tcW w:w="1134" w:type="dxa"/>
            <w:vAlign w:val="center"/>
          </w:tcPr>
          <w:p w14:paraId="4437FDA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V</w:t>
            </w:r>
            <w:r>
              <w:rPr>
                <w:rFonts w:hint="default"/>
                <w:color w:val="auto"/>
              </w:rPr>
              <w:t>4</w:t>
            </w:r>
            <w:r>
              <w:rPr>
                <w:rFonts w:hint="eastAsia"/>
                <w:color w:val="auto"/>
              </w:rPr>
              <w:t>01~</w:t>
            </w:r>
            <w:r>
              <w:rPr>
                <w:rFonts w:hint="default"/>
                <w:color w:val="auto"/>
              </w:rPr>
              <w:t>V408</w:t>
            </w:r>
          </w:p>
        </w:tc>
        <w:tc>
          <w:tcPr>
            <w:tcW w:w="709" w:type="dxa"/>
            <w:vAlign w:val="center"/>
          </w:tcPr>
          <w:p w14:paraId="330B9038">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拱顶</w:t>
            </w:r>
          </w:p>
        </w:tc>
        <w:tc>
          <w:tcPr>
            <w:tcW w:w="794" w:type="dxa"/>
            <w:vAlign w:val="center"/>
          </w:tcPr>
          <w:p w14:paraId="5DA87AE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10000</w:t>
            </w:r>
          </w:p>
        </w:tc>
        <w:tc>
          <w:tcPr>
            <w:tcW w:w="624" w:type="dxa"/>
            <w:vMerge w:val="restart"/>
            <w:vAlign w:val="center"/>
          </w:tcPr>
          <w:p w14:paraId="2380B3F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柴油</w:t>
            </w:r>
          </w:p>
        </w:tc>
        <w:tc>
          <w:tcPr>
            <w:tcW w:w="1275" w:type="dxa"/>
            <w:vMerge w:val="restart"/>
            <w:vAlign w:val="center"/>
          </w:tcPr>
          <w:p w14:paraId="1B8594E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柴油</w:t>
            </w:r>
          </w:p>
        </w:tc>
        <w:tc>
          <w:tcPr>
            <w:tcW w:w="705" w:type="dxa"/>
            <w:vAlign w:val="center"/>
          </w:tcPr>
          <w:p w14:paraId="6EAD366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w:t>
            </w:r>
            <w:r>
              <w:rPr>
                <w:rFonts w:hint="default"/>
                <w:color w:val="auto"/>
              </w:rPr>
              <w:t>0</w:t>
            </w:r>
          </w:p>
        </w:tc>
        <w:tc>
          <w:tcPr>
            <w:tcW w:w="628" w:type="dxa"/>
            <w:vMerge w:val="restart"/>
            <w:vAlign w:val="center"/>
          </w:tcPr>
          <w:p w14:paraId="060D163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90</w:t>
            </w:r>
          </w:p>
        </w:tc>
        <w:tc>
          <w:tcPr>
            <w:tcW w:w="1213" w:type="dxa"/>
            <w:vMerge w:val="restart"/>
          </w:tcPr>
          <w:p w14:paraId="3F1AEFB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w:t>
            </w:r>
          </w:p>
        </w:tc>
        <w:tc>
          <w:tcPr>
            <w:tcW w:w="961" w:type="dxa"/>
            <w:vMerge w:val="restart"/>
            <w:vAlign w:val="center"/>
          </w:tcPr>
          <w:p w14:paraId="076AF2E3">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90</w:t>
            </w:r>
          </w:p>
        </w:tc>
        <w:tc>
          <w:tcPr>
            <w:tcW w:w="651" w:type="dxa"/>
            <w:vMerge w:val="restart"/>
          </w:tcPr>
          <w:p w14:paraId="2CF492C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装船</w:t>
            </w:r>
          </w:p>
        </w:tc>
      </w:tr>
      <w:tr w14:paraId="75A61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Align w:val="center"/>
          </w:tcPr>
          <w:p w14:paraId="41B6122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5#混合</w:t>
            </w:r>
            <w:r>
              <w:rPr>
                <w:rFonts w:hint="default"/>
                <w:color w:val="auto"/>
              </w:rPr>
              <w:t>罐组</w:t>
            </w:r>
          </w:p>
        </w:tc>
        <w:tc>
          <w:tcPr>
            <w:tcW w:w="1134" w:type="dxa"/>
            <w:vAlign w:val="center"/>
          </w:tcPr>
          <w:p w14:paraId="00E4645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V502、V504</w:t>
            </w:r>
          </w:p>
        </w:tc>
        <w:tc>
          <w:tcPr>
            <w:tcW w:w="709" w:type="dxa"/>
            <w:vAlign w:val="center"/>
          </w:tcPr>
          <w:p w14:paraId="54EA8AEA">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内浮顶</w:t>
            </w:r>
          </w:p>
        </w:tc>
        <w:tc>
          <w:tcPr>
            <w:tcW w:w="794" w:type="dxa"/>
            <w:vAlign w:val="center"/>
          </w:tcPr>
          <w:p w14:paraId="44E0120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10000</w:t>
            </w:r>
          </w:p>
        </w:tc>
        <w:tc>
          <w:tcPr>
            <w:tcW w:w="624" w:type="dxa"/>
            <w:vMerge w:val="continue"/>
            <w:vAlign w:val="center"/>
          </w:tcPr>
          <w:p w14:paraId="6320150B">
            <w:pPr>
              <w:pStyle w:val="91"/>
              <w:keepNext w:val="0"/>
              <w:keepLines w:val="0"/>
              <w:suppressLineNumbers w:val="0"/>
              <w:spacing w:before="0" w:beforeAutospacing="0" w:after="0" w:afterAutospacing="0"/>
              <w:ind w:left="0" w:right="0"/>
              <w:jc w:val="center"/>
              <w:rPr>
                <w:rFonts w:hint="default"/>
                <w:color w:val="auto"/>
              </w:rPr>
            </w:pPr>
          </w:p>
        </w:tc>
        <w:tc>
          <w:tcPr>
            <w:tcW w:w="1275" w:type="dxa"/>
            <w:vMerge w:val="continue"/>
            <w:vAlign w:val="center"/>
          </w:tcPr>
          <w:p w14:paraId="60D42EEC">
            <w:pPr>
              <w:pStyle w:val="91"/>
              <w:keepNext w:val="0"/>
              <w:keepLines w:val="0"/>
              <w:suppressLineNumbers w:val="0"/>
              <w:spacing w:before="0" w:beforeAutospacing="0" w:after="0" w:afterAutospacing="0"/>
              <w:ind w:left="0" w:right="0"/>
              <w:jc w:val="center"/>
              <w:rPr>
                <w:rFonts w:hint="default"/>
                <w:color w:val="auto"/>
              </w:rPr>
            </w:pPr>
          </w:p>
        </w:tc>
        <w:tc>
          <w:tcPr>
            <w:tcW w:w="705" w:type="dxa"/>
            <w:vAlign w:val="center"/>
          </w:tcPr>
          <w:p w14:paraId="4718EB1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20</w:t>
            </w:r>
          </w:p>
        </w:tc>
        <w:tc>
          <w:tcPr>
            <w:tcW w:w="628" w:type="dxa"/>
            <w:vMerge w:val="continue"/>
            <w:vAlign w:val="center"/>
          </w:tcPr>
          <w:p w14:paraId="22001658">
            <w:pPr>
              <w:pStyle w:val="91"/>
              <w:keepNext w:val="0"/>
              <w:keepLines w:val="0"/>
              <w:suppressLineNumbers w:val="0"/>
              <w:spacing w:before="0" w:beforeAutospacing="0" w:after="0" w:afterAutospacing="0"/>
              <w:ind w:left="0" w:right="0"/>
              <w:jc w:val="center"/>
              <w:rPr>
                <w:rFonts w:hint="default"/>
                <w:color w:val="auto"/>
              </w:rPr>
            </w:pPr>
          </w:p>
        </w:tc>
        <w:tc>
          <w:tcPr>
            <w:tcW w:w="1213" w:type="dxa"/>
            <w:vMerge w:val="continue"/>
          </w:tcPr>
          <w:p w14:paraId="7865F5E6">
            <w:pPr>
              <w:pStyle w:val="91"/>
              <w:keepNext w:val="0"/>
              <w:keepLines w:val="0"/>
              <w:suppressLineNumbers w:val="0"/>
              <w:spacing w:before="0" w:beforeAutospacing="0" w:after="0" w:afterAutospacing="0"/>
              <w:ind w:left="0" w:right="0"/>
              <w:jc w:val="center"/>
              <w:rPr>
                <w:rFonts w:hint="default"/>
                <w:color w:val="auto"/>
              </w:rPr>
            </w:pPr>
          </w:p>
        </w:tc>
        <w:tc>
          <w:tcPr>
            <w:tcW w:w="961" w:type="dxa"/>
            <w:vMerge w:val="continue"/>
            <w:vAlign w:val="center"/>
          </w:tcPr>
          <w:p w14:paraId="7A9760C7">
            <w:pPr>
              <w:pStyle w:val="91"/>
              <w:keepNext w:val="0"/>
              <w:keepLines w:val="0"/>
              <w:suppressLineNumbers w:val="0"/>
              <w:spacing w:before="0" w:beforeAutospacing="0" w:after="0" w:afterAutospacing="0"/>
              <w:ind w:left="0" w:right="0"/>
              <w:jc w:val="center"/>
              <w:rPr>
                <w:rFonts w:hint="default"/>
                <w:color w:val="auto"/>
              </w:rPr>
            </w:pPr>
          </w:p>
        </w:tc>
        <w:tc>
          <w:tcPr>
            <w:tcW w:w="651" w:type="dxa"/>
            <w:vMerge w:val="continue"/>
          </w:tcPr>
          <w:p w14:paraId="1C68A59C">
            <w:pPr>
              <w:pStyle w:val="91"/>
              <w:keepNext w:val="0"/>
              <w:keepLines w:val="0"/>
              <w:suppressLineNumbers w:val="0"/>
              <w:spacing w:before="0" w:beforeAutospacing="0" w:after="0" w:afterAutospacing="0"/>
              <w:ind w:left="0" w:right="0"/>
              <w:jc w:val="center"/>
              <w:rPr>
                <w:rFonts w:hint="default"/>
                <w:color w:val="auto"/>
              </w:rPr>
            </w:pPr>
          </w:p>
        </w:tc>
      </w:tr>
      <w:tr w14:paraId="79F84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Align w:val="center"/>
          </w:tcPr>
          <w:p w14:paraId="0045304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5#混合</w:t>
            </w:r>
            <w:r>
              <w:rPr>
                <w:rFonts w:hint="default"/>
                <w:color w:val="auto"/>
              </w:rPr>
              <w:t>罐组</w:t>
            </w:r>
          </w:p>
        </w:tc>
        <w:tc>
          <w:tcPr>
            <w:tcW w:w="1134" w:type="dxa"/>
            <w:vAlign w:val="center"/>
          </w:tcPr>
          <w:p w14:paraId="7959773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V50</w:t>
            </w:r>
            <w:r>
              <w:rPr>
                <w:rFonts w:hint="default"/>
                <w:color w:val="auto"/>
              </w:rPr>
              <w:t>1</w:t>
            </w:r>
            <w:r>
              <w:rPr>
                <w:rFonts w:hint="eastAsia"/>
                <w:color w:val="auto"/>
              </w:rPr>
              <w:t>、V503、V50</w:t>
            </w:r>
            <w:r>
              <w:rPr>
                <w:rFonts w:hint="default"/>
                <w:color w:val="auto"/>
              </w:rPr>
              <w:t>5</w:t>
            </w:r>
            <w:r>
              <w:rPr>
                <w:rFonts w:hint="eastAsia"/>
                <w:color w:val="auto"/>
              </w:rPr>
              <w:t>、V50</w:t>
            </w:r>
            <w:r>
              <w:rPr>
                <w:rFonts w:hint="default"/>
                <w:color w:val="auto"/>
              </w:rPr>
              <w:t>6</w:t>
            </w:r>
          </w:p>
        </w:tc>
        <w:tc>
          <w:tcPr>
            <w:tcW w:w="709" w:type="dxa"/>
            <w:vAlign w:val="center"/>
          </w:tcPr>
          <w:p w14:paraId="78407DDB">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内浮顶</w:t>
            </w:r>
          </w:p>
        </w:tc>
        <w:tc>
          <w:tcPr>
            <w:tcW w:w="794" w:type="dxa"/>
            <w:vAlign w:val="center"/>
          </w:tcPr>
          <w:p w14:paraId="5D293E3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10000</w:t>
            </w:r>
          </w:p>
        </w:tc>
        <w:tc>
          <w:tcPr>
            <w:tcW w:w="624" w:type="dxa"/>
            <w:vAlign w:val="center"/>
          </w:tcPr>
          <w:p w14:paraId="124456A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甲醇</w:t>
            </w:r>
          </w:p>
        </w:tc>
        <w:tc>
          <w:tcPr>
            <w:tcW w:w="1275" w:type="dxa"/>
            <w:vAlign w:val="center"/>
          </w:tcPr>
          <w:p w14:paraId="62BC8DD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甲醇</w:t>
            </w:r>
          </w:p>
        </w:tc>
        <w:tc>
          <w:tcPr>
            <w:tcW w:w="705" w:type="dxa"/>
            <w:vAlign w:val="center"/>
          </w:tcPr>
          <w:p w14:paraId="76998CA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20</w:t>
            </w:r>
          </w:p>
        </w:tc>
        <w:tc>
          <w:tcPr>
            <w:tcW w:w="628" w:type="dxa"/>
            <w:vAlign w:val="center"/>
          </w:tcPr>
          <w:p w14:paraId="7BB4C01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40</w:t>
            </w:r>
          </w:p>
        </w:tc>
        <w:tc>
          <w:tcPr>
            <w:tcW w:w="1213" w:type="dxa"/>
          </w:tcPr>
          <w:p w14:paraId="60396CB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w:t>
            </w:r>
          </w:p>
        </w:tc>
        <w:tc>
          <w:tcPr>
            <w:tcW w:w="961" w:type="dxa"/>
            <w:vAlign w:val="center"/>
          </w:tcPr>
          <w:p w14:paraId="160DBF1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40</w:t>
            </w:r>
          </w:p>
        </w:tc>
        <w:tc>
          <w:tcPr>
            <w:tcW w:w="651" w:type="dxa"/>
          </w:tcPr>
          <w:p w14:paraId="2869B2A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装卸船</w:t>
            </w:r>
            <w:r>
              <w:rPr>
                <w:rFonts w:hint="default"/>
                <w:color w:val="auto"/>
              </w:rPr>
              <w:t>、广西石化</w:t>
            </w:r>
          </w:p>
        </w:tc>
      </w:tr>
      <w:tr w14:paraId="78393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689" w:type="dxa"/>
            <w:gridSpan w:val="3"/>
            <w:vAlign w:val="center"/>
          </w:tcPr>
          <w:p w14:paraId="442E708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合计</w:t>
            </w:r>
          </w:p>
        </w:tc>
        <w:tc>
          <w:tcPr>
            <w:tcW w:w="794" w:type="dxa"/>
            <w:vAlign w:val="center"/>
          </w:tcPr>
          <w:p w14:paraId="449EA5C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c>
          <w:tcPr>
            <w:tcW w:w="624" w:type="dxa"/>
            <w:vAlign w:val="center"/>
          </w:tcPr>
          <w:p w14:paraId="1549D35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c>
          <w:tcPr>
            <w:tcW w:w="1275" w:type="dxa"/>
            <w:vAlign w:val="center"/>
          </w:tcPr>
          <w:p w14:paraId="4C3DEF4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c>
          <w:tcPr>
            <w:tcW w:w="705" w:type="dxa"/>
            <w:vAlign w:val="center"/>
          </w:tcPr>
          <w:p w14:paraId="7F121B0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c>
          <w:tcPr>
            <w:tcW w:w="628" w:type="dxa"/>
            <w:vAlign w:val="center"/>
          </w:tcPr>
          <w:p w14:paraId="74A32B3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358</w:t>
            </w:r>
          </w:p>
        </w:tc>
        <w:tc>
          <w:tcPr>
            <w:tcW w:w="1213" w:type="dxa"/>
          </w:tcPr>
          <w:p w14:paraId="32BDB0D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50</w:t>
            </w:r>
          </w:p>
        </w:tc>
        <w:tc>
          <w:tcPr>
            <w:tcW w:w="961" w:type="dxa"/>
            <w:vAlign w:val="center"/>
          </w:tcPr>
          <w:p w14:paraId="3235726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3</w:t>
            </w:r>
            <w:r>
              <w:rPr>
                <w:rFonts w:hint="default"/>
                <w:color w:val="auto"/>
              </w:rPr>
              <w:t>7</w:t>
            </w:r>
            <w:r>
              <w:rPr>
                <w:rFonts w:hint="eastAsia"/>
                <w:color w:val="auto"/>
              </w:rPr>
              <w:t>8</w:t>
            </w:r>
          </w:p>
        </w:tc>
        <w:tc>
          <w:tcPr>
            <w:tcW w:w="651" w:type="dxa"/>
          </w:tcPr>
          <w:p w14:paraId="4771EA60">
            <w:pPr>
              <w:pStyle w:val="91"/>
              <w:keepNext w:val="0"/>
              <w:keepLines w:val="0"/>
              <w:suppressLineNumbers w:val="0"/>
              <w:spacing w:before="0" w:beforeAutospacing="0" w:after="0" w:afterAutospacing="0"/>
              <w:ind w:left="0" w:right="0"/>
              <w:jc w:val="center"/>
              <w:rPr>
                <w:rFonts w:hint="default"/>
                <w:color w:val="auto"/>
              </w:rPr>
            </w:pPr>
          </w:p>
        </w:tc>
      </w:tr>
    </w:tbl>
    <w:p w14:paraId="423E414D">
      <w:pPr>
        <w:ind w:left="480" w:firstLine="0" w:firstLineChars="0"/>
        <w:rPr>
          <w:rFonts w:hint="eastAsia"/>
          <w:b/>
          <w:color w:val="auto"/>
        </w:rPr>
      </w:pPr>
      <w:r>
        <w:rPr>
          <w:rFonts w:hint="eastAsia"/>
          <w:b/>
          <w:color w:val="auto"/>
        </w:rPr>
        <w:t>（3）货种</w:t>
      </w:r>
      <w:r>
        <w:rPr>
          <w:b/>
          <w:color w:val="auto"/>
        </w:rPr>
        <w:t>理化性质</w:t>
      </w:r>
    </w:p>
    <w:p w14:paraId="46305B09">
      <w:pPr>
        <w:ind w:left="480" w:firstLine="0" w:firstLineChars="0"/>
        <w:rPr>
          <w:color w:val="auto"/>
        </w:rPr>
      </w:pPr>
      <w:r>
        <w:rPr>
          <w:rFonts w:hint="eastAsia"/>
          <w:color w:val="auto"/>
        </w:rPr>
        <w:t>扩建</w:t>
      </w:r>
      <w:r>
        <w:rPr>
          <w:color w:val="auto"/>
        </w:rPr>
        <w:t>项目新增货种理化性质：</w:t>
      </w:r>
    </w:p>
    <w:p w14:paraId="2254B3B6">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2.2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rFonts w:hint="eastAsia"/>
          <w:color w:val="auto"/>
        </w:rPr>
        <w:t>扩建</w:t>
      </w:r>
      <w:r>
        <w:rPr>
          <w:color w:val="auto"/>
        </w:rPr>
        <w:t>项目新增货种理化性质一览表</w:t>
      </w:r>
    </w:p>
    <w:tbl>
      <w:tblPr>
        <w:tblStyle w:val="44"/>
        <w:tblW w:w="9125" w:type="dxa"/>
        <w:tblInd w:w="4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08"/>
        <w:gridCol w:w="1275"/>
        <w:gridCol w:w="696"/>
        <w:gridCol w:w="992"/>
        <w:gridCol w:w="851"/>
        <w:gridCol w:w="4803"/>
      </w:tblGrid>
      <w:tr w14:paraId="2960D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8" w:type="dxa"/>
          </w:tcPr>
          <w:p w14:paraId="6A10EDCA">
            <w:pPr>
              <w:pStyle w:val="167"/>
              <w:keepNext w:val="0"/>
              <w:keepLines w:val="0"/>
              <w:suppressLineNumbers w:val="0"/>
              <w:spacing w:before="0" w:beforeAutospacing="0" w:after="0" w:afterAutospacing="0"/>
              <w:ind w:right="0"/>
              <w:rPr>
                <w:rFonts w:hint="default"/>
                <w:b/>
                <w:color w:val="auto"/>
                <w:u w:val="single"/>
              </w:rPr>
            </w:pPr>
            <w:r>
              <w:rPr>
                <w:rFonts w:hint="eastAsia"/>
                <w:b/>
                <w:color w:val="auto"/>
                <w:u w:val="single"/>
              </w:rPr>
              <w:t>序号</w:t>
            </w:r>
          </w:p>
        </w:tc>
        <w:tc>
          <w:tcPr>
            <w:tcW w:w="1275" w:type="dxa"/>
          </w:tcPr>
          <w:p w14:paraId="267F4B7B">
            <w:pPr>
              <w:pStyle w:val="167"/>
              <w:keepNext w:val="0"/>
              <w:keepLines w:val="0"/>
              <w:suppressLineNumbers w:val="0"/>
              <w:spacing w:before="0" w:beforeAutospacing="0" w:after="0" w:afterAutospacing="0"/>
              <w:ind w:right="0"/>
              <w:rPr>
                <w:rFonts w:hint="default"/>
                <w:b/>
                <w:color w:val="auto"/>
                <w:u w:val="single"/>
              </w:rPr>
            </w:pPr>
            <w:r>
              <w:rPr>
                <w:rFonts w:hint="eastAsia"/>
                <w:b/>
                <w:color w:val="auto"/>
                <w:u w:val="single"/>
              </w:rPr>
              <w:t>货种</w:t>
            </w:r>
            <w:r>
              <w:rPr>
                <w:rFonts w:hint="default"/>
                <w:b/>
                <w:color w:val="auto"/>
                <w:u w:val="single"/>
              </w:rPr>
              <w:t>名称</w:t>
            </w:r>
          </w:p>
        </w:tc>
        <w:tc>
          <w:tcPr>
            <w:tcW w:w="696" w:type="dxa"/>
          </w:tcPr>
          <w:p w14:paraId="7C7F7324">
            <w:pPr>
              <w:pStyle w:val="167"/>
              <w:keepNext w:val="0"/>
              <w:keepLines w:val="0"/>
              <w:suppressLineNumbers w:val="0"/>
              <w:spacing w:before="0" w:beforeAutospacing="0" w:after="0" w:afterAutospacing="0"/>
              <w:ind w:right="0"/>
              <w:rPr>
                <w:rFonts w:hint="default"/>
                <w:b/>
                <w:color w:val="auto"/>
                <w:u w:val="single"/>
              </w:rPr>
            </w:pPr>
            <w:r>
              <w:rPr>
                <w:rFonts w:hint="eastAsia"/>
                <w:b/>
                <w:color w:val="auto"/>
                <w:u w:val="single"/>
              </w:rPr>
              <w:t>火灾</w:t>
            </w:r>
            <w:r>
              <w:rPr>
                <w:rFonts w:hint="default"/>
                <w:b/>
                <w:color w:val="auto"/>
                <w:u w:val="single"/>
              </w:rPr>
              <w:t>类别</w:t>
            </w:r>
          </w:p>
        </w:tc>
        <w:tc>
          <w:tcPr>
            <w:tcW w:w="992" w:type="dxa"/>
          </w:tcPr>
          <w:p w14:paraId="40711487">
            <w:pPr>
              <w:pStyle w:val="167"/>
              <w:keepNext w:val="0"/>
              <w:keepLines w:val="0"/>
              <w:suppressLineNumbers w:val="0"/>
              <w:spacing w:before="0" w:beforeAutospacing="0" w:after="0" w:afterAutospacing="0"/>
              <w:ind w:right="0"/>
              <w:rPr>
                <w:rFonts w:hint="default"/>
                <w:b/>
                <w:color w:val="auto"/>
                <w:u w:val="single"/>
              </w:rPr>
            </w:pPr>
            <w:r>
              <w:rPr>
                <w:rFonts w:hint="eastAsia"/>
                <w:b/>
                <w:color w:val="auto"/>
                <w:u w:val="single"/>
              </w:rPr>
              <w:t>密度（</w:t>
            </w:r>
            <w:r>
              <w:rPr>
                <w:rFonts w:hint="default"/>
                <w:b/>
                <w:bCs/>
                <w:color w:val="auto"/>
                <w:szCs w:val="21"/>
                <w:u w:val="single"/>
              </w:rPr>
              <w:t>g/cm</w:t>
            </w:r>
            <w:r>
              <w:rPr>
                <w:rFonts w:hint="default"/>
                <w:b/>
                <w:bCs/>
                <w:color w:val="auto"/>
                <w:szCs w:val="21"/>
                <w:u w:val="single"/>
                <w:vertAlign w:val="superscript"/>
              </w:rPr>
              <w:t>3</w:t>
            </w:r>
            <w:r>
              <w:rPr>
                <w:rFonts w:hint="eastAsia"/>
                <w:b/>
                <w:color w:val="auto"/>
                <w:u w:val="single"/>
              </w:rPr>
              <w:t>）</w:t>
            </w:r>
          </w:p>
        </w:tc>
        <w:tc>
          <w:tcPr>
            <w:tcW w:w="851" w:type="dxa"/>
          </w:tcPr>
          <w:p w14:paraId="4D2D60F9">
            <w:pPr>
              <w:pStyle w:val="167"/>
              <w:keepNext w:val="0"/>
              <w:keepLines w:val="0"/>
              <w:suppressLineNumbers w:val="0"/>
              <w:spacing w:before="0" w:beforeAutospacing="0" w:after="0" w:afterAutospacing="0"/>
              <w:ind w:right="0"/>
              <w:rPr>
                <w:rFonts w:hint="default"/>
                <w:b/>
                <w:color w:val="auto"/>
                <w:u w:val="single"/>
              </w:rPr>
            </w:pPr>
            <w:r>
              <w:rPr>
                <w:rFonts w:hint="eastAsia"/>
                <w:b/>
                <w:color w:val="auto"/>
                <w:u w:val="single"/>
              </w:rPr>
              <w:t>蒸气压（kPa）</w:t>
            </w:r>
          </w:p>
        </w:tc>
        <w:tc>
          <w:tcPr>
            <w:tcW w:w="4803" w:type="dxa"/>
          </w:tcPr>
          <w:p w14:paraId="60EE19CE">
            <w:pPr>
              <w:pStyle w:val="167"/>
              <w:keepNext w:val="0"/>
              <w:keepLines w:val="0"/>
              <w:suppressLineNumbers w:val="0"/>
              <w:spacing w:before="0" w:beforeAutospacing="0" w:after="0" w:afterAutospacing="0"/>
              <w:ind w:right="0"/>
              <w:rPr>
                <w:rFonts w:hint="default"/>
                <w:b/>
                <w:color w:val="auto"/>
                <w:u w:val="single"/>
              </w:rPr>
            </w:pPr>
            <w:r>
              <w:rPr>
                <w:rFonts w:hint="eastAsia"/>
                <w:b/>
                <w:color w:val="auto"/>
                <w:u w:val="single"/>
              </w:rPr>
              <w:t>理化性质</w:t>
            </w:r>
          </w:p>
        </w:tc>
      </w:tr>
      <w:tr w14:paraId="31653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8" w:type="dxa"/>
          </w:tcPr>
          <w:p w14:paraId="71FFA1E1">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1</w:t>
            </w:r>
          </w:p>
        </w:tc>
        <w:tc>
          <w:tcPr>
            <w:tcW w:w="1275" w:type="dxa"/>
            <w:vAlign w:val="center"/>
          </w:tcPr>
          <w:p w14:paraId="76F234B6">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甲基叔丁基醚（MTBE）</w:t>
            </w:r>
          </w:p>
        </w:tc>
        <w:tc>
          <w:tcPr>
            <w:tcW w:w="696" w:type="dxa"/>
            <w:vAlign w:val="center"/>
          </w:tcPr>
          <w:p w14:paraId="44DD339C">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甲B</w:t>
            </w:r>
          </w:p>
        </w:tc>
        <w:tc>
          <w:tcPr>
            <w:tcW w:w="992" w:type="dxa"/>
            <w:vAlign w:val="center"/>
          </w:tcPr>
          <w:p w14:paraId="7511CD7F">
            <w:pPr>
              <w:pStyle w:val="167"/>
              <w:keepNext w:val="0"/>
              <w:keepLines w:val="0"/>
              <w:suppressLineNumbers w:val="0"/>
              <w:spacing w:before="0" w:beforeAutospacing="0" w:after="0" w:afterAutospacing="0"/>
              <w:ind w:right="0"/>
              <w:jc w:val="center"/>
              <w:rPr>
                <w:rFonts w:hint="default"/>
                <w:color w:val="auto"/>
                <w:u w:val="single"/>
              </w:rPr>
            </w:pPr>
            <w:r>
              <w:rPr>
                <w:rFonts w:hint="eastAsia"/>
                <w:color w:val="auto"/>
                <w:u w:val="single"/>
              </w:rPr>
              <w:t>0.74</w:t>
            </w:r>
          </w:p>
        </w:tc>
        <w:tc>
          <w:tcPr>
            <w:tcW w:w="851" w:type="dxa"/>
            <w:vAlign w:val="center"/>
          </w:tcPr>
          <w:p w14:paraId="47057B92">
            <w:pPr>
              <w:pStyle w:val="167"/>
              <w:keepNext w:val="0"/>
              <w:keepLines w:val="0"/>
              <w:suppressLineNumbers w:val="0"/>
              <w:spacing w:before="0" w:beforeAutospacing="0" w:after="0" w:afterAutospacing="0"/>
              <w:ind w:right="0"/>
              <w:jc w:val="center"/>
              <w:rPr>
                <w:rFonts w:hint="default"/>
                <w:color w:val="auto"/>
                <w:u w:val="single"/>
              </w:rPr>
            </w:pPr>
            <w:r>
              <w:rPr>
                <w:rFonts w:hint="eastAsia"/>
                <w:color w:val="auto"/>
                <w:u w:val="single"/>
              </w:rPr>
              <w:t>27</w:t>
            </w:r>
          </w:p>
        </w:tc>
        <w:tc>
          <w:tcPr>
            <w:tcW w:w="4803" w:type="dxa"/>
          </w:tcPr>
          <w:p w14:paraId="38626263">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无色</w:t>
            </w:r>
            <w:r>
              <w:rPr>
                <w:rFonts w:hint="default"/>
                <w:color w:val="auto"/>
                <w:u w:val="single"/>
              </w:rPr>
              <w:t>液体，具有醚样气味，</w:t>
            </w:r>
            <w:r>
              <w:rPr>
                <w:rFonts w:hint="eastAsia"/>
                <w:color w:val="auto"/>
                <w:u w:val="single"/>
              </w:rPr>
              <w:t>闪点-28℃</w:t>
            </w:r>
            <w:r>
              <w:rPr>
                <w:rFonts w:hint="default"/>
                <w:color w:val="auto"/>
                <w:u w:val="single"/>
              </w:rPr>
              <w:t>，沸点</w:t>
            </w:r>
            <w:r>
              <w:rPr>
                <w:rFonts w:hint="eastAsia"/>
                <w:color w:val="auto"/>
                <w:u w:val="single"/>
              </w:rPr>
              <w:t>55.2℃，引燃</w:t>
            </w:r>
            <w:r>
              <w:rPr>
                <w:rFonts w:hint="default"/>
                <w:color w:val="auto"/>
                <w:u w:val="single"/>
              </w:rPr>
              <w:t>温度为</w:t>
            </w:r>
            <w:r>
              <w:rPr>
                <w:rFonts w:hint="eastAsia"/>
                <w:color w:val="auto"/>
                <w:u w:val="single"/>
              </w:rPr>
              <w:t>375℃</w:t>
            </w:r>
            <w:r>
              <w:rPr>
                <w:rFonts w:hint="default"/>
                <w:color w:val="auto"/>
                <w:u w:val="single"/>
              </w:rPr>
              <w:t>，不溶于水，</w:t>
            </w:r>
            <w:r>
              <w:rPr>
                <w:rFonts w:hint="eastAsia"/>
                <w:color w:val="auto"/>
                <w:u w:val="single"/>
              </w:rPr>
              <w:t>高度易燃</w:t>
            </w:r>
          </w:p>
        </w:tc>
      </w:tr>
      <w:tr w14:paraId="263F9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8" w:type="dxa"/>
          </w:tcPr>
          <w:p w14:paraId="03F85DEB">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2</w:t>
            </w:r>
          </w:p>
        </w:tc>
        <w:tc>
          <w:tcPr>
            <w:tcW w:w="1275" w:type="dxa"/>
            <w:vAlign w:val="center"/>
          </w:tcPr>
          <w:p w14:paraId="6A37A90E">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异辛烷（烷基化油）</w:t>
            </w:r>
          </w:p>
        </w:tc>
        <w:tc>
          <w:tcPr>
            <w:tcW w:w="696" w:type="dxa"/>
            <w:vAlign w:val="center"/>
          </w:tcPr>
          <w:p w14:paraId="745D7020">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甲B</w:t>
            </w:r>
          </w:p>
        </w:tc>
        <w:tc>
          <w:tcPr>
            <w:tcW w:w="992" w:type="dxa"/>
            <w:vAlign w:val="center"/>
          </w:tcPr>
          <w:p w14:paraId="3FA366FF">
            <w:pPr>
              <w:pStyle w:val="167"/>
              <w:keepNext w:val="0"/>
              <w:keepLines w:val="0"/>
              <w:suppressLineNumbers w:val="0"/>
              <w:spacing w:before="0" w:beforeAutospacing="0" w:after="0" w:afterAutospacing="0"/>
              <w:ind w:right="0"/>
              <w:jc w:val="center"/>
              <w:rPr>
                <w:rFonts w:hint="default"/>
                <w:color w:val="auto"/>
                <w:u w:val="single"/>
              </w:rPr>
            </w:pPr>
            <w:r>
              <w:rPr>
                <w:rFonts w:hint="eastAsia"/>
                <w:color w:val="auto"/>
                <w:u w:val="single"/>
              </w:rPr>
              <w:t>0.69</w:t>
            </w:r>
          </w:p>
        </w:tc>
        <w:tc>
          <w:tcPr>
            <w:tcW w:w="851" w:type="dxa"/>
            <w:vAlign w:val="center"/>
          </w:tcPr>
          <w:p w14:paraId="7AB329B6">
            <w:pPr>
              <w:pStyle w:val="167"/>
              <w:keepNext w:val="0"/>
              <w:keepLines w:val="0"/>
              <w:suppressLineNumbers w:val="0"/>
              <w:spacing w:before="0" w:beforeAutospacing="0" w:after="0" w:afterAutospacing="0"/>
              <w:ind w:right="0"/>
              <w:jc w:val="center"/>
              <w:rPr>
                <w:rFonts w:hint="default"/>
                <w:color w:val="auto"/>
                <w:u w:val="single"/>
              </w:rPr>
            </w:pPr>
            <w:r>
              <w:rPr>
                <w:rFonts w:hint="eastAsia"/>
                <w:color w:val="auto"/>
                <w:u w:val="single"/>
              </w:rPr>
              <w:t>5.1</w:t>
            </w:r>
          </w:p>
        </w:tc>
        <w:tc>
          <w:tcPr>
            <w:tcW w:w="4803" w:type="dxa"/>
          </w:tcPr>
          <w:p w14:paraId="46542C98">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无色、</w:t>
            </w:r>
            <w:r>
              <w:rPr>
                <w:rFonts w:hint="default"/>
                <w:color w:val="auto"/>
                <w:u w:val="single"/>
              </w:rPr>
              <w:t>透明液体</w:t>
            </w:r>
            <w:r>
              <w:rPr>
                <w:rFonts w:hint="eastAsia"/>
                <w:color w:val="auto"/>
                <w:u w:val="single"/>
              </w:rPr>
              <w:t>，闪点</w:t>
            </w:r>
            <w:r>
              <w:rPr>
                <w:rFonts w:hint="default"/>
                <w:color w:val="auto"/>
                <w:u w:val="single"/>
              </w:rPr>
              <w:t>4.5</w:t>
            </w:r>
            <w:r>
              <w:rPr>
                <w:rFonts w:hint="eastAsia"/>
                <w:color w:val="auto"/>
                <w:u w:val="single"/>
              </w:rPr>
              <w:t>℃</w:t>
            </w:r>
            <w:r>
              <w:rPr>
                <w:rFonts w:hint="default"/>
                <w:color w:val="auto"/>
                <w:u w:val="single"/>
              </w:rPr>
              <w:t>，沸点99</w:t>
            </w:r>
            <w:r>
              <w:rPr>
                <w:rFonts w:hint="eastAsia"/>
                <w:color w:val="auto"/>
                <w:u w:val="single"/>
              </w:rPr>
              <w:t>.2℃，引燃</w:t>
            </w:r>
            <w:r>
              <w:rPr>
                <w:rFonts w:hint="default"/>
                <w:color w:val="auto"/>
                <w:u w:val="single"/>
              </w:rPr>
              <w:t>温度为417</w:t>
            </w:r>
            <w:r>
              <w:rPr>
                <w:rFonts w:hint="eastAsia"/>
                <w:color w:val="auto"/>
                <w:u w:val="single"/>
              </w:rPr>
              <w:t>℃</w:t>
            </w:r>
            <w:r>
              <w:rPr>
                <w:rFonts w:hint="default"/>
                <w:color w:val="auto"/>
                <w:u w:val="single"/>
              </w:rPr>
              <w:t>，</w:t>
            </w:r>
            <w:r>
              <w:rPr>
                <w:rFonts w:hint="eastAsia"/>
                <w:color w:val="auto"/>
                <w:u w:val="single"/>
              </w:rPr>
              <w:t>不溶于水，混溶于庚烷、丙酮，溶于乙醚、苯、甲苯、二甲苯、氯仿、二硫化碳、四氯化碳等，</w:t>
            </w:r>
            <w:r>
              <w:rPr>
                <w:rFonts w:hint="default"/>
                <w:color w:val="auto"/>
                <w:u w:val="single"/>
              </w:rPr>
              <w:t>高度易燃；</w:t>
            </w:r>
          </w:p>
        </w:tc>
      </w:tr>
      <w:tr w14:paraId="4FD54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8" w:type="dxa"/>
          </w:tcPr>
          <w:p w14:paraId="70C12265">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3</w:t>
            </w:r>
          </w:p>
        </w:tc>
        <w:tc>
          <w:tcPr>
            <w:tcW w:w="1275" w:type="dxa"/>
            <w:vAlign w:val="center"/>
          </w:tcPr>
          <w:p w14:paraId="3C5177A6">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石脑油</w:t>
            </w:r>
          </w:p>
        </w:tc>
        <w:tc>
          <w:tcPr>
            <w:tcW w:w="696" w:type="dxa"/>
            <w:vAlign w:val="center"/>
          </w:tcPr>
          <w:p w14:paraId="1C67F7FE">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甲B</w:t>
            </w:r>
          </w:p>
        </w:tc>
        <w:tc>
          <w:tcPr>
            <w:tcW w:w="992" w:type="dxa"/>
            <w:vAlign w:val="center"/>
          </w:tcPr>
          <w:p w14:paraId="5BA19933">
            <w:pPr>
              <w:pStyle w:val="167"/>
              <w:keepNext w:val="0"/>
              <w:keepLines w:val="0"/>
              <w:suppressLineNumbers w:val="0"/>
              <w:spacing w:before="0" w:beforeAutospacing="0" w:after="0" w:afterAutospacing="0"/>
              <w:ind w:right="0"/>
              <w:jc w:val="center"/>
              <w:rPr>
                <w:rFonts w:hint="default"/>
                <w:color w:val="auto"/>
                <w:u w:val="single"/>
              </w:rPr>
            </w:pPr>
            <w:r>
              <w:rPr>
                <w:rFonts w:hint="eastAsia"/>
                <w:color w:val="auto"/>
                <w:u w:val="single"/>
              </w:rPr>
              <w:t>0.667</w:t>
            </w:r>
          </w:p>
        </w:tc>
        <w:tc>
          <w:tcPr>
            <w:tcW w:w="851" w:type="dxa"/>
            <w:vAlign w:val="center"/>
          </w:tcPr>
          <w:p w14:paraId="617F0FC5">
            <w:pPr>
              <w:pStyle w:val="167"/>
              <w:keepNext w:val="0"/>
              <w:keepLines w:val="0"/>
              <w:suppressLineNumbers w:val="0"/>
              <w:spacing w:before="0" w:beforeAutospacing="0" w:after="0" w:afterAutospacing="0"/>
              <w:ind w:right="0"/>
              <w:jc w:val="center"/>
              <w:rPr>
                <w:rFonts w:hint="default"/>
                <w:color w:val="auto"/>
                <w:u w:val="single"/>
              </w:rPr>
            </w:pPr>
            <w:r>
              <w:rPr>
                <w:rFonts w:hint="eastAsia"/>
                <w:color w:val="auto"/>
                <w:u w:val="single"/>
              </w:rPr>
              <w:t>53.52</w:t>
            </w:r>
          </w:p>
        </w:tc>
        <w:tc>
          <w:tcPr>
            <w:tcW w:w="4803" w:type="dxa"/>
          </w:tcPr>
          <w:p w14:paraId="628CD507">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无色</w:t>
            </w:r>
            <w:r>
              <w:rPr>
                <w:rFonts w:hint="default"/>
                <w:color w:val="auto"/>
                <w:u w:val="single"/>
              </w:rPr>
              <w:t>或浅黄色液体，</w:t>
            </w:r>
            <w:r>
              <w:rPr>
                <w:rFonts w:hint="eastAsia"/>
                <w:color w:val="auto"/>
                <w:u w:val="single"/>
              </w:rPr>
              <w:t>闪点-50~-20℃，</w:t>
            </w:r>
            <w:r>
              <w:rPr>
                <w:rFonts w:hint="default"/>
                <w:color w:val="auto"/>
                <w:u w:val="single"/>
              </w:rPr>
              <w:t>沸点</w:t>
            </w:r>
            <w:r>
              <w:rPr>
                <w:rFonts w:hint="eastAsia"/>
                <w:color w:val="auto"/>
                <w:u w:val="single"/>
              </w:rPr>
              <w:t>20~160℃</w:t>
            </w:r>
            <w:r>
              <w:rPr>
                <w:rFonts w:hint="default"/>
                <w:color w:val="auto"/>
                <w:u w:val="single"/>
              </w:rPr>
              <w:t>，引燃</w:t>
            </w:r>
            <w:r>
              <w:rPr>
                <w:rFonts w:hint="eastAsia"/>
                <w:color w:val="auto"/>
                <w:u w:val="single"/>
              </w:rPr>
              <w:t>温度350</w:t>
            </w:r>
            <w:r>
              <w:rPr>
                <w:rFonts w:hint="default"/>
                <w:color w:val="auto"/>
                <w:u w:val="single"/>
              </w:rPr>
              <w:t>℃</w:t>
            </w:r>
            <w:r>
              <w:rPr>
                <w:rFonts w:hint="eastAsia"/>
                <w:color w:val="auto"/>
                <w:u w:val="single"/>
              </w:rPr>
              <w:t>，不溶于水，溶于多数有机溶剂。</w:t>
            </w:r>
          </w:p>
        </w:tc>
      </w:tr>
      <w:tr w14:paraId="4CFE4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8" w:type="dxa"/>
          </w:tcPr>
          <w:p w14:paraId="44F502B4">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4</w:t>
            </w:r>
          </w:p>
        </w:tc>
        <w:tc>
          <w:tcPr>
            <w:tcW w:w="1275" w:type="dxa"/>
            <w:vAlign w:val="center"/>
          </w:tcPr>
          <w:p w14:paraId="06758EBB">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蜡油</w:t>
            </w:r>
          </w:p>
        </w:tc>
        <w:tc>
          <w:tcPr>
            <w:tcW w:w="696" w:type="dxa"/>
          </w:tcPr>
          <w:p w14:paraId="66F15F84">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丙</w:t>
            </w:r>
          </w:p>
        </w:tc>
        <w:tc>
          <w:tcPr>
            <w:tcW w:w="992" w:type="dxa"/>
          </w:tcPr>
          <w:p w14:paraId="54EA4503">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0.93</w:t>
            </w:r>
          </w:p>
        </w:tc>
        <w:tc>
          <w:tcPr>
            <w:tcW w:w="851" w:type="dxa"/>
          </w:tcPr>
          <w:p w14:paraId="3A6659CF">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0.005</w:t>
            </w:r>
          </w:p>
        </w:tc>
        <w:tc>
          <w:tcPr>
            <w:tcW w:w="4803" w:type="dxa"/>
          </w:tcPr>
          <w:p w14:paraId="03902C40">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闪点＞150℃，</w:t>
            </w:r>
            <w:r>
              <w:rPr>
                <w:rFonts w:hint="default"/>
                <w:color w:val="auto"/>
                <w:u w:val="single"/>
              </w:rPr>
              <w:t>沸点</w:t>
            </w:r>
            <w:r>
              <w:rPr>
                <w:rFonts w:hint="eastAsia"/>
                <w:color w:val="auto"/>
                <w:u w:val="single"/>
              </w:rPr>
              <w:t>＞105℃</w:t>
            </w:r>
            <w:r>
              <w:rPr>
                <w:rFonts w:hint="default"/>
                <w:color w:val="auto"/>
                <w:u w:val="single"/>
              </w:rPr>
              <w:t>，</w:t>
            </w:r>
            <w:r>
              <w:rPr>
                <w:rFonts w:hint="eastAsia"/>
                <w:color w:val="auto"/>
                <w:u w:val="single"/>
              </w:rPr>
              <w:t>不溶于水，</w:t>
            </w:r>
          </w:p>
        </w:tc>
      </w:tr>
      <w:tr w14:paraId="3F609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8" w:type="dxa"/>
          </w:tcPr>
          <w:p w14:paraId="5153C618">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5</w:t>
            </w:r>
          </w:p>
        </w:tc>
        <w:tc>
          <w:tcPr>
            <w:tcW w:w="1275" w:type="dxa"/>
            <w:vAlign w:val="center"/>
          </w:tcPr>
          <w:p w14:paraId="15E37AB6">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渣油</w:t>
            </w:r>
          </w:p>
        </w:tc>
        <w:tc>
          <w:tcPr>
            <w:tcW w:w="696" w:type="dxa"/>
          </w:tcPr>
          <w:p w14:paraId="52E7527C">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丙</w:t>
            </w:r>
          </w:p>
        </w:tc>
        <w:tc>
          <w:tcPr>
            <w:tcW w:w="992" w:type="dxa"/>
          </w:tcPr>
          <w:p w14:paraId="0F544BFF">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0.94</w:t>
            </w:r>
          </w:p>
        </w:tc>
        <w:tc>
          <w:tcPr>
            <w:tcW w:w="851" w:type="dxa"/>
          </w:tcPr>
          <w:p w14:paraId="2FF42D29">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0000138</w:t>
            </w:r>
          </w:p>
        </w:tc>
        <w:tc>
          <w:tcPr>
            <w:tcW w:w="4803" w:type="dxa"/>
          </w:tcPr>
          <w:p w14:paraId="45754839">
            <w:pPr>
              <w:pStyle w:val="167"/>
              <w:keepNext w:val="0"/>
              <w:keepLines w:val="0"/>
              <w:suppressLineNumbers w:val="0"/>
              <w:spacing w:before="0" w:beforeAutospacing="0" w:after="0" w:afterAutospacing="0"/>
              <w:ind w:right="0"/>
              <w:rPr>
                <w:rFonts w:hint="default"/>
                <w:color w:val="auto"/>
                <w:u w:val="single"/>
              </w:rPr>
            </w:pPr>
            <w:r>
              <w:rPr>
                <w:rFonts w:hint="eastAsia"/>
                <w:color w:val="auto"/>
                <w:u w:val="single"/>
              </w:rPr>
              <w:t>闪点＞150℃，不溶于水</w:t>
            </w:r>
          </w:p>
        </w:tc>
      </w:tr>
    </w:tbl>
    <w:p w14:paraId="5CABABC4">
      <w:pPr>
        <w:ind w:left="480" w:firstLine="0" w:firstLineChars="0"/>
        <w:rPr>
          <w:rFonts w:hint="eastAsia"/>
          <w:b/>
          <w:color w:val="auto"/>
          <w:u w:val="single"/>
        </w:rPr>
      </w:pPr>
      <w:r>
        <w:rPr>
          <w:rFonts w:hint="eastAsia"/>
          <w:b/>
          <w:color w:val="auto"/>
          <w:u w:val="single"/>
        </w:rPr>
        <w:t>（4）依托</w:t>
      </w:r>
      <w:r>
        <w:rPr>
          <w:b/>
          <w:color w:val="auto"/>
          <w:u w:val="single"/>
        </w:rPr>
        <w:t>现有设施装卸、储存的合理性分析</w:t>
      </w:r>
    </w:p>
    <w:p w14:paraId="04A16814">
      <w:pPr>
        <w:ind w:left="480" w:firstLine="0" w:firstLineChars="0"/>
        <w:rPr>
          <w:b/>
          <w:color w:val="auto"/>
          <w:u w:val="single"/>
        </w:rPr>
      </w:pPr>
      <w:r>
        <w:rPr>
          <w:rFonts w:hint="eastAsia"/>
          <w:b/>
          <w:color w:val="auto"/>
          <w:u w:val="single"/>
        </w:rPr>
        <w:t>①</w:t>
      </w:r>
      <w:r>
        <w:rPr>
          <w:b/>
          <w:color w:val="auto"/>
          <w:u w:val="single"/>
        </w:rPr>
        <w:t>码头吞吐能力</w:t>
      </w:r>
    </w:p>
    <w:p w14:paraId="520AAF47">
      <w:pPr>
        <w:pStyle w:val="20"/>
        <w:ind w:firstLine="480"/>
        <w:rPr>
          <w:rFonts w:hint="eastAsia"/>
          <w:color w:val="auto"/>
          <w:u w:val="single"/>
        </w:rPr>
      </w:pPr>
      <w:r>
        <w:rPr>
          <w:rFonts w:hint="eastAsia"/>
          <w:color w:val="auto"/>
          <w:u w:val="single"/>
        </w:rPr>
        <w:t>根据《北部湾港钦州港域金谷港区鹰岭作业区6#泊位增加石脑油等货物装卸作业符合性说明》，</w:t>
      </w:r>
      <w:r>
        <w:rPr>
          <w:color w:val="auto"/>
          <w:u w:val="single"/>
        </w:rPr>
        <w:t>码头的设计</w:t>
      </w:r>
      <w:r>
        <w:rPr>
          <w:rFonts w:hint="eastAsia"/>
          <w:color w:val="auto"/>
          <w:u w:val="single"/>
        </w:rPr>
        <w:t>通过</w:t>
      </w:r>
      <w:r>
        <w:rPr>
          <w:color w:val="auto"/>
          <w:u w:val="single"/>
        </w:rPr>
        <w:t>能力为</w:t>
      </w:r>
      <w:r>
        <w:rPr>
          <w:rFonts w:hint="eastAsia"/>
          <w:color w:val="auto"/>
          <w:u w:val="single"/>
        </w:rPr>
        <w:t>121万吨/年</w:t>
      </w:r>
      <w:r>
        <w:rPr>
          <w:color w:val="auto"/>
          <w:u w:val="single"/>
        </w:rPr>
        <w:t>，根据企业实际运营的码头吞吐量，</w:t>
      </w:r>
      <w:r>
        <w:rPr>
          <w:rFonts w:hint="eastAsia"/>
          <w:color w:val="auto"/>
          <w:u w:val="single"/>
        </w:rPr>
        <w:t>2025年</w:t>
      </w:r>
      <w:r>
        <w:rPr>
          <w:color w:val="auto"/>
          <w:u w:val="single"/>
        </w:rPr>
        <w:t>的吞吐量为</w:t>
      </w:r>
      <w:r>
        <w:rPr>
          <w:rFonts w:hint="eastAsia"/>
          <w:color w:val="auto"/>
          <w:u w:val="single"/>
        </w:rPr>
        <w:t>60.7万吨</w:t>
      </w:r>
      <w:r>
        <w:rPr>
          <w:color w:val="auto"/>
          <w:u w:val="single"/>
        </w:rPr>
        <w:t>，</w:t>
      </w:r>
      <w:r>
        <w:rPr>
          <w:rFonts w:hint="eastAsia"/>
          <w:color w:val="auto"/>
          <w:u w:val="single"/>
        </w:rPr>
        <w:t>码头</w:t>
      </w:r>
      <w:r>
        <w:rPr>
          <w:color w:val="auto"/>
          <w:u w:val="single"/>
        </w:rPr>
        <w:t>现有</w:t>
      </w:r>
      <w:r>
        <w:rPr>
          <w:rFonts w:hint="eastAsia"/>
          <w:color w:val="auto"/>
          <w:u w:val="single"/>
        </w:rPr>
        <w:t>装卸</w:t>
      </w:r>
      <w:r>
        <w:rPr>
          <w:color w:val="auto"/>
          <w:u w:val="single"/>
        </w:rPr>
        <w:t>货种</w:t>
      </w:r>
      <w:r>
        <w:rPr>
          <w:rFonts w:hint="eastAsia"/>
          <w:color w:val="auto"/>
          <w:u w:val="single"/>
        </w:rPr>
        <w:t>吞吐量</w:t>
      </w:r>
      <w:r>
        <w:rPr>
          <w:color w:val="auto"/>
          <w:u w:val="single"/>
        </w:rPr>
        <w:t>未达到设计通过能力</w:t>
      </w:r>
      <w:r>
        <w:rPr>
          <w:rFonts w:hint="eastAsia"/>
          <w:color w:val="auto"/>
          <w:u w:val="single"/>
        </w:rPr>
        <w:t>，由于</w:t>
      </w:r>
      <w:r>
        <w:rPr>
          <w:color w:val="auto"/>
          <w:u w:val="single"/>
        </w:rPr>
        <w:t>市场变化，</w:t>
      </w:r>
      <w:r>
        <w:rPr>
          <w:rFonts w:hint="eastAsia"/>
          <w:color w:val="auto"/>
          <w:u w:val="single"/>
        </w:rPr>
        <w:t>现有</w:t>
      </w:r>
      <w:r>
        <w:rPr>
          <w:color w:val="auto"/>
          <w:u w:val="single"/>
        </w:rPr>
        <w:t>的货种吞吐量减少</w:t>
      </w:r>
      <w:r>
        <w:rPr>
          <w:rFonts w:hint="eastAsia"/>
          <w:color w:val="auto"/>
          <w:u w:val="single"/>
          <w:lang w:val="en-US" w:eastAsia="zh-CN"/>
        </w:rPr>
        <w:t>50万吨/年</w:t>
      </w:r>
      <w:r>
        <w:rPr>
          <w:color w:val="auto"/>
          <w:u w:val="single"/>
        </w:rPr>
        <w:t>。本次扩建</w:t>
      </w:r>
      <w:r>
        <w:rPr>
          <w:rFonts w:hint="eastAsia"/>
          <w:color w:val="auto"/>
          <w:u w:val="single"/>
        </w:rPr>
        <w:t>项目码头</w:t>
      </w:r>
      <w:r>
        <w:rPr>
          <w:color w:val="auto"/>
          <w:u w:val="single"/>
        </w:rPr>
        <w:t>新增</w:t>
      </w:r>
      <w:r>
        <w:rPr>
          <w:rFonts w:hint="eastAsia"/>
          <w:color w:val="auto"/>
          <w:u w:val="single"/>
        </w:rPr>
        <w:t>基叔丁基醚（MTBE）、石脑油、蜡油、渣油、异辛烷（烷基化油）5个货种的装卸</w:t>
      </w:r>
      <w:r>
        <w:rPr>
          <w:color w:val="auto"/>
          <w:u w:val="single"/>
        </w:rPr>
        <w:t>，总增加吞吐量为</w:t>
      </w:r>
      <w:r>
        <w:rPr>
          <w:rFonts w:hint="eastAsia"/>
          <w:color w:val="auto"/>
          <w:u w:val="single"/>
        </w:rPr>
        <w:t>50万吨。</w:t>
      </w:r>
      <w:r>
        <w:rPr>
          <w:color w:val="auto"/>
          <w:u w:val="single"/>
        </w:rPr>
        <w:t>扩建</w:t>
      </w:r>
      <w:r>
        <w:rPr>
          <w:rFonts w:hint="eastAsia"/>
          <w:color w:val="auto"/>
          <w:u w:val="single"/>
        </w:rPr>
        <w:t>后</w:t>
      </w:r>
      <w:r>
        <w:rPr>
          <w:color w:val="auto"/>
          <w:u w:val="single"/>
        </w:rPr>
        <w:t>，现有工程货种</w:t>
      </w:r>
      <w:r>
        <w:rPr>
          <w:rFonts w:hint="eastAsia"/>
          <w:color w:val="auto"/>
          <w:u w:val="single"/>
        </w:rPr>
        <w:t>与</w:t>
      </w:r>
      <w:r>
        <w:rPr>
          <w:color w:val="auto"/>
          <w:u w:val="single"/>
        </w:rPr>
        <w:t>扩建项目新增货种的吞吐量</w:t>
      </w:r>
      <w:r>
        <w:rPr>
          <w:rFonts w:hint="eastAsia"/>
          <w:color w:val="auto"/>
          <w:u w:val="single"/>
        </w:rPr>
        <w:t>为120万吨</w:t>
      </w:r>
      <w:r>
        <w:rPr>
          <w:color w:val="auto"/>
          <w:u w:val="single"/>
        </w:rPr>
        <w:t>，未超过码头的设计</w:t>
      </w:r>
      <w:r>
        <w:rPr>
          <w:rFonts w:hint="eastAsia"/>
          <w:color w:val="auto"/>
          <w:u w:val="single"/>
        </w:rPr>
        <w:t>通过</w:t>
      </w:r>
      <w:r>
        <w:rPr>
          <w:color w:val="auto"/>
          <w:u w:val="single"/>
        </w:rPr>
        <w:t>能力为</w:t>
      </w:r>
      <w:r>
        <w:rPr>
          <w:rFonts w:hint="eastAsia"/>
          <w:color w:val="auto"/>
          <w:u w:val="single"/>
        </w:rPr>
        <w:t>121万吨/年，</w:t>
      </w:r>
      <w:r>
        <w:rPr>
          <w:color w:val="auto"/>
          <w:u w:val="single"/>
        </w:rPr>
        <w:t>因此，新增货种依托现有码头进行装卸</w:t>
      </w:r>
      <w:r>
        <w:rPr>
          <w:rFonts w:hint="eastAsia"/>
          <w:color w:val="auto"/>
          <w:u w:val="single"/>
        </w:rPr>
        <w:t>是</w:t>
      </w:r>
      <w:r>
        <w:rPr>
          <w:color w:val="auto"/>
          <w:u w:val="single"/>
        </w:rPr>
        <w:t>可行的。</w:t>
      </w:r>
    </w:p>
    <w:p w14:paraId="2249D5A8">
      <w:pPr>
        <w:ind w:left="480" w:firstLine="0" w:firstLineChars="0"/>
        <w:rPr>
          <w:b/>
          <w:color w:val="auto"/>
          <w:u w:val="single"/>
        </w:rPr>
      </w:pPr>
      <w:r>
        <w:rPr>
          <w:rFonts w:hint="eastAsia"/>
          <w:b/>
          <w:color w:val="auto"/>
          <w:u w:val="single"/>
        </w:rPr>
        <w:t>②</w:t>
      </w:r>
      <w:r>
        <w:rPr>
          <w:b/>
          <w:color w:val="auto"/>
          <w:u w:val="single"/>
        </w:rPr>
        <w:t>库区储罐储存能力</w:t>
      </w:r>
    </w:p>
    <w:p w14:paraId="28BA3EE4">
      <w:pPr>
        <w:ind w:firstLine="480"/>
        <w:rPr>
          <w:rFonts w:hint="eastAsia"/>
          <w:color w:val="auto"/>
          <w:u w:val="single"/>
          <w:lang w:val="en-US" w:eastAsia="zh-CN"/>
        </w:rPr>
      </w:pPr>
      <w:r>
        <w:rPr>
          <w:rFonts w:hint="eastAsia"/>
          <w:color w:val="auto"/>
          <w:u w:val="single"/>
        </w:rPr>
        <w:t>扩建新增基叔丁基醚（MTBE）、石脑油、异辛烷（烷基化油）储存</w:t>
      </w:r>
      <w:r>
        <w:rPr>
          <w:color w:val="auto"/>
          <w:u w:val="single"/>
        </w:rPr>
        <w:t>在</w:t>
      </w:r>
      <w:r>
        <w:rPr>
          <w:rFonts w:hint="eastAsia"/>
          <w:color w:val="auto"/>
          <w:u w:val="single"/>
        </w:rPr>
        <w:t>3#汽油</w:t>
      </w:r>
      <w:r>
        <w:rPr>
          <w:color w:val="auto"/>
          <w:u w:val="single"/>
        </w:rPr>
        <w:t>罐组现有的内浮顶罐中</w:t>
      </w:r>
      <w:r>
        <w:rPr>
          <w:rFonts w:hint="eastAsia"/>
          <w:color w:val="auto"/>
          <w:u w:val="single"/>
        </w:rPr>
        <w:t>，蜡油、渣油主要</w:t>
      </w:r>
      <w:r>
        <w:rPr>
          <w:color w:val="auto"/>
          <w:u w:val="single"/>
        </w:rPr>
        <w:t>储存在现有的</w:t>
      </w:r>
      <w:r>
        <w:rPr>
          <w:rFonts w:hint="eastAsia"/>
          <w:color w:val="auto"/>
          <w:u w:val="single"/>
        </w:rPr>
        <w:t>1#原油</w:t>
      </w:r>
      <w:r>
        <w:rPr>
          <w:color w:val="auto"/>
          <w:u w:val="single"/>
        </w:rPr>
        <w:t>罐组的外浮顶罐中。</w:t>
      </w:r>
      <w:r>
        <w:rPr>
          <w:rFonts w:hint="eastAsia"/>
          <w:color w:val="auto"/>
          <w:u w:val="single"/>
          <w:lang w:val="en-US" w:eastAsia="zh-CN"/>
        </w:rPr>
        <w:t>罐组储存货种扩建情况见下表。</w:t>
      </w:r>
    </w:p>
    <w:p w14:paraId="21624B1C">
      <w:pPr>
        <w:pStyle w:val="220"/>
        <w:bidi w:val="0"/>
        <w:rPr>
          <w:rFonts w:hint="default"/>
          <w:color w:val="auto"/>
          <w:u w:val="single"/>
          <w:lang w:val="en-US" w:eastAsia="zh-CN"/>
        </w:rPr>
      </w:pPr>
      <w:r>
        <w:rPr>
          <w:rFonts w:hint="eastAsia"/>
          <w:color w:val="auto"/>
          <w:u w:val="single"/>
          <w:lang w:val="en-US" w:eastAsia="zh-CN"/>
        </w:rPr>
        <w:t>表2.2-2扩建项目储罐周转能力一览表</w:t>
      </w:r>
    </w:p>
    <w:tbl>
      <w:tblPr>
        <w:tblStyle w:val="44"/>
        <w:tblW w:w="91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992"/>
        <w:gridCol w:w="596"/>
        <w:gridCol w:w="634"/>
        <w:gridCol w:w="752"/>
        <w:gridCol w:w="846"/>
        <w:gridCol w:w="596"/>
        <w:gridCol w:w="596"/>
        <w:gridCol w:w="872"/>
        <w:gridCol w:w="853"/>
        <w:gridCol w:w="643"/>
        <w:gridCol w:w="596"/>
        <w:gridCol w:w="666"/>
        <w:gridCol w:w="537"/>
      </w:tblGrid>
      <w:tr w14:paraId="25B29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2" w:hRule="atLeast"/>
        </w:trPr>
        <w:tc>
          <w:tcPr>
            <w:tcW w:w="992" w:type="dxa"/>
            <w:vMerge w:val="restart"/>
            <w:vAlign w:val="center"/>
          </w:tcPr>
          <w:p w14:paraId="433017A2">
            <w:pPr>
              <w:pStyle w:val="91"/>
              <w:keepNext w:val="0"/>
              <w:keepLines w:val="0"/>
              <w:suppressLineNumbers w:val="0"/>
              <w:bidi w:val="0"/>
              <w:spacing w:before="0" w:beforeAutospacing="0" w:after="0" w:afterAutospacing="0"/>
              <w:ind w:left="0" w:right="0"/>
              <w:jc w:val="center"/>
              <w:rPr>
                <w:rFonts w:hint="eastAsia"/>
                <w:color w:val="auto"/>
                <w:u w:val="single"/>
                <w:lang w:val="en-US" w:eastAsia="zh-CN"/>
              </w:rPr>
            </w:pPr>
            <w:r>
              <w:rPr>
                <w:rFonts w:hint="eastAsia"/>
                <w:color w:val="auto"/>
                <w:u w:val="single"/>
                <w:lang w:val="en-US" w:eastAsia="zh-CN"/>
              </w:rPr>
              <w:t>罐组</w:t>
            </w:r>
          </w:p>
        </w:tc>
        <w:tc>
          <w:tcPr>
            <w:tcW w:w="596" w:type="dxa"/>
            <w:vMerge w:val="restart"/>
            <w:vAlign w:val="center"/>
          </w:tcPr>
          <w:p w14:paraId="47968A90">
            <w:pPr>
              <w:pStyle w:val="91"/>
              <w:keepNext w:val="0"/>
              <w:keepLines w:val="0"/>
              <w:suppressLineNumbers w:val="0"/>
              <w:bidi w:val="0"/>
              <w:spacing w:before="0" w:beforeAutospacing="0" w:after="0" w:afterAutospacing="0"/>
              <w:ind w:left="0" w:right="0"/>
              <w:jc w:val="center"/>
              <w:rPr>
                <w:rFonts w:hint="eastAsia" w:eastAsia="宋体"/>
                <w:color w:val="auto"/>
                <w:u w:val="single"/>
                <w:lang w:val="en-US" w:eastAsia="zh-CN"/>
              </w:rPr>
            </w:pPr>
            <w:r>
              <w:rPr>
                <w:rFonts w:hint="eastAsia"/>
                <w:color w:val="auto"/>
                <w:u w:val="single"/>
                <w:lang w:val="en-US" w:eastAsia="zh-CN"/>
              </w:rPr>
              <w:t>储罐</w:t>
            </w:r>
          </w:p>
        </w:tc>
        <w:tc>
          <w:tcPr>
            <w:tcW w:w="634" w:type="dxa"/>
            <w:vMerge w:val="restart"/>
            <w:vAlign w:val="center"/>
          </w:tcPr>
          <w:p w14:paraId="33AFD90F">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容积</w:t>
            </w:r>
            <w:r>
              <w:rPr>
                <w:rFonts w:hint="eastAsia"/>
                <w:b/>
                <w:color w:val="auto"/>
                <w:u w:val="single"/>
              </w:rPr>
              <w:t>（m</w:t>
            </w:r>
            <w:r>
              <w:rPr>
                <w:rFonts w:hint="default"/>
                <w:b/>
                <w:color w:val="auto"/>
                <w:u w:val="single"/>
                <w:vertAlign w:val="superscript"/>
              </w:rPr>
              <w:t>3</w:t>
            </w:r>
            <w:r>
              <w:rPr>
                <w:rFonts w:hint="eastAsia"/>
                <w:b/>
                <w:color w:val="auto"/>
                <w:u w:val="single"/>
              </w:rPr>
              <w:t>）</w:t>
            </w:r>
          </w:p>
        </w:tc>
        <w:tc>
          <w:tcPr>
            <w:tcW w:w="3662" w:type="dxa"/>
            <w:gridSpan w:val="5"/>
            <w:vAlign w:val="center"/>
          </w:tcPr>
          <w:p w14:paraId="0FFC20F5">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现有工程</w:t>
            </w:r>
          </w:p>
        </w:tc>
        <w:tc>
          <w:tcPr>
            <w:tcW w:w="3295" w:type="dxa"/>
            <w:gridSpan w:val="5"/>
            <w:vAlign w:val="center"/>
          </w:tcPr>
          <w:p w14:paraId="68EC4C50">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扩建后</w:t>
            </w:r>
          </w:p>
        </w:tc>
      </w:tr>
      <w:tr w14:paraId="73130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992" w:type="dxa"/>
            <w:vMerge w:val="continue"/>
            <w:vAlign w:val="center"/>
          </w:tcPr>
          <w:p w14:paraId="4B321507">
            <w:pPr>
              <w:pStyle w:val="91"/>
              <w:keepNext w:val="0"/>
              <w:keepLines w:val="0"/>
              <w:suppressLineNumbers w:val="0"/>
              <w:bidi w:val="0"/>
              <w:spacing w:before="0" w:beforeAutospacing="0" w:after="0" w:afterAutospacing="0"/>
              <w:ind w:left="0" w:right="0"/>
              <w:jc w:val="center"/>
              <w:rPr>
                <w:rFonts w:hint="default"/>
                <w:color w:val="auto"/>
                <w:u w:val="single"/>
              </w:rPr>
            </w:pPr>
          </w:p>
        </w:tc>
        <w:tc>
          <w:tcPr>
            <w:tcW w:w="596" w:type="dxa"/>
            <w:vMerge w:val="continue"/>
            <w:vAlign w:val="center"/>
          </w:tcPr>
          <w:p w14:paraId="18F6E9CC">
            <w:pPr>
              <w:pStyle w:val="91"/>
              <w:keepNext w:val="0"/>
              <w:keepLines w:val="0"/>
              <w:suppressLineNumbers w:val="0"/>
              <w:bidi w:val="0"/>
              <w:spacing w:before="0" w:beforeAutospacing="0" w:after="0" w:afterAutospacing="0"/>
              <w:ind w:left="0" w:right="0"/>
              <w:jc w:val="center"/>
              <w:rPr>
                <w:rFonts w:hint="default"/>
                <w:color w:val="auto"/>
                <w:u w:val="single"/>
              </w:rPr>
            </w:pPr>
          </w:p>
        </w:tc>
        <w:tc>
          <w:tcPr>
            <w:tcW w:w="634" w:type="dxa"/>
            <w:vMerge w:val="continue"/>
            <w:vAlign w:val="center"/>
          </w:tcPr>
          <w:p w14:paraId="6CE25084">
            <w:pPr>
              <w:pStyle w:val="91"/>
              <w:keepNext w:val="0"/>
              <w:keepLines w:val="0"/>
              <w:suppressLineNumbers w:val="0"/>
              <w:bidi w:val="0"/>
              <w:spacing w:before="0" w:beforeAutospacing="0" w:after="0" w:afterAutospacing="0"/>
              <w:ind w:left="0" w:right="0"/>
              <w:jc w:val="center"/>
              <w:rPr>
                <w:rFonts w:hint="default"/>
                <w:color w:val="auto"/>
                <w:u w:val="single"/>
              </w:rPr>
            </w:pPr>
          </w:p>
        </w:tc>
        <w:tc>
          <w:tcPr>
            <w:tcW w:w="752" w:type="dxa"/>
            <w:vAlign w:val="center"/>
          </w:tcPr>
          <w:p w14:paraId="794D3E7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储存货种</w:t>
            </w:r>
          </w:p>
        </w:tc>
        <w:tc>
          <w:tcPr>
            <w:tcW w:w="846" w:type="dxa"/>
            <w:vAlign w:val="center"/>
          </w:tcPr>
          <w:p w14:paraId="53F5E367">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储存时间（天）</w:t>
            </w:r>
          </w:p>
        </w:tc>
        <w:tc>
          <w:tcPr>
            <w:tcW w:w="596" w:type="dxa"/>
            <w:vAlign w:val="center"/>
          </w:tcPr>
          <w:p w14:paraId="0E7162E3">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周转量（万吨）</w:t>
            </w:r>
          </w:p>
        </w:tc>
        <w:tc>
          <w:tcPr>
            <w:tcW w:w="596" w:type="dxa"/>
            <w:vAlign w:val="center"/>
          </w:tcPr>
          <w:p w14:paraId="27FA1BB7">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需周转次数</w:t>
            </w:r>
          </w:p>
        </w:tc>
        <w:tc>
          <w:tcPr>
            <w:tcW w:w="872" w:type="dxa"/>
            <w:vAlign w:val="center"/>
          </w:tcPr>
          <w:p w14:paraId="36CD9098">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周转能力（万吨）</w:t>
            </w:r>
          </w:p>
        </w:tc>
        <w:tc>
          <w:tcPr>
            <w:tcW w:w="853" w:type="dxa"/>
            <w:vAlign w:val="center"/>
          </w:tcPr>
          <w:p w14:paraId="7F4B17F1">
            <w:pPr>
              <w:pStyle w:val="91"/>
              <w:keepNext w:val="0"/>
              <w:keepLines w:val="0"/>
              <w:suppressLineNumbers w:val="0"/>
              <w:bidi w:val="0"/>
              <w:spacing w:before="0" w:beforeAutospacing="0" w:after="0" w:afterAutospacing="0"/>
              <w:ind w:left="0" w:right="0" w:firstLine="0" w:firstLineChars="0"/>
              <w:jc w:val="center"/>
              <w:rPr>
                <w:rFonts w:hint="eastAsia"/>
                <w:color w:val="auto"/>
                <w:u w:val="single"/>
                <w:lang w:val="en-US" w:eastAsia="zh-CN"/>
              </w:rPr>
            </w:pPr>
            <w:r>
              <w:rPr>
                <w:rFonts w:hint="eastAsia"/>
                <w:color w:val="auto"/>
                <w:u w:val="single"/>
                <w:lang w:val="en-US" w:eastAsia="zh-CN"/>
              </w:rPr>
              <w:t>储存货种</w:t>
            </w:r>
          </w:p>
        </w:tc>
        <w:tc>
          <w:tcPr>
            <w:tcW w:w="643" w:type="dxa"/>
            <w:vAlign w:val="center"/>
          </w:tcPr>
          <w:p w14:paraId="2820D360">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储存时间（天）</w:t>
            </w:r>
          </w:p>
        </w:tc>
        <w:tc>
          <w:tcPr>
            <w:tcW w:w="596" w:type="dxa"/>
            <w:vAlign w:val="center"/>
          </w:tcPr>
          <w:p w14:paraId="46EC2819">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周转量（万吨）</w:t>
            </w:r>
          </w:p>
        </w:tc>
        <w:tc>
          <w:tcPr>
            <w:tcW w:w="666" w:type="dxa"/>
            <w:vAlign w:val="center"/>
          </w:tcPr>
          <w:p w14:paraId="497DB1BF">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需周转次数</w:t>
            </w:r>
          </w:p>
        </w:tc>
        <w:tc>
          <w:tcPr>
            <w:tcW w:w="537" w:type="dxa"/>
            <w:vAlign w:val="center"/>
          </w:tcPr>
          <w:p w14:paraId="6CAE6E59">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周转能力（万吨）</w:t>
            </w:r>
          </w:p>
        </w:tc>
      </w:tr>
      <w:tr w14:paraId="0B6A1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992" w:type="dxa"/>
            <w:vMerge w:val="restart"/>
            <w:vAlign w:val="center"/>
          </w:tcPr>
          <w:p w14:paraId="7639CB53">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1#原油罐组（外浮顶罐）</w:t>
            </w:r>
          </w:p>
        </w:tc>
        <w:tc>
          <w:tcPr>
            <w:tcW w:w="596" w:type="dxa"/>
            <w:vAlign w:val="center"/>
          </w:tcPr>
          <w:p w14:paraId="2ECE6D19">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V101</w:t>
            </w:r>
          </w:p>
        </w:tc>
        <w:tc>
          <w:tcPr>
            <w:tcW w:w="634" w:type="dxa"/>
            <w:vAlign w:val="center"/>
          </w:tcPr>
          <w:p w14:paraId="7DA002FF">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40000</w:t>
            </w:r>
          </w:p>
        </w:tc>
        <w:tc>
          <w:tcPr>
            <w:tcW w:w="752" w:type="dxa"/>
            <w:vAlign w:val="center"/>
          </w:tcPr>
          <w:p w14:paraId="05D85577">
            <w:pPr>
              <w:pStyle w:val="91"/>
              <w:keepNext w:val="0"/>
              <w:keepLines w:val="0"/>
              <w:suppressLineNumbers w:val="0"/>
              <w:bidi w:val="0"/>
              <w:spacing w:before="0" w:beforeAutospacing="0" w:after="0" w:afterAutospacing="0"/>
              <w:ind w:left="0" w:right="0"/>
              <w:jc w:val="center"/>
              <w:rPr>
                <w:rFonts w:hint="eastAsia" w:eastAsia="宋体"/>
                <w:color w:val="auto"/>
                <w:u w:val="single"/>
                <w:lang w:val="en-US" w:eastAsia="zh-CN"/>
              </w:rPr>
            </w:pPr>
            <w:r>
              <w:rPr>
                <w:rFonts w:hint="eastAsia"/>
                <w:color w:val="auto"/>
                <w:u w:val="single"/>
                <w:lang w:val="en-US" w:eastAsia="zh-CN"/>
              </w:rPr>
              <w:t>原油</w:t>
            </w:r>
          </w:p>
        </w:tc>
        <w:tc>
          <w:tcPr>
            <w:tcW w:w="846" w:type="dxa"/>
            <w:vAlign w:val="center"/>
          </w:tcPr>
          <w:p w14:paraId="7EB08195">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20</w:t>
            </w:r>
          </w:p>
        </w:tc>
        <w:tc>
          <w:tcPr>
            <w:tcW w:w="596" w:type="dxa"/>
            <w:vAlign w:val="center"/>
          </w:tcPr>
          <w:p w14:paraId="5FE18D67">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50</w:t>
            </w:r>
          </w:p>
        </w:tc>
        <w:tc>
          <w:tcPr>
            <w:tcW w:w="596" w:type="dxa"/>
            <w:vAlign w:val="center"/>
          </w:tcPr>
          <w:p w14:paraId="5D50EB60">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13</w:t>
            </w:r>
          </w:p>
        </w:tc>
        <w:tc>
          <w:tcPr>
            <w:tcW w:w="872" w:type="dxa"/>
            <w:vAlign w:val="center"/>
          </w:tcPr>
          <w:p w14:paraId="239EDD08">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68</w:t>
            </w:r>
          </w:p>
        </w:tc>
        <w:tc>
          <w:tcPr>
            <w:tcW w:w="853" w:type="dxa"/>
            <w:vAlign w:val="center"/>
          </w:tcPr>
          <w:p w14:paraId="656A837A">
            <w:pPr>
              <w:pStyle w:val="91"/>
              <w:keepNext w:val="0"/>
              <w:keepLines w:val="0"/>
              <w:suppressLineNumbers w:val="0"/>
              <w:bidi w:val="0"/>
              <w:spacing w:before="0" w:beforeAutospacing="0" w:after="0" w:afterAutospacing="0"/>
              <w:ind w:left="0" w:right="0"/>
              <w:jc w:val="center"/>
              <w:rPr>
                <w:rFonts w:hint="eastAsia" w:eastAsia="宋体"/>
                <w:color w:val="auto"/>
                <w:u w:val="single"/>
                <w:lang w:val="en-US" w:eastAsia="zh-CN"/>
              </w:rPr>
            </w:pPr>
            <w:r>
              <w:rPr>
                <w:rFonts w:hint="eastAsia"/>
                <w:color w:val="auto"/>
                <w:u w:val="single"/>
                <w:lang w:val="en-US" w:eastAsia="zh-CN"/>
              </w:rPr>
              <w:t>原油</w:t>
            </w:r>
          </w:p>
        </w:tc>
        <w:tc>
          <w:tcPr>
            <w:tcW w:w="643" w:type="dxa"/>
            <w:vAlign w:val="center"/>
          </w:tcPr>
          <w:p w14:paraId="14EE6162">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lang w:val="en-US" w:eastAsia="zh-CN"/>
              </w:rPr>
              <w:t>20</w:t>
            </w:r>
          </w:p>
        </w:tc>
        <w:tc>
          <w:tcPr>
            <w:tcW w:w="596" w:type="dxa"/>
            <w:vAlign w:val="center"/>
          </w:tcPr>
          <w:p w14:paraId="0C3AF601">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50</w:t>
            </w:r>
          </w:p>
        </w:tc>
        <w:tc>
          <w:tcPr>
            <w:tcW w:w="666" w:type="dxa"/>
            <w:vAlign w:val="center"/>
          </w:tcPr>
          <w:p w14:paraId="17B03483">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13</w:t>
            </w:r>
          </w:p>
        </w:tc>
        <w:tc>
          <w:tcPr>
            <w:tcW w:w="537" w:type="dxa"/>
            <w:vAlign w:val="center"/>
          </w:tcPr>
          <w:p w14:paraId="76C61ADD">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68</w:t>
            </w:r>
          </w:p>
        </w:tc>
      </w:tr>
      <w:tr w14:paraId="0E8A9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992" w:type="dxa"/>
            <w:vMerge w:val="continue"/>
            <w:vAlign w:val="center"/>
          </w:tcPr>
          <w:p w14:paraId="4D31F469">
            <w:pPr>
              <w:pStyle w:val="91"/>
              <w:keepNext w:val="0"/>
              <w:keepLines w:val="0"/>
              <w:suppressLineNumbers w:val="0"/>
              <w:bidi w:val="0"/>
              <w:spacing w:before="0" w:beforeAutospacing="0" w:after="0" w:afterAutospacing="0"/>
              <w:ind w:left="0" w:right="0"/>
              <w:jc w:val="center"/>
              <w:rPr>
                <w:rFonts w:hint="default"/>
                <w:color w:val="auto"/>
                <w:u w:val="single"/>
              </w:rPr>
            </w:pPr>
          </w:p>
        </w:tc>
        <w:tc>
          <w:tcPr>
            <w:tcW w:w="596" w:type="dxa"/>
            <w:vAlign w:val="center"/>
          </w:tcPr>
          <w:p w14:paraId="5AB756CD">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V102</w:t>
            </w:r>
          </w:p>
        </w:tc>
        <w:tc>
          <w:tcPr>
            <w:tcW w:w="634" w:type="dxa"/>
            <w:vAlign w:val="center"/>
          </w:tcPr>
          <w:p w14:paraId="2F6DC54F">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40000</w:t>
            </w:r>
          </w:p>
        </w:tc>
        <w:tc>
          <w:tcPr>
            <w:tcW w:w="752" w:type="dxa"/>
            <w:vAlign w:val="center"/>
          </w:tcPr>
          <w:p w14:paraId="420B3702">
            <w:pPr>
              <w:pStyle w:val="91"/>
              <w:keepNext w:val="0"/>
              <w:keepLines w:val="0"/>
              <w:suppressLineNumbers w:val="0"/>
              <w:bidi w:val="0"/>
              <w:spacing w:before="0" w:beforeAutospacing="0" w:after="0" w:afterAutospacing="0"/>
              <w:ind w:left="0" w:right="0"/>
              <w:jc w:val="center"/>
              <w:rPr>
                <w:rFonts w:hint="eastAsia" w:eastAsia="宋体"/>
                <w:color w:val="auto"/>
                <w:u w:val="single"/>
                <w:lang w:val="en-US" w:eastAsia="zh-CN"/>
              </w:rPr>
            </w:pPr>
            <w:r>
              <w:rPr>
                <w:rFonts w:hint="eastAsia"/>
                <w:color w:val="auto"/>
                <w:u w:val="single"/>
                <w:lang w:val="en-US" w:eastAsia="zh-CN"/>
              </w:rPr>
              <w:t>原油</w:t>
            </w:r>
          </w:p>
        </w:tc>
        <w:tc>
          <w:tcPr>
            <w:tcW w:w="846" w:type="dxa"/>
            <w:vAlign w:val="center"/>
          </w:tcPr>
          <w:p w14:paraId="398F1F8E">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20</w:t>
            </w:r>
          </w:p>
        </w:tc>
        <w:tc>
          <w:tcPr>
            <w:tcW w:w="596" w:type="dxa"/>
            <w:vAlign w:val="center"/>
          </w:tcPr>
          <w:p w14:paraId="24141212">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50</w:t>
            </w:r>
          </w:p>
        </w:tc>
        <w:tc>
          <w:tcPr>
            <w:tcW w:w="596" w:type="dxa"/>
            <w:vAlign w:val="center"/>
          </w:tcPr>
          <w:p w14:paraId="55B4F442">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13</w:t>
            </w:r>
          </w:p>
        </w:tc>
        <w:tc>
          <w:tcPr>
            <w:tcW w:w="872" w:type="dxa"/>
            <w:vAlign w:val="center"/>
          </w:tcPr>
          <w:p w14:paraId="4FAC81D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68</w:t>
            </w:r>
          </w:p>
        </w:tc>
        <w:tc>
          <w:tcPr>
            <w:tcW w:w="853" w:type="dxa"/>
            <w:vAlign w:val="center"/>
          </w:tcPr>
          <w:p w14:paraId="04D94313">
            <w:pPr>
              <w:pStyle w:val="91"/>
              <w:keepNext w:val="0"/>
              <w:keepLines w:val="0"/>
              <w:suppressLineNumbers w:val="0"/>
              <w:spacing w:before="0" w:beforeAutospacing="0" w:after="0" w:afterAutospacing="0"/>
              <w:ind w:left="0" w:right="0" w:firstLine="0" w:firstLineChars="0"/>
              <w:jc w:val="center"/>
              <w:rPr>
                <w:rFonts w:hint="default" w:eastAsia="宋体"/>
                <w:color w:val="auto"/>
                <w:u w:val="single"/>
                <w:lang w:val="en-US" w:eastAsia="zh-CN"/>
              </w:rPr>
            </w:pPr>
            <w:r>
              <w:rPr>
                <w:rFonts w:hint="eastAsia"/>
                <w:color w:val="auto"/>
                <w:u w:val="single"/>
              </w:rPr>
              <w:t>原油、</w:t>
            </w:r>
            <w:r>
              <w:rPr>
                <w:rFonts w:hint="default"/>
                <w:color w:val="auto"/>
                <w:u w:val="single"/>
              </w:rPr>
              <w:t>蜡油</w:t>
            </w:r>
          </w:p>
        </w:tc>
        <w:tc>
          <w:tcPr>
            <w:tcW w:w="643" w:type="dxa"/>
            <w:vAlign w:val="center"/>
          </w:tcPr>
          <w:p w14:paraId="1BC2693D">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lang w:val="en-US" w:eastAsia="zh-CN"/>
              </w:rPr>
              <w:t>20</w:t>
            </w:r>
          </w:p>
        </w:tc>
        <w:tc>
          <w:tcPr>
            <w:tcW w:w="596" w:type="dxa"/>
            <w:vAlign w:val="center"/>
          </w:tcPr>
          <w:p w14:paraId="08573F51">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50</w:t>
            </w:r>
          </w:p>
        </w:tc>
        <w:tc>
          <w:tcPr>
            <w:tcW w:w="666" w:type="dxa"/>
            <w:vAlign w:val="center"/>
          </w:tcPr>
          <w:p w14:paraId="7F120992">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13</w:t>
            </w:r>
          </w:p>
        </w:tc>
        <w:tc>
          <w:tcPr>
            <w:tcW w:w="537" w:type="dxa"/>
            <w:vAlign w:val="center"/>
          </w:tcPr>
          <w:p w14:paraId="7A53FB11">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68</w:t>
            </w:r>
          </w:p>
        </w:tc>
      </w:tr>
      <w:tr w14:paraId="60A30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992" w:type="dxa"/>
            <w:vMerge w:val="continue"/>
            <w:vAlign w:val="center"/>
          </w:tcPr>
          <w:p w14:paraId="17555EFC">
            <w:pPr>
              <w:pStyle w:val="91"/>
              <w:keepNext w:val="0"/>
              <w:keepLines w:val="0"/>
              <w:suppressLineNumbers w:val="0"/>
              <w:bidi w:val="0"/>
              <w:spacing w:before="0" w:beforeAutospacing="0" w:after="0" w:afterAutospacing="0"/>
              <w:ind w:left="0" w:right="0"/>
              <w:jc w:val="center"/>
              <w:rPr>
                <w:rFonts w:hint="default"/>
                <w:color w:val="auto"/>
                <w:u w:val="single"/>
              </w:rPr>
            </w:pPr>
          </w:p>
        </w:tc>
        <w:tc>
          <w:tcPr>
            <w:tcW w:w="596" w:type="dxa"/>
            <w:vAlign w:val="center"/>
          </w:tcPr>
          <w:p w14:paraId="3DA62997">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V103</w:t>
            </w:r>
          </w:p>
        </w:tc>
        <w:tc>
          <w:tcPr>
            <w:tcW w:w="634" w:type="dxa"/>
            <w:vAlign w:val="center"/>
          </w:tcPr>
          <w:p w14:paraId="4AE30F6B">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40000</w:t>
            </w:r>
          </w:p>
        </w:tc>
        <w:tc>
          <w:tcPr>
            <w:tcW w:w="752" w:type="dxa"/>
            <w:vAlign w:val="center"/>
          </w:tcPr>
          <w:p w14:paraId="34384DC9">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原油</w:t>
            </w:r>
          </w:p>
        </w:tc>
        <w:tc>
          <w:tcPr>
            <w:tcW w:w="846" w:type="dxa"/>
            <w:vAlign w:val="center"/>
          </w:tcPr>
          <w:p w14:paraId="77EDCC3F">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20</w:t>
            </w:r>
          </w:p>
        </w:tc>
        <w:tc>
          <w:tcPr>
            <w:tcW w:w="596" w:type="dxa"/>
            <w:vAlign w:val="center"/>
          </w:tcPr>
          <w:p w14:paraId="026EEB02">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40</w:t>
            </w:r>
          </w:p>
        </w:tc>
        <w:tc>
          <w:tcPr>
            <w:tcW w:w="596" w:type="dxa"/>
            <w:vAlign w:val="center"/>
          </w:tcPr>
          <w:p w14:paraId="167FDB78">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10</w:t>
            </w:r>
          </w:p>
        </w:tc>
        <w:tc>
          <w:tcPr>
            <w:tcW w:w="872" w:type="dxa"/>
            <w:vAlign w:val="center"/>
          </w:tcPr>
          <w:p w14:paraId="50301718">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68</w:t>
            </w:r>
          </w:p>
        </w:tc>
        <w:tc>
          <w:tcPr>
            <w:tcW w:w="853" w:type="dxa"/>
            <w:vAlign w:val="center"/>
          </w:tcPr>
          <w:p w14:paraId="0A5A1F7C">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原油、</w:t>
            </w:r>
            <w:r>
              <w:rPr>
                <w:rFonts w:hint="default"/>
                <w:color w:val="auto"/>
                <w:u w:val="single"/>
              </w:rPr>
              <w:t>渣油</w:t>
            </w:r>
          </w:p>
        </w:tc>
        <w:tc>
          <w:tcPr>
            <w:tcW w:w="643" w:type="dxa"/>
            <w:vAlign w:val="center"/>
          </w:tcPr>
          <w:p w14:paraId="0567DB5C">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lang w:val="en-US" w:eastAsia="zh-CN"/>
              </w:rPr>
              <w:t>20</w:t>
            </w:r>
          </w:p>
        </w:tc>
        <w:tc>
          <w:tcPr>
            <w:tcW w:w="596" w:type="dxa"/>
            <w:vAlign w:val="center"/>
          </w:tcPr>
          <w:p w14:paraId="1AF188BC">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40</w:t>
            </w:r>
          </w:p>
        </w:tc>
        <w:tc>
          <w:tcPr>
            <w:tcW w:w="666" w:type="dxa"/>
            <w:vAlign w:val="center"/>
          </w:tcPr>
          <w:p w14:paraId="0A676008">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10</w:t>
            </w:r>
          </w:p>
        </w:tc>
        <w:tc>
          <w:tcPr>
            <w:tcW w:w="537" w:type="dxa"/>
            <w:vAlign w:val="center"/>
          </w:tcPr>
          <w:p w14:paraId="3FB96023">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68</w:t>
            </w:r>
          </w:p>
        </w:tc>
      </w:tr>
      <w:tr w14:paraId="14423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992" w:type="dxa"/>
            <w:vMerge w:val="restart"/>
            <w:vAlign w:val="center"/>
          </w:tcPr>
          <w:p w14:paraId="3319B835">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3#汽油罐组（内浮顶罐）</w:t>
            </w:r>
          </w:p>
        </w:tc>
        <w:tc>
          <w:tcPr>
            <w:tcW w:w="596" w:type="dxa"/>
            <w:vAlign w:val="center"/>
          </w:tcPr>
          <w:p w14:paraId="58D1C8D4">
            <w:pPr>
              <w:pStyle w:val="91"/>
              <w:keepNext w:val="0"/>
              <w:keepLines w:val="0"/>
              <w:suppressLineNumbers w:val="0"/>
              <w:spacing w:before="0" w:beforeAutospacing="0" w:after="0" w:afterAutospacing="0"/>
              <w:ind w:left="0" w:right="0" w:firstLine="0" w:firstLineChars="0"/>
              <w:jc w:val="center"/>
              <w:rPr>
                <w:rFonts w:hint="eastAsia"/>
                <w:color w:val="auto"/>
                <w:u w:val="single"/>
              </w:rPr>
            </w:pPr>
            <w:r>
              <w:rPr>
                <w:rFonts w:hint="eastAsia"/>
                <w:color w:val="auto"/>
                <w:u w:val="single"/>
              </w:rPr>
              <w:t>V</w:t>
            </w:r>
            <w:r>
              <w:rPr>
                <w:rFonts w:hint="default"/>
                <w:color w:val="auto"/>
                <w:u w:val="single"/>
              </w:rPr>
              <w:t>3</w:t>
            </w:r>
            <w:r>
              <w:rPr>
                <w:rFonts w:hint="eastAsia"/>
                <w:color w:val="auto"/>
                <w:u w:val="single"/>
              </w:rPr>
              <w:t>01~</w:t>
            </w:r>
            <w:r>
              <w:rPr>
                <w:rFonts w:hint="default"/>
                <w:color w:val="auto"/>
                <w:u w:val="single"/>
              </w:rPr>
              <w:t>V304</w:t>
            </w:r>
            <w:r>
              <w:rPr>
                <w:rFonts w:hint="eastAsia"/>
                <w:color w:val="auto"/>
                <w:u w:val="single"/>
              </w:rPr>
              <w:t>、V308</w:t>
            </w:r>
          </w:p>
        </w:tc>
        <w:tc>
          <w:tcPr>
            <w:tcW w:w="634" w:type="dxa"/>
            <w:vAlign w:val="center"/>
          </w:tcPr>
          <w:p w14:paraId="179B3EA1">
            <w:pPr>
              <w:pStyle w:val="91"/>
              <w:keepNext w:val="0"/>
              <w:keepLines w:val="0"/>
              <w:suppressLineNumbers w:val="0"/>
              <w:spacing w:before="0" w:beforeAutospacing="0" w:after="0" w:afterAutospacing="0"/>
              <w:ind w:left="0" w:right="0" w:firstLine="0" w:firstLineChars="0"/>
              <w:jc w:val="center"/>
              <w:rPr>
                <w:rFonts w:hint="eastAsia" w:eastAsia="宋体"/>
                <w:color w:val="auto"/>
                <w:u w:val="single"/>
                <w:lang w:eastAsia="zh-CN"/>
              </w:rPr>
            </w:pPr>
            <w:r>
              <w:rPr>
                <w:rFonts w:hint="eastAsia"/>
                <w:color w:val="auto"/>
                <w:u w:val="single"/>
                <w:lang w:val="en-US" w:eastAsia="zh-CN"/>
              </w:rPr>
              <w:t>5</w:t>
            </w:r>
            <w:r>
              <w:rPr>
                <w:rFonts w:hint="eastAsia"/>
                <w:color w:val="auto"/>
                <w:u w:val="single"/>
              </w:rPr>
              <w:t>0000</w:t>
            </w:r>
            <w:r>
              <w:rPr>
                <w:rFonts w:hint="eastAsia"/>
                <w:color w:val="auto"/>
                <w:u w:val="single"/>
                <w:lang w:eastAsia="zh-CN"/>
              </w:rPr>
              <w:t>（</w:t>
            </w:r>
            <w:r>
              <w:rPr>
                <w:rFonts w:hint="eastAsia"/>
                <w:color w:val="auto"/>
                <w:u w:val="single"/>
                <w:lang w:val="en-US" w:eastAsia="zh-CN"/>
              </w:rPr>
              <w:t>1个10000</w:t>
            </w:r>
            <w:r>
              <w:rPr>
                <w:rFonts w:hint="eastAsia"/>
                <w:color w:val="auto"/>
                <w:u w:val="single"/>
                <w:lang w:eastAsia="zh-CN"/>
              </w:rPr>
              <w:t>）</w:t>
            </w:r>
          </w:p>
        </w:tc>
        <w:tc>
          <w:tcPr>
            <w:tcW w:w="752" w:type="dxa"/>
            <w:vAlign w:val="center"/>
          </w:tcPr>
          <w:p w14:paraId="64978874">
            <w:pPr>
              <w:pStyle w:val="91"/>
              <w:keepNext w:val="0"/>
              <w:keepLines w:val="0"/>
              <w:suppressLineNumbers w:val="0"/>
              <w:bidi w:val="0"/>
              <w:spacing w:before="0" w:beforeAutospacing="0" w:after="0" w:afterAutospacing="0"/>
              <w:ind w:left="0" w:right="0"/>
              <w:jc w:val="center"/>
              <w:rPr>
                <w:rFonts w:hint="default"/>
                <w:color w:val="auto"/>
                <w:u w:val="single"/>
                <w:lang w:val="en-US" w:eastAsia="zh-CN"/>
              </w:rPr>
            </w:pPr>
            <w:r>
              <w:rPr>
                <w:rFonts w:hint="eastAsia"/>
                <w:color w:val="auto"/>
                <w:u w:val="single"/>
                <w:lang w:val="en-US" w:eastAsia="zh-CN"/>
              </w:rPr>
              <w:t>汽油</w:t>
            </w:r>
          </w:p>
        </w:tc>
        <w:tc>
          <w:tcPr>
            <w:tcW w:w="846" w:type="dxa"/>
            <w:vAlign w:val="center"/>
          </w:tcPr>
          <w:p w14:paraId="19CA8C76">
            <w:pPr>
              <w:pStyle w:val="91"/>
              <w:keepNext w:val="0"/>
              <w:keepLines w:val="0"/>
              <w:suppressLineNumbers w:val="0"/>
              <w:bidi w:val="0"/>
              <w:spacing w:before="0" w:beforeAutospacing="0" w:after="0" w:afterAutospacing="0"/>
              <w:ind w:left="0" w:right="0"/>
              <w:rPr>
                <w:rFonts w:hint="default"/>
                <w:color w:val="auto"/>
                <w:u w:val="single"/>
                <w:lang w:val="en-US" w:eastAsia="zh-CN"/>
              </w:rPr>
            </w:pPr>
            <w:r>
              <w:rPr>
                <w:rFonts w:hint="eastAsia"/>
                <w:color w:val="auto"/>
                <w:u w:val="single"/>
                <w:lang w:val="en-US" w:eastAsia="zh-CN"/>
              </w:rPr>
              <w:t>20</w:t>
            </w:r>
          </w:p>
        </w:tc>
        <w:tc>
          <w:tcPr>
            <w:tcW w:w="596" w:type="dxa"/>
            <w:vAlign w:val="center"/>
          </w:tcPr>
          <w:p w14:paraId="2E073098">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50</w:t>
            </w:r>
          </w:p>
        </w:tc>
        <w:tc>
          <w:tcPr>
            <w:tcW w:w="596" w:type="dxa"/>
            <w:vAlign w:val="center"/>
          </w:tcPr>
          <w:p w14:paraId="3F7833CA">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10</w:t>
            </w:r>
          </w:p>
        </w:tc>
        <w:tc>
          <w:tcPr>
            <w:tcW w:w="872" w:type="dxa"/>
            <w:vAlign w:val="center"/>
          </w:tcPr>
          <w:p w14:paraId="0370FE2F">
            <w:pPr>
              <w:pStyle w:val="91"/>
              <w:keepNext w:val="0"/>
              <w:keepLines w:val="0"/>
              <w:suppressLineNumbers w:val="0"/>
              <w:bidi w:val="0"/>
              <w:spacing w:before="0" w:beforeAutospacing="0" w:after="0" w:afterAutospacing="0"/>
              <w:ind w:left="0" w:right="0"/>
              <w:jc w:val="center"/>
              <w:rPr>
                <w:rFonts w:hint="default"/>
                <w:color w:val="auto"/>
                <w:u w:val="single"/>
                <w:lang w:val="en-US"/>
              </w:rPr>
            </w:pPr>
            <w:r>
              <w:rPr>
                <w:rFonts w:hint="eastAsia"/>
                <w:color w:val="auto"/>
                <w:u w:val="single"/>
                <w:lang w:val="en-US" w:eastAsia="zh-CN"/>
              </w:rPr>
              <w:t>85</w:t>
            </w:r>
          </w:p>
        </w:tc>
        <w:tc>
          <w:tcPr>
            <w:tcW w:w="853" w:type="dxa"/>
            <w:vAlign w:val="center"/>
          </w:tcPr>
          <w:p w14:paraId="258A7CC6">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汽油</w:t>
            </w:r>
          </w:p>
        </w:tc>
        <w:tc>
          <w:tcPr>
            <w:tcW w:w="643" w:type="dxa"/>
            <w:vAlign w:val="center"/>
          </w:tcPr>
          <w:p w14:paraId="4FC44CF5">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lang w:val="en-US" w:eastAsia="zh-CN"/>
              </w:rPr>
              <w:t>20</w:t>
            </w:r>
          </w:p>
        </w:tc>
        <w:tc>
          <w:tcPr>
            <w:tcW w:w="596" w:type="dxa"/>
            <w:vAlign w:val="center"/>
          </w:tcPr>
          <w:p w14:paraId="63C196CA">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70</w:t>
            </w:r>
          </w:p>
        </w:tc>
        <w:tc>
          <w:tcPr>
            <w:tcW w:w="666" w:type="dxa"/>
            <w:vAlign w:val="center"/>
          </w:tcPr>
          <w:p w14:paraId="635DFC17">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14</w:t>
            </w:r>
          </w:p>
        </w:tc>
        <w:tc>
          <w:tcPr>
            <w:tcW w:w="537" w:type="dxa"/>
            <w:vAlign w:val="center"/>
          </w:tcPr>
          <w:p w14:paraId="28DD5A70">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85</w:t>
            </w:r>
          </w:p>
        </w:tc>
      </w:tr>
      <w:tr w14:paraId="0EA5C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992" w:type="dxa"/>
            <w:vMerge w:val="continue"/>
            <w:vAlign w:val="center"/>
          </w:tcPr>
          <w:p w14:paraId="202462A1">
            <w:pPr>
              <w:pStyle w:val="91"/>
              <w:keepNext w:val="0"/>
              <w:keepLines w:val="0"/>
              <w:suppressLineNumbers w:val="0"/>
              <w:bidi w:val="0"/>
              <w:spacing w:before="0" w:beforeAutospacing="0" w:after="0" w:afterAutospacing="0"/>
              <w:ind w:left="0" w:right="0"/>
              <w:jc w:val="center"/>
              <w:rPr>
                <w:rFonts w:hint="default"/>
                <w:color w:val="auto"/>
                <w:u w:val="single"/>
              </w:rPr>
            </w:pPr>
          </w:p>
        </w:tc>
        <w:tc>
          <w:tcPr>
            <w:tcW w:w="596" w:type="dxa"/>
            <w:vAlign w:val="center"/>
          </w:tcPr>
          <w:p w14:paraId="3A088F01">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V</w:t>
            </w:r>
            <w:r>
              <w:rPr>
                <w:rFonts w:hint="default"/>
                <w:color w:val="auto"/>
                <w:u w:val="single"/>
              </w:rPr>
              <w:t>3</w:t>
            </w:r>
            <w:r>
              <w:rPr>
                <w:rFonts w:hint="eastAsia"/>
                <w:color w:val="auto"/>
                <w:u w:val="single"/>
              </w:rPr>
              <w:t>05</w:t>
            </w:r>
          </w:p>
        </w:tc>
        <w:tc>
          <w:tcPr>
            <w:tcW w:w="634" w:type="dxa"/>
            <w:vAlign w:val="center"/>
          </w:tcPr>
          <w:p w14:paraId="6F447143">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10000</w:t>
            </w:r>
          </w:p>
        </w:tc>
        <w:tc>
          <w:tcPr>
            <w:tcW w:w="752" w:type="dxa"/>
            <w:vAlign w:val="center"/>
          </w:tcPr>
          <w:p w14:paraId="4EB4DF43">
            <w:pPr>
              <w:pStyle w:val="91"/>
              <w:keepNext w:val="0"/>
              <w:keepLines w:val="0"/>
              <w:suppressLineNumbers w:val="0"/>
              <w:bidi w:val="0"/>
              <w:spacing w:before="0" w:beforeAutospacing="0" w:after="0" w:afterAutospacing="0"/>
              <w:ind w:left="0" w:right="0"/>
              <w:jc w:val="center"/>
              <w:rPr>
                <w:rFonts w:hint="eastAsia" w:eastAsia="宋体"/>
                <w:color w:val="auto"/>
                <w:u w:val="single"/>
                <w:lang w:val="en-US" w:eastAsia="zh-CN"/>
              </w:rPr>
            </w:pPr>
            <w:r>
              <w:rPr>
                <w:rFonts w:hint="eastAsia"/>
                <w:color w:val="auto"/>
                <w:u w:val="single"/>
                <w:lang w:val="en-US" w:eastAsia="zh-CN"/>
              </w:rPr>
              <w:t>汽油</w:t>
            </w:r>
          </w:p>
        </w:tc>
        <w:tc>
          <w:tcPr>
            <w:tcW w:w="846" w:type="dxa"/>
            <w:vAlign w:val="center"/>
          </w:tcPr>
          <w:p w14:paraId="4CB8AC70">
            <w:pPr>
              <w:pStyle w:val="91"/>
              <w:keepNext w:val="0"/>
              <w:keepLines w:val="0"/>
              <w:suppressLineNumbers w:val="0"/>
              <w:bidi w:val="0"/>
              <w:spacing w:before="0" w:beforeAutospacing="0" w:after="0" w:afterAutospacing="0"/>
              <w:ind w:left="0" w:right="0"/>
              <w:rPr>
                <w:rFonts w:hint="default"/>
                <w:color w:val="auto"/>
                <w:u w:val="single"/>
                <w:lang w:val="en-US" w:eastAsia="zh-CN"/>
              </w:rPr>
            </w:pPr>
            <w:r>
              <w:rPr>
                <w:rFonts w:hint="eastAsia"/>
                <w:color w:val="auto"/>
                <w:u w:val="single"/>
                <w:lang w:val="en-US" w:eastAsia="zh-CN"/>
              </w:rPr>
              <w:t>20</w:t>
            </w:r>
          </w:p>
        </w:tc>
        <w:tc>
          <w:tcPr>
            <w:tcW w:w="596" w:type="dxa"/>
            <w:vAlign w:val="center"/>
          </w:tcPr>
          <w:p w14:paraId="0E7D8326">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10</w:t>
            </w:r>
          </w:p>
        </w:tc>
        <w:tc>
          <w:tcPr>
            <w:tcW w:w="596" w:type="dxa"/>
            <w:vAlign w:val="center"/>
          </w:tcPr>
          <w:p w14:paraId="5347AFDA">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10</w:t>
            </w:r>
          </w:p>
        </w:tc>
        <w:tc>
          <w:tcPr>
            <w:tcW w:w="872" w:type="dxa"/>
            <w:vAlign w:val="center"/>
          </w:tcPr>
          <w:p w14:paraId="2BBF39A9">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17</w:t>
            </w:r>
          </w:p>
        </w:tc>
        <w:tc>
          <w:tcPr>
            <w:tcW w:w="853" w:type="dxa"/>
            <w:vAlign w:val="center"/>
          </w:tcPr>
          <w:p w14:paraId="797CA2B2">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石脑油</w:t>
            </w:r>
          </w:p>
        </w:tc>
        <w:tc>
          <w:tcPr>
            <w:tcW w:w="643" w:type="dxa"/>
            <w:vAlign w:val="center"/>
          </w:tcPr>
          <w:p w14:paraId="47925C04">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lang w:val="en-US" w:eastAsia="zh-CN"/>
              </w:rPr>
              <w:t>20</w:t>
            </w:r>
          </w:p>
        </w:tc>
        <w:tc>
          <w:tcPr>
            <w:tcW w:w="596" w:type="dxa"/>
            <w:vAlign w:val="center"/>
          </w:tcPr>
          <w:p w14:paraId="62D0A6B2">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10</w:t>
            </w:r>
          </w:p>
        </w:tc>
        <w:tc>
          <w:tcPr>
            <w:tcW w:w="666" w:type="dxa"/>
            <w:vAlign w:val="center"/>
          </w:tcPr>
          <w:p w14:paraId="022B9FDC">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10</w:t>
            </w:r>
          </w:p>
        </w:tc>
        <w:tc>
          <w:tcPr>
            <w:tcW w:w="537" w:type="dxa"/>
            <w:vAlign w:val="center"/>
          </w:tcPr>
          <w:p w14:paraId="65E91C86">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17</w:t>
            </w:r>
          </w:p>
        </w:tc>
      </w:tr>
      <w:tr w14:paraId="15365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992" w:type="dxa"/>
            <w:vMerge w:val="continue"/>
            <w:vAlign w:val="center"/>
          </w:tcPr>
          <w:p w14:paraId="091A498E">
            <w:pPr>
              <w:pStyle w:val="91"/>
              <w:keepNext w:val="0"/>
              <w:keepLines w:val="0"/>
              <w:suppressLineNumbers w:val="0"/>
              <w:bidi w:val="0"/>
              <w:spacing w:before="0" w:beforeAutospacing="0" w:after="0" w:afterAutospacing="0"/>
              <w:ind w:left="0" w:right="0"/>
              <w:jc w:val="center"/>
              <w:rPr>
                <w:rFonts w:hint="default"/>
                <w:color w:val="auto"/>
                <w:u w:val="single"/>
              </w:rPr>
            </w:pPr>
          </w:p>
        </w:tc>
        <w:tc>
          <w:tcPr>
            <w:tcW w:w="596" w:type="dxa"/>
            <w:vAlign w:val="center"/>
          </w:tcPr>
          <w:p w14:paraId="701E7394">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V</w:t>
            </w:r>
            <w:r>
              <w:rPr>
                <w:rFonts w:hint="default"/>
                <w:color w:val="auto"/>
                <w:u w:val="single"/>
              </w:rPr>
              <w:t>3</w:t>
            </w:r>
            <w:r>
              <w:rPr>
                <w:rFonts w:hint="eastAsia"/>
                <w:color w:val="auto"/>
                <w:u w:val="single"/>
              </w:rPr>
              <w:t>06</w:t>
            </w:r>
          </w:p>
        </w:tc>
        <w:tc>
          <w:tcPr>
            <w:tcW w:w="634" w:type="dxa"/>
            <w:vAlign w:val="center"/>
          </w:tcPr>
          <w:p w14:paraId="74B736F6">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10000</w:t>
            </w:r>
          </w:p>
        </w:tc>
        <w:tc>
          <w:tcPr>
            <w:tcW w:w="752" w:type="dxa"/>
            <w:vAlign w:val="center"/>
          </w:tcPr>
          <w:p w14:paraId="74720424">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汽油</w:t>
            </w:r>
          </w:p>
        </w:tc>
        <w:tc>
          <w:tcPr>
            <w:tcW w:w="846" w:type="dxa"/>
            <w:vAlign w:val="center"/>
          </w:tcPr>
          <w:p w14:paraId="2BF3010B">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lang w:val="en-US" w:eastAsia="zh-CN"/>
              </w:rPr>
              <w:t>20</w:t>
            </w:r>
          </w:p>
        </w:tc>
        <w:tc>
          <w:tcPr>
            <w:tcW w:w="596" w:type="dxa"/>
            <w:vAlign w:val="center"/>
          </w:tcPr>
          <w:p w14:paraId="1E8FEA21">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10</w:t>
            </w:r>
          </w:p>
        </w:tc>
        <w:tc>
          <w:tcPr>
            <w:tcW w:w="596" w:type="dxa"/>
            <w:vAlign w:val="center"/>
          </w:tcPr>
          <w:p w14:paraId="61DB4038">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10</w:t>
            </w:r>
          </w:p>
        </w:tc>
        <w:tc>
          <w:tcPr>
            <w:tcW w:w="872" w:type="dxa"/>
            <w:vAlign w:val="center"/>
          </w:tcPr>
          <w:p w14:paraId="7DBCB41C">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17</w:t>
            </w:r>
          </w:p>
        </w:tc>
        <w:tc>
          <w:tcPr>
            <w:tcW w:w="853" w:type="dxa"/>
            <w:vAlign w:val="center"/>
          </w:tcPr>
          <w:p w14:paraId="79EEEF1C">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异辛烷（烷基化油）</w:t>
            </w:r>
          </w:p>
        </w:tc>
        <w:tc>
          <w:tcPr>
            <w:tcW w:w="643" w:type="dxa"/>
            <w:vAlign w:val="center"/>
          </w:tcPr>
          <w:p w14:paraId="2CD4BEC3">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lang w:val="en-US" w:eastAsia="zh-CN"/>
              </w:rPr>
              <w:t>20</w:t>
            </w:r>
          </w:p>
        </w:tc>
        <w:tc>
          <w:tcPr>
            <w:tcW w:w="596" w:type="dxa"/>
            <w:vAlign w:val="center"/>
          </w:tcPr>
          <w:p w14:paraId="19B44671">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10</w:t>
            </w:r>
          </w:p>
        </w:tc>
        <w:tc>
          <w:tcPr>
            <w:tcW w:w="666" w:type="dxa"/>
            <w:vAlign w:val="center"/>
          </w:tcPr>
          <w:p w14:paraId="2B607E25">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10</w:t>
            </w:r>
          </w:p>
        </w:tc>
        <w:tc>
          <w:tcPr>
            <w:tcW w:w="537" w:type="dxa"/>
            <w:vAlign w:val="center"/>
          </w:tcPr>
          <w:p w14:paraId="1C3A4819">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17</w:t>
            </w:r>
          </w:p>
        </w:tc>
      </w:tr>
      <w:tr w14:paraId="56C05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992" w:type="dxa"/>
            <w:vMerge w:val="continue"/>
            <w:vAlign w:val="center"/>
          </w:tcPr>
          <w:p w14:paraId="2446D09E">
            <w:pPr>
              <w:pStyle w:val="91"/>
              <w:keepNext w:val="0"/>
              <w:keepLines w:val="0"/>
              <w:suppressLineNumbers w:val="0"/>
              <w:bidi w:val="0"/>
              <w:spacing w:before="0" w:beforeAutospacing="0" w:after="0" w:afterAutospacing="0"/>
              <w:ind w:left="0" w:right="0"/>
              <w:jc w:val="center"/>
              <w:rPr>
                <w:rFonts w:hint="default"/>
                <w:color w:val="auto"/>
                <w:u w:val="single"/>
              </w:rPr>
            </w:pPr>
          </w:p>
        </w:tc>
        <w:tc>
          <w:tcPr>
            <w:tcW w:w="596" w:type="dxa"/>
            <w:vAlign w:val="center"/>
          </w:tcPr>
          <w:p w14:paraId="7881A8AD">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V</w:t>
            </w:r>
            <w:r>
              <w:rPr>
                <w:rFonts w:hint="default"/>
                <w:color w:val="auto"/>
                <w:u w:val="single"/>
              </w:rPr>
              <w:t>3</w:t>
            </w:r>
            <w:r>
              <w:rPr>
                <w:rFonts w:hint="eastAsia"/>
                <w:color w:val="auto"/>
                <w:u w:val="single"/>
              </w:rPr>
              <w:t>07</w:t>
            </w:r>
          </w:p>
        </w:tc>
        <w:tc>
          <w:tcPr>
            <w:tcW w:w="634" w:type="dxa"/>
            <w:vAlign w:val="center"/>
          </w:tcPr>
          <w:p w14:paraId="6B9E57EA">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10000</w:t>
            </w:r>
          </w:p>
        </w:tc>
        <w:tc>
          <w:tcPr>
            <w:tcW w:w="752" w:type="dxa"/>
            <w:vAlign w:val="center"/>
          </w:tcPr>
          <w:p w14:paraId="0A6A96E9">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汽油</w:t>
            </w:r>
          </w:p>
        </w:tc>
        <w:tc>
          <w:tcPr>
            <w:tcW w:w="846" w:type="dxa"/>
            <w:vAlign w:val="center"/>
          </w:tcPr>
          <w:p w14:paraId="156B318B">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lang w:val="en-US" w:eastAsia="zh-CN"/>
              </w:rPr>
              <w:t>20</w:t>
            </w:r>
          </w:p>
        </w:tc>
        <w:tc>
          <w:tcPr>
            <w:tcW w:w="596" w:type="dxa"/>
            <w:vAlign w:val="center"/>
          </w:tcPr>
          <w:p w14:paraId="0CD1A900">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10</w:t>
            </w:r>
          </w:p>
        </w:tc>
        <w:tc>
          <w:tcPr>
            <w:tcW w:w="596" w:type="dxa"/>
            <w:vAlign w:val="center"/>
          </w:tcPr>
          <w:p w14:paraId="5884CB87">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10</w:t>
            </w:r>
          </w:p>
        </w:tc>
        <w:tc>
          <w:tcPr>
            <w:tcW w:w="872" w:type="dxa"/>
            <w:vAlign w:val="center"/>
          </w:tcPr>
          <w:p w14:paraId="7EAD0AEE">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17</w:t>
            </w:r>
          </w:p>
        </w:tc>
        <w:tc>
          <w:tcPr>
            <w:tcW w:w="853" w:type="dxa"/>
            <w:vAlign w:val="center"/>
          </w:tcPr>
          <w:p w14:paraId="010EBE0A">
            <w:pPr>
              <w:pStyle w:val="91"/>
              <w:keepNext w:val="0"/>
              <w:keepLines w:val="0"/>
              <w:suppressLineNumbers w:val="0"/>
              <w:spacing w:before="0" w:beforeAutospacing="0" w:after="0" w:afterAutospacing="0"/>
              <w:ind w:left="0" w:right="0" w:firstLine="0" w:firstLineChars="0"/>
              <w:jc w:val="center"/>
              <w:rPr>
                <w:rFonts w:hint="default"/>
                <w:color w:val="auto"/>
                <w:u w:val="single"/>
              </w:rPr>
            </w:pPr>
            <w:r>
              <w:rPr>
                <w:rFonts w:hint="eastAsia"/>
                <w:color w:val="auto"/>
                <w:u w:val="single"/>
              </w:rPr>
              <w:t>甲基叔丁基醚（MTBE）</w:t>
            </w:r>
          </w:p>
        </w:tc>
        <w:tc>
          <w:tcPr>
            <w:tcW w:w="643" w:type="dxa"/>
            <w:vAlign w:val="center"/>
          </w:tcPr>
          <w:p w14:paraId="25355BF1">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lang w:val="en-US" w:eastAsia="zh-CN"/>
              </w:rPr>
              <w:t>20</w:t>
            </w:r>
          </w:p>
        </w:tc>
        <w:tc>
          <w:tcPr>
            <w:tcW w:w="596" w:type="dxa"/>
            <w:vAlign w:val="center"/>
          </w:tcPr>
          <w:p w14:paraId="6F36FFA8">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10</w:t>
            </w:r>
          </w:p>
        </w:tc>
        <w:tc>
          <w:tcPr>
            <w:tcW w:w="666" w:type="dxa"/>
            <w:vAlign w:val="center"/>
          </w:tcPr>
          <w:p w14:paraId="2847D34E">
            <w:pPr>
              <w:pStyle w:val="91"/>
              <w:keepNext w:val="0"/>
              <w:keepLines w:val="0"/>
              <w:suppressLineNumbers w:val="0"/>
              <w:bidi w:val="0"/>
              <w:spacing w:before="0" w:beforeAutospacing="0" w:after="0" w:afterAutospacing="0"/>
              <w:ind w:left="0" w:right="0"/>
              <w:jc w:val="center"/>
              <w:rPr>
                <w:rFonts w:hint="default" w:eastAsia="宋体"/>
                <w:color w:val="auto"/>
                <w:u w:val="single"/>
                <w:lang w:val="en-US" w:eastAsia="zh-CN"/>
              </w:rPr>
            </w:pPr>
            <w:r>
              <w:rPr>
                <w:rFonts w:hint="eastAsia"/>
                <w:color w:val="auto"/>
                <w:u w:val="single"/>
                <w:lang w:val="en-US" w:eastAsia="zh-CN"/>
              </w:rPr>
              <w:t>10</w:t>
            </w:r>
          </w:p>
        </w:tc>
        <w:tc>
          <w:tcPr>
            <w:tcW w:w="537" w:type="dxa"/>
            <w:vAlign w:val="center"/>
          </w:tcPr>
          <w:p w14:paraId="7C77AD64">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17</w:t>
            </w:r>
          </w:p>
        </w:tc>
      </w:tr>
    </w:tbl>
    <w:p w14:paraId="75369D9D">
      <w:pPr>
        <w:pStyle w:val="204"/>
        <w:bidi w:val="0"/>
        <w:jc w:val="left"/>
        <w:rPr>
          <w:rFonts w:hint="default"/>
          <w:color w:val="auto"/>
          <w:u w:val="single"/>
          <w:lang w:val="en-US" w:eastAsia="zh-CN"/>
        </w:rPr>
      </w:pPr>
      <w:r>
        <w:rPr>
          <w:rFonts w:hint="eastAsia"/>
          <w:color w:val="auto"/>
          <w:u w:val="single"/>
          <w:lang w:val="en-US" w:eastAsia="zh-CN"/>
        </w:rPr>
        <w:t>注：工作天数按350天计算。</w:t>
      </w:r>
    </w:p>
    <w:p w14:paraId="39A2397D">
      <w:pPr>
        <w:ind w:firstLine="480"/>
        <w:rPr>
          <w:rFonts w:hint="eastAsia"/>
          <w:color w:val="auto"/>
          <w:u w:val="single"/>
          <w:lang w:val="en-US" w:eastAsia="zh-CN"/>
        </w:rPr>
      </w:pPr>
      <w:r>
        <w:rPr>
          <w:rFonts w:hint="eastAsia"/>
          <w:color w:val="auto"/>
          <w:u w:val="single"/>
          <w:lang w:val="en-US" w:eastAsia="zh-CN"/>
        </w:rPr>
        <w:t>根据上表可知，</w:t>
      </w:r>
      <w:r>
        <w:rPr>
          <w:rFonts w:hint="eastAsia"/>
          <w:color w:val="auto"/>
          <w:u w:val="single"/>
        </w:rPr>
        <w:t>1#原油</w:t>
      </w:r>
      <w:r>
        <w:rPr>
          <w:color w:val="auto"/>
          <w:u w:val="single"/>
        </w:rPr>
        <w:t>罐组</w:t>
      </w:r>
      <w:r>
        <w:rPr>
          <w:rFonts w:hint="eastAsia"/>
          <w:color w:val="auto"/>
          <w:u w:val="single"/>
        </w:rPr>
        <w:t>中3个</w:t>
      </w:r>
      <w:r>
        <w:rPr>
          <w:color w:val="auto"/>
          <w:u w:val="single"/>
        </w:rPr>
        <w:t>外浮顶罐</w:t>
      </w:r>
      <w:r>
        <w:rPr>
          <w:rFonts w:hint="eastAsia"/>
          <w:color w:val="auto"/>
          <w:u w:val="single"/>
          <w:lang w:val="en-US" w:eastAsia="zh-CN"/>
        </w:rPr>
        <w:t>单个储罐容积40000m</w:t>
      </w:r>
      <w:r>
        <w:rPr>
          <w:rFonts w:hint="eastAsia"/>
          <w:color w:val="auto"/>
          <w:u w:val="single"/>
          <w:vertAlign w:val="superscript"/>
          <w:lang w:val="en-US" w:eastAsia="zh-CN"/>
        </w:rPr>
        <w:t>3</w:t>
      </w:r>
      <w:r>
        <w:rPr>
          <w:rFonts w:hint="eastAsia"/>
          <w:color w:val="auto"/>
          <w:u w:val="single"/>
          <w:lang w:val="en-US" w:eastAsia="zh-CN"/>
        </w:rPr>
        <w:t>，货种储存天数为20天，单个储罐年储存能力为68万吨/年。扩建前后货种在1#罐组储罐内储存的天数不变，货种总周转量扩建前后不变，扩建后的储罐货种周转能力大于周转量，因此，新增货种蜡油、渣油依托1#罐组的储罐用于周转储存可行。</w:t>
      </w:r>
    </w:p>
    <w:p w14:paraId="2805B31D">
      <w:pPr>
        <w:ind w:firstLine="480"/>
        <w:rPr>
          <w:rFonts w:hint="eastAsia"/>
          <w:color w:val="auto"/>
          <w:u w:val="single"/>
          <w:lang w:val="en-US" w:eastAsia="zh-CN"/>
        </w:rPr>
      </w:pPr>
      <w:r>
        <w:rPr>
          <w:rFonts w:hint="eastAsia"/>
          <w:color w:val="auto"/>
          <w:u w:val="single"/>
          <w:lang w:val="en-US" w:eastAsia="zh-CN"/>
        </w:rPr>
        <w:t>3</w:t>
      </w:r>
      <w:r>
        <w:rPr>
          <w:rFonts w:hint="eastAsia"/>
          <w:color w:val="auto"/>
          <w:u w:val="single"/>
        </w:rPr>
        <w:t>#</w:t>
      </w:r>
      <w:r>
        <w:rPr>
          <w:rFonts w:hint="eastAsia"/>
          <w:color w:val="auto"/>
          <w:u w:val="single"/>
          <w:lang w:val="en-US" w:eastAsia="zh-CN"/>
        </w:rPr>
        <w:t>汽</w:t>
      </w:r>
      <w:r>
        <w:rPr>
          <w:rFonts w:hint="eastAsia"/>
          <w:color w:val="auto"/>
          <w:u w:val="single"/>
        </w:rPr>
        <w:t>油</w:t>
      </w:r>
      <w:r>
        <w:rPr>
          <w:color w:val="auto"/>
          <w:u w:val="single"/>
        </w:rPr>
        <w:t>罐组</w:t>
      </w:r>
      <w:r>
        <w:rPr>
          <w:rFonts w:hint="eastAsia"/>
          <w:color w:val="auto"/>
          <w:u w:val="single"/>
        </w:rPr>
        <w:t>中</w:t>
      </w:r>
      <w:r>
        <w:rPr>
          <w:rFonts w:hint="eastAsia"/>
          <w:color w:val="auto"/>
          <w:u w:val="single"/>
          <w:lang w:val="en-US" w:eastAsia="zh-CN"/>
        </w:rPr>
        <w:t>单个内浮顶罐的容积为10000m</w:t>
      </w:r>
      <w:r>
        <w:rPr>
          <w:rFonts w:hint="eastAsia"/>
          <w:color w:val="auto"/>
          <w:u w:val="single"/>
          <w:vertAlign w:val="superscript"/>
          <w:lang w:val="en-US" w:eastAsia="zh-CN"/>
        </w:rPr>
        <w:t>3</w:t>
      </w:r>
      <w:r>
        <w:rPr>
          <w:rFonts w:hint="eastAsia"/>
          <w:color w:val="auto"/>
          <w:u w:val="single"/>
          <w:lang w:val="en-US" w:eastAsia="zh-CN"/>
        </w:rPr>
        <w:t>，货种储存天数为20天，单个储罐年储存能力为17万吨/年。扩建后，调整V301~V304、V308储罐的汽油周转次数，扩建后这5个储罐汽油的周转量为70万吨，小于储罐的周转能力，可满足汽油周转需求。3</w:t>
      </w:r>
      <w:r>
        <w:rPr>
          <w:rFonts w:hint="eastAsia"/>
          <w:color w:val="auto"/>
          <w:u w:val="single"/>
        </w:rPr>
        <w:t>#</w:t>
      </w:r>
      <w:r>
        <w:rPr>
          <w:rFonts w:hint="eastAsia"/>
          <w:color w:val="auto"/>
          <w:u w:val="single"/>
          <w:lang w:val="en-US" w:eastAsia="zh-CN"/>
        </w:rPr>
        <w:t>汽</w:t>
      </w:r>
      <w:r>
        <w:rPr>
          <w:rFonts w:hint="eastAsia"/>
          <w:color w:val="auto"/>
          <w:u w:val="single"/>
        </w:rPr>
        <w:t>油</w:t>
      </w:r>
      <w:r>
        <w:rPr>
          <w:color w:val="auto"/>
          <w:u w:val="single"/>
        </w:rPr>
        <w:t>罐组</w:t>
      </w:r>
      <w:r>
        <w:rPr>
          <w:rFonts w:hint="eastAsia"/>
          <w:color w:val="auto"/>
          <w:u w:val="single"/>
          <w:lang w:val="en-US" w:eastAsia="zh-CN"/>
        </w:rPr>
        <w:t>中V305、V306、V307储罐分别用于石脑油、异辛烷（烷基化油）、甲基叔丁基醚（MTBE）的储存，周转量分别为10万吨/年，与该储罐现有工程储存的汽油周转量一致，储罐货种周转能力大于周转量，因此，利用3</w:t>
      </w:r>
      <w:r>
        <w:rPr>
          <w:rFonts w:hint="eastAsia"/>
          <w:color w:val="auto"/>
          <w:u w:val="single"/>
        </w:rPr>
        <w:t>#</w:t>
      </w:r>
      <w:r>
        <w:rPr>
          <w:rFonts w:hint="eastAsia"/>
          <w:color w:val="auto"/>
          <w:u w:val="single"/>
          <w:lang w:val="en-US" w:eastAsia="zh-CN"/>
        </w:rPr>
        <w:t>汽</w:t>
      </w:r>
      <w:r>
        <w:rPr>
          <w:rFonts w:hint="eastAsia"/>
          <w:color w:val="auto"/>
          <w:u w:val="single"/>
        </w:rPr>
        <w:t>油</w:t>
      </w:r>
      <w:r>
        <w:rPr>
          <w:color w:val="auto"/>
          <w:u w:val="single"/>
        </w:rPr>
        <w:t>罐组</w:t>
      </w:r>
      <w:r>
        <w:rPr>
          <w:rFonts w:hint="eastAsia"/>
          <w:color w:val="auto"/>
          <w:u w:val="single"/>
          <w:lang w:val="en-US" w:eastAsia="zh-CN"/>
        </w:rPr>
        <w:t>中V305、V306、V307储存新增货种是可行的。</w:t>
      </w:r>
    </w:p>
    <w:p w14:paraId="2C17CB9C">
      <w:pPr>
        <w:ind w:firstLine="480"/>
        <w:rPr>
          <w:rFonts w:hint="eastAsia"/>
          <w:color w:val="auto"/>
          <w:u w:val="single"/>
          <w:lang w:val="en-US" w:eastAsia="zh-CN"/>
        </w:rPr>
      </w:pPr>
      <w:r>
        <w:rPr>
          <w:rFonts w:hint="eastAsia"/>
          <w:color w:val="auto"/>
          <w:u w:val="single"/>
          <w:lang w:val="en-US" w:eastAsia="zh-CN"/>
        </w:rPr>
        <w:t>扩建项目新增的货种甲基叔丁基醚（MTBE）、异辛烷（烷基化油）、石脑油火灾类别为甲B类，蜡油、渣油火灾类别为丙类，根据《石油化工企业设计防火标准》（GB50160-2008，2018年版）6.2.2储存甲B、乙A类液体应选用金属浮舱室的浮顶或内浮顶罐。扩建项目甲基叔丁基醚（MTBE）、异辛烷（烷基化油）、石脑油采用内浮顶罐储存，蜡油渣油采用外浮顶罐储存，储罐的类型满足要求。</w:t>
      </w:r>
    </w:p>
    <w:p w14:paraId="331E72F8">
      <w:pPr>
        <w:ind w:firstLine="480"/>
        <w:rPr>
          <w:rFonts w:hint="eastAsia"/>
          <w:color w:val="auto"/>
          <w:u w:val="single"/>
          <w:lang w:val="en-US" w:eastAsia="zh-CN"/>
        </w:rPr>
      </w:pPr>
      <w:r>
        <w:rPr>
          <w:rFonts w:hint="eastAsia"/>
          <w:color w:val="auto"/>
          <w:u w:val="single"/>
          <w:lang w:val="en-US" w:eastAsia="zh-CN"/>
        </w:rPr>
        <w:t>根据《挥发性有机物无组织排放控制标准》（GB37822—2019）VOCs物料储存无组织的排放控制要求：A.基本要求：VOCs物料应储存于密闭的容器、包装袋、储罐、储库、料仓中。B.挥发性液体储罐特别控制要求：储存真实蒸气压≥76.6kPa且储罐容积≥75m</w:t>
      </w:r>
      <w:r>
        <w:rPr>
          <w:rFonts w:hint="eastAsia"/>
          <w:color w:val="auto"/>
          <w:u w:val="single"/>
          <w:vertAlign w:val="superscript"/>
          <w:lang w:val="en-US" w:eastAsia="zh-CN"/>
        </w:rPr>
        <w:t>3</w:t>
      </w:r>
      <w:r>
        <w:rPr>
          <w:rFonts w:hint="eastAsia"/>
          <w:color w:val="auto"/>
          <w:u w:val="single"/>
          <w:lang w:val="en-US" w:eastAsia="zh-CN"/>
        </w:rPr>
        <w:t>的挥发性有机液体储罐，应采用低压罐、压力罐或其他等效措施。储存真实蒸气压≥27.6kPa但＜76.6kPa且储罐容积≥75m</w:t>
      </w:r>
      <w:r>
        <w:rPr>
          <w:rFonts w:hint="eastAsia"/>
          <w:color w:val="auto"/>
          <w:u w:val="single"/>
          <w:vertAlign w:val="superscript"/>
          <w:lang w:val="en-US" w:eastAsia="zh-CN"/>
        </w:rPr>
        <w:t>3</w:t>
      </w:r>
      <w:r>
        <w:rPr>
          <w:rFonts w:hint="eastAsia"/>
          <w:color w:val="auto"/>
          <w:u w:val="single"/>
          <w:lang w:val="en-US" w:eastAsia="zh-CN"/>
        </w:rPr>
        <w:t>的挥发性有机液体储罐，应符合下列规定之一：a）采用浮顶罐。对于内浮顶罐，浮顶与罐壁之间应采用浸液式密封、机械式鞋形密封等高效密封方式；对于外浮顶罐，浮顶与罐壁之间应采用双重密封，且一次密封应采用浸液式密封、机械式鞋形密封等高效密封方式。</w:t>
      </w:r>
    </w:p>
    <w:p w14:paraId="487B5B33">
      <w:pPr>
        <w:ind w:firstLine="480"/>
        <w:rPr>
          <w:rFonts w:hint="default"/>
          <w:color w:val="auto"/>
          <w:u w:val="single"/>
          <w:lang w:val="en-US" w:eastAsia="zh-CN"/>
        </w:rPr>
      </w:pPr>
      <w:r>
        <w:rPr>
          <w:rFonts w:hint="eastAsia"/>
          <w:color w:val="auto"/>
          <w:u w:val="single"/>
          <w:lang w:val="en-US" w:eastAsia="zh-CN"/>
        </w:rPr>
        <w:t>本项目甲基叔丁基醚（MTBE）、异辛烷（烷基化油）、石脑油采用内浮顶罐储存，根据理化性质分析，蒸气压为5.1~53.52kPa；蜡油、渣油采用外浮顶罐储存，蒸气压均&lt;1kPa。项目浮顶罐均采用浸液式密封形式，项目新增货种采用的储罐符合《挥发性有机物无组织排放控制标准》（GB37822—2019）控制要求。</w:t>
      </w:r>
    </w:p>
    <w:p w14:paraId="6FFD8453">
      <w:pPr>
        <w:ind w:left="480" w:firstLine="0" w:firstLineChars="0"/>
        <w:rPr>
          <w:rFonts w:hint="eastAsia" w:ascii="宋体" w:hAnsi="宋体" w:eastAsia="MS Mincho" w:cs="宋体"/>
          <w:b/>
          <w:color w:val="auto"/>
          <w:u w:val="single"/>
        </w:rPr>
      </w:pPr>
      <w:r>
        <w:rPr>
          <w:rFonts w:hint="eastAsia" w:ascii="宋体" w:hAnsi="宋体" w:cs="宋体"/>
          <w:b/>
          <w:color w:val="auto"/>
          <w:u w:val="single"/>
          <w:lang w:eastAsia="ja-JP"/>
        </w:rPr>
        <w:t>③</w:t>
      </w:r>
      <w:r>
        <w:rPr>
          <w:rFonts w:hint="eastAsia" w:ascii="宋体" w:hAnsi="宋体" w:cs="宋体"/>
          <w:b/>
          <w:color w:val="auto"/>
          <w:u w:val="single"/>
        </w:rPr>
        <w:t>货种</w:t>
      </w:r>
      <w:r>
        <w:rPr>
          <w:rFonts w:ascii="宋体" w:hAnsi="宋体" w:cs="宋体"/>
          <w:b/>
          <w:color w:val="auto"/>
          <w:u w:val="single"/>
        </w:rPr>
        <w:t>危险性</w:t>
      </w:r>
    </w:p>
    <w:p w14:paraId="0C443000">
      <w:pPr>
        <w:bidi w:val="0"/>
        <w:rPr>
          <w:rFonts w:hint="default"/>
          <w:color w:val="auto"/>
          <w:u w:val="single"/>
          <w:lang w:val="en-US" w:eastAsia="zh-CN"/>
        </w:rPr>
      </w:pPr>
      <w:r>
        <w:rPr>
          <w:rFonts w:hint="eastAsia"/>
          <w:color w:val="auto"/>
          <w:u w:val="single"/>
          <w:lang w:val="en-US" w:eastAsia="zh-CN"/>
        </w:rPr>
        <w:t>现有工程装卸和储存的货种为</w:t>
      </w:r>
      <w:r>
        <w:rPr>
          <w:rFonts w:hint="eastAsia"/>
          <w:color w:val="auto"/>
          <w:u w:val="single"/>
        </w:rPr>
        <w:t>原油</w:t>
      </w:r>
      <w:r>
        <w:rPr>
          <w:rFonts w:hint="eastAsia"/>
          <w:color w:val="auto"/>
          <w:u w:val="single"/>
          <w:lang w:eastAsia="zh-CN"/>
        </w:rPr>
        <w:t>、</w:t>
      </w:r>
      <w:r>
        <w:rPr>
          <w:rFonts w:hint="eastAsia"/>
          <w:color w:val="auto"/>
          <w:u w:val="single"/>
        </w:rPr>
        <w:t>重油/燃料油</w:t>
      </w:r>
      <w:r>
        <w:rPr>
          <w:rFonts w:hint="eastAsia"/>
          <w:color w:val="auto"/>
          <w:u w:val="single"/>
          <w:lang w:eastAsia="zh-CN"/>
        </w:rPr>
        <w:t>、</w:t>
      </w:r>
      <w:r>
        <w:rPr>
          <w:rFonts w:hint="eastAsia"/>
          <w:color w:val="auto"/>
          <w:u w:val="single"/>
        </w:rPr>
        <w:t>汽油</w:t>
      </w:r>
      <w:r>
        <w:rPr>
          <w:rFonts w:hint="eastAsia"/>
          <w:color w:val="auto"/>
          <w:u w:val="single"/>
          <w:lang w:eastAsia="zh-CN"/>
        </w:rPr>
        <w:t>、</w:t>
      </w:r>
      <w:r>
        <w:rPr>
          <w:rFonts w:hint="eastAsia"/>
          <w:color w:val="auto"/>
          <w:u w:val="single"/>
        </w:rPr>
        <w:t>柴油</w:t>
      </w:r>
      <w:r>
        <w:rPr>
          <w:rFonts w:hint="eastAsia"/>
          <w:color w:val="auto"/>
          <w:u w:val="single"/>
          <w:lang w:eastAsia="zh-CN"/>
        </w:rPr>
        <w:t>、</w:t>
      </w:r>
      <w:r>
        <w:rPr>
          <w:rFonts w:hint="eastAsia"/>
          <w:color w:val="auto"/>
          <w:u w:val="single"/>
        </w:rPr>
        <w:t>甲醇</w:t>
      </w:r>
      <w:r>
        <w:rPr>
          <w:rFonts w:hint="eastAsia"/>
          <w:color w:val="auto"/>
          <w:u w:val="single"/>
          <w:lang w:val="en-US" w:eastAsia="zh-CN"/>
        </w:rPr>
        <w:t>等，均为第3类货种，火灾危险性最高为甲B类。本次扩建项目货种甲基叔丁基醚（MTBE）、异辛烷（烷基化油）、石脑油、蜡油、渣油，均为第3类货种，火灾危险性最高为甲B类，未突破原有储存货种的危险类别。</w:t>
      </w:r>
    </w:p>
    <w:p w14:paraId="460E10D4">
      <w:pPr>
        <w:pStyle w:val="4"/>
        <w:rPr>
          <w:color w:val="auto"/>
        </w:rPr>
      </w:pPr>
      <w:r>
        <w:rPr>
          <w:rFonts w:hint="eastAsia"/>
          <w:color w:val="auto"/>
        </w:rPr>
        <w:t>输油管线</w:t>
      </w:r>
      <w:r>
        <w:rPr>
          <w:rFonts w:hint="eastAsia"/>
          <w:color w:val="auto"/>
          <w:lang w:eastAsia="zh-CN"/>
        </w:rPr>
        <w:t>及储存情况</w:t>
      </w:r>
    </w:p>
    <w:p w14:paraId="24A85C46">
      <w:pPr>
        <w:ind w:firstLine="480"/>
        <w:rPr>
          <w:rFonts w:hint="eastAsia"/>
          <w:color w:val="auto"/>
          <w:lang w:val="en-US" w:eastAsia="zh-CN"/>
        </w:rPr>
      </w:pPr>
      <w:r>
        <w:rPr>
          <w:rFonts w:hint="eastAsia"/>
          <w:color w:val="auto"/>
        </w:rPr>
        <w:t>本次</w:t>
      </w:r>
      <w:r>
        <w:rPr>
          <w:color w:val="auto"/>
        </w:rPr>
        <w:t>扩建项目</w:t>
      </w:r>
      <w:r>
        <w:rPr>
          <w:rFonts w:hint="eastAsia"/>
          <w:color w:val="auto"/>
        </w:rPr>
        <w:t>在汽油泵棚输送泵P301/1、2泵出口处新增一条DN150管道跨接至柴油长输线（DN150），长度约</w:t>
      </w:r>
      <w:r>
        <w:rPr>
          <w:color w:val="auto"/>
        </w:rPr>
        <w:t>5</w:t>
      </w:r>
      <w:r>
        <w:rPr>
          <w:rFonts w:hint="eastAsia"/>
          <w:color w:val="auto"/>
        </w:rPr>
        <w:t>7m。</w:t>
      </w:r>
      <w:r>
        <w:rPr>
          <w:rFonts w:hint="eastAsia"/>
          <w:color w:val="auto"/>
          <w:lang w:eastAsia="zh-CN"/>
        </w:rPr>
        <w:t>项目依托现有的原油、汽油装卸设施，装卸船泵为</w:t>
      </w:r>
      <w:r>
        <w:rPr>
          <w:rFonts w:hint="eastAsia"/>
          <w:color w:val="auto"/>
          <w:lang w:val="en-US" w:eastAsia="zh-CN"/>
        </w:rPr>
        <w:t>500m</w:t>
      </w:r>
      <w:r>
        <w:rPr>
          <w:rFonts w:hint="eastAsia"/>
          <w:color w:val="auto"/>
          <w:vertAlign w:val="superscript"/>
          <w:lang w:val="en-US" w:eastAsia="zh-CN"/>
        </w:rPr>
        <w:t>3</w:t>
      </w:r>
      <w:r>
        <w:rPr>
          <w:rFonts w:hint="eastAsia"/>
          <w:color w:val="auto"/>
          <w:lang w:val="en-US" w:eastAsia="zh-CN"/>
        </w:rPr>
        <w:t>/h。</w:t>
      </w:r>
    </w:p>
    <w:p w14:paraId="09F3DA39">
      <w:pPr>
        <w:pStyle w:val="14"/>
        <w:keepNext w:val="0"/>
        <w:keepLines w:val="0"/>
        <w:pageBreakBefore w:val="0"/>
        <w:widowControl w:val="0"/>
        <w:kinsoku/>
        <w:wordWrap/>
        <w:overflowPunct/>
        <w:topLinePunct w:val="0"/>
        <w:autoSpaceDE/>
        <w:autoSpaceDN/>
        <w:bidi w:val="0"/>
        <w:adjustRightInd/>
        <w:snapToGrid/>
        <w:ind w:firstLine="0"/>
        <w:textAlignment w:val="auto"/>
        <w:rPr>
          <w:rFonts w:hint="eastAsia" w:eastAsia="宋体"/>
          <w:color w:val="auto"/>
          <w:u w:val="single"/>
          <w:lang w:val="en-US" w:eastAsia="zh-CN"/>
        </w:rPr>
      </w:pPr>
      <w:r>
        <w:rPr>
          <w:color w:val="auto"/>
          <w:u w:val="single"/>
        </w:rPr>
        <w:t xml:space="preserve">表 </w:t>
      </w:r>
      <w:r>
        <w:rPr>
          <w:color w:val="auto"/>
          <w:u w:val="single"/>
        </w:rPr>
        <w:fldChar w:fldCharType="begin"/>
      </w:r>
      <w:r>
        <w:rPr>
          <w:color w:val="auto"/>
          <w:u w:val="single"/>
        </w:rPr>
        <w:instrText xml:space="preserve"> STYLEREF 2 \s </w:instrText>
      </w:r>
      <w:r>
        <w:rPr>
          <w:color w:val="auto"/>
          <w:u w:val="single"/>
        </w:rPr>
        <w:fldChar w:fldCharType="separate"/>
      </w:r>
      <w:r>
        <w:rPr>
          <w:color w:val="auto"/>
          <w:u w:val="single"/>
        </w:rPr>
        <w:t>2.2</w:t>
      </w:r>
      <w:r>
        <w:rPr>
          <w:color w:val="auto"/>
          <w:u w:val="single"/>
        </w:rPr>
        <w:fldChar w:fldCharType="end"/>
      </w:r>
      <w:r>
        <w:rPr>
          <w:rFonts w:hint="eastAsia"/>
          <w:color w:val="auto"/>
          <w:u w:val="single"/>
          <w:lang w:eastAsia="zh-CN"/>
        </w:rPr>
        <w:t>-</w:t>
      </w:r>
      <w:r>
        <w:rPr>
          <w:color w:val="auto"/>
          <w:u w:val="single"/>
        </w:rPr>
        <w:fldChar w:fldCharType="begin"/>
      </w:r>
      <w:r>
        <w:rPr>
          <w:color w:val="auto"/>
          <w:u w:val="single"/>
        </w:rPr>
        <w:instrText xml:space="preserve"> SEQ 表 \* ARABIC \s 2 </w:instrText>
      </w:r>
      <w:r>
        <w:rPr>
          <w:color w:val="auto"/>
          <w:u w:val="single"/>
        </w:rPr>
        <w:fldChar w:fldCharType="separate"/>
      </w:r>
      <w:r>
        <w:rPr>
          <w:color w:val="auto"/>
          <w:u w:val="single"/>
        </w:rPr>
        <w:t>2</w:t>
      </w:r>
      <w:r>
        <w:rPr>
          <w:color w:val="auto"/>
          <w:u w:val="single"/>
        </w:rPr>
        <w:fldChar w:fldCharType="end"/>
      </w:r>
      <w:r>
        <w:rPr>
          <w:rFonts w:hint="eastAsia"/>
          <w:color w:val="auto"/>
          <w:u w:val="single"/>
          <w:lang w:val="en-US" w:eastAsia="zh-CN"/>
        </w:rPr>
        <w:t xml:space="preserve">  扩建项目储罐情况一览表 </w:t>
      </w:r>
    </w:p>
    <w:tbl>
      <w:tblPr>
        <w:tblStyle w:val="43"/>
        <w:tblW w:w="92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846"/>
        <w:gridCol w:w="1193"/>
        <w:gridCol w:w="1385"/>
        <w:gridCol w:w="1359"/>
        <w:gridCol w:w="1241"/>
        <w:gridCol w:w="1866"/>
        <w:gridCol w:w="1328"/>
      </w:tblGrid>
      <w:tr w14:paraId="16BB2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trPr>
        <w:tc>
          <w:tcPr>
            <w:tcW w:w="846" w:type="dxa"/>
            <w:vAlign w:val="center"/>
          </w:tcPr>
          <w:p w14:paraId="07090B7D">
            <w:pPr>
              <w:pStyle w:val="91"/>
              <w:keepNext w:val="0"/>
              <w:keepLines w:val="0"/>
              <w:suppressLineNumbers w:val="0"/>
              <w:spacing w:before="0" w:beforeAutospacing="0" w:after="0" w:afterAutospacing="0"/>
              <w:ind w:left="0" w:right="0"/>
              <w:jc w:val="center"/>
              <w:rPr>
                <w:rFonts w:hint="default"/>
                <w:b/>
                <w:color w:val="auto"/>
                <w:u w:val="single"/>
              </w:rPr>
            </w:pPr>
            <w:r>
              <w:rPr>
                <w:rFonts w:hint="eastAsia"/>
                <w:b/>
                <w:color w:val="auto"/>
                <w:u w:val="single"/>
              </w:rPr>
              <w:t>罐组</w:t>
            </w:r>
          </w:p>
        </w:tc>
        <w:tc>
          <w:tcPr>
            <w:tcW w:w="1193" w:type="dxa"/>
            <w:vAlign w:val="center"/>
          </w:tcPr>
          <w:p w14:paraId="4D16F32A">
            <w:pPr>
              <w:pStyle w:val="91"/>
              <w:keepNext w:val="0"/>
              <w:keepLines w:val="0"/>
              <w:suppressLineNumbers w:val="0"/>
              <w:spacing w:before="0" w:beforeAutospacing="0" w:after="0" w:afterAutospacing="0"/>
              <w:ind w:left="0" w:right="0"/>
              <w:jc w:val="center"/>
              <w:rPr>
                <w:rFonts w:hint="default"/>
                <w:b/>
                <w:color w:val="auto"/>
                <w:u w:val="single"/>
              </w:rPr>
            </w:pPr>
            <w:r>
              <w:rPr>
                <w:rFonts w:hint="eastAsia"/>
                <w:b/>
                <w:color w:val="auto"/>
                <w:u w:val="single"/>
              </w:rPr>
              <w:t>储罐编号</w:t>
            </w:r>
          </w:p>
        </w:tc>
        <w:tc>
          <w:tcPr>
            <w:tcW w:w="1385" w:type="dxa"/>
            <w:vAlign w:val="center"/>
          </w:tcPr>
          <w:p w14:paraId="44266276">
            <w:pPr>
              <w:pStyle w:val="91"/>
              <w:keepNext w:val="0"/>
              <w:keepLines w:val="0"/>
              <w:suppressLineNumbers w:val="0"/>
              <w:spacing w:before="0" w:beforeAutospacing="0" w:after="0" w:afterAutospacing="0"/>
              <w:ind w:left="0" w:right="0"/>
              <w:jc w:val="center"/>
              <w:rPr>
                <w:rFonts w:hint="default"/>
                <w:b/>
                <w:color w:val="auto"/>
                <w:u w:val="single"/>
              </w:rPr>
            </w:pPr>
            <w:r>
              <w:rPr>
                <w:rFonts w:hint="eastAsia"/>
                <w:b/>
                <w:color w:val="auto"/>
                <w:u w:val="single"/>
              </w:rPr>
              <w:t>储罐</w:t>
            </w:r>
            <w:r>
              <w:rPr>
                <w:rFonts w:hint="default"/>
                <w:b/>
                <w:color w:val="auto"/>
                <w:u w:val="single"/>
              </w:rPr>
              <w:t>类型</w:t>
            </w:r>
          </w:p>
        </w:tc>
        <w:tc>
          <w:tcPr>
            <w:tcW w:w="1359" w:type="dxa"/>
            <w:vAlign w:val="center"/>
          </w:tcPr>
          <w:p w14:paraId="0A58A58C">
            <w:pPr>
              <w:pStyle w:val="91"/>
              <w:keepNext w:val="0"/>
              <w:keepLines w:val="0"/>
              <w:suppressLineNumbers w:val="0"/>
              <w:spacing w:before="0" w:beforeAutospacing="0" w:after="0" w:afterAutospacing="0"/>
              <w:ind w:left="0" w:right="0"/>
              <w:jc w:val="center"/>
              <w:rPr>
                <w:rFonts w:hint="default"/>
                <w:b/>
                <w:color w:val="auto"/>
                <w:u w:val="single"/>
              </w:rPr>
            </w:pPr>
            <w:r>
              <w:rPr>
                <w:rFonts w:hint="eastAsia"/>
                <w:b/>
                <w:color w:val="auto"/>
                <w:u w:val="single"/>
              </w:rPr>
              <w:t>单个储罐</w:t>
            </w:r>
            <w:r>
              <w:rPr>
                <w:rFonts w:hint="default"/>
                <w:b/>
                <w:color w:val="auto"/>
                <w:u w:val="single"/>
              </w:rPr>
              <w:t>容积</w:t>
            </w:r>
            <w:r>
              <w:rPr>
                <w:rFonts w:hint="eastAsia"/>
                <w:b/>
                <w:color w:val="auto"/>
                <w:u w:val="single"/>
              </w:rPr>
              <w:t>（m</w:t>
            </w:r>
            <w:r>
              <w:rPr>
                <w:rFonts w:hint="default"/>
                <w:b/>
                <w:color w:val="auto"/>
                <w:u w:val="single"/>
                <w:vertAlign w:val="superscript"/>
              </w:rPr>
              <w:t>3</w:t>
            </w:r>
            <w:r>
              <w:rPr>
                <w:rFonts w:hint="eastAsia"/>
                <w:b/>
                <w:color w:val="auto"/>
                <w:u w:val="single"/>
              </w:rPr>
              <w:t>）</w:t>
            </w:r>
          </w:p>
        </w:tc>
        <w:tc>
          <w:tcPr>
            <w:tcW w:w="1241" w:type="dxa"/>
          </w:tcPr>
          <w:p w14:paraId="6ACB9575">
            <w:pPr>
              <w:pStyle w:val="91"/>
              <w:keepNext w:val="0"/>
              <w:keepLines w:val="0"/>
              <w:suppressLineNumbers w:val="0"/>
              <w:spacing w:before="0" w:beforeAutospacing="0" w:after="0" w:afterAutospacing="0"/>
              <w:ind w:left="0" w:right="0"/>
              <w:jc w:val="center"/>
              <w:rPr>
                <w:rFonts w:hint="eastAsia"/>
                <w:b/>
                <w:color w:val="auto"/>
                <w:u w:val="single"/>
              </w:rPr>
            </w:pPr>
            <w:r>
              <w:rPr>
                <w:rFonts w:hint="eastAsia"/>
                <w:b/>
                <w:color w:val="auto"/>
                <w:u w:val="single"/>
              </w:rPr>
              <w:t>规格型号（m）</w:t>
            </w:r>
          </w:p>
        </w:tc>
        <w:tc>
          <w:tcPr>
            <w:tcW w:w="1866" w:type="dxa"/>
          </w:tcPr>
          <w:p w14:paraId="0716EC0A">
            <w:pPr>
              <w:pStyle w:val="91"/>
              <w:keepNext w:val="0"/>
              <w:keepLines w:val="0"/>
              <w:suppressLineNumbers w:val="0"/>
              <w:spacing w:before="0" w:beforeAutospacing="0" w:after="0" w:afterAutospacing="0"/>
              <w:ind w:left="0" w:right="0"/>
              <w:jc w:val="center"/>
              <w:rPr>
                <w:rFonts w:hint="eastAsia"/>
                <w:b/>
                <w:color w:val="auto"/>
                <w:u w:val="single"/>
                <w:lang w:val="en-US" w:eastAsia="zh-CN"/>
              </w:rPr>
            </w:pPr>
            <w:r>
              <w:rPr>
                <w:rFonts w:hint="eastAsia"/>
                <w:b/>
                <w:color w:val="auto"/>
                <w:u w:val="single"/>
                <w:lang w:val="en-US" w:eastAsia="zh-CN"/>
              </w:rPr>
              <w:t>储存货种</w:t>
            </w:r>
          </w:p>
        </w:tc>
        <w:tc>
          <w:tcPr>
            <w:tcW w:w="1328" w:type="dxa"/>
          </w:tcPr>
          <w:p w14:paraId="5DDEA6B1">
            <w:pPr>
              <w:pStyle w:val="91"/>
              <w:keepNext w:val="0"/>
              <w:keepLines w:val="0"/>
              <w:suppressLineNumbers w:val="0"/>
              <w:spacing w:before="0" w:beforeAutospacing="0" w:after="0" w:afterAutospacing="0"/>
              <w:ind w:left="0" w:right="0"/>
              <w:jc w:val="center"/>
              <w:rPr>
                <w:rFonts w:hint="default" w:eastAsia="宋体"/>
                <w:b/>
                <w:color w:val="auto"/>
                <w:u w:val="single"/>
                <w:lang w:val="en-US" w:eastAsia="zh-CN"/>
              </w:rPr>
            </w:pPr>
            <w:r>
              <w:rPr>
                <w:rFonts w:hint="eastAsia"/>
                <w:b/>
                <w:color w:val="auto"/>
                <w:u w:val="single"/>
                <w:lang w:val="en-US" w:eastAsia="zh-CN"/>
              </w:rPr>
              <w:t>备注</w:t>
            </w:r>
          </w:p>
        </w:tc>
      </w:tr>
      <w:tr w14:paraId="23A02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Merge w:val="restart"/>
            <w:vAlign w:val="center"/>
          </w:tcPr>
          <w:p w14:paraId="05163017">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1#原油罐组</w:t>
            </w:r>
          </w:p>
        </w:tc>
        <w:tc>
          <w:tcPr>
            <w:tcW w:w="1193" w:type="dxa"/>
            <w:shd w:val="clear" w:color="auto" w:fill="auto"/>
            <w:vAlign w:val="center"/>
          </w:tcPr>
          <w:p w14:paraId="62BBD3F1">
            <w:pPr>
              <w:pStyle w:val="91"/>
              <w:keepNext w:val="0"/>
              <w:keepLines w:val="0"/>
              <w:suppressLineNumbers w:val="0"/>
              <w:spacing w:before="0" w:beforeAutospacing="0" w:after="0" w:afterAutospacing="0"/>
              <w:ind w:left="0" w:leftChars="0" w:right="0" w:rightChars="0" w:firstLine="0" w:firstLineChars="0"/>
              <w:jc w:val="center"/>
              <w:rPr>
                <w:rFonts w:hint="default" w:ascii="Times New Roman" w:hAnsi="宋体" w:eastAsia="宋体" w:cs="Times New Roman"/>
                <w:snapToGrid w:val="0"/>
                <w:color w:val="auto"/>
                <w:kern w:val="0"/>
                <w:sz w:val="21"/>
                <w:szCs w:val="21"/>
                <w:u w:val="single"/>
                <w:lang w:val="en-US" w:eastAsia="zh-CN" w:bidi="ar-SA"/>
              </w:rPr>
            </w:pPr>
            <w:r>
              <w:rPr>
                <w:rFonts w:hint="eastAsia"/>
                <w:color w:val="auto"/>
                <w:u w:val="single"/>
              </w:rPr>
              <w:t>V102</w:t>
            </w:r>
          </w:p>
        </w:tc>
        <w:tc>
          <w:tcPr>
            <w:tcW w:w="1385" w:type="dxa"/>
            <w:vMerge w:val="restart"/>
            <w:vAlign w:val="center"/>
          </w:tcPr>
          <w:p w14:paraId="358C8FF7">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外浮顶</w:t>
            </w:r>
          </w:p>
        </w:tc>
        <w:tc>
          <w:tcPr>
            <w:tcW w:w="1359" w:type="dxa"/>
            <w:vAlign w:val="center"/>
          </w:tcPr>
          <w:p w14:paraId="3FACBC4F">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40000</w:t>
            </w:r>
          </w:p>
        </w:tc>
        <w:tc>
          <w:tcPr>
            <w:tcW w:w="1241" w:type="dxa"/>
            <w:vMerge w:val="restart"/>
          </w:tcPr>
          <w:p w14:paraId="3E7A1E61">
            <w:pPr>
              <w:pStyle w:val="91"/>
              <w:keepNext w:val="0"/>
              <w:keepLines w:val="0"/>
              <w:suppressLineNumbers w:val="0"/>
              <w:spacing w:before="0" w:beforeAutospacing="0" w:after="0" w:afterAutospacing="0"/>
              <w:ind w:left="0" w:right="0"/>
              <w:jc w:val="center"/>
              <w:rPr>
                <w:rFonts w:hint="eastAsia"/>
                <w:color w:val="auto"/>
                <w:u w:val="single"/>
              </w:rPr>
            </w:pPr>
            <w:r>
              <w:rPr>
                <w:rFonts w:hint="eastAsia"/>
                <w:color w:val="auto"/>
                <w:u w:val="single"/>
              </w:rPr>
              <w:t>Φ</w:t>
            </w:r>
            <w:r>
              <w:rPr>
                <w:rFonts w:hint="default"/>
                <w:color w:val="auto"/>
                <w:u w:val="single"/>
              </w:rPr>
              <w:t>52×19.55</w:t>
            </w:r>
          </w:p>
        </w:tc>
        <w:tc>
          <w:tcPr>
            <w:tcW w:w="1866" w:type="dxa"/>
          </w:tcPr>
          <w:p w14:paraId="305F1B4B">
            <w:pPr>
              <w:pStyle w:val="91"/>
              <w:keepNext w:val="0"/>
              <w:keepLines w:val="0"/>
              <w:suppressLineNumbers w:val="0"/>
              <w:spacing w:before="0" w:beforeAutospacing="0" w:after="0" w:afterAutospacing="0"/>
              <w:ind w:left="0" w:right="0"/>
              <w:jc w:val="center"/>
              <w:rPr>
                <w:rFonts w:hint="eastAsia"/>
                <w:color w:val="auto"/>
                <w:u w:val="single"/>
              </w:rPr>
            </w:pPr>
            <w:r>
              <w:rPr>
                <w:rFonts w:hint="eastAsia"/>
                <w:color w:val="auto"/>
                <w:u w:val="single"/>
                <w:lang w:eastAsia="zh-CN"/>
              </w:rPr>
              <w:t>原油、蜡油</w:t>
            </w:r>
          </w:p>
        </w:tc>
        <w:tc>
          <w:tcPr>
            <w:tcW w:w="1328" w:type="dxa"/>
          </w:tcPr>
          <w:p w14:paraId="5F88D6C6">
            <w:pPr>
              <w:pStyle w:val="91"/>
              <w:keepNext w:val="0"/>
              <w:keepLines w:val="0"/>
              <w:suppressLineNumbers w:val="0"/>
              <w:spacing w:before="0" w:beforeAutospacing="0" w:after="0" w:afterAutospacing="0"/>
              <w:ind w:left="0" w:right="0"/>
              <w:jc w:val="center"/>
              <w:rPr>
                <w:rFonts w:hint="eastAsia" w:eastAsia="宋体"/>
                <w:color w:val="auto"/>
                <w:u w:val="single"/>
                <w:lang w:eastAsia="zh-CN"/>
              </w:rPr>
            </w:pPr>
            <w:r>
              <w:rPr>
                <w:rFonts w:hint="eastAsia"/>
                <w:color w:val="auto"/>
                <w:u w:val="single"/>
                <w:lang w:eastAsia="zh-CN"/>
              </w:rPr>
              <w:t>利旧</w:t>
            </w:r>
          </w:p>
        </w:tc>
      </w:tr>
      <w:tr w14:paraId="1C64E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Merge w:val="continue"/>
            <w:vAlign w:val="center"/>
          </w:tcPr>
          <w:p w14:paraId="41CE3E90">
            <w:pPr>
              <w:pStyle w:val="91"/>
              <w:keepNext w:val="0"/>
              <w:keepLines w:val="0"/>
              <w:suppressLineNumbers w:val="0"/>
              <w:spacing w:before="0" w:beforeAutospacing="0" w:after="0" w:afterAutospacing="0"/>
              <w:ind w:left="0" w:right="0"/>
              <w:jc w:val="center"/>
              <w:rPr>
                <w:rFonts w:hint="default"/>
                <w:color w:val="auto"/>
                <w:u w:val="single"/>
              </w:rPr>
            </w:pPr>
          </w:p>
        </w:tc>
        <w:tc>
          <w:tcPr>
            <w:tcW w:w="1193" w:type="dxa"/>
            <w:shd w:val="clear" w:color="auto" w:fill="auto"/>
            <w:vAlign w:val="center"/>
          </w:tcPr>
          <w:p w14:paraId="6853D42D">
            <w:pPr>
              <w:pStyle w:val="91"/>
              <w:keepNext w:val="0"/>
              <w:keepLines w:val="0"/>
              <w:suppressLineNumbers w:val="0"/>
              <w:spacing w:before="0" w:beforeAutospacing="0" w:after="0" w:afterAutospacing="0"/>
              <w:ind w:left="0" w:leftChars="0" w:right="0" w:rightChars="0" w:firstLine="0" w:firstLineChars="0"/>
              <w:jc w:val="center"/>
              <w:rPr>
                <w:rFonts w:hint="default" w:ascii="Times New Roman" w:hAnsi="宋体" w:eastAsia="宋体" w:cs="Times New Roman"/>
                <w:snapToGrid w:val="0"/>
                <w:color w:val="auto"/>
                <w:kern w:val="0"/>
                <w:sz w:val="21"/>
                <w:szCs w:val="21"/>
                <w:u w:val="single"/>
                <w:lang w:val="en-US" w:eastAsia="zh-CN" w:bidi="ar-SA"/>
              </w:rPr>
            </w:pPr>
            <w:r>
              <w:rPr>
                <w:rFonts w:hint="eastAsia"/>
                <w:color w:val="auto"/>
                <w:u w:val="single"/>
              </w:rPr>
              <w:t>V103</w:t>
            </w:r>
          </w:p>
        </w:tc>
        <w:tc>
          <w:tcPr>
            <w:tcW w:w="1385" w:type="dxa"/>
            <w:vMerge w:val="continue"/>
            <w:vAlign w:val="center"/>
          </w:tcPr>
          <w:p w14:paraId="7EC058A8">
            <w:pPr>
              <w:pStyle w:val="91"/>
              <w:keepNext w:val="0"/>
              <w:keepLines w:val="0"/>
              <w:suppressLineNumbers w:val="0"/>
              <w:spacing w:before="0" w:beforeAutospacing="0" w:after="0" w:afterAutospacing="0"/>
              <w:ind w:left="0" w:right="0"/>
              <w:jc w:val="center"/>
              <w:rPr>
                <w:rFonts w:hint="default"/>
                <w:color w:val="auto"/>
                <w:u w:val="single"/>
              </w:rPr>
            </w:pPr>
          </w:p>
        </w:tc>
        <w:tc>
          <w:tcPr>
            <w:tcW w:w="1359" w:type="dxa"/>
            <w:vAlign w:val="center"/>
          </w:tcPr>
          <w:p w14:paraId="2BFBC984">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40000</w:t>
            </w:r>
          </w:p>
        </w:tc>
        <w:tc>
          <w:tcPr>
            <w:tcW w:w="1241" w:type="dxa"/>
            <w:vMerge w:val="continue"/>
          </w:tcPr>
          <w:p w14:paraId="62A32A80">
            <w:pPr>
              <w:pStyle w:val="91"/>
              <w:keepNext w:val="0"/>
              <w:keepLines w:val="0"/>
              <w:suppressLineNumbers w:val="0"/>
              <w:spacing w:before="0" w:beforeAutospacing="0" w:after="0" w:afterAutospacing="0"/>
              <w:ind w:left="0" w:right="0"/>
              <w:jc w:val="center"/>
              <w:rPr>
                <w:rFonts w:hint="eastAsia"/>
                <w:color w:val="auto"/>
                <w:u w:val="single"/>
              </w:rPr>
            </w:pPr>
          </w:p>
        </w:tc>
        <w:tc>
          <w:tcPr>
            <w:tcW w:w="1866" w:type="dxa"/>
          </w:tcPr>
          <w:p w14:paraId="52D4F98B">
            <w:pPr>
              <w:pStyle w:val="91"/>
              <w:keepNext w:val="0"/>
              <w:keepLines w:val="0"/>
              <w:suppressLineNumbers w:val="0"/>
              <w:spacing w:before="0" w:beforeAutospacing="0" w:after="0" w:afterAutospacing="0"/>
              <w:ind w:left="0" w:right="0"/>
              <w:jc w:val="center"/>
              <w:rPr>
                <w:rFonts w:hint="eastAsia" w:eastAsia="宋体"/>
                <w:color w:val="auto"/>
                <w:u w:val="single"/>
                <w:lang w:eastAsia="zh-CN"/>
              </w:rPr>
            </w:pPr>
            <w:r>
              <w:rPr>
                <w:rFonts w:hint="eastAsia"/>
                <w:color w:val="auto"/>
                <w:u w:val="single"/>
                <w:lang w:eastAsia="zh-CN"/>
              </w:rPr>
              <w:t>原油、渣油</w:t>
            </w:r>
          </w:p>
        </w:tc>
        <w:tc>
          <w:tcPr>
            <w:tcW w:w="1328" w:type="dxa"/>
          </w:tcPr>
          <w:p w14:paraId="7E73A803">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lang w:eastAsia="zh-CN"/>
              </w:rPr>
              <w:t>利旧</w:t>
            </w:r>
          </w:p>
        </w:tc>
      </w:tr>
      <w:tr w14:paraId="33595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Merge w:val="restart"/>
            <w:vAlign w:val="center"/>
          </w:tcPr>
          <w:p w14:paraId="3CCB052B">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3#汽油罐组</w:t>
            </w:r>
          </w:p>
        </w:tc>
        <w:tc>
          <w:tcPr>
            <w:tcW w:w="1193" w:type="dxa"/>
            <w:vAlign w:val="center"/>
          </w:tcPr>
          <w:p w14:paraId="1E8A9C2A">
            <w:pPr>
              <w:pStyle w:val="91"/>
              <w:keepNext w:val="0"/>
              <w:keepLines w:val="0"/>
              <w:suppressLineNumbers w:val="0"/>
              <w:spacing w:before="0" w:beforeAutospacing="0" w:after="0" w:afterAutospacing="0"/>
              <w:ind w:left="0" w:leftChars="0" w:right="0" w:rightChars="0" w:firstLine="0" w:firstLineChars="0"/>
              <w:jc w:val="center"/>
              <w:rPr>
                <w:rFonts w:hint="default"/>
                <w:color w:val="auto"/>
                <w:u w:val="single"/>
              </w:rPr>
            </w:pPr>
            <w:r>
              <w:rPr>
                <w:rFonts w:hint="eastAsia"/>
                <w:color w:val="auto"/>
                <w:u w:val="single"/>
              </w:rPr>
              <w:t>V</w:t>
            </w:r>
            <w:r>
              <w:rPr>
                <w:rFonts w:hint="default"/>
                <w:color w:val="auto"/>
                <w:u w:val="single"/>
              </w:rPr>
              <w:t>3</w:t>
            </w:r>
            <w:r>
              <w:rPr>
                <w:rFonts w:hint="eastAsia"/>
                <w:color w:val="auto"/>
                <w:u w:val="single"/>
              </w:rPr>
              <w:t>05</w:t>
            </w:r>
          </w:p>
        </w:tc>
        <w:tc>
          <w:tcPr>
            <w:tcW w:w="1385" w:type="dxa"/>
            <w:vMerge w:val="restart"/>
            <w:vAlign w:val="center"/>
          </w:tcPr>
          <w:p w14:paraId="44E7C4FD">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内浮顶</w:t>
            </w:r>
          </w:p>
        </w:tc>
        <w:tc>
          <w:tcPr>
            <w:tcW w:w="1359" w:type="dxa"/>
            <w:vAlign w:val="center"/>
          </w:tcPr>
          <w:p w14:paraId="0484BF28">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10000</w:t>
            </w:r>
          </w:p>
        </w:tc>
        <w:tc>
          <w:tcPr>
            <w:tcW w:w="1241" w:type="dxa"/>
            <w:vMerge w:val="restart"/>
            <w:vAlign w:val="center"/>
          </w:tcPr>
          <w:p w14:paraId="048CAC50">
            <w:pPr>
              <w:pStyle w:val="91"/>
              <w:keepNext w:val="0"/>
              <w:keepLines w:val="0"/>
              <w:suppressLineNumbers w:val="0"/>
              <w:spacing w:before="0" w:beforeAutospacing="0" w:after="0" w:afterAutospacing="0"/>
              <w:ind w:left="0" w:right="0"/>
              <w:jc w:val="center"/>
              <w:rPr>
                <w:rFonts w:hint="eastAsia"/>
                <w:color w:val="auto"/>
                <w:u w:val="single"/>
              </w:rPr>
            </w:pPr>
            <w:r>
              <w:rPr>
                <w:rFonts w:hint="eastAsia"/>
                <w:color w:val="auto"/>
                <w:u w:val="single"/>
              </w:rPr>
              <w:t>Φ</w:t>
            </w:r>
            <w:r>
              <w:rPr>
                <w:rFonts w:hint="default"/>
                <w:color w:val="auto"/>
                <w:u w:val="single"/>
              </w:rPr>
              <w:t>28×16.8</w:t>
            </w:r>
          </w:p>
        </w:tc>
        <w:tc>
          <w:tcPr>
            <w:tcW w:w="1866" w:type="dxa"/>
            <w:vAlign w:val="center"/>
          </w:tcPr>
          <w:p w14:paraId="74AAB653">
            <w:pPr>
              <w:pStyle w:val="91"/>
              <w:keepNext w:val="0"/>
              <w:keepLines w:val="0"/>
              <w:suppressLineNumbers w:val="0"/>
              <w:spacing w:before="0" w:beforeAutospacing="0" w:after="0" w:afterAutospacing="0"/>
              <w:ind w:left="0" w:leftChars="0" w:right="0" w:rightChars="0" w:firstLine="0" w:firstLineChars="0"/>
              <w:jc w:val="center"/>
              <w:rPr>
                <w:rFonts w:hint="eastAsia"/>
                <w:color w:val="auto"/>
                <w:u w:val="single"/>
              </w:rPr>
            </w:pPr>
            <w:r>
              <w:rPr>
                <w:rFonts w:hint="eastAsia"/>
                <w:color w:val="auto"/>
                <w:u w:val="single"/>
              </w:rPr>
              <w:t>石脑油</w:t>
            </w:r>
          </w:p>
        </w:tc>
        <w:tc>
          <w:tcPr>
            <w:tcW w:w="1328" w:type="dxa"/>
          </w:tcPr>
          <w:p w14:paraId="4454DCB3">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lang w:eastAsia="zh-CN"/>
              </w:rPr>
              <w:t>利旧</w:t>
            </w:r>
          </w:p>
        </w:tc>
      </w:tr>
      <w:tr w14:paraId="71306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Merge w:val="continue"/>
            <w:vAlign w:val="center"/>
          </w:tcPr>
          <w:p w14:paraId="436A3E35">
            <w:pPr>
              <w:pStyle w:val="91"/>
              <w:keepNext w:val="0"/>
              <w:keepLines w:val="0"/>
              <w:suppressLineNumbers w:val="0"/>
              <w:spacing w:before="0" w:beforeAutospacing="0" w:after="0" w:afterAutospacing="0"/>
              <w:ind w:left="0" w:right="0"/>
              <w:jc w:val="center"/>
              <w:rPr>
                <w:rFonts w:hint="default"/>
                <w:color w:val="auto"/>
                <w:u w:val="single"/>
              </w:rPr>
            </w:pPr>
          </w:p>
        </w:tc>
        <w:tc>
          <w:tcPr>
            <w:tcW w:w="1193" w:type="dxa"/>
            <w:vAlign w:val="center"/>
          </w:tcPr>
          <w:p w14:paraId="5904678F">
            <w:pPr>
              <w:pStyle w:val="91"/>
              <w:keepNext w:val="0"/>
              <w:keepLines w:val="0"/>
              <w:suppressLineNumbers w:val="0"/>
              <w:spacing w:before="0" w:beforeAutospacing="0" w:after="0" w:afterAutospacing="0"/>
              <w:ind w:left="0" w:leftChars="0" w:right="0" w:rightChars="0" w:firstLine="0" w:firstLineChars="0"/>
              <w:jc w:val="center"/>
              <w:rPr>
                <w:rFonts w:hint="default"/>
                <w:color w:val="auto"/>
                <w:u w:val="single"/>
              </w:rPr>
            </w:pPr>
            <w:r>
              <w:rPr>
                <w:rFonts w:hint="eastAsia"/>
                <w:color w:val="auto"/>
                <w:u w:val="single"/>
              </w:rPr>
              <w:t>V</w:t>
            </w:r>
            <w:r>
              <w:rPr>
                <w:rFonts w:hint="default"/>
                <w:color w:val="auto"/>
                <w:u w:val="single"/>
              </w:rPr>
              <w:t>3</w:t>
            </w:r>
            <w:r>
              <w:rPr>
                <w:rFonts w:hint="eastAsia"/>
                <w:color w:val="auto"/>
                <w:u w:val="single"/>
              </w:rPr>
              <w:t>06</w:t>
            </w:r>
          </w:p>
        </w:tc>
        <w:tc>
          <w:tcPr>
            <w:tcW w:w="1385" w:type="dxa"/>
            <w:vMerge w:val="continue"/>
            <w:vAlign w:val="center"/>
          </w:tcPr>
          <w:p w14:paraId="46DB5311">
            <w:pPr>
              <w:pStyle w:val="91"/>
              <w:keepNext w:val="0"/>
              <w:keepLines w:val="0"/>
              <w:suppressLineNumbers w:val="0"/>
              <w:spacing w:before="0" w:beforeAutospacing="0" w:after="0" w:afterAutospacing="0"/>
              <w:ind w:left="0" w:right="0"/>
              <w:jc w:val="center"/>
              <w:rPr>
                <w:rFonts w:hint="default"/>
                <w:color w:val="auto"/>
                <w:u w:val="single"/>
              </w:rPr>
            </w:pPr>
          </w:p>
        </w:tc>
        <w:tc>
          <w:tcPr>
            <w:tcW w:w="1359" w:type="dxa"/>
            <w:vAlign w:val="center"/>
          </w:tcPr>
          <w:p w14:paraId="4C2B2A45">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10000</w:t>
            </w:r>
          </w:p>
        </w:tc>
        <w:tc>
          <w:tcPr>
            <w:tcW w:w="1241" w:type="dxa"/>
            <w:vMerge w:val="continue"/>
            <w:vAlign w:val="center"/>
          </w:tcPr>
          <w:p w14:paraId="6B6D1879">
            <w:pPr>
              <w:pStyle w:val="91"/>
              <w:keepNext w:val="0"/>
              <w:keepLines w:val="0"/>
              <w:suppressLineNumbers w:val="0"/>
              <w:spacing w:before="0" w:beforeAutospacing="0" w:after="0" w:afterAutospacing="0"/>
              <w:ind w:left="0" w:right="0"/>
              <w:jc w:val="center"/>
              <w:rPr>
                <w:rFonts w:hint="eastAsia"/>
                <w:color w:val="auto"/>
                <w:u w:val="single"/>
              </w:rPr>
            </w:pPr>
          </w:p>
        </w:tc>
        <w:tc>
          <w:tcPr>
            <w:tcW w:w="1866" w:type="dxa"/>
            <w:vAlign w:val="center"/>
          </w:tcPr>
          <w:p w14:paraId="38404EA0">
            <w:pPr>
              <w:pStyle w:val="91"/>
              <w:keepNext w:val="0"/>
              <w:keepLines w:val="0"/>
              <w:suppressLineNumbers w:val="0"/>
              <w:spacing w:before="0" w:beforeAutospacing="0" w:after="0" w:afterAutospacing="0"/>
              <w:ind w:left="0" w:leftChars="0" w:right="0" w:rightChars="0" w:firstLine="0" w:firstLineChars="0"/>
              <w:jc w:val="center"/>
              <w:rPr>
                <w:rFonts w:hint="eastAsia"/>
                <w:color w:val="auto"/>
                <w:u w:val="single"/>
              </w:rPr>
            </w:pPr>
            <w:r>
              <w:rPr>
                <w:rFonts w:hint="eastAsia"/>
                <w:color w:val="auto"/>
                <w:u w:val="single"/>
              </w:rPr>
              <w:t>异辛烷（烷基化油）</w:t>
            </w:r>
          </w:p>
        </w:tc>
        <w:tc>
          <w:tcPr>
            <w:tcW w:w="1328" w:type="dxa"/>
          </w:tcPr>
          <w:p w14:paraId="6F0EDBEE">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lang w:eastAsia="zh-CN"/>
              </w:rPr>
              <w:t>利旧</w:t>
            </w:r>
          </w:p>
        </w:tc>
      </w:tr>
      <w:tr w14:paraId="2B76A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Merge w:val="continue"/>
            <w:vAlign w:val="center"/>
          </w:tcPr>
          <w:p w14:paraId="58577151">
            <w:pPr>
              <w:pStyle w:val="91"/>
              <w:keepNext w:val="0"/>
              <w:keepLines w:val="0"/>
              <w:suppressLineNumbers w:val="0"/>
              <w:spacing w:before="0" w:beforeAutospacing="0" w:after="0" w:afterAutospacing="0"/>
              <w:ind w:left="0" w:right="0"/>
              <w:jc w:val="center"/>
              <w:rPr>
                <w:rFonts w:hint="default"/>
                <w:color w:val="auto"/>
                <w:u w:val="single"/>
              </w:rPr>
            </w:pPr>
          </w:p>
        </w:tc>
        <w:tc>
          <w:tcPr>
            <w:tcW w:w="1193" w:type="dxa"/>
            <w:vAlign w:val="center"/>
          </w:tcPr>
          <w:p w14:paraId="599218D2">
            <w:pPr>
              <w:pStyle w:val="91"/>
              <w:keepNext w:val="0"/>
              <w:keepLines w:val="0"/>
              <w:suppressLineNumbers w:val="0"/>
              <w:spacing w:before="0" w:beforeAutospacing="0" w:after="0" w:afterAutospacing="0"/>
              <w:ind w:left="0" w:leftChars="0" w:right="0" w:rightChars="0" w:firstLine="0" w:firstLineChars="0"/>
              <w:jc w:val="center"/>
              <w:rPr>
                <w:rFonts w:hint="default"/>
                <w:color w:val="auto"/>
                <w:u w:val="single"/>
              </w:rPr>
            </w:pPr>
            <w:r>
              <w:rPr>
                <w:rFonts w:hint="eastAsia"/>
                <w:color w:val="auto"/>
                <w:u w:val="single"/>
              </w:rPr>
              <w:t>V</w:t>
            </w:r>
            <w:r>
              <w:rPr>
                <w:rFonts w:hint="default"/>
                <w:color w:val="auto"/>
                <w:u w:val="single"/>
              </w:rPr>
              <w:t>3</w:t>
            </w:r>
            <w:r>
              <w:rPr>
                <w:rFonts w:hint="eastAsia"/>
                <w:color w:val="auto"/>
                <w:u w:val="single"/>
              </w:rPr>
              <w:t>07</w:t>
            </w:r>
          </w:p>
        </w:tc>
        <w:tc>
          <w:tcPr>
            <w:tcW w:w="1385" w:type="dxa"/>
            <w:vMerge w:val="continue"/>
            <w:vAlign w:val="center"/>
          </w:tcPr>
          <w:p w14:paraId="13FCF771">
            <w:pPr>
              <w:pStyle w:val="91"/>
              <w:keepNext w:val="0"/>
              <w:keepLines w:val="0"/>
              <w:suppressLineNumbers w:val="0"/>
              <w:spacing w:before="0" w:beforeAutospacing="0" w:after="0" w:afterAutospacing="0"/>
              <w:ind w:left="0" w:right="0"/>
              <w:jc w:val="center"/>
              <w:rPr>
                <w:rFonts w:hint="default"/>
                <w:color w:val="auto"/>
                <w:u w:val="single"/>
              </w:rPr>
            </w:pPr>
          </w:p>
        </w:tc>
        <w:tc>
          <w:tcPr>
            <w:tcW w:w="1359" w:type="dxa"/>
            <w:vAlign w:val="center"/>
          </w:tcPr>
          <w:p w14:paraId="476781F5">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10000</w:t>
            </w:r>
          </w:p>
        </w:tc>
        <w:tc>
          <w:tcPr>
            <w:tcW w:w="1241" w:type="dxa"/>
            <w:vMerge w:val="continue"/>
            <w:vAlign w:val="center"/>
          </w:tcPr>
          <w:p w14:paraId="1CA0842D">
            <w:pPr>
              <w:pStyle w:val="91"/>
              <w:keepNext w:val="0"/>
              <w:keepLines w:val="0"/>
              <w:suppressLineNumbers w:val="0"/>
              <w:spacing w:before="0" w:beforeAutospacing="0" w:after="0" w:afterAutospacing="0"/>
              <w:ind w:left="0" w:right="0"/>
              <w:jc w:val="center"/>
              <w:rPr>
                <w:rFonts w:hint="eastAsia"/>
                <w:color w:val="auto"/>
                <w:u w:val="single"/>
              </w:rPr>
            </w:pPr>
          </w:p>
        </w:tc>
        <w:tc>
          <w:tcPr>
            <w:tcW w:w="1866" w:type="dxa"/>
            <w:vAlign w:val="center"/>
          </w:tcPr>
          <w:p w14:paraId="2EB8EF6E">
            <w:pPr>
              <w:pStyle w:val="91"/>
              <w:keepNext w:val="0"/>
              <w:keepLines w:val="0"/>
              <w:suppressLineNumbers w:val="0"/>
              <w:spacing w:before="0" w:beforeAutospacing="0" w:after="0" w:afterAutospacing="0"/>
              <w:ind w:left="0" w:leftChars="0" w:right="0" w:rightChars="0" w:firstLine="0" w:firstLineChars="0"/>
              <w:jc w:val="center"/>
              <w:rPr>
                <w:rFonts w:hint="default"/>
                <w:color w:val="auto"/>
                <w:u w:val="single"/>
              </w:rPr>
            </w:pPr>
            <w:r>
              <w:rPr>
                <w:rFonts w:hint="eastAsia"/>
                <w:color w:val="auto"/>
                <w:u w:val="single"/>
              </w:rPr>
              <w:t>甲基叔丁基醚（MTBE）</w:t>
            </w:r>
          </w:p>
        </w:tc>
        <w:tc>
          <w:tcPr>
            <w:tcW w:w="1328" w:type="dxa"/>
          </w:tcPr>
          <w:p w14:paraId="3186478E">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lang w:eastAsia="zh-CN"/>
              </w:rPr>
              <w:t>利旧</w:t>
            </w:r>
          </w:p>
        </w:tc>
      </w:tr>
    </w:tbl>
    <w:p w14:paraId="3438889A">
      <w:pPr>
        <w:pStyle w:val="204"/>
        <w:bidi w:val="0"/>
        <w:rPr>
          <w:rFonts w:hint="eastAsia"/>
          <w:color w:val="auto"/>
        </w:rPr>
      </w:pPr>
    </w:p>
    <w:p w14:paraId="69E8B94D">
      <w:pPr>
        <w:pStyle w:val="14"/>
        <w:rPr>
          <w:color w:val="auto"/>
        </w:rPr>
      </w:pPr>
      <w:r>
        <w:rPr>
          <w:rFonts w:hint="eastAsia"/>
          <w:color w:val="auto"/>
        </w:rPr>
        <w:t>表</w:t>
      </w:r>
      <w:r>
        <w:rPr>
          <w:color w:val="auto"/>
        </w:rPr>
        <w:t>2.2</w:t>
      </w:r>
      <w:r>
        <w:rPr>
          <w:color w:val="auto"/>
        </w:rPr>
        <w:noBreakHyphen/>
      </w:r>
      <w:r>
        <w:rPr>
          <w:color w:val="auto"/>
        </w:rPr>
        <w:t>4</w:t>
      </w:r>
      <w:r>
        <w:rPr>
          <w:rFonts w:hint="eastAsia"/>
          <w:color w:val="auto"/>
        </w:rPr>
        <w:t>管道设计</w:t>
      </w:r>
      <w:r>
        <w:rPr>
          <w:color w:val="auto"/>
        </w:rPr>
        <w:t>一览表</w:t>
      </w:r>
    </w:p>
    <w:tbl>
      <w:tblPr>
        <w:tblStyle w:val="43"/>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1" w:type="dxa"/>
          <w:bottom w:w="0" w:type="dxa"/>
          <w:right w:w="51" w:type="dxa"/>
        </w:tblCellMar>
      </w:tblPr>
      <w:tblGrid>
        <w:gridCol w:w="500"/>
        <w:gridCol w:w="833"/>
        <w:gridCol w:w="1081"/>
        <w:gridCol w:w="806"/>
        <w:gridCol w:w="840"/>
        <w:gridCol w:w="1378"/>
        <w:gridCol w:w="735"/>
        <w:gridCol w:w="1991"/>
        <w:gridCol w:w="1287"/>
      </w:tblGrid>
      <w:tr w14:paraId="7DC268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tblHeader/>
          <w:jc w:val="center"/>
        </w:trPr>
        <w:tc>
          <w:tcPr>
            <w:tcW w:w="265" w:type="pct"/>
            <w:vAlign w:val="center"/>
          </w:tcPr>
          <w:p w14:paraId="2019B0F1">
            <w:pPr>
              <w:pStyle w:val="91"/>
              <w:keepNext w:val="0"/>
              <w:keepLines w:val="0"/>
              <w:suppressLineNumbers w:val="0"/>
              <w:spacing w:before="0" w:beforeAutospacing="0" w:after="0" w:afterAutospacing="0"/>
              <w:ind w:left="0" w:right="0"/>
              <w:rPr>
                <w:rFonts w:hint="default"/>
                <w:b/>
                <w:color w:val="auto"/>
              </w:rPr>
            </w:pPr>
            <w:bookmarkStart w:id="294" w:name="_Toc223258457"/>
            <w:r>
              <w:rPr>
                <w:rFonts w:hint="default"/>
                <w:b/>
                <w:color w:val="auto"/>
              </w:rPr>
              <w:t>序号</w:t>
            </w:r>
            <w:bookmarkEnd w:id="294"/>
          </w:p>
        </w:tc>
        <w:tc>
          <w:tcPr>
            <w:tcW w:w="440" w:type="pct"/>
            <w:vAlign w:val="center"/>
          </w:tcPr>
          <w:p w14:paraId="14A5CB98">
            <w:pPr>
              <w:pStyle w:val="91"/>
              <w:keepNext w:val="0"/>
              <w:keepLines w:val="0"/>
              <w:suppressLineNumbers w:val="0"/>
              <w:spacing w:before="0" w:beforeAutospacing="0" w:after="0" w:afterAutospacing="0"/>
              <w:ind w:left="0" w:right="0"/>
              <w:rPr>
                <w:rFonts w:hint="default"/>
                <w:b/>
                <w:color w:val="auto"/>
              </w:rPr>
            </w:pPr>
            <w:bookmarkStart w:id="295" w:name="_Toc223258458"/>
            <w:r>
              <w:rPr>
                <w:rFonts w:hint="default"/>
                <w:b/>
                <w:color w:val="auto"/>
              </w:rPr>
              <w:t>管道号</w:t>
            </w:r>
            <w:bookmarkEnd w:id="295"/>
          </w:p>
        </w:tc>
        <w:tc>
          <w:tcPr>
            <w:tcW w:w="571" w:type="pct"/>
            <w:vAlign w:val="center"/>
          </w:tcPr>
          <w:p w14:paraId="378048FB">
            <w:pPr>
              <w:pStyle w:val="91"/>
              <w:keepNext w:val="0"/>
              <w:keepLines w:val="0"/>
              <w:suppressLineNumbers w:val="0"/>
              <w:spacing w:before="0" w:beforeAutospacing="0" w:after="0" w:afterAutospacing="0"/>
              <w:ind w:left="0" w:right="0"/>
              <w:rPr>
                <w:rFonts w:hint="default"/>
                <w:b/>
                <w:color w:val="auto"/>
              </w:rPr>
            </w:pPr>
            <w:bookmarkStart w:id="296" w:name="_Toc223258459"/>
            <w:r>
              <w:rPr>
                <w:rFonts w:hint="default"/>
                <w:b/>
                <w:color w:val="auto"/>
              </w:rPr>
              <w:t>公称直径（mm）</w:t>
            </w:r>
            <w:bookmarkEnd w:id="296"/>
          </w:p>
        </w:tc>
        <w:tc>
          <w:tcPr>
            <w:tcW w:w="426" w:type="pct"/>
            <w:vAlign w:val="center"/>
          </w:tcPr>
          <w:p w14:paraId="4F7C98F4">
            <w:pPr>
              <w:pStyle w:val="91"/>
              <w:keepNext w:val="0"/>
              <w:keepLines w:val="0"/>
              <w:suppressLineNumbers w:val="0"/>
              <w:spacing w:before="0" w:beforeAutospacing="0" w:after="0" w:afterAutospacing="0"/>
              <w:ind w:left="0" w:right="0"/>
              <w:rPr>
                <w:rFonts w:hint="default"/>
                <w:b/>
                <w:color w:val="auto"/>
              </w:rPr>
            </w:pPr>
            <w:bookmarkStart w:id="297" w:name="_Toc223258460"/>
            <w:r>
              <w:rPr>
                <w:rFonts w:hint="eastAsia"/>
                <w:b/>
                <w:color w:val="auto"/>
              </w:rPr>
              <w:t>公称壁厚mm</w:t>
            </w:r>
            <w:bookmarkEnd w:id="297"/>
          </w:p>
        </w:tc>
        <w:tc>
          <w:tcPr>
            <w:tcW w:w="444" w:type="pct"/>
            <w:vAlign w:val="center"/>
          </w:tcPr>
          <w:p w14:paraId="7A04A553">
            <w:pPr>
              <w:pStyle w:val="91"/>
              <w:keepNext w:val="0"/>
              <w:keepLines w:val="0"/>
              <w:suppressLineNumbers w:val="0"/>
              <w:spacing w:before="0" w:beforeAutospacing="0" w:after="0" w:afterAutospacing="0"/>
              <w:ind w:left="0" w:right="0"/>
              <w:rPr>
                <w:rFonts w:hint="default"/>
                <w:b/>
                <w:color w:val="auto"/>
              </w:rPr>
            </w:pPr>
            <w:bookmarkStart w:id="298" w:name="_Toc223258461"/>
            <w:r>
              <w:rPr>
                <w:rFonts w:hint="default"/>
                <w:b/>
                <w:color w:val="auto"/>
              </w:rPr>
              <w:t>长度（米）</w:t>
            </w:r>
            <w:bookmarkEnd w:id="298"/>
          </w:p>
        </w:tc>
        <w:tc>
          <w:tcPr>
            <w:tcW w:w="728" w:type="pct"/>
            <w:vAlign w:val="center"/>
          </w:tcPr>
          <w:p w14:paraId="1F475572">
            <w:pPr>
              <w:pStyle w:val="91"/>
              <w:keepNext w:val="0"/>
              <w:keepLines w:val="0"/>
              <w:suppressLineNumbers w:val="0"/>
              <w:spacing w:before="0" w:beforeAutospacing="0" w:after="0" w:afterAutospacing="0"/>
              <w:ind w:left="0" w:right="0"/>
              <w:rPr>
                <w:rFonts w:hint="default"/>
                <w:b/>
                <w:color w:val="auto"/>
              </w:rPr>
            </w:pPr>
            <w:bookmarkStart w:id="299" w:name="_Toc223258462"/>
            <w:r>
              <w:rPr>
                <w:rFonts w:hint="default"/>
                <w:b/>
                <w:color w:val="auto"/>
              </w:rPr>
              <w:t>物料名称</w:t>
            </w:r>
            <w:bookmarkEnd w:id="299"/>
          </w:p>
        </w:tc>
        <w:tc>
          <w:tcPr>
            <w:tcW w:w="388" w:type="pct"/>
            <w:vAlign w:val="center"/>
          </w:tcPr>
          <w:p w14:paraId="0EA5A64C">
            <w:pPr>
              <w:pStyle w:val="91"/>
              <w:keepNext w:val="0"/>
              <w:keepLines w:val="0"/>
              <w:suppressLineNumbers w:val="0"/>
              <w:spacing w:before="0" w:beforeAutospacing="0" w:after="0" w:afterAutospacing="0"/>
              <w:ind w:left="0" w:right="0"/>
              <w:rPr>
                <w:rFonts w:hint="default"/>
                <w:b/>
                <w:color w:val="auto"/>
              </w:rPr>
            </w:pPr>
            <w:bookmarkStart w:id="300" w:name="_Toc223258463"/>
            <w:r>
              <w:rPr>
                <w:rFonts w:hint="default"/>
                <w:b/>
                <w:color w:val="auto"/>
              </w:rPr>
              <w:t>温度</w:t>
            </w:r>
            <w:r>
              <w:rPr>
                <w:rFonts w:hint="eastAsia"/>
                <w:b/>
                <w:color w:val="auto"/>
              </w:rPr>
              <w:t>（℃）</w:t>
            </w:r>
            <w:bookmarkEnd w:id="300"/>
          </w:p>
        </w:tc>
        <w:tc>
          <w:tcPr>
            <w:tcW w:w="1052" w:type="pct"/>
          </w:tcPr>
          <w:p w14:paraId="03E967B6">
            <w:pPr>
              <w:pStyle w:val="91"/>
              <w:keepNext w:val="0"/>
              <w:keepLines w:val="0"/>
              <w:suppressLineNumbers w:val="0"/>
              <w:spacing w:before="0" w:beforeAutospacing="0" w:after="0" w:afterAutospacing="0"/>
              <w:ind w:left="0" w:right="0"/>
              <w:rPr>
                <w:rFonts w:hint="default"/>
                <w:b/>
                <w:color w:val="auto"/>
              </w:rPr>
            </w:pPr>
            <w:bookmarkStart w:id="301" w:name="_Toc223258464"/>
            <w:r>
              <w:rPr>
                <w:rFonts w:hint="eastAsia"/>
                <w:b/>
                <w:color w:val="auto"/>
              </w:rPr>
              <w:t>备注</w:t>
            </w:r>
            <w:bookmarkEnd w:id="301"/>
          </w:p>
        </w:tc>
        <w:tc>
          <w:tcPr>
            <w:tcW w:w="680" w:type="pct"/>
          </w:tcPr>
          <w:p w14:paraId="59337CB1">
            <w:pPr>
              <w:pStyle w:val="91"/>
              <w:keepNext w:val="0"/>
              <w:keepLines w:val="0"/>
              <w:suppressLineNumbers w:val="0"/>
              <w:spacing w:before="0" w:beforeAutospacing="0" w:after="0" w:afterAutospacing="0"/>
              <w:ind w:left="0" w:right="0"/>
              <w:rPr>
                <w:rFonts w:hint="eastAsia" w:eastAsia="宋体"/>
                <w:b/>
                <w:color w:val="auto"/>
                <w:u w:val="single"/>
                <w:lang w:eastAsia="zh-CN"/>
              </w:rPr>
            </w:pPr>
            <w:r>
              <w:rPr>
                <w:rFonts w:hint="eastAsia"/>
                <w:b/>
                <w:color w:val="auto"/>
                <w:u w:val="single"/>
                <w:lang w:eastAsia="zh-CN"/>
              </w:rPr>
              <w:t>输送能力</w:t>
            </w:r>
          </w:p>
        </w:tc>
      </w:tr>
      <w:tr w14:paraId="037E25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265" w:type="pct"/>
            <w:vAlign w:val="center"/>
          </w:tcPr>
          <w:p w14:paraId="24C0A353">
            <w:pPr>
              <w:pStyle w:val="91"/>
              <w:keepNext w:val="0"/>
              <w:keepLines w:val="0"/>
              <w:suppressLineNumbers w:val="0"/>
              <w:spacing w:before="0" w:beforeAutospacing="0" w:after="0" w:afterAutospacing="0"/>
              <w:ind w:left="0" w:right="0"/>
              <w:rPr>
                <w:rFonts w:hint="default"/>
                <w:color w:val="auto"/>
              </w:rPr>
            </w:pPr>
            <w:bookmarkStart w:id="302" w:name="_Toc223258465"/>
            <w:r>
              <w:rPr>
                <w:rFonts w:hint="default"/>
                <w:color w:val="auto"/>
              </w:rPr>
              <w:t>1</w:t>
            </w:r>
            <w:bookmarkEnd w:id="302"/>
          </w:p>
        </w:tc>
        <w:tc>
          <w:tcPr>
            <w:tcW w:w="440" w:type="pct"/>
            <w:vAlign w:val="center"/>
          </w:tcPr>
          <w:p w14:paraId="0D465C21">
            <w:pPr>
              <w:pStyle w:val="91"/>
              <w:keepNext w:val="0"/>
              <w:keepLines w:val="0"/>
              <w:suppressLineNumbers w:val="0"/>
              <w:spacing w:before="0" w:beforeAutospacing="0" w:after="0" w:afterAutospacing="0"/>
              <w:ind w:left="0" w:right="0"/>
              <w:rPr>
                <w:rFonts w:hint="default"/>
                <w:color w:val="auto"/>
              </w:rPr>
            </w:pPr>
            <w:r>
              <w:rPr>
                <w:rFonts w:hint="eastAsia"/>
                <w:color w:val="auto"/>
              </w:rPr>
              <w:t>跨接线</w:t>
            </w:r>
          </w:p>
        </w:tc>
        <w:tc>
          <w:tcPr>
            <w:tcW w:w="571" w:type="pct"/>
            <w:vAlign w:val="center"/>
          </w:tcPr>
          <w:p w14:paraId="5F492192">
            <w:pPr>
              <w:pStyle w:val="91"/>
              <w:keepNext w:val="0"/>
              <w:keepLines w:val="0"/>
              <w:suppressLineNumbers w:val="0"/>
              <w:spacing w:before="0" w:beforeAutospacing="0" w:after="0" w:afterAutospacing="0"/>
              <w:ind w:left="0" w:right="0"/>
              <w:rPr>
                <w:rFonts w:hint="default"/>
                <w:color w:val="auto"/>
              </w:rPr>
            </w:pPr>
            <w:r>
              <w:rPr>
                <w:rFonts w:hint="default"/>
                <w:color w:val="auto"/>
              </w:rPr>
              <w:t>150</w:t>
            </w:r>
          </w:p>
        </w:tc>
        <w:tc>
          <w:tcPr>
            <w:tcW w:w="426" w:type="pct"/>
            <w:vAlign w:val="center"/>
          </w:tcPr>
          <w:p w14:paraId="1399D81A">
            <w:pPr>
              <w:pStyle w:val="91"/>
              <w:keepNext w:val="0"/>
              <w:keepLines w:val="0"/>
              <w:suppressLineNumbers w:val="0"/>
              <w:spacing w:before="0" w:beforeAutospacing="0" w:after="0" w:afterAutospacing="0"/>
              <w:ind w:left="0" w:right="0"/>
              <w:rPr>
                <w:rFonts w:hint="default"/>
                <w:color w:val="auto"/>
              </w:rPr>
            </w:pPr>
            <w:r>
              <w:rPr>
                <w:rFonts w:hint="eastAsia"/>
                <w:color w:val="auto"/>
              </w:rPr>
              <w:t>7</w:t>
            </w:r>
          </w:p>
        </w:tc>
        <w:tc>
          <w:tcPr>
            <w:tcW w:w="444" w:type="pct"/>
            <w:vAlign w:val="center"/>
          </w:tcPr>
          <w:p w14:paraId="10040CCE">
            <w:pPr>
              <w:pStyle w:val="91"/>
              <w:keepNext w:val="0"/>
              <w:keepLines w:val="0"/>
              <w:suppressLineNumbers w:val="0"/>
              <w:spacing w:before="0" w:beforeAutospacing="0" w:after="0" w:afterAutospacing="0"/>
              <w:ind w:left="0" w:right="0"/>
              <w:rPr>
                <w:rFonts w:hint="default"/>
                <w:color w:val="auto"/>
              </w:rPr>
            </w:pPr>
            <w:bookmarkStart w:id="303" w:name="_Toc223258466"/>
            <w:r>
              <w:rPr>
                <w:rFonts w:hint="default"/>
                <w:color w:val="auto"/>
              </w:rPr>
              <w:t>约5</w:t>
            </w:r>
            <w:bookmarkEnd w:id="303"/>
            <w:r>
              <w:rPr>
                <w:rFonts w:hint="eastAsia"/>
                <w:color w:val="auto"/>
              </w:rPr>
              <w:t>7</w:t>
            </w:r>
          </w:p>
        </w:tc>
        <w:tc>
          <w:tcPr>
            <w:tcW w:w="728" w:type="pct"/>
            <w:vAlign w:val="center"/>
          </w:tcPr>
          <w:p w14:paraId="066BE686">
            <w:pPr>
              <w:pStyle w:val="91"/>
              <w:keepNext w:val="0"/>
              <w:keepLines w:val="0"/>
              <w:suppressLineNumbers w:val="0"/>
              <w:spacing w:before="0" w:beforeAutospacing="0" w:after="0" w:afterAutospacing="0"/>
              <w:ind w:left="0" w:right="0"/>
              <w:rPr>
                <w:rFonts w:hint="default"/>
                <w:color w:val="auto"/>
              </w:rPr>
            </w:pPr>
            <w:r>
              <w:rPr>
                <w:rFonts w:hint="eastAsia"/>
                <w:color w:val="auto"/>
              </w:rPr>
              <w:t>石脑油</w:t>
            </w:r>
          </w:p>
        </w:tc>
        <w:tc>
          <w:tcPr>
            <w:tcW w:w="388" w:type="pct"/>
            <w:vAlign w:val="center"/>
          </w:tcPr>
          <w:p w14:paraId="7477522E">
            <w:pPr>
              <w:pStyle w:val="91"/>
              <w:keepNext w:val="0"/>
              <w:keepLines w:val="0"/>
              <w:suppressLineNumbers w:val="0"/>
              <w:spacing w:before="0" w:beforeAutospacing="0" w:after="0" w:afterAutospacing="0"/>
              <w:ind w:left="0" w:right="0"/>
              <w:rPr>
                <w:rFonts w:hint="default"/>
                <w:color w:val="auto"/>
              </w:rPr>
            </w:pPr>
            <w:r>
              <w:rPr>
                <w:rFonts w:hint="eastAsia"/>
                <w:color w:val="auto"/>
              </w:rPr>
              <w:t>常温</w:t>
            </w:r>
          </w:p>
        </w:tc>
        <w:tc>
          <w:tcPr>
            <w:tcW w:w="1052" w:type="pct"/>
          </w:tcPr>
          <w:p w14:paraId="2098B50F">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新建汽油泵棚的输送泵P301/1、2至</w:t>
            </w:r>
            <w:r>
              <w:rPr>
                <w:rFonts w:hint="default"/>
                <w:color w:val="auto"/>
              </w:rPr>
              <w:t>库区柴油长输线</w:t>
            </w:r>
          </w:p>
        </w:tc>
        <w:tc>
          <w:tcPr>
            <w:tcW w:w="680" w:type="pct"/>
          </w:tcPr>
          <w:p w14:paraId="06750881">
            <w:pPr>
              <w:pStyle w:val="91"/>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&gt;500m</w:t>
            </w:r>
            <w:r>
              <w:rPr>
                <w:rFonts w:hint="eastAsia"/>
                <w:color w:val="auto"/>
                <w:u w:val="single"/>
                <w:vertAlign w:val="superscript"/>
                <w:lang w:val="en-US" w:eastAsia="zh-CN"/>
              </w:rPr>
              <w:t>3</w:t>
            </w:r>
            <w:r>
              <w:rPr>
                <w:rFonts w:hint="eastAsia"/>
                <w:color w:val="auto"/>
                <w:u w:val="single"/>
                <w:lang w:val="en-US" w:eastAsia="zh-CN"/>
              </w:rPr>
              <w:t>/h</w:t>
            </w:r>
          </w:p>
        </w:tc>
      </w:tr>
      <w:tr w14:paraId="45A3E8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265" w:type="pct"/>
            <w:vAlign w:val="center"/>
          </w:tcPr>
          <w:p w14:paraId="117CCF48">
            <w:pPr>
              <w:pStyle w:val="91"/>
              <w:keepNext w:val="0"/>
              <w:keepLines w:val="0"/>
              <w:suppressLineNumbers w:val="0"/>
              <w:spacing w:before="0" w:beforeAutospacing="0" w:after="0" w:afterAutospacing="0"/>
              <w:ind w:left="0" w:right="0"/>
              <w:rPr>
                <w:rFonts w:hint="default"/>
                <w:color w:val="auto"/>
              </w:rPr>
            </w:pPr>
            <w:bookmarkStart w:id="304" w:name="_Toc223258467"/>
            <w:r>
              <w:rPr>
                <w:rFonts w:hint="eastAsia"/>
                <w:color w:val="auto"/>
              </w:rPr>
              <w:t>2</w:t>
            </w:r>
            <w:bookmarkEnd w:id="304"/>
          </w:p>
        </w:tc>
        <w:tc>
          <w:tcPr>
            <w:tcW w:w="440" w:type="pct"/>
            <w:vAlign w:val="center"/>
          </w:tcPr>
          <w:p w14:paraId="7C28A9F6">
            <w:pPr>
              <w:pStyle w:val="91"/>
              <w:keepNext w:val="0"/>
              <w:keepLines w:val="0"/>
              <w:suppressLineNumbers w:val="0"/>
              <w:spacing w:before="0" w:beforeAutospacing="0" w:after="0" w:afterAutospacing="0"/>
              <w:ind w:left="0" w:right="0"/>
              <w:rPr>
                <w:rFonts w:hint="default"/>
                <w:color w:val="auto"/>
              </w:rPr>
            </w:pPr>
            <w:r>
              <w:rPr>
                <w:rFonts w:hint="eastAsia"/>
                <w:color w:val="auto"/>
              </w:rPr>
              <w:t>柴油长输线</w:t>
            </w:r>
          </w:p>
        </w:tc>
        <w:tc>
          <w:tcPr>
            <w:tcW w:w="571" w:type="pct"/>
            <w:vAlign w:val="center"/>
          </w:tcPr>
          <w:p w14:paraId="3F0D3409">
            <w:pPr>
              <w:pStyle w:val="91"/>
              <w:keepNext w:val="0"/>
              <w:keepLines w:val="0"/>
              <w:suppressLineNumbers w:val="0"/>
              <w:spacing w:before="0" w:beforeAutospacing="0" w:after="0" w:afterAutospacing="0"/>
              <w:ind w:left="0" w:right="0"/>
              <w:rPr>
                <w:rFonts w:hint="default"/>
                <w:color w:val="auto"/>
              </w:rPr>
            </w:pPr>
            <w:r>
              <w:rPr>
                <w:rFonts w:hint="eastAsia"/>
                <w:color w:val="auto"/>
              </w:rPr>
              <w:t>150</w:t>
            </w:r>
          </w:p>
        </w:tc>
        <w:tc>
          <w:tcPr>
            <w:tcW w:w="426" w:type="pct"/>
            <w:vAlign w:val="center"/>
          </w:tcPr>
          <w:p w14:paraId="789205DF">
            <w:pPr>
              <w:pStyle w:val="91"/>
              <w:keepNext w:val="0"/>
              <w:keepLines w:val="0"/>
              <w:suppressLineNumbers w:val="0"/>
              <w:spacing w:before="0" w:beforeAutospacing="0" w:after="0" w:afterAutospacing="0"/>
              <w:ind w:left="0" w:right="0"/>
              <w:rPr>
                <w:rFonts w:hint="default"/>
                <w:color w:val="auto"/>
              </w:rPr>
            </w:pPr>
            <w:r>
              <w:rPr>
                <w:rFonts w:hint="eastAsia"/>
                <w:color w:val="auto"/>
              </w:rPr>
              <w:t>7</w:t>
            </w:r>
          </w:p>
        </w:tc>
        <w:tc>
          <w:tcPr>
            <w:tcW w:w="444" w:type="pct"/>
            <w:vAlign w:val="center"/>
          </w:tcPr>
          <w:p w14:paraId="14F83C97">
            <w:pPr>
              <w:pStyle w:val="91"/>
              <w:keepNext w:val="0"/>
              <w:keepLines w:val="0"/>
              <w:suppressLineNumbers w:val="0"/>
              <w:spacing w:before="0" w:beforeAutospacing="0" w:after="0" w:afterAutospacing="0"/>
              <w:ind w:left="0" w:right="0"/>
              <w:rPr>
                <w:rFonts w:hint="default"/>
                <w:color w:val="auto"/>
              </w:rPr>
            </w:pPr>
            <w:r>
              <w:rPr>
                <w:rFonts w:hint="eastAsia"/>
                <w:color w:val="auto"/>
              </w:rPr>
              <w:t>500</w:t>
            </w:r>
          </w:p>
        </w:tc>
        <w:tc>
          <w:tcPr>
            <w:tcW w:w="728" w:type="pct"/>
            <w:vAlign w:val="center"/>
          </w:tcPr>
          <w:p w14:paraId="12393B02">
            <w:pPr>
              <w:pStyle w:val="91"/>
              <w:keepNext w:val="0"/>
              <w:keepLines w:val="0"/>
              <w:suppressLineNumbers w:val="0"/>
              <w:spacing w:before="0" w:beforeAutospacing="0" w:after="0" w:afterAutospacing="0"/>
              <w:ind w:left="0" w:right="0"/>
              <w:rPr>
                <w:rFonts w:hint="default"/>
                <w:color w:val="auto"/>
              </w:rPr>
            </w:pPr>
            <w:r>
              <w:rPr>
                <w:rFonts w:hint="eastAsia"/>
                <w:color w:val="auto"/>
              </w:rPr>
              <w:t>石脑油</w:t>
            </w:r>
          </w:p>
        </w:tc>
        <w:tc>
          <w:tcPr>
            <w:tcW w:w="388" w:type="pct"/>
            <w:vAlign w:val="center"/>
          </w:tcPr>
          <w:p w14:paraId="38998083">
            <w:pPr>
              <w:pStyle w:val="91"/>
              <w:keepNext w:val="0"/>
              <w:keepLines w:val="0"/>
              <w:suppressLineNumbers w:val="0"/>
              <w:spacing w:before="0" w:beforeAutospacing="0" w:after="0" w:afterAutospacing="0"/>
              <w:ind w:left="0" w:right="0"/>
              <w:rPr>
                <w:rFonts w:hint="default"/>
                <w:color w:val="auto"/>
              </w:rPr>
            </w:pPr>
            <w:r>
              <w:rPr>
                <w:rFonts w:hint="eastAsia"/>
                <w:color w:val="auto"/>
              </w:rPr>
              <w:t>常温</w:t>
            </w:r>
          </w:p>
        </w:tc>
        <w:tc>
          <w:tcPr>
            <w:tcW w:w="1052" w:type="pct"/>
          </w:tcPr>
          <w:p w14:paraId="73E3F1AF">
            <w:pPr>
              <w:pStyle w:val="91"/>
              <w:keepNext w:val="0"/>
              <w:keepLines w:val="0"/>
              <w:suppressLineNumbers w:val="0"/>
              <w:spacing w:before="0" w:beforeAutospacing="0" w:after="0" w:afterAutospacing="0"/>
              <w:ind w:left="0" w:right="0"/>
              <w:rPr>
                <w:rFonts w:hint="default"/>
                <w:color w:val="auto"/>
              </w:rPr>
            </w:pPr>
            <w:r>
              <w:rPr>
                <w:rFonts w:hint="default"/>
                <w:color w:val="auto"/>
              </w:rPr>
              <w:t>依托现有</w:t>
            </w:r>
            <w:r>
              <w:rPr>
                <w:rFonts w:hint="eastAsia"/>
                <w:color w:val="auto"/>
              </w:rPr>
              <w:t>，储罐→厂外广西石化管线</w:t>
            </w:r>
          </w:p>
        </w:tc>
        <w:tc>
          <w:tcPr>
            <w:tcW w:w="680" w:type="pct"/>
          </w:tcPr>
          <w:p w14:paraId="36B7D4EE">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lang w:val="en-US" w:eastAsia="zh-CN"/>
              </w:rPr>
              <w:t>&gt;500m</w:t>
            </w:r>
            <w:r>
              <w:rPr>
                <w:rFonts w:hint="eastAsia"/>
                <w:color w:val="auto"/>
                <w:u w:val="single"/>
                <w:vertAlign w:val="superscript"/>
                <w:lang w:val="en-US" w:eastAsia="zh-CN"/>
              </w:rPr>
              <w:t>3</w:t>
            </w:r>
            <w:r>
              <w:rPr>
                <w:rFonts w:hint="eastAsia"/>
                <w:color w:val="auto"/>
                <w:u w:val="single"/>
                <w:lang w:val="en-US" w:eastAsia="zh-CN"/>
              </w:rPr>
              <w:t>/h</w:t>
            </w:r>
          </w:p>
        </w:tc>
      </w:tr>
      <w:tr w14:paraId="1269FA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265" w:type="pct"/>
            <w:vAlign w:val="center"/>
          </w:tcPr>
          <w:p w14:paraId="0BFF6F82">
            <w:pPr>
              <w:pStyle w:val="91"/>
              <w:keepNext w:val="0"/>
              <w:keepLines w:val="0"/>
              <w:suppressLineNumbers w:val="0"/>
              <w:spacing w:before="0" w:beforeAutospacing="0" w:after="0" w:afterAutospacing="0"/>
              <w:ind w:left="0" w:right="0"/>
              <w:rPr>
                <w:rFonts w:hint="default"/>
                <w:color w:val="auto"/>
              </w:rPr>
            </w:pPr>
            <w:bookmarkStart w:id="305" w:name="_Toc223258468"/>
            <w:r>
              <w:rPr>
                <w:rFonts w:hint="eastAsia"/>
                <w:color w:val="auto"/>
              </w:rPr>
              <w:t>3</w:t>
            </w:r>
            <w:bookmarkEnd w:id="305"/>
          </w:p>
        </w:tc>
        <w:tc>
          <w:tcPr>
            <w:tcW w:w="440" w:type="pct"/>
            <w:vAlign w:val="center"/>
          </w:tcPr>
          <w:p w14:paraId="616590B0">
            <w:pPr>
              <w:pStyle w:val="91"/>
              <w:keepNext w:val="0"/>
              <w:keepLines w:val="0"/>
              <w:suppressLineNumbers w:val="0"/>
              <w:spacing w:before="0" w:beforeAutospacing="0" w:after="0" w:afterAutospacing="0"/>
              <w:ind w:left="0" w:right="0"/>
              <w:rPr>
                <w:rFonts w:hint="default"/>
                <w:color w:val="auto"/>
              </w:rPr>
            </w:pPr>
            <w:r>
              <w:rPr>
                <w:rFonts w:hint="eastAsia"/>
                <w:color w:val="auto"/>
              </w:rPr>
              <w:t>汽油罐出口线2</w:t>
            </w:r>
          </w:p>
        </w:tc>
        <w:tc>
          <w:tcPr>
            <w:tcW w:w="571" w:type="pct"/>
            <w:vAlign w:val="center"/>
          </w:tcPr>
          <w:p w14:paraId="106C8E33">
            <w:pPr>
              <w:pStyle w:val="91"/>
              <w:keepNext w:val="0"/>
              <w:keepLines w:val="0"/>
              <w:suppressLineNumbers w:val="0"/>
              <w:spacing w:before="0" w:beforeAutospacing="0" w:after="0" w:afterAutospacing="0"/>
              <w:ind w:left="0" w:right="0"/>
              <w:rPr>
                <w:rFonts w:hint="default"/>
                <w:color w:val="auto"/>
              </w:rPr>
            </w:pPr>
            <w:r>
              <w:rPr>
                <w:rFonts w:hint="default"/>
                <w:color w:val="auto"/>
              </w:rPr>
              <w:t>400</w:t>
            </w:r>
          </w:p>
        </w:tc>
        <w:tc>
          <w:tcPr>
            <w:tcW w:w="426" w:type="pct"/>
            <w:vAlign w:val="center"/>
          </w:tcPr>
          <w:p w14:paraId="2F980156">
            <w:pPr>
              <w:pStyle w:val="91"/>
              <w:keepNext w:val="0"/>
              <w:keepLines w:val="0"/>
              <w:suppressLineNumbers w:val="0"/>
              <w:spacing w:before="0" w:beforeAutospacing="0" w:after="0" w:afterAutospacing="0"/>
              <w:ind w:left="0" w:right="0"/>
              <w:rPr>
                <w:rFonts w:hint="default"/>
                <w:color w:val="auto"/>
              </w:rPr>
            </w:pPr>
            <w:r>
              <w:rPr>
                <w:rFonts w:hint="default"/>
                <w:color w:val="auto"/>
              </w:rPr>
              <w:t>9.5</w:t>
            </w:r>
          </w:p>
        </w:tc>
        <w:tc>
          <w:tcPr>
            <w:tcW w:w="444" w:type="pct"/>
            <w:vAlign w:val="center"/>
          </w:tcPr>
          <w:p w14:paraId="75780CAB">
            <w:pPr>
              <w:pStyle w:val="91"/>
              <w:keepNext w:val="0"/>
              <w:keepLines w:val="0"/>
              <w:suppressLineNumbers w:val="0"/>
              <w:spacing w:before="0" w:beforeAutospacing="0" w:after="0" w:afterAutospacing="0"/>
              <w:ind w:left="0" w:right="0"/>
              <w:rPr>
                <w:rFonts w:hint="default"/>
                <w:color w:val="auto"/>
              </w:rPr>
            </w:pPr>
            <w:r>
              <w:rPr>
                <w:rFonts w:hint="default"/>
                <w:color w:val="auto"/>
              </w:rPr>
              <w:t>230</w:t>
            </w:r>
          </w:p>
        </w:tc>
        <w:tc>
          <w:tcPr>
            <w:tcW w:w="728" w:type="pct"/>
            <w:vAlign w:val="center"/>
          </w:tcPr>
          <w:p w14:paraId="198AE074">
            <w:pPr>
              <w:pStyle w:val="91"/>
              <w:keepNext w:val="0"/>
              <w:keepLines w:val="0"/>
              <w:suppressLineNumbers w:val="0"/>
              <w:spacing w:before="0" w:beforeAutospacing="0" w:after="0" w:afterAutospacing="0"/>
              <w:ind w:left="0" w:right="0"/>
              <w:rPr>
                <w:rFonts w:hint="default"/>
                <w:color w:val="auto"/>
              </w:rPr>
            </w:pPr>
            <w:r>
              <w:rPr>
                <w:rFonts w:hint="eastAsia"/>
                <w:color w:val="auto"/>
              </w:rPr>
              <w:t>甲基</w:t>
            </w:r>
            <w:r>
              <w:rPr>
                <w:rFonts w:hint="default"/>
                <w:color w:val="auto"/>
              </w:rPr>
              <w:t>叔丁基醚</w:t>
            </w:r>
          </w:p>
        </w:tc>
        <w:tc>
          <w:tcPr>
            <w:tcW w:w="388" w:type="pct"/>
            <w:vAlign w:val="center"/>
          </w:tcPr>
          <w:p w14:paraId="7FD17E01">
            <w:pPr>
              <w:pStyle w:val="91"/>
              <w:keepNext w:val="0"/>
              <w:keepLines w:val="0"/>
              <w:suppressLineNumbers w:val="0"/>
              <w:spacing w:before="0" w:beforeAutospacing="0" w:after="0" w:afterAutospacing="0"/>
              <w:ind w:left="0" w:right="0"/>
              <w:rPr>
                <w:rFonts w:hint="default"/>
                <w:color w:val="auto"/>
              </w:rPr>
            </w:pPr>
            <w:r>
              <w:rPr>
                <w:rFonts w:hint="eastAsia"/>
                <w:color w:val="auto"/>
              </w:rPr>
              <w:t>常温</w:t>
            </w:r>
          </w:p>
        </w:tc>
        <w:tc>
          <w:tcPr>
            <w:tcW w:w="1052" w:type="pct"/>
            <w:vAlign w:val="center"/>
          </w:tcPr>
          <w:p w14:paraId="22DBF197">
            <w:pPr>
              <w:pStyle w:val="91"/>
              <w:keepNext w:val="0"/>
              <w:keepLines w:val="0"/>
              <w:suppressLineNumbers w:val="0"/>
              <w:spacing w:before="0" w:beforeAutospacing="0" w:after="0" w:afterAutospacing="0"/>
              <w:ind w:left="0" w:right="0"/>
              <w:rPr>
                <w:rFonts w:hint="default"/>
                <w:color w:val="auto"/>
              </w:rPr>
            </w:pPr>
            <w:r>
              <w:rPr>
                <w:rFonts w:hint="eastAsia"/>
                <w:color w:val="auto"/>
              </w:rPr>
              <w:t>依托</w:t>
            </w:r>
            <w:r>
              <w:rPr>
                <w:rFonts w:hint="default"/>
                <w:color w:val="auto"/>
              </w:rPr>
              <w:t>现有</w:t>
            </w:r>
            <w:r>
              <w:rPr>
                <w:rFonts w:hint="eastAsia"/>
                <w:color w:val="auto"/>
              </w:rPr>
              <w:t>，储罐→船舶</w:t>
            </w:r>
          </w:p>
        </w:tc>
        <w:tc>
          <w:tcPr>
            <w:tcW w:w="680" w:type="pct"/>
            <w:vAlign w:val="center"/>
          </w:tcPr>
          <w:p w14:paraId="6CABD0A6">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lang w:val="en-US" w:eastAsia="zh-CN"/>
              </w:rPr>
              <w:t>&gt;500m</w:t>
            </w:r>
            <w:r>
              <w:rPr>
                <w:rFonts w:hint="eastAsia"/>
                <w:color w:val="auto"/>
                <w:u w:val="single"/>
                <w:vertAlign w:val="superscript"/>
                <w:lang w:val="en-US" w:eastAsia="zh-CN"/>
              </w:rPr>
              <w:t>3</w:t>
            </w:r>
            <w:r>
              <w:rPr>
                <w:rFonts w:hint="eastAsia"/>
                <w:color w:val="auto"/>
                <w:u w:val="single"/>
                <w:lang w:val="en-US" w:eastAsia="zh-CN"/>
              </w:rPr>
              <w:t>/h</w:t>
            </w:r>
          </w:p>
        </w:tc>
      </w:tr>
      <w:tr w14:paraId="0C98FD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265" w:type="pct"/>
            <w:vAlign w:val="center"/>
          </w:tcPr>
          <w:p w14:paraId="43CACE23">
            <w:pPr>
              <w:pStyle w:val="91"/>
              <w:keepNext w:val="0"/>
              <w:keepLines w:val="0"/>
              <w:suppressLineNumbers w:val="0"/>
              <w:spacing w:before="0" w:beforeAutospacing="0" w:after="0" w:afterAutospacing="0"/>
              <w:ind w:left="0" w:right="0"/>
              <w:rPr>
                <w:rFonts w:hint="default"/>
                <w:color w:val="auto"/>
              </w:rPr>
            </w:pPr>
            <w:bookmarkStart w:id="306" w:name="_Toc223258469"/>
            <w:r>
              <w:rPr>
                <w:rFonts w:hint="eastAsia"/>
                <w:color w:val="auto"/>
              </w:rPr>
              <w:t>4</w:t>
            </w:r>
            <w:bookmarkEnd w:id="306"/>
          </w:p>
        </w:tc>
        <w:tc>
          <w:tcPr>
            <w:tcW w:w="440" w:type="pct"/>
            <w:vAlign w:val="center"/>
          </w:tcPr>
          <w:p w14:paraId="5652F3F3">
            <w:pPr>
              <w:pStyle w:val="91"/>
              <w:keepNext w:val="0"/>
              <w:keepLines w:val="0"/>
              <w:suppressLineNumbers w:val="0"/>
              <w:spacing w:before="0" w:beforeAutospacing="0" w:after="0" w:afterAutospacing="0"/>
              <w:ind w:left="0" w:right="0"/>
              <w:rPr>
                <w:rFonts w:hint="default"/>
                <w:color w:val="auto"/>
              </w:rPr>
            </w:pPr>
            <w:r>
              <w:rPr>
                <w:rFonts w:hint="eastAsia"/>
                <w:color w:val="auto"/>
              </w:rPr>
              <w:t>汽油长输线</w:t>
            </w:r>
          </w:p>
        </w:tc>
        <w:tc>
          <w:tcPr>
            <w:tcW w:w="571" w:type="pct"/>
            <w:vAlign w:val="center"/>
          </w:tcPr>
          <w:p w14:paraId="476585F2">
            <w:pPr>
              <w:pStyle w:val="91"/>
              <w:keepNext w:val="0"/>
              <w:keepLines w:val="0"/>
              <w:suppressLineNumbers w:val="0"/>
              <w:spacing w:before="0" w:beforeAutospacing="0" w:after="0" w:afterAutospacing="0"/>
              <w:ind w:left="0" w:right="0"/>
              <w:rPr>
                <w:rFonts w:hint="default"/>
                <w:color w:val="auto"/>
              </w:rPr>
            </w:pPr>
            <w:r>
              <w:rPr>
                <w:rFonts w:hint="eastAsia"/>
                <w:color w:val="auto"/>
              </w:rPr>
              <w:t>150</w:t>
            </w:r>
          </w:p>
        </w:tc>
        <w:tc>
          <w:tcPr>
            <w:tcW w:w="426" w:type="pct"/>
            <w:vAlign w:val="center"/>
          </w:tcPr>
          <w:p w14:paraId="1CD0787F">
            <w:pPr>
              <w:pStyle w:val="91"/>
              <w:keepNext w:val="0"/>
              <w:keepLines w:val="0"/>
              <w:suppressLineNumbers w:val="0"/>
              <w:spacing w:before="0" w:beforeAutospacing="0" w:after="0" w:afterAutospacing="0"/>
              <w:ind w:left="0" w:right="0"/>
              <w:rPr>
                <w:rFonts w:hint="default"/>
                <w:color w:val="auto"/>
              </w:rPr>
            </w:pPr>
            <w:r>
              <w:rPr>
                <w:rFonts w:hint="eastAsia"/>
                <w:color w:val="auto"/>
              </w:rPr>
              <w:t>7</w:t>
            </w:r>
          </w:p>
        </w:tc>
        <w:tc>
          <w:tcPr>
            <w:tcW w:w="444" w:type="pct"/>
            <w:vAlign w:val="center"/>
          </w:tcPr>
          <w:p w14:paraId="04AB62FA">
            <w:pPr>
              <w:pStyle w:val="91"/>
              <w:keepNext w:val="0"/>
              <w:keepLines w:val="0"/>
              <w:suppressLineNumbers w:val="0"/>
              <w:spacing w:before="0" w:beforeAutospacing="0" w:after="0" w:afterAutospacing="0"/>
              <w:ind w:left="0" w:right="0"/>
              <w:rPr>
                <w:rFonts w:hint="default"/>
                <w:color w:val="auto"/>
              </w:rPr>
            </w:pPr>
            <w:r>
              <w:rPr>
                <w:rFonts w:hint="eastAsia"/>
                <w:color w:val="auto"/>
              </w:rPr>
              <w:t>650</w:t>
            </w:r>
          </w:p>
        </w:tc>
        <w:tc>
          <w:tcPr>
            <w:tcW w:w="728" w:type="pct"/>
            <w:vAlign w:val="center"/>
          </w:tcPr>
          <w:p w14:paraId="3E00C532">
            <w:pPr>
              <w:pStyle w:val="91"/>
              <w:keepNext w:val="0"/>
              <w:keepLines w:val="0"/>
              <w:suppressLineNumbers w:val="0"/>
              <w:spacing w:before="0" w:beforeAutospacing="0" w:after="0" w:afterAutospacing="0"/>
              <w:ind w:left="0" w:right="0"/>
              <w:rPr>
                <w:rFonts w:hint="default"/>
                <w:color w:val="auto"/>
              </w:rPr>
            </w:pPr>
            <w:r>
              <w:rPr>
                <w:rFonts w:hint="eastAsia"/>
                <w:color w:val="auto"/>
              </w:rPr>
              <w:t>异辛烷</w:t>
            </w:r>
            <w:r>
              <w:rPr>
                <w:rFonts w:hint="default"/>
                <w:color w:val="auto"/>
              </w:rPr>
              <w:t>（</w:t>
            </w:r>
            <w:r>
              <w:rPr>
                <w:rFonts w:hint="eastAsia"/>
                <w:color w:val="auto"/>
              </w:rPr>
              <w:t>烷基化油</w:t>
            </w:r>
            <w:r>
              <w:rPr>
                <w:rFonts w:hint="default"/>
                <w:color w:val="auto"/>
              </w:rPr>
              <w:t>）</w:t>
            </w:r>
          </w:p>
        </w:tc>
        <w:tc>
          <w:tcPr>
            <w:tcW w:w="388" w:type="pct"/>
            <w:vAlign w:val="center"/>
          </w:tcPr>
          <w:p w14:paraId="3E99E7BB">
            <w:pPr>
              <w:pStyle w:val="91"/>
              <w:keepNext w:val="0"/>
              <w:keepLines w:val="0"/>
              <w:suppressLineNumbers w:val="0"/>
              <w:spacing w:before="0" w:beforeAutospacing="0" w:after="0" w:afterAutospacing="0"/>
              <w:ind w:left="0" w:right="0"/>
              <w:rPr>
                <w:rFonts w:hint="default"/>
                <w:color w:val="auto"/>
              </w:rPr>
            </w:pPr>
            <w:r>
              <w:rPr>
                <w:rFonts w:hint="eastAsia"/>
                <w:color w:val="auto"/>
              </w:rPr>
              <w:t>常温</w:t>
            </w:r>
          </w:p>
        </w:tc>
        <w:tc>
          <w:tcPr>
            <w:tcW w:w="1052" w:type="pct"/>
            <w:vAlign w:val="center"/>
          </w:tcPr>
          <w:p w14:paraId="315BBF3C">
            <w:pPr>
              <w:pStyle w:val="91"/>
              <w:keepNext w:val="0"/>
              <w:keepLines w:val="0"/>
              <w:suppressLineNumbers w:val="0"/>
              <w:spacing w:before="0" w:beforeAutospacing="0" w:after="0" w:afterAutospacing="0"/>
              <w:ind w:left="0" w:right="0"/>
              <w:rPr>
                <w:rFonts w:hint="default"/>
                <w:color w:val="auto"/>
              </w:rPr>
            </w:pPr>
            <w:r>
              <w:rPr>
                <w:rFonts w:hint="eastAsia"/>
                <w:color w:val="auto"/>
              </w:rPr>
              <w:t>依托</w:t>
            </w:r>
            <w:r>
              <w:rPr>
                <w:rFonts w:hint="default"/>
                <w:color w:val="auto"/>
              </w:rPr>
              <w:t>现有</w:t>
            </w:r>
            <w:r>
              <w:rPr>
                <w:rFonts w:hint="eastAsia"/>
                <w:color w:val="auto"/>
              </w:rPr>
              <w:t>，储罐→厂外广西石化管线</w:t>
            </w:r>
          </w:p>
        </w:tc>
        <w:tc>
          <w:tcPr>
            <w:tcW w:w="680" w:type="pct"/>
            <w:vAlign w:val="center"/>
          </w:tcPr>
          <w:p w14:paraId="42062D64">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lang w:val="en-US" w:eastAsia="zh-CN"/>
              </w:rPr>
              <w:t>&gt;500m</w:t>
            </w:r>
            <w:r>
              <w:rPr>
                <w:rFonts w:hint="eastAsia"/>
                <w:color w:val="auto"/>
                <w:u w:val="single"/>
                <w:vertAlign w:val="superscript"/>
                <w:lang w:val="en-US" w:eastAsia="zh-CN"/>
              </w:rPr>
              <w:t>3</w:t>
            </w:r>
            <w:r>
              <w:rPr>
                <w:rFonts w:hint="eastAsia"/>
                <w:color w:val="auto"/>
                <w:u w:val="single"/>
                <w:lang w:val="en-US" w:eastAsia="zh-CN"/>
              </w:rPr>
              <w:t>/h</w:t>
            </w:r>
          </w:p>
        </w:tc>
      </w:tr>
      <w:tr w14:paraId="758E7F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265" w:type="pct"/>
            <w:vAlign w:val="center"/>
          </w:tcPr>
          <w:p w14:paraId="2CF93D2D">
            <w:pPr>
              <w:pStyle w:val="91"/>
              <w:keepNext w:val="0"/>
              <w:keepLines w:val="0"/>
              <w:suppressLineNumbers w:val="0"/>
              <w:spacing w:before="0" w:beforeAutospacing="0" w:after="0" w:afterAutospacing="0"/>
              <w:ind w:left="0" w:right="0"/>
              <w:rPr>
                <w:rFonts w:hint="default"/>
                <w:color w:val="auto"/>
              </w:rPr>
            </w:pPr>
            <w:r>
              <w:rPr>
                <w:rFonts w:hint="eastAsia"/>
                <w:color w:val="auto"/>
              </w:rPr>
              <w:t>5</w:t>
            </w:r>
          </w:p>
        </w:tc>
        <w:tc>
          <w:tcPr>
            <w:tcW w:w="440" w:type="pct"/>
            <w:vAlign w:val="center"/>
          </w:tcPr>
          <w:p w14:paraId="70ACA23D">
            <w:pPr>
              <w:pStyle w:val="91"/>
              <w:keepNext w:val="0"/>
              <w:keepLines w:val="0"/>
              <w:suppressLineNumbers w:val="0"/>
              <w:spacing w:before="0" w:beforeAutospacing="0" w:after="0" w:afterAutospacing="0"/>
              <w:ind w:left="0" w:right="0"/>
              <w:rPr>
                <w:rFonts w:hint="default"/>
                <w:color w:val="auto"/>
              </w:rPr>
            </w:pPr>
            <w:r>
              <w:rPr>
                <w:rFonts w:hint="eastAsia"/>
                <w:color w:val="auto"/>
              </w:rPr>
              <w:t>原油长输线</w:t>
            </w:r>
          </w:p>
        </w:tc>
        <w:tc>
          <w:tcPr>
            <w:tcW w:w="571" w:type="pct"/>
            <w:vAlign w:val="center"/>
          </w:tcPr>
          <w:p w14:paraId="29D8F586">
            <w:pPr>
              <w:pStyle w:val="91"/>
              <w:keepNext w:val="0"/>
              <w:keepLines w:val="0"/>
              <w:suppressLineNumbers w:val="0"/>
              <w:spacing w:before="0" w:beforeAutospacing="0" w:after="0" w:afterAutospacing="0"/>
              <w:ind w:left="0" w:right="0"/>
              <w:rPr>
                <w:rFonts w:hint="default"/>
                <w:color w:val="auto"/>
              </w:rPr>
            </w:pPr>
            <w:r>
              <w:rPr>
                <w:rFonts w:hint="eastAsia"/>
                <w:color w:val="auto"/>
              </w:rPr>
              <w:t>300</w:t>
            </w:r>
          </w:p>
        </w:tc>
        <w:tc>
          <w:tcPr>
            <w:tcW w:w="426" w:type="pct"/>
            <w:vAlign w:val="center"/>
          </w:tcPr>
          <w:p w14:paraId="034FD6CC">
            <w:pPr>
              <w:pStyle w:val="91"/>
              <w:keepNext w:val="0"/>
              <w:keepLines w:val="0"/>
              <w:suppressLineNumbers w:val="0"/>
              <w:spacing w:before="0" w:beforeAutospacing="0" w:after="0" w:afterAutospacing="0"/>
              <w:ind w:left="0" w:right="0"/>
              <w:rPr>
                <w:rFonts w:hint="default"/>
                <w:color w:val="auto"/>
              </w:rPr>
            </w:pPr>
            <w:r>
              <w:rPr>
                <w:rFonts w:hint="eastAsia"/>
                <w:color w:val="auto"/>
              </w:rPr>
              <w:t>9</w:t>
            </w:r>
          </w:p>
        </w:tc>
        <w:tc>
          <w:tcPr>
            <w:tcW w:w="444" w:type="pct"/>
            <w:vAlign w:val="center"/>
          </w:tcPr>
          <w:p w14:paraId="28EFFDAB">
            <w:pPr>
              <w:pStyle w:val="91"/>
              <w:keepNext w:val="0"/>
              <w:keepLines w:val="0"/>
              <w:suppressLineNumbers w:val="0"/>
              <w:spacing w:before="0" w:beforeAutospacing="0" w:after="0" w:afterAutospacing="0"/>
              <w:ind w:left="0" w:right="0"/>
              <w:rPr>
                <w:rFonts w:hint="default"/>
                <w:color w:val="auto"/>
              </w:rPr>
            </w:pPr>
            <w:r>
              <w:rPr>
                <w:rFonts w:hint="eastAsia"/>
                <w:color w:val="auto"/>
              </w:rPr>
              <w:t>326</w:t>
            </w:r>
          </w:p>
        </w:tc>
        <w:tc>
          <w:tcPr>
            <w:tcW w:w="728" w:type="pct"/>
            <w:vAlign w:val="center"/>
          </w:tcPr>
          <w:p w14:paraId="19E34D63">
            <w:pPr>
              <w:pStyle w:val="91"/>
              <w:keepNext w:val="0"/>
              <w:keepLines w:val="0"/>
              <w:suppressLineNumbers w:val="0"/>
              <w:spacing w:before="0" w:beforeAutospacing="0" w:after="0" w:afterAutospacing="0"/>
              <w:ind w:left="0" w:right="0"/>
              <w:rPr>
                <w:rFonts w:hint="default"/>
                <w:color w:val="auto"/>
              </w:rPr>
            </w:pPr>
            <w:r>
              <w:rPr>
                <w:rFonts w:hint="eastAsia"/>
                <w:color w:val="auto"/>
              </w:rPr>
              <w:t>蜡油、渣油</w:t>
            </w:r>
          </w:p>
        </w:tc>
        <w:tc>
          <w:tcPr>
            <w:tcW w:w="388" w:type="pct"/>
            <w:vAlign w:val="center"/>
          </w:tcPr>
          <w:p w14:paraId="401C854A">
            <w:pPr>
              <w:pStyle w:val="91"/>
              <w:keepNext w:val="0"/>
              <w:keepLines w:val="0"/>
              <w:suppressLineNumbers w:val="0"/>
              <w:spacing w:before="0" w:beforeAutospacing="0" w:after="0" w:afterAutospacing="0"/>
              <w:ind w:left="0" w:right="0"/>
              <w:rPr>
                <w:rFonts w:hint="default"/>
                <w:color w:val="auto"/>
              </w:rPr>
            </w:pPr>
            <w:r>
              <w:rPr>
                <w:rFonts w:hint="eastAsia"/>
                <w:color w:val="auto"/>
              </w:rPr>
              <w:t>常温</w:t>
            </w:r>
          </w:p>
        </w:tc>
        <w:tc>
          <w:tcPr>
            <w:tcW w:w="1052" w:type="pct"/>
            <w:vAlign w:val="center"/>
          </w:tcPr>
          <w:p w14:paraId="213235CF">
            <w:pPr>
              <w:pStyle w:val="91"/>
              <w:keepNext w:val="0"/>
              <w:keepLines w:val="0"/>
              <w:suppressLineNumbers w:val="0"/>
              <w:spacing w:before="0" w:beforeAutospacing="0" w:after="0" w:afterAutospacing="0"/>
              <w:ind w:left="0" w:right="0"/>
              <w:rPr>
                <w:rFonts w:hint="default"/>
                <w:color w:val="auto"/>
              </w:rPr>
            </w:pPr>
            <w:r>
              <w:rPr>
                <w:rFonts w:hint="eastAsia"/>
                <w:color w:val="auto"/>
              </w:rPr>
              <w:t>依托</w:t>
            </w:r>
            <w:r>
              <w:rPr>
                <w:rFonts w:hint="default"/>
                <w:color w:val="auto"/>
              </w:rPr>
              <w:t>现有</w:t>
            </w:r>
            <w:r>
              <w:rPr>
                <w:rFonts w:hint="eastAsia"/>
                <w:color w:val="auto"/>
              </w:rPr>
              <w:t>，储罐→厂外广西石化管线</w:t>
            </w:r>
          </w:p>
        </w:tc>
        <w:tc>
          <w:tcPr>
            <w:tcW w:w="680" w:type="pct"/>
            <w:vAlign w:val="center"/>
          </w:tcPr>
          <w:p w14:paraId="0FB3D494">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lang w:val="en-US" w:eastAsia="zh-CN"/>
              </w:rPr>
              <w:t>&gt;500m</w:t>
            </w:r>
            <w:r>
              <w:rPr>
                <w:rFonts w:hint="eastAsia"/>
                <w:color w:val="auto"/>
                <w:u w:val="single"/>
                <w:vertAlign w:val="superscript"/>
                <w:lang w:val="en-US" w:eastAsia="zh-CN"/>
              </w:rPr>
              <w:t>3</w:t>
            </w:r>
            <w:r>
              <w:rPr>
                <w:rFonts w:hint="eastAsia"/>
                <w:color w:val="auto"/>
                <w:u w:val="single"/>
                <w:lang w:val="en-US" w:eastAsia="zh-CN"/>
              </w:rPr>
              <w:t>/h</w:t>
            </w:r>
          </w:p>
        </w:tc>
      </w:tr>
      <w:tr w14:paraId="50E029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265" w:type="pct"/>
            <w:vAlign w:val="center"/>
          </w:tcPr>
          <w:p w14:paraId="535F807A">
            <w:pPr>
              <w:pStyle w:val="91"/>
              <w:keepNext w:val="0"/>
              <w:keepLines w:val="0"/>
              <w:suppressLineNumbers w:val="0"/>
              <w:spacing w:before="0" w:beforeAutospacing="0" w:after="0" w:afterAutospacing="0"/>
              <w:ind w:left="0" w:right="0"/>
              <w:rPr>
                <w:rFonts w:hint="default"/>
                <w:color w:val="auto"/>
              </w:rPr>
            </w:pPr>
            <w:r>
              <w:rPr>
                <w:rFonts w:hint="eastAsia"/>
                <w:color w:val="auto"/>
              </w:rPr>
              <w:t>6</w:t>
            </w:r>
          </w:p>
        </w:tc>
        <w:tc>
          <w:tcPr>
            <w:tcW w:w="440" w:type="pct"/>
            <w:vAlign w:val="center"/>
          </w:tcPr>
          <w:p w14:paraId="11D0A7A2">
            <w:pPr>
              <w:pStyle w:val="91"/>
              <w:keepNext w:val="0"/>
              <w:keepLines w:val="0"/>
              <w:suppressLineNumbers w:val="0"/>
              <w:spacing w:before="0" w:beforeAutospacing="0" w:after="0" w:afterAutospacing="0"/>
              <w:ind w:left="0" w:right="0"/>
              <w:rPr>
                <w:rFonts w:hint="default"/>
                <w:color w:val="auto"/>
              </w:rPr>
            </w:pPr>
            <w:r>
              <w:rPr>
                <w:rFonts w:hint="eastAsia"/>
                <w:color w:val="auto"/>
              </w:rPr>
              <w:t>原油卸船线1</w:t>
            </w:r>
          </w:p>
        </w:tc>
        <w:tc>
          <w:tcPr>
            <w:tcW w:w="571" w:type="pct"/>
            <w:vAlign w:val="center"/>
          </w:tcPr>
          <w:p w14:paraId="0CBBA721">
            <w:pPr>
              <w:pStyle w:val="91"/>
              <w:keepNext w:val="0"/>
              <w:keepLines w:val="0"/>
              <w:suppressLineNumbers w:val="0"/>
              <w:spacing w:before="0" w:beforeAutospacing="0" w:after="0" w:afterAutospacing="0"/>
              <w:ind w:left="0" w:right="0"/>
              <w:rPr>
                <w:rFonts w:hint="default"/>
                <w:color w:val="auto"/>
              </w:rPr>
            </w:pPr>
            <w:r>
              <w:rPr>
                <w:rFonts w:hint="eastAsia"/>
                <w:color w:val="auto"/>
              </w:rPr>
              <w:t>400</w:t>
            </w:r>
          </w:p>
        </w:tc>
        <w:tc>
          <w:tcPr>
            <w:tcW w:w="426" w:type="pct"/>
            <w:vAlign w:val="center"/>
          </w:tcPr>
          <w:p w14:paraId="16075616">
            <w:pPr>
              <w:pStyle w:val="91"/>
              <w:keepNext w:val="0"/>
              <w:keepLines w:val="0"/>
              <w:suppressLineNumbers w:val="0"/>
              <w:spacing w:before="0" w:beforeAutospacing="0" w:after="0" w:afterAutospacing="0"/>
              <w:ind w:left="0" w:right="0"/>
              <w:rPr>
                <w:rFonts w:hint="default"/>
                <w:color w:val="auto"/>
              </w:rPr>
            </w:pPr>
            <w:r>
              <w:rPr>
                <w:rFonts w:hint="eastAsia"/>
                <w:color w:val="auto"/>
              </w:rPr>
              <w:t>9.5</w:t>
            </w:r>
          </w:p>
        </w:tc>
        <w:tc>
          <w:tcPr>
            <w:tcW w:w="444" w:type="pct"/>
            <w:vAlign w:val="center"/>
          </w:tcPr>
          <w:p w14:paraId="327E4D34">
            <w:pPr>
              <w:pStyle w:val="91"/>
              <w:keepNext w:val="0"/>
              <w:keepLines w:val="0"/>
              <w:suppressLineNumbers w:val="0"/>
              <w:spacing w:before="0" w:beforeAutospacing="0" w:after="0" w:afterAutospacing="0"/>
              <w:ind w:left="0" w:right="0"/>
              <w:rPr>
                <w:rFonts w:hint="default"/>
                <w:color w:val="auto"/>
              </w:rPr>
            </w:pPr>
            <w:r>
              <w:rPr>
                <w:rFonts w:hint="eastAsia"/>
                <w:color w:val="auto"/>
              </w:rPr>
              <w:t>625</w:t>
            </w:r>
          </w:p>
        </w:tc>
        <w:tc>
          <w:tcPr>
            <w:tcW w:w="728" w:type="pct"/>
            <w:vAlign w:val="center"/>
          </w:tcPr>
          <w:p w14:paraId="32649B1C">
            <w:pPr>
              <w:pStyle w:val="91"/>
              <w:keepNext w:val="0"/>
              <w:keepLines w:val="0"/>
              <w:suppressLineNumbers w:val="0"/>
              <w:spacing w:before="0" w:beforeAutospacing="0" w:after="0" w:afterAutospacing="0"/>
              <w:ind w:left="0" w:right="0"/>
              <w:rPr>
                <w:rFonts w:hint="default"/>
                <w:color w:val="auto"/>
              </w:rPr>
            </w:pPr>
            <w:r>
              <w:rPr>
                <w:rFonts w:hint="eastAsia"/>
                <w:color w:val="auto"/>
              </w:rPr>
              <w:t>蜡油</w:t>
            </w:r>
            <w:r>
              <w:rPr>
                <w:rFonts w:hint="default"/>
                <w:color w:val="auto"/>
              </w:rPr>
              <w:t>、渣油</w:t>
            </w:r>
          </w:p>
        </w:tc>
        <w:tc>
          <w:tcPr>
            <w:tcW w:w="388" w:type="pct"/>
            <w:vAlign w:val="center"/>
          </w:tcPr>
          <w:p w14:paraId="589F4521">
            <w:pPr>
              <w:pStyle w:val="91"/>
              <w:keepNext w:val="0"/>
              <w:keepLines w:val="0"/>
              <w:suppressLineNumbers w:val="0"/>
              <w:spacing w:before="0" w:beforeAutospacing="0" w:after="0" w:afterAutospacing="0"/>
              <w:ind w:left="0" w:right="0"/>
              <w:rPr>
                <w:rFonts w:hint="default"/>
                <w:color w:val="auto"/>
              </w:rPr>
            </w:pPr>
            <w:r>
              <w:rPr>
                <w:rFonts w:hint="eastAsia"/>
                <w:color w:val="auto"/>
              </w:rPr>
              <w:t>常温</w:t>
            </w:r>
          </w:p>
        </w:tc>
        <w:tc>
          <w:tcPr>
            <w:tcW w:w="1052" w:type="pct"/>
            <w:vAlign w:val="center"/>
          </w:tcPr>
          <w:p w14:paraId="712BF986">
            <w:pPr>
              <w:pStyle w:val="91"/>
              <w:keepNext w:val="0"/>
              <w:keepLines w:val="0"/>
              <w:suppressLineNumbers w:val="0"/>
              <w:spacing w:before="0" w:beforeAutospacing="0" w:after="0" w:afterAutospacing="0"/>
              <w:ind w:left="0" w:right="0"/>
              <w:rPr>
                <w:rFonts w:hint="default"/>
                <w:color w:val="auto"/>
              </w:rPr>
            </w:pPr>
            <w:r>
              <w:rPr>
                <w:rFonts w:hint="eastAsia"/>
                <w:color w:val="auto"/>
              </w:rPr>
              <w:t>依托</w:t>
            </w:r>
            <w:r>
              <w:rPr>
                <w:rFonts w:hint="default"/>
                <w:color w:val="auto"/>
              </w:rPr>
              <w:t>现有</w:t>
            </w:r>
            <w:r>
              <w:rPr>
                <w:rFonts w:hint="eastAsia"/>
                <w:color w:val="auto"/>
              </w:rPr>
              <w:t>，码头→储罐</w:t>
            </w:r>
          </w:p>
        </w:tc>
        <w:tc>
          <w:tcPr>
            <w:tcW w:w="680" w:type="pct"/>
            <w:vAlign w:val="center"/>
          </w:tcPr>
          <w:p w14:paraId="1A639491">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lang w:val="en-US" w:eastAsia="zh-CN"/>
              </w:rPr>
              <w:t>&gt;500m</w:t>
            </w:r>
            <w:r>
              <w:rPr>
                <w:rFonts w:hint="eastAsia"/>
                <w:color w:val="auto"/>
                <w:u w:val="single"/>
                <w:vertAlign w:val="superscript"/>
                <w:lang w:val="en-US" w:eastAsia="zh-CN"/>
              </w:rPr>
              <w:t>3</w:t>
            </w:r>
            <w:r>
              <w:rPr>
                <w:rFonts w:hint="eastAsia"/>
                <w:color w:val="auto"/>
                <w:u w:val="single"/>
                <w:lang w:val="en-US" w:eastAsia="zh-CN"/>
              </w:rPr>
              <w:t>/h</w:t>
            </w:r>
          </w:p>
        </w:tc>
      </w:tr>
      <w:tr w14:paraId="2E2874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265" w:type="pct"/>
            <w:vAlign w:val="center"/>
          </w:tcPr>
          <w:p w14:paraId="5F9C8215">
            <w:pPr>
              <w:pStyle w:val="91"/>
              <w:keepNext w:val="0"/>
              <w:keepLines w:val="0"/>
              <w:suppressLineNumbers w:val="0"/>
              <w:spacing w:before="0" w:beforeAutospacing="0" w:after="0" w:afterAutospacing="0"/>
              <w:ind w:left="0" w:right="0"/>
              <w:rPr>
                <w:rFonts w:hint="default"/>
                <w:color w:val="auto"/>
              </w:rPr>
            </w:pPr>
            <w:r>
              <w:rPr>
                <w:rFonts w:hint="eastAsia"/>
                <w:color w:val="auto"/>
              </w:rPr>
              <w:t>7</w:t>
            </w:r>
          </w:p>
        </w:tc>
        <w:tc>
          <w:tcPr>
            <w:tcW w:w="440" w:type="pct"/>
            <w:vAlign w:val="center"/>
          </w:tcPr>
          <w:p w14:paraId="1237447C">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汽油装卸船线</w:t>
            </w:r>
          </w:p>
        </w:tc>
        <w:tc>
          <w:tcPr>
            <w:tcW w:w="571" w:type="pct"/>
            <w:vAlign w:val="center"/>
          </w:tcPr>
          <w:p w14:paraId="6D4B0F41">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350</w:t>
            </w:r>
          </w:p>
        </w:tc>
        <w:tc>
          <w:tcPr>
            <w:tcW w:w="426" w:type="pct"/>
            <w:vAlign w:val="center"/>
          </w:tcPr>
          <w:p w14:paraId="73951204">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9.5</w:t>
            </w:r>
          </w:p>
        </w:tc>
        <w:tc>
          <w:tcPr>
            <w:tcW w:w="444" w:type="pct"/>
            <w:vAlign w:val="center"/>
          </w:tcPr>
          <w:p w14:paraId="38E128C0">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650</w:t>
            </w:r>
          </w:p>
        </w:tc>
        <w:tc>
          <w:tcPr>
            <w:tcW w:w="728" w:type="pct"/>
            <w:vAlign w:val="center"/>
          </w:tcPr>
          <w:p w14:paraId="30E52CFC">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石脑油、异辛烷（烷基化油）</w:t>
            </w:r>
          </w:p>
        </w:tc>
        <w:tc>
          <w:tcPr>
            <w:tcW w:w="388" w:type="pct"/>
            <w:vAlign w:val="center"/>
          </w:tcPr>
          <w:p w14:paraId="62FB9437">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常温</w:t>
            </w:r>
          </w:p>
        </w:tc>
        <w:tc>
          <w:tcPr>
            <w:tcW w:w="1052" w:type="pct"/>
            <w:vAlign w:val="center"/>
          </w:tcPr>
          <w:p w14:paraId="6871E58F">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依托</w:t>
            </w:r>
            <w:r>
              <w:rPr>
                <w:rFonts w:hint="default"/>
                <w:color w:val="auto"/>
                <w:u w:val="single"/>
              </w:rPr>
              <w:t>现有</w:t>
            </w:r>
            <w:r>
              <w:rPr>
                <w:rFonts w:hint="eastAsia"/>
                <w:color w:val="auto"/>
                <w:u w:val="single"/>
              </w:rPr>
              <w:t>，码头→储罐</w:t>
            </w:r>
          </w:p>
        </w:tc>
        <w:tc>
          <w:tcPr>
            <w:tcW w:w="680" w:type="pct"/>
            <w:vAlign w:val="center"/>
          </w:tcPr>
          <w:p w14:paraId="4DF66D23">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lang w:val="en-US" w:eastAsia="zh-CN"/>
              </w:rPr>
              <w:t>&gt;500m</w:t>
            </w:r>
            <w:r>
              <w:rPr>
                <w:rFonts w:hint="eastAsia"/>
                <w:color w:val="auto"/>
                <w:u w:val="single"/>
                <w:vertAlign w:val="superscript"/>
                <w:lang w:val="en-US" w:eastAsia="zh-CN"/>
              </w:rPr>
              <w:t>3</w:t>
            </w:r>
            <w:r>
              <w:rPr>
                <w:rFonts w:hint="eastAsia"/>
                <w:color w:val="auto"/>
                <w:u w:val="single"/>
                <w:lang w:val="en-US" w:eastAsia="zh-CN"/>
              </w:rPr>
              <w:t>/h</w:t>
            </w:r>
          </w:p>
        </w:tc>
      </w:tr>
    </w:tbl>
    <w:p w14:paraId="087A16C5">
      <w:pPr>
        <w:ind w:firstLine="0" w:firstLineChars="0"/>
        <w:jc w:val="center"/>
        <w:rPr>
          <w:color w:val="auto"/>
        </w:rPr>
      </w:pPr>
      <w:r>
        <w:rPr>
          <w:color w:val="auto"/>
        </w:rPr>
        <w:drawing>
          <wp:inline distT="0" distB="0" distL="0" distR="0">
            <wp:extent cx="5118735" cy="2956560"/>
            <wp:effectExtent l="0" t="0" r="1905" b="1270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8"/>
                    <a:stretch>
                      <a:fillRect/>
                    </a:stretch>
                  </pic:blipFill>
                  <pic:spPr>
                    <a:xfrm>
                      <a:off x="0" y="0"/>
                      <a:ext cx="5118735" cy="2956560"/>
                    </a:xfrm>
                    <a:prstGeom prst="rect">
                      <a:avLst/>
                    </a:prstGeom>
                  </pic:spPr>
                </pic:pic>
              </a:graphicData>
            </a:graphic>
          </wp:inline>
        </w:drawing>
      </w:r>
    </w:p>
    <w:p w14:paraId="74E870A7">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2.2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rFonts w:hint="eastAsia"/>
          <w:color w:val="auto"/>
        </w:rPr>
        <w:t>库区</w:t>
      </w:r>
      <w:r>
        <w:rPr>
          <w:color w:val="auto"/>
        </w:rPr>
        <w:t>新建管道轴侧图</w:t>
      </w:r>
    </w:p>
    <w:p w14:paraId="291AF784">
      <w:pPr>
        <w:pStyle w:val="4"/>
        <w:rPr>
          <w:color w:val="auto"/>
        </w:rPr>
      </w:pPr>
      <w:r>
        <w:rPr>
          <w:color w:val="auto"/>
        </w:rPr>
        <w:t>设计船型尺度</w:t>
      </w:r>
    </w:p>
    <w:p w14:paraId="0A963BFA">
      <w:pPr>
        <w:ind w:firstLine="480"/>
        <w:rPr>
          <w:color w:val="auto"/>
        </w:rPr>
      </w:pPr>
      <w:r>
        <w:rPr>
          <w:rFonts w:hint="eastAsia"/>
          <w:color w:val="auto"/>
        </w:rPr>
        <w:t>扩建</w:t>
      </w:r>
      <w:r>
        <w:rPr>
          <w:color w:val="auto"/>
        </w:rPr>
        <w:t>项目</w:t>
      </w:r>
      <w:r>
        <w:rPr>
          <w:rFonts w:hint="eastAsia"/>
          <w:color w:val="auto"/>
        </w:rPr>
        <w:t>新增</w:t>
      </w:r>
      <w:r>
        <w:rPr>
          <w:color w:val="auto"/>
        </w:rPr>
        <w:t>货种的</w:t>
      </w:r>
      <w:r>
        <w:rPr>
          <w:rFonts w:hint="eastAsia"/>
          <w:color w:val="auto"/>
        </w:rPr>
        <w:t>运输</w:t>
      </w:r>
      <w:r>
        <w:rPr>
          <w:color w:val="auto"/>
        </w:rPr>
        <w:t>船型与现有工程设计代表船型一致，</w:t>
      </w:r>
      <w:r>
        <w:rPr>
          <w:rFonts w:hint="eastAsia"/>
          <w:color w:val="auto"/>
        </w:rPr>
        <w:t>详见表2-1-3</w:t>
      </w:r>
      <w:r>
        <w:rPr>
          <w:color w:val="auto"/>
        </w:rPr>
        <w:t>。</w:t>
      </w:r>
      <w:r>
        <w:rPr>
          <w:rFonts w:hint="eastAsia"/>
          <w:color w:val="auto"/>
        </w:rPr>
        <w:t>6#泊位前沿为钦州湾10万吨级东航道，航道底宽160~210m，设计底高程-13.0m，乘潮水位3.65m，乘潮时间3.6h，保证率80%，船舶在乘潮的情况下，在通航水域可安全通行。根据《钦州港</w:t>
      </w:r>
      <w:r>
        <w:rPr>
          <w:color w:val="auto"/>
        </w:rPr>
        <w:t>总体规划（</w:t>
      </w:r>
      <w:r>
        <w:rPr>
          <w:rFonts w:hint="eastAsia"/>
          <w:color w:val="auto"/>
        </w:rPr>
        <w:t>2035年</w:t>
      </w:r>
      <w:r>
        <w:rPr>
          <w:color w:val="auto"/>
        </w:rPr>
        <w:t>）</w:t>
      </w:r>
      <w:r>
        <w:rPr>
          <w:rFonts w:hint="eastAsia"/>
          <w:color w:val="auto"/>
        </w:rPr>
        <w:t>》的</w:t>
      </w:r>
      <w:r>
        <w:rPr>
          <w:color w:val="auto"/>
        </w:rPr>
        <w:t>锚地规划</w:t>
      </w:r>
      <w:r>
        <w:rPr>
          <w:rFonts w:hint="eastAsia"/>
          <w:color w:val="auto"/>
        </w:rPr>
        <w:t>，6#泊位东侧水域设有危险品专用锚地，6#泊位可以使用以上锚地进行锚泊，满足该码头6#泊位的锚泊要求。</w:t>
      </w:r>
    </w:p>
    <w:p w14:paraId="4087A210">
      <w:pPr>
        <w:ind w:firstLine="480"/>
        <w:rPr>
          <w:color w:val="auto"/>
        </w:rPr>
      </w:pPr>
      <w:r>
        <w:rPr>
          <w:rFonts w:hint="eastAsia"/>
          <w:color w:val="auto"/>
        </w:rPr>
        <w:t>本次</w:t>
      </w:r>
      <w:r>
        <w:rPr>
          <w:color w:val="auto"/>
        </w:rPr>
        <w:t>扩建项目</w:t>
      </w:r>
      <w:r>
        <w:rPr>
          <w:rFonts w:hint="eastAsia"/>
          <w:color w:val="auto"/>
        </w:rPr>
        <w:t>所需锚地尺度和水深不变，现有锚地可满足船舶锚泊的要求，不需要改变。现有航道可满足通航需求。</w:t>
      </w:r>
    </w:p>
    <w:p w14:paraId="2E611B27">
      <w:pPr>
        <w:pStyle w:val="4"/>
        <w:rPr>
          <w:color w:val="auto"/>
        </w:rPr>
      </w:pPr>
      <w:bookmarkStart w:id="307" w:name="_Toc26909975"/>
      <w:bookmarkStart w:id="308" w:name="_Toc25436929"/>
      <w:bookmarkStart w:id="309" w:name="_Toc216103297"/>
      <w:bookmarkStart w:id="310" w:name="_Toc216620456"/>
      <w:bookmarkStart w:id="311" w:name="_Toc135090197"/>
      <w:bookmarkStart w:id="312" w:name="_Toc29131789"/>
      <w:bookmarkStart w:id="313" w:name="_Toc136878446"/>
      <w:r>
        <w:rPr>
          <w:color w:val="auto"/>
        </w:rPr>
        <w:t>总平面布置</w:t>
      </w:r>
      <w:bookmarkEnd w:id="307"/>
      <w:bookmarkEnd w:id="308"/>
      <w:bookmarkEnd w:id="309"/>
      <w:bookmarkEnd w:id="310"/>
      <w:bookmarkEnd w:id="311"/>
      <w:bookmarkEnd w:id="312"/>
      <w:bookmarkEnd w:id="313"/>
    </w:p>
    <w:p w14:paraId="5E5B6AC0">
      <w:pPr>
        <w:pStyle w:val="6"/>
        <w:tabs>
          <w:tab w:val="left" w:pos="561"/>
        </w:tabs>
        <w:ind w:left="141"/>
        <w:rPr>
          <w:color w:val="auto"/>
        </w:rPr>
      </w:pPr>
      <w:r>
        <w:rPr>
          <w:color w:val="auto"/>
        </w:rPr>
        <w:t>码头平面布置</w:t>
      </w:r>
    </w:p>
    <w:p w14:paraId="741B41CE">
      <w:pPr>
        <w:ind w:firstLine="480"/>
        <w:rPr>
          <w:color w:val="auto"/>
        </w:rPr>
      </w:pPr>
      <w:r>
        <w:rPr>
          <w:rFonts w:hint="eastAsia"/>
          <w:color w:val="auto"/>
        </w:rPr>
        <w:t>拟建项目主要是依托现有</w:t>
      </w:r>
      <w:r>
        <w:rPr>
          <w:color w:val="auto"/>
        </w:rPr>
        <w:t>6#</w:t>
      </w:r>
      <w:r>
        <w:rPr>
          <w:rFonts w:hint="eastAsia"/>
          <w:color w:val="auto"/>
        </w:rPr>
        <w:t>泊位，工程主要在现有码头依托</w:t>
      </w:r>
      <w:r>
        <w:rPr>
          <w:color w:val="auto"/>
        </w:rPr>
        <w:t>现有设施</w:t>
      </w:r>
      <w:r>
        <w:rPr>
          <w:rFonts w:hint="eastAsia"/>
          <w:color w:val="auto"/>
        </w:rPr>
        <w:t>新增</w:t>
      </w:r>
      <w:r>
        <w:rPr>
          <w:color w:val="auto"/>
        </w:rPr>
        <w:t>装卸</w:t>
      </w:r>
      <w:r>
        <w:rPr>
          <w:rFonts w:hint="eastAsia"/>
          <w:color w:val="auto"/>
        </w:rPr>
        <w:t>甲基叔丁基醚（MTBE）、石脑油、蜡油、渣油、异辛烷（烷基化油）5种货种，不改变</w:t>
      </w:r>
      <w:r>
        <w:rPr>
          <w:color w:val="auto"/>
        </w:rPr>
        <w:t>码头</w:t>
      </w:r>
      <w:r>
        <w:rPr>
          <w:rFonts w:hint="eastAsia"/>
          <w:color w:val="auto"/>
        </w:rPr>
        <w:t>的</w:t>
      </w:r>
      <w:r>
        <w:rPr>
          <w:color w:val="auto"/>
        </w:rPr>
        <w:t>水工结构，不新增装卸臂</w:t>
      </w:r>
      <w:r>
        <w:rPr>
          <w:rFonts w:hint="eastAsia"/>
          <w:color w:val="auto"/>
        </w:rPr>
        <w:t>以及</w:t>
      </w:r>
      <w:r>
        <w:rPr>
          <w:color w:val="auto"/>
        </w:rPr>
        <w:t>相应的装卸船管道。</w:t>
      </w:r>
    </w:p>
    <w:p w14:paraId="1A9692BE">
      <w:pPr>
        <w:pStyle w:val="6"/>
        <w:tabs>
          <w:tab w:val="left" w:pos="561"/>
        </w:tabs>
        <w:rPr>
          <w:color w:val="auto"/>
        </w:rPr>
      </w:pPr>
      <w:r>
        <w:rPr>
          <w:rFonts w:hint="eastAsia"/>
          <w:color w:val="auto"/>
        </w:rPr>
        <w:t>罐区</w:t>
      </w:r>
      <w:r>
        <w:rPr>
          <w:color w:val="auto"/>
        </w:rPr>
        <w:t>布置</w:t>
      </w:r>
    </w:p>
    <w:p w14:paraId="1D883CA5">
      <w:pPr>
        <w:ind w:firstLine="480"/>
        <w:rPr>
          <w:color w:val="auto"/>
        </w:rPr>
      </w:pPr>
      <w:r>
        <w:rPr>
          <w:rFonts w:hint="eastAsia"/>
          <w:color w:val="auto"/>
        </w:rPr>
        <w:t>本次</w:t>
      </w:r>
      <w:r>
        <w:rPr>
          <w:color w:val="auto"/>
        </w:rPr>
        <w:t>扩建项目不改变</w:t>
      </w:r>
      <w:r>
        <w:rPr>
          <w:rFonts w:hint="eastAsia"/>
          <w:color w:val="auto"/>
        </w:rPr>
        <w:t>码头</w:t>
      </w:r>
      <w:r>
        <w:rPr>
          <w:color w:val="auto"/>
        </w:rPr>
        <w:t>后方库区的平面布置，不新增用地，码头新增的</w:t>
      </w:r>
      <w:r>
        <w:rPr>
          <w:rFonts w:hint="eastAsia"/>
          <w:color w:val="auto"/>
        </w:rPr>
        <w:t>5种</w:t>
      </w:r>
      <w:r>
        <w:rPr>
          <w:color w:val="auto"/>
        </w:rPr>
        <w:t>装卸</w:t>
      </w:r>
      <w:r>
        <w:rPr>
          <w:rFonts w:hint="eastAsia"/>
          <w:color w:val="auto"/>
        </w:rPr>
        <w:t>货种依托</w:t>
      </w:r>
      <w:r>
        <w:rPr>
          <w:color w:val="auto"/>
        </w:rPr>
        <w:t>现有工程建设的储罐进行储存。</w:t>
      </w:r>
      <w:r>
        <w:rPr>
          <w:rFonts w:hint="eastAsia"/>
          <w:color w:val="auto"/>
        </w:rPr>
        <w:t>本次</w:t>
      </w:r>
      <w:r>
        <w:rPr>
          <w:color w:val="auto"/>
        </w:rPr>
        <w:t>扩建</w:t>
      </w:r>
      <w:r>
        <w:rPr>
          <w:rFonts w:hint="eastAsia"/>
          <w:color w:val="auto"/>
        </w:rPr>
        <w:t>后</w:t>
      </w:r>
      <w:r>
        <w:rPr>
          <w:color w:val="auto"/>
        </w:rPr>
        <w:t>，码头后方库区的平面布置不变。</w:t>
      </w:r>
    </w:p>
    <w:p w14:paraId="0E8B5392">
      <w:pPr>
        <w:ind w:firstLine="480"/>
        <w:rPr>
          <w:color w:val="auto"/>
        </w:rPr>
      </w:pPr>
      <w:r>
        <w:rPr>
          <w:rFonts w:hint="eastAsia"/>
          <w:color w:val="auto"/>
        </w:rPr>
        <w:t>扩建</w:t>
      </w:r>
      <w:r>
        <w:rPr>
          <w:color w:val="auto"/>
        </w:rPr>
        <w:t>项目新增的5</w:t>
      </w:r>
      <w:r>
        <w:rPr>
          <w:rFonts w:hint="eastAsia"/>
          <w:color w:val="auto"/>
        </w:rPr>
        <w:t>7</w:t>
      </w:r>
      <w:r>
        <w:rPr>
          <w:color w:val="auto"/>
        </w:rPr>
        <w:t>m管线</w:t>
      </w:r>
      <w:r>
        <w:rPr>
          <w:rFonts w:hint="eastAsia"/>
          <w:color w:val="auto"/>
        </w:rPr>
        <w:t>起点位于3#汽油</w:t>
      </w:r>
      <w:r>
        <w:rPr>
          <w:color w:val="auto"/>
        </w:rPr>
        <w:t>罐组西侧的汽油泵棚</w:t>
      </w:r>
      <w:r>
        <w:rPr>
          <w:rFonts w:hint="eastAsia"/>
          <w:color w:val="auto"/>
        </w:rPr>
        <w:t>的输送泵P301/1、2，</w:t>
      </w:r>
      <w:r>
        <w:rPr>
          <w:color w:val="auto"/>
        </w:rPr>
        <w:t>跨接柴油长输</w:t>
      </w:r>
      <w:r>
        <w:rPr>
          <w:rFonts w:hint="eastAsia"/>
          <w:color w:val="auto"/>
        </w:rPr>
        <w:t>线</w:t>
      </w:r>
      <w:r>
        <w:rPr>
          <w:color w:val="auto"/>
        </w:rPr>
        <w:t>，输送石脑油至广西石化</w:t>
      </w:r>
      <w:r>
        <w:rPr>
          <w:rFonts w:hint="eastAsia"/>
          <w:color w:val="auto"/>
        </w:rPr>
        <w:t>罐区；</w:t>
      </w:r>
      <w:r>
        <w:rPr>
          <w:color w:val="auto"/>
        </w:rPr>
        <w:t>储存在储罐中的</w:t>
      </w:r>
      <w:r>
        <w:rPr>
          <w:rFonts w:hint="eastAsia"/>
          <w:color w:val="auto"/>
        </w:rPr>
        <w:t>蜡油、渣油通过原油长输线将货种输送至广西石化罐区；异辛烷（烷基化油）通过汽油长输线</w:t>
      </w:r>
      <w:r>
        <w:rPr>
          <w:color w:val="auto"/>
        </w:rPr>
        <w:t>输送至广西石化</w:t>
      </w:r>
      <w:r>
        <w:rPr>
          <w:rFonts w:hint="eastAsia"/>
          <w:color w:val="auto"/>
        </w:rPr>
        <w:t>罐区。甲基叔丁基醚（MTBE）从储罐中经汽油出口先经码头装船出口。</w:t>
      </w:r>
    </w:p>
    <w:p w14:paraId="1211C269">
      <w:pPr>
        <w:pStyle w:val="4"/>
        <w:rPr>
          <w:color w:val="auto"/>
        </w:rPr>
      </w:pPr>
      <w:bookmarkStart w:id="314" w:name="_Toc216620457"/>
      <w:bookmarkStart w:id="315" w:name="_Toc135090198"/>
      <w:bookmarkStart w:id="316" w:name="_Toc216103298"/>
      <w:bookmarkStart w:id="317" w:name="_Toc29131791"/>
      <w:bookmarkStart w:id="318" w:name="_Toc25436931"/>
      <w:bookmarkStart w:id="319" w:name="_Toc136878447"/>
      <w:bookmarkStart w:id="320" w:name="_Toc26909977"/>
      <w:bookmarkStart w:id="321" w:name="_Toc25436930"/>
      <w:bookmarkStart w:id="322" w:name="_Toc26909976"/>
      <w:bookmarkStart w:id="323" w:name="_Toc29131790"/>
      <w:r>
        <w:rPr>
          <w:color w:val="auto"/>
        </w:rPr>
        <w:t>装卸工艺</w:t>
      </w:r>
      <w:bookmarkEnd w:id="314"/>
      <w:bookmarkEnd w:id="315"/>
      <w:bookmarkEnd w:id="316"/>
      <w:bookmarkEnd w:id="317"/>
      <w:bookmarkEnd w:id="318"/>
      <w:bookmarkEnd w:id="319"/>
      <w:bookmarkEnd w:id="320"/>
    </w:p>
    <w:p w14:paraId="4E5BFCBA">
      <w:pPr>
        <w:pStyle w:val="6"/>
        <w:tabs>
          <w:tab w:val="left" w:pos="561"/>
        </w:tabs>
        <w:rPr>
          <w:color w:val="auto"/>
        </w:rPr>
      </w:pPr>
      <w:r>
        <w:rPr>
          <w:color w:val="auto"/>
        </w:rPr>
        <w:t>装卸工艺方案</w:t>
      </w:r>
    </w:p>
    <w:p w14:paraId="39FB4975">
      <w:pPr>
        <w:numPr>
          <w:ilvl w:val="0"/>
          <w:numId w:val="21"/>
        </w:numPr>
        <w:ind w:firstLine="480"/>
        <w:rPr>
          <w:rFonts w:hint="eastAsia"/>
          <w:color w:val="auto"/>
          <w:u w:val="single"/>
        </w:rPr>
      </w:pPr>
      <w:r>
        <w:rPr>
          <w:rFonts w:hint="eastAsia"/>
          <w:color w:val="auto"/>
          <w:u w:val="single"/>
        </w:rPr>
        <w:t>新增</w:t>
      </w:r>
      <w:r>
        <w:rPr>
          <w:color w:val="auto"/>
          <w:u w:val="single"/>
        </w:rPr>
        <w:t>的</w:t>
      </w:r>
      <w:r>
        <w:rPr>
          <w:rFonts w:hint="eastAsia"/>
          <w:color w:val="auto"/>
          <w:u w:val="single"/>
        </w:rPr>
        <w:t>石脑油、异辛烷（烷基化油）</w:t>
      </w:r>
      <w:r>
        <w:rPr>
          <w:rFonts w:hint="eastAsia"/>
          <w:color w:val="auto"/>
          <w:u w:val="single"/>
          <w:lang w:eastAsia="zh-CN"/>
        </w:rPr>
        <w:t>卸船</w:t>
      </w:r>
      <w:r>
        <w:rPr>
          <w:rFonts w:hint="eastAsia"/>
          <w:color w:val="auto"/>
          <w:u w:val="single"/>
        </w:rPr>
        <w:t>利用汽油装卸臂和管线，将货种输送至后方库区3#罐组V305~V30</w:t>
      </w:r>
      <w:r>
        <w:rPr>
          <w:rFonts w:hint="eastAsia"/>
          <w:color w:val="auto"/>
          <w:u w:val="single"/>
          <w:lang w:val="en-US" w:eastAsia="zh-CN"/>
        </w:rPr>
        <w:t>6</w:t>
      </w:r>
      <w:r>
        <w:rPr>
          <w:rFonts w:hint="eastAsia"/>
          <w:color w:val="auto"/>
          <w:u w:val="single"/>
        </w:rPr>
        <w:t>储罐中储存。新增的蜡油、渣油利用现有原油输油臂和管线，将货种输送至后方库区1#罐组V102~V103中储存。</w:t>
      </w:r>
    </w:p>
    <w:p w14:paraId="4508B227">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color w:val="auto"/>
          <w:u w:val="single"/>
        </w:rPr>
      </w:pPr>
      <w:r>
        <w:rPr>
          <w:rFonts w:hint="eastAsia"/>
          <w:color w:val="auto"/>
          <w:u w:val="single"/>
        </w:rPr>
        <w:t>甲基叔丁基醚（MTBE）</w:t>
      </w:r>
      <w:r>
        <w:rPr>
          <w:rFonts w:hint="eastAsia"/>
          <w:color w:val="auto"/>
          <w:u w:val="single"/>
          <w:lang w:eastAsia="zh-CN"/>
        </w:rPr>
        <w:t>经过长输管道从广西石化输送至项目库区储罐（</w:t>
      </w:r>
      <w:r>
        <w:rPr>
          <w:rFonts w:hint="eastAsia"/>
          <w:color w:val="auto"/>
          <w:u w:val="single"/>
          <w:lang w:val="en-US" w:eastAsia="zh-CN"/>
        </w:rPr>
        <w:t>V307</w:t>
      </w:r>
      <w:r>
        <w:rPr>
          <w:rFonts w:hint="eastAsia"/>
          <w:color w:val="auto"/>
          <w:u w:val="single"/>
          <w:lang w:eastAsia="zh-CN"/>
        </w:rPr>
        <w:t>）中，经过汽油装船管线及装卸臂装船。</w:t>
      </w:r>
    </w:p>
    <w:p w14:paraId="783DD7D4">
      <w:pPr>
        <w:ind w:firstLine="480"/>
        <w:rPr>
          <w:color w:val="auto"/>
        </w:rPr>
      </w:pPr>
      <w:r>
        <w:rPr>
          <w:rFonts w:hint="eastAsia"/>
          <w:color w:val="auto"/>
        </w:rPr>
        <w:t>甲基叔丁基醚（MTBE）、石脑油、异辛烷（烷基化油）这</w:t>
      </w:r>
      <w:r>
        <w:rPr>
          <w:color w:val="auto"/>
        </w:rPr>
        <w:t>三种货种的性质与汽油</w:t>
      </w:r>
      <w:r>
        <w:rPr>
          <w:rFonts w:hint="eastAsia"/>
          <w:color w:val="auto"/>
        </w:rPr>
        <w:t>相似</w:t>
      </w:r>
      <w:r>
        <w:rPr>
          <w:color w:val="auto"/>
        </w:rPr>
        <w:t>，</w:t>
      </w:r>
      <w:r>
        <w:rPr>
          <w:rFonts w:hint="eastAsia"/>
          <w:color w:val="auto"/>
        </w:rPr>
        <w:t>蜡油、渣油这</w:t>
      </w:r>
      <w:r>
        <w:rPr>
          <w:color w:val="auto"/>
        </w:rPr>
        <w:t>两种新增货种</w:t>
      </w:r>
      <w:r>
        <w:rPr>
          <w:rFonts w:hint="eastAsia"/>
          <w:color w:val="auto"/>
        </w:rPr>
        <w:t>与原油</w:t>
      </w:r>
      <w:r>
        <w:rPr>
          <w:color w:val="auto"/>
        </w:rPr>
        <w:t>的性质相近，</w:t>
      </w:r>
      <w:r>
        <w:rPr>
          <w:rFonts w:hint="eastAsia"/>
          <w:color w:val="auto"/>
        </w:rPr>
        <w:t>更换</w:t>
      </w:r>
      <w:r>
        <w:rPr>
          <w:color w:val="auto"/>
        </w:rPr>
        <w:t>货种装卸无需对</w:t>
      </w:r>
      <w:r>
        <w:rPr>
          <w:rFonts w:hint="eastAsia"/>
          <w:color w:val="auto"/>
        </w:rPr>
        <w:t>装卸</w:t>
      </w:r>
      <w:r>
        <w:rPr>
          <w:rFonts w:hint="eastAsia"/>
          <w:color w:val="auto"/>
          <w:lang w:eastAsia="zh-CN"/>
        </w:rPr>
        <w:t>臂</w:t>
      </w:r>
      <w:r>
        <w:rPr>
          <w:color w:val="auto"/>
        </w:rPr>
        <w:t>、管道以及储罐进行清洗，</w:t>
      </w:r>
      <w:r>
        <w:rPr>
          <w:rFonts w:hint="eastAsia"/>
          <w:color w:val="auto"/>
        </w:rPr>
        <w:t>也</w:t>
      </w:r>
      <w:r>
        <w:rPr>
          <w:color w:val="auto"/>
        </w:rPr>
        <w:t>无需进行氮气扫线</w:t>
      </w:r>
      <w:r>
        <w:rPr>
          <w:rFonts w:hint="eastAsia"/>
          <w:color w:val="auto"/>
        </w:rPr>
        <w:t>。</w:t>
      </w:r>
    </w:p>
    <w:p w14:paraId="778DE768">
      <w:pPr>
        <w:ind w:firstLine="480"/>
        <w:rPr>
          <w:color w:val="auto"/>
        </w:rPr>
      </w:pPr>
      <w:r>
        <w:rPr>
          <w:rFonts w:hint="eastAsia"/>
          <w:color w:val="auto"/>
        </w:rPr>
        <w:t>（2）库区新增的</w:t>
      </w:r>
      <w:r>
        <w:rPr>
          <w:color w:val="auto"/>
        </w:rPr>
        <w:t>5</w:t>
      </w:r>
      <w:r>
        <w:rPr>
          <w:rFonts w:hint="eastAsia"/>
          <w:color w:val="auto"/>
        </w:rPr>
        <w:t>7m管线起点位于3#汽油罐组西侧的汽油泵棚的输送泵P301/1、2，跨接柴油长输线，输送石脑油至广西石化罐区。</w:t>
      </w:r>
    </w:p>
    <w:p w14:paraId="19F389AE">
      <w:pPr>
        <w:pStyle w:val="6"/>
        <w:tabs>
          <w:tab w:val="left" w:pos="561"/>
        </w:tabs>
        <w:rPr>
          <w:color w:val="auto"/>
        </w:rPr>
      </w:pPr>
      <w:r>
        <w:rPr>
          <w:color w:val="auto"/>
        </w:rPr>
        <w:t>装卸工艺流程</w:t>
      </w:r>
    </w:p>
    <w:p w14:paraId="2EF5864B">
      <w:pPr>
        <w:numPr>
          <w:ilvl w:val="0"/>
          <w:numId w:val="22"/>
        </w:numPr>
        <w:ind w:firstLine="480"/>
        <w:rPr>
          <w:color w:val="auto"/>
        </w:rPr>
      </w:pPr>
      <w:r>
        <w:rPr>
          <w:rFonts w:hint="eastAsia"/>
          <w:color w:val="auto"/>
        </w:rPr>
        <w:t>货种装卸及输送</w:t>
      </w:r>
    </w:p>
    <w:p w14:paraId="69B12721">
      <w:pPr>
        <w:ind w:firstLine="480"/>
        <w:rPr>
          <w:color w:val="auto"/>
        </w:rPr>
      </w:pPr>
      <w:r>
        <w:rPr>
          <w:rFonts w:hint="eastAsia"/>
          <w:color w:val="auto"/>
        </w:rPr>
        <w:t>本次</w:t>
      </w:r>
      <w:r>
        <w:rPr>
          <w:color w:val="auto"/>
        </w:rPr>
        <w:t>扩建项目新增的</w:t>
      </w:r>
      <w:r>
        <w:rPr>
          <w:rFonts w:hint="eastAsia"/>
          <w:color w:val="auto"/>
        </w:rPr>
        <w:t>石脑油、异辛烷（烷基化油）、蜡油、渣油这4个</w:t>
      </w:r>
      <w:r>
        <w:rPr>
          <w:color w:val="auto"/>
        </w:rPr>
        <w:t>货种进行卸船作业，</w:t>
      </w:r>
      <w:r>
        <w:rPr>
          <w:rFonts w:hint="eastAsia"/>
          <w:color w:val="auto"/>
        </w:rPr>
        <w:t>从6#泊位</w:t>
      </w:r>
      <w:r>
        <w:rPr>
          <w:color w:val="auto"/>
        </w:rPr>
        <w:t>卸船至储罐，</w:t>
      </w:r>
      <w:r>
        <w:rPr>
          <w:rFonts w:hint="eastAsia"/>
          <w:color w:val="auto"/>
        </w:rPr>
        <w:t>其中异辛烷（烷基化油）、蜡油、渣油</w:t>
      </w:r>
      <w:r>
        <w:rPr>
          <w:color w:val="auto"/>
        </w:rPr>
        <w:t>再从储罐通过</w:t>
      </w:r>
      <w:r>
        <w:rPr>
          <w:rFonts w:hint="eastAsia"/>
          <w:color w:val="auto"/>
        </w:rPr>
        <w:t>长输管道</w:t>
      </w:r>
      <w:r>
        <w:rPr>
          <w:color w:val="auto"/>
        </w:rPr>
        <w:t>输送至广西石化罐区，长输管道至广西石化罐区</w:t>
      </w:r>
      <w:r>
        <w:rPr>
          <w:rFonts w:hint="eastAsia"/>
          <w:color w:val="auto"/>
        </w:rPr>
        <w:t>不在</w:t>
      </w:r>
      <w:r>
        <w:rPr>
          <w:color w:val="auto"/>
        </w:rPr>
        <w:t>本项目</w:t>
      </w:r>
      <w:r>
        <w:rPr>
          <w:rFonts w:hint="eastAsia"/>
          <w:color w:val="auto"/>
        </w:rPr>
        <w:t>范围</w:t>
      </w:r>
      <w:r>
        <w:rPr>
          <w:color w:val="auto"/>
        </w:rPr>
        <w:t>内，石脑油</w:t>
      </w:r>
      <w:r>
        <w:rPr>
          <w:rFonts w:hint="eastAsia"/>
          <w:color w:val="auto"/>
        </w:rPr>
        <w:t>则需要通过新建管线跨接到广西石化柴油长输线（DN150）从而进行广西石化罐区；甲基叔丁基醚（MTBE）为</w:t>
      </w:r>
      <w:r>
        <w:rPr>
          <w:color w:val="auto"/>
        </w:rPr>
        <w:t>广西石化生产，从广西石化</w:t>
      </w:r>
      <w:r>
        <w:rPr>
          <w:rFonts w:hint="eastAsia"/>
          <w:color w:val="auto"/>
        </w:rPr>
        <w:t>厂区</w:t>
      </w:r>
      <w:r>
        <w:rPr>
          <w:color w:val="auto"/>
        </w:rPr>
        <w:t>输送至广西石化罐区</w:t>
      </w:r>
      <w:r>
        <w:rPr>
          <w:rFonts w:hint="eastAsia"/>
          <w:color w:val="auto"/>
        </w:rPr>
        <w:t>（不在</w:t>
      </w:r>
      <w:r>
        <w:rPr>
          <w:color w:val="auto"/>
        </w:rPr>
        <w:t>本项目范围内</w:t>
      </w:r>
      <w:r>
        <w:rPr>
          <w:rFonts w:hint="eastAsia"/>
          <w:color w:val="auto"/>
        </w:rPr>
        <w:t>）</w:t>
      </w:r>
      <w:r>
        <w:rPr>
          <w:color w:val="auto"/>
        </w:rPr>
        <w:t>，再从广西石化罐区输送至本项目罐区储存</w:t>
      </w:r>
      <w:r>
        <w:rPr>
          <w:rFonts w:hint="eastAsia"/>
          <w:color w:val="auto"/>
        </w:rPr>
        <w:t>（广西</w:t>
      </w:r>
      <w:r>
        <w:rPr>
          <w:color w:val="auto"/>
        </w:rPr>
        <w:t>石化罐区至项目库区外管线不在项目评价范围内</w:t>
      </w:r>
      <w:r>
        <w:rPr>
          <w:rFonts w:hint="eastAsia"/>
          <w:color w:val="auto"/>
        </w:rPr>
        <w:t>）</w:t>
      </w:r>
      <w:r>
        <w:rPr>
          <w:color w:val="auto"/>
        </w:rPr>
        <w:t>，通过汽油出口线</w:t>
      </w:r>
      <w:r>
        <w:rPr>
          <w:rFonts w:hint="eastAsia"/>
          <w:color w:val="auto"/>
        </w:rPr>
        <w:t>、</w:t>
      </w:r>
      <w:r>
        <w:rPr>
          <w:color w:val="auto"/>
        </w:rPr>
        <w:t>装卸臂等进行装船作业。</w:t>
      </w:r>
    </w:p>
    <w:p w14:paraId="214261F0">
      <w:pPr>
        <w:ind w:firstLine="482"/>
        <w:rPr>
          <w:color w:val="auto"/>
        </w:rPr>
      </w:pPr>
      <w:r>
        <w:rPr>
          <w:rFonts w:hint="eastAsia"/>
          <w:b/>
          <w:color w:val="auto"/>
        </w:rPr>
        <w:t>石脑油、异辛烷（烷基化油）、蜡油、渣油</w:t>
      </w:r>
      <w:r>
        <w:rPr>
          <w:rFonts w:hint="eastAsia"/>
          <w:color w:val="auto"/>
        </w:rPr>
        <w:t>：船舶→船内输送泵→装卸臂→紧急切断阀→库区管道→储罐→输送泵→库区长输管线→库区</w:t>
      </w:r>
      <w:r>
        <w:rPr>
          <w:color w:val="auto"/>
        </w:rPr>
        <w:t>外管廊长输管线</w:t>
      </w:r>
      <w:r>
        <w:rPr>
          <w:rFonts w:hint="eastAsia"/>
          <w:color w:val="auto"/>
        </w:rPr>
        <w:t>（不在</w:t>
      </w:r>
      <w:r>
        <w:rPr>
          <w:color w:val="auto"/>
        </w:rPr>
        <w:t>项目范围内</w:t>
      </w:r>
      <w:r>
        <w:rPr>
          <w:rFonts w:hint="eastAsia"/>
          <w:color w:val="auto"/>
        </w:rPr>
        <w:t>）→广西石化罐区。</w:t>
      </w:r>
    </w:p>
    <w:p w14:paraId="0AB3E771">
      <w:pPr>
        <w:ind w:firstLine="482"/>
        <w:rPr>
          <w:color w:val="auto"/>
        </w:rPr>
      </w:pPr>
      <w:r>
        <w:rPr>
          <w:rFonts w:hint="eastAsia"/>
          <w:b/>
          <w:color w:val="auto"/>
        </w:rPr>
        <w:t>甲基叔丁基醚（MTBE）：</w:t>
      </w:r>
      <w:r>
        <w:rPr>
          <w:rFonts w:hint="eastAsia"/>
          <w:color w:val="auto"/>
        </w:rPr>
        <w:t>广西石化罐区→库区</w:t>
      </w:r>
      <w:r>
        <w:rPr>
          <w:color w:val="auto"/>
        </w:rPr>
        <w:t>外管廊长输管线</w:t>
      </w:r>
      <w:r>
        <w:rPr>
          <w:rFonts w:hint="eastAsia"/>
          <w:color w:val="auto"/>
        </w:rPr>
        <w:t>（不在</w:t>
      </w:r>
      <w:r>
        <w:rPr>
          <w:color w:val="auto"/>
        </w:rPr>
        <w:t>项目范围内</w:t>
      </w:r>
      <w:r>
        <w:rPr>
          <w:rFonts w:hint="eastAsia"/>
          <w:color w:val="auto"/>
        </w:rPr>
        <w:t>）→库区长输管线→储罐→库区输送泵→管道→紧急切断阀→装卸臂→船舱。</w:t>
      </w:r>
    </w:p>
    <w:p w14:paraId="32C296D2">
      <w:pPr>
        <w:ind w:firstLine="480"/>
        <w:rPr>
          <w:color w:val="auto"/>
        </w:rPr>
      </w:pPr>
      <w:r>
        <w:rPr>
          <w:color w:val="auto"/>
        </w:rPr>
        <w:t>（2）</w:t>
      </w:r>
      <w:r>
        <w:rPr>
          <w:rFonts w:hint="eastAsia"/>
          <w:color w:val="auto"/>
        </w:rPr>
        <w:t>清管工艺</w:t>
      </w:r>
    </w:p>
    <w:p w14:paraId="77E6A14F">
      <w:pPr>
        <w:ind w:firstLine="480"/>
        <w:rPr>
          <w:color w:val="auto"/>
          <w:u w:val="single"/>
        </w:rPr>
      </w:pPr>
      <w:r>
        <w:rPr>
          <w:rFonts w:hint="eastAsia"/>
          <w:color w:val="auto"/>
        </w:rPr>
        <w:t>货种</w:t>
      </w:r>
      <w:r>
        <w:rPr>
          <w:color w:val="auto"/>
        </w:rPr>
        <w:t>卸船结束后</w:t>
      </w:r>
      <w:r>
        <w:rPr>
          <w:rFonts w:hint="eastAsia"/>
          <w:color w:val="auto"/>
        </w:rPr>
        <w:t>，管线</w:t>
      </w:r>
      <w:r>
        <w:rPr>
          <w:color w:val="auto"/>
        </w:rPr>
        <w:t>不进行清洗，</w:t>
      </w:r>
      <w:r>
        <w:rPr>
          <w:rFonts w:hint="eastAsia"/>
          <w:color w:val="auto"/>
        </w:rPr>
        <w:t>将</w:t>
      </w:r>
      <w:r>
        <w:rPr>
          <w:color w:val="auto"/>
        </w:rPr>
        <w:t>氮气管线接入清管阀，</w:t>
      </w:r>
      <w:r>
        <w:rPr>
          <w:color w:val="auto"/>
          <w:u w:val="single"/>
        </w:rPr>
        <w:t>利用氮气将</w:t>
      </w:r>
      <w:r>
        <w:rPr>
          <w:rFonts w:hint="eastAsia"/>
          <w:color w:val="auto"/>
          <w:u w:val="single"/>
        </w:rPr>
        <w:t>装卸</w:t>
      </w:r>
      <w:r>
        <w:rPr>
          <w:color w:val="auto"/>
          <w:u w:val="single"/>
        </w:rPr>
        <w:t>外臂内的</w:t>
      </w:r>
      <w:r>
        <w:rPr>
          <w:rFonts w:hint="eastAsia"/>
          <w:color w:val="auto"/>
          <w:u w:val="single"/>
        </w:rPr>
        <w:t>物料</w:t>
      </w:r>
      <w:r>
        <w:rPr>
          <w:color w:val="auto"/>
          <w:u w:val="single"/>
        </w:rPr>
        <w:t>推向船舶货舱，</w:t>
      </w:r>
      <w:r>
        <w:rPr>
          <w:rFonts w:hint="eastAsia"/>
          <w:color w:val="auto"/>
          <w:u w:val="single"/>
        </w:rPr>
        <w:t>从而有效</w:t>
      </w:r>
      <w:r>
        <w:rPr>
          <w:rFonts w:hint="eastAsia"/>
          <w:color w:val="auto"/>
          <w:u w:val="single"/>
          <w:lang w:eastAsia="zh-CN"/>
        </w:rPr>
        <w:t>地</w:t>
      </w:r>
      <w:r>
        <w:rPr>
          <w:rFonts w:hint="eastAsia"/>
          <w:color w:val="auto"/>
          <w:u w:val="single"/>
        </w:rPr>
        <w:t>将管道内物料清空，管道内的氮气封存起到隔绝氧气和保压的作用。装卸</w:t>
      </w:r>
      <w:r>
        <w:rPr>
          <w:rFonts w:hint="eastAsia"/>
          <w:color w:val="auto"/>
          <w:u w:val="single"/>
          <w:lang w:eastAsia="zh-CN"/>
        </w:rPr>
        <w:t>内壁</w:t>
      </w:r>
      <w:r>
        <w:rPr>
          <w:rFonts w:hint="eastAsia"/>
          <w:color w:val="auto"/>
          <w:u w:val="single"/>
        </w:rPr>
        <w:t>及</w:t>
      </w:r>
      <w:r>
        <w:rPr>
          <w:color w:val="auto"/>
          <w:u w:val="single"/>
        </w:rPr>
        <w:t>管线内</w:t>
      </w:r>
      <w:r>
        <w:rPr>
          <w:rFonts w:hint="eastAsia"/>
          <w:color w:val="auto"/>
          <w:u w:val="single"/>
        </w:rPr>
        <w:t>的残余</w:t>
      </w:r>
      <w:r>
        <w:rPr>
          <w:color w:val="auto"/>
          <w:u w:val="single"/>
        </w:rPr>
        <w:t>物料</w:t>
      </w:r>
      <w:r>
        <w:rPr>
          <w:rFonts w:hint="eastAsia"/>
          <w:color w:val="auto"/>
          <w:u w:val="single"/>
        </w:rPr>
        <w:t>，</w:t>
      </w:r>
      <w:r>
        <w:rPr>
          <w:color w:val="auto"/>
          <w:u w:val="single"/>
        </w:rPr>
        <w:t>利用输送泵</w:t>
      </w:r>
      <w:r>
        <w:rPr>
          <w:rFonts w:hint="eastAsia"/>
          <w:color w:val="auto"/>
          <w:u w:val="single"/>
        </w:rPr>
        <w:t>泵入</w:t>
      </w:r>
      <w:r>
        <w:rPr>
          <w:color w:val="auto"/>
          <w:u w:val="single"/>
        </w:rPr>
        <w:t>储罐</w:t>
      </w:r>
      <w:r>
        <w:rPr>
          <w:rFonts w:hint="eastAsia"/>
          <w:color w:val="auto"/>
          <w:u w:val="single"/>
        </w:rPr>
        <w:t>内</w:t>
      </w:r>
      <w:r>
        <w:rPr>
          <w:color w:val="auto"/>
          <w:u w:val="single"/>
        </w:rPr>
        <w:t>，从而</w:t>
      </w:r>
      <w:r>
        <w:rPr>
          <w:rFonts w:hint="eastAsia"/>
          <w:color w:val="auto"/>
          <w:u w:val="single"/>
        </w:rPr>
        <w:t>达到</w:t>
      </w:r>
      <w:r>
        <w:rPr>
          <w:color w:val="auto"/>
          <w:u w:val="single"/>
        </w:rPr>
        <w:t>清管的目的。</w:t>
      </w:r>
    </w:p>
    <w:bookmarkEnd w:id="321"/>
    <w:bookmarkEnd w:id="322"/>
    <w:bookmarkEnd w:id="323"/>
    <w:p w14:paraId="65C75074">
      <w:pPr>
        <w:pStyle w:val="4"/>
        <w:rPr>
          <w:color w:val="auto"/>
        </w:rPr>
      </w:pPr>
      <w:bookmarkStart w:id="324" w:name="_Toc25436934"/>
      <w:bookmarkStart w:id="325" w:name="_Toc216103361"/>
      <w:bookmarkStart w:id="326" w:name="_Toc26909980"/>
      <w:bookmarkStart w:id="327" w:name="_Toc136878451"/>
      <w:bookmarkStart w:id="328" w:name="_Toc135090202"/>
      <w:bookmarkStart w:id="329" w:name="_Toc29131794"/>
      <w:bookmarkStart w:id="330" w:name="_Toc216620520"/>
      <w:r>
        <w:rPr>
          <w:color w:val="auto"/>
        </w:rPr>
        <w:t>配套工程</w:t>
      </w:r>
      <w:bookmarkEnd w:id="324"/>
      <w:bookmarkEnd w:id="325"/>
      <w:bookmarkEnd w:id="326"/>
      <w:bookmarkEnd w:id="327"/>
      <w:bookmarkEnd w:id="328"/>
      <w:bookmarkEnd w:id="329"/>
      <w:bookmarkEnd w:id="330"/>
    </w:p>
    <w:p w14:paraId="6D35CF2B">
      <w:pPr>
        <w:ind w:firstLine="480"/>
        <w:rPr>
          <w:color w:val="auto"/>
        </w:rPr>
      </w:pPr>
      <w:r>
        <w:rPr>
          <w:rFonts w:hint="eastAsia"/>
          <w:color w:val="auto"/>
        </w:rPr>
        <w:t>本项目供电、照明、给排水、消防，以及生产辅助设施均依托现有工程，无新增和改造。本项目码头库区外的输油管线均依托现有的长输管线，本次新增石脑油、异辛烷（烷基化油）、蜡油、渣油卸船至</w:t>
      </w:r>
      <w:r>
        <w:rPr>
          <w:color w:val="auto"/>
        </w:rPr>
        <w:t>储罐储存后，</w:t>
      </w:r>
      <w:r>
        <w:rPr>
          <w:rFonts w:hint="eastAsia"/>
          <w:color w:val="auto"/>
        </w:rPr>
        <w:t>通过长输管线输送到广西石化的罐区。甲基叔丁基醚（MTBE）为</w:t>
      </w:r>
      <w:r>
        <w:rPr>
          <w:color w:val="auto"/>
        </w:rPr>
        <w:t>广西石化罐区通过长输管道至储罐储存，通过码头进行装船。</w:t>
      </w:r>
    </w:p>
    <w:p w14:paraId="66340C2B">
      <w:pPr>
        <w:pStyle w:val="4"/>
        <w:bidi w:val="0"/>
        <w:rPr>
          <w:color w:val="auto"/>
          <w:u w:val="single"/>
        </w:rPr>
      </w:pPr>
      <w:r>
        <w:rPr>
          <w:rFonts w:hint="eastAsia"/>
          <w:color w:val="auto"/>
          <w:u w:val="single"/>
          <w:lang w:eastAsia="zh-CN"/>
        </w:rPr>
        <w:t>环保设施情况</w:t>
      </w:r>
    </w:p>
    <w:p w14:paraId="2387AB4A">
      <w:pPr>
        <w:rPr>
          <w:rFonts w:hint="eastAsia"/>
          <w:color w:val="auto"/>
          <w:u w:val="single"/>
          <w:lang w:val="en-US" w:eastAsia="zh-CN"/>
        </w:rPr>
      </w:pPr>
      <w:r>
        <w:rPr>
          <w:rFonts w:hint="eastAsia"/>
          <w:color w:val="auto"/>
          <w:u w:val="single"/>
          <w:lang w:eastAsia="zh-CN"/>
        </w:rPr>
        <w:t>本项目甲基叔丁基醚装船废气依托现有工程的汽油装船油气回收设施进行处理，油气回收设施情况详见</w:t>
      </w:r>
      <w:r>
        <w:rPr>
          <w:rFonts w:hint="eastAsia"/>
          <w:color w:val="auto"/>
          <w:u w:val="single"/>
          <w:lang w:val="en-US" w:eastAsia="zh-CN"/>
        </w:rPr>
        <w:t>2.1.2.7章节，依托可行性详见6.1.2章节。</w:t>
      </w:r>
    </w:p>
    <w:p w14:paraId="1BF29019">
      <w:pPr>
        <w:rPr>
          <w:rFonts w:hint="eastAsia"/>
          <w:color w:val="auto"/>
        </w:rPr>
      </w:pPr>
      <w:r>
        <w:rPr>
          <w:rFonts w:hint="eastAsia"/>
          <w:color w:val="auto"/>
          <w:u w:val="single"/>
          <w:lang w:val="en-US" w:eastAsia="zh-CN"/>
        </w:rPr>
        <w:t>码头冲洗废水、初期雨水主要依托现有工程建设的雨水管网、集污池、污水处理设施（仅隔油、储存使用），码头冲洗废水和码头初期雨水经码头装卸区四周围坎收集到集污池（容积约2m3），经过提升泵，泵送至引桥与库区连接处左侧的初期雨水池，罐组内的初期雨水通过雨水管网收集后，排至初期雨水池；</w:t>
      </w:r>
      <w:r>
        <w:rPr>
          <w:color w:val="auto"/>
          <w:u w:val="single"/>
        </w:rPr>
        <w:t>再</w:t>
      </w:r>
      <w:r>
        <w:rPr>
          <w:rFonts w:hint="eastAsia"/>
          <w:color w:val="auto"/>
          <w:u w:val="single"/>
        </w:rPr>
        <w:t>经过</w:t>
      </w:r>
      <w:r>
        <w:rPr>
          <w:color w:val="auto"/>
          <w:u w:val="single"/>
        </w:rPr>
        <w:t>泵将水抽送至</w:t>
      </w:r>
      <w:r>
        <w:rPr>
          <w:rFonts w:hint="eastAsia"/>
          <w:color w:val="auto"/>
          <w:u w:val="single"/>
        </w:rPr>
        <w:t>库区</w:t>
      </w:r>
      <w:r>
        <w:rPr>
          <w:color w:val="auto"/>
          <w:u w:val="single"/>
        </w:rPr>
        <w:t>污水处理</w:t>
      </w:r>
      <w:r>
        <w:rPr>
          <w:rFonts w:hint="eastAsia"/>
          <w:color w:val="auto"/>
          <w:u w:val="single"/>
        </w:rPr>
        <w:t>设施</w:t>
      </w:r>
      <w:r>
        <w:rPr>
          <w:color w:val="auto"/>
          <w:u w:val="single"/>
        </w:rPr>
        <w:t>，由罐车</w:t>
      </w:r>
      <w:r>
        <w:rPr>
          <w:rFonts w:hint="eastAsia"/>
          <w:color w:val="auto"/>
          <w:u w:val="single"/>
        </w:rPr>
        <w:t>运回东油沥青厂区后统一通过管网输送至广西石化污水处理场进行处理</w:t>
      </w:r>
      <w:r>
        <w:rPr>
          <w:rFonts w:hint="eastAsia"/>
          <w:color w:val="auto"/>
        </w:rPr>
        <w:t>。</w:t>
      </w:r>
    </w:p>
    <w:p w14:paraId="33141C29">
      <w:pPr>
        <w:rPr>
          <w:rFonts w:hint="default"/>
          <w:color w:val="auto"/>
          <w:lang w:val="en-US" w:eastAsia="zh-CN"/>
        </w:rPr>
      </w:pPr>
    </w:p>
    <w:p w14:paraId="575B6ACF">
      <w:pPr>
        <w:pStyle w:val="5"/>
        <w:rPr>
          <w:color w:val="auto"/>
        </w:rPr>
      </w:pPr>
      <w:bookmarkStart w:id="331" w:name="_Toc223258470"/>
      <w:bookmarkStart w:id="332" w:name="_Toc223595761"/>
      <w:r>
        <w:rPr>
          <w:color w:val="auto"/>
        </w:rPr>
        <w:t>工程分析</w:t>
      </w:r>
      <w:bookmarkEnd w:id="331"/>
      <w:bookmarkEnd w:id="332"/>
    </w:p>
    <w:p w14:paraId="7206CBA4">
      <w:pPr>
        <w:pStyle w:val="4"/>
        <w:bidi w:val="0"/>
        <w:rPr>
          <w:rFonts w:hint="eastAsia"/>
          <w:color w:val="auto"/>
        </w:rPr>
      </w:pPr>
      <w:r>
        <w:rPr>
          <w:rFonts w:hint="eastAsia"/>
          <w:color w:val="auto"/>
          <w:lang w:val="en-US" w:eastAsia="zh-CN"/>
        </w:rPr>
        <w:t>施工期</w:t>
      </w:r>
    </w:p>
    <w:p w14:paraId="3CDB01FE">
      <w:pPr>
        <w:ind w:firstLine="480"/>
        <w:rPr>
          <w:rFonts w:hint="default" w:eastAsia="宋体"/>
          <w:color w:val="auto"/>
          <w:lang w:val="en-US" w:eastAsia="zh-CN"/>
        </w:rPr>
      </w:pPr>
      <w:r>
        <w:rPr>
          <w:rFonts w:hint="eastAsia"/>
          <w:color w:val="auto"/>
        </w:rPr>
        <w:t>本项目无新增装卸作业设施，</w:t>
      </w:r>
      <w:r>
        <w:rPr>
          <w:rFonts w:hint="eastAsia"/>
          <w:color w:val="auto"/>
          <w:lang w:val="en-US" w:eastAsia="zh-CN"/>
        </w:rPr>
        <w:t>主要的施工内容为新增一条长约57m的输油管线跨接至库内的柴油长输管线。</w:t>
      </w:r>
    </w:p>
    <w:p w14:paraId="1493C24C">
      <w:pPr>
        <w:ind w:firstLine="480"/>
        <w:rPr>
          <w:rFonts w:hint="eastAsia"/>
          <w:color w:val="auto"/>
          <w:u w:val="single"/>
          <w:lang w:val="en-US" w:eastAsia="zh-CN"/>
        </w:rPr>
      </w:pPr>
      <w:r>
        <w:rPr>
          <w:rFonts w:hint="eastAsia"/>
          <w:color w:val="auto"/>
          <w:u w:val="single"/>
          <w:lang w:val="en-US" w:eastAsia="zh-CN"/>
        </w:rPr>
        <w:t>新增管线安装工艺主要包括：安装前检查→管道焊接和附件安装→管道试压→管道防腐。施工期产生的废气主要为焊接烟尘、施工机械废气、涂漆废气；施工期产生的废水主要为施工人员生活污水、管道试压废水；噪声主要为施工设备噪声；产生的固废主要为施工人员生活垃圾、施工废料。</w:t>
      </w:r>
    </w:p>
    <w:p w14:paraId="0C11BC78">
      <w:pPr>
        <w:ind w:firstLine="480"/>
        <w:rPr>
          <w:rFonts w:hint="eastAsia"/>
          <w:color w:val="auto"/>
          <w:u w:val="single"/>
          <w:lang w:val="en-US" w:eastAsia="zh-CN"/>
        </w:rPr>
      </w:pPr>
      <w:r>
        <w:rPr>
          <w:rFonts w:hint="eastAsia"/>
          <w:color w:val="auto"/>
          <w:u w:val="single"/>
          <w:lang w:val="en-US" w:eastAsia="zh-CN"/>
        </w:rPr>
        <w:t>①废气</w:t>
      </w:r>
    </w:p>
    <w:p w14:paraId="392B8E99">
      <w:pPr>
        <w:ind w:firstLine="480"/>
        <w:rPr>
          <w:rFonts w:hint="eastAsia"/>
          <w:color w:val="auto"/>
          <w:u w:val="single"/>
          <w:lang w:val="en-US" w:eastAsia="zh-CN"/>
        </w:rPr>
      </w:pPr>
      <w:r>
        <w:rPr>
          <w:rFonts w:hint="default"/>
          <w:color w:val="auto"/>
          <w:u w:val="single"/>
          <w:lang w:val="en-US" w:eastAsia="zh-CN"/>
        </w:rPr>
        <w:t>施工期产生的废气主要为焊接烟尘、施工机械废气、涂漆废气</w:t>
      </w:r>
      <w:r>
        <w:rPr>
          <w:rFonts w:hint="eastAsia"/>
          <w:color w:val="auto"/>
          <w:u w:val="single"/>
          <w:lang w:val="en-US" w:eastAsia="zh-CN"/>
        </w:rPr>
        <w:t>，由于项目工程量较小，施工期大约为2~3天，施工时间较短，产生的废气量较少，对主要进行定性分析。且</w:t>
      </w:r>
      <w:r>
        <w:rPr>
          <w:rFonts w:hint="eastAsia"/>
          <w:color w:val="auto"/>
          <w:u w:val="single"/>
        </w:rPr>
        <w:t>库区内新增的5</w:t>
      </w:r>
      <w:r>
        <w:rPr>
          <w:color w:val="auto"/>
          <w:u w:val="single"/>
        </w:rPr>
        <w:t>7</w:t>
      </w:r>
      <w:r>
        <w:rPr>
          <w:rFonts w:hint="eastAsia"/>
          <w:color w:val="auto"/>
          <w:u w:val="single"/>
        </w:rPr>
        <w:t>米输油管线已经建设完成</w:t>
      </w:r>
      <w:r>
        <w:rPr>
          <w:rFonts w:hint="eastAsia"/>
          <w:color w:val="auto"/>
          <w:u w:val="single"/>
          <w:lang w:eastAsia="zh-CN"/>
        </w:rPr>
        <w:t>，</w:t>
      </w:r>
      <w:r>
        <w:rPr>
          <w:rFonts w:hint="eastAsia"/>
          <w:color w:val="auto"/>
          <w:u w:val="single"/>
          <w:lang w:val="en-US" w:eastAsia="zh-CN"/>
        </w:rPr>
        <w:t>施工废气产生的影响已随着施工结束而消失。</w:t>
      </w:r>
    </w:p>
    <w:p w14:paraId="0DDC7081">
      <w:pPr>
        <w:ind w:firstLine="480"/>
        <w:rPr>
          <w:rFonts w:hint="eastAsia"/>
          <w:color w:val="auto"/>
          <w:u w:val="single"/>
          <w:lang w:val="en-US" w:eastAsia="zh-CN"/>
        </w:rPr>
      </w:pPr>
      <w:r>
        <w:rPr>
          <w:rFonts w:hint="eastAsia"/>
          <w:color w:val="auto"/>
          <w:u w:val="single"/>
          <w:lang w:val="en-US" w:eastAsia="zh-CN"/>
        </w:rPr>
        <w:t>②废水</w:t>
      </w:r>
    </w:p>
    <w:p w14:paraId="79AC25E8">
      <w:pPr>
        <w:ind w:firstLine="480"/>
        <w:rPr>
          <w:rFonts w:hint="eastAsia"/>
          <w:color w:val="auto"/>
          <w:u w:val="single"/>
          <w:lang w:val="en-US" w:eastAsia="zh-CN"/>
        </w:rPr>
      </w:pPr>
      <w:r>
        <w:rPr>
          <w:rFonts w:hint="eastAsia"/>
          <w:color w:val="auto"/>
          <w:u w:val="single"/>
          <w:lang w:val="en-US" w:eastAsia="zh-CN"/>
        </w:rPr>
        <w:t>施工人员生活污水：施工人员为2~3人，</w:t>
      </w:r>
      <w:r>
        <w:rPr>
          <w:rFonts w:hint="eastAsia" w:ascii="Times New Roman" w:hAnsi="Times New Roman" w:eastAsia="宋体" w:cs="Times New Roman"/>
          <w:color w:val="auto"/>
          <w:sz w:val="24"/>
          <w:szCs w:val="20"/>
          <w:lang w:val="en-US" w:eastAsia="zh-CN" w:bidi="ar"/>
        </w:rPr>
        <w:t>按每人每天使用</w:t>
      </w:r>
      <w:r>
        <w:rPr>
          <w:rFonts w:hint="default" w:ascii="Times New Roman" w:hAnsi="Times New Roman" w:eastAsia="宋体" w:cs="Times New Roman"/>
          <w:color w:val="auto"/>
          <w:sz w:val="24"/>
          <w:szCs w:val="20"/>
          <w:lang w:val="en-US" w:eastAsia="zh-CN" w:bidi="ar"/>
        </w:rPr>
        <w:t>150L</w:t>
      </w:r>
      <w:r>
        <w:rPr>
          <w:rFonts w:hint="eastAsia" w:ascii="Times New Roman" w:hAnsi="Times New Roman" w:eastAsia="宋体" w:cs="Times New Roman"/>
          <w:color w:val="auto"/>
          <w:sz w:val="24"/>
          <w:szCs w:val="20"/>
          <w:lang w:val="en-US" w:eastAsia="zh-CN" w:bidi="ar"/>
        </w:rPr>
        <w:t>生活污水，生活污水排放量按</w:t>
      </w:r>
      <w:r>
        <w:rPr>
          <w:rFonts w:hint="default" w:ascii="Times New Roman" w:hAnsi="Times New Roman" w:eastAsia="宋体" w:cs="Times New Roman"/>
          <w:color w:val="auto"/>
          <w:sz w:val="24"/>
          <w:szCs w:val="20"/>
          <w:lang w:val="en-US" w:eastAsia="zh-CN" w:bidi="ar"/>
        </w:rPr>
        <w:t>80%</w:t>
      </w:r>
      <w:r>
        <w:rPr>
          <w:rFonts w:hint="eastAsia" w:ascii="Times New Roman" w:hAnsi="Times New Roman" w:eastAsia="宋体" w:cs="Times New Roman"/>
          <w:color w:val="auto"/>
          <w:sz w:val="24"/>
          <w:szCs w:val="20"/>
          <w:lang w:val="en-US" w:eastAsia="zh-CN" w:bidi="ar"/>
        </w:rPr>
        <w:t>计算，</w:t>
      </w:r>
      <w:r>
        <w:rPr>
          <w:rFonts w:hint="eastAsia" w:cs="Times New Roman"/>
          <w:color w:val="auto"/>
          <w:sz w:val="24"/>
          <w:szCs w:val="20"/>
          <w:lang w:val="en-US" w:eastAsia="zh-CN" w:bidi="ar"/>
        </w:rPr>
        <w:t>施工期施工人员生活污水产生量为</w:t>
      </w:r>
      <w:r>
        <w:rPr>
          <w:rFonts w:hint="eastAsia"/>
          <w:color w:val="auto"/>
          <w:u w:val="single"/>
          <w:lang w:val="en-US" w:eastAsia="zh-CN"/>
        </w:rPr>
        <w:t>1.08t/施工期，施工人员一般租住附近民房，产生的生活污水依托民房自设的化粪池进行处理。</w:t>
      </w:r>
    </w:p>
    <w:p w14:paraId="69D31970">
      <w:pPr>
        <w:ind w:firstLine="480"/>
        <w:rPr>
          <w:rFonts w:hint="default"/>
          <w:color w:val="auto"/>
          <w:u w:val="single"/>
          <w:lang w:val="en-US" w:eastAsia="zh-CN"/>
        </w:rPr>
      </w:pPr>
      <w:r>
        <w:rPr>
          <w:rFonts w:hint="eastAsia"/>
          <w:color w:val="auto"/>
          <w:u w:val="single"/>
          <w:lang w:val="en-US" w:eastAsia="zh-CN"/>
        </w:rPr>
        <w:t>试压废水：工程管道施工结束后进行清管和试压，试压前应采用清管器进行清管，并不少于2次。清管是试压前的重要步骤，它利用压缩空气推动清管器，完成清扫管道内杂物、砂石、尘土、积水和浮锈等，清管扫线应具备临时清管器收发设施。管道试压以清洁水作为试验介质，根据管线设计参数，本项目试压废水量约1m</w:t>
      </w:r>
      <w:r>
        <w:rPr>
          <w:rFonts w:hint="eastAsia"/>
          <w:color w:val="auto"/>
          <w:vertAlign w:val="superscript"/>
          <w:lang w:val="en-US" w:eastAsia="zh-CN"/>
        </w:rPr>
        <w:t>3</w:t>
      </w:r>
      <w:r>
        <w:rPr>
          <w:rFonts w:hint="eastAsia"/>
          <w:color w:val="auto"/>
          <w:u w:val="single"/>
          <w:lang w:val="en-US" w:eastAsia="zh-CN"/>
        </w:rPr>
        <w:t>，试压废水收集进入现有污水处理设施后，与其他废水一起运至东油沥青厂。</w:t>
      </w:r>
    </w:p>
    <w:p w14:paraId="0F37A2BD">
      <w:pPr>
        <w:ind w:firstLine="480"/>
        <w:rPr>
          <w:rFonts w:hint="eastAsia"/>
          <w:color w:val="auto"/>
          <w:u w:val="single"/>
          <w:lang w:val="en-US" w:eastAsia="zh-CN"/>
        </w:rPr>
      </w:pPr>
      <w:r>
        <w:rPr>
          <w:rFonts w:hint="eastAsia"/>
          <w:color w:val="auto"/>
          <w:u w:val="single"/>
          <w:lang w:val="en-US" w:eastAsia="zh-CN"/>
        </w:rPr>
        <w:t>③噪声</w:t>
      </w:r>
    </w:p>
    <w:p w14:paraId="5C463301">
      <w:pPr>
        <w:ind w:firstLine="480"/>
        <w:rPr>
          <w:rFonts w:hint="eastAsia"/>
          <w:color w:val="auto"/>
          <w:u w:val="single"/>
          <w:lang w:val="en-US" w:eastAsia="zh-CN"/>
        </w:rPr>
      </w:pPr>
      <w:r>
        <w:rPr>
          <w:rFonts w:hint="default"/>
          <w:color w:val="auto"/>
          <w:u w:val="single"/>
          <w:lang w:val="en-US" w:eastAsia="zh-CN"/>
        </w:rPr>
        <w:t>施工机械产生的噪声，如切割机、电焊机等，其强度在85~95dB(A)，</w:t>
      </w:r>
      <w:r>
        <w:rPr>
          <w:rFonts w:hint="eastAsia"/>
          <w:color w:val="auto"/>
          <w:u w:val="single"/>
          <w:lang w:val="en-US" w:eastAsia="zh-CN"/>
        </w:rPr>
        <w:t>施工期大约为2~3天，施工时间较短，且</w:t>
      </w:r>
      <w:r>
        <w:rPr>
          <w:rFonts w:hint="eastAsia"/>
          <w:color w:val="auto"/>
          <w:u w:val="single"/>
        </w:rPr>
        <w:t>库区内新增的5</w:t>
      </w:r>
      <w:r>
        <w:rPr>
          <w:color w:val="auto"/>
          <w:u w:val="single"/>
        </w:rPr>
        <w:t>7</w:t>
      </w:r>
      <w:r>
        <w:rPr>
          <w:rFonts w:hint="eastAsia"/>
          <w:color w:val="auto"/>
          <w:u w:val="single"/>
        </w:rPr>
        <w:t>米输油管线已经建设完成</w:t>
      </w:r>
      <w:r>
        <w:rPr>
          <w:rFonts w:hint="eastAsia"/>
          <w:color w:val="auto"/>
          <w:u w:val="single"/>
          <w:lang w:eastAsia="zh-CN"/>
        </w:rPr>
        <w:t>，</w:t>
      </w:r>
      <w:r>
        <w:rPr>
          <w:rFonts w:hint="eastAsia"/>
          <w:color w:val="auto"/>
          <w:u w:val="single"/>
          <w:lang w:val="en-US" w:eastAsia="zh-CN"/>
        </w:rPr>
        <w:t>施工噪声产生的影响已随着施工结束而消失。</w:t>
      </w:r>
    </w:p>
    <w:p w14:paraId="2478D6B2">
      <w:pPr>
        <w:ind w:firstLine="480"/>
        <w:rPr>
          <w:rFonts w:hint="eastAsia"/>
          <w:color w:val="auto"/>
          <w:u w:val="single"/>
          <w:lang w:val="en-US" w:eastAsia="zh-CN"/>
        </w:rPr>
      </w:pPr>
      <w:r>
        <w:rPr>
          <w:rFonts w:hint="eastAsia"/>
          <w:color w:val="auto"/>
          <w:u w:val="single"/>
          <w:lang w:val="en-US" w:eastAsia="zh-CN"/>
        </w:rPr>
        <w:t>④固体废物</w:t>
      </w:r>
    </w:p>
    <w:p w14:paraId="32789830">
      <w:pPr>
        <w:ind w:firstLine="480"/>
        <w:rPr>
          <w:rFonts w:hint="eastAsia"/>
          <w:color w:val="auto"/>
          <w:u w:val="single"/>
          <w:lang w:val="en-US" w:eastAsia="zh-CN"/>
        </w:rPr>
      </w:pPr>
      <w:r>
        <w:rPr>
          <w:rFonts w:hint="eastAsia"/>
          <w:color w:val="auto"/>
          <w:u w:val="single"/>
          <w:lang w:val="en-US" w:eastAsia="zh-CN"/>
        </w:rPr>
        <w:t>生活垃圾：施工人员按2~3人/天，每人每天生活垃圾产生量1kg，施工期间施工人员产生的生活垃圾3.0kg/d，生活垃圾依托当地的处理设施定点收集后，由环卫部门统一清运处理。</w:t>
      </w:r>
    </w:p>
    <w:p w14:paraId="3EDA5C65">
      <w:pPr>
        <w:ind w:firstLine="480"/>
        <w:rPr>
          <w:rFonts w:hint="eastAsia"/>
          <w:color w:val="auto"/>
          <w:u w:val="single"/>
          <w:lang w:val="en-US" w:eastAsia="zh-CN"/>
        </w:rPr>
      </w:pPr>
      <w:r>
        <w:rPr>
          <w:rFonts w:hint="eastAsia"/>
          <w:color w:val="auto"/>
          <w:u w:val="single"/>
          <w:lang w:val="en-US" w:eastAsia="zh-CN"/>
        </w:rPr>
        <w:t>施工废料：施工废料主要包括防腐作业中产生的废防腐材料及废硅酸钙保温材料等。由于项目施工管道较短，从厂家制作好好运至厂区，无需在厂内切割等，因此，产生的施工废料较少，施工废料部分可回收利用，剩余废料集中收集后运往城建部门指定地点进行处置。</w:t>
      </w:r>
    </w:p>
    <w:p w14:paraId="5F4294C5">
      <w:pPr>
        <w:ind w:firstLine="480"/>
        <w:rPr>
          <w:rFonts w:hint="default"/>
          <w:color w:val="auto"/>
          <w:u w:val="single"/>
          <w:lang w:val="en-US" w:eastAsia="zh-CN"/>
        </w:rPr>
      </w:pPr>
      <w:r>
        <w:rPr>
          <w:rFonts w:hint="default"/>
          <w:color w:val="auto"/>
          <w:u w:val="single"/>
          <w:lang w:val="en-US" w:eastAsia="zh-CN"/>
        </w:rPr>
        <w:t>库区内新增的57米输油管线已经建设完成，</w:t>
      </w:r>
      <w:r>
        <w:rPr>
          <w:rFonts w:hint="eastAsia"/>
          <w:color w:val="auto"/>
          <w:u w:val="single"/>
          <w:lang w:val="en-US" w:eastAsia="zh-CN"/>
        </w:rPr>
        <w:t>施工产生的废水和固废经过妥善处置，</w:t>
      </w:r>
      <w:r>
        <w:rPr>
          <w:rFonts w:hint="default"/>
          <w:color w:val="auto"/>
          <w:u w:val="single"/>
          <w:lang w:val="en-US" w:eastAsia="zh-CN"/>
        </w:rPr>
        <w:t>施工废气</w:t>
      </w:r>
      <w:r>
        <w:rPr>
          <w:rFonts w:hint="eastAsia"/>
          <w:color w:val="auto"/>
          <w:u w:val="single"/>
          <w:lang w:val="en-US" w:eastAsia="zh-CN"/>
        </w:rPr>
        <w:t>、废水、噪声、固废</w:t>
      </w:r>
      <w:r>
        <w:rPr>
          <w:rFonts w:hint="default"/>
          <w:color w:val="auto"/>
          <w:u w:val="single"/>
          <w:lang w:val="en-US" w:eastAsia="zh-CN"/>
        </w:rPr>
        <w:t>产生的影响已随着施工结束而消失。</w:t>
      </w:r>
    </w:p>
    <w:p w14:paraId="09504638">
      <w:pPr>
        <w:pStyle w:val="4"/>
        <w:rPr>
          <w:color w:val="auto"/>
        </w:rPr>
      </w:pPr>
      <w:bookmarkStart w:id="333" w:name="_Toc216103365"/>
      <w:bookmarkStart w:id="334" w:name="_Toc135090210"/>
      <w:bookmarkStart w:id="335" w:name="_Toc26909990"/>
      <w:bookmarkStart w:id="336" w:name="_Toc29131804"/>
      <w:bookmarkStart w:id="337" w:name="_Toc216620524"/>
      <w:bookmarkStart w:id="338" w:name="_Toc25436944"/>
      <w:bookmarkStart w:id="339" w:name="_Toc136878459"/>
      <w:r>
        <w:rPr>
          <w:rFonts w:hint="eastAsia"/>
          <w:color w:val="auto"/>
          <w:lang w:val="en-US" w:eastAsia="zh-CN"/>
        </w:rPr>
        <w:t>运营期</w:t>
      </w:r>
      <w:r>
        <w:rPr>
          <w:rFonts w:hint="eastAsia"/>
          <w:color w:val="auto"/>
        </w:rPr>
        <w:t>工艺</w:t>
      </w:r>
      <w:r>
        <w:rPr>
          <w:color w:val="auto"/>
        </w:rPr>
        <w:t>流程及产污环节</w:t>
      </w:r>
    </w:p>
    <w:p w14:paraId="1F620EFB">
      <w:pPr>
        <w:ind w:firstLine="480"/>
        <w:rPr>
          <w:color w:val="auto"/>
        </w:rPr>
      </w:pPr>
      <w:r>
        <w:rPr>
          <w:color w:val="auto"/>
        </w:rPr>
        <w:t>本项目</w:t>
      </w:r>
      <w:r>
        <w:rPr>
          <w:rFonts w:hint="eastAsia"/>
          <w:color w:val="auto"/>
        </w:rPr>
        <w:t>为油品码头装卸作业，在码头前沿采用装卸臂进行作业，然后通过密闭管道输送到后方储罐区，在由储罐区通过管道进行外运至广西石化罐区。因此，本项目涉及的主要工艺流程包括装船、卸船、储罐</w:t>
      </w:r>
      <w:r>
        <w:rPr>
          <w:color w:val="auto"/>
        </w:rPr>
        <w:t>储存</w:t>
      </w:r>
      <w:r>
        <w:rPr>
          <w:rFonts w:hint="eastAsia"/>
          <w:color w:val="auto"/>
        </w:rPr>
        <w:t>、管线外运等。本次</w:t>
      </w:r>
      <w:r>
        <w:rPr>
          <w:color w:val="auto"/>
        </w:rPr>
        <w:t>扩建项目新增的</w:t>
      </w:r>
      <w:r>
        <w:rPr>
          <w:rFonts w:hint="eastAsia"/>
          <w:color w:val="auto"/>
        </w:rPr>
        <w:t>石脑油、异辛烷（烷基化油）、蜡油、渣油这4个</w:t>
      </w:r>
      <w:r>
        <w:rPr>
          <w:color w:val="auto"/>
        </w:rPr>
        <w:t>货种进行卸船作业，</w:t>
      </w:r>
      <w:r>
        <w:rPr>
          <w:rFonts w:hint="eastAsia"/>
          <w:color w:val="auto"/>
        </w:rPr>
        <w:t>甲基叔丁基醚（MTBE）进行</w:t>
      </w:r>
      <w:r>
        <w:rPr>
          <w:color w:val="auto"/>
        </w:rPr>
        <w:t>装船作业。</w:t>
      </w:r>
    </w:p>
    <w:p w14:paraId="0FE57EF0">
      <w:pPr>
        <w:ind w:firstLine="480"/>
        <w:rPr>
          <w:color w:val="auto"/>
        </w:rPr>
      </w:pPr>
      <w:r>
        <w:rPr>
          <w:rFonts w:hint="eastAsia"/>
          <w:color w:val="auto"/>
        </w:rPr>
        <w:t>本项目产生的污染物主要包括生产废水和生活污水、装卸作业废气、设备噪声、危险废物和生活垃圾等。具体见图2.3-1、图2.3-2。</w:t>
      </w:r>
    </w:p>
    <w:p w14:paraId="0E83BD88">
      <w:pPr>
        <w:ind w:firstLine="480"/>
        <w:rPr>
          <w:color w:val="auto"/>
        </w:rPr>
      </w:pPr>
      <w:r>
        <w:rPr>
          <w:color w:val="auto"/>
        </w:rPr>
        <w:object>
          <v:shape id="_x0000_i1025" o:spt="75" type="#_x0000_t75" style="height:93pt;width:399.75pt;" o:ole="t" filled="f" o:preferrelative="t" stroked="f" coordsize="21600,21600">
            <v:path/>
            <v:fill on="f" focussize="0,0"/>
            <v:stroke on="f" joinstyle="miter"/>
            <v:imagedata r:id="rId50" o:title=""/>
            <o:lock v:ext="edit" aspectratio="t"/>
            <w10:wrap type="none"/>
            <w10:anchorlock/>
          </v:shape>
          <o:OLEObject Type="Embed" ProgID="Visio.Drawing.15" ShapeID="_x0000_i1025" DrawAspect="Content" ObjectID="_1468075725" r:id="rId49">
            <o:LockedField>false</o:LockedField>
          </o:OLEObject>
        </w:object>
      </w:r>
    </w:p>
    <w:p w14:paraId="560E6502">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2.3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rFonts w:hint="eastAsia"/>
          <w:color w:val="auto"/>
        </w:rPr>
        <w:t>卸船</w:t>
      </w:r>
      <w:r>
        <w:rPr>
          <w:color w:val="auto"/>
        </w:rPr>
        <w:t>作业工艺流程</w:t>
      </w:r>
    </w:p>
    <w:p w14:paraId="0F7B9452">
      <w:pPr>
        <w:ind w:firstLine="480"/>
        <w:rPr>
          <w:color w:val="auto"/>
        </w:rPr>
      </w:pPr>
      <w:r>
        <w:rPr>
          <w:color w:val="auto"/>
        </w:rPr>
        <w:object>
          <v:shape id="_x0000_i1026" o:spt="75" type="#_x0000_t75" style="height:96.75pt;width:376.5pt;" o:ole="t" filled="f" o:preferrelative="t" stroked="f" coordsize="21600,21600">
            <v:path/>
            <v:fill on="f" focussize="0,0"/>
            <v:stroke on="f" joinstyle="miter"/>
            <v:imagedata r:id="rId52" o:title=""/>
            <o:lock v:ext="edit" aspectratio="t"/>
            <w10:wrap type="none"/>
            <w10:anchorlock/>
          </v:shape>
          <o:OLEObject Type="Embed" ProgID="Visio.Drawing.15" ShapeID="_x0000_i1026" DrawAspect="Content" ObjectID="_1468075726" r:id="rId51">
            <o:LockedField>false</o:LockedField>
          </o:OLEObject>
        </w:object>
      </w:r>
    </w:p>
    <w:p w14:paraId="0660DC70">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2.3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2</w:t>
      </w:r>
      <w:r>
        <w:rPr>
          <w:color w:val="auto"/>
        </w:rPr>
        <w:fldChar w:fldCharType="end"/>
      </w:r>
      <w:r>
        <w:rPr>
          <w:rFonts w:hint="eastAsia"/>
          <w:color w:val="auto"/>
        </w:rPr>
        <w:t>装船</w:t>
      </w:r>
      <w:r>
        <w:rPr>
          <w:color w:val="auto"/>
        </w:rPr>
        <w:t>作业工艺流程</w:t>
      </w:r>
    </w:p>
    <w:p w14:paraId="2A509CD1">
      <w:pPr>
        <w:ind w:firstLine="0" w:firstLineChars="0"/>
        <w:rPr>
          <w:color w:val="auto"/>
        </w:rPr>
      </w:pPr>
      <w:r>
        <w:rPr>
          <w:color w:val="auto"/>
        </w:rPr>
        <w:drawing>
          <wp:inline distT="0" distB="0" distL="0" distR="0">
            <wp:extent cx="5274310" cy="2759710"/>
            <wp:effectExtent l="0" t="0" r="2540" b="2540"/>
            <wp:docPr id="1116328619" name="图片 1116328619" descr="D:\xwechat_files\Aicandoit_f66a\temp\InputTemp\dc3d934a-1afd-4337-adcd-884f45f3ff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28619" name="图片 1116328619" descr="D:\xwechat_files\Aicandoit_f66a\temp\InputTemp\dc3d934a-1afd-4337-adcd-884f45f3ff4b.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274310" cy="2759813"/>
                    </a:xfrm>
                    <a:prstGeom prst="rect">
                      <a:avLst/>
                    </a:prstGeom>
                    <a:noFill/>
                    <a:ln>
                      <a:noFill/>
                    </a:ln>
                  </pic:spPr>
                </pic:pic>
              </a:graphicData>
            </a:graphic>
          </wp:inline>
        </w:drawing>
      </w:r>
    </w:p>
    <w:p w14:paraId="719CD643">
      <w:pPr>
        <w:pStyle w:val="14"/>
        <w:rPr>
          <w:color w:val="auto"/>
        </w:rPr>
      </w:pPr>
      <w:r>
        <w:rPr>
          <w:rFonts w:hint="eastAsia"/>
          <w:color w:val="auto"/>
        </w:rPr>
        <w:t>图</w:t>
      </w:r>
      <w:r>
        <w:rPr>
          <w:color w:val="auto"/>
        </w:rPr>
        <w:t>2.3</w:t>
      </w:r>
      <w:r>
        <w:rPr>
          <w:color w:val="auto"/>
        </w:rPr>
        <w:noBreakHyphen/>
      </w:r>
      <w:r>
        <w:rPr>
          <w:color w:val="auto"/>
        </w:rPr>
        <w:t>2</w:t>
      </w:r>
      <w:r>
        <w:rPr>
          <w:rFonts w:hint="eastAsia"/>
          <w:color w:val="auto"/>
        </w:rPr>
        <w:t>到港船舶产污节点图</w:t>
      </w:r>
    </w:p>
    <w:p w14:paraId="72438929">
      <w:pPr>
        <w:pStyle w:val="127"/>
        <w:numPr>
          <w:ilvl w:val="0"/>
          <w:numId w:val="23"/>
        </w:numPr>
        <w:ind w:firstLineChars="0"/>
        <w:rPr>
          <w:color w:val="auto"/>
        </w:rPr>
      </w:pPr>
      <w:r>
        <w:rPr>
          <w:rFonts w:hint="eastAsia"/>
          <w:color w:val="auto"/>
        </w:rPr>
        <w:t>废气</w:t>
      </w:r>
    </w:p>
    <w:p w14:paraId="23F1F124">
      <w:pPr>
        <w:ind w:firstLine="480"/>
        <w:rPr>
          <w:color w:val="auto"/>
        </w:rPr>
      </w:pPr>
      <w:r>
        <w:rPr>
          <w:rFonts w:hint="eastAsia"/>
          <w:color w:val="auto"/>
        </w:rPr>
        <w:t>本项目废气主要包括装船废气、管线密封点溢出废气、储罐呼吸废气、船舶尾气等。其中装船废气通过收集后由油气回收系统处理后由15米排气筒进行排放，其他废气则以无组织形式进行排放。</w:t>
      </w:r>
    </w:p>
    <w:p w14:paraId="13BCC6AD">
      <w:pPr>
        <w:pStyle w:val="127"/>
        <w:numPr>
          <w:ilvl w:val="0"/>
          <w:numId w:val="23"/>
        </w:numPr>
        <w:ind w:firstLineChars="0"/>
        <w:rPr>
          <w:color w:val="auto"/>
        </w:rPr>
      </w:pPr>
      <w:r>
        <w:rPr>
          <w:rFonts w:hint="eastAsia"/>
          <w:color w:val="auto"/>
        </w:rPr>
        <w:t>废水</w:t>
      </w:r>
    </w:p>
    <w:p w14:paraId="4C1E9118">
      <w:pPr>
        <w:ind w:firstLine="480"/>
        <w:rPr>
          <w:color w:val="auto"/>
        </w:rPr>
      </w:pPr>
      <w:r>
        <w:rPr>
          <w:rFonts w:hint="eastAsia"/>
          <w:color w:val="auto"/>
        </w:rPr>
        <w:t>本项目废水包括码头冲洗水、船舶油污水、初期雨水和生活污水。其中码头冲洗水和初期雨水收集后送至广西石化污水处理厂进行处理。到港船舶油污水</w:t>
      </w:r>
      <w:r>
        <w:rPr>
          <w:rFonts w:hint="eastAsia"/>
          <w:color w:val="auto"/>
          <w:lang w:eastAsia="zh-CN"/>
        </w:rPr>
        <w:t>由船舶公司委托有资质单位处理</w:t>
      </w:r>
      <w:r>
        <w:rPr>
          <w:rFonts w:hint="eastAsia"/>
          <w:color w:val="auto"/>
        </w:rPr>
        <w:t>。码头生活污水清运至广西石化污水处理厂进行处理。</w:t>
      </w:r>
    </w:p>
    <w:p w14:paraId="4BB1330A">
      <w:pPr>
        <w:pStyle w:val="127"/>
        <w:numPr>
          <w:ilvl w:val="0"/>
          <w:numId w:val="23"/>
        </w:numPr>
        <w:ind w:firstLineChars="0"/>
        <w:rPr>
          <w:color w:val="auto"/>
        </w:rPr>
      </w:pPr>
      <w:r>
        <w:rPr>
          <w:rFonts w:hint="eastAsia"/>
          <w:color w:val="auto"/>
        </w:rPr>
        <w:t>噪声</w:t>
      </w:r>
    </w:p>
    <w:p w14:paraId="67FFE0FF">
      <w:pPr>
        <w:ind w:left="480" w:firstLine="0" w:firstLineChars="0"/>
        <w:rPr>
          <w:color w:val="auto"/>
        </w:rPr>
      </w:pPr>
      <w:r>
        <w:rPr>
          <w:rFonts w:hint="eastAsia"/>
          <w:color w:val="auto"/>
        </w:rPr>
        <w:t>主要为装卸设备噪声和船舶运行噪声。</w:t>
      </w:r>
    </w:p>
    <w:p w14:paraId="5E6772B9">
      <w:pPr>
        <w:pStyle w:val="127"/>
        <w:numPr>
          <w:ilvl w:val="0"/>
          <w:numId w:val="23"/>
        </w:numPr>
        <w:ind w:firstLineChars="0"/>
        <w:rPr>
          <w:color w:val="auto"/>
        </w:rPr>
      </w:pPr>
      <w:r>
        <w:rPr>
          <w:rFonts w:hint="eastAsia"/>
          <w:color w:val="auto"/>
        </w:rPr>
        <w:t>固体废物</w:t>
      </w:r>
    </w:p>
    <w:p w14:paraId="41A9061D">
      <w:pPr>
        <w:ind w:firstLine="480"/>
        <w:rPr>
          <w:color w:val="auto"/>
        </w:rPr>
      </w:pPr>
      <w:r>
        <w:rPr>
          <w:rFonts w:hint="eastAsia"/>
          <w:color w:val="auto"/>
        </w:rPr>
        <w:t>本项目产生的固废包括船舶生活垃圾、陆域生活垃圾、危险废物。危险废物主要为含油抹布、清罐产生的含油污泥、以及油气回收系统产生的废活性炭、含油</w:t>
      </w:r>
      <w:r>
        <w:rPr>
          <w:color w:val="auto"/>
        </w:rPr>
        <w:t>废滤芯</w:t>
      </w:r>
      <w:r>
        <w:rPr>
          <w:rFonts w:hint="eastAsia"/>
          <w:color w:val="auto"/>
        </w:rPr>
        <w:t>等。生活垃圾由环卫部门收集处理，危险废物则在厂内暂存后定期由崇左</w:t>
      </w:r>
      <w:r>
        <w:rPr>
          <w:color w:val="auto"/>
        </w:rPr>
        <w:t>海中环保科技</w:t>
      </w:r>
      <w:r>
        <w:rPr>
          <w:rFonts w:hint="eastAsia"/>
          <w:color w:val="auto"/>
        </w:rPr>
        <w:t>有限</w:t>
      </w:r>
      <w:r>
        <w:rPr>
          <w:color w:val="auto"/>
        </w:rPr>
        <w:t>责任公司</w:t>
      </w:r>
      <w:r>
        <w:rPr>
          <w:rFonts w:hint="eastAsia"/>
          <w:color w:val="auto"/>
        </w:rPr>
        <w:t>进行清运处置。</w:t>
      </w:r>
    </w:p>
    <w:bookmarkEnd w:id="333"/>
    <w:bookmarkEnd w:id="334"/>
    <w:bookmarkEnd w:id="335"/>
    <w:bookmarkEnd w:id="336"/>
    <w:bookmarkEnd w:id="337"/>
    <w:bookmarkEnd w:id="338"/>
    <w:bookmarkEnd w:id="339"/>
    <w:p w14:paraId="33BD44D5">
      <w:pPr>
        <w:pStyle w:val="4"/>
        <w:rPr>
          <w:color w:val="auto"/>
        </w:rPr>
      </w:pPr>
      <w:r>
        <w:rPr>
          <w:color w:val="auto"/>
        </w:rPr>
        <w:t>废气</w:t>
      </w:r>
    </w:p>
    <w:p w14:paraId="7AABAE68">
      <w:pPr>
        <w:ind w:firstLine="480"/>
        <w:rPr>
          <w:color w:val="auto"/>
        </w:rPr>
      </w:pPr>
      <w:r>
        <w:rPr>
          <w:rFonts w:hint="eastAsia"/>
          <w:color w:val="auto"/>
        </w:rPr>
        <w:t>根据《</w:t>
      </w:r>
      <w:r>
        <w:rPr>
          <w:color w:val="auto"/>
        </w:rPr>
        <w:t>石化行业VOCs污染源排查工作指南</w:t>
      </w:r>
      <w:r>
        <w:rPr>
          <w:rFonts w:hint="eastAsia"/>
          <w:color w:val="auto"/>
        </w:rPr>
        <w:t>》（以下简称指南）的挥发性有机液体装卸挥发损失核算公式，船舶自带较大容量的再液化装置，通过增压再降温的方式，将货舱的蒸汽冷却成液体再送回货舱。因此装卸作业过程中的废气排放量可忽略不计，船舱内部无装卸作业废气排放。</w:t>
      </w:r>
      <w:r>
        <w:rPr>
          <w:rFonts w:hint="eastAsia"/>
          <w:color w:val="auto"/>
          <w:u w:val="single"/>
        </w:rPr>
        <w:t>进行卸船作业，废气通过管道从储罐呼吸口排出；装船作业时，废气通过管道进入油气回收系统进行处理后排放</w:t>
      </w:r>
      <w:r>
        <w:rPr>
          <w:rFonts w:hint="eastAsia"/>
          <w:color w:val="auto"/>
        </w:rPr>
        <w:t>。因此，扩建项目废气污染物主要有装卸管线的动静密封点溢出废气、扫线废气、装船废气、储罐呼吸废气、到港船舶废气。</w:t>
      </w:r>
    </w:p>
    <w:p w14:paraId="394673CC">
      <w:pPr>
        <w:pStyle w:val="6"/>
        <w:rPr>
          <w:color w:val="auto"/>
        </w:rPr>
      </w:pPr>
      <w:r>
        <w:rPr>
          <w:rFonts w:hint="eastAsia"/>
          <w:color w:val="auto"/>
        </w:rPr>
        <w:t>管线密封点溢出废气</w:t>
      </w:r>
    </w:p>
    <w:p w14:paraId="5ED52995">
      <w:pPr>
        <w:ind w:firstLine="480"/>
        <w:rPr>
          <w:color w:val="auto"/>
        </w:rPr>
      </w:pPr>
      <w:r>
        <w:rPr>
          <w:rFonts w:hint="eastAsia"/>
          <w:color w:val="auto"/>
        </w:rPr>
        <w:t>设备动静密封点泄漏涉及流经或接触的设备或管道，主要包括阀门、取样连接系统、开口阀或开口管线、法兰和其他等。</w:t>
      </w:r>
    </w:p>
    <w:p w14:paraId="32A9161E">
      <w:pPr>
        <w:ind w:firstLine="480"/>
        <w:rPr>
          <w:color w:val="auto"/>
        </w:rPr>
      </w:pPr>
      <w:r>
        <w:rPr>
          <w:rFonts w:hint="eastAsia"/>
          <w:color w:val="auto"/>
        </w:rPr>
        <w:t>本次参照《石化行业VOCs污染源排查工作指南》附表一-5石油炼制和石油化工平均组件排放系数，其计算公式如下；设备组件动静密封点的泄漏系数见表</w:t>
      </w:r>
      <w:r>
        <w:rPr>
          <w:color w:val="auto"/>
        </w:rPr>
        <w:t>2.3-5</w:t>
      </w:r>
      <w:r>
        <w:rPr>
          <w:rFonts w:hint="eastAsia"/>
          <w:color w:val="auto"/>
        </w:rPr>
        <w:t>。</w:t>
      </w:r>
    </w:p>
    <w:p w14:paraId="1BC24056">
      <w:pPr>
        <w:ind w:firstLine="480"/>
        <w:jc w:val="center"/>
        <w:rPr>
          <w:color w:val="auto"/>
        </w:rPr>
      </w:pPr>
      <w:r>
        <w:rPr>
          <w:rFonts w:hint="eastAsia"/>
          <w:i/>
          <w:iCs/>
          <w:color w:val="auto"/>
        </w:rPr>
        <w:t>e</w:t>
      </w:r>
      <w:r>
        <w:rPr>
          <w:rFonts w:hint="eastAsia"/>
          <w:i/>
          <w:iCs/>
          <w:color w:val="auto"/>
          <w:vertAlign w:val="subscript"/>
        </w:rPr>
        <w:t>TOC</w:t>
      </w:r>
      <w:r>
        <w:rPr>
          <w:rFonts w:hint="eastAsia"/>
          <w:color w:val="auto"/>
        </w:rPr>
        <w:t>=</w:t>
      </w:r>
      <w:r>
        <w:rPr>
          <w:rFonts w:hint="eastAsia"/>
          <w:i/>
          <w:iCs/>
          <w:color w:val="auto"/>
        </w:rPr>
        <w:t>F</w:t>
      </w:r>
      <w:r>
        <w:rPr>
          <w:rFonts w:hint="eastAsia"/>
          <w:i/>
          <w:iCs/>
          <w:color w:val="auto"/>
          <w:vertAlign w:val="subscript"/>
        </w:rPr>
        <w:t>A</w:t>
      </w:r>
      <w:r>
        <w:rPr>
          <w:rFonts w:hint="eastAsia"/>
          <w:color w:val="auto"/>
        </w:rPr>
        <w:t>×</w:t>
      </w:r>
      <w:r>
        <w:rPr>
          <w:rFonts w:hint="eastAsia"/>
          <w:i/>
          <w:iCs/>
          <w:color w:val="auto"/>
        </w:rPr>
        <w:t>WF</w:t>
      </w:r>
      <w:r>
        <w:rPr>
          <w:rFonts w:hint="eastAsia"/>
          <w:i/>
          <w:iCs/>
          <w:color w:val="auto"/>
          <w:vertAlign w:val="subscript"/>
        </w:rPr>
        <w:t>TOC</w:t>
      </w:r>
      <w:r>
        <w:rPr>
          <w:rFonts w:hint="eastAsia"/>
          <w:color w:val="auto"/>
        </w:rPr>
        <w:t>×</w:t>
      </w:r>
      <w:r>
        <w:rPr>
          <w:rFonts w:hint="eastAsia"/>
          <w:i/>
          <w:iCs/>
          <w:color w:val="auto"/>
        </w:rPr>
        <w:t>N</w:t>
      </w:r>
    </w:p>
    <w:p w14:paraId="062AE901">
      <w:pPr>
        <w:ind w:firstLine="480"/>
        <w:rPr>
          <w:color w:val="auto"/>
        </w:rPr>
      </w:pPr>
      <w:r>
        <w:rPr>
          <w:rFonts w:hint="eastAsia"/>
          <w:color w:val="auto"/>
        </w:rPr>
        <w:t>式中：</w:t>
      </w:r>
    </w:p>
    <w:p w14:paraId="373982F6">
      <w:pPr>
        <w:ind w:firstLine="480"/>
        <w:rPr>
          <w:color w:val="auto"/>
        </w:rPr>
      </w:pPr>
      <w:r>
        <w:rPr>
          <w:rFonts w:hint="eastAsia"/>
          <w:i/>
          <w:iCs/>
          <w:color w:val="auto"/>
        </w:rPr>
        <w:t>e</w:t>
      </w:r>
      <w:r>
        <w:rPr>
          <w:rFonts w:hint="eastAsia"/>
          <w:i/>
          <w:iCs/>
          <w:color w:val="auto"/>
          <w:vertAlign w:val="subscript"/>
        </w:rPr>
        <w:t>TOC</w:t>
      </w:r>
      <w:r>
        <w:rPr>
          <w:rFonts w:hint="eastAsia"/>
          <w:color w:val="auto"/>
        </w:rPr>
        <w:t>—某类密封点的TOC排放速率，kg/h；</w:t>
      </w:r>
    </w:p>
    <w:p w14:paraId="3461E8AA">
      <w:pPr>
        <w:ind w:firstLine="480"/>
        <w:rPr>
          <w:color w:val="auto"/>
        </w:rPr>
      </w:pPr>
      <w:r>
        <w:rPr>
          <w:rFonts w:hint="eastAsia"/>
          <w:i/>
          <w:iCs/>
          <w:color w:val="auto"/>
        </w:rPr>
        <w:t>F</w:t>
      </w:r>
      <w:r>
        <w:rPr>
          <w:rFonts w:hint="eastAsia"/>
          <w:i/>
          <w:iCs/>
          <w:color w:val="auto"/>
          <w:vertAlign w:val="subscript"/>
        </w:rPr>
        <w:t>A</w:t>
      </w:r>
      <w:r>
        <w:rPr>
          <w:rFonts w:hint="eastAsia"/>
          <w:color w:val="auto"/>
        </w:rPr>
        <w:t>—某类密封点排放系数；</w:t>
      </w:r>
    </w:p>
    <w:p w14:paraId="2B279EAC">
      <w:pPr>
        <w:ind w:firstLine="480"/>
        <w:rPr>
          <w:color w:val="auto"/>
        </w:rPr>
      </w:pPr>
      <w:r>
        <w:rPr>
          <w:rFonts w:hint="eastAsia"/>
          <w:i/>
          <w:iCs/>
          <w:color w:val="auto"/>
        </w:rPr>
        <w:t>WF</w:t>
      </w:r>
      <w:r>
        <w:rPr>
          <w:rFonts w:hint="eastAsia"/>
          <w:i/>
          <w:iCs/>
          <w:color w:val="auto"/>
          <w:vertAlign w:val="subscript"/>
        </w:rPr>
        <w:t>TOC</w:t>
      </w:r>
      <w:r>
        <w:rPr>
          <w:rFonts w:hint="eastAsia"/>
          <w:color w:val="auto"/>
        </w:rPr>
        <w:t>—物料流中含TOC的平均质量分数；本项目均按1计。</w:t>
      </w:r>
    </w:p>
    <w:p w14:paraId="29FEE8F4">
      <w:pPr>
        <w:ind w:firstLine="480"/>
        <w:rPr>
          <w:color w:val="auto"/>
        </w:rPr>
      </w:pPr>
      <w:r>
        <w:rPr>
          <w:rFonts w:hint="eastAsia"/>
          <w:i/>
          <w:iCs/>
          <w:color w:val="auto"/>
        </w:rPr>
        <w:t>N</w:t>
      </w:r>
      <w:r>
        <w:rPr>
          <w:rFonts w:hint="eastAsia"/>
          <w:color w:val="auto"/>
        </w:rPr>
        <w:t>—某类密封点的个数。</w:t>
      </w:r>
    </w:p>
    <w:p w14:paraId="333BA285">
      <w:pPr>
        <w:ind w:firstLine="480"/>
        <w:jc w:val="center"/>
        <w:rPr>
          <w:color w:val="auto"/>
        </w:rPr>
      </w:pPr>
      <w:r>
        <w:rPr>
          <w:i/>
          <w:iCs/>
          <w:color w:val="auto"/>
        </w:rPr>
        <w:t>e</w:t>
      </w:r>
      <w:r>
        <w:rPr>
          <w:i/>
          <w:iCs/>
          <w:color w:val="auto"/>
          <w:vertAlign w:val="subscript"/>
        </w:rPr>
        <w:t>VOCs</w:t>
      </w:r>
      <w:r>
        <w:rPr>
          <w:color w:val="auto"/>
        </w:rPr>
        <w:t>=</w:t>
      </w:r>
      <w:r>
        <w:rPr>
          <w:i/>
          <w:iCs/>
          <w:color w:val="auto"/>
        </w:rPr>
        <w:t>e</w:t>
      </w:r>
      <w:r>
        <w:rPr>
          <w:i/>
          <w:iCs/>
          <w:color w:val="auto"/>
          <w:vertAlign w:val="subscript"/>
        </w:rPr>
        <w:t>TOC</w:t>
      </w:r>
      <w:r>
        <w:rPr>
          <w:color w:val="auto"/>
        </w:rPr>
        <w:t>×</w:t>
      </w:r>
      <w:r>
        <w:rPr>
          <w:i/>
          <w:iCs/>
          <w:color w:val="auto"/>
        </w:rPr>
        <w:t>WF</w:t>
      </w:r>
      <w:r>
        <w:rPr>
          <w:i/>
          <w:iCs/>
          <w:color w:val="auto"/>
          <w:vertAlign w:val="subscript"/>
        </w:rPr>
        <w:t>VOCs</w:t>
      </w:r>
      <w:r>
        <w:rPr>
          <w:color w:val="auto"/>
        </w:rPr>
        <w:t>/</w:t>
      </w:r>
      <w:r>
        <w:rPr>
          <w:i/>
          <w:iCs/>
          <w:color w:val="auto"/>
        </w:rPr>
        <w:t>WF</w:t>
      </w:r>
      <w:r>
        <w:rPr>
          <w:i/>
          <w:iCs/>
          <w:color w:val="auto"/>
          <w:vertAlign w:val="subscript"/>
        </w:rPr>
        <w:t>TOC</w:t>
      </w:r>
    </w:p>
    <w:p w14:paraId="11D6A5E8">
      <w:pPr>
        <w:ind w:firstLine="480"/>
        <w:rPr>
          <w:color w:val="auto"/>
        </w:rPr>
      </w:pPr>
      <w:r>
        <w:rPr>
          <w:i/>
          <w:iCs/>
          <w:color w:val="auto"/>
        </w:rPr>
        <w:t>e</w:t>
      </w:r>
      <w:r>
        <w:rPr>
          <w:i/>
          <w:iCs/>
          <w:color w:val="auto"/>
          <w:vertAlign w:val="subscript"/>
        </w:rPr>
        <w:t>VOCs</w:t>
      </w:r>
      <w:r>
        <w:rPr>
          <w:color w:val="auto"/>
        </w:rPr>
        <w:t>——物料流中VOCs排放速率，kg/h；</w:t>
      </w:r>
    </w:p>
    <w:p w14:paraId="72A763BC">
      <w:pPr>
        <w:ind w:firstLine="480"/>
        <w:rPr>
          <w:color w:val="auto"/>
        </w:rPr>
      </w:pPr>
      <w:r>
        <w:rPr>
          <w:i/>
          <w:iCs/>
          <w:color w:val="auto"/>
        </w:rPr>
        <w:t>e</w:t>
      </w:r>
      <w:r>
        <w:rPr>
          <w:i/>
          <w:iCs/>
          <w:color w:val="auto"/>
          <w:vertAlign w:val="subscript"/>
        </w:rPr>
        <w:t>TOC</w:t>
      </w:r>
      <w:r>
        <w:rPr>
          <w:color w:val="auto"/>
        </w:rPr>
        <w:t>——某密封点的TOC排放速率，kg/h；</w:t>
      </w:r>
    </w:p>
    <w:p w14:paraId="1AAA14D1">
      <w:pPr>
        <w:ind w:firstLine="480"/>
        <w:rPr>
          <w:color w:val="auto"/>
        </w:rPr>
      </w:pPr>
      <w:r>
        <w:rPr>
          <w:i/>
          <w:iCs/>
          <w:color w:val="auto"/>
        </w:rPr>
        <w:t>WF</w:t>
      </w:r>
      <w:r>
        <w:rPr>
          <w:i/>
          <w:iCs/>
          <w:color w:val="auto"/>
          <w:vertAlign w:val="subscript"/>
        </w:rPr>
        <w:t>VOCs</w:t>
      </w:r>
      <w:r>
        <w:rPr>
          <w:color w:val="auto"/>
        </w:rPr>
        <w:t>——物料流中VOCs的平均质量分数；</w:t>
      </w:r>
    </w:p>
    <w:p w14:paraId="09ED5099">
      <w:pPr>
        <w:ind w:firstLine="480"/>
        <w:rPr>
          <w:color w:val="auto"/>
        </w:rPr>
      </w:pPr>
      <w:r>
        <w:rPr>
          <w:i/>
          <w:iCs/>
          <w:color w:val="auto"/>
        </w:rPr>
        <w:t>WF</w:t>
      </w:r>
      <w:r>
        <w:rPr>
          <w:i/>
          <w:iCs/>
          <w:color w:val="auto"/>
          <w:vertAlign w:val="subscript"/>
        </w:rPr>
        <w:t>TOC</w:t>
      </w:r>
      <w:r>
        <w:rPr>
          <w:color w:val="auto"/>
        </w:rPr>
        <w:t>——物料流中含TOC的平均质量分数。</w:t>
      </w:r>
    </w:p>
    <w:p w14:paraId="7039B9AC">
      <w:pPr>
        <w:ind w:firstLine="480"/>
        <w:rPr>
          <w:color w:val="auto"/>
        </w:rPr>
      </w:pPr>
      <w:r>
        <w:rPr>
          <w:color w:val="auto"/>
        </w:rPr>
        <w:t>本项目未能提供TOC中VOCs的质量分数，则</w:t>
      </w:r>
      <w:r>
        <w:rPr>
          <w:i/>
          <w:iCs/>
          <w:color w:val="auto"/>
        </w:rPr>
        <w:t>WF</w:t>
      </w:r>
      <w:r>
        <w:rPr>
          <w:i/>
          <w:iCs/>
          <w:color w:val="auto"/>
          <w:vertAlign w:val="subscript"/>
        </w:rPr>
        <w:t>VOCs</w:t>
      </w:r>
      <w:r>
        <w:rPr>
          <w:color w:val="auto"/>
        </w:rPr>
        <w:t>/</w:t>
      </w:r>
      <w:r>
        <w:rPr>
          <w:i/>
          <w:iCs/>
          <w:color w:val="auto"/>
        </w:rPr>
        <w:t>WF</w:t>
      </w:r>
      <w:r>
        <w:rPr>
          <w:i/>
          <w:iCs/>
          <w:color w:val="auto"/>
          <w:vertAlign w:val="subscript"/>
        </w:rPr>
        <w:t>TOC</w:t>
      </w:r>
      <w:r>
        <w:rPr>
          <w:color w:val="auto"/>
        </w:rPr>
        <w:t>取1进行核算。</w:t>
      </w:r>
    </w:p>
    <w:p w14:paraId="7194EF3F">
      <w:pPr>
        <w:pStyle w:val="14"/>
        <w:rPr>
          <w:color w:val="auto"/>
        </w:rPr>
      </w:pPr>
      <w:r>
        <w:rPr>
          <w:rFonts w:hint="eastAsia"/>
          <w:color w:val="auto"/>
        </w:rPr>
        <w:t>表</w:t>
      </w:r>
      <w:r>
        <w:rPr>
          <w:color w:val="auto"/>
        </w:rPr>
        <w:t>2.3</w:t>
      </w:r>
      <w:r>
        <w:rPr>
          <w:color w:val="auto"/>
        </w:rPr>
        <w:noBreakHyphen/>
      </w:r>
      <w:r>
        <w:rPr>
          <w:color w:val="auto"/>
        </w:rPr>
        <w:t>1</w:t>
      </w:r>
      <w:r>
        <w:rPr>
          <w:rFonts w:hint="eastAsia"/>
          <w:color w:val="auto"/>
        </w:rPr>
        <w:t>各设备动静密封垫平均泄漏系数</w:t>
      </w:r>
    </w:p>
    <w:tbl>
      <w:tblPr>
        <w:tblStyle w:val="43"/>
        <w:tblW w:w="4673"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191"/>
        <w:gridCol w:w="3186"/>
        <w:gridCol w:w="2568"/>
      </w:tblGrid>
      <w:tr w14:paraId="3F838C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8" w:hRule="atLeast"/>
          <w:tblHeader/>
          <w:jc w:val="center"/>
        </w:trPr>
        <w:tc>
          <w:tcPr>
            <w:tcW w:w="1783" w:type="pct"/>
            <w:vAlign w:val="center"/>
          </w:tcPr>
          <w:p w14:paraId="79AB3626">
            <w:pPr>
              <w:pStyle w:val="91"/>
              <w:keepNext w:val="0"/>
              <w:keepLines w:val="0"/>
              <w:suppressLineNumbers w:val="0"/>
              <w:spacing w:before="0" w:beforeAutospacing="0" w:after="0" w:afterAutospacing="0"/>
              <w:ind w:left="0" w:right="0"/>
              <w:rPr>
                <w:rFonts w:hint="default"/>
                <w:b/>
                <w:color w:val="auto"/>
              </w:rPr>
            </w:pPr>
            <w:r>
              <w:rPr>
                <w:rFonts w:hint="default"/>
                <w:b/>
                <w:color w:val="auto"/>
              </w:rPr>
              <w:t>设备类型</w:t>
            </w:r>
          </w:p>
        </w:tc>
        <w:tc>
          <w:tcPr>
            <w:tcW w:w="1780" w:type="pct"/>
            <w:vAlign w:val="center"/>
          </w:tcPr>
          <w:p w14:paraId="38495028">
            <w:pPr>
              <w:pStyle w:val="91"/>
              <w:keepNext w:val="0"/>
              <w:keepLines w:val="0"/>
              <w:suppressLineNumbers w:val="0"/>
              <w:spacing w:before="0" w:beforeAutospacing="0" w:after="0" w:afterAutospacing="0"/>
              <w:ind w:left="0" w:right="0"/>
              <w:rPr>
                <w:rFonts w:hint="default"/>
                <w:b/>
                <w:color w:val="auto"/>
              </w:rPr>
            </w:pPr>
            <w:r>
              <w:rPr>
                <w:rFonts w:hint="default"/>
                <w:b/>
                <w:color w:val="auto"/>
              </w:rPr>
              <w:t>介质</w:t>
            </w:r>
          </w:p>
        </w:tc>
        <w:tc>
          <w:tcPr>
            <w:tcW w:w="1435" w:type="pct"/>
            <w:vAlign w:val="center"/>
          </w:tcPr>
          <w:p w14:paraId="6F94EE36">
            <w:pPr>
              <w:pStyle w:val="91"/>
              <w:keepNext w:val="0"/>
              <w:keepLines w:val="0"/>
              <w:suppressLineNumbers w:val="0"/>
              <w:spacing w:before="0" w:beforeAutospacing="0" w:after="0" w:afterAutospacing="0"/>
              <w:ind w:left="0" w:right="0"/>
              <w:rPr>
                <w:rFonts w:hint="default"/>
                <w:b/>
                <w:color w:val="auto"/>
              </w:rPr>
            </w:pPr>
            <w:r>
              <w:rPr>
                <w:rFonts w:hint="default"/>
                <w:b/>
                <w:color w:val="auto"/>
              </w:rPr>
              <w:t>排放速率（kg/h）</w:t>
            </w:r>
          </w:p>
        </w:tc>
      </w:tr>
      <w:tr w14:paraId="23973B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783" w:type="pct"/>
            <w:vMerge w:val="restart"/>
            <w:vAlign w:val="center"/>
          </w:tcPr>
          <w:p w14:paraId="34A265F0">
            <w:pPr>
              <w:pStyle w:val="91"/>
              <w:keepNext w:val="0"/>
              <w:keepLines w:val="0"/>
              <w:suppressLineNumbers w:val="0"/>
              <w:spacing w:before="0" w:beforeAutospacing="0" w:after="0" w:afterAutospacing="0"/>
              <w:ind w:left="0" w:right="0"/>
              <w:rPr>
                <w:rFonts w:hint="default"/>
                <w:color w:val="auto"/>
              </w:rPr>
            </w:pPr>
            <w:r>
              <w:rPr>
                <w:rFonts w:hint="default"/>
                <w:color w:val="auto"/>
              </w:rPr>
              <w:t>阀门</w:t>
            </w:r>
          </w:p>
        </w:tc>
        <w:tc>
          <w:tcPr>
            <w:tcW w:w="1780" w:type="pct"/>
            <w:vAlign w:val="center"/>
          </w:tcPr>
          <w:p w14:paraId="552D6D45">
            <w:pPr>
              <w:pStyle w:val="91"/>
              <w:keepNext w:val="0"/>
              <w:keepLines w:val="0"/>
              <w:suppressLineNumbers w:val="0"/>
              <w:spacing w:before="0" w:beforeAutospacing="0" w:after="0" w:afterAutospacing="0"/>
              <w:ind w:left="0" w:right="0"/>
              <w:rPr>
                <w:rFonts w:hint="default"/>
                <w:color w:val="auto"/>
              </w:rPr>
            </w:pPr>
            <w:r>
              <w:rPr>
                <w:rFonts w:hint="default"/>
                <w:color w:val="auto"/>
              </w:rPr>
              <w:t>气体</w:t>
            </w:r>
          </w:p>
        </w:tc>
        <w:tc>
          <w:tcPr>
            <w:tcW w:w="1435" w:type="pct"/>
            <w:vAlign w:val="center"/>
          </w:tcPr>
          <w:p w14:paraId="4AC5DC0A">
            <w:pPr>
              <w:pStyle w:val="91"/>
              <w:keepNext w:val="0"/>
              <w:keepLines w:val="0"/>
              <w:suppressLineNumbers w:val="0"/>
              <w:spacing w:before="0" w:beforeAutospacing="0" w:after="0" w:afterAutospacing="0"/>
              <w:ind w:left="0" w:right="0"/>
              <w:rPr>
                <w:rFonts w:hint="default"/>
                <w:color w:val="auto"/>
              </w:rPr>
            </w:pPr>
            <w:r>
              <w:rPr>
                <w:rFonts w:hint="default"/>
                <w:color w:val="auto"/>
              </w:rPr>
              <w:t>0.00597</w:t>
            </w:r>
          </w:p>
        </w:tc>
      </w:tr>
      <w:tr w14:paraId="6B1F3F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783" w:type="pct"/>
            <w:vMerge w:val="continue"/>
            <w:vAlign w:val="center"/>
          </w:tcPr>
          <w:p w14:paraId="7BD87591">
            <w:pPr>
              <w:pStyle w:val="91"/>
              <w:keepNext w:val="0"/>
              <w:keepLines w:val="0"/>
              <w:suppressLineNumbers w:val="0"/>
              <w:spacing w:before="0" w:beforeAutospacing="0" w:after="0" w:afterAutospacing="0"/>
              <w:ind w:left="0" w:right="0"/>
              <w:rPr>
                <w:rFonts w:hint="default"/>
                <w:color w:val="auto"/>
              </w:rPr>
            </w:pPr>
          </w:p>
        </w:tc>
        <w:tc>
          <w:tcPr>
            <w:tcW w:w="1780" w:type="pct"/>
            <w:vAlign w:val="center"/>
          </w:tcPr>
          <w:p w14:paraId="3A233E34">
            <w:pPr>
              <w:pStyle w:val="91"/>
              <w:keepNext w:val="0"/>
              <w:keepLines w:val="0"/>
              <w:suppressLineNumbers w:val="0"/>
              <w:spacing w:before="0" w:beforeAutospacing="0" w:after="0" w:afterAutospacing="0"/>
              <w:ind w:left="0" w:right="0"/>
              <w:rPr>
                <w:rFonts w:hint="default"/>
                <w:color w:val="auto"/>
              </w:rPr>
            </w:pPr>
            <w:r>
              <w:rPr>
                <w:rFonts w:hint="eastAsia"/>
                <w:color w:val="auto"/>
              </w:rPr>
              <w:t>排放量</w:t>
            </w:r>
            <w:r>
              <w:rPr>
                <w:rFonts w:hint="default"/>
                <w:color w:val="auto"/>
              </w:rPr>
              <w:t>轻液体</w:t>
            </w:r>
          </w:p>
        </w:tc>
        <w:tc>
          <w:tcPr>
            <w:tcW w:w="1435" w:type="pct"/>
            <w:vAlign w:val="center"/>
          </w:tcPr>
          <w:p w14:paraId="7516148C">
            <w:pPr>
              <w:pStyle w:val="91"/>
              <w:keepNext w:val="0"/>
              <w:keepLines w:val="0"/>
              <w:suppressLineNumbers w:val="0"/>
              <w:spacing w:before="0" w:beforeAutospacing="0" w:after="0" w:afterAutospacing="0"/>
              <w:ind w:left="0" w:right="0"/>
              <w:rPr>
                <w:rFonts w:hint="default"/>
                <w:color w:val="auto"/>
              </w:rPr>
            </w:pPr>
            <w:r>
              <w:rPr>
                <w:rFonts w:hint="default"/>
                <w:color w:val="auto"/>
              </w:rPr>
              <w:t>0.00403</w:t>
            </w:r>
          </w:p>
        </w:tc>
      </w:tr>
      <w:tr w14:paraId="4EFE86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783" w:type="pct"/>
            <w:vMerge w:val="continue"/>
            <w:vAlign w:val="center"/>
          </w:tcPr>
          <w:p w14:paraId="28E2B937">
            <w:pPr>
              <w:pStyle w:val="91"/>
              <w:keepNext w:val="0"/>
              <w:keepLines w:val="0"/>
              <w:suppressLineNumbers w:val="0"/>
              <w:spacing w:before="0" w:beforeAutospacing="0" w:after="0" w:afterAutospacing="0"/>
              <w:ind w:left="0" w:right="0"/>
              <w:rPr>
                <w:rFonts w:hint="default"/>
                <w:color w:val="auto"/>
              </w:rPr>
            </w:pPr>
          </w:p>
        </w:tc>
        <w:tc>
          <w:tcPr>
            <w:tcW w:w="1780" w:type="pct"/>
            <w:vAlign w:val="center"/>
          </w:tcPr>
          <w:p w14:paraId="1CE82D0D">
            <w:pPr>
              <w:pStyle w:val="91"/>
              <w:keepNext w:val="0"/>
              <w:keepLines w:val="0"/>
              <w:suppressLineNumbers w:val="0"/>
              <w:spacing w:before="0" w:beforeAutospacing="0" w:after="0" w:afterAutospacing="0"/>
              <w:ind w:left="0" w:right="0"/>
              <w:rPr>
                <w:rFonts w:hint="default"/>
                <w:color w:val="auto"/>
              </w:rPr>
            </w:pPr>
            <w:r>
              <w:rPr>
                <w:rFonts w:hint="default"/>
                <w:color w:val="auto"/>
              </w:rPr>
              <w:t>重液体</w:t>
            </w:r>
          </w:p>
        </w:tc>
        <w:tc>
          <w:tcPr>
            <w:tcW w:w="1435" w:type="pct"/>
            <w:vAlign w:val="center"/>
          </w:tcPr>
          <w:p w14:paraId="12151CCC">
            <w:pPr>
              <w:pStyle w:val="91"/>
              <w:keepNext w:val="0"/>
              <w:keepLines w:val="0"/>
              <w:suppressLineNumbers w:val="0"/>
              <w:spacing w:before="0" w:beforeAutospacing="0" w:after="0" w:afterAutospacing="0"/>
              <w:ind w:left="0" w:right="0"/>
              <w:rPr>
                <w:rFonts w:hint="default"/>
                <w:color w:val="auto"/>
              </w:rPr>
            </w:pPr>
            <w:r>
              <w:rPr>
                <w:rFonts w:hint="default"/>
                <w:color w:val="auto"/>
              </w:rPr>
              <w:t>0.00023</w:t>
            </w:r>
          </w:p>
        </w:tc>
      </w:tr>
      <w:tr w14:paraId="23A8E7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1783" w:type="pct"/>
            <w:vMerge w:val="restart"/>
            <w:vAlign w:val="center"/>
          </w:tcPr>
          <w:p w14:paraId="156BF5BB">
            <w:pPr>
              <w:pStyle w:val="91"/>
              <w:keepNext w:val="0"/>
              <w:keepLines w:val="0"/>
              <w:suppressLineNumbers w:val="0"/>
              <w:spacing w:before="0" w:beforeAutospacing="0" w:after="0" w:afterAutospacing="0"/>
              <w:ind w:left="0" w:right="0"/>
              <w:rPr>
                <w:rFonts w:hint="default"/>
                <w:color w:val="auto"/>
              </w:rPr>
            </w:pPr>
            <w:r>
              <w:rPr>
                <w:rFonts w:hint="default"/>
                <w:color w:val="auto"/>
              </w:rPr>
              <w:t>泵</w:t>
            </w:r>
          </w:p>
        </w:tc>
        <w:tc>
          <w:tcPr>
            <w:tcW w:w="1780" w:type="pct"/>
            <w:vAlign w:val="center"/>
          </w:tcPr>
          <w:p w14:paraId="69BECFB0">
            <w:pPr>
              <w:pStyle w:val="91"/>
              <w:keepNext w:val="0"/>
              <w:keepLines w:val="0"/>
              <w:suppressLineNumbers w:val="0"/>
              <w:spacing w:before="0" w:beforeAutospacing="0" w:after="0" w:afterAutospacing="0"/>
              <w:ind w:left="0" w:right="0"/>
              <w:rPr>
                <w:rFonts w:hint="default"/>
                <w:color w:val="auto"/>
              </w:rPr>
            </w:pPr>
            <w:r>
              <w:rPr>
                <w:rFonts w:hint="default"/>
                <w:color w:val="auto"/>
              </w:rPr>
              <w:t>轻液体</w:t>
            </w:r>
          </w:p>
        </w:tc>
        <w:tc>
          <w:tcPr>
            <w:tcW w:w="1435" w:type="pct"/>
            <w:vAlign w:val="center"/>
          </w:tcPr>
          <w:p w14:paraId="58327B16">
            <w:pPr>
              <w:pStyle w:val="91"/>
              <w:keepNext w:val="0"/>
              <w:keepLines w:val="0"/>
              <w:suppressLineNumbers w:val="0"/>
              <w:spacing w:before="0" w:beforeAutospacing="0" w:after="0" w:afterAutospacing="0"/>
              <w:ind w:left="0" w:right="0"/>
              <w:rPr>
                <w:rFonts w:hint="default"/>
                <w:color w:val="auto"/>
              </w:rPr>
            </w:pPr>
            <w:r>
              <w:rPr>
                <w:rFonts w:hint="default"/>
                <w:color w:val="auto"/>
              </w:rPr>
              <w:t>0.0199</w:t>
            </w:r>
          </w:p>
        </w:tc>
      </w:tr>
      <w:tr w14:paraId="067AB8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783" w:type="pct"/>
            <w:vMerge w:val="continue"/>
            <w:vAlign w:val="center"/>
          </w:tcPr>
          <w:p w14:paraId="21BCE13D">
            <w:pPr>
              <w:pStyle w:val="91"/>
              <w:keepNext w:val="0"/>
              <w:keepLines w:val="0"/>
              <w:suppressLineNumbers w:val="0"/>
              <w:spacing w:before="0" w:beforeAutospacing="0" w:after="0" w:afterAutospacing="0"/>
              <w:ind w:left="0" w:right="0"/>
              <w:rPr>
                <w:rFonts w:hint="default"/>
                <w:color w:val="auto"/>
              </w:rPr>
            </w:pPr>
          </w:p>
        </w:tc>
        <w:tc>
          <w:tcPr>
            <w:tcW w:w="1780" w:type="pct"/>
            <w:vAlign w:val="center"/>
          </w:tcPr>
          <w:p w14:paraId="6619AA37">
            <w:pPr>
              <w:pStyle w:val="91"/>
              <w:keepNext w:val="0"/>
              <w:keepLines w:val="0"/>
              <w:suppressLineNumbers w:val="0"/>
              <w:spacing w:before="0" w:beforeAutospacing="0" w:after="0" w:afterAutospacing="0"/>
              <w:ind w:left="0" w:right="0"/>
              <w:rPr>
                <w:rFonts w:hint="default"/>
                <w:color w:val="auto"/>
              </w:rPr>
            </w:pPr>
            <w:r>
              <w:rPr>
                <w:rFonts w:hint="default"/>
                <w:color w:val="auto"/>
              </w:rPr>
              <w:t>重液体</w:t>
            </w:r>
          </w:p>
        </w:tc>
        <w:tc>
          <w:tcPr>
            <w:tcW w:w="1435" w:type="pct"/>
            <w:vAlign w:val="center"/>
          </w:tcPr>
          <w:p w14:paraId="01A3DDA5">
            <w:pPr>
              <w:pStyle w:val="91"/>
              <w:keepNext w:val="0"/>
              <w:keepLines w:val="0"/>
              <w:suppressLineNumbers w:val="0"/>
              <w:spacing w:before="0" w:beforeAutospacing="0" w:after="0" w:afterAutospacing="0"/>
              <w:ind w:left="0" w:right="0"/>
              <w:rPr>
                <w:rFonts w:hint="default"/>
                <w:color w:val="auto"/>
              </w:rPr>
            </w:pPr>
            <w:r>
              <w:rPr>
                <w:rFonts w:hint="default"/>
                <w:color w:val="auto"/>
              </w:rPr>
              <w:t>0.00862</w:t>
            </w:r>
          </w:p>
        </w:tc>
      </w:tr>
      <w:tr w14:paraId="1971B6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783" w:type="pct"/>
            <w:vAlign w:val="center"/>
          </w:tcPr>
          <w:p w14:paraId="2CFFB52F">
            <w:pPr>
              <w:pStyle w:val="91"/>
              <w:keepNext w:val="0"/>
              <w:keepLines w:val="0"/>
              <w:suppressLineNumbers w:val="0"/>
              <w:spacing w:before="0" w:beforeAutospacing="0" w:after="0" w:afterAutospacing="0"/>
              <w:ind w:left="0" w:right="0"/>
              <w:rPr>
                <w:rFonts w:hint="default"/>
                <w:color w:val="auto"/>
              </w:rPr>
            </w:pPr>
            <w:r>
              <w:rPr>
                <w:rFonts w:hint="default"/>
                <w:color w:val="auto"/>
              </w:rPr>
              <w:t>压缩机</w:t>
            </w:r>
          </w:p>
        </w:tc>
        <w:tc>
          <w:tcPr>
            <w:tcW w:w="1780" w:type="pct"/>
            <w:vAlign w:val="center"/>
          </w:tcPr>
          <w:p w14:paraId="68D6928A">
            <w:pPr>
              <w:pStyle w:val="91"/>
              <w:keepNext w:val="0"/>
              <w:keepLines w:val="0"/>
              <w:suppressLineNumbers w:val="0"/>
              <w:spacing w:before="0" w:beforeAutospacing="0" w:after="0" w:afterAutospacing="0"/>
              <w:ind w:left="0" w:right="0"/>
              <w:rPr>
                <w:rFonts w:hint="default"/>
                <w:color w:val="auto"/>
              </w:rPr>
            </w:pPr>
            <w:r>
              <w:rPr>
                <w:rFonts w:hint="default"/>
                <w:color w:val="auto"/>
              </w:rPr>
              <w:t>气体</w:t>
            </w:r>
          </w:p>
        </w:tc>
        <w:tc>
          <w:tcPr>
            <w:tcW w:w="1435" w:type="pct"/>
            <w:vAlign w:val="center"/>
          </w:tcPr>
          <w:p w14:paraId="0AC0971C">
            <w:pPr>
              <w:pStyle w:val="91"/>
              <w:keepNext w:val="0"/>
              <w:keepLines w:val="0"/>
              <w:suppressLineNumbers w:val="0"/>
              <w:spacing w:before="0" w:beforeAutospacing="0" w:after="0" w:afterAutospacing="0"/>
              <w:ind w:left="0" w:right="0"/>
              <w:rPr>
                <w:rFonts w:hint="default"/>
                <w:color w:val="auto"/>
              </w:rPr>
            </w:pPr>
            <w:r>
              <w:rPr>
                <w:rFonts w:hint="default"/>
                <w:color w:val="auto"/>
              </w:rPr>
              <w:t>0.228</w:t>
            </w:r>
          </w:p>
        </w:tc>
      </w:tr>
      <w:tr w14:paraId="09206F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783" w:type="pct"/>
            <w:vAlign w:val="center"/>
          </w:tcPr>
          <w:p w14:paraId="3A68E3F4">
            <w:pPr>
              <w:pStyle w:val="91"/>
              <w:keepNext w:val="0"/>
              <w:keepLines w:val="0"/>
              <w:suppressLineNumbers w:val="0"/>
              <w:spacing w:before="0" w:beforeAutospacing="0" w:after="0" w:afterAutospacing="0"/>
              <w:ind w:left="0" w:right="0"/>
              <w:rPr>
                <w:rFonts w:hint="default"/>
                <w:color w:val="auto"/>
              </w:rPr>
            </w:pPr>
            <w:r>
              <w:rPr>
                <w:rFonts w:hint="default"/>
                <w:color w:val="auto"/>
              </w:rPr>
              <w:t>泄压设备</w:t>
            </w:r>
          </w:p>
        </w:tc>
        <w:tc>
          <w:tcPr>
            <w:tcW w:w="1780" w:type="pct"/>
            <w:vAlign w:val="center"/>
          </w:tcPr>
          <w:p w14:paraId="64FDDE68">
            <w:pPr>
              <w:pStyle w:val="91"/>
              <w:keepNext w:val="0"/>
              <w:keepLines w:val="0"/>
              <w:suppressLineNumbers w:val="0"/>
              <w:spacing w:before="0" w:beforeAutospacing="0" w:after="0" w:afterAutospacing="0"/>
              <w:ind w:left="0" w:right="0"/>
              <w:rPr>
                <w:rFonts w:hint="default"/>
                <w:color w:val="auto"/>
              </w:rPr>
            </w:pPr>
            <w:r>
              <w:rPr>
                <w:rFonts w:hint="default"/>
                <w:color w:val="auto"/>
              </w:rPr>
              <w:t>气体</w:t>
            </w:r>
          </w:p>
        </w:tc>
        <w:tc>
          <w:tcPr>
            <w:tcW w:w="1435" w:type="pct"/>
            <w:vAlign w:val="center"/>
          </w:tcPr>
          <w:p w14:paraId="7A4A22A8">
            <w:pPr>
              <w:pStyle w:val="91"/>
              <w:keepNext w:val="0"/>
              <w:keepLines w:val="0"/>
              <w:suppressLineNumbers w:val="0"/>
              <w:spacing w:before="0" w:beforeAutospacing="0" w:after="0" w:afterAutospacing="0"/>
              <w:ind w:left="0" w:right="0"/>
              <w:rPr>
                <w:rFonts w:hint="default"/>
                <w:color w:val="auto"/>
              </w:rPr>
            </w:pPr>
            <w:r>
              <w:rPr>
                <w:rFonts w:hint="default"/>
                <w:color w:val="auto"/>
              </w:rPr>
              <w:t>0.104</w:t>
            </w:r>
          </w:p>
        </w:tc>
      </w:tr>
      <w:tr w14:paraId="426636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783" w:type="pct"/>
            <w:vAlign w:val="center"/>
          </w:tcPr>
          <w:p w14:paraId="3C72E2B1">
            <w:pPr>
              <w:pStyle w:val="91"/>
              <w:keepNext w:val="0"/>
              <w:keepLines w:val="0"/>
              <w:suppressLineNumbers w:val="0"/>
              <w:spacing w:before="0" w:beforeAutospacing="0" w:after="0" w:afterAutospacing="0"/>
              <w:ind w:left="0" w:right="0"/>
              <w:rPr>
                <w:rFonts w:hint="default"/>
                <w:color w:val="auto"/>
              </w:rPr>
            </w:pPr>
            <w:r>
              <w:rPr>
                <w:rFonts w:hint="default"/>
                <w:color w:val="auto"/>
              </w:rPr>
              <w:t>法兰、连接件</w:t>
            </w:r>
          </w:p>
        </w:tc>
        <w:tc>
          <w:tcPr>
            <w:tcW w:w="1780" w:type="pct"/>
            <w:vAlign w:val="center"/>
          </w:tcPr>
          <w:p w14:paraId="1E6F62FD">
            <w:pPr>
              <w:pStyle w:val="91"/>
              <w:keepNext w:val="0"/>
              <w:keepLines w:val="0"/>
              <w:suppressLineNumbers w:val="0"/>
              <w:spacing w:before="0" w:beforeAutospacing="0" w:after="0" w:afterAutospacing="0"/>
              <w:ind w:left="0" w:right="0"/>
              <w:rPr>
                <w:rFonts w:hint="default"/>
                <w:color w:val="auto"/>
              </w:rPr>
            </w:pPr>
            <w:r>
              <w:rPr>
                <w:rFonts w:hint="default"/>
                <w:color w:val="auto"/>
              </w:rPr>
              <w:t>所有</w:t>
            </w:r>
          </w:p>
        </w:tc>
        <w:tc>
          <w:tcPr>
            <w:tcW w:w="1435" w:type="pct"/>
            <w:vAlign w:val="center"/>
          </w:tcPr>
          <w:p w14:paraId="323550B6">
            <w:pPr>
              <w:pStyle w:val="91"/>
              <w:keepNext w:val="0"/>
              <w:keepLines w:val="0"/>
              <w:suppressLineNumbers w:val="0"/>
              <w:spacing w:before="0" w:beforeAutospacing="0" w:after="0" w:afterAutospacing="0"/>
              <w:ind w:left="0" w:right="0"/>
              <w:rPr>
                <w:rFonts w:hint="default"/>
                <w:color w:val="auto"/>
              </w:rPr>
            </w:pPr>
            <w:r>
              <w:rPr>
                <w:rFonts w:hint="default"/>
                <w:color w:val="auto"/>
              </w:rPr>
              <w:t>0.00183</w:t>
            </w:r>
          </w:p>
        </w:tc>
      </w:tr>
      <w:tr w14:paraId="4C9B46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783" w:type="pct"/>
            <w:vAlign w:val="center"/>
          </w:tcPr>
          <w:p w14:paraId="6655EFA5">
            <w:pPr>
              <w:pStyle w:val="91"/>
              <w:keepNext w:val="0"/>
              <w:keepLines w:val="0"/>
              <w:suppressLineNumbers w:val="0"/>
              <w:spacing w:before="0" w:beforeAutospacing="0" w:after="0" w:afterAutospacing="0"/>
              <w:ind w:left="0" w:right="0"/>
              <w:rPr>
                <w:rFonts w:hint="default"/>
                <w:color w:val="auto"/>
              </w:rPr>
            </w:pPr>
            <w:r>
              <w:rPr>
                <w:rFonts w:hint="default"/>
                <w:color w:val="auto"/>
              </w:rPr>
              <w:t>开口阀或开口管线</w:t>
            </w:r>
          </w:p>
        </w:tc>
        <w:tc>
          <w:tcPr>
            <w:tcW w:w="1780" w:type="pct"/>
            <w:vAlign w:val="center"/>
          </w:tcPr>
          <w:p w14:paraId="09D78D13">
            <w:pPr>
              <w:pStyle w:val="91"/>
              <w:keepNext w:val="0"/>
              <w:keepLines w:val="0"/>
              <w:suppressLineNumbers w:val="0"/>
              <w:spacing w:before="0" w:beforeAutospacing="0" w:after="0" w:afterAutospacing="0"/>
              <w:ind w:left="0" w:right="0"/>
              <w:rPr>
                <w:rFonts w:hint="default"/>
                <w:color w:val="auto"/>
              </w:rPr>
            </w:pPr>
            <w:r>
              <w:rPr>
                <w:rFonts w:hint="default"/>
                <w:color w:val="auto"/>
              </w:rPr>
              <w:t>所有</w:t>
            </w:r>
          </w:p>
        </w:tc>
        <w:tc>
          <w:tcPr>
            <w:tcW w:w="1435" w:type="pct"/>
            <w:vAlign w:val="center"/>
          </w:tcPr>
          <w:p w14:paraId="2D4BB63E">
            <w:pPr>
              <w:pStyle w:val="91"/>
              <w:keepNext w:val="0"/>
              <w:keepLines w:val="0"/>
              <w:suppressLineNumbers w:val="0"/>
              <w:spacing w:before="0" w:beforeAutospacing="0" w:after="0" w:afterAutospacing="0"/>
              <w:ind w:left="0" w:right="0"/>
              <w:rPr>
                <w:rFonts w:hint="default"/>
                <w:color w:val="auto"/>
              </w:rPr>
            </w:pPr>
            <w:r>
              <w:rPr>
                <w:rFonts w:hint="default"/>
                <w:color w:val="auto"/>
              </w:rPr>
              <w:t>0.0017</w:t>
            </w:r>
          </w:p>
        </w:tc>
      </w:tr>
      <w:tr w14:paraId="19B7E0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783" w:type="pct"/>
            <w:vAlign w:val="center"/>
          </w:tcPr>
          <w:p w14:paraId="7BDA951E">
            <w:pPr>
              <w:pStyle w:val="91"/>
              <w:keepNext w:val="0"/>
              <w:keepLines w:val="0"/>
              <w:suppressLineNumbers w:val="0"/>
              <w:spacing w:before="0" w:beforeAutospacing="0" w:after="0" w:afterAutospacing="0"/>
              <w:ind w:left="0" w:right="0"/>
              <w:rPr>
                <w:rFonts w:hint="default"/>
                <w:color w:val="auto"/>
              </w:rPr>
            </w:pPr>
            <w:r>
              <w:rPr>
                <w:rFonts w:hint="default"/>
                <w:color w:val="auto"/>
              </w:rPr>
              <w:t>采样连接系统</w:t>
            </w:r>
          </w:p>
        </w:tc>
        <w:tc>
          <w:tcPr>
            <w:tcW w:w="1780" w:type="pct"/>
            <w:vAlign w:val="center"/>
          </w:tcPr>
          <w:p w14:paraId="0B97958A">
            <w:pPr>
              <w:pStyle w:val="91"/>
              <w:keepNext w:val="0"/>
              <w:keepLines w:val="0"/>
              <w:suppressLineNumbers w:val="0"/>
              <w:spacing w:before="0" w:beforeAutospacing="0" w:after="0" w:afterAutospacing="0"/>
              <w:ind w:left="0" w:right="0"/>
              <w:rPr>
                <w:rFonts w:hint="default"/>
                <w:color w:val="auto"/>
              </w:rPr>
            </w:pPr>
            <w:r>
              <w:rPr>
                <w:rFonts w:hint="default"/>
                <w:color w:val="auto"/>
              </w:rPr>
              <w:t>所有</w:t>
            </w:r>
          </w:p>
        </w:tc>
        <w:tc>
          <w:tcPr>
            <w:tcW w:w="1435" w:type="pct"/>
            <w:vAlign w:val="center"/>
          </w:tcPr>
          <w:p w14:paraId="51508980">
            <w:pPr>
              <w:pStyle w:val="91"/>
              <w:keepNext w:val="0"/>
              <w:keepLines w:val="0"/>
              <w:suppressLineNumbers w:val="0"/>
              <w:spacing w:before="0" w:beforeAutospacing="0" w:after="0" w:afterAutospacing="0"/>
              <w:ind w:left="0" w:right="0"/>
              <w:rPr>
                <w:rFonts w:hint="default"/>
                <w:color w:val="auto"/>
              </w:rPr>
            </w:pPr>
            <w:r>
              <w:rPr>
                <w:rFonts w:hint="default"/>
                <w:color w:val="auto"/>
              </w:rPr>
              <w:t>0.0150</w:t>
            </w:r>
          </w:p>
        </w:tc>
      </w:tr>
      <w:tr w14:paraId="2B977A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1783" w:type="pct"/>
            <w:vAlign w:val="center"/>
          </w:tcPr>
          <w:p w14:paraId="3E2A534D">
            <w:pPr>
              <w:pStyle w:val="91"/>
              <w:keepNext w:val="0"/>
              <w:keepLines w:val="0"/>
              <w:suppressLineNumbers w:val="0"/>
              <w:spacing w:before="0" w:beforeAutospacing="0" w:after="0" w:afterAutospacing="0"/>
              <w:ind w:left="0" w:right="0"/>
              <w:rPr>
                <w:rFonts w:hint="default"/>
                <w:color w:val="auto"/>
              </w:rPr>
            </w:pPr>
            <w:r>
              <w:rPr>
                <w:rFonts w:hint="eastAsia"/>
                <w:color w:val="auto"/>
                <w:lang w:eastAsia="zh-CN"/>
              </w:rPr>
              <w:t>其他</w:t>
            </w:r>
          </w:p>
        </w:tc>
        <w:tc>
          <w:tcPr>
            <w:tcW w:w="1780" w:type="pct"/>
            <w:vAlign w:val="center"/>
          </w:tcPr>
          <w:p w14:paraId="78CA7B4C">
            <w:pPr>
              <w:pStyle w:val="91"/>
              <w:keepNext w:val="0"/>
              <w:keepLines w:val="0"/>
              <w:suppressLineNumbers w:val="0"/>
              <w:spacing w:before="0" w:beforeAutospacing="0" w:after="0" w:afterAutospacing="0"/>
              <w:ind w:left="0" w:right="0"/>
              <w:rPr>
                <w:rFonts w:hint="default"/>
                <w:color w:val="auto"/>
              </w:rPr>
            </w:pPr>
            <w:r>
              <w:rPr>
                <w:rFonts w:hint="default"/>
                <w:color w:val="auto"/>
              </w:rPr>
              <w:t>所有</w:t>
            </w:r>
          </w:p>
        </w:tc>
        <w:tc>
          <w:tcPr>
            <w:tcW w:w="1435" w:type="pct"/>
            <w:vAlign w:val="center"/>
          </w:tcPr>
          <w:p w14:paraId="0AE91A02">
            <w:pPr>
              <w:pStyle w:val="91"/>
              <w:keepNext w:val="0"/>
              <w:keepLines w:val="0"/>
              <w:suppressLineNumbers w:val="0"/>
              <w:spacing w:before="0" w:beforeAutospacing="0" w:after="0" w:afterAutospacing="0"/>
              <w:ind w:left="0" w:right="0"/>
              <w:rPr>
                <w:rFonts w:hint="default"/>
                <w:color w:val="auto"/>
              </w:rPr>
            </w:pPr>
            <w:r>
              <w:rPr>
                <w:rFonts w:hint="default"/>
                <w:color w:val="auto"/>
              </w:rPr>
              <w:t>0.00597</w:t>
            </w:r>
          </w:p>
        </w:tc>
      </w:tr>
    </w:tbl>
    <w:p w14:paraId="6D52778F">
      <w:pPr>
        <w:ind w:firstLine="480"/>
        <w:rPr>
          <w:bCs/>
          <w:color w:val="auto"/>
        </w:rPr>
      </w:pPr>
      <w:r>
        <w:rPr>
          <w:bCs/>
          <w:color w:val="auto"/>
        </w:rPr>
        <w:t>根据表</w:t>
      </w:r>
      <w:r>
        <w:rPr>
          <w:rFonts w:hint="eastAsia"/>
          <w:bCs/>
          <w:color w:val="auto"/>
        </w:rPr>
        <w:t>2.3-7</w:t>
      </w:r>
      <w:r>
        <w:rPr>
          <w:bCs/>
          <w:color w:val="auto"/>
        </w:rPr>
        <w:t>表格，</w:t>
      </w:r>
      <w:r>
        <w:rPr>
          <w:rFonts w:hint="eastAsia"/>
          <w:bCs/>
          <w:color w:val="auto"/>
        </w:rPr>
        <w:t>阀门</w:t>
      </w:r>
      <w:r>
        <w:rPr>
          <w:bCs/>
          <w:color w:val="auto"/>
        </w:rPr>
        <w:t>5</w:t>
      </w:r>
      <w:r>
        <w:rPr>
          <w:rFonts w:hint="eastAsia"/>
          <w:bCs/>
          <w:color w:val="auto"/>
        </w:rPr>
        <w:t>个</w:t>
      </w:r>
      <w:r>
        <w:rPr>
          <w:bCs/>
          <w:color w:val="auto"/>
        </w:rPr>
        <w:t>、泵</w:t>
      </w:r>
      <w:r>
        <w:rPr>
          <w:rFonts w:hint="eastAsia"/>
          <w:bCs/>
          <w:color w:val="auto"/>
        </w:rPr>
        <w:t>1个、</w:t>
      </w:r>
      <w:r>
        <w:rPr>
          <w:bCs/>
          <w:color w:val="auto"/>
        </w:rPr>
        <w:t>卸压设备</w:t>
      </w:r>
      <w:r>
        <w:rPr>
          <w:rFonts w:hint="eastAsia"/>
          <w:bCs/>
          <w:color w:val="auto"/>
        </w:rPr>
        <w:t>1套</w:t>
      </w:r>
      <w:r>
        <w:rPr>
          <w:bCs/>
          <w:color w:val="auto"/>
        </w:rPr>
        <w:t>、法兰连接件10</w:t>
      </w:r>
      <w:r>
        <w:rPr>
          <w:rFonts w:hint="eastAsia"/>
          <w:bCs/>
          <w:color w:val="auto"/>
        </w:rPr>
        <w:t>个、采样连接系统、开口阀或开口管线、</w:t>
      </w:r>
      <w:r>
        <w:rPr>
          <w:rFonts w:hint="eastAsia"/>
          <w:bCs/>
          <w:color w:val="auto"/>
          <w:lang w:eastAsia="zh-CN"/>
        </w:rPr>
        <w:t>其他</w:t>
      </w:r>
      <w:r>
        <w:rPr>
          <w:rFonts w:hint="eastAsia"/>
          <w:bCs/>
          <w:color w:val="auto"/>
        </w:rPr>
        <w:t>选择1，结合物质密度、排放时间、排放效率等，按公式进行计算，各区域动静密封点无组织排放量见表2.3-8。</w:t>
      </w:r>
    </w:p>
    <w:p w14:paraId="0FC19706">
      <w:pPr>
        <w:pStyle w:val="14"/>
        <w:rPr>
          <w:color w:val="auto"/>
        </w:rPr>
      </w:pPr>
      <w:r>
        <w:rPr>
          <w:rFonts w:hint="eastAsia"/>
          <w:color w:val="auto"/>
        </w:rPr>
        <w:t>表</w:t>
      </w:r>
      <w:r>
        <w:rPr>
          <w:color w:val="auto"/>
        </w:rPr>
        <w:t>2.3</w:t>
      </w:r>
      <w:r>
        <w:rPr>
          <w:color w:val="auto"/>
        </w:rPr>
        <w:noBreakHyphen/>
      </w:r>
      <w:r>
        <w:rPr>
          <w:color w:val="auto"/>
        </w:rPr>
        <w:t>2项目各区域动静密封点</w:t>
      </w:r>
      <w:r>
        <w:rPr>
          <w:rFonts w:hint="eastAsia"/>
          <w:color w:val="auto"/>
        </w:rPr>
        <w:t>无组织排放量</w:t>
      </w:r>
    </w:p>
    <w:tbl>
      <w:tblPr>
        <w:tblStyle w:val="4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90"/>
        <w:gridCol w:w="1196"/>
        <w:gridCol w:w="1659"/>
        <w:gridCol w:w="1659"/>
        <w:gridCol w:w="1660"/>
      </w:tblGrid>
      <w:tr w14:paraId="7337E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0" w:type="dxa"/>
          </w:tcPr>
          <w:p w14:paraId="10CB6E37">
            <w:pPr>
              <w:pStyle w:val="91"/>
              <w:keepNext w:val="0"/>
              <w:keepLines w:val="0"/>
              <w:suppressLineNumbers w:val="0"/>
              <w:spacing w:before="0" w:beforeAutospacing="0" w:after="0" w:afterAutospacing="0"/>
              <w:ind w:left="0" w:right="0"/>
              <w:rPr>
                <w:rFonts w:hint="default"/>
                <w:b/>
                <w:color w:val="auto"/>
              </w:rPr>
            </w:pPr>
            <w:r>
              <w:rPr>
                <w:rFonts w:hint="eastAsia"/>
                <w:b/>
                <w:color w:val="auto"/>
              </w:rPr>
              <w:t>货种名称</w:t>
            </w:r>
          </w:p>
        </w:tc>
        <w:tc>
          <w:tcPr>
            <w:tcW w:w="1196" w:type="dxa"/>
          </w:tcPr>
          <w:p w14:paraId="674FEDD3">
            <w:pPr>
              <w:pStyle w:val="91"/>
              <w:keepNext w:val="0"/>
              <w:keepLines w:val="0"/>
              <w:suppressLineNumbers w:val="0"/>
              <w:spacing w:before="0" w:beforeAutospacing="0" w:after="0" w:afterAutospacing="0"/>
              <w:ind w:left="0" w:right="0"/>
              <w:rPr>
                <w:rFonts w:hint="default"/>
                <w:b/>
                <w:color w:val="auto"/>
              </w:rPr>
            </w:pPr>
            <w:r>
              <w:rPr>
                <w:rFonts w:hint="eastAsia"/>
                <w:b/>
                <w:color w:val="auto"/>
              </w:rPr>
              <w:t>污染物</w:t>
            </w:r>
          </w:p>
        </w:tc>
        <w:tc>
          <w:tcPr>
            <w:tcW w:w="1659" w:type="dxa"/>
          </w:tcPr>
          <w:p w14:paraId="00639A30">
            <w:pPr>
              <w:pStyle w:val="91"/>
              <w:keepNext w:val="0"/>
              <w:keepLines w:val="0"/>
              <w:suppressLineNumbers w:val="0"/>
              <w:spacing w:before="0" w:beforeAutospacing="0" w:after="0" w:afterAutospacing="0"/>
              <w:ind w:left="0" w:right="0"/>
              <w:rPr>
                <w:rFonts w:hint="default"/>
                <w:b/>
                <w:color w:val="auto"/>
              </w:rPr>
            </w:pPr>
            <w:r>
              <w:rPr>
                <w:rFonts w:hint="eastAsia"/>
                <w:b/>
                <w:color w:val="auto"/>
              </w:rPr>
              <w:t>排放</w:t>
            </w:r>
            <w:r>
              <w:rPr>
                <w:rFonts w:hint="default"/>
                <w:b/>
                <w:color w:val="auto"/>
              </w:rPr>
              <w:t>速率</w:t>
            </w:r>
            <w:r>
              <w:rPr>
                <w:rFonts w:hint="eastAsia"/>
                <w:b/>
                <w:color w:val="auto"/>
              </w:rPr>
              <w:t>kg/h</w:t>
            </w:r>
          </w:p>
        </w:tc>
        <w:tc>
          <w:tcPr>
            <w:tcW w:w="1659" w:type="dxa"/>
          </w:tcPr>
          <w:p w14:paraId="081ED172">
            <w:pPr>
              <w:pStyle w:val="91"/>
              <w:keepNext w:val="0"/>
              <w:keepLines w:val="0"/>
              <w:suppressLineNumbers w:val="0"/>
              <w:spacing w:before="0" w:beforeAutospacing="0" w:after="0" w:afterAutospacing="0"/>
              <w:ind w:left="0" w:right="0"/>
              <w:rPr>
                <w:rFonts w:hint="default"/>
                <w:b/>
                <w:color w:val="auto"/>
              </w:rPr>
            </w:pPr>
            <w:r>
              <w:rPr>
                <w:rFonts w:hint="eastAsia"/>
                <w:b/>
                <w:color w:val="auto"/>
              </w:rPr>
              <w:t>在线</w:t>
            </w:r>
            <w:r>
              <w:rPr>
                <w:rFonts w:hint="default"/>
                <w:b/>
                <w:color w:val="auto"/>
              </w:rPr>
              <w:t>时间</w:t>
            </w:r>
            <w:r>
              <w:rPr>
                <w:rFonts w:hint="eastAsia"/>
                <w:b/>
                <w:color w:val="auto"/>
              </w:rPr>
              <w:t>h/a</w:t>
            </w:r>
          </w:p>
        </w:tc>
        <w:tc>
          <w:tcPr>
            <w:tcW w:w="1660" w:type="dxa"/>
          </w:tcPr>
          <w:p w14:paraId="2155CA20">
            <w:pPr>
              <w:pStyle w:val="91"/>
              <w:keepNext w:val="0"/>
              <w:keepLines w:val="0"/>
              <w:suppressLineNumbers w:val="0"/>
              <w:spacing w:before="0" w:beforeAutospacing="0" w:after="0" w:afterAutospacing="0"/>
              <w:ind w:left="0" w:right="0"/>
              <w:rPr>
                <w:rFonts w:hint="default"/>
                <w:b/>
                <w:color w:val="auto"/>
              </w:rPr>
            </w:pPr>
            <w:r>
              <w:rPr>
                <w:rFonts w:hint="eastAsia"/>
                <w:b/>
                <w:color w:val="auto"/>
              </w:rPr>
              <w:t>排放量</w:t>
            </w:r>
            <w:r>
              <w:rPr>
                <w:rFonts w:hint="default"/>
                <w:b/>
                <w:color w:val="auto"/>
              </w:rPr>
              <w:t>t/a</w:t>
            </w:r>
          </w:p>
        </w:tc>
      </w:tr>
      <w:tr w14:paraId="562C9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0" w:type="dxa"/>
          </w:tcPr>
          <w:p w14:paraId="42F0EA90">
            <w:pPr>
              <w:pStyle w:val="91"/>
              <w:keepNext w:val="0"/>
              <w:keepLines w:val="0"/>
              <w:suppressLineNumbers w:val="0"/>
              <w:spacing w:before="0" w:beforeAutospacing="0" w:after="0" w:afterAutospacing="0"/>
              <w:ind w:left="0" w:right="0"/>
              <w:rPr>
                <w:rFonts w:hint="default"/>
                <w:color w:val="auto"/>
              </w:rPr>
            </w:pPr>
            <w:r>
              <w:rPr>
                <w:rFonts w:hint="eastAsia"/>
                <w:color w:val="auto"/>
              </w:rPr>
              <w:t>甲基叔丁基醚（MTBE）</w:t>
            </w:r>
          </w:p>
        </w:tc>
        <w:tc>
          <w:tcPr>
            <w:tcW w:w="1196" w:type="dxa"/>
            <w:vMerge w:val="restart"/>
            <w:vAlign w:val="center"/>
          </w:tcPr>
          <w:p w14:paraId="2F63799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非甲烷总烃</w:t>
            </w:r>
          </w:p>
        </w:tc>
        <w:tc>
          <w:tcPr>
            <w:tcW w:w="1659" w:type="dxa"/>
          </w:tcPr>
          <w:p w14:paraId="163C898C">
            <w:pPr>
              <w:pStyle w:val="91"/>
              <w:keepNext w:val="0"/>
              <w:keepLines w:val="0"/>
              <w:suppressLineNumbers w:val="0"/>
              <w:spacing w:before="0" w:beforeAutospacing="0" w:after="0" w:afterAutospacing="0"/>
              <w:ind w:left="0" w:right="0"/>
              <w:rPr>
                <w:rFonts w:hint="default"/>
                <w:color w:val="auto"/>
              </w:rPr>
            </w:pPr>
            <w:r>
              <w:rPr>
                <w:rFonts w:hint="eastAsia"/>
                <w:color w:val="auto"/>
              </w:rPr>
              <w:t>0.185</w:t>
            </w:r>
          </w:p>
        </w:tc>
        <w:tc>
          <w:tcPr>
            <w:tcW w:w="1659" w:type="dxa"/>
          </w:tcPr>
          <w:p w14:paraId="2B7584B8">
            <w:pPr>
              <w:pStyle w:val="91"/>
              <w:keepNext w:val="0"/>
              <w:keepLines w:val="0"/>
              <w:suppressLineNumbers w:val="0"/>
              <w:spacing w:before="0" w:beforeAutospacing="0" w:after="0" w:afterAutospacing="0"/>
              <w:ind w:left="0" w:right="0"/>
              <w:rPr>
                <w:rFonts w:hint="default"/>
                <w:color w:val="auto"/>
              </w:rPr>
            </w:pPr>
            <w:r>
              <w:rPr>
                <w:rFonts w:hint="default"/>
                <w:color w:val="auto"/>
              </w:rPr>
              <w:t>676</w:t>
            </w:r>
          </w:p>
        </w:tc>
        <w:tc>
          <w:tcPr>
            <w:tcW w:w="1660" w:type="dxa"/>
          </w:tcPr>
          <w:p w14:paraId="56715DE9">
            <w:pPr>
              <w:pStyle w:val="91"/>
              <w:keepNext w:val="0"/>
              <w:keepLines w:val="0"/>
              <w:suppressLineNumbers w:val="0"/>
              <w:spacing w:before="0" w:beforeAutospacing="0" w:after="0" w:afterAutospacing="0"/>
              <w:ind w:left="0" w:right="0"/>
              <w:rPr>
                <w:rFonts w:hint="default"/>
                <w:color w:val="auto"/>
              </w:rPr>
            </w:pPr>
            <w:r>
              <w:rPr>
                <w:rFonts w:hint="eastAsia"/>
                <w:color w:val="auto"/>
              </w:rPr>
              <w:t>0.</w:t>
            </w:r>
            <w:r>
              <w:rPr>
                <w:rFonts w:hint="default"/>
                <w:color w:val="auto"/>
              </w:rPr>
              <w:t>25</w:t>
            </w:r>
          </w:p>
        </w:tc>
      </w:tr>
      <w:tr w14:paraId="734F1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0" w:type="dxa"/>
          </w:tcPr>
          <w:p w14:paraId="069E5B53">
            <w:pPr>
              <w:pStyle w:val="91"/>
              <w:keepNext w:val="0"/>
              <w:keepLines w:val="0"/>
              <w:suppressLineNumbers w:val="0"/>
              <w:spacing w:before="0" w:beforeAutospacing="0" w:after="0" w:afterAutospacing="0"/>
              <w:ind w:left="0" w:right="0"/>
              <w:rPr>
                <w:rFonts w:hint="default"/>
                <w:color w:val="auto"/>
              </w:rPr>
            </w:pPr>
            <w:r>
              <w:rPr>
                <w:rFonts w:hint="eastAsia"/>
                <w:color w:val="auto"/>
              </w:rPr>
              <w:t>石脑油</w:t>
            </w:r>
          </w:p>
        </w:tc>
        <w:tc>
          <w:tcPr>
            <w:tcW w:w="1196" w:type="dxa"/>
            <w:vMerge w:val="continue"/>
          </w:tcPr>
          <w:p w14:paraId="04223F85">
            <w:pPr>
              <w:pStyle w:val="91"/>
              <w:keepNext w:val="0"/>
              <w:keepLines w:val="0"/>
              <w:suppressLineNumbers w:val="0"/>
              <w:spacing w:before="0" w:beforeAutospacing="0" w:after="0" w:afterAutospacing="0"/>
              <w:ind w:left="0" w:right="0"/>
              <w:rPr>
                <w:rFonts w:hint="default"/>
                <w:color w:val="auto"/>
              </w:rPr>
            </w:pPr>
          </w:p>
        </w:tc>
        <w:tc>
          <w:tcPr>
            <w:tcW w:w="1659" w:type="dxa"/>
          </w:tcPr>
          <w:p w14:paraId="30EB85EB">
            <w:pPr>
              <w:pStyle w:val="91"/>
              <w:keepNext w:val="0"/>
              <w:keepLines w:val="0"/>
              <w:suppressLineNumbers w:val="0"/>
              <w:spacing w:before="0" w:beforeAutospacing="0" w:after="0" w:afterAutospacing="0"/>
              <w:ind w:left="0" w:right="0"/>
              <w:rPr>
                <w:rFonts w:hint="default"/>
                <w:color w:val="auto"/>
              </w:rPr>
            </w:pPr>
            <w:r>
              <w:rPr>
                <w:rFonts w:hint="eastAsia"/>
                <w:color w:val="auto"/>
              </w:rPr>
              <w:t>0.185</w:t>
            </w:r>
          </w:p>
        </w:tc>
        <w:tc>
          <w:tcPr>
            <w:tcW w:w="1659" w:type="dxa"/>
          </w:tcPr>
          <w:p w14:paraId="567D4F7A">
            <w:pPr>
              <w:pStyle w:val="91"/>
              <w:keepNext w:val="0"/>
              <w:keepLines w:val="0"/>
              <w:suppressLineNumbers w:val="0"/>
              <w:spacing w:before="0" w:beforeAutospacing="0" w:after="0" w:afterAutospacing="0"/>
              <w:ind w:left="0" w:right="0"/>
              <w:rPr>
                <w:rFonts w:hint="default"/>
                <w:color w:val="auto"/>
              </w:rPr>
            </w:pPr>
            <w:r>
              <w:rPr>
                <w:rFonts w:hint="default"/>
                <w:color w:val="auto"/>
              </w:rPr>
              <w:t>725</w:t>
            </w:r>
          </w:p>
        </w:tc>
        <w:tc>
          <w:tcPr>
            <w:tcW w:w="1660" w:type="dxa"/>
          </w:tcPr>
          <w:p w14:paraId="205EE39F">
            <w:pPr>
              <w:pStyle w:val="91"/>
              <w:keepNext w:val="0"/>
              <w:keepLines w:val="0"/>
              <w:suppressLineNumbers w:val="0"/>
              <w:spacing w:before="0" w:beforeAutospacing="0" w:after="0" w:afterAutospacing="0"/>
              <w:ind w:left="0" w:right="0"/>
              <w:rPr>
                <w:rFonts w:hint="default"/>
                <w:color w:val="auto"/>
              </w:rPr>
            </w:pPr>
            <w:r>
              <w:rPr>
                <w:rFonts w:hint="eastAsia"/>
                <w:color w:val="auto"/>
              </w:rPr>
              <w:t>0.</w:t>
            </w:r>
            <w:r>
              <w:rPr>
                <w:rFonts w:hint="default"/>
                <w:color w:val="auto"/>
              </w:rPr>
              <w:t>277</w:t>
            </w:r>
          </w:p>
        </w:tc>
      </w:tr>
      <w:tr w14:paraId="0F125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0" w:type="dxa"/>
          </w:tcPr>
          <w:p w14:paraId="3D5603F7">
            <w:pPr>
              <w:pStyle w:val="91"/>
              <w:keepNext w:val="0"/>
              <w:keepLines w:val="0"/>
              <w:suppressLineNumbers w:val="0"/>
              <w:spacing w:before="0" w:beforeAutospacing="0" w:after="0" w:afterAutospacing="0"/>
              <w:ind w:left="0" w:right="0"/>
              <w:rPr>
                <w:rFonts w:hint="default"/>
                <w:color w:val="auto"/>
              </w:rPr>
            </w:pPr>
            <w:r>
              <w:rPr>
                <w:rFonts w:hint="eastAsia"/>
                <w:color w:val="auto"/>
              </w:rPr>
              <w:t>异辛烷（烷基化油）</w:t>
            </w:r>
          </w:p>
        </w:tc>
        <w:tc>
          <w:tcPr>
            <w:tcW w:w="1196" w:type="dxa"/>
            <w:vMerge w:val="continue"/>
          </w:tcPr>
          <w:p w14:paraId="27E2E4B0">
            <w:pPr>
              <w:pStyle w:val="91"/>
              <w:keepNext w:val="0"/>
              <w:keepLines w:val="0"/>
              <w:suppressLineNumbers w:val="0"/>
              <w:spacing w:before="0" w:beforeAutospacing="0" w:after="0" w:afterAutospacing="0"/>
              <w:ind w:left="0" w:right="0"/>
              <w:rPr>
                <w:rFonts w:hint="default"/>
                <w:color w:val="auto"/>
              </w:rPr>
            </w:pPr>
          </w:p>
        </w:tc>
        <w:tc>
          <w:tcPr>
            <w:tcW w:w="1659" w:type="dxa"/>
          </w:tcPr>
          <w:p w14:paraId="466BF221">
            <w:pPr>
              <w:pStyle w:val="91"/>
              <w:keepNext w:val="0"/>
              <w:keepLines w:val="0"/>
              <w:suppressLineNumbers w:val="0"/>
              <w:spacing w:before="0" w:beforeAutospacing="0" w:after="0" w:afterAutospacing="0"/>
              <w:ind w:left="0" w:right="0"/>
              <w:rPr>
                <w:rFonts w:hint="default"/>
                <w:color w:val="auto"/>
              </w:rPr>
            </w:pPr>
            <w:r>
              <w:rPr>
                <w:rFonts w:hint="eastAsia"/>
                <w:color w:val="auto"/>
              </w:rPr>
              <w:t>0.185</w:t>
            </w:r>
          </w:p>
        </w:tc>
        <w:tc>
          <w:tcPr>
            <w:tcW w:w="1659" w:type="dxa"/>
          </w:tcPr>
          <w:p w14:paraId="3634ACB0">
            <w:pPr>
              <w:pStyle w:val="91"/>
              <w:keepNext w:val="0"/>
              <w:keepLines w:val="0"/>
              <w:suppressLineNumbers w:val="0"/>
              <w:spacing w:before="0" w:beforeAutospacing="0" w:after="0" w:afterAutospacing="0"/>
              <w:ind w:left="0" w:right="0"/>
              <w:rPr>
                <w:rFonts w:hint="default"/>
                <w:color w:val="auto"/>
              </w:rPr>
            </w:pPr>
            <w:r>
              <w:rPr>
                <w:rFonts w:hint="default"/>
                <w:color w:val="auto"/>
              </w:rPr>
              <w:t>750</w:t>
            </w:r>
          </w:p>
        </w:tc>
        <w:tc>
          <w:tcPr>
            <w:tcW w:w="1660" w:type="dxa"/>
          </w:tcPr>
          <w:p w14:paraId="1DD1A778">
            <w:pPr>
              <w:pStyle w:val="91"/>
              <w:keepNext w:val="0"/>
              <w:keepLines w:val="0"/>
              <w:suppressLineNumbers w:val="0"/>
              <w:spacing w:before="0" w:beforeAutospacing="0" w:after="0" w:afterAutospacing="0"/>
              <w:ind w:left="0" w:right="0"/>
              <w:rPr>
                <w:rFonts w:hint="default"/>
                <w:color w:val="auto"/>
              </w:rPr>
            </w:pPr>
            <w:r>
              <w:rPr>
                <w:rFonts w:hint="eastAsia"/>
                <w:color w:val="auto"/>
              </w:rPr>
              <w:t>0.</w:t>
            </w:r>
            <w:r>
              <w:rPr>
                <w:rFonts w:hint="default"/>
                <w:color w:val="auto"/>
              </w:rPr>
              <w:t>268</w:t>
            </w:r>
          </w:p>
        </w:tc>
      </w:tr>
      <w:tr w14:paraId="450A7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0" w:type="dxa"/>
          </w:tcPr>
          <w:p w14:paraId="4EA03001">
            <w:pPr>
              <w:pStyle w:val="91"/>
              <w:keepNext w:val="0"/>
              <w:keepLines w:val="0"/>
              <w:suppressLineNumbers w:val="0"/>
              <w:spacing w:before="0" w:beforeAutospacing="0" w:after="0" w:afterAutospacing="0"/>
              <w:ind w:left="0" w:right="0"/>
              <w:rPr>
                <w:rFonts w:hint="default"/>
                <w:color w:val="auto"/>
              </w:rPr>
            </w:pPr>
            <w:r>
              <w:rPr>
                <w:rFonts w:hint="eastAsia"/>
                <w:color w:val="auto"/>
              </w:rPr>
              <w:t>蜡油</w:t>
            </w:r>
          </w:p>
        </w:tc>
        <w:tc>
          <w:tcPr>
            <w:tcW w:w="1196" w:type="dxa"/>
            <w:vMerge w:val="continue"/>
          </w:tcPr>
          <w:p w14:paraId="725E69C1">
            <w:pPr>
              <w:pStyle w:val="91"/>
              <w:keepNext w:val="0"/>
              <w:keepLines w:val="0"/>
              <w:suppressLineNumbers w:val="0"/>
              <w:spacing w:before="0" w:beforeAutospacing="0" w:after="0" w:afterAutospacing="0"/>
              <w:ind w:left="0" w:right="0"/>
              <w:rPr>
                <w:rFonts w:hint="default"/>
                <w:color w:val="auto"/>
              </w:rPr>
            </w:pPr>
          </w:p>
        </w:tc>
        <w:tc>
          <w:tcPr>
            <w:tcW w:w="1659" w:type="dxa"/>
          </w:tcPr>
          <w:p w14:paraId="2B0C17B0">
            <w:pPr>
              <w:pStyle w:val="91"/>
              <w:keepNext w:val="0"/>
              <w:keepLines w:val="0"/>
              <w:suppressLineNumbers w:val="0"/>
              <w:spacing w:before="0" w:beforeAutospacing="0" w:after="0" w:afterAutospacing="0"/>
              <w:ind w:left="0" w:right="0"/>
              <w:rPr>
                <w:rFonts w:hint="default"/>
                <w:color w:val="auto"/>
              </w:rPr>
            </w:pPr>
            <w:r>
              <w:rPr>
                <w:rFonts w:hint="eastAsia"/>
                <w:color w:val="auto"/>
              </w:rPr>
              <w:t>0.051</w:t>
            </w:r>
          </w:p>
        </w:tc>
        <w:tc>
          <w:tcPr>
            <w:tcW w:w="1659" w:type="dxa"/>
          </w:tcPr>
          <w:p w14:paraId="09F5771C">
            <w:pPr>
              <w:pStyle w:val="91"/>
              <w:keepNext w:val="0"/>
              <w:keepLines w:val="0"/>
              <w:suppressLineNumbers w:val="0"/>
              <w:spacing w:before="0" w:beforeAutospacing="0" w:after="0" w:afterAutospacing="0"/>
              <w:ind w:left="0" w:right="0"/>
              <w:rPr>
                <w:rFonts w:hint="default"/>
                <w:color w:val="auto"/>
              </w:rPr>
            </w:pPr>
            <w:r>
              <w:rPr>
                <w:rFonts w:hint="default"/>
                <w:color w:val="auto"/>
              </w:rPr>
              <w:t>538</w:t>
            </w:r>
          </w:p>
        </w:tc>
        <w:tc>
          <w:tcPr>
            <w:tcW w:w="1660" w:type="dxa"/>
          </w:tcPr>
          <w:p w14:paraId="28E71B2E">
            <w:pPr>
              <w:pStyle w:val="91"/>
              <w:keepNext w:val="0"/>
              <w:keepLines w:val="0"/>
              <w:suppressLineNumbers w:val="0"/>
              <w:spacing w:before="0" w:beforeAutospacing="0" w:after="0" w:afterAutospacing="0"/>
              <w:ind w:left="0" w:right="0"/>
              <w:rPr>
                <w:rFonts w:hint="default"/>
                <w:color w:val="auto"/>
              </w:rPr>
            </w:pPr>
            <w:r>
              <w:rPr>
                <w:rFonts w:hint="eastAsia"/>
                <w:color w:val="auto"/>
              </w:rPr>
              <w:t>0.</w:t>
            </w:r>
            <w:r>
              <w:rPr>
                <w:rFonts w:hint="default"/>
                <w:color w:val="auto"/>
              </w:rPr>
              <w:t>055</w:t>
            </w:r>
          </w:p>
        </w:tc>
      </w:tr>
      <w:tr w14:paraId="660D9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0" w:type="dxa"/>
          </w:tcPr>
          <w:p w14:paraId="3E2D8B31">
            <w:pPr>
              <w:pStyle w:val="91"/>
              <w:keepNext w:val="0"/>
              <w:keepLines w:val="0"/>
              <w:suppressLineNumbers w:val="0"/>
              <w:spacing w:before="0" w:beforeAutospacing="0" w:after="0" w:afterAutospacing="0"/>
              <w:ind w:left="0" w:right="0"/>
              <w:rPr>
                <w:rFonts w:hint="default"/>
                <w:color w:val="auto"/>
              </w:rPr>
            </w:pPr>
            <w:r>
              <w:rPr>
                <w:rFonts w:hint="eastAsia"/>
                <w:color w:val="auto"/>
              </w:rPr>
              <w:t>渣油</w:t>
            </w:r>
          </w:p>
        </w:tc>
        <w:tc>
          <w:tcPr>
            <w:tcW w:w="1196" w:type="dxa"/>
            <w:vMerge w:val="continue"/>
          </w:tcPr>
          <w:p w14:paraId="7441B00A">
            <w:pPr>
              <w:pStyle w:val="91"/>
              <w:keepNext w:val="0"/>
              <w:keepLines w:val="0"/>
              <w:suppressLineNumbers w:val="0"/>
              <w:spacing w:before="0" w:beforeAutospacing="0" w:after="0" w:afterAutospacing="0"/>
              <w:ind w:left="0" w:right="0"/>
              <w:rPr>
                <w:rFonts w:hint="default"/>
                <w:color w:val="auto"/>
              </w:rPr>
            </w:pPr>
          </w:p>
        </w:tc>
        <w:tc>
          <w:tcPr>
            <w:tcW w:w="1659" w:type="dxa"/>
          </w:tcPr>
          <w:p w14:paraId="170B564A">
            <w:pPr>
              <w:pStyle w:val="91"/>
              <w:keepNext w:val="0"/>
              <w:keepLines w:val="0"/>
              <w:suppressLineNumbers w:val="0"/>
              <w:spacing w:before="0" w:beforeAutospacing="0" w:after="0" w:afterAutospacing="0"/>
              <w:ind w:left="0" w:right="0"/>
              <w:rPr>
                <w:rFonts w:hint="default"/>
                <w:color w:val="auto"/>
              </w:rPr>
            </w:pPr>
            <w:r>
              <w:rPr>
                <w:rFonts w:hint="eastAsia"/>
                <w:color w:val="auto"/>
              </w:rPr>
              <w:t>0.051</w:t>
            </w:r>
          </w:p>
        </w:tc>
        <w:tc>
          <w:tcPr>
            <w:tcW w:w="1659" w:type="dxa"/>
          </w:tcPr>
          <w:p w14:paraId="28FA02AA">
            <w:pPr>
              <w:pStyle w:val="91"/>
              <w:keepNext w:val="0"/>
              <w:keepLines w:val="0"/>
              <w:suppressLineNumbers w:val="0"/>
              <w:spacing w:before="0" w:beforeAutospacing="0" w:after="0" w:afterAutospacing="0"/>
              <w:ind w:left="0" w:right="0"/>
              <w:rPr>
                <w:rFonts w:hint="default"/>
                <w:color w:val="auto"/>
              </w:rPr>
            </w:pPr>
            <w:r>
              <w:rPr>
                <w:rFonts w:hint="default"/>
                <w:color w:val="auto"/>
              </w:rPr>
              <w:t>532</w:t>
            </w:r>
          </w:p>
        </w:tc>
        <w:tc>
          <w:tcPr>
            <w:tcW w:w="1660" w:type="dxa"/>
          </w:tcPr>
          <w:p w14:paraId="1A450CED">
            <w:pPr>
              <w:pStyle w:val="91"/>
              <w:keepNext w:val="0"/>
              <w:keepLines w:val="0"/>
              <w:suppressLineNumbers w:val="0"/>
              <w:spacing w:before="0" w:beforeAutospacing="0" w:after="0" w:afterAutospacing="0"/>
              <w:ind w:left="0" w:right="0"/>
              <w:rPr>
                <w:rFonts w:hint="default"/>
                <w:color w:val="auto"/>
              </w:rPr>
            </w:pPr>
            <w:r>
              <w:rPr>
                <w:rFonts w:hint="eastAsia"/>
                <w:color w:val="auto"/>
              </w:rPr>
              <w:t>0.0</w:t>
            </w:r>
            <w:r>
              <w:rPr>
                <w:rFonts w:hint="default"/>
                <w:color w:val="auto"/>
              </w:rPr>
              <w:t>54</w:t>
            </w:r>
          </w:p>
        </w:tc>
      </w:tr>
      <w:tr w14:paraId="7AC24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0" w:type="dxa"/>
          </w:tcPr>
          <w:p w14:paraId="32C375FD">
            <w:pPr>
              <w:pStyle w:val="91"/>
              <w:keepNext w:val="0"/>
              <w:keepLines w:val="0"/>
              <w:suppressLineNumbers w:val="0"/>
              <w:spacing w:before="0" w:beforeAutospacing="0" w:after="0" w:afterAutospacing="0"/>
              <w:ind w:left="0" w:right="0"/>
              <w:rPr>
                <w:rFonts w:hint="default"/>
                <w:color w:val="auto"/>
              </w:rPr>
            </w:pPr>
            <w:r>
              <w:rPr>
                <w:rFonts w:hint="eastAsia"/>
                <w:color w:val="auto"/>
              </w:rPr>
              <w:t>合计</w:t>
            </w:r>
          </w:p>
        </w:tc>
        <w:tc>
          <w:tcPr>
            <w:tcW w:w="1196" w:type="dxa"/>
            <w:vAlign w:val="center"/>
          </w:tcPr>
          <w:p w14:paraId="0F9235C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非甲烷总烃</w:t>
            </w:r>
          </w:p>
        </w:tc>
        <w:tc>
          <w:tcPr>
            <w:tcW w:w="1659" w:type="dxa"/>
          </w:tcPr>
          <w:p w14:paraId="77256549">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659" w:type="dxa"/>
          </w:tcPr>
          <w:p w14:paraId="70AB8D7D">
            <w:pPr>
              <w:pStyle w:val="91"/>
              <w:keepNext w:val="0"/>
              <w:keepLines w:val="0"/>
              <w:suppressLineNumbers w:val="0"/>
              <w:spacing w:before="0" w:beforeAutospacing="0" w:after="0" w:afterAutospacing="0"/>
              <w:ind w:left="0" w:right="0"/>
              <w:rPr>
                <w:rFonts w:hint="default"/>
                <w:color w:val="auto"/>
              </w:rPr>
            </w:pPr>
            <w:r>
              <w:rPr>
                <w:rFonts w:hint="eastAsia"/>
                <w:color w:val="auto"/>
              </w:rPr>
              <w:t>3</w:t>
            </w:r>
            <w:r>
              <w:rPr>
                <w:rFonts w:hint="default"/>
                <w:color w:val="auto"/>
              </w:rPr>
              <w:t>219</w:t>
            </w:r>
          </w:p>
        </w:tc>
        <w:tc>
          <w:tcPr>
            <w:tcW w:w="1660" w:type="dxa"/>
          </w:tcPr>
          <w:p w14:paraId="005FEAE0">
            <w:pPr>
              <w:pStyle w:val="91"/>
              <w:keepNext w:val="0"/>
              <w:keepLines w:val="0"/>
              <w:suppressLineNumbers w:val="0"/>
              <w:spacing w:before="0" w:beforeAutospacing="0" w:after="0" w:afterAutospacing="0"/>
              <w:ind w:left="0" w:right="0"/>
              <w:rPr>
                <w:rFonts w:hint="default"/>
                <w:color w:val="auto"/>
              </w:rPr>
            </w:pPr>
            <w:r>
              <w:rPr>
                <w:rFonts w:hint="default"/>
                <w:color w:val="auto"/>
              </w:rPr>
              <w:t>0.904</w:t>
            </w:r>
          </w:p>
        </w:tc>
      </w:tr>
    </w:tbl>
    <w:p w14:paraId="0B279F3C">
      <w:pPr>
        <w:pStyle w:val="6"/>
        <w:rPr>
          <w:color w:val="auto"/>
        </w:rPr>
      </w:pPr>
      <w:r>
        <w:rPr>
          <w:rFonts w:hint="eastAsia"/>
          <w:color w:val="auto"/>
        </w:rPr>
        <w:t>装船</w:t>
      </w:r>
      <w:r>
        <w:rPr>
          <w:color w:val="auto"/>
        </w:rPr>
        <w:t>废气</w:t>
      </w:r>
    </w:p>
    <w:p w14:paraId="0A146896">
      <w:pPr>
        <w:ind w:firstLine="480"/>
        <w:rPr>
          <w:bCs/>
          <w:color w:val="auto"/>
        </w:rPr>
      </w:pPr>
      <w:r>
        <w:rPr>
          <w:rFonts w:hint="eastAsia"/>
          <w:bCs/>
          <w:color w:val="auto"/>
        </w:rPr>
        <w:t>本次</w:t>
      </w:r>
      <w:r>
        <w:rPr>
          <w:bCs/>
          <w:color w:val="auto"/>
        </w:rPr>
        <w:t>扩建项目</w:t>
      </w:r>
      <w:r>
        <w:rPr>
          <w:rFonts w:hint="eastAsia"/>
          <w:bCs/>
          <w:color w:val="auto"/>
        </w:rPr>
        <w:t>新增</w:t>
      </w:r>
      <w:r>
        <w:rPr>
          <w:bCs/>
          <w:color w:val="auto"/>
        </w:rPr>
        <w:t>的甲基叔丁基醚</w:t>
      </w:r>
      <w:r>
        <w:rPr>
          <w:rFonts w:hint="eastAsia"/>
          <w:bCs/>
          <w:color w:val="auto"/>
        </w:rPr>
        <w:t>需要</w:t>
      </w:r>
      <w:r>
        <w:rPr>
          <w:bCs/>
          <w:color w:val="auto"/>
        </w:rPr>
        <w:t>进行装船作业</w:t>
      </w:r>
      <w:r>
        <w:rPr>
          <w:rFonts w:hint="eastAsia"/>
          <w:bCs/>
          <w:color w:val="auto"/>
        </w:rPr>
        <w:t>，</w:t>
      </w:r>
      <w:r>
        <w:rPr>
          <w:bCs/>
          <w:color w:val="auto"/>
        </w:rPr>
        <w:t>由于甲基叔丁基醚</w:t>
      </w:r>
      <w:r>
        <w:rPr>
          <w:rFonts w:hint="eastAsia"/>
          <w:bCs/>
          <w:color w:val="auto"/>
        </w:rPr>
        <w:t>利用</w:t>
      </w:r>
      <w:r>
        <w:rPr>
          <w:bCs/>
          <w:color w:val="auto"/>
        </w:rPr>
        <w:t>现有的汽油装卸管线，</w:t>
      </w:r>
      <w:r>
        <w:rPr>
          <w:rFonts w:hint="eastAsia"/>
          <w:bCs/>
          <w:color w:val="auto"/>
        </w:rPr>
        <w:t>装船</w:t>
      </w:r>
      <w:r>
        <w:rPr>
          <w:bCs/>
          <w:color w:val="auto"/>
        </w:rPr>
        <w:t>产生</w:t>
      </w:r>
      <w:r>
        <w:rPr>
          <w:rFonts w:hint="eastAsia"/>
          <w:bCs/>
          <w:color w:val="auto"/>
        </w:rPr>
        <w:t>的</w:t>
      </w:r>
      <w:r>
        <w:rPr>
          <w:bCs/>
          <w:color w:val="auto"/>
        </w:rPr>
        <w:t>废气通过</w:t>
      </w:r>
      <w:r>
        <w:rPr>
          <w:rFonts w:hint="eastAsia"/>
          <w:bCs/>
          <w:color w:val="auto"/>
        </w:rPr>
        <w:t>油气管线</w:t>
      </w:r>
      <w:r>
        <w:rPr>
          <w:bCs/>
          <w:color w:val="auto"/>
        </w:rPr>
        <w:t>回收至汽油装船油气回收设施处理后经</w:t>
      </w:r>
      <w:r>
        <w:rPr>
          <w:rFonts w:hint="eastAsia"/>
          <w:bCs/>
          <w:color w:val="auto"/>
        </w:rPr>
        <w:t>15</w:t>
      </w:r>
      <w:r>
        <w:rPr>
          <w:bCs/>
          <w:color w:val="auto"/>
        </w:rPr>
        <w:t>m高排气筒排放</w:t>
      </w:r>
      <w:r>
        <w:rPr>
          <w:rFonts w:hint="eastAsia"/>
          <w:bCs/>
          <w:color w:val="auto"/>
        </w:rPr>
        <w:t>。</w:t>
      </w:r>
    </w:p>
    <w:p w14:paraId="17776552">
      <w:pPr>
        <w:ind w:firstLine="480"/>
        <w:rPr>
          <w:rFonts w:hint="default" w:eastAsia="宋体"/>
          <w:bCs/>
          <w:color w:val="auto"/>
          <w:u w:val="single"/>
          <w:lang w:val="en-US" w:eastAsia="zh-CN"/>
        </w:rPr>
      </w:pPr>
      <w:r>
        <w:rPr>
          <w:rFonts w:hint="eastAsia"/>
          <w:bCs/>
          <w:color w:val="auto"/>
          <w:u w:val="single"/>
        </w:rPr>
        <w:t>油气</w:t>
      </w:r>
      <w:r>
        <w:rPr>
          <w:bCs/>
          <w:color w:val="auto"/>
          <w:u w:val="single"/>
        </w:rPr>
        <w:t>回收设施采用</w:t>
      </w:r>
      <w:r>
        <w:rPr>
          <w:rFonts w:hint="eastAsia"/>
          <w:bCs/>
          <w:color w:val="auto"/>
          <w:u w:val="single"/>
        </w:rPr>
        <w:t>冷凝+吸附工艺，</w:t>
      </w:r>
      <w:r>
        <w:rPr>
          <w:rFonts w:hint="eastAsia"/>
          <w:bCs/>
          <w:color w:val="auto"/>
          <w:u w:val="single"/>
          <w:lang w:val="en-US" w:eastAsia="zh-CN"/>
        </w:rPr>
        <w:t>现有工程汽油冷凝温度约为&gt;5℃，甲基叔丁基醚的沸点为55.2℃，油气回收设施现有的冷凝温度可满足甲基叔丁基醚的冷凝效率要求，根据现有工程汽油装船油气回收设施的处理效率为99.98%，本次评价保守估计处理效率取95%。</w:t>
      </w:r>
    </w:p>
    <w:p w14:paraId="450CFEE4">
      <w:pPr>
        <w:ind w:firstLine="480"/>
        <w:rPr>
          <w:color w:val="auto"/>
          <w:szCs w:val="21"/>
        </w:rPr>
      </w:pPr>
      <w:r>
        <w:rPr>
          <w:rFonts w:hint="eastAsia"/>
          <w:color w:val="auto"/>
        </w:rPr>
        <w:t>根据</w:t>
      </w:r>
      <w:r>
        <w:rPr>
          <w:rFonts w:hint="eastAsia"/>
          <w:color w:val="auto"/>
          <w:szCs w:val="21"/>
        </w:rPr>
        <w:t>《水运工程建设项目环境影响评价指南》（JTS/T105-2021），原油、汽油外的石油化工品装船作业废气源强采用下式计算：</w:t>
      </w:r>
    </w:p>
    <w:p w14:paraId="1E9B5157">
      <w:pPr>
        <w:ind w:firstLine="480"/>
        <w:jc w:val="center"/>
        <w:rPr>
          <w:color w:val="auto"/>
        </w:rPr>
      </w:pPr>
      <w:r>
        <w:rPr>
          <w:rFonts w:hint="eastAsia"/>
          <w:i/>
          <w:iCs/>
          <w:color w:val="auto"/>
        </w:rPr>
        <w:t>C</w:t>
      </w:r>
      <w:r>
        <w:rPr>
          <w:rFonts w:hint="eastAsia"/>
          <w:i/>
          <w:iCs/>
          <w:color w:val="auto"/>
          <w:vertAlign w:val="subscript"/>
        </w:rPr>
        <w:t>L</w:t>
      </w:r>
      <w:r>
        <w:rPr>
          <w:rFonts w:hint="eastAsia"/>
          <w:color w:val="auto"/>
        </w:rPr>
        <w:t>=</w:t>
      </w:r>
      <w:r>
        <w:rPr>
          <w:rFonts w:hint="eastAsia"/>
          <w:i/>
          <w:iCs/>
          <w:color w:val="auto"/>
        </w:rPr>
        <w:t>0.12SPMV</w:t>
      </w:r>
      <w:r>
        <w:rPr>
          <w:rFonts w:hint="eastAsia"/>
          <w:i/>
          <w:iCs/>
          <w:color w:val="auto"/>
          <w:vertAlign w:val="subscript"/>
        </w:rPr>
        <w:t>i</w:t>
      </w:r>
      <w:r>
        <w:rPr>
          <w:rFonts w:hint="eastAsia"/>
          <w:i/>
          <w:iCs/>
          <w:color w:val="auto"/>
        </w:rPr>
        <w:t>（1-eff/100）/（T+273.15）</w:t>
      </w:r>
    </w:p>
    <w:p w14:paraId="478C2848">
      <w:pPr>
        <w:ind w:firstLine="480"/>
        <w:rPr>
          <w:bCs/>
          <w:color w:val="auto"/>
          <w:szCs w:val="21"/>
        </w:rPr>
      </w:pPr>
      <w:r>
        <w:rPr>
          <w:rFonts w:hint="eastAsia"/>
          <w:bCs/>
          <w:color w:val="auto"/>
          <w:szCs w:val="21"/>
        </w:rPr>
        <w:t>式中：C</w:t>
      </w:r>
      <w:r>
        <w:rPr>
          <w:rFonts w:hint="eastAsia"/>
          <w:bCs/>
          <w:color w:val="auto"/>
          <w:szCs w:val="21"/>
          <w:vertAlign w:val="subscript"/>
        </w:rPr>
        <w:t>L</w:t>
      </w:r>
      <w:r>
        <w:rPr>
          <w:rFonts w:hint="eastAsia"/>
          <w:bCs/>
          <w:color w:val="auto"/>
          <w:szCs w:val="21"/>
        </w:rPr>
        <w:t>—石油化工品装船作业挥发源强(kg/h)；</w:t>
      </w:r>
    </w:p>
    <w:p w14:paraId="66F23C67">
      <w:pPr>
        <w:ind w:firstLine="720" w:firstLineChars="300"/>
        <w:rPr>
          <w:bCs/>
          <w:color w:val="auto"/>
          <w:szCs w:val="21"/>
        </w:rPr>
      </w:pPr>
      <w:r>
        <w:rPr>
          <w:rFonts w:hint="eastAsia"/>
          <w:bCs/>
          <w:color w:val="auto"/>
          <w:szCs w:val="21"/>
        </w:rPr>
        <w:t>S—饱和因子，本次评价取淹没装载轮船0.2；</w:t>
      </w:r>
    </w:p>
    <w:p w14:paraId="76042AFC">
      <w:pPr>
        <w:ind w:firstLine="720" w:firstLineChars="300"/>
        <w:rPr>
          <w:bCs/>
          <w:color w:val="auto"/>
          <w:szCs w:val="21"/>
        </w:rPr>
      </w:pPr>
      <w:r>
        <w:rPr>
          <w:rFonts w:hint="eastAsia"/>
          <w:bCs/>
          <w:color w:val="auto"/>
          <w:szCs w:val="21"/>
        </w:rPr>
        <w:t>P—温度T时装载化工品的饱和蒸气压(kPa)；</w:t>
      </w:r>
    </w:p>
    <w:p w14:paraId="18F1F126">
      <w:pPr>
        <w:ind w:firstLine="720" w:firstLineChars="300"/>
        <w:rPr>
          <w:bCs/>
          <w:color w:val="auto"/>
          <w:szCs w:val="21"/>
        </w:rPr>
      </w:pPr>
      <w:r>
        <w:rPr>
          <w:rFonts w:hint="eastAsia"/>
          <w:bCs/>
          <w:color w:val="auto"/>
          <w:szCs w:val="21"/>
        </w:rPr>
        <w:t>M—石油化工品分子量；</w:t>
      </w:r>
    </w:p>
    <w:p w14:paraId="14BCEBFD">
      <w:pPr>
        <w:ind w:firstLine="720" w:firstLineChars="300"/>
        <w:rPr>
          <w:bCs/>
          <w:color w:val="auto"/>
          <w:szCs w:val="21"/>
        </w:rPr>
      </w:pPr>
      <w:r>
        <w:rPr>
          <w:rFonts w:hint="eastAsia"/>
          <w:bCs/>
          <w:color w:val="auto"/>
          <w:szCs w:val="21"/>
        </w:rPr>
        <w:t>V</w:t>
      </w:r>
      <w:r>
        <w:rPr>
          <w:rFonts w:hint="eastAsia"/>
          <w:bCs/>
          <w:color w:val="auto"/>
          <w:szCs w:val="21"/>
          <w:vertAlign w:val="subscript"/>
        </w:rPr>
        <w:t>i</w:t>
      </w:r>
      <w:r>
        <w:rPr>
          <w:rFonts w:hint="eastAsia"/>
          <w:bCs/>
          <w:color w:val="auto"/>
          <w:szCs w:val="21"/>
        </w:rPr>
        <w:t>—装船速度(m</w:t>
      </w:r>
      <w:r>
        <w:rPr>
          <w:rFonts w:hint="eastAsia"/>
          <w:bCs/>
          <w:color w:val="auto"/>
          <w:szCs w:val="21"/>
          <w:vertAlign w:val="superscript"/>
        </w:rPr>
        <w:t>3</w:t>
      </w:r>
      <w:r>
        <w:rPr>
          <w:rFonts w:hint="eastAsia"/>
          <w:bCs/>
          <w:color w:val="auto"/>
          <w:szCs w:val="21"/>
        </w:rPr>
        <w:t>/h)；</w:t>
      </w:r>
    </w:p>
    <w:p w14:paraId="2EB610B1">
      <w:pPr>
        <w:ind w:firstLine="720" w:firstLineChars="300"/>
        <w:rPr>
          <w:bCs/>
          <w:color w:val="auto"/>
          <w:szCs w:val="21"/>
        </w:rPr>
      </w:pPr>
      <w:r>
        <w:rPr>
          <w:rFonts w:hint="eastAsia"/>
          <w:bCs/>
          <w:color w:val="auto"/>
          <w:szCs w:val="21"/>
        </w:rPr>
        <w:t>eff—回收率；</w:t>
      </w:r>
    </w:p>
    <w:p w14:paraId="19AB3098">
      <w:pPr>
        <w:ind w:firstLine="720" w:firstLineChars="300"/>
        <w:rPr>
          <w:bCs/>
          <w:color w:val="auto"/>
          <w:szCs w:val="21"/>
        </w:rPr>
      </w:pPr>
      <w:r>
        <w:rPr>
          <w:rFonts w:hint="eastAsia"/>
          <w:bCs/>
          <w:color w:val="auto"/>
          <w:szCs w:val="21"/>
        </w:rPr>
        <w:t>T—蒸气温度(℃)。</w:t>
      </w:r>
    </w:p>
    <w:p w14:paraId="5773E5F9">
      <w:pPr>
        <w:ind w:firstLine="480"/>
        <w:rPr>
          <w:bCs/>
          <w:color w:val="auto"/>
        </w:rPr>
      </w:pPr>
      <w:r>
        <w:rPr>
          <w:rFonts w:hint="eastAsia"/>
          <w:bCs/>
          <w:color w:val="auto"/>
        </w:rPr>
        <w:t>根据货种运量情况，扩建项目装船废气排放量详见下表。</w:t>
      </w:r>
    </w:p>
    <w:p w14:paraId="144A687D">
      <w:pPr>
        <w:pStyle w:val="14"/>
        <w:rPr>
          <w:bCs/>
          <w:color w:val="auto"/>
        </w:rPr>
      </w:pPr>
      <w:r>
        <w:rPr>
          <w:rFonts w:hint="eastAsia"/>
          <w:color w:val="auto"/>
        </w:rPr>
        <w:t>表</w:t>
      </w:r>
      <w:r>
        <w:rPr>
          <w:color w:val="auto"/>
        </w:rPr>
        <w:t>2.3</w:t>
      </w:r>
      <w:r>
        <w:rPr>
          <w:color w:val="auto"/>
        </w:rPr>
        <w:noBreakHyphen/>
      </w:r>
      <w:r>
        <w:rPr>
          <w:color w:val="auto"/>
        </w:rPr>
        <w:t>3</w:t>
      </w:r>
      <w:r>
        <w:rPr>
          <w:rFonts w:hint="eastAsia"/>
          <w:color w:val="auto"/>
        </w:rPr>
        <w:t>扩建</w:t>
      </w:r>
      <w:r>
        <w:rPr>
          <w:color w:val="auto"/>
        </w:rPr>
        <w:t>项目装船废气排放量</w:t>
      </w:r>
    </w:p>
    <w:tbl>
      <w:tblPr>
        <w:tblStyle w:val="43"/>
        <w:tblW w:w="528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84"/>
        <w:gridCol w:w="1074"/>
        <w:gridCol w:w="733"/>
        <w:gridCol w:w="883"/>
        <w:gridCol w:w="921"/>
        <w:gridCol w:w="980"/>
        <w:gridCol w:w="857"/>
        <w:gridCol w:w="1205"/>
        <w:gridCol w:w="1620"/>
        <w:gridCol w:w="945"/>
      </w:tblGrid>
      <w:tr w14:paraId="6877D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5" w:type="pct"/>
            <w:vAlign w:val="center"/>
          </w:tcPr>
          <w:p w14:paraId="05972D86">
            <w:pPr>
              <w:pStyle w:val="91"/>
              <w:keepNext w:val="0"/>
              <w:keepLines w:val="0"/>
              <w:suppressLineNumbers w:val="0"/>
              <w:spacing w:before="0" w:beforeAutospacing="0" w:after="0" w:afterAutospacing="0"/>
              <w:ind w:left="0" w:right="0"/>
              <w:rPr>
                <w:rFonts w:hint="default"/>
                <w:b/>
                <w:color w:val="auto"/>
              </w:rPr>
            </w:pPr>
            <w:r>
              <w:rPr>
                <w:rFonts w:hint="eastAsia"/>
                <w:b/>
                <w:color w:val="auto"/>
              </w:rPr>
              <w:t>货种</w:t>
            </w:r>
          </w:p>
        </w:tc>
        <w:tc>
          <w:tcPr>
            <w:tcW w:w="542" w:type="pct"/>
            <w:vAlign w:val="center"/>
          </w:tcPr>
          <w:p w14:paraId="13BA244E">
            <w:pPr>
              <w:pStyle w:val="91"/>
              <w:keepNext w:val="0"/>
              <w:keepLines w:val="0"/>
              <w:suppressLineNumbers w:val="0"/>
              <w:spacing w:before="0" w:beforeAutospacing="0" w:after="0" w:afterAutospacing="0"/>
              <w:ind w:left="0" w:right="0"/>
              <w:rPr>
                <w:rFonts w:hint="default"/>
                <w:b/>
                <w:color w:val="auto"/>
              </w:rPr>
            </w:pPr>
            <w:r>
              <w:rPr>
                <w:rFonts w:hint="eastAsia"/>
                <w:b/>
                <w:bCs/>
                <w:color w:val="auto"/>
              </w:rPr>
              <w:t>饱和蒸气压</w:t>
            </w:r>
            <w:r>
              <w:rPr>
                <w:rFonts w:hint="eastAsia"/>
                <w:b/>
                <w:color w:val="auto"/>
              </w:rPr>
              <w:t>P（</w:t>
            </w:r>
            <w:r>
              <w:rPr>
                <w:rFonts w:hint="eastAsia"/>
                <w:b/>
                <w:bCs/>
                <w:color w:val="auto"/>
              </w:rPr>
              <w:t>kPa</w:t>
            </w:r>
            <w:r>
              <w:rPr>
                <w:rFonts w:hint="eastAsia"/>
                <w:b/>
                <w:color w:val="auto"/>
              </w:rPr>
              <w:t>）</w:t>
            </w:r>
          </w:p>
        </w:tc>
        <w:tc>
          <w:tcPr>
            <w:tcW w:w="370" w:type="pct"/>
            <w:vAlign w:val="center"/>
          </w:tcPr>
          <w:p w14:paraId="670F87C5">
            <w:pPr>
              <w:pStyle w:val="91"/>
              <w:keepNext w:val="0"/>
              <w:keepLines w:val="0"/>
              <w:suppressLineNumbers w:val="0"/>
              <w:spacing w:before="0" w:beforeAutospacing="0" w:after="0" w:afterAutospacing="0"/>
              <w:ind w:left="0" w:right="0"/>
              <w:rPr>
                <w:rFonts w:hint="default"/>
                <w:b/>
                <w:color w:val="auto"/>
              </w:rPr>
            </w:pPr>
            <w:r>
              <w:rPr>
                <w:rFonts w:hint="eastAsia"/>
                <w:b/>
                <w:bCs/>
                <w:color w:val="auto"/>
              </w:rPr>
              <w:t>分子量M</w:t>
            </w:r>
          </w:p>
        </w:tc>
        <w:tc>
          <w:tcPr>
            <w:tcW w:w="446" w:type="pct"/>
            <w:vAlign w:val="center"/>
          </w:tcPr>
          <w:p w14:paraId="59D87CB0">
            <w:pPr>
              <w:pStyle w:val="91"/>
              <w:keepNext w:val="0"/>
              <w:keepLines w:val="0"/>
              <w:suppressLineNumbers w:val="0"/>
              <w:spacing w:before="0" w:beforeAutospacing="0" w:after="0" w:afterAutospacing="0"/>
              <w:ind w:left="0" w:right="0"/>
              <w:rPr>
                <w:rFonts w:hint="default"/>
                <w:b/>
                <w:color w:val="auto"/>
              </w:rPr>
            </w:pPr>
            <w:r>
              <w:rPr>
                <w:rFonts w:hint="default"/>
                <w:b/>
                <w:color w:val="auto"/>
              </w:rPr>
              <w:t>装船速度(m</w:t>
            </w:r>
            <w:r>
              <w:rPr>
                <w:rFonts w:hint="default"/>
                <w:b/>
                <w:color w:val="auto"/>
                <w:vertAlign w:val="superscript"/>
              </w:rPr>
              <w:t>3</w:t>
            </w:r>
            <w:r>
              <w:rPr>
                <w:rFonts w:hint="default"/>
                <w:b/>
                <w:color w:val="auto"/>
              </w:rPr>
              <w:t>/h)</w:t>
            </w:r>
          </w:p>
        </w:tc>
        <w:tc>
          <w:tcPr>
            <w:tcW w:w="465" w:type="pct"/>
            <w:vAlign w:val="center"/>
          </w:tcPr>
          <w:p w14:paraId="613449E5">
            <w:pPr>
              <w:pStyle w:val="91"/>
              <w:keepNext w:val="0"/>
              <w:keepLines w:val="0"/>
              <w:suppressLineNumbers w:val="0"/>
              <w:spacing w:before="0" w:beforeAutospacing="0" w:after="0" w:afterAutospacing="0"/>
              <w:ind w:left="0" w:right="0"/>
              <w:rPr>
                <w:rFonts w:hint="default"/>
                <w:b/>
                <w:color w:val="auto"/>
              </w:rPr>
            </w:pPr>
            <w:r>
              <w:rPr>
                <w:rFonts w:hint="eastAsia"/>
                <w:b/>
                <w:bCs/>
                <w:color w:val="auto"/>
              </w:rPr>
              <w:t>蒸气温度T(℃)</w:t>
            </w:r>
          </w:p>
        </w:tc>
        <w:tc>
          <w:tcPr>
            <w:tcW w:w="495" w:type="pct"/>
            <w:vAlign w:val="center"/>
          </w:tcPr>
          <w:p w14:paraId="2E03CDDA">
            <w:pPr>
              <w:pStyle w:val="91"/>
              <w:keepNext w:val="0"/>
              <w:keepLines w:val="0"/>
              <w:suppressLineNumbers w:val="0"/>
              <w:spacing w:before="0" w:beforeAutospacing="0" w:after="0" w:afterAutospacing="0"/>
              <w:ind w:left="0" w:right="0"/>
              <w:rPr>
                <w:rFonts w:hint="default"/>
                <w:b/>
                <w:color w:val="auto"/>
              </w:rPr>
            </w:pPr>
            <w:r>
              <w:rPr>
                <w:rFonts w:hint="eastAsia"/>
                <w:b/>
                <w:bCs/>
                <w:color w:val="auto"/>
              </w:rPr>
              <w:t>产生速率</w:t>
            </w:r>
            <w:r>
              <w:rPr>
                <w:rFonts w:hint="eastAsia"/>
                <w:b/>
                <w:color w:val="auto"/>
              </w:rPr>
              <w:t>（</w:t>
            </w:r>
            <w:r>
              <w:rPr>
                <w:rFonts w:hint="eastAsia"/>
                <w:b/>
                <w:bCs/>
                <w:color w:val="auto"/>
              </w:rPr>
              <w:t>kg/h</w:t>
            </w:r>
            <w:r>
              <w:rPr>
                <w:rFonts w:hint="eastAsia"/>
                <w:b/>
                <w:color w:val="auto"/>
              </w:rPr>
              <w:t>）</w:t>
            </w:r>
          </w:p>
        </w:tc>
        <w:tc>
          <w:tcPr>
            <w:tcW w:w="433" w:type="pct"/>
            <w:vAlign w:val="center"/>
          </w:tcPr>
          <w:p w14:paraId="62FD011B">
            <w:pPr>
              <w:pStyle w:val="91"/>
              <w:keepNext w:val="0"/>
              <w:keepLines w:val="0"/>
              <w:suppressLineNumbers w:val="0"/>
              <w:spacing w:before="0" w:beforeAutospacing="0" w:after="0" w:afterAutospacing="0"/>
              <w:ind w:left="0" w:right="0"/>
              <w:rPr>
                <w:rFonts w:hint="default"/>
                <w:b/>
                <w:bCs/>
                <w:color w:val="auto"/>
              </w:rPr>
            </w:pPr>
            <w:r>
              <w:rPr>
                <w:rFonts w:hint="default"/>
                <w:b/>
                <w:color w:val="auto"/>
              </w:rPr>
              <w:t>在线时间（h）</w:t>
            </w:r>
          </w:p>
        </w:tc>
        <w:tc>
          <w:tcPr>
            <w:tcW w:w="608" w:type="pct"/>
          </w:tcPr>
          <w:p w14:paraId="1F204BA4">
            <w:pPr>
              <w:pStyle w:val="91"/>
              <w:keepNext w:val="0"/>
              <w:keepLines w:val="0"/>
              <w:suppressLineNumbers w:val="0"/>
              <w:spacing w:before="0" w:beforeAutospacing="0" w:after="0" w:afterAutospacing="0"/>
              <w:ind w:left="0" w:right="0"/>
              <w:rPr>
                <w:rFonts w:hint="default"/>
                <w:b/>
                <w:color w:val="auto"/>
              </w:rPr>
            </w:pPr>
            <w:r>
              <w:rPr>
                <w:rFonts w:hint="eastAsia"/>
                <w:b/>
                <w:color w:val="auto"/>
              </w:rPr>
              <w:t>产生</w:t>
            </w:r>
            <w:r>
              <w:rPr>
                <w:rFonts w:hint="default"/>
                <w:b/>
                <w:color w:val="auto"/>
              </w:rPr>
              <w:t>量（</w:t>
            </w:r>
            <w:r>
              <w:rPr>
                <w:rFonts w:hint="eastAsia"/>
                <w:b/>
                <w:color w:val="auto"/>
              </w:rPr>
              <w:t>t/a</w:t>
            </w:r>
            <w:r>
              <w:rPr>
                <w:rFonts w:hint="default"/>
                <w:b/>
                <w:color w:val="auto"/>
              </w:rPr>
              <w:t>）</w:t>
            </w:r>
          </w:p>
        </w:tc>
        <w:tc>
          <w:tcPr>
            <w:tcW w:w="818" w:type="pct"/>
            <w:vAlign w:val="center"/>
          </w:tcPr>
          <w:p w14:paraId="35029C75">
            <w:pPr>
              <w:pStyle w:val="91"/>
              <w:keepNext w:val="0"/>
              <w:keepLines w:val="0"/>
              <w:suppressLineNumbers w:val="0"/>
              <w:spacing w:before="0" w:beforeAutospacing="0" w:after="0" w:afterAutospacing="0"/>
              <w:ind w:left="0" w:right="0"/>
              <w:rPr>
                <w:rFonts w:hint="default"/>
                <w:b/>
                <w:color w:val="auto"/>
              </w:rPr>
            </w:pPr>
            <w:r>
              <w:rPr>
                <w:rFonts w:hint="eastAsia"/>
                <w:b/>
                <w:color w:val="auto"/>
              </w:rPr>
              <w:t>处理措施</w:t>
            </w:r>
          </w:p>
        </w:tc>
        <w:tc>
          <w:tcPr>
            <w:tcW w:w="477" w:type="pct"/>
            <w:vAlign w:val="center"/>
          </w:tcPr>
          <w:p w14:paraId="40391217">
            <w:pPr>
              <w:pStyle w:val="91"/>
              <w:keepNext w:val="0"/>
              <w:keepLines w:val="0"/>
              <w:suppressLineNumbers w:val="0"/>
              <w:spacing w:before="0" w:beforeAutospacing="0" w:after="0" w:afterAutospacing="0"/>
              <w:ind w:left="0" w:right="0"/>
              <w:rPr>
                <w:rFonts w:hint="default"/>
                <w:b/>
                <w:color w:val="auto"/>
              </w:rPr>
            </w:pPr>
            <w:r>
              <w:rPr>
                <w:rFonts w:hint="eastAsia"/>
                <w:b/>
                <w:color w:val="auto"/>
              </w:rPr>
              <w:t>排放量</w:t>
            </w:r>
            <w:r>
              <w:rPr>
                <w:rFonts w:hint="default"/>
                <w:b/>
                <w:color w:val="auto"/>
              </w:rPr>
              <w:t>（t/a）</w:t>
            </w:r>
          </w:p>
        </w:tc>
      </w:tr>
      <w:tr w14:paraId="5C1D7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5" w:type="pct"/>
            <w:vAlign w:val="center"/>
          </w:tcPr>
          <w:p w14:paraId="57A07680">
            <w:pPr>
              <w:pStyle w:val="91"/>
              <w:keepNext w:val="0"/>
              <w:keepLines w:val="0"/>
              <w:suppressLineNumbers w:val="0"/>
              <w:spacing w:before="0" w:beforeAutospacing="0" w:after="0" w:afterAutospacing="0"/>
              <w:ind w:left="0" w:right="0"/>
              <w:rPr>
                <w:rFonts w:hint="default"/>
                <w:color w:val="auto"/>
              </w:rPr>
            </w:pPr>
            <w:r>
              <w:rPr>
                <w:rFonts w:hint="eastAsia"/>
                <w:color w:val="auto"/>
              </w:rPr>
              <w:t>甲基叔丁基醚</w:t>
            </w:r>
          </w:p>
        </w:tc>
        <w:tc>
          <w:tcPr>
            <w:tcW w:w="542" w:type="pct"/>
            <w:vAlign w:val="center"/>
          </w:tcPr>
          <w:p w14:paraId="41EEED75">
            <w:pPr>
              <w:pStyle w:val="91"/>
              <w:keepNext w:val="0"/>
              <w:keepLines w:val="0"/>
              <w:suppressLineNumbers w:val="0"/>
              <w:spacing w:before="0" w:beforeAutospacing="0" w:after="0" w:afterAutospacing="0"/>
              <w:ind w:left="0" w:right="0"/>
              <w:rPr>
                <w:rFonts w:hint="default"/>
                <w:color w:val="auto"/>
              </w:rPr>
            </w:pPr>
            <w:r>
              <w:rPr>
                <w:rFonts w:hint="eastAsia"/>
                <w:color w:val="auto"/>
              </w:rPr>
              <w:t>27</w:t>
            </w:r>
          </w:p>
        </w:tc>
        <w:tc>
          <w:tcPr>
            <w:tcW w:w="370" w:type="pct"/>
            <w:vAlign w:val="center"/>
          </w:tcPr>
          <w:p w14:paraId="06187CFF">
            <w:pPr>
              <w:pStyle w:val="91"/>
              <w:keepNext w:val="0"/>
              <w:keepLines w:val="0"/>
              <w:suppressLineNumbers w:val="0"/>
              <w:spacing w:before="0" w:beforeAutospacing="0" w:after="0" w:afterAutospacing="0"/>
              <w:ind w:left="0" w:right="0"/>
              <w:rPr>
                <w:rFonts w:hint="default"/>
                <w:color w:val="auto"/>
              </w:rPr>
            </w:pPr>
            <w:r>
              <w:rPr>
                <w:rFonts w:hint="eastAsia"/>
                <w:color w:val="auto"/>
              </w:rPr>
              <w:t>88.15</w:t>
            </w:r>
          </w:p>
        </w:tc>
        <w:tc>
          <w:tcPr>
            <w:tcW w:w="446" w:type="pct"/>
            <w:vAlign w:val="center"/>
          </w:tcPr>
          <w:p w14:paraId="747FEDCB">
            <w:pPr>
              <w:pStyle w:val="91"/>
              <w:keepNext w:val="0"/>
              <w:keepLines w:val="0"/>
              <w:suppressLineNumbers w:val="0"/>
              <w:spacing w:before="0" w:beforeAutospacing="0" w:after="0" w:afterAutospacing="0"/>
              <w:ind w:left="0" w:right="0"/>
              <w:rPr>
                <w:rFonts w:hint="default"/>
                <w:color w:val="auto"/>
              </w:rPr>
            </w:pPr>
            <w:r>
              <w:rPr>
                <w:rFonts w:hint="eastAsia"/>
                <w:color w:val="auto"/>
              </w:rPr>
              <w:t>200</w:t>
            </w:r>
          </w:p>
        </w:tc>
        <w:tc>
          <w:tcPr>
            <w:tcW w:w="465" w:type="pct"/>
            <w:vAlign w:val="center"/>
          </w:tcPr>
          <w:p w14:paraId="6AD2768F">
            <w:pPr>
              <w:pStyle w:val="91"/>
              <w:keepNext w:val="0"/>
              <w:keepLines w:val="0"/>
              <w:suppressLineNumbers w:val="0"/>
              <w:spacing w:before="0" w:beforeAutospacing="0" w:after="0" w:afterAutospacing="0"/>
              <w:ind w:left="0" w:right="0"/>
              <w:rPr>
                <w:rFonts w:hint="default"/>
                <w:color w:val="auto"/>
              </w:rPr>
            </w:pPr>
            <w:r>
              <w:rPr>
                <w:rFonts w:hint="eastAsia"/>
                <w:color w:val="auto"/>
              </w:rPr>
              <w:t>30</w:t>
            </w:r>
          </w:p>
        </w:tc>
        <w:tc>
          <w:tcPr>
            <w:tcW w:w="495" w:type="pct"/>
            <w:vAlign w:val="center"/>
          </w:tcPr>
          <w:p w14:paraId="271B48DB">
            <w:pPr>
              <w:pStyle w:val="91"/>
              <w:keepNext w:val="0"/>
              <w:keepLines w:val="0"/>
              <w:suppressLineNumbers w:val="0"/>
              <w:spacing w:before="0" w:beforeAutospacing="0" w:after="0" w:afterAutospacing="0"/>
              <w:ind w:left="0" w:right="0"/>
              <w:rPr>
                <w:rFonts w:hint="default"/>
                <w:color w:val="auto"/>
              </w:rPr>
            </w:pPr>
            <w:r>
              <w:rPr>
                <w:rFonts w:hint="eastAsia"/>
                <w:color w:val="auto"/>
              </w:rPr>
              <w:t>0.019</w:t>
            </w:r>
          </w:p>
        </w:tc>
        <w:tc>
          <w:tcPr>
            <w:tcW w:w="433" w:type="pct"/>
            <w:vAlign w:val="center"/>
          </w:tcPr>
          <w:p w14:paraId="5CC6CB9B">
            <w:pPr>
              <w:pStyle w:val="91"/>
              <w:keepNext w:val="0"/>
              <w:keepLines w:val="0"/>
              <w:suppressLineNumbers w:val="0"/>
              <w:spacing w:before="0" w:beforeAutospacing="0" w:after="0" w:afterAutospacing="0"/>
              <w:ind w:left="0" w:right="0"/>
              <w:rPr>
                <w:rFonts w:hint="default"/>
                <w:color w:val="auto"/>
              </w:rPr>
            </w:pPr>
            <w:r>
              <w:rPr>
                <w:rFonts w:hint="eastAsia"/>
                <w:color w:val="auto"/>
              </w:rPr>
              <w:t>676</w:t>
            </w:r>
          </w:p>
        </w:tc>
        <w:tc>
          <w:tcPr>
            <w:tcW w:w="608" w:type="pct"/>
          </w:tcPr>
          <w:p w14:paraId="517DCF2D">
            <w:pPr>
              <w:pStyle w:val="91"/>
              <w:keepNext w:val="0"/>
              <w:keepLines w:val="0"/>
              <w:suppressLineNumbers w:val="0"/>
              <w:spacing w:before="0" w:beforeAutospacing="0" w:after="0" w:afterAutospacing="0"/>
              <w:ind w:left="0" w:right="0"/>
              <w:rPr>
                <w:rFonts w:hint="default"/>
                <w:color w:val="auto"/>
              </w:rPr>
            </w:pPr>
            <w:r>
              <w:rPr>
                <w:rFonts w:hint="eastAsia"/>
                <w:color w:val="auto"/>
              </w:rPr>
              <w:t>25.208</w:t>
            </w:r>
          </w:p>
        </w:tc>
        <w:tc>
          <w:tcPr>
            <w:tcW w:w="818" w:type="pct"/>
            <w:vAlign w:val="center"/>
          </w:tcPr>
          <w:p w14:paraId="6281D154">
            <w:pPr>
              <w:pStyle w:val="91"/>
              <w:keepNext w:val="0"/>
              <w:keepLines w:val="0"/>
              <w:suppressLineNumbers w:val="0"/>
              <w:spacing w:before="0" w:beforeAutospacing="0" w:after="0" w:afterAutospacing="0"/>
              <w:ind w:left="0" w:right="0"/>
              <w:rPr>
                <w:rFonts w:hint="default"/>
                <w:color w:val="auto"/>
              </w:rPr>
            </w:pPr>
            <w:r>
              <w:rPr>
                <w:rFonts w:hint="eastAsia"/>
                <w:color w:val="auto"/>
              </w:rPr>
              <w:t>汽油装船</w:t>
            </w:r>
            <w:r>
              <w:rPr>
                <w:rFonts w:hint="default"/>
                <w:color w:val="auto"/>
              </w:rPr>
              <w:t>油气回收设施</w:t>
            </w:r>
            <w:r>
              <w:rPr>
                <w:rFonts w:hint="eastAsia"/>
                <w:color w:val="auto"/>
              </w:rPr>
              <w:t>，处理效率取</w:t>
            </w:r>
            <w:r>
              <w:rPr>
                <w:rFonts w:hint="default"/>
                <w:color w:val="auto"/>
              </w:rPr>
              <w:t>95</w:t>
            </w:r>
            <w:r>
              <w:rPr>
                <w:rFonts w:hint="eastAsia"/>
                <w:color w:val="auto"/>
              </w:rPr>
              <w:t>%，</w:t>
            </w:r>
          </w:p>
        </w:tc>
        <w:tc>
          <w:tcPr>
            <w:tcW w:w="477" w:type="pct"/>
            <w:vAlign w:val="center"/>
          </w:tcPr>
          <w:p w14:paraId="29487782">
            <w:pPr>
              <w:pStyle w:val="91"/>
              <w:keepNext w:val="0"/>
              <w:keepLines w:val="0"/>
              <w:suppressLineNumbers w:val="0"/>
              <w:spacing w:before="0" w:beforeAutospacing="0" w:after="0" w:afterAutospacing="0"/>
              <w:ind w:left="0" w:right="0"/>
              <w:rPr>
                <w:rFonts w:hint="default"/>
                <w:color w:val="auto"/>
              </w:rPr>
            </w:pPr>
            <w:r>
              <w:rPr>
                <w:rFonts w:hint="default"/>
                <w:color w:val="auto"/>
              </w:rPr>
              <w:t>1.26</w:t>
            </w:r>
          </w:p>
        </w:tc>
      </w:tr>
    </w:tbl>
    <w:p w14:paraId="70756429">
      <w:pPr>
        <w:pStyle w:val="6"/>
        <w:rPr>
          <w:color w:val="auto"/>
        </w:rPr>
      </w:pPr>
      <w:r>
        <w:rPr>
          <w:rFonts w:hint="eastAsia"/>
          <w:color w:val="auto"/>
        </w:rPr>
        <w:t>扫线废气</w:t>
      </w:r>
    </w:p>
    <w:p w14:paraId="62907D24">
      <w:pPr>
        <w:ind w:firstLine="480"/>
        <w:rPr>
          <w:color w:val="auto"/>
        </w:rPr>
      </w:pPr>
      <w:r>
        <w:rPr>
          <w:rFonts w:hint="eastAsia"/>
          <w:color w:val="auto"/>
        </w:rPr>
        <w:t>本次</w:t>
      </w:r>
      <w:r>
        <w:rPr>
          <w:color w:val="auto"/>
        </w:rPr>
        <w:t>扩建项目</w:t>
      </w:r>
      <w:r>
        <w:rPr>
          <w:rFonts w:hint="eastAsia"/>
          <w:color w:val="auto"/>
        </w:rPr>
        <w:t>新增</w:t>
      </w:r>
      <w:r>
        <w:rPr>
          <w:color w:val="auto"/>
        </w:rPr>
        <w:t>的</w:t>
      </w:r>
      <w:r>
        <w:rPr>
          <w:rFonts w:hint="eastAsia"/>
          <w:color w:val="auto"/>
        </w:rPr>
        <w:t>甲基叔丁基醚（MTBE）、石脑油、异辛烷（烷基化油）与</w:t>
      </w:r>
      <w:r>
        <w:rPr>
          <w:color w:val="auto"/>
        </w:rPr>
        <w:t>汽油相近，蜡油</w:t>
      </w:r>
      <w:r>
        <w:rPr>
          <w:rFonts w:hint="eastAsia"/>
          <w:color w:val="auto"/>
        </w:rPr>
        <w:t>和</w:t>
      </w:r>
      <w:r>
        <w:rPr>
          <w:color w:val="auto"/>
        </w:rPr>
        <w:t>渣油与原油的性质相近，</w:t>
      </w:r>
      <w:r>
        <w:rPr>
          <w:rFonts w:hint="eastAsia"/>
          <w:color w:val="auto"/>
        </w:rPr>
        <w:t>不同</w:t>
      </w:r>
      <w:r>
        <w:rPr>
          <w:color w:val="auto"/>
        </w:rPr>
        <w:t>货种装卸不用进行管线清洗</w:t>
      </w:r>
      <w:r>
        <w:rPr>
          <w:rFonts w:hint="eastAsia"/>
          <w:color w:val="auto"/>
        </w:rPr>
        <w:t>。</w:t>
      </w:r>
    </w:p>
    <w:p w14:paraId="5C1DBED8">
      <w:pPr>
        <w:ind w:firstLine="480"/>
        <w:rPr>
          <w:color w:val="auto"/>
        </w:rPr>
      </w:pPr>
      <w:r>
        <w:rPr>
          <w:rFonts w:hint="eastAsia"/>
          <w:color w:val="auto"/>
        </w:rPr>
        <w:t>货种卸船结束后，将氮气管线接入清管阀，</w:t>
      </w:r>
      <w:r>
        <w:rPr>
          <w:rFonts w:hint="eastAsia"/>
          <w:color w:val="auto"/>
          <w:u w:val="single"/>
        </w:rPr>
        <w:t>利用氮气将装卸外臂内的物料推向船舶货舱，扫完后氮气留在管中，下次利用输送的物料将管道内的氮气作为一个整体，平稳地推入目标储罐中。物料为挥发性介质，禁止进行外臂卸空的操作，当装卸臂全部排空、卸压后方可和船舶脱开。</w:t>
      </w:r>
    </w:p>
    <w:p w14:paraId="7C2F4C77">
      <w:pPr>
        <w:ind w:firstLine="480"/>
        <w:rPr>
          <w:color w:val="auto"/>
        </w:rPr>
      </w:pPr>
      <w:r>
        <w:rPr>
          <w:rFonts w:hint="eastAsia"/>
          <w:color w:val="auto"/>
        </w:rPr>
        <w:t>装卸内臂及管线内的残余物料，利用输送泵泵入储罐内。储罐采取</w:t>
      </w:r>
      <w:r>
        <w:rPr>
          <w:color w:val="auto"/>
        </w:rPr>
        <w:t>氮封措施，</w:t>
      </w:r>
      <w:r>
        <w:rPr>
          <w:rFonts w:hint="eastAsia"/>
          <w:color w:val="auto"/>
        </w:rPr>
        <w:t>泵入</w:t>
      </w:r>
      <w:r>
        <w:rPr>
          <w:color w:val="auto"/>
        </w:rPr>
        <w:t>储罐气体</w:t>
      </w:r>
      <w:r>
        <w:rPr>
          <w:rFonts w:hint="eastAsia"/>
          <w:color w:val="auto"/>
        </w:rPr>
        <w:t>使</w:t>
      </w:r>
      <w:r>
        <w:rPr>
          <w:color w:val="auto"/>
        </w:rPr>
        <w:t>储罐内的氮气通过呼吸口排出。</w:t>
      </w:r>
      <w:r>
        <w:rPr>
          <w:rFonts w:hint="eastAsia"/>
          <w:color w:val="auto"/>
        </w:rPr>
        <w:t>氮气属于空气组成部分，不属于废气，无扫线废气产生。</w:t>
      </w:r>
    </w:p>
    <w:p w14:paraId="3D9575EE">
      <w:pPr>
        <w:pStyle w:val="6"/>
        <w:rPr>
          <w:color w:val="auto"/>
        </w:rPr>
      </w:pPr>
      <w:r>
        <w:rPr>
          <w:rFonts w:hint="eastAsia"/>
          <w:color w:val="auto"/>
        </w:rPr>
        <w:t>储罐损耗废气</w:t>
      </w:r>
    </w:p>
    <w:p w14:paraId="29D9F950">
      <w:pPr>
        <w:ind w:firstLine="480"/>
        <w:rPr>
          <w:color w:val="auto"/>
        </w:rPr>
      </w:pPr>
      <w:r>
        <w:rPr>
          <w:rFonts w:hint="eastAsia"/>
          <w:color w:val="auto"/>
        </w:rPr>
        <w:t>扩建</w:t>
      </w:r>
      <w:r>
        <w:rPr>
          <w:color w:val="auto"/>
        </w:rPr>
        <w:t>项目新增货种</w:t>
      </w:r>
      <w:r>
        <w:rPr>
          <w:rFonts w:hint="eastAsia"/>
          <w:color w:val="auto"/>
        </w:rPr>
        <w:t>石脑油、异辛烷（烷基化油）、甲基叔丁基醚（MTBE）利用3#汽油</w:t>
      </w:r>
      <w:r>
        <w:rPr>
          <w:color w:val="auto"/>
        </w:rPr>
        <w:t>罐组的内浮顶罐进行</w:t>
      </w:r>
      <w:r>
        <w:rPr>
          <w:rFonts w:hint="eastAsia"/>
          <w:color w:val="auto"/>
        </w:rPr>
        <w:t>储存</w:t>
      </w:r>
      <w:r>
        <w:rPr>
          <w:color w:val="auto"/>
        </w:rPr>
        <w:t>，</w:t>
      </w:r>
      <w:r>
        <w:rPr>
          <w:rFonts w:hint="eastAsia"/>
          <w:color w:val="auto"/>
        </w:rPr>
        <w:t>蜡油</w:t>
      </w:r>
      <w:r>
        <w:rPr>
          <w:color w:val="auto"/>
        </w:rPr>
        <w:t>和渣油利用</w:t>
      </w:r>
      <w:r>
        <w:rPr>
          <w:rFonts w:hint="eastAsia"/>
          <w:color w:val="auto"/>
        </w:rPr>
        <w:t>1#原油罐组</w:t>
      </w:r>
      <w:r>
        <w:rPr>
          <w:color w:val="auto"/>
        </w:rPr>
        <w:t>的外浮顶罐进行储存。</w:t>
      </w:r>
      <w:r>
        <w:rPr>
          <w:rFonts w:hint="eastAsia"/>
          <w:color w:val="auto"/>
        </w:rPr>
        <w:t>储罐</w:t>
      </w:r>
      <w:r>
        <w:rPr>
          <w:color w:val="auto"/>
        </w:rPr>
        <w:t>损耗废气主要是</w:t>
      </w:r>
      <w:r>
        <w:rPr>
          <w:rFonts w:hint="eastAsia"/>
          <w:color w:val="auto"/>
        </w:rPr>
        <w:t>边缘密封、作业、浮盘附件和浮盘缝隙损耗</w:t>
      </w:r>
      <w:r>
        <w:rPr>
          <w:color w:val="auto"/>
        </w:rPr>
        <w:t>的总和。</w:t>
      </w:r>
      <w:r>
        <w:rPr>
          <w:rFonts w:hint="eastAsia"/>
          <w:color w:val="auto"/>
        </w:rPr>
        <w:t>参考《石化行业VOCs污染源排查工作指南》（以下</w:t>
      </w:r>
      <w:r>
        <w:rPr>
          <w:color w:val="auto"/>
        </w:rPr>
        <w:t>简称指南</w:t>
      </w:r>
      <w:r>
        <w:rPr>
          <w:rFonts w:hint="eastAsia"/>
          <w:color w:val="auto"/>
        </w:rPr>
        <w:t>）浮顶罐</w:t>
      </w:r>
      <w:r>
        <w:rPr>
          <w:color w:val="auto"/>
        </w:rPr>
        <w:t>总损耗的</w:t>
      </w:r>
      <w:r>
        <w:rPr>
          <w:rFonts w:hint="eastAsia"/>
          <w:color w:val="auto"/>
        </w:rPr>
        <w:t>核算</w:t>
      </w:r>
      <w:r>
        <w:rPr>
          <w:color w:val="auto"/>
        </w:rPr>
        <w:t>方法进行核算。</w:t>
      </w:r>
    </w:p>
    <w:p w14:paraId="2A3E4157">
      <w:pPr>
        <w:ind w:firstLine="480"/>
        <w:rPr>
          <w:color w:val="auto"/>
        </w:rPr>
      </w:pPr>
      <w:r>
        <w:rPr>
          <w:rFonts w:hint="eastAsia"/>
          <w:color w:val="auto"/>
        </w:rPr>
        <w:t>浮顶罐的总损耗如下：L</w:t>
      </w:r>
      <w:r>
        <w:rPr>
          <w:rFonts w:hint="eastAsia"/>
          <w:color w:val="auto"/>
          <w:vertAlign w:val="subscript"/>
        </w:rPr>
        <w:t>T</w:t>
      </w:r>
      <w:r>
        <w:rPr>
          <w:rFonts w:hint="eastAsia"/>
          <w:color w:val="auto"/>
        </w:rPr>
        <w:t>=L</w:t>
      </w:r>
      <w:r>
        <w:rPr>
          <w:color w:val="auto"/>
          <w:vertAlign w:val="subscript"/>
        </w:rPr>
        <w:t>R</w:t>
      </w:r>
      <w:r>
        <w:rPr>
          <w:color w:val="auto"/>
        </w:rPr>
        <w:t>+</w:t>
      </w:r>
      <w:r>
        <w:rPr>
          <w:rFonts w:hint="eastAsia"/>
          <w:color w:val="auto"/>
        </w:rPr>
        <w:t>L</w:t>
      </w:r>
      <w:r>
        <w:rPr>
          <w:color w:val="auto"/>
          <w:vertAlign w:val="subscript"/>
        </w:rPr>
        <w:t>WD</w:t>
      </w:r>
      <w:r>
        <w:rPr>
          <w:color w:val="auto"/>
        </w:rPr>
        <w:t>+</w:t>
      </w:r>
      <w:r>
        <w:rPr>
          <w:rFonts w:hint="eastAsia"/>
          <w:color w:val="auto"/>
        </w:rPr>
        <w:t>L</w:t>
      </w:r>
      <w:r>
        <w:rPr>
          <w:color w:val="auto"/>
          <w:vertAlign w:val="subscript"/>
        </w:rPr>
        <w:t>F</w:t>
      </w:r>
      <w:r>
        <w:rPr>
          <w:color w:val="auto"/>
        </w:rPr>
        <w:t>+</w:t>
      </w:r>
      <w:r>
        <w:rPr>
          <w:rFonts w:hint="eastAsia"/>
          <w:color w:val="auto"/>
        </w:rPr>
        <w:t>L</w:t>
      </w:r>
      <w:r>
        <w:rPr>
          <w:color w:val="auto"/>
          <w:vertAlign w:val="subscript"/>
        </w:rPr>
        <w:t>D</w:t>
      </w:r>
    </w:p>
    <w:p w14:paraId="315D60D3">
      <w:pPr>
        <w:ind w:firstLine="480"/>
        <w:rPr>
          <w:color w:val="auto"/>
        </w:rPr>
      </w:pPr>
      <w:r>
        <w:rPr>
          <w:rFonts w:hint="eastAsia"/>
          <w:color w:val="auto"/>
        </w:rPr>
        <w:t>式中</w:t>
      </w:r>
      <w:r>
        <w:rPr>
          <w:color w:val="auto"/>
        </w:rPr>
        <w:t>：</w:t>
      </w:r>
      <w:r>
        <w:rPr>
          <w:rFonts w:hint="eastAsia"/>
          <w:color w:val="auto"/>
        </w:rPr>
        <w:t>L</w:t>
      </w:r>
      <w:r>
        <w:rPr>
          <w:rFonts w:hint="eastAsia"/>
          <w:color w:val="auto"/>
          <w:vertAlign w:val="subscript"/>
        </w:rPr>
        <w:t>T</w:t>
      </w:r>
      <w:r>
        <w:rPr>
          <w:rFonts w:hint="eastAsia"/>
          <w:color w:val="auto"/>
        </w:rPr>
        <w:t>——总损耗，lb/a；</w:t>
      </w:r>
    </w:p>
    <w:p w14:paraId="66585DA9">
      <w:pPr>
        <w:ind w:firstLine="480"/>
        <w:rPr>
          <w:color w:val="auto"/>
        </w:rPr>
      </w:pPr>
      <w:r>
        <w:rPr>
          <w:rFonts w:hint="eastAsia"/>
          <w:color w:val="auto"/>
        </w:rPr>
        <w:t>L</w:t>
      </w:r>
      <w:r>
        <w:rPr>
          <w:rFonts w:hint="eastAsia"/>
          <w:color w:val="auto"/>
          <w:vertAlign w:val="subscript"/>
        </w:rPr>
        <w:t>R</w:t>
      </w:r>
      <w:r>
        <w:rPr>
          <w:rFonts w:hint="eastAsia"/>
          <w:color w:val="auto"/>
        </w:rPr>
        <w:t>——边缘密封损耗，lb/a；</w:t>
      </w:r>
    </w:p>
    <w:p w14:paraId="670E0285">
      <w:pPr>
        <w:ind w:firstLine="480"/>
        <w:rPr>
          <w:color w:val="auto"/>
        </w:rPr>
      </w:pPr>
      <w:r>
        <w:rPr>
          <w:rFonts w:hint="eastAsia"/>
          <w:color w:val="auto"/>
        </w:rPr>
        <w:t>L</w:t>
      </w:r>
      <w:r>
        <w:rPr>
          <w:rFonts w:hint="eastAsia"/>
          <w:color w:val="auto"/>
          <w:vertAlign w:val="subscript"/>
        </w:rPr>
        <w:t>WD</w:t>
      </w:r>
      <w:r>
        <w:rPr>
          <w:rFonts w:hint="eastAsia"/>
          <w:color w:val="auto"/>
        </w:rPr>
        <w:t>——排放损耗，lb/a；</w:t>
      </w:r>
    </w:p>
    <w:p w14:paraId="1F839843">
      <w:pPr>
        <w:ind w:firstLine="480"/>
        <w:rPr>
          <w:color w:val="auto"/>
        </w:rPr>
      </w:pPr>
      <w:r>
        <w:rPr>
          <w:rFonts w:hint="eastAsia"/>
          <w:color w:val="auto"/>
        </w:rPr>
        <w:t>L</w:t>
      </w:r>
      <w:r>
        <w:rPr>
          <w:rFonts w:hint="eastAsia"/>
          <w:color w:val="auto"/>
          <w:vertAlign w:val="subscript"/>
        </w:rPr>
        <w:t>F</w:t>
      </w:r>
      <w:r>
        <w:rPr>
          <w:color w:val="auto"/>
        </w:rPr>
        <w:t>——</w:t>
      </w:r>
      <w:r>
        <w:rPr>
          <w:rFonts w:hint="eastAsia"/>
          <w:color w:val="auto"/>
        </w:rPr>
        <w:t>浮盘附件损耗，lb/a；</w:t>
      </w:r>
    </w:p>
    <w:p w14:paraId="1675040E">
      <w:pPr>
        <w:ind w:firstLine="480"/>
        <w:rPr>
          <w:color w:val="auto"/>
        </w:rPr>
      </w:pPr>
      <w:r>
        <w:rPr>
          <w:rFonts w:hint="eastAsia"/>
          <w:color w:val="auto"/>
        </w:rPr>
        <w:t>L</w:t>
      </w:r>
      <w:r>
        <w:rPr>
          <w:rFonts w:hint="eastAsia"/>
          <w:color w:val="auto"/>
          <w:vertAlign w:val="subscript"/>
        </w:rPr>
        <w:t>D</w:t>
      </w:r>
      <w:r>
        <w:rPr>
          <w:rFonts w:hint="eastAsia"/>
          <w:color w:val="auto"/>
        </w:rPr>
        <w:t>——浮盘缝隙损耗（只限螺栓连接式的浮盘或浮顶），lb/a。</w:t>
      </w:r>
    </w:p>
    <w:p w14:paraId="22294C07">
      <w:pPr>
        <w:ind w:firstLine="480"/>
        <w:rPr>
          <w:color w:val="auto"/>
        </w:rPr>
      </w:pPr>
      <w:r>
        <w:rPr>
          <w:rFonts w:hint="eastAsia"/>
          <w:color w:val="auto"/>
        </w:rPr>
        <w:t>①边缘</w:t>
      </w:r>
      <w:r>
        <w:rPr>
          <w:color w:val="auto"/>
        </w:rPr>
        <w:t>密封损</w:t>
      </w:r>
      <w:r>
        <w:rPr>
          <w:rFonts w:hint="eastAsia"/>
          <w:color w:val="auto"/>
        </w:rPr>
        <w:t>耗</w:t>
      </w:r>
      <w:r>
        <w:rPr>
          <w:color w:val="auto"/>
        </w:rPr>
        <w:t>（</w:t>
      </w:r>
      <w:r>
        <w:rPr>
          <w:rFonts w:hint="eastAsia"/>
          <w:color w:val="auto"/>
        </w:rPr>
        <w:t>L</w:t>
      </w:r>
      <w:r>
        <w:rPr>
          <w:color w:val="auto"/>
          <w:vertAlign w:val="subscript"/>
        </w:rPr>
        <w:t>R</w:t>
      </w:r>
      <w:r>
        <w:rPr>
          <w:color w:val="auto"/>
        </w:rPr>
        <w:t>）</w:t>
      </w:r>
    </w:p>
    <w:p w14:paraId="25567233">
      <w:pPr>
        <w:ind w:firstLine="480"/>
        <w:rPr>
          <w:color w:val="auto"/>
        </w:rPr>
      </w:pPr>
      <w:r>
        <w:rPr>
          <w:rFonts w:hint="eastAsia"/>
          <w:color w:val="auto"/>
        </w:rPr>
        <w:t>浮顶罐的边缘密封损耗可由下列公式估算得出：</w:t>
      </w:r>
    </w:p>
    <w:p w14:paraId="0067D736">
      <w:pPr>
        <w:ind w:firstLine="480"/>
        <w:rPr>
          <w:color w:val="auto"/>
        </w:rPr>
      </w:pPr>
      <m:oMathPara>
        <m:oMath>
          <m:sSub>
            <m:sSubPr>
              <m:ctrlPr>
                <w:rPr>
                  <w:rFonts w:ascii="Cambria Math" w:hAnsi="Cambria Math"/>
                  <w:color w:val="auto"/>
                </w:rPr>
              </m:ctrlPr>
            </m:sSubPr>
            <m:e>
              <m:r>
                <m:rPr/>
                <w:rPr>
                  <w:rFonts w:ascii="Cambria Math" w:hAnsi="Cambria Math"/>
                  <w:color w:val="auto"/>
                </w:rPr>
                <m:t>L</m:t>
              </m:r>
              <m:ctrlPr>
                <w:rPr>
                  <w:rFonts w:ascii="Cambria Math" w:hAnsi="Cambria Math"/>
                  <w:color w:val="auto"/>
                </w:rPr>
              </m:ctrlPr>
            </m:e>
            <m:sub>
              <m:r>
                <m:rPr/>
                <w:rPr>
                  <w:rFonts w:ascii="Cambria Math" w:hAnsi="Cambria Math"/>
                  <w:color w:val="auto"/>
                </w:rPr>
                <m:t>R</m:t>
              </m:r>
              <m:ctrlPr>
                <w:rPr>
                  <w:rFonts w:ascii="Cambria Math" w:hAnsi="Cambria Math"/>
                  <w:color w:val="auto"/>
                </w:rPr>
              </m:ctrlPr>
            </m:sub>
          </m:sSub>
          <m:r>
            <m:rPr>
              <m:sty m:val="p"/>
            </m:rPr>
            <w:rPr>
              <w:rFonts w:ascii="Cambria Math" w:hAnsi="Cambria Math"/>
              <w:color w:val="auto"/>
            </w:rPr>
            <m:t>=(</m:t>
          </m:r>
          <m:sSub>
            <m:sSubPr>
              <m:ctrlPr>
                <w:rPr>
                  <w:rFonts w:ascii="Cambria Math" w:hAnsi="Cambria Math"/>
                  <w:color w:val="auto"/>
                </w:rPr>
              </m:ctrlPr>
            </m:sSubPr>
            <m:e>
              <m:r>
                <m:rPr/>
                <w:rPr>
                  <w:rFonts w:ascii="Cambria Math" w:hAnsi="Cambria Math"/>
                  <w:color w:val="auto"/>
                </w:rPr>
                <m:t>K</m:t>
              </m:r>
              <m:ctrlPr>
                <w:rPr>
                  <w:rFonts w:ascii="Cambria Math" w:hAnsi="Cambria Math"/>
                  <w:color w:val="auto"/>
                </w:rPr>
              </m:ctrlPr>
            </m:e>
            <m:sub>
              <m:r>
                <m:rPr/>
                <w:rPr>
                  <w:rFonts w:ascii="Cambria Math" w:hAnsi="Cambria Math"/>
                  <w:color w:val="auto"/>
                </w:rPr>
                <m:t>Ra</m:t>
              </m:r>
              <m:ctrlPr>
                <w:rPr>
                  <w:rFonts w:ascii="Cambria Math" w:hAnsi="Cambria Math"/>
                  <w:color w:val="auto"/>
                </w:rPr>
              </m:ctrlPr>
            </m:sub>
          </m:sSub>
          <m:r>
            <m:rPr/>
            <w:rPr>
              <w:rFonts w:ascii="Cambria Math" w:hAnsi="Cambria Math"/>
              <w:color w:val="auto"/>
            </w:rPr>
            <m:t>+</m:t>
          </m:r>
          <m:sSub>
            <m:sSubPr>
              <m:ctrlPr>
                <w:rPr>
                  <w:rFonts w:ascii="Cambria Math" w:hAnsi="Cambria Math"/>
                  <w:color w:val="auto"/>
                </w:rPr>
              </m:ctrlPr>
            </m:sSubPr>
            <m:e>
              <m:r>
                <m:rPr/>
                <w:rPr>
                  <w:rFonts w:ascii="Cambria Math" w:hAnsi="Cambria Math"/>
                  <w:color w:val="auto"/>
                </w:rPr>
                <m:t>K</m:t>
              </m:r>
              <m:ctrlPr>
                <w:rPr>
                  <w:rFonts w:ascii="Cambria Math" w:hAnsi="Cambria Math"/>
                  <w:color w:val="auto"/>
                </w:rPr>
              </m:ctrlPr>
            </m:e>
            <m:sub>
              <m:r>
                <m:rPr/>
                <w:rPr>
                  <w:rFonts w:ascii="Cambria Math" w:hAnsi="Cambria Math"/>
                  <w:color w:val="auto"/>
                </w:rPr>
                <m:t>Rb</m:t>
              </m:r>
              <m:ctrlPr>
                <w:rPr>
                  <w:rFonts w:ascii="Cambria Math" w:hAnsi="Cambria Math"/>
                  <w:color w:val="auto"/>
                </w:rPr>
              </m:ctrlPr>
            </m:sub>
          </m:sSub>
          <m:sSup>
            <m:sSupPr>
              <m:ctrlPr>
                <w:rPr>
                  <w:rFonts w:ascii="Cambria Math" w:hAnsi="Cambria Math"/>
                  <w:i/>
                  <w:color w:val="auto"/>
                </w:rPr>
              </m:ctrlPr>
            </m:sSupPr>
            <m:e>
              <m:r>
                <m:rPr/>
                <w:rPr>
                  <w:rFonts w:ascii="Cambria Math" w:hAnsi="Cambria Math"/>
                  <w:color w:val="auto"/>
                </w:rPr>
                <m:t>v</m:t>
              </m:r>
              <m:ctrlPr>
                <w:rPr>
                  <w:rFonts w:ascii="Cambria Math" w:hAnsi="Cambria Math"/>
                  <w:i/>
                  <w:color w:val="auto"/>
                </w:rPr>
              </m:ctrlPr>
            </m:e>
            <m:sup>
              <m:r>
                <m:rPr/>
                <w:rPr>
                  <w:rFonts w:ascii="Cambria Math" w:hAnsi="Cambria Math"/>
                  <w:color w:val="auto"/>
                </w:rPr>
                <m:t>n</m:t>
              </m:r>
              <m:ctrlPr>
                <w:rPr>
                  <w:rFonts w:ascii="Cambria Math" w:hAnsi="Cambria Math"/>
                  <w:i/>
                  <w:color w:val="auto"/>
                </w:rPr>
              </m:ctrlPr>
            </m:sup>
          </m:sSup>
          <m:r>
            <m:rPr>
              <m:sty m:val="p"/>
            </m:rPr>
            <w:rPr>
              <w:rFonts w:hint="eastAsia" w:ascii="Cambria Math" w:hAnsi="Cambria Math"/>
              <w:color w:val="auto"/>
            </w:rPr>
            <m:t>）</m:t>
          </m:r>
          <m:r>
            <m:rPr>
              <m:sty m:val="p"/>
            </m:rPr>
            <w:rPr>
              <w:rFonts w:ascii="Cambria Math" w:hAnsi="Cambria Math"/>
              <w:color w:val="auto"/>
            </w:rPr>
            <m:t>D</m:t>
          </m:r>
          <m:sSup>
            <m:sSupPr>
              <m:ctrlPr>
                <w:rPr>
                  <w:rFonts w:ascii="Cambria Math" w:hAnsi="Cambria Math"/>
                  <w:color w:val="auto"/>
                </w:rPr>
              </m:ctrlPr>
            </m:sSupPr>
            <m:e>
              <m:r>
                <m:rPr/>
                <w:rPr>
                  <w:rFonts w:ascii="Cambria Math" w:hAnsi="Cambria Math"/>
                  <w:color w:val="auto"/>
                </w:rPr>
                <m:t>P</m:t>
              </m:r>
              <m:ctrlPr>
                <w:rPr>
                  <w:rFonts w:ascii="Cambria Math" w:hAnsi="Cambria Math"/>
                  <w:color w:val="auto"/>
                </w:rPr>
              </m:ctrlPr>
            </m:e>
            <m:sup>
              <m:r>
                <m:rPr/>
                <w:rPr>
                  <w:rFonts w:ascii="Cambria Math" w:hAnsi="Cambria Math"/>
                  <w:color w:val="auto"/>
                </w:rPr>
                <m:t>∗</m:t>
              </m:r>
              <m:ctrlPr>
                <w:rPr>
                  <w:rFonts w:ascii="Cambria Math" w:hAnsi="Cambria Math"/>
                  <w:color w:val="auto"/>
                </w:rPr>
              </m:ctrlPr>
            </m:sup>
          </m:sSup>
          <m:sSub>
            <m:sSubPr>
              <m:ctrlPr>
                <w:rPr>
                  <w:rFonts w:ascii="Cambria Math" w:hAnsi="Cambria Math"/>
                  <w:i/>
                  <w:color w:val="auto"/>
                </w:rPr>
              </m:ctrlPr>
            </m:sSubPr>
            <m:e>
              <m:r>
                <m:rPr/>
                <w:rPr>
                  <w:rFonts w:ascii="Cambria Math" w:hAnsi="Cambria Math"/>
                  <w:color w:val="auto"/>
                </w:rPr>
                <m:t>M</m:t>
              </m:r>
              <m:ctrlPr>
                <w:rPr>
                  <w:rFonts w:ascii="Cambria Math" w:hAnsi="Cambria Math"/>
                  <w:i/>
                  <w:color w:val="auto"/>
                </w:rPr>
              </m:ctrlPr>
            </m:e>
            <m:sub>
              <m:r>
                <m:rPr/>
                <w:rPr>
                  <w:rFonts w:ascii="Cambria Math" w:hAnsi="Cambria Math"/>
                  <w:color w:val="auto"/>
                </w:rPr>
                <m:t>V</m:t>
              </m:r>
              <m:ctrlPr>
                <w:rPr>
                  <w:rFonts w:ascii="Cambria Math" w:hAnsi="Cambria Math"/>
                  <w:i/>
                  <w:color w:val="auto"/>
                </w:rPr>
              </m:ctrlPr>
            </m:sub>
          </m:sSub>
          <m:sSub>
            <m:sSubPr>
              <m:ctrlPr>
                <w:rPr>
                  <w:rFonts w:ascii="Cambria Math" w:hAnsi="Cambria Math"/>
                  <w:i/>
                  <w:color w:val="auto"/>
                </w:rPr>
              </m:ctrlPr>
            </m:sSubPr>
            <m:e>
              <m:r>
                <m:rPr/>
                <w:rPr>
                  <w:rFonts w:ascii="Cambria Math" w:hAnsi="Cambria Math"/>
                  <w:color w:val="auto"/>
                </w:rPr>
                <m:t>K</m:t>
              </m:r>
              <m:ctrlPr>
                <w:rPr>
                  <w:rFonts w:ascii="Cambria Math" w:hAnsi="Cambria Math"/>
                  <w:i/>
                  <w:color w:val="auto"/>
                </w:rPr>
              </m:ctrlPr>
            </m:e>
            <m:sub>
              <m:r>
                <m:rPr/>
                <w:rPr>
                  <w:rFonts w:ascii="Cambria Math" w:hAnsi="Cambria Math"/>
                  <w:color w:val="auto"/>
                </w:rPr>
                <m:t>C</m:t>
              </m:r>
              <m:ctrlPr>
                <w:rPr>
                  <w:rFonts w:ascii="Cambria Math" w:hAnsi="Cambria Math"/>
                  <w:i/>
                  <w:color w:val="auto"/>
                </w:rPr>
              </m:ctrlPr>
            </m:sub>
          </m:sSub>
        </m:oMath>
      </m:oMathPara>
    </w:p>
    <w:p w14:paraId="2AB7ED70">
      <w:pPr>
        <w:ind w:firstLine="480"/>
        <w:rPr>
          <w:color w:val="auto"/>
        </w:rPr>
      </w:pPr>
      <w:r>
        <w:rPr>
          <w:rFonts w:hint="eastAsia"/>
          <w:color w:val="auto"/>
        </w:rPr>
        <w:t>式中</w:t>
      </w:r>
      <w:r>
        <w:rPr>
          <w:color w:val="auto"/>
        </w:rPr>
        <w:t>：</w:t>
      </w:r>
      <w:r>
        <w:rPr>
          <w:rFonts w:hint="eastAsia"/>
          <w:color w:val="auto"/>
        </w:rPr>
        <w:t>L</w:t>
      </w:r>
      <w:r>
        <w:rPr>
          <w:rFonts w:hint="eastAsia"/>
          <w:color w:val="auto"/>
          <w:vertAlign w:val="subscript"/>
        </w:rPr>
        <w:t>R</w:t>
      </w:r>
      <w:r>
        <w:rPr>
          <w:rFonts w:hint="eastAsia"/>
          <w:color w:val="auto"/>
        </w:rPr>
        <w:t>——边缘密封损耗，lb/a；</w:t>
      </w:r>
    </w:p>
    <w:p w14:paraId="6D1CABB7">
      <w:pPr>
        <w:ind w:firstLine="480"/>
        <w:rPr>
          <w:color w:val="auto"/>
        </w:rPr>
      </w:pPr>
      <w:r>
        <w:rPr>
          <w:rFonts w:hint="eastAsia"/>
          <w:color w:val="auto"/>
        </w:rPr>
        <w:t>K</w:t>
      </w:r>
      <w:r>
        <w:rPr>
          <w:rFonts w:hint="eastAsia"/>
          <w:color w:val="auto"/>
          <w:vertAlign w:val="subscript"/>
        </w:rPr>
        <w:t>Ra</w:t>
      </w:r>
      <w:r>
        <w:rPr>
          <w:color w:val="auto"/>
        </w:rPr>
        <w:t>——</w:t>
      </w:r>
      <w:r>
        <w:rPr>
          <w:rFonts w:hint="eastAsia"/>
          <w:color w:val="auto"/>
        </w:rPr>
        <w:t>零风速边缘密封损耗因子，lb-mol/ft·a，见指南附表二-15，</w:t>
      </w:r>
      <w:r>
        <w:rPr>
          <w:color w:val="auto"/>
        </w:rPr>
        <w:t>取</w:t>
      </w:r>
      <w:r>
        <w:rPr>
          <w:rFonts w:hint="eastAsia"/>
          <w:color w:val="auto"/>
        </w:rPr>
        <w:t>2.2；</w:t>
      </w:r>
    </w:p>
    <w:p w14:paraId="7FF48563">
      <w:pPr>
        <w:ind w:firstLine="480"/>
        <w:rPr>
          <w:color w:val="auto"/>
        </w:rPr>
      </w:pPr>
      <w:r>
        <w:rPr>
          <w:rFonts w:hint="eastAsia"/>
          <w:color w:val="auto"/>
        </w:rPr>
        <w:t>K</w:t>
      </w:r>
      <w:r>
        <w:rPr>
          <w:rFonts w:hint="eastAsia"/>
          <w:color w:val="auto"/>
          <w:vertAlign w:val="subscript"/>
        </w:rPr>
        <w:t>R</w:t>
      </w:r>
      <w:r>
        <w:rPr>
          <w:color w:val="auto"/>
          <w:vertAlign w:val="subscript"/>
        </w:rPr>
        <w:t>b</w:t>
      </w:r>
      <w:r>
        <w:rPr>
          <w:rFonts w:hint="eastAsia"/>
          <w:color w:val="auto"/>
        </w:rPr>
        <w:t>——有风时边缘密封损耗因子，lb-mol/（mph）n·ft·a，见指南附表二-15，</w:t>
      </w:r>
      <w:r>
        <w:rPr>
          <w:color w:val="auto"/>
        </w:rPr>
        <w:t>取</w:t>
      </w:r>
      <w:r>
        <w:rPr>
          <w:rFonts w:hint="eastAsia"/>
          <w:color w:val="auto"/>
        </w:rPr>
        <w:t>0.003；</w:t>
      </w:r>
    </w:p>
    <w:p w14:paraId="62AE152F">
      <w:pPr>
        <w:ind w:firstLine="480"/>
        <w:rPr>
          <w:rFonts w:hint="default" w:eastAsia="宋体"/>
          <w:color w:val="auto"/>
          <w:lang w:val="en-US" w:eastAsia="zh-CN"/>
        </w:rPr>
      </w:pPr>
      <w:r>
        <w:rPr>
          <w:color w:val="auto"/>
        </w:rPr>
        <w:t>V</w:t>
      </w:r>
      <w:r>
        <w:rPr>
          <w:rFonts w:hint="eastAsia"/>
          <w:color w:val="auto"/>
        </w:rPr>
        <w:t>——罐点平均环境风速，mph；罐为内浮顶或穹顶外浮顶罐，v值为0；</w:t>
      </w:r>
      <w:r>
        <w:rPr>
          <w:rFonts w:hint="eastAsia"/>
          <w:color w:val="auto"/>
          <w:u w:val="single"/>
          <w:lang w:eastAsia="zh-CN"/>
        </w:rPr>
        <w:t>本项目内浮顶罐为</w:t>
      </w:r>
      <w:r>
        <w:rPr>
          <w:rFonts w:hint="eastAsia"/>
          <w:color w:val="auto"/>
          <w:u w:val="single"/>
          <w:lang w:val="en-US" w:eastAsia="zh-CN"/>
        </w:rPr>
        <w:t>0，外浮顶罐为2.3m/s。</w:t>
      </w:r>
    </w:p>
    <w:p w14:paraId="4B6F8D68">
      <w:pPr>
        <w:ind w:firstLine="480"/>
        <w:rPr>
          <w:color w:val="auto"/>
        </w:rPr>
      </w:pPr>
      <w:r>
        <w:rPr>
          <w:color w:val="auto"/>
        </w:rPr>
        <w:t>n</w:t>
      </w:r>
      <w:r>
        <w:rPr>
          <w:rFonts w:hint="eastAsia"/>
          <w:color w:val="auto"/>
        </w:rPr>
        <w:t>——密封相关风速指数，无量纲量，见指南附表二-15；</w:t>
      </w:r>
    </w:p>
    <w:p w14:paraId="1190A6C0">
      <w:pPr>
        <w:ind w:firstLine="480"/>
        <w:rPr>
          <w:color w:val="auto"/>
        </w:rPr>
      </w:pPr>
      <w:r>
        <w:rPr>
          <w:rFonts w:hint="eastAsia"/>
          <w:color w:val="auto"/>
        </w:rPr>
        <w:t>P</w:t>
      </w:r>
      <w:r>
        <w:rPr>
          <w:rFonts w:hint="eastAsia"/>
          <w:color w:val="auto"/>
          <w:vertAlign w:val="superscript"/>
        </w:rPr>
        <w:t>*</w:t>
      </w:r>
      <w:r>
        <w:rPr>
          <w:rFonts w:hint="eastAsia"/>
          <w:color w:val="auto"/>
        </w:rPr>
        <w:t>——蒸汽压函数，无量纲量；</w:t>
      </w:r>
    </w:p>
    <w:p w14:paraId="7559D0AA">
      <w:pPr>
        <w:ind w:firstLine="480"/>
        <w:jc w:val="center"/>
        <w:rPr>
          <w:color w:val="auto"/>
        </w:rPr>
      </w:pPr>
      <w:r>
        <w:rPr>
          <w:color w:val="auto"/>
        </w:rPr>
        <w:drawing>
          <wp:inline distT="0" distB="0" distL="0" distR="0">
            <wp:extent cx="1638935" cy="1083945"/>
            <wp:effectExtent l="0" t="0" r="0" b="19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51462" cy="1092755"/>
                    </a:xfrm>
                    <a:prstGeom prst="rect">
                      <a:avLst/>
                    </a:prstGeom>
                  </pic:spPr>
                </pic:pic>
              </a:graphicData>
            </a:graphic>
          </wp:inline>
        </w:drawing>
      </w:r>
    </w:p>
    <w:p w14:paraId="11A6FD73">
      <w:pPr>
        <w:ind w:firstLine="480"/>
        <w:rPr>
          <w:color w:val="auto"/>
        </w:rPr>
      </w:pPr>
      <w:r>
        <w:rPr>
          <w:rFonts w:hint="eastAsia"/>
          <w:color w:val="auto"/>
        </w:rPr>
        <w:t>式中：P</w:t>
      </w:r>
      <w:r>
        <w:rPr>
          <w:rFonts w:hint="eastAsia"/>
          <w:color w:val="auto"/>
          <w:vertAlign w:val="subscript"/>
        </w:rPr>
        <w:t>VA</w:t>
      </w:r>
      <w:r>
        <w:rPr>
          <w:rFonts w:hint="eastAsia"/>
          <w:color w:val="auto"/>
        </w:rPr>
        <w:t>——日平均液体表面蒸汽压，psi</w:t>
      </w:r>
      <w:r>
        <w:rPr>
          <w:color w:val="auto"/>
        </w:rPr>
        <w:t>a</w:t>
      </w:r>
      <w:r>
        <w:rPr>
          <w:rFonts w:hint="eastAsia"/>
          <w:color w:val="auto"/>
        </w:rPr>
        <w:t>；</w:t>
      </w:r>
    </w:p>
    <w:p w14:paraId="4E55E9A3">
      <w:pPr>
        <w:ind w:firstLine="480"/>
        <w:rPr>
          <w:color w:val="auto"/>
        </w:rPr>
      </w:pPr>
      <w:r>
        <w:rPr>
          <w:rFonts w:hint="eastAsia"/>
          <w:color w:val="auto"/>
        </w:rPr>
        <w:t>P</w:t>
      </w:r>
      <w:r>
        <w:rPr>
          <w:rFonts w:hint="eastAsia"/>
          <w:color w:val="auto"/>
          <w:vertAlign w:val="subscript"/>
        </w:rPr>
        <w:t>A</w:t>
      </w:r>
      <w:r>
        <w:rPr>
          <w:rFonts w:hint="eastAsia"/>
          <w:color w:val="auto"/>
        </w:rPr>
        <w:t>——大气压，psia；14.7</w:t>
      </w:r>
      <w:r>
        <w:rPr>
          <w:color w:val="auto"/>
        </w:rPr>
        <w:t>psia；</w:t>
      </w:r>
    </w:p>
    <w:p w14:paraId="50F0E948">
      <w:pPr>
        <w:ind w:firstLine="480"/>
        <w:rPr>
          <w:color w:val="auto"/>
        </w:rPr>
      </w:pPr>
      <w:r>
        <w:rPr>
          <w:rFonts w:hint="eastAsia"/>
          <w:color w:val="auto"/>
        </w:rPr>
        <w:t>D——罐体直径，ft；3#罐组为28</w:t>
      </w:r>
      <w:r>
        <w:rPr>
          <w:color w:val="auto"/>
        </w:rPr>
        <w:t>m，</w:t>
      </w:r>
      <w:r>
        <w:rPr>
          <w:rFonts w:hint="eastAsia"/>
          <w:color w:val="auto"/>
        </w:rPr>
        <w:t>1#罐组为52</w:t>
      </w:r>
      <w:r>
        <w:rPr>
          <w:color w:val="auto"/>
        </w:rPr>
        <w:t>m；</w:t>
      </w:r>
    </w:p>
    <w:p w14:paraId="45324B8B">
      <w:pPr>
        <w:ind w:firstLine="480"/>
        <w:rPr>
          <w:color w:val="auto"/>
        </w:rPr>
      </w:pPr>
      <w:r>
        <w:rPr>
          <w:rFonts w:hint="eastAsia"/>
          <w:color w:val="auto"/>
        </w:rPr>
        <w:t>M</w:t>
      </w:r>
      <w:r>
        <w:rPr>
          <w:rFonts w:hint="eastAsia"/>
          <w:color w:val="auto"/>
          <w:vertAlign w:val="subscript"/>
        </w:rPr>
        <w:t>V</w:t>
      </w:r>
      <w:r>
        <w:rPr>
          <w:rFonts w:hint="eastAsia"/>
          <w:color w:val="auto"/>
        </w:rPr>
        <w:t>——气相分子质量，lb/lb-mol；</w:t>
      </w:r>
    </w:p>
    <w:p w14:paraId="3588EBEA">
      <w:pPr>
        <w:ind w:firstLine="480"/>
        <w:rPr>
          <w:color w:val="auto"/>
        </w:rPr>
      </w:pPr>
      <w:r>
        <w:rPr>
          <w:rFonts w:hint="eastAsia"/>
          <w:color w:val="auto"/>
        </w:rPr>
        <w:t>K</w:t>
      </w:r>
      <w:r>
        <w:rPr>
          <w:rFonts w:hint="eastAsia"/>
          <w:color w:val="auto"/>
          <w:vertAlign w:val="subscript"/>
        </w:rPr>
        <w:t>C</w:t>
      </w:r>
      <w:r>
        <w:rPr>
          <w:rFonts w:hint="eastAsia"/>
          <w:color w:val="auto"/>
        </w:rPr>
        <w:t>——产品因子；原油为0.4，其它有机液体为1.0。</w:t>
      </w:r>
    </w:p>
    <w:p w14:paraId="60CF305F">
      <w:pPr>
        <w:ind w:firstLine="480"/>
        <w:rPr>
          <w:color w:val="auto"/>
        </w:rPr>
      </w:pPr>
      <w:r>
        <w:rPr>
          <w:rFonts w:hint="eastAsia"/>
          <w:color w:val="auto"/>
        </w:rPr>
        <w:t>②</w:t>
      </w:r>
      <w:r>
        <w:rPr>
          <w:color w:val="auto"/>
        </w:rPr>
        <w:t>排放损耗（</w:t>
      </w:r>
      <w:r>
        <w:rPr>
          <w:rFonts w:hint="eastAsia"/>
          <w:color w:val="auto"/>
        </w:rPr>
        <w:t>L</w:t>
      </w:r>
      <w:r>
        <w:rPr>
          <w:rFonts w:hint="eastAsia"/>
          <w:color w:val="auto"/>
          <w:vertAlign w:val="subscript"/>
        </w:rPr>
        <w:t>WD</w:t>
      </w:r>
      <w:r>
        <w:rPr>
          <w:color w:val="auto"/>
        </w:rPr>
        <w:t>）</w:t>
      </w:r>
    </w:p>
    <w:p w14:paraId="077F877A">
      <w:pPr>
        <w:ind w:firstLine="480"/>
        <w:rPr>
          <w:color w:val="auto"/>
        </w:rPr>
      </w:pPr>
      <w:r>
        <w:rPr>
          <w:rFonts w:hint="eastAsia"/>
          <w:color w:val="auto"/>
        </w:rPr>
        <w:t>浮顶罐的罐壁排放损耗可由以下公式估算得出：</w:t>
      </w:r>
    </w:p>
    <w:p w14:paraId="427D1A6D">
      <w:pPr>
        <w:ind w:firstLine="480"/>
        <w:jc w:val="center"/>
        <w:rPr>
          <w:color w:val="auto"/>
        </w:rPr>
      </w:pPr>
      <w:r>
        <w:rPr>
          <w:color w:val="auto"/>
        </w:rPr>
        <w:drawing>
          <wp:inline distT="0" distB="0" distL="0" distR="0">
            <wp:extent cx="3907155" cy="854710"/>
            <wp:effectExtent l="0" t="0" r="0" b="254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21409" cy="857837"/>
                    </a:xfrm>
                    <a:prstGeom prst="rect">
                      <a:avLst/>
                    </a:prstGeom>
                  </pic:spPr>
                </pic:pic>
              </a:graphicData>
            </a:graphic>
          </wp:inline>
        </w:drawing>
      </w:r>
    </w:p>
    <w:p w14:paraId="546BAFE6">
      <w:pPr>
        <w:ind w:firstLine="480"/>
        <w:rPr>
          <w:color w:val="auto"/>
        </w:rPr>
      </w:pPr>
      <w:r>
        <w:rPr>
          <w:rFonts w:hint="eastAsia"/>
          <w:color w:val="auto"/>
        </w:rPr>
        <w:t>式中：L</w:t>
      </w:r>
      <w:r>
        <w:rPr>
          <w:rFonts w:hint="eastAsia"/>
          <w:color w:val="auto"/>
          <w:vertAlign w:val="subscript"/>
        </w:rPr>
        <w:t>WD</w:t>
      </w:r>
      <w:r>
        <w:rPr>
          <w:rFonts w:hint="eastAsia"/>
          <w:color w:val="auto"/>
        </w:rPr>
        <w:t>——挂壁损耗，lb/a；</w:t>
      </w:r>
    </w:p>
    <w:p w14:paraId="4247DE66">
      <w:pPr>
        <w:ind w:firstLine="480"/>
        <w:rPr>
          <w:color w:val="auto"/>
        </w:rPr>
      </w:pPr>
      <w:r>
        <w:rPr>
          <w:rFonts w:hint="eastAsia"/>
          <w:color w:val="auto"/>
        </w:rPr>
        <w:t>Q——年周转量，bbl/a；</w:t>
      </w:r>
    </w:p>
    <w:p w14:paraId="5A2BD2B5">
      <w:pPr>
        <w:ind w:firstLine="480"/>
        <w:rPr>
          <w:color w:val="auto"/>
        </w:rPr>
      </w:pPr>
      <w:r>
        <w:rPr>
          <w:rFonts w:hint="eastAsia"/>
          <w:color w:val="auto"/>
        </w:rPr>
        <w:t>C</w:t>
      </w:r>
      <w:r>
        <w:rPr>
          <w:rFonts w:hint="eastAsia"/>
          <w:color w:val="auto"/>
          <w:vertAlign w:val="subscript"/>
        </w:rPr>
        <w:t>S</w:t>
      </w:r>
      <w:r>
        <w:rPr>
          <w:rFonts w:hint="eastAsia"/>
          <w:color w:val="auto"/>
        </w:rPr>
        <w:t>——罐体油垢因子，参考</w:t>
      </w:r>
      <w:r>
        <w:rPr>
          <w:color w:val="auto"/>
        </w:rPr>
        <w:t>指南</w:t>
      </w:r>
      <w:r>
        <w:rPr>
          <w:rFonts w:hint="eastAsia"/>
          <w:color w:val="auto"/>
        </w:rPr>
        <w:t>附表二-16，</w:t>
      </w:r>
      <w:r>
        <w:rPr>
          <w:color w:val="auto"/>
        </w:rPr>
        <w:t>取</w:t>
      </w:r>
      <w:r>
        <w:rPr>
          <w:rFonts w:hint="eastAsia"/>
          <w:color w:val="auto"/>
        </w:rPr>
        <w:t>0.0015；</w:t>
      </w:r>
    </w:p>
    <w:p w14:paraId="5E3F59EC">
      <w:pPr>
        <w:ind w:firstLine="480"/>
        <w:rPr>
          <w:color w:val="auto"/>
        </w:rPr>
      </w:pPr>
      <w:r>
        <w:rPr>
          <w:rFonts w:hint="eastAsia"/>
          <w:color w:val="auto"/>
        </w:rPr>
        <w:t>W</w:t>
      </w:r>
      <w:r>
        <w:rPr>
          <w:rFonts w:hint="eastAsia"/>
          <w:color w:val="auto"/>
          <w:vertAlign w:val="subscript"/>
        </w:rPr>
        <w:t>L</w:t>
      </w:r>
      <w:r>
        <w:rPr>
          <w:rFonts w:hint="eastAsia"/>
          <w:color w:val="auto"/>
        </w:rPr>
        <w:t>——有机液体密度，lb/gal；</w:t>
      </w:r>
    </w:p>
    <w:p w14:paraId="3F69895A">
      <w:pPr>
        <w:ind w:firstLine="480"/>
        <w:rPr>
          <w:color w:val="auto"/>
        </w:rPr>
      </w:pPr>
      <w:r>
        <w:rPr>
          <w:rFonts w:hint="eastAsia"/>
          <w:color w:val="auto"/>
        </w:rPr>
        <w:t>D——罐体直径，ft；</w:t>
      </w:r>
    </w:p>
    <w:p w14:paraId="4EC71AA2">
      <w:pPr>
        <w:ind w:firstLine="480"/>
        <w:rPr>
          <w:color w:val="auto"/>
        </w:rPr>
      </w:pPr>
      <w:r>
        <w:rPr>
          <w:rFonts w:hint="eastAsia"/>
          <w:color w:val="auto"/>
        </w:rPr>
        <w:t>0.943常数，1000ft</w:t>
      </w:r>
      <w:r>
        <w:rPr>
          <w:rFonts w:hint="eastAsia"/>
          <w:color w:val="auto"/>
          <w:vertAlign w:val="superscript"/>
        </w:rPr>
        <w:t>3</w:t>
      </w:r>
      <w:r>
        <w:rPr>
          <w:rFonts w:hint="eastAsia"/>
          <w:color w:val="auto"/>
        </w:rPr>
        <w:t>·gal/bbl</w:t>
      </w:r>
      <w:r>
        <w:rPr>
          <w:rFonts w:hint="eastAsia"/>
          <w:color w:val="auto"/>
          <w:vertAlign w:val="superscript"/>
        </w:rPr>
        <w:t>2</w:t>
      </w:r>
      <w:r>
        <w:rPr>
          <w:rFonts w:hint="eastAsia"/>
          <w:color w:val="auto"/>
        </w:rPr>
        <w:t>；</w:t>
      </w:r>
    </w:p>
    <w:p w14:paraId="4755A9FE">
      <w:pPr>
        <w:ind w:firstLine="480"/>
        <w:rPr>
          <w:color w:val="auto"/>
        </w:rPr>
      </w:pPr>
      <w:r>
        <w:rPr>
          <w:rFonts w:hint="eastAsia"/>
          <w:color w:val="auto"/>
        </w:rPr>
        <w:t>N</w:t>
      </w:r>
      <w:r>
        <w:rPr>
          <w:rFonts w:hint="eastAsia"/>
          <w:color w:val="auto"/>
          <w:vertAlign w:val="subscript"/>
        </w:rPr>
        <w:t>C</w:t>
      </w:r>
      <w:r>
        <w:rPr>
          <w:rFonts w:hint="eastAsia"/>
          <w:color w:val="auto"/>
        </w:rPr>
        <w:t>——固定顶支撑柱数量（对于自支撑固定浮顶或外浮顶罐：NC=0。），无量纲量；</w:t>
      </w:r>
    </w:p>
    <w:p w14:paraId="3C6759C1">
      <w:pPr>
        <w:ind w:firstLine="480"/>
        <w:rPr>
          <w:color w:val="auto"/>
        </w:rPr>
      </w:pPr>
      <w:r>
        <w:rPr>
          <w:rFonts w:hint="eastAsia"/>
          <w:color w:val="auto"/>
        </w:rPr>
        <w:t>F</w:t>
      </w:r>
      <w:r>
        <w:rPr>
          <w:rFonts w:hint="eastAsia"/>
          <w:color w:val="auto"/>
          <w:vertAlign w:val="subscript"/>
        </w:rPr>
        <w:t>C</w:t>
      </w:r>
      <w:r>
        <w:rPr>
          <w:rFonts w:hint="eastAsia"/>
          <w:color w:val="auto"/>
        </w:rPr>
        <w:t>——有效柱直径，取值1.0。</w:t>
      </w:r>
    </w:p>
    <w:p w14:paraId="63EB0AD7">
      <w:pPr>
        <w:ind w:firstLine="480"/>
        <w:rPr>
          <w:color w:val="auto"/>
          <w:lang w:eastAsia="ja-JP"/>
        </w:rPr>
      </w:pPr>
      <w:r>
        <w:rPr>
          <w:rFonts w:hint="eastAsia"/>
          <w:color w:val="auto"/>
          <w:lang w:eastAsia="ja-JP"/>
        </w:rPr>
        <w:t>③</w:t>
      </w:r>
      <w:r>
        <w:rPr>
          <w:color w:val="auto"/>
          <w:lang w:eastAsia="ja-JP"/>
        </w:rPr>
        <w:t>浮盘附件损耗（</w:t>
      </w:r>
      <w:r>
        <w:rPr>
          <w:rFonts w:hint="eastAsia"/>
          <w:color w:val="auto"/>
        </w:rPr>
        <w:t>L</w:t>
      </w:r>
      <w:r>
        <w:rPr>
          <w:rFonts w:hint="eastAsia"/>
          <w:color w:val="auto"/>
          <w:vertAlign w:val="subscript"/>
        </w:rPr>
        <w:t>F</w:t>
      </w:r>
      <w:r>
        <w:rPr>
          <w:color w:val="auto"/>
          <w:lang w:eastAsia="ja-JP"/>
        </w:rPr>
        <w:t>）</w:t>
      </w:r>
    </w:p>
    <w:p w14:paraId="4B0BD01E">
      <w:pPr>
        <w:ind w:firstLine="480"/>
        <w:rPr>
          <w:color w:val="auto"/>
        </w:rPr>
      </w:pPr>
      <w:r>
        <w:rPr>
          <w:rFonts w:hint="eastAsia"/>
          <w:color w:val="auto"/>
        </w:rPr>
        <w:t>浮顶罐的浮盘附件损耗可由下面的公式估算得出：</w:t>
      </w:r>
    </w:p>
    <w:p w14:paraId="1F3BEBF6">
      <w:pPr>
        <w:ind w:firstLine="480"/>
        <w:jc w:val="center"/>
        <w:rPr>
          <w:color w:val="auto"/>
        </w:rPr>
      </w:pPr>
      <w:r>
        <w:rPr>
          <w:color w:val="auto"/>
        </w:rPr>
        <w:drawing>
          <wp:inline distT="0" distB="0" distL="0" distR="0">
            <wp:extent cx="2958465" cy="608965"/>
            <wp:effectExtent l="0" t="0" r="0" b="63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04038" cy="618819"/>
                    </a:xfrm>
                    <a:prstGeom prst="rect">
                      <a:avLst/>
                    </a:prstGeom>
                  </pic:spPr>
                </pic:pic>
              </a:graphicData>
            </a:graphic>
          </wp:inline>
        </w:drawing>
      </w:r>
    </w:p>
    <w:p w14:paraId="58D806C5">
      <w:pPr>
        <w:ind w:firstLine="480"/>
        <w:rPr>
          <w:color w:val="auto"/>
        </w:rPr>
      </w:pPr>
      <w:r>
        <w:rPr>
          <w:rFonts w:hint="eastAsia"/>
          <w:color w:val="auto"/>
        </w:rPr>
        <w:t>式中：L</w:t>
      </w:r>
      <w:r>
        <w:rPr>
          <w:rFonts w:hint="eastAsia"/>
          <w:color w:val="auto"/>
          <w:vertAlign w:val="subscript"/>
        </w:rPr>
        <w:t>F</w:t>
      </w:r>
      <w:r>
        <w:rPr>
          <w:rFonts w:hint="eastAsia"/>
          <w:color w:val="auto"/>
        </w:rPr>
        <w:t>——浮盘附件损耗，lb/a；</w:t>
      </w:r>
    </w:p>
    <w:p w14:paraId="72889B90">
      <w:pPr>
        <w:ind w:firstLine="480"/>
        <w:rPr>
          <w:color w:val="auto"/>
        </w:rPr>
      </w:pPr>
      <w:r>
        <w:rPr>
          <w:rFonts w:hint="eastAsia"/>
          <w:color w:val="auto"/>
        </w:rPr>
        <w:t>F</w:t>
      </w:r>
      <w:r>
        <w:rPr>
          <w:rFonts w:hint="eastAsia"/>
          <w:color w:val="auto"/>
          <w:vertAlign w:val="subscript"/>
        </w:rPr>
        <w:t>F</w:t>
      </w:r>
      <w:r>
        <w:rPr>
          <w:rFonts w:hint="eastAsia"/>
          <w:color w:val="auto"/>
        </w:rPr>
        <w:t>——总浮盘附件损耗因子，lb-mol/a；</w:t>
      </w:r>
    </w:p>
    <w:p w14:paraId="7DC4E802">
      <w:pPr>
        <w:ind w:firstLine="480"/>
        <w:jc w:val="center"/>
        <w:rPr>
          <w:color w:val="auto"/>
        </w:rPr>
      </w:pPr>
      <w:r>
        <w:rPr>
          <w:color w:val="auto"/>
        </w:rPr>
        <w:drawing>
          <wp:inline distT="0" distB="0" distL="0" distR="0">
            <wp:extent cx="4239260" cy="517525"/>
            <wp:effectExtent l="0" t="0" r="889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319868" cy="527371"/>
                    </a:xfrm>
                    <a:prstGeom prst="rect">
                      <a:avLst/>
                    </a:prstGeom>
                  </pic:spPr>
                </pic:pic>
              </a:graphicData>
            </a:graphic>
          </wp:inline>
        </w:drawing>
      </w:r>
    </w:p>
    <w:p w14:paraId="060588F2">
      <w:pPr>
        <w:ind w:firstLine="480"/>
        <w:rPr>
          <w:color w:val="auto"/>
        </w:rPr>
      </w:pPr>
      <w:r>
        <w:rPr>
          <w:rFonts w:hint="eastAsia"/>
          <w:color w:val="auto"/>
        </w:rPr>
        <w:t>式中：N</w:t>
      </w:r>
      <w:r>
        <w:rPr>
          <w:rFonts w:hint="eastAsia"/>
          <w:color w:val="auto"/>
          <w:vertAlign w:val="subscript"/>
        </w:rPr>
        <w:t>Fi</w:t>
      </w:r>
      <w:r>
        <w:rPr>
          <w:rFonts w:hint="eastAsia"/>
          <w:color w:val="auto"/>
        </w:rPr>
        <w:t>——特定规格的浮盘附件数，无量纲量；</w:t>
      </w:r>
    </w:p>
    <w:p w14:paraId="1D6354E7">
      <w:pPr>
        <w:ind w:firstLine="480"/>
        <w:rPr>
          <w:color w:val="auto"/>
        </w:rPr>
      </w:pPr>
      <w:r>
        <w:rPr>
          <w:rFonts w:hint="eastAsia"/>
          <w:color w:val="auto"/>
        </w:rPr>
        <w:t>K</w:t>
      </w:r>
      <w:r>
        <w:rPr>
          <w:rFonts w:hint="eastAsia"/>
          <w:color w:val="auto"/>
          <w:vertAlign w:val="subscript"/>
        </w:rPr>
        <w:t>Fi</w:t>
      </w:r>
      <w:r>
        <w:rPr>
          <w:rFonts w:hint="eastAsia"/>
          <w:color w:val="auto"/>
        </w:rPr>
        <w:t>——特定规格的附件损耗因子，lb-mol/a；</w:t>
      </w:r>
    </w:p>
    <w:p w14:paraId="06BCE31C">
      <w:pPr>
        <w:ind w:firstLine="480"/>
        <w:rPr>
          <w:color w:val="auto"/>
        </w:rPr>
      </w:pPr>
      <w:r>
        <w:rPr>
          <w:color w:val="auto"/>
        </w:rPr>
        <w:t>N</w:t>
      </w:r>
      <w:r>
        <w:rPr>
          <w:rFonts w:hint="eastAsia"/>
          <w:color w:val="auto"/>
          <w:vertAlign w:val="subscript"/>
        </w:rPr>
        <w:t>f</w:t>
      </w:r>
      <w:r>
        <w:rPr>
          <w:color w:val="auto"/>
          <w:vertAlign w:val="subscript"/>
        </w:rPr>
        <w:t>i</w:t>
      </w:r>
      <w:r>
        <w:rPr>
          <w:rFonts w:hint="eastAsia"/>
          <w:color w:val="auto"/>
        </w:rPr>
        <w:t>——不同种类的附件总数，无量纲量；</w:t>
      </w:r>
    </w:p>
    <w:p w14:paraId="17615DB3">
      <w:pPr>
        <w:ind w:firstLine="480"/>
        <w:jc w:val="center"/>
        <w:rPr>
          <w:color w:val="auto"/>
        </w:rPr>
      </w:pPr>
      <w:r>
        <w:rPr>
          <w:color w:val="auto"/>
        </w:rPr>
        <w:drawing>
          <wp:inline distT="0" distB="0" distL="0" distR="0">
            <wp:extent cx="2397760" cy="424815"/>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36068" cy="432017"/>
                    </a:xfrm>
                    <a:prstGeom prst="rect">
                      <a:avLst/>
                    </a:prstGeom>
                  </pic:spPr>
                </pic:pic>
              </a:graphicData>
            </a:graphic>
          </wp:inline>
        </w:drawing>
      </w:r>
    </w:p>
    <w:p w14:paraId="0D545C2B">
      <w:pPr>
        <w:ind w:firstLine="480"/>
        <w:rPr>
          <w:color w:val="auto"/>
        </w:rPr>
      </w:pPr>
      <w:r>
        <w:rPr>
          <w:rFonts w:hint="eastAsia"/>
          <w:color w:val="auto"/>
        </w:rPr>
        <w:t>式中：K</w:t>
      </w:r>
      <w:r>
        <w:rPr>
          <w:rFonts w:hint="eastAsia"/>
          <w:color w:val="auto"/>
          <w:vertAlign w:val="subscript"/>
        </w:rPr>
        <w:t>Fi</w:t>
      </w:r>
      <w:r>
        <w:rPr>
          <w:rFonts w:hint="eastAsia"/>
          <w:color w:val="auto"/>
        </w:rPr>
        <w:t>——特定类型浮盘附件损耗因子，lb-mol/a；</w:t>
      </w:r>
    </w:p>
    <w:p w14:paraId="7860A3AD">
      <w:pPr>
        <w:ind w:firstLine="480"/>
        <w:rPr>
          <w:color w:val="auto"/>
        </w:rPr>
      </w:pPr>
      <w:r>
        <w:rPr>
          <w:rFonts w:hint="eastAsia"/>
          <w:color w:val="auto"/>
        </w:rPr>
        <w:t>K</w:t>
      </w:r>
      <w:r>
        <w:rPr>
          <w:rFonts w:hint="eastAsia"/>
          <w:color w:val="auto"/>
          <w:vertAlign w:val="subscript"/>
        </w:rPr>
        <w:t>Fa</w:t>
      </w:r>
      <w:r>
        <w:rPr>
          <w:color w:val="auto"/>
          <w:vertAlign w:val="subscript"/>
        </w:rPr>
        <w:t>i</w:t>
      </w:r>
      <w:r>
        <w:rPr>
          <w:rFonts w:hint="eastAsia"/>
          <w:color w:val="auto"/>
        </w:rPr>
        <w:t>——无风情况下特定类型浮盘附件损耗因子，lb-mol/a，见指南附表二-17；</w:t>
      </w:r>
    </w:p>
    <w:p w14:paraId="2E741DAF">
      <w:pPr>
        <w:ind w:firstLine="480"/>
        <w:rPr>
          <w:color w:val="auto"/>
        </w:rPr>
      </w:pPr>
      <w:r>
        <w:rPr>
          <w:rFonts w:hint="eastAsia"/>
          <w:color w:val="auto"/>
        </w:rPr>
        <w:t>K</w:t>
      </w:r>
      <w:r>
        <w:rPr>
          <w:rFonts w:hint="eastAsia"/>
          <w:color w:val="auto"/>
          <w:vertAlign w:val="subscript"/>
        </w:rPr>
        <w:t>Fbi</w:t>
      </w:r>
      <w:r>
        <w:rPr>
          <w:rFonts w:hint="eastAsia"/>
          <w:color w:val="auto"/>
        </w:rPr>
        <w:t>——有风情况下特定类型浮盘附件损耗因子，lb-mol/（mph）m·a，见指南附表二-17；</w:t>
      </w:r>
    </w:p>
    <w:p w14:paraId="37A3838A">
      <w:pPr>
        <w:ind w:firstLine="480"/>
        <w:rPr>
          <w:color w:val="auto"/>
        </w:rPr>
      </w:pPr>
      <w:r>
        <w:rPr>
          <w:rFonts w:hint="eastAsia"/>
          <w:color w:val="auto"/>
        </w:rPr>
        <w:t>m</w:t>
      </w:r>
      <w:r>
        <w:rPr>
          <w:rFonts w:hint="eastAsia"/>
          <w:color w:val="auto"/>
          <w:vertAlign w:val="subscript"/>
        </w:rPr>
        <w:t>i</w:t>
      </w:r>
      <w:r>
        <w:rPr>
          <w:rFonts w:hint="eastAsia"/>
          <w:color w:val="auto"/>
        </w:rPr>
        <w:t>——特定浮盘损耗因子，无量纲量，参考</w:t>
      </w:r>
      <w:r>
        <w:rPr>
          <w:color w:val="auto"/>
        </w:rPr>
        <w:t>指南</w:t>
      </w:r>
      <w:r>
        <w:rPr>
          <w:rFonts w:hint="eastAsia"/>
          <w:color w:val="auto"/>
        </w:rPr>
        <w:t>附表二-17；</w:t>
      </w:r>
    </w:p>
    <w:p w14:paraId="16FA0B1E">
      <w:pPr>
        <w:ind w:firstLine="480"/>
        <w:rPr>
          <w:color w:val="auto"/>
        </w:rPr>
      </w:pPr>
      <w:r>
        <w:rPr>
          <w:rFonts w:hint="eastAsia"/>
          <w:color w:val="auto"/>
        </w:rPr>
        <w:t>K</w:t>
      </w:r>
      <w:r>
        <w:rPr>
          <w:rFonts w:hint="eastAsia"/>
          <w:color w:val="auto"/>
          <w:vertAlign w:val="subscript"/>
        </w:rPr>
        <w:t>v</w:t>
      </w:r>
      <w:r>
        <w:rPr>
          <w:rFonts w:hint="eastAsia"/>
          <w:color w:val="auto"/>
        </w:rPr>
        <w:t>——附件风速修正因子，无量纲量；对于外浮顶罐，附件风速修正因子Kv=0.7。对于内浮顶罐和穹顶外浮顶罐风速，其修正因子为0。</w:t>
      </w:r>
    </w:p>
    <w:p w14:paraId="11894A67">
      <w:pPr>
        <w:ind w:firstLine="480"/>
        <w:rPr>
          <w:color w:val="auto"/>
        </w:rPr>
      </w:pPr>
      <w:r>
        <w:rPr>
          <w:rFonts w:hint="eastAsia"/>
          <w:color w:val="auto"/>
        </w:rPr>
        <w:t>v——平均气压平均风速，mph，2.5</w:t>
      </w:r>
      <w:r>
        <w:rPr>
          <w:color w:val="auto"/>
        </w:rPr>
        <w:t>m/s</w:t>
      </w:r>
      <w:r>
        <w:rPr>
          <w:rFonts w:hint="eastAsia"/>
          <w:color w:val="auto"/>
        </w:rPr>
        <w:t>。</w:t>
      </w:r>
    </w:p>
    <w:p w14:paraId="5AF8165A">
      <w:pPr>
        <w:ind w:firstLine="480"/>
        <w:rPr>
          <w:color w:val="auto"/>
        </w:rPr>
      </w:pPr>
      <w:r>
        <w:rPr>
          <w:rFonts w:hint="eastAsia"/>
          <w:color w:val="auto"/>
        </w:rPr>
        <w:t>④浮盘缝隙损耗（L</w:t>
      </w:r>
      <w:r>
        <w:rPr>
          <w:rFonts w:hint="eastAsia"/>
          <w:color w:val="auto"/>
          <w:vertAlign w:val="subscript"/>
        </w:rPr>
        <w:t>D</w:t>
      </w:r>
      <w:r>
        <w:rPr>
          <w:rFonts w:hint="eastAsia"/>
          <w:color w:val="auto"/>
        </w:rPr>
        <w:t>）</w:t>
      </w:r>
    </w:p>
    <w:p w14:paraId="7A7E58BA">
      <w:pPr>
        <w:ind w:firstLine="480"/>
        <w:rPr>
          <w:color w:val="auto"/>
        </w:rPr>
      </w:pPr>
      <w:r>
        <w:rPr>
          <w:rFonts w:hint="eastAsia"/>
          <w:color w:val="auto"/>
        </w:rPr>
        <w:t>浮盘经焊接的内浮顶罐和外浮顶罐都没有盘缝损耗。由螺栓固定的内浮顶罐可能存在盘缝损耗，由于</w:t>
      </w:r>
      <w:r>
        <w:rPr>
          <w:color w:val="auto"/>
        </w:rPr>
        <w:t>本次扩建</w:t>
      </w:r>
      <w:r>
        <w:rPr>
          <w:rFonts w:hint="eastAsia"/>
          <w:color w:val="auto"/>
        </w:rPr>
        <w:t>仅</w:t>
      </w:r>
      <w:r>
        <w:rPr>
          <w:color w:val="auto"/>
        </w:rPr>
        <w:t>涉及</w:t>
      </w:r>
      <w:r>
        <w:rPr>
          <w:rFonts w:hint="eastAsia"/>
          <w:color w:val="auto"/>
        </w:rPr>
        <w:t>3个</w:t>
      </w:r>
      <w:r>
        <w:rPr>
          <w:color w:val="auto"/>
        </w:rPr>
        <w:t>内浮顶罐</w:t>
      </w:r>
      <w:r>
        <w:rPr>
          <w:rFonts w:hint="eastAsia"/>
          <w:color w:val="auto"/>
        </w:rPr>
        <w:t>，</w:t>
      </w:r>
      <w:r>
        <w:rPr>
          <w:color w:val="auto"/>
        </w:rPr>
        <w:t>且储罐采取氮封</w:t>
      </w:r>
      <w:r>
        <w:rPr>
          <w:rFonts w:hint="eastAsia"/>
          <w:color w:val="auto"/>
        </w:rPr>
        <w:t>措施</w:t>
      </w:r>
      <w:r>
        <w:rPr>
          <w:color w:val="auto"/>
        </w:rPr>
        <w:t>，</w:t>
      </w:r>
      <w:r>
        <w:rPr>
          <w:rFonts w:hint="eastAsia"/>
          <w:color w:val="auto"/>
        </w:rPr>
        <w:t>浮盘</w:t>
      </w:r>
      <w:r>
        <w:rPr>
          <w:color w:val="auto"/>
        </w:rPr>
        <w:t>缝隙产生的</w:t>
      </w:r>
      <w:r>
        <w:rPr>
          <w:rFonts w:hint="eastAsia"/>
          <w:color w:val="auto"/>
        </w:rPr>
        <w:t>废气</w:t>
      </w:r>
      <w:r>
        <w:rPr>
          <w:color w:val="auto"/>
        </w:rPr>
        <w:t>损耗较小，本次扩建项目不进行计算。</w:t>
      </w:r>
    </w:p>
    <w:p w14:paraId="5C1ED633">
      <w:pPr>
        <w:pStyle w:val="14"/>
        <w:rPr>
          <w:color w:val="auto"/>
        </w:rPr>
      </w:pPr>
      <w:r>
        <w:rPr>
          <w:rFonts w:hint="eastAsia"/>
          <w:color w:val="auto"/>
        </w:rPr>
        <w:t>表</w:t>
      </w:r>
      <w:r>
        <w:rPr>
          <w:color w:val="auto"/>
        </w:rPr>
        <w:t>2.3</w:t>
      </w:r>
      <w:r>
        <w:rPr>
          <w:color w:val="auto"/>
        </w:rPr>
        <w:noBreakHyphen/>
      </w:r>
      <w:r>
        <w:rPr>
          <w:color w:val="auto"/>
        </w:rPr>
        <w:t>4</w:t>
      </w:r>
      <w:r>
        <w:rPr>
          <w:rFonts w:hint="eastAsia"/>
          <w:color w:val="auto"/>
        </w:rPr>
        <w:t>扩建</w:t>
      </w:r>
      <w:r>
        <w:rPr>
          <w:color w:val="auto"/>
        </w:rPr>
        <w:t>项目储罐</w:t>
      </w:r>
      <w:r>
        <w:rPr>
          <w:rFonts w:hint="eastAsia"/>
          <w:color w:val="auto"/>
        </w:rPr>
        <w:t>损耗</w:t>
      </w:r>
      <w:r>
        <w:rPr>
          <w:color w:val="auto"/>
        </w:rPr>
        <w:t>废气产生情况一览表</w:t>
      </w:r>
    </w:p>
    <w:tbl>
      <w:tblPr>
        <w:tblStyle w:val="44"/>
        <w:tblW w:w="94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182"/>
        <w:gridCol w:w="584"/>
        <w:gridCol w:w="823"/>
        <w:gridCol w:w="612"/>
        <w:gridCol w:w="756"/>
        <w:gridCol w:w="787"/>
        <w:gridCol w:w="690"/>
        <w:gridCol w:w="829"/>
        <w:gridCol w:w="791"/>
        <w:gridCol w:w="526"/>
        <w:gridCol w:w="526"/>
        <w:gridCol w:w="526"/>
        <w:gridCol w:w="771"/>
      </w:tblGrid>
      <w:tr w14:paraId="3D96F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182" w:type="dxa"/>
          </w:tcPr>
          <w:p w14:paraId="260C3B78">
            <w:pPr>
              <w:pStyle w:val="91"/>
              <w:keepNext w:val="0"/>
              <w:keepLines w:val="0"/>
              <w:suppressLineNumbers w:val="0"/>
              <w:spacing w:before="0" w:beforeAutospacing="0" w:after="0" w:afterAutospacing="0"/>
              <w:ind w:left="0" w:right="0"/>
              <w:rPr>
                <w:rFonts w:hint="default"/>
                <w:b/>
                <w:color w:val="auto"/>
              </w:rPr>
            </w:pPr>
            <w:r>
              <w:rPr>
                <w:rFonts w:hint="eastAsia"/>
                <w:b/>
                <w:color w:val="auto"/>
              </w:rPr>
              <w:t>新增</w:t>
            </w:r>
            <w:r>
              <w:rPr>
                <w:rFonts w:hint="default"/>
                <w:b/>
                <w:color w:val="auto"/>
              </w:rPr>
              <w:t>货种名称</w:t>
            </w:r>
          </w:p>
        </w:tc>
        <w:tc>
          <w:tcPr>
            <w:tcW w:w="584" w:type="dxa"/>
          </w:tcPr>
          <w:p w14:paraId="3E52355F">
            <w:pPr>
              <w:pStyle w:val="91"/>
              <w:keepNext w:val="0"/>
              <w:keepLines w:val="0"/>
              <w:suppressLineNumbers w:val="0"/>
              <w:spacing w:before="0" w:beforeAutospacing="0" w:after="0" w:afterAutospacing="0"/>
              <w:ind w:left="0" w:right="0"/>
              <w:rPr>
                <w:rFonts w:hint="default"/>
                <w:b/>
                <w:color w:val="auto"/>
              </w:rPr>
            </w:pPr>
            <w:r>
              <w:rPr>
                <w:rFonts w:hint="eastAsia"/>
                <w:b/>
                <w:color w:val="auto"/>
              </w:rPr>
              <w:t>P</w:t>
            </w:r>
            <w:r>
              <w:rPr>
                <w:rFonts w:hint="eastAsia"/>
                <w:b/>
                <w:color w:val="auto"/>
                <w:vertAlign w:val="subscript"/>
              </w:rPr>
              <w:t>VA</w:t>
            </w:r>
            <w:r>
              <w:rPr>
                <w:rFonts w:hint="eastAsia"/>
                <w:b/>
                <w:color w:val="auto"/>
              </w:rPr>
              <w:t>（</w:t>
            </w:r>
            <w:r>
              <w:rPr>
                <w:rFonts w:hint="default"/>
                <w:b/>
                <w:color w:val="auto"/>
              </w:rPr>
              <w:t>psia</w:t>
            </w:r>
            <w:r>
              <w:rPr>
                <w:rFonts w:hint="eastAsia"/>
                <w:b/>
                <w:color w:val="auto"/>
              </w:rPr>
              <w:t>）</w:t>
            </w:r>
          </w:p>
        </w:tc>
        <w:tc>
          <w:tcPr>
            <w:tcW w:w="823" w:type="dxa"/>
          </w:tcPr>
          <w:p w14:paraId="72D661FD">
            <w:pPr>
              <w:pStyle w:val="91"/>
              <w:keepNext w:val="0"/>
              <w:keepLines w:val="0"/>
              <w:suppressLineNumbers w:val="0"/>
              <w:spacing w:before="0" w:beforeAutospacing="0" w:after="0" w:afterAutospacing="0"/>
              <w:ind w:left="0" w:right="0"/>
              <w:rPr>
                <w:rFonts w:hint="default"/>
                <w:b/>
                <w:color w:val="auto"/>
              </w:rPr>
            </w:pPr>
            <w:r>
              <w:rPr>
                <w:rFonts w:hint="eastAsia"/>
                <w:b/>
                <w:color w:val="auto"/>
              </w:rPr>
              <w:t>P</w:t>
            </w:r>
            <w:r>
              <w:rPr>
                <w:rFonts w:hint="eastAsia"/>
                <w:b/>
                <w:color w:val="auto"/>
                <w:vertAlign w:val="subscript"/>
              </w:rPr>
              <w:t>A</w:t>
            </w:r>
            <w:r>
              <w:rPr>
                <w:rFonts w:hint="eastAsia"/>
                <w:b/>
                <w:color w:val="auto"/>
              </w:rPr>
              <w:t>（</w:t>
            </w:r>
            <w:r>
              <w:rPr>
                <w:rFonts w:hint="default"/>
                <w:b/>
                <w:color w:val="auto"/>
              </w:rPr>
              <w:t>psia</w:t>
            </w:r>
            <w:r>
              <w:rPr>
                <w:rFonts w:hint="eastAsia"/>
                <w:b/>
                <w:color w:val="auto"/>
              </w:rPr>
              <w:t>）</w:t>
            </w:r>
          </w:p>
        </w:tc>
        <w:tc>
          <w:tcPr>
            <w:tcW w:w="612" w:type="dxa"/>
          </w:tcPr>
          <w:p w14:paraId="257A1701">
            <w:pPr>
              <w:pStyle w:val="91"/>
              <w:keepNext w:val="0"/>
              <w:keepLines w:val="0"/>
              <w:suppressLineNumbers w:val="0"/>
              <w:spacing w:before="0" w:beforeAutospacing="0" w:after="0" w:afterAutospacing="0"/>
              <w:ind w:left="0" w:right="0"/>
              <w:rPr>
                <w:rFonts w:hint="default"/>
                <w:b/>
                <w:color w:val="auto"/>
              </w:rPr>
            </w:pPr>
            <w:r>
              <w:rPr>
                <w:rFonts w:hint="eastAsia"/>
                <w:b/>
                <w:color w:val="auto"/>
              </w:rPr>
              <w:t>P*</w:t>
            </w:r>
          </w:p>
        </w:tc>
        <w:tc>
          <w:tcPr>
            <w:tcW w:w="756" w:type="dxa"/>
          </w:tcPr>
          <w:p w14:paraId="57D15103">
            <w:pPr>
              <w:pStyle w:val="91"/>
              <w:keepNext w:val="0"/>
              <w:keepLines w:val="0"/>
              <w:suppressLineNumbers w:val="0"/>
              <w:spacing w:before="0" w:beforeAutospacing="0" w:after="0" w:afterAutospacing="0"/>
              <w:ind w:left="0" w:right="0"/>
              <w:rPr>
                <w:rFonts w:hint="default"/>
                <w:b/>
                <w:color w:val="auto"/>
              </w:rPr>
            </w:pPr>
            <w:r>
              <w:rPr>
                <w:rFonts w:hint="eastAsia"/>
                <w:b/>
                <w:color w:val="auto"/>
              </w:rPr>
              <w:t>D（m）</w:t>
            </w:r>
          </w:p>
        </w:tc>
        <w:tc>
          <w:tcPr>
            <w:tcW w:w="787" w:type="dxa"/>
          </w:tcPr>
          <w:p w14:paraId="141DBD27">
            <w:pPr>
              <w:pStyle w:val="91"/>
              <w:keepNext w:val="0"/>
              <w:keepLines w:val="0"/>
              <w:suppressLineNumbers w:val="0"/>
              <w:spacing w:before="0" w:beforeAutospacing="0" w:after="0" w:afterAutospacing="0"/>
              <w:ind w:left="0" w:right="0"/>
              <w:rPr>
                <w:rFonts w:hint="default"/>
                <w:b/>
                <w:color w:val="auto"/>
              </w:rPr>
            </w:pPr>
            <w:r>
              <w:rPr>
                <w:rFonts w:hint="eastAsia"/>
                <w:b/>
                <w:color w:val="auto"/>
              </w:rPr>
              <w:t>M</w:t>
            </w:r>
            <w:r>
              <w:rPr>
                <w:rFonts w:hint="default"/>
                <w:b/>
                <w:color w:val="auto"/>
              </w:rPr>
              <w:t>v（lb/lb-mol）</w:t>
            </w:r>
          </w:p>
        </w:tc>
        <w:tc>
          <w:tcPr>
            <w:tcW w:w="690" w:type="dxa"/>
          </w:tcPr>
          <w:p w14:paraId="53EE4B92">
            <w:pPr>
              <w:pStyle w:val="91"/>
              <w:keepNext w:val="0"/>
              <w:keepLines w:val="0"/>
              <w:suppressLineNumbers w:val="0"/>
              <w:spacing w:before="0" w:beforeAutospacing="0" w:after="0" w:afterAutospacing="0"/>
              <w:ind w:left="0" w:right="0"/>
              <w:rPr>
                <w:rFonts w:hint="default"/>
                <w:b/>
                <w:color w:val="auto"/>
              </w:rPr>
            </w:pPr>
            <w:r>
              <w:rPr>
                <w:rFonts w:hint="default"/>
                <w:b/>
                <w:color w:val="auto"/>
              </w:rPr>
              <w:t>Q</w:t>
            </w:r>
            <w:r>
              <w:rPr>
                <w:rFonts w:hint="eastAsia"/>
                <w:b/>
                <w:color w:val="auto"/>
              </w:rPr>
              <w:t>（万吨/年）</w:t>
            </w:r>
          </w:p>
        </w:tc>
        <w:tc>
          <w:tcPr>
            <w:tcW w:w="829" w:type="dxa"/>
          </w:tcPr>
          <w:p w14:paraId="77D60809">
            <w:pPr>
              <w:pStyle w:val="91"/>
              <w:keepNext w:val="0"/>
              <w:keepLines w:val="0"/>
              <w:suppressLineNumbers w:val="0"/>
              <w:spacing w:before="0" w:beforeAutospacing="0" w:after="0" w:afterAutospacing="0"/>
              <w:ind w:left="0" w:right="0"/>
              <w:rPr>
                <w:rFonts w:hint="default"/>
                <w:b/>
                <w:color w:val="auto"/>
              </w:rPr>
            </w:pPr>
            <w:r>
              <w:rPr>
                <w:rFonts w:hint="eastAsia"/>
                <w:b/>
                <w:color w:val="auto"/>
              </w:rPr>
              <w:t>W</w:t>
            </w:r>
            <w:r>
              <w:rPr>
                <w:rFonts w:hint="default"/>
                <w:b/>
                <w:color w:val="auto"/>
                <w:vertAlign w:val="subscript"/>
              </w:rPr>
              <w:t>L</w:t>
            </w:r>
            <w:r>
              <w:rPr>
                <w:rFonts w:hint="eastAsia"/>
                <w:b/>
                <w:color w:val="auto"/>
              </w:rPr>
              <w:t>（t/m</w:t>
            </w:r>
            <w:r>
              <w:rPr>
                <w:rFonts w:hint="default"/>
                <w:b/>
                <w:color w:val="auto"/>
                <w:vertAlign w:val="superscript"/>
              </w:rPr>
              <w:t>3</w:t>
            </w:r>
            <w:r>
              <w:rPr>
                <w:rFonts w:hint="eastAsia"/>
                <w:b/>
                <w:color w:val="auto"/>
              </w:rPr>
              <w:t>）</w:t>
            </w:r>
          </w:p>
        </w:tc>
        <w:tc>
          <w:tcPr>
            <w:tcW w:w="791" w:type="dxa"/>
          </w:tcPr>
          <w:p w14:paraId="68FF45F7">
            <w:pPr>
              <w:pStyle w:val="91"/>
              <w:keepNext w:val="0"/>
              <w:keepLines w:val="0"/>
              <w:suppressLineNumbers w:val="0"/>
              <w:spacing w:before="0" w:beforeAutospacing="0" w:after="0" w:afterAutospacing="0"/>
              <w:ind w:left="0" w:right="0"/>
              <w:rPr>
                <w:rFonts w:hint="default"/>
                <w:b/>
                <w:color w:val="auto"/>
              </w:rPr>
            </w:pPr>
            <w:r>
              <w:rPr>
                <w:rFonts w:hint="eastAsia"/>
                <w:b/>
                <w:color w:val="auto"/>
              </w:rPr>
              <w:t>L</w:t>
            </w:r>
            <w:r>
              <w:rPr>
                <w:rFonts w:hint="default"/>
                <w:b/>
                <w:color w:val="auto"/>
                <w:vertAlign w:val="subscript"/>
              </w:rPr>
              <w:t>F</w:t>
            </w:r>
            <w:r>
              <w:rPr>
                <w:rFonts w:hint="eastAsia"/>
                <w:b/>
                <w:color w:val="auto"/>
              </w:rPr>
              <w:t>（</w:t>
            </w:r>
            <w:r>
              <w:rPr>
                <w:rFonts w:hint="default"/>
                <w:b/>
                <w:color w:val="auto"/>
              </w:rPr>
              <w:t>lb/a</w:t>
            </w:r>
            <w:r>
              <w:rPr>
                <w:rFonts w:hint="eastAsia"/>
                <w:b/>
                <w:color w:val="auto"/>
              </w:rPr>
              <w:t>）</w:t>
            </w:r>
          </w:p>
        </w:tc>
        <w:tc>
          <w:tcPr>
            <w:tcW w:w="526" w:type="dxa"/>
          </w:tcPr>
          <w:p w14:paraId="242C08F2">
            <w:pPr>
              <w:pStyle w:val="91"/>
              <w:keepNext w:val="0"/>
              <w:keepLines w:val="0"/>
              <w:suppressLineNumbers w:val="0"/>
              <w:spacing w:before="0" w:beforeAutospacing="0" w:after="0" w:afterAutospacing="0"/>
              <w:ind w:left="0" w:right="0"/>
              <w:rPr>
                <w:rFonts w:hint="default"/>
                <w:b/>
                <w:color w:val="auto"/>
              </w:rPr>
            </w:pPr>
            <w:r>
              <w:rPr>
                <w:rFonts w:hint="eastAsia"/>
                <w:b/>
                <w:color w:val="auto"/>
              </w:rPr>
              <w:t>L</w:t>
            </w:r>
            <w:r>
              <w:rPr>
                <w:rFonts w:hint="default"/>
                <w:b/>
                <w:color w:val="auto"/>
                <w:vertAlign w:val="subscript"/>
              </w:rPr>
              <w:t>W</w:t>
            </w:r>
            <w:r>
              <w:rPr>
                <w:rFonts w:hint="eastAsia"/>
                <w:b/>
                <w:color w:val="auto"/>
                <w:vertAlign w:val="subscript"/>
              </w:rPr>
              <w:t>D</w:t>
            </w:r>
            <w:r>
              <w:rPr>
                <w:rFonts w:hint="eastAsia"/>
                <w:b/>
                <w:color w:val="auto"/>
              </w:rPr>
              <w:t>（</w:t>
            </w:r>
            <w:r>
              <w:rPr>
                <w:rFonts w:hint="default"/>
                <w:b/>
                <w:color w:val="auto"/>
              </w:rPr>
              <w:t>lb/a</w:t>
            </w:r>
          </w:p>
        </w:tc>
        <w:tc>
          <w:tcPr>
            <w:tcW w:w="526" w:type="dxa"/>
          </w:tcPr>
          <w:p w14:paraId="485FFB30">
            <w:pPr>
              <w:pStyle w:val="91"/>
              <w:keepNext w:val="0"/>
              <w:keepLines w:val="0"/>
              <w:suppressLineNumbers w:val="0"/>
              <w:spacing w:before="0" w:beforeAutospacing="0" w:after="0" w:afterAutospacing="0"/>
              <w:ind w:left="0" w:right="0"/>
              <w:rPr>
                <w:rFonts w:hint="default"/>
                <w:b/>
                <w:color w:val="auto"/>
              </w:rPr>
            </w:pPr>
            <w:r>
              <w:rPr>
                <w:rFonts w:hint="eastAsia"/>
                <w:b/>
                <w:color w:val="auto"/>
              </w:rPr>
              <w:t>L</w:t>
            </w:r>
            <w:r>
              <w:rPr>
                <w:rFonts w:hint="default"/>
                <w:b/>
                <w:color w:val="auto"/>
                <w:vertAlign w:val="subscript"/>
              </w:rPr>
              <w:t>R</w:t>
            </w:r>
            <w:r>
              <w:rPr>
                <w:rFonts w:hint="eastAsia"/>
                <w:b/>
                <w:color w:val="auto"/>
              </w:rPr>
              <w:t>（</w:t>
            </w:r>
            <w:r>
              <w:rPr>
                <w:rFonts w:hint="default"/>
                <w:b/>
                <w:color w:val="auto"/>
              </w:rPr>
              <w:t>lb/a</w:t>
            </w:r>
            <w:r>
              <w:rPr>
                <w:rFonts w:hint="eastAsia"/>
                <w:b/>
                <w:color w:val="auto"/>
              </w:rPr>
              <w:t>）</w:t>
            </w:r>
          </w:p>
        </w:tc>
        <w:tc>
          <w:tcPr>
            <w:tcW w:w="526" w:type="dxa"/>
          </w:tcPr>
          <w:p w14:paraId="25344106">
            <w:pPr>
              <w:pStyle w:val="91"/>
              <w:keepNext w:val="0"/>
              <w:keepLines w:val="0"/>
              <w:suppressLineNumbers w:val="0"/>
              <w:spacing w:before="0" w:beforeAutospacing="0" w:after="0" w:afterAutospacing="0"/>
              <w:ind w:left="0" w:right="0"/>
              <w:rPr>
                <w:rFonts w:hint="default"/>
                <w:b/>
                <w:color w:val="auto"/>
              </w:rPr>
            </w:pPr>
            <w:r>
              <w:rPr>
                <w:rFonts w:hint="eastAsia"/>
                <w:b/>
                <w:color w:val="auto"/>
              </w:rPr>
              <w:t>L</w:t>
            </w:r>
            <w:r>
              <w:rPr>
                <w:rFonts w:hint="default"/>
                <w:b/>
                <w:color w:val="auto"/>
                <w:vertAlign w:val="subscript"/>
              </w:rPr>
              <w:t>T</w:t>
            </w:r>
            <w:r>
              <w:rPr>
                <w:rFonts w:hint="eastAsia"/>
                <w:b/>
                <w:color w:val="auto"/>
              </w:rPr>
              <w:t>（</w:t>
            </w:r>
            <w:r>
              <w:rPr>
                <w:rFonts w:hint="default"/>
                <w:b/>
                <w:color w:val="auto"/>
              </w:rPr>
              <w:t>lb/a</w:t>
            </w:r>
            <w:r>
              <w:rPr>
                <w:rFonts w:hint="eastAsia"/>
                <w:b/>
                <w:color w:val="auto"/>
              </w:rPr>
              <w:t>）</w:t>
            </w:r>
          </w:p>
        </w:tc>
        <w:tc>
          <w:tcPr>
            <w:tcW w:w="771" w:type="dxa"/>
          </w:tcPr>
          <w:p w14:paraId="60AF3BD3">
            <w:pPr>
              <w:pStyle w:val="91"/>
              <w:keepNext w:val="0"/>
              <w:keepLines w:val="0"/>
              <w:suppressLineNumbers w:val="0"/>
              <w:spacing w:before="0" w:beforeAutospacing="0" w:after="0" w:afterAutospacing="0"/>
              <w:ind w:left="0" w:right="0"/>
              <w:rPr>
                <w:rFonts w:hint="default"/>
                <w:b/>
                <w:color w:val="auto"/>
              </w:rPr>
            </w:pPr>
            <w:r>
              <w:rPr>
                <w:rFonts w:hint="eastAsia"/>
                <w:b/>
                <w:color w:val="auto"/>
              </w:rPr>
              <w:t>产生</w:t>
            </w:r>
            <w:r>
              <w:rPr>
                <w:rFonts w:hint="default"/>
                <w:b/>
                <w:color w:val="auto"/>
              </w:rPr>
              <w:t>量（</w:t>
            </w:r>
            <w:r>
              <w:rPr>
                <w:rFonts w:hint="eastAsia"/>
                <w:b/>
                <w:color w:val="auto"/>
              </w:rPr>
              <w:t>t/a</w:t>
            </w:r>
            <w:r>
              <w:rPr>
                <w:rFonts w:hint="default"/>
                <w:b/>
                <w:color w:val="auto"/>
              </w:rPr>
              <w:t>）</w:t>
            </w:r>
          </w:p>
        </w:tc>
      </w:tr>
      <w:tr w14:paraId="6F17D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182" w:type="dxa"/>
            <w:vAlign w:val="center"/>
          </w:tcPr>
          <w:p w14:paraId="6313093C">
            <w:pPr>
              <w:pStyle w:val="167"/>
              <w:keepNext w:val="0"/>
              <w:keepLines w:val="0"/>
              <w:suppressLineNumbers w:val="0"/>
              <w:spacing w:before="0" w:beforeAutospacing="0" w:after="0" w:afterAutospacing="0"/>
              <w:ind w:right="0"/>
              <w:rPr>
                <w:rFonts w:hint="default"/>
                <w:color w:val="auto"/>
              </w:rPr>
            </w:pPr>
            <w:r>
              <w:rPr>
                <w:rFonts w:hint="eastAsia"/>
                <w:color w:val="auto"/>
              </w:rPr>
              <w:t>甲基叔丁基醚（MTBE）</w:t>
            </w:r>
          </w:p>
        </w:tc>
        <w:tc>
          <w:tcPr>
            <w:tcW w:w="584" w:type="dxa"/>
            <w:vAlign w:val="center"/>
          </w:tcPr>
          <w:p w14:paraId="6C562ADF">
            <w:pPr>
              <w:pStyle w:val="167"/>
              <w:keepNext w:val="0"/>
              <w:keepLines w:val="0"/>
              <w:suppressLineNumbers w:val="0"/>
              <w:spacing w:before="0" w:beforeAutospacing="0" w:after="0" w:afterAutospacing="0"/>
              <w:ind w:right="0"/>
              <w:rPr>
                <w:rFonts w:hint="default"/>
                <w:color w:val="auto"/>
              </w:rPr>
            </w:pPr>
            <w:r>
              <w:rPr>
                <w:rFonts w:hint="default"/>
                <w:color w:val="auto"/>
              </w:rPr>
              <w:t>3.92</w:t>
            </w:r>
          </w:p>
        </w:tc>
        <w:tc>
          <w:tcPr>
            <w:tcW w:w="823" w:type="dxa"/>
            <w:vAlign w:val="center"/>
          </w:tcPr>
          <w:p w14:paraId="40B79251">
            <w:pPr>
              <w:pStyle w:val="167"/>
              <w:keepNext w:val="0"/>
              <w:keepLines w:val="0"/>
              <w:suppressLineNumbers w:val="0"/>
              <w:spacing w:before="0" w:beforeAutospacing="0" w:after="0" w:afterAutospacing="0"/>
              <w:ind w:right="0"/>
              <w:rPr>
                <w:rFonts w:hint="default"/>
                <w:color w:val="auto"/>
              </w:rPr>
            </w:pPr>
            <w:r>
              <w:rPr>
                <w:rFonts w:hint="default"/>
                <w:color w:val="auto"/>
              </w:rPr>
              <w:t>14.70</w:t>
            </w:r>
          </w:p>
        </w:tc>
        <w:tc>
          <w:tcPr>
            <w:tcW w:w="612" w:type="dxa"/>
            <w:vAlign w:val="center"/>
          </w:tcPr>
          <w:p w14:paraId="5D74F714">
            <w:pPr>
              <w:pStyle w:val="167"/>
              <w:keepNext w:val="0"/>
              <w:keepLines w:val="0"/>
              <w:suppressLineNumbers w:val="0"/>
              <w:spacing w:before="0" w:beforeAutospacing="0" w:after="0" w:afterAutospacing="0"/>
              <w:ind w:right="0"/>
              <w:rPr>
                <w:rFonts w:hint="default"/>
                <w:color w:val="auto"/>
              </w:rPr>
            </w:pPr>
            <w:r>
              <w:rPr>
                <w:rFonts w:hint="default"/>
                <w:color w:val="auto"/>
              </w:rPr>
              <w:t>0.077</w:t>
            </w:r>
          </w:p>
        </w:tc>
        <w:tc>
          <w:tcPr>
            <w:tcW w:w="756" w:type="dxa"/>
            <w:vAlign w:val="center"/>
          </w:tcPr>
          <w:p w14:paraId="6B37A94F">
            <w:pPr>
              <w:pStyle w:val="167"/>
              <w:keepNext w:val="0"/>
              <w:keepLines w:val="0"/>
              <w:suppressLineNumbers w:val="0"/>
              <w:spacing w:before="0" w:beforeAutospacing="0" w:after="0" w:afterAutospacing="0"/>
              <w:ind w:right="0"/>
              <w:rPr>
                <w:rFonts w:hint="default"/>
                <w:color w:val="auto"/>
              </w:rPr>
            </w:pPr>
            <w:r>
              <w:rPr>
                <w:rFonts w:hint="default"/>
                <w:color w:val="auto"/>
              </w:rPr>
              <w:t>28</w:t>
            </w:r>
          </w:p>
        </w:tc>
        <w:tc>
          <w:tcPr>
            <w:tcW w:w="787" w:type="dxa"/>
            <w:vAlign w:val="center"/>
          </w:tcPr>
          <w:p w14:paraId="51671CE1">
            <w:pPr>
              <w:pStyle w:val="167"/>
              <w:keepNext w:val="0"/>
              <w:keepLines w:val="0"/>
              <w:suppressLineNumbers w:val="0"/>
              <w:spacing w:before="0" w:beforeAutospacing="0" w:after="0" w:afterAutospacing="0"/>
              <w:ind w:right="0"/>
              <w:rPr>
                <w:rFonts w:hint="default"/>
                <w:color w:val="auto"/>
              </w:rPr>
            </w:pPr>
            <w:r>
              <w:rPr>
                <w:rFonts w:hint="default"/>
                <w:color w:val="auto"/>
              </w:rPr>
              <w:t>88.15</w:t>
            </w:r>
          </w:p>
        </w:tc>
        <w:tc>
          <w:tcPr>
            <w:tcW w:w="690" w:type="dxa"/>
            <w:vAlign w:val="center"/>
          </w:tcPr>
          <w:p w14:paraId="7BCBD434">
            <w:pPr>
              <w:pStyle w:val="167"/>
              <w:keepNext w:val="0"/>
              <w:keepLines w:val="0"/>
              <w:suppressLineNumbers w:val="0"/>
              <w:spacing w:before="0" w:beforeAutospacing="0" w:after="0" w:afterAutospacing="0"/>
              <w:ind w:right="0"/>
              <w:rPr>
                <w:rFonts w:hint="default"/>
                <w:color w:val="auto"/>
              </w:rPr>
            </w:pPr>
            <w:r>
              <w:rPr>
                <w:rFonts w:hint="eastAsia"/>
                <w:color w:val="auto"/>
              </w:rPr>
              <w:t>10</w:t>
            </w:r>
          </w:p>
        </w:tc>
        <w:tc>
          <w:tcPr>
            <w:tcW w:w="829" w:type="dxa"/>
            <w:vAlign w:val="center"/>
          </w:tcPr>
          <w:p w14:paraId="5598C161">
            <w:pPr>
              <w:pStyle w:val="167"/>
              <w:keepNext w:val="0"/>
              <w:keepLines w:val="0"/>
              <w:suppressLineNumbers w:val="0"/>
              <w:spacing w:before="0" w:beforeAutospacing="0" w:after="0" w:afterAutospacing="0"/>
              <w:ind w:right="0"/>
              <w:rPr>
                <w:rFonts w:hint="default"/>
                <w:color w:val="auto"/>
              </w:rPr>
            </w:pPr>
            <w:r>
              <w:rPr>
                <w:rFonts w:hint="default"/>
                <w:color w:val="auto"/>
              </w:rPr>
              <w:t>0.74</w:t>
            </w:r>
          </w:p>
        </w:tc>
        <w:tc>
          <w:tcPr>
            <w:tcW w:w="791" w:type="dxa"/>
            <w:vAlign w:val="center"/>
          </w:tcPr>
          <w:p w14:paraId="603F950E">
            <w:pPr>
              <w:pStyle w:val="167"/>
              <w:keepNext w:val="0"/>
              <w:keepLines w:val="0"/>
              <w:suppressLineNumbers w:val="0"/>
              <w:spacing w:before="0" w:beforeAutospacing="0" w:after="0" w:afterAutospacing="0"/>
              <w:ind w:right="0"/>
              <w:rPr>
                <w:rFonts w:hint="default"/>
                <w:color w:val="auto"/>
              </w:rPr>
            </w:pPr>
            <w:r>
              <w:rPr>
                <w:rFonts w:hint="default"/>
                <w:color w:val="auto"/>
              </w:rPr>
              <w:t>701.1</w:t>
            </w:r>
          </w:p>
        </w:tc>
        <w:tc>
          <w:tcPr>
            <w:tcW w:w="526" w:type="dxa"/>
            <w:vAlign w:val="center"/>
          </w:tcPr>
          <w:p w14:paraId="02462CBB">
            <w:pPr>
              <w:pStyle w:val="167"/>
              <w:keepNext w:val="0"/>
              <w:keepLines w:val="0"/>
              <w:suppressLineNumbers w:val="0"/>
              <w:spacing w:before="0" w:beforeAutospacing="0" w:after="0" w:afterAutospacing="0"/>
              <w:ind w:right="0"/>
              <w:rPr>
                <w:rFonts w:hint="default"/>
                <w:color w:val="auto"/>
              </w:rPr>
            </w:pPr>
            <w:r>
              <w:rPr>
                <w:rFonts w:hint="default"/>
                <w:color w:val="auto"/>
              </w:rPr>
              <w:t>80.8</w:t>
            </w:r>
          </w:p>
        </w:tc>
        <w:tc>
          <w:tcPr>
            <w:tcW w:w="526" w:type="dxa"/>
            <w:vAlign w:val="center"/>
          </w:tcPr>
          <w:p w14:paraId="592EB1F6">
            <w:pPr>
              <w:pStyle w:val="167"/>
              <w:keepNext w:val="0"/>
              <w:keepLines w:val="0"/>
              <w:suppressLineNumbers w:val="0"/>
              <w:spacing w:before="0" w:beforeAutospacing="0" w:after="0" w:afterAutospacing="0"/>
              <w:ind w:right="0"/>
              <w:rPr>
                <w:rFonts w:hint="default"/>
                <w:color w:val="auto"/>
              </w:rPr>
            </w:pPr>
            <w:r>
              <w:rPr>
                <w:rFonts w:hint="default"/>
                <w:color w:val="auto"/>
              </w:rPr>
              <w:t>1377.4</w:t>
            </w:r>
          </w:p>
        </w:tc>
        <w:tc>
          <w:tcPr>
            <w:tcW w:w="526" w:type="dxa"/>
            <w:vAlign w:val="center"/>
          </w:tcPr>
          <w:p w14:paraId="6F6E14C4">
            <w:pPr>
              <w:pStyle w:val="167"/>
              <w:keepNext w:val="0"/>
              <w:keepLines w:val="0"/>
              <w:suppressLineNumbers w:val="0"/>
              <w:spacing w:before="0" w:beforeAutospacing="0" w:after="0" w:afterAutospacing="0"/>
              <w:ind w:right="0"/>
              <w:rPr>
                <w:rFonts w:hint="default"/>
                <w:color w:val="auto"/>
              </w:rPr>
            </w:pPr>
            <w:r>
              <w:rPr>
                <w:rFonts w:hint="default"/>
                <w:color w:val="auto"/>
              </w:rPr>
              <w:t>2159.3</w:t>
            </w:r>
          </w:p>
        </w:tc>
        <w:tc>
          <w:tcPr>
            <w:tcW w:w="771" w:type="dxa"/>
            <w:vAlign w:val="center"/>
          </w:tcPr>
          <w:p w14:paraId="6D1F9158">
            <w:pPr>
              <w:pStyle w:val="167"/>
              <w:keepNext w:val="0"/>
              <w:keepLines w:val="0"/>
              <w:suppressLineNumbers w:val="0"/>
              <w:spacing w:before="0" w:beforeAutospacing="0" w:after="0" w:afterAutospacing="0"/>
              <w:ind w:right="0"/>
              <w:rPr>
                <w:rFonts w:hint="default"/>
                <w:color w:val="auto"/>
              </w:rPr>
            </w:pPr>
            <w:r>
              <w:rPr>
                <w:rFonts w:hint="default"/>
                <w:color w:val="auto"/>
              </w:rPr>
              <w:t>0.98</w:t>
            </w:r>
          </w:p>
        </w:tc>
      </w:tr>
      <w:tr w14:paraId="098AD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182" w:type="dxa"/>
            <w:vAlign w:val="center"/>
          </w:tcPr>
          <w:p w14:paraId="01A3B1B3">
            <w:pPr>
              <w:pStyle w:val="167"/>
              <w:keepNext w:val="0"/>
              <w:keepLines w:val="0"/>
              <w:suppressLineNumbers w:val="0"/>
              <w:spacing w:before="0" w:beforeAutospacing="0" w:after="0" w:afterAutospacing="0"/>
              <w:ind w:right="0"/>
              <w:rPr>
                <w:rFonts w:hint="default"/>
                <w:color w:val="auto"/>
              </w:rPr>
            </w:pPr>
            <w:r>
              <w:rPr>
                <w:rFonts w:hint="eastAsia"/>
                <w:color w:val="auto"/>
              </w:rPr>
              <w:t>石脑油</w:t>
            </w:r>
          </w:p>
        </w:tc>
        <w:tc>
          <w:tcPr>
            <w:tcW w:w="584" w:type="dxa"/>
            <w:vAlign w:val="center"/>
          </w:tcPr>
          <w:p w14:paraId="7FE4DF7D">
            <w:pPr>
              <w:pStyle w:val="167"/>
              <w:keepNext w:val="0"/>
              <w:keepLines w:val="0"/>
              <w:suppressLineNumbers w:val="0"/>
              <w:spacing w:before="0" w:beforeAutospacing="0" w:after="0" w:afterAutospacing="0"/>
              <w:ind w:right="0"/>
              <w:rPr>
                <w:rFonts w:hint="default"/>
                <w:color w:val="auto"/>
              </w:rPr>
            </w:pPr>
            <w:r>
              <w:rPr>
                <w:rFonts w:hint="default"/>
                <w:color w:val="auto"/>
              </w:rPr>
              <w:t>7.76</w:t>
            </w:r>
          </w:p>
        </w:tc>
        <w:tc>
          <w:tcPr>
            <w:tcW w:w="823" w:type="dxa"/>
            <w:vAlign w:val="center"/>
          </w:tcPr>
          <w:p w14:paraId="0A5EB8D9">
            <w:pPr>
              <w:pStyle w:val="167"/>
              <w:keepNext w:val="0"/>
              <w:keepLines w:val="0"/>
              <w:suppressLineNumbers w:val="0"/>
              <w:spacing w:before="0" w:beforeAutospacing="0" w:after="0" w:afterAutospacing="0"/>
              <w:ind w:right="0"/>
              <w:rPr>
                <w:rFonts w:hint="default"/>
                <w:color w:val="auto"/>
              </w:rPr>
            </w:pPr>
            <w:r>
              <w:rPr>
                <w:rFonts w:hint="default"/>
                <w:color w:val="auto"/>
              </w:rPr>
              <w:t>14.70</w:t>
            </w:r>
          </w:p>
        </w:tc>
        <w:tc>
          <w:tcPr>
            <w:tcW w:w="612" w:type="dxa"/>
            <w:vAlign w:val="center"/>
          </w:tcPr>
          <w:p w14:paraId="6EE61434">
            <w:pPr>
              <w:pStyle w:val="167"/>
              <w:keepNext w:val="0"/>
              <w:keepLines w:val="0"/>
              <w:suppressLineNumbers w:val="0"/>
              <w:spacing w:before="0" w:beforeAutospacing="0" w:after="0" w:afterAutospacing="0"/>
              <w:ind w:right="0"/>
              <w:rPr>
                <w:rFonts w:hint="default"/>
                <w:color w:val="auto"/>
              </w:rPr>
            </w:pPr>
            <w:r>
              <w:rPr>
                <w:rFonts w:hint="default"/>
                <w:color w:val="auto"/>
              </w:rPr>
              <w:t>0.186</w:t>
            </w:r>
          </w:p>
        </w:tc>
        <w:tc>
          <w:tcPr>
            <w:tcW w:w="756" w:type="dxa"/>
            <w:vAlign w:val="center"/>
          </w:tcPr>
          <w:p w14:paraId="0BA1F1A6">
            <w:pPr>
              <w:pStyle w:val="167"/>
              <w:keepNext w:val="0"/>
              <w:keepLines w:val="0"/>
              <w:suppressLineNumbers w:val="0"/>
              <w:spacing w:before="0" w:beforeAutospacing="0" w:after="0" w:afterAutospacing="0"/>
              <w:ind w:right="0"/>
              <w:rPr>
                <w:rFonts w:hint="default"/>
                <w:color w:val="auto"/>
              </w:rPr>
            </w:pPr>
            <w:r>
              <w:rPr>
                <w:rFonts w:hint="default"/>
                <w:color w:val="auto"/>
              </w:rPr>
              <w:t>28</w:t>
            </w:r>
          </w:p>
        </w:tc>
        <w:tc>
          <w:tcPr>
            <w:tcW w:w="787" w:type="dxa"/>
            <w:vAlign w:val="center"/>
          </w:tcPr>
          <w:p w14:paraId="5EC0305D">
            <w:pPr>
              <w:pStyle w:val="167"/>
              <w:keepNext w:val="0"/>
              <w:keepLines w:val="0"/>
              <w:suppressLineNumbers w:val="0"/>
              <w:spacing w:before="0" w:beforeAutospacing="0" w:after="0" w:afterAutospacing="0"/>
              <w:ind w:right="0"/>
              <w:rPr>
                <w:rFonts w:hint="default"/>
                <w:color w:val="auto"/>
              </w:rPr>
            </w:pPr>
            <w:r>
              <w:rPr>
                <w:rFonts w:hint="default"/>
                <w:color w:val="auto"/>
              </w:rPr>
              <w:t>114.23</w:t>
            </w:r>
          </w:p>
        </w:tc>
        <w:tc>
          <w:tcPr>
            <w:tcW w:w="690" w:type="dxa"/>
            <w:vAlign w:val="center"/>
          </w:tcPr>
          <w:p w14:paraId="0E0C4F6F">
            <w:pPr>
              <w:pStyle w:val="167"/>
              <w:keepNext w:val="0"/>
              <w:keepLines w:val="0"/>
              <w:suppressLineNumbers w:val="0"/>
              <w:spacing w:before="0" w:beforeAutospacing="0" w:after="0" w:afterAutospacing="0"/>
              <w:ind w:right="0"/>
              <w:rPr>
                <w:rFonts w:hint="default"/>
                <w:color w:val="auto"/>
              </w:rPr>
            </w:pPr>
            <w:r>
              <w:rPr>
                <w:rFonts w:hint="eastAsia"/>
                <w:color w:val="auto"/>
              </w:rPr>
              <w:t>10</w:t>
            </w:r>
          </w:p>
        </w:tc>
        <w:tc>
          <w:tcPr>
            <w:tcW w:w="829" w:type="dxa"/>
            <w:vAlign w:val="center"/>
          </w:tcPr>
          <w:p w14:paraId="094FFB2B">
            <w:pPr>
              <w:pStyle w:val="167"/>
              <w:keepNext w:val="0"/>
              <w:keepLines w:val="0"/>
              <w:suppressLineNumbers w:val="0"/>
              <w:spacing w:before="0" w:beforeAutospacing="0" w:after="0" w:afterAutospacing="0"/>
              <w:ind w:right="0"/>
              <w:rPr>
                <w:rFonts w:hint="default"/>
                <w:color w:val="auto"/>
              </w:rPr>
            </w:pPr>
            <w:r>
              <w:rPr>
                <w:rFonts w:hint="default"/>
                <w:color w:val="auto"/>
              </w:rPr>
              <w:t>0.667</w:t>
            </w:r>
          </w:p>
        </w:tc>
        <w:tc>
          <w:tcPr>
            <w:tcW w:w="791" w:type="dxa"/>
            <w:vAlign w:val="center"/>
          </w:tcPr>
          <w:p w14:paraId="5C6349AE">
            <w:pPr>
              <w:pStyle w:val="167"/>
              <w:keepNext w:val="0"/>
              <w:keepLines w:val="0"/>
              <w:suppressLineNumbers w:val="0"/>
              <w:spacing w:before="0" w:beforeAutospacing="0" w:after="0" w:afterAutospacing="0"/>
              <w:ind w:right="0"/>
              <w:rPr>
                <w:rFonts w:hint="default"/>
                <w:color w:val="auto"/>
              </w:rPr>
            </w:pPr>
            <w:r>
              <w:rPr>
                <w:rFonts w:hint="default"/>
                <w:color w:val="auto"/>
              </w:rPr>
              <w:t>2181.2</w:t>
            </w:r>
          </w:p>
        </w:tc>
        <w:tc>
          <w:tcPr>
            <w:tcW w:w="526" w:type="dxa"/>
            <w:vAlign w:val="center"/>
          </w:tcPr>
          <w:p w14:paraId="680E86BA">
            <w:pPr>
              <w:pStyle w:val="167"/>
              <w:keepNext w:val="0"/>
              <w:keepLines w:val="0"/>
              <w:suppressLineNumbers w:val="0"/>
              <w:spacing w:before="0" w:beforeAutospacing="0" w:after="0" w:afterAutospacing="0"/>
              <w:ind w:right="0"/>
              <w:rPr>
                <w:rFonts w:hint="default"/>
                <w:color w:val="auto"/>
              </w:rPr>
            </w:pPr>
            <w:r>
              <w:rPr>
                <w:rFonts w:hint="default"/>
                <w:color w:val="auto"/>
              </w:rPr>
              <w:t>80.8</w:t>
            </w:r>
          </w:p>
        </w:tc>
        <w:tc>
          <w:tcPr>
            <w:tcW w:w="526" w:type="dxa"/>
            <w:vAlign w:val="center"/>
          </w:tcPr>
          <w:p w14:paraId="10538AB4">
            <w:pPr>
              <w:pStyle w:val="167"/>
              <w:keepNext w:val="0"/>
              <w:keepLines w:val="0"/>
              <w:suppressLineNumbers w:val="0"/>
              <w:spacing w:before="0" w:beforeAutospacing="0" w:after="0" w:afterAutospacing="0"/>
              <w:ind w:right="0"/>
              <w:rPr>
                <w:rFonts w:hint="default"/>
                <w:color w:val="auto"/>
              </w:rPr>
            </w:pPr>
            <w:r>
              <w:rPr>
                <w:rFonts w:hint="default"/>
                <w:color w:val="auto"/>
              </w:rPr>
              <w:t>4285.1</w:t>
            </w:r>
          </w:p>
        </w:tc>
        <w:tc>
          <w:tcPr>
            <w:tcW w:w="526" w:type="dxa"/>
            <w:vAlign w:val="center"/>
          </w:tcPr>
          <w:p w14:paraId="6FFCDBE7">
            <w:pPr>
              <w:pStyle w:val="167"/>
              <w:keepNext w:val="0"/>
              <w:keepLines w:val="0"/>
              <w:suppressLineNumbers w:val="0"/>
              <w:spacing w:before="0" w:beforeAutospacing="0" w:after="0" w:afterAutospacing="0"/>
              <w:ind w:right="0"/>
              <w:rPr>
                <w:rFonts w:hint="default"/>
                <w:color w:val="auto"/>
              </w:rPr>
            </w:pPr>
            <w:r>
              <w:rPr>
                <w:rFonts w:hint="default"/>
                <w:color w:val="auto"/>
              </w:rPr>
              <w:t>6547.2</w:t>
            </w:r>
          </w:p>
        </w:tc>
        <w:tc>
          <w:tcPr>
            <w:tcW w:w="771" w:type="dxa"/>
            <w:vAlign w:val="center"/>
          </w:tcPr>
          <w:p w14:paraId="528D15D1">
            <w:pPr>
              <w:pStyle w:val="167"/>
              <w:keepNext w:val="0"/>
              <w:keepLines w:val="0"/>
              <w:suppressLineNumbers w:val="0"/>
              <w:spacing w:before="0" w:beforeAutospacing="0" w:after="0" w:afterAutospacing="0"/>
              <w:ind w:right="0"/>
              <w:rPr>
                <w:rFonts w:hint="default"/>
                <w:color w:val="auto"/>
              </w:rPr>
            </w:pPr>
            <w:r>
              <w:rPr>
                <w:rFonts w:hint="default"/>
                <w:color w:val="auto"/>
              </w:rPr>
              <w:t>2.97</w:t>
            </w:r>
          </w:p>
        </w:tc>
      </w:tr>
      <w:tr w14:paraId="20472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182" w:type="dxa"/>
            <w:vAlign w:val="center"/>
          </w:tcPr>
          <w:p w14:paraId="2E933938">
            <w:pPr>
              <w:pStyle w:val="167"/>
              <w:keepNext w:val="0"/>
              <w:keepLines w:val="0"/>
              <w:suppressLineNumbers w:val="0"/>
              <w:spacing w:before="0" w:beforeAutospacing="0" w:after="0" w:afterAutospacing="0"/>
              <w:ind w:right="0"/>
              <w:rPr>
                <w:rFonts w:hint="default"/>
                <w:color w:val="auto"/>
              </w:rPr>
            </w:pPr>
            <w:r>
              <w:rPr>
                <w:rFonts w:hint="eastAsia"/>
                <w:color w:val="auto"/>
              </w:rPr>
              <w:t>异辛烷（烷基化油）</w:t>
            </w:r>
          </w:p>
        </w:tc>
        <w:tc>
          <w:tcPr>
            <w:tcW w:w="584" w:type="dxa"/>
            <w:vAlign w:val="center"/>
          </w:tcPr>
          <w:p w14:paraId="6106E625">
            <w:pPr>
              <w:pStyle w:val="167"/>
              <w:keepNext w:val="0"/>
              <w:keepLines w:val="0"/>
              <w:suppressLineNumbers w:val="0"/>
              <w:spacing w:before="0" w:beforeAutospacing="0" w:after="0" w:afterAutospacing="0"/>
              <w:ind w:right="0"/>
              <w:rPr>
                <w:rFonts w:hint="default"/>
                <w:color w:val="auto"/>
              </w:rPr>
            </w:pPr>
            <w:r>
              <w:rPr>
                <w:rFonts w:hint="default"/>
                <w:color w:val="auto"/>
              </w:rPr>
              <w:t>0.74</w:t>
            </w:r>
          </w:p>
        </w:tc>
        <w:tc>
          <w:tcPr>
            <w:tcW w:w="823" w:type="dxa"/>
            <w:vAlign w:val="center"/>
          </w:tcPr>
          <w:p w14:paraId="60B7FA3F">
            <w:pPr>
              <w:pStyle w:val="167"/>
              <w:keepNext w:val="0"/>
              <w:keepLines w:val="0"/>
              <w:suppressLineNumbers w:val="0"/>
              <w:spacing w:before="0" w:beforeAutospacing="0" w:after="0" w:afterAutospacing="0"/>
              <w:ind w:right="0"/>
              <w:rPr>
                <w:rFonts w:hint="default"/>
                <w:color w:val="auto"/>
              </w:rPr>
            </w:pPr>
            <w:r>
              <w:rPr>
                <w:rFonts w:hint="default"/>
                <w:color w:val="auto"/>
              </w:rPr>
              <w:t>14.70</w:t>
            </w:r>
          </w:p>
        </w:tc>
        <w:tc>
          <w:tcPr>
            <w:tcW w:w="612" w:type="dxa"/>
            <w:vAlign w:val="center"/>
          </w:tcPr>
          <w:p w14:paraId="0D0836CE">
            <w:pPr>
              <w:pStyle w:val="167"/>
              <w:keepNext w:val="0"/>
              <w:keepLines w:val="0"/>
              <w:suppressLineNumbers w:val="0"/>
              <w:spacing w:before="0" w:beforeAutospacing="0" w:after="0" w:afterAutospacing="0"/>
              <w:ind w:right="0"/>
              <w:rPr>
                <w:rFonts w:hint="default"/>
                <w:color w:val="auto"/>
              </w:rPr>
            </w:pPr>
            <w:r>
              <w:rPr>
                <w:rFonts w:hint="default"/>
                <w:color w:val="auto"/>
              </w:rPr>
              <w:t>0.013</w:t>
            </w:r>
          </w:p>
        </w:tc>
        <w:tc>
          <w:tcPr>
            <w:tcW w:w="756" w:type="dxa"/>
            <w:vAlign w:val="center"/>
          </w:tcPr>
          <w:p w14:paraId="0F2B303D">
            <w:pPr>
              <w:pStyle w:val="167"/>
              <w:keepNext w:val="0"/>
              <w:keepLines w:val="0"/>
              <w:suppressLineNumbers w:val="0"/>
              <w:spacing w:before="0" w:beforeAutospacing="0" w:after="0" w:afterAutospacing="0"/>
              <w:ind w:right="0"/>
              <w:rPr>
                <w:rFonts w:hint="default"/>
                <w:color w:val="auto"/>
              </w:rPr>
            </w:pPr>
            <w:r>
              <w:rPr>
                <w:rFonts w:hint="default"/>
                <w:color w:val="auto"/>
              </w:rPr>
              <w:t>28</w:t>
            </w:r>
          </w:p>
        </w:tc>
        <w:tc>
          <w:tcPr>
            <w:tcW w:w="787" w:type="dxa"/>
            <w:vAlign w:val="center"/>
          </w:tcPr>
          <w:p w14:paraId="06E65EDE">
            <w:pPr>
              <w:pStyle w:val="167"/>
              <w:keepNext w:val="0"/>
              <w:keepLines w:val="0"/>
              <w:suppressLineNumbers w:val="0"/>
              <w:spacing w:before="0" w:beforeAutospacing="0" w:after="0" w:afterAutospacing="0"/>
              <w:ind w:right="0"/>
              <w:rPr>
                <w:rFonts w:hint="default"/>
                <w:color w:val="auto"/>
              </w:rPr>
            </w:pPr>
            <w:r>
              <w:rPr>
                <w:rFonts w:hint="default"/>
                <w:color w:val="auto"/>
              </w:rPr>
              <w:t>114</w:t>
            </w:r>
          </w:p>
        </w:tc>
        <w:tc>
          <w:tcPr>
            <w:tcW w:w="690" w:type="dxa"/>
            <w:vAlign w:val="center"/>
          </w:tcPr>
          <w:p w14:paraId="4ED221CC">
            <w:pPr>
              <w:pStyle w:val="167"/>
              <w:keepNext w:val="0"/>
              <w:keepLines w:val="0"/>
              <w:suppressLineNumbers w:val="0"/>
              <w:spacing w:before="0" w:beforeAutospacing="0" w:after="0" w:afterAutospacing="0"/>
              <w:ind w:right="0"/>
              <w:rPr>
                <w:rFonts w:hint="default"/>
                <w:color w:val="auto"/>
              </w:rPr>
            </w:pPr>
            <w:r>
              <w:rPr>
                <w:rFonts w:hint="eastAsia"/>
                <w:color w:val="auto"/>
              </w:rPr>
              <w:t>10</w:t>
            </w:r>
          </w:p>
        </w:tc>
        <w:tc>
          <w:tcPr>
            <w:tcW w:w="829" w:type="dxa"/>
            <w:vAlign w:val="center"/>
          </w:tcPr>
          <w:p w14:paraId="6E675CF5">
            <w:pPr>
              <w:pStyle w:val="167"/>
              <w:keepNext w:val="0"/>
              <w:keepLines w:val="0"/>
              <w:suppressLineNumbers w:val="0"/>
              <w:spacing w:before="0" w:beforeAutospacing="0" w:after="0" w:afterAutospacing="0"/>
              <w:ind w:right="0"/>
              <w:rPr>
                <w:rFonts w:hint="default"/>
                <w:color w:val="auto"/>
              </w:rPr>
            </w:pPr>
            <w:r>
              <w:rPr>
                <w:rFonts w:hint="default"/>
                <w:color w:val="auto"/>
              </w:rPr>
              <w:t>0.69</w:t>
            </w:r>
          </w:p>
        </w:tc>
        <w:tc>
          <w:tcPr>
            <w:tcW w:w="791" w:type="dxa"/>
            <w:vAlign w:val="center"/>
          </w:tcPr>
          <w:p w14:paraId="0E6618A5">
            <w:pPr>
              <w:pStyle w:val="167"/>
              <w:keepNext w:val="0"/>
              <w:keepLines w:val="0"/>
              <w:suppressLineNumbers w:val="0"/>
              <w:spacing w:before="0" w:beforeAutospacing="0" w:after="0" w:afterAutospacing="0"/>
              <w:ind w:right="0"/>
              <w:rPr>
                <w:rFonts w:hint="default"/>
                <w:color w:val="auto"/>
              </w:rPr>
            </w:pPr>
            <w:r>
              <w:rPr>
                <w:rFonts w:hint="default"/>
                <w:color w:val="auto"/>
              </w:rPr>
              <w:t>151.4</w:t>
            </w:r>
          </w:p>
        </w:tc>
        <w:tc>
          <w:tcPr>
            <w:tcW w:w="526" w:type="dxa"/>
            <w:vAlign w:val="center"/>
          </w:tcPr>
          <w:p w14:paraId="7DCC2C4F">
            <w:pPr>
              <w:pStyle w:val="167"/>
              <w:keepNext w:val="0"/>
              <w:keepLines w:val="0"/>
              <w:suppressLineNumbers w:val="0"/>
              <w:spacing w:before="0" w:beforeAutospacing="0" w:after="0" w:afterAutospacing="0"/>
              <w:ind w:right="0"/>
              <w:rPr>
                <w:rFonts w:hint="default"/>
                <w:color w:val="auto"/>
              </w:rPr>
            </w:pPr>
            <w:r>
              <w:rPr>
                <w:rFonts w:hint="default"/>
                <w:color w:val="auto"/>
              </w:rPr>
              <w:t>80.8</w:t>
            </w:r>
          </w:p>
        </w:tc>
        <w:tc>
          <w:tcPr>
            <w:tcW w:w="526" w:type="dxa"/>
            <w:vAlign w:val="center"/>
          </w:tcPr>
          <w:p w14:paraId="1CCCBFA6">
            <w:pPr>
              <w:pStyle w:val="167"/>
              <w:keepNext w:val="0"/>
              <w:keepLines w:val="0"/>
              <w:suppressLineNumbers w:val="0"/>
              <w:spacing w:before="0" w:beforeAutospacing="0" w:after="0" w:afterAutospacing="0"/>
              <w:ind w:right="0"/>
              <w:rPr>
                <w:rFonts w:hint="default"/>
                <w:color w:val="auto"/>
              </w:rPr>
            </w:pPr>
            <w:r>
              <w:rPr>
                <w:rFonts w:hint="default"/>
                <w:color w:val="auto"/>
              </w:rPr>
              <w:t>297.4</w:t>
            </w:r>
          </w:p>
        </w:tc>
        <w:tc>
          <w:tcPr>
            <w:tcW w:w="526" w:type="dxa"/>
            <w:vAlign w:val="center"/>
          </w:tcPr>
          <w:p w14:paraId="75E0FAF9">
            <w:pPr>
              <w:pStyle w:val="167"/>
              <w:keepNext w:val="0"/>
              <w:keepLines w:val="0"/>
              <w:suppressLineNumbers w:val="0"/>
              <w:spacing w:before="0" w:beforeAutospacing="0" w:after="0" w:afterAutospacing="0"/>
              <w:ind w:right="0"/>
              <w:rPr>
                <w:rFonts w:hint="default"/>
                <w:color w:val="auto"/>
              </w:rPr>
            </w:pPr>
            <w:r>
              <w:rPr>
                <w:rFonts w:hint="default"/>
                <w:color w:val="auto"/>
              </w:rPr>
              <w:t>529.7</w:t>
            </w:r>
          </w:p>
        </w:tc>
        <w:tc>
          <w:tcPr>
            <w:tcW w:w="771" w:type="dxa"/>
            <w:vAlign w:val="center"/>
          </w:tcPr>
          <w:p w14:paraId="53092116">
            <w:pPr>
              <w:pStyle w:val="167"/>
              <w:keepNext w:val="0"/>
              <w:keepLines w:val="0"/>
              <w:suppressLineNumbers w:val="0"/>
              <w:spacing w:before="0" w:beforeAutospacing="0" w:after="0" w:afterAutospacing="0"/>
              <w:ind w:right="0"/>
              <w:rPr>
                <w:rFonts w:hint="default"/>
                <w:color w:val="auto"/>
              </w:rPr>
            </w:pPr>
            <w:r>
              <w:rPr>
                <w:rFonts w:hint="default"/>
                <w:color w:val="auto"/>
              </w:rPr>
              <w:t>0.24</w:t>
            </w:r>
          </w:p>
        </w:tc>
      </w:tr>
      <w:tr w14:paraId="086BA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182" w:type="dxa"/>
            <w:vAlign w:val="center"/>
          </w:tcPr>
          <w:p w14:paraId="63ED989A">
            <w:pPr>
              <w:pStyle w:val="167"/>
              <w:keepNext w:val="0"/>
              <w:keepLines w:val="0"/>
              <w:suppressLineNumbers w:val="0"/>
              <w:spacing w:before="0" w:beforeAutospacing="0" w:after="0" w:afterAutospacing="0"/>
              <w:ind w:right="0"/>
              <w:rPr>
                <w:rFonts w:hint="default"/>
                <w:color w:val="auto"/>
              </w:rPr>
            </w:pPr>
            <w:r>
              <w:rPr>
                <w:rFonts w:hint="eastAsia"/>
                <w:color w:val="auto"/>
              </w:rPr>
              <w:t>蜡油</w:t>
            </w:r>
          </w:p>
        </w:tc>
        <w:tc>
          <w:tcPr>
            <w:tcW w:w="584" w:type="dxa"/>
            <w:vAlign w:val="center"/>
          </w:tcPr>
          <w:p w14:paraId="2D04306D">
            <w:pPr>
              <w:pStyle w:val="167"/>
              <w:keepNext w:val="0"/>
              <w:keepLines w:val="0"/>
              <w:suppressLineNumbers w:val="0"/>
              <w:spacing w:before="0" w:beforeAutospacing="0" w:after="0" w:afterAutospacing="0"/>
              <w:ind w:right="0"/>
              <w:rPr>
                <w:rFonts w:hint="default"/>
                <w:color w:val="auto"/>
              </w:rPr>
            </w:pPr>
            <w:r>
              <w:rPr>
                <w:rFonts w:hint="default"/>
                <w:color w:val="auto"/>
              </w:rPr>
              <w:t>0.0007</w:t>
            </w:r>
          </w:p>
        </w:tc>
        <w:tc>
          <w:tcPr>
            <w:tcW w:w="823" w:type="dxa"/>
            <w:vAlign w:val="center"/>
          </w:tcPr>
          <w:p w14:paraId="14C28F54">
            <w:pPr>
              <w:pStyle w:val="167"/>
              <w:keepNext w:val="0"/>
              <w:keepLines w:val="0"/>
              <w:suppressLineNumbers w:val="0"/>
              <w:spacing w:before="0" w:beforeAutospacing="0" w:after="0" w:afterAutospacing="0"/>
              <w:ind w:right="0"/>
              <w:rPr>
                <w:rFonts w:hint="default"/>
                <w:color w:val="auto"/>
              </w:rPr>
            </w:pPr>
            <w:r>
              <w:rPr>
                <w:rFonts w:hint="default"/>
                <w:color w:val="auto"/>
              </w:rPr>
              <w:t>14.70</w:t>
            </w:r>
          </w:p>
        </w:tc>
        <w:tc>
          <w:tcPr>
            <w:tcW w:w="612" w:type="dxa"/>
            <w:vAlign w:val="center"/>
          </w:tcPr>
          <w:p w14:paraId="0701592B">
            <w:pPr>
              <w:pStyle w:val="167"/>
              <w:keepNext w:val="0"/>
              <w:keepLines w:val="0"/>
              <w:suppressLineNumbers w:val="0"/>
              <w:spacing w:before="0" w:beforeAutospacing="0" w:after="0" w:afterAutospacing="0"/>
              <w:ind w:right="0"/>
              <w:rPr>
                <w:rFonts w:hint="default"/>
                <w:color w:val="auto"/>
              </w:rPr>
            </w:pPr>
            <w:r>
              <w:rPr>
                <w:rFonts w:hint="default"/>
                <w:color w:val="auto"/>
              </w:rPr>
              <w:t>0.026</w:t>
            </w:r>
          </w:p>
        </w:tc>
        <w:tc>
          <w:tcPr>
            <w:tcW w:w="756" w:type="dxa"/>
            <w:vAlign w:val="center"/>
          </w:tcPr>
          <w:p w14:paraId="59C67D51">
            <w:pPr>
              <w:pStyle w:val="167"/>
              <w:keepNext w:val="0"/>
              <w:keepLines w:val="0"/>
              <w:suppressLineNumbers w:val="0"/>
              <w:spacing w:before="0" w:beforeAutospacing="0" w:after="0" w:afterAutospacing="0"/>
              <w:ind w:right="0"/>
              <w:rPr>
                <w:rFonts w:hint="default"/>
                <w:color w:val="auto"/>
              </w:rPr>
            </w:pPr>
            <w:r>
              <w:rPr>
                <w:rFonts w:hint="default"/>
                <w:color w:val="auto"/>
              </w:rPr>
              <w:t>52</w:t>
            </w:r>
          </w:p>
        </w:tc>
        <w:tc>
          <w:tcPr>
            <w:tcW w:w="787" w:type="dxa"/>
            <w:vAlign w:val="center"/>
          </w:tcPr>
          <w:p w14:paraId="2EC27D32">
            <w:pPr>
              <w:pStyle w:val="167"/>
              <w:keepNext w:val="0"/>
              <w:keepLines w:val="0"/>
              <w:suppressLineNumbers w:val="0"/>
              <w:spacing w:before="0" w:beforeAutospacing="0" w:after="0" w:afterAutospacing="0"/>
              <w:ind w:right="0"/>
              <w:rPr>
                <w:rFonts w:hint="default"/>
                <w:color w:val="auto"/>
              </w:rPr>
            </w:pPr>
            <w:r>
              <w:rPr>
                <w:rFonts w:hint="default"/>
                <w:color w:val="auto"/>
              </w:rPr>
              <w:t>400</w:t>
            </w:r>
          </w:p>
        </w:tc>
        <w:tc>
          <w:tcPr>
            <w:tcW w:w="690" w:type="dxa"/>
            <w:vAlign w:val="center"/>
          </w:tcPr>
          <w:p w14:paraId="7649A8CC">
            <w:pPr>
              <w:pStyle w:val="167"/>
              <w:keepNext w:val="0"/>
              <w:keepLines w:val="0"/>
              <w:suppressLineNumbers w:val="0"/>
              <w:spacing w:before="0" w:beforeAutospacing="0" w:after="0" w:afterAutospacing="0"/>
              <w:ind w:right="0"/>
              <w:rPr>
                <w:rFonts w:hint="default"/>
                <w:color w:val="auto"/>
              </w:rPr>
            </w:pPr>
            <w:r>
              <w:rPr>
                <w:rFonts w:hint="eastAsia"/>
                <w:color w:val="auto"/>
              </w:rPr>
              <w:t>10</w:t>
            </w:r>
          </w:p>
        </w:tc>
        <w:tc>
          <w:tcPr>
            <w:tcW w:w="829" w:type="dxa"/>
            <w:vAlign w:val="center"/>
          </w:tcPr>
          <w:p w14:paraId="02DD9ED0">
            <w:pPr>
              <w:pStyle w:val="167"/>
              <w:keepNext w:val="0"/>
              <w:keepLines w:val="0"/>
              <w:suppressLineNumbers w:val="0"/>
              <w:spacing w:before="0" w:beforeAutospacing="0" w:after="0" w:afterAutospacing="0"/>
              <w:ind w:right="0"/>
              <w:rPr>
                <w:rFonts w:hint="default"/>
                <w:color w:val="auto"/>
              </w:rPr>
            </w:pPr>
            <w:r>
              <w:rPr>
                <w:rFonts w:hint="default"/>
                <w:color w:val="auto"/>
              </w:rPr>
              <w:t>0.93</w:t>
            </w:r>
          </w:p>
        </w:tc>
        <w:tc>
          <w:tcPr>
            <w:tcW w:w="791" w:type="dxa"/>
            <w:vAlign w:val="center"/>
          </w:tcPr>
          <w:p w14:paraId="0B22390E">
            <w:pPr>
              <w:pStyle w:val="167"/>
              <w:keepNext w:val="0"/>
              <w:keepLines w:val="0"/>
              <w:suppressLineNumbers w:val="0"/>
              <w:spacing w:before="0" w:beforeAutospacing="0" w:after="0" w:afterAutospacing="0"/>
              <w:ind w:right="0"/>
              <w:rPr>
                <w:rFonts w:hint="default"/>
                <w:color w:val="auto"/>
              </w:rPr>
            </w:pPr>
            <w:r>
              <w:rPr>
                <w:rFonts w:hint="default"/>
                <w:color w:val="auto"/>
              </w:rPr>
              <w:t>50.8</w:t>
            </w:r>
          </w:p>
        </w:tc>
        <w:tc>
          <w:tcPr>
            <w:tcW w:w="526" w:type="dxa"/>
            <w:vAlign w:val="center"/>
          </w:tcPr>
          <w:p w14:paraId="3AF37700">
            <w:pPr>
              <w:pStyle w:val="167"/>
              <w:keepNext w:val="0"/>
              <w:keepLines w:val="0"/>
              <w:suppressLineNumbers w:val="0"/>
              <w:spacing w:before="0" w:beforeAutospacing="0" w:after="0" w:afterAutospacing="0"/>
              <w:ind w:right="0"/>
              <w:rPr>
                <w:rFonts w:hint="default"/>
                <w:color w:val="auto"/>
              </w:rPr>
            </w:pPr>
            <w:r>
              <w:rPr>
                <w:rFonts w:hint="default"/>
                <w:color w:val="auto"/>
              </w:rPr>
              <w:t>43.5</w:t>
            </w:r>
          </w:p>
        </w:tc>
        <w:tc>
          <w:tcPr>
            <w:tcW w:w="526" w:type="dxa"/>
            <w:vAlign w:val="center"/>
          </w:tcPr>
          <w:p w14:paraId="29290C37">
            <w:pPr>
              <w:pStyle w:val="167"/>
              <w:keepNext w:val="0"/>
              <w:keepLines w:val="0"/>
              <w:suppressLineNumbers w:val="0"/>
              <w:spacing w:before="0" w:beforeAutospacing="0" w:after="0" w:afterAutospacing="0"/>
              <w:ind w:right="0"/>
              <w:rPr>
                <w:rFonts w:hint="default"/>
                <w:color w:val="auto"/>
              </w:rPr>
            </w:pPr>
            <w:r>
              <w:rPr>
                <w:rFonts w:hint="default"/>
                <w:color w:val="auto"/>
              </w:rPr>
              <w:t>6</w:t>
            </w:r>
          </w:p>
        </w:tc>
        <w:tc>
          <w:tcPr>
            <w:tcW w:w="526" w:type="dxa"/>
            <w:vAlign w:val="center"/>
          </w:tcPr>
          <w:p w14:paraId="26C660A4">
            <w:pPr>
              <w:pStyle w:val="167"/>
              <w:keepNext w:val="0"/>
              <w:keepLines w:val="0"/>
              <w:suppressLineNumbers w:val="0"/>
              <w:spacing w:before="0" w:beforeAutospacing="0" w:after="0" w:afterAutospacing="0"/>
              <w:ind w:right="0"/>
              <w:rPr>
                <w:rFonts w:hint="default"/>
                <w:color w:val="auto"/>
              </w:rPr>
            </w:pPr>
            <w:r>
              <w:rPr>
                <w:rFonts w:hint="default"/>
                <w:color w:val="auto"/>
              </w:rPr>
              <w:t>49.5</w:t>
            </w:r>
          </w:p>
        </w:tc>
        <w:tc>
          <w:tcPr>
            <w:tcW w:w="771" w:type="dxa"/>
            <w:vAlign w:val="center"/>
          </w:tcPr>
          <w:p w14:paraId="23763212">
            <w:pPr>
              <w:pStyle w:val="167"/>
              <w:keepNext w:val="0"/>
              <w:keepLines w:val="0"/>
              <w:suppressLineNumbers w:val="0"/>
              <w:spacing w:before="0" w:beforeAutospacing="0" w:after="0" w:afterAutospacing="0"/>
              <w:ind w:right="0"/>
              <w:rPr>
                <w:rFonts w:hint="default"/>
                <w:color w:val="auto"/>
              </w:rPr>
            </w:pPr>
            <w:r>
              <w:rPr>
                <w:rFonts w:hint="default"/>
                <w:color w:val="auto"/>
              </w:rPr>
              <w:t>0.02</w:t>
            </w:r>
          </w:p>
        </w:tc>
      </w:tr>
      <w:tr w14:paraId="3A00C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182" w:type="dxa"/>
            <w:vAlign w:val="center"/>
          </w:tcPr>
          <w:p w14:paraId="244F5ACC">
            <w:pPr>
              <w:pStyle w:val="167"/>
              <w:keepNext w:val="0"/>
              <w:keepLines w:val="0"/>
              <w:suppressLineNumbers w:val="0"/>
              <w:spacing w:before="0" w:beforeAutospacing="0" w:after="0" w:afterAutospacing="0"/>
              <w:ind w:right="0"/>
              <w:rPr>
                <w:rFonts w:hint="default"/>
                <w:color w:val="auto"/>
              </w:rPr>
            </w:pPr>
            <w:r>
              <w:rPr>
                <w:rFonts w:hint="eastAsia"/>
                <w:color w:val="auto"/>
              </w:rPr>
              <w:t>渣油</w:t>
            </w:r>
          </w:p>
        </w:tc>
        <w:tc>
          <w:tcPr>
            <w:tcW w:w="584" w:type="dxa"/>
            <w:vAlign w:val="center"/>
          </w:tcPr>
          <w:p w14:paraId="135AFCAF">
            <w:pPr>
              <w:pStyle w:val="167"/>
              <w:keepNext w:val="0"/>
              <w:keepLines w:val="0"/>
              <w:suppressLineNumbers w:val="0"/>
              <w:spacing w:before="0" w:beforeAutospacing="0" w:after="0" w:afterAutospacing="0"/>
              <w:ind w:right="0"/>
              <w:rPr>
                <w:rFonts w:hint="default"/>
                <w:color w:val="auto"/>
              </w:rPr>
            </w:pPr>
            <w:r>
              <w:rPr>
                <w:rFonts w:hint="default"/>
                <w:color w:val="auto"/>
              </w:rPr>
              <w:t>0.0002</w:t>
            </w:r>
          </w:p>
        </w:tc>
        <w:tc>
          <w:tcPr>
            <w:tcW w:w="823" w:type="dxa"/>
            <w:vAlign w:val="center"/>
          </w:tcPr>
          <w:p w14:paraId="249C7E5F">
            <w:pPr>
              <w:pStyle w:val="167"/>
              <w:keepNext w:val="0"/>
              <w:keepLines w:val="0"/>
              <w:suppressLineNumbers w:val="0"/>
              <w:spacing w:before="0" w:beforeAutospacing="0" w:after="0" w:afterAutospacing="0"/>
              <w:ind w:right="0"/>
              <w:rPr>
                <w:rFonts w:hint="default"/>
                <w:color w:val="auto"/>
              </w:rPr>
            </w:pPr>
            <w:r>
              <w:rPr>
                <w:rFonts w:hint="default"/>
                <w:color w:val="auto"/>
              </w:rPr>
              <w:t>14.70</w:t>
            </w:r>
          </w:p>
        </w:tc>
        <w:tc>
          <w:tcPr>
            <w:tcW w:w="612" w:type="dxa"/>
            <w:vAlign w:val="center"/>
          </w:tcPr>
          <w:p w14:paraId="22A8D037">
            <w:pPr>
              <w:pStyle w:val="167"/>
              <w:keepNext w:val="0"/>
              <w:keepLines w:val="0"/>
              <w:suppressLineNumbers w:val="0"/>
              <w:spacing w:before="0" w:beforeAutospacing="0" w:after="0" w:afterAutospacing="0"/>
              <w:ind w:right="0"/>
              <w:rPr>
                <w:rFonts w:hint="default"/>
                <w:color w:val="auto"/>
              </w:rPr>
            </w:pPr>
            <w:r>
              <w:rPr>
                <w:rFonts w:hint="default"/>
                <w:color w:val="auto"/>
              </w:rPr>
              <w:t>0.000003</w:t>
            </w:r>
          </w:p>
        </w:tc>
        <w:tc>
          <w:tcPr>
            <w:tcW w:w="756" w:type="dxa"/>
            <w:vAlign w:val="center"/>
          </w:tcPr>
          <w:p w14:paraId="41488F51">
            <w:pPr>
              <w:pStyle w:val="167"/>
              <w:keepNext w:val="0"/>
              <w:keepLines w:val="0"/>
              <w:suppressLineNumbers w:val="0"/>
              <w:spacing w:before="0" w:beforeAutospacing="0" w:after="0" w:afterAutospacing="0"/>
              <w:ind w:right="0"/>
              <w:rPr>
                <w:rFonts w:hint="default"/>
                <w:color w:val="auto"/>
              </w:rPr>
            </w:pPr>
            <w:r>
              <w:rPr>
                <w:rFonts w:hint="default"/>
                <w:color w:val="auto"/>
              </w:rPr>
              <w:t>52</w:t>
            </w:r>
          </w:p>
        </w:tc>
        <w:tc>
          <w:tcPr>
            <w:tcW w:w="787" w:type="dxa"/>
            <w:vAlign w:val="center"/>
          </w:tcPr>
          <w:p w14:paraId="17AEFF41">
            <w:pPr>
              <w:pStyle w:val="167"/>
              <w:keepNext w:val="0"/>
              <w:keepLines w:val="0"/>
              <w:suppressLineNumbers w:val="0"/>
              <w:spacing w:before="0" w:beforeAutospacing="0" w:after="0" w:afterAutospacing="0"/>
              <w:ind w:right="0"/>
              <w:rPr>
                <w:rFonts w:hint="default"/>
                <w:color w:val="auto"/>
              </w:rPr>
            </w:pPr>
            <w:r>
              <w:rPr>
                <w:rFonts w:hint="default"/>
                <w:color w:val="auto"/>
              </w:rPr>
              <w:t>700</w:t>
            </w:r>
          </w:p>
        </w:tc>
        <w:tc>
          <w:tcPr>
            <w:tcW w:w="690" w:type="dxa"/>
            <w:vAlign w:val="center"/>
          </w:tcPr>
          <w:p w14:paraId="2F831883">
            <w:pPr>
              <w:pStyle w:val="167"/>
              <w:keepNext w:val="0"/>
              <w:keepLines w:val="0"/>
              <w:suppressLineNumbers w:val="0"/>
              <w:spacing w:before="0" w:beforeAutospacing="0" w:after="0" w:afterAutospacing="0"/>
              <w:ind w:right="0"/>
              <w:rPr>
                <w:rFonts w:hint="default"/>
                <w:color w:val="auto"/>
              </w:rPr>
            </w:pPr>
            <w:r>
              <w:rPr>
                <w:rFonts w:hint="eastAsia"/>
                <w:color w:val="auto"/>
              </w:rPr>
              <w:t>10</w:t>
            </w:r>
          </w:p>
        </w:tc>
        <w:tc>
          <w:tcPr>
            <w:tcW w:w="829" w:type="dxa"/>
            <w:vAlign w:val="center"/>
          </w:tcPr>
          <w:p w14:paraId="53502065">
            <w:pPr>
              <w:pStyle w:val="167"/>
              <w:keepNext w:val="0"/>
              <w:keepLines w:val="0"/>
              <w:suppressLineNumbers w:val="0"/>
              <w:spacing w:before="0" w:beforeAutospacing="0" w:after="0" w:afterAutospacing="0"/>
              <w:ind w:right="0"/>
              <w:rPr>
                <w:rFonts w:hint="default"/>
                <w:color w:val="auto"/>
              </w:rPr>
            </w:pPr>
            <w:r>
              <w:rPr>
                <w:rFonts w:hint="default"/>
                <w:color w:val="auto"/>
              </w:rPr>
              <w:t>0.94</w:t>
            </w:r>
          </w:p>
        </w:tc>
        <w:tc>
          <w:tcPr>
            <w:tcW w:w="791" w:type="dxa"/>
            <w:vAlign w:val="center"/>
          </w:tcPr>
          <w:p w14:paraId="43F7B57B">
            <w:pPr>
              <w:pStyle w:val="167"/>
              <w:keepNext w:val="0"/>
              <w:keepLines w:val="0"/>
              <w:suppressLineNumbers w:val="0"/>
              <w:spacing w:before="0" w:beforeAutospacing="0" w:after="0" w:afterAutospacing="0"/>
              <w:ind w:right="0"/>
              <w:rPr>
                <w:rFonts w:hint="default"/>
                <w:color w:val="auto"/>
              </w:rPr>
            </w:pPr>
            <w:r>
              <w:rPr>
                <w:rFonts w:hint="default"/>
                <w:color w:val="auto"/>
              </w:rPr>
              <w:t>0.012</w:t>
            </w:r>
          </w:p>
        </w:tc>
        <w:tc>
          <w:tcPr>
            <w:tcW w:w="526" w:type="dxa"/>
            <w:vAlign w:val="center"/>
          </w:tcPr>
          <w:p w14:paraId="10FA1404">
            <w:pPr>
              <w:pStyle w:val="167"/>
              <w:keepNext w:val="0"/>
              <w:keepLines w:val="0"/>
              <w:suppressLineNumbers w:val="0"/>
              <w:spacing w:before="0" w:beforeAutospacing="0" w:after="0" w:afterAutospacing="0"/>
              <w:ind w:right="0"/>
              <w:rPr>
                <w:rFonts w:hint="default"/>
                <w:color w:val="auto"/>
              </w:rPr>
            </w:pPr>
            <w:r>
              <w:rPr>
                <w:rFonts w:hint="default"/>
                <w:color w:val="auto"/>
              </w:rPr>
              <w:t>43.5</w:t>
            </w:r>
          </w:p>
        </w:tc>
        <w:tc>
          <w:tcPr>
            <w:tcW w:w="526" w:type="dxa"/>
            <w:vAlign w:val="center"/>
          </w:tcPr>
          <w:p w14:paraId="64DE993E">
            <w:pPr>
              <w:pStyle w:val="167"/>
              <w:keepNext w:val="0"/>
              <w:keepLines w:val="0"/>
              <w:suppressLineNumbers w:val="0"/>
              <w:spacing w:before="0" w:beforeAutospacing="0" w:after="0" w:afterAutospacing="0"/>
              <w:ind w:right="0"/>
              <w:rPr>
                <w:rFonts w:hint="default"/>
                <w:color w:val="auto"/>
              </w:rPr>
            </w:pPr>
            <w:r>
              <w:rPr>
                <w:rFonts w:hint="default"/>
                <w:color w:val="auto"/>
              </w:rPr>
              <w:t>2.9</w:t>
            </w:r>
          </w:p>
        </w:tc>
        <w:tc>
          <w:tcPr>
            <w:tcW w:w="526" w:type="dxa"/>
            <w:vAlign w:val="center"/>
          </w:tcPr>
          <w:p w14:paraId="4AA9DDC7">
            <w:pPr>
              <w:pStyle w:val="167"/>
              <w:keepNext w:val="0"/>
              <w:keepLines w:val="0"/>
              <w:suppressLineNumbers w:val="0"/>
              <w:spacing w:before="0" w:beforeAutospacing="0" w:after="0" w:afterAutospacing="0"/>
              <w:ind w:right="0"/>
              <w:rPr>
                <w:rFonts w:hint="default"/>
                <w:color w:val="auto"/>
              </w:rPr>
            </w:pPr>
            <w:r>
              <w:rPr>
                <w:rFonts w:hint="default"/>
                <w:color w:val="auto"/>
              </w:rPr>
              <w:t>46.4</w:t>
            </w:r>
          </w:p>
        </w:tc>
        <w:tc>
          <w:tcPr>
            <w:tcW w:w="771" w:type="dxa"/>
            <w:vAlign w:val="center"/>
          </w:tcPr>
          <w:p w14:paraId="71ADF79A">
            <w:pPr>
              <w:pStyle w:val="167"/>
              <w:keepNext w:val="0"/>
              <w:keepLines w:val="0"/>
              <w:suppressLineNumbers w:val="0"/>
              <w:spacing w:before="0" w:beforeAutospacing="0" w:after="0" w:afterAutospacing="0"/>
              <w:ind w:right="0"/>
              <w:rPr>
                <w:rFonts w:hint="default"/>
                <w:color w:val="auto"/>
              </w:rPr>
            </w:pPr>
            <w:r>
              <w:rPr>
                <w:rFonts w:hint="default"/>
                <w:color w:val="auto"/>
              </w:rPr>
              <w:t>0.02</w:t>
            </w:r>
          </w:p>
        </w:tc>
      </w:tr>
      <w:tr w14:paraId="7303C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182" w:type="dxa"/>
          </w:tcPr>
          <w:p w14:paraId="4AD5C509">
            <w:pPr>
              <w:pStyle w:val="91"/>
              <w:keepNext w:val="0"/>
              <w:keepLines w:val="0"/>
              <w:suppressLineNumbers w:val="0"/>
              <w:spacing w:before="0" w:beforeAutospacing="0" w:after="0" w:afterAutospacing="0"/>
              <w:ind w:left="0" w:right="0"/>
              <w:rPr>
                <w:rFonts w:hint="default"/>
                <w:color w:val="auto"/>
              </w:rPr>
            </w:pPr>
            <w:r>
              <w:rPr>
                <w:rFonts w:hint="eastAsia"/>
                <w:color w:val="auto"/>
              </w:rPr>
              <w:t>合计</w:t>
            </w:r>
          </w:p>
        </w:tc>
        <w:tc>
          <w:tcPr>
            <w:tcW w:w="7450" w:type="dxa"/>
            <w:gridSpan w:val="11"/>
            <w:vAlign w:val="center"/>
          </w:tcPr>
          <w:p w14:paraId="05F4CBD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非甲烷总烃</w:t>
            </w:r>
          </w:p>
        </w:tc>
        <w:tc>
          <w:tcPr>
            <w:tcW w:w="771" w:type="dxa"/>
          </w:tcPr>
          <w:p w14:paraId="1B3C4A87">
            <w:pPr>
              <w:pStyle w:val="91"/>
              <w:keepNext w:val="0"/>
              <w:keepLines w:val="0"/>
              <w:suppressLineNumbers w:val="0"/>
              <w:spacing w:before="0" w:beforeAutospacing="0" w:after="0" w:afterAutospacing="0"/>
              <w:ind w:left="0" w:right="0"/>
              <w:rPr>
                <w:rFonts w:hint="default"/>
                <w:color w:val="auto"/>
              </w:rPr>
            </w:pPr>
            <w:r>
              <w:rPr>
                <w:rFonts w:hint="default"/>
                <w:color w:val="auto"/>
              </w:rPr>
              <w:t>4.23</w:t>
            </w:r>
          </w:p>
        </w:tc>
      </w:tr>
    </w:tbl>
    <w:p w14:paraId="73F33507">
      <w:pPr>
        <w:ind w:firstLine="480"/>
        <w:rPr>
          <w:color w:val="auto"/>
        </w:rPr>
      </w:pPr>
      <w:r>
        <w:rPr>
          <w:rFonts w:hint="eastAsia"/>
          <w:color w:val="auto"/>
        </w:rPr>
        <w:t>经</w:t>
      </w:r>
      <w:r>
        <w:rPr>
          <w:color w:val="auto"/>
        </w:rPr>
        <w:t>计算，本次扩建项目新增货种在储罐中储存产生的损耗废气量为4.23t/a。</w:t>
      </w:r>
    </w:p>
    <w:p w14:paraId="544654A3">
      <w:pPr>
        <w:pStyle w:val="6"/>
        <w:rPr>
          <w:color w:val="auto"/>
        </w:rPr>
      </w:pPr>
      <w:r>
        <w:rPr>
          <w:rFonts w:hint="eastAsia"/>
          <w:color w:val="auto"/>
          <w:lang w:bidi="ar"/>
        </w:rPr>
        <w:t>船舶废气</w:t>
      </w:r>
    </w:p>
    <w:p w14:paraId="2929DE3D">
      <w:pPr>
        <w:tabs>
          <w:tab w:val="left" w:pos="425"/>
        </w:tabs>
        <w:ind w:firstLine="480"/>
        <w:rPr>
          <w:color w:val="auto"/>
        </w:rPr>
      </w:pPr>
      <w:r>
        <w:rPr>
          <w:rFonts w:hint="eastAsia" w:cs="宋体"/>
          <w:color w:val="auto"/>
          <w:kern w:val="0"/>
          <w:lang w:bidi="ar"/>
        </w:rPr>
        <w:t>船舶到港停靠期间主机处于停运状态，发电机仍在工作，船舶废气主要是发电机耗油产生。</w:t>
      </w:r>
      <w:r>
        <w:rPr>
          <w:rFonts w:hint="eastAsia"/>
          <w:color w:val="auto"/>
        </w:rPr>
        <w:t>根据建设单位提供资料，货种运输船型，3000-</w:t>
      </w:r>
      <w:r>
        <w:rPr>
          <w:color w:val="auto"/>
        </w:rPr>
        <w:t>5</w:t>
      </w:r>
      <w:r>
        <w:rPr>
          <w:rFonts w:hint="eastAsia"/>
          <w:color w:val="auto"/>
        </w:rPr>
        <w:t>0000吨级。</w:t>
      </w:r>
    </w:p>
    <w:p w14:paraId="463F88A6">
      <w:pPr>
        <w:ind w:firstLine="480"/>
        <w:rPr>
          <w:color w:val="auto"/>
          <w:u w:val="single"/>
        </w:rPr>
      </w:pPr>
      <w:r>
        <w:rPr>
          <w:rFonts w:hint="eastAsia"/>
          <w:color w:val="auto"/>
          <w:u w:val="single"/>
        </w:rPr>
        <w:t>结合吞吐量，扩建项目全年新增到港船舶共</w:t>
      </w:r>
      <w:r>
        <w:rPr>
          <w:rFonts w:hint="eastAsia"/>
          <w:color w:val="auto"/>
          <w:u w:val="single"/>
          <w:lang w:val="en-US" w:eastAsia="zh-CN"/>
        </w:rPr>
        <w:t>35</w:t>
      </w:r>
      <w:r>
        <w:rPr>
          <w:rFonts w:hint="eastAsia"/>
          <w:color w:val="auto"/>
          <w:u w:val="single"/>
        </w:rPr>
        <w:t>艘。</w:t>
      </w:r>
      <w:r>
        <w:rPr>
          <w:rFonts w:hint="eastAsia" w:ascii="宋体" w:hAnsi="宋体" w:cs="宋体"/>
          <w:color w:val="auto"/>
          <w:kern w:val="0"/>
          <w:lang w:bidi="ar"/>
        </w:rPr>
        <w:t>发电机功率按</w:t>
      </w:r>
      <w:r>
        <w:rPr>
          <w:rFonts w:hint="eastAsia"/>
          <w:color w:val="auto"/>
          <w:kern w:val="0"/>
          <w:lang w:bidi="ar"/>
        </w:rPr>
        <w:t>40</w:t>
      </w:r>
      <w:r>
        <w:rPr>
          <w:color w:val="auto"/>
          <w:kern w:val="0"/>
          <w:lang w:bidi="ar"/>
        </w:rPr>
        <w:t>0</w:t>
      </w:r>
      <w:r>
        <w:rPr>
          <w:rFonts w:hint="eastAsia"/>
          <w:color w:val="auto"/>
          <w:kern w:val="0"/>
          <w:lang w:bidi="ar"/>
        </w:rPr>
        <w:t>kW</w:t>
      </w:r>
      <w:r>
        <w:rPr>
          <w:rFonts w:hint="eastAsia" w:ascii="宋体" w:hAnsi="宋体" w:cs="宋体"/>
          <w:color w:val="auto"/>
          <w:kern w:val="0"/>
          <w:lang w:bidi="ar"/>
        </w:rPr>
        <w:t>，按照船舶耗油量</w:t>
      </w:r>
      <w:r>
        <w:rPr>
          <w:color w:val="auto"/>
          <w:kern w:val="0"/>
          <w:lang w:bidi="ar"/>
        </w:rPr>
        <w:t>150g/</w:t>
      </w:r>
      <w:r>
        <w:rPr>
          <w:rFonts w:hint="eastAsia" w:ascii="宋体" w:hAnsi="宋体" w:cs="宋体"/>
          <w:color w:val="auto"/>
          <w:kern w:val="0"/>
          <w:lang w:bidi="ar"/>
        </w:rPr>
        <w:t>马力估算，则船舶每小时的耗油量为：</w:t>
      </w:r>
      <w:r>
        <w:rPr>
          <w:color w:val="auto"/>
          <w:kern w:val="0"/>
          <w:lang w:bidi="ar"/>
        </w:rPr>
        <w:t>M=150g/</w:t>
      </w:r>
      <w:r>
        <w:rPr>
          <w:rFonts w:hint="eastAsia" w:ascii="宋体" w:hAnsi="宋体" w:cs="宋体"/>
          <w:color w:val="auto"/>
          <w:kern w:val="0"/>
          <w:lang w:bidi="ar"/>
        </w:rPr>
        <w:t>马力</w:t>
      </w:r>
      <w:r>
        <w:rPr>
          <w:color w:val="auto"/>
          <w:kern w:val="0"/>
          <w:lang w:bidi="ar"/>
        </w:rPr>
        <w:t>×</w:t>
      </w:r>
      <w:r>
        <w:rPr>
          <w:rFonts w:hint="eastAsia" w:ascii="宋体" w:hAnsi="宋体" w:cs="宋体"/>
          <w:color w:val="auto"/>
          <w:kern w:val="0"/>
          <w:lang w:bidi="ar"/>
        </w:rPr>
        <w:t>（</w:t>
      </w:r>
      <w:r>
        <w:rPr>
          <w:rFonts w:hint="eastAsia"/>
          <w:color w:val="auto"/>
          <w:kern w:val="0"/>
          <w:lang w:bidi="ar"/>
        </w:rPr>
        <w:t>4</w:t>
      </w:r>
      <w:r>
        <w:rPr>
          <w:color w:val="auto"/>
          <w:kern w:val="0"/>
          <w:lang w:bidi="ar"/>
        </w:rPr>
        <w:t>00×1.36</w:t>
      </w:r>
      <w:r>
        <w:rPr>
          <w:rFonts w:hint="eastAsia" w:ascii="宋体" w:hAnsi="宋体" w:cs="宋体"/>
          <w:color w:val="auto"/>
          <w:kern w:val="0"/>
          <w:lang w:bidi="ar"/>
        </w:rPr>
        <w:t>）马力</w:t>
      </w:r>
      <w:r>
        <w:rPr>
          <w:color w:val="auto"/>
          <w:kern w:val="0"/>
          <w:lang w:bidi="ar"/>
        </w:rPr>
        <w:t>/h</w:t>
      </w:r>
      <w:r>
        <w:rPr>
          <w:rFonts w:hint="eastAsia" w:ascii="宋体" w:hAnsi="宋体" w:cs="宋体"/>
          <w:color w:val="auto"/>
          <w:kern w:val="0"/>
          <w:lang w:bidi="ar"/>
        </w:rPr>
        <w:t>＝</w:t>
      </w:r>
      <w:r>
        <w:rPr>
          <w:rFonts w:hint="eastAsia"/>
          <w:color w:val="auto"/>
          <w:kern w:val="0"/>
          <w:lang w:bidi="ar"/>
        </w:rPr>
        <w:t>81.6</w:t>
      </w:r>
      <w:r>
        <w:rPr>
          <w:color w:val="auto"/>
          <w:kern w:val="0"/>
          <w:lang w:bidi="ar"/>
        </w:rPr>
        <w:t>kg/h</w:t>
      </w:r>
      <w:r>
        <w:rPr>
          <w:rFonts w:hint="eastAsia" w:ascii="宋体" w:hAnsi="宋体" w:cs="宋体"/>
          <w:color w:val="auto"/>
          <w:kern w:val="0"/>
          <w:lang w:bidi="ar"/>
        </w:rPr>
        <w:t>。</w:t>
      </w:r>
      <w:r>
        <w:rPr>
          <w:rFonts w:hint="eastAsia"/>
          <w:color w:val="auto"/>
          <w:u w:val="single"/>
        </w:rPr>
        <w:t>每艘船平均在港停留按</w:t>
      </w:r>
      <w:r>
        <w:rPr>
          <w:color w:val="auto"/>
          <w:u w:val="single"/>
        </w:rPr>
        <w:t>2</w:t>
      </w:r>
      <w:r>
        <w:rPr>
          <w:rFonts w:hint="eastAsia"/>
          <w:color w:val="auto"/>
          <w:u w:val="single"/>
        </w:rPr>
        <w:t>天计算，则船舶总耗油量为</w:t>
      </w:r>
      <w:r>
        <w:rPr>
          <w:rFonts w:hint="eastAsia"/>
          <w:color w:val="auto"/>
          <w:u w:val="single"/>
          <w:lang w:val="en-US" w:eastAsia="zh-CN"/>
        </w:rPr>
        <w:t>137.09</w:t>
      </w:r>
      <w:r>
        <w:rPr>
          <w:rFonts w:hint="eastAsia"/>
          <w:color w:val="auto"/>
          <w:u w:val="single"/>
        </w:rPr>
        <w:t>t，根据《中国环境影响评价培训教材》提供燃油的排放系数进行计算。</w:t>
      </w:r>
    </w:p>
    <w:p w14:paraId="0E6A34E1">
      <w:pPr>
        <w:pStyle w:val="14"/>
        <w:rPr>
          <w:color w:val="auto"/>
          <w:u w:val="single"/>
          <w:lang w:val="zh-CN" w:bidi="zh-CN"/>
        </w:rPr>
      </w:pPr>
      <w:r>
        <w:rPr>
          <w:rFonts w:hint="eastAsia"/>
          <w:color w:val="auto"/>
          <w:u w:val="single"/>
        </w:rPr>
        <w:t>表</w:t>
      </w:r>
      <w:r>
        <w:rPr>
          <w:color w:val="auto"/>
          <w:u w:val="single"/>
        </w:rPr>
        <w:t>2.3</w:t>
      </w:r>
      <w:r>
        <w:rPr>
          <w:color w:val="auto"/>
          <w:u w:val="single"/>
        </w:rPr>
        <w:noBreakHyphen/>
      </w:r>
      <w:r>
        <w:rPr>
          <w:color w:val="auto"/>
          <w:u w:val="single"/>
        </w:rPr>
        <w:t>5</w:t>
      </w:r>
      <w:r>
        <w:rPr>
          <w:color w:val="auto"/>
          <w:u w:val="single"/>
          <w:lang w:val="zh-CN" w:bidi="zh-CN"/>
        </w:rPr>
        <w:t>船舶废气污染物排放计算结果</w:t>
      </w:r>
    </w:p>
    <w:tbl>
      <w:tblPr>
        <w:tblStyle w:val="43"/>
        <w:tblW w:w="5003" w:type="pct"/>
        <w:tblInd w:w="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193"/>
        <w:gridCol w:w="3190"/>
        <w:gridCol w:w="3194"/>
      </w:tblGrid>
      <w:tr w14:paraId="60E964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667" w:type="pct"/>
            <w:vAlign w:val="center"/>
          </w:tcPr>
          <w:p w14:paraId="1B7B56C9">
            <w:pPr>
              <w:keepNext w:val="0"/>
              <w:keepLines w:val="0"/>
              <w:suppressLineNumbers w:val="0"/>
              <w:spacing w:before="0" w:beforeAutospacing="0" w:after="0" w:afterAutospacing="0" w:line="240" w:lineRule="auto"/>
              <w:ind w:left="0" w:right="0" w:firstLine="420"/>
              <w:jc w:val="center"/>
              <w:rPr>
                <w:rFonts w:hint="default"/>
                <w:color w:val="auto"/>
                <w:sz w:val="21"/>
                <w:szCs w:val="21"/>
                <w:u w:val="single"/>
              </w:rPr>
            </w:pPr>
            <w:r>
              <w:rPr>
                <w:rFonts w:hint="default"/>
                <w:color w:val="auto"/>
                <w:sz w:val="21"/>
                <w:szCs w:val="21"/>
                <w:u w:val="single"/>
              </w:rPr>
              <w:t>项目</w:t>
            </w:r>
          </w:p>
        </w:tc>
        <w:tc>
          <w:tcPr>
            <w:tcW w:w="1665" w:type="pct"/>
            <w:vAlign w:val="center"/>
          </w:tcPr>
          <w:p w14:paraId="65BD1597">
            <w:pPr>
              <w:keepNext w:val="0"/>
              <w:keepLines w:val="0"/>
              <w:suppressLineNumbers w:val="0"/>
              <w:spacing w:before="0" w:beforeAutospacing="0" w:after="0" w:afterAutospacing="0" w:line="240" w:lineRule="auto"/>
              <w:ind w:left="0" w:right="0" w:firstLine="420"/>
              <w:jc w:val="center"/>
              <w:rPr>
                <w:rFonts w:hint="default"/>
                <w:color w:val="auto"/>
                <w:sz w:val="21"/>
                <w:szCs w:val="21"/>
                <w:u w:val="single"/>
              </w:rPr>
            </w:pPr>
            <w:r>
              <w:rPr>
                <w:rFonts w:hint="default"/>
                <w:color w:val="auto"/>
                <w:sz w:val="21"/>
                <w:szCs w:val="21"/>
                <w:u w:val="single"/>
              </w:rPr>
              <w:t>SO</w:t>
            </w:r>
            <w:r>
              <w:rPr>
                <w:rFonts w:hint="default"/>
                <w:color w:val="auto"/>
                <w:sz w:val="21"/>
                <w:szCs w:val="21"/>
                <w:u w:val="single"/>
                <w:vertAlign w:val="subscript"/>
              </w:rPr>
              <w:t>2</w:t>
            </w:r>
          </w:p>
        </w:tc>
        <w:tc>
          <w:tcPr>
            <w:tcW w:w="1667" w:type="pct"/>
            <w:vAlign w:val="center"/>
          </w:tcPr>
          <w:p w14:paraId="21F22104">
            <w:pPr>
              <w:keepNext w:val="0"/>
              <w:keepLines w:val="0"/>
              <w:suppressLineNumbers w:val="0"/>
              <w:spacing w:before="0" w:beforeAutospacing="0" w:after="0" w:afterAutospacing="0" w:line="240" w:lineRule="auto"/>
              <w:ind w:left="0" w:right="0" w:firstLine="420"/>
              <w:jc w:val="center"/>
              <w:rPr>
                <w:rFonts w:hint="default"/>
                <w:color w:val="auto"/>
                <w:sz w:val="21"/>
                <w:szCs w:val="21"/>
                <w:u w:val="single"/>
              </w:rPr>
            </w:pPr>
            <w:r>
              <w:rPr>
                <w:rFonts w:hint="default"/>
                <w:color w:val="auto"/>
                <w:sz w:val="21"/>
                <w:szCs w:val="21"/>
                <w:u w:val="single"/>
              </w:rPr>
              <w:t>NO</w:t>
            </w:r>
            <w:r>
              <w:rPr>
                <w:rFonts w:hint="default"/>
                <w:color w:val="auto"/>
                <w:sz w:val="21"/>
                <w:szCs w:val="21"/>
                <w:u w:val="single"/>
                <w:vertAlign w:val="subscript"/>
              </w:rPr>
              <w:t>X</w:t>
            </w:r>
          </w:p>
        </w:tc>
      </w:tr>
      <w:tr w14:paraId="3031BF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667" w:type="pct"/>
            <w:vAlign w:val="center"/>
          </w:tcPr>
          <w:p w14:paraId="74B413DE">
            <w:pPr>
              <w:keepNext w:val="0"/>
              <w:keepLines w:val="0"/>
              <w:suppressLineNumbers w:val="0"/>
              <w:spacing w:before="0" w:beforeAutospacing="0" w:after="0" w:afterAutospacing="0" w:line="240" w:lineRule="auto"/>
              <w:ind w:left="0" w:right="0" w:firstLine="420"/>
              <w:jc w:val="center"/>
              <w:rPr>
                <w:rFonts w:hint="default"/>
                <w:color w:val="auto"/>
                <w:sz w:val="21"/>
                <w:szCs w:val="21"/>
                <w:u w:val="single"/>
              </w:rPr>
            </w:pPr>
            <w:r>
              <w:rPr>
                <w:rFonts w:hint="default"/>
                <w:color w:val="auto"/>
                <w:sz w:val="21"/>
                <w:szCs w:val="21"/>
                <w:u w:val="single"/>
              </w:rPr>
              <w:t>排放系数kg/t</w:t>
            </w:r>
          </w:p>
        </w:tc>
        <w:tc>
          <w:tcPr>
            <w:tcW w:w="1665" w:type="pct"/>
            <w:vAlign w:val="center"/>
          </w:tcPr>
          <w:p w14:paraId="3B6B1479">
            <w:pPr>
              <w:keepNext w:val="0"/>
              <w:keepLines w:val="0"/>
              <w:suppressLineNumbers w:val="0"/>
              <w:spacing w:before="0" w:beforeAutospacing="0" w:after="0" w:afterAutospacing="0" w:line="240" w:lineRule="auto"/>
              <w:ind w:left="0" w:right="0" w:firstLine="420"/>
              <w:jc w:val="center"/>
              <w:rPr>
                <w:rFonts w:hint="default"/>
                <w:color w:val="auto"/>
                <w:sz w:val="21"/>
                <w:szCs w:val="21"/>
                <w:u w:val="single"/>
              </w:rPr>
            </w:pPr>
            <w:r>
              <w:rPr>
                <w:rFonts w:hint="default"/>
                <w:color w:val="auto"/>
                <w:sz w:val="21"/>
                <w:szCs w:val="21"/>
                <w:u w:val="single"/>
              </w:rPr>
              <w:t>2.6</w:t>
            </w:r>
          </w:p>
        </w:tc>
        <w:tc>
          <w:tcPr>
            <w:tcW w:w="1667" w:type="pct"/>
            <w:vAlign w:val="center"/>
          </w:tcPr>
          <w:p w14:paraId="15FD444B">
            <w:pPr>
              <w:keepNext w:val="0"/>
              <w:keepLines w:val="0"/>
              <w:suppressLineNumbers w:val="0"/>
              <w:spacing w:before="0" w:beforeAutospacing="0" w:after="0" w:afterAutospacing="0" w:line="240" w:lineRule="auto"/>
              <w:ind w:left="0" w:right="0" w:firstLine="420"/>
              <w:jc w:val="center"/>
              <w:rPr>
                <w:rFonts w:hint="default"/>
                <w:color w:val="auto"/>
                <w:sz w:val="21"/>
                <w:szCs w:val="21"/>
                <w:u w:val="single"/>
              </w:rPr>
            </w:pPr>
            <w:r>
              <w:rPr>
                <w:rFonts w:hint="default"/>
                <w:color w:val="auto"/>
                <w:sz w:val="21"/>
                <w:szCs w:val="21"/>
                <w:u w:val="single"/>
              </w:rPr>
              <w:t>8.57</w:t>
            </w:r>
          </w:p>
        </w:tc>
      </w:tr>
      <w:tr w14:paraId="544983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667" w:type="pct"/>
            <w:vAlign w:val="center"/>
          </w:tcPr>
          <w:p w14:paraId="7F7A117B">
            <w:pPr>
              <w:keepNext w:val="0"/>
              <w:keepLines w:val="0"/>
              <w:suppressLineNumbers w:val="0"/>
              <w:spacing w:before="0" w:beforeAutospacing="0" w:after="0" w:afterAutospacing="0" w:line="240" w:lineRule="auto"/>
              <w:ind w:left="0" w:right="0" w:firstLine="420"/>
              <w:jc w:val="center"/>
              <w:rPr>
                <w:rFonts w:hint="default"/>
                <w:color w:val="auto"/>
                <w:sz w:val="21"/>
                <w:szCs w:val="21"/>
                <w:u w:val="single"/>
              </w:rPr>
            </w:pPr>
            <w:r>
              <w:rPr>
                <w:rFonts w:hint="eastAsia"/>
                <w:color w:val="auto"/>
                <w:sz w:val="21"/>
                <w:szCs w:val="21"/>
                <w:u w:val="single"/>
              </w:rPr>
              <w:t>排放量t/a</w:t>
            </w:r>
          </w:p>
        </w:tc>
        <w:tc>
          <w:tcPr>
            <w:tcW w:w="3095" w:type="dxa"/>
            <w:vAlign w:val="bottom"/>
          </w:tcPr>
          <w:p w14:paraId="08FDA6C1">
            <w:pPr>
              <w:keepNext w:val="0"/>
              <w:keepLines w:val="0"/>
              <w:widowControl/>
              <w:suppressLineNumbers w:val="0"/>
              <w:spacing w:before="0" w:beforeAutospacing="0" w:after="0" w:afterAutospacing="0"/>
              <w:ind w:left="0" w:right="0" w:firstLine="440" w:firstLineChars="200"/>
              <w:jc w:val="center"/>
              <w:textAlignment w:val="bottom"/>
              <w:rPr>
                <w:rFonts w:hint="default"/>
                <w:color w:val="auto"/>
                <w:sz w:val="21"/>
                <w:szCs w:val="21"/>
                <w:u w:val="single"/>
              </w:rPr>
            </w:pPr>
            <w:r>
              <w:rPr>
                <w:rFonts w:hint="eastAsia" w:ascii="等线" w:hAnsi="等线" w:eastAsia="等线" w:cs="等线"/>
                <w:i w:val="0"/>
                <w:iCs w:val="0"/>
                <w:color w:val="auto"/>
                <w:kern w:val="0"/>
                <w:sz w:val="22"/>
                <w:szCs w:val="22"/>
                <w:u w:val="single"/>
                <w:lang w:val="en-US" w:eastAsia="zh-CN" w:bidi="ar"/>
              </w:rPr>
              <w:t>0.356</w:t>
            </w:r>
          </w:p>
        </w:tc>
        <w:tc>
          <w:tcPr>
            <w:tcW w:w="3099" w:type="dxa"/>
            <w:vAlign w:val="bottom"/>
          </w:tcPr>
          <w:p w14:paraId="05F2F263">
            <w:pPr>
              <w:keepNext w:val="0"/>
              <w:keepLines w:val="0"/>
              <w:widowControl/>
              <w:suppressLineNumbers w:val="0"/>
              <w:spacing w:before="0" w:beforeAutospacing="0" w:after="0" w:afterAutospacing="0"/>
              <w:ind w:left="0" w:right="0" w:firstLine="440" w:firstLineChars="200"/>
              <w:jc w:val="center"/>
              <w:textAlignment w:val="bottom"/>
              <w:rPr>
                <w:rFonts w:hint="default"/>
                <w:color w:val="auto"/>
                <w:sz w:val="21"/>
                <w:szCs w:val="21"/>
                <w:u w:val="single"/>
              </w:rPr>
            </w:pPr>
            <w:r>
              <w:rPr>
                <w:rFonts w:hint="eastAsia" w:ascii="等线" w:hAnsi="等线" w:eastAsia="等线" w:cs="等线"/>
                <w:i w:val="0"/>
                <w:iCs w:val="0"/>
                <w:color w:val="auto"/>
                <w:kern w:val="0"/>
                <w:sz w:val="22"/>
                <w:szCs w:val="22"/>
                <w:u w:val="single"/>
                <w:lang w:val="en-US" w:eastAsia="zh-CN" w:bidi="ar"/>
              </w:rPr>
              <w:t>1.175</w:t>
            </w:r>
          </w:p>
        </w:tc>
      </w:tr>
    </w:tbl>
    <w:p w14:paraId="233D0C70">
      <w:pPr>
        <w:ind w:firstLine="480"/>
        <w:rPr>
          <w:color w:val="auto"/>
        </w:rPr>
      </w:pPr>
      <w:r>
        <w:rPr>
          <w:rFonts w:cs="瀹嬩綋"/>
          <w:color w:val="auto"/>
          <w:kern w:val="0"/>
          <w:lang w:bidi="ar"/>
        </w:rPr>
        <w:t>根据</w:t>
      </w:r>
      <w:r>
        <w:rPr>
          <w:rFonts w:hint="eastAsia" w:cs="瀹嬩綋"/>
          <w:color w:val="auto"/>
          <w:kern w:val="0"/>
          <w:lang w:bidi="ar"/>
        </w:rPr>
        <w:t>计算，</w:t>
      </w:r>
      <w:r>
        <w:rPr>
          <w:rFonts w:hint="eastAsia"/>
          <w:color w:val="auto"/>
        </w:rPr>
        <w:t>扩建项目到港船舶废气SO</w:t>
      </w:r>
      <w:r>
        <w:rPr>
          <w:rFonts w:hint="eastAsia"/>
          <w:color w:val="auto"/>
          <w:vertAlign w:val="subscript"/>
        </w:rPr>
        <w:t>2</w:t>
      </w:r>
      <w:r>
        <w:rPr>
          <w:rFonts w:hint="eastAsia"/>
          <w:color w:val="auto"/>
        </w:rPr>
        <w:t>排放量为</w:t>
      </w:r>
      <w:r>
        <w:rPr>
          <w:rFonts w:hint="eastAsia"/>
          <w:color w:val="auto"/>
          <w:lang w:val="en-US" w:eastAsia="zh-CN"/>
        </w:rPr>
        <w:t>0.356</w:t>
      </w:r>
      <w:r>
        <w:rPr>
          <w:rFonts w:hint="eastAsia"/>
          <w:color w:val="auto"/>
        </w:rPr>
        <w:t>t/a，NO</w:t>
      </w:r>
      <w:r>
        <w:rPr>
          <w:rFonts w:hint="eastAsia"/>
          <w:color w:val="auto"/>
          <w:vertAlign w:val="subscript"/>
        </w:rPr>
        <w:t>x</w:t>
      </w:r>
      <w:r>
        <w:rPr>
          <w:rFonts w:hint="eastAsia"/>
          <w:color w:val="auto"/>
        </w:rPr>
        <w:t>排放量为</w:t>
      </w:r>
      <w:r>
        <w:rPr>
          <w:rFonts w:hint="eastAsia"/>
          <w:color w:val="auto"/>
          <w:lang w:val="en-US" w:eastAsia="zh-CN"/>
        </w:rPr>
        <w:t>1.175</w:t>
      </w:r>
      <w:r>
        <w:rPr>
          <w:rFonts w:hint="eastAsia"/>
          <w:color w:val="auto"/>
        </w:rPr>
        <w:t>t/a。</w:t>
      </w:r>
    </w:p>
    <w:p w14:paraId="7812E486">
      <w:pPr>
        <w:pStyle w:val="6"/>
        <w:rPr>
          <w:color w:val="auto"/>
        </w:rPr>
      </w:pPr>
      <w:r>
        <w:rPr>
          <w:rFonts w:hint="eastAsia"/>
          <w:color w:val="auto"/>
          <w:lang w:bidi="ar"/>
        </w:rPr>
        <w:t>非正常工况废气</w:t>
      </w:r>
    </w:p>
    <w:p w14:paraId="07D5DF98">
      <w:pPr>
        <w:widowControl/>
        <w:ind w:firstLine="480"/>
        <w:rPr>
          <w:color w:val="auto"/>
        </w:rPr>
      </w:pPr>
      <w:r>
        <w:rPr>
          <w:rFonts w:hint="eastAsia" w:cs="宋体"/>
          <w:color w:val="auto"/>
          <w:kern w:val="0"/>
          <w:lang w:bidi="ar"/>
        </w:rPr>
        <w:t>根据《环境影响评价技术导则大气环境》（</w:t>
      </w:r>
      <w:r>
        <w:rPr>
          <w:color w:val="auto"/>
          <w:kern w:val="0"/>
          <w:lang w:bidi="ar"/>
        </w:rPr>
        <w:t>HJ2.2-2018</w:t>
      </w:r>
      <w:r>
        <w:rPr>
          <w:rFonts w:hint="eastAsia" w:cs="宋体"/>
          <w:color w:val="auto"/>
          <w:kern w:val="0"/>
          <w:lang w:bidi="ar"/>
        </w:rPr>
        <w:t>），本项目非正常工况下排放废气主要是指生产过程中设备检修、工艺设备运转异常等非正常工况下的污染物排放，以及污染物排放控制措施达不到应有效率等情况下的排放。</w:t>
      </w:r>
    </w:p>
    <w:p w14:paraId="32EF87E3">
      <w:pPr>
        <w:widowControl/>
        <w:ind w:firstLine="480"/>
        <w:rPr>
          <w:color w:val="auto"/>
        </w:rPr>
      </w:pPr>
      <w:r>
        <w:rPr>
          <w:rFonts w:hint="eastAsia"/>
          <w:color w:val="auto"/>
        </w:rPr>
        <w:t>本扩建项目所在的</w:t>
      </w:r>
      <w:r>
        <w:rPr>
          <w:color w:val="auto"/>
        </w:rPr>
        <w:t>6#</w:t>
      </w:r>
      <w:r>
        <w:rPr>
          <w:rFonts w:hint="eastAsia"/>
          <w:color w:val="auto"/>
        </w:rPr>
        <w:t>泊位</w:t>
      </w:r>
      <w:r>
        <w:rPr>
          <w:color w:val="auto"/>
        </w:rPr>
        <w:t>及</w:t>
      </w:r>
      <w:r>
        <w:rPr>
          <w:rFonts w:hint="eastAsia"/>
          <w:color w:val="auto"/>
        </w:rPr>
        <w:t>后方</w:t>
      </w:r>
      <w:r>
        <w:rPr>
          <w:color w:val="auto"/>
        </w:rPr>
        <w:t>库区</w:t>
      </w:r>
      <w:r>
        <w:rPr>
          <w:rFonts w:hint="eastAsia"/>
          <w:color w:val="auto"/>
        </w:rPr>
        <w:t>主要</w:t>
      </w:r>
      <w:r>
        <w:rPr>
          <w:color w:val="auto"/>
        </w:rPr>
        <w:t>功能是</w:t>
      </w:r>
      <w:r>
        <w:rPr>
          <w:rFonts w:hint="eastAsia"/>
          <w:color w:val="auto"/>
        </w:rPr>
        <w:t>输送</w:t>
      </w:r>
      <w:r>
        <w:rPr>
          <w:color w:val="auto"/>
        </w:rPr>
        <w:t>和储存，</w:t>
      </w:r>
      <w:r>
        <w:rPr>
          <w:rFonts w:hint="eastAsia"/>
          <w:color w:val="auto"/>
        </w:rPr>
        <w:t>货种</w:t>
      </w:r>
      <w:r>
        <w:rPr>
          <w:color w:val="auto"/>
        </w:rPr>
        <w:t>卸船后</w:t>
      </w:r>
      <w:r>
        <w:rPr>
          <w:rFonts w:hint="eastAsia"/>
          <w:color w:val="auto"/>
        </w:rPr>
        <w:t>直接</w:t>
      </w:r>
      <w:r>
        <w:rPr>
          <w:color w:val="auto"/>
        </w:rPr>
        <w:t>通过管道输送至后方库区储罐，储罐出库也通过管道输送，不涉及生产过程</w:t>
      </w:r>
      <w:r>
        <w:rPr>
          <w:rFonts w:hint="eastAsia"/>
          <w:color w:val="auto"/>
        </w:rPr>
        <w:t>。本次</w:t>
      </w:r>
      <w:r>
        <w:rPr>
          <w:color w:val="auto"/>
        </w:rPr>
        <w:t>扩建项目</w:t>
      </w:r>
      <w:r>
        <w:rPr>
          <w:rFonts w:hint="eastAsia"/>
          <w:color w:val="auto"/>
        </w:rPr>
        <w:t>甲基</w:t>
      </w:r>
      <w:r>
        <w:rPr>
          <w:color w:val="auto"/>
        </w:rPr>
        <w:t>叔丁基醚</w:t>
      </w:r>
      <w:r>
        <w:rPr>
          <w:rFonts w:hint="eastAsia"/>
          <w:color w:val="auto"/>
        </w:rPr>
        <w:t>装船</w:t>
      </w:r>
      <w:r>
        <w:rPr>
          <w:color w:val="auto"/>
        </w:rPr>
        <w:t>过程产生的废气经过</w:t>
      </w:r>
      <w:r>
        <w:rPr>
          <w:rFonts w:hint="eastAsia"/>
          <w:color w:val="auto"/>
        </w:rPr>
        <w:t>汽油</w:t>
      </w:r>
      <w:r>
        <w:rPr>
          <w:color w:val="auto"/>
        </w:rPr>
        <w:t>装船油气回收设施处理后经排气筒排放，扩建项目非正常工况的废气</w:t>
      </w:r>
      <w:r>
        <w:rPr>
          <w:rFonts w:hint="eastAsia"/>
          <w:color w:val="auto"/>
        </w:rPr>
        <w:t>主要考虑汽油</w:t>
      </w:r>
      <w:r>
        <w:rPr>
          <w:color w:val="auto"/>
        </w:rPr>
        <w:t>装船油气回收设施</w:t>
      </w:r>
      <w:r>
        <w:rPr>
          <w:rFonts w:hint="eastAsia"/>
          <w:color w:val="auto"/>
        </w:rPr>
        <w:t>发生故障，导致</w:t>
      </w:r>
      <w:r>
        <w:rPr>
          <w:color w:val="auto"/>
        </w:rPr>
        <w:t>装船废气直接排放的情况</w:t>
      </w:r>
      <w:r>
        <w:rPr>
          <w:rFonts w:hint="eastAsia"/>
          <w:color w:val="auto"/>
        </w:rPr>
        <w:t>。</w:t>
      </w:r>
      <w:r>
        <w:rPr>
          <w:color w:val="auto"/>
        </w:rPr>
        <w:t>见</w:t>
      </w:r>
      <w:r>
        <w:rPr>
          <w:rFonts w:hint="eastAsia"/>
          <w:color w:val="auto"/>
        </w:rPr>
        <w:t>下表2.3-9。</w:t>
      </w:r>
    </w:p>
    <w:p w14:paraId="2A3CD5C0">
      <w:pPr>
        <w:ind w:firstLine="480"/>
        <w:rPr>
          <w:snapToGrid w:val="0"/>
          <w:color w:val="auto"/>
        </w:rPr>
        <w:sectPr>
          <w:headerReference r:id="rId14" w:type="default"/>
          <w:pgSz w:w="11906" w:h="16838"/>
          <w:pgMar w:top="1440" w:right="1134" w:bottom="1440" w:left="1417" w:header="851" w:footer="992" w:gutter="0"/>
          <w:cols w:space="720" w:num="1"/>
          <w:docGrid w:type="lines" w:linePitch="326" w:charSpace="0"/>
        </w:sectPr>
      </w:pPr>
    </w:p>
    <w:p w14:paraId="7AE0E8C2">
      <w:pPr>
        <w:pStyle w:val="14"/>
        <w:rPr>
          <w:color w:val="auto"/>
          <w:kern w:val="21"/>
        </w:rPr>
      </w:pPr>
      <w:r>
        <w:rPr>
          <w:rFonts w:hint="eastAsia"/>
          <w:color w:val="auto"/>
        </w:rPr>
        <w:t>表</w:t>
      </w:r>
      <w:r>
        <w:rPr>
          <w:color w:val="auto"/>
        </w:rPr>
        <w:t>2.3</w:t>
      </w:r>
      <w:r>
        <w:rPr>
          <w:color w:val="auto"/>
        </w:rPr>
        <w:noBreakHyphen/>
      </w:r>
      <w:r>
        <w:rPr>
          <w:color w:val="auto"/>
        </w:rPr>
        <w:t>6</w:t>
      </w:r>
      <w:r>
        <w:rPr>
          <w:color w:val="auto"/>
          <w:kern w:val="21"/>
        </w:rPr>
        <w:t>废气非正常排放情况</w:t>
      </w:r>
    </w:p>
    <w:tbl>
      <w:tblPr>
        <w:tblStyle w:val="43"/>
        <w:tblW w:w="134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964"/>
        <w:gridCol w:w="3284"/>
        <w:gridCol w:w="1073"/>
        <w:gridCol w:w="1285"/>
        <w:gridCol w:w="1495"/>
        <w:gridCol w:w="896"/>
        <w:gridCol w:w="1112"/>
        <w:gridCol w:w="3353"/>
      </w:tblGrid>
      <w:tr w14:paraId="58AB1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405" w:hRule="atLeast"/>
        </w:trPr>
        <w:tc>
          <w:tcPr>
            <w:tcW w:w="964" w:type="dxa"/>
            <w:vAlign w:val="center"/>
          </w:tcPr>
          <w:p w14:paraId="214E5BA8">
            <w:pPr>
              <w:pStyle w:val="167"/>
              <w:keepNext w:val="0"/>
              <w:keepLines w:val="0"/>
              <w:suppressLineNumbers w:val="0"/>
              <w:spacing w:before="0" w:beforeAutospacing="0" w:after="0" w:afterAutospacing="0"/>
              <w:ind w:right="0"/>
              <w:rPr>
                <w:rFonts w:hint="default"/>
                <w:color w:val="auto"/>
              </w:rPr>
            </w:pPr>
            <w:r>
              <w:rPr>
                <w:rFonts w:hint="default"/>
                <w:color w:val="auto"/>
              </w:rPr>
              <w:t>污染源</w:t>
            </w:r>
          </w:p>
        </w:tc>
        <w:tc>
          <w:tcPr>
            <w:tcW w:w="3284" w:type="dxa"/>
            <w:vAlign w:val="center"/>
          </w:tcPr>
          <w:p w14:paraId="561EF533">
            <w:pPr>
              <w:pStyle w:val="167"/>
              <w:keepNext w:val="0"/>
              <w:keepLines w:val="0"/>
              <w:suppressLineNumbers w:val="0"/>
              <w:spacing w:before="0" w:beforeAutospacing="0" w:after="0" w:afterAutospacing="0"/>
              <w:ind w:right="0"/>
              <w:rPr>
                <w:rFonts w:hint="default"/>
                <w:color w:val="auto"/>
              </w:rPr>
            </w:pPr>
            <w:r>
              <w:rPr>
                <w:rFonts w:hint="default"/>
                <w:color w:val="auto"/>
              </w:rPr>
              <w:t>非正常排放原因</w:t>
            </w:r>
          </w:p>
        </w:tc>
        <w:tc>
          <w:tcPr>
            <w:tcW w:w="1073" w:type="dxa"/>
            <w:vAlign w:val="center"/>
          </w:tcPr>
          <w:p w14:paraId="7CB19611">
            <w:pPr>
              <w:pStyle w:val="167"/>
              <w:keepNext w:val="0"/>
              <w:keepLines w:val="0"/>
              <w:suppressLineNumbers w:val="0"/>
              <w:spacing w:before="0" w:beforeAutospacing="0" w:after="0" w:afterAutospacing="0"/>
              <w:ind w:right="0"/>
              <w:rPr>
                <w:rFonts w:hint="default"/>
                <w:color w:val="auto"/>
              </w:rPr>
            </w:pPr>
            <w:r>
              <w:rPr>
                <w:rFonts w:hint="default"/>
                <w:color w:val="auto"/>
              </w:rPr>
              <w:t>污染物</w:t>
            </w:r>
          </w:p>
        </w:tc>
        <w:tc>
          <w:tcPr>
            <w:tcW w:w="1285" w:type="dxa"/>
            <w:vAlign w:val="center"/>
          </w:tcPr>
          <w:p w14:paraId="43D703A2">
            <w:pPr>
              <w:pStyle w:val="167"/>
              <w:keepNext w:val="0"/>
              <w:keepLines w:val="0"/>
              <w:suppressLineNumbers w:val="0"/>
              <w:spacing w:before="0" w:beforeAutospacing="0" w:after="0" w:afterAutospacing="0"/>
              <w:ind w:right="0"/>
              <w:rPr>
                <w:rFonts w:hint="default"/>
                <w:color w:val="auto"/>
              </w:rPr>
            </w:pPr>
            <w:r>
              <w:rPr>
                <w:rFonts w:hint="default"/>
                <w:color w:val="auto"/>
              </w:rPr>
              <w:t>非正常排放速率kg/h</w:t>
            </w:r>
          </w:p>
        </w:tc>
        <w:tc>
          <w:tcPr>
            <w:tcW w:w="1495" w:type="dxa"/>
            <w:vAlign w:val="center"/>
          </w:tcPr>
          <w:p w14:paraId="2AB348A0">
            <w:pPr>
              <w:pStyle w:val="167"/>
              <w:keepNext w:val="0"/>
              <w:keepLines w:val="0"/>
              <w:suppressLineNumbers w:val="0"/>
              <w:spacing w:before="0" w:beforeAutospacing="0" w:after="0" w:afterAutospacing="0"/>
              <w:ind w:right="0"/>
              <w:rPr>
                <w:rFonts w:hint="default"/>
                <w:color w:val="auto"/>
              </w:rPr>
            </w:pPr>
            <w:r>
              <w:rPr>
                <w:rFonts w:hint="default"/>
                <w:color w:val="auto"/>
              </w:rPr>
              <w:t>非正常情况排放浓度mg/m</w:t>
            </w:r>
            <w:r>
              <w:rPr>
                <w:rFonts w:hint="default"/>
                <w:color w:val="auto"/>
                <w:vertAlign w:val="superscript"/>
              </w:rPr>
              <w:t>3</w:t>
            </w:r>
          </w:p>
        </w:tc>
        <w:tc>
          <w:tcPr>
            <w:tcW w:w="896" w:type="dxa"/>
            <w:vAlign w:val="center"/>
          </w:tcPr>
          <w:p w14:paraId="3AF5F5BF">
            <w:pPr>
              <w:pStyle w:val="167"/>
              <w:keepNext w:val="0"/>
              <w:keepLines w:val="0"/>
              <w:suppressLineNumbers w:val="0"/>
              <w:spacing w:before="0" w:beforeAutospacing="0" w:after="0" w:afterAutospacing="0"/>
              <w:ind w:right="0"/>
              <w:rPr>
                <w:rFonts w:hint="default"/>
                <w:color w:val="auto"/>
              </w:rPr>
            </w:pPr>
            <w:r>
              <w:rPr>
                <w:rFonts w:hint="default"/>
                <w:color w:val="auto"/>
              </w:rPr>
              <w:t>单次持续时间h</w:t>
            </w:r>
          </w:p>
        </w:tc>
        <w:tc>
          <w:tcPr>
            <w:tcW w:w="1112" w:type="dxa"/>
            <w:vAlign w:val="center"/>
          </w:tcPr>
          <w:p w14:paraId="08E16F24">
            <w:pPr>
              <w:pStyle w:val="167"/>
              <w:keepNext w:val="0"/>
              <w:keepLines w:val="0"/>
              <w:suppressLineNumbers w:val="0"/>
              <w:spacing w:before="0" w:beforeAutospacing="0" w:after="0" w:afterAutospacing="0"/>
              <w:ind w:right="0"/>
              <w:rPr>
                <w:rFonts w:hint="default"/>
                <w:color w:val="auto"/>
              </w:rPr>
            </w:pPr>
            <w:r>
              <w:rPr>
                <w:rFonts w:hint="default"/>
                <w:color w:val="auto"/>
              </w:rPr>
              <w:t>年发生频次</w:t>
            </w:r>
          </w:p>
        </w:tc>
        <w:tc>
          <w:tcPr>
            <w:tcW w:w="3353" w:type="dxa"/>
            <w:vAlign w:val="center"/>
          </w:tcPr>
          <w:p w14:paraId="4B7167E2">
            <w:pPr>
              <w:pStyle w:val="167"/>
              <w:keepNext w:val="0"/>
              <w:keepLines w:val="0"/>
              <w:suppressLineNumbers w:val="0"/>
              <w:spacing w:before="0" w:beforeAutospacing="0" w:after="0" w:afterAutospacing="0"/>
              <w:ind w:right="0"/>
              <w:rPr>
                <w:rFonts w:hint="default"/>
                <w:color w:val="auto"/>
              </w:rPr>
            </w:pPr>
            <w:r>
              <w:rPr>
                <w:rFonts w:hint="default"/>
                <w:color w:val="auto"/>
              </w:rPr>
              <w:t>应对措施</w:t>
            </w:r>
          </w:p>
        </w:tc>
      </w:tr>
      <w:tr w14:paraId="54BC2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964" w:type="dxa"/>
            <w:vAlign w:val="center"/>
          </w:tcPr>
          <w:p w14:paraId="37C190B9">
            <w:pPr>
              <w:pStyle w:val="167"/>
              <w:keepNext w:val="0"/>
              <w:keepLines w:val="0"/>
              <w:suppressLineNumbers w:val="0"/>
              <w:spacing w:before="0" w:beforeAutospacing="0" w:after="0" w:afterAutospacing="0"/>
              <w:ind w:right="0"/>
              <w:rPr>
                <w:rFonts w:hint="default"/>
                <w:color w:val="auto"/>
              </w:rPr>
            </w:pPr>
            <w:r>
              <w:rPr>
                <w:rFonts w:hint="default"/>
                <w:color w:val="auto"/>
              </w:rPr>
              <w:t>DA003</w:t>
            </w:r>
          </w:p>
        </w:tc>
        <w:tc>
          <w:tcPr>
            <w:tcW w:w="3284" w:type="dxa"/>
            <w:vAlign w:val="center"/>
          </w:tcPr>
          <w:p w14:paraId="17D9EB71">
            <w:pPr>
              <w:pStyle w:val="167"/>
              <w:keepNext w:val="0"/>
              <w:keepLines w:val="0"/>
              <w:suppressLineNumbers w:val="0"/>
              <w:spacing w:before="0" w:beforeAutospacing="0" w:after="0" w:afterAutospacing="0"/>
              <w:ind w:right="0"/>
              <w:rPr>
                <w:rFonts w:hint="default"/>
                <w:color w:val="auto"/>
              </w:rPr>
            </w:pPr>
            <w:r>
              <w:rPr>
                <w:rFonts w:hint="eastAsia"/>
                <w:color w:val="auto"/>
              </w:rPr>
              <w:t>汽油装船油气回收设施发生故障</w:t>
            </w:r>
          </w:p>
        </w:tc>
        <w:tc>
          <w:tcPr>
            <w:tcW w:w="1073" w:type="dxa"/>
            <w:vAlign w:val="center"/>
          </w:tcPr>
          <w:p w14:paraId="1E2A068D">
            <w:pPr>
              <w:pStyle w:val="167"/>
              <w:keepNext w:val="0"/>
              <w:keepLines w:val="0"/>
              <w:suppressLineNumbers w:val="0"/>
              <w:spacing w:before="0" w:beforeAutospacing="0" w:after="0" w:afterAutospacing="0"/>
              <w:ind w:right="0"/>
              <w:rPr>
                <w:rFonts w:hint="default"/>
                <w:color w:val="auto"/>
              </w:rPr>
            </w:pPr>
            <w:r>
              <w:rPr>
                <w:rFonts w:hint="default"/>
                <w:color w:val="auto"/>
              </w:rPr>
              <w:t>非甲烷总烃</w:t>
            </w:r>
          </w:p>
        </w:tc>
        <w:tc>
          <w:tcPr>
            <w:tcW w:w="1285" w:type="dxa"/>
            <w:vAlign w:val="center"/>
          </w:tcPr>
          <w:p w14:paraId="4D4A010D">
            <w:pPr>
              <w:pStyle w:val="167"/>
              <w:keepNext w:val="0"/>
              <w:keepLines w:val="0"/>
              <w:suppressLineNumbers w:val="0"/>
              <w:spacing w:before="0" w:beforeAutospacing="0" w:after="0" w:afterAutospacing="0"/>
              <w:ind w:right="0"/>
              <w:rPr>
                <w:rFonts w:hint="default"/>
                <w:color w:val="auto"/>
              </w:rPr>
            </w:pPr>
            <w:r>
              <w:rPr>
                <w:rFonts w:hint="default"/>
                <w:color w:val="auto"/>
                <w:szCs w:val="21"/>
              </w:rPr>
              <w:t>37.31</w:t>
            </w:r>
          </w:p>
        </w:tc>
        <w:tc>
          <w:tcPr>
            <w:tcW w:w="1495" w:type="dxa"/>
            <w:vAlign w:val="center"/>
          </w:tcPr>
          <w:p w14:paraId="2B17218C">
            <w:pPr>
              <w:pStyle w:val="167"/>
              <w:keepNext w:val="0"/>
              <w:keepLines w:val="0"/>
              <w:suppressLineNumbers w:val="0"/>
              <w:spacing w:before="0" w:beforeAutospacing="0" w:after="0" w:afterAutospacing="0"/>
              <w:ind w:right="0"/>
              <w:rPr>
                <w:rFonts w:hint="default"/>
                <w:color w:val="auto"/>
              </w:rPr>
            </w:pPr>
            <w:r>
              <w:rPr>
                <w:rFonts w:hint="default"/>
                <w:color w:val="auto"/>
                <w:szCs w:val="21"/>
              </w:rPr>
              <w:t>46635</w:t>
            </w:r>
          </w:p>
        </w:tc>
        <w:tc>
          <w:tcPr>
            <w:tcW w:w="896" w:type="dxa"/>
            <w:vAlign w:val="center"/>
          </w:tcPr>
          <w:p w14:paraId="316EB8D3">
            <w:pPr>
              <w:pStyle w:val="167"/>
              <w:keepNext w:val="0"/>
              <w:keepLines w:val="0"/>
              <w:suppressLineNumbers w:val="0"/>
              <w:spacing w:before="0" w:beforeAutospacing="0" w:after="0" w:afterAutospacing="0"/>
              <w:ind w:right="0"/>
              <w:rPr>
                <w:rFonts w:hint="default"/>
                <w:color w:val="auto"/>
              </w:rPr>
            </w:pPr>
            <w:r>
              <w:rPr>
                <w:rFonts w:hint="default"/>
                <w:color w:val="auto"/>
              </w:rPr>
              <w:t>1</w:t>
            </w:r>
          </w:p>
        </w:tc>
        <w:tc>
          <w:tcPr>
            <w:tcW w:w="1112" w:type="dxa"/>
            <w:vAlign w:val="center"/>
          </w:tcPr>
          <w:p w14:paraId="7FB53CA2">
            <w:pPr>
              <w:pStyle w:val="167"/>
              <w:keepNext w:val="0"/>
              <w:keepLines w:val="0"/>
              <w:suppressLineNumbers w:val="0"/>
              <w:spacing w:before="0" w:beforeAutospacing="0" w:after="0" w:afterAutospacing="0"/>
              <w:ind w:right="0"/>
              <w:rPr>
                <w:rFonts w:hint="default"/>
                <w:color w:val="auto"/>
              </w:rPr>
            </w:pPr>
            <w:r>
              <w:rPr>
                <w:rFonts w:hint="eastAsia"/>
                <w:color w:val="auto"/>
              </w:rPr>
              <w:t>＜</w:t>
            </w:r>
            <w:r>
              <w:rPr>
                <w:rFonts w:hint="default"/>
                <w:color w:val="auto"/>
              </w:rPr>
              <w:t>1</w:t>
            </w:r>
          </w:p>
        </w:tc>
        <w:tc>
          <w:tcPr>
            <w:tcW w:w="3353" w:type="dxa"/>
            <w:vAlign w:val="center"/>
          </w:tcPr>
          <w:p w14:paraId="66E405B7">
            <w:pPr>
              <w:pStyle w:val="167"/>
              <w:keepNext w:val="0"/>
              <w:keepLines w:val="0"/>
              <w:suppressLineNumbers w:val="0"/>
              <w:spacing w:before="0" w:beforeAutospacing="0" w:after="0" w:afterAutospacing="0"/>
              <w:ind w:right="0"/>
              <w:rPr>
                <w:rFonts w:hint="default"/>
                <w:color w:val="auto"/>
              </w:rPr>
            </w:pPr>
            <w:r>
              <w:rPr>
                <w:rFonts w:hint="default"/>
                <w:color w:val="auto"/>
              </w:rPr>
              <w:t>定期检查，及时更换活性炭</w:t>
            </w:r>
          </w:p>
        </w:tc>
      </w:tr>
    </w:tbl>
    <w:p w14:paraId="51781833">
      <w:pPr>
        <w:pStyle w:val="14"/>
        <w:rPr>
          <w:color w:val="auto"/>
        </w:rPr>
      </w:pPr>
    </w:p>
    <w:p w14:paraId="074530AD">
      <w:pPr>
        <w:pStyle w:val="14"/>
        <w:rPr>
          <w:color w:val="auto"/>
          <w:lang w:val="zh-CN" w:bidi="zh-CN"/>
        </w:rPr>
      </w:pPr>
      <w:r>
        <w:rPr>
          <w:rFonts w:hint="eastAsia"/>
          <w:color w:val="auto"/>
        </w:rPr>
        <w:t>表</w:t>
      </w:r>
      <w:r>
        <w:rPr>
          <w:color w:val="auto"/>
        </w:rPr>
        <w:t>2.3</w:t>
      </w:r>
      <w:r>
        <w:rPr>
          <w:color w:val="auto"/>
        </w:rPr>
        <w:noBreakHyphen/>
      </w:r>
      <w:r>
        <w:rPr>
          <w:color w:val="auto"/>
        </w:rPr>
        <w:t>7</w:t>
      </w:r>
      <w:r>
        <w:rPr>
          <w:rFonts w:hint="eastAsia"/>
          <w:color w:val="auto"/>
        </w:rPr>
        <w:t>扩建</w:t>
      </w:r>
      <w:r>
        <w:rPr>
          <w:color w:val="auto"/>
        </w:rPr>
        <w:t>项目</w:t>
      </w:r>
      <w:r>
        <w:rPr>
          <w:color w:val="auto"/>
          <w:lang w:val="zh-CN" w:bidi="zh-CN"/>
        </w:rPr>
        <w:t>废气产生与排放量</w:t>
      </w:r>
      <w:r>
        <w:rPr>
          <w:rFonts w:hint="eastAsia"/>
          <w:color w:val="auto"/>
          <w:lang w:val="zh-CN" w:bidi="zh-CN"/>
        </w:rPr>
        <w:t>汇总</w:t>
      </w:r>
    </w:p>
    <w:tbl>
      <w:tblPr>
        <w:tblStyle w:val="43"/>
        <w:tblW w:w="1351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65"/>
        <w:gridCol w:w="696"/>
        <w:gridCol w:w="696"/>
        <w:gridCol w:w="1134"/>
        <w:gridCol w:w="861"/>
        <w:gridCol w:w="992"/>
        <w:gridCol w:w="1124"/>
        <w:gridCol w:w="567"/>
        <w:gridCol w:w="1134"/>
        <w:gridCol w:w="577"/>
        <w:gridCol w:w="850"/>
        <w:gridCol w:w="993"/>
        <w:gridCol w:w="1158"/>
        <w:gridCol w:w="829"/>
        <w:gridCol w:w="1340"/>
      </w:tblGrid>
      <w:tr w14:paraId="0BB964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vMerge w:val="restart"/>
            <w:tcMar>
              <w:left w:w="0" w:type="dxa"/>
              <w:right w:w="0" w:type="dxa"/>
            </w:tcMar>
            <w:vAlign w:val="center"/>
          </w:tcPr>
          <w:p w14:paraId="04690FA7">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eastAsia"/>
                <w:b/>
                <w:bCs/>
                <w:color w:val="auto"/>
                <w:sz w:val="21"/>
                <w:szCs w:val="21"/>
              </w:rPr>
              <w:t>工序/生产线</w:t>
            </w:r>
          </w:p>
        </w:tc>
        <w:tc>
          <w:tcPr>
            <w:tcW w:w="696" w:type="dxa"/>
            <w:vMerge w:val="restart"/>
            <w:vAlign w:val="center"/>
          </w:tcPr>
          <w:p w14:paraId="4D8A32FD">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eastAsia"/>
                <w:b/>
                <w:bCs/>
                <w:color w:val="auto"/>
                <w:sz w:val="21"/>
                <w:szCs w:val="21"/>
              </w:rPr>
              <w:t>装置</w:t>
            </w:r>
          </w:p>
        </w:tc>
        <w:tc>
          <w:tcPr>
            <w:tcW w:w="696" w:type="dxa"/>
            <w:vMerge w:val="restart"/>
            <w:tcMar>
              <w:left w:w="0" w:type="dxa"/>
              <w:right w:w="0" w:type="dxa"/>
            </w:tcMar>
            <w:vAlign w:val="center"/>
          </w:tcPr>
          <w:p w14:paraId="49D2EC07">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污染源</w:t>
            </w:r>
          </w:p>
        </w:tc>
        <w:tc>
          <w:tcPr>
            <w:tcW w:w="1134" w:type="dxa"/>
            <w:vMerge w:val="restart"/>
            <w:tcMar>
              <w:left w:w="0" w:type="dxa"/>
              <w:right w:w="0" w:type="dxa"/>
            </w:tcMar>
            <w:vAlign w:val="center"/>
          </w:tcPr>
          <w:p w14:paraId="3BB59366">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污染物</w:t>
            </w:r>
          </w:p>
        </w:tc>
        <w:tc>
          <w:tcPr>
            <w:tcW w:w="3544" w:type="dxa"/>
            <w:gridSpan w:val="4"/>
            <w:tcMar>
              <w:left w:w="0" w:type="dxa"/>
              <w:right w:w="0" w:type="dxa"/>
            </w:tcMar>
            <w:vAlign w:val="center"/>
          </w:tcPr>
          <w:p w14:paraId="3FE47524">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废气产生情况</w:t>
            </w:r>
          </w:p>
        </w:tc>
        <w:tc>
          <w:tcPr>
            <w:tcW w:w="1134" w:type="dxa"/>
            <w:vMerge w:val="restart"/>
            <w:tcMar>
              <w:left w:w="0" w:type="dxa"/>
              <w:right w:w="0" w:type="dxa"/>
            </w:tcMar>
            <w:vAlign w:val="center"/>
          </w:tcPr>
          <w:p w14:paraId="3A6EABB0">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处理工艺</w:t>
            </w:r>
          </w:p>
        </w:tc>
        <w:tc>
          <w:tcPr>
            <w:tcW w:w="577" w:type="dxa"/>
            <w:vMerge w:val="restart"/>
            <w:tcMar>
              <w:left w:w="0" w:type="dxa"/>
              <w:right w:w="0" w:type="dxa"/>
            </w:tcMar>
            <w:vAlign w:val="center"/>
          </w:tcPr>
          <w:p w14:paraId="42BD4EF6">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去除率</w:t>
            </w:r>
          </w:p>
          <w:p w14:paraId="738B0CE7">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p>
        </w:tc>
        <w:tc>
          <w:tcPr>
            <w:tcW w:w="3830" w:type="dxa"/>
            <w:gridSpan w:val="4"/>
            <w:tcMar>
              <w:left w:w="0" w:type="dxa"/>
              <w:right w:w="0" w:type="dxa"/>
            </w:tcMar>
            <w:vAlign w:val="center"/>
          </w:tcPr>
          <w:p w14:paraId="387AFC72">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废气排放情况</w:t>
            </w:r>
          </w:p>
        </w:tc>
        <w:tc>
          <w:tcPr>
            <w:tcW w:w="1340" w:type="dxa"/>
            <w:vMerge w:val="restart"/>
            <w:tcMar>
              <w:left w:w="0" w:type="dxa"/>
              <w:right w:w="0" w:type="dxa"/>
            </w:tcMar>
            <w:vAlign w:val="center"/>
          </w:tcPr>
          <w:p w14:paraId="61336513">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pacing w:val="-9"/>
                <w:sz w:val="21"/>
                <w:szCs w:val="21"/>
              </w:rPr>
              <w:t>排放</w:t>
            </w:r>
            <w:r>
              <w:rPr>
                <w:rFonts w:hint="default"/>
                <w:b/>
                <w:bCs/>
                <w:color w:val="auto"/>
                <w:spacing w:val="-9"/>
                <w:w w:val="95"/>
                <w:sz w:val="21"/>
                <w:szCs w:val="21"/>
              </w:rPr>
              <w:t>时间/h</w:t>
            </w:r>
          </w:p>
        </w:tc>
      </w:tr>
      <w:tr w14:paraId="70F109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vMerge w:val="continue"/>
            <w:tcMar>
              <w:left w:w="0" w:type="dxa"/>
              <w:right w:w="0" w:type="dxa"/>
            </w:tcMar>
            <w:vAlign w:val="center"/>
          </w:tcPr>
          <w:p w14:paraId="6253E045">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lang w:eastAsia="en-US"/>
              </w:rPr>
            </w:pPr>
          </w:p>
        </w:tc>
        <w:tc>
          <w:tcPr>
            <w:tcW w:w="696" w:type="dxa"/>
            <w:vMerge w:val="continue"/>
          </w:tcPr>
          <w:p w14:paraId="46CFAFDA">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lang w:eastAsia="en-US"/>
              </w:rPr>
            </w:pPr>
          </w:p>
        </w:tc>
        <w:tc>
          <w:tcPr>
            <w:tcW w:w="696" w:type="dxa"/>
            <w:vMerge w:val="continue"/>
            <w:tcMar>
              <w:left w:w="0" w:type="dxa"/>
              <w:right w:w="0" w:type="dxa"/>
            </w:tcMar>
            <w:vAlign w:val="center"/>
          </w:tcPr>
          <w:p w14:paraId="289A108B">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lang w:eastAsia="en-US"/>
              </w:rPr>
            </w:pPr>
          </w:p>
        </w:tc>
        <w:tc>
          <w:tcPr>
            <w:tcW w:w="1134" w:type="dxa"/>
            <w:vMerge w:val="continue"/>
            <w:tcMar>
              <w:left w:w="0" w:type="dxa"/>
              <w:right w:w="0" w:type="dxa"/>
            </w:tcMar>
            <w:vAlign w:val="center"/>
          </w:tcPr>
          <w:p w14:paraId="39796FE0">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lang w:eastAsia="en-US"/>
              </w:rPr>
            </w:pPr>
          </w:p>
        </w:tc>
        <w:tc>
          <w:tcPr>
            <w:tcW w:w="861" w:type="dxa"/>
            <w:tcMar>
              <w:left w:w="0" w:type="dxa"/>
              <w:right w:w="0" w:type="dxa"/>
            </w:tcMar>
            <w:vAlign w:val="center"/>
          </w:tcPr>
          <w:p w14:paraId="02C5B3E1">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浓度</w:t>
            </w:r>
          </w:p>
          <w:p w14:paraId="7592677F">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(mg/m</w:t>
            </w:r>
            <w:r>
              <w:rPr>
                <w:rFonts w:hint="default"/>
                <w:b/>
                <w:bCs/>
                <w:color w:val="auto"/>
                <w:sz w:val="21"/>
                <w:szCs w:val="21"/>
                <w:vertAlign w:val="superscript"/>
              </w:rPr>
              <w:t>3</w:t>
            </w:r>
            <w:r>
              <w:rPr>
                <w:rFonts w:hint="default"/>
                <w:b/>
                <w:bCs/>
                <w:color w:val="auto"/>
                <w:sz w:val="21"/>
                <w:szCs w:val="21"/>
              </w:rPr>
              <w:t>)</w:t>
            </w:r>
          </w:p>
        </w:tc>
        <w:tc>
          <w:tcPr>
            <w:tcW w:w="992" w:type="dxa"/>
            <w:tcMar>
              <w:left w:w="0" w:type="dxa"/>
              <w:right w:w="0" w:type="dxa"/>
            </w:tcMar>
            <w:vAlign w:val="center"/>
          </w:tcPr>
          <w:p w14:paraId="0C996C27">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w w:val="95"/>
                <w:sz w:val="21"/>
                <w:szCs w:val="21"/>
              </w:rPr>
              <w:t>速率</w:t>
            </w:r>
          </w:p>
          <w:p w14:paraId="74D6C5B1">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(kg/h)</w:t>
            </w:r>
          </w:p>
        </w:tc>
        <w:tc>
          <w:tcPr>
            <w:tcW w:w="1124" w:type="dxa"/>
            <w:tcMar>
              <w:left w:w="0" w:type="dxa"/>
              <w:right w:w="0" w:type="dxa"/>
            </w:tcMar>
            <w:vAlign w:val="center"/>
          </w:tcPr>
          <w:p w14:paraId="6E6B19F9">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产生量</w:t>
            </w:r>
          </w:p>
          <w:p w14:paraId="1DD05D45">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(t/a)</w:t>
            </w:r>
          </w:p>
        </w:tc>
        <w:tc>
          <w:tcPr>
            <w:tcW w:w="567" w:type="dxa"/>
            <w:tcMar>
              <w:left w:w="0" w:type="dxa"/>
              <w:right w:w="0" w:type="dxa"/>
            </w:tcMar>
            <w:vAlign w:val="center"/>
          </w:tcPr>
          <w:p w14:paraId="5D96E4A0">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w w:val="95"/>
                <w:sz w:val="21"/>
                <w:szCs w:val="21"/>
              </w:rPr>
              <w:t>气量</w:t>
            </w:r>
          </w:p>
          <w:p w14:paraId="00CDAFB0">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Nm</w:t>
            </w:r>
            <w:r>
              <w:rPr>
                <w:rFonts w:hint="default"/>
                <w:b/>
                <w:bCs/>
                <w:color w:val="auto"/>
                <w:sz w:val="21"/>
                <w:szCs w:val="21"/>
                <w:vertAlign w:val="superscript"/>
              </w:rPr>
              <w:t>3</w:t>
            </w:r>
            <w:r>
              <w:rPr>
                <w:rFonts w:hint="default"/>
                <w:b/>
                <w:bCs/>
                <w:color w:val="auto"/>
                <w:sz w:val="21"/>
                <w:szCs w:val="21"/>
              </w:rPr>
              <w:t>/h</w:t>
            </w:r>
          </w:p>
        </w:tc>
        <w:tc>
          <w:tcPr>
            <w:tcW w:w="1134" w:type="dxa"/>
            <w:vMerge w:val="continue"/>
            <w:tcMar>
              <w:left w:w="0" w:type="dxa"/>
              <w:right w:w="0" w:type="dxa"/>
            </w:tcMar>
            <w:vAlign w:val="center"/>
          </w:tcPr>
          <w:p w14:paraId="6DD99314">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lang w:eastAsia="en-US"/>
              </w:rPr>
            </w:pPr>
          </w:p>
        </w:tc>
        <w:tc>
          <w:tcPr>
            <w:tcW w:w="577" w:type="dxa"/>
            <w:vMerge w:val="continue"/>
            <w:tcMar>
              <w:left w:w="0" w:type="dxa"/>
              <w:right w:w="0" w:type="dxa"/>
            </w:tcMar>
            <w:vAlign w:val="center"/>
          </w:tcPr>
          <w:p w14:paraId="4EEC638C">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lang w:eastAsia="en-US"/>
              </w:rPr>
            </w:pPr>
          </w:p>
        </w:tc>
        <w:tc>
          <w:tcPr>
            <w:tcW w:w="850" w:type="dxa"/>
            <w:tcMar>
              <w:left w:w="0" w:type="dxa"/>
              <w:right w:w="0" w:type="dxa"/>
            </w:tcMar>
            <w:vAlign w:val="center"/>
          </w:tcPr>
          <w:p w14:paraId="5DB3CBD9">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浓度</w:t>
            </w:r>
          </w:p>
          <w:p w14:paraId="55A02371">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(mg/m</w:t>
            </w:r>
            <w:r>
              <w:rPr>
                <w:rFonts w:hint="default"/>
                <w:b/>
                <w:bCs/>
                <w:color w:val="auto"/>
                <w:sz w:val="21"/>
                <w:szCs w:val="21"/>
                <w:vertAlign w:val="superscript"/>
              </w:rPr>
              <w:t>3</w:t>
            </w:r>
            <w:r>
              <w:rPr>
                <w:rFonts w:hint="default"/>
                <w:b/>
                <w:bCs/>
                <w:color w:val="auto"/>
                <w:sz w:val="21"/>
                <w:szCs w:val="21"/>
              </w:rPr>
              <w:t>)</w:t>
            </w:r>
          </w:p>
        </w:tc>
        <w:tc>
          <w:tcPr>
            <w:tcW w:w="993" w:type="dxa"/>
            <w:tcMar>
              <w:left w:w="0" w:type="dxa"/>
              <w:right w:w="0" w:type="dxa"/>
            </w:tcMar>
            <w:vAlign w:val="center"/>
          </w:tcPr>
          <w:p w14:paraId="7B7C7732">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w w:val="95"/>
                <w:sz w:val="21"/>
                <w:szCs w:val="21"/>
              </w:rPr>
              <w:t>速率</w:t>
            </w:r>
          </w:p>
          <w:p w14:paraId="70F5AE80">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(kg/h)</w:t>
            </w:r>
          </w:p>
        </w:tc>
        <w:tc>
          <w:tcPr>
            <w:tcW w:w="1158" w:type="dxa"/>
            <w:tcMar>
              <w:left w:w="0" w:type="dxa"/>
              <w:right w:w="0" w:type="dxa"/>
            </w:tcMar>
            <w:vAlign w:val="center"/>
          </w:tcPr>
          <w:p w14:paraId="1C344FBA">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pacing w:val="-8"/>
                <w:sz w:val="21"/>
                <w:szCs w:val="21"/>
              </w:rPr>
              <w:t>排放</w:t>
            </w:r>
            <w:r>
              <w:rPr>
                <w:rFonts w:hint="default"/>
                <w:b/>
                <w:bCs/>
                <w:color w:val="auto"/>
                <w:sz w:val="21"/>
                <w:szCs w:val="21"/>
              </w:rPr>
              <w:t>量</w:t>
            </w:r>
          </w:p>
          <w:p w14:paraId="1DE3435A">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(t/a)</w:t>
            </w:r>
          </w:p>
        </w:tc>
        <w:tc>
          <w:tcPr>
            <w:tcW w:w="829" w:type="dxa"/>
            <w:tcMar>
              <w:left w:w="0" w:type="dxa"/>
              <w:right w:w="0" w:type="dxa"/>
            </w:tcMar>
            <w:vAlign w:val="center"/>
          </w:tcPr>
          <w:p w14:paraId="329B90B0">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w w:val="95"/>
                <w:sz w:val="21"/>
                <w:szCs w:val="21"/>
              </w:rPr>
              <w:t>气量</w:t>
            </w:r>
          </w:p>
          <w:p w14:paraId="150A843C">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Nm</w:t>
            </w:r>
            <w:r>
              <w:rPr>
                <w:rFonts w:hint="default"/>
                <w:b/>
                <w:bCs/>
                <w:color w:val="auto"/>
                <w:sz w:val="21"/>
                <w:szCs w:val="21"/>
                <w:vertAlign w:val="superscript"/>
              </w:rPr>
              <w:t>3</w:t>
            </w:r>
            <w:r>
              <w:rPr>
                <w:rFonts w:hint="default"/>
                <w:b/>
                <w:bCs/>
                <w:color w:val="auto"/>
                <w:sz w:val="21"/>
                <w:szCs w:val="21"/>
              </w:rPr>
              <w:t>/h</w:t>
            </w:r>
          </w:p>
        </w:tc>
        <w:tc>
          <w:tcPr>
            <w:tcW w:w="1340" w:type="dxa"/>
            <w:vMerge w:val="continue"/>
            <w:tcMar>
              <w:left w:w="0" w:type="dxa"/>
              <w:right w:w="0" w:type="dxa"/>
            </w:tcMar>
            <w:vAlign w:val="center"/>
          </w:tcPr>
          <w:p w14:paraId="4F7FB289">
            <w:pPr>
              <w:keepNext w:val="0"/>
              <w:keepLines w:val="0"/>
              <w:suppressLineNumbers w:val="0"/>
              <w:spacing w:before="0" w:beforeAutospacing="0" w:after="0" w:afterAutospacing="0" w:line="240" w:lineRule="exact"/>
              <w:ind w:left="0" w:right="0" w:firstLine="0" w:firstLineChars="0"/>
              <w:jc w:val="center"/>
              <w:rPr>
                <w:rFonts w:hint="default"/>
                <w:b/>
                <w:bCs/>
                <w:color w:val="auto"/>
                <w:sz w:val="21"/>
                <w:szCs w:val="21"/>
                <w:lang w:eastAsia="en-US"/>
              </w:rPr>
            </w:pPr>
          </w:p>
        </w:tc>
      </w:tr>
      <w:tr w14:paraId="6BB101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tcMar>
              <w:left w:w="0" w:type="dxa"/>
              <w:right w:w="0" w:type="dxa"/>
            </w:tcMar>
            <w:vAlign w:val="center"/>
          </w:tcPr>
          <w:p w14:paraId="69FB357B">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装船</w:t>
            </w:r>
          </w:p>
        </w:tc>
        <w:tc>
          <w:tcPr>
            <w:tcW w:w="696" w:type="dxa"/>
          </w:tcPr>
          <w:p w14:paraId="653F9A01">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696" w:type="dxa"/>
            <w:tcMar>
              <w:left w:w="0" w:type="dxa"/>
              <w:right w:w="0" w:type="dxa"/>
            </w:tcMar>
            <w:vAlign w:val="center"/>
          </w:tcPr>
          <w:p w14:paraId="54040EE6">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有组织</w:t>
            </w:r>
            <w:r>
              <w:rPr>
                <w:rFonts w:hint="default"/>
                <w:color w:val="auto"/>
                <w:sz w:val="21"/>
                <w:szCs w:val="21"/>
              </w:rPr>
              <w:t>排放</w:t>
            </w:r>
          </w:p>
        </w:tc>
        <w:tc>
          <w:tcPr>
            <w:tcW w:w="1134" w:type="dxa"/>
            <w:tcMar>
              <w:left w:w="0" w:type="dxa"/>
              <w:right w:w="0" w:type="dxa"/>
            </w:tcMar>
            <w:vAlign w:val="center"/>
          </w:tcPr>
          <w:p w14:paraId="3ABC7508">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非甲烷总烃</w:t>
            </w:r>
          </w:p>
        </w:tc>
        <w:tc>
          <w:tcPr>
            <w:tcW w:w="861" w:type="dxa"/>
            <w:tcMar>
              <w:left w:w="0" w:type="dxa"/>
              <w:right w:w="0" w:type="dxa"/>
            </w:tcMar>
            <w:vAlign w:val="center"/>
          </w:tcPr>
          <w:p w14:paraId="6AE287D3">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46635</w:t>
            </w:r>
          </w:p>
        </w:tc>
        <w:tc>
          <w:tcPr>
            <w:tcW w:w="992" w:type="dxa"/>
            <w:tcMar>
              <w:left w:w="0" w:type="dxa"/>
              <w:right w:w="0" w:type="dxa"/>
            </w:tcMar>
            <w:vAlign w:val="center"/>
          </w:tcPr>
          <w:p w14:paraId="0F819447">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37.31</w:t>
            </w:r>
          </w:p>
        </w:tc>
        <w:tc>
          <w:tcPr>
            <w:tcW w:w="1124" w:type="dxa"/>
            <w:tcMar>
              <w:left w:w="0" w:type="dxa"/>
              <w:right w:w="0" w:type="dxa"/>
            </w:tcMar>
            <w:vAlign w:val="center"/>
          </w:tcPr>
          <w:p w14:paraId="79222D8C">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25.21</w:t>
            </w:r>
          </w:p>
        </w:tc>
        <w:tc>
          <w:tcPr>
            <w:tcW w:w="567" w:type="dxa"/>
            <w:tcMar>
              <w:left w:w="0" w:type="dxa"/>
              <w:right w:w="0" w:type="dxa"/>
            </w:tcMar>
            <w:vAlign w:val="center"/>
          </w:tcPr>
          <w:p w14:paraId="2F3A582F">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800</w:t>
            </w:r>
          </w:p>
        </w:tc>
        <w:tc>
          <w:tcPr>
            <w:tcW w:w="1134" w:type="dxa"/>
            <w:tcMar>
              <w:left w:w="0" w:type="dxa"/>
              <w:right w:w="0" w:type="dxa"/>
            </w:tcMar>
            <w:vAlign w:val="center"/>
          </w:tcPr>
          <w:p w14:paraId="6C55D485">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装船</w:t>
            </w:r>
            <w:r>
              <w:rPr>
                <w:rFonts w:hint="default"/>
                <w:color w:val="auto"/>
                <w:sz w:val="21"/>
                <w:szCs w:val="21"/>
              </w:rPr>
              <w:t>油气回收设施</w:t>
            </w:r>
          </w:p>
        </w:tc>
        <w:tc>
          <w:tcPr>
            <w:tcW w:w="577" w:type="dxa"/>
            <w:tcMar>
              <w:left w:w="0" w:type="dxa"/>
              <w:right w:w="0" w:type="dxa"/>
            </w:tcMar>
            <w:vAlign w:val="center"/>
          </w:tcPr>
          <w:p w14:paraId="33C6DD2A">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95%</w:t>
            </w:r>
          </w:p>
        </w:tc>
        <w:tc>
          <w:tcPr>
            <w:tcW w:w="850" w:type="dxa"/>
            <w:tcMar>
              <w:left w:w="0" w:type="dxa"/>
              <w:right w:w="0" w:type="dxa"/>
            </w:tcMar>
            <w:vAlign w:val="center"/>
          </w:tcPr>
          <w:p w14:paraId="6F1F6EFE">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2331.76</w:t>
            </w:r>
          </w:p>
        </w:tc>
        <w:tc>
          <w:tcPr>
            <w:tcW w:w="993" w:type="dxa"/>
            <w:tcMar>
              <w:left w:w="0" w:type="dxa"/>
              <w:right w:w="0" w:type="dxa"/>
            </w:tcMar>
            <w:vAlign w:val="center"/>
          </w:tcPr>
          <w:p w14:paraId="23F20534">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1.865</w:t>
            </w:r>
          </w:p>
        </w:tc>
        <w:tc>
          <w:tcPr>
            <w:tcW w:w="1158" w:type="dxa"/>
            <w:tcMar>
              <w:left w:w="0" w:type="dxa"/>
              <w:right w:w="0" w:type="dxa"/>
            </w:tcMar>
            <w:vAlign w:val="center"/>
          </w:tcPr>
          <w:p w14:paraId="16BE6A58">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1.26</w:t>
            </w:r>
          </w:p>
        </w:tc>
        <w:tc>
          <w:tcPr>
            <w:tcW w:w="829" w:type="dxa"/>
            <w:tcMar>
              <w:left w:w="0" w:type="dxa"/>
              <w:right w:w="0" w:type="dxa"/>
            </w:tcMar>
            <w:vAlign w:val="center"/>
          </w:tcPr>
          <w:p w14:paraId="22026C44">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800</w:t>
            </w:r>
          </w:p>
        </w:tc>
        <w:tc>
          <w:tcPr>
            <w:tcW w:w="1340" w:type="dxa"/>
            <w:tcMar>
              <w:left w:w="0" w:type="dxa"/>
              <w:right w:w="0" w:type="dxa"/>
            </w:tcMar>
            <w:vAlign w:val="center"/>
          </w:tcPr>
          <w:p w14:paraId="52002C51">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676</w:t>
            </w:r>
          </w:p>
        </w:tc>
      </w:tr>
      <w:tr w14:paraId="45FA25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tcMar>
              <w:left w:w="0" w:type="dxa"/>
              <w:right w:w="0" w:type="dxa"/>
            </w:tcMar>
            <w:vAlign w:val="center"/>
          </w:tcPr>
          <w:p w14:paraId="0090C948">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装卸过程</w:t>
            </w:r>
          </w:p>
        </w:tc>
        <w:tc>
          <w:tcPr>
            <w:tcW w:w="696" w:type="dxa"/>
          </w:tcPr>
          <w:p w14:paraId="4D868D6C">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管线</w:t>
            </w:r>
          </w:p>
        </w:tc>
        <w:tc>
          <w:tcPr>
            <w:tcW w:w="696" w:type="dxa"/>
            <w:vMerge w:val="restart"/>
            <w:tcMar>
              <w:left w:w="0" w:type="dxa"/>
              <w:right w:w="0" w:type="dxa"/>
            </w:tcMar>
            <w:vAlign w:val="center"/>
          </w:tcPr>
          <w:p w14:paraId="3DEC3FE7">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无组织排放</w:t>
            </w:r>
          </w:p>
        </w:tc>
        <w:tc>
          <w:tcPr>
            <w:tcW w:w="1134" w:type="dxa"/>
            <w:vMerge w:val="restart"/>
            <w:tcMar>
              <w:left w:w="0" w:type="dxa"/>
              <w:right w:w="0" w:type="dxa"/>
            </w:tcMar>
            <w:vAlign w:val="center"/>
          </w:tcPr>
          <w:p w14:paraId="2B5C53CA">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非甲烷总烃</w:t>
            </w:r>
          </w:p>
        </w:tc>
        <w:tc>
          <w:tcPr>
            <w:tcW w:w="861" w:type="dxa"/>
            <w:tcMar>
              <w:left w:w="0" w:type="dxa"/>
              <w:right w:w="0" w:type="dxa"/>
            </w:tcMar>
            <w:vAlign w:val="center"/>
          </w:tcPr>
          <w:p w14:paraId="1007422E">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992" w:type="dxa"/>
            <w:tcMar>
              <w:left w:w="0" w:type="dxa"/>
              <w:right w:w="0" w:type="dxa"/>
            </w:tcMar>
            <w:vAlign w:val="center"/>
          </w:tcPr>
          <w:p w14:paraId="0182915E">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0.</w:t>
            </w:r>
            <w:r>
              <w:rPr>
                <w:rFonts w:hint="default"/>
                <w:color w:val="auto"/>
                <w:sz w:val="21"/>
                <w:szCs w:val="21"/>
              </w:rPr>
              <w:t>281</w:t>
            </w:r>
          </w:p>
        </w:tc>
        <w:tc>
          <w:tcPr>
            <w:tcW w:w="1124" w:type="dxa"/>
            <w:tcMar>
              <w:left w:w="0" w:type="dxa"/>
              <w:right w:w="0" w:type="dxa"/>
            </w:tcMar>
            <w:vAlign w:val="center"/>
          </w:tcPr>
          <w:p w14:paraId="090F6E89">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0</w:t>
            </w:r>
            <w:r>
              <w:rPr>
                <w:rFonts w:hint="default"/>
                <w:color w:val="auto"/>
                <w:sz w:val="21"/>
                <w:szCs w:val="21"/>
              </w:rPr>
              <w:t>.904</w:t>
            </w:r>
          </w:p>
        </w:tc>
        <w:tc>
          <w:tcPr>
            <w:tcW w:w="567" w:type="dxa"/>
            <w:vMerge w:val="restart"/>
            <w:tcMar>
              <w:left w:w="0" w:type="dxa"/>
              <w:right w:w="0" w:type="dxa"/>
            </w:tcMar>
            <w:vAlign w:val="center"/>
          </w:tcPr>
          <w:p w14:paraId="301037C4">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1134" w:type="dxa"/>
            <w:vMerge w:val="restart"/>
            <w:tcMar>
              <w:left w:w="0" w:type="dxa"/>
              <w:right w:w="0" w:type="dxa"/>
            </w:tcMar>
            <w:vAlign w:val="center"/>
          </w:tcPr>
          <w:p w14:paraId="79382FCE">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577" w:type="dxa"/>
            <w:vMerge w:val="restart"/>
            <w:tcMar>
              <w:left w:w="0" w:type="dxa"/>
              <w:right w:w="0" w:type="dxa"/>
            </w:tcMar>
            <w:vAlign w:val="center"/>
          </w:tcPr>
          <w:p w14:paraId="7B8EF2F9">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850" w:type="dxa"/>
            <w:tcMar>
              <w:left w:w="0" w:type="dxa"/>
              <w:right w:w="0" w:type="dxa"/>
            </w:tcMar>
            <w:vAlign w:val="center"/>
          </w:tcPr>
          <w:p w14:paraId="360C29BA">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993" w:type="dxa"/>
            <w:tcMar>
              <w:left w:w="0" w:type="dxa"/>
              <w:right w:w="0" w:type="dxa"/>
            </w:tcMar>
            <w:vAlign w:val="center"/>
          </w:tcPr>
          <w:p w14:paraId="0BA9945F">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0.</w:t>
            </w:r>
            <w:r>
              <w:rPr>
                <w:rFonts w:hint="default"/>
                <w:color w:val="auto"/>
                <w:sz w:val="21"/>
                <w:szCs w:val="21"/>
              </w:rPr>
              <w:t>281</w:t>
            </w:r>
          </w:p>
        </w:tc>
        <w:tc>
          <w:tcPr>
            <w:tcW w:w="1158" w:type="dxa"/>
            <w:tcMar>
              <w:left w:w="0" w:type="dxa"/>
              <w:right w:w="0" w:type="dxa"/>
            </w:tcMar>
            <w:vAlign w:val="center"/>
          </w:tcPr>
          <w:p w14:paraId="03ADC526">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0.</w:t>
            </w:r>
            <w:r>
              <w:rPr>
                <w:rFonts w:hint="default"/>
                <w:color w:val="auto"/>
                <w:sz w:val="21"/>
                <w:szCs w:val="21"/>
              </w:rPr>
              <w:t>904</w:t>
            </w:r>
          </w:p>
        </w:tc>
        <w:tc>
          <w:tcPr>
            <w:tcW w:w="829" w:type="dxa"/>
            <w:vMerge w:val="restart"/>
            <w:tcMar>
              <w:left w:w="0" w:type="dxa"/>
              <w:right w:w="0" w:type="dxa"/>
            </w:tcMar>
            <w:vAlign w:val="center"/>
          </w:tcPr>
          <w:p w14:paraId="3C7104F8">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1340" w:type="dxa"/>
            <w:tcMar>
              <w:left w:w="0" w:type="dxa"/>
              <w:right w:w="0" w:type="dxa"/>
            </w:tcMar>
            <w:vAlign w:val="center"/>
          </w:tcPr>
          <w:p w14:paraId="56D8607B">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3219</w:t>
            </w:r>
          </w:p>
        </w:tc>
      </w:tr>
      <w:tr w14:paraId="60265C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tcMar>
              <w:left w:w="0" w:type="dxa"/>
              <w:right w:w="0" w:type="dxa"/>
            </w:tcMar>
            <w:vAlign w:val="center"/>
          </w:tcPr>
          <w:p w14:paraId="288FB2C0">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储存</w:t>
            </w:r>
          </w:p>
        </w:tc>
        <w:tc>
          <w:tcPr>
            <w:tcW w:w="696" w:type="dxa"/>
          </w:tcPr>
          <w:p w14:paraId="2BC93BCE">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储罐</w:t>
            </w:r>
          </w:p>
        </w:tc>
        <w:tc>
          <w:tcPr>
            <w:tcW w:w="696" w:type="dxa"/>
            <w:vMerge w:val="continue"/>
            <w:tcMar>
              <w:left w:w="0" w:type="dxa"/>
              <w:right w:w="0" w:type="dxa"/>
            </w:tcMar>
            <w:vAlign w:val="center"/>
          </w:tcPr>
          <w:p w14:paraId="62080F52">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1134" w:type="dxa"/>
            <w:vMerge w:val="continue"/>
            <w:tcMar>
              <w:left w:w="0" w:type="dxa"/>
              <w:right w:w="0" w:type="dxa"/>
            </w:tcMar>
            <w:vAlign w:val="center"/>
          </w:tcPr>
          <w:p w14:paraId="6A40B38C">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861" w:type="dxa"/>
            <w:tcMar>
              <w:left w:w="0" w:type="dxa"/>
              <w:right w:w="0" w:type="dxa"/>
            </w:tcMar>
            <w:vAlign w:val="center"/>
          </w:tcPr>
          <w:p w14:paraId="4F34FE3D">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992" w:type="dxa"/>
            <w:tcMar>
              <w:left w:w="0" w:type="dxa"/>
              <w:right w:w="0" w:type="dxa"/>
            </w:tcMar>
            <w:vAlign w:val="center"/>
          </w:tcPr>
          <w:p w14:paraId="3F0A5815">
            <w:pPr>
              <w:keepNext w:val="0"/>
              <w:keepLines w:val="0"/>
              <w:suppressLineNumbers w:val="0"/>
              <w:spacing w:before="0" w:beforeAutospacing="0" w:after="0" w:afterAutospacing="0" w:line="240" w:lineRule="exact"/>
              <w:ind w:left="0" w:right="0" w:firstLine="0" w:firstLineChars="0"/>
              <w:jc w:val="center"/>
              <w:rPr>
                <w:rFonts w:hint="default" w:eastAsia="等线"/>
                <w:color w:val="auto"/>
                <w:sz w:val="21"/>
                <w:szCs w:val="21"/>
              </w:rPr>
            </w:pPr>
            <w:r>
              <w:rPr>
                <w:rFonts w:hint="default" w:eastAsia="等线"/>
                <w:color w:val="auto"/>
                <w:sz w:val="21"/>
                <w:szCs w:val="21"/>
              </w:rPr>
              <w:t>0.51</w:t>
            </w:r>
          </w:p>
        </w:tc>
        <w:tc>
          <w:tcPr>
            <w:tcW w:w="1124" w:type="dxa"/>
            <w:tcMar>
              <w:left w:w="0" w:type="dxa"/>
              <w:right w:w="0" w:type="dxa"/>
            </w:tcMar>
            <w:vAlign w:val="center"/>
          </w:tcPr>
          <w:p w14:paraId="0AE1E304">
            <w:pPr>
              <w:keepNext w:val="0"/>
              <w:keepLines w:val="0"/>
              <w:suppressLineNumbers w:val="0"/>
              <w:spacing w:before="0" w:beforeAutospacing="0" w:after="0" w:afterAutospacing="0" w:line="240" w:lineRule="exact"/>
              <w:ind w:left="0" w:right="0" w:firstLine="0" w:firstLineChars="0"/>
              <w:jc w:val="center"/>
              <w:rPr>
                <w:rFonts w:hint="default" w:eastAsia="等线"/>
                <w:color w:val="auto"/>
                <w:sz w:val="21"/>
                <w:szCs w:val="21"/>
              </w:rPr>
            </w:pPr>
            <w:r>
              <w:rPr>
                <w:rFonts w:hint="default" w:eastAsia="等线"/>
                <w:color w:val="auto"/>
                <w:sz w:val="21"/>
                <w:szCs w:val="21"/>
              </w:rPr>
              <w:t>4.23</w:t>
            </w:r>
          </w:p>
        </w:tc>
        <w:tc>
          <w:tcPr>
            <w:tcW w:w="567" w:type="dxa"/>
            <w:vMerge w:val="continue"/>
            <w:tcMar>
              <w:left w:w="0" w:type="dxa"/>
              <w:right w:w="0" w:type="dxa"/>
            </w:tcMar>
            <w:vAlign w:val="center"/>
          </w:tcPr>
          <w:p w14:paraId="16CECB93">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1134" w:type="dxa"/>
            <w:vMerge w:val="continue"/>
            <w:tcMar>
              <w:left w:w="0" w:type="dxa"/>
              <w:right w:w="0" w:type="dxa"/>
            </w:tcMar>
            <w:vAlign w:val="center"/>
          </w:tcPr>
          <w:p w14:paraId="166485F2">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577" w:type="dxa"/>
            <w:vMerge w:val="continue"/>
            <w:tcMar>
              <w:left w:w="0" w:type="dxa"/>
              <w:right w:w="0" w:type="dxa"/>
            </w:tcMar>
            <w:vAlign w:val="center"/>
          </w:tcPr>
          <w:p w14:paraId="29734997">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850" w:type="dxa"/>
            <w:tcMar>
              <w:left w:w="0" w:type="dxa"/>
              <w:right w:w="0" w:type="dxa"/>
            </w:tcMar>
            <w:vAlign w:val="center"/>
          </w:tcPr>
          <w:p w14:paraId="46DAF3EE">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993" w:type="dxa"/>
            <w:tcMar>
              <w:left w:w="0" w:type="dxa"/>
              <w:right w:w="0" w:type="dxa"/>
            </w:tcMar>
            <w:vAlign w:val="center"/>
          </w:tcPr>
          <w:p w14:paraId="58CCD5A4">
            <w:pPr>
              <w:keepNext w:val="0"/>
              <w:keepLines w:val="0"/>
              <w:suppressLineNumbers w:val="0"/>
              <w:spacing w:before="0" w:beforeAutospacing="0" w:after="0" w:afterAutospacing="0" w:line="240" w:lineRule="exact"/>
              <w:ind w:left="0" w:right="0" w:firstLine="0" w:firstLineChars="0"/>
              <w:jc w:val="center"/>
              <w:rPr>
                <w:rFonts w:hint="default" w:eastAsia="等线"/>
                <w:color w:val="auto"/>
                <w:sz w:val="21"/>
                <w:szCs w:val="21"/>
              </w:rPr>
            </w:pPr>
            <w:r>
              <w:rPr>
                <w:rFonts w:hint="default" w:eastAsia="等线"/>
                <w:color w:val="auto"/>
                <w:sz w:val="21"/>
                <w:szCs w:val="21"/>
              </w:rPr>
              <w:t>0.51</w:t>
            </w:r>
          </w:p>
        </w:tc>
        <w:tc>
          <w:tcPr>
            <w:tcW w:w="1158" w:type="dxa"/>
            <w:tcMar>
              <w:left w:w="0" w:type="dxa"/>
              <w:right w:w="0" w:type="dxa"/>
            </w:tcMar>
            <w:vAlign w:val="center"/>
          </w:tcPr>
          <w:p w14:paraId="452CC8CC">
            <w:pPr>
              <w:keepNext w:val="0"/>
              <w:keepLines w:val="0"/>
              <w:suppressLineNumbers w:val="0"/>
              <w:spacing w:before="0" w:beforeAutospacing="0" w:after="0" w:afterAutospacing="0" w:line="240" w:lineRule="exact"/>
              <w:ind w:left="0" w:right="0" w:firstLine="0" w:firstLineChars="0"/>
              <w:jc w:val="center"/>
              <w:rPr>
                <w:rFonts w:hint="default" w:eastAsia="等线"/>
                <w:color w:val="auto"/>
                <w:sz w:val="21"/>
                <w:szCs w:val="21"/>
              </w:rPr>
            </w:pPr>
            <w:r>
              <w:rPr>
                <w:rFonts w:hint="default" w:eastAsia="等线"/>
                <w:color w:val="auto"/>
                <w:sz w:val="21"/>
                <w:szCs w:val="21"/>
              </w:rPr>
              <w:t>4.23</w:t>
            </w:r>
          </w:p>
        </w:tc>
        <w:tc>
          <w:tcPr>
            <w:tcW w:w="829" w:type="dxa"/>
            <w:vMerge w:val="continue"/>
            <w:tcMar>
              <w:left w:w="0" w:type="dxa"/>
              <w:right w:w="0" w:type="dxa"/>
            </w:tcMar>
            <w:vAlign w:val="center"/>
          </w:tcPr>
          <w:p w14:paraId="62201A3E">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1340" w:type="dxa"/>
            <w:tcMar>
              <w:left w:w="0" w:type="dxa"/>
              <w:right w:w="0" w:type="dxa"/>
            </w:tcMar>
            <w:vAlign w:val="center"/>
          </w:tcPr>
          <w:p w14:paraId="049B9817">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8400</w:t>
            </w:r>
          </w:p>
        </w:tc>
      </w:tr>
      <w:tr w14:paraId="5DECAA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vMerge w:val="restart"/>
            <w:tcMar>
              <w:left w:w="0" w:type="dxa"/>
              <w:right w:w="0" w:type="dxa"/>
            </w:tcMar>
            <w:vAlign w:val="center"/>
          </w:tcPr>
          <w:p w14:paraId="3AB6C861">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码头船舶</w:t>
            </w:r>
            <w:r>
              <w:rPr>
                <w:rFonts w:hint="default"/>
                <w:color w:val="auto"/>
                <w:sz w:val="21"/>
                <w:szCs w:val="21"/>
              </w:rPr>
              <w:t>停靠</w:t>
            </w:r>
          </w:p>
        </w:tc>
        <w:tc>
          <w:tcPr>
            <w:tcW w:w="696" w:type="dxa"/>
            <w:vMerge w:val="restart"/>
          </w:tcPr>
          <w:p w14:paraId="11320815">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船舶</w:t>
            </w:r>
          </w:p>
        </w:tc>
        <w:tc>
          <w:tcPr>
            <w:tcW w:w="696" w:type="dxa"/>
            <w:vMerge w:val="continue"/>
            <w:tcMar>
              <w:left w:w="0" w:type="dxa"/>
              <w:right w:w="0" w:type="dxa"/>
            </w:tcMar>
            <w:vAlign w:val="center"/>
          </w:tcPr>
          <w:p w14:paraId="476CD51C">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1134" w:type="dxa"/>
            <w:tcMar>
              <w:left w:w="0" w:type="dxa"/>
              <w:right w:w="0" w:type="dxa"/>
            </w:tcMar>
            <w:vAlign w:val="center"/>
          </w:tcPr>
          <w:p w14:paraId="353877F4">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SO</w:t>
            </w:r>
            <w:r>
              <w:rPr>
                <w:rFonts w:hint="eastAsia"/>
                <w:color w:val="auto"/>
                <w:sz w:val="21"/>
                <w:szCs w:val="21"/>
                <w:vertAlign w:val="subscript"/>
              </w:rPr>
              <w:t>2</w:t>
            </w:r>
          </w:p>
        </w:tc>
        <w:tc>
          <w:tcPr>
            <w:tcW w:w="861" w:type="dxa"/>
            <w:tcMar>
              <w:left w:w="0" w:type="dxa"/>
              <w:right w:w="0" w:type="dxa"/>
            </w:tcMar>
            <w:vAlign w:val="center"/>
          </w:tcPr>
          <w:p w14:paraId="525E8AE1">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992" w:type="dxa"/>
            <w:tcMar>
              <w:left w:w="0" w:type="dxa"/>
              <w:right w:w="0" w:type="dxa"/>
            </w:tcMar>
            <w:vAlign w:val="center"/>
          </w:tcPr>
          <w:p w14:paraId="1002BF45">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1124" w:type="dxa"/>
            <w:tcMar>
              <w:left w:w="0" w:type="dxa"/>
              <w:right w:w="0" w:type="dxa"/>
            </w:tcMar>
            <w:vAlign w:val="center"/>
          </w:tcPr>
          <w:p w14:paraId="54707243">
            <w:pPr>
              <w:keepNext w:val="0"/>
              <w:keepLines w:val="0"/>
              <w:suppressLineNumbers w:val="0"/>
              <w:spacing w:before="0" w:beforeAutospacing="0" w:after="0" w:afterAutospacing="0" w:line="240" w:lineRule="exact"/>
              <w:ind w:left="0" w:right="0" w:firstLine="0" w:firstLineChars="0"/>
              <w:jc w:val="center"/>
              <w:rPr>
                <w:rFonts w:hint="default" w:eastAsia="等线"/>
                <w:color w:val="auto"/>
                <w:sz w:val="21"/>
                <w:szCs w:val="21"/>
                <w:lang w:val="en-US" w:eastAsia="zh-CN"/>
              </w:rPr>
            </w:pPr>
            <w:r>
              <w:rPr>
                <w:rFonts w:hint="eastAsia" w:eastAsia="等线"/>
                <w:color w:val="auto"/>
                <w:sz w:val="21"/>
                <w:szCs w:val="21"/>
              </w:rPr>
              <w:t>0.</w:t>
            </w:r>
            <w:r>
              <w:rPr>
                <w:rFonts w:hint="eastAsia" w:eastAsia="等线"/>
                <w:color w:val="auto"/>
                <w:sz w:val="21"/>
                <w:szCs w:val="21"/>
                <w:lang w:val="en-US" w:eastAsia="zh-CN"/>
              </w:rPr>
              <w:t>356</w:t>
            </w:r>
          </w:p>
        </w:tc>
        <w:tc>
          <w:tcPr>
            <w:tcW w:w="567" w:type="dxa"/>
            <w:vMerge w:val="continue"/>
            <w:tcMar>
              <w:left w:w="0" w:type="dxa"/>
              <w:right w:w="0" w:type="dxa"/>
            </w:tcMar>
            <w:vAlign w:val="center"/>
          </w:tcPr>
          <w:p w14:paraId="78DC5704">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1134" w:type="dxa"/>
            <w:vMerge w:val="continue"/>
            <w:tcMar>
              <w:left w:w="0" w:type="dxa"/>
              <w:right w:w="0" w:type="dxa"/>
            </w:tcMar>
            <w:vAlign w:val="center"/>
          </w:tcPr>
          <w:p w14:paraId="38033D20">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577" w:type="dxa"/>
            <w:vMerge w:val="continue"/>
            <w:tcMar>
              <w:left w:w="0" w:type="dxa"/>
              <w:right w:w="0" w:type="dxa"/>
            </w:tcMar>
            <w:vAlign w:val="center"/>
          </w:tcPr>
          <w:p w14:paraId="6F4CB416">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850" w:type="dxa"/>
            <w:tcMar>
              <w:left w:w="0" w:type="dxa"/>
              <w:right w:w="0" w:type="dxa"/>
            </w:tcMar>
            <w:vAlign w:val="center"/>
          </w:tcPr>
          <w:p w14:paraId="6CA5AA6C">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993" w:type="dxa"/>
            <w:tcMar>
              <w:left w:w="0" w:type="dxa"/>
              <w:right w:w="0" w:type="dxa"/>
            </w:tcMar>
            <w:vAlign w:val="center"/>
          </w:tcPr>
          <w:p w14:paraId="2A87E9F2">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1158" w:type="dxa"/>
            <w:tcMar>
              <w:left w:w="0" w:type="dxa"/>
              <w:right w:w="0" w:type="dxa"/>
            </w:tcMar>
            <w:vAlign w:val="center"/>
          </w:tcPr>
          <w:p w14:paraId="3B26B45E">
            <w:pPr>
              <w:keepNext w:val="0"/>
              <w:keepLines w:val="0"/>
              <w:suppressLineNumbers w:val="0"/>
              <w:spacing w:before="0" w:beforeAutospacing="0" w:after="0" w:afterAutospacing="0" w:line="240" w:lineRule="exact"/>
              <w:ind w:left="0" w:right="0" w:firstLine="0" w:firstLineChars="0"/>
              <w:jc w:val="center"/>
              <w:rPr>
                <w:rFonts w:hint="default" w:eastAsia="等线"/>
                <w:color w:val="auto"/>
                <w:sz w:val="21"/>
                <w:szCs w:val="21"/>
              </w:rPr>
            </w:pPr>
            <w:r>
              <w:rPr>
                <w:rFonts w:hint="eastAsia" w:eastAsia="等线"/>
                <w:color w:val="auto"/>
                <w:sz w:val="21"/>
                <w:szCs w:val="21"/>
              </w:rPr>
              <w:t>0.</w:t>
            </w:r>
            <w:r>
              <w:rPr>
                <w:rFonts w:hint="eastAsia" w:eastAsia="等线"/>
                <w:color w:val="auto"/>
                <w:sz w:val="21"/>
                <w:szCs w:val="21"/>
                <w:lang w:val="en-US" w:eastAsia="zh-CN"/>
              </w:rPr>
              <w:t>356</w:t>
            </w:r>
          </w:p>
        </w:tc>
        <w:tc>
          <w:tcPr>
            <w:tcW w:w="829" w:type="dxa"/>
            <w:vMerge w:val="continue"/>
            <w:tcMar>
              <w:left w:w="0" w:type="dxa"/>
              <w:right w:w="0" w:type="dxa"/>
            </w:tcMar>
            <w:vAlign w:val="center"/>
          </w:tcPr>
          <w:p w14:paraId="56E2509D">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1340" w:type="dxa"/>
            <w:vMerge w:val="restart"/>
            <w:tcMar>
              <w:left w:w="0" w:type="dxa"/>
              <w:right w:w="0" w:type="dxa"/>
            </w:tcMar>
            <w:vAlign w:val="center"/>
          </w:tcPr>
          <w:p w14:paraId="433B8867">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w:t>
            </w:r>
          </w:p>
        </w:tc>
      </w:tr>
      <w:tr w14:paraId="71A1E5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vMerge w:val="continue"/>
            <w:tcMar>
              <w:left w:w="0" w:type="dxa"/>
              <w:right w:w="0" w:type="dxa"/>
            </w:tcMar>
            <w:vAlign w:val="center"/>
          </w:tcPr>
          <w:p w14:paraId="5B536E6A">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696" w:type="dxa"/>
            <w:vMerge w:val="continue"/>
          </w:tcPr>
          <w:p w14:paraId="2ABFCFA5">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696" w:type="dxa"/>
            <w:vMerge w:val="continue"/>
            <w:tcMar>
              <w:left w:w="0" w:type="dxa"/>
              <w:right w:w="0" w:type="dxa"/>
            </w:tcMar>
            <w:vAlign w:val="center"/>
          </w:tcPr>
          <w:p w14:paraId="1B8DBF71">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1134" w:type="dxa"/>
            <w:tcMar>
              <w:left w:w="0" w:type="dxa"/>
              <w:right w:w="0" w:type="dxa"/>
            </w:tcMar>
            <w:vAlign w:val="center"/>
          </w:tcPr>
          <w:p w14:paraId="27F60501">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NO</w:t>
            </w:r>
            <w:r>
              <w:rPr>
                <w:rFonts w:hint="default"/>
                <w:color w:val="auto"/>
                <w:sz w:val="21"/>
                <w:szCs w:val="21"/>
              </w:rPr>
              <w:t>x</w:t>
            </w:r>
          </w:p>
        </w:tc>
        <w:tc>
          <w:tcPr>
            <w:tcW w:w="861" w:type="dxa"/>
            <w:tcMar>
              <w:left w:w="0" w:type="dxa"/>
              <w:right w:w="0" w:type="dxa"/>
            </w:tcMar>
            <w:vAlign w:val="center"/>
          </w:tcPr>
          <w:p w14:paraId="242ABE9F">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992" w:type="dxa"/>
            <w:tcMar>
              <w:left w:w="0" w:type="dxa"/>
              <w:right w:w="0" w:type="dxa"/>
            </w:tcMar>
            <w:vAlign w:val="center"/>
          </w:tcPr>
          <w:p w14:paraId="16DFA9A3">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1124" w:type="dxa"/>
            <w:tcMar>
              <w:left w:w="0" w:type="dxa"/>
              <w:right w:w="0" w:type="dxa"/>
            </w:tcMar>
            <w:vAlign w:val="center"/>
          </w:tcPr>
          <w:p w14:paraId="1D7B9DD2">
            <w:pPr>
              <w:keepNext w:val="0"/>
              <w:keepLines w:val="0"/>
              <w:suppressLineNumbers w:val="0"/>
              <w:spacing w:before="0" w:beforeAutospacing="0" w:after="0" w:afterAutospacing="0" w:line="240" w:lineRule="exact"/>
              <w:ind w:left="0" w:right="0" w:firstLine="0" w:firstLineChars="0"/>
              <w:jc w:val="center"/>
              <w:rPr>
                <w:rFonts w:hint="default" w:eastAsia="等线"/>
                <w:color w:val="auto"/>
                <w:sz w:val="21"/>
                <w:szCs w:val="21"/>
                <w:lang w:val="en-US" w:eastAsia="zh-CN"/>
              </w:rPr>
            </w:pPr>
            <w:r>
              <w:rPr>
                <w:rFonts w:hint="eastAsia" w:eastAsia="等线"/>
                <w:color w:val="auto"/>
                <w:sz w:val="21"/>
                <w:szCs w:val="21"/>
              </w:rPr>
              <w:t>1.</w:t>
            </w:r>
            <w:r>
              <w:rPr>
                <w:rFonts w:hint="eastAsia" w:eastAsia="等线"/>
                <w:color w:val="auto"/>
                <w:sz w:val="21"/>
                <w:szCs w:val="21"/>
                <w:lang w:val="en-US" w:eastAsia="zh-CN"/>
              </w:rPr>
              <w:t>175</w:t>
            </w:r>
          </w:p>
        </w:tc>
        <w:tc>
          <w:tcPr>
            <w:tcW w:w="567" w:type="dxa"/>
            <w:vMerge w:val="continue"/>
            <w:tcMar>
              <w:left w:w="0" w:type="dxa"/>
              <w:right w:w="0" w:type="dxa"/>
            </w:tcMar>
            <w:vAlign w:val="center"/>
          </w:tcPr>
          <w:p w14:paraId="2A623F55">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1134" w:type="dxa"/>
            <w:vMerge w:val="continue"/>
            <w:tcMar>
              <w:left w:w="0" w:type="dxa"/>
              <w:right w:w="0" w:type="dxa"/>
            </w:tcMar>
            <w:vAlign w:val="center"/>
          </w:tcPr>
          <w:p w14:paraId="162462A5">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577" w:type="dxa"/>
            <w:vMerge w:val="continue"/>
            <w:tcMar>
              <w:left w:w="0" w:type="dxa"/>
              <w:right w:w="0" w:type="dxa"/>
            </w:tcMar>
            <w:vAlign w:val="center"/>
          </w:tcPr>
          <w:p w14:paraId="0CE9015A">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850" w:type="dxa"/>
            <w:tcMar>
              <w:left w:w="0" w:type="dxa"/>
              <w:right w:w="0" w:type="dxa"/>
            </w:tcMar>
            <w:vAlign w:val="center"/>
          </w:tcPr>
          <w:p w14:paraId="61E59004">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993" w:type="dxa"/>
            <w:tcMar>
              <w:left w:w="0" w:type="dxa"/>
              <w:right w:w="0" w:type="dxa"/>
            </w:tcMar>
            <w:vAlign w:val="center"/>
          </w:tcPr>
          <w:p w14:paraId="3ED2DDBE">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1158" w:type="dxa"/>
            <w:tcMar>
              <w:left w:w="0" w:type="dxa"/>
              <w:right w:w="0" w:type="dxa"/>
            </w:tcMar>
            <w:vAlign w:val="center"/>
          </w:tcPr>
          <w:p w14:paraId="3A919844">
            <w:pPr>
              <w:keepNext w:val="0"/>
              <w:keepLines w:val="0"/>
              <w:suppressLineNumbers w:val="0"/>
              <w:spacing w:before="0" w:beforeAutospacing="0" w:after="0" w:afterAutospacing="0" w:line="240" w:lineRule="exact"/>
              <w:ind w:left="0" w:right="0" w:firstLine="0" w:firstLineChars="0"/>
              <w:jc w:val="center"/>
              <w:rPr>
                <w:rFonts w:hint="default" w:eastAsia="等线"/>
                <w:color w:val="auto"/>
                <w:sz w:val="21"/>
                <w:szCs w:val="21"/>
              </w:rPr>
            </w:pPr>
            <w:r>
              <w:rPr>
                <w:rFonts w:hint="eastAsia" w:eastAsia="等线"/>
                <w:color w:val="auto"/>
                <w:sz w:val="21"/>
                <w:szCs w:val="21"/>
              </w:rPr>
              <w:t>1.</w:t>
            </w:r>
            <w:r>
              <w:rPr>
                <w:rFonts w:hint="eastAsia" w:eastAsia="等线"/>
                <w:color w:val="auto"/>
                <w:sz w:val="21"/>
                <w:szCs w:val="21"/>
                <w:lang w:val="en-US" w:eastAsia="zh-CN"/>
              </w:rPr>
              <w:t>175</w:t>
            </w:r>
          </w:p>
        </w:tc>
        <w:tc>
          <w:tcPr>
            <w:tcW w:w="829" w:type="dxa"/>
            <w:vMerge w:val="continue"/>
            <w:tcMar>
              <w:left w:w="0" w:type="dxa"/>
              <w:right w:w="0" w:type="dxa"/>
            </w:tcMar>
            <w:vAlign w:val="center"/>
          </w:tcPr>
          <w:p w14:paraId="7E8B4529">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1340" w:type="dxa"/>
            <w:vMerge w:val="continue"/>
            <w:tcMar>
              <w:left w:w="0" w:type="dxa"/>
              <w:right w:w="0" w:type="dxa"/>
            </w:tcMar>
            <w:vAlign w:val="center"/>
          </w:tcPr>
          <w:p w14:paraId="3FE93BA4">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r>
      <w:tr w14:paraId="0BACA3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gridSpan w:val="2"/>
            <w:vMerge w:val="restart"/>
            <w:tcMar>
              <w:left w:w="0" w:type="dxa"/>
              <w:right w:w="0" w:type="dxa"/>
            </w:tcMar>
            <w:vAlign w:val="center"/>
          </w:tcPr>
          <w:p w14:paraId="6AE4F748">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合计</w:t>
            </w:r>
          </w:p>
        </w:tc>
        <w:tc>
          <w:tcPr>
            <w:tcW w:w="696" w:type="dxa"/>
            <w:vMerge w:val="restart"/>
            <w:tcMar>
              <w:left w:w="0" w:type="dxa"/>
              <w:right w:w="0" w:type="dxa"/>
            </w:tcMar>
            <w:vAlign w:val="center"/>
          </w:tcPr>
          <w:p w14:paraId="6CEF6AFB">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无组织排放</w:t>
            </w:r>
          </w:p>
        </w:tc>
        <w:tc>
          <w:tcPr>
            <w:tcW w:w="1134" w:type="dxa"/>
            <w:tcMar>
              <w:left w:w="0" w:type="dxa"/>
              <w:right w:w="0" w:type="dxa"/>
            </w:tcMar>
            <w:vAlign w:val="center"/>
          </w:tcPr>
          <w:p w14:paraId="37E819B1">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非甲烷总烃</w:t>
            </w:r>
          </w:p>
        </w:tc>
        <w:tc>
          <w:tcPr>
            <w:tcW w:w="861" w:type="dxa"/>
            <w:tcMar>
              <w:left w:w="0" w:type="dxa"/>
              <w:right w:w="0" w:type="dxa"/>
            </w:tcMar>
            <w:vAlign w:val="center"/>
          </w:tcPr>
          <w:p w14:paraId="5E2E748A">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992" w:type="dxa"/>
            <w:tcMar>
              <w:left w:w="0" w:type="dxa"/>
              <w:right w:w="0" w:type="dxa"/>
            </w:tcMar>
            <w:vAlign w:val="center"/>
          </w:tcPr>
          <w:p w14:paraId="3739B8C9">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38.101</w:t>
            </w:r>
          </w:p>
        </w:tc>
        <w:tc>
          <w:tcPr>
            <w:tcW w:w="1124" w:type="dxa"/>
            <w:tcMar>
              <w:left w:w="0" w:type="dxa"/>
              <w:right w:w="0" w:type="dxa"/>
            </w:tcMar>
            <w:vAlign w:val="center"/>
          </w:tcPr>
          <w:p w14:paraId="3C72CB04">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30.34</w:t>
            </w:r>
          </w:p>
        </w:tc>
        <w:tc>
          <w:tcPr>
            <w:tcW w:w="567" w:type="dxa"/>
            <w:tcMar>
              <w:left w:w="0" w:type="dxa"/>
              <w:right w:w="0" w:type="dxa"/>
            </w:tcMar>
            <w:vAlign w:val="center"/>
          </w:tcPr>
          <w:p w14:paraId="1AE323AF">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1134" w:type="dxa"/>
            <w:tcMar>
              <w:left w:w="0" w:type="dxa"/>
              <w:right w:w="0" w:type="dxa"/>
            </w:tcMar>
            <w:vAlign w:val="center"/>
          </w:tcPr>
          <w:p w14:paraId="16DCB224">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577" w:type="dxa"/>
            <w:tcMar>
              <w:left w:w="0" w:type="dxa"/>
              <w:right w:w="0" w:type="dxa"/>
            </w:tcMar>
            <w:vAlign w:val="center"/>
          </w:tcPr>
          <w:p w14:paraId="2BAAC015">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850" w:type="dxa"/>
            <w:tcMar>
              <w:left w:w="0" w:type="dxa"/>
              <w:right w:w="0" w:type="dxa"/>
            </w:tcMar>
            <w:vAlign w:val="center"/>
          </w:tcPr>
          <w:p w14:paraId="5097B786">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993" w:type="dxa"/>
            <w:tcMar>
              <w:left w:w="0" w:type="dxa"/>
              <w:right w:w="0" w:type="dxa"/>
            </w:tcMar>
            <w:vAlign w:val="center"/>
          </w:tcPr>
          <w:p w14:paraId="67687DF9">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2.656</w:t>
            </w:r>
          </w:p>
        </w:tc>
        <w:tc>
          <w:tcPr>
            <w:tcW w:w="1158" w:type="dxa"/>
            <w:tcMar>
              <w:left w:w="0" w:type="dxa"/>
              <w:right w:w="0" w:type="dxa"/>
            </w:tcMar>
            <w:vAlign w:val="center"/>
          </w:tcPr>
          <w:p w14:paraId="2EB5A1AF">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6.39</w:t>
            </w:r>
          </w:p>
        </w:tc>
        <w:tc>
          <w:tcPr>
            <w:tcW w:w="829" w:type="dxa"/>
            <w:tcMar>
              <w:left w:w="0" w:type="dxa"/>
              <w:right w:w="0" w:type="dxa"/>
            </w:tcMar>
            <w:vAlign w:val="center"/>
          </w:tcPr>
          <w:p w14:paraId="09088374">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1340" w:type="dxa"/>
            <w:tcMar>
              <w:left w:w="0" w:type="dxa"/>
              <w:right w:w="0" w:type="dxa"/>
            </w:tcMar>
            <w:vAlign w:val="center"/>
          </w:tcPr>
          <w:p w14:paraId="26A7BA8E">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r>
      <w:tr w14:paraId="7571C3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gridSpan w:val="2"/>
            <w:vMerge w:val="continue"/>
            <w:tcMar>
              <w:left w:w="0" w:type="dxa"/>
              <w:right w:w="0" w:type="dxa"/>
            </w:tcMar>
            <w:vAlign w:val="center"/>
          </w:tcPr>
          <w:p w14:paraId="78F6AA97">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696" w:type="dxa"/>
            <w:vMerge w:val="continue"/>
            <w:tcMar>
              <w:left w:w="0" w:type="dxa"/>
              <w:right w:w="0" w:type="dxa"/>
            </w:tcMar>
            <w:vAlign w:val="center"/>
          </w:tcPr>
          <w:p w14:paraId="29FB5067">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1134" w:type="dxa"/>
            <w:tcMar>
              <w:left w:w="0" w:type="dxa"/>
              <w:right w:w="0" w:type="dxa"/>
            </w:tcMar>
            <w:vAlign w:val="center"/>
          </w:tcPr>
          <w:p w14:paraId="2948487A">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SO</w:t>
            </w:r>
            <w:r>
              <w:rPr>
                <w:rFonts w:hint="eastAsia"/>
                <w:color w:val="auto"/>
                <w:sz w:val="21"/>
                <w:szCs w:val="21"/>
                <w:vertAlign w:val="subscript"/>
              </w:rPr>
              <w:t>2</w:t>
            </w:r>
          </w:p>
        </w:tc>
        <w:tc>
          <w:tcPr>
            <w:tcW w:w="861" w:type="dxa"/>
            <w:tcMar>
              <w:left w:w="0" w:type="dxa"/>
              <w:right w:w="0" w:type="dxa"/>
            </w:tcMar>
            <w:vAlign w:val="center"/>
          </w:tcPr>
          <w:p w14:paraId="5511279E">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992" w:type="dxa"/>
            <w:tcMar>
              <w:left w:w="0" w:type="dxa"/>
              <w:right w:w="0" w:type="dxa"/>
            </w:tcMar>
            <w:vAlign w:val="center"/>
          </w:tcPr>
          <w:p w14:paraId="0E29B430">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1124" w:type="dxa"/>
            <w:tcMar>
              <w:left w:w="0" w:type="dxa"/>
              <w:right w:w="0" w:type="dxa"/>
            </w:tcMar>
            <w:vAlign w:val="center"/>
          </w:tcPr>
          <w:p w14:paraId="70F25C78">
            <w:pPr>
              <w:keepNext w:val="0"/>
              <w:keepLines w:val="0"/>
              <w:suppressLineNumbers w:val="0"/>
              <w:spacing w:before="0" w:beforeAutospacing="0" w:after="0" w:afterAutospacing="0" w:line="240" w:lineRule="exact"/>
              <w:ind w:left="0" w:right="0" w:firstLine="0" w:firstLineChars="0"/>
              <w:jc w:val="center"/>
              <w:rPr>
                <w:rFonts w:hint="default" w:eastAsia="等线"/>
                <w:color w:val="auto"/>
                <w:sz w:val="21"/>
                <w:szCs w:val="21"/>
              </w:rPr>
            </w:pPr>
            <w:r>
              <w:rPr>
                <w:rFonts w:hint="eastAsia" w:eastAsia="等线"/>
                <w:color w:val="auto"/>
                <w:sz w:val="21"/>
                <w:szCs w:val="21"/>
              </w:rPr>
              <w:t>0.</w:t>
            </w:r>
            <w:r>
              <w:rPr>
                <w:rFonts w:hint="eastAsia" w:eastAsia="等线"/>
                <w:color w:val="auto"/>
                <w:sz w:val="21"/>
                <w:szCs w:val="21"/>
                <w:lang w:val="en-US" w:eastAsia="zh-CN"/>
              </w:rPr>
              <w:t>356</w:t>
            </w:r>
          </w:p>
        </w:tc>
        <w:tc>
          <w:tcPr>
            <w:tcW w:w="567" w:type="dxa"/>
            <w:tcMar>
              <w:left w:w="0" w:type="dxa"/>
              <w:right w:w="0" w:type="dxa"/>
            </w:tcMar>
            <w:vAlign w:val="center"/>
          </w:tcPr>
          <w:p w14:paraId="1CD248EE">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1134" w:type="dxa"/>
            <w:tcMar>
              <w:left w:w="0" w:type="dxa"/>
              <w:right w:w="0" w:type="dxa"/>
            </w:tcMar>
            <w:vAlign w:val="center"/>
          </w:tcPr>
          <w:p w14:paraId="4A448423">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r>
              <w:rPr>
                <w:rFonts w:hint="default"/>
                <w:color w:val="auto"/>
                <w:sz w:val="21"/>
                <w:szCs w:val="21"/>
              </w:rPr>
              <w:t>/</w:t>
            </w:r>
          </w:p>
        </w:tc>
        <w:tc>
          <w:tcPr>
            <w:tcW w:w="577" w:type="dxa"/>
            <w:tcMar>
              <w:left w:w="0" w:type="dxa"/>
              <w:right w:w="0" w:type="dxa"/>
            </w:tcMar>
            <w:vAlign w:val="center"/>
          </w:tcPr>
          <w:p w14:paraId="418E1CF7">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850" w:type="dxa"/>
            <w:tcMar>
              <w:left w:w="0" w:type="dxa"/>
              <w:right w:w="0" w:type="dxa"/>
            </w:tcMar>
            <w:vAlign w:val="center"/>
          </w:tcPr>
          <w:p w14:paraId="03F9F8F0">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993" w:type="dxa"/>
            <w:tcMar>
              <w:left w:w="0" w:type="dxa"/>
              <w:right w:w="0" w:type="dxa"/>
            </w:tcMar>
            <w:vAlign w:val="center"/>
          </w:tcPr>
          <w:p w14:paraId="27CFD46C">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1158" w:type="dxa"/>
            <w:tcMar>
              <w:left w:w="0" w:type="dxa"/>
              <w:right w:w="0" w:type="dxa"/>
            </w:tcMar>
            <w:vAlign w:val="center"/>
          </w:tcPr>
          <w:p w14:paraId="6B1506C7">
            <w:pPr>
              <w:keepNext w:val="0"/>
              <w:keepLines w:val="0"/>
              <w:suppressLineNumbers w:val="0"/>
              <w:spacing w:before="0" w:beforeAutospacing="0" w:after="0" w:afterAutospacing="0" w:line="240" w:lineRule="exact"/>
              <w:ind w:left="0" w:right="0" w:firstLine="0" w:firstLineChars="0"/>
              <w:jc w:val="center"/>
              <w:rPr>
                <w:rFonts w:hint="default" w:eastAsia="等线"/>
                <w:color w:val="auto"/>
                <w:sz w:val="21"/>
                <w:szCs w:val="21"/>
              </w:rPr>
            </w:pPr>
            <w:r>
              <w:rPr>
                <w:rFonts w:hint="eastAsia" w:eastAsia="等线"/>
                <w:color w:val="auto"/>
                <w:sz w:val="21"/>
                <w:szCs w:val="21"/>
              </w:rPr>
              <w:t>0.</w:t>
            </w:r>
            <w:r>
              <w:rPr>
                <w:rFonts w:hint="eastAsia" w:eastAsia="等线"/>
                <w:color w:val="auto"/>
                <w:sz w:val="21"/>
                <w:szCs w:val="21"/>
                <w:lang w:val="en-US" w:eastAsia="zh-CN"/>
              </w:rPr>
              <w:t>356</w:t>
            </w:r>
          </w:p>
        </w:tc>
        <w:tc>
          <w:tcPr>
            <w:tcW w:w="829" w:type="dxa"/>
            <w:tcMar>
              <w:left w:w="0" w:type="dxa"/>
              <w:right w:w="0" w:type="dxa"/>
            </w:tcMar>
            <w:vAlign w:val="center"/>
          </w:tcPr>
          <w:p w14:paraId="20B1EE71">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1340" w:type="dxa"/>
            <w:tcMar>
              <w:left w:w="0" w:type="dxa"/>
              <w:right w:w="0" w:type="dxa"/>
            </w:tcMar>
            <w:vAlign w:val="center"/>
          </w:tcPr>
          <w:p w14:paraId="65151920">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r>
      <w:tr w14:paraId="10EF54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gridSpan w:val="2"/>
            <w:vMerge w:val="continue"/>
            <w:tcMar>
              <w:left w:w="0" w:type="dxa"/>
              <w:right w:w="0" w:type="dxa"/>
            </w:tcMar>
            <w:vAlign w:val="center"/>
          </w:tcPr>
          <w:p w14:paraId="286CC8FF">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696" w:type="dxa"/>
            <w:vMerge w:val="continue"/>
            <w:tcMar>
              <w:left w:w="0" w:type="dxa"/>
              <w:right w:w="0" w:type="dxa"/>
            </w:tcMar>
            <w:vAlign w:val="center"/>
          </w:tcPr>
          <w:p w14:paraId="7067AFEE">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p>
        </w:tc>
        <w:tc>
          <w:tcPr>
            <w:tcW w:w="1134" w:type="dxa"/>
            <w:tcMar>
              <w:left w:w="0" w:type="dxa"/>
              <w:right w:w="0" w:type="dxa"/>
            </w:tcMar>
            <w:vAlign w:val="center"/>
          </w:tcPr>
          <w:p w14:paraId="54D540BC">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NO</w:t>
            </w:r>
            <w:r>
              <w:rPr>
                <w:rFonts w:hint="default"/>
                <w:color w:val="auto"/>
                <w:sz w:val="21"/>
                <w:szCs w:val="21"/>
              </w:rPr>
              <w:t>x</w:t>
            </w:r>
          </w:p>
        </w:tc>
        <w:tc>
          <w:tcPr>
            <w:tcW w:w="861" w:type="dxa"/>
            <w:tcMar>
              <w:left w:w="0" w:type="dxa"/>
              <w:right w:w="0" w:type="dxa"/>
            </w:tcMar>
            <w:vAlign w:val="center"/>
          </w:tcPr>
          <w:p w14:paraId="14214F21">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992" w:type="dxa"/>
            <w:tcMar>
              <w:left w:w="0" w:type="dxa"/>
              <w:right w:w="0" w:type="dxa"/>
            </w:tcMar>
            <w:vAlign w:val="center"/>
          </w:tcPr>
          <w:p w14:paraId="5CE56EDE">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1124" w:type="dxa"/>
            <w:tcMar>
              <w:left w:w="0" w:type="dxa"/>
              <w:right w:w="0" w:type="dxa"/>
            </w:tcMar>
            <w:vAlign w:val="center"/>
          </w:tcPr>
          <w:p w14:paraId="68DB183B">
            <w:pPr>
              <w:keepNext w:val="0"/>
              <w:keepLines w:val="0"/>
              <w:suppressLineNumbers w:val="0"/>
              <w:spacing w:before="0" w:beforeAutospacing="0" w:after="0" w:afterAutospacing="0" w:line="240" w:lineRule="exact"/>
              <w:ind w:left="0" w:right="0" w:firstLine="0" w:firstLineChars="0"/>
              <w:jc w:val="center"/>
              <w:rPr>
                <w:rFonts w:hint="default" w:eastAsia="等线"/>
                <w:color w:val="auto"/>
                <w:sz w:val="21"/>
                <w:szCs w:val="21"/>
              </w:rPr>
            </w:pPr>
            <w:r>
              <w:rPr>
                <w:rFonts w:hint="eastAsia" w:eastAsia="等线"/>
                <w:color w:val="auto"/>
                <w:sz w:val="21"/>
                <w:szCs w:val="21"/>
              </w:rPr>
              <w:t>1.</w:t>
            </w:r>
            <w:r>
              <w:rPr>
                <w:rFonts w:hint="eastAsia" w:eastAsia="等线"/>
                <w:color w:val="auto"/>
                <w:sz w:val="21"/>
                <w:szCs w:val="21"/>
                <w:lang w:val="en-US" w:eastAsia="zh-CN"/>
              </w:rPr>
              <w:t>175</w:t>
            </w:r>
          </w:p>
        </w:tc>
        <w:tc>
          <w:tcPr>
            <w:tcW w:w="567" w:type="dxa"/>
            <w:tcMar>
              <w:left w:w="0" w:type="dxa"/>
              <w:right w:w="0" w:type="dxa"/>
            </w:tcMar>
            <w:vAlign w:val="center"/>
          </w:tcPr>
          <w:p w14:paraId="383D8A9E">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1134" w:type="dxa"/>
            <w:tcMar>
              <w:left w:w="0" w:type="dxa"/>
              <w:right w:w="0" w:type="dxa"/>
            </w:tcMar>
            <w:vAlign w:val="center"/>
          </w:tcPr>
          <w:p w14:paraId="2BFB9A8E">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577" w:type="dxa"/>
            <w:tcMar>
              <w:left w:w="0" w:type="dxa"/>
              <w:right w:w="0" w:type="dxa"/>
            </w:tcMar>
            <w:vAlign w:val="center"/>
          </w:tcPr>
          <w:p w14:paraId="6E64F42D">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850" w:type="dxa"/>
            <w:tcMar>
              <w:left w:w="0" w:type="dxa"/>
              <w:right w:w="0" w:type="dxa"/>
            </w:tcMar>
            <w:vAlign w:val="center"/>
          </w:tcPr>
          <w:p w14:paraId="31F86433">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993" w:type="dxa"/>
            <w:tcMar>
              <w:left w:w="0" w:type="dxa"/>
              <w:right w:w="0" w:type="dxa"/>
            </w:tcMar>
            <w:vAlign w:val="center"/>
          </w:tcPr>
          <w:p w14:paraId="2128CA20">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1158" w:type="dxa"/>
            <w:tcMar>
              <w:left w:w="0" w:type="dxa"/>
              <w:right w:w="0" w:type="dxa"/>
            </w:tcMar>
            <w:vAlign w:val="center"/>
          </w:tcPr>
          <w:p w14:paraId="34DF000C">
            <w:pPr>
              <w:keepNext w:val="0"/>
              <w:keepLines w:val="0"/>
              <w:suppressLineNumbers w:val="0"/>
              <w:spacing w:before="0" w:beforeAutospacing="0" w:after="0" w:afterAutospacing="0" w:line="240" w:lineRule="exact"/>
              <w:ind w:left="0" w:right="0" w:firstLine="0" w:firstLineChars="0"/>
              <w:jc w:val="center"/>
              <w:rPr>
                <w:rFonts w:hint="default" w:eastAsia="等线"/>
                <w:color w:val="auto"/>
                <w:sz w:val="21"/>
                <w:szCs w:val="21"/>
              </w:rPr>
            </w:pPr>
            <w:r>
              <w:rPr>
                <w:rFonts w:hint="eastAsia" w:eastAsia="等线"/>
                <w:color w:val="auto"/>
                <w:sz w:val="21"/>
                <w:szCs w:val="21"/>
              </w:rPr>
              <w:t>1.</w:t>
            </w:r>
            <w:r>
              <w:rPr>
                <w:rFonts w:hint="eastAsia" w:eastAsia="等线"/>
                <w:color w:val="auto"/>
                <w:sz w:val="21"/>
                <w:szCs w:val="21"/>
                <w:lang w:val="en-US" w:eastAsia="zh-CN"/>
              </w:rPr>
              <w:t>175</w:t>
            </w:r>
          </w:p>
        </w:tc>
        <w:tc>
          <w:tcPr>
            <w:tcW w:w="829" w:type="dxa"/>
            <w:tcMar>
              <w:left w:w="0" w:type="dxa"/>
              <w:right w:w="0" w:type="dxa"/>
            </w:tcMar>
            <w:vAlign w:val="center"/>
          </w:tcPr>
          <w:p w14:paraId="6A119EB4">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c>
          <w:tcPr>
            <w:tcW w:w="1340" w:type="dxa"/>
            <w:tcMar>
              <w:left w:w="0" w:type="dxa"/>
              <w:right w:w="0" w:type="dxa"/>
            </w:tcMar>
            <w:vAlign w:val="center"/>
          </w:tcPr>
          <w:p w14:paraId="41025122">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w:t>
            </w:r>
          </w:p>
        </w:tc>
      </w:tr>
    </w:tbl>
    <w:p w14:paraId="1964FC23">
      <w:pPr>
        <w:ind w:left="480" w:firstLine="0" w:firstLineChars="0"/>
        <w:rPr>
          <w:color w:val="auto"/>
        </w:rPr>
        <w:sectPr>
          <w:headerReference r:id="rId15" w:type="default"/>
          <w:pgSz w:w="16838" w:h="11906" w:orient="landscape"/>
          <w:pgMar w:top="1440" w:right="1418" w:bottom="1440" w:left="1418" w:header="851" w:footer="992" w:gutter="0"/>
          <w:cols w:space="720" w:num="1"/>
          <w:docGrid w:type="lines" w:linePitch="326" w:charSpace="0"/>
        </w:sectPr>
      </w:pPr>
    </w:p>
    <w:p w14:paraId="63A7626F">
      <w:pPr>
        <w:pStyle w:val="4"/>
        <w:rPr>
          <w:color w:val="auto"/>
        </w:rPr>
      </w:pPr>
      <w:r>
        <w:rPr>
          <w:color w:val="auto"/>
        </w:rPr>
        <w:t>废水源强</w:t>
      </w:r>
    </w:p>
    <w:p w14:paraId="27782394">
      <w:pPr>
        <w:ind w:firstLine="480"/>
        <w:rPr>
          <w:snapToGrid w:val="0"/>
          <w:color w:val="auto"/>
        </w:rPr>
      </w:pPr>
      <w:r>
        <w:rPr>
          <w:snapToGrid w:val="0"/>
          <w:color w:val="auto"/>
        </w:rPr>
        <w:t>本工程建成运营后，项目废水分码头生产废水及生活污水。</w:t>
      </w:r>
    </w:p>
    <w:p w14:paraId="46F9A3C8">
      <w:pPr>
        <w:ind w:firstLine="480"/>
        <w:rPr>
          <w:snapToGrid w:val="0"/>
          <w:color w:val="auto"/>
        </w:rPr>
      </w:pPr>
      <w:r>
        <w:rPr>
          <w:snapToGrid w:val="0"/>
          <w:color w:val="auto"/>
        </w:rPr>
        <w:t>码头废水包括码头的船舶机舱油污水、码头冲洗水、码头初期雨水；生活污水包括在港船舶生活污水及港区生活污水。不对扫线阀球清洗，不产生清洗废水。</w:t>
      </w:r>
    </w:p>
    <w:p w14:paraId="720D0047">
      <w:pPr>
        <w:pStyle w:val="6"/>
        <w:rPr>
          <w:snapToGrid w:val="0"/>
          <w:color w:val="auto"/>
        </w:rPr>
      </w:pPr>
      <w:r>
        <w:rPr>
          <w:snapToGrid w:val="0"/>
          <w:color w:val="auto"/>
        </w:rPr>
        <w:t>船舶废水</w:t>
      </w:r>
    </w:p>
    <w:p w14:paraId="77D08EB6">
      <w:pPr>
        <w:ind w:firstLine="480"/>
        <w:rPr>
          <w:color w:val="auto"/>
        </w:rPr>
      </w:pPr>
      <w:r>
        <w:rPr>
          <w:color w:val="auto"/>
        </w:rPr>
        <w:t>（1）船舶机舱油污水</w:t>
      </w:r>
    </w:p>
    <w:p w14:paraId="16FFE41D">
      <w:pPr>
        <w:ind w:firstLine="480"/>
        <w:rPr>
          <w:color w:val="auto"/>
        </w:rPr>
      </w:pPr>
      <w:r>
        <w:rPr>
          <w:color w:val="auto"/>
        </w:rPr>
        <w:t>到港船舶机舱油污水是机舱内各闸阀和管路中漏出的水与机器运转时漏出的润滑油、主辅机燃料油，加油时的溢出油，机舱及机舱板洗刷时产生的油污水等混合在一起的含油污水，主要污染物是石油类。</w:t>
      </w:r>
      <w:r>
        <w:rPr>
          <w:rFonts w:hint="eastAsia"/>
          <w:color w:val="auto"/>
        </w:rPr>
        <w:t>根据本扩建项目泊位吞吐量及设计代表船型，全年新增到港5万吨级</w:t>
      </w:r>
      <w:r>
        <w:rPr>
          <w:color w:val="auto"/>
        </w:rPr>
        <w:t>船舶5</w:t>
      </w:r>
      <w:r>
        <w:rPr>
          <w:rFonts w:hint="eastAsia"/>
          <w:color w:val="auto"/>
        </w:rPr>
        <w:t>艘次、</w:t>
      </w:r>
      <w:r>
        <w:rPr>
          <w:color w:val="auto"/>
        </w:rPr>
        <w:t>2</w:t>
      </w:r>
      <w:r>
        <w:rPr>
          <w:rFonts w:hint="eastAsia"/>
          <w:color w:val="auto"/>
        </w:rPr>
        <w:t>万吨级</w:t>
      </w:r>
      <w:r>
        <w:rPr>
          <w:color w:val="auto"/>
        </w:rPr>
        <w:t>船舶5</w:t>
      </w:r>
      <w:r>
        <w:rPr>
          <w:rFonts w:hint="eastAsia"/>
          <w:color w:val="auto"/>
        </w:rPr>
        <w:t>艘次、</w:t>
      </w:r>
      <w:r>
        <w:rPr>
          <w:color w:val="auto"/>
        </w:rPr>
        <w:t>1</w:t>
      </w:r>
      <w:r>
        <w:rPr>
          <w:rFonts w:hint="eastAsia"/>
          <w:color w:val="auto"/>
        </w:rPr>
        <w:t>万吨级</w:t>
      </w:r>
      <w:r>
        <w:rPr>
          <w:color w:val="auto"/>
        </w:rPr>
        <w:t>船舶</w:t>
      </w:r>
      <w:r>
        <w:rPr>
          <w:rFonts w:hint="eastAsia"/>
          <w:color w:val="auto"/>
          <w:lang w:val="en-US" w:eastAsia="zh-CN"/>
        </w:rPr>
        <w:t>7</w:t>
      </w:r>
      <w:r>
        <w:rPr>
          <w:rFonts w:hint="eastAsia"/>
          <w:color w:val="auto"/>
        </w:rPr>
        <w:t>艘次、5千</w:t>
      </w:r>
      <w:r>
        <w:rPr>
          <w:color w:val="auto"/>
        </w:rPr>
        <w:t>吨级船舶</w:t>
      </w:r>
      <w:r>
        <w:rPr>
          <w:rFonts w:hint="eastAsia"/>
          <w:color w:val="auto"/>
        </w:rPr>
        <w:t>1</w:t>
      </w:r>
      <w:r>
        <w:rPr>
          <w:color w:val="auto"/>
        </w:rPr>
        <w:t>5</w:t>
      </w:r>
      <w:r>
        <w:rPr>
          <w:rFonts w:hint="eastAsia"/>
          <w:color w:val="auto"/>
        </w:rPr>
        <w:t>艘次、</w:t>
      </w:r>
      <w:r>
        <w:rPr>
          <w:color w:val="auto"/>
        </w:rPr>
        <w:t>3千吨级船舶10</w:t>
      </w:r>
      <w:r>
        <w:rPr>
          <w:rFonts w:hint="eastAsia"/>
          <w:color w:val="auto"/>
        </w:rPr>
        <w:t>艘次。根据《水运工程环境保护设计规范》（JTS149-2018），3000吨级船舶船舱油污水的发生量取0.81t/d</w:t>
      </w:r>
      <w:r>
        <w:rPr>
          <w:color w:val="auto"/>
        </w:rPr>
        <w:t>·</w:t>
      </w:r>
      <w:r>
        <w:rPr>
          <w:rFonts w:hint="eastAsia"/>
          <w:color w:val="auto"/>
        </w:rPr>
        <w:t>艘，5000吨级船舶船舱油污水的发生量取1.39t/d·艘，1万吨级船舶船舱油污水的发生量取1.</w:t>
      </w:r>
      <w:r>
        <w:rPr>
          <w:color w:val="auto"/>
        </w:rPr>
        <w:t>96</w:t>
      </w:r>
      <w:r>
        <w:rPr>
          <w:rFonts w:hint="eastAsia"/>
          <w:color w:val="auto"/>
        </w:rPr>
        <w:t>t/d·艘，2万吨级船舶船舱油污水的发生量取</w:t>
      </w:r>
      <w:r>
        <w:rPr>
          <w:color w:val="auto"/>
        </w:rPr>
        <w:t>4.2</w:t>
      </w:r>
      <w:r>
        <w:rPr>
          <w:rFonts w:hint="eastAsia"/>
          <w:color w:val="auto"/>
        </w:rPr>
        <w:t>t/d·艘，5万吨级船舶船舱油污水的发生量取</w:t>
      </w:r>
      <w:r>
        <w:rPr>
          <w:color w:val="auto"/>
        </w:rPr>
        <w:t>8.33</w:t>
      </w:r>
      <w:r>
        <w:rPr>
          <w:rFonts w:hint="eastAsia"/>
          <w:color w:val="auto"/>
        </w:rPr>
        <w:t>t/d·艘。石油类浓度取2000～20000mg/L。</w:t>
      </w:r>
    </w:p>
    <w:p w14:paraId="71DEFA15">
      <w:pPr>
        <w:ind w:firstLine="480"/>
        <w:rPr>
          <w:color w:val="auto"/>
        </w:rPr>
      </w:pPr>
      <w:r>
        <w:rPr>
          <w:rFonts w:hint="eastAsia"/>
          <w:color w:val="auto"/>
          <w:u w:val="single"/>
        </w:rPr>
        <w:t>按船舶平均在港停留时间</w:t>
      </w:r>
      <w:r>
        <w:rPr>
          <w:color w:val="auto"/>
          <w:u w:val="single"/>
        </w:rPr>
        <w:t>2</w:t>
      </w:r>
      <w:r>
        <w:rPr>
          <w:rFonts w:hint="eastAsia"/>
          <w:color w:val="auto"/>
          <w:u w:val="single"/>
        </w:rPr>
        <w:t>天计算，确定到港船舶船舱油污水全年产生总量约为</w:t>
      </w:r>
      <w:r>
        <w:rPr>
          <w:color w:val="auto"/>
          <w:u w:val="single"/>
        </w:rPr>
        <w:t>2</w:t>
      </w:r>
      <w:r>
        <w:rPr>
          <w:rFonts w:hint="eastAsia"/>
          <w:color w:val="auto"/>
          <w:u w:val="single"/>
          <w:lang w:val="en-US" w:eastAsia="zh-CN"/>
        </w:rPr>
        <w:t>2</w:t>
      </w:r>
      <w:r>
        <w:rPr>
          <w:color w:val="auto"/>
          <w:u w:val="single"/>
        </w:rPr>
        <w:t>4.</w:t>
      </w:r>
      <w:r>
        <w:rPr>
          <w:rFonts w:hint="eastAsia"/>
          <w:color w:val="auto"/>
          <w:u w:val="single"/>
          <w:lang w:val="en-US" w:eastAsia="zh-CN"/>
        </w:rPr>
        <w:t>6</w:t>
      </w:r>
      <w:r>
        <w:rPr>
          <w:color w:val="auto"/>
          <w:u w:val="single"/>
        </w:rPr>
        <w:t>8</w:t>
      </w:r>
      <w:r>
        <w:rPr>
          <w:rFonts w:hint="eastAsia"/>
          <w:color w:val="auto"/>
          <w:u w:val="single"/>
        </w:rPr>
        <w:t>m</w:t>
      </w:r>
      <w:r>
        <w:rPr>
          <w:rFonts w:hint="eastAsia"/>
          <w:color w:val="auto"/>
          <w:vertAlign w:val="superscript"/>
        </w:rPr>
        <w:t>3</w:t>
      </w:r>
      <w:r>
        <w:rPr>
          <w:rFonts w:hint="eastAsia"/>
          <w:color w:val="auto"/>
          <w:u w:val="single"/>
        </w:rPr>
        <w:t>/a。本次评价取船舱油污水的平均含油浓度为10000mg/L，石油类的发生量为</w:t>
      </w:r>
      <w:r>
        <w:rPr>
          <w:color w:val="auto"/>
          <w:u w:val="single"/>
        </w:rPr>
        <w:t>2.</w:t>
      </w:r>
      <w:r>
        <w:rPr>
          <w:rFonts w:hint="eastAsia"/>
          <w:color w:val="auto"/>
          <w:u w:val="single"/>
          <w:lang w:val="en-US" w:eastAsia="zh-CN"/>
        </w:rPr>
        <w:t>25</w:t>
      </w:r>
      <w:r>
        <w:rPr>
          <w:rFonts w:hint="eastAsia"/>
          <w:color w:val="auto"/>
          <w:u w:val="single"/>
        </w:rPr>
        <w:t>t/a。到港船舶废水由船舶委托有资质单位接收处理。</w:t>
      </w:r>
    </w:p>
    <w:p w14:paraId="122CF7C2">
      <w:pPr>
        <w:ind w:firstLine="480"/>
        <w:rPr>
          <w:color w:val="auto"/>
        </w:rPr>
      </w:pPr>
      <w:r>
        <w:rPr>
          <w:color w:val="auto"/>
        </w:rPr>
        <w:t>（2）船舶生活污水</w:t>
      </w:r>
    </w:p>
    <w:p w14:paraId="62299854">
      <w:pPr>
        <w:ind w:firstLine="480"/>
        <w:rPr>
          <w:color w:val="auto"/>
        </w:rPr>
      </w:pPr>
      <w:r>
        <w:rPr>
          <w:rFonts w:hint="eastAsia"/>
          <w:color w:val="auto"/>
        </w:rPr>
        <w:t>根据73/78国际海事组织制定的防止船舶污染海洋公约附则Ⅳ第8条的规定，船舶上必须备有经主管机关认可的生活污水处理装置，且须保证生活污水处理设施的正常运转，达到标准后方可在航行中并且在12海里以外排放，因此，本项目营运期间船舶生活污水主要为船舶在港期间所产生的生活污水。</w:t>
      </w:r>
    </w:p>
    <w:p w14:paraId="70C5B9F6">
      <w:pPr>
        <w:ind w:firstLine="480"/>
        <w:rPr>
          <w:color w:val="auto"/>
          <w:u w:val="single"/>
        </w:rPr>
      </w:pPr>
      <w:r>
        <w:rPr>
          <w:rFonts w:hint="eastAsia"/>
          <w:color w:val="auto"/>
          <w:u w:val="single"/>
        </w:rPr>
        <w:t>根据估算本项目全年到港船舶最大约</w:t>
      </w:r>
      <w:r>
        <w:rPr>
          <w:rFonts w:hint="eastAsia"/>
          <w:color w:val="auto"/>
          <w:u w:val="single"/>
          <w:lang w:val="en-US" w:eastAsia="zh-CN"/>
        </w:rPr>
        <w:t>35</w:t>
      </w:r>
      <w:r>
        <w:rPr>
          <w:rFonts w:hint="eastAsia"/>
          <w:color w:val="auto"/>
          <w:u w:val="single"/>
        </w:rPr>
        <w:t>艘，据《中华人民共和国船舶最低安全配员规则》附录一中对海船、轮机部和客运部最低安全配员表中对各类船舶的配员要求可知，每船配有</w:t>
      </w:r>
      <w:r>
        <w:rPr>
          <w:color w:val="auto"/>
          <w:u w:val="single"/>
        </w:rPr>
        <w:t>15</w:t>
      </w:r>
      <w:r>
        <w:rPr>
          <w:rFonts w:hint="eastAsia"/>
          <w:color w:val="auto"/>
          <w:u w:val="single"/>
        </w:rPr>
        <w:t>～30人/船，本次评价以</w:t>
      </w:r>
      <w:r>
        <w:rPr>
          <w:color w:val="auto"/>
          <w:u w:val="single"/>
        </w:rPr>
        <w:t>25</w:t>
      </w:r>
      <w:r>
        <w:rPr>
          <w:rFonts w:hint="eastAsia"/>
          <w:color w:val="auto"/>
          <w:u w:val="single"/>
        </w:rPr>
        <w:t>人/艘计，每人每天日平均用水量100L计，排污系数取0.</w:t>
      </w:r>
      <w:r>
        <w:rPr>
          <w:color w:val="auto"/>
          <w:u w:val="single"/>
        </w:rPr>
        <w:t>8</w:t>
      </w:r>
      <w:r>
        <w:rPr>
          <w:rFonts w:hint="eastAsia"/>
          <w:color w:val="auto"/>
          <w:u w:val="single"/>
        </w:rPr>
        <w:t>，船舶生活污水的产生量约为</w:t>
      </w:r>
      <w:r>
        <w:rPr>
          <w:rFonts w:hint="eastAsia"/>
          <w:color w:val="auto"/>
          <w:u w:val="single"/>
          <w:lang w:val="en-US" w:eastAsia="zh-CN"/>
        </w:rPr>
        <w:t>4</w:t>
      </w:r>
      <w:r>
        <w:rPr>
          <w:rFonts w:hint="eastAsia"/>
          <w:color w:val="auto"/>
          <w:u w:val="single"/>
        </w:rPr>
        <w:t>m</w:t>
      </w:r>
      <w:r>
        <w:rPr>
          <w:rFonts w:hint="eastAsia"/>
          <w:color w:val="auto"/>
          <w:vertAlign w:val="superscript"/>
        </w:rPr>
        <w:t>3</w:t>
      </w:r>
      <w:r>
        <w:rPr>
          <w:rFonts w:hint="eastAsia"/>
          <w:color w:val="auto"/>
          <w:u w:val="single"/>
        </w:rPr>
        <w:t>/艘，</w:t>
      </w:r>
      <w:r>
        <w:rPr>
          <w:color w:val="auto"/>
          <w:u w:val="single"/>
        </w:rPr>
        <w:t>1</w:t>
      </w:r>
      <w:r>
        <w:rPr>
          <w:rFonts w:hint="eastAsia"/>
          <w:color w:val="auto"/>
          <w:u w:val="single"/>
          <w:lang w:val="en-US" w:eastAsia="zh-CN"/>
        </w:rPr>
        <w:t>40</w:t>
      </w:r>
      <w:r>
        <w:rPr>
          <w:rFonts w:hint="eastAsia"/>
          <w:color w:val="auto"/>
          <w:u w:val="single"/>
        </w:rPr>
        <w:t>m</w:t>
      </w:r>
      <w:r>
        <w:rPr>
          <w:rFonts w:hint="eastAsia"/>
          <w:color w:val="auto"/>
          <w:vertAlign w:val="superscript"/>
        </w:rPr>
        <w:t>3</w:t>
      </w:r>
      <w:r>
        <w:rPr>
          <w:rFonts w:hint="eastAsia"/>
          <w:color w:val="auto"/>
          <w:u w:val="single"/>
        </w:rPr>
        <w:t>/a。</w:t>
      </w:r>
    </w:p>
    <w:p w14:paraId="6C7BFE56">
      <w:pPr>
        <w:ind w:firstLine="480"/>
        <w:rPr>
          <w:color w:val="auto"/>
        </w:rPr>
      </w:pPr>
      <w:r>
        <w:rPr>
          <w:rFonts w:hint="eastAsia"/>
          <w:color w:val="auto"/>
        </w:rPr>
        <w:t>根据《水运工程环境保护设计规范》（JTS149-2018），生活污水水质无实测资料时，BOD</w:t>
      </w:r>
      <w:r>
        <w:rPr>
          <w:rFonts w:hint="eastAsia"/>
          <w:color w:val="auto"/>
          <w:vertAlign w:val="subscript"/>
        </w:rPr>
        <w:t>5</w:t>
      </w:r>
      <w:r>
        <w:rPr>
          <w:rFonts w:hint="eastAsia"/>
          <w:color w:val="auto"/>
        </w:rPr>
        <w:t>值可取150～300mg/L，SS浓度可取350～500mg/L，船舶生活污水宜取下限值，则本项目BOD</w:t>
      </w:r>
      <w:r>
        <w:rPr>
          <w:rFonts w:hint="eastAsia"/>
          <w:color w:val="auto"/>
          <w:vertAlign w:val="subscript"/>
        </w:rPr>
        <w:t>5</w:t>
      </w:r>
      <w:r>
        <w:rPr>
          <w:rFonts w:hint="eastAsia"/>
          <w:color w:val="auto"/>
        </w:rPr>
        <w:t>排放浓度取150mg/L，SS浓度取350mg/L；其他污染因子还包括COD、NH</w:t>
      </w:r>
      <w:r>
        <w:rPr>
          <w:rFonts w:hint="eastAsia"/>
          <w:color w:val="auto"/>
          <w:vertAlign w:val="subscript"/>
        </w:rPr>
        <w:t>3</w:t>
      </w:r>
      <w:r>
        <w:rPr>
          <w:rFonts w:hint="eastAsia"/>
          <w:color w:val="auto"/>
        </w:rPr>
        <w:t>-N，排放浓度分别为300mg/L、35mg/L，则SS、COD、BOD</w:t>
      </w:r>
      <w:r>
        <w:rPr>
          <w:rFonts w:hint="eastAsia"/>
          <w:color w:val="auto"/>
          <w:vertAlign w:val="subscript"/>
        </w:rPr>
        <w:t>5</w:t>
      </w:r>
      <w:r>
        <w:rPr>
          <w:rFonts w:hint="eastAsia"/>
          <w:color w:val="auto"/>
        </w:rPr>
        <w:t>和NH</w:t>
      </w:r>
      <w:r>
        <w:rPr>
          <w:rFonts w:hint="eastAsia"/>
          <w:color w:val="auto"/>
          <w:vertAlign w:val="subscript"/>
        </w:rPr>
        <w:t>3</w:t>
      </w:r>
      <w:r>
        <w:rPr>
          <w:rFonts w:hint="eastAsia"/>
          <w:color w:val="auto"/>
        </w:rPr>
        <w:t>-N的产生量分别为0.0</w:t>
      </w:r>
      <w:r>
        <w:rPr>
          <w:rFonts w:hint="eastAsia"/>
          <w:color w:val="auto"/>
          <w:lang w:val="en-US" w:eastAsia="zh-CN"/>
        </w:rPr>
        <w:t>7</w:t>
      </w:r>
      <w:r>
        <w:rPr>
          <w:rFonts w:hint="eastAsia"/>
          <w:color w:val="auto"/>
        </w:rPr>
        <w:t>t/a、0.</w:t>
      </w:r>
      <w:r>
        <w:rPr>
          <w:color w:val="auto"/>
        </w:rPr>
        <w:t>0</w:t>
      </w:r>
      <w:r>
        <w:rPr>
          <w:rFonts w:hint="eastAsia"/>
          <w:color w:val="auto"/>
          <w:lang w:val="en-US" w:eastAsia="zh-CN"/>
        </w:rPr>
        <w:t>42</w:t>
      </w:r>
      <w:r>
        <w:rPr>
          <w:rFonts w:hint="eastAsia"/>
          <w:color w:val="auto"/>
        </w:rPr>
        <w:t>t/a、0.</w:t>
      </w:r>
      <w:r>
        <w:rPr>
          <w:color w:val="auto"/>
        </w:rPr>
        <w:t>02</w:t>
      </w:r>
      <w:r>
        <w:rPr>
          <w:rFonts w:hint="eastAsia"/>
          <w:color w:val="auto"/>
          <w:lang w:val="en-US" w:eastAsia="zh-CN"/>
        </w:rPr>
        <w:t>1</w:t>
      </w:r>
      <w:r>
        <w:rPr>
          <w:rFonts w:hint="eastAsia"/>
          <w:color w:val="auto"/>
        </w:rPr>
        <w:t>t/a、0.0</w:t>
      </w:r>
      <w:r>
        <w:rPr>
          <w:color w:val="auto"/>
        </w:rPr>
        <w:t>0</w:t>
      </w:r>
      <w:r>
        <w:rPr>
          <w:rFonts w:hint="eastAsia"/>
          <w:color w:val="auto"/>
          <w:lang w:val="en-US" w:eastAsia="zh-CN"/>
        </w:rPr>
        <w:t>5</w:t>
      </w:r>
      <w:r>
        <w:rPr>
          <w:rFonts w:hint="eastAsia"/>
          <w:color w:val="auto"/>
        </w:rPr>
        <w:t>t/a。到港船舶生活污水由船舶公司委托有资质单位接收处置。</w:t>
      </w:r>
    </w:p>
    <w:p w14:paraId="6BD91FB4">
      <w:pPr>
        <w:ind w:firstLine="480"/>
        <w:rPr>
          <w:rFonts w:hint="eastAsia" w:eastAsia="宋体"/>
          <w:color w:val="auto"/>
          <w:lang w:eastAsia="zh-CN"/>
        </w:rPr>
      </w:pPr>
      <w:r>
        <w:rPr>
          <w:color w:val="auto"/>
        </w:rPr>
        <w:t>（3）洗舱废水</w:t>
      </w:r>
    </w:p>
    <w:p w14:paraId="7D3E5B8A">
      <w:pPr>
        <w:ind w:firstLine="480"/>
        <w:rPr>
          <w:bCs/>
          <w:color w:val="auto"/>
        </w:rPr>
      </w:pPr>
      <w:r>
        <w:rPr>
          <w:bCs/>
          <w:color w:val="auto"/>
        </w:rPr>
        <w:t>考虑船舶和码头难以具备洗舱条件，参考国内常规做法，主要考虑货种、航次长期固定避免洗舱作业，对于有洗舱需求的船舶，自行航行至具备洗舱作业能力的码头进行洗舱；对于非强制性预洗货种可不进行洗舱，在船舶航行中进行自然通风。</w:t>
      </w:r>
      <w:r>
        <w:rPr>
          <w:rFonts w:hint="eastAsia"/>
          <w:bCs/>
          <w:color w:val="auto"/>
        </w:rPr>
        <w:t>本次无需进行强制洗舱作业，码头亦无需接收洗舱水。因此</w:t>
      </w:r>
      <w:r>
        <w:rPr>
          <w:bCs/>
          <w:color w:val="auto"/>
        </w:rPr>
        <w:t>，本码头及靠泊船舶无洗舱废水产生。</w:t>
      </w:r>
    </w:p>
    <w:p w14:paraId="5C4AAA3A">
      <w:pPr>
        <w:pStyle w:val="6"/>
        <w:rPr>
          <w:color w:val="auto"/>
        </w:rPr>
      </w:pPr>
      <w:r>
        <w:rPr>
          <w:rFonts w:hint="eastAsia"/>
          <w:color w:val="auto"/>
        </w:rPr>
        <w:t>陆域冲洗</w:t>
      </w:r>
      <w:r>
        <w:rPr>
          <w:color w:val="auto"/>
        </w:rPr>
        <w:t>废水</w:t>
      </w:r>
      <w:r>
        <w:rPr>
          <w:rFonts w:hint="eastAsia"/>
          <w:color w:val="auto"/>
        </w:rPr>
        <w:t>和</w:t>
      </w:r>
      <w:r>
        <w:rPr>
          <w:color w:val="auto"/>
        </w:rPr>
        <w:t>生活污水</w:t>
      </w:r>
    </w:p>
    <w:p w14:paraId="14EE744F">
      <w:pPr>
        <w:ind w:firstLine="480"/>
        <w:rPr>
          <w:rFonts w:hint="default" w:eastAsia="宋体"/>
          <w:color w:val="auto"/>
          <w:lang w:val="en-US" w:eastAsia="zh-CN"/>
        </w:rPr>
      </w:pPr>
      <w:r>
        <w:rPr>
          <w:rFonts w:hint="eastAsia"/>
          <w:color w:val="auto"/>
        </w:rPr>
        <w:t>项目新增货种后，不增加码头前沿的后方储罐区的面积，因为初期雨水没有增加；同时也不新增工作人员，因此生活污水也不增加</w:t>
      </w:r>
      <w:r>
        <w:rPr>
          <w:rFonts w:hint="eastAsia"/>
          <w:color w:val="auto"/>
          <w:lang w:eastAsia="zh-CN"/>
        </w:rPr>
        <w:t>。</w:t>
      </w:r>
      <w:r>
        <w:rPr>
          <w:rFonts w:hint="eastAsia"/>
          <w:color w:val="auto"/>
        </w:rPr>
        <w:t>上文2.1.4中对现有工程废水源强已经进行核算，此节不再重复计算。</w:t>
      </w:r>
      <w:r>
        <w:rPr>
          <w:rFonts w:hint="eastAsia"/>
          <w:color w:val="auto"/>
          <w:u w:val="single"/>
          <w:lang w:eastAsia="zh-CN"/>
        </w:rPr>
        <w:t>扩建项目新增</w:t>
      </w:r>
      <w:r>
        <w:rPr>
          <w:rFonts w:hint="eastAsia"/>
          <w:color w:val="auto"/>
          <w:u w:val="single"/>
          <w:lang w:val="en-US" w:eastAsia="zh-CN"/>
        </w:rPr>
        <w:t>5中货种进行装卸，与原有的汽油、原油性质相近，码头冲洗废水、初期雨水中污染物有略微变化，由于货种整个装卸过程均为密闭，无物料泄露，码头冲洗废水中污染物变化较小，进行定性分析。</w:t>
      </w:r>
    </w:p>
    <w:p w14:paraId="28E20012">
      <w:pPr>
        <w:pStyle w:val="4"/>
        <w:rPr>
          <w:color w:val="auto"/>
        </w:rPr>
      </w:pPr>
      <w:r>
        <w:rPr>
          <w:color w:val="auto"/>
        </w:rPr>
        <w:t>噪声源强</w:t>
      </w:r>
    </w:p>
    <w:p w14:paraId="01298111">
      <w:pPr>
        <w:ind w:firstLine="480"/>
        <w:rPr>
          <w:color w:val="auto"/>
        </w:rPr>
      </w:pPr>
      <w:r>
        <w:rPr>
          <w:color w:val="auto"/>
        </w:rPr>
        <w:t>本工程主要机械设备声级如下表所示。</w:t>
      </w:r>
    </w:p>
    <w:p w14:paraId="30492A71">
      <w:pPr>
        <w:pStyle w:val="14"/>
        <w:rPr>
          <w:color w:val="auto"/>
        </w:rPr>
      </w:pPr>
      <w:r>
        <w:rPr>
          <w:rFonts w:hint="eastAsia"/>
          <w:color w:val="auto"/>
        </w:rPr>
        <w:t>表</w:t>
      </w:r>
      <w:r>
        <w:rPr>
          <w:color w:val="auto"/>
        </w:rPr>
        <w:t>2.3</w:t>
      </w:r>
      <w:r>
        <w:rPr>
          <w:color w:val="auto"/>
        </w:rPr>
        <w:noBreakHyphen/>
      </w:r>
      <w:r>
        <w:rPr>
          <w:color w:val="auto"/>
        </w:rPr>
        <w:t>8主要设备噪声值</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7" w:type="dxa"/>
          <w:bottom w:w="0" w:type="dxa"/>
          <w:right w:w="17" w:type="dxa"/>
        </w:tblCellMar>
      </w:tblPr>
      <w:tblGrid>
        <w:gridCol w:w="469"/>
        <w:gridCol w:w="1569"/>
        <w:gridCol w:w="960"/>
        <w:gridCol w:w="1090"/>
        <w:gridCol w:w="1834"/>
        <w:gridCol w:w="1436"/>
        <w:gridCol w:w="2031"/>
      </w:tblGrid>
      <w:tr w14:paraId="0C3D71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7" w:type="dxa"/>
            <w:bottom w:w="0" w:type="dxa"/>
            <w:right w:w="17" w:type="dxa"/>
          </w:tblCellMar>
        </w:tblPrEx>
        <w:trPr>
          <w:trHeight w:val="340" w:hRule="atLeast"/>
          <w:jc w:val="center"/>
        </w:trPr>
        <w:tc>
          <w:tcPr>
            <w:tcW w:w="250" w:type="pct"/>
            <w:vMerge w:val="restart"/>
            <w:vAlign w:val="center"/>
          </w:tcPr>
          <w:p w14:paraId="01EDEC8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序号</w:t>
            </w:r>
          </w:p>
        </w:tc>
        <w:tc>
          <w:tcPr>
            <w:tcW w:w="835" w:type="pct"/>
            <w:vMerge w:val="restart"/>
            <w:vAlign w:val="center"/>
          </w:tcPr>
          <w:p w14:paraId="1F987E6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噪声源</w:t>
            </w:r>
          </w:p>
        </w:tc>
        <w:tc>
          <w:tcPr>
            <w:tcW w:w="1091" w:type="pct"/>
            <w:gridSpan w:val="2"/>
            <w:vAlign w:val="center"/>
          </w:tcPr>
          <w:p w14:paraId="3835245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声源源强</w:t>
            </w:r>
            <w:r>
              <w:rPr>
                <w:rFonts w:hint="default"/>
                <w:color w:val="auto"/>
                <w:sz w:val="21"/>
                <w:szCs w:val="21"/>
              </w:rPr>
              <w:t>（dB(A)</w:t>
            </w:r>
          </w:p>
        </w:tc>
        <w:tc>
          <w:tcPr>
            <w:tcW w:w="976" w:type="pct"/>
            <w:vMerge w:val="restart"/>
            <w:vAlign w:val="center"/>
          </w:tcPr>
          <w:p w14:paraId="69BF452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声源控制措施</w:t>
            </w:r>
          </w:p>
        </w:tc>
        <w:tc>
          <w:tcPr>
            <w:tcW w:w="764" w:type="pct"/>
            <w:vMerge w:val="restart"/>
            <w:vAlign w:val="center"/>
          </w:tcPr>
          <w:p w14:paraId="69CCC5C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采取措施后声源源强/</w:t>
            </w:r>
            <w:r>
              <w:rPr>
                <w:rFonts w:hint="default"/>
                <w:color w:val="auto"/>
                <w:sz w:val="21"/>
                <w:szCs w:val="21"/>
              </w:rPr>
              <w:t>dB(A)</w:t>
            </w:r>
          </w:p>
        </w:tc>
        <w:tc>
          <w:tcPr>
            <w:tcW w:w="1081" w:type="pct"/>
            <w:vMerge w:val="restart"/>
            <w:vAlign w:val="center"/>
          </w:tcPr>
          <w:p w14:paraId="6FCC509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运行时段</w:t>
            </w:r>
          </w:p>
        </w:tc>
      </w:tr>
      <w:tr w14:paraId="167B23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7" w:type="dxa"/>
            <w:bottom w:w="0" w:type="dxa"/>
            <w:right w:w="17" w:type="dxa"/>
          </w:tblCellMar>
        </w:tblPrEx>
        <w:trPr>
          <w:trHeight w:val="340" w:hRule="atLeast"/>
          <w:jc w:val="center"/>
        </w:trPr>
        <w:tc>
          <w:tcPr>
            <w:tcW w:w="250" w:type="pct"/>
            <w:vMerge w:val="continue"/>
            <w:vAlign w:val="center"/>
          </w:tcPr>
          <w:p w14:paraId="2C34324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835" w:type="pct"/>
            <w:vMerge w:val="continue"/>
            <w:vAlign w:val="center"/>
          </w:tcPr>
          <w:p w14:paraId="697A31B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11" w:type="pct"/>
            <w:vAlign w:val="center"/>
          </w:tcPr>
          <w:p w14:paraId="0FD2752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声压级dB(A)</w:t>
            </w:r>
          </w:p>
        </w:tc>
        <w:tc>
          <w:tcPr>
            <w:tcW w:w="580" w:type="pct"/>
            <w:vAlign w:val="center"/>
          </w:tcPr>
          <w:p w14:paraId="17E6199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距声源距离（m）</w:t>
            </w:r>
          </w:p>
        </w:tc>
        <w:tc>
          <w:tcPr>
            <w:tcW w:w="976" w:type="pct"/>
            <w:vMerge w:val="continue"/>
            <w:vAlign w:val="center"/>
          </w:tcPr>
          <w:p w14:paraId="716F777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764" w:type="pct"/>
            <w:vMerge w:val="continue"/>
            <w:vAlign w:val="center"/>
          </w:tcPr>
          <w:p w14:paraId="5C46D503">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szCs w:val="21"/>
              </w:rPr>
            </w:pPr>
          </w:p>
        </w:tc>
        <w:tc>
          <w:tcPr>
            <w:tcW w:w="1081" w:type="pct"/>
            <w:vMerge w:val="continue"/>
            <w:vAlign w:val="center"/>
          </w:tcPr>
          <w:p w14:paraId="2466CAB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r>
      <w:tr w14:paraId="1EF348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7" w:type="dxa"/>
            <w:bottom w:w="0" w:type="dxa"/>
            <w:right w:w="17" w:type="dxa"/>
          </w:tblCellMar>
        </w:tblPrEx>
        <w:trPr>
          <w:trHeight w:val="340" w:hRule="atLeast"/>
          <w:jc w:val="center"/>
        </w:trPr>
        <w:tc>
          <w:tcPr>
            <w:tcW w:w="250" w:type="pct"/>
            <w:vAlign w:val="center"/>
          </w:tcPr>
          <w:p w14:paraId="0D0CA8C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w:t>
            </w:r>
          </w:p>
        </w:tc>
        <w:tc>
          <w:tcPr>
            <w:tcW w:w="835" w:type="pct"/>
            <w:vAlign w:val="center"/>
          </w:tcPr>
          <w:p w14:paraId="39B2DF1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输送泵1</w:t>
            </w:r>
          </w:p>
        </w:tc>
        <w:tc>
          <w:tcPr>
            <w:tcW w:w="511" w:type="pct"/>
            <w:vAlign w:val="center"/>
          </w:tcPr>
          <w:p w14:paraId="1E261DB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90</w:t>
            </w:r>
          </w:p>
        </w:tc>
        <w:tc>
          <w:tcPr>
            <w:tcW w:w="580" w:type="pct"/>
            <w:vAlign w:val="center"/>
          </w:tcPr>
          <w:p w14:paraId="374E1E6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5</w:t>
            </w:r>
          </w:p>
        </w:tc>
        <w:tc>
          <w:tcPr>
            <w:tcW w:w="976" w:type="pct"/>
            <w:vMerge w:val="restart"/>
            <w:vAlign w:val="center"/>
          </w:tcPr>
          <w:p w14:paraId="4AF19FC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采取减振措施</w:t>
            </w:r>
          </w:p>
        </w:tc>
        <w:tc>
          <w:tcPr>
            <w:tcW w:w="764" w:type="pct"/>
            <w:vAlign w:val="center"/>
          </w:tcPr>
          <w:p w14:paraId="328C466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75</w:t>
            </w:r>
          </w:p>
        </w:tc>
        <w:tc>
          <w:tcPr>
            <w:tcW w:w="1081" w:type="pct"/>
            <w:vMerge w:val="restart"/>
            <w:vAlign w:val="center"/>
          </w:tcPr>
          <w:p w14:paraId="4A75A97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0</w:t>
            </w:r>
            <w:r>
              <w:rPr>
                <w:rFonts w:hint="eastAsia"/>
                <w:color w:val="auto"/>
                <w:sz w:val="21"/>
                <w:szCs w:val="21"/>
              </w:rPr>
              <w:t>:</w:t>
            </w:r>
            <w:r>
              <w:rPr>
                <w:rFonts w:hint="default"/>
                <w:color w:val="auto"/>
                <w:sz w:val="21"/>
                <w:szCs w:val="21"/>
              </w:rPr>
              <w:t>00~24</w:t>
            </w:r>
            <w:r>
              <w:rPr>
                <w:rFonts w:hint="eastAsia"/>
                <w:color w:val="auto"/>
                <w:sz w:val="21"/>
                <w:szCs w:val="21"/>
              </w:rPr>
              <w:t>:</w:t>
            </w:r>
            <w:r>
              <w:rPr>
                <w:rFonts w:hint="default"/>
                <w:color w:val="auto"/>
                <w:sz w:val="21"/>
                <w:szCs w:val="21"/>
              </w:rPr>
              <w:t>00</w:t>
            </w:r>
          </w:p>
        </w:tc>
      </w:tr>
      <w:tr w14:paraId="2BC308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7" w:type="dxa"/>
            <w:bottom w:w="0" w:type="dxa"/>
            <w:right w:w="17" w:type="dxa"/>
          </w:tblCellMar>
        </w:tblPrEx>
        <w:trPr>
          <w:trHeight w:val="340" w:hRule="atLeast"/>
          <w:jc w:val="center"/>
        </w:trPr>
        <w:tc>
          <w:tcPr>
            <w:tcW w:w="250" w:type="pct"/>
            <w:vAlign w:val="center"/>
          </w:tcPr>
          <w:p w14:paraId="762F0DC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2</w:t>
            </w:r>
          </w:p>
        </w:tc>
        <w:tc>
          <w:tcPr>
            <w:tcW w:w="835" w:type="pct"/>
            <w:vAlign w:val="center"/>
          </w:tcPr>
          <w:p w14:paraId="0631BA9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输送泵2</w:t>
            </w:r>
          </w:p>
        </w:tc>
        <w:tc>
          <w:tcPr>
            <w:tcW w:w="511" w:type="pct"/>
            <w:vAlign w:val="center"/>
          </w:tcPr>
          <w:p w14:paraId="3CCFADB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90</w:t>
            </w:r>
          </w:p>
        </w:tc>
        <w:tc>
          <w:tcPr>
            <w:tcW w:w="580" w:type="pct"/>
            <w:vAlign w:val="center"/>
          </w:tcPr>
          <w:p w14:paraId="0646FE5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5</w:t>
            </w:r>
          </w:p>
        </w:tc>
        <w:tc>
          <w:tcPr>
            <w:tcW w:w="976" w:type="pct"/>
            <w:vMerge w:val="continue"/>
            <w:vAlign w:val="center"/>
          </w:tcPr>
          <w:p w14:paraId="6C97714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764" w:type="pct"/>
          </w:tcPr>
          <w:p w14:paraId="08E149F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75</w:t>
            </w:r>
          </w:p>
        </w:tc>
        <w:tc>
          <w:tcPr>
            <w:tcW w:w="1081" w:type="pct"/>
            <w:vMerge w:val="continue"/>
            <w:vAlign w:val="center"/>
          </w:tcPr>
          <w:p w14:paraId="45DF8A2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r>
    </w:tbl>
    <w:p w14:paraId="742721C6">
      <w:pPr>
        <w:ind w:firstLine="480"/>
        <w:rPr>
          <w:color w:val="auto"/>
        </w:rPr>
      </w:pPr>
      <w:r>
        <w:rPr>
          <w:rFonts w:hint="eastAsia"/>
          <w:color w:val="auto"/>
        </w:rPr>
        <w:t>根据环境质量</w:t>
      </w:r>
      <w:r>
        <w:rPr>
          <w:color w:val="auto"/>
        </w:rPr>
        <w:t>现状噪声</w:t>
      </w:r>
      <w:r>
        <w:rPr>
          <w:rFonts w:hint="eastAsia"/>
          <w:color w:val="auto"/>
        </w:rPr>
        <w:t>监测结果，厂界噪声值均满足《声环境质量标准》（GB12348-2008）中3类标准。</w:t>
      </w:r>
    </w:p>
    <w:p w14:paraId="1C47A384">
      <w:pPr>
        <w:pStyle w:val="4"/>
        <w:rPr>
          <w:color w:val="auto"/>
        </w:rPr>
      </w:pPr>
      <w:r>
        <w:rPr>
          <w:color w:val="auto"/>
        </w:rPr>
        <w:t>固体废物源强</w:t>
      </w:r>
    </w:p>
    <w:p w14:paraId="0358B8BA">
      <w:pPr>
        <w:pStyle w:val="6"/>
        <w:rPr>
          <w:color w:val="auto"/>
        </w:rPr>
      </w:pPr>
      <w:r>
        <w:rPr>
          <w:rFonts w:hint="eastAsia"/>
          <w:color w:val="auto"/>
        </w:rPr>
        <w:t>陆域</w:t>
      </w:r>
      <w:r>
        <w:rPr>
          <w:color w:val="auto"/>
        </w:rPr>
        <w:t>生活垃圾</w:t>
      </w:r>
    </w:p>
    <w:p w14:paraId="7DB36CC4">
      <w:pPr>
        <w:ind w:firstLine="480"/>
        <w:rPr>
          <w:color w:val="auto"/>
        </w:rPr>
      </w:pPr>
      <w:r>
        <w:rPr>
          <w:color w:val="auto"/>
        </w:rPr>
        <w:t>本</w:t>
      </w:r>
      <w:r>
        <w:rPr>
          <w:rFonts w:hint="eastAsia"/>
          <w:color w:val="auto"/>
        </w:rPr>
        <w:t>扩建</w:t>
      </w:r>
      <w:r>
        <w:rPr>
          <w:color w:val="auto"/>
        </w:rPr>
        <w:t>项目无新增劳动定员，无新增生活垃圾。</w:t>
      </w:r>
    </w:p>
    <w:p w14:paraId="67609A0E">
      <w:pPr>
        <w:pStyle w:val="6"/>
        <w:rPr>
          <w:color w:val="auto"/>
        </w:rPr>
      </w:pPr>
      <w:r>
        <w:rPr>
          <w:color w:val="auto"/>
        </w:rPr>
        <w:t>船舶固废</w:t>
      </w:r>
      <w:r>
        <w:rPr>
          <w:rFonts w:hint="eastAsia"/>
          <w:color w:val="auto"/>
          <w:lang w:val="en-US" w:eastAsia="zh-CN"/>
        </w:rPr>
        <w:t xml:space="preserve"> </w:t>
      </w:r>
    </w:p>
    <w:p w14:paraId="0D11C75F">
      <w:pPr>
        <w:ind w:firstLine="480"/>
        <w:rPr>
          <w:color w:val="auto"/>
        </w:rPr>
      </w:pPr>
      <w:r>
        <w:rPr>
          <w:color w:val="auto"/>
        </w:rPr>
        <w:t>根据设计代表船型，</w:t>
      </w:r>
      <w:r>
        <w:rPr>
          <w:rFonts w:hint="eastAsia"/>
          <w:color w:val="auto"/>
        </w:rPr>
        <w:t>到港船舶按</w:t>
      </w:r>
      <w:r>
        <w:rPr>
          <w:color w:val="auto"/>
        </w:rPr>
        <w:t>25</w:t>
      </w:r>
      <w:r>
        <w:rPr>
          <w:rFonts w:hint="eastAsia"/>
          <w:color w:val="auto"/>
        </w:rPr>
        <w:t>人/船估算，每艘船舶停靠2天，</w:t>
      </w:r>
      <w:r>
        <w:rPr>
          <w:color w:val="auto"/>
        </w:rPr>
        <w:t>船员生活垃圾发生量按1.5kg/天•人计算，到港船舶生活垃圾</w:t>
      </w:r>
      <w:r>
        <w:rPr>
          <w:rFonts w:hint="eastAsia"/>
          <w:color w:val="auto"/>
        </w:rPr>
        <w:t>产生</w:t>
      </w:r>
      <w:r>
        <w:rPr>
          <w:color w:val="auto"/>
        </w:rPr>
        <w:t>量为</w:t>
      </w:r>
      <w:r>
        <w:rPr>
          <w:rFonts w:hint="eastAsia"/>
          <w:color w:val="auto"/>
        </w:rPr>
        <w:t>37.5</w:t>
      </w:r>
      <w:r>
        <w:rPr>
          <w:color w:val="auto"/>
        </w:rPr>
        <w:t>kg/d，</w:t>
      </w:r>
      <w:r>
        <w:rPr>
          <w:rFonts w:hint="eastAsia"/>
          <w:color w:val="auto"/>
          <w:lang w:val="en-US" w:eastAsia="zh-CN"/>
        </w:rPr>
        <w:t>2.625</w:t>
      </w:r>
      <w:r>
        <w:rPr>
          <w:color w:val="auto"/>
        </w:rPr>
        <w:t>t/a。</w:t>
      </w:r>
      <w:r>
        <w:rPr>
          <w:rFonts w:hint="eastAsia"/>
          <w:color w:val="auto"/>
        </w:rPr>
        <w:t>新</w:t>
      </w:r>
      <w:r>
        <w:rPr>
          <w:color w:val="auto"/>
        </w:rPr>
        <w:t>船舶垃圾</w:t>
      </w:r>
      <w:r>
        <w:rPr>
          <w:rFonts w:hint="eastAsia"/>
          <w:color w:val="auto"/>
        </w:rPr>
        <w:t>统一收集上岸交由环卫部门清运</w:t>
      </w:r>
      <w:r>
        <w:rPr>
          <w:color w:val="auto"/>
        </w:rPr>
        <w:t>。</w:t>
      </w:r>
      <w:r>
        <w:rPr>
          <w:rFonts w:hint="eastAsia"/>
          <w:color w:val="auto"/>
        </w:rPr>
        <w:t>本项目到港船舶不在本项目码头维修，故不产生船舶检修废物。</w:t>
      </w:r>
    </w:p>
    <w:p w14:paraId="15708FD3">
      <w:pPr>
        <w:pStyle w:val="6"/>
        <w:rPr>
          <w:color w:val="auto"/>
        </w:rPr>
      </w:pPr>
      <w:r>
        <w:rPr>
          <w:rFonts w:hint="eastAsia"/>
          <w:color w:val="auto"/>
        </w:rPr>
        <w:t>危险</w:t>
      </w:r>
      <w:r>
        <w:rPr>
          <w:color w:val="auto"/>
        </w:rPr>
        <w:t>废物</w:t>
      </w:r>
    </w:p>
    <w:p w14:paraId="7E1A4ADF">
      <w:pPr>
        <w:ind w:firstLine="480"/>
        <w:rPr>
          <w:color w:val="auto"/>
        </w:rPr>
      </w:pPr>
      <w:r>
        <w:rPr>
          <w:rFonts w:hint="eastAsia"/>
          <w:color w:val="auto"/>
        </w:rPr>
        <w:t>（</w:t>
      </w:r>
      <w:r>
        <w:rPr>
          <w:color w:val="auto"/>
        </w:rPr>
        <w:t>1</w:t>
      </w:r>
      <w:r>
        <w:rPr>
          <w:rFonts w:hint="eastAsia"/>
          <w:color w:val="auto"/>
        </w:rPr>
        <w:t>）含油废物</w:t>
      </w:r>
    </w:p>
    <w:p w14:paraId="51B73FFF">
      <w:pPr>
        <w:ind w:firstLine="480"/>
        <w:rPr>
          <w:color w:val="auto"/>
        </w:rPr>
      </w:pPr>
      <w:r>
        <w:rPr>
          <w:rFonts w:hint="eastAsia"/>
          <w:color w:val="auto"/>
        </w:rPr>
        <w:t>新增</w:t>
      </w:r>
      <w:r>
        <w:rPr>
          <w:color w:val="auto"/>
        </w:rPr>
        <w:t>管道维修过程中产生的含油或化学品的废布及棉纱属于危险固废，产生量约0.05t/a，含油废布及棉纱</w:t>
      </w:r>
      <w:r>
        <w:rPr>
          <w:rFonts w:hint="eastAsia" w:cs="宋体"/>
          <w:snapToGrid w:val="0"/>
          <w:color w:val="auto"/>
          <w:kern w:val="0"/>
          <w:lang w:bidi="ar"/>
        </w:rPr>
        <w:t>属于《国家危险废物名录》（</w:t>
      </w:r>
      <w:r>
        <w:rPr>
          <w:snapToGrid w:val="0"/>
          <w:color w:val="auto"/>
          <w:kern w:val="0"/>
          <w:lang w:bidi="ar"/>
        </w:rPr>
        <w:t>202</w:t>
      </w:r>
      <w:r>
        <w:rPr>
          <w:rFonts w:hint="eastAsia"/>
          <w:snapToGrid w:val="0"/>
          <w:color w:val="auto"/>
          <w:kern w:val="0"/>
          <w:lang w:bidi="ar"/>
        </w:rPr>
        <w:t>5</w:t>
      </w:r>
      <w:r>
        <w:rPr>
          <w:rFonts w:hint="eastAsia" w:cs="宋体"/>
          <w:snapToGrid w:val="0"/>
          <w:color w:val="auto"/>
          <w:kern w:val="0"/>
          <w:lang w:bidi="ar"/>
        </w:rPr>
        <w:t>年版）</w:t>
      </w:r>
      <w:r>
        <w:rPr>
          <w:rFonts w:hint="eastAsia"/>
          <w:color w:val="auto"/>
        </w:rPr>
        <w:t>HW08“废矿物油与含矿物油废物”中“其他生产、销售、使用过程中产生的废矿物油及沾染矿物油的废弃包装物”，废物代码900-249-08。应委托具有相应危废处置资质的单位处理。</w:t>
      </w:r>
    </w:p>
    <w:p w14:paraId="7E1F0B99">
      <w:pPr>
        <w:ind w:firstLine="480"/>
        <w:rPr>
          <w:color w:val="auto"/>
        </w:rPr>
      </w:pPr>
      <w:r>
        <w:rPr>
          <w:rFonts w:hint="eastAsia"/>
          <w:color w:val="auto"/>
        </w:rPr>
        <w:t>（</w:t>
      </w:r>
      <w:r>
        <w:rPr>
          <w:color w:val="auto"/>
        </w:rPr>
        <w:t>2</w:t>
      </w:r>
      <w:r>
        <w:rPr>
          <w:rFonts w:hint="eastAsia"/>
          <w:color w:val="auto"/>
        </w:rPr>
        <w:t>）储罐含油</w:t>
      </w:r>
      <w:r>
        <w:rPr>
          <w:color w:val="auto"/>
        </w:rPr>
        <w:t>污泥</w:t>
      </w:r>
    </w:p>
    <w:p w14:paraId="7550F659">
      <w:pPr>
        <w:ind w:firstLine="480"/>
        <w:rPr>
          <w:rFonts w:hint="default" w:eastAsia="宋体"/>
          <w:color w:val="auto"/>
          <w:u w:val="single"/>
          <w:lang w:val="en-US" w:eastAsia="zh-CN"/>
        </w:rPr>
      </w:pPr>
      <w:r>
        <w:rPr>
          <w:rFonts w:hint="eastAsia"/>
          <w:color w:val="auto"/>
          <w:u w:val="single"/>
        </w:rPr>
        <w:t>本次项目新增5个货种均依托现有储罐进行储存，由于货种性质相近，储罐更换储存货种不进行清罐，</w:t>
      </w:r>
      <w:r>
        <w:rPr>
          <w:rFonts w:hint="eastAsia"/>
          <w:color w:val="auto"/>
          <w:u w:val="single"/>
          <w:lang w:val="en-US" w:eastAsia="zh-CN"/>
        </w:rPr>
        <w:t>储罐按原有的清罐频次进行清罐，本次扩建项目不新增储罐含油污泥。</w:t>
      </w:r>
    </w:p>
    <w:p w14:paraId="3F3F9AF1">
      <w:pPr>
        <w:ind w:firstLine="480"/>
        <w:rPr>
          <w:color w:val="auto"/>
        </w:rPr>
      </w:pPr>
      <w:r>
        <w:rPr>
          <w:rFonts w:hint="eastAsia"/>
          <w:color w:val="auto"/>
        </w:rPr>
        <w:t>（</w:t>
      </w:r>
      <w:r>
        <w:rPr>
          <w:color w:val="auto"/>
        </w:rPr>
        <w:t>3</w:t>
      </w:r>
      <w:r>
        <w:rPr>
          <w:rFonts w:hint="eastAsia"/>
          <w:color w:val="auto"/>
        </w:rPr>
        <w:t>）废活性炭、含油废滤芯</w:t>
      </w:r>
    </w:p>
    <w:p w14:paraId="7A634496">
      <w:pPr>
        <w:ind w:firstLine="480"/>
        <w:rPr>
          <w:rFonts w:hint="eastAsia"/>
          <w:color w:val="auto"/>
          <w:u w:val="single"/>
        </w:rPr>
      </w:pPr>
      <w:r>
        <w:rPr>
          <w:rFonts w:hint="eastAsia"/>
          <w:color w:val="auto"/>
        </w:rPr>
        <w:t>扩建</w:t>
      </w:r>
      <w:r>
        <w:rPr>
          <w:color w:val="auto"/>
        </w:rPr>
        <w:t>项目甲基叔丁基醚依托现有</w:t>
      </w:r>
      <w:r>
        <w:rPr>
          <w:rFonts w:hint="eastAsia"/>
          <w:color w:val="auto"/>
        </w:rPr>
        <w:t>工程</w:t>
      </w:r>
      <w:r>
        <w:rPr>
          <w:color w:val="auto"/>
        </w:rPr>
        <w:t>的汽油装船油气回收设施处理，</w:t>
      </w:r>
      <w:r>
        <w:rPr>
          <w:rFonts w:hint="eastAsia"/>
          <w:color w:val="auto"/>
          <w:lang w:val="en-US" w:eastAsia="zh-CN"/>
        </w:rPr>
        <w:t>油气回收设施包括冷凝+吸附工艺，本次扩建</w:t>
      </w:r>
      <w:r>
        <w:rPr>
          <w:color w:val="auto"/>
        </w:rPr>
        <w:t>依托现有</w:t>
      </w:r>
      <w:r>
        <w:rPr>
          <w:rFonts w:hint="eastAsia"/>
          <w:color w:val="auto"/>
        </w:rPr>
        <w:t>工程</w:t>
      </w:r>
      <w:r>
        <w:rPr>
          <w:color w:val="auto"/>
        </w:rPr>
        <w:t>的汽油装船油气回收设施处理</w:t>
      </w:r>
      <w:r>
        <w:rPr>
          <w:rFonts w:hint="eastAsia"/>
          <w:color w:val="auto"/>
          <w:lang w:val="en-US" w:eastAsia="zh-CN"/>
        </w:rPr>
        <w:t>后，需增加活性炭更换频次。</w:t>
      </w:r>
      <w:r>
        <w:rPr>
          <w:rFonts w:hint="eastAsia"/>
          <w:color w:val="auto"/>
          <w:u w:val="single"/>
        </w:rPr>
        <w:t>参考《广东省工业源挥发性有机物减排量核算方法》（试行）中表4.5-2：蜂窝活性炭吸附比例取值20%</w:t>
      </w:r>
      <w:r>
        <w:rPr>
          <w:rFonts w:hint="eastAsia"/>
          <w:color w:val="auto"/>
          <w:u w:val="single"/>
          <w:lang w:eastAsia="zh-CN"/>
        </w:rPr>
        <w:t>。</w:t>
      </w:r>
      <w:r>
        <w:rPr>
          <w:rFonts w:hint="eastAsia"/>
          <w:color w:val="auto"/>
          <w:u w:val="single"/>
        </w:rPr>
        <w:t>油气回收装置活性炭吸附废气量约为</w:t>
      </w:r>
      <w:r>
        <w:rPr>
          <w:rFonts w:hint="eastAsia"/>
          <w:color w:val="auto"/>
          <w:u w:val="single"/>
          <w:lang w:val="en-US" w:eastAsia="zh-CN"/>
        </w:rPr>
        <w:t>3.59</w:t>
      </w:r>
      <w:r>
        <w:rPr>
          <w:rFonts w:hint="eastAsia"/>
          <w:color w:val="auto"/>
          <w:u w:val="single"/>
        </w:rPr>
        <w:t>t/a，吸附所需活性炭量约</w:t>
      </w:r>
      <w:r>
        <w:rPr>
          <w:rFonts w:hint="eastAsia"/>
          <w:color w:val="auto"/>
          <w:u w:val="single"/>
          <w:lang w:val="en-US" w:eastAsia="zh-CN"/>
        </w:rPr>
        <w:t>3.59</w:t>
      </w:r>
      <w:r>
        <w:rPr>
          <w:rFonts w:hint="eastAsia"/>
          <w:color w:val="auto"/>
          <w:u w:val="single"/>
        </w:rPr>
        <w:t>t/a÷0.2=</w:t>
      </w:r>
      <w:r>
        <w:rPr>
          <w:rFonts w:hint="eastAsia"/>
          <w:color w:val="auto"/>
          <w:u w:val="single"/>
          <w:lang w:val="en-US" w:eastAsia="zh-CN"/>
        </w:rPr>
        <w:t>17.95</w:t>
      </w:r>
      <w:r>
        <w:rPr>
          <w:rFonts w:hint="eastAsia"/>
          <w:color w:val="auto"/>
          <w:u w:val="single"/>
        </w:rPr>
        <w:t>t/a，则项目总的废活性炭产生量为</w:t>
      </w:r>
      <w:r>
        <w:rPr>
          <w:rFonts w:hint="eastAsia"/>
          <w:color w:val="auto"/>
          <w:u w:val="single"/>
          <w:lang w:val="en-US" w:eastAsia="zh-CN"/>
        </w:rPr>
        <w:t>17.95+4.79=21.54</w:t>
      </w:r>
      <w:r>
        <w:rPr>
          <w:rFonts w:hint="eastAsia"/>
          <w:color w:val="auto"/>
          <w:u w:val="single"/>
        </w:rPr>
        <w:t>t/a。为了保证活性炭吸附塔</w:t>
      </w:r>
      <w:r>
        <w:rPr>
          <w:rFonts w:hint="eastAsia"/>
          <w:color w:val="auto"/>
          <w:u w:val="single"/>
          <w:lang w:eastAsia="zh-CN"/>
        </w:rPr>
        <w:t>、</w:t>
      </w:r>
      <w:r>
        <w:rPr>
          <w:rFonts w:hint="eastAsia"/>
          <w:color w:val="auto"/>
          <w:u w:val="single"/>
          <w:lang w:val="en-US" w:eastAsia="zh-CN"/>
        </w:rPr>
        <w:t>滤芯</w:t>
      </w:r>
      <w:r>
        <w:rPr>
          <w:rFonts w:hint="eastAsia"/>
          <w:color w:val="auto"/>
          <w:u w:val="single"/>
        </w:rPr>
        <w:t>的处理效率，</w:t>
      </w:r>
      <w:r>
        <w:rPr>
          <w:rFonts w:hint="eastAsia"/>
          <w:color w:val="auto"/>
          <w:u w:val="single"/>
          <w:lang w:val="en-US" w:eastAsia="zh-CN"/>
        </w:rPr>
        <w:t>需增加汽油装船油气回收设施活性碳、滤芯的更换频次。废滤芯的产生量约为0.2t/年。</w:t>
      </w:r>
      <w:r>
        <w:rPr>
          <w:rFonts w:hint="eastAsia"/>
          <w:color w:val="auto"/>
          <w:u w:val="single"/>
        </w:rPr>
        <w:t>废活性炭</w:t>
      </w:r>
      <w:r>
        <w:rPr>
          <w:rFonts w:hint="eastAsia"/>
          <w:color w:val="auto"/>
          <w:u w:val="single"/>
          <w:lang w:eastAsia="zh-CN"/>
        </w:rPr>
        <w:t>、</w:t>
      </w:r>
      <w:r>
        <w:rPr>
          <w:rFonts w:hint="eastAsia"/>
          <w:color w:val="auto"/>
          <w:u w:val="single"/>
          <w:lang w:val="en-US" w:eastAsia="zh-CN"/>
        </w:rPr>
        <w:t>废滤芯</w:t>
      </w:r>
      <w:r>
        <w:rPr>
          <w:rFonts w:hint="eastAsia"/>
          <w:color w:val="auto"/>
          <w:u w:val="single"/>
        </w:rPr>
        <w:t>属于《国家危险废物名录》（202</w:t>
      </w:r>
      <w:r>
        <w:rPr>
          <w:rFonts w:hint="eastAsia"/>
          <w:color w:val="auto"/>
          <w:u w:val="single"/>
          <w:lang w:val="en-US" w:eastAsia="zh-CN"/>
        </w:rPr>
        <w:t>5</w:t>
      </w:r>
      <w:r>
        <w:rPr>
          <w:rFonts w:hint="eastAsia"/>
          <w:color w:val="auto"/>
          <w:u w:val="single"/>
        </w:rPr>
        <w:t>年版）中的HW49</w:t>
      </w:r>
      <w:r>
        <w:rPr>
          <w:rFonts w:hint="eastAsia"/>
          <w:color w:val="auto"/>
          <w:u w:val="single"/>
          <w:lang w:eastAsia="zh-CN"/>
        </w:rPr>
        <w:t>其他</w:t>
      </w:r>
      <w:r>
        <w:rPr>
          <w:rFonts w:hint="eastAsia"/>
          <w:color w:val="auto"/>
          <w:u w:val="single"/>
        </w:rPr>
        <w:t>废物（废物代码：900-039-49），收集后需交由有相应危险废物处理资质单位进行处理。</w:t>
      </w:r>
    </w:p>
    <w:p w14:paraId="4CBB7FBE">
      <w:pPr>
        <w:ind w:firstLine="480"/>
        <w:rPr>
          <w:rFonts w:hint="default" w:eastAsia="宋体"/>
          <w:color w:val="auto"/>
          <w:u w:val="single"/>
          <w:lang w:val="en-US" w:eastAsia="zh-CN"/>
        </w:rPr>
      </w:pPr>
      <w:r>
        <w:rPr>
          <w:rFonts w:hint="eastAsia"/>
          <w:color w:val="auto"/>
          <w:u w:val="single"/>
          <w:lang w:eastAsia="zh-CN"/>
        </w:rPr>
        <w:t>（</w:t>
      </w:r>
      <w:r>
        <w:rPr>
          <w:rFonts w:hint="eastAsia"/>
          <w:color w:val="auto"/>
          <w:u w:val="single"/>
          <w:lang w:val="en-US" w:eastAsia="zh-CN"/>
        </w:rPr>
        <w:t>4</w:t>
      </w:r>
      <w:r>
        <w:rPr>
          <w:rFonts w:hint="eastAsia"/>
          <w:color w:val="auto"/>
          <w:u w:val="single"/>
          <w:lang w:eastAsia="zh-CN"/>
        </w:rPr>
        <w:t>）</w:t>
      </w:r>
      <w:r>
        <w:rPr>
          <w:rFonts w:hint="eastAsia"/>
          <w:color w:val="auto"/>
          <w:u w:val="single"/>
          <w:lang w:val="en-US" w:eastAsia="zh-CN"/>
        </w:rPr>
        <w:t>油气回收装置冷凝的有机物</w:t>
      </w:r>
    </w:p>
    <w:p w14:paraId="6A12B286">
      <w:pPr>
        <w:ind w:firstLine="480"/>
        <w:rPr>
          <w:rFonts w:hint="default" w:eastAsia="宋体"/>
          <w:color w:val="auto"/>
          <w:u w:val="single"/>
          <w:lang w:val="en-US" w:eastAsia="zh-CN"/>
        </w:rPr>
      </w:pPr>
      <w:r>
        <w:rPr>
          <w:rFonts w:hint="eastAsia"/>
          <w:color w:val="auto"/>
          <w:u w:val="single"/>
        </w:rPr>
        <w:t>扩建</w:t>
      </w:r>
      <w:r>
        <w:rPr>
          <w:color w:val="auto"/>
          <w:u w:val="single"/>
        </w:rPr>
        <w:t>项目甲基叔丁基醚依托现有</w:t>
      </w:r>
      <w:r>
        <w:rPr>
          <w:rFonts w:hint="eastAsia"/>
          <w:color w:val="auto"/>
          <w:u w:val="single"/>
        </w:rPr>
        <w:t>工程</w:t>
      </w:r>
      <w:r>
        <w:rPr>
          <w:color w:val="auto"/>
          <w:u w:val="single"/>
        </w:rPr>
        <w:t>的汽油装船油气回收设施处理</w:t>
      </w:r>
      <w:r>
        <w:rPr>
          <w:color w:val="auto"/>
        </w:rPr>
        <w:t>，</w:t>
      </w:r>
      <w:r>
        <w:rPr>
          <w:rFonts w:hint="eastAsia"/>
          <w:color w:val="auto"/>
          <w:u w:val="single"/>
          <w:lang w:val="en-US" w:eastAsia="zh-CN"/>
        </w:rPr>
        <w:t>油气回收装置冷凝的有机物参考冷凝法对挥发性有机物的处理相关资料，冷凝对有机物的回收率在50~85%之间，按80%进行计算。冷凝产生的有机物大约为20吨，经油气回收装置的油罐收集后，送入物料储罐中，与储罐中储存的物料一起输送利用，不作为危废处理。</w:t>
      </w:r>
    </w:p>
    <w:p w14:paraId="1D3A511A">
      <w:pPr>
        <w:pStyle w:val="6"/>
        <w:rPr>
          <w:color w:val="auto"/>
        </w:rPr>
      </w:pPr>
      <w:r>
        <w:rPr>
          <w:rFonts w:hint="eastAsia"/>
          <w:color w:val="auto"/>
        </w:rPr>
        <w:t>固废</w:t>
      </w:r>
      <w:r>
        <w:rPr>
          <w:color w:val="auto"/>
        </w:rPr>
        <w:t>产生量汇总</w:t>
      </w:r>
    </w:p>
    <w:p w14:paraId="0D841977">
      <w:pPr>
        <w:ind w:firstLine="480"/>
        <w:rPr>
          <w:color w:val="auto"/>
        </w:rPr>
      </w:pPr>
      <w:r>
        <w:rPr>
          <w:rFonts w:hint="eastAsia"/>
          <w:color w:val="auto"/>
        </w:rPr>
        <w:t>扩建</w:t>
      </w:r>
      <w:r>
        <w:rPr>
          <w:color w:val="auto"/>
        </w:rPr>
        <w:t>项目固废产生情况如下表：</w:t>
      </w:r>
    </w:p>
    <w:p w14:paraId="37D37D32">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2.3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color w:val="auto"/>
        </w:rPr>
        <w:t>固体废物污染源源强核算汇总表</w:t>
      </w:r>
    </w:p>
    <w:tbl>
      <w:tblPr>
        <w:tblStyle w:val="43"/>
        <w:tblW w:w="500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81"/>
        <w:gridCol w:w="748"/>
        <w:gridCol w:w="970"/>
        <w:gridCol w:w="811"/>
        <w:gridCol w:w="941"/>
        <w:gridCol w:w="926"/>
        <w:gridCol w:w="627"/>
        <w:gridCol w:w="926"/>
        <w:gridCol w:w="2751"/>
      </w:tblGrid>
      <w:tr w14:paraId="47AE14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0" w:type="pct"/>
            <w:vMerge w:val="restart"/>
            <w:vAlign w:val="center"/>
          </w:tcPr>
          <w:p w14:paraId="4776B311">
            <w:pPr>
              <w:pStyle w:val="77"/>
              <w:keepNext w:val="0"/>
              <w:keepLines w:val="0"/>
              <w:suppressLineNumbers w:val="0"/>
              <w:spacing w:before="0" w:beforeAutospacing="0" w:after="0" w:afterAutospacing="0"/>
              <w:ind w:left="0" w:right="0"/>
              <w:rPr>
                <w:rFonts w:hint="default"/>
                <w:b/>
                <w:color w:val="auto"/>
              </w:rPr>
            </w:pPr>
            <w:r>
              <w:rPr>
                <w:rFonts w:hint="default"/>
                <w:b/>
                <w:color w:val="auto"/>
              </w:rPr>
              <w:t>装置</w:t>
            </w:r>
          </w:p>
        </w:tc>
        <w:tc>
          <w:tcPr>
            <w:tcW w:w="896" w:type="pct"/>
            <w:gridSpan w:val="2"/>
            <w:vMerge w:val="restart"/>
            <w:vAlign w:val="center"/>
          </w:tcPr>
          <w:p w14:paraId="2FC06D17">
            <w:pPr>
              <w:pStyle w:val="77"/>
              <w:keepNext w:val="0"/>
              <w:keepLines w:val="0"/>
              <w:suppressLineNumbers w:val="0"/>
              <w:spacing w:before="0" w:beforeAutospacing="0" w:after="0" w:afterAutospacing="0"/>
              <w:ind w:left="0" w:right="0"/>
              <w:rPr>
                <w:rFonts w:hint="default"/>
                <w:b/>
                <w:color w:val="auto"/>
              </w:rPr>
            </w:pPr>
            <w:r>
              <w:rPr>
                <w:rFonts w:hint="default"/>
                <w:b/>
                <w:color w:val="auto"/>
              </w:rPr>
              <w:t>固体废物名称</w:t>
            </w:r>
          </w:p>
        </w:tc>
        <w:tc>
          <w:tcPr>
            <w:tcW w:w="423" w:type="pct"/>
            <w:vMerge w:val="restart"/>
            <w:vAlign w:val="center"/>
          </w:tcPr>
          <w:p w14:paraId="0425E400">
            <w:pPr>
              <w:pStyle w:val="77"/>
              <w:keepNext w:val="0"/>
              <w:keepLines w:val="0"/>
              <w:suppressLineNumbers w:val="0"/>
              <w:spacing w:before="0" w:beforeAutospacing="0" w:after="0" w:afterAutospacing="0"/>
              <w:ind w:left="0" w:right="0"/>
              <w:rPr>
                <w:rFonts w:hint="default"/>
                <w:b/>
                <w:color w:val="auto"/>
              </w:rPr>
            </w:pPr>
            <w:r>
              <w:rPr>
                <w:rFonts w:hint="default"/>
                <w:b/>
                <w:color w:val="auto"/>
              </w:rPr>
              <w:t>属性</w:t>
            </w:r>
          </w:p>
        </w:tc>
        <w:tc>
          <w:tcPr>
            <w:tcW w:w="974" w:type="pct"/>
            <w:gridSpan w:val="2"/>
            <w:vAlign w:val="center"/>
          </w:tcPr>
          <w:p w14:paraId="3CA882E8">
            <w:pPr>
              <w:pStyle w:val="77"/>
              <w:keepNext w:val="0"/>
              <w:keepLines w:val="0"/>
              <w:suppressLineNumbers w:val="0"/>
              <w:spacing w:before="0" w:beforeAutospacing="0" w:after="0" w:afterAutospacing="0"/>
              <w:ind w:left="0" w:right="0"/>
              <w:rPr>
                <w:rFonts w:hint="default"/>
                <w:b/>
                <w:color w:val="auto"/>
              </w:rPr>
            </w:pPr>
            <w:r>
              <w:rPr>
                <w:rFonts w:hint="default"/>
                <w:b/>
                <w:color w:val="auto"/>
              </w:rPr>
              <w:t>产生情况</w:t>
            </w:r>
          </w:p>
        </w:tc>
        <w:tc>
          <w:tcPr>
            <w:tcW w:w="810" w:type="pct"/>
            <w:gridSpan w:val="2"/>
            <w:vAlign w:val="center"/>
          </w:tcPr>
          <w:p w14:paraId="27B2CCE2">
            <w:pPr>
              <w:pStyle w:val="77"/>
              <w:keepNext w:val="0"/>
              <w:keepLines w:val="0"/>
              <w:suppressLineNumbers w:val="0"/>
              <w:spacing w:before="0" w:beforeAutospacing="0" w:after="0" w:afterAutospacing="0"/>
              <w:ind w:left="0" w:right="0"/>
              <w:rPr>
                <w:rFonts w:hint="default"/>
                <w:b/>
                <w:color w:val="auto"/>
              </w:rPr>
            </w:pPr>
            <w:r>
              <w:rPr>
                <w:rFonts w:hint="default"/>
                <w:b/>
                <w:color w:val="auto"/>
              </w:rPr>
              <w:t>处置措施</w:t>
            </w:r>
          </w:p>
        </w:tc>
        <w:tc>
          <w:tcPr>
            <w:tcW w:w="1435" w:type="pct"/>
            <w:vMerge w:val="restart"/>
            <w:vAlign w:val="center"/>
          </w:tcPr>
          <w:p w14:paraId="116AC256">
            <w:pPr>
              <w:pStyle w:val="77"/>
              <w:keepNext w:val="0"/>
              <w:keepLines w:val="0"/>
              <w:suppressLineNumbers w:val="0"/>
              <w:spacing w:before="0" w:beforeAutospacing="0" w:after="0" w:afterAutospacing="0"/>
              <w:ind w:left="0" w:right="0"/>
              <w:rPr>
                <w:rFonts w:hint="default"/>
                <w:b/>
                <w:color w:val="auto"/>
              </w:rPr>
            </w:pPr>
            <w:r>
              <w:rPr>
                <w:rFonts w:hint="default"/>
                <w:b/>
                <w:color w:val="auto"/>
              </w:rPr>
              <w:t>最终去向</w:t>
            </w:r>
          </w:p>
        </w:tc>
      </w:tr>
      <w:tr w14:paraId="05AEE7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0" w:type="pct"/>
            <w:vMerge w:val="continue"/>
            <w:vAlign w:val="center"/>
          </w:tcPr>
          <w:p w14:paraId="7C59ADCA">
            <w:pPr>
              <w:pStyle w:val="77"/>
              <w:keepNext w:val="0"/>
              <w:keepLines w:val="0"/>
              <w:suppressLineNumbers w:val="0"/>
              <w:spacing w:before="0" w:beforeAutospacing="0" w:after="0" w:afterAutospacing="0"/>
              <w:ind w:left="0" w:right="0"/>
              <w:rPr>
                <w:rFonts w:hint="default"/>
                <w:b/>
                <w:color w:val="auto"/>
              </w:rPr>
            </w:pPr>
          </w:p>
        </w:tc>
        <w:tc>
          <w:tcPr>
            <w:tcW w:w="896" w:type="pct"/>
            <w:gridSpan w:val="2"/>
            <w:vMerge w:val="continue"/>
            <w:vAlign w:val="center"/>
          </w:tcPr>
          <w:p w14:paraId="176D07A9">
            <w:pPr>
              <w:pStyle w:val="77"/>
              <w:keepNext w:val="0"/>
              <w:keepLines w:val="0"/>
              <w:suppressLineNumbers w:val="0"/>
              <w:spacing w:before="0" w:beforeAutospacing="0" w:after="0" w:afterAutospacing="0"/>
              <w:ind w:left="0" w:right="0"/>
              <w:rPr>
                <w:rFonts w:hint="default"/>
                <w:b/>
                <w:color w:val="auto"/>
              </w:rPr>
            </w:pPr>
          </w:p>
        </w:tc>
        <w:tc>
          <w:tcPr>
            <w:tcW w:w="423" w:type="pct"/>
            <w:vMerge w:val="continue"/>
            <w:vAlign w:val="center"/>
          </w:tcPr>
          <w:p w14:paraId="4CCB99D0">
            <w:pPr>
              <w:pStyle w:val="77"/>
              <w:keepNext w:val="0"/>
              <w:keepLines w:val="0"/>
              <w:suppressLineNumbers w:val="0"/>
              <w:spacing w:before="0" w:beforeAutospacing="0" w:after="0" w:afterAutospacing="0"/>
              <w:ind w:left="0" w:right="0"/>
              <w:rPr>
                <w:rFonts w:hint="default"/>
                <w:b/>
                <w:color w:val="auto"/>
              </w:rPr>
            </w:pPr>
          </w:p>
        </w:tc>
        <w:tc>
          <w:tcPr>
            <w:tcW w:w="491" w:type="pct"/>
            <w:vAlign w:val="center"/>
          </w:tcPr>
          <w:p w14:paraId="39D89BFA">
            <w:pPr>
              <w:pStyle w:val="77"/>
              <w:keepNext w:val="0"/>
              <w:keepLines w:val="0"/>
              <w:suppressLineNumbers w:val="0"/>
              <w:spacing w:before="0" w:beforeAutospacing="0" w:after="0" w:afterAutospacing="0"/>
              <w:ind w:left="0" w:right="0"/>
              <w:rPr>
                <w:rFonts w:hint="default"/>
                <w:b/>
                <w:color w:val="auto"/>
              </w:rPr>
            </w:pPr>
            <w:r>
              <w:rPr>
                <w:rFonts w:hint="default"/>
                <w:b/>
                <w:color w:val="auto"/>
              </w:rPr>
              <w:t>核算方法</w:t>
            </w:r>
          </w:p>
        </w:tc>
        <w:tc>
          <w:tcPr>
            <w:tcW w:w="482" w:type="pct"/>
            <w:vAlign w:val="center"/>
          </w:tcPr>
          <w:p w14:paraId="45E49060">
            <w:pPr>
              <w:pStyle w:val="77"/>
              <w:keepNext w:val="0"/>
              <w:keepLines w:val="0"/>
              <w:suppressLineNumbers w:val="0"/>
              <w:spacing w:before="0" w:beforeAutospacing="0" w:after="0" w:afterAutospacing="0"/>
              <w:ind w:left="0" w:right="0"/>
              <w:rPr>
                <w:rFonts w:hint="default"/>
                <w:b/>
                <w:color w:val="auto"/>
              </w:rPr>
            </w:pPr>
            <w:r>
              <w:rPr>
                <w:rFonts w:hint="default"/>
                <w:b/>
                <w:color w:val="auto"/>
              </w:rPr>
              <w:t>产生量（t/a）</w:t>
            </w:r>
          </w:p>
        </w:tc>
        <w:tc>
          <w:tcPr>
            <w:tcW w:w="327" w:type="pct"/>
            <w:vAlign w:val="center"/>
          </w:tcPr>
          <w:p w14:paraId="6C838272">
            <w:pPr>
              <w:pStyle w:val="77"/>
              <w:keepNext w:val="0"/>
              <w:keepLines w:val="0"/>
              <w:suppressLineNumbers w:val="0"/>
              <w:spacing w:before="0" w:beforeAutospacing="0" w:after="0" w:afterAutospacing="0"/>
              <w:ind w:left="0" w:right="0"/>
              <w:rPr>
                <w:rFonts w:hint="default"/>
                <w:b/>
                <w:color w:val="auto"/>
              </w:rPr>
            </w:pPr>
            <w:r>
              <w:rPr>
                <w:rFonts w:hint="default"/>
                <w:b/>
                <w:color w:val="auto"/>
              </w:rPr>
              <w:t>工艺</w:t>
            </w:r>
          </w:p>
        </w:tc>
        <w:tc>
          <w:tcPr>
            <w:tcW w:w="482" w:type="pct"/>
            <w:vAlign w:val="center"/>
          </w:tcPr>
          <w:p w14:paraId="0C304BE0">
            <w:pPr>
              <w:pStyle w:val="77"/>
              <w:keepNext w:val="0"/>
              <w:keepLines w:val="0"/>
              <w:suppressLineNumbers w:val="0"/>
              <w:spacing w:before="0" w:beforeAutospacing="0" w:after="0" w:afterAutospacing="0"/>
              <w:ind w:left="0" w:right="0"/>
              <w:rPr>
                <w:rFonts w:hint="default"/>
                <w:b/>
                <w:color w:val="auto"/>
              </w:rPr>
            </w:pPr>
            <w:r>
              <w:rPr>
                <w:rFonts w:hint="default"/>
                <w:b/>
                <w:color w:val="auto"/>
              </w:rPr>
              <w:t>处置量（t/a）</w:t>
            </w:r>
          </w:p>
        </w:tc>
        <w:tc>
          <w:tcPr>
            <w:tcW w:w="1435" w:type="pct"/>
            <w:vMerge w:val="continue"/>
            <w:vAlign w:val="center"/>
          </w:tcPr>
          <w:p w14:paraId="33DB789D">
            <w:pPr>
              <w:pStyle w:val="77"/>
              <w:keepNext w:val="0"/>
              <w:keepLines w:val="0"/>
              <w:suppressLineNumbers w:val="0"/>
              <w:spacing w:before="0" w:beforeAutospacing="0" w:after="0" w:afterAutospacing="0"/>
              <w:ind w:left="0" w:right="0"/>
              <w:rPr>
                <w:rFonts w:hint="default"/>
                <w:b/>
                <w:color w:val="auto"/>
              </w:rPr>
            </w:pPr>
          </w:p>
        </w:tc>
      </w:tr>
      <w:tr w14:paraId="272E26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0" w:type="pct"/>
            <w:vAlign w:val="center"/>
          </w:tcPr>
          <w:p w14:paraId="21EAF971">
            <w:pPr>
              <w:pStyle w:val="77"/>
              <w:keepNext w:val="0"/>
              <w:keepLines w:val="0"/>
              <w:suppressLineNumbers w:val="0"/>
              <w:spacing w:before="0" w:beforeAutospacing="0" w:after="0" w:afterAutospacing="0"/>
              <w:ind w:left="0" w:right="0"/>
              <w:rPr>
                <w:rFonts w:hint="default"/>
                <w:color w:val="auto"/>
              </w:rPr>
            </w:pPr>
            <w:r>
              <w:rPr>
                <w:rFonts w:hint="eastAsia"/>
                <w:color w:val="auto"/>
              </w:rPr>
              <w:t>船舶</w:t>
            </w:r>
          </w:p>
        </w:tc>
        <w:tc>
          <w:tcPr>
            <w:tcW w:w="896" w:type="pct"/>
            <w:gridSpan w:val="2"/>
            <w:vAlign w:val="center"/>
          </w:tcPr>
          <w:p w14:paraId="4E702071">
            <w:pPr>
              <w:pStyle w:val="77"/>
              <w:keepNext w:val="0"/>
              <w:keepLines w:val="0"/>
              <w:suppressLineNumbers w:val="0"/>
              <w:spacing w:before="0" w:beforeAutospacing="0" w:after="0" w:afterAutospacing="0"/>
              <w:ind w:left="0" w:right="0"/>
              <w:rPr>
                <w:rFonts w:hint="default"/>
                <w:color w:val="auto"/>
              </w:rPr>
            </w:pPr>
            <w:r>
              <w:rPr>
                <w:rFonts w:hint="eastAsia"/>
                <w:color w:val="auto"/>
              </w:rPr>
              <w:t>船舶生活</w:t>
            </w:r>
            <w:r>
              <w:rPr>
                <w:rFonts w:hint="default"/>
                <w:color w:val="auto"/>
              </w:rPr>
              <w:t>垃圾</w:t>
            </w:r>
          </w:p>
        </w:tc>
        <w:tc>
          <w:tcPr>
            <w:tcW w:w="423" w:type="pct"/>
            <w:vAlign w:val="center"/>
          </w:tcPr>
          <w:p w14:paraId="3E997853">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491" w:type="pct"/>
            <w:vAlign w:val="center"/>
          </w:tcPr>
          <w:p w14:paraId="20A9E9DC">
            <w:pPr>
              <w:pStyle w:val="77"/>
              <w:keepNext w:val="0"/>
              <w:keepLines w:val="0"/>
              <w:suppressLineNumbers w:val="0"/>
              <w:spacing w:before="0" w:beforeAutospacing="0" w:after="0" w:afterAutospacing="0"/>
              <w:ind w:left="0" w:right="0"/>
              <w:rPr>
                <w:rFonts w:hint="default"/>
                <w:color w:val="auto"/>
              </w:rPr>
            </w:pPr>
            <w:r>
              <w:rPr>
                <w:rFonts w:hint="eastAsia"/>
                <w:color w:val="auto"/>
              </w:rPr>
              <w:t>产污</w:t>
            </w:r>
            <w:r>
              <w:rPr>
                <w:rFonts w:hint="default"/>
                <w:color w:val="auto"/>
              </w:rPr>
              <w:t>系数法</w:t>
            </w:r>
          </w:p>
        </w:tc>
        <w:tc>
          <w:tcPr>
            <w:tcW w:w="482" w:type="pct"/>
            <w:vAlign w:val="center"/>
          </w:tcPr>
          <w:p w14:paraId="317D715E">
            <w:pPr>
              <w:pStyle w:val="77"/>
              <w:keepNext w:val="0"/>
              <w:keepLines w:val="0"/>
              <w:suppressLineNumbers w:val="0"/>
              <w:spacing w:before="0" w:beforeAutospacing="0" w:after="0" w:afterAutospacing="0"/>
              <w:ind w:left="0" w:right="0"/>
              <w:rPr>
                <w:rFonts w:hint="default"/>
                <w:color w:val="auto"/>
              </w:rPr>
            </w:pPr>
            <w:r>
              <w:rPr>
                <w:rFonts w:hint="default"/>
                <w:color w:val="auto"/>
              </w:rPr>
              <w:t>3.15</w:t>
            </w:r>
          </w:p>
        </w:tc>
        <w:tc>
          <w:tcPr>
            <w:tcW w:w="327" w:type="pct"/>
            <w:vAlign w:val="center"/>
          </w:tcPr>
          <w:p w14:paraId="3472F1D3">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482" w:type="pct"/>
            <w:vAlign w:val="center"/>
          </w:tcPr>
          <w:p w14:paraId="38B3FADA">
            <w:pPr>
              <w:pStyle w:val="77"/>
              <w:keepNext w:val="0"/>
              <w:keepLines w:val="0"/>
              <w:suppressLineNumbers w:val="0"/>
              <w:spacing w:before="0" w:beforeAutospacing="0" w:after="0" w:afterAutospacing="0"/>
              <w:ind w:left="0" w:right="0"/>
              <w:rPr>
                <w:rFonts w:hint="default"/>
                <w:color w:val="auto"/>
              </w:rPr>
            </w:pPr>
            <w:r>
              <w:rPr>
                <w:rFonts w:hint="default"/>
                <w:color w:val="auto"/>
              </w:rPr>
              <w:t>3.15</w:t>
            </w:r>
          </w:p>
        </w:tc>
        <w:tc>
          <w:tcPr>
            <w:tcW w:w="1435" w:type="pct"/>
            <w:vAlign w:val="center"/>
          </w:tcPr>
          <w:p w14:paraId="6BAB56CF">
            <w:pPr>
              <w:pStyle w:val="77"/>
              <w:keepNext w:val="0"/>
              <w:keepLines w:val="0"/>
              <w:suppressLineNumbers w:val="0"/>
              <w:spacing w:before="0" w:beforeAutospacing="0" w:after="0" w:afterAutospacing="0"/>
              <w:ind w:left="0" w:right="0"/>
              <w:rPr>
                <w:rFonts w:hint="default"/>
                <w:color w:val="auto"/>
              </w:rPr>
            </w:pPr>
            <w:r>
              <w:rPr>
                <w:rFonts w:hint="eastAsia"/>
                <w:color w:val="auto"/>
              </w:rPr>
              <w:t>交由环卫</w:t>
            </w:r>
            <w:r>
              <w:rPr>
                <w:rFonts w:hint="default"/>
                <w:color w:val="auto"/>
              </w:rPr>
              <w:t>部门清运</w:t>
            </w:r>
          </w:p>
        </w:tc>
      </w:tr>
      <w:tr w14:paraId="33DD5B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0" w:type="pct"/>
            <w:vAlign w:val="center"/>
          </w:tcPr>
          <w:p w14:paraId="30814A58">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390" w:type="pct"/>
            <w:vAlign w:val="center"/>
          </w:tcPr>
          <w:p w14:paraId="6B0DE609">
            <w:pPr>
              <w:pStyle w:val="77"/>
              <w:keepNext w:val="0"/>
              <w:keepLines w:val="0"/>
              <w:suppressLineNumbers w:val="0"/>
              <w:spacing w:before="0" w:beforeAutospacing="0" w:after="0" w:afterAutospacing="0"/>
              <w:ind w:left="0" w:right="0"/>
              <w:rPr>
                <w:rFonts w:hint="default"/>
                <w:color w:val="auto"/>
              </w:rPr>
            </w:pPr>
            <w:r>
              <w:rPr>
                <w:rFonts w:hint="default"/>
                <w:color w:val="auto"/>
              </w:rPr>
              <w:t>维修废物</w:t>
            </w:r>
          </w:p>
        </w:tc>
        <w:tc>
          <w:tcPr>
            <w:tcW w:w="505" w:type="pct"/>
            <w:vAlign w:val="center"/>
          </w:tcPr>
          <w:p w14:paraId="0F3EDFD5">
            <w:pPr>
              <w:pStyle w:val="77"/>
              <w:keepNext w:val="0"/>
              <w:keepLines w:val="0"/>
              <w:suppressLineNumbers w:val="0"/>
              <w:spacing w:before="0" w:beforeAutospacing="0" w:after="0" w:afterAutospacing="0"/>
              <w:ind w:left="0" w:right="0"/>
              <w:rPr>
                <w:rFonts w:hint="default"/>
                <w:color w:val="auto"/>
              </w:rPr>
            </w:pPr>
            <w:r>
              <w:rPr>
                <w:rFonts w:hint="default"/>
                <w:color w:val="auto"/>
              </w:rPr>
              <w:t>含油废布及棉纱</w:t>
            </w:r>
          </w:p>
        </w:tc>
        <w:tc>
          <w:tcPr>
            <w:tcW w:w="423" w:type="pct"/>
            <w:vAlign w:val="center"/>
          </w:tcPr>
          <w:p w14:paraId="7A1DABE4">
            <w:pPr>
              <w:pStyle w:val="77"/>
              <w:keepNext w:val="0"/>
              <w:keepLines w:val="0"/>
              <w:suppressLineNumbers w:val="0"/>
              <w:spacing w:before="0" w:beforeAutospacing="0" w:after="0" w:afterAutospacing="0"/>
              <w:ind w:left="0" w:right="0"/>
              <w:rPr>
                <w:rFonts w:hint="default"/>
                <w:color w:val="auto"/>
              </w:rPr>
            </w:pPr>
            <w:r>
              <w:rPr>
                <w:rFonts w:hint="default"/>
                <w:color w:val="auto"/>
              </w:rPr>
              <w:t>危险废物</w:t>
            </w:r>
          </w:p>
        </w:tc>
        <w:tc>
          <w:tcPr>
            <w:tcW w:w="491" w:type="pct"/>
            <w:vAlign w:val="center"/>
          </w:tcPr>
          <w:p w14:paraId="5F584EE6">
            <w:pPr>
              <w:pStyle w:val="77"/>
              <w:keepNext w:val="0"/>
              <w:keepLines w:val="0"/>
              <w:suppressLineNumbers w:val="0"/>
              <w:spacing w:before="0" w:beforeAutospacing="0" w:after="0" w:afterAutospacing="0"/>
              <w:ind w:left="0" w:right="0"/>
              <w:rPr>
                <w:rFonts w:hint="default"/>
                <w:color w:val="auto"/>
              </w:rPr>
            </w:pPr>
            <w:r>
              <w:rPr>
                <w:rFonts w:hint="default"/>
                <w:color w:val="auto"/>
              </w:rPr>
              <w:t>类比法</w:t>
            </w:r>
          </w:p>
        </w:tc>
        <w:tc>
          <w:tcPr>
            <w:tcW w:w="482" w:type="pct"/>
            <w:vAlign w:val="center"/>
          </w:tcPr>
          <w:p w14:paraId="59D7BE2C">
            <w:pPr>
              <w:pStyle w:val="77"/>
              <w:keepNext w:val="0"/>
              <w:keepLines w:val="0"/>
              <w:suppressLineNumbers w:val="0"/>
              <w:spacing w:before="0" w:beforeAutospacing="0" w:after="0" w:afterAutospacing="0"/>
              <w:ind w:left="0" w:right="0"/>
              <w:rPr>
                <w:rFonts w:hint="default"/>
                <w:color w:val="auto"/>
              </w:rPr>
            </w:pPr>
            <w:r>
              <w:rPr>
                <w:rFonts w:hint="default"/>
                <w:color w:val="auto"/>
              </w:rPr>
              <w:t>0.05</w:t>
            </w:r>
          </w:p>
        </w:tc>
        <w:tc>
          <w:tcPr>
            <w:tcW w:w="327" w:type="pct"/>
            <w:vAlign w:val="center"/>
          </w:tcPr>
          <w:p w14:paraId="44A7780C">
            <w:pPr>
              <w:pStyle w:val="77"/>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482" w:type="pct"/>
            <w:vAlign w:val="center"/>
          </w:tcPr>
          <w:p w14:paraId="67B54AEF">
            <w:pPr>
              <w:pStyle w:val="77"/>
              <w:keepNext w:val="0"/>
              <w:keepLines w:val="0"/>
              <w:suppressLineNumbers w:val="0"/>
              <w:spacing w:before="0" w:beforeAutospacing="0" w:after="0" w:afterAutospacing="0"/>
              <w:ind w:left="0" w:right="0"/>
              <w:rPr>
                <w:rFonts w:hint="default"/>
                <w:color w:val="auto"/>
              </w:rPr>
            </w:pPr>
            <w:r>
              <w:rPr>
                <w:rFonts w:hint="default"/>
                <w:color w:val="auto"/>
              </w:rPr>
              <w:t>0.05</w:t>
            </w:r>
          </w:p>
        </w:tc>
        <w:tc>
          <w:tcPr>
            <w:tcW w:w="1435" w:type="pct"/>
            <w:vAlign w:val="center"/>
          </w:tcPr>
          <w:p w14:paraId="3108A637">
            <w:pPr>
              <w:pStyle w:val="77"/>
              <w:keepNext w:val="0"/>
              <w:keepLines w:val="0"/>
              <w:suppressLineNumbers w:val="0"/>
              <w:spacing w:before="0" w:beforeAutospacing="0" w:after="0" w:afterAutospacing="0"/>
              <w:ind w:left="0" w:right="0"/>
              <w:rPr>
                <w:rFonts w:hint="default"/>
                <w:color w:val="auto"/>
              </w:rPr>
            </w:pPr>
            <w:r>
              <w:rPr>
                <w:rFonts w:hint="eastAsia"/>
                <w:color w:val="auto"/>
              </w:rPr>
              <w:t>暂存在危废暂存库，定期委托有资质的单位处理</w:t>
            </w:r>
          </w:p>
        </w:tc>
      </w:tr>
      <w:tr w14:paraId="58FFE9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0" w:type="pct"/>
            <w:vMerge w:val="restart"/>
            <w:vAlign w:val="center"/>
          </w:tcPr>
          <w:p w14:paraId="0B0AC2E1">
            <w:pPr>
              <w:pStyle w:val="77"/>
              <w:keepNext w:val="0"/>
              <w:keepLines w:val="0"/>
              <w:suppressLineNumbers w:val="0"/>
              <w:spacing w:before="0" w:beforeAutospacing="0" w:after="0" w:afterAutospacing="0"/>
              <w:ind w:left="0" w:right="0"/>
              <w:rPr>
                <w:rFonts w:hint="default"/>
                <w:color w:val="auto"/>
              </w:rPr>
            </w:pPr>
            <w:r>
              <w:rPr>
                <w:rFonts w:hint="eastAsia"/>
                <w:color w:val="auto"/>
              </w:rPr>
              <w:t>油气</w:t>
            </w:r>
            <w:r>
              <w:rPr>
                <w:rFonts w:hint="default"/>
                <w:color w:val="auto"/>
              </w:rPr>
              <w:t>回收设施</w:t>
            </w:r>
          </w:p>
        </w:tc>
        <w:tc>
          <w:tcPr>
            <w:tcW w:w="896" w:type="pct"/>
            <w:gridSpan w:val="2"/>
            <w:vAlign w:val="center"/>
          </w:tcPr>
          <w:p w14:paraId="4601A010">
            <w:pPr>
              <w:pStyle w:val="77"/>
              <w:keepNext w:val="0"/>
              <w:keepLines w:val="0"/>
              <w:suppressLineNumbers w:val="0"/>
              <w:spacing w:before="0" w:beforeAutospacing="0" w:after="0" w:afterAutospacing="0"/>
              <w:ind w:left="0" w:right="0"/>
              <w:rPr>
                <w:rFonts w:hint="default"/>
                <w:color w:val="auto"/>
              </w:rPr>
            </w:pPr>
            <w:r>
              <w:rPr>
                <w:rFonts w:hint="eastAsia"/>
                <w:color w:val="auto"/>
              </w:rPr>
              <w:t>油气回收装置冷凝的有机物</w:t>
            </w:r>
          </w:p>
        </w:tc>
        <w:tc>
          <w:tcPr>
            <w:tcW w:w="423" w:type="pct"/>
            <w:vAlign w:val="center"/>
          </w:tcPr>
          <w:p w14:paraId="47666C50">
            <w:pPr>
              <w:pStyle w:val="77"/>
              <w:keepNext w:val="0"/>
              <w:keepLines w:val="0"/>
              <w:suppressLineNumbers w:val="0"/>
              <w:spacing w:before="0" w:beforeAutospacing="0" w:after="0" w:afterAutospacing="0"/>
              <w:ind w:left="0" w:right="0"/>
              <w:rPr>
                <w:rFonts w:hint="default"/>
                <w:color w:val="auto"/>
              </w:rPr>
            </w:pPr>
            <w:r>
              <w:rPr>
                <w:rFonts w:hint="eastAsia"/>
                <w:color w:val="auto"/>
              </w:rPr>
              <w:t>危险废物</w:t>
            </w:r>
          </w:p>
        </w:tc>
        <w:tc>
          <w:tcPr>
            <w:tcW w:w="491" w:type="pct"/>
            <w:vAlign w:val="center"/>
          </w:tcPr>
          <w:p w14:paraId="3F56257C">
            <w:pPr>
              <w:pStyle w:val="77"/>
              <w:keepNext w:val="0"/>
              <w:keepLines w:val="0"/>
              <w:suppressLineNumbers w:val="0"/>
              <w:spacing w:before="0" w:beforeAutospacing="0" w:after="0" w:afterAutospacing="0"/>
              <w:ind w:left="0" w:right="0"/>
              <w:rPr>
                <w:rFonts w:hint="default"/>
                <w:color w:val="auto"/>
              </w:rPr>
            </w:pPr>
            <w:r>
              <w:rPr>
                <w:rFonts w:hint="eastAsia"/>
                <w:color w:val="auto"/>
              </w:rPr>
              <w:t>类比法</w:t>
            </w:r>
          </w:p>
        </w:tc>
        <w:tc>
          <w:tcPr>
            <w:tcW w:w="482" w:type="pct"/>
            <w:vAlign w:val="center"/>
          </w:tcPr>
          <w:p w14:paraId="66E8D984">
            <w:pPr>
              <w:pStyle w:val="77"/>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20</w:t>
            </w:r>
          </w:p>
        </w:tc>
        <w:tc>
          <w:tcPr>
            <w:tcW w:w="327" w:type="pct"/>
            <w:vAlign w:val="center"/>
          </w:tcPr>
          <w:p w14:paraId="0DED8422">
            <w:pPr>
              <w:pStyle w:val="77"/>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w:t>
            </w:r>
          </w:p>
        </w:tc>
        <w:tc>
          <w:tcPr>
            <w:tcW w:w="482" w:type="pct"/>
            <w:vAlign w:val="center"/>
          </w:tcPr>
          <w:p w14:paraId="6BF2C465">
            <w:pPr>
              <w:pStyle w:val="77"/>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20</w:t>
            </w:r>
          </w:p>
        </w:tc>
        <w:tc>
          <w:tcPr>
            <w:tcW w:w="1435" w:type="pct"/>
            <w:vAlign w:val="center"/>
          </w:tcPr>
          <w:p w14:paraId="5B6551CC">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油气回收装置的油罐收集后，送入物料储罐中，与储罐中储存的物料一起输送利用，不作为危废处理</w:t>
            </w:r>
          </w:p>
        </w:tc>
      </w:tr>
      <w:tr w14:paraId="436B16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0" w:type="pct"/>
            <w:vMerge w:val="continue"/>
            <w:vAlign w:val="center"/>
          </w:tcPr>
          <w:p w14:paraId="6138F2A6">
            <w:pPr>
              <w:pStyle w:val="77"/>
              <w:keepNext w:val="0"/>
              <w:keepLines w:val="0"/>
              <w:suppressLineNumbers w:val="0"/>
              <w:spacing w:before="0" w:beforeAutospacing="0" w:after="0" w:afterAutospacing="0"/>
              <w:ind w:left="0" w:right="0"/>
              <w:rPr>
                <w:rFonts w:hint="default"/>
                <w:color w:val="auto"/>
              </w:rPr>
            </w:pPr>
          </w:p>
        </w:tc>
        <w:tc>
          <w:tcPr>
            <w:tcW w:w="896" w:type="pct"/>
            <w:gridSpan w:val="2"/>
            <w:vAlign w:val="center"/>
          </w:tcPr>
          <w:p w14:paraId="60C1A80A">
            <w:pPr>
              <w:pStyle w:val="77"/>
              <w:keepNext w:val="0"/>
              <w:keepLines w:val="0"/>
              <w:suppressLineNumbers w:val="0"/>
              <w:spacing w:before="0" w:beforeAutospacing="0" w:after="0" w:afterAutospacing="0"/>
              <w:ind w:left="0" w:right="0"/>
              <w:rPr>
                <w:rFonts w:hint="default"/>
                <w:color w:val="auto"/>
              </w:rPr>
            </w:pPr>
            <w:r>
              <w:rPr>
                <w:rFonts w:hint="eastAsia"/>
                <w:color w:val="auto"/>
              </w:rPr>
              <w:t>废活性炭、含油废滤芯</w:t>
            </w:r>
          </w:p>
        </w:tc>
        <w:tc>
          <w:tcPr>
            <w:tcW w:w="423" w:type="pct"/>
            <w:vAlign w:val="center"/>
          </w:tcPr>
          <w:p w14:paraId="00586A64">
            <w:pPr>
              <w:pStyle w:val="77"/>
              <w:keepNext w:val="0"/>
              <w:keepLines w:val="0"/>
              <w:suppressLineNumbers w:val="0"/>
              <w:spacing w:before="0" w:beforeAutospacing="0" w:after="0" w:afterAutospacing="0"/>
              <w:ind w:left="0" w:right="0"/>
              <w:rPr>
                <w:rFonts w:hint="default"/>
                <w:color w:val="auto"/>
              </w:rPr>
            </w:pPr>
            <w:r>
              <w:rPr>
                <w:rFonts w:hint="eastAsia"/>
                <w:color w:val="auto"/>
              </w:rPr>
              <w:t>危险废物</w:t>
            </w:r>
          </w:p>
        </w:tc>
        <w:tc>
          <w:tcPr>
            <w:tcW w:w="491" w:type="pct"/>
            <w:vAlign w:val="center"/>
          </w:tcPr>
          <w:p w14:paraId="5AF6413D">
            <w:pPr>
              <w:pStyle w:val="77"/>
              <w:keepNext w:val="0"/>
              <w:keepLines w:val="0"/>
              <w:suppressLineNumbers w:val="0"/>
              <w:spacing w:before="0" w:beforeAutospacing="0" w:after="0" w:afterAutospacing="0"/>
              <w:ind w:left="0" w:right="0"/>
              <w:rPr>
                <w:rFonts w:hint="default"/>
                <w:color w:val="auto"/>
              </w:rPr>
            </w:pPr>
            <w:r>
              <w:rPr>
                <w:rFonts w:hint="eastAsia"/>
                <w:color w:val="auto"/>
              </w:rPr>
              <w:t>类比法</w:t>
            </w:r>
          </w:p>
        </w:tc>
        <w:tc>
          <w:tcPr>
            <w:tcW w:w="482" w:type="pct"/>
            <w:vAlign w:val="center"/>
          </w:tcPr>
          <w:p w14:paraId="3431A2DF">
            <w:pPr>
              <w:pStyle w:val="77"/>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21.74</w:t>
            </w:r>
          </w:p>
        </w:tc>
        <w:tc>
          <w:tcPr>
            <w:tcW w:w="327" w:type="pct"/>
            <w:vAlign w:val="center"/>
          </w:tcPr>
          <w:p w14:paraId="6F42017A">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w:t>
            </w:r>
          </w:p>
        </w:tc>
        <w:tc>
          <w:tcPr>
            <w:tcW w:w="482" w:type="pct"/>
            <w:vAlign w:val="center"/>
          </w:tcPr>
          <w:p w14:paraId="523F9590">
            <w:pPr>
              <w:pStyle w:val="77"/>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21.74</w:t>
            </w:r>
          </w:p>
        </w:tc>
        <w:tc>
          <w:tcPr>
            <w:tcW w:w="1435" w:type="pct"/>
            <w:vAlign w:val="center"/>
          </w:tcPr>
          <w:p w14:paraId="6C59930C">
            <w:pPr>
              <w:pStyle w:val="77"/>
              <w:keepNext w:val="0"/>
              <w:keepLines w:val="0"/>
              <w:suppressLineNumbers w:val="0"/>
              <w:spacing w:before="0" w:beforeAutospacing="0" w:after="0" w:afterAutospacing="0"/>
              <w:ind w:left="0" w:right="0"/>
              <w:rPr>
                <w:rFonts w:hint="default"/>
                <w:color w:val="auto"/>
              </w:rPr>
            </w:pPr>
            <w:r>
              <w:rPr>
                <w:rFonts w:hint="eastAsia"/>
                <w:color w:val="auto"/>
              </w:rPr>
              <w:t>暂存在危废暂存库，定期委托有资质的单位处理</w:t>
            </w:r>
          </w:p>
        </w:tc>
      </w:tr>
    </w:tbl>
    <w:p w14:paraId="0F82BEC9">
      <w:pPr>
        <w:pStyle w:val="4"/>
        <w:rPr>
          <w:color w:val="auto"/>
        </w:rPr>
      </w:pPr>
      <w:r>
        <w:rPr>
          <w:color w:val="auto"/>
        </w:rPr>
        <w:t>生态环境影响因素分析</w:t>
      </w:r>
    </w:p>
    <w:p w14:paraId="25DDD580">
      <w:pPr>
        <w:ind w:firstLine="480"/>
        <w:rPr>
          <w:color w:val="auto"/>
        </w:rPr>
      </w:pPr>
      <w:r>
        <w:rPr>
          <w:color w:val="auto"/>
        </w:rPr>
        <w:t>项目不涉及水中施工，营运期生态环境影响主要来自风险事故发生对生态环境影响。其影响分析见“章节</w:t>
      </w:r>
      <w:r>
        <w:rPr>
          <w:rFonts w:hint="eastAsia"/>
          <w:color w:val="auto"/>
        </w:rPr>
        <w:t>5环境风险分析</w:t>
      </w:r>
      <w:r>
        <w:rPr>
          <w:color w:val="auto"/>
        </w:rPr>
        <w:t>”</w:t>
      </w:r>
    </w:p>
    <w:p w14:paraId="456625F8">
      <w:pPr>
        <w:pStyle w:val="4"/>
        <w:rPr>
          <w:color w:val="auto"/>
        </w:rPr>
      </w:pPr>
      <w:r>
        <w:rPr>
          <w:rFonts w:hint="eastAsia"/>
          <w:color w:val="auto"/>
        </w:rPr>
        <w:t>总体工程“三本账”</w:t>
      </w:r>
    </w:p>
    <w:p w14:paraId="7E8BBF6C">
      <w:pPr>
        <w:pStyle w:val="6"/>
        <w:rPr>
          <w:color w:val="auto"/>
        </w:rPr>
      </w:pPr>
      <w:r>
        <w:rPr>
          <w:rFonts w:hint="eastAsia"/>
          <w:color w:val="auto"/>
        </w:rPr>
        <w:t>“以新带老”削减量</w:t>
      </w:r>
    </w:p>
    <w:p w14:paraId="523B8E77">
      <w:pPr>
        <w:ind w:left="480" w:firstLine="0" w:firstLineChars="0"/>
        <w:rPr>
          <w:color w:val="auto"/>
        </w:rPr>
      </w:pPr>
      <w:r>
        <w:rPr>
          <w:rFonts w:hint="eastAsia"/>
          <w:color w:val="auto"/>
        </w:rPr>
        <w:t>（1）废气</w:t>
      </w:r>
    </w:p>
    <w:p w14:paraId="51D54B5D">
      <w:pPr>
        <w:ind w:firstLine="480"/>
        <w:rPr>
          <w:color w:val="auto"/>
        </w:rPr>
      </w:pPr>
      <w:r>
        <w:rPr>
          <w:rFonts w:hint="eastAsia"/>
          <w:color w:val="auto"/>
        </w:rPr>
        <w:t>①</w:t>
      </w:r>
      <w:r>
        <w:rPr>
          <w:color w:val="auto"/>
        </w:rPr>
        <w:t>储罐损耗废气</w:t>
      </w:r>
    </w:p>
    <w:p w14:paraId="7EB90A58">
      <w:pPr>
        <w:ind w:firstLine="480"/>
        <w:rPr>
          <w:color w:val="auto"/>
        </w:rPr>
      </w:pPr>
      <w:r>
        <w:rPr>
          <w:rFonts w:hint="eastAsia"/>
          <w:color w:val="auto"/>
        </w:rPr>
        <w:t>本次</w:t>
      </w:r>
      <w:r>
        <w:rPr>
          <w:color w:val="auto"/>
        </w:rPr>
        <w:t>扩建项目新增</w:t>
      </w:r>
      <w:r>
        <w:rPr>
          <w:rFonts w:hint="eastAsia"/>
          <w:color w:val="auto"/>
        </w:rPr>
        <w:t>甲基叔丁基醚（MTBE）、石脑油、蜡油、渣油、异辛烷（烷基化油）5种货种，码头吞吐量及</w:t>
      </w:r>
      <w:r>
        <w:rPr>
          <w:color w:val="auto"/>
        </w:rPr>
        <w:t>库区周转量增加</w:t>
      </w:r>
      <w:r>
        <w:rPr>
          <w:rFonts w:hint="eastAsia"/>
          <w:color w:val="auto"/>
        </w:rPr>
        <w:t>50万吨</w:t>
      </w:r>
      <w:r>
        <w:rPr>
          <w:color w:val="auto"/>
        </w:rPr>
        <w:t>。</w:t>
      </w:r>
      <w:r>
        <w:rPr>
          <w:rFonts w:hint="eastAsia"/>
          <w:color w:val="auto"/>
        </w:rPr>
        <w:t>罐区</w:t>
      </w:r>
      <w:r>
        <w:rPr>
          <w:color w:val="auto"/>
        </w:rPr>
        <w:t>现有工程设计年周转量为</w:t>
      </w:r>
      <w:r>
        <w:rPr>
          <w:rFonts w:hint="eastAsia"/>
          <w:color w:val="auto"/>
        </w:rPr>
        <w:t>358万吨/年</w:t>
      </w:r>
      <w:r>
        <w:rPr>
          <w:color w:val="auto"/>
        </w:rPr>
        <w:t>，本次扩建后，经过调整，库区原油</w:t>
      </w:r>
      <w:r>
        <w:rPr>
          <w:rFonts w:hint="eastAsia"/>
          <w:color w:val="auto"/>
        </w:rPr>
        <w:t>周转量</w:t>
      </w:r>
      <w:r>
        <w:rPr>
          <w:color w:val="auto"/>
        </w:rPr>
        <w:t>减少</w:t>
      </w:r>
      <w:r>
        <w:rPr>
          <w:rFonts w:hint="eastAsia"/>
          <w:color w:val="auto"/>
        </w:rPr>
        <w:t>20万吨/年，</w:t>
      </w:r>
      <w:r>
        <w:rPr>
          <w:color w:val="auto"/>
        </w:rPr>
        <w:t>汽油周转量减少1</w:t>
      </w:r>
      <w:r>
        <w:rPr>
          <w:rFonts w:hint="eastAsia"/>
          <w:color w:val="auto"/>
        </w:rPr>
        <w:t>0万吨/年。甲基叔丁基醚（MTBE）、石脑油、蜡油、渣油、异辛烷（烷基化油）在</w:t>
      </w:r>
      <w:r>
        <w:rPr>
          <w:color w:val="auto"/>
        </w:rPr>
        <w:t>罐区进行储存，</w:t>
      </w:r>
      <w:r>
        <w:rPr>
          <w:rFonts w:hint="eastAsia"/>
          <w:color w:val="auto"/>
        </w:rPr>
        <w:t>主要</w:t>
      </w:r>
      <w:r>
        <w:rPr>
          <w:color w:val="auto"/>
        </w:rPr>
        <w:t>涉及</w:t>
      </w:r>
      <w:r>
        <w:rPr>
          <w:rFonts w:hint="eastAsia"/>
          <w:color w:val="auto"/>
        </w:rPr>
        <w:t>1#原油罐组</w:t>
      </w:r>
      <w:r>
        <w:rPr>
          <w:color w:val="auto"/>
        </w:rPr>
        <w:t>的</w:t>
      </w:r>
      <w:r>
        <w:rPr>
          <w:rFonts w:hint="eastAsia"/>
          <w:color w:val="auto"/>
        </w:rPr>
        <w:t>V102~</w:t>
      </w:r>
      <w:r>
        <w:rPr>
          <w:color w:val="auto"/>
        </w:rPr>
        <w:t>V103</w:t>
      </w:r>
      <w:r>
        <w:rPr>
          <w:rFonts w:hint="eastAsia"/>
          <w:color w:val="auto"/>
        </w:rPr>
        <w:t>外浮顶罐</w:t>
      </w:r>
      <w:r>
        <w:rPr>
          <w:color w:val="auto"/>
        </w:rPr>
        <w:t>以及</w:t>
      </w:r>
      <w:r>
        <w:rPr>
          <w:rFonts w:hint="eastAsia"/>
          <w:color w:val="auto"/>
        </w:rPr>
        <w:t>3#罐组</w:t>
      </w:r>
      <w:r>
        <w:rPr>
          <w:color w:val="auto"/>
        </w:rPr>
        <w:t>的V305</w:t>
      </w:r>
      <w:r>
        <w:rPr>
          <w:rFonts w:hint="eastAsia"/>
          <w:color w:val="auto"/>
        </w:rPr>
        <w:t>、</w:t>
      </w:r>
      <w:r>
        <w:rPr>
          <w:color w:val="auto"/>
        </w:rPr>
        <w:t>V306</w:t>
      </w:r>
      <w:r>
        <w:rPr>
          <w:rFonts w:hint="eastAsia"/>
          <w:color w:val="auto"/>
        </w:rPr>
        <w:t>、</w:t>
      </w:r>
      <w:r>
        <w:rPr>
          <w:color w:val="auto"/>
        </w:rPr>
        <w:t>V307</w:t>
      </w:r>
      <w:r>
        <w:rPr>
          <w:rFonts w:hint="eastAsia"/>
          <w:color w:val="auto"/>
        </w:rPr>
        <w:t>内浮</w:t>
      </w:r>
      <w:r>
        <w:rPr>
          <w:color w:val="auto"/>
        </w:rPr>
        <w:t>顶罐。</w:t>
      </w:r>
      <w:r>
        <w:rPr>
          <w:rFonts w:hint="eastAsia"/>
          <w:color w:val="auto"/>
          <w:u w:val="single"/>
        </w:rPr>
        <w:t>参考《石化行业VOCs污染源排查工作指南》（以下简称指南）浮顶罐总损耗的核算方法进行核算。</w:t>
      </w:r>
    </w:p>
    <w:p w14:paraId="1BCED0D3">
      <w:pPr>
        <w:pStyle w:val="14"/>
        <w:rPr>
          <w:color w:val="auto"/>
        </w:rPr>
      </w:pPr>
      <w:r>
        <w:rPr>
          <w:rFonts w:hint="eastAsia"/>
          <w:color w:val="auto"/>
        </w:rPr>
        <w:t>表</w:t>
      </w:r>
      <w:r>
        <w:rPr>
          <w:color w:val="auto"/>
        </w:rPr>
        <w:t>2.3</w:t>
      </w:r>
      <w:r>
        <w:rPr>
          <w:color w:val="auto"/>
        </w:rPr>
        <w:noBreakHyphen/>
      </w:r>
      <w:r>
        <w:rPr>
          <w:color w:val="auto"/>
        </w:rPr>
        <w:t>13</w:t>
      </w:r>
      <w:r>
        <w:rPr>
          <w:rFonts w:hint="eastAsia"/>
          <w:color w:val="auto"/>
        </w:rPr>
        <w:t>现有</w:t>
      </w:r>
      <w:r>
        <w:rPr>
          <w:color w:val="auto"/>
        </w:rPr>
        <w:t>工程</w:t>
      </w:r>
      <w:r>
        <w:rPr>
          <w:rFonts w:hint="eastAsia"/>
          <w:color w:val="auto"/>
        </w:rPr>
        <w:t>储罐</w:t>
      </w:r>
      <w:r>
        <w:rPr>
          <w:color w:val="auto"/>
        </w:rPr>
        <w:t>损耗废气削减</w:t>
      </w:r>
      <w:r>
        <w:rPr>
          <w:rFonts w:hint="eastAsia"/>
          <w:color w:val="auto"/>
        </w:rPr>
        <w:t>量</w:t>
      </w:r>
      <w:r>
        <w:rPr>
          <w:color w:val="auto"/>
        </w:rPr>
        <w:t>一览表</w:t>
      </w:r>
    </w:p>
    <w:tbl>
      <w:tblPr>
        <w:tblStyle w:val="44"/>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846"/>
        <w:gridCol w:w="584"/>
        <w:gridCol w:w="823"/>
        <w:gridCol w:w="612"/>
        <w:gridCol w:w="756"/>
        <w:gridCol w:w="787"/>
        <w:gridCol w:w="690"/>
        <w:gridCol w:w="829"/>
        <w:gridCol w:w="791"/>
        <w:gridCol w:w="526"/>
        <w:gridCol w:w="526"/>
        <w:gridCol w:w="526"/>
        <w:gridCol w:w="771"/>
      </w:tblGrid>
      <w:tr w14:paraId="75DA6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tcPr>
          <w:p w14:paraId="682DF60F">
            <w:pPr>
              <w:pStyle w:val="167"/>
              <w:keepNext w:val="0"/>
              <w:keepLines w:val="0"/>
              <w:suppressLineNumbers w:val="0"/>
              <w:spacing w:before="0" w:beforeAutospacing="0" w:after="0" w:afterAutospacing="0"/>
              <w:ind w:right="0"/>
              <w:rPr>
                <w:rFonts w:hint="default"/>
                <w:b/>
                <w:color w:val="auto"/>
              </w:rPr>
            </w:pPr>
            <w:r>
              <w:rPr>
                <w:rFonts w:hint="eastAsia"/>
                <w:b/>
                <w:color w:val="auto"/>
              </w:rPr>
              <w:t>新增</w:t>
            </w:r>
            <w:r>
              <w:rPr>
                <w:rFonts w:hint="default"/>
                <w:b/>
                <w:color w:val="auto"/>
              </w:rPr>
              <w:t>货种名称</w:t>
            </w:r>
          </w:p>
        </w:tc>
        <w:tc>
          <w:tcPr>
            <w:tcW w:w="584" w:type="dxa"/>
          </w:tcPr>
          <w:p w14:paraId="46457B42">
            <w:pPr>
              <w:pStyle w:val="167"/>
              <w:keepNext w:val="0"/>
              <w:keepLines w:val="0"/>
              <w:suppressLineNumbers w:val="0"/>
              <w:spacing w:before="0" w:beforeAutospacing="0" w:after="0" w:afterAutospacing="0"/>
              <w:ind w:right="0"/>
              <w:rPr>
                <w:rFonts w:hint="default"/>
                <w:b/>
                <w:color w:val="auto"/>
              </w:rPr>
            </w:pPr>
            <w:r>
              <w:rPr>
                <w:rFonts w:hint="eastAsia"/>
                <w:b/>
                <w:color w:val="auto"/>
              </w:rPr>
              <w:t>P</w:t>
            </w:r>
            <w:r>
              <w:rPr>
                <w:rFonts w:hint="eastAsia"/>
                <w:b/>
                <w:color w:val="auto"/>
                <w:vertAlign w:val="subscript"/>
              </w:rPr>
              <w:t>VA</w:t>
            </w:r>
            <w:r>
              <w:rPr>
                <w:rFonts w:hint="eastAsia"/>
                <w:b/>
                <w:color w:val="auto"/>
              </w:rPr>
              <w:t>（</w:t>
            </w:r>
            <w:r>
              <w:rPr>
                <w:rFonts w:hint="default"/>
                <w:b/>
                <w:color w:val="auto"/>
              </w:rPr>
              <w:t>psia</w:t>
            </w:r>
            <w:r>
              <w:rPr>
                <w:rFonts w:hint="eastAsia"/>
                <w:b/>
                <w:color w:val="auto"/>
              </w:rPr>
              <w:t>）</w:t>
            </w:r>
          </w:p>
        </w:tc>
        <w:tc>
          <w:tcPr>
            <w:tcW w:w="823" w:type="dxa"/>
          </w:tcPr>
          <w:p w14:paraId="72967CB3">
            <w:pPr>
              <w:pStyle w:val="167"/>
              <w:keepNext w:val="0"/>
              <w:keepLines w:val="0"/>
              <w:suppressLineNumbers w:val="0"/>
              <w:spacing w:before="0" w:beforeAutospacing="0" w:after="0" w:afterAutospacing="0"/>
              <w:ind w:right="0"/>
              <w:rPr>
                <w:rFonts w:hint="default"/>
                <w:b/>
                <w:color w:val="auto"/>
              </w:rPr>
            </w:pPr>
            <w:r>
              <w:rPr>
                <w:rFonts w:hint="eastAsia"/>
                <w:b/>
                <w:color w:val="auto"/>
              </w:rPr>
              <w:t>P</w:t>
            </w:r>
            <w:r>
              <w:rPr>
                <w:rFonts w:hint="eastAsia"/>
                <w:b/>
                <w:color w:val="auto"/>
                <w:vertAlign w:val="subscript"/>
              </w:rPr>
              <w:t>A</w:t>
            </w:r>
            <w:r>
              <w:rPr>
                <w:rFonts w:hint="eastAsia"/>
                <w:b/>
                <w:color w:val="auto"/>
              </w:rPr>
              <w:t>（</w:t>
            </w:r>
            <w:r>
              <w:rPr>
                <w:rFonts w:hint="default"/>
                <w:b/>
                <w:color w:val="auto"/>
              </w:rPr>
              <w:t>psia</w:t>
            </w:r>
            <w:r>
              <w:rPr>
                <w:rFonts w:hint="eastAsia"/>
                <w:b/>
                <w:color w:val="auto"/>
              </w:rPr>
              <w:t>）</w:t>
            </w:r>
          </w:p>
        </w:tc>
        <w:tc>
          <w:tcPr>
            <w:tcW w:w="612" w:type="dxa"/>
          </w:tcPr>
          <w:p w14:paraId="123AC42F">
            <w:pPr>
              <w:pStyle w:val="167"/>
              <w:keepNext w:val="0"/>
              <w:keepLines w:val="0"/>
              <w:suppressLineNumbers w:val="0"/>
              <w:spacing w:before="0" w:beforeAutospacing="0" w:after="0" w:afterAutospacing="0"/>
              <w:ind w:right="0"/>
              <w:rPr>
                <w:rFonts w:hint="default"/>
                <w:b/>
                <w:color w:val="auto"/>
              </w:rPr>
            </w:pPr>
            <w:r>
              <w:rPr>
                <w:rFonts w:hint="eastAsia"/>
                <w:b/>
                <w:color w:val="auto"/>
              </w:rPr>
              <w:t>P*</w:t>
            </w:r>
          </w:p>
        </w:tc>
        <w:tc>
          <w:tcPr>
            <w:tcW w:w="756" w:type="dxa"/>
          </w:tcPr>
          <w:p w14:paraId="7384FAF0">
            <w:pPr>
              <w:pStyle w:val="167"/>
              <w:keepNext w:val="0"/>
              <w:keepLines w:val="0"/>
              <w:suppressLineNumbers w:val="0"/>
              <w:spacing w:before="0" w:beforeAutospacing="0" w:after="0" w:afterAutospacing="0"/>
              <w:ind w:right="0"/>
              <w:rPr>
                <w:rFonts w:hint="default"/>
                <w:b/>
                <w:color w:val="auto"/>
              </w:rPr>
            </w:pPr>
            <w:r>
              <w:rPr>
                <w:rFonts w:hint="eastAsia"/>
                <w:b/>
                <w:color w:val="auto"/>
              </w:rPr>
              <w:t>D（m）</w:t>
            </w:r>
          </w:p>
        </w:tc>
        <w:tc>
          <w:tcPr>
            <w:tcW w:w="787" w:type="dxa"/>
          </w:tcPr>
          <w:p w14:paraId="4F9BCE69">
            <w:pPr>
              <w:pStyle w:val="167"/>
              <w:keepNext w:val="0"/>
              <w:keepLines w:val="0"/>
              <w:suppressLineNumbers w:val="0"/>
              <w:spacing w:before="0" w:beforeAutospacing="0" w:after="0" w:afterAutospacing="0"/>
              <w:ind w:right="0"/>
              <w:rPr>
                <w:rFonts w:hint="default"/>
                <w:b/>
                <w:color w:val="auto"/>
              </w:rPr>
            </w:pPr>
            <w:r>
              <w:rPr>
                <w:rFonts w:hint="eastAsia"/>
                <w:b/>
                <w:color w:val="auto"/>
              </w:rPr>
              <w:t>M</w:t>
            </w:r>
            <w:r>
              <w:rPr>
                <w:rFonts w:hint="default"/>
                <w:b/>
                <w:color w:val="auto"/>
              </w:rPr>
              <w:t>v（lb/lb-mol）</w:t>
            </w:r>
          </w:p>
        </w:tc>
        <w:tc>
          <w:tcPr>
            <w:tcW w:w="690" w:type="dxa"/>
          </w:tcPr>
          <w:p w14:paraId="274A6A7D">
            <w:pPr>
              <w:pStyle w:val="167"/>
              <w:keepNext w:val="0"/>
              <w:keepLines w:val="0"/>
              <w:suppressLineNumbers w:val="0"/>
              <w:spacing w:before="0" w:beforeAutospacing="0" w:after="0" w:afterAutospacing="0"/>
              <w:ind w:right="0"/>
              <w:rPr>
                <w:rFonts w:hint="default"/>
                <w:b/>
                <w:color w:val="auto"/>
              </w:rPr>
            </w:pPr>
            <w:r>
              <w:rPr>
                <w:rFonts w:hint="default"/>
                <w:b/>
                <w:color w:val="auto"/>
              </w:rPr>
              <w:t>Q</w:t>
            </w:r>
            <w:r>
              <w:rPr>
                <w:rFonts w:hint="eastAsia"/>
                <w:b/>
                <w:color w:val="auto"/>
              </w:rPr>
              <w:t>（万吨/年）</w:t>
            </w:r>
          </w:p>
        </w:tc>
        <w:tc>
          <w:tcPr>
            <w:tcW w:w="829" w:type="dxa"/>
          </w:tcPr>
          <w:p w14:paraId="6CE3F6CE">
            <w:pPr>
              <w:pStyle w:val="167"/>
              <w:keepNext w:val="0"/>
              <w:keepLines w:val="0"/>
              <w:suppressLineNumbers w:val="0"/>
              <w:spacing w:before="0" w:beforeAutospacing="0" w:after="0" w:afterAutospacing="0"/>
              <w:ind w:right="0"/>
              <w:rPr>
                <w:rFonts w:hint="default"/>
                <w:b/>
                <w:color w:val="auto"/>
              </w:rPr>
            </w:pPr>
            <w:r>
              <w:rPr>
                <w:rFonts w:hint="eastAsia"/>
                <w:b/>
                <w:color w:val="auto"/>
              </w:rPr>
              <w:t>W</w:t>
            </w:r>
            <w:r>
              <w:rPr>
                <w:rFonts w:hint="default"/>
                <w:b/>
                <w:color w:val="auto"/>
                <w:vertAlign w:val="subscript"/>
              </w:rPr>
              <w:t>L</w:t>
            </w:r>
            <w:r>
              <w:rPr>
                <w:rFonts w:hint="eastAsia"/>
                <w:b/>
                <w:color w:val="auto"/>
              </w:rPr>
              <w:t>（t/m</w:t>
            </w:r>
            <w:r>
              <w:rPr>
                <w:rFonts w:hint="default"/>
                <w:b/>
                <w:color w:val="auto"/>
                <w:vertAlign w:val="superscript"/>
              </w:rPr>
              <w:t>3</w:t>
            </w:r>
            <w:r>
              <w:rPr>
                <w:rFonts w:hint="eastAsia"/>
                <w:b/>
                <w:color w:val="auto"/>
              </w:rPr>
              <w:t>）</w:t>
            </w:r>
          </w:p>
        </w:tc>
        <w:tc>
          <w:tcPr>
            <w:tcW w:w="791" w:type="dxa"/>
          </w:tcPr>
          <w:p w14:paraId="00801BED">
            <w:pPr>
              <w:pStyle w:val="167"/>
              <w:keepNext w:val="0"/>
              <w:keepLines w:val="0"/>
              <w:suppressLineNumbers w:val="0"/>
              <w:spacing w:before="0" w:beforeAutospacing="0" w:after="0" w:afterAutospacing="0"/>
              <w:ind w:right="0"/>
              <w:rPr>
                <w:rFonts w:hint="default"/>
                <w:b/>
                <w:color w:val="auto"/>
              </w:rPr>
            </w:pPr>
            <w:r>
              <w:rPr>
                <w:rFonts w:hint="eastAsia"/>
                <w:b/>
                <w:color w:val="auto"/>
              </w:rPr>
              <w:t>L</w:t>
            </w:r>
            <w:r>
              <w:rPr>
                <w:rFonts w:hint="default"/>
                <w:b/>
                <w:color w:val="auto"/>
                <w:vertAlign w:val="subscript"/>
              </w:rPr>
              <w:t>F</w:t>
            </w:r>
            <w:r>
              <w:rPr>
                <w:rFonts w:hint="eastAsia"/>
                <w:b/>
                <w:color w:val="auto"/>
              </w:rPr>
              <w:t>（</w:t>
            </w:r>
            <w:r>
              <w:rPr>
                <w:rFonts w:hint="default"/>
                <w:b/>
                <w:color w:val="auto"/>
              </w:rPr>
              <w:t>lb/a</w:t>
            </w:r>
            <w:r>
              <w:rPr>
                <w:rFonts w:hint="eastAsia"/>
                <w:b/>
                <w:color w:val="auto"/>
              </w:rPr>
              <w:t>）</w:t>
            </w:r>
          </w:p>
        </w:tc>
        <w:tc>
          <w:tcPr>
            <w:tcW w:w="526" w:type="dxa"/>
          </w:tcPr>
          <w:p w14:paraId="4DBBF38B">
            <w:pPr>
              <w:pStyle w:val="167"/>
              <w:keepNext w:val="0"/>
              <w:keepLines w:val="0"/>
              <w:suppressLineNumbers w:val="0"/>
              <w:spacing w:before="0" w:beforeAutospacing="0" w:after="0" w:afterAutospacing="0"/>
              <w:ind w:right="0"/>
              <w:rPr>
                <w:rFonts w:hint="default"/>
                <w:b/>
                <w:color w:val="auto"/>
              </w:rPr>
            </w:pPr>
            <w:r>
              <w:rPr>
                <w:rFonts w:hint="eastAsia"/>
                <w:b/>
                <w:color w:val="auto"/>
              </w:rPr>
              <w:t>L</w:t>
            </w:r>
            <w:r>
              <w:rPr>
                <w:rFonts w:hint="default"/>
                <w:b/>
                <w:color w:val="auto"/>
                <w:vertAlign w:val="subscript"/>
              </w:rPr>
              <w:t>W</w:t>
            </w:r>
            <w:r>
              <w:rPr>
                <w:rFonts w:hint="eastAsia"/>
                <w:b/>
                <w:color w:val="auto"/>
                <w:vertAlign w:val="subscript"/>
              </w:rPr>
              <w:t>D</w:t>
            </w:r>
            <w:r>
              <w:rPr>
                <w:rFonts w:hint="eastAsia"/>
                <w:b/>
                <w:color w:val="auto"/>
              </w:rPr>
              <w:t>（</w:t>
            </w:r>
            <w:r>
              <w:rPr>
                <w:rFonts w:hint="default"/>
                <w:b/>
                <w:color w:val="auto"/>
              </w:rPr>
              <w:t>lb/a</w:t>
            </w:r>
          </w:p>
        </w:tc>
        <w:tc>
          <w:tcPr>
            <w:tcW w:w="526" w:type="dxa"/>
          </w:tcPr>
          <w:p w14:paraId="3E7AE7ED">
            <w:pPr>
              <w:pStyle w:val="167"/>
              <w:keepNext w:val="0"/>
              <w:keepLines w:val="0"/>
              <w:suppressLineNumbers w:val="0"/>
              <w:spacing w:before="0" w:beforeAutospacing="0" w:after="0" w:afterAutospacing="0"/>
              <w:ind w:right="0"/>
              <w:rPr>
                <w:rFonts w:hint="default"/>
                <w:b/>
                <w:color w:val="auto"/>
              </w:rPr>
            </w:pPr>
            <w:r>
              <w:rPr>
                <w:rFonts w:hint="eastAsia"/>
                <w:b/>
                <w:color w:val="auto"/>
              </w:rPr>
              <w:t>L</w:t>
            </w:r>
            <w:r>
              <w:rPr>
                <w:rFonts w:hint="default"/>
                <w:b/>
                <w:color w:val="auto"/>
                <w:vertAlign w:val="subscript"/>
              </w:rPr>
              <w:t>R</w:t>
            </w:r>
            <w:r>
              <w:rPr>
                <w:rFonts w:hint="eastAsia"/>
                <w:b/>
                <w:color w:val="auto"/>
              </w:rPr>
              <w:t>（</w:t>
            </w:r>
            <w:r>
              <w:rPr>
                <w:rFonts w:hint="default"/>
                <w:b/>
                <w:color w:val="auto"/>
              </w:rPr>
              <w:t>lb/a</w:t>
            </w:r>
            <w:r>
              <w:rPr>
                <w:rFonts w:hint="eastAsia"/>
                <w:b/>
                <w:color w:val="auto"/>
              </w:rPr>
              <w:t>）</w:t>
            </w:r>
          </w:p>
        </w:tc>
        <w:tc>
          <w:tcPr>
            <w:tcW w:w="526" w:type="dxa"/>
          </w:tcPr>
          <w:p w14:paraId="0C203888">
            <w:pPr>
              <w:pStyle w:val="167"/>
              <w:keepNext w:val="0"/>
              <w:keepLines w:val="0"/>
              <w:suppressLineNumbers w:val="0"/>
              <w:spacing w:before="0" w:beforeAutospacing="0" w:after="0" w:afterAutospacing="0"/>
              <w:ind w:right="0"/>
              <w:rPr>
                <w:rFonts w:hint="default"/>
                <w:b/>
                <w:color w:val="auto"/>
              </w:rPr>
            </w:pPr>
            <w:r>
              <w:rPr>
                <w:rFonts w:hint="eastAsia"/>
                <w:b/>
                <w:color w:val="auto"/>
              </w:rPr>
              <w:t>L</w:t>
            </w:r>
            <w:r>
              <w:rPr>
                <w:rFonts w:hint="default"/>
                <w:b/>
                <w:color w:val="auto"/>
                <w:vertAlign w:val="subscript"/>
              </w:rPr>
              <w:t>T</w:t>
            </w:r>
            <w:r>
              <w:rPr>
                <w:rFonts w:hint="eastAsia"/>
                <w:b/>
                <w:color w:val="auto"/>
              </w:rPr>
              <w:t>（</w:t>
            </w:r>
            <w:r>
              <w:rPr>
                <w:rFonts w:hint="default"/>
                <w:b/>
                <w:color w:val="auto"/>
              </w:rPr>
              <w:t>lb/a</w:t>
            </w:r>
            <w:r>
              <w:rPr>
                <w:rFonts w:hint="eastAsia"/>
                <w:b/>
                <w:color w:val="auto"/>
              </w:rPr>
              <w:t>）</w:t>
            </w:r>
          </w:p>
        </w:tc>
        <w:tc>
          <w:tcPr>
            <w:tcW w:w="771" w:type="dxa"/>
          </w:tcPr>
          <w:p w14:paraId="4B256D2E">
            <w:pPr>
              <w:pStyle w:val="167"/>
              <w:keepNext w:val="0"/>
              <w:keepLines w:val="0"/>
              <w:suppressLineNumbers w:val="0"/>
              <w:spacing w:before="0" w:beforeAutospacing="0" w:after="0" w:afterAutospacing="0"/>
              <w:ind w:right="0"/>
              <w:rPr>
                <w:rFonts w:hint="default"/>
                <w:b/>
                <w:color w:val="auto"/>
              </w:rPr>
            </w:pPr>
            <w:r>
              <w:rPr>
                <w:rFonts w:hint="eastAsia"/>
                <w:b/>
                <w:color w:val="auto"/>
              </w:rPr>
              <w:t>产生</w:t>
            </w:r>
            <w:r>
              <w:rPr>
                <w:rFonts w:hint="default"/>
                <w:b/>
                <w:color w:val="auto"/>
              </w:rPr>
              <w:t>量（</w:t>
            </w:r>
            <w:r>
              <w:rPr>
                <w:rFonts w:hint="eastAsia"/>
                <w:b/>
                <w:color w:val="auto"/>
              </w:rPr>
              <w:t>t/a</w:t>
            </w:r>
            <w:r>
              <w:rPr>
                <w:rFonts w:hint="default"/>
                <w:b/>
                <w:color w:val="auto"/>
              </w:rPr>
              <w:t>）</w:t>
            </w:r>
          </w:p>
        </w:tc>
      </w:tr>
      <w:tr w14:paraId="770E2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Align w:val="center"/>
          </w:tcPr>
          <w:p w14:paraId="57518BE1">
            <w:pPr>
              <w:pStyle w:val="167"/>
              <w:keepNext w:val="0"/>
              <w:keepLines w:val="0"/>
              <w:suppressLineNumbers w:val="0"/>
              <w:spacing w:before="0" w:beforeAutospacing="0" w:after="0" w:afterAutospacing="0"/>
              <w:ind w:right="0"/>
              <w:rPr>
                <w:rFonts w:hint="default"/>
                <w:color w:val="auto"/>
              </w:rPr>
            </w:pPr>
            <w:r>
              <w:rPr>
                <w:rFonts w:hint="eastAsia"/>
                <w:color w:val="auto"/>
              </w:rPr>
              <w:t>汽油</w:t>
            </w:r>
          </w:p>
        </w:tc>
        <w:tc>
          <w:tcPr>
            <w:tcW w:w="584" w:type="dxa"/>
          </w:tcPr>
          <w:p w14:paraId="6E702CE6">
            <w:pPr>
              <w:pStyle w:val="167"/>
              <w:keepNext w:val="0"/>
              <w:keepLines w:val="0"/>
              <w:suppressLineNumbers w:val="0"/>
              <w:spacing w:before="0" w:beforeAutospacing="0" w:after="0" w:afterAutospacing="0"/>
              <w:ind w:right="0"/>
              <w:rPr>
                <w:rFonts w:hint="default"/>
                <w:color w:val="auto"/>
              </w:rPr>
            </w:pPr>
            <w:r>
              <w:rPr>
                <w:rFonts w:hint="default"/>
                <w:color w:val="auto"/>
              </w:rPr>
              <w:t>6.53</w:t>
            </w:r>
          </w:p>
        </w:tc>
        <w:tc>
          <w:tcPr>
            <w:tcW w:w="823" w:type="dxa"/>
          </w:tcPr>
          <w:p w14:paraId="60775E8D">
            <w:pPr>
              <w:pStyle w:val="167"/>
              <w:keepNext w:val="0"/>
              <w:keepLines w:val="0"/>
              <w:suppressLineNumbers w:val="0"/>
              <w:spacing w:before="0" w:beforeAutospacing="0" w:after="0" w:afterAutospacing="0"/>
              <w:ind w:right="0"/>
              <w:rPr>
                <w:rFonts w:hint="default"/>
                <w:color w:val="auto"/>
              </w:rPr>
            </w:pPr>
            <w:r>
              <w:rPr>
                <w:rFonts w:hint="default"/>
                <w:color w:val="auto"/>
              </w:rPr>
              <w:t>14.70</w:t>
            </w:r>
          </w:p>
        </w:tc>
        <w:tc>
          <w:tcPr>
            <w:tcW w:w="612" w:type="dxa"/>
          </w:tcPr>
          <w:p w14:paraId="5E732FBF">
            <w:pPr>
              <w:pStyle w:val="167"/>
              <w:keepNext w:val="0"/>
              <w:keepLines w:val="0"/>
              <w:suppressLineNumbers w:val="0"/>
              <w:spacing w:before="0" w:beforeAutospacing="0" w:after="0" w:afterAutospacing="0"/>
              <w:ind w:right="0"/>
              <w:rPr>
                <w:rFonts w:hint="default"/>
                <w:color w:val="auto"/>
              </w:rPr>
            </w:pPr>
            <w:r>
              <w:rPr>
                <w:rFonts w:hint="default"/>
                <w:color w:val="auto"/>
              </w:rPr>
              <w:t>0.146</w:t>
            </w:r>
          </w:p>
        </w:tc>
        <w:tc>
          <w:tcPr>
            <w:tcW w:w="756" w:type="dxa"/>
          </w:tcPr>
          <w:p w14:paraId="03FB9B24">
            <w:pPr>
              <w:pStyle w:val="167"/>
              <w:keepNext w:val="0"/>
              <w:keepLines w:val="0"/>
              <w:suppressLineNumbers w:val="0"/>
              <w:spacing w:before="0" w:beforeAutospacing="0" w:after="0" w:afterAutospacing="0"/>
              <w:ind w:right="0"/>
              <w:rPr>
                <w:rFonts w:hint="default"/>
                <w:color w:val="auto"/>
              </w:rPr>
            </w:pPr>
            <w:r>
              <w:rPr>
                <w:rFonts w:hint="default"/>
                <w:color w:val="auto"/>
              </w:rPr>
              <w:t>28</w:t>
            </w:r>
          </w:p>
        </w:tc>
        <w:tc>
          <w:tcPr>
            <w:tcW w:w="787" w:type="dxa"/>
          </w:tcPr>
          <w:p w14:paraId="667B6501">
            <w:pPr>
              <w:pStyle w:val="167"/>
              <w:keepNext w:val="0"/>
              <w:keepLines w:val="0"/>
              <w:suppressLineNumbers w:val="0"/>
              <w:spacing w:before="0" w:beforeAutospacing="0" w:after="0" w:afterAutospacing="0"/>
              <w:ind w:right="0"/>
              <w:rPr>
                <w:rFonts w:hint="default"/>
                <w:color w:val="auto"/>
              </w:rPr>
            </w:pPr>
            <w:r>
              <w:rPr>
                <w:rFonts w:hint="default"/>
                <w:color w:val="auto"/>
              </w:rPr>
              <w:t>110</w:t>
            </w:r>
          </w:p>
        </w:tc>
        <w:tc>
          <w:tcPr>
            <w:tcW w:w="690" w:type="dxa"/>
          </w:tcPr>
          <w:p w14:paraId="26DEC8A8">
            <w:pPr>
              <w:pStyle w:val="167"/>
              <w:keepNext w:val="0"/>
              <w:keepLines w:val="0"/>
              <w:suppressLineNumbers w:val="0"/>
              <w:spacing w:before="0" w:beforeAutospacing="0" w:after="0" w:afterAutospacing="0"/>
              <w:ind w:right="0"/>
              <w:rPr>
                <w:rFonts w:hint="default"/>
                <w:color w:val="auto"/>
              </w:rPr>
            </w:pPr>
            <w:r>
              <w:rPr>
                <w:rFonts w:hint="default"/>
                <w:color w:val="auto"/>
              </w:rPr>
              <w:t>10</w:t>
            </w:r>
          </w:p>
        </w:tc>
        <w:tc>
          <w:tcPr>
            <w:tcW w:w="829" w:type="dxa"/>
          </w:tcPr>
          <w:p w14:paraId="4BC4A115">
            <w:pPr>
              <w:pStyle w:val="167"/>
              <w:keepNext w:val="0"/>
              <w:keepLines w:val="0"/>
              <w:suppressLineNumbers w:val="0"/>
              <w:spacing w:before="0" w:beforeAutospacing="0" w:after="0" w:afterAutospacing="0"/>
              <w:ind w:right="0"/>
              <w:rPr>
                <w:rFonts w:hint="default"/>
                <w:color w:val="auto"/>
              </w:rPr>
            </w:pPr>
            <w:r>
              <w:rPr>
                <w:rFonts w:hint="default"/>
                <w:color w:val="auto"/>
              </w:rPr>
              <w:t>0.78</w:t>
            </w:r>
          </w:p>
        </w:tc>
        <w:tc>
          <w:tcPr>
            <w:tcW w:w="791" w:type="dxa"/>
          </w:tcPr>
          <w:p w14:paraId="51648A7B">
            <w:pPr>
              <w:pStyle w:val="167"/>
              <w:keepNext w:val="0"/>
              <w:keepLines w:val="0"/>
              <w:suppressLineNumbers w:val="0"/>
              <w:spacing w:before="0" w:beforeAutospacing="0" w:after="0" w:afterAutospacing="0"/>
              <w:ind w:right="0"/>
              <w:rPr>
                <w:rFonts w:hint="default"/>
                <w:color w:val="auto"/>
              </w:rPr>
            </w:pPr>
            <w:r>
              <w:rPr>
                <w:rFonts w:hint="default"/>
                <w:color w:val="auto"/>
              </w:rPr>
              <w:t>1649.3</w:t>
            </w:r>
          </w:p>
        </w:tc>
        <w:tc>
          <w:tcPr>
            <w:tcW w:w="526" w:type="dxa"/>
          </w:tcPr>
          <w:p w14:paraId="19216116">
            <w:pPr>
              <w:pStyle w:val="167"/>
              <w:keepNext w:val="0"/>
              <w:keepLines w:val="0"/>
              <w:suppressLineNumbers w:val="0"/>
              <w:spacing w:before="0" w:beforeAutospacing="0" w:after="0" w:afterAutospacing="0"/>
              <w:ind w:right="0"/>
              <w:rPr>
                <w:rFonts w:hint="default"/>
                <w:color w:val="auto"/>
              </w:rPr>
            </w:pPr>
            <w:r>
              <w:rPr>
                <w:rFonts w:hint="default"/>
                <w:color w:val="auto"/>
              </w:rPr>
              <w:t>80.8</w:t>
            </w:r>
          </w:p>
        </w:tc>
        <w:tc>
          <w:tcPr>
            <w:tcW w:w="526" w:type="dxa"/>
          </w:tcPr>
          <w:p w14:paraId="309638A6">
            <w:pPr>
              <w:pStyle w:val="167"/>
              <w:keepNext w:val="0"/>
              <w:keepLines w:val="0"/>
              <w:suppressLineNumbers w:val="0"/>
              <w:spacing w:before="0" w:beforeAutospacing="0" w:after="0" w:afterAutospacing="0"/>
              <w:ind w:right="0"/>
              <w:rPr>
                <w:rFonts w:hint="default"/>
                <w:color w:val="auto"/>
              </w:rPr>
            </w:pPr>
            <w:r>
              <w:rPr>
                <w:rFonts w:hint="default"/>
                <w:color w:val="auto"/>
              </w:rPr>
              <w:t>3240.1</w:t>
            </w:r>
          </w:p>
        </w:tc>
        <w:tc>
          <w:tcPr>
            <w:tcW w:w="526" w:type="dxa"/>
          </w:tcPr>
          <w:p w14:paraId="0E07FFDD">
            <w:pPr>
              <w:pStyle w:val="167"/>
              <w:keepNext w:val="0"/>
              <w:keepLines w:val="0"/>
              <w:suppressLineNumbers w:val="0"/>
              <w:spacing w:before="0" w:beforeAutospacing="0" w:after="0" w:afterAutospacing="0"/>
              <w:ind w:right="0"/>
              <w:rPr>
                <w:rFonts w:hint="default"/>
                <w:color w:val="auto"/>
              </w:rPr>
            </w:pPr>
            <w:r>
              <w:rPr>
                <w:rFonts w:hint="default"/>
                <w:color w:val="auto"/>
              </w:rPr>
              <w:t>4970.2</w:t>
            </w:r>
          </w:p>
        </w:tc>
        <w:tc>
          <w:tcPr>
            <w:tcW w:w="771" w:type="dxa"/>
          </w:tcPr>
          <w:p w14:paraId="63EF86AB">
            <w:pPr>
              <w:pStyle w:val="167"/>
              <w:keepNext w:val="0"/>
              <w:keepLines w:val="0"/>
              <w:suppressLineNumbers w:val="0"/>
              <w:spacing w:before="0" w:beforeAutospacing="0" w:after="0" w:afterAutospacing="0"/>
              <w:ind w:right="0"/>
              <w:rPr>
                <w:rFonts w:hint="default"/>
                <w:color w:val="auto"/>
              </w:rPr>
            </w:pPr>
            <w:r>
              <w:rPr>
                <w:rFonts w:hint="default"/>
                <w:color w:val="auto"/>
              </w:rPr>
              <w:t>2.25</w:t>
            </w:r>
          </w:p>
        </w:tc>
      </w:tr>
      <w:tr w14:paraId="2D139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vAlign w:val="center"/>
          </w:tcPr>
          <w:p w14:paraId="76450CD8">
            <w:pPr>
              <w:pStyle w:val="167"/>
              <w:keepNext w:val="0"/>
              <w:keepLines w:val="0"/>
              <w:suppressLineNumbers w:val="0"/>
              <w:spacing w:before="0" w:beforeAutospacing="0" w:after="0" w:afterAutospacing="0"/>
              <w:ind w:right="0"/>
              <w:rPr>
                <w:rFonts w:hint="default"/>
                <w:color w:val="auto"/>
              </w:rPr>
            </w:pPr>
            <w:r>
              <w:rPr>
                <w:rFonts w:hint="eastAsia"/>
                <w:color w:val="auto"/>
              </w:rPr>
              <w:t>原油</w:t>
            </w:r>
          </w:p>
        </w:tc>
        <w:tc>
          <w:tcPr>
            <w:tcW w:w="584" w:type="dxa"/>
          </w:tcPr>
          <w:p w14:paraId="520ABBDE">
            <w:pPr>
              <w:pStyle w:val="167"/>
              <w:keepNext w:val="0"/>
              <w:keepLines w:val="0"/>
              <w:suppressLineNumbers w:val="0"/>
              <w:spacing w:before="0" w:beforeAutospacing="0" w:after="0" w:afterAutospacing="0"/>
              <w:ind w:right="0"/>
              <w:rPr>
                <w:rFonts w:hint="default"/>
                <w:color w:val="auto"/>
              </w:rPr>
            </w:pPr>
            <w:r>
              <w:rPr>
                <w:rFonts w:hint="default"/>
                <w:color w:val="auto"/>
              </w:rPr>
              <w:t>4.35</w:t>
            </w:r>
          </w:p>
        </w:tc>
        <w:tc>
          <w:tcPr>
            <w:tcW w:w="823" w:type="dxa"/>
          </w:tcPr>
          <w:p w14:paraId="00D6282B">
            <w:pPr>
              <w:pStyle w:val="167"/>
              <w:keepNext w:val="0"/>
              <w:keepLines w:val="0"/>
              <w:suppressLineNumbers w:val="0"/>
              <w:spacing w:before="0" w:beforeAutospacing="0" w:after="0" w:afterAutospacing="0"/>
              <w:ind w:right="0"/>
              <w:rPr>
                <w:rFonts w:hint="default"/>
                <w:color w:val="auto"/>
              </w:rPr>
            </w:pPr>
            <w:r>
              <w:rPr>
                <w:rFonts w:hint="default"/>
                <w:color w:val="auto"/>
              </w:rPr>
              <w:t>14.70</w:t>
            </w:r>
          </w:p>
        </w:tc>
        <w:tc>
          <w:tcPr>
            <w:tcW w:w="612" w:type="dxa"/>
          </w:tcPr>
          <w:p w14:paraId="32CF980B">
            <w:pPr>
              <w:pStyle w:val="167"/>
              <w:keepNext w:val="0"/>
              <w:keepLines w:val="0"/>
              <w:suppressLineNumbers w:val="0"/>
              <w:spacing w:before="0" w:beforeAutospacing="0" w:after="0" w:afterAutospacing="0"/>
              <w:ind w:right="0"/>
              <w:rPr>
                <w:rFonts w:hint="default"/>
                <w:color w:val="auto"/>
              </w:rPr>
            </w:pPr>
            <w:r>
              <w:rPr>
                <w:rFonts w:hint="default"/>
                <w:color w:val="auto"/>
              </w:rPr>
              <w:t>0.088</w:t>
            </w:r>
          </w:p>
        </w:tc>
        <w:tc>
          <w:tcPr>
            <w:tcW w:w="756" w:type="dxa"/>
          </w:tcPr>
          <w:p w14:paraId="6108AE18">
            <w:pPr>
              <w:pStyle w:val="167"/>
              <w:keepNext w:val="0"/>
              <w:keepLines w:val="0"/>
              <w:suppressLineNumbers w:val="0"/>
              <w:spacing w:before="0" w:beforeAutospacing="0" w:after="0" w:afterAutospacing="0"/>
              <w:ind w:right="0"/>
              <w:rPr>
                <w:rFonts w:hint="default"/>
                <w:color w:val="auto"/>
              </w:rPr>
            </w:pPr>
            <w:r>
              <w:rPr>
                <w:rFonts w:hint="default"/>
                <w:color w:val="auto"/>
              </w:rPr>
              <w:t>52</w:t>
            </w:r>
          </w:p>
        </w:tc>
        <w:tc>
          <w:tcPr>
            <w:tcW w:w="787" w:type="dxa"/>
          </w:tcPr>
          <w:p w14:paraId="250BBABB">
            <w:pPr>
              <w:pStyle w:val="167"/>
              <w:keepNext w:val="0"/>
              <w:keepLines w:val="0"/>
              <w:suppressLineNumbers w:val="0"/>
              <w:spacing w:before="0" w:beforeAutospacing="0" w:after="0" w:afterAutospacing="0"/>
              <w:ind w:right="0"/>
              <w:rPr>
                <w:rFonts w:hint="default"/>
                <w:color w:val="auto"/>
              </w:rPr>
            </w:pPr>
            <w:r>
              <w:rPr>
                <w:rFonts w:hint="default"/>
                <w:color w:val="auto"/>
              </w:rPr>
              <w:t>300</w:t>
            </w:r>
          </w:p>
        </w:tc>
        <w:tc>
          <w:tcPr>
            <w:tcW w:w="690" w:type="dxa"/>
          </w:tcPr>
          <w:p w14:paraId="4E075839">
            <w:pPr>
              <w:pStyle w:val="167"/>
              <w:keepNext w:val="0"/>
              <w:keepLines w:val="0"/>
              <w:suppressLineNumbers w:val="0"/>
              <w:spacing w:before="0" w:beforeAutospacing="0" w:after="0" w:afterAutospacing="0"/>
              <w:ind w:right="0"/>
              <w:rPr>
                <w:rFonts w:hint="default"/>
                <w:color w:val="auto"/>
              </w:rPr>
            </w:pPr>
            <w:r>
              <w:rPr>
                <w:rFonts w:hint="default"/>
                <w:color w:val="auto"/>
              </w:rPr>
              <w:t>20</w:t>
            </w:r>
          </w:p>
        </w:tc>
        <w:tc>
          <w:tcPr>
            <w:tcW w:w="829" w:type="dxa"/>
          </w:tcPr>
          <w:p w14:paraId="0AD056B5">
            <w:pPr>
              <w:pStyle w:val="167"/>
              <w:keepNext w:val="0"/>
              <w:keepLines w:val="0"/>
              <w:suppressLineNumbers w:val="0"/>
              <w:spacing w:before="0" w:beforeAutospacing="0" w:after="0" w:afterAutospacing="0"/>
              <w:ind w:right="0"/>
              <w:rPr>
                <w:rFonts w:hint="default"/>
                <w:color w:val="auto"/>
              </w:rPr>
            </w:pPr>
            <w:r>
              <w:rPr>
                <w:rFonts w:hint="default"/>
                <w:color w:val="auto"/>
              </w:rPr>
              <w:t>0.966</w:t>
            </w:r>
          </w:p>
        </w:tc>
        <w:tc>
          <w:tcPr>
            <w:tcW w:w="791" w:type="dxa"/>
          </w:tcPr>
          <w:p w14:paraId="759B029E">
            <w:pPr>
              <w:pStyle w:val="167"/>
              <w:keepNext w:val="0"/>
              <w:keepLines w:val="0"/>
              <w:suppressLineNumbers w:val="0"/>
              <w:spacing w:before="0" w:beforeAutospacing="0" w:after="0" w:afterAutospacing="0"/>
              <w:ind w:right="0"/>
              <w:rPr>
                <w:rFonts w:hint="default"/>
                <w:color w:val="auto"/>
              </w:rPr>
            </w:pPr>
            <w:r>
              <w:rPr>
                <w:rFonts w:hint="default"/>
                <w:color w:val="auto"/>
              </w:rPr>
              <w:t>127.9</w:t>
            </w:r>
          </w:p>
        </w:tc>
        <w:tc>
          <w:tcPr>
            <w:tcW w:w="526" w:type="dxa"/>
          </w:tcPr>
          <w:p w14:paraId="56C04F53">
            <w:pPr>
              <w:pStyle w:val="167"/>
              <w:keepNext w:val="0"/>
              <w:keepLines w:val="0"/>
              <w:suppressLineNumbers w:val="0"/>
              <w:spacing w:before="0" w:beforeAutospacing="0" w:after="0" w:afterAutospacing="0"/>
              <w:ind w:right="0"/>
              <w:rPr>
                <w:rFonts w:hint="default"/>
                <w:color w:val="auto"/>
              </w:rPr>
            </w:pPr>
            <w:r>
              <w:rPr>
                <w:rFonts w:hint="default"/>
                <w:color w:val="auto"/>
              </w:rPr>
              <w:t>87.0</w:t>
            </w:r>
          </w:p>
        </w:tc>
        <w:tc>
          <w:tcPr>
            <w:tcW w:w="526" w:type="dxa"/>
          </w:tcPr>
          <w:p w14:paraId="2AAFFA98">
            <w:pPr>
              <w:pStyle w:val="167"/>
              <w:keepNext w:val="0"/>
              <w:keepLines w:val="0"/>
              <w:suppressLineNumbers w:val="0"/>
              <w:spacing w:before="0" w:beforeAutospacing="0" w:after="0" w:afterAutospacing="0"/>
              <w:ind w:right="0"/>
              <w:rPr>
                <w:rFonts w:hint="default"/>
                <w:color w:val="auto"/>
              </w:rPr>
            </w:pPr>
            <w:r>
              <w:rPr>
                <w:rFonts w:hint="default"/>
                <w:color w:val="auto"/>
              </w:rPr>
              <w:t>31852.9</w:t>
            </w:r>
          </w:p>
        </w:tc>
        <w:tc>
          <w:tcPr>
            <w:tcW w:w="526" w:type="dxa"/>
          </w:tcPr>
          <w:p w14:paraId="3C2D7216">
            <w:pPr>
              <w:pStyle w:val="167"/>
              <w:keepNext w:val="0"/>
              <w:keepLines w:val="0"/>
              <w:suppressLineNumbers w:val="0"/>
              <w:spacing w:before="0" w:beforeAutospacing="0" w:after="0" w:afterAutospacing="0"/>
              <w:ind w:right="0"/>
              <w:rPr>
                <w:rFonts w:hint="default"/>
                <w:color w:val="auto"/>
              </w:rPr>
            </w:pPr>
            <w:r>
              <w:rPr>
                <w:rFonts w:hint="default"/>
                <w:color w:val="auto"/>
              </w:rPr>
              <w:t>32067.8</w:t>
            </w:r>
          </w:p>
        </w:tc>
        <w:tc>
          <w:tcPr>
            <w:tcW w:w="771" w:type="dxa"/>
          </w:tcPr>
          <w:p w14:paraId="367E79CE">
            <w:pPr>
              <w:pStyle w:val="167"/>
              <w:keepNext w:val="0"/>
              <w:keepLines w:val="0"/>
              <w:suppressLineNumbers w:val="0"/>
              <w:spacing w:before="0" w:beforeAutospacing="0" w:after="0" w:afterAutospacing="0"/>
              <w:ind w:right="0"/>
              <w:rPr>
                <w:rFonts w:hint="default"/>
                <w:color w:val="auto"/>
              </w:rPr>
            </w:pPr>
            <w:r>
              <w:rPr>
                <w:rFonts w:hint="default"/>
                <w:color w:val="auto"/>
              </w:rPr>
              <w:t>14.54</w:t>
            </w:r>
          </w:p>
        </w:tc>
      </w:tr>
      <w:tr w14:paraId="747CB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46" w:type="dxa"/>
          </w:tcPr>
          <w:p w14:paraId="63712041">
            <w:pPr>
              <w:pStyle w:val="167"/>
              <w:keepNext w:val="0"/>
              <w:keepLines w:val="0"/>
              <w:suppressLineNumbers w:val="0"/>
              <w:spacing w:before="0" w:beforeAutospacing="0" w:after="0" w:afterAutospacing="0"/>
              <w:ind w:right="0"/>
              <w:rPr>
                <w:rFonts w:hint="default"/>
                <w:color w:val="auto"/>
              </w:rPr>
            </w:pPr>
            <w:r>
              <w:rPr>
                <w:rFonts w:hint="eastAsia"/>
                <w:color w:val="auto"/>
              </w:rPr>
              <w:t>合计</w:t>
            </w:r>
          </w:p>
        </w:tc>
        <w:tc>
          <w:tcPr>
            <w:tcW w:w="7450" w:type="dxa"/>
            <w:gridSpan w:val="11"/>
            <w:vAlign w:val="center"/>
          </w:tcPr>
          <w:p w14:paraId="05EF5727">
            <w:pPr>
              <w:pStyle w:val="167"/>
              <w:keepNext w:val="0"/>
              <w:keepLines w:val="0"/>
              <w:suppressLineNumbers w:val="0"/>
              <w:spacing w:before="0" w:beforeAutospacing="0" w:after="0" w:afterAutospacing="0"/>
              <w:ind w:right="0"/>
              <w:rPr>
                <w:rFonts w:hint="default"/>
                <w:color w:val="auto"/>
              </w:rPr>
            </w:pPr>
            <w:r>
              <w:rPr>
                <w:rFonts w:hint="eastAsia"/>
                <w:color w:val="auto"/>
              </w:rPr>
              <w:t>非甲烷总烃</w:t>
            </w:r>
          </w:p>
        </w:tc>
        <w:tc>
          <w:tcPr>
            <w:tcW w:w="771" w:type="dxa"/>
          </w:tcPr>
          <w:p w14:paraId="49EF181B">
            <w:pPr>
              <w:pStyle w:val="167"/>
              <w:keepNext w:val="0"/>
              <w:keepLines w:val="0"/>
              <w:suppressLineNumbers w:val="0"/>
              <w:spacing w:before="0" w:beforeAutospacing="0" w:after="0" w:afterAutospacing="0"/>
              <w:ind w:right="0"/>
              <w:rPr>
                <w:rFonts w:hint="default"/>
                <w:color w:val="auto"/>
              </w:rPr>
            </w:pPr>
            <w:r>
              <w:rPr>
                <w:rFonts w:hint="default"/>
                <w:color w:val="auto"/>
              </w:rPr>
              <w:t>16.80</w:t>
            </w:r>
          </w:p>
        </w:tc>
      </w:tr>
    </w:tbl>
    <w:p w14:paraId="2DE359F3">
      <w:pPr>
        <w:pStyle w:val="6"/>
        <w:rPr>
          <w:color w:val="auto"/>
        </w:rPr>
      </w:pPr>
      <w:r>
        <w:rPr>
          <w:rFonts w:hint="eastAsia"/>
          <w:color w:val="auto"/>
        </w:rPr>
        <w:t>总体工程“三本账”汇总</w:t>
      </w:r>
    </w:p>
    <w:p w14:paraId="7ACB809E">
      <w:pPr>
        <w:ind w:firstLine="480"/>
        <w:rPr>
          <w:color w:val="auto"/>
        </w:rPr>
      </w:pPr>
      <w:r>
        <w:rPr>
          <w:rFonts w:hint="eastAsia"/>
          <w:color w:val="auto"/>
          <w:u w:val="single"/>
        </w:rPr>
        <w:t>现有</w:t>
      </w:r>
      <w:r>
        <w:rPr>
          <w:color w:val="auto"/>
          <w:u w:val="single"/>
        </w:rPr>
        <w:t>工程的排放量</w:t>
      </w:r>
      <w:r>
        <w:rPr>
          <w:rFonts w:hint="eastAsia"/>
          <w:color w:val="auto"/>
          <w:u w:val="single"/>
        </w:rPr>
        <w:t>根据</w:t>
      </w:r>
      <w:r>
        <w:rPr>
          <w:color w:val="auto"/>
          <w:u w:val="single"/>
        </w:rPr>
        <w:t>现有工程</w:t>
      </w:r>
      <w:r>
        <w:rPr>
          <w:rFonts w:hint="eastAsia"/>
          <w:color w:val="auto"/>
          <w:u w:val="single"/>
        </w:rPr>
        <w:t>污染物</w:t>
      </w:r>
      <w:r>
        <w:rPr>
          <w:color w:val="auto"/>
          <w:u w:val="single"/>
        </w:rPr>
        <w:t>排放情况</w:t>
      </w:r>
      <w:r>
        <w:rPr>
          <w:rFonts w:hint="eastAsia"/>
          <w:color w:val="auto"/>
          <w:u w:val="single"/>
        </w:rPr>
        <w:t>调查结果</w:t>
      </w:r>
      <w:r>
        <w:rPr>
          <w:color w:val="auto"/>
          <w:u w:val="single"/>
        </w:rPr>
        <w:t>，</w:t>
      </w:r>
      <w:r>
        <w:rPr>
          <w:rFonts w:hint="eastAsia"/>
          <w:color w:val="auto"/>
          <w:u w:val="single"/>
          <w:lang w:val="en-US" w:eastAsia="zh-CN"/>
        </w:rPr>
        <w:t>现有工程有组织废气排放量根据</w:t>
      </w:r>
      <w:r>
        <w:rPr>
          <w:rFonts w:hint="eastAsia"/>
          <w:color w:val="auto"/>
          <w:u w:val="single"/>
          <w:lang w:eastAsia="zh-CN"/>
        </w:rPr>
        <w:t>《广西东油沥青有限公司5万吨级油气码头油库甲醇储存、装车系统改造项目环境影响报告表》</w:t>
      </w:r>
      <w:r>
        <w:rPr>
          <w:rFonts w:hint="eastAsia"/>
          <w:color w:val="auto"/>
          <w:u w:val="single"/>
          <w:lang w:val="en-US" w:eastAsia="zh-CN"/>
        </w:rPr>
        <w:t>等</w:t>
      </w:r>
      <w:r>
        <w:rPr>
          <w:rFonts w:hint="eastAsia"/>
          <w:color w:val="auto"/>
          <w:u w:val="single"/>
        </w:rPr>
        <w:t>历年</w:t>
      </w:r>
      <w:r>
        <w:rPr>
          <w:color w:val="auto"/>
          <w:u w:val="single"/>
        </w:rPr>
        <w:t>环评计算结果</w:t>
      </w:r>
      <w:r>
        <w:rPr>
          <w:rFonts w:hint="eastAsia"/>
          <w:color w:val="auto"/>
          <w:u w:val="single"/>
          <w:lang w:eastAsia="zh-CN"/>
        </w:rPr>
        <w:t>，</w:t>
      </w:r>
      <w:r>
        <w:rPr>
          <w:rFonts w:hint="eastAsia"/>
          <w:color w:val="auto"/>
          <w:u w:val="single"/>
          <w:lang w:val="en-US" w:eastAsia="zh-CN"/>
        </w:rPr>
        <w:t>无组织废气根据《广西东油沥青有限公司5万吨级油气码头油库新建汽油装船油气回收系统项目环境影响报告表》核算结果。</w:t>
      </w:r>
      <w:r>
        <w:rPr>
          <w:rFonts w:hint="eastAsia"/>
          <w:color w:val="auto"/>
        </w:rPr>
        <w:t>本项目建成后，广西东油沥青有限公司5万吨级油气码头及</w:t>
      </w:r>
      <w:r>
        <w:rPr>
          <w:color w:val="auto"/>
        </w:rPr>
        <w:t>后方库区</w:t>
      </w:r>
      <w:r>
        <w:rPr>
          <w:rFonts w:hint="eastAsia"/>
          <w:color w:val="auto"/>
        </w:rPr>
        <w:t>污染物排放汇总及三本账见下表</w:t>
      </w:r>
      <w:r>
        <w:rPr>
          <w:color w:val="auto"/>
        </w:rPr>
        <w:t>。</w:t>
      </w:r>
    </w:p>
    <w:p w14:paraId="6C123252">
      <w:pPr>
        <w:pStyle w:val="14"/>
        <w:rPr>
          <w:color w:val="auto"/>
        </w:rPr>
      </w:pPr>
      <w:r>
        <w:rPr>
          <w:rFonts w:hint="eastAsia"/>
          <w:color w:val="auto"/>
        </w:rPr>
        <w:t>表</w:t>
      </w:r>
      <w:r>
        <w:rPr>
          <w:color w:val="auto"/>
        </w:rPr>
        <w:t>2.3</w:t>
      </w:r>
      <w:r>
        <w:rPr>
          <w:color w:val="auto"/>
        </w:rPr>
        <w:noBreakHyphen/>
      </w:r>
      <w:r>
        <w:rPr>
          <w:color w:val="auto"/>
        </w:rPr>
        <w:t>14</w:t>
      </w:r>
      <w:r>
        <w:rPr>
          <w:rFonts w:hint="eastAsia"/>
          <w:color w:val="auto"/>
        </w:rPr>
        <w:t>项目总体工程三本账</w:t>
      </w:r>
    </w:p>
    <w:tbl>
      <w:tblPr>
        <w:tblStyle w:val="43"/>
        <w:tblW w:w="4864"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1" w:type="dxa"/>
          <w:bottom w:w="0" w:type="dxa"/>
          <w:right w:w="11" w:type="dxa"/>
        </w:tblCellMar>
      </w:tblPr>
      <w:tblGrid>
        <w:gridCol w:w="677"/>
        <w:gridCol w:w="1074"/>
        <w:gridCol w:w="1154"/>
        <w:gridCol w:w="1244"/>
        <w:gridCol w:w="1318"/>
        <w:gridCol w:w="1048"/>
        <w:gridCol w:w="1247"/>
        <w:gridCol w:w="1368"/>
      </w:tblGrid>
      <w:tr w14:paraId="0010D3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rPr>
          <w:tblHeader/>
        </w:trPr>
        <w:tc>
          <w:tcPr>
            <w:tcW w:w="371" w:type="pct"/>
            <w:vAlign w:val="center"/>
          </w:tcPr>
          <w:p w14:paraId="1121569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类别</w:t>
            </w:r>
          </w:p>
        </w:tc>
        <w:tc>
          <w:tcPr>
            <w:tcW w:w="588" w:type="pct"/>
            <w:vAlign w:val="center"/>
          </w:tcPr>
          <w:p w14:paraId="4704DBB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污染源</w:t>
            </w:r>
          </w:p>
        </w:tc>
        <w:tc>
          <w:tcPr>
            <w:tcW w:w="632" w:type="pct"/>
            <w:vAlign w:val="center"/>
          </w:tcPr>
          <w:p w14:paraId="206DE00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污染物</w:t>
            </w:r>
          </w:p>
        </w:tc>
        <w:tc>
          <w:tcPr>
            <w:tcW w:w="681" w:type="pct"/>
            <w:vAlign w:val="center"/>
          </w:tcPr>
          <w:p w14:paraId="323889F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现有项目排放量t/a</w:t>
            </w:r>
          </w:p>
        </w:tc>
        <w:tc>
          <w:tcPr>
            <w:tcW w:w="722" w:type="pct"/>
            <w:vAlign w:val="center"/>
          </w:tcPr>
          <w:p w14:paraId="3E11BA9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以新带老削减量t/a</w:t>
            </w:r>
          </w:p>
        </w:tc>
        <w:tc>
          <w:tcPr>
            <w:tcW w:w="574" w:type="pct"/>
            <w:vAlign w:val="center"/>
          </w:tcPr>
          <w:p w14:paraId="4931433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扩建工程排放量t/a</w:t>
            </w:r>
          </w:p>
        </w:tc>
        <w:tc>
          <w:tcPr>
            <w:tcW w:w="683" w:type="pct"/>
            <w:vAlign w:val="center"/>
          </w:tcPr>
          <w:p w14:paraId="01EBC26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总体工程排放量t/a</w:t>
            </w:r>
          </w:p>
        </w:tc>
        <w:tc>
          <w:tcPr>
            <w:tcW w:w="749" w:type="pct"/>
            <w:vAlign w:val="center"/>
          </w:tcPr>
          <w:p w14:paraId="4C8E098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排放增减量t/a</w:t>
            </w:r>
          </w:p>
        </w:tc>
      </w:tr>
      <w:tr w14:paraId="4A9C56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restart"/>
            <w:vAlign w:val="center"/>
          </w:tcPr>
          <w:p w14:paraId="2088AA2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废气</w:t>
            </w:r>
          </w:p>
        </w:tc>
        <w:tc>
          <w:tcPr>
            <w:tcW w:w="588" w:type="pct"/>
            <w:vAlign w:val="center"/>
          </w:tcPr>
          <w:p w14:paraId="35F3F26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有组织废气</w:t>
            </w:r>
          </w:p>
        </w:tc>
        <w:tc>
          <w:tcPr>
            <w:tcW w:w="632" w:type="pct"/>
            <w:vAlign w:val="center"/>
          </w:tcPr>
          <w:p w14:paraId="6AA66FC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非甲烷总烃</w:t>
            </w:r>
          </w:p>
        </w:tc>
        <w:tc>
          <w:tcPr>
            <w:tcW w:w="681" w:type="pct"/>
            <w:vAlign w:val="center"/>
          </w:tcPr>
          <w:p w14:paraId="0E1AAE1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2.888</w:t>
            </w:r>
          </w:p>
        </w:tc>
        <w:tc>
          <w:tcPr>
            <w:tcW w:w="722" w:type="pct"/>
            <w:vAlign w:val="center"/>
          </w:tcPr>
          <w:p w14:paraId="309458F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574" w:type="pct"/>
            <w:vAlign w:val="center"/>
          </w:tcPr>
          <w:p w14:paraId="46256AD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1.26</w:t>
            </w:r>
          </w:p>
        </w:tc>
        <w:tc>
          <w:tcPr>
            <w:tcW w:w="683" w:type="pct"/>
            <w:vAlign w:val="center"/>
          </w:tcPr>
          <w:p w14:paraId="2481CBD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4.418</w:t>
            </w:r>
          </w:p>
        </w:tc>
        <w:tc>
          <w:tcPr>
            <w:tcW w:w="749" w:type="pct"/>
            <w:vAlign w:val="center"/>
          </w:tcPr>
          <w:p w14:paraId="2277023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+1.26</w:t>
            </w:r>
          </w:p>
        </w:tc>
      </w:tr>
      <w:tr w14:paraId="3C6E77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6AB76B7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restart"/>
            <w:vAlign w:val="center"/>
          </w:tcPr>
          <w:p w14:paraId="19A1BA6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无组织废气</w:t>
            </w:r>
          </w:p>
        </w:tc>
        <w:tc>
          <w:tcPr>
            <w:tcW w:w="632" w:type="pct"/>
            <w:vAlign w:val="center"/>
          </w:tcPr>
          <w:p w14:paraId="6C78A78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非甲烷总烃</w:t>
            </w:r>
          </w:p>
        </w:tc>
        <w:tc>
          <w:tcPr>
            <w:tcW w:w="681" w:type="pct"/>
            <w:vAlign w:val="center"/>
          </w:tcPr>
          <w:p w14:paraId="6BC0DDE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305.216</w:t>
            </w:r>
          </w:p>
        </w:tc>
        <w:tc>
          <w:tcPr>
            <w:tcW w:w="722" w:type="pct"/>
            <w:vAlign w:val="center"/>
          </w:tcPr>
          <w:p w14:paraId="610D052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-16.8</w:t>
            </w:r>
          </w:p>
        </w:tc>
        <w:tc>
          <w:tcPr>
            <w:tcW w:w="574" w:type="pct"/>
            <w:vAlign w:val="center"/>
          </w:tcPr>
          <w:p w14:paraId="4B8AE80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5.134</w:t>
            </w:r>
          </w:p>
        </w:tc>
        <w:tc>
          <w:tcPr>
            <w:tcW w:w="683" w:type="pct"/>
            <w:vAlign w:val="center"/>
          </w:tcPr>
          <w:p w14:paraId="2AF540D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29</w:t>
            </w:r>
            <w:r>
              <w:rPr>
                <w:rFonts w:hint="default"/>
                <w:color w:val="auto"/>
                <w:sz w:val="21"/>
                <w:szCs w:val="21"/>
              </w:rPr>
              <w:t>3.55</w:t>
            </w:r>
          </w:p>
        </w:tc>
        <w:tc>
          <w:tcPr>
            <w:tcW w:w="749" w:type="pct"/>
            <w:vAlign w:val="center"/>
          </w:tcPr>
          <w:p w14:paraId="1DC57D8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r>
              <w:rPr>
                <w:rFonts w:hint="default"/>
                <w:color w:val="auto"/>
                <w:sz w:val="21"/>
                <w:szCs w:val="21"/>
              </w:rPr>
              <w:t>11.666</w:t>
            </w:r>
          </w:p>
        </w:tc>
      </w:tr>
      <w:tr w14:paraId="509D23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74E44A3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continue"/>
            <w:vAlign w:val="center"/>
          </w:tcPr>
          <w:p w14:paraId="75013B5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632" w:type="pct"/>
            <w:vAlign w:val="center"/>
          </w:tcPr>
          <w:p w14:paraId="4B4E342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SO</w:t>
            </w:r>
            <w:r>
              <w:rPr>
                <w:rFonts w:hint="eastAsia"/>
                <w:color w:val="auto"/>
                <w:vertAlign w:val="subscript"/>
              </w:rPr>
              <w:t>2</w:t>
            </w:r>
          </w:p>
        </w:tc>
        <w:tc>
          <w:tcPr>
            <w:tcW w:w="681" w:type="pct"/>
            <w:vAlign w:val="center"/>
          </w:tcPr>
          <w:p w14:paraId="1234656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0.876</w:t>
            </w:r>
          </w:p>
        </w:tc>
        <w:tc>
          <w:tcPr>
            <w:tcW w:w="722" w:type="pct"/>
            <w:vAlign w:val="center"/>
          </w:tcPr>
          <w:p w14:paraId="7F23366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1016" w:type="dxa"/>
            <w:vAlign w:val="center"/>
          </w:tcPr>
          <w:p w14:paraId="04EBBFCE">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u w:val="single"/>
              </w:rPr>
            </w:pPr>
            <w:r>
              <w:rPr>
                <w:rFonts w:hint="eastAsia" w:eastAsia="等线"/>
                <w:color w:val="auto"/>
                <w:sz w:val="21"/>
                <w:szCs w:val="21"/>
                <w:u w:val="single"/>
              </w:rPr>
              <w:t>0.</w:t>
            </w:r>
            <w:r>
              <w:rPr>
                <w:rFonts w:hint="eastAsia" w:eastAsia="等线"/>
                <w:color w:val="auto"/>
                <w:sz w:val="21"/>
                <w:szCs w:val="21"/>
                <w:u w:val="single"/>
                <w:lang w:val="en-US" w:eastAsia="zh-CN"/>
              </w:rPr>
              <w:t>356</w:t>
            </w:r>
          </w:p>
        </w:tc>
        <w:tc>
          <w:tcPr>
            <w:tcW w:w="1209" w:type="dxa"/>
            <w:vAlign w:val="center"/>
          </w:tcPr>
          <w:p w14:paraId="6329EAF8">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default"/>
                <w:color w:val="auto"/>
                <w:u w:val="single"/>
                <w:lang w:val="en-US" w:eastAsia="zh-CN"/>
              </w:rPr>
              <w:t>1.232</w:t>
            </w:r>
          </w:p>
        </w:tc>
        <w:tc>
          <w:tcPr>
            <w:tcW w:w="1327" w:type="dxa"/>
            <w:vAlign w:val="center"/>
          </w:tcPr>
          <w:p w14:paraId="5A282194">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u w:val="single"/>
              </w:rPr>
            </w:pPr>
            <w:r>
              <w:rPr>
                <w:rFonts w:hint="eastAsia" w:eastAsia="等线"/>
                <w:color w:val="auto"/>
                <w:sz w:val="21"/>
                <w:szCs w:val="21"/>
                <w:u w:val="single"/>
                <w:lang w:val="en-US" w:eastAsia="zh-CN"/>
              </w:rPr>
              <w:t>+</w:t>
            </w:r>
            <w:r>
              <w:rPr>
                <w:rFonts w:hint="eastAsia" w:eastAsia="等线"/>
                <w:color w:val="auto"/>
                <w:sz w:val="21"/>
                <w:szCs w:val="21"/>
                <w:u w:val="single"/>
              </w:rPr>
              <w:t>0.</w:t>
            </w:r>
            <w:r>
              <w:rPr>
                <w:rFonts w:hint="eastAsia" w:eastAsia="等线"/>
                <w:color w:val="auto"/>
                <w:sz w:val="21"/>
                <w:szCs w:val="21"/>
                <w:u w:val="single"/>
                <w:lang w:val="en-US" w:eastAsia="zh-CN"/>
              </w:rPr>
              <w:t>356</w:t>
            </w:r>
          </w:p>
        </w:tc>
      </w:tr>
      <w:tr w14:paraId="09C3A4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37724A2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continue"/>
            <w:vAlign w:val="center"/>
          </w:tcPr>
          <w:p w14:paraId="3694AC1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632" w:type="pct"/>
            <w:vAlign w:val="center"/>
          </w:tcPr>
          <w:p w14:paraId="009ABEF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NO</w:t>
            </w:r>
            <w:r>
              <w:rPr>
                <w:rFonts w:hint="default"/>
                <w:color w:val="auto"/>
              </w:rPr>
              <w:t>x</w:t>
            </w:r>
          </w:p>
        </w:tc>
        <w:tc>
          <w:tcPr>
            <w:tcW w:w="681" w:type="pct"/>
            <w:vAlign w:val="center"/>
          </w:tcPr>
          <w:p w14:paraId="4B9D67B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2.887</w:t>
            </w:r>
          </w:p>
        </w:tc>
        <w:tc>
          <w:tcPr>
            <w:tcW w:w="722" w:type="pct"/>
            <w:vAlign w:val="center"/>
          </w:tcPr>
          <w:p w14:paraId="70A1C59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1016" w:type="dxa"/>
            <w:vAlign w:val="center"/>
          </w:tcPr>
          <w:p w14:paraId="0925B71B">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u w:val="single"/>
              </w:rPr>
            </w:pPr>
            <w:r>
              <w:rPr>
                <w:rFonts w:hint="eastAsia" w:eastAsia="等线"/>
                <w:color w:val="auto"/>
                <w:sz w:val="21"/>
                <w:szCs w:val="21"/>
                <w:u w:val="single"/>
              </w:rPr>
              <w:t>1.</w:t>
            </w:r>
            <w:r>
              <w:rPr>
                <w:rFonts w:hint="eastAsia" w:eastAsia="等线"/>
                <w:color w:val="auto"/>
                <w:sz w:val="21"/>
                <w:szCs w:val="21"/>
                <w:u w:val="single"/>
                <w:lang w:val="en-US" w:eastAsia="zh-CN"/>
              </w:rPr>
              <w:t>175</w:t>
            </w:r>
          </w:p>
        </w:tc>
        <w:tc>
          <w:tcPr>
            <w:tcW w:w="1209" w:type="dxa"/>
            <w:vAlign w:val="center"/>
          </w:tcPr>
          <w:p w14:paraId="06EE2F80">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default"/>
                <w:color w:val="auto"/>
                <w:u w:val="single"/>
                <w:lang w:val="en-US" w:eastAsia="zh-CN"/>
              </w:rPr>
              <w:t>4.062</w:t>
            </w:r>
          </w:p>
        </w:tc>
        <w:tc>
          <w:tcPr>
            <w:tcW w:w="1327" w:type="dxa"/>
            <w:vAlign w:val="center"/>
          </w:tcPr>
          <w:p w14:paraId="7AA0E6D0">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u w:val="single"/>
              </w:rPr>
            </w:pPr>
            <w:r>
              <w:rPr>
                <w:rFonts w:hint="eastAsia" w:eastAsia="等线"/>
                <w:color w:val="auto"/>
                <w:sz w:val="21"/>
                <w:szCs w:val="21"/>
                <w:u w:val="single"/>
                <w:lang w:val="en-US" w:eastAsia="zh-CN"/>
              </w:rPr>
              <w:t>+</w:t>
            </w:r>
            <w:r>
              <w:rPr>
                <w:rFonts w:hint="eastAsia" w:eastAsia="等线"/>
                <w:color w:val="auto"/>
                <w:sz w:val="21"/>
                <w:szCs w:val="21"/>
                <w:u w:val="single"/>
              </w:rPr>
              <w:t>1.</w:t>
            </w:r>
            <w:r>
              <w:rPr>
                <w:rFonts w:hint="eastAsia" w:eastAsia="等线"/>
                <w:color w:val="auto"/>
                <w:sz w:val="21"/>
                <w:szCs w:val="21"/>
                <w:u w:val="single"/>
                <w:lang w:val="en-US" w:eastAsia="zh-CN"/>
              </w:rPr>
              <w:t>175</w:t>
            </w:r>
          </w:p>
        </w:tc>
      </w:tr>
      <w:tr w14:paraId="431822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restart"/>
            <w:vAlign w:val="center"/>
          </w:tcPr>
          <w:p w14:paraId="319B49E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废水</w:t>
            </w:r>
          </w:p>
        </w:tc>
        <w:tc>
          <w:tcPr>
            <w:tcW w:w="588" w:type="pct"/>
            <w:vMerge w:val="restart"/>
            <w:vAlign w:val="center"/>
          </w:tcPr>
          <w:p w14:paraId="2D6EFE08">
            <w:pPr>
              <w:pStyle w:val="77"/>
              <w:keepNext w:val="0"/>
              <w:keepLines w:val="0"/>
              <w:suppressLineNumbers w:val="0"/>
              <w:spacing w:before="0" w:beforeAutospacing="0" w:after="0" w:afterAutospacing="0"/>
              <w:ind w:left="0" w:right="0"/>
              <w:rPr>
                <w:rFonts w:hint="default"/>
                <w:color w:val="auto"/>
              </w:rPr>
            </w:pPr>
            <w:r>
              <w:rPr>
                <w:rFonts w:hint="eastAsia"/>
                <w:color w:val="auto"/>
              </w:rPr>
              <w:t>生活污水</w:t>
            </w:r>
          </w:p>
        </w:tc>
        <w:tc>
          <w:tcPr>
            <w:tcW w:w="632" w:type="pct"/>
            <w:vAlign w:val="center"/>
          </w:tcPr>
          <w:p w14:paraId="16144DF4">
            <w:pPr>
              <w:pStyle w:val="167"/>
              <w:keepNext w:val="0"/>
              <w:keepLines w:val="0"/>
              <w:suppressLineNumbers w:val="0"/>
              <w:spacing w:before="0" w:beforeAutospacing="0" w:after="0" w:afterAutospacing="0"/>
              <w:ind w:right="0"/>
              <w:rPr>
                <w:rFonts w:hint="default"/>
                <w:color w:val="auto"/>
              </w:rPr>
            </w:pPr>
            <w:r>
              <w:rPr>
                <w:rFonts w:hint="eastAsia"/>
                <w:color w:val="auto"/>
              </w:rPr>
              <w:t>废水量</w:t>
            </w:r>
          </w:p>
        </w:tc>
        <w:tc>
          <w:tcPr>
            <w:tcW w:w="681" w:type="pct"/>
            <w:vAlign w:val="center"/>
          </w:tcPr>
          <w:p w14:paraId="23FF4356">
            <w:pPr>
              <w:pStyle w:val="167"/>
              <w:keepNext w:val="0"/>
              <w:keepLines w:val="0"/>
              <w:suppressLineNumbers w:val="0"/>
              <w:spacing w:before="0" w:beforeAutospacing="0" w:after="0" w:afterAutospacing="0"/>
              <w:ind w:right="0"/>
              <w:rPr>
                <w:rFonts w:hint="default"/>
                <w:color w:val="auto"/>
              </w:rPr>
            </w:pPr>
            <w:r>
              <w:rPr>
                <w:rFonts w:hint="default"/>
                <w:color w:val="auto"/>
              </w:rPr>
              <w:t>1008m</w:t>
            </w:r>
            <w:r>
              <w:rPr>
                <w:rFonts w:hint="default"/>
                <w:color w:val="auto"/>
                <w:vertAlign w:val="superscript"/>
              </w:rPr>
              <w:t>3</w:t>
            </w:r>
            <w:r>
              <w:rPr>
                <w:rFonts w:hint="default"/>
                <w:color w:val="auto"/>
              </w:rPr>
              <w:t>/a</w:t>
            </w:r>
          </w:p>
        </w:tc>
        <w:tc>
          <w:tcPr>
            <w:tcW w:w="722" w:type="pct"/>
            <w:vAlign w:val="center"/>
          </w:tcPr>
          <w:p w14:paraId="12C70ED7">
            <w:pPr>
              <w:pStyle w:val="167"/>
              <w:keepNext w:val="0"/>
              <w:keepLines w:val="0"/>
              <w:suppressLineNumbers w:val="0"/>
              <w:spacing w:before="0" w:beforeAutospacing="0" w:after="0" w:afterAutospacing="0"/>
              <w:ind w:right="0"/>
              <w:rPr>
                <w:rFonts w:hint="default"/>
                <w:color w:val="auto"/>
              </w:rPr>
            </w:pPr>
            <w:r>
              <w:rPr>
                <w:rFonts w:hint="eastAsia"/>
                <w:color w:val="auto"/>
              </w:rPr>
              <w:t>0</w:t>
            </w:r>
          </w:p>
        </w:tc>
        <w:tc>
          <w:tcPr>
            <w:tcW w:w="574" w:type="pct"/>
            <w:vAlign w:val="center"/>
          </w:tcPr>
          <w:p w14:paraId="7991045A">
            <w:pPr>
              <w:pStyle w:val="167"/>
              <w:keepNext w:val="0"/>
              <w:keepLines w:val="0"/>
              <w:suppressLineNumbers w:val="0"/>
              <w:spacing w:before="0" w:beforeAutospacing="0" w:after="0" w:afterAutospacing="0"/>
              <w:ind w:right="0"/>
              <w:rPr>
                <w:rFonts w:hint="default"/>
                <w:color w:val="auto"/>
              </w:rPr>
            </w:pPr>
            <w:r>
              <w:rPr>
                <w:rFonts w:hint="eastAsia"/>
                <w:color w:val="auto"/>
              </w:rPr>
              <w:t>0</w:t>
            </w:r>
          </w:p>
        </w:tc>
        <w:tc>
          <w:tcPr>
            <w:tcW w:w="683" w:type="pct"/>
            <w:vAlign w:val="center"/>
          </w:tcPr>
          <w:p w14:paraId="4B60DE04">
            <w:pPr>
              <w:pStyle w:val="167"/>
              <w:keepNext w:val="0"/>
              <w:keepLines w:val="0"/>
              <w:suppressLineNumbers w:val="0"/>
              <w:spacing w:before="0" w:beforeAutospacing="0" w:after="0" w:afterAutospacing="0"/>
              <w:ind w:right="0"/>
              <w:rPr>
                <w:rFonts w:hint="default"/>
                <w:color w:val="auto"/>
              </w:rPr>
            </w:pPr>
            <w:r>
              <w:rPr>
                <w:rFonts w:hint="default"/>
                <w:color w:val="auto"/>
              </w:rPr>
              <w:t>1008m</w:t>
            </w:r>
            <w:r>
              <w:rPr>
                <w:rFonts w:hint="default"/>
                <w:color w:val="auto"/>
                <w:vertAlign w:val="superscript"/>
              </w:rPr>
              <w:t>3</w:t>
            </w:r>
            <w:r>
              <w:rPr>
                <w:rFonts w:hint="default"/>
                <w:color w:val="auto"/>
              </w:rPr>
              <w:t>/a</w:t>
            </w:r>
          </w:p>
        </w:tc>
        <w:tc>
          <w:tcPr>
            <w:tcW w:w="749" w:type="pct"/>
            <w:vAlign w:val="center"/>
          </w:tcPr>
          <w:p w14:paraId="5E3219E4">
            <w:pPr>
              <w:pStyle w:val="167"/>
              <w:keepNext w:val="0"/>
              <w:keepLines w:val="0"/>
              <w:suppressLineNumbers w:val="0"/>
              <w:spacing w:before="0" w:beforeAutospacing="0" w:after="0" w:afterAutospacing="0"/>
              <w:ind w:right="0"/>
              <w:rPr>
                <w:rFonts w:hint="default"/>
                <w:color w:val="auto"/>
              </w:rPr>
            </w:pPr>
            <w:r>
              <w:rPr>
                <w:rFonts w:hint="eastAsia"/>
                <w:color w:val="auto"/>
              </w:rPr>
              <w:t>0</w:t>
            </w:r>
          </w:p>
        </w:tc>
      </w:tr>
      <w:tr w14:paraId="6854A3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0FFF16E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continue"/>
            <w:vAlign w:val="center"/>
          </w:tcPr>
          <w:p w14:paraId="481DD3B0">
            <w:pPr>
              <w:pStyle w:val="77"/>
              <w:keepNext w:val="0"/>
              <w:keepLines w:val="0"/>
              <w:suppressLineNumbers w:val="0"/>
              <w:spacing w:before="0" w:beforeAutospacing="0" w:after="0" w:afterAutospacing="0"/>
              <w:ind w:left="0" w:right="0"/>
              <w:rPr>
                <w:rFonts w:hint="default"/>
                <w:color w:val="auto"/>
              </w:rPr>
            </w:pPr>
          </w:p>
        </w:tc>
        <w:tc>
          <w:tcPr>
            <w:tcW w:w="632" w:type="pct"/>
            <w:vAlign w:val="center"/>
          </w:tcPr>
          <w:p w14:paraId="3B4EDCE2">
            <w:pPr>
              <w:pStyle w:val="167"/>
              <w:keepNext w:val="0"/>
              <w:keepLines w:val="0"/>
              <w:suppressLineNumbers w:val="0"/>
              <w:spacing w:before="0" w:beforeAutospacing="0" w:after="0" w:afterAutospacing="0"/>
              <w:ind w:right="0"/>
              <w:rPr>
                <w:rFonts w:hint="default"/>
                <w:color w:val="auto"/>
              </w:rPr>
            </w:pPr>
            <w:r>
              <w:rPr>
                <w:rFonts w:hint="eastAsia"/>
                <w:color w:val="auto"/>
              </w:rPr>
              <w:t>SS</w:t>
            </w:r>
          </w:p>
        </w:tc>
        <w:tc>
          <w:tcPr>
            <w:tcW w:w="681" w:type="pct"/>
            <w:vAlign w:val="center"/>
          </w:tcPr>
          <w:p w14:paraId="5B7C8AB0">
            <w:pPr>
              <w:pStyle w:val="167"/>
              <w:keepNext w:val="0"/>
              <w:keepLines w:val="0"/>
              <w:suppressLineNumbers w:val="0"/>
              <w:spacing w:before="0" w:beforeAutospacing="0" w:after="0" w:afterAutospacing="0"/>
              <w:ind w:right="0"/>
              <w:rPr>
                <w:rFonts w:hint="default"/>
                <w:color w:val="auto"/>
              </w:rPr>
            </w:pPr>
            <w:r>
              <w:rPr>
                <w:rFonts w:hint="eastAsia"/>
                <w:color w:val="auto"/>
              </w:rPr>
              <w:t>0.504</w:t>
            </w:r>
          </w:p>
        </w:tc>
        <w:tc>
          <w:tcPr>
            <w:tcW w:w="722" w:type="pct"/>
            <w:vAlign w:val="center"/>
          </w:tcPr>
          <w:p w14:paraId="53E171CE">
            <w:pPr>
              <w:pStyle w:val="167"/>
              <w:keepNext w:val="0"/>
              <w:keepLines w:val="0"/>
              <w:suppressLineNumbers w:val="0"/>
              <w:spacing w:before="0" w:beforeAutospacing="0" w:after="0" w:afterAutospacing="0"/>
              <w:ind w:right="0"/>
              <w:rPr>
                <w:rFonts w:hint="default"/>
                <w:color w:val="auto"/>
              </w:rPr>
            </w:pPr>
            <w:r>
              <w:rPr>
                <w:rFonts w:hint="eastAsia"/>
                <w:color w:val="auto"/>
              </w:rPr>
              <w:t>0</w:t>
            </w:r>
          </w:p>
        </w:tc>
        <w:tc>
          <w:tcPr>
            <w:tcW w:w="574" w:type="pct"/>
            <w:vAlign w:val="center"/>
          </w:tcPr>
          <w:p w14:paraId="0AD7CCF2">
            <w:pPr>
              <w:pStyle w:val="167"/>
              <w:keepNext w:val="0"/>
              <w:keepLines w:val="0"/>
              <w:suppressLineNumbers w:val="0"/>
              <w:spacing w:before="0" w:beforeAutospacing="0" w:after="0" w:afterAutospacing="0"/>
              <w:ind w:right="0"/>
              <w:rPr>
                <w:rFonts w:hint="default"/>
                <w:color w:val="auto"/>
              </w:rPr>
            </w:pPr>
            <w:r>
              <w:rPr>
                <w:rFonts w:hint="eastAsia"/>
                <w:color w:val="auto"/>
              </w:rPr>
              <w:t>0</w:t>
            </w:r>
          </w:p>
        </w:tc>
        <w:tc>
          <w:tcPr>
            <w:tcW w:w="683" w:type="pct"/>
            <w:vAlign w:val="center"/>
          </w:tcPr>
          <w:p w14:paraId="13DE22FA">
            <w:pPr>
              <w:pStyle w:val="167"/>
              <w:keepNext w:val="0"/>
              <w:keepLines w:val="0"/>
              <w:suppressLineNumbers w:val="0"/>
              <w:spacing w:before="0" w:beforeAutospacing="0" w:after="0" w:afterAutospacing="0"/>
              <w:ind w:right="0"/>
              <w:rPr>
                <w:rFonts w:hint="default"/>
                <w:color w:val="auto"/>
              </w:rPr>
            </w:pPr>
            <w:r>
              <w:rPr>
                <w:rFonts w:hint="eastAsia"/>
                <w:color w:val="auto"/>
              </w:rPr>
              <w:t>0.504</w:t>
            </w:r>
          </w:p>
        </w:tc>
        <w:tc>
          <w:tcPr>
            <w:tcW w:w="749" w:type="pct"/>
            <w:vAlign w:val="center"/>
          </w:tcPr>
          <w:p w14:paraId="4BF09A1A">
            <w:pPr>
              <w:pStyle w:val="167"/>
              <w:keepNext w:val="0"/>
              <w:keepLines w:val="0"/>
              <w:suppressLineNumbers w:val="0"/>
              <w:spacing w:before="0" w:beforeAutospacing="0" w:after="0" w:afterAutospacing="0"/>
              <w:ind w:right="0"/>
              <w:rPr>
                <w:rFonts w:hint="default"/>
                <w:color w:val="auto"/>
              </w:rPr>
            </w:pPr>
            <w:r>
              <w:rPr>
                <w:rFonts w:hint="eastAsia"/>
                <w:color w:val="auto"/>
              </w:rPr>
              <w:t>0</w:t>
            </w:r>
          </w:p>
        </w:tc>
      </w:tr>
      <w:tr w14:paraId="40619E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1216E6B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continue"/>
            <w:vAlign w:val="center"/>
          </w:tcPr>
          <w:p w14:paraId="139E5C18">
            <w:pPr>
              <w:pStyle w:val="77"/>
              <w:keepNext w:val="0"/>
              <w:keepLines w:val="0"/>
              <w:suppressLineNumbers w:val="0"/>
              <w:spacing w:before="0" w:beforeAutospacing="0" w:after="0" w:afterAutospacing="0"/>
              <w:ind w:left="0" w:right="0"/>
              <w:rPr>
                <w:rFonts w:hint="default"/>
                <w:color w:val="auto"/>
              </w:rPr>
            </w:pPr>
          </w:p>
        </w:tc>
        <w:tc>
          <w:tcPr>
            <w:tcW w:w="632" w:type="pct"/>
            <w:vAlign w:val="center"/>
          </w:tcPr>
          <w:p w14:paraId="3D3FB51F">
            <w:pPr>
              <w:pStyle w:val="167"/>
              <w:keepNext w:val="0"/>
              <w:keepLines w:val="0"/>
              <w:suppressLineNumbers w:val="0"/>
              <w:spacing w:before="0" w:beforeAutospacing="0" w:after="0" w:afterAutospacing="0"/>
              <w:ind w:right="0"/>
              <w:rPr>
                <w:rFonts w:hint="default"/>
                <w:color w:val="auto"/>
              </w:rPr>
            </w:pPr>
            <w:r>
              <w:rPr>
                <w:rFonts w:hint="default"/>
                <w:color w:val="auto"/>
              </w:rPr>
              <w:t>COD</w:t>
            </w:r>
          </w:p>
        </w:tc>
        <w:tc>
          <w:tcPr>
            <w:tcW w:w="681" w:type="pct"/>
            <w:vAlign w:val="center"/>
          </w:tcPr>
          <w:p w14:paraId="50144D23">
            <w:pPr>
              <w:pStyle w:val="167"/>
              <w:keepNext w:val="0"/>
              <w:keepLines w:val="0"/>
              <w:suppressLineNumbers w:val="0"/>
              <w:spacing w:before="0" w:beforeAutospacing="0" w:after="0" w:afterAutospacing="0"/>
              <w:ind w:right="0"/>
              <w:rPr>
                <w:rFonts w:hint="default"/>
                <w:color w:val="auto"/>
              </w:rPr>
            </w:pPr>
            <w:r>
              <w:rPr>
                <w:rFonts w:hint="eastAsia"/>
                <w:color w:val="auto"/>
              </w:rPr>
              <w:t>0.31</w:t>
            </w:r>
          </w:p>
        </w:tc>
        <w:tc>
          <w:tcPr>
            <w:tcW w:w="722" w:type="pct"/>
            <w:vAlign w:val="center"/>
          </w:tcPr>
          <w:p w14:paraId="35E0209E">
            <w:pPr>
              <w:pStyle w:val="167"/>
              <w:keepNext w:val="0"/>
              <w:keepLines w:val="0"/>
              <w:suppressLineNumbers w:val="0"/>
              <w:spacing w:before="0" w:beforeAutospacing="0" w:after="0" w:afterAutospacing="0"/>
              <w:ind w:right="0"/>
              <w:rPr>
                <w:rFonts w:hint="default"/>
                <w:color w:val="auto"/>
              </w:rPr>
            </w:pPr>
            <w:r>
              <w:rPr>
                <w:rFonts w:hint="eastAsia"/>
                <w:color w:val="auto"/>
              </w:rPr>
              <w:t>0</w:t>
            </w:r>
          </w:p>
        </w:tc>
        <w:tc>
          <w:tcPr>
            <w:tcW w:w="574" w:type="pct"/>
            <w:vAlign w:val="center"/>
          </w:tcPr>
          <w:p w14:paraId="72500C43">
            <w:pPr>
              <w:pStyle w:val="167"/>
              <w:keepNext w:val="0"/>
              <w:keepLines w:val="0"/>
              <w:suppressLineNumbers w:val="0"/>
              <w:spacing w:before="0" w:beforeAutospacing="0" w:after="0" w:afterAutospacing="0"/>
              <w:ind w:right="0"/>
              <w:rPr>
                <w:rFonts w:hint="default"/>
                <w:color w:val="auto"/>
              </w:rPr>
            </w:pPr>
            <w:r>
              <w:rPr>
                <w:rFonts w:hint="eastAsia"/>
                <w:color w:val="auto"/>
              </w:rPr>
              <w:t>0</w:t>
            </w:r>
          </w:p>
        </w:tc>
        <w:tc>
          <w:tcPr>
            <w:tcW w:w="683" w:type="pct"/>
            <w:vAlign w:val="center"/>
          </w:tcPr>
          <w:p w14:paraId="03F34F65">
            <w:pPr>
              <w:pStyle w:val="167"/>
              <w:keepNext w:val="0"/>
              <w:keepLines w:val="0"/>
              <w:suppressLineNumbers w:val="0"/>
              <w:spacing w:before="0" w:beforeAutospacing="0" w:after="0" w:afterAutospacing="0"/>
              <w:ind w:right="0"/>
              <w:rPr>
                <w:rFonts w:hint="default"/>
                <w:color w:val="auto"/>
              </w:rPr>
            </w:pPr>
            <w:r>
              <w:rPr>
                <w:rFonts w:hint="eastAsia"/>
                <w:color w:val="auto"/>
              </w:rPr>
              <w:t>0.31</w:t>
            </w:r>
          </w:p>
        </w:tc>
        <w:tc>
          <w:tcPr>
            <w:tcW w:w="749" w:type="pct"/>
            <w:vAlign w:val="center"/>
          </w:tcPr>
          <w:p w14:paraId="28397C48">
            <w:pPr>
              <w:pStyle w:val="167"/>
              <w:keepNext w:val="0"/>
              <w:keepLines w:val="0"/>
              <w:suppressLineNumbers w:val="0"/>
              <w:spacing w:before="0" w:beforeAutospacing="0" w:after="0" w:afterAutospacing="0"/>
              <w:ind w:right="0"/>
              <w:rPr>
                <w:rFonts w:hint="default"/>
                <w:color w:val="auto"/>
              </w:rPr>
            </w:pPr>
            <w:r>
              <w:rPr>
                <w:rFonts w:hint="eastAsia"/>
                <w:color w:val="auto"/>
              </w:rPr>
              <w:t>0</w:t>
            </w:r>
          </w:p>
        </w:tc>
      </w:tr>
      <w:tr w14:paraId="207FAB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7C0BD97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continue"/>
            <w:vAlign w:val="center"/>
          </w:tcPr>
          <w:p w14:paraId="6DA19E90">
            <w:pPr>
              <w:pStyle w:val="77"/>
              <w:keepNext w:val="0"/>
              <w:keepLines w:val="0"/>
              <w:suppressLineNumbers w:val="0"/>
              <w:spacing w:before="0" w:beforeAutospacing="0" w:after="0" w:afterAutospacing="0"/>
              <w:ind w:left="0" w:right="0"/>
              <w:rPr>
                <w:rFonts w:hint="default"/>
                <w:color w:val="auto"/>
              </w:rPr>
            </w:pPr>
          </w:p>
        </w:tc>
        <w:tc>
          <w:tcPr>
            <w:tcW w:w="632" w:type="pct"/>
            <w:vAlign w:val="center"/>
          </w:tcPr>
          <w:p w14:paraId="6C4CE455">
            <w:pPr>
              <w:pStyle w:val="167"/>
              <w:keepNext w:val="0"/>
              <w:keepLines w:val="0"/>
              <w:suppressLineNumbers w:val="0"/>
              <w:spacing w:before="0" w:beforeAutospacing="0" w:after="0" w:afterAutospacing="0"/>
              <w:ind w:right="0"/>
              <w:rPr>
                <w:rFonts w:hint="default"/>
                <w:color w:val="auto"/>
              </w:rPr>
            </w:pPr>
            <w:r>
              <w:rPr>
                <w:rFonts w:hint="eastAsia"/>
                <w:color w:val="auto"/>
              </w:rPr>
              <w:t>BOD</w:t>
            </w:r>
            <w:r>
              <w:rPr>
                <w:rFonts w:hint="eastAsia"/>
                <w:color w:val="auto"/>
                <w:vertAlign w:val="subscript"/>
              </w:rPr>
              <w:t>5</w:t>
            </w:r>
          </w:p>
        </w:tc>
        <w:tc>
          <w:tcPr>
            <w:tcW w:w="681" w:type="pct"/>
            <w:vAlign w:val="center"/>
          </w:tcPr>
          <w:p w14:paraId="5CE091FB">
            <w:pPr>
              <w:pStyle w:val="167"/>
              <w:keepNext w:val="0"/>
              <w:keepLines w:val="0"/>
              <w:suppressLineNumbers w:val="0"/>
              <w:spacing w:before="0" w:beforeAutospacing="0" w:after="0" w:afterAutospacing="0"/>
              <w:ind w:right="0"/>
              <w:rPr>
                <w:rFonts w:hint="default"/>
                <w:color w:val="auto"/>
              </w:rPr>
            </w:pPr>
            <w:r>
              <w:rPr>
                <w:rFonts w:hint="eastAsia"/>
                <w:color w:val="auto"/>
              </w:rPr>
              <w:t>0.15</w:t>
            </w:r>
          </w:p>
        </w:tc>
        <w:tc>
          <w:tcPr>
            <w:tcW w:w="722" w:type="pct"/>
            <w:vAlign w:val="center"/>
          </w:tcPr>
          <w:p w14:paraId="2E4D22D3">
            <w:pPr>
              <w:pStyle w:val="167"/>
              <w:keepNext w:val="0"/>
              <w:keepLines w:val="0"/>
              <w:suppressLineNumbers w:val="0"/>
              <w:spacing w:before="0" w:beforeAutospacing="0" w:after="0" w:afterAutospacing="0"/>
              <w:ind w:right="0"/>
              <w:rPr>
                <w:rFonts w:hint="default"/>
                <w:color w:val="auto"/>
              </w:rPr>
            </w:pPr>
            <w:r>
              <w:rPr>
                <w:rFonts w:hint="eastAsia"/>
                <w:color w:val="auto"/>
              </w:rPr>
              <w:t>0</w:t>
            </w:r>
          </w:p>
        </w:tc>
        <w:tc>
          <w:tcPr>
            <w:tcW w:w="574" w:type="pct"/>
            <w:vAlign w:val="center"/>
          </w:tcPr>
          <w:p w14:paraId="603DCDEB">
            <w:pPr>
              <w:pStyle w:val="167"/>
              <w:keepNext w:val="0"/>
              <w:keepLines w:val="0"/>
              <w:suppressLineNumbers w:val="0"/>
              <w:spacing w:before="0" w:beforeAutospacing="0" w:after="0" w:afterAutospacing="0"/>
              <w:ind w:right="0"/>
              <w:rPr>
                <w:rFonts w:hint="default"/>
                <w:color w:val="auto"/>
              </w:rPr>
            </w:pPr>
            <w:r>
              <w:rPr>
                <w:rFonts w:hint="eastAsia"/>
                <w:color w:val="auto"/>
              </w:rPr>
              <w:t>0</w:t>
            </w:r>
          </w:p>
        </w:tc>
        <w:tc>
          <w:tcPr>
            <w:tcW w:w="683" w:type="pct"/>
            <w:vAlign w:val="center"/>
          </w:tcPr>
          <w:p w14:paraId="3E11A556">
            <w:pPr>
              <w:pStyle w:val="167"/>
              <w:keepNext w:val="0"/>
              <w:keepLines w:val="0"/>
              <w:suppressLineNumbers w:val="0"/>
              <w:spacing w:before="0" w:beforeAutospacing="0" w:after="0" w:afterAutospacing="0"/>
              <w:ind w:right="0"/>
              <w:rPr>
                <w:rFonts w:hint="default"/>
                <w:color w:val="auto"/>
              </w:rPr>
            </w:pPr>
            <w:r>
              <w:rPr>
                <w:rFonts w:hint="eastAsia"/>
                <w:color w:val="auto"/>
              </w:rPr>
              <w:t>0.15</w:t>
            </w:r>
          </w:p>
        </w:tc>
        <w:tc>
          <w:tcPr>
            <w:tcW w:w="749" w:type="pct"/>
            <w:vAlign w:val="center"/>
          </w:tcPr>
          <w:p w14:paraId="46009C79">
            <w:pPr>
              <w:pStyle w:val="167"/>
              <w:keepNext w:val="0"/>
              <w:keepLines w:val="0"/>
              <w:suppressLineNumbers w:val="0"/>
              <w:spacing w:before="0" w:beforeAutospacing="0" w:after="0" w:afterAutospacing="0"/>
              <w:ind w:right="0"/>
              <w:rPr>
                <w:rFonts w:hint="default"/>
                <w:color w:val="auto"/>
              </w:rPr>
            </w:pPr>
            <w:r>
              <w:rPr>
                <w:rFonts w:hint="eastAsia"/>
                <w:color w:val="auto"/>
              </w:rPr>
              <w:t>0</w:t>
            </w:r>
          </w:p>
        </w:tc>
      </w:tr>
      <w:tr w14:paraId="1B7DEC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5CEA880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continue"/>
            <w:vAlign w:val="center"/>
          </w:tcPr>
          <w:p w14:paraId="2C726A5D">
            <w:pPr>
              <w:pStyle w:val="77"/>
              <w:keepNext w:val="0"/>
              <w:keepLines w:val="0"/>
              <w:suppressLineNumbers w:val="0"/>
              <w:spacing w:before="0" w:beforeAutospacing="0" w:after="0" w:afterAutospacing="0"/>
              <w:ind w:left="0" w:right="0"/>
              <w:rPr>
                <w:rFonts w:hint="default"/>
                <w:color w:val="auto"/>
              </w:rPr>
            </w:pPr>
          </w:p>
        </w:tc>
        <w:tc>
          <w:tcPr>
            <w:tcW w:w="632" w:type="pct"/>
            <w:vAlign w:val="center"/>
          </w:tcPr>
          <w:p w14:paraId="3C672D21">
            <w:pPr>
              <w:pStyle w:val="167"/>
              <w:keepNext w:val="0"/>
              <w:keepLines w:val="0"/>
              <w:suppressLineNumbers w:val="0"/>
              <w:spacing w:before="0" w:beforeAutospacing="0" w:after="0" w:afterAutospacing="0"/>
              <w:ind w:right="0"/>
              <w:rPr>
                <w:rFonts w:hint="default"/>
                <w:color w:val="auto"/>
              </w:rPr>
            </w:pPr>
            <w:r>
              <w:rPr>
                <w:rFonts w:hint="eastAsia"/>
                <w:color w:val="auto"/>
              </w:rPr>
              <w:t>氨氮</w:t>
            </w:r>
          </w:p>
        </w:tc>
        <w:tc>
          <w:tcPr>
            <w:tcW w:w="681" w:type="pct"/>
            <w:vAlign w:val="center"/>
          </w:tcPr>
          <w:p w14:paraId="5D3B1F6E">
            <w:pPr>
              <w:pStyle w:val="167"/>
              <w:keepNext w:val="0"/>
              <w:keepLines w:val="0"/>
              <w:suppressLineNumbers w:val="0"/>
              <w:spacing w:before="0" w:beforeAutospacing="0" w:after="0" w:afterAutospacing="0"/>
              <w:ind w:right="0"/>
              <w:rPr>
                <w:rFonts w:hint="default"/>
                <w:color w:val="auto"/>
              </w:rPr>
            </w:pPr>
            <w:r>
              <w:rPr>
                <w:rFonts w:hint="eastAsia"/>
                <w:color w:val="auto"/>
              </w:rPr>
              <w:t>0.04</w:t>
            </w:r>
          </w:p>
        </w:tc>
        <w:tc>
          <w:tcPr>
            <w:tcW w:w="722" w:type="pct"/>
            <w:vAlign w:val="center"/>
          </w:tcPr>
          <w:p w14:paraId="4031B400">
            <w:pPr>
              <w:pStyle w:val="167"/>
              <w:keepNext w:val="0"/>
              <w:keepLines w:val="0"/>
              <w:suppressLineNumbers w:val="0"/>
              <w:spacing w:before="0" w:beforeAutospacing="0" w:after="0" w:afterAutospacing="0"/>
              <w:ind w:right="0"/>
              <w:rPr>
                <w:rFonts w:hint="default"/>
                <w:color w:val="auto"/>
              </w:rPr>
            </w:pPr>
            <w:r>
              <w:rPr>
                <w:rFonts w:hint="eastAsia"/>
                <w:color w:val="auto"/>
              </w:rPr>
              <w:t>0</w:t>
            </w:r>
          </w:p>
        </w:tc>
        <w:tc>
          <w:tcPr>
            <w:tcW w:w="574" w:type="pct"/>
            <w:vAlign w:val="center"/>
          </w:tcPr>
          <w:p w14:paraId="4DD33333">
            <w:pPr>
              <w:pStyle w:val="167"/>
              <w:keepNext w:val="0"/>
              <w:keepLines w:val="0"/>
              <w:suppressLineNumbers w:val="0"/>
              <w:spacing w:before="0" w:beforeAutospacing="0" w:after="0" w:afterAutospacing="0"/>
              <w:ind w:right="0"/>
              <w:rPr>
                <w:rFonts w:hint="default"/>
                <w:color w:val="auto"/>
              </w:rPr>
            </w:pPr>
            <w:r>
              <w:rPr>
                <w:rFonts w:hint="eastAsia"/>
                <w:color w:val="auto"/>
              </w:rPr>
              <w:t>0</w:t>
            </w:r>
          </w:p>
        </w:tc>
        <w:tc>
          <w:tcPr>
            <w:tcW w:w="683" w:type="pct"/>
            <w:vAlign w:val="center"/>
          </w:tcPr>
          <w:p w14:paraId="3A600524">
            <w:pPr>
              <w:pStyle w:val="167"/>
              <w:keepNext w:val="0"/>
              <w:keepLines w:val="0"/>
              <w:suppressLineNumbers w:val="0"/>
              <w:spacing w:before="0" w:beforeAutospacing="0" w:after="0" w:afterAutospacing="0"/>
              <w:ind w:right="0"/>
              <w:rPr>
                <w:rFonts w:hint="default"/>
                <w:color w:val="auto"/>
              </w:rPr>
            </w:pPr>
            <w:r>
              <w:rPr>
                <w:rFonts w:hint="eastAsia"/>
                <w:color w:val="auto"/>
              </w:rPr>
              <w:t>0.04</w:t>
            </w:r>
          </w:p>
        </w:tc>
        <w:tc>
          <w:tcPr>
            <w:tcW w:w="749" w:type="pct"/>
            <w:vAlign w:val="center"/>
          </w:tcPr>
          <w:p w14:paraId="10B21936">
            <w:pPr>
              <w:pStyle w:val="167"/>
              <w:keepNext w:val="0"/>
              <w:keepLines w:val="0"/>
              <w:suppressLineNumbers w:val="0"/>
              <w:spacing w:before="0" w:beforeAutospacing="0" w:after="0" w:afterAutospacing="0"/>
              <w:ind w:right="0"/>
              <w:rPr>
                <w:rFonts w:hint="default"/>
                <w:color w:val="auto"/>
              </w:rPr>
            </w:pPr>
            <w:r>
              <w:rPr>
                <w:rFonts w:hint="eastAsia"/>
                <w:color w:val="auto"/>
              </w:rPr>
              <w:t>0</w:t>
            </w:r>
          </w:p>
        </w:tc>
      </w:tr>
      <w:tr w14:paraId="1B1146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48D3D5D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restart"/>
            <w:vAlign w:val="center"/>
          </w:tcPr>
          <w:p w14:paraId="01BEFC56">
            <w:pPr>
              <w:pStyle w:val="77"/>
              <w:keepNext w:val="0"/>
              <w:keepLines w:val="0"/>
              <w:suppressLineNumbers w:val="0"/>
              <w:spacing w:before="0" w:beforeAutospacing="0" w:after="0" w:afterAutospacing="0"/>
              <w:ind w:left="0" w:right="0"/>
              <w:rPr>
                <w:rFonts w:hint="default"/>
                <w:color w:val="auto"/>
              </w:rPr>
            </w:pPr>
            <w:r>
              <w:rPr>
                <w:rFonts w:hint="eastAsia"/>
                <w:color w:val="auto"/>
              </w:rPr>
              <w:t>初期雨水</w:t>
            </w:r>
          </w:p>
        </w:tc>
        <w:tc>
          <w:tcPr>
            <w:tcW w:w="632" w:type="pct"/>
            <w:vAlign w:val="center"/>
          </w:tcPr>
          <w:p w14:paraId="16E32C5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废水量</w:t>
            </w:r>
          </w:p>
        </w:tc>
        <w:tc>
          <w:tcPr>
            <w:tcW w:w="681" w:type="pct"/>
            <w:vAlign w:val="center"/>
          </w:tcPr>
          <w:p w14:paraId="2427ADF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1726.4m</w:t>
            </w:r>
            <w:r>
              <w:rPr>
                <w:rFonts w:hint="eastAsia"/>
                <w:color w:val="auto"/>
                <w:vertAlign w:val="superscript"/>
              </w:rPr>
              <w:t>3</w:t>
            </w:r>
            <w:r>
              <w:rPr>
                <w:rFonts w:hint="eastAsia"/>
                <w:color w:val="auto"/>
              </w:rPr>
              <w:t>/次</w:t>
            </w:r>
          </w:p>
        </w:tc>
        <w:tc>
          <w:tcPr>
            <w:tcW w:w="722" w:type="pct"/>
            <w:vAlign w:val="center"/>
          </w:tcPr>
          <w:p w14:paraId="2149B05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574" w:type="pct"/>
            <w:vAlign w:val="center"/>
          </w:tcPr>
          <w:p w14:paraId="22FF3B7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683" w:type="pct"/>
            <w:vAlign w:val="center"/>
          </w:tcPr>
          <w:p w14:paraId="34985A9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1726.4m</w:t>
            </w:r>
            <w:r>
              <w:rPr>
                <w:rFonts w:hint="eastAsia"/>
                <w:color w:val="auto"/>
                <w:vertAlign w:val="superscript"/>
              </w:rPr>
              <w:t>3</w:t>
            </w:r>
            <w:r>
              <w:rPr>
                <w:rFonts w:hint="eastAsia"/>
                <w:color w:val="auto"/>
              </w:rPr>
              <w:t>/次</w:t>
            </w:r>
          </w:p>
        </w:tc>
        <w:tc>
          <w:tcPr>
            <w:tcW w:w="749" w:type="pct"/>
            <w:vAlign w:val="center"/>
          </w:tcPr>
          <w:p w14:paraId="53D7DB9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r>
      <w:tr w14:paraId="365BAB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rPr>
          <w:trHeight w:val="303" w:hRule="atLeast"/>
        </w:trPr>
        <w:tc>
          <w:tcPr>
            <w:tcW w:w="371" w:type="pct"/>
            <w:vMerge w:val="continue"/>
            <w:vAlign w:val="center"/>
          </w:tcPr>
          <w:p w14:paraId="00C180F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continue"/>
            <w:vAlign w:val="center"/>
          </w:tcPr>
          <w:p w14:paraId="1A7C2FB0">
            <w:pPr>
              <w:pStyle w:val="77"/>
              <w:keepNext w:val="0"/>
              <w:keepLines w:val="0"/>
              <w:suppressLineNumbers w:val="0"/>
              <w:spacing w:before="0" w:beforeAutospacing="0" w:after="0" w:afterAutospacing="0"/>
              <w:ind w:left="0" w:right="0"/>
              <w:rPr>
                <w:rFonts w:hint="default"/>
                <w:color w:val="auto"/>
              </w:rPr>
            </w:pPr>
          </w:p>
        </w:tc>
        <w:tc>
          <w:tcPr>
            <w:tcW w:w="632" w:type="pct"/>
            <w:vAlign w:val="center"/>
          </w:tcPr>
          <w:p w14:paraId="293E24C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石油类</w:t>
            </w:r>
          </w:p>
        </w:tc>
        <w:tc>
          <w:tcPr>
            <w:tcW w:w="681" w:type="pct"/>
            <w:vAlign w:val="center"/>
          </w:tcPr>
          <w:p w14:paraId="5015508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0.52</w:t>
            </w:r>
          </w:p>
        </w:tc>
        <w:tc>
          <w:tcPr>
            <w:tcW w:w="722" w:type="pct"/>
            <w:vAlign w:val="center"/>
          </w:tcPr>
          <w:p w14:paraId="5CBF1AA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574" w:type="pct"/>
            <w:vAlign w:val="center"/>
          </w:tcPr>
          <w:p w14:paraId="2A6E657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683" w:type="pct"/>
            <w:vAlign w:val="center"/>
          </w:tcPr>
          <w:p w14:paraId="6837562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0.52</w:t>
            </w:r>
          </w:p>
        </w:tc>
        <w:tc>
          <w:tcPr>
            <w:tcW w:w="749" w:type="pct"/>
            <w:vAlign w:val="center"/>
          </w:tcPr>
          <w:p w14:paraId="2DF1F54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r>
      <w:tr w14:paraId="46F5BE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75CCD12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restart"/>
            <w:vAlign w:val="center"/>
          </w:tcPr>
          <w:p w14:paraId="4D81EEAF">
            <w:pPr>
              <w:pStyle w:val="77"/>
              <w:keepNext w:val="0"/>
              <w:keepLines w:val="0"/>
              <w:suppressLineNumbers w:val="0"/>
              <w:spacing w:before="0" w:beforeAutospacing="0" w:after="0" w:afterAutospacing="0"/>
              <w:ind w:left="0" w:right="0"/>
              <w:rPr>
                <w:rFonts w:hint="default"/>
                <w:color w:val="auto"/>
              </w:rPr>
            </w:pPr>
            <w:r>
              <w:rPr>
                <w:rFonts w:hint="eastAsia"/>
                <w:color w:val="auto"/>
              </w:rPr>
              <w:t>冲洗废水</w:t>
            </w:r>
          </w:p>
        </w:tc>
        <w:tc>
          <w:tcPr>
            <w:tcW w:w="632" w:type="pct"/>
            <w:vAlign w:val="center"/>
          </w:tcPr>
          <w:p w14:paraId="0CAE9E1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废水</w:t>
            </w:r>
            <w:r>
              <w:rPr>
                <w:rFonts w:hint="default"/>
                <w:color w:val="auto"/>
              </w:rPr>
              <w:t>量</w:t>
            </w:r>
          </w:p>
        </w:tc>
        <w:tc>
          <w:tcPr>
            <w:tcW w:w="681" w:type="pct"/>
            <w:vAlign w:val="center"/>
          </w:tcPr>
          <w:p w14:paraId="21F3D57D">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144.5m³/a</w:t>
            </w:r>
          </w:p>
        </w:tc>
        <w:tc>
          <w:tcPr>
            <w:tcW w:w="722" w:type="pct"/>
            <w:vAlign w:val="center"/>
          </w:tcPr>
          <w:p w14:paraId="2251DCE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574" w:type="pct"/>
            <w:vAlign w:val="center"/>
          </w:tcPr>
          <w:p w14:paraId="399532A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683" w:type="pct"/>
            <w:vAlign w:val="center"/>
          </w:tcPr>
          <w:p w14:paraId="2BC45615">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144.5m³/a</w:t>
            </w:r>
          </w:p>
        </w:tc>
        <w:tc>
          <w:tcPr>
            <w:tcW w:w="749" w:type="pct"/>
            <w:vAlign w:val="center"/>
          </w:tcPr>
          <w:p w14:paraId="2627265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r>
      <w:tr w14:paraId="385FB9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5C8F97E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continue"/>
            <w:vAlign w:val="center"/>
          </w:tcPr>
          <w:p w14:paraId="0BC2604B">
            <w:pPr>
              <w:pStyle w:val="77"/>
              <w:keepNext w:val="0"/>
              <w:keepLines w:val="0"/>
              <w:suppressLineNumbers w:val="0"/>
              <w:spacing w:before="0" w:beforeAutospacing="0" w:after="0" w:afterAutospacing="0"/>
              <w:ind w:left="0" w:right="0"/>
              <w:rPr>
                <w:rFonts w:hint="default"/>
                <w:color w:val="auto"/>
              </w:rPr>
            </w:pPr>
          </w:p>
        </w:tc>
        <w:tc>
          <w:tcPr>
            <w:tcW w:w="632" w:type="pct"/>
            <w:vAlign w:val="center"/>
          </w:tcPr>
          <w:p w14:paraId="3AF4D0A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石油类</w:t>
            </w:r>
          </w:p>
        </w:tc>
        <w:tc>
          <w:tcPr>
            <w:tcW w:w="681" w:type="pct"/>
            <w:vAlign w:val="center"/>
          </w:tcPr>
          <w:p w14:paraId="5CF53B0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0.044</w:t>
            </w:r>
          </w:p>
        </w:tc>
        <w:tc>
          <w:tcPr>
            <w:tcW w:w="722" w:type="pct"/>
            <w:vAlign w:val="center"/>
          </w:tcPr>
          <w:p w14:paraId="46E5993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574" w:type="pct"/>
            <w:vAlign w:val="center"/>
          </w:tcPr>
          <w:p w14:paraId="7134870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683" w:type="pct"/>
            <w:vAlign w:val="center"/>
          </w:tcPr>
          <w:p w14:paraId="072C4D5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0.044</w:t>
            </w:r>
          </w:p>
        </w:tc>
        <w:tc>
          <w:tcPr>
            <w:tcW w:w="749" w:type="pct"/>
            <w:vAlign w:val="center"/>
          </w:tcPr>
          <w:p w14:paraId="49A0C98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r>
      <w:tr w14:paraId="7CCC15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4B6B8A7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restart"/>
            <w:vAlign w:val="center"/>
          </w:tcPr>
          <w:p w14:paraId="77AADB60">
            <w:pPr>
              <w:pStyle w:val="77"/>
              <w:keepNext w:val="0"/>
              <w:keepLines w:val="0"/>
              <w:suppressLineNumbers w:val="0"/>
              <w:spacing w:before="0" w:beforeAutospacing="0" w:after="0" w:afterAutospacing="0"/>
              <w:ind w:left="0" w:right="0"/>
              <w:rPr>
                <w:rFonts w:hint="default"/>
                <w:color w:val="auto"/>
              </w:rPr>
            </w:pPr>
            <w:r>
              <w:rPr>
                <w:rFonts w:hint="eastAsia"/>
                <w:color w:val="auto"/>
              </w:rPr>
              <w:t>船舶生活污水</w:t>
            </w:r>
          </w:p>
        </w:tc>
        <w:tc>
          <w:tcPr>
            <w:tcW w:w="632" w:type="pct"/>
            <w:vAlign w:val="center"/>
          </w:tcPr>
          <w:p w14:paraId="70AEF94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废水</w:t>
            </w:r>
            <w:r>
              <w:rPr>
                <w:rFonts w:hint="default"/>
                <w:color w:val="auto"/>
              </w:rPr>
              <w:t>量</w:t>
            </w:r>
          </w:p>
        </w:tc>
        <w:tc>
          <w:tcPr>
            <w:tcW w:w="681" w:type="pct"/>
            <w:vAlign w:val="center"/>
          </w:tcPr>
          <w:p w14:paraId="039DAE9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344m</w:t>
            </w:r>
            <w:r>
              <w:rPr>
                <w:rFonts w:hint="default"/>
                <w:color w:val="auto"/>
                <w:vertAlign w:val="superscript"/>
              </w:rPr>
              <w:t>3</w:t>
            </w:r>
            <w:r>
              <w:rPr>
                <w:rFonts w:hint="default"/>
                <w:color w:val="auto"/>
              </w:rPr>
              <w:t>/a</w:t>
            </w:r>
          </w:p>
        </w:tc>
        <w:tc>
          <w:tcPr>
            <w:tcW w:w="722" w:type="pct"/>
            <w:vAlign w:val="center"/>
          </w:tcPr>
          <w:p w14:paraId="533FF80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574" w:type="pct"/>
            <w:vAlign w:val="center"/>
          </w:tcPr>
          <w:p w14:paraId="581AF33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rPr>
              <w:t>168</w:t>
            </w:r>
            <w:r>
              <w:rPr>
                <w:rFonts w:hint="eastAsia"/>
                <w:color w:val="auto"/>
              </w:rPr>
              <w:t>m</w:t>
            </w:r>
            <w:r>
              <w:rPr>
                <w:rFonts w:hint="eastAsia"/>
                <w:color w:val="auto"/>
                <w:vertAlign w:val="superscript"/>
              </w:rPr>
              <w:t>3</w:t>
            </w:r>
            <w:r>
              <w:rPr>
                <w:rFonts w:hint="eastAsia"/>
                <w:color w:val="auto"/>
              </w:rPr>
              <w:t>/a</w:t>
            </w:r>
          </w:p>
        </w:tc>
        <w:tc>
          <w:tcPr>
            <w:tcW w:w="683" w:type="pct"/>
            <w:vAlign w:val="center"/>
          </w:tcPr>
          <w:p w14:paraId="1CF17A8C">
            <w:pPr>
              <w:pStyle w:val="167"/>
              <w:keepNext w:val="0"/>
              <w:keepLines w:val="0"/>
              <w:suppressLineNumbers w:val="0"/>
              <w:spacing w:before="0" w:beforeAutospacing="0" w:after="0" w:afterAutospacing="0"/>
              <w:ind w:right="0"/>
              <w:rPr>
                <w:rFonts w:hint="default"/>
                <w:color w:val="auto"/>
              </w:rPr>
            </w:pPr>
            <w:r>
              <w:rPr>
                <w:rFonts w:hint="default"/>
                <w:color w:val="auto"/>
              </w:rPr>
              <w:t>512</w:t>
            </w:r>
          </w:p>
        </w:tc>
        <w:tc>
          <w:tcPr>
            <w:tcW w:w="749" w:type="pct"/>
            <w:vAlign w:val="center"/>
          </w:tcPr>
          <w:p w14:paraId="76F7001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rPr>
              <w:t>168</w:t>
            </w:r>
            <w:r>
              <w:rPr>
                <w:rFonts w:hint="eastAsia"/>
                <w:color w:val="auto"/>
              </w:rPr>
              <w:t>m</w:t>
            </w:r>
            <w:r>
              <w:rPr>
                <w:rFonts w:hint="eastAsia"/>
                <w:color w:val="auto"/>
                <w:vertAlign w:val="superscript"/>
              </w:rPr>
              <w:t>3</w:t>
            </w:r>
            <w:r>
              <w:rPr>
                <w:rFonts w:hint="eastAsia"/>
                <w:color w:val="auto"/>
              </w:rPr>
              <w:t>/a</w:t>
            </w:r>
          </w:p>
        </w:tc>
      </w:tr>
      <w:tr w14:paraId="382697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3C5A10C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continue"/>
            <w:vAlign w:val="center"/>
          </w:tcPr>
          <w:p w14:paraId="66435C9D">
            <w:pPr>
              <w:pStyle w:val="77"/>
              <w:keepNext w:val="0"/>
              <w:keepLines w:val="0"/>
              <w:suppressLineNumbers w:val="0"/>
              <w:spacing w:before="0" w:beforeAutospacing="0" w:after="0" w:afterAutospacing="0"/>
              <w:ind w:left="0" w:right="0"/>
              <w:rPr>
                <w:rFonts w:hint="default"/>
                <w:color w:val="auto"/>
              </w:rPr>
            </w:pPr>
          </w:p>
        </w:tc>
        <w:tc>
          <w:tcPr>
            <w:tcW w:w="632" w:type="pct"/>
            <w:vAlign w:val="center"/>
          </w:tcPr>
          <w:p w14:paraId="4144F29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SS</w:t>
            </w:r>
          </w:p>
        </w:tc>
        <w:tc>
          <w:tcPr>
            <w:tcW w:w="681" w:type="pct"/>
            <w:vAlign w:val="center"/>
          </w:tcPr>
          <w:p w14:paraId="0D1A5E00">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0.172</w:t>
            </w:r>
          </w:p>
        </w:tc>
        <w:tc>
          <w:tcPr>
            <w:tcW w:w="722" w:type="pct"/>
            <w:vAlign w:val="center"/>
          </w:tcPr>
          <w:p w14:paraId="4794D7C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574" w:type="pct"/>
            <w:vAlign w:val="center"/>
          </w:tcPr>
          <w:p w14:paraId="3425D1F8">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0.084</w:t>
            </w:r>
          </w:p>
        </w:tc>
        <w:tc>
          <w:tcPr>
            <w:tcW w:w="683" w:type="pct"/>
            <w:vAlign w:val="center"/>
          </w:tcPr>
          <w:p w14:paraId="29F4DC2E">
            <w:pPr>
              <w:pStyle w:val="167"/>
              <w:keepNext w:val="0"/>
              <w:keepLines w:val="0"/>
              <w:suppressLineNumbers w:val="0"/>
              <w:spacing w:before="0" w:beforeAutospacing="0" w:after="0" w:afterAutospacing="0"/>
              <w:ind w:right="0"/>
              <w:rPr>
                <w:rFonts w:hint="default"/>
                <w:color w:val="auto"/>
              </w:rPr>
            </w:pPr>
            <w:r>
              <w:rPr>
                <w:rFonts w:hint="default"/>
                <w:color w:val="auto"/>
              </w:rPr>
              <w:t>0.256</w:t>
            </w:r>
          </w:p>
        </w:tc>
        <w:tc>
          <w:tcPr>
            <w:tcW w:w="749" w:type="pct"/>
            <w:vAlign w:val="center"/>
          </w:tcPr>
          <w:p w14:paraId="31AF9652">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0.084</w:t>
            </w:r>
          </w:p>
        </w:tc>
      </w:tr>
      <w:tr w14:paraId="332436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3B9AE01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continue"/>
            <w:vAlign w:val="center"/>
          </w:tcPr>
          <w:p w14:paraId="3F94219C">
            <w:pPr>
              <w:pStyle w:val="77"/>
              <w:keepNext w:val="0"/>
              <w:keepLines w:val="0"/>
              <w:suppressLineNumbers w:val="0"/>
              <w:spacing w:before="0" w:beforeAutospacing="0" w:after="0" w:afterAutospacing="0"/>
              <w:ind w:left="0" w:right="0"/>
              <w:rPr>
                <w:rFonts w:hint="default"/>
                <w:color w:val="auto"/>
              </w:rPr>
            </w:pPr>
          </w:p>
        </w:tc>
        <w:tc>
          <w:tcPr>
            <w:tcW w:w="632" w:type="pct"/>
            <w:vAlign w:val="center"/>
          </w:tcPr>
          <w:p w14:paraId="30DA212F">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COD</w:t>
            </w:r>
          </w:p>
        </w:tc>
        <w:tc>
          <w:tcPr>
            <w:tcW w:w="681" w:type="pct"/>
            <w:vAlign w:val="center"/>
          </w:tcPr>
          <w:p w14:paraId="3B37D4CD">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0.103</w:t>
            </w:r>
          </w:p>
        </w:tc>
        <w:tc>
          <w:tcPr>
            <w:tcW w:w="722" w:type="pct"/>
            <w:vAlign w:val="center"/>
          </w:tcPr>
          <w:p w14:paraId="67EB964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574" w:type="pct"/>
            <w:vAlign w:val="center"/>
          </w:tcPr>
          <w:p w14:paraId="53F24CBC">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0.050</w:t>
            </w:r>
          </w:p>
        </w:tc>
        <w:tc>
          <w:tcPr>
            <w:tcW w:w="683" w:type="pct"/>
            <w:vAlign w:val="center"/>
          </w:tcPr>
          <w:p w14:paraId="1176A1B1">
            <w:pPr>
              <w:pStyle w:val="167"/>
              <w:keepNext w:val="0"/>
              <w:keepLines w:val="0"/>
              <w:suppressLineNumbers w:val="0"/>
              <w:spacing w:before="0" w:beforeAutospacing="0" w:after="0" w:afterAutospacing="0"/>
              <w:ind w:right="0"/>
              <w:rPr>
                <w:rFonts w:hint="default"/>
                <w:color w:val="auto"/>
              </w:rPr>
            </w:pPr>
            <w:r>
              <w:rPr>
                <w:rFonts w:hint="default"/>
                <w:color w:val="auto"/>
              </w:rPr>
              <w:t>0.153</w:t>
            </w:r>
          </w:p>
        </w:tc>
        <w:tc>
          <w:tcPr>
            <w:tcW w:w="749" w:type="pct"/>
            <w:vAlign w:val="center"/>
          </w:tcPr>
          <w:p w14:paraId="0F25AB2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0.050</w:t>
            </w:r>
          </w:p>
        </w:tc>
      </w:tr>
      <w:tr w14:paraId="291C3F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0F38DD1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continue"/>
            <w:vAlign w:val="center"/>
          </w:tcPr>
          <w:p w14:paraId="1385B610">
            <w:pPr>
              <w:pStyle w:val="77"/>
              <w:keepNext w:val="0"/>
              <w:keepLines w:val="0"/>
              <w:suppressLineNumbers w:val="0"/>
              <w:spacing w:before="0" w:beforeAutospacing="0" w:after="0" w:afterAutospacing="0"/>
              <w:ind w:left="0" w:right="0"/>
              <w:rPr>
                <w:rFonts w:hint="default"/>
                <w:color w:val="auto"/>
              </w:rPr>
            </w:pPr>
          </w:p>
        </w:tc>
        <w:tc>
          <w:tcPr>
            <w:tcW w:w="632" w:type="pct"/>
            <w:vAlign w:val="center"/>
          </w:tcPr>
          <w:p w14:paraId="0BA631F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BOD</w:t>
            </w:r>
            <w:r>
              <w:rPr>
                <w:rFonts w:hint="eastAsia"/>
                <w:color w:val="auto"/>
                <w:vertAlign w:val="subscript"/>
              </w:rPr>
              <w:t>5</w:t>
            </w:r>
          </w:p>
        </w:tc>
        <w:tc>
          <w:tcPr>
            <w:tcW w:w="681" w:type="pct"/>
            <w:vAlign w:val="center"/>
          </w:tcPr>
          <w:p w14:paraId="01D7CCBE">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0.052</w:t>
            </w:r>
          </w:p>
        </w:tc>
        <w:tc>
          <w:tcPr>
            <w:tcW w:w="722" w:type="pct"/>
            <w:vAlign w:val="center"/>
          </w:tcPr>
          <w:p w14:paraId="4ED639B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574" w:type="pct"/>
            <w:vAlign w:val="center"/>
          </w:tcPr>
          <w:p w14:paraId="0B71E1A8">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0.025</w:t>
            </w:r>
          </w:p>
        </w:tc>
        <w:tc>
          <w:tcPr>
            <w:tcW w:w="683" w:type="pct"/>
            <w:vAlign w:val="center"/>
          </w:tcPr>
          <w:p w14:paraId="2AEA93EB">
            <w:pPr>
              <w:pStyle w:val="167"/>
              <w:keepNext w:val="0"/>
              <w:keepLines w:val="0"/>
              <w:suppressLineNumbers w:val="0"/>
              <w:spacing w:before="0" w:beforeAutospacing="0" w:after="0" w:afterAutospacing="0"/>
              <w:ind w:right="0"/>
              <w:rPr>
                <w:rFonts w:hint="default"/>
                <w:color w:val="auto"/>
              </w:rPr>
            </w:pPr>
            <w:r>
              <w:rPr>
                <w:rFonts w:hint="default"/>
                <w:color w:val="auto"/>
              </w:rPr>
              <w:t>0.077</w:t>
            </w:r>
          </w:p>
        </w:tc>
        <w:tc>
          <w:tcPr>
            <w:tcW w:w="749" w:type="pct"/>
            <w:vAlign w:val="center"/>
          </w:tcPr>
          <w:p w14:paraId="04396675">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0.025</w:t>
            </w:r>
          </w:p>
        </w:tc>
      </w:tr>
      <w:tr w14:paraId="54D774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3BCDC53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continue"/>
            <w:vAlign w:val="center"/>
          </w:tcPr>
          <w:p w14:paraId="60128499">
            <w:pPr>
              <w:pStyle w:val="77"/>
              <w:keepNext w:val="0"/>
              <w:keepLines w:val="0"/>
              <w:suppressLineNumbers w:val="0"/>
              <w:spacing w:before="0" w:beforeAutospacing="0" w:after="0" w:afterAutospacing="0"/>
              <w:ind w:left="0" w:right="0"/>
              <w:rPr>
                <w:rFonts w:hint="default"/>
                <w:color w:val="auto"/>
              </w:rPr>
            </w:pPr>
          </w:p>
        </w:tc>
        <w:tc>
          <w:tcPr>
            <w:tcW w:w="632" w:type="pct"/>
            <w:vAlign w:val="center"/>
          </w:tcPr>
          <w:p w14:paraId="4175CA5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氨氮</w:t>
            </w:r>
          </w:p>
        </w:tc>
        <w:tc>
          <w:tcPr>
            <w:tcW w:w="681" w:type="pct"/>
            <w:vAlign w:val="center"/>
          </w:tcPr>
          <w:p w14:paraId="5EDFF62B">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0.012</w:t>
            </w:r>
          </w:p>
        </w:tc>
        <w:tc>
          <w:tcPr>
            <w:tcW w:w="722" w:type="pct"/>
            <w:vAlign w:val="center"/>
          </w:tcPr>
          <w:p w14:paraId="50F3C0E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574" w:type="pct"/>
            <w:vAlign w:val="center"/>
          </w:tcPr>
          <w:p w14:paraId="323C9D10">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0.006</w:t>
            </w:r>
          </w:p>
        </w:tc>
        <w:tc>
          <w:tcPr>
            <w:tcW w:w="683" w:type="pct"/>
            <w:vAlign w:val="center"/>
          </w:tcPr>
          <w:p w14:paraId="5A62304C">
            <w:pPr>
              <w:pStyle w:val="167"/>
              <w:keepNext w:val="0"/>
              <w:keepLines w:val="0"/>
              <w:suppressLineNumbers w:val="0"/>
              <w:spacing w:before="0" w:beforeAutospacing="0" w:after="0" w:afterAutospacing="0"/>
              <w:ind w:right="0"/>
              <w:rPr>
                <w:rFonts w:hint="default"/>
                <w:color w:val="auto"/>
              </w:rPr>
            </w:pPr>
            <w:r>
              <w:rPr>
                <w:rFonts w:hint="default"/>
                <w:color w:val="auto"/>
              </w:rPr>
              <w:t>0.018</w:t>
            </w:r>
          </w:p>
        </w:tc>
        <w:tc>
          <w:tcPr>
            <w:tcW w:w="749" w:type="pct"/>
            <w:vAlign w:val="center"/>
          </w:tcPr>
          <w:p w14:paraId="03E3CA60">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0.006</w:t>
            </w:r>
          </w:p>
        </w:tc>
      </w:tr>
      <w:tr w14:paraId="62AA1C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689E4CF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restart"/>
            <w:vAlign w:val="center"/>
          </w:tcPr>
          <w:p w14:paraId="1BFB651E">
            <w:pPr>
              <w:pStyle w:val="77"/>
              <w:keepNext w:val="0"/>
              <w:keepLines w:val="0"/>
              <w:suppressLineNumbers w:val="0"/>
              <w:spacing w:before="0" w:beforeAutospacing="0" w:after="0" w:afterAutospacing="0"/>
              <w:ind w:left="0" w:right="0"/>
              <w:rPr>
                <w:rFonts w:hint="default"/>
                <w:color w:val="auto"/>
              </w:rPr>
            </w:pPr>
            <w:r>
              <w:rPr>
                <w:rFonts w:hint="eastAsia"/>
                <w:color w:val="auto"/>
              </w:rPr>
              <w:t>船舶含油污水</w:t>
            </w:r>
          </w:p>
        </w:tc>
        <w:tc>
          <w:tcPr>
            <w:tcW w:w="632" w:type="pct"/>
            <w:vAlign w:val="center"/>
          </w:tcPr>
          <w:p w14:paraId="1662EB0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废水</w:t>
            </w:r>
            <w:r>
              <w:rPr>
                <w:rFonts w:hint="default"/>
                <w:color w:val="auto"/>
              </w:rPr>
              <w:t>量</w:t>
            </w:r>
          </w:p>
        </w:tc>
        <w:tc>
          <w:tcPr>
            <w:tcW w:w="681" w:type="pct"/>
            <w:vAlign w:val="center"/>
          </w:tcPr>
          <w:p w14:paraId="6BDEDE5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573.92t/a</w:t>
            </w:r>
          </w:p>
        </w:tc>
        <w:tc>
          <w:tcPr>
            <w:tcW w:w="722" w:type="pct"/>
            <w:vAlign w:val="center"/>
          </w:tcPr>
          <w:p w14:paraId="6005241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574" w:type="pct"/>
            <w:vAlign w:val="center"/>
          </w:tcPr>
          <w:p w14:paraId="4046A13C">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214.28</w:t>
            </w:r>
            <w:r>
              <w:rPr>
                <w:rFonts w:hint="eastAsia"/>
                <w:color w:val="auto"/>
              </w:rPr>
              <w:t>m</w:t>
            </w:r>
            <w:r>
              <w:rPr>
                <w:rFonts w:hint="eastAsia"/>
                <w:color w:val="auto"/>
                <w:vertAlign w:val="superscript"/>
              </w:rPr>
              <w:t>3</w:t>
            </w:r>
            <w:r>
              <w:rPr>
                <w:rFonts w:hint="eastAsia"/>
                <w:color w:val="auto"/>
              </w:rPr>
              <w:t>/a</w:t>
            </w:r>
          </w:p>
        </w:tc>
        <w:tc>
          <w:tcPr>
            <w:tcW w:w="683" w:type="pct"/>
            <w:vAlign w:val="center"/>
          </w:tcPr>
          <w:p w14:paraId="70A43F94">
            <w:pPr>
              <w:pStyle w:val="167"/>
              <w:keepNext w:val="0"/>
              <w:keepLines w:val="0"/>
              <w:suppressLineNumbers w:val="0"/>
              <w:spacing w:before="0" w:beforeAutospacing="0" w:after="0" w:afterAutospacing="0"/>
              <w:ind w:right="0"/>
              <w:rPr>
                <w:rFonts w:hint="default"/>
                <w:color w:val="auto"/>
              </w:rPr>
            </w:pPr>
            <w:r>
              <w:rPr>
                <w:rFonts w:hint="default"/>
                <w:color w:val="auto"/>
              </w:rPr>
              <w:t>788.2</w:t>
            </w:r>
          </w:p>
        </w:tc>
        <w:tc>
          <w:tcPr>
            <w:tcW w:w="749" w:type="pct"/>
            <w:vAlign w:val="center"/>
          </w:tcPr>
          <w:p w14:paraId="6828073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214.28</w:t>
            </w:r>
            <w:r>
              <w:rPr>
                <w:rFonts w:hint="eastAsia"/>
                <w:color w:val="auto"/>
              </w:rPr>
              <w:t>m</w:t>
            </w:r>
            <w:r>
              <w:rPr>
                <w:rFonts w:hint="eastAsia"/>
                <w:color w:val="auto"/>
                <w:vertAlign w:val="superscript"/>
              </w:rPr>
              <w:t>3</w:t>
            </w:r>
            <w:r>
              <w:rPr>
                <w:rFonts w:hint="eastAsia"/>
                <w:color w:val="auto"/>
              </w:rPr>
              <w:t>/a</w:t>
            </w:r>
          </w:p>
        </w:tc>
      </w:tr>
      <w:tr w14:paraId="343642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331A11A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continue"/>
            <w:vAlign w:val="center"/>
          </w:tcPr>
          <w:p w14:paraId="0A24FFFB">
            <w:pPr>
              <w:pStyle w:val="77"/>
              <w:keepNext w:val="0"/>
              <w:keepLines w:val="0"/>
              <w:suppressLineNumbers w:val="0"/>
              <w:spacing w:before="0" w:beforeAutospacing="0" w:after="0" w:afterAutospacing="0"/>
              <w:ind w:left="0" w:right="0"/>
              <w:rPr>
                <w:rFonts w:hint="default"/>
                <w:color w:val="auto"/>
              </w:rPr>
            </w:pPr>
          </w:p>
        </w:tc>
        <w:tc>
          <w:tcPr>
            <w:tcW w:w="632" w:type="pct"/>
          </w:tcPr>
          <w:p w14:paraId="487CE366">
            <w:pPr>
              <w:pStyle w:val="91"/>
              <w:keepNext w:val="0"/>
              <w:keepLines w:val="0"/>
              <w:suppressLineNumbers w:val="0"/>
              <w:spacing w:before="0" w:beforeAutospacing="0" w:after="0" w:afterAutospacing="0"/>
              <w:ind w:left="0" w:right="0"/>
              <w:rPr>
                <w:rFonts w:hint="default"/>
                <w:color w:val="auto"/>
              </w:rPr>
            </w:pPr>
            <w:r>
              <w:rPr>
                <w:rFonts w:hint="eastAsia"/>
                <w:color w:val="auto"/>
              </w:rPr>
              <w:t>石油类</w:t>
            </w:r>
          </w:p>
        </w:tc>
        <w:tc>
          <w:tcPr>
            <w:tcW w:w="681" w:type="pct"/>
          </w:tcPr>
          <w:p w14:paraId="7A2CA820">
            <w:pPr>
              <w:pStyle w:val="91"/>
              <w:keepNext w:val="0"/>
              <w:keepLines w:val="0"/>
              <w:suppressLineNumbers w:val="0"/>
              <w:spacing w:before="0" w:beforeAutospacing="0" w:after="0" w:afterAutospacing="0"/>
              <w:ind w:left="0" w:right="0"/>
              <w:rPr>
                <w:rFonts w:hint="default"/>
                <w:color w:val="auto"/>
              </w:rPr>
            </w:pPr>
            <w:r>
              <w:rPr>
                <w:rFonts w:hint="default"/>
                <w:color w:val="auto"/>
              </w:rPr>
              <w:t>5.74</w:t>
            </w:r>
          </w:p>
        </w:tc>
        <w:tc>
          <w:tcPr>
            <w:tcW w:w="722" w:type="pct"/>
            <w:vAlign w:val="center"/>
          </w:tcPr>
          <w:p w14:paraId="1E3ADF4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574" w:type="pct"/>
            <w:vAlign w:val="center"/>
          </w:tcPr>
          <w:p w14:paraId="539509E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2.14</w:t>
            </w:r>
          </w:p>
        </w:tc>
        <w:tc>
          <w:tcPr>
            <w:tcW w:w="683" w:type="pct"/>
          </w:tcPr>
          <w:p w14:paraId="17A9AB9A">
            <w:pPr>
              <w:pStyle w:val="167"/>
              <w:keepNext w:val="0"/>
              <w:keepLines w:val="0"/>
              <w:suppressLineNumbers w:val="0"/>
              <w:spacing w:before="0" w:beforeAutospacing="0" w:after="0" w:afterAutospacing="0"/>
              <w:ind w:right="0"/>
              <w:rPr>
                <w:rFonts w:hint="default"/>
                <w:color w:val="auto"/>
              </w:rPr>
            </w:pPr>
            <w:r>
              <w:rPr>
                <w:rFonts w:hint="default"/>
                <w:color w:val="auto"/>
              </w:rPr>
              <w:t>7.88</w:t>
            </w:r>
          </w:p>
        </w:tc>
        <w:tc>
          <w:tcPr>
            <w:tcW w:w="749" w:type="pct"/>
            <w:vAlign w:val="center"/>
          </w:tcPr>
          <w:p w14:paraId="6328EDC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2.14</w:t>
            </w:r>
          </w:p>
        </w:tc>
      </w:tr>
      <w:tr w14:paraId="179710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restart"/>
            <w:vAlign w:val="center"/>
          </w:tcPr>
          <w:p w14:paraId="2097BCF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固体废物</w:t>
            </w:r>
          </w:p>
        </w:tc>
        <w:tc>
          <w:tcPr>
            <w:tcW w:w="588" w:type="pct"/>
            <w:vMerge w:val="restart"/>
            <w:vAlign w:val="center"/>
          </w:tcPr>
          <w:p w14:paraId="7838CF94">
            <w:pPr>
              <w:pStyle w:val="77"/>
              <w:keepNext w:val="0"/>
              <w:keepLines w:val="0"/>
              <w:suppressLineNumbers w:val="0"/>
              <w:spacing w:before="0" w:beforeAutospacing="0" w:after="0" w:afterAutospacing="0"/>
              <w:ind w:left="0" w:right="0"/>
              <w:rPr>
                <w:rFonts w:hint="default"/>
                <w:color w:val="auto"/>
              </w:rPr>
            </w:pPr>
            <w:r>
              <w:rPr>
                <w:rFonts w:hint="eastAsia"/>
                <w:color w:val="auto"/>
              </w:rPr>
              <w:t>一般固废</w:t>
            </w:r>
          </w:p>
        </w:tc>
        <w:tc>
          <w:tcPr>
            <w:tcW w:w="632" w:type="pct"/>
            <w:vAlign w:val="center"/>
          </w:tcPr>
          <w:p w14:paraId="36805308">
            <w:pPr>
              <w:pStyle w:val="77"/>
              <w:keepNext w:val="0"/>
              <w:keepLines w:val="0"/>
              <w:suppressLineNumbers w:val="0"/>
              <w:spacing w:before="0" w:beforeAutospacing="0" w:after="0" w:afterAutospacing="0"/>
              <w:ind w:left="0" w:right="0"/>
              <w:rPr>
                <w:rFonts w:hint="default"/>
                <w:color w:val="auto"/>
              </w:rPr>
            </w:pPr>
            <w:r>
              <w:rPr>
                <w:rFonts w:hint="eastAsia"/>
                <w:color w:val="auto"/>
              </w:rPr>
              <w:t>生活垃圾</w:t>
            </w:r>
          </w:p>
        </w:tc>
        <w:tc>
          <w:tcPr>
            <w:tcW w:w="681" w:type="pct"/>
            <w:vAlign w:val="center"/>
          </w:tcPr>
          <w:p w14:paraId="73FE33E4">
            <w:pPr>
              <w:pStyle w:val="77"/>
              <w:keepNext w:val="0"/>
              <w:keepLines w:val="0"/>
              <w:suppressLineNumbers w:val="0"/>
              <w:spacing w:before="0" w:beforeAutospacing="0" w:after="0" w:afterAutospacing="0"/>
              <w:ind w:left="0" w:right="0"/>
              <w:rPr>
                <w:rFonts w:hint="default"/>
                <w:color w:val="auto"/>
              </w:rPr>
            </w:pPr>
            <w:r>
              <w:rPr>
                <w:rFonts w:hint="default"/>
                <w:color w:val="auto"/>
              </w:rPr>
              <w:t>18.9</w:t>
            </w:r>
          </w:p>
        </w:tc>
        <w:tc>
          <w:tcPr>
            <w:tcW w:w="722" w:type="pct"/>
            <w:vAlign w:val="center"/>
          </w:tcPr>
          <w:p w14:paraId="7A19B7CC">
            <w:pPr>
              <w:pStyle w:val="77"/>
              <w:keepNext w:val="0"/>
              <w:keepLines w:val="0"/>
              <w:suppressLineNumbers w:val="0"/>
              <w:spacing w:before="0" w:beforeAutospacing="0" w:after="0" w:afterAutospacing="0"/>
              <w:ind w:left="0" w:right="0"/>
              <w:rPr>
                <w:rFonts w:hint="default"/>
                <w:color w:val="auto"/>
              </w:rPr>
            </w:pPr>
            <w:r>
              <w:rPr>
                <w:rFonts w:hint="eastAsia"/>
                <w:color w:val="auto"/>
              </w:rPr>
              <w:t>0</w:t>
            </w:r>
          </w:p>
        </w:tc>
        <w:tc>
          <w:tcPr>
            <w:tcW w:w="574" w:type="pct"/>
            <w:vAlign w:val="center"/>
          </w:tcPr>
          <w:p w14:paraId="47AD049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683" w:type="pct"/>
            <w:vAlign w:val="center"/>
          </w:tcPr>
          <w:p w14:paraId="539716C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18.9</w:t>
            </w:r>
          </w:p>
        </w:tc>
        <w:tc>
          <w:tcPr>
            <w:tcW w:w="749" w:type="pct"/>
            <w:vAlign w:val="center"/>
          </w:tcPr>
          <w:p w14:paraId="6652F53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w:t>
            </w:r>
          </w:p>
        </w:tc>
      </w:tr>
      <w:tr w14:paraId="5CCA96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1962166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continue"/>
            <w:vAlign w:val="center"/>
          </w:tcPr>
          <w:p w14:paraId="63028E4A">
            <w:pPr>
              <w:pStyle w:val="77"/>
              <w:keepNext w:val="0"/>
              <w:keepLines w:val="0"/>
              <w:suppressLineNumbers w:val="0"/>
              <w:spacing w:before="0" w:beforeAutospacing="0" w:after="0" w:afterAutospacing="0"/>
              <w:ind w:left="0" w:right="0"/>
              <w:rPr>
                <w:rFonts w:hint="default"/>
                <w:color w:val="auto"/>
              </w:rPr>
            </w:pPr>
          </w:p>
        </w:tc>
        <w:tc>
          <w:tcPr>
            <w:tcW w:w="632" w:type="pct"/>
            <w:vAlign w:val="center"/>
          </w:tcPr>
          <w:p w14:paraId="7419860B">
            <w:pPr>
              <w:pStyle w:val="77"/>
              <w:keepNext w:val="0"/>
              <w:keepLines w:val="0"/>
              <w:suppressLineNumbers w:val="0"/>
              <w:spacing w:before="0" w:beforeAutospacing="0" w:after="0" w:afterAutospacing="0"/>
              <w:ind w:left="0" w:right="0"/>
              <w:rPr>
                <w:rFonts w:hint="default"/>
                <w:color w:val="auto"/>
              </w:rPr>
            </w:pPr>
            <w:r>
              <w:rPr>
                <w:rFonts w:hint="eastAsia"/>
                <w:color w:val="auto"/>
              </w:rPr>
              <w:t>船舶生活垃圾</w:t>
            </w:r>
          </w:p>
        </w:tc>
        <w:tc>
          <w:tcPr>
            <w:tcW w:w="681" w:type="pct"/>
            <w:vAlign w:val="center"/>
          </w:tcPr>
          <w:p w14:paraId="12385A0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3</w:t>
            </w:r>
          </w:p>
        </w:tc>
        <w:tc>
          <w:tcPr>
            <w:tcW w:w="722" w:type="pct"/>
            <w:vAlign w:val="center"/>
          </w:tcPr>
          <w:p w14:paraId="16E3303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574" w:type="pct"/>
            <w:vAlign w:val="center"/>
          </w:tcPr>
          <w:p w14:paraId="24BC734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3.15</w:t>
            </w:r>
          </w:p>
        </w:tc>
        <w:tc>
          <w:tcPr>
            <w:tcW w:w="683" w:type="pct"/>
            <w:vAlign w:val="center"/>
          </w:tcPr>
          <w:p w14:paraId="6C9E924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6.15</w:t>
            </w:r>
          </w:p>
        </w:tc>
        <w:tc>
          <w:tcPr>
            <w:tcW w:w="749" w:type="pct"/>
            <w:vAlign w:val="center"/>
          </w:tcPr>
          <w:p w14:paraId="1A5F805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3.15</w:t>
            </w:r>
          </w:p>
        </w:tc>
      </w:tr>
      <w:tr w14:paraId="40C487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7B775DB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restart"/>
            <w:vAlign w:val="center"/>
          </w:tcPr>
          <w:p w14:paraId="2D53EF82">
            <w:pPr>
              <w:pStyle w:val="77"/>
              <w:keepNext w:val="0"/>
              <w:keepLines w:val="0"/>
              <w:suppressLineNumbers w:val="0"/>
              <w:spacing w:before="0" w:beforeAutospacing="0" w:after="0" w:afterAutospacing="0"/>
              <w:ind w:left="0" w:right="0"/>
              <w:rPr>
                <w:rFonts w:hint="default"/>
                <w:color w:val="auto"/>
              </w:rPr>
            </w:pPr>
            <w:r>
              <w:rPr>
                <w:rFonts w:hint="eastAsia"/>
                <w:color w:val="auto"/>
              </w:rPr>
              <w:t>危险废物</w:t>
            </w:r>
          </w:p>
        </w:tc>
        <w:tc>
          <w:tcPr>
            <w:tcW w:w="632" w:type="pct"/>
            <w:vAlign w:val="center"/>
          </w:tcPr>
          <w:p w14:paraId="08180B99">
            <w:pPr>
              <w:pStyle w:val="77"/>
              <w:keepNext w:val="0"/>
              <w:keepLines w:val="0"/>
              <w:suppressLineNumbers w:val="0"/>
              <w:spacing w:before="0" w:beforeAutospacing="0" w:after="0" w:afterAutospacing="0"/>
              <w:ind w:left="0" w:right="0"/>
              <w:rPr>
                <w:rFonts w:hint="default"/>
                <w:color w:val="auto"/>
              </w:rPr>
            </w:pPr>
            <w:r>
              <w:rPr>
                <w:rFonts w:hint="eastAsia"/>
                <w:color w:val="auto"/>
              </w:rPr>
              <w:t>罐底</w:t>
            </w:r>
            <w:r>
              <w:rPr>
                <w:rFonts w:hint="default"/>
                <w:color w:val="auto"/>
              </w:rPr>
              <w:t>油泥</w:t>
            </w:r>
          </w:p>
        </w:tc>
        <w:tc>
          <w:tcPr>
            <w:tcW w:w="681" w:type="pct"/>
            <w:vAlign w:val="center"/>
          </w:tcPr>
          <w:p w14:paraId="1D8196F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1.2t/</w:t>
            </w:r>
            <w:r>
              <w:rPr>
                <w:rFonts w:hint="eastAsia"/>
                <w:color w:val="auto"/>
                <w:sz w:val="21"/>
                <w:szCs w:val="21"/>
              </w:rPr>
              <w:t>个</w:t>
            </w:r>
          </w:p>
        </w:tc>
        <w:tc>
          <w:tcPr>
            <w:tcW w:w="722" w:type="pct"/>
            <w:vAlign w:val="center"/>
          </w:tcPr>
          <w:p w14:paraId="0F8A60C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574" w:type="pct"/>
            <w:vAlign w:val="center"/>
          </w:tcPr>
          <w:p w14:paraId="4AAF3EE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683" w:type="pct"/>
            <w:vAlign w:val="center"/>
          </w:tcPr>
          <w:p w14:paraId="400C2B5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1.2t/</w:t>
            </w:r>
            <w:r>
              <w:rPr>
                <w:rFonts w:hint="eastAsia"/>
                <w:color w:val="auto"/>
                <w:sz w:val="21"/>
                <w:szCs w:val="21"/>
              </w:rPr>
              <w:t>个</w:t>
            </w:r>
          </w:p>
        </w:tc>
        <w:tc>
          <w:tcPr>
            <w:tcW w:w="749" w:type="pct"/>
            <w:vAlign w:val="center"/>
          </w:tcPr>
          <w:p w14:paraId="2DE8384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1.2t/</w:t>
            </w:r>
            <w:r>
              <w:rPr>
                <w:rFonts w:hint="eastAsia"/>
                <w:color w:val="auto"/>
                <w:sz w:val="21"/>
                <w:szCs w:val="21"/>
              </w:rPr>
              <w:t>个</w:t>
            </w:r>
          </w:p>
        </w:tc>
      </w:tr>
      <w:tr w14:paraId="7F8D89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105FE9A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continue"/>
            <w:vAlign w:val="center"/>
          </w:tcPr>
          <w:p w14:paraId="4A93DEA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632" w:type="pct"/>
            <w:vAlign w:val="center"/>
          </w:tcPr>
          <w:p w14:paraId="25D2440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废活性炭、含油废滤芯</w:t>
            </w:r>
          </w:p>
        </w:tc>
        <w:tc>
          <w:tcPr>
            <w:tcW w:w="681" w:type="pct"/>
            <w:vAlign w:val="center"/>
          </w:tcPr>
          <w:p w14:paraId="0E8793D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0.6</w:t>
            </w:r>
          </w:p>
        </w:tc>
        <w:tc>
          <w:tcPr>
            <w:tcW w:w="722" w:type="pct"/>
            <w:vAlign w:val="center"/>
          </w:tcPr>
          <w:p w14:paraId="023F386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574" w:type="pct"/>
            <w:vAlign w:val="center"/>
          </w:tcPr>
          <w:p w14:paraId="4E64BCE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0</w:t>
            </w:r>
          </w:p>
        </w:tc>
        <w:tc>
          <w:tcPr>
            <w:tcW w:w="683" w:type="pct"/>
            <w:vAlign w:val="center"/>
          </w:tcPr>
          <w:p w14:paraId="09B1090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0.6</w:t>
            </w:r>
          </w:p>
        </w:tc>
        <w:tc>
          <w:tcPr>
            <w:tcW w:w="749" w:type="pct"/>
            <w:vAlign w:val="center"/>
          </w:tcPr>
          <w:p w14:paraId="67B400B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0.6</w:t>
            </w:r>
          </w:p>
        </w:tc>
      </w:tr>
      <w:tr w14:paraId="14DB07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71" w:type="pct"/>
            <w:vMerge w:val="continue"/>
            <w:vAlign w:val="center"/>
          </w:tcPr>
          <w:p w14:paraId="73EE9B0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588" w:type="pct"/>
            <w:vMerge w:val="continue"/>
            <w:vAlign w:val="center"/>
          </w:tcPr>
          <w:p w14:paraId="23BE612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632" w:type="pct"/>
            <w:vAlign w:val="center"/>
          </w:tcPr>
          <w:p w14:paraId="59A176D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含油</w:t>
            </w:r>
            <w:r>
              <w:rPr>
                <w:rFonts w:hint="default"/>
                <w:color w:val="auto"/>
              </w:rPr>
              <w:t>废物</w:t>
            </w:r>
            <w:r>
              <w:rPr>
                <w:rFonts w:hint="eastAsia"/>
                <w:color w:val="auto"/>
              </w:rPr>
              <w:t>（含油</w:t>
            </w:r>
            <w:r>
              <w:rPr>
                <w:rFonts w:hint="default"/>
                <w:color w:val="auto"/>
              </w:rPr>
              <w:t>抹布、手套等</w:t>
            </w:r>
            <w:r>
              <w:rPr>
                <w:rFonts w:hint="eastAsia"/>
                <w:color w:val="auto"/>
              </w:rPr>
              <w:t>）</w:t>
            </w:r>
          </w:p>
        </w:tc>
        <w:tc>
          <w:tcPr>
            <w:tcW w:w="681" w:type="pct"/>
            <w:vAlign w:val="center"/>
          </w:tcPr>
          <w:p w14:paraId="225840D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0.2</w:t>
            </w:r>
          </w:p>
        </w:tc>
        <w:tc>
          <w:tcPr>
            <w:tcW w:w="722" w:type="pct"/>
            <w:vAlign w:val="center"/>
          </w:tcPr>
          <w:p w14:paraId="2EBC36D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w:t>
            </w:r>
          </w:p>
        </w:tc>
        <w:tc>
          <w:tcPr>
            <w:tcW w:w="574" w:type="pct"/>
            <w:vAlign w:val="center"/>
          </w:tcPr>
          <w:p w14:paraId="058FF16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0.05</w:t>
            </w:r>
          </w:p>
        </w:tc>
        <w:tc>
          <w:tcPr>
            <w:tcW w:w="683" w:type="pct"/>
            <w:vAlign w:val="center"/>
          </w:tcPr>
          <w:p w14:paraId="7E2CD17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0.25</w:t>
            </w:r>
          </w:p>
        </w:tc>
        <w:tc>
          <w:tcPr>
            <w:tcW w:w="749" w:type="pct"/>
            <w:vAlign w:val="center"/>
          </w:tcPr>
          <w:p w14:paraId="186C7BE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0.05</w:t>
            </w:r>
          </w:p>
        </w:tc>
      </w:tr>
    </w:tbl>
    <w:p w14:paraId="298C69E1">
      <w:pPr>
        <w:ind w:firstLine="480"/>
        <w:rPr>
          <w:color w:val="auto"/>
        </w:rPr>
        <w:sectPr>
          <w:headerReference r:id="rId18" w:type="first"/>
          <w:footerReference r:id="rId20" w:type="first"/>
          <w:headerReference r:id="rId16" w:type="default"/>
          <w:headerReference r:id="rId17" w:type="even"/>
          <w:footerReference r:id="rId19" w:type="even"/>
          <w:pgSz w:w="11906" w:h="16838"/>
          <w:pgMar w:top="1417" w:right="1134" w:bottom="1417" w:left="1417" w:header="720" w:footer="720" w:gutter="0"/>
          <w:cols w:space="720" w:num="1"/>
        </w:sectPr>
      </w:pPr>
    </w:p>
    <w:p w14:paraId="7ABAC4BE">
      <w:pPr>
        <w:pStyle w:val="3"/>
        <w:rPr>
          <w:color w:val="auto"/>
        </w:rPr>
      </w:pPr>
      <w:bookmarkStart w:id="340" w:name="_Toc223595762"/>
      <w:bookmarkStart w:id="341" w:name="_Toc223258471"/>
      <w:r>
        <w:rPr>
          <w:color w:val="auto"/>
        </w:rPr>
        <w:t>环境现状调查与评价</w:t>
      </w:r>
      <w:bookmarkEnd w:id="340"/>
      <w:bookmarkEnd w:id="341"/>
    </w:p>
    <w:p w14:paraId="6A1AAE7F">
      <w:pPr>
        <w:pStyle w:val="5"/>
        <w:rPr>
          <w:color w:val="auto"/>
        </w:rPr>
      </w:pPr>
      <w:bookmarkStart w:id="342" w:name="_Toc25436951"/>
      <w:bookmarkEnd w:id="342"/>
      <w:bookmarkStart w:id="343" w:name="_Toc223258472"/>
      <w:bookmarkStart w:id="344" w:name="_Toc223595763"/>
      <w:r>
        <w:rPr>
          <w:color w:val="auto"/>
        </w:rPr>
        <w:t>自然环境概况</w:t>
      </w:r>
      <w:bookmarkEnd w:id="343"/>
      <w:bookmarkEnd w:id="344"/>
    </w:p>
    <w:p w14:paraId="1CA5398C">
      <w:pPr>
        <w:pStyle w:val="4"/>
        <w:rPr>
          <w:color w:val="auto"/>
        </w:rPr>
      </w:pPr>
      <w:bookmarkStart w:id="345" w:name="_Toc29131812"/>
      <w:bookmarkStart w:id="346" w:name="_Toc216620528"/>
      <w:bookmarkStart w:id="347" w:name="_Toc25436955"/>
      <w:bookmarkStart w:id="348" w:name="_Toc136878464"/>
      <w:bookmarkStart w:id="349" w:name="_Toc135090215"/>
      <w:bookmarkStart w:id="350" w:name="_Toc216103369"/>
      <w:bookmarkStart w:id="351" w:name="_Toc26909998"/>
      <w:r>
        <w:rPr>
          <w:color w:val="auto"/>
        </w:rPr>
        <w:t>地理位置</w:t>
      </w:r>
      <w:bookmarkEnd w:id="345"/>
      <w:bookmarkEnd w:id="346"/>
      <w:bookmarkEnd w:id="347"/>
      <w:bookmarkEnd w:id="348"/>
      <w:bookmarkEnd w:id="349"/>
      <w:bookmarkEnd w:id="350"/>
      <w:bookmarkEnd w:id="351"/>
    </w:p>
    <w:p w14:paraId="099D698F">
      <w:pPr>
        <w:ind w:firstLine="480"/>
        <w:rPr>
          <w:color w:val="auto"/>
          <w:kern w:val="0"/>
          <w:szCs w:val="22"/>
        </w:rPr>
      </w:pPr>
      <w:r>
        <w:rPr>
          <w:color w:val="auto"/>
          <w:kern w:val="0"/>
          <w:szCs w:val="22"/>
        </w:rPr>
        <w:t>本项目拟建厂址位于广西钦州港</w:t>
      </w:r>
      <w:r>
        <w:rPr>
          <w:rFonts w:hint="eastAsia"/>
          <w:color w:val="auto"/>
          <w:kern w:val="0"/>
          <w:szCs w:val="22"/>
        </w:rPr>
        <w:t>鹰岭</w:t>
      </w:r>
      <w:r>
        <w:rPr>
          <w:color w:val="auto"/>
          <w:kern w:val="0"/>
          <w:szCs w:val="22"/>
        </w:rPr>
        <w:t>作业区。钦州市东与北海市、玉林市相连，西与防城港市毗邻，北与南宁市接壤，位于北纬20°54′至22°41′，东经107°27′至109°56′之间。钦州市区距南宁市、北海市、防城港市的距离分别约为119km、99km和63km。钦州地处广西沿海地区中心位置，是华南经济圈、西南经济圈与东盟经济圈的结合部，是连接中国西南、华南、中南与东盟大市场的重要枢纽。</w:t>
      </w:r>
    </w:p>
    <w:p w14:paraId="76E7412D">
      <w:pPr>
        <w:ind w:firstLine="480"/>
        <w:rPr>
          <w:color w:val="auto"/>
          <w:kern w:val="0"/>
          <w:szCs w:val="22"/>
        </w:rPr>
      </w:pPr>
      <w:r>
        <w:rPr>
          <w:color w:val="auto"/>
          <w:kern w:val="0"/>
          <w:szCs w:val="22"/>
        </w:rPr>
        <w:t>钦州港经济技术开发区距钦州市中心城区约30km，面向钦州湾和北部湾，距北海港48海里，防城港35海里，海口港150海里，湛江港250海里，香港430海里，越南海防港155海里，是我国大西南最便捷的出海通道之一。</w:t>
      </w:r>
    </w:p>
    <w:p w14:paraId="20BC5E53">
      <w:pPr>
        <w:pStyle w:val="4"/>
        <w:rPr>
          <w:color w:val="auto"/>
        </w:rPr>
      </w:pPr>
      <w:bookmarkStart w:id="352" w:name="_Toc29131813"/>
      <w:bookmarkStart w:id="353" w:name="_Toc26909999"/>
      <w:bookmarkStart w:id="354" w:name="_Toc25436956"/>
      <w:bookmarkStart w:id="355" w:name="_Toc216620529"/>
      <w:bookmarkStart w:id="356" w:name="_Toc136878465"/>
      <w:bookmarkStart w:id="357" w:name="_Toc135090216"/>
      <w:bookmarkStart w:id="358" w:name="_Toc216103370"/>
      <w:r>
        <w:rPr>
          <w:color w:val="auto"/>
        </w:rPr>
        <w:t>地形地貌</w:t>
      </w:r>
      <w:bookmarkEnd w:id="352"/>
      <w:bookmarkEnd w:id="353"/>
      <w:bookmarkEnd w:id="354"/>
      <w:bookmarkEnd w:id="355"/>
      <w:bookmarkEnd w:id="356"/>
      <w:bookmarkEnd w:id="357"/>
      <w:bookmarkEnd w:id="358"/>
    </w:p>
    <w:p w14:paraId="757B5D1B">
      <w:pPr>
        <w:ind w:firstLine="480"/>
        <w:rPr>
          <w:color w:val="auto"/>
          <w:kern w:val="0"/>
          <w:szCs w:val="22"/>
        </w:rPr>
      </w:pPr>
      <w:r>
        <w:rPr>
          <w:color w:val="auto"/>
          <w:kern w:val="0"/>
          <w:szCs w:val="22"/>
        </w:rPr>
        <w:t>（1）钦州市地形、地貌</w:t>
      </w:r>
    </w:p>
    <w:p w14:paraId="18AFD58A">
      <w:pPr>
        <w:ind w:firstLine="480"/>
        <w:rPr>
          <w:color w:val="auto"/>
          <w:kern w:val="0"/>
          <w:szCs w:val="22"/>
        </w:rPr>
      </w:pPr>
      <w:r>
        <w:rPr>
          <w:color w:val="auto"/>
          <w:kern w:val="0"/>
          <w:szCs w:val="22"/>
        </w:rPr>
        <w:t>钦州市正处于广西中部钦江和茅岭江入海口，有相对较多的沿海平原。钦州全市地势北高南低，地貌类型多样，由北往南有规律地分布山地、丘陵、台地、平原。茅尾海北部接纳钦江与茅岭江入海，南部散落众多岛屿。</w:t>
      </w:r>
    </w:p>
    <w:p w14:paraId="2C9FC502">
      <w:pPr>
        <w:ind w:firstLine="480"/>
        <w:rPr>
          <w:color w:val="auto"/>
          <w:kern w:val="0"/>
          <w:szCs w:val="22"/>
        </w:rPr>
      </w:pPr>
      <w:r>
        <w:rPr>
          <w:color w:val="auto"/>
          <w:kern w:val="0"/>
          <w:szCs w:val="22"/>
        </w:rPr>
        <w:t>（2）钦州湾地形、地貌</w:t>
      </w:r>
    </w:p>
    <w:p w14:paraId="0855A836">
      <w:pPr>
        <w:ind w:firstLine="480"/>
        <w:rPr>
          <w:color w:val="auto"/>
          <w:kern w:val="0"/>
          <w:szCs w:val="22"/>
        </w:rPr>
      </w:pPr>
      <w:r>
        <w:rPr>
          <w:color w:val="auto"/>
          <w:kern w:val="0"/>
          <w:szCs w:val="22"/>
        </w:rPr>
        <w:t>钦州湾湾口朝南，东、北、西三面丘陵环抱，是一个半封闭的天然海湾。该湾由内湾（茅尾海）、龙门水道和外湾（狭义的钦州湾）构成，其特点是，中间狭窄、两端宽阔。整个海湾呈低山丘陵、微斜平原及海漫滩地貌。钦州湾由于受地质构造影响以及海水长期浸蚀，基本上没有大片宽阔平坦陆域，湾内大多为砂砾质岩岸。从青菜头至亚公山一带（即内湾南段）礁岛星罗棋布，港汊繁多，蜿蜒曲折，成为典型的台地溺谷。总的来说，该湾段分成东、西两汊，东汊为主，贯通全段，其陆岸为众多弯弯曲曲的小海汊分隔的低丘小岛，从岸线至钦州市约33km，多为低丘地貌，其间除零星散落一些村庄以外，尚无</w:t>
      </w:r>
      <w:r>
        <w:rPr>
          <w:rFonts w:hint="eastAsia"/>
          <w:color w:val="auto"/>
          <w:kern w:val="0"/>
          <w:szCs w:val="22"/>
          <w:lang w:eastAsia="zh-CN"/>
        </w:rPr>
        <w:t>其他重要</w:t>
      </w:r>
      <w:r>
        <w:rPr>
          <w:color w:val="auto"/>
          <w:kern w:val="0"/>
          <w:szCs w:val="22"/>
        </w:rPr>
        <w:t>建筑。</w:t>
      </w:r>
    </w:p>
    <w:p w14:paraId="5922C1DC">
      <w:pPr>
        <w:ind w:firstLine="480"/>
        <w:rPr>
          <w:color w:val="auto"/>
          <w:kern w:val="0"/>
          <w:szCs w:val="22"/>
        </w:rPr>
      </w:pPr>
      <w:r>
        <w:rPr>
          <w:color w:val="auto"/>
          <w:kern w:val="0"/>
          <w:szCs w:val="22"/>
        </w:rPr>
        <w:t>（3）海岸及海岸类型、海底地貌</w:t>
      </w:r>
    </w:p>
    <w:p w14:paraId="2573EF23">
      <w:pPr>
        <w:ind w:firstLine="480"/>
        <w:rPr>
          <w:color w:val="auto"/>
          <w:kern w:val="0"/>
          <w:szCs w:val="22"/>
        </w:rPr>
      </w:pPr>
      <w:r>
        <w:rPr>
          <w:color w:val="auto"/>
          <w:kern w:val="0"/>
          <w:szCs w:val="22"/>
        </w:rPr>
        <w:t>钦州湾的地貌类型比较复杂。按照地貌成因类型和形态特征，钦州湾沿岸地貌和海底地貌，可划分为：侵蚀-剥蚀构造地貌、古洪积-冲积地貌、河流冲积地貌、河海混合堆积地貌~三角洲、海蚀地貌、海积地貌和海底地貌等7种类型。</w:t>
      </w:r>
    </w:p>
    <w:p w14:paraId="6BA9DFDD">
      <w:pPr>
        <w:ind w:firstLine="480"/>
        <w:rPr>
          <w:color w:val="auto"/>
          <w:kern w:val="0"/>
          <w:szCs w:val="22"/>
        </w:rPr>
      </w:pPr>
      <w:r>
        <w:rPr>
          <w:color w:val="auto"/>
          <w:kern w:val="0"/>
          <w:szCs w:val="22"/>
        </w:rPr>
        <w:t>（4）岸线与陆域</w:t>
      </w:r>
    </w:p>
    <w:p w14:paraId="6EFE0C6E">
      <w:pPr>
        <w:ind w:firstLine="480"/>
        <w:rPr>
          <w:color w:val="auto"/>
          <w:kern w:val="0"/>
          <w:szCs w:val="22"/>
        </w:rPr>
      </w:pPr>
      <w:r>
        <w:rPr>
          <w:color w:val="auto"/>
          <w:kern w:val="0"/>
          <w:szCs w:val="22"/>
        </w:rPr>
        <w:t>钦州湾内自青菜头至亚公山一带，海阔水深，具有良好的建港条件。陆域边缘滩地平坦，港汊发育，形态蜿蜒曲折，弱谷型的低丘岛屿星罗棋布，分布纵深达3km，其高度20~50m。岸线以内，丘陵起伏，绵延数十公里，田地较少，村落稀疏，可开发潜力很大，是建设大型海港和工业区的理想之地。厂址附近均为填海造地区域，地势平坦开阔。</w:t>
      </w:r>
    </w:p>
    <w:p w14:paraId="232FCE93">
      <w:pPr>
        <w:ind w:firstLine="480"/>
        <w:rPr>
          <w:color w:val="auto"/>
          <w:kern w:val="0"/>
          <w:szCs w:val="22"/>
        </w:rPr>
      </w:pPr>
      <w:r>
        <w:rPr>
          <w:color w:val="auto"/>
          <w:kern w:val="0"/>
          <w:szCs w:val="22"/>
        </w:rPr>
        <w:t>（5）钦州石化产业园地形地貌</w:t>
      </w:r>
    </w:p>
    <w:p w14:paraId="7C14A58E">
      <w:pPr>
        <w:ind w:firstLine="480"/>
        <w:rPr>
          <w:color w:val="auto"/>
          <w:kern w:val="0"/>
          <w:szCs w:val="22"/>
        </w:rPr>
      </w:pPr>
      <w:r>
        <w:rPr>
          <w:color w:val="auto"/>
          <w:kern w:val="0"/>
          <w:szCs w:val="22"/>
        </w:rPr>
        <w:t>项目所在的钦州石化产业园区域地貌上原属海叉丘陵地貌，大部分区域为低山丘陵谷和浅滩，北高南低。丘陵山体不大，多为孤丘，坡度较小，平均海拔15~20m，其中以对坎龙水库周围的山体较为密集，平均高度60~70m，最高的山体高达140m。东部临金鼓江，南部为沿海滩涂，地势低洼。经过多年地开发建设，钦州石化产业园区南面已形成港口作业区，路网已基本完善。</w:t>
      </w:r>
    </w:p>
    <w:p w14:paraId="3F2035B7">
      <w:pPr>
        <w:pStyle w:val="4"/>
        <w:rPr>
          <w:color w:val="auto"/>
        </w:rPr>
      </w:pPr>
      <w:bookmarkStart w:id="359" w:name="_Toc135090217"/>
      <w:bookmarkStart w:id="360" w:name="_Toc25436957"/>
      <w:bookmarkStart w:id="361" w:name="_Toc26910000"/>
      <w:bookmarkStart w:id="362" w:name="_Toc216103371"/>
      <w:bookmarkStart w:id="363" w:name="_Toc136878466"/>
      <w:bookmarkStart w:id="364" w:name="_Toc216620530"/>
      <w:bookmarkStart w:id="365" w:name="_Toc29131814"/>
      <w:r>
        <w:rPr>
          <w:color w:val="auto"/>
        </w:rPr>
        <w:t>地质概况</w:t>
      </w:r>
      <w:bookmarkEnd w:id="359"/>
      <w:bookmarkEnd w:id="360"/>
      <w:bookmarkEnd w:id="361"/>
      <w:bookmarkEnd w:id="362"/>
      <w:bookmarkEnd w:id="363"/>
      <w:bookmarkEnd w:id="364"/>
      <w:bookmarkEnd w:id="365"/>
    </w:p>
    <w:p w14:paraId="51B99482">
      <w:pPr>
        <w:pStyle w:val="6"/>
        <w:rPr>
          <w:color w:val="auto"/>
        </w:rPr>
      </w:pPr>
      <w:r>
        <w:rPr>
          <w:color w:val="auto"/>
        </w:rPr>
        <w:t>地层岩性</w:t>
      </w:r>
    </w:p>
    <w:p w14:paraId="57830FB3">
      <w:pPr>
        <w:adjustRightInd w:val="0"/>
        <w:snapToGrid w:val="0"/>
        <w:ind w:firstLine="480"/>
        <w:rPr>
          <w:color w:val="auto"/>
          <w:kern w:val="0"/>
          <w:szCs w:val="22"/>
        </w:rPr>
      </w:pPr>
      <w:r>
        <w:rPr>
          <w:color w:val="auto"/>
          <w:kern w:val="0"/>
          <w:szCs w:val="22"/>
        </w:rPr>
        <w:t>评价区主要地层有：下志留统连滩群第五组（S</w:t>
      </w:r>
      <w:r>
        <w:rPr>
          <w:color w:val="auto"/>
          <w:kern w:val="0"/>
          <w:szCs w:val="22"/>
          <w:vertAlign w:val="subscript"/>
        </w:rPr>
        <w:t>1ln</w:t>
      </w:r>
      <w:r>
        <w:rPr>
          <w:color w:val="auto"/>
          <w:kern w:val="0"/>
          <w:szCs w:val="22"/>
          <w:vertAlign w:val="superscript"/>
        </w:rPr>
        <w:t>e</w:t>
      </w:r>
      <w:r>
        <w:rPr>
          <w:color w:val="auto"/>
          <w:kern w:val="0"/>
          <w:szCs w:val="22"/>
        </w:rPr>
        <w:t>）、现代海相沉积（Q</w:t>
      </w:r>
      <w:r>
        <w:rPr>
          <w:color w:val="auto"/>
          <w:kern w:val="0"/>
          <w:szCs w:val="22"/>
          <w:vertAlign w:val="subscript"/>
        </w:rPr>
        <w:t>4－2</w:t>
      </w:r>
      <w:r>
        <w:rPr>
          <w:color w:val="auto"/>
          <w:kern w:val="0"/>
          <w:szCs w:val="22"/>
          <w:vertAlign w:val="superscript"/>
        </w:rPr>
        <w:t>m</w:t>
      </w:r>
      <w:r>
        <w:rPr>
          <w:color w:val="auto"/>
          <w:kern w:val="0"/>
          <w:szCs w:val="22"/>
        </w:rPr>
        <w:t>）和人工填海堆积（Q</w:t>
      </w:r>
      <w:r>
        <w:rPr>
          <w:color w:val="auto"/>
          <w:kern w:val="0"/>
          <w:szCs w:val="22"/>
          <w:vertAlign w:val="subscript"/>
        </w:rPr>
        <w:t>4</w:t>
      </w:r>
      <w:r>
        <w:rPr>
          <w:color w:val="auto"/>
          <w:kern w:val="0"/>
          <w:szCs w:val="22"/>
          <w:vertAlign w:val="superscript"/>
        </w:rPr>
        <w:t>ml</w:t>
      </w:r>
      <w:r>
        <w:rPr>
          <w:color w:val="auto"/>
          <w:kern w:val="0"/>
          <w:szCs w:val="22"/>
        </w:rPr>
        <w:t>），岩性由老到新描述如下：</w:t>
      </w:r>
    </w:p>
    <w:p w14:paraId="59FE2303">
      <w:pPr>
        <w:adjustRightInd w:val="0"/>
        <w:snapToGrid w:val="0"/>
        <w:ind w:firstLine="480"/>
        <w:rPr>
          <w:color w:val="auto"/>
          <w:kern w:val="0"/>
          <w:szCs w:val="22"/>
        </w:rPr>
      </w:pPr>
      <w:r>
        <w:rPr>
          <w:color w:val="auto"/>
          <w:kern w:val="0"/>
          <w:szCs w:val="22"/>
        </w:rPr>
        <w:t>（1）下志留统连滩群第五组（S</w:t>
      </w:r>
      <w:r>
        <w:rPr>
          <w:color w:val="auto"/>
          <w:kern w:val="0"/>
          <w:szCs w:val="22"/>
          <w:vertAlign w:val="subscript"/>
        </w:rPr>
        <w:t>1ln</w:t>
      </w:r>
      <w:r>
        <w:rPr>
          <w:color w:val="auto"/>
          <w:kern w:val="0"/>
          <w:szCs w:val="22"/>
          <w:vertAlign w:val="superscript"/>
        </w:rPr>
        <w:t>e</w:t>
      </w:r>
      <w:r>
        <w:rPr>
          <w:color w:val="auto"/>
          <w:kern w:val="0"/>
          <w:szCs w:val="22"/>
        </w:rPr>
        <w:t>）</w:t>
      </w:r>
    </w:p>
    <w:p w14:paraId="059213E4">
      <w:pPr>
        <w:adjustRightInd w:val="0"/>
        <w:snapToGrid w:val="0"/>
        <w:ind w:firstLine="480"/>
        <w:rPr>
          <w:color w:val="auto"/>
          <w:kern w:val="0"/>
          <w:szCs w:val="22"/>
        </w:rPr>
      </w:pPr>
      <w:r>
        <w:rPr>
          <w:color w:val="auto"/>
          <w:kern w:val="0"/>
          <w:szCs w:val="22"/>
        </w:rPr>
        <w:t>出露于那丁断裂以南，旧营盘以上一带，岩性为中至厚层状细（中细）粒岩屑质砂岩夹泥质粉砂岩、粉砂质页岩、页岩及少量石英砂岩。厚度为1837~1993m。</w:t>
      </w:r>
    </w:p>
    <w:p w14:paraId="5011D796">
      <w:pPr>
        <w:adjustRightInd w:val="0"/>
        <w:snapToGrid w:val="0"/>
        <w:ind w:firstLine="480"/>
        <w:rPr>
          <w:color w:val="auto"/>
          <w:kern w:val="0"/>
          <w:szCs w:val="22"/>
        </w:rPr>
      </w:pPr>
      <w:r>
        <w:rPr>
          <w:color w:val="auto"/>
          <w:kern w:val="0"/>
          <w:szCs w:val="22"/>
        </w:rPr>
        <w:t>（2）现代海相沉积（Q</w:t>
      </w:r>
      <w:r>
        <w:rPr>
          <w:color w:val="auto"/>
          <w:kern w:val="0"/>
          <w:szCs w:val="22"/>
          <w:vertAlign w:val="subscript"/>
        </w:rPr>
        <w:t>4－2</w:t>
      </w:r>
      <w:r>
        <w:rPr>
          <w:color w:val="auto"/>
          <w:kern w:val="0"/>
          <w:szCs w:val="22"/>
          <w:vertAlign w:val="superscript"/>
        </w:rPr>
        <w:t>m</w:t>
      </w:r>
      <w:r>
        <w:rPr>
          <w:color w:val="auto"/>
          <w:kern w:val="0"/>
          <w:szCs w:val="22"/>
        </w:rPr>
        <w:t>）</w:t>
      </w:r>
    </w:p>
    <w:p w14:paraId="57887373">
      <w:pPr>
        <w:adjustRightInd w:val="0"/>
        <w:snapToGrid w:val="0"/>
        <w:ind w:firstLine="480"/>
        <w:rPr>
          <w:color w:val="auto"/>
          <w:kern w:val="0"/>
          <w:szCs w:val="22"/>
        </w:rPr>
      </w:pPr>
      <w:r>
        <w:rPr>
          <w:color w:val="auto"/>
          <w:kern w:val="0"/>
          <w:szCs w:val="22"/>
        </w:rPr>
        <w:t>分布于评价区南部淡水湾、钦州湾一带沿海滩涂，主要为潮间带沉积，岩性为砂质淤泥或淤泥质砂层，厚度为2~5m。</w:t>
      </w:r>
    </w:p>
    <w:p w14:paraId="28C1FA71">
      <w:pPr>
        <w:adjustRightInd w:val="0"/>
        <w:snapToGrid w:val="0"/>
        <w:ind w:firstLine="480"/>
        <w:rPr>
          <w:color w:val="auto"/>
          <w:kern w:val="0"/>
          <w:szCs w:val="22"/>
        </w:rPr>
      </w:pPr>
      <w:r>
        <w:rPr>
          <w:color w:val="auto"/>
          <w:kern w:val="0"/>
          <w:szCs w:val="22"/>
        </w:rPr>
        <w:t>（3）人工填海堆积（Q</w:t>
      </w:r>
      <w:r>
        <w:rPr>
          <w:color w:val="auto"/>
          <w:kern w:val="0"/>
          <w:szCs w:val="22"/>
          <w:vertAlign w:val="subscript"/>
        </w:rPr>
        <w:t>4</w:t>
      </w:r>
      <w:r>
        <w:rPr>
          <w:color w:val="auto"/>
          <w:kern w:val="0"/>
          <w:szCs w:val="22"/>
          <w:vertAlign w:val="superscript"/>
        </w:rPr>
        <w:t>ml</w:t>
      </w:r>
      <w:r>
        <w:rPr>
          <w:color w:val="auto"/>
          <w:kern w:val="0"/>
          <w:szCs w:val="22"/>
        </w:rPr>
        <w:t>）</w:t>
      </w:r>
    </w:p>
    <w:p w14:paraId="34B17799">
      <w:pPr>
        <w:adjustRightInd w:val="0"/>
        <w:snapToGrid w:val="0"/>
        <w:ind w:firstLine="480"/>
        <w:rPr>
          <w:color w:val="auto"/>
          <w:kern w:val="0"/>
          <w:szCs w:val="22"/>
        </w:rPr>
      </w:pPr>
      <w:r>
        <w:rPr>
          <w:color w:val="auto"/>
          <w:kern w:val="0"/>
          <w:szCs w:val="22"/>
        </w:rPr>
        <w:t>分布于旧营盘以东及以南一带，主要岩性为素填土，杂色，以粉质粘土为主，含少量粉砂岩碎块，松散，回填时间10年左右，厚度为1.80~7.90m。</w:t>
      </w:r>
    </w:p>
    <w:p w14:paraId="17460B6A">
      <w:pPr>
        <w:pStyle w:val="6"/>
        <w:rPr>
          <w:color w:val="auto"/>
        </w:rPr>
      </w:pPr>
      <w:r>
        <w:rPr>
          <w:color w:val="auto"/>
        </w:rPr>
        <w:t>地质构造</w:t>
      </w:r>
    </w:p>
    <w:p w14:paraId="7530AB62">
      <w:pPr>
        <w:adjustRightInd w:val="0"/>
        <w:snapToGrid w:val="0"/>
        <w:ind w:firstLine="480"/>
        <w:rPr>
          <w:color w:val="auto"/>
          <w:kern w:val="0"/>
          <w:szCs w:val="22"/>
        </w:rPr>
      </w:pPr>
      <w:r>
        <w:rPr>
          <w:color w:val="auto"/>
          <w:kern w:val="0"/>
          <w:szCs w:val="22"/>
        </w:rPr>
        <w:t>根据区域地质资料，钦州位于新华夏系第二巨型沉降带的西南端与南岭纬向构造带的复合地带，按照各类构造形迹的性质、规模和组合排列关系，项目场地则位属东西向构造体系。主要出露那丽背斜和那丁断裂。</w:t>
      </w:r>
    </w:p>
    <w:p w14:paraId="672BD28C">
      <w:pPr>
        <w:adjustRightInd w:val="0"/>
        <w:snapToGrid w:val="0"/>
        <w:ind w:firstLine="480"/>
        <w:rPr>
          <w:color w:val="auto"/>
          <w:kern w:val="0"/>
          <w:szCs w:val="22"/>
        </w:rPr>
      </w:pPr>
      <w:r>
        <w:rPr>
          <w:color w:val="auto"/>
          <w:kern w:val="0"/>
          <w:szCs w:val="22"/>
        </w:rPr>
        <w:t>根据区域地质资料，钦州位于新华夏系第二巨型沉降带的西南端与南岭纬向构造带的复合地带，按照各类构造形迹的性质、规模和组合排列关系，项目场地则位属东西向构造体系。主要出露那丽背斜(15)和那丁断裂</w:t>
      </w:r>
      <w:r>
        <w:rPr>
          <w:rFonts w:ascii="宋体" w:hAnsi="宋体"/>
          <w:color w:val="auto"/>
          <w:kern w:val="0"/>
          <w:szCs w:val="22"/>
        </w:rPr>
        <w:fldChar w:fldCharType="begin"/>
      </w:r>
      <w:r>
        <w:rPr>
          <w:rFonts w:ascii="宋体" w:hAnsi="宋体"/>
          <w:color w:val="auto"/>
          <w:kern w:val="0"/>
          <w:szCs w:val="22"/>
        </w:rPr>
        <w:instrText xml:space="preserve">eq \o\ac(</w:instrText>
      </w:r>
      <w:r>
        <w:rPr>
          <w:rFonts w:ascii="宋体" w:hAnsi="宋体"/>
          <w:color w:val="auto"/>
          <w:kern w:val="0"/>
          <w:position w:val="-4"/>
          <w:sz w:val="36"/>
          <w:szCs w:val="22"/>
        </w:rPr>
        <w:instrText xml:space="preserve">○</w:instrText>
      </w:r>
      <w:r>
        <w:rPr>
          <w:rFonts w:ascii="宋体" w:hAnsi="宋体"/>
          <w:color w:val="auto"/>
          <w:kern w:val="0"/>
          <w:szCs w:val="22"/>
        </w:rPr>
        <w:instrText xml:space="preserve">,41)</w:instrText>
      </w:r>
      <w:r>
        <w:rPr>
          <w:rFonts w:ascii="宋体" w:hAnsi="宋体"/>
          <w:color w:val="auto"/>
          <w:kern w:val="0"/>
          <w:szCs w:val="22"/>
        </w:rPr>
        <w:fldChar w:fldCharType="end"/>
      </w:r>
      <w:r>
        <w:rPr>
          <w:color w:val="auto"/>
          <w:kern w:val="0"/>
          <w:szCs w:val="22"/>
        </w:rPr>
        <w:t>。</w:t>
      </w:r>
    </w:p>
    <w:p w14:paraId="1739401F">
      <w:pPr>
        <w:adjustRightInd w:val="0"/>
        <w:snapToGrid w:val="0"/>
        <w:ind w:firstLine="482"/>
        <w:rPr>
          <w:b/>
          <w:color w:val="auto"/>
          <w:kern w:val="0"/>
          <w:szCs w:val="22"/>
        </w:rPr>
      </w:pPr>
      <w:r>
        <w:rPr>
          <w:b/>
          <w:color w:val="auto"/>
          <w:kern w:val="0"/>
          <w:szCs w:val="22"/>
        </w:rPr>
        <w:t>（1）褶皱构造</w:t>
      </w:r>
    </w:p>
    <w:p w14:paraId="0A5D9106">
      <w:pPr>
        <w:adjustRightInd w:val="0"/>
        <w:snapToGrid w:val="0"/>
        <w:ind w:firstLine="480"/>
        <w:rPr>
          <w:color w:val="auto"/>
          <w:kern w:val="0"/>
          <w:szCs w:val="22"/>
        </w:rPr>
      </w:pPr>
      <w:r>
        <w:rPr>
          <w:color w:val="auto"/>
          <w:kern w:val="0"/>
          <w:szCs w:val="22"/>
        </w:rPr>
        <w:t>区域主要分布有那丽背斜(15)，属加里东期构造，分布于那丽－大番坡一带，长76km，宽4－13km，轴向略呈反“S”形东北－西南向展布，次级褶皱发育，呈紧密线状，倾角较陡，局部倒转。轴部受那丁断层</w:t>
      </w:r>
      <w:r>
        <w:rPr>
          <w:color w:val="auto"/>
          <w:kern w:val="0"/>
          <w:szCs w:val="22"/>
        </w:rPr>
        <w:fldChar w:fldCharType="begin"/>
      </w:r>
      <w:r>
        <w:rPr>
          <w:color w:val="auto"/>
          <w:kern w:val="0"/>
          <w:szCs w:val="22"/>
        </w:rPr>
        <w:instrText xml:space="preserve">eq \o\ac(</w:instrText>
      </w:r>
      <w:r>
        <w:rPr>
          <w:color w:val="auto"/>
          <w:kern w:val="0"/>
          <w:position w:val="-4"/>
          <w:sz w:val="36"/>
          <w:szCs w:val="22"/>
        </w:rPr>
        <w:instrText xml:space="preserve">○</w:instrText>
      </w:r>
      <w:r>
        <w:rPr>
          <w:color w:val="auto"/>
          <w:kern w:val="0"/>
          <w:szCs w:val="22"/>
        </w:rPr>
        <w:instrText xml:space="preserve">,41)</w:instrText>
      </w:r>
      <w:r>
        <w:rPr>
          <w:color w:val="auto"/>
          <w:kern w:val="0"/>
          <w:szCs w:val="22"/>
        </w:rPr>
        <w:fldChar w:fldCharType="end"/>
      </w:r>
      <w:r>
        <w:rPr>
          <w:color w:val="auto"/>
          <w:kern w:val="0"/>
          <w:szCs w:val="22"/>
        </w:rPr>
        <w:t>所切，南翼全未出露。核部由下志留统连滩群第二组（S</w:t>
      </w:r>
      <w:r>
        <w:rPr>
          <w:color w:val="auto"/>
          <w:kern w:val="0"/>
          <w:szCs w:val="22"/>
          <w:vertAlign w:val="subscript"/>
        </w:rPr>
        <w:t>1ln</w:t>
      </w:r>
      <w:r>
        <w:rPr>
          <w:color w:val="auto"/>
          <w:kern w:val="0"/>
          <w:szCs w:val="22"/>
          <w:vertAlign w:val="superscript"/>
        </w:rPr>
        <w:t>b</w:t>
      </w:r>
      <w:r>
        <w:rPr>
          <w:color w:val="auto"/>
          <w:kern w:val="0"/>
          <w:szCs w:val="22"/>
        </w:rPr>
        <w:t>）组成、倾角40~70度，翼部由下志留统连滩群第三组（S</w:t>
      </w:r>
      <w:r>
        <w:rPr>
          <w:color w:val="auto"/>
          <w:kern w:val="0"/>
          <w:szCs w:val="22"/>
          <w:vertAlign w:val="subscript"/>
        </w:rPr>
        <w:t>1ln</w:t>
      </w:r>
      <w:r>
        <w:rPr>
          <w:color w:val="auto"/>
          <w:kern w:val="0"/>
          <w:szCs w:val="22"/>
          <w:vertAlign w:val="superscript"/>
        </w:rPr>
        <w:t>c</w:t>
      </w:r>
      <w:r>
        <w:rPr>
          <w:color w:val="auto"/>
          <w:kern w:val="0"/>
          <w:szCs w:val="22"/>
        </w:rPr>
        <w:t>）组成、倾角35－75度。后期被4条北西向断层所切割产生错移。但是那丽背斜由于离项目场地距离大于10km，对项目场地的影响甚微。</w:t>
      </w:r>
    </w:p>
    <w:p w14:paraId="429149A7">
      <w:pPr>
        <w:adjustRightInd w:val="0"/>
        <w:snapToGrid w:val="0"/>
        <w:ind w:firstLine="482"/>
        <w:rPr>
          <w:b/>
          <w:color w:val="auto"/>
          <w:kern w:val="0"/>
          <w:szCs w:val="22"/>
        </w:rPr>
      </w:pPr>
      <w:r>
        <w:rPr>
          <w:b/>
          <w:color w:val="auto"/>
          <w:kern w:val="0"/>
          <w:szCs w:val="22"/>
        </w:rPr>
        <w:t>（2）断裂构造</w:t>
      </w:r>
    </w:p>
    <w:p w14:paraId="5AC36787">
      <w:pPr>
        <w:ind w:firstLine="480"/>
        <w:rPr>
          <w:color w:val="auto"/>
        </w:rPr>
      </w:pPr>
      <w:r>
        <w:rPr>
          <w:color w:val="auto"/>
        </w:rPr>
        <w:t>区域主要分布有那丁断裂</w:t>
      </w:r>
      <w:r>
        <w:rPr>
          <w:color w:val="auto"/>
        </w:rPr>
        <w:fldChar w:fldCharType="begin"/>
      </w:r>
      <w:r>
        <w:rPr>
          <w:color w:val="auto"/>
        </w:rPr>
        <w:instrText xml:space="preserve">eq \o\ac(○,41)</w:instrText>
      </w:r>
      <w:r>
        <w:rPr>
          <w:color w:val="auto"/>
        </w:rPr>
        <w:fldChar w:fldCharType="end"/>
      </w:r>
      <w:r>
        <w:rPr>
          <w:color w:val="auto"/>
        </w:rPr>
        <w:t>，分布于那丽背斜南侧，与背斜轴线平行延伸，是褶皱发展强度达到极限的破裂形变，断面舒缓挠曲，西南段倾向南东，倾角35度；东北段倾向北或北北西，倾角46~80度；切割S~D1地层，断距5.7~8.4km，属压性逆断层，断裂带岩石挤压破碎、硅化，强烈拖褶，具斜冲擦痕。由于那丁断裂</w:t>
      </w:r>
      <w:r>
        <w:rPr>
          <w:color w:val="auto"/>
        </w:rPr>
        <w:fldChar w:fldCharType="begin"/>
      </w:r>
      <w:r>
        <w:rPr>
          <w:color w:val="auto"/>
        </w:rPr>
        <w:instrText xml:space="preserve">eq \o\ac(○,41)</w:instrText>
      </w:r>
      <w:r>
        <w:rPr>
          <w:color w:val="auto"/>
        </w:rPr>
        <w:fldChar w:fldCharType="end"/>
      </w:r>
      <w:r>
        <w:rPr>
          <w:color w:val="auto"/>
        </w:rPr>
        <w:t>离项目场地距离大于15km，所以对项目场地的影响甚微。</w:t>
      </w:r>
    </w:p>
    <w:p w14:paraId="15679A69">
      <w:pPr>
        <w:spacing w:line="240" w:lineRule="atLeast"/>
        <w:ind w:firstLine="480"/>
        <w:rPr>
          <w:color w:val="auto"/>
          <w:kern w:val="0"/>
          <w:sz w:val="28"/>
          <w:szCs w:val="28"/>
        </w:rPr>
      </w:pPr>
      <w:r>
        <w:rPr>
          <w:color w:val="auto"/>
          <w:szCs w:val="22"/>
        </w:rPr>
        <mc:AlternateContent>
          <mc:Choice Requires="wps">
            <w:drawing>
              <wp:anchor distT="0" distB="0" distL="114300" distR="114300" simplePos="0" relativeHeight="251662336" behindDoc="0" locked="0" layoutInCell="1" allowOverlap="1">
                <wp:simplePos x="0" y="0"/>
                <wp:positionH relativeFrom="column">
                  <wp:posOffset>3783965</wp:posOffset>
                </wp:positionH>
                <wp:positionV relativeFrom="paragraph">
                  <wp:posOffset>5365750</wp:posOffset>
                </wp:positionV>
                <wp:extent cx="118745" cy="118745"/>
                <wp:effectExtent l="0" t="0" r="14605" b="14605"/>
                <wp:wrapNone/>
                <wp:docPr id="28" name="矩形 85"/>
                <wp:cNvGraphicFramePr/>
                <a:graphic xmlns:a="http://schemas.openxmlformats.org/drawingml/2006/main">
                  <a:graphicData uri="http://schemas.microsoft.com/office/word/2010/wordprocessingShape">
                    <wps:wsp>
                      <wps:cNvSpPr>
                        <a:spLocks noChangeArrowheads="1"/>
                      </wps:cNvSpPr>
                      <wps:spPr bwMode="auto">
                        <a:xfrm>
                          <a:off x="0" y="0"/>
                          <a:ext cx="118745" cy="118745"/>
                        </a:xfrm>
                        <a:prstGeom prst="rect">
                          <a:avLst/>
                        </a:prstGeom>
                        <a:solidFill>
                          <a:srgbClr val="FF0000"/>
                        </a:solidFill>
                        <a:ln w="9525" algn="ctr">
                          <a:solidFill>
                            <a:srgbClr val="FF0000"/>
                          </a:solidFill>
                          <a:miter lim="800000"/>
                        </a:ln>
                        <a:effectLst/>
                      </wps:spPr>
                      <wps:bodyPr rot="0" vert="horz" wrap="square" lIns="91440" tIns="45720" rIns="91440" bIns="45720" anchor="t" anchorCtr="0" upright="1">
                        <a:noAutofit/>
                      </wps:bodyPr>
                    </wps:wsp>
                  </a:graphicData>
                </a:graphic>
              </wp:anchor>
            </w:drawing>
          </mc:Choice>
          <mc:Fallback>
            <w:pict>
              <v:rect id="矩形 85" o:spid="_x0000_s1026" o:spt="1" style="position:absolute;left:0pt;margin-left:297.95pt;margin-top:422.5pt;height:9.35pt;width:9.35pt;z-index:251662336;mso-width-relative:page;mso-height-relative:page;" fillcolor="#FF0000" filled="t" stroked="t" coordsize="21600,21600" o:gfxdata="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WMAU3bAAAACwEAAA8AAAAAAAAAAQAgAAAAIgAAAGRy&#10;cy9kb3ducmV2LnhtbFBLAQIUABQAAAAIAIdO4kBBdIzOOwIAAIkEAAAOAAAAAAAAAAEAIAAAACoB&#10;AABkcnMvZTJvRG9jLnhtbFBLBQYAAAAABgAGAFkBAADXBQAAAAA=&#10;">
                <v:fill on="t" focussize="0,0"/>
                <v:stroke color="#FF0000" miterlimit="8" joinstyle="miter"/>
                <v:imagedata o:title=""/>
                <o:lock v:ext="edit" aspectratio="f"/>
              </v:rect>
            </w:pict>
          </mc:Fallback>
        </mc:AlternateContent>
      </w:r>
      <w:r>
        <w:rPr>
          <w:color w:val="auto"/>
          <w:szCs w:val="22"/>
        </w:rPr>
        <mc:AlternateContent>
          <mc:Choice Requires="wps">
            <w:drawing>
              <wp:anchor distT="0" distB="0" distL="114300" distR="114300" simplePos="0" relativeHeight="251660288" behindDoc="0" locked="0" layoutInCell="1" allowOverlap="1">
                <wp:simplePos x="0" y="0"/>
                <wp:positionH relativeFrom="column">
                  <wp:posOffset>3730625</wp:posOffset>
                </wp:positionH>
                <wp:positionV relativeFrom="paragraph">
                  <wp:posOffset>5923280</wp:posOffset>
                </wp:positionV>
                <wp:extent cx="607060" cy="280035"/>
                <wp:effectExtent l="0" t="552450" r="21590" b="24765"/>
                <wp:wrapNone/>
                <wp:docPr id="29" name="圆角矩形标注 84"/>
                <wp:cNvGraphicFramePr/>
                <a:graphic xmlns:a="http://schemas.openxmlformats.org/drawingml/2006/main">
                  <a:graphicData uri="http://schemas.microsoft.com/office/word/2010/wordprocessingShape">
                    <wps:wsp>
                      <wps:cNvSpPr>
                        <a:spLocks noChangeArrowheads="1"/>
                      </wps:cNvSpPr>
                      <wps:spPr bwMode="auto">
                        <a:xfrm>
                          <a:off x="0" y="0"/>
                          <a:ext cx="607060" cy="280035"/>
                        </a:xfrm>
                        <a:prstGeom prst="wedgeRoundRectCallout">
                          <a:avLst>
                            <a:gd name="adj1" fmla="val -32319"/>
                            <a:gd name="adj2" fmla="val -228921"/>
                            <a:gd name="adj3" fmla="val 16667"/>
                          </a:avLst>
                        </a:prstGeom>
                        <a:solidFill>
                          <a:srgbClr val="FFFFFF">
                            <a:alpha val="52000"/>
                          </a:srgbClr>
                        </a:solidFill>
                        <a:ln w="9525" algn="ctr">
                          <a:solidFill>
                            <a:srgbClr val="FF0000"/>
                          </a:solidFill>
                          <a:miter lim="800000"/>
                        </a:ln>
                        <a:effectLst/>
                      </wps:spPr>
                      <wps:txbx>
                        <w:txbxContent>
                          <w:p w14:paraId="47D640B0">
                            <w:pPr>
                              <w:spacing w:line="240" w:lineRule="auto"/>
                              <w:ind w:firstLine="0" w:firstLineChars="0"/>
                              <w:rPr>
                                <w:color w:val="FF0000"/>
                                <w:spacing w:val="-10"/>
                                <w:sz w:val="21"/>
                              </w:rPr>
                            </w:pPr>
                            <w:r>
                              <w:rPr>
                                <w:rFonts w:hint="eastAsia"/>
                                <w:color w:val="FF0000"/>
                                <w:spacing w:val="-10"/>
                                <w:sz w:val="21"/>
                              </w:rPr>
                              <w:t>项目位置</w:t>
                            </w:r>
                          </w:p>
                        </w:txbxContent>
                      </wps:txbx>
                      <wps:bodyPr rot="0" vert="horz" wrap="square" lIns="0" tIns="45720" rIns="0" bIns="45720" anchor="t" anchorCtr="0" upright="1">
                        <a:noAutofit/>
                      </wps:bodyPr>
                    </wps:wsp>
                  </a:graphicData>
                </a:graphic>
              </wp:anchor>
            </w:drawing>
          </mc:Choice>
          <mc:Fallback>
            <w:pict>
              <v:shape id="圆角矩形标注 84" o:spid="_x0000_s1026" o:spt="62" type="#_x0000_t62" style="position:absolute;left:0pt;margin-left:293.75pt;margin-top:466.4pt;height:22.05pt;width:47.8pt;z-index:251660288;mso-width-relative:page;mso-height-relative:page;" fillcolor="#FFFFFF" filled="t" stroked="t" coordsize="21600,21600" o:gfxdata="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t6UWQ2gAAAAsBAAAPAAAAAAAAAAEAIAAAACIAAABkcnMvZG93&#10;bnJldi54bWxQSwECFAAUAAAACACHTuJAQzLRU6kCAABCBQAADgAAAAAAAAABACAAAAApAQAAZHJz&#10;L2Uyb0RvYy54bWxQSwUGAAAAAAYABgBZAQAARAYAAAAA&#10;" adj="3819,-38647,14400">
                <v:fill on="t" opacity="34078f" focussize="0,0"/>
                <v:stroke color="#FF0000" miterlimit="8" joinstyle="miter"/>
                <v:imagedata o:title=""/>
                <o:lock v:ext="edit" aspectratio="f"/>
                <v:textbox inset="0mm,1.27mm,0mm,1.27mm">
                  <w:txbxContent>
                    <w:p w14:paraId="47D640B0">
                      <w:pPr>
                        <w:spacing w:line="240" w:lineRule="auto"/>
                        <w:ind w:firstLine="0" w:firstLineChars="0"/>
                        <w:rPr>
                          <w:color w:val="FF0000"/>
                          <w:spacing w:val="-10"/>
                          <w:sz w:val="21"/>
                        </w:rPr>
                      </w:pPr>
                      <w:r>
                        <w:rPr>
                          <w:rFonts w:hint="eastAsia"/>
                          <w:color w:val="FF0000"/>
                          <w:spacing w:val="-10"/>
                          <w:sz w:val="21"/>
                        </w:rPr>
                        <w:t>项目位置</w:t>
                      </w:r>
                    </w:p>
                  </w:txbxContent>
                </v:textbox>
              </v:shape>
            </w:pict>
          </mc:Fallback>
        </mc:AlternateContent>
      </w:r>
      <w:r>
        <w:rPr>
          <w:color w:val="auto"/>
          <w:kern w:val="0"/>
          <w:sz w:val="28"/>
          <w:szCs w:val="28"/>
        </w:rPr>
        <w:drawing>
          <wp:inline distT="0" distB="0" distL="0" distR="0">
            <wp:extent cx="5505450" cy="8515350"/>
            <wp:effectExtent l="0" t="0" r="0" b="0"/>
            <wp:docPr id="39" name="图片 8" descr="构造纲要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descr="构造纲要图"/>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505450" cy="8515350"/>
                    </a:xfrm>
                    <a:prstGeom prst="rect">
                      <a:avLst/>
                    </a:prstGeom>
                    <a:solidFill>
                      <a:srgbClr val="FFFFFF"/>
                    </a:solidFill>
                    <a:ln>
                      <a:noFill/>
                    </a:ln>
                  </pic:spPr>
                </pic:pic>
              </a:graphicData>
            </a:graphic>
          </wp:inline>
        </w:drawing>
      </w:r>
      <w:r>
        <w:rPr>
          <w:color w:val="auto"/>
          <w:szCs w:val="22"/>
        </w:rPr>
        <mc:AlternateContent>
          <mc:Choice Requires="wps">
            <w:drawing>
              <wp:anchor distT="0" distB="0" distL="114300" distR="114300" simplePos="0" relativeHeight="251661312" behindDoc="0" locked="0" layoutInCell="1" allowOverlap="1">
                <wp:simplePos x="0" y="0"/>
                <wp:positionH relativeFrom="column">
                  <wp:posOffset>2210435</wp:posOffset>
                </wp:positionH>
                <wp:positionV relativeFrom="paragraph">
                  <wp:posOffset>7613015</wp:posOffset>
                </wp:positionV>
                <wp:extent cx="1400175" cy="99060"/>
                <wp:effectExtent l="0" t="0" r="9525" b="0"/>
                <wp:wrapNone/>
                <wp:docPr id="27" name="矩形 79"/>
                <wp:cNvGraphicFramePr/>
                <a:graphic xmlns:a="http://schemas.openxmlformats.org/drawingml/2006/main">
                  <a:graphicData uri="http://schemas.microsoft.com/office/word/2010/wordprocessingShape">
                    <wps:wsp>
                      <wps:cNvSpPr>
                        <a:spLocks noChangeArrowheads="1"/>
                      </wps:cNvSpPr>
                      <wps:spPr bwMode="auto">
                        <a:xfrm>
                          <a:off x="0" y="0"/>
                          <a:ext cx="1400175" cy="99060"/>
                        </a:xfrm>
                        <a:prstGeom prst="rect">
                          <a:avLst/>
                        </a:prstGeom>
                        <a:solidFill>
                          <a:srgbClr val="FFFFFF"/>
                        </a:solidFill>
                        <a:ln>
                          <a:noFill/>
                        </a:ln>
                        <a:effectLst/>
                      </wps:spPr>
                      <wps:bodyPr rot="0" vert="horz" wrap="square" lIns="91440" tIns="45720" rIns="91440" bIns="45720" anchor="t" anchorCtr="0" upright="1">
                        <a:noAutofit/>
                      </wps:bodyPr>
                    </wps:wsp>
                  </a:graphicData>
                </a:graphic>
              </wp:anchor>
            </w:drawing>
          </mc:Choice>
          <mc:Fallback>
            <w:pict>
              <v:rect id="矩形 79" o:spid="_x0000_s1026" o:spt="1" style="position:absolute;left:0pt;margin-left:174.05pt;margin-top:599.45pt;height:7.8pt;width:110.25pt;z-index:251661312;mso-width-relative:page;mso-height-relative:page;" fillcolor="#FFFFFF" filled="t" stroked="f" coordsize="21600,21600" o:gfxdata="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IZF&#10;g/vaAAAADQEAAA8AAAAAAAAAAQAgAAAAIgAAAGRycy9kb3ducmV2LnhtbFBLAQIUABQAAAAIAIdO&#10;4kDqh7NdIQIAADUEAAAOAAAAAAAAAAEAIAAAACkBAABkcnMvZTJvRG9jLnhtbFBLBQYAAAAABgAG&#10;AFkBAAC8BQAAAAA=&#10;">
                <v:fill on="t" focussize="0,0"/>
                <v:stroke on="f"/>
                <v:imagedata o:title=""/>
                <o:lock v:ext="edit" aspectratio="f"/>
              </v:rect>
            </w:pict>
          </mc:Fallback>
        </mc:AlternateContent>
      </w:r>
    </w:p>
    <w:p w14:paraId="429B64FE">
      <w:pPr>
        <w:pStyle w:val="14"/>
        <w:rPr>
          <w:color w:val="auto"/>
        </w:rPr>
      </w:pPr>
      <w:r>
        <w:rPr>
          <w:rFonts w:hint="eastAsia"/>
          <w:color w:val="auto"/>
        </w:rPr>
        <w:t>表</w:t>
      </w:r>
      <w:r>
        <w:rPr>
          <w:color w:val="auto"/>
        </w:rPr>
        <w:t>3.1</w:t>
      </w:r>
      <w:r>
        <w:rPr>
          <w:color w:val="auto"/>
        </w:rPr>
        <w:noBreakHyphen/>
      </w:r>
      <w:r>
        <w:rPr>
          <w:color w:val="auto"/>
        </w:rPr>
        <w:t>1区域地质构造图</w:t>
      </w:r>
    </w:p>
    <w:p w14:paraId="5E7E3C9D">
      <w:pPr>
        <w:pStyle w:val="6"/>
        <w:rPr>
          <w:color w:val="auto"/>
        </w:rPr>
      </w:pPr>
      <w:r>
        <w:rPr>
          <w:color w:val="auto"/>
        </w:rPr>
        <w:t>区域水文地质条件</w:t>
      </w:r>
    </w:p>
    <w:p w14:paraId="2BE832CC">
      <w:pPr>
        <w:ind w:firstLine="480"/>
        <w:rPr>
          <w:color w:val="auto"/>
          <w:kern w:val="0"/>
          <w:szCs w:val="22"/>
          <w:u w:val="single"/>
        </w:rPr>
      </w:pPr>
      <w:r>
        <w:rPr>
          <w:color w:val="auto"/>
          <w:kern w:val="0"/>
          <w:szCs w:val="22"/>
          <w:u w:val="single"/>
        </w:rPr>
        <w:t>（1）水文地质单元</w:t>
      </w:r>
    </w:p>
    <w:p w14:paraId="05F174D5">
      <w:pPr>
        <w:ind w:firstLine="480"/>
        <w:rPr>
          <w:color w:val="auto"/>
          <w:kern w:val="0"/>
          <w:szCs w:val="22"/>
          <w:u w:val="single"/>
        </w:rPr>
      </w:pPr>
      <w:r>
        <w:rPr>
          <w:color w:val="auto"/>
          <w:kern w:val="0"/>
          <w:szCs w:val="22"/>
          <w:u w:val="single"/>
        </w:rPr>
        <w:t>评价区位于</w:t>
      </w:r>
      <w:r>
        <w:rPr>
          <w:rFonts w:hint="eastAsia"/>
          <w:color w:val="auto"/>
          <w:kern w:val="0"/>
          <w:szCs w:val="22"/>
          <w:u w:val="single"/>
        </w:rPr>
        <w:t>鹰岭作业区</w:t>
      </w:r>
      <w:r>
        <w:rPr>
          <w:color w:val="auto"/>
          <w:kern w:val="0"/>
          <w:szCs w:val="22"/>
          <w:u w:val="single"/>
        </w:rPr>
        <w:t>，</w:t>
      </w:r>
      <w:r>
        <w:rPr>
          <w:rFonts w:hint="eastAsia"/>
          <w:color w:val="auto"/>
          <w:kern w:val="0"/>
          <w:szCs w:val="22"/>
          <w:u w:val="single"/>
        </w:rPr>
        <w:t>钦州湾</w:t>
      </w:r>
      <w:r>
        <w:rPr>
          <w:color w:val="auto"/>
          <w:kern w:val="0"/>
          <w:szCs w:val="22"/>
          <w:u w:val="single"/>
        </w:rPr>
        <w:t>海域</w:t>
      </w:r>
      <w:r>
        <w:rPr>
          <w:rFonts w:hint="eastAsia"/>
          <w:color w:val="auto"/>
          <w:kern w:val="0"/>
          <w:szCs w:val="22"/>
          <w:u w:val="single"/>
        </w:rPr>
        <w:t>是</w:t>
      </w:r>
      <w:r>
        <w:rPr>
          <w:color w:val="auto"/>
          <w:kern w:val="0"/>
          <w:szCs w:val="22"/>
          <w:u w:val="single"/>
        </w:rPr>
        <w:t>主要排泄基准面；评价区南部以钦州湾海域为界，</w:t>
      </w:r>
      <w:r>
        <w:rPr>
          <w:rFonts w:hint="eastAsia"/>
          <w:color w:val="auto"/>
          <w:kern w:val="0"/>
          <w:szCs w:val="22"/>
          <w:u w:val="single"/>
        </w:rPr>
        <w:t>东部</w:t>
      </w:r>
      <w:r>
        <w:rPr>
          <w:color w:val="auto"/>
          <w:kern w:val="0"/>
          <w:szCs w:val="22"/>
          <w:u w:val="single"/>
        </w:rPr>
        <w:t>、西部和北部被碎屑岩所包围。</w:t>
      </w:r>
    </w:p>
    <w:p w14:paraId="1B1BD61D">
      <w:pPr>
        <w:ind w:firstLine="480"/>
        <w:rPr>
          <w:color w:val="auto"/>
          <w:kern w:val="0"/>
          <w:szCs w:val="22"/>
          <w:u w:val="single"/>
        </w:rPr>
      </w:pPr>
      <w:r>
        <w:rPr>
          <w:color w:val="auto"/>
          <w:kern w:val="0"/>
          <w:szCs w:val="22"/>
          <w:u w:val="single"/>
        </w:rPr>
        <w:t>（2）含水岩组及分布特征</w:t>
      </w:r>
    </w:p>
    <w:p w14:paraId="15F1DBFF">
      <w:pPr>
        <w:ind w:firstLine="480"/>
        <w:rPr>
          <w:color w:val="auto"/>
          <w:kern w:val="0"/>
          <w:szCs w:val="22"/>
          <w:u w:val="single"/>
        </w:rPr>
      </w:pPr>
      <w:r>
        <w:rPr>
          <w:color w:val="auto"/>
          <w:kern w:val="0"/>
          <w:szCs w:val="22"/>
          <w:u w:val="single"/>
        </w:rPr>
        <w:t>将含水介质、储水空间相同或相近的地层，进行归并组合，评价区含水岩组划分为松散岩类含水岩组、碎屑岩类含水岩组二大类。</w:t>
      </w:r>
    </w:p>
    <w:p w14:paraId="7A9187B8">
      <w:pPr>
        <w:ind w:firstLine="480"/>
        <w:rPr>
          <w:color w:val="auto"/>
          <w:kern w:val="0"/>
          <w:szCs w:val="22"/>
          <w:u w:val="single"/>
        </w:rPr>
      </w:pPr>
      <w:r>
        <w:rPr>
          <w:color w:val="auto"/>
          <w:kern w:val="0"/>
          <w:szCs w:val="22"/>
          <w:u w:val="single"/>
        </w:rPr>
        <w:t>松散岩类含水岩组为现代海相沉积（Q</w:t>
      </w:r>
      <w:r>
        <w:rPr>
          <w:color w:val="auto"/>
          <w:kern w:val="0"/>
          <w:szCs w:val="22"/>
          <w:u w:val="single"/>
          <w:vertAlign w:val="subscript"/>
        </w:rPr>
        <w:t>4－2</w:t>
      </w:r>
      <w:r>
        <w:rPr>
          <w:color w:val="auto"/>
          <w:kern w:val="0"/>
          <w:szCs w:val="22"/>
          <w:u w:val="single"/>
          <w:vertAlign w:val="superscript"/>
        </w:rPr>
        <w:t>m</w:t>
      </w:r>
      <w:r>
        <w:rPr>
          <w:color w:val="auto"/>
          <w:kern w:val="0"/>
          <w:szCs w:val="22"/>
          <w:u w:val="single"/>
        </w:rPr>
        <w:t>）和人工填海堆积（Q</w:t>
      </w:r>
      <w:r>
        <w:rPr>
          <w:color w:val="auto"/>
          <w:kern w:val="0"/>
          <w:szCs w:val="22"/>
          <w:u w:val="single"/>
          <w:vertAlign w:val="subscript"/>
        </w:rPr>
        <w:t>4</w:t>
      </w:r>
      <w:r>
        <w:rPr>
          <w:color w:val="auto"/>
          <w:kern w:val="0"/>
          <w:szCs w:val="22"/>
          <w:u w:val="single"/>
          <w:vertAlign w:val="superscript"/>
        </w:rPr>
        <w:t>ml</w:t>
      </w:r>
      <w:r>
        <w:rPr>
          <w:color w:val="auto"/>
          <w:kern w:val="0"/>
          <w:szCs w:val="22"/>
          <w:u w:val="single"/>
        </w:rPr>
        <w:t>），岩性为砂质淤泥或淤泥质砂层、含砾粉质粘土，主要分布于旧营盘以东及以南一带，底部主要为潮间带沉积，上部为人工填土，分布面积较广。</w:t>
      </w:r>
    </w:p>
    <w:p w14:paraId="3C10A5FD">
      <w:pPr>
        <w:ind w:firstLine="480"/>
        <w:rPr>
          <w:color w:val="auto"/>
          <w:kern w:val="0"/>
          <w:szCs w:val="22"/>
          <w:u w:val="single"/>
        </w:rPr>
      </w:pPr>
      <w:r>
        <w:rPr>
          <w:color w:val="auto"/>
          <w:kern w:val="0"/>
          <w:szCs w:val="22"/>
          <w:u w:val="single"/>
        </w:rPr>
        <w:t>粉砂岩、泥岩、页岩含水岩组为下志留统连滩群第五组（S</w:t>
      </w:r>
      <w:r>
        <w:rPr>
          <w:color w:val="auto"/>
          <w:kern w:val="0"/>
          <w:szCs w:val="22"/>
          <w:u w:val="single"/>
          <w:vertAlign w:val="subscript"/>
        </w:rPr>
        <w:t>1</w:t>
      </w:r>
      <w:r>
        <w:rPr>
          <w:color w:val="auto"/>
          <w:kern w:val="0"/>
          <w:szCs w:val="22"/>
          <w:u w:val="single"/>
        </w:rPr>
        <w:t>ln</w:t>
      </w:r>
      <w:r>
        <w:rPr>
          <w:color w:val="auto"/>
          <w:kern w:val="0"/>
          <w:szCs w:val="22"/>
          <w:u w:val="single"/>
          <w:vertAlign w:val="superscript"/>
        </w:rPr>
        <w:t>e</w:t>
      </w:r>
      <w:r>
        <w:rPr>
          <w:color w:val="auto"/>
          <w:kern w:val="0"/>
          <w:szCs w:val="22"/>
          <w:u w:val="single"/>
        </w:rPr>
        <w:t>），岩性主要为细粒岩屑质砂岩、粉砂岩夹泥质粉砂岩、页岩、泥岩，分布在评价区中部及北部分地区，分布面积广。</w:t>
      </w:r>
    </w:p>
    <w:p w14:paraId="65BCB665">
      <w:pPr>
        <w:ind w:firstLine="480"/>
        <w:rPr>
          <w:color w:val="auto"/>
          <w:kern w:val="0"/>
          <w:szCs w:val="22"/>
          <w:u w:val="single"/>
        </w:rPr>
      </w:pPr>
      <w:r>
        <w:rPr>
          <w:color w:val="auto"/>
          <w:kern w:val="0"/>
          <w:szCs w:val="22"/>
          <w:u w:val="single"/>
        </w:rPr>
        <w:t>（3）地下水类型及富水性</w:t>
      </w:r>
    </w:p>
    <w:p w14:paraId="13AE3894">
      <w:pPr>
        <w:ind w:firstLine="480"/>
        <w:rPr>
          <w:color w:val="auto"/>
          <w:kern w:val="0"/>
          <w:szCs w:val="22"/>
          <w:u w:val="single"/>
        </w:rPr>
      </w:pPr>
      <w:r>
        <w:rPr>
          <w:color w:val="auto"/>
          <w:kern w:val="0"/>
          <w:szCs w:val="22"/>
          <w:u w:val="single"/>
        </w:rPr>
        <w:t>项目所在区域地下水主要为松散层孔隙潜水和基岩裂隙水。由于松散层孔隙含水层分布面积小，基岩裂隙含水层补给及储存条件较差，含水层富水性极不均匀，本地区地下水不能作为城市集中供水水源。地下水主要为裂隙孔隙承压水，地下水的补给主要是降雨的垂直补给和地表水</w:t>
      </w:r>
      <w:r>
        <w:rPr>
          <w:rFonts w:hint="eastAsia"/>
          <w:color w:val="auto"/>
          <w:kern w:val="0"/>
          <w:szCs w:val="22"/>
          <w:u w:val="single"/>
        </w:rPr>
        <w:t>、</w:t>
      </w:r>
      <w:r>
        <w:rPr>
          <w:color w:val="auto"/>
          <w:kern w:val="0"/>
          <w:szCs w:val="22"/>
          <w:u w:val="single"/>
        </w:rPr>
        <w:t>海水的补给，其径流排泄总体上是由北向南。目前，钦州市主要的生活和工业用水以地表水为主，地下水开采量约占总用水量的20%。区域评价内无集中式地下水水源保护区。</w:t>
      </w:r>
    </w:p>
    <w:p w14:paraId="1DBD5139">
      <w:pPr>
        <w:ind w:firstLine="480"/>
        <w:rPr>
          <w:color w:val="auto"/>
          <w:kern w:val="0"/>
          <w:szCs w:val="22"/>
          <w:u w:val="single"/>
        </w:rPr>
      </w:pPr>
      <w:r>
        <w:rPr>
          <w:color w:val="auto"/>
          <w:kern w:val="0"/>
          <w:szCs w:val="22"/>
          <w:u w:val="single"/>
        </w:rPr>
        <w:t>根据岩性及含水介质特征，评价区可划分松散岩类含水岩组、碎屑岩类含水岩组二大类。根据含水岩组及地下水赋存条件，相应的评价区地下水类型可划分为松散岩类孔隙水、基岩构造裂隙水两大类。</w:t>
      </w:r>
    </w:p>
    <w:p w14:paraId="02E1A7D1">
      <w:pPr>
        <w:ind w:firstLine="480"/>
        <w:rPr>
          <w:color w:val="auto"/>
          <w:kern w:val="0"/>
          <w:szCs w:val="22"/>
          <w:u w:val="single"/>
        </w:rPr>
      </w:pPr>
      <w:r>
        <w:rPr>
          <w:color w:val="auto"/>
          <w:kern w:val="0"/>
          <w:szCs w:val="22"/>
          <w:u w:val="single"/>
        </w:rPr>
        <w:t>评价区各类地下水的富水性如下：</w:t>
      </w:r>
    </w:p>
    <w:p w14:paraId="25EFA191">
      <w:pPr>
        <w:ind w:firstLine="480"/>
        <w:rPr>
          <w:color w:val="auto"/>
          <w:kern w:val="0"/>
          <w:szCs w:val="22"/>
          <w:u w:val="single"/>
        </w:rPr>
      </w:pPr>
      <w:r>
        <w:rPr>
          <w:rFonts w:hint="eastAsia" w:ascii="宋体" w:hAnsi="宋体" w:cs="宋体"/>
          <w:color w:val="auto"/>
          <w:kern w:val="0"/>
          <w:szCs w:val="22"/>
          <w:u w:val="single"/>
        </w:rPr>
        <w:t>①</w:t>
      </w:r>
      <w:r>
        <w:rPr>
          <w:color w:val="auto"/>
          <w:kern w:val="0"/>
          <w:szCs w:val="22"/>
          <w:u w:val="single"/>
        </w:rPr>
        <w:t>松散岩类孔隙水的富水性</w:t>
      </w:r>
    </w:p>
    <w:p w14:paraId="75160AB2">
      <w:pPr>
        <w:ind w:firstLine="480"/>
        <w:rPr>
          <w:color w:val="auto"/>
          <w:kern w:val="0"/>
          <w:szCs w:val="22"/>
          <w:u w:val="single"/>
        </w:rPr>
      </w:pPr>
      <w:r>
        <w:rPr>
          <w:color w:val="auto"/>
          <w:kern w:val="0"/>
          <w:szCs w:val="22"/>
          <w:u w:val="single"/>
        </w:rPr>
        <w:t>该类型地下水赋存于评价区南部现代海相沉积（Q</w:t>
      </w:r>
      <w:r>
        <w:rPr>
          <w:color w:val="auto"/>
          <w:kern w:val="0"/>
          <w:szCs w:val="22"/>
          <w:u w:val="single"/>
          <w:vertAlign w:val="subscript"/>
        </w:rPr>
        <w:t>4－2</w:t>
      </w:r>
      <w:r>
        <w:rPr>
          <w:color w:val="auto"/>
          <w:kern w:val="0"/>
          <w:szCs w:val="22"/>
          <w:u w:val="single"/>
          <w:vertAlign w:val="superscript"/>
        </w:rPr>
        <w:t>m</w:t>
      </w:r>
      <w:r>
        <w:rPr>
          <w:color w:val="auto"/>
          <w:kern w:val="0"/>
          <w:szCs w:val="22"/>
          <w:u w:val="single"/>
        </w:rPr>
        <w:t>）地层及人工填海地层的孔隙中，单孔涌水量区间值为2.04~167.0t/d，平均47.57t/d；泉流量区间值为0.079~3.59L/s，平均0.861L/s；富水性等级为贫乏。</w:t>
      </w:r>
    </w:p>
    <w:p w14:paraId="69A54965">
      <w:pPr>
        <w:ind w:firstLine="480"/>
        <w:rPr>
          <w:color w:val="auto"/>
          <w:kern w:val="0"/>
          <w:szCs w:val="22"/>
          <w:u w:val="single"/>
        </w:rPr>
      </w:pPr>
      <w:r>
        <w:rPr>
          <w:rFonts w:hint="eastAsia" w:ascii="宋体" w:hAnsi="宋体" w:cs="宋体"/>
          <w:color w:val="auto"/>
          <w:kern w:val="0"/>
          <w:szCs w:val="22"/>
          <w:u w:val="single"/>
        </w:rPr>
        <w:t>②</w:t>
      </w:r>
      <w:r>
        <w:rPr>
          <w:color w:val="auto"/>
          <w:kern w:val="0"/>
          <w:szCs w:val="22"/>
          <w:u w:val="single"/>
        </w:rPr>
        <w:t>基岩构造裂隙水的富水性</w:t>
      </w:r>
    </w:p>
    <w:p w14:paraId="04FD95EA">
      <w:pPr>
        <w:ind w:firstLine="480"/>
        <w:rPr>
          <w:color w:val="auto"/>
          <w:kern w:val="0"/>
          <w:szCs w:val="22"/>
          <w:u w:val="single"/>
        </w:rPr>
      </w:pPr>
      <w:r>
        <w:rPr>
          <w:color w:val="auto"/>
          <w:kern w:val="0"/>
          <w:szCs w:val="22"/>
          <w:u w:val="single"/>
        </w:rPr>
        <w:t>该类型地下水赋存于下志留统连滩群第五组（S</w:t>
      </w:r>
      <w:r>
        <w:rPr>
          <w:color w:val="auto"/>
          <w:kern w:val="0"/>
          <w:szCs w:val="22"/>
          <w:u w:val="single"/>
          <w:vertAlign w:val="subscript"/>
        </w:rPr>
        <w:t>1</w:t>
      </w:r>
      <w:r>
        <w:rPr>
          <w:color w:val="auto"/>
          <w:kern w:val="0"/>
          <w:szCs w:val="22"/>
          <w:u w:val="single"/>
        </w:rPr>
        <w:t>ln</w:t>
      </w:r>
      <w:r>
        <w:rPr>
          <w:color w:val="auto"/>
          <w:kern w:val="0"/>
          <w:szCs w:val="22"/>
          <w:u w:val="single"/>
          <w:vertAlign w:val="superscript"/>
        </w:rPr>
        <w:t>e</w:t>
      </w:r>
      <w:r>
        <w:rPr>
          <w:color w:val="auto"/>
          <w:kern w:val="0"/>
          <w:szCs w:val="22"/>
          <w:u w:val="single"/>
        </w:rPr>
        <w:t>）地层构造裂隙中，岩性主要为细粒岩屑质砂岩、粉砂岩夹泥质粉砂岩、页岩、泥岩，受断裂、褶皱的影响和风化作用，构造、风化裂隙比较发育，但区内残坡积覆盖层较厚，植被稀疏，补给条件差，泉流量区间值为0.007~1.094L/s，常见值为0.069~0.369L/s，平均0.183L/s；枯季径流模数值区间修值为0.079~15.00L/s·km</w:t>
      </w:r>
      <w:r>
        <w:rPr>
          <w:color w:val="auto"/>
          <w:kern w:val="0"/>
          <w:szCs w:val="22"/>
          <w:u w:val="single"/>
          <w:vertAlign w:val="superscript"/>
        </w:rPr>
        <w:t>2</w:t>
      </w:r>
      <w:r>
        <w:rPr>
          <w:color w:val="auto"/>
          <w:kern w:val="0"/>
          <w:szCs w:val="22"/>
          <w:u w:val="single"/>
        </w:rPr>
        <w:t>，常见值为3.409~13.14L/s·km</w:t>
      </w:r>
      <w:r>
        <w:rPr>
          <w:color w:val="auto"/>
          <w:kern w:val="0"/>
          <w:szCs w:val="22"/>
          <w:u w:val="single"/>
          <w:vertAlign w:val="superscript"/>
        </w:rPr>
        <w:t>2</w:t>
      </w:r>
      <w:r>
        <w:rPr>
          <w:color w:val="auto"/>
          <w:kern w:val="0"/>
          <w:szCs w:val="22"/>
          <w:u w:val="single"/>
        </w:rPr>
        <w:t>，平均5.933L/s·km</w:t>
      </w:r>
      <w:r>
        <w:rPr>
          <w:color w:val="auto"/>
          <w:kern w:val="0"/>
          <w:szCs w:val="22"/>
          <w:u w:val="single"/>
          <w:vertAlign w:val="superscript"/>
        </w:rPr>
        <w:t>2</w:t>
      </w:r>
      <w:r>
        <w:rPr>
          <w:color w:val="auto"/>
          <w:kern w:val="0"/>
          <w:szCs w:val="22"/>
          <w:u w:val="single"/>
        </w:rPr>
        <w:t>；富水性等级为贫乏。</w:t>
      </w:r>
    </w:p>
    <w:p w14:paraId="0F6CECE8">
      <w:pPr>
        <w:snapToGrid w:val="0"/>
        <w:ind w:firstLine="480"/>
        <w:rPr>
          <w:color w:val="auto"/>
          <w:kern w:val="0"/>
          <w:szCs w:val="22"/>
          <w:u w:val="single"/>
        </w:rPr>
      </w:pPr>
      <w:r>
        <w:rPr>
          <w:color w:val="auto"/>
          <w:kern w:val="0"/>
          <w:szCs w:val="22"/>
          <w:u w:val="single"/>
        </w:rPr>
        <w:t>（4）地下水补径排特征</w:t>
      </w:r>
    </w:p>
    <w:p w14:paraId="60C92AEA">
      <w:pPr>
        <w:snapToGrid w:val="0"/>
        <w:ind w:firstLine="480"/>
        <w:rPr>
          <w:color w:val="auto"/>
          <w:kern w:val="0"/>
          <w:szCs w:val="22"/>
          <w:u w:val="single"/>
        </w:rPr>
      </w:pPr>
      <w:r>
        <w:rPr>
          <w:rFonts w:hint="eastAsia" w:ascii="宋体" w:hAnsi="宋体" w:cs="宋体"/>
          <w:color w:val="auto"/>
          <w:kern w:val="0"/>
          <w:szCs w:val="22"/>
          <w:u w:val="single"/>
        </w:rPr>
        <w:t>①</w:t>
      </w:r>
      <w:r>
        <w:rPr>
          <w:color w:val="auto"/>
          <w:kern w:val="0"/>
          <w:szCs w:val="22"/>
          <w:u w:val="single"/>
        </w:rPr>
        <w:t>补给条件</w:t>
      </w:r>
    </w:p>
    <w:p w14:paraId="20803A69">
      <w:pPr>
        <w:snapToGrid w:val="0"/>
        <w:ind w:firstLine="480"/>
        <w:rPr>
          <w:color w:val="auto"/>
          <w:kern w:val="0"/>
          <w:szCs w:val="22"/>
          <w:u w:val="single"/>
        </w:rPr>
      </w:pPr>
      <w:r>
        <w:rPr>
          <w:color w:val="auto"/>
          <w:kern w:val="0"/>
          <w:szCs w:val="22"/>
          <w:u w:val="single"/>
        </w:rPr>
        <w:t>a.松散岩类孔隙水</w:t>
      </w:r>
    </w:p>
    <w:p w14:paraId="724D9B18">
      <w:pPr>
        <w:snapToGrid w:val="0"/>
        <w:ind w:firstLine="480"/>
        <w:rPr>
          <w:color w:val="auto"/>
          <w:kern w:val="0"/>
          <w:szCs w:val="22"/>
          <w:u w:val="single"/>
        </w:rPr>
      </w:pPr>
      <w:r>
        <w:rPr>
          <w:color w:val="auto"/>
          <w:kern w:val="0"/>
          <w:szCs w:val="22"/>
          <w:u w:val="single"/>
        </w:rPr>
        <w:t>主要赋存于人工填海区及滨海沿岸地带的松散岩类含水岩组中，直接受降水的垂向入渗补给由于地势平坦，补给条件良好。</w:t>
      </w:r>
    </w:p>
    <w:p w14:paraId="2643D677">
      <w:pPr>
        <w:snapToGrid w:val="0"/>
        <w:ind w:firstLine="480"/>
        <w:rPr>
          <w:color w:val="auto"/>
          <w:kern w:val="0"/>
          <w:szCs w:val="22"/>
          <w:u w:val="single"/>
        </w:rPr>
      </w:pPr>
      <w:r>
        <w:rPr>
          <w:color w:val="auto"/>
          <w:kern w:val="0"/>
          <w:szCs w:val="22"/>
          <w:u w:val="single"/>
        </w:rPr>
        <w:t>b.基岩构造裂隙水</w:t>
      </w:r>
    </w:p>
    <w:p w14:paraId="138758B1">
      <w:pPr>
        <w:snapToGrid w:val="0"/>
        <w:ind w:firstLine="480"/>
        <w:rPr>
          <w:color w:val="auto"/>
          <w:kern w:val="0"/>
          <w:szCs w:val="22"/>
          <w:u w:val="single"/>
        </w:rPr>
      </w:pPr>
      <w:r>
        <w:rPr>
          <w:color w:val="auto"/>
          <w:kern w:val="0"/>
          <w:szCs w:val="22"/>
          <w:u w:val="single"/>
        </w:rPr>
        <w:t>主要赋存于下志留统连滩群第五组（S</w:t>
      </w:r>
      <w:r>
        <w:rPr>
          <w:color w:val="auto"/>
          <w:kern w:val="0"/>
          <w:szCs w:val="22"/>
          <w:u w:val="single"/>
          <w:vertAlign w:val="subscript"/>
        </w:rPr>
        <w:t>1</w:t>
      </w:r>
      <w:r>
        <w:rPr>
          <w:color w:val="auto"/>
          <w:kern w:val="0"/>
          <w:szCs w:val="22"/>
          <w:u w:val="single"/>
        </w:rPr>
        <w:t>ln</w:t>
      </w:r>
      <w:r>
        <w:rPr>
          <w:color w:val="auto"/>
          <w:kern w:val="0"/>
          <w:szCs w:val="22"/>
          <w:u w:val="single"/>
          <w:vertAlign w:val="superscript"/>
        </w:rPr>
        <w:t>e</w:t>
      </w:r>
      <w:r>
        <w:rPr>
          <w:color w:val="auto"/>
          <w:kern w:val="0"/>
          <w:szCs w:val="22"/>
          <w:u w:val="single"/>
        </w:rPr>
        <w:t>）粉砂岩、泥岩、页岩含水岩组中，主要受降水补给，由于评价区主要为陇状低丘地貌为主，地势平坦，风化残坡积层一般较厚，植被发育差，不利于地下水的补给。</w:t>
      </w:r>
    </w:p>
    <w:p w14:paraId="4A624063">
      <w:pPr>
        <w:snapToGrid w:val="0"/>
        <w:ind w:firstLine="480"/>
        <w:rPr>
          <w:color w:val="auto"/>
          <w:kern w:val="0"/>
          <w:szCs w:val="22"/>
          <w:u w:val="single"/>
        </w:rPr>
      </w:pPr>
      <w:r>
        <w:rPr>
          <w:rFonts w:hint="eastAsia" w:ascii="宋体" w:hAnsi="宋体" w:cs="宋体"/>
          <w:color w:val="auto"/>
          <w:kern w:val="0"/>
          <w:szCs w:val="22"/>
          <w:u w:val="single"/>
        </w:rPr>
        <w:t>②</w:t>
      </w:r>
      <w:r>
        <w:rPr>
          <w:color w:val="auto"/>
          <w:kern w:val="0"/>
          <w:szCs w:val="22"/>
          <w:u w:val="single"/>
        </w:rPr>
        <w:t>径流、排泄特征</w:t>
      </w:r>
    </w:p>
    <w:p w14:paraId="364CF7BF">
      <w:pPr>
        <w:snapToGrid w:val="0"/>
        <w:ind w:firstLine="480"/>
        <w:rPr>
          <w:color w:val="auto"/>
          <w:kern w:val="0"/>
          <w:szCs w:val="22"/>
          <w:u w:val="single"/>
        </w:rPr>
      </w:pPr>
      <w:r>
        <w:rPr>
          <w:color w:val="auto"/>
          <w:kern w:val="0"/>
          <w:szCs w:val="22"/>
          <w:u w:val="single"/>
        </w:rPr>
        <w:t>整个评价区地下水主要为基岩构造裂隙水，少量分布松散岩类孔隙水，多为分散式排泄，以散流形式排泄于沟谷、漫滩，具有循环深度浅，径流途径短特点。</w:t>
      </w:r>
    </w:p>
    <w:p w14:paraId="41C935CD">
      <w:pPr>
        <w:snapToGrid w:val="0"/>
        <w:ind w:firstLine="480"/>
        <w:rPr>
          <w:color w:val="auto"/>
          <w:kern w:val="0"/>
          <w:szCs w:val="22"/>
          <w:u w:val="single"/>
        </w:rPr>
      </w:pPr>
      <w:r>
        <w:rPr>
          <w:color w:val="auto"/>
          <w:kern w:val="0"/>
          <w:szCs w:val="22"/>
          <w:u w:val="single"/>
        </w:rPr>
        <w:t>a.松散岩类孔隙水</w:t>
      </w:r>
    </w:p>
    <w:p w14:paraId="5F21C406">
      <w:pPr>
        <w:snapToGrid w:val="0"/>
        <w:ind w:firstLine="480"/>
        <w:rPr>
          <w:color w:val="auto"/>
          <w:kern w:val="0"/>
          <w:szCs w:val="22"/>
          <w:u w:val="single"/>
        </w:rPr>
      </w:pPr>
      <w:r>
        <w:rPr>
          <w:color w:val="auto"/>
          <w:kern w:val="0"/>
          <w:szCs w:val="22"/>
          <w:u w:val="single"/>
        </w:rPr>
        <w:t>场地松散岩类孔隙水仅分布旧营盘以南及以东的人工填海区和钦州湾一带沿海滩涂，范围较广，地下水通常在含水层中作层状渗流运动，水流受钦州湾潮汐影响显著，涨潮时受海水入侵形成回流，由河口上溯到内河漫滩中，落潮时顺潮流流向由内河漫滩流向海滩，流向大致与海岸线或河口湾内水槽的走向平行，通常直接排泄入海，部分在沙堤两侧成泉出露。</w:t>
      </w:r>
    </w:p>
    <w:p w14:paraId="2D6A101E">
      <w:pPr>
        <w:snapToGrid w:val="0"/>
        <w:ind w:firstLine="480"/>
        <w:rPr>
          <w:color w:val="auto"/>
          <w:kern w:val="0"/>
          <w:u w:val="single"/>
        </w:rPr>
      </w:pPr>
      <w:r>
        <w:rPr>
          <w:color w:val="auto"/>
          <w:kern w:val="0"/>
          <w:szCs w:val="22"/>
          <w:u w:val="single"/>
        </w:rPr>
        <w:t>b.</w:t>
      </w:r>
      <w:r>
        <w:rPr>
          <w:color w:val="auto"/>
          <w:kern w:val="0"/>
          <w:u w:val="single"/>
        </w:rPr>
        <w:t>基岩构造裂隙水</w:t>
      </w:r>
    </w:p>
    <w:p w14:paraId="58F924FD">
      <w:pPr>
        <w:snapToGrid w:val="0"/>
        <w:ind w:firstLine="480"/>
        <w:rPr>
          <w:color w:val="auto"/>
          <w:kern w:val="0"/>
          <w:szCs w:val="22"/>
          <w:u w:val="single"/>
        </w:rPr>
      </w:pPr>
      <w:r>
        <w:rPr>
          <w:color w:val="auto"/>
          <w:kern w:val="0"/>
          <w:szCs w:val="22"/>
          <w:u w:val="single"/>
        </w:rPr>
        <w:t>基岩构造裂隙水是场地的主要含水层，地下水在含水层中通常作隙流运动，其分水岭与地形分水岭基本一致，通常由陇状低丘中间高地以散流形式分别就近排入两侧的溪沟，大部分地下水最终汇入</w:t>
      </w:r>
      <w:r>
        <w:rPr>
          <w:rFonts w:hint="eastAsia"/>
          <w:color w:val="auto"/>
          <w:kern w:val="0"/>
          <w:szCs w:val="22"/>
          <w:u w:val="single"/>
        </w:rPr>
        <w:t>钦州湾</w:t>
      </w:r>
      <w:r>
        <w:rPr>
          <w:color w:val="auto"/>
          <w:kern w:val="0"/>
          <w:szCs w:val="22"/>
          <w:u w:val="single"/>
        </w:rPr>
        <w:t>。</w:t>
      </w:r>
    </w:p>
    <w:p w14:paraId="690CF2CC">
      <w:pPr>
        <w:ind w:firstLine="480"/>
        <w:rPr>
          <w:color w:val="auto"/>
          <w:kern w:val="0"/>
          <w:szCs w:val="22"/>
        </w:rPr>
      </w:pPr>
      <w:r>
        <w:rPr>
          <w:color w:val="auto"/>
          <w:kern w:val="0"/>
          <w:szCs w:val="22"/>
        </w:rPr>
        <w:t>（5）地下水动态变化特征</w:t>
      </w:r>
    </w:p>
    <w:p w14:paraId="30CB63BD">
      <w:pPr>
        <w:ind w:firstLine="480"/>
        <w:rPr>
          <w:color w:val="auto"/>
          <w:kern w:val="0"/>
          <w:szCs w:val="22"/>
        </w:rPr>
      </w:pPr>
      <w:r>
        <w:rPr>
          <w:color w:val="auto"/>
          <w:kern w:val="0"/>
          <w:szCs w:val="22"/>
        </w:rPr>
        <w:t>松散岩类孔隙水分布于滨海沿岸潮间带，主要受降水及基岩构造裂隙水的侧向补给，其动态明显地受潮汐影响，涨落潮时水位变幅可达2－3米。</w:t>
      </w:r>
    </w:p>
    <w:p w14:paraId="05BE0528">
      <w:pPr>
        <w:ind w:firstLine="480"/>
        <w:rPr>
          <w:color w:val="auto"/>
          <w:kern w:val="0"/>
          <w:szCs w:val="22"/>
        </w:rPr>
      </w:pPr>
      <w:r>
        <w:rPr>
          <w:color w:val="auto"/>
          <w:kern w:val="0"/>
          <w:szCs w:val="22"/>
        </w:rPr>
        <w:t>基岩构造裂隙水主要受降水补给，具有季节性动态变化特征，枯水期泉流量和溪沟流量小，丰水期泉流量和溪沟排泄的地下水量增大，年变化系数2.1－7倍，民井的水位变化幅度，因其所处地貌位置不同，具有很大差异，水位变幅可在1－3米之间。</w:t>
      </w:r>
    </w:p>
    <w:p w14:paraId="65D88B8C">
      <w:pPr>
        <w:ind w:firstLine="480"/>
        <w:rPr>
          <w:color w:val="auto"/>
          <w:kern w:val="0"/>
          <w:szCs w:val="22"/>
        </w:rPr>
      </w:pPr>
      <w:r>
        <w:rPr>
          <w:color w:val="auto"/>
          <w:kern w:val="0"/>
          <w:szCs w:val="22"/>
        </w:rPr>
        <w:t>（6）地下水化学特征</w:t>
      </w:r>
    </w:p>
    <w:p w14:paraId="3F6E66A8">
      <w:pPr>
        <w:ind w:firstLine="480"/>
        <w:rPr>
          <w:color w:val="auto"/>
          <w:kern w:val="0"/>
          <w:szCs w:val="22"/>
        </w:rPr>
      </w:pPr>
      <w:r>
        <w:rPr>
          <w:color w:val="auto"/>
          <w:kern w:val="0"/>
          <w:szCs w:val="22"/>
        </w:rPr>
        <w:t>地下水的化学特征，取决于含水层的岩性和地下水循环交替的速度，测区地下水主要为矿化度极低的中性－弱酸性极软水。</w:t>
      </w:r>
    </w:p>
    <w:p w14:paraId="09650AFC">
      <w:pPr>
        <w:ind w:firstLine="480"/>
        <w:rPr>
          <w:color w:val="auto"/>
          <w:kern w:val="0"/>
          <w:szCs w:val="22"/>
        </w:rPr>
      </w:pPr>
      <w:r>
        <w:rPr>
          <w:color w:val="auto"/>
          <w:kern w:val="0"/>
          <w:szCs w:val="22"/>
        </w:rPr>
        <w:t>基岩构造裂隙水一般为中性－弱酸性极软水。由于测区雨量丰沛，地下水具有就近补排的特点，循环交替极为活跃，所以其矿化度甚低，通常小于0.05克/升。基岩构造裂隙水的化学类型以HCO</w:t>
      </w:r>
      <w:r>
        <w:rPr>
          <w:color w:val="auto"/>
          <w:kern w:val="0"/>
          <w:szCs w:val="22"/>
          <w:vertAlign w:val="subscript"/>
        </w:rPr>
        <w:t>3</w:t>
      </w:r>
      <w:r>
        <w:rPr>
          <w:color w:val="auto"/>
          <w:kern w:val="0"/>
          <w:szCs w:val="22"/>
        </w:rPr>
        <w:t>∙Cl－Ca∙Na型居多，次为HCO</w:t>
      </w:r>
      <w:r>
        <w:rPr>
          <w:color w:val="auto"/>
          <w:kern w:val="0"/>
          <w:szCs w:val="22"/>
          <w:vertAlign w:val="subscript"/>
        </w:rPr>
        <w:t>3</w:t>
      </w:r>
      <w:r>
        <w:rPr>
          <w:color w:val="auto"/>
          <w:kern w:val="0"/>
          <w:szCs w:val="22"/>
        </w:rPr>
        <w:t>－Ca（Ca∙Na）型，濒海地带分布有Cl－Na型。</w:t>
      </w:r>
    </w:p>
    <w:p w14:paraId="046311C2">
      <w:pPr>
        <w:ind w:firstLine="480"/>
        <w:rPr>
          <w:color w:val="auto"/>
          <w:kern w:val="0"/>
          <w:szCs w:val="22"/>
        </w:rPr>
      </w:pPr>
      <w:r>
        <w:rPr>
          <w:color w:val="auto"/>
          <w:kern w:val="0"/>
          <w:szCs w:val="22"/>
        </w:rPr>
        <w:t>松散岩类孔隙水主要为弱酸性－中性极软水，地下水化学类型通常属HCO</w:t>
      </w:r>
      <w:r>
        <w:rPr>
          <w:color w:val="auto"/>
          <w:kern w:val="0"/>
          <w:szCs w:val="22"/>
          <w:vertAlign w:val="subscript"/>
        </w:rPr>
        <w:t>3</w:t>
      </w:r>
      <w:r>
        <w:rPr>
          <w:color w:val="auto"/>
          <w:kern w:val="0"/>
          <w:szCs w:val="22"/>
        </w:rPr>
        <w:t>－Cl(或Cl－HCO</w:t>
      </w:r>
      <w:r>
        <w:rPr>
          <w:color w:val="auto"/>
          <w:kern w:val="0"/>
          <w:szCs w:val="22"/>
          <w:vertAlign w:val="subscript"/>
        </w:rPr>
        <w:t>3</w:t>
      </w:r>
      <w:r>
        <w:rPr>
          <w:color w:val="auto"/>
          <w:kern w:val="0"/>
          <w:szCs w:val="22"/>
        </w:rPr>
        <w:t>)－Na∙Ca(或Ca∙Na)型和Cl－Na型。由于含水层底板低于海平面，受海水入侵影响，含水层下部咸化。</w:t>
      </w:r>
    </w:p>
    <w:p w14:paraId="67ACF965">
      <w:pPr>
        <w:pStyle w:val="4"/>
        <w:rPr>
          <w:color w:val="auto"/>
        </w:rPr>
      </w:pPr>
      <w:bookmarkStart w:id="366" w:name="_Toc26910001"/>
      <w:bookmarkStart w:id="367" w:name="_Toc136878467"/>
      <w:bookmarkStart w:id="368" w:name="_Toc25436958"/>
      <w:bookmarkStart w:id="369" w:name="_Toc216103372"/>
      <w:bookmarkStart w:id="370" w:name="_Toc29131815"/>
      <w:bookmarkStart w:id="371" w:name="_Toc135090218"/>
      <w:bookmarkStart w:id="372" w:name="_Toc216620531"/>
      <w:r>
        <w:rPr>
          <w:color w:val="auto"/>
        </w:rPr>
        <w:t>气候特征</w:t>
      </w:r>
      <w:bookmarkEnd w:id="366"/>
      <w:bookmarkEnd w:id="367"/>
      <w:bookmarkEnd w:id="368"/>
      <w:bookmarkEnd w:id="369"/>
      <w:bookmarkEnd w:id="370"/>
      <w:bookmarkEnd w:id="371"/>
      <w:bookmarkEnd w:id="372"/>
    </w:p>
    <w:p w14:paraId="71E88130">
      <w:pPr>
        <w:ind w:firstLine="480"/>
        <w:rPr>
          <w:color w:val="auto"/>
          <w:kern w:val="0"/>
          <w:szCs w:val="22"/>
        </w:rPr>
      </w:pPr>
      <w:r>
        <w:rPr>
          <w:color w:val="auto"/>
          <w:kern w:val="0"/>
          <w:szCs w:val="22"/>
        </w:rPr>
        <w:t>本项目所在的钦州市地处北回归线以南，属亚热带气候区。该区域气候，主要受季风环流的影响；其次还受北部十万大山地形屏障的作用。由于季风环流作用和特定的海陆位置及青藏高原的影响，本地的季节变化明显。</w:t>
      </w:r>
    </w:p>
    <w:p w14:paraId="7FB1050C">
      <w:pPr>
        <w:ind w:firstLine="480"/>
        <w:rPr>
          <w:color w:val="auto"/>
          <w:kern w:val="0"/>
          <w:szCs w:val="22"/>
        </w:rPr>
      </w:pPr>
      <w:r>
        <w:rPr>
          <w:color w:val="auto"/>
          <w:kern w:val="0"/>
          <w:szCs w:val="22"/>
        </w:rPr>
        <w:t>冬季，受北方干冷的大陆气团控制，干燥且寒冷的气流盛行，形成东北季风，常带来降温、寒潮、冷阴雨和霜冻和偏北大风等天气。夏季，受暖湿的海洋气团控制，高温高湿的偏南气流盛行，形成西南或东南季风，常出现阵风、雷电、暴雨、台风等天气。春、秋季，为季风转换的过渡季节。春季，北方干冷的大陆气团减弱而北退，海洋气团增强北伸，使调查区域雨水渐增，气温回升。秋季，海洋气团开始减弱而南缩，北方冷气团又增强南伸，使气温下降，雨水减少。此外，干湿分明、冬暖夏凉明显。冬半年(10月－翌年3月)，温度低而湿度小，雨水稀少，相对湿度有时可低于5～10％，此即为干季。夏半年(4月～9月)，温度高湿度大，雨水较多，相对湿度有时高达93—98％，甚至可达100％，此即为湿季。</w:t>
      </w:r>
    </w:p>
    <w:p w14:paraId="451B8BE1">
      <w:pPr>
        <w:pStyle w:val="6"/>
        <w:rPr>
          <w:color w:val="auto"/>
        </w:rPr>
      </w:pPr>
      <w:r>
        <w:rPr>
          <w:color w:val="auto"/>
        </w:rPr>
        <w:t>气温</w:t>
      </w:r>
    </w:p>
    <w:p w14:paraId="4CD20D94">
      <w:pPr>
        <w:ind w:firstLine="480"/>
        <w:rPr>
          <w:color w:val="auto"/>
          <w:kern w:val="0"/>
          <w:szCs w:val="22"/>
        </w:rPr>
      </w:pPr>
      <w:r>
        <w:rPr>
          <w:rFonts w:hint="eastAsia"/>
          <w:color w:val="auto"/>
          <w:kern w:val="0"/>
          <w:szCs w:val="22"/>
        </w:rPr>
        <w:t>根据钦州气象站的统计资料（2004~2023年），钦州气象站累年月平均气温7月气温最高（29℃），1月气温最低（14.℃）。累年极端最高气温37℃，极值出现在2005年7月19日（37.9℃），累年极端最低气温为5.2℃，极值出现在2016年1月24日（1.6℃）。近20年气温无明显变化趋势，2015年年平均气温最高（23.80℃），2011年和2022年的年平均气温最低（22.20℃），周期为5年。</w:t>
      </w:r>
    </w:p>
    <w:p w14:paraId="315FD49D">
      <w:pPr>
        <w:pStyle w:val="6"/>
        <w:rPr>
          <w:color w:val="auto"/>
        </w:rPr>
      </w:pPr>
      <w:r>
        <w:rPr>
          <w:color w:val="auto"/>
        </w:rPr>
        <w:t>降水</w:t>
      </w:r>
    </w:p>
    <w:p w14:paraId="446C4973">
      <w:pPr>
        <w:ind w:firstLine="480"/>
        <w:rPr>
          <w:color w:val="auto"/>
          <w:kern w:val="0"/>
          <w:szCs w:val="22"/>
        </w:rPr>
      </w:pPr>
      <w:r>
        <w:rPr>
          <w:rFonts w:hint="eastAsia"/>
          <w:color w:val="auto"/>
          <w:kern w:val="0"/>
          <w:szCs w:val="22"/>
        </w:rPr>
        <w:t>钦州市降水主要集中在6～9月，4个月降水量占全年降水量的66.7%，而11月至翌年3月期间降水量仅占年降水量的11.3%，以8月的降水量为最多，达449.5mm，占年降水量的20.1%。多年平均降水量为2170.9mm，年最大降水量为2961.5mm（1976年），年最小降水量为1426.0mm（1977年），日最大降水量为359.9mm（1971年9月29日），1小时最大降水量为85.1mm（1972年5月16日15：30～16：30），日降水量≥25mm的天数年均为26天。</w:t>
      </w:r>
    </w:p>
    <w:p w14:paraId="094AA662">
      <w:pPr>
        <w:pStyle w:val="6"/>
        <w:rPr>
          <w:color w:val="auto"/>
        </w:rPr>
      </w:pPr>
      <w:r>
        <w:rPr>
          <w:color w:val="auto"/>
        </w:rPr>
        <w:t>风况</w:t>
      </w:r>
    </w:p>
    <w:p w14:paraId="0FDDBCC5">
      <w:pPr>
        <w:ind w:firstLine="480"/>
        <w:rPr>
          <w:rFonts w:hint="eastAsia"/>
          <w:color w:val="auto"/>
          <w:kern w:val="0"/>
          <w:szCs w:val="22"/>
        </w:rPr>
      </w:pPr>
      <w:r>
        <w:rPr>
          <w:rFonts w:hint="eastAsia"/>
          <w:color w:val="auto"/>
          <w:kern w:val="0"/>
          <w:szCs w:val="22"/>
        </w:rPr>
        <w:t>钦州市季风分布特征比较明显，每年5～8月多偏南风，尤以6～7月最多；10月至翌年3月多偏北风，4月及9月为偏北风气旋和偏南气旋交替时期。常风向为N向，出现频率为17.17%，次常风NNW向、出现频率11.32%。夏季（6月-8月）平均风速为2.2m/s，冬季（11月-1月）平均风速为2.5m/s。本地区每年5～11月份受台风影响，其中7、8、9三个月较为集中。据历年资料统计，影响本地区的台风平均每年为2～4次，最多为5次。</w:t>
      </w:r>
    </w:p>
    <w:p w14:paraId="13426404">
      <w:pPr>
        <w:ind w:firstLine="480"/>
        <w:rPr>
          <w:color w:val="auto"/>
          <w:u w:val="single"/>
        </w:rPr>
      </w:pPr>
      <w:r>
        <w:rPr>
          <w:color w:val="auto"/>
          <w:u w:val="single"/>
        </w:rPr>
        <w:t>钦州市多年月平均风速如表5.3-2所示；从表中可知多年来钦州12月平均风速最大（2.6米/秒），8月风速最小（2米/秒）</w:t>
      </w:r>
      <w:r>
        <w:rPr>
          <w:rFonts w:hint="eastAsia"/>
          <w:color w:val="auto"/>
          <w:u w:val="single"/>
        </w:rPr>
        <w:t>。</w:t>
      </w:r>
    </w:p>
    <w:p w14:paraId="4C54DB25">
      <w:pPr>
        <w:pStyle w:val="14"/>
        <w:rPr>
          <w:color w:val="auto"/>
        </w:rPr>
      </w:pPr>
      <w:r>
        <w:rPr>
          <w:color w:val="auto"/>
        </w:rPr>
        <w:t>表</w:t>
      </w:r>
      <w:r>
        <w:rPr>
          <w:color w:val="auto"/>
        </w:rPr>
        <w:fldChar w:fldCharType="begin"/>
      </w:r>
      <w:r>
        <w:rPr>
          <w:color w:val="auto"/>
        </w:rPr>
        <w:instrText xml:space="preserve"> STYLEREF 2 \s </w:instrText>
      </w:r>
      <w:r>
        <w:rPr>
          <w:color w:val="auto"/>
        </w:rPr>
        <w:fldChar w:fldCharType="separate"/>
      </w:r>
      <w:r>
        <w:rPr>
          <w:color w:val="auto"/>
        </w:rPr>
        <w:t>3.1</w:t>
      </w:r>
      <w:r>
        <w:rPr>
          <w:color w:val="auto"/>
        </w:rPr>
        <w:fldChar w:fldCharType="end"/>
      </w:r>
      <w:r>
        <w:rPr>
          <w:rFonts w:hint="eastAsia"/>
          <w:color w:val="auto"/>
          <w:lang w:eastAsia="zh-CN"/>
        </w:rPr>
        <w:t>-</w:t>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r>
        <w:rPr>
          <w:rFonts w:hint="eastAsia"/>
          <w:color w:val="auto"/>
        </w:rPr>
        <w:t>钦州市多年月平均风速一览（单位：m/s）</w:t>
      </w:r>
    </w:p>
    <w:tbl>
      <w:tblPr>
        <w:tblStyle w:val="43"/>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5"/>
        <w:gridCol w:w="692"/>
        <w:gridCol w:w="692"/>
        <w:gridCol w:w="696"/>
        <w:gridCol w:w="696"/>
        <w:gridCol w:w="696"/>
        <w:gridCol w:w="696"/>
        <w:gridCol w:w="696"/>
        <w:gridCol w:w="696"/>
        <w:gridCol w:w="696"/>
        <w:gridCol w:w="696"/>
        <w:gridCol w:w="696"/>
        <w:gridCol w:w="686"/>
      </w:tblGrid>
      <w:tr w14:paraId="3FB19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41" w:type="pct"/>
            <w:tcBorders>
              <w:top w:val="single" w:color="auto" w:sz="12" w:space="0"/>
              <w:left w:val="single" w:color="auto" w:sz="12" w:space="0"/>
            </w:tcBorders>
            <w:vAlign w:val="center"/>
          </w:tcPr>
          <w:p w14:paraId="2F50DF45">
            <w:pPr>
              <w:pStyle w:val="77"/>
              <w:keepNext w:val="0"/>
              <w:keepLines w:val="0"/>
              <w:suppressLineNumbers w:val="0"/>
              <w:autoSpaceDE w:val="0"/>
              <w:autoSpaceDN w:val="0"/>
              <w:spacing w:before="0" w:beforeAutospacing="0" w:after="0" w:afterAutospacing="0"/>
              <w:ind w:left="0" w:right="0"/>
              <w:rPr>
                <w:rFonts w:hint="default"/>
                <w:color w:val="auto"/>
                <w:u w:val="single"/>
              </w:rPr>
            </w:pPr>
            <w:r>
              <w:rPr>
                <w:rFonts w:hint="eastAsia"/>
                <w:color w:val="auto"/>
                <w:u w:val="single"/>
              </w:rPr>
              <w:t>月份</w:t>
            </w:r>
          </w:p>
        </w:tc>
        <w:tc>
          <w:tcPr>
            <w:tcW w:w="362" w:type="pct"/>
            <w:tcBorders>
              <w:top w:val="single" w:color="auto" w:sz="12" w:space="0"/>
            </w:tcBorders>
            <w:vAlign w:val="center"/>
          </w:tcPr>
          <w:p w14:paraId="6B53E29D">
            <w:pPr>
              <w:pStyle w:val="77"/>
              <w:keepNext w:val="0"/>
              <w:keepLines w:val="0"/>
              <w:suppressLineNumbers w:val="0"/>
              <w:autoSpaceDE w:val="0"/>
              <w:autoSpaceDN w:val="0"/>
              <w:spacing w:before="0" w:beforeAutospacing="0" w:after="0" w:afterAutospacing="0"/>
              <w:ind w:left="0" w:right="0"/>
              <w:rPr>
                <w:rFonts w:hint="default"/>
                <w:color w:val="auto"/>
                <w:u w:val="single"/>
              </w:rPr>
            </w:pPr>
            <w:r>
              <w:rPr>
                <w:rFonts w:hint="eastAsia"/>
                <w:color w:val="auto"/>
                <w:u w:val="single"/>
              </w:rPr>
              <w:t>1</w:t>
            </w:r>
          </w:p>
        </w:tc>
        <w:tc>
          <w:tcPr>
            <w:tcW w:w="362" w:type="pct"/>
            <w:tcBorders>
              <w:top w:val="single" w:color="auto" w:sz="12" w:space="0"/>
            </w:tcBorders>
            <w:vAlign w:val="center"/>
          </w:tcPr>
          <w:p w14:paraId="1ECF1CD4">
            <w:pPr>
              <w:pStyle w:val="77"/>
              <w:keepNext w:val="0"/>
              <w:keepLines w:val="0"/>
              <w:suppressLineNumbers w:val="0"/>
              <w:autoSpaceDE w:val="0"/>
              <w:autoSpaceDN w:val="0"/>
              <w:spacing w:before="0" w:beforeAutospacing="0" w:after="0" w:afterAutospacing="0"/>
              <w:ind w:left="0" w:right="0"/>
              <w:rPr>
                <w:rFonts w:hint="default"/>
                <w:color w:val="auto"/>
                <w:u w:val="single"/>
              </w:rPr>
            </w:pPr>
            <w:r>
              <w:rPr>
                <w:rFonts w:hint="eastAsia"/>
                <w:color w:val="auto"/>
                <w:u w:val="single"/>
              </w:rPr>
              <w:t>2</w:t>
            </w:r>
          </w:p>
        </w:tc>
        <w:tc>
          <w:tcPr>
            <w:tcW w:w="364" w:type="pct"/>
            <w:tcBorders>
              <w:top w:val="single" w:color="auto" w:sz="12" w:space="0"/>
            </w:tcBorders>
            <w:vAlign w:val="center"/>
          </w:tcPr>
          <w:p w14:paraId="7774A78A">
            <w:pPr>
              <w:pStyle w:val="77"/>
              <w:keepNext w:val="0"/>
              <w:keepLines w:val="0"/>
              <w:suppressLineNumbers w:val="0"/>
              <w:autoSpaceDE w:val="0"/>
              <w:autoSpaceDN w:val="0"/>
              <w:spacing w:before="0" w:beforeAutospacing="0" w:after="0" w:afterAutospacing="0"/>
              <w:ind w:left="0" w:right="0"/>
              <w:rPr>
                <w:rFonts w:hint="default"/>
                <w:color w:val="auto"/>
                <w:u w:val="single"/>
              </w:rPr>
            </w:pPr>
            <w:r>
              <w:rPr>
                <w:rFonts w:hint="eastAsia"/>
                <w:color w:val="auto"/>
                <w:u w:val="single"/>
              </w:rPr>
              <w:t>3</w:t>
            </w:r>
          </w:p>
        </w:tc>
        <w:tc>
          <w:tcPr>
            <w:tcW w:w="364" w:type="pct"/>
            <w:tcBorders>
              <w:top w:val="single" w:color="auto" w:sz="12" w:space="0"/>
            </w:tcBorders>
            <w:vAlign w:val="center"/>
          </w:tcPr>
          <w:p w14:paraId="185635BA">
            <w:pPr>
              <w:pStyle w:val="77"/>
              <w:keepNext w:val="0"/>
              <w:keepLines w:val="0"/>
              <w:suppressLineNumbers w:val="0"/>
              <w:autoSpaceDE w:val="0"/>
              <w:autoSpaceDN w:val="0"/>
              <w:spacing w:before="0" w:beforeAutospacing="0" w:after="0" w:afterAutospacing="0"/>
              <w:ind w:left="0" w:right="0"/>
              <w:rPr>
                <w:rFonts w:hint="default"/>
                <w:color w:val="auto"/>
                <w:u w:val="single"/>
              </w:rPr>
            </w:pPr>
            <w:r>
              <w:rPr>
                <w:rFonts w:hint="eastAsia"/>
                <w:color w:val="auto"/>
                <w:u w:val="single"/>
              </w:rPr>
              <w:t>4</w:t>
            </w:r>
          </w:p>
        </w:tc>
        <w:tc>
          <w:tcPr>
            <w:tcW w:w="364" w:type="pct"/>
            <w:tcBorders>
              <w:top w:val="single" w:color="auto" w:sz="12" w:space="0"/>
            </w:tcBorders>
            <w:vAlign w:val="center"/>
          </w:tcPr>
          <w:p w14:paraId="7263E703">
            <w:pPr>
              <w:pStyle w:val="77"/>
              <w:keepNext w:val="0"/>
              <w:keepLines w:val="0"/>
              <w:suppressLineNumbers w:val="0"/>
              <w:autoSpaceDE w:val="0"/>
              <w:autoSpaceDN w:val="0"/>
              <w:spacing w:before="0" w:beforeAutospacing="0" w:after="0" w:afterAutospacing="0"/>
              <w:ind w:left="0" w:right="0"/>
              <w:rPr>
                <w:rFonts w:hint="default"/>
                <w:color w:val="auto"/>
                <w:u w:val="single"/>
              </w:rPr>
            </w:pPr>
            <w:r>
              <w:rPr>
                <w:rFonts w:hint="eastAsia"/>
                <w:color w:val="auto"/>
                <w:u w:val="single"/>
              </w:rPr>
              <w:t>5</w:t>
            </w:r>
          </w:p>
        </w:tc>
        <w:tc>
          <w:tcPr>
            <w:tcW w:w="364" w:type="pct"/>
            <w:tcBorders>
              <w:top w:val="single" w:color="auto" w:sz="12" w:space="0"/>
            </w:tcBorders>
            <w:vAlign w:val="center"/>
          </w:tcPr>
          <w:p w14:paraId="5E3D74A6">
            <w:pPr>
              <w:pStyle w:val="77"/>
              <w:keepNext w:val="0"/>
              <w:keepLines w:val="0"/>
              <w:suppressLineNumbers w:val="0"/>
              <w:autoSpaceDE w:val="0"/>
              <w:autoSpaceDN w:val="0"/>
              <w:spacing w:before="0" w:beforeAutospacing="0" w:after="0" w:afterAutospacing="0"/>
              <w:ind w:left="0" w:right="0"/>
              <w:rPr>
                <w:rFonts w:hint="default"/>
                <w:color w:val="auto"/>
                <w:u w:val="single"/>
              </w:rPr>
            </w:pPr>
            <w:r>
              <w:rPr>
                <w:rFonts w:hint="eastAsia"/>
                <w:color w:val="auto"/>
                <w:u w:val="single"/>
              </w:rPr>
              <w:t>6</w:t>
            </w:r>
          </w:p>
        </w:tc>
        <w:tc>
          <w:tcPr>
            <w:tcW w:w="364" w:type="pct"/>
            <w:tcBorders>
              <w:top w:val="single" w:color="auto" w:sz="12" w:space="0"/>
            </w:tcBorders>
            <w:vAlign w:val="center"/>
          </w:tcPr>
          <w:p w14:paraId="389F0321">
            <w:pPr>
              <w:pStyle w:val="77"/>
              <w:keepNext w:val="0"/>
              <w:keepLines w:val="0"/>
              <w:suppressLineNumbers w:val="0"/>
              <w:autoSpaceDE w:val="0"/>
              <w:autoSpaceDN w:val="0"/>
              <w:spacing w:before="0" w:beforeAutospacing="0" w:after="0" w:afterAutospacing="0"/>
              <w:ind w:left="0" w:right="0"/>
              <w:rPr>
                <w:rFonts w:hint="default"/>
                <w:color w:val="auto"/>
                <w:u w:val="single"/>
              </w:rPr>
            </w:pPr>
            <w:r>
              <w:rPr>
                <w:rFonts w:hint="eastAsia"/>
                <w:color w:val="auto"/>
                <w:u w:val="single"/>
              </w:rPr>
              <w:t>7</w:t>
            </w:r>
          </w:p>
        </w:tc>
        <w:tc>
          <w:tcPr>
            <w:tcW w:w="364" w:type="pct"/>
            <w:tcBorders>
              <w:top w:val="single" w:color="auto" w:sz="12" w:space="0"/>
            </w:tcBorders>
            <w:vAlign w:val="center"/>
          </w:tcPr>
          <w:p w14:paraId="0AFDD1D3">
            <w:pPr>
              <w:pStyle w:val="77"/>
              <w:keepNext w:val="0"/>
              <w:keepLines w:val="0"/>
              <w:suppressLineNumbers w:val="0"/>
              <w:autoSpaceDE w:val="0"/>
              <w:autoSpaceDN w:val="0"/>
              <w:spacing w:before="0" w:beforeAutospacing="0" w:after="0" w:afterAutospacing="0"/>
              <w:ind w:left="0" w:right="0"/>
              <w:rPr>
                <w:rFonts w:hint="default"/>
                <w:color w:val="auto"/>
                <w:u w:val="single"/>
              </w:rPr>
            </w:pPr>
            <w:r>
              <w:rPr>
                <w:rFonts w:hint="eastAsia"/>
                <w:color w:val="auto"/>
                <w:u w:val="single"/>
              </w:rPr>
              <w:t>8</w:t>
            </w:r>
          </w:p>
        </w:tc>
        <w:tc>
          <w:tcPr>
            <w:tcW w:w="364" w:type="pct"/>
            <w:tcBorders>
              <w:top w:val="single" w:color="auto" w:sz="12" w:space="0"/>
            </w:tcBorders>
            <w:vAlign w:val="center"/>
          </w:tcPr>
          <w:p w14:paraId="606991D1">
            <w:pPr>
              <w:pStyle w:val="77"/>
              <w:keepNext w:val="0"/>
              <w:keepLines w:val="0"/>
              <w:suppressLineNumbers w:val="0"/>
              <w:autoSpaceDE w:val="0"/>
              <w:autoSpaceDN w:val="0"/>
              <w:spacing w:before="0" w:beforeAutospacing="0" w:after="0" w:afterAutospacing="0"/>
              <w:ind w:left="0" w:right="0"/>
              <w:rPr>
                <w:rFonts w:hint="default"/>
                <w:color w:val="auto"/>
                <w:u w:val="single"/>
              </w:rPr>
            </w:pPr>
            <w:r>
              <w:rPr>
                <w:rFonts w:hint="eastAsia"/>
                <w:color w:val="auto"/>
                <w:u w:val="single"/>
              </w:rPr>
              <w:t>9</w:t>
            </w:r>
          </w:p>
        </w:tc>
        <w:tc>
          <w:tcPr>
            <w:tcW w:w="364" w:type="pct"/>
            <w:tcBorders>
              <w:top w:val="single" w:color="auto" w:sz="12" w:space="0"/>
            </w:tcBorders>
            <w:vAlign w:val="center"/>
          </w:tcPr>
          <w:p w14:paraId="547A7761">
            <w:pPr>
              <w:pStyle w:val="77"/>
              <w:keepNext w:val="0"/>
              <w:keepLines w:val="0"/>
              <w:suppressLineNumbers w:val="0"/>
              <w:autoSpaceDE w:val="0"/>
              <w:autoSpaceDN w:val="0"/>
              <w:spacing w:before="0" w:beforeAutospacing="0" w:after="0" w:afterAutospacing="0"/>
              <w:ind w:left="0" w:right="0"/>
              <w:rPr>
                <w:rFonts w:hint="default"/>
                <w:color w:val="auto"/>
                <w:u w:val="single"/>
              </w:rPr>
            </w:pPr>
            <w:r>
              <w:rPr>
                <w:rFonts w:hint="eastAsia"/>
                <w:color w:val="auto"/>
                <w:u w:val="single"/>
              </w:rPr>
              <w:t>10</w:t>
            </w:r>
          </w:p>
        </w:tc>
        <w:tc>
          <w:tcPr>
            <w:tcW w:w="364" w:type="pct"/>
            <w:tcBorders>
              <w:top w:val="single" w:color="auto" w:sz="12" w:space="0"/>
            </w:tcBorders>
            <w:vAlign w:val="center"/>
          </w:tcPr>
          <w:p w14:paraId="392A54E8">
            <w:pPr>
              <w:pStyle w:val="77"/>
              <w:keepNext w:val="0"/>
              <w:keepLines w:val="0"/>
              <w:suppressLineNumbers w:val="0"/>
              <w:autoSpaceDE w:val="0"/>
              <w:autoSpaceDN w:val="0"/>
              <w:spacing w:before="0" w:beforeAutospacing="0" w:after="0" w:afterAutospacing="0"/>
              <w:ind w:left="0" w:right="0"/>
              <w:rPr>
                <w:rFonts w:hint="default"/>
                <w:color w:val="auto"/>
                <w:u w:val="single"/>
              </w:rPr>
            </w:pPr>
            <w:r>
              <w:rPr>
                <w:rFonts w:hint="eastAsia"/>
                <w:color w:val="auto"/>
                <w:u w:val="single"/>
              </w:rPr>
              <w:t>11</w:t>
            </w:r>
          </w:p>
        </w:tc>
        <w:tc>
          <w:tcPr>
            <w:tcW w:w="362" w:type="pct"/>
            <w:tcBorders>
              <w:top w:val="single" w:color="auto" w:sz="12" w:space="0"/>
              <w:right w:val="single" w:color="auto" w:sz="12" w:space="0"/>
            </w:tcBorders>
            <w:vAlign w:val="center"/>
          </w:tcPr>
          <w:p w14:paraId="28963734">
            <w:pPr>
              <w:pStyle w:val="77"/>
              <w:keepNext w:val="0"/>
              <w:keepLines w:val="0"/>
              <w:suppressLineNumbers w:val="0"/>
              <w:autoSpaceDE w:val="0"/>
              <w:autoSpaceDN w:val="0"/>
              <w:spacing w:before="0" w:beforeAutospacing="0" w:after="0" w:afterAutospacing="0"/>
              <w:ind w:left="0" w:right="0"/>
              <w:rPr>
                <w:rFonts w:hint="default"/>
                <w:color w:val="auto"/>
                <w:u w:val="single"/>
              </w:rPr>
            </w:pPr>
            <w:r>
              <w:rPr>
                <w:rFonts w:hint="eastAsia"/>
                <w:color w:val="auto"/>
                <w:u w:val="single"/>
              </w:rPr>
              <w:t>12</w:t>
            </w:r>
          </w:p>
        </w:tc>
      </w:tr>
      <w:tr w14:paraId="0F9AE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41" w:type="pct"/>
            <w:tcBorders>
              <w:left w:val="single" w:color="auto" w:sz="12" w:space="0"/>
              <w:bottom w:val="single" w:color="auto" w:sz="12" w:space="0"/>
            </w:tcBorders>
            <w:vAlign w:val="center"/>
          </w:tcPr>
          <w:p w14:paraId="56D6D375">
            <w:pPr>
              <w:pStyle w:val="77"/>
              <w:keepNext w:val="0"/>
              <w:keepLines w:val="0"/>
              <w:suppressLineNumbers w:val="0"/>
              <w:autoSpaceDE w:val="0"/>
              <w:autoSpaceDN w:val="0"/>
              <w:spacing w:before="0" w:beforeAutospacing="0" w:after="0" w:afterAutospacing="0"/>
              <w:ind w:left="0" w:right="0"/>
              <w:rPr>
                <w:rFonts w:hint="default"/>
                <w:color w:val="auto"/>
                <w:u w:val="single"/>
              </w:rPr>
            </w:pPr>
            <w:r>
              <w:rPr>
                <w:rFonts w:hint="eastAsia"/>
                <w:color w:val="auto"/>
                <w:u w:val="single"/>
              </w:rPr>
              <w:t>平均风速</w:t>
            </w:r>
          </w:p>
        </w:tc>
        <w:tc>
          <w:tcPr>
            <w:tcW w:w="362" w:type="pct"/>
            <w:tcBorders>
              <w:bottom w:val="single" w:color="auto" w:sz="12" w:space="0"/>
            </w:tcBorders>
          </w:tcPr>
          <w:p w14:paraId="51DAE11A">
            <w:pPr>
              <w:pStyle w:val="91"/>
              <w:keepNext w:val="0"/>
              <w:keepLines w:val="0"/>
              <w:suppressLineNumbers w:val="0"/>
              <w:spacing w:before="0" w:beforeAutospacing="0" w:after="0" w:afterAutospacing="0"/>
              <w:ind w:left="0" w:right="0"/>
              <w:rPr>
                <w:rFonts w:hint="default"/>
                <w:color w:val="auto"/>
                <w:u w:val="single"/>
              </w:rPr>
            </w:pPr>
          </w:p>
        </w:tc>
        <w:tc>
          <w:tcPr>
            <w:tcW w:w="362" w:type="pct"/>
            <w:tcBorders>
              <w:bottom w:val="single" w:color="auto" w:sz="12" w:space="0"/>
            </w:tcBorders>
          </w:tcPr>
          <w:p w14:paraId="299FD467">
            <w:pPr>
              <w:pStyle w:val="91"/>
              <w:keepNext w:val="0"/>
              <w:keepLines w:val="0"/>
              <w:suppressLineNumbers w:val="0"/>
              <w:spacing w:before="0" w:beforeAutospacing="0" w:after="0" w:afterAutospacing="0"/>
              <w:ind w:left="0" w:right="0"/>
              <w:rPr>
                <w:rFonts w:hint="default"/>
                <w:color w:val="auto"/>
                <w:u w:val="single"/>
              </w:rPr>
            </w:pPr>
          </w:p>
        </w:tc>
        <w:tc>
          <w:tcPr>
            <w:tcW w:w="364" w:type="pct"/>
            <w:tcBorders>
              <w:bottom w:val="single" w:color="auto" w:sz="12" w:space="0"/>
            </w:tcBorders>
          </w:tcPr>
          <w:p w14:paraId="6AA81BF8">
            <w:pPr>
              <w:pStyle w:val="91"/>
              <w:keepNext w:val="0"/>
              <w:keepLines w:val="0"/>
              <w:suppressLineNumbers w:val="0"/>
              <w:spacing w:before="0" w:beforeAutospacing="0" w:after="0" w:afterAutospacing="0"/>
              <w:ind w:left="0" w:right="0"/>
              <w:rPr>
                <w:rFonts w:hint="default"/>
                <w:color w:val="auto"/>
                <w:u w:val="single"/>
              </w:rPr>
            </w:pPr>
          </w:p>
        </w:tc>
        <w:tc>
          <w:tcPr>
            <w:tcW w:w="364" w:type="pct"/>
            <w:tcBorders>
              <w:bottom w:val="single" w:color="auto" w:sz="12" w:space="0"/>
            </w:tcBorders>
          </w:tcPr>
          <w:p w14:paraId="1F59CCC2">
            <w:pPr>
              <w:pStyle w:val="91"/>
              <w:keepNext w:val="0"/>
              <w:keepLines w:val="0"/>
              <w:suppressLineNumbers w:val="0"/>
              <w:spacing w:before="0" w:beforeAutospacing="0" w:after="0" w:afterAutospacing="0"/>
              <w:ind w:left="0" w:right="0"/>
              <w:rPr>
                <w:rFonts w:hint="default"/>
                <w:color w:val="auto"/>
                <w:u w:val="single"/>
              </w:rPr>
            </w:pPr>
          </w:p>
        </w:tc>
        <w:tc>
          <w:tcPr>
            <w:tcW w:w="364" w:type="pct"/>
            <w:tcBorders>
              <w:bottom w:val="single" w:color="auto" w:sz="12" w:space="0"/>
            </w:tcBorders>
          </w:tcPr>
          <w:p w14:paraId="5201194E">
            <w:pPr>
              <w:pStyle w:val="91"/>
              <w:keepNext w:val="0"/>
              <w:keepLines w:val="0"/>
              <w:suppressLineNumbers w:val="0"/>
              <w:spacing w:before="0" w:beforeAutospacing="0" w:after="0" w:afterAutospacing="0"/>
              <w:ind w:left="0" w:right="0"/>
              <w:rPr>
                <w:rFonts w:hint="default"/>
                <w:color w:val="auto"/>
                <w:u w:val="single"/>
              </w:rPr>
            </w:pPr>
          </w:p>
        </w:tc>
        <w:tc>
          <w:tcPr>
            <w:tcW w:w="364" w:type="pct"/>
            <w:tcBorders>
              <w:bottom w:val="single" w:color="auto" w:sz="12" w:space="0"/>
            </w:tcBorders>
          </w:tcPr>
          <w:p w14:paraId="6246902F">
            <w:pPr>
              <w:pStyle w:val="91"/>
              <w:keepNext w:val="0"/>
              <w:keepLines w:val="0"/>
              <w:suppressLineNumbers w:val="0"/>
              <w:spacing w:before="0" w:beforeAutospacing="0" w:after="0" w:afterAutospacing="0"/>
              <w:ind w:left="0" w:right="0"/>
              <w:rPr>
                <w:rFonts w:hint="default"/>
                <w:color w:val="auto"/>
                <w:u w:val="single"/>
              </w:rPr>
            </w:pPr>
          </w:p>
        </w:tc>
        <w:tc>
          <w:tcPr>
            <w:tcW w:w="364" w:type="pct"/>
            <w:tcBorders>
              <w:bottom w:val="single" w:color="auto" w:sz="12" w:space="0"/>
            </w:tcBorders>
          </w:tcPr>
          <w:p w14:paraId="24E74ED0">
            <w:pPr>
              <w:pStyle w:val="91"/>
              <w:keepNext w:val="0"/>
              <w:keepLines w:val="0"/>
              <w:suppressLineNumbers w:val="0"/>
              <w:spacing w:before="0" w:beforeAutospacing="0" w:after="0" w:afterAutospacing="0"/>
              <w:ind w:left="0" w:right="0"/>
              <w:rPr>
                <w:rFonts w:hint="default"/>
                <w:color w:val="auto"/>
                <w:u w:val="single"/>
              </w:rPr>
            </w:pPr>
          </w:p>
        </w:tc>
        <w:tc>
          <w:tcPr>
            <w:tcW w:w="364" w:type="pct"/>
            <w:tcBorders>
              <w:bottom w:val="single" w:color="auto" w:sz="12" w:space="0"/>
            </w:tcBorders>
          </w:tcPr>
          <w:p w14:paraId="303149D8">
            <w:pPr>
              <w:pStyle w:val="91"/>
              <w:keepNext w:val="0"/>
              <w:keepLines w:val="0"/>
              <w:suppressLineNumbers w:val="0"/>
              <w:spacing w:before="0" w:beforeAutospacing="0" w:after="0" w:afterAutospacing="0"/>
              <w:ind w:left="0" w:right="0"/>
              <w:rPr>
                <w:rFonts w:hint="default"/>
                <w:color w:val="auto"/>
                <w:u w:val="single"/>
              </w:rPr>
            </w:pPr>
          </w:p>
        </w:tc>
        <w:tc>
          <w:tcPr>
            <w:tcW w:w="364" w:type="pct"/>
            <w:tcBorders>
              <w:bottom w:val="single" w:color="auto" w:sz="12" w:space="0"/>
            </w:tcBorders>
          </w:tcPr>
          <w:p w14:paraId="0AF193E3">
            <w:pPr>
              <w:pStyle w:val="91"/>
              <w:keepNext w:val="0"/>
              <w:keepLines w:val="0"/>
              <w:suppressLineNumbers w:val="0"/>
              <w:spacing w:before="0" w:beforeAutospacing="0" w:after="0" w:afterAutospacing="0"/>
              <w:ind w:left="0" w:right="0"/>
              <w:rPr>
                <w:rFonts w:hint="default"/>
                <w:color w:val="auto"/>
                <w:u w:val="single"/>
              </w:rPr>
            </w:pPr>
          </w:p>
        </w:tc>
        <w:tc>
          <w:tcPr>
            <w:tcW w:w="364" w:type="pct"/>
            <w:tcBorders>
              <w:bottom w:val="single" w:color="auto" w:sz="12" w:space="0"/>
            </w:tcBorders>
          </w:tcPr>
          <w:p w14:paraId="7E70F559">
            <w:pPr>
              <w:pStyle w:val="91"/>
              <w:keepNext w:val="0"/>
              <w:keepLines w:val="0"/>
              <w:suppressLineNumbers w:val="0"/>
              <w:spacing w:before="0" w:beforeAutospacing="0" w:after="0" w:afterAutospacing="0"/>
              <w:ind w:left="0" w:right="0"/>
              <w:rPr>
                <w:rFonts w:hint="default"/>
                <w:color w:val="auto"/>
                <w:u w:val="single"/>
              </w:rPr>
            </w:pPr>
          </w:p>
        </w:tc>
        <w:tc>
          <w:tcPr>
            <w:tcW w:w="364" w:type="pct"/>
            <w:tcBorders>
              <w:bottom w:val="single" w:color="auto" w:sz="12" w:space="0"/>
            </w:tcBorders>
          </w:tcPr>
          <w:p w14:paraId="49A911E8">
            <w:pPr>
              <w:pStyle w:val="91"/>
              <w:keepNext w:val="0"/>
              <w:keepLines w:val="0"/>
              <w:suppressLineNumbers w:val="0"/>
              <w:spacing w:before="0" w:beforeAutospacing="0" w:after="0" w:afterAutospacing="0"/>
              <w:ind w:left="0" w:right="0"/>
              <w:rPr>
                <w:rFonts w:hint="default"/>
                <w:color w:val="auto"/>
                <w:u w:val="single"/>
              </w:rPr>
            </w:pPr>
          </w:p>
        </w:tc>
        <w:tc>
          <w:tcPr>
            <w:tcW w:w="362" w:type="pct"/>
            <w:tcBorders>
              <w:bottom w:val="single" w:color="auto" w:sz="12" w:space="0"/>
              <w:right w:val="single" w:color="auto" w:sz="12" w:space="0"/>
            </w:tcBorders>
          </w:tcPr>
          <w:p w14:paraId="4BD1071F">
            <w:pPr>
              <w:pStyle w:val="91"/>
              <w:keepNext w:val="0"/>
              <w:keepLines w:val="0"/>
              <w:suppressLineNumbers w:val="0"/>
              <w:spacing w:before="0" w:beforeAutospacing="0" w:after="0" w:afterAutospacing="0"/>
              <w:ind w:left="0" w:right="0"/>
              <w:rPr>
                <w:rFonts w:hint="default"/>
                <w:color w:val="auto"/>
                <w:u w:val="single"/>
              </w:rPr>
            </w:pPr>
          </w:p>
        </w:tc>
      </w:tr>
    </w:tbl>
    <w:p w14:paraId="09A751FB">
      <w:pPr>
        <w:ind w:firstLine="480"/>
        <w:rPr>
          <w:color w:val="auto"/>
          <w:u w:val="single"/>
        </w:rPr>
      </w:pPr>
      <w:r>
        <w:rPr>
          <w:color w:val="auto"/>
          <w:u w:val="single"/>
        </w:rPr>
        <w:t>（4）多年风向特征</w:t>
      </w:r>
    </w:p>
    <w:p w14:paraId="0CFD3FAA">
      <w:pPr>
        <w:ind w:firstLine="480"/>
        <w:rPr>
          <w:color w:val="auto"/>
          <w:u w:val="single"/>
        </w:rPr>
      </w:pPr>
      <w:r>
        <w:rPr>
          <w:color w:val="auto"/>
          <w:u w:val="single"/>
        </w:rPr>
        <w:t>钦州市近20年资料分析的风向玫瑰图如图</w:t>
      </w:r>
      <w:r>
        <w:rPr>
          <w:rFonts w:hint="eastAsia"/>
          <w:color w:val="auto"/>
          <w:u w:val="single"/>
        </w:rPr>
        <w:t>4</w:t>
      </w:r>
      <w:r>
        <w:rPr>
          <w:color w:val="auto"/>
          <w:u w:val="single"/>
        </w:rPr>
        <w:t>.</w:t>
      </w:r>
      <w:r>
        <w:rPr>
          <w:rFonts w:hint="eastAsia"/>
          <w:color w:val="auto"/>
          <w:u w:val="single"/>
        </w:rPr>
        <w:t>7-</w:t>
      </w:r>
      <w:r>
        <w:rPr>
          <w:color w:val="auto"/>
          <w:u w:val="single"/>
        </w:rPr>
        <w:t>3所示，钦州市主要风向为N、S、NNW，共占38.0%；详细多年风向频率统计见表</w:t>
      </w:r>
      <w:r>
        <w:rPr>
          <w:rFonts w:hint="eastAsia"/>
          <w:color w:val="auto"/>
          <w:u w:val="single"/>
        </w:rPr>
        <w:t>4</w:t>
      </w:r>
      <w:r>
        <w:rPr>
          <w:color w:val="auto"/>
          <w:u w:val="single"/>
        </w:rPr>
        <w:t>.</w:t>
      </w:r>
      <w:r>
        <w:rPr>
          <w:rFonts w:hint="eastAsia"/>
          <w:color w:val="auto"/>
          <w:u w:val="single"/>
        </w:rPr>
        <w:t>3-3</w:t>
      </w:r>
      <w:r>
        <w:rPr>
          <w:color w:val="auto"/>
          <w:u w:val="single"/>
        </w:rPr>
        <w:t>。</w:t>
      </w:r>
    </w:p>
    <w:p w14:paraId="7DBA508E">
      <w:pPr>
        <w:ind w:firstLine="0" w:firstLineChars="0"/>
        <w:jc w:val="center"/>
        <w:rPr>
          <w:b/>
          <w:color w:val="auto"/>
        </w:rPr>
      </w:pPr>
      <w:r>
        <w:rPr>
          <w:color w:val="auto"/>
          <w:u w:val="single"/>
        </w:rPr>
        <w:drawing>
          <wp:inline distT="0" distB="0" distL="0" distR="0">
            <wp:extent cx="2030730" cy="1911985"/>
            <wp:effectExtent l="0" t="0" r="13970" b="825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2030730" cy="1911985"/>
                    </a:xfrm>
                    <a:prstGeom prst="rect">
                      <a:avLst/>
                    </a:prstGeom>
                  </pic:spPr>
                </pic:pic>
              </a:graphicData>
            </a:graphic>
          </wp:inline>
        </w:drawing>
      </w:r>
    </w:p>
    <w:p w14:paraId="5A4B9B02">
      <w:pPr>
        <w:pStyle w:val="14"/>
        <w:rPr>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3.1</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r>
        <w:rPr>
          <w:rFonts w:hint="eastAsia"/>
          <w:color w:val="auto"/>
        </w:rPr>
        <w:t>钦州市多年风向频率统计图（200</w:t>
      </w:r>
      <w:r>
        <w:rPr>
          <w:color w:val="auto"/>
        </w:rPr>
        <w:t>4</w:t>
      </w:r>
      <w:r>
        <w:rPr>
          <w:rFonts w:hint="eastAsia"/>
          <w:color w:val="auto"/>
        </w:rPr>
        <w:t>~202</w:t>
      </w:r>
      <w:r>
        <w:rPr>
          <w:color w:val="auto"/>
        </w:rPr>
        <w:t>3</w:t>
      </w:r>
      <w:r>
        <w:rPr>
          <w:rFonts w:hint="eastAsia"/>
          <w:color w:val="auto"/>
        </w:rPr>
        <w:t>）</w:t>
      </w:r>
    </w:p>
    <w:p w14:paraId="3275DCD1">
      <w:pPr>
        <w:pStyle w:val="14"/>
        <w:rPr>
          <w:color w:val="auto"/>
        </w:rPr>
      </w:pPr>
      <w:r>
        <w:rPr>
          <w:color w:val="auto"/>
        </w:rPr>
        <w:t>表</w:t>
      </w:r>
      <w:r>
        <w:rPr>
          <w:color w:val="auto"/>
        </w:rPr>
        <w:fldChar w:fldCharType="begin"/>
      </w:r>
      <w:r>
        <w:rPr>
          <w:color w:val="auto"/>
        </w:rPr>
        <w:instrText xml:space="preserve"> STYLEREF 2 \s </w:instrText>
      </w:r>
      <w:r>
        <w:rPr>
          <w:color w:val="auto"/>
        </w:rPr>
        <w:fldChar w:fldCharType="separate"/>
      </w:r>
      <w:r>
        <w:rPr>
          <w:color w:val="auto"/>
        </w:rPr>
        <w:t>3.1</w:t>
      </w:r>
      <w:r>
        <w:rPr>
          <w:color w:val="auto"/>
        </w:rPr>
        <w:fldChar w:fldCharType="end"/>
      </w:r>
      <w:r>
        <w:rPr>
          <w:rFonts w:hint="eastAsia"/>
          <w:color w:val="auto"/>
          <w:lang w:eastAsia="zh-CN"/>
        </w:rPr>
        <w:t>-</w:t>
      </w:r>
      <w:r>
        <w:rPr>
          <w:color w:val="auto"/>
        </w:rPr>
        <w:fldChar w:fldCharType="begin"/>
      </w:r>
      <w:r>
        <w:rPr>
          <w:color w:val="auto"/>
        </w:rPr>
        <w:instrText xml:space="preserve"> SEQ 表 \* ARABIC \s 2 </w:instrText>
      </w:r>
      <w:r>
        <w:rPr>
          <w:color w:val="auto"/>
        </w:rPr>
        <w:fldChar w:fldCharType="separate"/>
      </w:r>
      <w:r>
        <w:rPr>
          <w:color w:val="auto"/>
        </w:rPr>
        <w:t>2</w:t>
      </w:r>
      <w:r>
        <w:rPr>
          <w:color w:val="auto"/>
        </w:rPr>
        <w:fldChar w:fldCharType="end"/>
      </w:r>
      <w:r>
        <w:rPr>
          <w:rFonts w:hint="eastAsia"/>
          <w:color w:val="auto"/>
        </w:rPr>
        <w:t>钦州市气象站多年风向频率统计一览表（单位：m/s）</w:t>
      </w:r>
    </w:p>
    <w:tbl>
      <w:tblPr>
        <w:tblStyle w:val="43"/>
        <w:tblW w:w="84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1"/>
        <w:gridCol w:w="512"/>
        <w:gridCol w:w="512"/>
        <w:gridCol w:w="420"/>
        <w:gridCol w:w="511"/>
        <w:gridCol w:w="511"/>
        <w:gridCol w:w="420"/>
        <w:gridCol w:w="420"/>
        <w:gridCol w:w="511"/>
        <w:gridCol w:w="420"/>
        <w:gridCol w:w="420"/>
        <w:gridCol w:w="511"/>
        <w:gridCol w:w="456"/>
        <w:gridCol w:w="511"/>
        <w:gridCol w:w="486"/>
        <w:gridCol w:w="420"/>
        <w:gridCol w:w="602"/>
        <w:gridCol w:w="430"/>
      </w:tblGrid>
      <w:tr w14:paraId="1B649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11" w:type="dxa"/>
            <w:tcBorders>
              <w:top w:val="single" w:color="auto" w:sz="12" w:space="0"/>
              <w:left w:val="single" w:color="auto" w:sz="12" w:space="0"/>
            </w:tcBorders>
            <w:vAlign w:val="center"/>
          </w:tcPr>
          <w:p w14:paraId="08D8635C">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风向</w:t>
            </w:r>
          </w:p>
        </w:tc>
        <w:tc>
          <w:tcPr>
            <w:tcW w:w="512" w:type="dxa"/>
            <w:tcBorders>
              <w:top w:val="single" w:color="auto" w:sz="12" w:space="0"/>
            </w:tcBorders>
            <w:vAlign w:val="center"/>
          </w:tcPr>
          <w:p w14:paraId="0134B9CB">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N</w:t>
            </w:r>
          </w:p>
        </w:tc>
        <w:tc>
          <w:tcPr>
            <w:tcW w:w="512" w:type="dxa"/>
            <w:tcBorders>
              <w:top w:val="single" w:color="auto" w:sz="12" w:space="0"/>
            </w:tcBorders>
            <w:vAlign w:val="center"/>
          </w:tcPr>
          <w:p w14:paraId="1B7DCE9A">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NNE</w:t>
            </w:r>
          </w:p>
        </w:tc>
        <w:tc>
          <w:tcPr>
            <w:tcW w:w="420" w:type="dxa"/>
            <w:tcBorders>
              <w:top w:val="single" w:color="auto" w:sz="12" w:space="0"/>
            </w:tcBorders>
            <w:vAlign w:val="center"/>
          </w:tcPr>
          <w:p w14:paraId="2B7F4EF5">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NE</w:t>
            </w:r>
          </w:p>
        </w:tc>
        <w:tc>
          <w:tcPr>
            <w:tcW w:w="511" w:type="dxa"/>
            <w:tcBorders>
              <w:top w:val="single" w:color="auto" w:sz="12" w:space="0"/>
            </w:tcBorders>
            <w:vAlign w:val="center"/>
          </w:tcPr>
          <w:p w14:paraId="064B250B">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ENE</w:t>
            </w:r>
          </w:p>
        </w:tc>
        <w:tc>
          <w:tcPr>
            <w:tcW w:w="511" w:type="dxa"/>
            <w:tcBorders>
              <w:top w:val="single" w:color="auto" w:sz="12" w:space="0"/>
            </w:tcBorders>
            <w:vAlign w:val="center"/>
          </w:tcPr>
          <w:p w14:paraId="6A8F0BA2">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E</w:t>
            </w:r>
          </w:p>
        </w:tc>
        <w:tc>
          <w:tcPr>
            <w:tcW w:w="420" w:type="dxa"/>
            <w:tcBorders>
              <w:top w:val="single" w:color="auto" w:sz="12" w:space="0"/>
            </w:tcBorders>
            <w:vAlign w:val="center"/>
          </w:tcPr>
          <w:p w14:paraId="2A7708F7">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ESE</w:t>
            </w:r>
          </w:p>
        </w:tc>
        <w:tc>
          <w:tcPr>
            <w:tcW w:w="420" w:type="dxa"/>
            <w:tcBorders>
              <w:top w:val="single" w:color="auto" w:sz="12" w:space="0"/>
            </w:tcBorders>
            <w:vAlign w:val="center"/>
          </w:tcPr>
          <w:p w14:paraId="68B24463">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SE</w:t>
            </w:r>
          </w:p>
        </w:tc>
        <w:tc>
          <w:tcPr>
            <w:tcW w:w="511" w:type="dxa"/>
            <w:tcBorders>
              <w:top w:val="single" w:color="auto" w:sz="12" w:space="0"/>
            </w:tcBorders>
            <w:vAlign w:val="center"/>
          </w:tcPr>
          <w:p w14:paraId="24D37883">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SSE</w:t>
            </w:r>
          </w:p>
        </w:tc>
        <w:tc>
          <w:tcPr>
            <w:tcW w:w="420" w:type="dxa"/>
            <w:tcBorders>
              <w:top w:val="single" w:color="auto" w:sz="12" w:space="0"/>
            </w:tcBorders>
            <w:vAlign w:val="center"/>
          </w:tcPr>
          <w:p w14:paraId="22452550">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S</w:t>
            </w:r>
          </w:p>
        </w:tc>
        <w:tc>
          <w:tcPr>
            <w:tcW w:w="420" w:type="dxa"/>
            <w:tcBorders>
              <w:top w:val="single" w:color="auto" w:sz="12" w:space="0"/>
            </w:tcBorders>
            <w:vAlign w:val="center"/>
          </w:tcPr>
          <w:p w14:paraId="57FDD5DD">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SSW</w:t>
            </w:r>
          </w:p>
        </w:tc>
        <w:tc>
          <w:tcPr>
            <w:tcW w:w="511" w:type="dxa"/>
            <w:tcBorders>
              <w:top w:val="single" w:color="auto" w:sz="12" w:space="0"/>
            </w:tcBorders>
            <w:vAlign w:val="center"/>
          </w:tcPr>
          <w:p w14:paraId="256619FF">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SW</w:t>
            </w:r>
          </w:p>
        </w:tc>
        <w:tc>
          <w:tcPr>
            <w:tcW w:w="456" w:type="dxa"/>
            <w:tcBorders>
              <w:top w:val="single" w:color="auto" w:sz="12" w:space="0"/>
            </w:tcBorders>
            <w:vAlign w:val="center"/>
          </w:tcPr>
          <w:p w14:paraId="489BCF72">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WSW</w:t>
            </w:r>
          </w:p>
        </w:tc>
        <w:tc>
          <w:tcPr>
            <w:tcW w:w="511" w:type="dxa"/>
            <w:tcBorders>
              <w:top w:val="single" w:color="auto" w:sz="12" w:space="0"/>
            </w:tcBorders>
            <w:vAlign w:val="center"/>
          </w:tcPr>
          <w:p w14:paraId="16924286">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W</w:t>
            </w:r>
          </w:p>
        </w:tc>
        <w:tc>
          <w:tcPr>
            <w:tcW w:w="486" w:type="dxa"/>
            <w:tcBorders>
              <w:top w:val="single" w:color="auto" w:sz="12" w:space="0"/>
            </w:tcBorders>
            <w:vAlign w:val="center"/>
          </w:tcPr>
          <w:p w14:paraId="7964B1C3">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WNW</w:t>
            </w:r>
          </w:p>
        </w:tc>
        <w:tc>
          <w:tcPr>
            <w:tcW w:w="420" w:type="dxa"/>
            <w:tcBorders>
              <w:top w:val="single" w:color="auto" w:sz="12" w:space="0"/>
            </w:tcBorders>
            <w:vAlign w:val="center"/>
          </w:tcPr>
          <w:p w14:paraId="7AA0C322">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NW</w:t>
            </w:r>
          </w:p>
        </w:tc>
        <w:tc>
          <w:tcPr>
            <w:tcW w:w="602" w:type="dxa"/>
            <w:tcBorders>
              <w:top w:val="single" w:color="auto" w:sz="12" w:space="0"/>
            </w:tcBorders>
            <w:vAlign w:val="center"/>
          </w:tcPr>
          <w:p w14:paraId="311A6F8C">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NNW</w:t>
            </w:r>
          </w:p>
        </w:tc>
        <w:tc>
          <w:tcPr>
            <w:tcW w:w="430" w:type="dxa"/>
            <w:tcBorders>
              <w:top w:val="single" w:color="auto" w:sz="12" w:space="0"/>
              <w:right w:val="single" w:color="auto" w:sz="12" w:space="0"/>
            </w:tcBorders>
            <w:vAlign w:val="center"/>
          </w:tcPr>
          <w:p w14:paraId="57BFC16E">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C</w:t>
            </w:r>
          </w:p>
        </w:tc>
      </w:tr>
      <w:tr w14:paraId="11FBE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11" w:type="dxa"/>
            <w:tcBorders>
              <w:left w:val="single" w:color="auto" w:sz="12" w:space="0"/>
              <w:bottom w:val="single" w:color="auto" w:sz="12" w:space="0"/>
            </w:tcBorders>
            <w:vAlign w:val="center"/>
          </w:tcPr>
          <w:p w14:paraId="0CAE8440">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频率</w:t>
            </w:r>
          </w:p>
        </w:tc>
        <w:tc>
          <w:tcPr>
            <w:tcW w:w="512" w:type="dxa"/>
            <w:tcBorders>
              <w:bottom w:val="single" w:color="auto" w:sz="12" w:space="0"/>
            </w:tcBorders>
            <w:vAlign w:val="center"/>
          </w:tcPr>
          <w:p w14:paraId="4D83EF15">
            <w:pPr>
              <w:pStyle w:val="91"/>
              <w:keepNext w:val="0"/>
              <w:keepLines w:val="0"/>
              <w:suppressLineNumbers w:val="0"/>
              <w:spacing w:before="0" w:beforeAutospacing="0" w:after="0" w:afterAutospacing="0"/>
              <w:ind w:left="0" w:right="0"/>
              <w:jc w:val="center"/>
              <w:rPr>
                <w:rFonts w:hint="default"/>
                <w:color w:val="auto"/>
                <w:u w:val="single"/>
              </w:rPr>
            </w:pPr>
          </w:p>
        </w:tc>
        <w:tc>
          <w:tcPr>
            <w:tcW w:w="512" w:type="dxa"/>
            <w:tcBorders>
              <w:bottom w:val="single" w:color="auto" w:sz="12" w:space="0"/>
            </w:tcBorders>
            <w:vAlign w:val="center"/>
          </w:tcPr>
          <w:p w14:paraId="59ABD546">
            <w:pPr>
              <w:pStyle w:val="91"/>
              <w:keepNext w:val="0"/>
              <w:keepLines w:val="0"/>
              <w:suppressLineNumbers w:val="0"/>
              <w:spacing w:before="0" w:beforeAutospacing="0" w:after="0" w:afterAutospacing="0"/>
              <w:ind w:left="0" w:right="0"/>
              <w:jc w:val="center"/>
              <w:rPr>
                <w:rFonts w:hint="default"/>
                <w:color w:val="auto"/>
                <w:u w:val="single"/>
              </w:rPr>
            </w:pPr>
          </w:p>
        </w:tc>
        <w:tc>
          <w:tcPr>
            <w:tcW w:w="420" w:type="dxa"/>
            <w:tcBorders>
              <w:bottom w:val="single" w:color="auto" w:sz="12" w:space="0"/>
            </w:tcBorders>
            <w:vAlign w:val="center"/>
          </w:tcPr>
          <w:p w14:paraId="63D6D531">
            <w:pPr>
              <w:pStyle w:val="91"/>
              <w:keepNext w:val="0"/>
              <w:keepLines w:val="0"/>
              <w:suppressLineNumbers w:val="0"/>
              <w:spacing w:before="0" w:beforeAutospacing="0" w:after="0" w:afterAutospacing="0"/>
              <w:ind w:left="0" w:right="0"/>
              <w:jc w:val="center"/>
              <w:rPr>
                <w:rFonts w:hint="default"/>
                <w:color w:val="auto"/>
                <w:u w:val="single"/>
              </w:rPr>
            </w:pPr>
          </w:p>
        </w:tc>
        <w:tc>
          <w:tcPr>
            <w:tcW w:w="511" w:type="dxa"/>
            <w:tcBorders>
              <w:bottom w:val="single" w:color="auto" w:sz="12" w:space="0"/>
            </w:tcBorders>
            <w:vAlign w:val="center"/>
          </w:tcPr>
          <w:p w14:paraId="0434B4C7">
            <w:pPr>
              <w:pStyle w:val="91"/>
              <w:keepNext w:val="0"/>
              <w:keepLines w:val="0"/>
              <w:suppressLineNumbers w:val="0"/>
              <w:spacing w:before="0" w:beforeAutospacing="0" w:after="0" w:afterAutospacing="0"/>
              <w:ind w:left="0" w:right="0"/>
              <w:jc w:val="center"/>
              <w:rPr>
                <w:rFonts w:hint="default"/>
                <w:color w:val="auto"/>
                <w:u w:val="single"/>
              </w:rPr>
            </w:pPr>
          </w:p>
        </w:tc>
        <w:tc>
          <w:tcPr>
            <w:tcW w:w="511" w:type="dxa"/>
            <w:tcBorders>
              <w:bottom w:val="single" w:color="auto" w:sz="12" w:space="0"/>
            </w:tcBorders>
            <w:vAlign w:val="center"/>
          </w:tcPr>
          <w:p w14:paraId="153B1BF5">
            <w:pPr>
              <w:pStyle w:val="91"/>
              <w:keepNext w:val="0"/>
              <w:keepLines w:val="0"/>
              <w:suppressLineNumbers w:val="0"/>
              <w:spacing w:before="0" w:beforeAutospacing="0" w:after="0" w:afterAutospacing="0"/>
              <w:ind w:left="0" w:right="0"/>
              <w:jc w:val="center"/>
              <w:rPr>
                <w:rFonts w:hint="default"/>
                <w:color w:val="auto"/>
                <w:u w:val="single"/>
              </w:rPr>
            </w:pPr>
          </w:p>
        </w:tc>
        <w:tc>
          <w:tcPr>
            <w:tcW w:w="420" w:type="dxa"/>
            <w:tcBorders>
              <w:bottom w:val="single" w:color="auto" w:sz="12" w:space="0"/>
            </w:tcBorders>
            <w:vAlign w:val="center"/>
          </w:tcPr>
          <w:p w14:paraId="3422838F">
            <w:pPr>
              <w:pStyle w:val="91"/>
              <w:keepNext w:val="0"/>
              <w:keepLines w:val="0"/>
              <w:suppressLineNumbers w:val="0"/>
              <w:spacing w:before="0" w:beforeAutospacing="0" w:after="0" w:afterAutospacing="0"/>
              <w:ind w:left="0" w:right="0"/>
              <w:jc w:val="center"/>
              <w:rPr>
                <w:rFonts w:hint="default"/>
                <w:color w:val="auto"/>
                <w:u w:val="single"/>
              </w:rPr>
            </w:pPr>
          </w:p>
        </w:tc>
        <w:tc>
          <w:tcPr>
            <w:tcW w:w="420" w:type="dxa"/>
            <w:tcBorders>
              <w:bottom w:val="single" w:color="auto" w:sz="12" w:space="0"/>
            </w:tcBorders>
            <w:vAlign w:val="center"/>
          </w:tcPr>
          <w:p w14:paraId="3D10A80A">
            <w:pPr>
              <w:pStyle w:val="91"/>
              <w:keepNext w:val="0"/>
              <w:keepLines w:val="0"/>
              <w:suppressLineNumbers w:val="0"/>
              <w:spacing w:before="0" w:beforeAutospacing="0" w:after="0" w:afterAutospacing="0"/>
              <w:ind w:left="0" w:right="0"/>
              <w:jc w:val="center"/>
              <w:rPr>
                <w:rFonts w:hint="default"/>
                <w:color w:val="auto"/>
                <w:u w:val="single"/>
              </w:rPr>
            </w:pPr>
          </w:p>
        </w:tc>
        <w:tc>
          <w:tcPr>
            <w:tcW w:w="511" w:type="dxa"/>
            <w:tcBorders>
              <w:bottom w:val="single" w:color="auto" w:sz="12" w:space="0"/>
            </w:tcBorders>
            <w:vAlign w:val="center"/>
          </w:tcPr>
          <w:p w14:paraId="71A4E149">
            <w:pPr>
              <w:pStyle w:val="91"/>
              <w:keepNext w:val="0"/>
              <w:keepLines w:val="0"/>
              <w:suppressLineNumbers w:val="0"/>
              <w:spacing w:before="0" w:beforeAutospacing="0" w:after="0" w:afterAutospacing="0"/>
              <w:ind w:left="0" w:right="0"/>
              <w:jc w:val="center"/>
              <w:rPr>
                <w:rFonts w:hint="default"/>
                <w:color w:val="auto"/>
                <w:u w:val="single"/>
              </w:rPr>
            </w:pPr>
          </w:p>
        </w:tc>
        <w:tc>
          <w:tcPr>
            <w:tcW w:w="420" w:type="dxa"/>
            <w:tcBorders>
              <w:bottom w:val="single" w:color="auto" w:sz="12" w:space="0"/>
            </w:tcBorders>
            <w:vAlign w:val="center"/>
          </w:tcPr>
          <w:p w14:paraId="667E1808">
            <w:pPr>
              <w:pStyle w:val="91"/>
              <w:keepNext w:val="0"/>
              <w:keepLines w:val="0"/>
              <w:suppressLineNumbers w:val="0"/>
              <w:spacing w:before="0" w:beforeAutospacing="0" w:after="0" w:afterAutospacing="0"/>
              <w:ind w:left="0" w:right="0"/>
              <w:jc w:val="center"/>
              <w:rPr>
                <w:rFonts w:hint="default"/>
                <w:color w:val="auto"/>
                <w:u w:val="single"/>
              </w:rPr>
            </w:pPr>
          </w:p>
        </w:tc>
        <w:tc>
          <w:tcPr>
            <w:tcW w:w="420" w:type="dxa"/>
            <w:tcBorders>
              <w:bottom w:val="single" w:color="auto" w:sz="12" w:space="0"/>
            </w:tcBorders>
            <w:vAlign w:val="center"/>
          </w:tcPr>
          <w:p w14:paraId="6445ED82">
            <w:pPr>
              <w:pStyle w:val="91"/>
              <w:keepNext w:val="0"/>
              <w:keepLines w:val="0"/>
              <w:suppressLineNumbers w:val="0"/>
              <w:spacing w:before="0" w:beforeAutospacing="0" w:after="0" w:afterAutospacing="0"/>
              <w:ind w:left="0" w:right="0"/>
              <w:jc w:val="center"/>
              <w:rPr>
                <w:rFonts w:hint="default"/>
                <w:color w:val="auto"/>
                <w:u w:val="single"/>
              </w:rPr>
            </w:pPr>
          </w:p>
        </w:tc>
        <w:tc>
          <w:tcPr>
            <w:tcW w:w="511" w:type="dxa"/>
            <w:tcBorders>
              <w:bottom w:val="single" w:color="auto" w:sz="12" w:space="0"/>
            </w:tcBorders>
            <w:vAlign w:val="center"/>
          </w:tcPr>
          <w:p w14:paraId="4AE28A95">
            <w:pPr>
              <w:pStyle w:val="91"/>
              <w:keepNext w:val="0"/>
              <w:keepLines w:val="0"/>
              <w:suppressLineNumbers w:val="0"/>
              <w:spacing w:before="0" w:beforeAutospacing="0" w:after="0" w:afterAutospacing="0"/>
              <w:ind w:left="0" w:right="0"/>
              <w:jc w:val="center"/>
              <w:rPr>
                <w:rFonts w:hint="default"/>
                <w:color w:val="auto"/>
                <w:u w:val="single"/>
              </w:rPr>
            </w:pPr>
          </w:p>
        </w:tc>
        <w:tc>
          <w:tcPr>
            <w:tcW w:w="456" w:type="dxa"/>
            <w:tcBorders>
              <w:bottom w:val="single" w:color="auto" w:sz="12" w:space="0"/>
            </w:tcBorders>
            <w:vAlign w:val="center"/>
          </w:tcPr>
          <w:p w14:paraId="7F47EEE8">
            <w:pPr>
              <w:pStyle w:val="91"/>
              <w:keepNext w:val="0"/>
              <w:keepLines w:val="0"/>
              <w:suppressLineNumbers w:val="0"/>
              <w:spacing w:before="0" w:beforeAutospacing="0" w:after="0" w:afterAutospacing="0"/>
              <w:ind w:left="0" w:right="0"/>
              <w:jc w:val="center"/>
              <w:rPr>
                <w:rFonts w:hint="default"/>
                <w:color w:val="auto"/>
                <w:u w:val="single"/>
              </w:rPr>
            </w:pPr>
          </w:p>
        </w:tc>
        <w:tc>
          <w:tcPr>
            <w:tcW w:w="511" w:type="dxa"/>
            <w:tcBorders>
              <w:bottom w:val="single" w:color="auto" w:sz="12" w:space="0"/>
            </w:tcBorders>
            <w:vAlign w:val="center"/>
          </w:tcPr>
          <w:p w14:paraId="31FDBA58">
            <w:pPr>
              <w:pStyle w:val="91"/>
              <w:keepNext w:val="0"/>
              <w:keepLines w:val="0"/>
              <w:suppressLineNumbers w:val="0"/>
              <w:spacing w:before="0" w:beforeAutospacing="0" w:after="0" w:afterAutospacing="0"/>
              <w:ind w:left="0" w:right="0"/>
              <w:jc w:val="center"/>
              <w:rPr>
                <w:rFonts w:hint="default"/>
                <w:color w:val="auto"/>
                <w:u w:val="single"/>
              </w:rPr>
            </w:pPr>
          </w:p>
        </w:tc>
        <w:tc>
          <w:tcPr>
            <w:tcW w:w="486" w:type="dxa"/>
            <w:tcBorders>
              <w:bottom w:val="single" w:color="auto" w:sz="12" w:space="0"/>
            </w:tcBorders>
            <w:vAlign w:val="center"/>
          </w:tcPr>
          <w:p w14:paraId="7DB3F2A1">
            <w:pPr>
              <w:pStyle w:val="91"/>
              <w:keepNext w:val="0"/>
              <w:keepLines w:val="0"/>
              <w:suppressLineNumbers w:val="0"/>
              <w:spacing w:before="0" w:beforeAutospacing="0" w:after="0" w:afterAutospacing="0"/>
              <w:ind w:left="0" w:right="0"/>
              <w:jc w:val="center"/>
              <w:rPr>
                <w:rFonts w:hint="default"/>
                <w:color w:val="auto"/>
                <w:u w:val="single"/>
              </w:rPr>
            </w:pPr>
          </w:p>
        </w:tc>
        <w:tc>
          <w:tcPr>
            <w:tcW w:w="420" w:type="dxa"/>
            <w:tcBorders>
              <w:bottom w:val="single" w:color="auto" w:sz="12" w:space="0"/>
            </w:tcBorders>
            <w:vAlign w:val="center"/>
          </w:tcPr>
          <w:p w14:paraId="17EBAA01">
            <w:pPr>
              <w:pStyle w:val="91"/>
              <w:keepNext w:val="0"/>
              <w:keepLines w:val="0"/>
              <w:suppressLineNumbers w:val="0"/>
              <w:spacing w:before="0" w:beforeAutospacing="0" w:after="0" w:afterAutospacing="0"/>
              <w:ind w:left="0" w:right="0"/>
              <w:jc w:val="center"/>
              <w:rPr>
                <w:rFonts w:hint="default"/>
                <w:color w:val="auto"/>
                <w:u w:val="single"/>
              </w:rPr>
            </w:pPr>
          </w:p>
        </w:tc>
        <w:tc>
          <w:tcPr>
            <w:tcW w:w="602" w:type="dxa"/>
            <w:tcBorders>
              <w:bottom w:val="single" w:color="auto" w:sz="12" w:space="0"/>
            </w:tcBorders>
            <w:vAlign w:val="center"/>
          </w:tcPr>
          <w:p w14:paraId="4CDC70F5">
            <w:pPr>
              <w:pStyle w:val="91"/>
              <w:keepNext w:val="0"/>
              <w:keepLines w:val="0"/>
              <w:suppressLineNumbers w:val="0"/>
              <w:spacing w:before="0" w:beforeAutospacing="0" w:after="0" w:afterAutospacing="0"/>
              <w:ind w:left="0" w:right="0"/>
              <w:jc w:val="center"/>
              <w:rPr>
                <w:rFonts w:hint="default"/>
                <w:color w:val="auto"/>
                <w:u w:val="single"/>
              </w:rPr>
            </w:pPr>
          </w:p>
        </w:tc>
        <w:tc>
          <w:tcPr>
            <w:tcW w:w="430" w:type="dxa"/>
            <w:tcBorders>
              <w:bottom w:val="single" w:color="auto" w:sz="12" w:space="0"/>
              <w:right w:val="single" w:color="auto" w:sz="12" w:space="0"/>
            </w:tcBorders>
            <w:vAlign w:val="center"/>
          </w:tcPr>
          <w:p w14:paraId="2967F038">
            <w:pPr>
              <w:pStyle w:val="91"/>
              <w:keepNext w:val="0"/>
              <w:keepLines w:val="0"/>
              <w:suppressLineNumbers w:val="0"/>
              <w:spacing w:before="0" w:beforeAutospacing="0" w:after="0" w:afterAutospacing="0"/>
              <w:ind w:left="0" w:right="0"/>
              <w:jc w:val="center"/>
              <w:rPr>
                <w:rFonts w:hint="default"/>
                <w:color w:val="auto"/>
                <w:u w:val="single"/>
              </w:rPr>
            </w:pPr>
          </w:p>
        </w:tc>
      </w:tr>
    </w:tbl>
    <w:p w14:paraId="489F89C3">
      <w:pPr>
        <w:pStyle w:val="6"/>
        <w:rPr>
          <w:color w:val="auto"/>
        </w:rPr>
      </w:pPr>
      <w:r>
        <w:rPr>
          <w:color w:val="auto"/>
        </w:rPr>
        <w:t>雾、相对湿度及蒸发量</w:t>
      </w:r>
    </w:p>
    <w:p w14:paraId="2B74E086">
      <w:pPr>
        <w:ind w:firstLine="480"/>
        <w:rPr>
          <w:color w:val="auto"/>
          <w:kern w:val="0"/>
          <w:szCs w:val="22"/>
        </w:rPr>
      </w:pPr>
      <w:r>
        <w:rPr>
          <w:color w:val="auto"/>
          <w:kern w:val="0"/>
          <w:szCs w:val="22"/>
        </w:rPr>
        <w:t>钦州湾的雾以锋面雾和平流雾为主，辐射雾次之。钦州湾的雾日与廉州湾相近，多年平均为13.4d，历年最多雾日达30d，最少为6d。一年中多雾日时段为12月至翌年3月，在此期间月平均雾日为2d至3d。一天中雾主要出现在傍晚至次日清晨。冬春季节，大雾常出现在冷空气南下之前。</w:t>
      </w:r>
    </w:p>
    <w:p w14:paraId="3DD6309F">
      <w:pPr>
        <w:ind w:firstLine="480"/>
        <w:rPr>
          <w:color w:val="auto"/>
          <w:kern w:val="0"/>
          <w:szCs w:val="22"/>
        </w:rPr>
      </w:pPr>
      <w:r>
        <w:rPr>
          <w:color w:val="auto"/>
          <w:kern w:val="0"/>
          <w:szCs w:val="22"/>
        </w:rPr>
        <w:t>区域相对湿度以春季3月和雨季6~8月为最大，10月到次年1月为相对湿度低值期。多年平均相对湿度为82%，历史最大相对湿度达100%，历史最小相对湿度为22%。</w:t>
      </w:r>
    </w:p>
    <w:p w14:paraId="5D142996">
      <w:pPr>
        <w:ind w:firstLine="480"/>
        <w:rPr>
          <w:color w:val="auto"/>
          <w:kern w:val="0"/>
          <w:szCs w:val="22"/>
        </w:rPr>
      </w:pPr>
      <w:r>
        <w:rPr>
          <w:color w:val="auto"/>
          <w:kern w:val="0"/>
          <w:szCs w:val="22"/>
        </w:rPr>
        <w:t>钦州湾历年平均年蒸发量：1502.9mm，极端最低年蒸发量：1260.5mm。</w:t>
      </w:r>
    </w:p>
    <w:p w14:paraId="698C59EC">
      <w:pPr>
        <w:pStyle w:val="4"/>
        <w:rPr>
          <w:color w:val="auto"/>
        </w:rPr>
      </w:pPr>
      <w:bookmarkStart w:id="373" w:name="_Toc135090219"/>
      <w:bookmarkStart w:id="374" w:name="_Toc26910002"/>
      <w:bookmarkStart w:id="375" w:name="_Toc25436959"/>
      <w:bookmarkStart w:id="376" w:name="_Toc136878468"/>
      <w:bookmarkStart w:id="377" w:name="_Toc216103373"/>
      <w:bookmarkStart w:id="378" w:name="_Toc216620532"/>
      <w:bookmarkStart w:id="379" w:name="_Toc29131816"/>
      <w:r>
        <w:rPr>
          <w:color w:val="auto"/>
        </w:rPr>
        <w:t>自然资源</w:t>
      </w:r>
      <w:bookmarkEnd w:id="373"/>
      <w:bookmarkEnd w:id="374"/>
      <w:bookmarkEnd w:id="375"/>
      <w:bookmarkEnd w:id="376"/>
      <w:bookmarkEnd w:id="377"/>
      <w:bookmarkEnd w:id="378"/>
      <w:bookmarkEnd w:id="379"/>
    </w:p>
    <w:p w14:paraId="4862AB4B">
      <w:pPr>
        <w:pStyle w:val="6"/>
        <w:rPr>
          <w:color w:val="auto"/>
        </w:rPr>
      </w:pPr>
      <w:r>
        <w:rPr>
          <w:color w:val="auto"/>
        </w:rPr>
        <w:t>土壤资源</w:t>
      </w:r>
    </w:p>
    <w:p w14:paraId="0C52400E">
      <w:pPr>
        <w:ind w:firstLine="480"/>
        <w:rPr>
          <w:color w:val="auto"/>
          <w:kern w:val="0"/>
          <w:szCs w:val="22"/>
        </w:rPr>
      </w:pPr>
      <w:r>
        <w:rPr>
          <w:color w:val="auto"/>
          <w:kern w:val="0"/>
          <w:szCs w:val="22"/>
        </w:rPr>
        <w:t>钦州市土壤的成土母岩和母质主要有砂页岩、花岗岩、砂岩、紫色岩系、浅海沉积物、第四纪红土和河流冲积物等七种，此外还有页岩、粉砂岩、灰岩、石灰岩等。由于成土母质较多，形成的土壤种类也较多。成土母质主要是沙页岩与花岗岩，呈带状相间分布。地势平缓，大部分已垦殖为耕作土壤。其分布规律是：从垌田到丘陵依次为沙页岩或花岗岩母质潴育性水稻土‐淹育性水稻土‐耕型砂页岩或花岗岩赤（砖）红壤‐沙页岩或花岗岩赤（砖）红岩（林业土壤）。山间有较多的潜底田。</w:t>
      </w:r>
    </w:p>
    <w:p w14:paraId="4A700A77">
      <w:pPr>
        <w:pStyle w:val="6"/>
        <w:rPr>
          <w:color w:val="auto"/>
        </w:rPr>
      </w:pPr>
      <w:r>
        <w:rPr>
          <w:color w:val="auto"/>
        </w:rPr>
        <w:t>动物资源</w:t>
      </w:r>
    </w:p>
    <w:p w14:paraId="474E459B">
      <w:pPr>
        <w:ind w:firstLine="480"/>
        <w:rPr>
          <w:color w:val="auto"/>
          <w:kern w:val="0"/>
          <w:szCs w:val="22"/>
        </w:rPr>
      </w:pPr>
      <w:r>
        <w:rPr>
          <w:color w:val="auto"/>
          <w:kern w:val="0"/>
          <w:szCs w:val="22"/>
        </w:rPr>
        <w:t>钦州市自然分布的陆生野生脊椎动物76科271种。其中，两栖类7种，主要有青蛙、山蛙、沼蛙、蟾蜍等；爬行类21种，主要有眼镜蛇、金环蛇、银环蛇、百步蛇、三素锦蛇、水律蛇、蛤蚧、龟等；鸟类186种，主要有画眉、鹧鸪、鹩哥、鹦鹉、山雀、白鹭、大白鹭、牛背鹭等；哺乳类62种，主要有野猪、豪猪、果子狸、猪獾、抓鸡虎、松鼠、竹鼠等。钦州湾及其邻近海域的多毛类、软体动物、甲壳动物、棘皮动物、底栖鱼类等底栖动物共有800余种，隶属212科478属。本海区的经济底栖生物种有马氏珠母贝、杂色鲃、近江牡蛎（大蚝）、花刺参、长助日月贝、花日本日月贝、文蛤和毛蚶等。国家公布的一级、二级陆生野生动物主要分布在浦北县的六万山、钦北区的王岗山及广西茅尾海红树林自治区级自然保护区。</w:t>
      </w:r>
    </w:p>
    <w:p w14:paraId="20D12500">
      <w:pPr>
        <w:topLinePunct/>
        <w:ind w:firstLine="480"/>
        <w:rPr>
          <w:color w:val="auto"/>
          <w:kern w:val="0"/>
          <w:szCs w:val="22"/>
        </w:rPr>
      </w:pPr>
      <w:r>
        <w:rPr>
          <w:color w:val="auto"/>
          <w:kern w:val="0"/>
          <w:szCs w:val="22"/>
        </w:rPr>
        <w:t>据调查，本项目东面约16.8km处的三娘湾海域分布有中华白海豚，未设置中华白海豚自然保护区，但距离较近。白海豚是我国I级保护动物，属于暖水性鲸豚类，隶属于鲸目齿鲸亚目海豚科，现存北部湾白海豚的主要分布区域为大风江口南部海域（共约350平方千米），其中三墩沙一线以东至钦州-北海交界一线以西水深不超过8m的海域为其密集分布区（共约180平方千米）。</w:t>
      </w:r>
    </w:p>
    <w:p w14:paraId="128534BD">
      <w:pPr>
        <w:pStyle w:val="6"/>
        <w:rPr>
          <w:color w:val="auto"/>
        </w:rPr>
      </w:pPr>
      <w:r>
        <w:rPr>
          <w:color w:val="auto"/>
        </w:rPr>
        <w:t>植物资源</w:t>
      </w:r>
    </w:p>
    <w:p w14:paraId="1B44F1EE">
      <w:pPr>
        <w:ind w:firstLine="480"/>
        <w:rPr>
          <w:color w:val="auto"/>
          <w:kern w:val="0"/>
          <w:szCs w:val="22"/>
        </w:rPr>
      </w:pPr>
      <w:r>
        <w:rPr>
          <w:color w:val="auto"/>
          <w:kern w:val="0"/>
          <w:szCs w:val="22"/>
        </w:rPr>
        <w:t>钦州市植被茂盛，天然植被分区属桂南热带雨林和亚热带季雨林区。植被类型和植物群落多种多样，大致分为季雨林、常绿阔叶林、针叶林、针阔叶混交林和稀树矮草等5大类植被类型。植被分布极不平衡，在西部、北部及东部部分地区，原生植被大部分已受破外，现有森林是以松、杉树为主的次生杂木林，杂木有椎、樟、楠、荷、格、紫荆等。地表以桃金娘、芒箕群落为主。中南部地区属灌木低草群落，灌木以岗松为主，低草以鸭咀草为主，其次也有桃金娘、芒箕、鹧鸪草等。另在海河交汇处及浅海滩涂分布有热带海岸特有的植被——红树林。</w:t>
      </w:r>
    </w:p>
    <w:p w14:paraId="3F0204F0">
      <w:pPr>
        <w:ind w:firstLine="480"/>
        <w:rPr>
          <w:color w:val="auto"/>
          <w:kern w:val="0"/>
          <w:szCs w:val="22"/>
        </w:rPr>
      </w:pPr>
      <w:r>
        <w:rPr>
          <w:color w:val="auto"/>
          <w:kern w:val="0"/>
          <w:szCs w:val="22"/>
        </w:rPr>
        <w:t>项目评价区域森林植被以松杉和天然阔叶林为主。由于土壤、气候、地形条件的不同，植被分布有区域性差异：东、西北部地区以桃金娘芒箕群落为主，草类以绒草为主，覆盖率80～90%，乔木以松杉为主；南部、中部地区以灌木、岗松及低草群落的鸭嘴草为主，覆盖率50～60%，乔木以松为主；沿海地区以矮生鹧鸪草群落为主，覆盖率30～40%，乔木以松为主。</w:t>
      </w:r>
    </w:p>
    <w:p w14:paraId="4B843DFC">
      <w:pPr>
        <w:ind w:firstLine="480"/>
        <w:rPr>
          <w:color w:val="auto"/>
          <w:kern w:val="0"/>
          <w:szCs w:val="22"/>
        </w:rPr>
      </w:pPr>
      <w:r>
        <w:rPr>
          <w:color w:val="auto"/>
          <w:kern w:val="0"/>
          <w:szCs w:val="22"/>
        </w:rPr>
        <w:t>据调查，距离拟建项目西北3.98km处的七十二泾风景区内分布着大片野生红树林，目前已经被列为自治区级红树林自然保护区。</w:t>
      </w:r>
    </w:p>
    <w:p w14:paraId="2B4ABB5F">
      <w:pPr>
        <w:pStyle w:val="6"/>
        <w:rPr>
          <w:color w:val="auto"/>
        </w:rPr>
      </w:pPr>
      <w:r>
        <w:rPr>
          <w:color w:val="auto"/>
        </w:rPr>
        <w:t>矿产资源</w:t>
      </w:r>
    </w:p>
    <w:p w14:paraId="6D0308A5">
      <w:pPr>
        <w:ind w:firstLine="480"/>
        <w:rPr>
          <w:color w:val="auto"/>
          <w:kern w:val="0"/>
          <w:szCs w:val="22"/>
        </w:rPr>
      </w:pPr>
      <w:r>
        <w:rPr>
          <w:color w:val="auto"/>
          <w:kern w:val="0"/>
          <w:szCs w:val="22"/>
        </w:rPr>
        <w:t>钦州市有46种矿产，矿床及矿点共176处，小型规模以上有46处，其中大型石膏矿床一处（钦灵石膏矿床），中型铅锌矿床和稀土矿床各1处，煤、陶瓷土、油页岩、锰、铁、钛、磷、高岭土、水泥用灰岩、水泥配料用页岩、建筑材料用灰岩、建筑材料用花岗岩等矿床130处。已经开发利用的主要矿种有铅锌矿、煤矿、锰矿（氧化锰）、陶瓷土、石膏矿、钛铁砂矿、石灰岩、花岗岩及建筑用砂等。</w:t>
      </w:r>
    </w:p>
    <w:p w14:paraId="286F99AE">
      <w:pPr>
        <w:ind w:firstLine="480"/>
        <w:rPr>
          <w:color w:val="auto"/>
          <w:kern w:val="0"/>
          <w:szCs w:val="22"/>
        </w:rPr>
      </w:pPr>
      <w:r>
        <w:rPr>
          <w:color w:val="auto"/>
          <w:kern w:val="0"/>
          <w:szCs w:val="22"/>
        </w:rPr>
        <w:t>据调查，拟建项目评价区域内未发现可供利用矿床和采矿点。</w:t>
      </w:r>
    </w:p>
    <w:p w14:paraId="1F64BB32">
      <w:pPr>
        <w:pStyle w:val="4"/>
        <w:rPr>
          <w:color w:val="auto"/>
        </w:rPr>
      </w:pPr>
      <w:bookmarkStart w:id="380" w:name="_Toc135090220"/>
      <w:bookmarkStart w:id="381" w:name="_Toc136878469"/>
      <w:bookmarkStart w:id="382" w:name="_Toc216620533"/>
      <w:bookmarkStart w:id="383" w:name="_Toc216103374"/>
      <w:r>
        <w:rPr>
          <w:color w:val="auto"/>
        </w:rPr>
        <w:t>水文</w:t>
      </w:r>
      <w:bookmarkEnd w:id="380"/>
      <w:bookmarkEnd w:id="381"/>
      <w:bookmarkEnd w:id="382"/>
      <w:bookmarkEnd w:id="383"/>
      <w:r>
        <w:rPr>
          <w:rFonts w:hint="eastAsia"/>
          <w:color w:val="auto"/>
        </w:rPr>
        <w:t>水资源</w:t>
      </w:r>
    </w:p>
    <w:p w14:paraId="766E219C">
      <w:pPr>
        <w:pStyle w:val="6"/>
        <w:rPr>
          <w:color w:val="auto"/>
        </w:rPr>
      </w:pPr>
      <w:r>
        <w:rPr>
          <w:rFonts w:hint="eastAsia"/>
          <w:color w:val="auto"/>
        </w:rPr>
        <w:t>河流</w:t>
      </w:r>
    </w:p>
    <w:p w14:paraId="7A0C6391">
      <w:pPr>
        <w:ind w:firstLine="480"/>
        <w:rPr>
          <w:bCs/>
          <w:color w:val="auto"/>
        </w:rPr>
      </w:pPr>
      <w:r>
        <w:rPr>
          <w:color w:val="auto"/>
        </w:rPr>
        <w:t>钦州境内河流众多，计有大小独流入海河流32条，河流总长2794km，河网密度为0.6km/km</w:t>
      </w:r>
      <w:r>
        <w:rPr>
          <w:color w:val="auto"/>
          <w:vertAlign w:val="superscript"/>
        </w:rPr>
        <w:t>2</w:t>
      </w:r>
      <w:r>
        <w:rPr>
          <w:color w:val="auto"/>
        </w:rPr>
        <w:t>。流域面积在1800km</w:t>
      </w:r>
      <w:r>
        <w:rPr>
          <w:color w:val="auto"/>
          <w:vertAlign w:val="superscript"/>
        </w:rPr>
        <w:t>2</w:t>
      </w:r>
      <w:r>
        <w:rPr>
          <w:color w:val="auto"/>
        </w:rPr>
        <w:t>以上的河流主要有钦江、茅岭江和大风江，均属桂南沿海独流入海水系。三江在市境内干流总长307.4km，市内流域面积4164km</w:t>
      </w:r>
      <w:r>
        <w:rPr>
          <w:color w:val="auto"/>
          <w:vertAlign w:val="superscript"/>
        </w:rPr>
        <w:t>2</w:t>
      </w:r>
      <w:r>
        <w:rPr>
          <w:color w:val="auto"/>
        </w:rPr>
        <w:t>，年径流总量64.8亿m</w:t>
      </w:r>
      <w:r>
        <w:rPr>
          <w:color w:val="auto"/>
          <w:vertAlign w:val="superscript"/>
        </w:rPr>
        <w:t>3</w:t>
      </w:r>
      <w:r>
        <w:rPr>
          <w:color w:val="auto"/>
        </w:rPr>
        <w:t>/年。</w:t>
      </w:r>
    </w:p>
    <w:p w14:paraId="4854A24B">
      <w:pPr>
        <w:ind w:firstLine="480"/>
        <w:rPr>
          <w:color w:val="auto"/>
        </w:rPr>
      </w:pPr>
      <w:r>
        <w:rPr>
          <w:color w:val="auto"/>
        </w:rPr>
        <w:t>流入钦州湾的河流有钦江、茅岭江、金鼓江、鹿耳环江等。其中，钦江、茅岭江为流入钦州湾的主要河流，且为常年性河流，它们分别从东北、西北向汇入钦州湾海域，对钦州湾及其邻近水域的泥沙来源、航道、污染和水文环境等都有重要影响。金鼓江、鹿耳环江为海岔，其水文状况受海洋潮汐影响极大。</w:t>
      </w:r>
    </w:p>
    <w:p w14:paraId="71E2F162">
      <w:pPr>
        <w:pStyle w:val="6"/>
        <w:rPr>
          <w:color w:val="auto"/>
        </w:rPr>
      </w:pPr>
      <w:r>
        <w:rPr>
          <w:color w:val="auto"/>
        </w:rPr>
        <w:t>海洋</w:t>
      </w:r>
    </w:p>
    <w:p w14:paraId="2A532A26">
      <w:pPr>
        <w:ind w:firstLine="480"/>
        <w:rPr>
          <w:color w:val="auto"/>
        </w:rPr>
      </w:pPr>
      <w:r>
        <w:rPr>
          <w:color w:val="auto"/>
        </w:rPr>
        <w:t>（1）潮汐</w:t>
      </w:r>
    </w:p>
    <w:p w14:paraId="5384BCDC">
      <w:pPr>
        <w:ind w:firstLine="480"/>
        <w:rPr>
          <w:color w:val="auto"/>
        </w:rPr>
      </w:pPr>
      <w:r>
        <w:rPr>
          <w:color w:val="auto"/>
        </w:rPr>
        <w:t>钦州湾潮汐类型属不正规全日潮型。钦州湾自1966年起在龙门港设有潮汐站，根据该站多年实测潮汐资料统计，钦州湾潮位特征见下表。</w:t>
      </w:r>
    </w:p>
    <w:p w14:paraId="10A6FA68">
      <w:pPr>
        <w:pStyle w:val="14"/>
        <w:rPr>
          <w:color w:val="auto"/>
        </w:rPr>
      </w:pPr>
      <w:r>
        <w:rPr>
          <w:rFonts w:hint="eastAsia"/>
          <w:color w:val="auto"/>
        </w:rPr>
        <w:t>表</w:t>
      </w:r>
      <w:r>
        <w:rPr>
          <w:color w:val="auto"/>
        </w:rPr>
        <w:t>3.1</w:t>
      </w:r>
      <w:r>
        <w:rPr>
          <w:color w:val="auto"/>
        </w:rPr>
        <w:noBreakHyphen/>
      </w:r>
      <w:r>
        <w:rPr>
          <w:color w:val="auto"/>
        </w:rPr>
        <w:t>2钦州湾潮位特征表</w:t>
      </w:r>
    </w:p>
    <w:tbl>
      <w:tblPr>
        <w:tblStyle w:val="43"/>
        <w:tblW w:w="853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82"/>
        <w:gridCol w:w="1278"/>
        <w:gridCol w:w="1280"/>
        <w:gridCol w:w="1168"/>
        <w:gridCol w:w="1104"/>
        <w:gridCol w:w="1134"/>
        <w:gridCol w:w="1187"/>
      </w:tblGrid>
      <w:tr w14:paraId="29BCD9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82" w:type="dxa"/>
            <w:tcBorders>
              <w:bottom w:val="single" w:color="auto" w:sz="4" w:space="0"/>
              <w:right w:val="single" w:color="auto" w:sz="4" w:space="0"/>
            </w:tcBorders>
            <w:vAlign w:val="center"/>
          </w:tcPr>
          <w:p w14:paraId="70E122BF">
            <w:pPr>
              <w:keepNext w:val="0"/>
              <w:keepLines w:val="0"/>
              <w:suppressLineNumbers w:val="0"/>
              <w:snapToGrid w:val="0"/>
              <w:spacing w:before="0" w:beforeAutospacing="0" w:after="0" w:afterAutospacing="0" w:line="240" w:lineRule="exact"/>
              <w:ind w:left="0" w:right="0" w:firstLine="0" w:firstLineChars="0"/>
              <w:jc w:val="center"/>
              <w:rPr>
                <w:rFonts w:hint="default" w:eastAsia="Times New Roman"/>
                <w:b/>
                <w:bCs/>
                <w:color w:val="auto"/>
                <w:sz w:val="21"/>
                <w:szCs w:val="21"/>
              </w:rPr>
            </w:pPr>
            <w:r>
              <w:rPr>
                <w:rFonts w:hint="default"/>
                <w:b/>
                <w:bCs/>
                <w:color w:val="auto"/>
                <w:sz w:val="21"/>
                <w:szCs w:val="21"/>
              </w:rPr>
              <w:t>最高高潮位</w:t>
            </w:r>
          </w:p>
        </w:tc>
        <w:tc>
          <w:tcPr>
            <w:tcW w:w="1278" w:type="dxa"/>
            <w:tcBorders>
              <w:left w:val="single" w:color="auto" w:sz="4" w:space="0"/>
              <w:bottom w:val="single" w:color="auto" w:sz="4" w:space="0"/>
              <w:right w:val="single" w:color="auto" w:sz="4" w:space="0"/>
            </w:tcBorders>
            <w:vAlign w:val="center"/>
          </w:tcPr>
          <w:p w14:paraId="07FEF7B8">
            <w:pPr>
              <w:keepNext w:val="0"/>
              <w:keepLines w:val="0"/>
              <w:suppressLineNumbers w:val="0"/>
              <w:snapToGrid w:val="0"/>
              <w:spacing w:before="0" w:beforeAutospacing="0" w:after="0" w:afterAutospacing="0" w:line="240" w:lineRule="exact"/>
              <w:ind w:left="0" w:right="0" w:firstLine="0" w:firstLineChars="0"/>
              <w:jc w:val="center"/>
              <w:rPr>
                <w:rFonts w:hint="default" w:eastAsia="Times New Roman"/>
                <w:b/>
                <w:bCs/>
                <w:color w:val="auto"/>
                <w:sz w:val="21"/>
                <w:szCs w:val="21"/>
              </w:rPr>
            </w:pPr>
            <w:r>
              <w:rPr>
                <w:rFonts w:hint="default"/>
                <w:b/>
                <w:bCs/>
                <w:color w:val="auto"/>
                <w:sz w:val="21"/>
                <w:szCs w:val="21"/>
              </w:rPr>
              <w:t>最低低潮位</w:t>
            </w:r>
          </w:p>
        </w:tc>
        <w:tc>
          <w:tcPr>
            <w:tcW w:w="1280" w:type="dxa"/>
            <w:tcBorders>
              <w:left w:val="single" w:color="auto" w:sz="4" w:space="0"/>
              <w:bottom w:val="single" w:color="auto" w:sz="4" w:space="0"/>
              <w:right w:val="single" w:color="auto" w:sz="4" w:space="0"/>
            </w:tcBorders>
            <w:vAlign w:val="center"/>
          </w:tcPr>
          <w:p w14:paraId="5B720AE9">
            <w:pPr>
              <w:keepNext w:val="0"/>
              <w:keepLines w:val="0"/>
              <w:suppressLineNumbers w:val="0"/>
              <w:snapToGrid w:val="0"/>
              <w:spacing w:before="0" w:beforeAutospacing="0" w:after="0" w:afterAutospacing="0" w:line="240" w:lineRule="exact"/>
              <w:ind w:left="0" w:right="0" w:firstLine="0" w:firstLineChars="0"/>
              <w:jc w:val="center"/>
              <w:rPr>
                <w:rFonts w:hint="default" w:eastAsia="Times New Roman"/>
                <w:b/>
                <w:bCs/>
                <w:color w:val="auto"/>
                <w:sz w:val="21"/>
                <w:szCs w:val="21"/>
              </w:rPr>
            </w:pPr>
            <w:r>
              <w:rPr>
                <w:rFonts w:hint="default"/>
                <w:b/>
                <w:bCs/>
                <w:color w:val="auto"/>
                <w:sz w:val="21"/>
                <w:szCs w:val="21"/>
              </w:rPr>
              <w:t>多年平均潮位</w:t>
            </w:r>
          </w:p>
        </w:tc>
        <w:tc>
          <w:tcPr>
            <w:tcW w:w="1168" w:type="dxa"/>
            <w:tcBorders>
              <w:left w:val="single" w:color="auto" w:sz="4" w:space="0"/>
              <w:bottom w:val="single" w:color="auto" w:sz="4" w:space="0"/>
              <w:right w:val="single" w:color="auto" w:sz="4" w:space="0"/>
            </w:tcBorders>
            <w:vAlign w:val="center"/>
          </w:tcPr>
          <w:p w14:paraId="411967E8">
            <w:pPr>
              <w:keepNext w:val="0"/>
              <w:keepLines w:val="0"/>
              <w:suppressLineNumbers w:val="0"/>
              <w:snapToGrid w:val="0"/>
              <w:spacing w:before="0" w:beforeAutospacing="0" w:after="0" w:afterAutospacing="0" w:line="240" w:lineRule="exact"/>
              <w:ind w:left="0" w:right="0" w:firstLine="0" w:firstLineChars="0"/>
              <w:jc w:val="center"/>
              <w:rPr>
                <w:rFonts w:hint="default" w:eastAsia="Times New Roman"/>
                <w:b/>
                <w:bCs/>
                <w:color w:val="auto"/>
                <w:sz w:val="21"/>
                <w:szCs w:val="21"/>
              </w:rPr>
            </w:pPr>
            <w:r>
              <w:rPr>
                <w:rFonts w:hint="default"/>
                <w:b/>
                <w:bCs/>
                <w:color w:val="auto"/>
                <w:sz w:val="21"/>
                <w:szCs w:val="21"/>
              </w:rPr>
              <w:t>多年平均高潮位</w:t>
            </w:r>
          </w:p>
        </w:tc>
        <w:tc>
          <w:tcPr>
            <w:tcW w:w="1104" w:type="dxa"/>
            <w:tcBorders>
              <w:left w:val="single" w:color="auto" w:sz="4" w:space="0"/>
              <w:bottom w:val="single" w:color="auto" w:sz="4" w:space="0"/>
              <w:right w:val="single" w:color="auto" w:sz="4" w:space="0"/>
            </w:tcBorders>
            <w:vAlign w:val="center"/>
          </w:tcPr>
          <w:p w14:paraId="06B41244">
            <w:pPr>
              <w:keepNext w:val="0"/>
              <w:keepLines w:val="0"/>
              <w:suppressLineNumbers w:val="0"/>
              <w:snapToGrid w:val="0"/>
              <w:spacing w:before="0" w:beforeAutospacing="0" w:after="0" w:afterAutospacing="0" w:line="240" w:lineRule="exact"/>
              <w:ind w:left="0" w:right="0" w:firstLine="0" w:firstLineChars="0"/>
              <w:jc w:val="center"/>
              <w:rPr>
                <w:rFonts w:hint="default" w:eastAsia="Times New Roman"/>
                <w:b/>
                <w:bCs/>
                <w:color w:val="auto"/>
                <w:sz w:val="21"/>
                <w:szCs w:val="21"/>
              </w:rPr>
            </w:pPr>
            <w:r>
              <w:rPr>
                <w:rFonts w:hint="default"/>
                <w:b/>
                <w:bCs/>
                <w:color w:val="auto"/>
                <w:sz w:val="21"/>
                <w:szCs w:val="21"/>
              </w:rPr>
              <w:t>多年平均低潮位</w:t>
            </w:r>
          </w:p>
        </w:tc>
        <w:tc>
          <w:tcPr>
            <w:tcW w:w="1134" w:type="dxa"/>
            <w:tcBorders>
              <w:left w:val="single" w:color="auto" w:sz="4" w:space="0"/>
              <w:bottom w:val="single" w:color="auto" w:sz="4" w:space="0"/>
              <w:right w:val="single" w:color="auto" w:sz="4" w:space="0"/>
            </w:tcBorders>
            <w:vAlign w:val="center"/>
          </w:tcPr>
          <w:p w14:paraId="452D6C28">
            <w:pPr>
              <w:keepNext w:val="0"/>
              <w:keepLines w:val="0"/>
              <w:suppressLineNumbers w:val="0"/>
              <w:snapToGrid w:val="0"/>
              <w:spacing w:before="0" w:beforeAutospacing="0" w:after="0" w:afterAutospacing="0" w:line="240" w:lineRule="exact"/>
              <w:ind w:left="0" w:right="0" w:firstLine="0" w:firstLineChars="0"/>
              <w:jc w:val="center"/>
              <w:rPr>
                <w:rFonts w:hint="default" w:eastAsia="Times New Roman"/>
                <w:b/>
                <w:bCs/>
                <w:color w:val="auto"/>
                <w:sz w:val="21"/>
                <w:szCs w:val="21"/>
              </w:rPr>
            </w:pPr>
            <w:r>
              <w:rPr>
                <w:rFonts w:hint="default"/>
                <w:b/>
                <w:bCs/>
                <w:color w:val="auto"/>
                <w:sz w:val="21"/>
                <w:szCs w:val="21"/>
              </w:rPr>
              <w:t>最大潮差</w:t>
            </w:r>
          </w:p>
        </w:tc>
        <w:tc>
          <w:tcPr>
            <w:tcW w:w="1187" w:type="dxa"/>
            <w:tcBorders>
              <w:left w:val="single" w:color="auto" w:sz="4" w:space="0"/>
              <w:bottom w:val="single" w:color="auto" w:sz="4" w:space="0"/>
            </w:tcBorders>
            <w:vAlign w:val="center"/>
          </w:tcPr>
          <w:p w14:paraId="7A9B0FDF">
            <w:pPr>
              <w:keepNext w:val="0"/>
              <w:keepLines w:val="0"/>
              <w:suppressLineNumbers w:val="0"/>
              <w:snapToGrid w:val="0"/>
              <w:spacing w:before="0" w:beforeAutospacing="0" w:after="0" w:afterAutospacing="0" w:line="240" w:lineRule="exact"/>
              <w:ind w:left="0" w:right="0" w:firstLine="0" w:firstLineChars="0"/>
              <w:jc w:val="center"/>
              <w:rPr>
                <w:rFonts w:hint="default" w:eastAsia="Times New Roman"/>
                <w:b/>
                <w:bCs/>
                <w:color w:val="auto"/>
                <w:sz w:val="21"/>
                <w:szCs w:val="21"/>
              </w:rPr>
            </w:pPr>
            <w:r>
              <w:rPr>
                <w:rFonts w:hint="default"/>
                <w:b/>
                <w:bCs/>
                <w:color w:val="auto"/>
                <w:sz w:val="21"/>
                <w:szCs w:val="21"/>
              </w:rPr>
              <w:t>平均潮差</w:t>
            </w:r>
          </w:p>
        </w:tc>
      </w:tr>
      <w:tr w14:paraId="1CE01C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82" w:type="dxa"/>
            <w:tcBorders>
              <w:top w:val="single" w:color="auto" w:sz="4" w:space="0"/>
              <w:right w:val="single" w:color="auto" w:sz="4" w:space="0"/>
            </w:tcBorders>
            <w:vAlign w:val="center"/>
          </w:tcPr>
          <w:p w14:paraId="4D01DD2C">
            <w:pPr>
              <w:keepNext w:val="0"/>
              <w:keepLines w:val="0"/>
              <w:suppressLineNumbers w:val="0"/>
              <w:snapToGrid w:val="0"/>
              <w:spacing w:before="0" w:beforeAutospacing="0" w:after="0" w:afterAutospacing="0" w:line="240" w:lineRule="exact"/>
              <w:ind w:left="0" w:right="0" w:firstLine="0" w:firstLineChars="0"/>
              <w:jc w:val="center"/>
              <w:rPr>
                <w:rFonts w:hint="default" w:eastAsia="Times New Roman"/>
                <w:color w:val="auto"/>
                <w:sz w:val="21"/>
                <w:szCs w:val="21"/>
              </w:rPr>
            </w:pPr>
            <w:r>
              <w:rPr>
                <w:rFonts w:hint="default" w:eastAsia="Times New Roman"/>
                <w:color w:val="auto"/>
                <w:sz w:val="21"/>
                <w:szCs w:val="21"/>
              </w:rPr>
              <w:t>+5.83m</w:t>
            </w:r>
          </w:p>
        </w:tc>
        <w:tc>
          <w:tcPr>
            <w:tcW w:w="1278" w:type="dxa"/>
            <w:tcBorders>
              <w:top w:val="single" w:color="auto" w:sz="4" w:space="0"/>
              <w:left w:val="single" w:color="auto" w:sz="4" w:space="0"/>
              <w:right w:val="single" w:color="auto" w:sz="4" w:space="0"/>
            </w:tcBorders>
            <w:vAlign w:val="center"/>
          </w:tcPr>
          <w:p w14:paraId="5B8ECD08">
            <w:pPr>
              <w:keepNext w:val="0"/>
              <w:keepLines w:val="0"/>
              <w:suppressLineNumbers w:val="0"/>
              <w:snapToGrid w:val="0"/>
              <w:spacing w:before="0" w:beforeAutospacing="0" w:after="0" w:afterAutospacing="0" w:line="240" w:lineRule="exact"/>
              <w:ind w:left="0" w:right="0" w:firstLine="0" w:firstLineChars="0"/>
              <w:jc w:val="center"/>
              <w:rPr>
                <w:rFonts w:hint="default" w:eastAsia="Times New Roman"/>
                <w:color w:val="auto"/>
                <w:sz w:val="21"/>
                <w:szCs w:val="21"/>
              </w:rPr>
            </w:pPr>
            <w:r>
              <w:rPr>
                <w:rFonts w:hint="default" w:eastAsia="Times New Roman"/>
                <w:color w:val="auto"/>
                <w:sz w:val="21"/>
                <w:szCs w:val="21"/>
              </w:rPr>
              <w:t>-0.69m</w:t>
            </w:r>
          </w:p>
        </w:tc>
        <w:tc>
          <w:tcPr>
            <w:tcW w:w="1280" w:type="dxa"/>
            <w:tcBorders>
              <w:top w:val="single" w:color="auto" w:sz="4" w:space="0"/>
              <w:left w:val="single" w:color="auto" w:sz="4" w:space="0"/>
              <w:right w:val="single" w:color="auto" w:sz="4" w:space="0"/>
            </w:tcBorders>
            <w:vAlign w:val="center"/>
          </w:tcPr>
          <w:p w14:paraId="105C82E7">
            <w:pPr>
              <w:keepNext w:val="0"/>
              <w:keepLines w:val="0"/>
              <w:suppressLineNumbers w:val="0"/>
              <w:snapToGrid w:val="0"/>
              <w:spacing w:before="0" w:beforeAutospacing="0" w:after="0" w:afterAutospacing="0" w:line="240" w:lineRule="exact"/>
              <w:ind w:left="0" w:right="0" w:firstLine="0" w:firstLineChars="0"/>
              <w:jc w:val="center"/>
              <w:rPr>
                <w:rFonts w:hint="default" w:eastAsia="Times New Roman"/>
                <w:color w:val="auto"/>
                <w:sz w:val="21"/>
                <w:szCs w:val="21"/>
              </w:rPr>
            </w:pPr>
            <w:r>
              <w:rPr>
                <w:rFonts w:hint="default" w:eastAsia="Times New Roman"/>
                <w:color w:val="auto"/>
                <w:sz w:val="21"/>
                <w:szCs w:val="21"/>
              </w:rPr>
              <w:t>+2.39m</w:t>
            </w:r>
          </w:p>
        </w:tc>
        <w:tc>
          <w:tcPr>
            <w:tcW w:w="1168" w:type="dxa"/>
            <w:tcBorders>
              <w:top w:val="single" w:color="auto" w:sz="4" w:space="0"/>
              <w:left w:val="single" w:color="auto" w:sz="4" w:space="0"/>
              <w:right w:val="single" w:color="auto" w:sz="4" w:space="0"/>
            </w:tcBorders>
            <w:vAlign w:val="center"/>
          </w:tcPr>
          <w:p w14:paraId="481686F9">
            <w:pPr>
              <w:keepNext w:val="0"/>
              <w:keepLines w:val="0"/>
              <w:suppressLineNumbers w:val="0"/>
              <w:snapToGrid w:val="0"/>
              <w:spacing w:before="0" w:beforeAutospacing="0" w:after="0" w:afterAutospacing="0" w:line="240" w:lineRule="exact"/>
              <w:ind w:left="0" w:right="0" w:firstLine="0" w:firstLineChars="0"/>
              <w:jc w:val="center"/>
              <w:rPr>
                <w:rFonts w:hint="default" w:eastAsia="Times New Roman"/>
                <w:color w:val="auto"/>
                <w:sz w:val="21"/>
                <w:szCs w:val="21"/>
              </w:rPr>
            </w:pPr>
            <w:r>
              <w:rPr>
                <w:rFonts w:hint="default" w:eastAsia="Times New Roman"/>
                <w:color w:val="auto"/>
                <w:sz w:val="21"/>
                <w:szCs w:val="21"/>
              </w:rPr>
              <w:t>+3.66m</w:t>
            </w:r>
          </w:p>
        </w:tc>
        <w:tc>
          <w:tcPr>
            <w:tcW w:w="1104" w:type="dxa"/>
            <w:tcBorders>
              <w:top w:val="single" w:color="auto" w:sz="4" w:space="0"/>
              <w:left w:val="single" w:color="auto" w:sz="4" w:space="0"/>
              <w:right w:val="single" w:color="auto" w:sz="4" w:space="0"/>
            </w:tcBorders>
            <w:vAlign w:val="center"/>
          </w:tcPr>
          <w:p w14:paraId="2344DAFF">
            <w:pPr>
              <w:keepNext w:val="0"/>
              <w:keepLines w:val="0"/>
              <w:suppressLineNumbers w:val="0"/>
              <w:snapToGrid w:val="0"/>
              <w:spacing w:before="0" w:beforeAutospacing="0" w:after="0" w:afterAutospacing="0" w:line="240" w:lineRule="exact"/>
              <w:ind w:left="0" w:right="0" w:firstLine="0" w:firstLineChars="0"/>
              <w:jc w:val="center"/>
              <w:rPr>
                <w:rFonts w:hint="default" w:eastAsia="Times New Roman"/>
                <w:color w:val="auto"/>
                <w:sz w:val="21"/>
                <w:szCs w:val="21"/>
              </w:rPr>
            </w:pPr>
            <w:r>
              <w:rPr>
                <w:rFonts w:hint="default" w:eastAsia="Times New Roman"/>
                <w:color w:val="auto"/>
                <w:sz w:val="21"/>
                <w:szCs w:val="21"/>
              </w:rPr>
              <w:t>+1.15m</w:t>
            </w:r>
          </w:p>
        </w:tc>
        <w:tc>
          <w:tcPr>
            <w:tcW w:w="1134" w:type="dxa"/>
            <w:tcBorders>
              <w:top w:val="single" w:color="auto" w:sz="4" w:space="0"/>
              <w:left w:val="single" w:color="auto" w:sz="4" w:space="0"/>
              <w:right w:val="single" w:color="auto" w:sz="4" w:space="0"/>
            </w:tcBorders>
            <w:vAlign w:val="center"/>
          </w:tcPr>
          <w:p w14:paraId="239228A1">
            <w:pPr>
              <w:keepNext w:val="0"/>
              <w:keepLines w:val="0"/>
              <w:suppressLineNumbers w:val="0"/>
              <w:snapToGrid w:val="0"/>
              <w:spacing w:before="0" w:beforeAutospacing="0" w:after="0" w:afterAutospacing="0" w:line="240" w:lineRule="exact"/>
              <w:ind w:left="0" w:right="0" w:firstLine="0" w:firstLineChars="0"/>
              <w:jc w:val="center"/>
              <w:rPr>
                <w:rFonts w:hint="default" w:eastAsia="Times New Roman"/>
                <w:color w:val="auto"/>
                <w:sz w:val="21"/>
                <w:szCs w:val="21"/>
              </w:rPr>
            </w:pPr>
            <w:r>
              <w:rPr>
                <w:rFonts w:hint="default" w:eastAsia="Times New Roman"/>
                <w:color w:val="auto"/>
                <w:sz w:val="21"/>
                <w:szCs w:val="21"/>
              </w:rPr>
              <w:t>5.52m</w:t>
            </w:r>
          </w:p>
        </w:tc>
        <w:tc>
          <w:tcPr>
            <w:tcW w:w="1187" w:type="dxa"/>
            <w:tcBorders>
              <w:top w:val="single" w:color="auto" w:sz="4" w:space="0"/>
              <w:left w:val="single" w:color="auto" w:sz="4" w:space="0"/>
            </w:tcBorders>
            <w:vAlign w:val="center"/>
          </w:tcPr>
          <w:p w14:paraId="392D609C">
            <w:pPr>
              <w:keepNext w:val="0"/>
              <w:keepLines w:val="0"/>
              <w:suppressLineNumbers w:val="0"/>
              <w:snapToGrid w:val="0"/>
              <w:spacing w:before="0" w:beforeAutospacing="0" w:after="0" w:afterAutospacing="0" w:line="240" w:lineRule="exact"/>
              <w:ind w:left="0" w:right="0" w:firstLine="0" w:firstLineChars="0"/>
              <w:jc w:val="center"/>
              <w:rPr>
                <w:rFonts w:hint="default" w:eastAsia="Times New Roman"/>
                <w:color w:val="auto"/>
                <w:sz w:val="21"/>
                <w:szCs w:val="21"/>
              </w:rPr>
            </w:pPr>
            <w:r>
              <w:rPr>
                <w:rFonts w:hint="default" w:eastAsia="Times New Roman"/>
                <w:color w:val="auto"/>
                <w:sz w:val="21"/>
                <w:szCs w:val="21"/>
              </w:rPr>
              <w:t>2.51m</w:t>
            </w:r>
          </w:p>
        </w:tc>
      </w:tr>
    </w:tbl>
    <w:p w14:paraId="5CADC207">
      <w:pPr>
        <w:spacing w:line="240" w:lineRule="exact"/>
        <w:ind w:firstLine="360"/>
        <w:rPr>
          <w:color w:val="auto"/>
          <w:sz w:val="18"/>
          <w:szCs w:val="18"/>
        </w:rPr>
      </w:pPr>
      <w:r>
        <w:rPr>
          <w:color w:val="auto"/>
          <w:sz w:val="18"/>
          <w:szCs w:val="18"/>
        </w:rPr>
        <w:t>注：以果子山理论深度基面为潮位起算面，该基面比国家85黄海高程基面低1.86m。</w:t>
      </w:r>
    </w:p>
    <w:p w14:paraId="10F96C00">
      <w:pPr>
        <w:ind w:firstLine="480"/>
        <w:rPr>
          <w:color w:val="auto"/>
        </w:rPr>
      </w:pPr>
      <w:r>
        <w:rPr>
          <w:color w:val="auto"/>
        </w:rPr>
        <w:t>（2）潮流</w:t>
      </w:r>
    </w:p>
    <w:p w14:paraId="4BB0ED3A">
      <w:pPr>
        <w:ind w:firstLine="480"/>
        <w:rPr>
          <w:color w:val="auto"/>
        </w:rPr>
      </w:pPr>
      <w:r>
        <w:rPr>
          <w:color w:val="auto"/>
        </w:rPr>
        <w:t>钦州湾为不正规全日潮型，系由太平洋潮传入南海后进入北部湾，受北部湾反射波的干涉及地理条件影响而形成。其主要特征表现为：大潮汛时潮汐一天一次涨落，小潮汛时一天两次涨落，据资料统计，一个月一天一次涨落时间约为19～25天。</w:t>
      </w:r>
    </w:p>
    <w:p w14:paraId="5D89B0DF">
      <w:pPr>
        <w:ind w:firstLine="480"/>
        <w:rPr>
          <w:color w:val="auto"/>
        </w:rPr>
      </w:pPr>
      <w:r>
        <w:rPr>
          <w:color w:val="auto"/>
        </w:rPr>
        <w:t>潮流</w:t>
      </w:r>
      <w:r>
        <w:rPr>
          <w:color w:val="auto"/>
          <w:szCs w:val="21"/>
        </w:rPr>
        <w:t>具有往复流性质，流向基本与深槽一致，退潮快，涨潮慢，</w:t>
      </w:r>
      <w:r>
        <w:rPr>
          <w:color w:val="auto"/>
        </w:rPr>
        <w:t>流以全日潮为主，仍存在半日不等现象，</w:t>
      </w:r>
      <w:r>
        <w:rPr>
          <w:color w:val="auto"/>
          <w:szCs w:val="21"/>
        </w:rPr>
        <w:t>退潮历时4</w:t>
      </w:r>
      <w:r>
        <w:rPr>
          <w:color w:val="auto"/>
        </w:rPr>
        <w:t>～</w:t>
      </w:r>
      <w:r>
        <w:rPr>
          <w:color w:val="auto"/>
          <w:szCs w:val="21"/>
        </w:rPr>
        <w:t>12h，平均8h，涨潮6</w:t>
      </w:r>
      <w:r>
        <w:rPr>
          <w:color w:val="auto"/>
        </w:rPr>
        <w:t>～</w:t>
      </w:r>
      <w:r>
        <w:rPr>
          <w:color w:val="auto"/>
          <w:szCs w:val="21"/>
        </w:rPr>
        <w:t>18h，平均9h</w:t>
      </w:r>
      <w:r>
        <w:rPr>
          <w:color w:val="auto"/>
        </w:rPr>
        <w:t>；流速的分布为西部大于东部，近岸大于外海，表层大于底层。钦州湾内涨潮平均流速为0.08～0.28m/s，最大流速为0.54m/s；落潮平均流速为0.09～0.55m/s，最大流速为0.95m/s。本码头处涨潮最大流速0.54m/s，落潮最大流速为0.7m/s。</w:t>
      </w:r>
    </w:p>
    <w:p w14:paraId="06533CF2">
      <w:pPr>
        <w:ind w:firstLine="480"/>
        <w:rPr>
          <w:color w:val="auto"/>
        </w:rPr>
      </w:pPr>
      <w:r>
        <w:rPr>
          <w:color w:val="auto"/>
        </w:rPr>
        <w:t>（3）乘潮水位</w:t>
      </w:r>
    </w:p>
    <w:p w14:paraId="4255D2E6">
      <w:pPr>
        <w:ind w:firstLine="480"/>
        <w:rPr>
          <w:color w:val="auto"/>
        </w:rPr>
      </w:pPr>
      <w:r>
        <w:rPr>
          <w:color w:val="auto"/>
        </w:rPr>
        <w:t>钦州港极端高水位为5.77m（50年一遇高潮位），极端低水位为-0.89m（50年一遇低潮位），各乘潮历时不同保证率乘潮水位如下表。</w:t>
      </w:r>
    </w:p>
    <w:p w14:paraId="7188AA3A">
      <w:pPr>
        <w:pStyle w:val="14"/>
        <w:rPr>
          <w:color w:val="auto"/>
        </w:rPr>
      </w:pPr>
      <w:r>
        <w:rPr>
          <w:rFonts w:hint="eastAsia"/>
          <w:color w:val="auto"/>
        </w:rPr>
        <w:t>表</w:t>
      </w:r>
      <w:r>
        <w:rPr>
          <w:color w:val="auto"/>
        </w:rPr>
        <w:t>3.1</w:t>
      </w:r>
      <w:r>
        <w:rPr>
          <w:color w:val="auto"/>
        </w:rPr>
        <w:noBreakHyphen/>
      </w:r>
      <w:r>
        <w:rPr>
          <w:color w:val="auto"/>
        </w:rPr>
        <w:t>3乘潮水位表（果子山理论深度基准面）</w:t>
      </w:r>
    </w:p>
    <w:tbl>
      <w:tblPr>
        <w:tblStyle w:val="43"/>
        <w:tblW w:w="85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2496"/>
        <w:gridCol w:w="1687"/>
        <w:gridCol w:w="1571"/>
        <w:gridCol w:w="1454"/>
        <w:gridCol w:w="1314"/>
      </w:tblGrid>
      <w:tr w14:paraId="310872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886" w:hRule="atLeast"/>
          <w:tblHeader/>
          <w:jc w:val="center"/>
        </w:trPr>
        <w:tc>
          <w:tcPr>
            <w:tcW w:w="2496" w:type="dxa"/>
            <w:vAlign w:val="center"/>
          </w:tcPr>
          <w:p w14:paraId="22F769C2">
            <w:pPr>
              <w:keepNext w:val="0"/>
              <w:keepLines w:val="0"/>
              <w:suppressLineNumbers w:val="0"/>
              <w:snapToGrid w:val="0"/>
              <w:spacing w:before="0" w:beforeAutospacing="0" w:after="0" w:afterAutospacing="0" w:line="240" w:lineRule="exact"/>
              <w:ind w:left="0" w:right="0" w:firstLine="420"/>
              <w:rPr>
                <w:rFonts w:hint="default"/>
                <w:b/>
                <w:bCs/>
                <w:color w:val="auto"/>
                <w:sz w:val="21"/>
                <w:szCs w:val="21"/>
              </w:rPr>
            </w:pPr>
            <w:r>
              <w:rPr>
                <w:rFonts w:hint="default"/>
                <w:color w:val="auto"/>
                <w:sz w:val="21"/>
                <w:szCs w:val="21"/>
              </w:rPr>
              <mc:AlternateContent>
                <mc:Choice Requires="wps">
                  <w:drawing>
                    <wp:anchor distT="0" distB="0" distL="114300" distR="114300" simplePos="0" relativeHeight="251665408" behindDoc="0" locked="0" layoutInCell="1" allowOverlap="1">
                      <wp:simplePos x="0" y="0"/>
                      <wp:positionH relativeFrom="column">
                        <wp:posOffset>-55245</wp:posOffset>
                      </wp:positionH>
                      <wp:positionV relativeFrom="paragraph">
                        <wp:posOffset>15240</wp:posOffset>
                      </wp:positionV>
                      <wp:extent cx="1095375" cy="546100"/>
                      <wp:effectExtent l="0" t="0" r="28575" b="25400"/>
                      <wp:wrapNone/>
                      <wp:docPr id="148" name="直接连接符 148"/>
                      <wp:cNvGraphicFramePr/>
                      <a:graphic xmlns:a="http://schemas.openxmlformats.org/drawingml/2006/main">
                        <a:graphicData uri="http://schemas.microsoft.com/office/word/2010/wordprocessingShape">
                          <wps:wsp>
                            <wps:cNvCnPr>
                              <a:cxnSpLocks noChangeShapeType="1"/>
                            </wps:cNvCnPr>
                            <wps:spPr bwMode="auto">
                              <a:xfrm>
                                <a:off x="0" y="0"/>
                                <a:ext cx="1095375" cy="54610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4.35pt;margin-top:1.2pt;height:43pt;width:86.25pt;z-index:251665408;mso-width-relative:page;mso-height-relative:page;" filled="f" stroked="t" coordsize="21600,21600" o:gfxdata="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eZ9AzWAAAABwEAAA8AAAAAAAAAAQAgAAAAIgAAAGRycy9kb3ducmV2LnhtbFBLAQIUABQA&#10;AAAIAIdO4kAx/mOb8gEAAMEDAAAOAAAAAAAAAAEAIAAAACUBAABkcnMvZTJvRG9jLnhtbFBLBQYA&#10;AAAABgAGAFkBAACJBQAAAAA=&#10;">
                      <v:fill on="f" focussize="0,0"/>
                      <v:stroke color="#000000" joinstyle="round"/>
                      <v:imagedata o:title=""/>
                      <o:lock v:ext="edit" aspectratio="f"/>
                    </v:line>
                  </w:pict>
                </mc:Fallback>
              </mc:AlternateContent>
            </w:r>
            <w:r>
              <w:rPr>
                <w:rFonts w:hint="default"/>
                <w:color w:val="auto"/>
                <w:sz w:val="21"/>
                <w:szCs w:val="21"/>
              </w:rPr>
              <mc:AlternateContent>
                <mc:Choice Requires="wps">
                  <w:drawing>
                    <wp:anchor distT="0" distB="0" distL="114300" distR="114300" simplePos="0" relativeHeight="251664384" behindDoc="0" locked="0" layoutInCell="1" allowOverlap="1">
                      <wp:simplePos x="0" y="0"/>
                      <wp:positionH relativeFrom="column">
                        <wp:posOffset>-52705</wp:posOffset>
                      </wp:positionH>
                      <wp:positionV relativeFrom="paragraph">
                        <wp:posOffset>12700</wp:posOffset>
                      </wp:positionV>
                      <wp:extent cx="1593215" cy="275590"/>
                      <wp:effectExtent l="0" t="0" r="26035" b="29210"/>
                      <wp:wrapNone/>
                      <wp:docPr id="147" name="直接连接符 147"/>
                      <wp:cNvGraphicFramePr/>
                      <a:graphic xmlns:a="http://schemas.openxmlformats.org/drawingml/2006/main">
                        <a:graphicData uri="http://schemas.microsoft.com/office/word/2010/wordprocessingShape">
                          <wps:wsp>
                            <wps:cNvCnPr>
                              <a:cxnSpLocks noChangeShapeType="1"/>
                            </wps:cNvCnPr>
                            <wps:spPr bwMode="auto">
                              <a:xfrm>
                                <a:off x="0" y="0"/>
                                <a:ext cx="1593215" cy="27559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4.15pt;margin-top:1pt;height:21.7pt;width:125.45pt;z-index:251664384;mso-width-relative:page;mso-height-relative:page;" filled="f" stroked="t" coordsize="21600,21600" o:gfxdata="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d&#10;9gCP1gAAAAcBAAAPAAAAAAAAAAEAIAAAACIAAABkcnMvZG93bnJldi54bWxQSwECFAAUAAAACACH&#10;TuJAV7b+Oe0BAACzAwAADgAAAAAAAAABACAAAAAlAQAAZHJzL2Uyb0RvYy54bWxQSwUGAAAAAAYA&#10;BgBZAQAAhAUAAAAA&#10;">
                      <v:fill on="f" focussize="0,0"/>
                      <v:stroke color="#000000" joinstyle="round"/>
                      <v:imagedata o:title=""/>
                      <o:lock v:ext="edit" aspectratio="f"/>
                    </v:line>
                  </w:pict>
                </mc:Fallback>
              </mc:AlternateContent>
            </w:r>
            <w:r>
              <w:rPr>
                <w:rFonts w:hint="default"/>
                <w:b/>
                <w:bCs/>
                <w:color w:val="auto"/>
                <w:sz w:val="21"/>
                <w:szCs w:val="21"/>
              </w:rPr>
              <w:t>乘潮历时（h）</w:t>
            </w:r>
          </w:p>
          <w:p w14:paraId="08A10688">
            <w:pPr>
              <w:keepNext w:val="0"/>
              <w:keepLines w:val="0"/>
              <w:suppressLineNumbers w:val="0"/>
              <w:snapToGrid w:val="0"/>
              <w:spacing w:before="0" w:beforeAutospacing="0" w:after="0" w:afterAutospacing="0" w:line="240" w:lineRule="exact"/>
              <w:ind w:left="0" w:right="0" w:firstLine="527" w:firstLineChars="250"/>
              <w:jc w:val="left"/>
              <w:rPr>
                <w:rFonts w:hint="default"/>
                <w:b/>
                <w:bCs/>
                <w:color w:val="auto"/>
                <w:sz w:val="21"/>
                <w:szCs w:val="21"/>
              </w:rPr>
            </w:pPr>
            <w:r>
              <w:rPr>
                <w:rFonts w:hint="default"/>
                <w:b/>
                <w:bCs/>
                <w:color w:val="auto"/>
                <w:sz w:val="21"/>
                <w:szCs w:val="21"/>
              </w:rPr>
              <w:t>频率(%)</w:t>
            </w:r>
          </w:p>
          <w:p w14:paraId="248434B9">
            <w:pPr>
              <w:keepNext w:val="0"/>
              <w:keepLines w:val="0"/>
              <w:suppressLineNumbers w:val="0"/>
              <w:snapToGrid w:val="0"/>
              <w:spacing w:before="0" w:beforeAutospacing="0" w:after="0" w:afterAutospacing="0" w:line="240" w:lineRule="exact"/>
              <w:ind w:left="0" w:right="0" w:firstLine="0" w:firstLineChars="0"/>
              <w:jc w:val="left"/>
              <w:rPr>
                <w:rFonts w:hint="default"/>
                <w:b/>
                <w:bCs/>
                <w:color w:val="auto"/>
                <w:sz w:val="21"/>
                <w:szCs w:val="21"/>
              </w:rPr>
            </w:pPr>
            <w:r>
              <w:rPr>
                <w:rFonts w:hint="default"/>
                <w:b/>
                <w:bCs/>
                <w:color w:val="auto"/>
                <w:sz w:val="21"/>
                <w:szCs w:val="21"/>
              </w:rPr>
              <w:t>水位（m）</w:t>
            </w:r>
          </w:p>
        </w:tc>
        <w:tc>
          <w:tcPr>
            <w:tcW w:w="1687" w:type="dxa"/>
            <w:vAlign w:val="center"/>
          </w:tcPr>
          <w:p w14:paraId="7EE76236">
            <w:pPr>
              <w:keepNext w:val="0"/>
              <w:keepLines w:val="0"/>
              <w:suppressLineNumbers w:val="0"/>
              <w:snapToGrid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1</w:t>
            </w:r>
          </w:p>
        </w:tc>
        <w:tc>
          <w:tcPr>
            <w:tcW w:w="1571" w:type="dxa"/>
            <w:vAlign w:val="center"/>
          </w:tcPr>
          <w:p w14:paraId="0DAFBCFD">
            <w:pPr>
              <w:keepNext w:val="0"/>
              <w:keepLines w:val="0"/>
              <w:suppressLineNumbers w:val="0"/>
              <w:snapToGrid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2</w:t>
            </w:r>
          </w:p>
        </w:tc>
        <w:tc>
          <w:tcPr>
            <w:tcW w:w="1454" w:type="dxa"/>
            <w:vAlign w:val="center"/>
          </w:tcPr>
          <w:p w14:paraId="29F1E3B1">
            <w:pPr>
              <w:keepNext w:val="0"/>
              <w:keepLines w:val="0"/>
              <w:suppressLineNumbers w:val="0"/>
              <w:snapToGrid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3</w:t>
            </w:r>
          </w:p>
        </w:tc>
        <w:tc>
          <w:tcPr>
            <w:tcW w:w="1314" w:type="dxa"/>
            <w:vAlign w:val="center"/>
          </w:tcPr>
          <w:p w14:paraId="3FB8D677">
            <w:pPr>
              <w:keepNext w:val="0"/>
              <w:keepLines w:val="0"/>
              <w:suppressLineNumbers w:val="0"/>
              <w:snapToGrid w:val="0"/>
              <w:spacing w:before="0" w:beforeAutospacing="0" w:after="0" w:afterAutospacing="0" w:line="240" w:lineRule="exact"/>
              <w:ind w:left="0" w:right="0" w:firstLine="0" w:firstLineChars="0"/>
              <w:jc w:val="center"/>
              <w:rPr>
                <w:rFonts w:hint="default"/>
                <w:b/>
                <w:bCs/>
                <w:color w:val="auto"/>
                <w:sz w:val="21"/>
                <w:szCs w:val="21"/>
              </w:rPr>
            </w:pPr>
            <w:r>
              <w:rPr>
                <w:rFonts w:hint="default"/>
                <w:b/>
                <w:bCs/>
                <w:color w:val="auto"/>
                <w:sz w:val="21"/>
                <w:szCs w:val="21"/>
              </w:rPr>
              <w:t>4</w:t>
            </w:r>
          </w:p>
        </w:tc>
      </w:tr>
      <w:tr w14:paraId="50F0DB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70" w:hRule="atLeast"/>
          <w:jc w:val="center"/>
        </w:trPr>
        <w:tc>
          <w:tcPr>
            <w:tcW w:w="2496" w:type="dxa"/>
            <w:vAlign w:val="center"/>
          </w:tcPr>
          <w:p w14:paraId="2C2D5320">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10</w:t>
            </w:r>
          </w:p>
        </w:tc>
        <w:tc>
          <w:tcPr>
            <w:tcW w:w="1687" w:type="dxa"/>
            <w:vAlign w:val="center"/>
          </w:tcPr>
          <w:p w14:paraId="61DABD7A">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5.13</w:t>
            </w:r>
          </w:p>
        </w:tc>
        <w:tc>
          <w:tcPr>
            <w:tcW w:w="1571" w:type="dxa"/>
            <w:vAlign w:val="center"/>
          </w:tcPr>
          <w:p w14:paraId="1FA3DCC5">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5.03</w:t>
            </w:r>
          </w:p>
        </w:tc>
        <w:tc>
          <w:tcPr>
            <w:tcW w:w="1454" w:type="dxa"/>
            <w:vAlign w:val="center"/>
          </w:tcPr>
          <w:p w14:paraId="6C59372C">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4.90</w:t>
            </w:r>
          </w:p>
        </w:tc>
        <w:tc>
          <w:tcPr>
            <w:tcW w:w="1314" w:type="dxa"/>
            <w:vAlign w:val="center"/>
          </w:tcPr>
          <w:p w14:paraId="35A6895F">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4.71</w:t>
            </w:r>
          </w:p>
        </w:tc>
      </w:tr>
      <w:tr w14:paraId="070093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70" w:hRule="atLeast"/>
          <w:jc w:val="center"/>
        </w:trPr>
        <w:tc>
          <w:tcPr>
            <w:tcW w:w="2496" w:type="dxa"/>
            <w:vAlign w:val="center"/>
          </w:tcPr>
          <w:p w14:paraId="43105DE2">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20</w:t>
            </w:r>
          </w:p>
        </w:tc>
        <w:tc>
          <w:tcPr>
            <w:tcW w:w="1687" w:type="dxa"/>
            <w:vAlign w:val="center"/>
          </w:tcPr>
          <w:p w14:paraId="65EE90F9">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4.92</w:t>
            </w:r>
          </w:p>
        </w:tc>
        <w:tc>
          <w:tcPr>
            <w:tcW w:w="1571" w:type="dxa"/>
            <w:vAlign w:val="center"/>
          </w:tcPr>
          <w:p w14:paraId="0C3C938D">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4.84</w:t>
            </w:r>
          </w:p>
        </w:tc>
        <w:tc>
          <w:tcPr>
            <w:tcW w:w="1454" w:type="dxa"/>
            <w:vAlign w:val="center"/>
          </w:tcPr>
          <w:p w14:paraId="0AF53BB4">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4.70</w:t>
            </w:r>
          </w:p>
        </w:tc>
        <w:tc>
          <w:tcPr>
            <w:tcW w:w="1314" w:type="dxa"/>
            <w:vAlign w:val="center"/>
          </w:tcPr>
          <w:p w14:paraId="7D0013B2">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4.52</w:t>
            </w:r>
          </w:p>
        </w:tc>
      </w:tr>
      <w:tr w14:paraId="73459A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70" w:hRule="atLeast"/>
          <w:jc w:val="center"/>
        </w:trPr>
        <w:tc>
          <w:tcPr>
            <w:tcW w:w="2496" w:type="dxa"/>
            <w:vAlign w:val="center"/>
          </w:tcPr>
          <w:p w14:paraId="3C243E2C">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30</w:t>
            </w:r>
          </w:p>
        </w:tc>
        <w:tc>
          <w:tcPr>
            <w:tcW w:w="1687" w:type="dxa"/>
            <w:vAlign w:val="center"/>
          </w:tcPr>
          <w:p w14:paraId="5571F0B4">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4.77</w:t>
            </w:r>
          </w:p>
        </w:tc>
        <w:tc>
          <w:tcPr>
            <w:tcW w:w="1571" w:type="dxa"/>
            <w:vAlign w:val="center"/>
          </w:tcPr>
          <w:p w14:paraId="0F2C179D">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4.70</w:t>
            </w:r>
          </w:p>
        </w:tc>
        <w:tc>
          <w:tcPr>
            <w:tcW w:w="1454" w:type="dxa"/>
            <w:vAlign w:val="center"/>
          </w:tcPr>
          <w:p w14:paraId="29929CEE">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4.57</w:t>
            </w:r>
          </w:p>
        </w:tc>
        <w:tc>
          <w:tcPr>
            <w:tcW w:w="1314" w:type="dxa"/>
            <w:vAlign w:val="center"/>
          </w:tcPr>
          <w:p w14:paraId="789B2775">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4.40</w:t>
            </w:r>
          </w:p>
        </w:tc>
      </w:tr>
      <w:tr w14:paraId="0B7A09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70" w:hRule="atLeast"/>
          <w:jc w:val="center"/>
        </w:trPr>
        <w:tc>
          <w:tcPr>
            <w:tcW w:w="2496" w:type="dxa"/>
            <w:vAlign w:val="center"/>
          </w:tcPr>
          <w:p w14:paraId="5054833B">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40</w:t>
            </w:r>
          </w:p>
        </w:tc>
        <w:tc>
          <w:tcPr>
            <w:tcW w:w="1687" w:type="dxa"/>
            <w:vAlign w:val="center"/>
          </w:tcPr>
          <w:p w14:paraId="553B5D40">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4.64</w:t>
            </w:r>
          </w:p>
        </w:tc>
        <w:tc>
          <w:tcPr>
            <w:tcW w:w="1571" w:type="dxa"/>
            <w:vAlign w:val="center"/>
          </w:tcPr>
          <w:p w14:paraId="617552E3">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4.57</w:t>
            </w:r>
          </w:p>
        </w:tc>
        <w:tc>
          <w:tcPr>
            <w:tcW w:w="1454" w:type="dxa"/>
            <w:vAlign w:val="center"/>
          </w:tcPr>
          <w:p w14:paraId="6CF9CB38">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4.45</w:t>
            </w:r>
          </w:p>
        </w:tc>
        <w:tc>
          <w:tcPr>
            <w:tcW w:w="1314" w:type="dxa"/>
            <w:vAlign w:val="center"/>
          </w:tcPr>
          <w:p w14:paraId="45F60DBE">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4.29</w:t>
            </w:r>
          </w:p>
        </w:tc>
      </w:tr>
      <w:tr w14:paraId="6B47BB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70" w:hRule="atLeast"/>
          <w:jc w:val="center"/>
        </w:trPr>
        <w:tc>
          <w:tcPr>
            <w:tcW w:w="2496" w:type="dxa"/>
            <w:vAlign w:val="center"/>
          </w:tcPr>
          <w:p w14:paraId="63BE739C">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50</w:t>
            </w:r>
          </w:p>
        </w:tc>
        <w:tc>
          <w:tcPr>
            <w:tcW w:w="1687" w:type="dxa"/>
            <w:vAlign w:val="center"/>
          </w:tcPr>
          <w:p w14:paraId="1C662255">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4.50</w:t>
            </w:r>
          </w:p>
        </w:tc>
        <w:tc>
          <w:tcPr>
            <w:tcW w:w="1571" w:type="dxa"/>
            <w:vAlign w:val="center"/>
          </w:tcPr>
          <w:p w14:paraId="153FD79F">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4.42</w:t>
            </w:r>
          </w:p>
        </w:tc>
        <w:tc>
          <w:tcPr>
            <w:tcW w:w="1454" w:type="dxa"/>
            <w:vAlign w:val="center"/>
          </w:tcPr>
          <w:p w14:paraId="4D3F9FD7">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4.32</w:t>
            </w:r>
          </w:p>
        </w:tc>
        <w:tc>
          <w:tcPr>
            <w:tcW w:w="1314" w:type="dxa"/>
            <w:vAlign w:val="center"/>
          </w:tcPr>
          <w:p w14:paraId="1CE3D3F9">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4.15</w:t>
            </w:r>
          </w:p>
        </w:tc>
      </w:tr>
      <w:tr w14:paraId="728B8B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70" w:hRule="atLeast"/>
          <w:jc w:val="center"/>
        </w:trPr>
        <w:tc>
          <w:tcPr>
            <w:tcW w:w="2496" w:type="dxa"/>
            <w:vAlign w:val="center"/>
          </w:tcPr>
          <w:p w14:paraId="39E8084E">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60</w:t>
            </w:r>
          </w:p>
        </w:tc>
        <w:tc>
          <w:tcPr>
            <w:tcW w:w="1687" w:type="dxa"/>
            <w:vAlign w:val="center"/>
          </w:tcPr>
          <w:p w14:paraId="159361B2">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4.32</w:t>
            </w:r>
          </w:p>
        </w:tc>
        <w:tc>
          <w:tcPr>
            <w:tcW w:w="1571" w:type="dxa"/>
            <w:vAlign w:val="center"/>
          </w:tcPr>
          <w:p w14:paraId="52179678">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4.25</w:t>
            </w:r>
          </w:p>
        </w:tc>
        <w:tc>
          <w:tcPr>
            <w:tcW w:w="1454" w:type="dxa"/>
            <w:vAlign w:val="center"/>
          </w:tcPr>
          <w:p w14:paraId="6DF46B42">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4.14</w:t>
            </w:r>
          </w:p>
        </w:tc>
        <w:tc>
          <w:tcPr>
            <w:tcW w:w="1314" w:type="dxa"/>
            <w:vAlign w:val="center"/>
          </w:tcPr>
          <w:p w14:paraId="54C3B1DF">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4.00</w:t>
            </w:r>
          </w:p>
        </w:tc>
      </w:tr>
      <w:tr w14:paraId="6FE9C1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70" w:hRule="atLeast"/>
          <w:jc w:val="center"/>
        </w:trPr>
        <w:tc>
          <w:tcPr>
            <w:tcW w:w="2496" w:type="dxa"/>
            <w:vAlign w:val="center"/>
          </w:tcPr>
          <w:p w14:paraId="6E6A353F">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70</w:t>
            </w:r>
          </w:p>
        </w:tc>
        <w:tc>
          <w:tcPr>
            <w:tcW w:w="1687" w:type="dxa"/>
            <w:vAlign w:val="center"/>
          </w:tcPr>
          <w:p w14:paraId="7B899CCE">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4.12</w:t>
            </w:r>
          </w:p>
        </w:tc>
        <w:tc>
          <w:tcPr>
            <w:tcW w:w="1571" w:type="dxa"/>
            <w:vAlign w:val="center"/>
          </w:tcPr>
          <w:p w14:paraId="695192D4">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4.05</w:t>
            </w:r>
          </w:p>
        </w:tc>
        <w:tc>
          <w:tcPr>
            <w:tcW w:w="1454" w:type="dxa"/>
            <w:vAlign w:val="center"/>
          </w:tcPr>
          <w:p w14:paraId="797AC2ED">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3.95</w:t>
            </w:r>
          </w:p>
        </w:tc>
        <w:tc>
          <w:tcPr>
            <w:tcW w:w="1314" w:type="dxa"/>
            <w:vAlign w:val="center"/>
          </w:tcPr>
          <w:p w14:paraId="7594FE39">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3.81</w:t>
            </w:r>
          </w:p>
        </w:tc>
      </w:tr>
      <w:tr w14:paraId="72900A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70" w:hRule="atLeast"/>
          <w:jc w:val="center"/>
        </w:trPr>
        <w:tc>
          <w:tcPr>
            <w:tcW w:w="2496" w:type="dxa"/>
            <w:vAlign w:val="center"/>
          </w:tcPr>
          <w:p w14:paraId="75C16641">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80</w:t>
            </w:r>
          </w:p>
        </w:tc>
        <w:tc>
          <w:tcPr>
            <w:tcW w:w="1687" w:type="dxa"/>
            <w:vAlign w:val="center"/>
          </w:tcPr>
          <w:p w14:paraId="177CBEA2">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3.87</w:t>
            </w:r>
          </w:p>
        </w:tc>
        <w:tc>
          <w:tcPr>
            <w:tcW w:w="1571" w:type="dxa"/>
            <w:vAlign w:val="center"/>
          </w:tcPr>
          <w:p w14:paraId="27A9F970">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3.82</w:t>
            </w:r>
          </w:p>
        </w:tc>
        <w:tc>
          <w:tcPr>
            <w:tcW w:w="1454" w:type="dxa"/>
            <w:vAlign w:val="center"/>
          </w:tcPr>
          <w:p w14:paraId="3ED2F416">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3.72</w:t>
            </w:r>
          </w:p>
        </w:tc>
        <w:tc>
          <w:tcPr>
            <w:tcW w:w="1314" w:type="dxa"/>
            <w:vAlign w:val="center"/>
          </w:tcPr>
          <w:p w14:paraId="3DEAC4E3">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3.59</w:t>
            </w:r>
          </w:p>
        </w:tc>
      </w:tr>
      <w:tr w14:paraId="731E8D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70" w:hRule="atLeast"/>
          <w:jc w:val="center"/>
        </w:trPr>
        <w:tc>
          <w:tcPr>
            <w:tcW w:w="2496" w:type="dxa"/>
            <w:vAlign w:val="center"/>
          </w:tcPr>
          <w:p w14:paraId="1AF2F955">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z w:val="21"/>
                <w:szCs w:val="21"/>
              </w:rPr>
              <w:t>90</w:t>
            </w:r>
          </w:p>
        </w:tc>
        <w:tc>
          <w:tcPr>
            <w:tcW w:w="1687" w:type="dxa"/>
            <w:vAlign w:val="center"/>
          </w:tcPr>
          <w:p w14:paraId="7653E773">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3.55</w:t>
            </w:r>
          </w:p>
        </w:tc>
        <w:tc>
          <w:tcPr>
            <w:tcW w:w="1571" w:type="dxa"/>
            <w:vAlign w:val="center"/>
          </w:tcPr>
          <w:p w14:paraId="0BE3221D">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3.51</w:t>
            </w:r>
          </w:p>
        </w:tc>
        <w:tc>
          <w:tcPr>
            <w:tcW w:w="1454" w:type="dxa"/>
            <w:vAlign w:val="center"/>
          </w:tcPr>
          <w:p w14:paraId="23A0656A">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3.43</w:t>
            </w:r>
          </w:p>
        </w:tc>
        <w:tc>
          <w:tcPr>
            <w:tcW w:w="1314" w:type="dxa"/>
            <w:vAlign w:val="center"/>
          </w:tcPr>
          <w:p w14:paraId="5B5F53CC">
            <w:pPr>
              <w:keepNext w:val="0"/>
              <w:keepLines w:val="0"/>
              <w:suppressLineNumbers w:val="0"/>
              <w:snapToGrid w:val="0"/>
              <w:spacing w:before="0" w:beforeAutospacing="0" w:after="0" w:afterAutospacing="0" w:line="240" w:lineRule="exact"/>
              <w:ind w:left="0" w:right="0" w:firstLine="0" w:firstLineChars="0"/>
              <w:jc w:val="center"/>
              <w:rPr>
                <w:rFonts w:hint="default"/>
                <w:color w:val="auto"/>
                <w:sz w:val="21"/>
                <w:szCs w:val="21"/>
              </w:rPr>
            </w:pPr>
            <w:r>
              <w:rPr>
                <w:rFonts w:hint="default"/>
                <w:color w:val="auto"/>
                <w:spacing w:val="-1"/>
                <w:sz w:val="21"/>
                <w:szCs w:val="21"/>
              </w:rPr>
              <w:t>3.30</w:t>
            </w:r>
          </w:p>
        </w:tc>
      </w:tr>
    </w:tbl>
    <w:p w14:paraId="76181009">
      <w:pPr>
        <w:ind w:firstLine="480"/>
        <w:rPr>
          <w:color w:val="auto"/>
        </w:rPr>
      </w:pPr>
      <w:r>
        <w:rPr>
          <w:color w:val="auto"/>
        </w:rPr>
        <w:t>（4）波浪</w:t>
      </w:r>
    </w:p>
    <w:p w14:paraId="142C1133">
      <w:pPr>
        <w:ind w:firstLine="480"/>
        <w:rPr>
          <w:color w:val="auto"/>
        </w:rPr>
      </w:pPr>
      <w:r>
        <w:rPr>
          <w:color w:val="auto"/>
        </w:rPr>
        <w:t>钦州港位于钦州湾内，水域掩护条件较好，比较平静。据三娘湾海洋站1991～2002年测波资料统计，本海区波浪以风浪为主，常浪向SSW向、频率占17.67％，其次NNE向、频率为17.2％；强浪向为ESE向，次强浪向为SSW向和NE向；本海区实测最大波高为3.4m，实测最大周期为6.8s。据统计本区H</w:t>
      </w:r>
      <w:r>
        <w:rPr>
          <w:color w:val="auto"/>
          <w:vertAlign w:val="subscript"/>
        </w:rPr>
        <w:t>1/10</w:t>
      </w:r>
      <w:r>
        <w:rPr>
          <w:color w:val="auto"/>
        </w:rPr>
        <w:t>小于0.5m发生频率为66.37％，小于1.0m发生频率为96.21％，大于1.5m波高出现频率仅为1.1%。</w:t>
      </w:r>
    </w:p>
    <w:p w14:paraId="799C829A">
      <w:pPr>
        <w:ind w:firstLine="480"/>
        <w:rPr>
          <w:color w:val="auto"/>
        </w:rPr>
      </w:pPr>
      <w:r>
        <w:rPr>
          <w:color w:val="auto"/>
        </w:rPr>
        <w:t>（5）泥沙</w:t>
      </w:r>
    </w:p>
    <w:p w14:paraId="044B4D2D">
      <w:pPr>
        <w:ind w:firstLine="480"/>
        <w:rPr>
          <w:color w:val="auto"/>
        </w:rPr>
      </w:pPr>
      <w:r>
        <w:rPr>
          <w:color w:val="auto"/>
        </w:rPr>
        <w:t>钦州湾泥沙主要来自北部的茅尾海，而且多以悬移式进入港内。钦州湾海区含沙量较小，平均含沙量仅为0.029kg/m</w:t>
      </w:r>
      <w:r>
        <w:rPr>
          <w:color w:val="auto"/>
          <w:vertAlign w:val="superscript"/>
        </w:rPr>
        <w:t>3</w:t>
      </w:r>
      <w:r>
        <w:rPr>
          <w:color w:val="auto"/>
        </w:rPr>
        <w:t>，实测瞬时最大含沙量出现于夏季，茅尾海内为0.35kg/m</w:t>
      </w:r>
      <w:r>
        <w:rPr>
          <w:color w:val="auto"/>
          <w:vertAlign w:val="superscript"/>
        </w:rPr>
        <w:t>3</w:t>
      </w:r>
      <w:r>
        <w:rPr>
          <w:color w:val="auto"/>
        </w:rPr>
        <w:t>，拦门沙段为0.08kg/m</w:t>
      </w:r>
      <w:r>
        <w:rPr>
          <w:color w:val="auto"/>
          <w:vertAlign w:val="superscript"/>
        </w:rPr>
        <w:t>3</w:t>
      </w:r>
      <w:r>
        <w:rPr>
          <w:color w:val="auto"/>
        </w:rPr>
        <w:t>，而冬季含沙量几乎为零。</w:t>
      </w:r>
    </w:p>
    <w:p w14:paraId="57DC7B4E">
      <w:pPr>
        <w:snapToGrid w:val="0"/>
        <w:ind w:firstLine="480"/>
        <w:rPr>
          <w:color w:val="auto"/>
        </w:rPr>
      </w:pPr>
      <w:r>
        <w:rPr>
          <w:color w:val="auto"/>
        </w:rPr>
        <w:t>（6）盐度和水温</w:t>
      </w:r>
    </w:p>
    <w:p w14:paraId="407355DF">
      <w:pPr>
        <w:ind w:firstLine="480"/>
        <w:rPr>
          <w:color w:val="auto"/>
        </w:rPr>
      </w:pPr>
      <w:r>
        <w:rPr>
          <w:color w:val="auto"/>
        </w:rPr>
        <w:t>钦州湾海域盐度分布规律为河口低、海高，等值线与等深线几乎平行。年平均盐度为1.93%。（龙门）最高为3.23%，最低为2.63%。</w:t>
      </w:r>
    </w:p>
    <w:p w14:paraId="23B2337D">
      <w:pPr>
        <w:ind w:firstLine="480"/>
        <w:rPr>
          <w:color w:val="auto"/>
        </w:rPr>
      </w:pPr>
      <w:r>
        <w:rPr>
          <w:color w:val="auto"/>
        </w:rPr>
        <w:t>水温变化特征分为夏季型、冬季型和过渡型三种。夏季沿岸水温高，外海低，冬季水温则是外海高沿岸低；春夏分层稳定，上层高，下层低。水温的升降则以春季和秋季为过渡季节。最高水温32.75</w:t>
      </w:r>
      <w:r>
        <w:rPr>
          <w:rFonts w:hint="eastAsia" w:ascii="宋体" w:hAnsi="宋体" w:cs="宋体"/>
          <w:color w:val="auto"/>
          <w:lang w:eastAsia="ja-JP"/>
        </w:rPr>
        <w:t>℃</w:t>
      </w:r>
      <w:r>
        <w:rPr>
          <w:color w:val="auto"/>
        </w:rPr>
        <w:t>，平均水温21.90</w:t>
      </w:r>
      <w:r>
        <w:rPr>
          <w:rFonts w:hint="eastAsia" w:ascii="宋体" w:hAnsi="宋体" w:cs="宋体"/>
          <w:color w:val="auto"/>
          <w:lang w:eastAsia="ja-JP"/>
        </w:rPr>
        <w:t>℃</w:t>
      </w:r>
      <w:r>
        <w:rPr>
          <w:color w:val="auto"/>
        </w:rPr>
        <w:t>。</w:t>
      </w:r>
    </w:p>
    <w:p w14:paraId="066E1655">
      <w:pPr>
        <w:pStyle w:val="4"/>
        <w:rPr>
          <w:color w:val="auto"/>
        </w:rPr>
      </w:pPr>
      <w:bookmarkStart w:id="384" w:name="_Toc136878470"/>
      <w:bookmarkStart w:id="385" w:name="_Toc26910007"/>
      <w:bookmarkStart w:id="386" w:name="_Toc216620534"/>
      <w:bookmarkStart w:id="387" w:name="_Toc135090221"/>
      <w:bookmarkStart w:id="388" w:name="_Toc29131821"/>
      <w:bookmarkStart w:id="389" w:name="_Toc216103375"/>
      <w:bookmarkStart w:id="390" w:name="_Toc25436963"/>
      <w:r>
        <w:rPr>
          <w:color w:val="auto"/>
        </w:rPr>
        <w:t>海洋生物资源</w:t>
      </w:r>
      <w:bookmarkEnd w:id="384"/>
      <w:bookmarkEnd w:id="385"/>
      <w:bookmarkEnd w:id="386"/>
      <w:bookmarkEnd w:id="387"/>
      <w:bookmarkEnd w:id="388"/>
      <w:bookmarkEnd w:id="389"/>
    </w:p>
    <w:p w14:paraId="485B7F23">
      <w:pPr>
        <w:ind w:firstLine="480"/>
        <w:rPr>
          <w:color w:val="auto"/>
        </w:rPr>
      </w:pPr>
      <w:r>
        <w:rPr>
          <w:color w:val="auto"/>
        </w:rPr>
        <w:t>钦州湾主要有钦江、茅岭江注入，生物饵料和营养盐丰富，水温、盐度适中，水质较为洁净，适宜于海洋生物的生长和繁殖，生物种类繁多，资源丰富。据调查2017年海洋生物现状调查，近岸海域浮游植物有36种，浮游动物42种，潮间带生物68种，底栖生物50种，鱼类35种，海区初级生产力相对较高。</w:t>
      </w:r>
    </w:p>
    <w:p w14:paraId="79294DC2">
      <w:pPr>
        <w:ind w:firstLine="480"/>
        <w:rPr>
          <w:color w:val="auto"/>
        </w:rPr>
      </w:pPr>
      <w:r>
        <w:rPr>
          <w:color w:val="auto"/>
        </w:rPr>
        <w:t>据调查，钦州市20m水深以内的浅海有虾类35种，蟹类191种，贝类178种，头足类17种，鱼类326种。其中主要捕捞的鱼类有二长棘鲷、圆腹鲱、棕斑兔头鱼、短吻鱼、斑点马鲛、丽叶参、斑鲚、宝刀鱼、鲐鱼、真鲷、白姑鱼、金钱鱼等20余种主要经济鱼类；虾类有须赤虾、刀额新对虾、长中鹰爪虾、日本对虾、长毛对虾、墨吉对虾等10多种经济虾类；还有火枪乌贼、拟目乌贼等3种头足类。此外，近江蛎、文蛤毛蚶、方格星虫、锯缘青蟹和江蓠等主要浅海滩涂经济生物分布广泛，资源最大。钦州市浅海鱼类资源量估计为4200t/a，可捕捞量约为2100t/a。</w:t>
      </w:r>
    </w:p>
    <w:p w14:paraId="409908D5">
      <w:pPr>
        <w:ind w:firstLine="480"/>
        <w:rPr>
          <w:color w:val="auto"/>
        </w:rPr>
      </w:pPr>
      <w:r>
        <w:rPr>
          <w:color w:val="auto"/>
        </w:rPr>
        <w:t>钦州湾沿海有大小岛屿337个，这些岛屿较为集中连片地分布在茅尾海出海口的亚公山至鹰岭一带，由于海岸滩涂土壤肥沃，盐度适中，比较适宜红树林生长，各岛屿岸边广泛生长着红树林，有红树科的木榄、秋茄；大蕺科的海漆；紫金牛科的桐花树；马鞭草科的白骨壤等。</w:t>
      </w:r>
    </w:p>
    <w:p w14:paraId="4A3694FE">
      <w:pPr>
        <w:ind w:firstLine="480"/>
        <w:rPr>
          <w:color w:val="auto"/>
        </w:rPr>
      </w:pPr>
      <w:r>
        <w:rPr>
          <w:rFonts w:hint="eastAsia"/>
          <w:color w:val="auto"/>
        </w:rPr>
        <w:t>钦州湾的</w:t>
      </w:r>
      <w:r>
        <w:rPr>
          <w:color w:val="auto"/>
        </w:rPr>
        <w:t>三娘湾海域分布有中华白海豚，</w:t>
      </w:r>
      <w:r>
        <w:rPr>
          <w:rFonts w:hint="eastAsia"/>
          <w:color w:val="auto"/>
        </w:rPr>
        <w:t>200余头野生中华白海豚长年栖居于此，可以看到的海豚有黑色、灰色、白色、粉红色、墨绿色、海蓝色等。</w:t>
      </w:r>
      <w:r>
        <w:rPr>
          <w:rFonts w:hint="eastAsia" w:cs="宋体"/>
          <w:color w:val="auto"/>
          <w:lang w:bidi="ar"/>
        </w:rPr>
        <w:t>中华白海豚是当前地球上最稀有的物种之一，被我国列为国家一级重点保护动物，有“海上大熊猫”、“海上国宝”之称，被世界自然保护联盟（</w:t>
      </w:r>
      <w:r>
        <w:rPr>
          <w:color w:val="auto"/>
          <w:lang w:bidi="ar"/>
        </w:rPr>
        <w:t>IUCU</w:t>
      </w:r>
      <w:r>
        <w:rPr>
          <w:rFonts w:hint="eastAsia" w:cs="宋体"/>
          <w:color w:val="auto"/>
          <w:lang w:bidi="ar"/>
        </w:rPr>
        <w:t>）红皮书收录为“极危物种”，具有很高的科研价值和潜在的经济价值。项目东南侧的三娘湾、大风江口和廉州湾一带是中华白海豚活动区，目前尚未划定国家保护区范围。</w:t>
      </w:r>
    </w:p>
    <w:bookmarkEnd w:id="390"/>
    <w:p w14:paraId="49F4A8DF">
      <w:pPr>
        <w:pStyle w:val="5"/>
        <w:rPr>
          <w:color w:val="auto"/>
        </w:rPr>
      </w:pPr>
      <w:bookmarkStart w:id="391" w:name="_Toc223595764"/>
      <w:bookmarkStart w:id="392" w:name="_Toc66194188"/>
      <w:bookmarkStart w:id="393" w:name="_Toc223258473"/>
      <w:bookmarkStart w:id="394" w:name="_Toc118748556"/>
      <w:bookmarkStart w:id="395" w:name="_Toc66193989"/>
      <w:r>
        <w:rPr>
          <w:color w:val="auto"/>
        </w:rPr>
        <w:t>生态敏感区及珍稀濒危物种调查</w:t>
      </w:r>
      <w:bookmarkEnd w:id="391"/>
      <w:bookmarkEnd w:id="392"/>
      <w:bookmarkEnd w:id="393"/>
      <w:bookmarkEnd w:id="394"/>
      <w:bookmarkEnd w:id="395"/>
    </w:p>
    <w:p w14:paraId="49FF5684">
      <w:pPr>
        <w:pStyle w:val="4"/>
        <w:rPr>
          <w:color w:val="auto"/>
        </w:rPr>
      </w:pPr>
      <w:bookmarkStart w:id="396" w:name="_Toc216620536"/>
      <w:bookmarkStart w:id="397" w:name="_Toc66194190"/>
      <w:bookmarkStart w:id="398" w:name="_Toc136878472"/>
      <w:bookmarkStart w:id="399" w:name="_Toc216103377"/>
      <w:bookmarkStart w:id="400" w:name="_Toc135090223"/>
      <w:bookmarkStart w:id="401" w:name="_Toc66193991"/>
      <w:r>
        <w:rPr>
          <w:color w:val="auto"/>
        </w:rPr>
        <w:t>广西茅尾海红树林自治区级自然保护区</w:t>
      </w:r>
      <w:bookmarkEnd w:id="396"/>
      <w:bookmarkEnd w:id="397"/>
      <w:bookmarkEnd w:id="398"/>
      <w:bookmarkEnd w:id="399"/>
      <w:bookmarkEnd w:id="400"/>
      <w:bookmarkEnd w:id="401"/>
    </w:p>
    <w:p w14:paraId="63A6E82F">
      <w:pPr>
        <w:ind w:firstLine="480"/>
        <w:rPr>
          <w:color w:val="auto"/>
        </w:rPr>
      </w:pPr>
      <w:r>
        <w:rPr>
          <w:color w:val="auto"/>
        </w:rPr>
        <w:t>（一）保护区概况</w:t>
      </w:r>
    </w:p>
    <w:p w14:paraId="152631F0">
      <w:pPr>
        <w:ind w:firstLine="480"/>
        <w:rPr>
          <w:color w:val="auto"/>
        </w:rPr>
      </w:pPr>
      <w:r>
        <w:rPr>
          <w:color w:val="auto"/>
        </w:rPr>
        <w:t>2020年02月，广西壮族自治区人民政府以《广西壮族自治区人民政府关于同意广西茅尾海红树林自治区级自然保护区范围与功能区调整的批复》（桂政函〔2020〕14号）同意调整广西茅尾海红树林自治区级自然保护区范围与功能区。调整后，保护区范围涉及康熙岭片、坚心围片、七十二泾片和大风江片4个片区，地理坐标为东经 108°28′35″—108°54′26″、北纬21°44′13″—21°53′49″。保护区总面积5010.05公顷，其中核心区面积2153.2公顷、缓冲区面积1386.13公顷、实验区面积1470.72公顷。</w:t>
      </w:r>
    </w:p>
    <w:p w14:paraId="75567603">
      <w:pPr>
        <w:ind w:firstLine="480"/>
        <w:rPr>
          <w:color w:val="auto"/>
        </w:rPr>
      </w:pPr>
      <w:r>
        <w:rPr>
          <w:color w:val="auto"/>
        </w:rPr>
        <w:t>保护区主要红树林植被类型有秋茄林、桐花树林、白骨壤林、海漆林、黄槿林、无瓣海桑林、老鼠簕群。保护区资源十分丰富，目前已知有维管束植物有82科228属294种。其中：蕨类植物9科10属13种，裸子植物1科1属2种，被子植物72科217属279种。没有发现有国家重点保护的野生植物。</w:t>
      </w:r>
    </w:p>
    <w:p w14:paraId="10FA4947">
      <w:pPr>
        <w:ind w:firstLine="480"/>
        <w:rPr>
          <w:color w:val="auto"/>
        </w:rPr>
      </w:pPr>
      <w:r>
        <w:rPr>
          <w:color w:val="auto"/>
        </w:rPr>
        <w:t>保护区有红树植物13科17种，占全国红树植物种类的45.9%，其中真红树植物8科10种，半红树植物6科7种。在真红树植物中，乡土红树植物6科7种，分别为红树科的木榄、秋茄、红海榄；卤蕨科的卤蕨；使君子科的榄李；紫金牛科的桐花树；马鞭草科的白骨壤；大戟科的海漆；爵床科的老鼠簕。引种的红树植物1科1种，即海桑科的无瓣海桑。半红树植物为锦葵科的黄槿；夹竹桃科的海芒果；马鞭草科的钝叶臭黄荆和苦榔树、草海桐科的草海桐、蝶形花科的水黄皮和菊科的阔苞菊。</w:t>
      </w:r>
    </w:p>
    <w:p w14:paraId="6CD9E9C1">
      <w:pPr>
        <w:ind w:firstLine="480"/>
        <w:rPr>
          <w:color w:val="auto"/>
        </w:rPr>
      </w:pPr>
      <w:r>
        <w:rPr>
          <w:color w:val="auto"/>
        </w:rPr>
        <w:t>保护区有脊椎动物216种，其中鱼类资源计有11目39科87种；两栖类动物有7种，隶属于1目5科5属；爬行类动物16种，隶属于1目7科15属；鸟类动物有15目31科103种；哺乳动物有3种，隶属于2目2科3属。</w:t>
      </w:r>
    </w:p>
    <w:p w14:paraId="7EE97D75">
      <w:pPr>
        <w:spacing w:line="336" w:lineRule="auto"/>
        <w:ind w:firstLine="0" w:firstLineChars="0"/>
        <w:jc w:val="center"/>
        <w:rPr>
          <w:rFonts w:hint="default" w:eastAsia="宋体"/>
          <w:color w:val="auto"/>
          <w:lang w:val="en-US" w:eastAsia="zh-CN"/>
        </w:rPr>
      </w:pPr>
      <w:r>
        <w:rPr>
          <w:rFonts w:hint="eastAsia"/>
          <w:color w:val="auto"/>
          <w:lang w:val="en-US" w:eastAsia="zh-CN"/>
        </w:rPr>
        <w:t>***</w:t>
      </w:r>
    </w:p>
    <w:p w14:paraId="5E7EE484">
      <w:pPr>
        <w:pStyle w:val="14"/>
        <w:rPr>
          <w:color w:val="auto"/>
        </w:rPr>
      </w:pPr>
      <w:r>
        <w:rPr>
          <w:rFonts w:hint="eastAsia"/>
          <w:color w:val="auto"/>
        </w:rPr>
        <w:t>表</w:t>
      </w:r>
      <w:r>
        <w:rPr>
          <w:color w:val="auto"/>
        </w:rPr>
        <w:t>3.2</w:t>
      </w:r>
      <w:r>
        <w:rPr>
          <w:color w:val="auto"/>
        </w:rPr>
        <w:noBreakHyphen/>
      </w:r>
      <w:r>
        <w:rPr>
          <w:color w:val="auto"/>
        </w:rPr>
        <w:t>1茅尾海红树林自然保护区位置示意图</w:t>
      </w:r>
    </w:p>
    <w:p w14:paraId="45119543">
      <w:pPr>
        <w:ind w:firstLine="480"/>
        <w:rPr>
          <w:color w:val="auto"/>
        </w:rPr>
      </w:pPr>
      <w:r>
        <w:rPr>
          <w:color w:val="auto"/>
        </w:rPr>
        <w:t>（二）项目与保护区位置关系</w:t>
      </w:r>
    </w:p>
    <w:p w14:paraId="4E98081A">
      <w:pPr>
        <w:ind w:firstLine="480"/>
        <w:rPr>
          <w:color w:val="auto"/>
        </w:rPr>
      </w:pPr>
      <w:r>
        <w:rPr>
          <w:color w:val="auto"/>
        </w:rPr>
        <w:t>广西茅尾海红树林自治区级自然保护区位于本项目西北面约3.98km处。</w:t>
      </w:r>
    </w:p>
    <w:p w14:paraId="397BA257">
      <w:pPr>
        <w:pStyle w:val="4"/>
        <w:rPr>
          <w:color w:val="auto"/>
        </w:rPr>
      </w:pPr>
      <w:bookmarkStart w:id="402" w:name="_Toc216103378"/>
      <w:bookmarkStart w:id="403" w:name="_Toc216620537"/>
      <w:bookmarkStart w:id="404" w:name="_Toc135090225"/>
      <w:bookmarkStart w:id="405" w:name="_Toc66194193"/>
      <w:bookmarkStart w:id="406" w:name="_Toc66193994"/>
      <w:bookmarkStart w:id="407" w:name="_Toc136878473"/>
      <w:r>
        <w:rPr>
          <w:rFonts w:hint="eastAsia"/>
          <w:color w:val="auto"/>
        </w:rPr>
        <w:t>广西钦州茅尾海国家级海洋公园</w:t>
      </w:r>
      <w:bookmarkEnd w:id="402"/>
      <w:bookmarkEnd w:id="403"/>
      <w:bookmarkEnd w:id="404"/>
      <w:bookmarkEnd w:id="405"/>
      <w:bookmarkEnd w:id="406"/>
      <w:bookmarkEnd w:id="407"/>
    </w:p>
    <w:p w14:paraId="20FE7C11">
      <w:pPr>
        <w:ind w:firstLine="480"/>
        <w:rPr>
          <w:color w:val="auto"/>
        </w:rPr>
      </w:pPr>
      <w:r>
        <w:rPr>
          <w:rFonts w:hint="eastAsia"/>
          <w:color w:val="auto"/>
        </w:rPr>
        <w:t>2011年5月19日</w:t>
      </w:r>
      <w:r>
        <w:rPr>
          <w:color w:val="auto"/>
        </w:rPr>
        <w:t>，</w:t>
      </w:r>
      <w:r>
        <w:rPr>
          <w:rFonts w:hint="eastAsia"/>
          <w:color w:val="auto"/>
        </w:rPr>
        <w:t>国家海洋局发布了新建5处国家级海洋特别保护区和7处国家级海洋公园名单，钦州茅尾海国家级海洋公园名列其中，是</w:t>
      </w:r>
      <w:r>
        <w:rPr>
          <w:rFonts w:hint="eastAsia"/>
          <w:color w:val="auto"/>
          <w:lang w:eastAsia="zh-CN"/>
        </w:rPr>
        <w:t>广西唯一</w:t>
      </w:r>
      <w:r>
        <w:rPr>
          <w:rFonts w:hint="eastAsia"/>
          <w:color w:val="auto"/>
        </w:rPr>
        <w:t>一个国家级海洋公园。广西钦州茅尾海国家级海洋公园位于广西钦州市茅尾海海域，总面积3482.7公顷，边界长25.0千米，边界南连七十二泾群岛，西临茅岭江航道，北连广西茅尾海红树林自然保护区，东接沙井岛航道。</w:t>
      </w:r>
    </w:p>
    <w:p w14:paraId="334C6AD0">
      <w:pPr>
        <w:ind w:firstLine="480"/>
        <w:rPr>
          <w:color w:val="auto"/>
        </w:rPr>
      </w:pPr>
      <w:r>
        <w:rPr>
          <w:rFonts w:hint="eastAsia"/>
          <w:color w:val="auto"/>
        </w:rPr>
        <w:t>钦州茅尾海国家海洋公园所在地区属南亚热带季风气候，具有亚热带向热带过渡性质的海洋季风气候。茅尾海为钦州港的内湾，是一个典型的半封闭的海湾，湾顶有钦江和茅岭江注入，河口地貌和环境特征明显。</w:t>
      </w:r>
    </w:p>
    <w:p w14:paraId="0683384F">
      <w:pPr>
        <w:ind w:firstLine="480"/>
        <w:rPr>
          <w:color w:val="auto"/>
        </w:rPr>
      </w:pPr>
      <w:r>
        <w:rPr>
          <w:rFonts w:hint="eastAsia"/>
          <w:color w:val="auto"/>
        </w:rPr>
        <w:t>广西钦州茅尾海国家级海洋公园划分为三个功能分区，分别是重点保护区、生态与资源恢复区和适度利用区。重点保护区面积为578.7公顷，其中红树林面积26.9hm</w:t>
      </w:r>
      <w:r>
        <w:rPr>
          <w:rFonts w:hint="eastAsia"/>
          <w:color w:val="auto"/>
          <w:vertAlign w:val="superscript"/>
        </w:rPr>
        <w:t>2</w:t>
      </w:r>
      <w:r>
        <w:rPr>
          <w:rFonts w:hint="eastAsia"/>
          <w:color w:val="auto"/>
        </w:rPr>
        <w:t>。严格保护红树林、盐沼生态系统及其海洋环境，控制陆源污染和人为干扰，维持典型海洋生态系统的生物多样性、保护典型海洋生态系统的生命过程与生态功能，为典型海洋生态系统的恢复与修复提供自然模式与种源；适度利用区面积为2183.0公顷，在不破坏或较少影响海洋生态环境的前提下，开展海上观光旅游、休闲渔业、海上运动和渔业资源养殖增殖等，无公害、环境友好地利用和管理海洋资源与环境促进生态环境与经济的和谐发展；生态与资源恢复区面积为721.0公顷，为典型海域生态系统的自然扩展和人工恢复与修复提供适合的生境空间，修复和恢复物种多样性与天然景观，保护近江牡蛎天然母贝生境。</w:t>
      </w:r>
    </w:p>
    <w:p w14:paraId="570FB5BA">
      <w:pPr>
        <w:ind w:firstLine="480"/>
        <w:rPr>
          <w:color w:val="auto"/>
        </w:rPr>
      </w:pPr>
      <w:r>
        <w:rPr>
          <w:rFonts w:hint="eastAsia"/>
          <w:color w:val="auto"/>
        </w:rPr>
        <w:t>广西钦州茅尾海国家级海洋公园位于河口海湾区，具有旺盛的初级生产力和丰富的生物多样性，同时拥有处于原生状态的红树林和盐沼等典型海洋生态系统，也是近江牡蛎的全球种质资源保留地和我国最重要的养殖区与采苗区。此外，还盛产60多种经济价值较高的鱼类，30多种虾蟹类，110多种贝类，其中近江牡、青蟹、对虾、石斑鱼被誉为“钦州四大名产”。海洋公园内连片分布的红树林-盐沼草本植物群落，景观独特。</w:t>
      </w:r>
    </w:p>
    <w:p w14:paraId="2636372D">
      <w:pPr>
        <w:spacing w:line="240" w:lineRule="auto"/>
        <w:ind w:firstLine="0" w:firstLineChars="0"/>
        <w:jc w:val="center"/>
        <w:rPr>
          <w:rFonts w:hint="default"/>
          <w:color w:val="auto"/>
          <w:lang w:val="en-US"/>
        </w:rPr>
      </w:pPr>
      <w:r>
        <w:rPr>
          <w:rFonts w:hint="eastAsia"/>
          <w:color w:val="auto"/>
          <w:lang w:val="en-US" w:eastAsia="zh-CN"/>
        </w:rPr>
        <w:t>******</w:t>
      </w:r>
    </w:p>
    <w:p w14:paraId="08EF8C39">
      <w:pPr>
        <w:ind w:firstLine="482"/>
        <w:jc w:val="center"/>
        <w:rPr>
          <w:b/>
          <w:bCs/>
          <w:color w:val="auto"/>
        </w:rPr>
      </w:pPr>
      <w:r>
        <w:rPr>
          <w:b/>
          <w:bCs/>
          <w:color w:val="auto"/>
        </w:rPr>
        <w:t>图3.</w:t>
      </w:r>
      <w:r>
        <w:rPr>
          <w:rFonts w:hint="eastAsia"/>
          <w:b/>
          <w:bCs/>
          <w:color w:val="auto"/>
        </w:rPr>
        <w:t>5</w:t>
      </w:r>
      <w:r>
        <w:rPr>
          <w:b/>
          <w:bCs/>
          <w:color w:val="auto"/>
        </w:rPr>
        <w:t>-1项目与</w:t>
      </w:r>
      <w:r>
        <w:rPr>
          <w:rFonts w:hint="eastAsia"/>
          <w:b/>
          <w:bCs/>
          <w:color w:val="auto"/>
        </w:rPr>
        <w:t>广西钦州</w:t>
      </w:r>
      <w:r>
        <w:rPr>
          <w:b/>
          <w:bCs/>
          <w:color w:val="auto"/>
        </w:rPr>
        <w:t>茅尾海国家级海洋公园位置关系</w:t>
      </w:r>
    </w:p>
    <w:p w14:paraId="550F49AA">
      <w:pPr>
        <w:pStyle w:val="4"/>
        <w:rPr>
          <w:color w:val="auto"/>
        </w:rPr>
      </w:pPr>
      <w:bookmarkStart w:id="408" w:name="_Toc216103379"/>
      <w:bookmarkStart w:id="409" w:name="_Toc66194194"/>
      <w:bookmarkStart w:id="410" w:name="_Toc66193995"/>
      <w:bookmarkStart w:id="411" w:name="_Toc216620538"/>
      <w:bookmarkStart w:id="412" w:name="_Toc135090226"/>
      <w:bookmarkStart w:id="413" w:name="_Toc136878474"/>
      <w:r>
        <w:rPr>
          <w:color w:val="auto"/>
        </w:rPr>
        <w:t>红树林</w:t>
      </w:r>
      <w:bookmarkEnd w:id="408"/>
      <w:bookmarkEnd w:id="409"/>
      <w:bookmarkEnd w:id="410"/>
      <w:bookmarkEnd w:id="411"/>
      <w:bookmarkEnd w:id="412"/>
      <w:bookmarkEnd w:id="413"/>
    </w:p>
    <w:p w14:paraId="4689D6F3">
      <w:pPr>
        <w:ind w:firstLine="480"/>
        <w:rPr>
          <w:color w:val="auto"/>
        </w:rPr>
      </w:pPr>
      <w:r>
        <w:rPr>
          <w:color w:val="auto"/>
        </w:rPr>
        <w:t>红树林是位于热带、亚热带海陆交错带的常绿阔叶林，是河口海岸生态系统中最重要的初级生产者。广西红树林海岸是广西海岸中重要的生物海岸类型，在全国也占有重要的位置，其基本特征是在潮间带上部生长着称为红树林的耐盐常绿乔木或灌木。</w:t>
      </w:r>
    </w:p>
    <w:p w14:paraId="3107FA1A">
      <w:pPr>
        <w:ind w:firstLine="482"/>
        <w:rPr>
          <w:b/>
          <w:bCs/>
          <w:color w:val="auto"/>
        </w:rPr>
      </w:pPr>
      <w:r>
        <w:rPr>
          <w:b/>
          <w:bCs/>
          <w:color w:val="auto"/>
        </w:rPr>
        <w:t>1、钦州海岸带红树林分布状况调查</w:t>
      </w:r>
    </w:p>
    <w:p w14:paraId="1A127869">
      <w:pPr>
        <w:ind w:firstLine="480"/>
        <w:rPr>
          <w:color w:val="auto"/>
        </w:rPr>
      </w:pPr>
      <w:r>
        <w:rPr>
          <w:color w:val="auto"/>
        </w:rPr>
        <w:t>根据自治区林业局于2019年的调查结果，目前，钦州市红树林面积3078.74hm²，斑块1259个，占广西全区红树林面积（8309.19hm²）的37%，分布于茅尾海、七十二泾、金鼓江、钦州湾及大风江，全部属于钦南区。</w:t>
      </w:r>
    </w:p>
    <w:p w14:paraId="51A21A20">
      <w:pPr>
        <w:ind w:firstLine="480"/>
        <w:rPr>
          <w:color w:val="auto"/>
        </w:rPr>
      </w:pPr>
      <w:r>
        <w:rPr>
          <w:color w:val="auto"/>
        </w:rPr>
        <w:t>目前，钦州沿海大部分成片红树林已经划为保护区，钦州湾内以红树林生态系统为主要保护对象的自然保护区有1个，为广西茅尾海红树林自治区级自然保护区。</w:t>
      </w:r>
    </w:p>
    <w:p w14:paraId="52D1307D">
      <w:pPr>
        <w:ind w:firstLine="482"/>
        <w:rPr>
          <w:b/>
          <w:bCs/>
          <w:color w:val="auto"/>
        </w:rPr>
      </w:pPr>
      <w:r>
        <w:rPr>
          <w:b/>
          <w:bCs/>
          <w:color w:val="auto"/>
        </w:rPr>
        <w:t>2、钦州沿海红树林群落分布状况</w:t>
      </w:r>
    </w:p>
    <w:p w14:paraId="3E3E16B5">
      <w:pPr>
        <w:ind w:firstLine="480"/>
        <w:rPr>
          <w:color w:val="auto"/>
        </w:rPr>
      </w:pPr>
      <w:r>
        <w:rPr>
          <w:color w:val="auto"/>
        </w:rPr>
        <w:t>广西沿海红树植物主要群系有木榄林、秋茄林、红海榄林、海漆林、桐花树林、白骨壤林。对钦州市沿海红树林群落分布类型、群系统计结果见下表。</w:t>
      </w:r>
    </w:p>
    <w:p w14:paraId="6EF9FBC9">
      <w:pPr>
        <w:pStyle w:val="14"/>
        <w:rPr>
          <w:color w:val="auto"/>
        </w:rPr>
      </w:pPr>
      <w:r>
        <w:rPr>
          <w:rFonts w:hint="eastAsia"/>
          <w:color w:val="auto"/>
        </w:rPr>
        <w:t>表</w:t>
      </w:r>
      <w:r>
        <w:rPr>
          <w:color w:val="auto"/>
        </w:rPr>
        <w:t>3.2</w:t>
      </w:r>
      <w:r>
        <w:rPr>
          <w:color w:val="auto"/>
        </w:rPr>
        <w:noBreakHyphen/>
      </w:r>
      <w:r>
        <w:rPr>
          <w:color w:val="auto"/>
        </w:rPr>
        <w:t>3钦州近岸海域红树林群落分布一览表</w:t>
      </w:r>
    </w:p>
    <w:tbl>
      <w:tblPr>
        <w:tblStyle w:val="43"/>
        <w:tblW w:w="8845"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666"/>
        <w:gridCol w:w="1285"/>
        <w:gridCol w:w="1418"/>
        <w:gridCol w:w="1000"/>
        <w:gridCol w:w="1134"/>
        <w:gridCol w:w="1276"/>
        <w:gridCol w:w="1000"/>
        <w:gridCol w:w="1066"/>
      </w:tblGrid>
      <w:tr w14:paraId="6AE10FE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restart"/>
            <w:vAlign w:val="center"/>
          </w:tcPr>
          <w:p w14:paraId="073D4CA7">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地市</w:t>
            </w:r>
          </w:p>
        </w:tc>
        <w:tc>
          <w:tcPr>
            <w:tcW w:w="1285" w:type="dxa"/>
            <w:vMerge w:val="restart"/>
            <w:vAlign w:val="center"/>
          </w:tcPr>
          <w:p w14:paraId="55B2553E">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港湾区域</w:t>
            </w:r>
          </w:p>
        </w:tc>
        <w:tc>
          <w:tcPr>
            <w:tcW w:w="3552" w:type="dxa"/>
            <w:gridSpan w:val="3"/>
            <w:vAlign w:val="center"/>
          </w:tcPr>
          <w:p w14:paraId="357D1CAB">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主要群落类型</w:t>
            </w:r>
          </w:p>
        </w:tc>
        <w:tc>
          <w:tcPr>
            <w:tcW w:w="3342" w:type="dxa"/>
            <w:gridSpan w:val="3"/>
            <w:vAlign w:val="center"/>
          </w:tcPr>
          <w:p w14:paraId="1BC18A3D">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主要群系</w:t>
            </w:r>
          </w:p>
        </w:tc>
      </w:tr>
      <w:tr w14:paraId="1681E76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572B6D7A">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p>
        </w:tc>
        <w:tc>
          <w:tcPr>
            <w:tcW w:w="1285" w:type="dxa"/>
            <w:vMerge w:val="continue"/>
            <w:vAlign w:val="center"/>
          </w:tcPr>
          <w:p w14:paraId="3813BE75">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p>
        </w:tc>
        <w:tc>
          <w:tcPr>
            <w:tcW w:w="1418" w:type="dxa"/>
            <w:vAlign w:val="center"/>
          </w:tcPr>
          <w:p w14:paraId="687E5FE0">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群落类型</w:t>
            </w:r>
          </w:p>
        </w:tc>
        <w:tc>
          <w:tcPr>
            <w:tcW w:w="1000" w:type="dxa"/>
            <w:vAlign w:val="center"/>
          </w:tcPr>
          <w:p w14:paraId="5330F841">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面积（hm</w:t>
            </w:r>
            <w:r>
              <w:rPr>
                <w:rFonts w:hint="default"/>
                <w:b/>
                <w:bCs/>
                <w:snapToGrid w:val="0"/>
                <w:color w:val="auto"/>
                <w:kern w:val="0"/>
                <w:sz w:val="21"/>
                <w:szCs w:val="21"/>
                <w:vertAlign w:val="superscript"/>
              </w:rPr>
              <w:t>2</w:t>
            </w:r>
            <w:r>
              <w:rPr>
                <w:rFonts w:hint="default"/>
                <w:b/>
                <w:bCs/>
                <w:snapToGrid w:val="0"/>
                <w:color w:val="auto"/>
                <w:kern w:val="0"/>
                <w:sz w:val="21"/>
                <w:szCs w:val="21"/>
              </w:rPr>
              <w:t>）</w:t>
            </w:r>
          </w:p>
        </w:tc>
        <w:tc>
          <w:tcPr>
            <w:tcW w:w="1134" w:type="dxa"/>
            <w:vAlign w:val="center"/>
          </w:tcPr>
          <w:p w14:paraId="18B0B453">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占所在港湾红树林面积比例</w:t>
            </w:r>
          </w:p>
        </w:tc>
        <w:tc>
          <w:tcPr>
            <w:tcW w:w="1276" w:type="dxa"/>
            <w:vAlign w:val="center"/>
          </w:tcPr>
          <w:p w14:paraId="4E029E68">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群系类型</w:t>
            </w:r>
          </w:p>
        </w:tc>
        <w:tc>
          <w:tcPr>
            <w:tcW w:w="1000" w:type="dxa"/>
            <w:vAlign w:val="center"/>
          </w:tcPr>
          <w:p w14:paraId="5583D5D8">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面积（hm</w:t>
            </w:r>
            <w:r>
              <w:rPr>
                <w:rFonts w:hint="default"/>
                <w:b/>
                <w:bCs/>
                <w:snapToGrid w:val="0"/>
                <w:color w:val="auto"/>
                <w:kern w:val="0"/>
                <w:sz w:val="21"/>
                <w:szCs w:val="21"/>
                <w:vertAlign w:val="superscript"/>
              </w:rPr>
              <w:t>2</w:t>
            </w:r>
            <w:r>
              <w:rPr>
                <w:rFonts w:hint="default"/>
                <w:b/>
                <w:bCs/>
                <w:snapToGrid w:val="0"/>
                <w:color w:val="auto"/>
                <w:kern w:val="0"/>
                <w:sz w:val="21"/>
                <w:szCs w:val="21"/>
              </w:rPr>
              <w:t>）</w:t>
            </w:r>
          </w:p>
        </w:tc>
        <w:tc>
          <w:tcPr>
            <w:tcW w:w="1066" w:type="dxa"/>
            <w:vAlign w:val="center"/>
          </w:tcPr>
          <w:p w14:paraId="3DAFA60C">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占所在港湾红树林面积比例</w:t>
            </w:r>
          </w:p>
        </w:tc>
      </w:tr>
      <w:tr w14:paraId="2896874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restart"/>
            <w:vAlign w:val="center"/>
          </w:tcPr>
          <w:p w14:paraId="10969051">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钦州市</w:t>
            </w:r>
          </w:p>
        </w:tc>
        <w:tc>
          <w:tcPr>
            <w:tcW w:w="1285" w:type="dxa"/>
            <w:vMerge w:val="restart"/>
            <w:vAlign w:val="center"/>
          </w:tcPr>
          <w:p w14:paraId="7B2B349C">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茅尾海</w:t>
            </w:r>
          </w:p>
        </w:tc>
        <w:tc>
          <w:tcPr>
            <w:tcW w:w="1418" w:type="dxa"/>
            <w:vAlign w:val="center"/>
          </w:tcPr>
          <w:p w14:paraId="438E45EC">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桐花树群落</w:t>
            </w:r>
          </w:p>
        </w:tc>
        <w:tc>
          <w:tcPr>
            <w:tcW w:w="1000" w:type="dxa"/>
            <w:vAlign w:val="center"/>
          </w:tcPr>
          <w:p w14:paraId="441D5550">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743.70</w:t>
            </w:r>
          </w:p>
        </w:tc>
        <w:tc>
          <w:tcPr>
            <w:tcW w:w="1134" w:type="dxa"/>
            <w:vAlign w:val="center"/>
          </w:tcPr>
          <w:p w14:paraId="345EAB17">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61.08%</w:t>
            </w:r>
          </w:p>
        </w:tc>
        <w:tc>
          <w:tcPr>
            <w:tcW w:w="1276" w:type="dxa"/>
            <w:vAlign w:val="center"/>
          </w:tcPr>
          <w:p w14:paraId="2ED660B5">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桐花树群系</w:t>
            </w:r>
          </w:p>
        </w:tc>
        <w:tc>
          <w:tcPr>
            <w:tcW w:w="1000" w:type="dxa"/>
            <w:vAlign w:val="center"/>
          </w:tcPr>
          <w:p w14:paraId="7148C0F0">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886.52</w:t>
            </w:r>
          </w:p>
        </w:tc>
        <w:tc>
          <w:tcPr>
            <w:tcW w:w="1066" w:type="dxa"/>
            <w:vAlign w:val="center"/>
          </w:tcPr>
          <w:p w14:paraId="0F1EB871">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72.81%</w:t>
            </w:r>
          </w:p>
        </w:tc>
      </w:tr>
      <w:tr w14:paraId="605B196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31D008BB">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1285" w:type="dxa"/>
            <w:vMerge w:val="continue"/>
            <w:vAlign w:val="center"/>
          </w:tcPr>
          <w:p w14:paraId="14EBBD49">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1418" w:type="dxa"/>
            <w:vAlign w:val="center"/>
          </w:tcPr>
          <w:p w14:paraId="32C95AB5">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无瓣海桑-桐花树群落</w:t>
            </w:r>
          </w:p>
        </w:tc>
        <w:tc>
          <w:tcPr>
            <w:tcW w:w="1000" w:type="dxa"/>
            <w:vAlign w:val="center"/>
          </w:tcPr>
          <w:p w14:paraId="71A9ACA4">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137.78</w:t>
            </w:r>
          </w:p>
        </w:tc>
        <w:tc>
          <w:tcPr>
            <w:tcW w:w="1134" w:type="dxa"/>
            <w:vAlign w:val="center"/>
          </w:tcPr>
          <w:p w14:paraId="1550F615">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11.31%</w:t>
            </w:r>
          </w:p>
        </w:tc>
        <w:tc>
          <w:tcPr>
            <w:tcW w:w="1276" w:type="dxa"/>
            <w:vAlign w:val="center"/>
          </w:tcPr>
          <w:p w14:paraId="5DFD49AF">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w:t>
            </w:r>
          </w:p>
        </w:tc>
        <w:tc>
          <w:tcPr>
            <w:tcW w:w="1000" w:type="dxa"/>
            <w:vAlign w:val="center"/>
          </w:tcPr>
          <w:p w14:paraId="5900B868">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w:t>
            </w:r>
          </w:p>
        </w:tc>
        <w:tc>
          <w:tcPr>
            <w:tcW w:w="1066" w:type="dxa"/>
            <w:vAlign w:val="center"/>
          </w:tcPr>
          <w:p w14:paraId="0BAF54F6">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w:t>
            </w:r>
          </w:p>
        </w:tc>
      </w:tr>
      <w:tr w14:paraId="799F7B2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21EACC41">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1285" w:type="dxa"/>
            <w:vMerge w:val="restart"/>
            <w:vAlign w:val="center"/>
          </w:tcPr>
          <w:p w14:paraId="47AA9DCC">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七十二泾</w:t>
            </w:r>
          </w:p>
        </w:tc>
        <w:tc>
          <w:tcPr>
            <w:tcW w:w="1418" w:type="dxa"/>
            <w:vAlign w:val="center"/>
          </w:tcPr>
          <w:p w14:paraId="7774802F">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白骨壤群落</w:t>
            </w:r>
          </w:p>
        </w:tc>
        <w:tc>
          <w:tcPr>
            <w:tcW w:w="1000" w:type="dxa"/>
            <w:vAlign w:val="center"/>
          </w:tcPr>
          <w:p w14:paraId="4B668C8D">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171.08</w:t>
            </w:r>
          </w:p>
        </w:tc>
        <w:tc>
          <w:tcPr>
            <w:tcW w:w="1134" w:type="dxa"/>
            <w:vAlign w:val="center"/>
          </w:tcPr>
          <w:p w14:paraId="382AD244">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60.18%</w:t>
            </w:r>
          </w:p>
        </w:tc>
        <w:tc>
          <w:tcPr>
            <w:tcW w:w="1276" w:type="dxa"/>
            <w:vAlign w:val="center"/>
          </w:tcPr>
          <w:p w14:paraId="5DD15AC2">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白骨壤群系</w:t>
            </w:r>
          </w:p>
        </w:tc>
        <w:tc>
          <w:tcPr>
            <w:tcW w:w="1000" w:type="dxa"/>
            <w:vAlign w:val="center"/>
          </w:tcPr>
          <w:p w14:paraId="4393BF6F">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228.13</w:t>
            </w:r>
          </w:p>
        </w:tc>
        <w:tc>
          <w:tcPr>
            <w:tcW w:w="1066" w:type="dxa"/>
            <w:vAlign w:val="center"/>
          </w:tcPr>
          <w:p w14:paraId="1623E1F0">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80.25%</w:t>
            </w:r>
          </w:p>
        </w:tc>
      </w:tr>
      <w:tr w14:paraId="3548965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764414CD">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1285" w:type="dxa"/>
            <w:vMerge w:val="continue"/>
            <w:vAlign w:val="center"/>
          </w:tcPr>
          <w:p w14:paraId="2CDEFF13">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1418" w:type="dxa"/>
            <w:vAlign w:val="center"/>
          </w:tcPr>
          <w:p w14:paraId="01EC4676">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白骨壤+桐花树群落</w:t>
            </w:r>
          </w:p>
        </w:tc>
        <w:tc>
          <w:tcPr>
            <w:tcW w:w="1000" w:type="dxa"/>
            <w:vAlign w:val="center"/>
          </w:tcPr>
          <w:p w14:paraId="6057C613">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57.05</w:t>
            </w:r>
          </w:p>
        </w:tc>
        <w:tc>
          <w:tcPr>
            <w:tcW w:w="1134" w:type="dxa"/>
            <w:vAlign w:val="center"/>
          </w:tcPr>
          <w:p w14:paraId="2256C35D">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20.07%</w:t>
            </w:r>
          </w:p>
        </w:tc>
        <w:tc>
          <w:tcPr>
            <w:tcW w:w="1276" w:type="dxa"/>
            <w:vAlign w:val="center"/>
          </w:tcPr>
          <w:p w14:paraId="759185F2">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w:t>
            </w:r>
          </w:p>
        </w:tc>
        <w:tc>
          <w:tcPr>
            <w:tcW w:w="1000" w:type="dxa"/>
            <w:vAlign w:val="center"/>
          </w:tcPr>
          <w:p w14:paraId="6ACC99D6">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w:t>
            </w:r>
          </w:p>
        </w:tc>
        <w:tc>
          <w:tcPr>
            <w:tcW w:w="1066" w:type="dxa"/>
            <w:vAlign w:val="center"/>
          </w:tcPr>
          <w:p w14:paraId="46368993">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w:t>
            </w:r>
          </w:p>
        </w:tc>
      </w:tr>
      <w:tr w14:paraId="4470FC2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3CBD059D">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1285" w:type="dxa"/>
            <w:vAlign w:val="center"/>
          </w:tcPr>
          <w:p w14:paraId="3A8D28BC">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金鼓江</w:t>
            </w:r>
          </w:p>
        </w:tc>
        <w:tc>
          <w:tcPr>
            <w:tcW w:w="1418" w:type="dxa"/>
            <w:vAlign w:val="center"/>
          </w:tcPr>
          <w:p w14:paraId="54607FD3">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白骨壤群落</w:t>
            </w:r>
          </w:p>
        </w:tc>
        <w:tc>
          <w:tcPr>
            <w:tcW w:w="1000" w:type="dxa"/>
            <w:vAlign w:val="center"/>
          </w:tcPr>
          <w:p w14:paraId="15149F17">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126.99</w:t>
            </w:r>
          </w:p>
        </w:tc>
        <w:tc>
          <w:tcPr>
            <w:tcW w:w="1134" w:type="dxa"/>
            <w:vAlign w:val="center"/>
          </w:tcPr>
          <w:p w14:paraId="5327FC3D">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92.42%</w:t>
            </w:r>
          </w:p>
        </w:tc>
        <w:tc>
          <w:tcPr>
            <w:tcW w:w="1276" w:type="dxa"/>
            <w:vAlign w:val="center"/>
          </w:tcPr>
          <w:p w14:paraId="4004838E">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白骨壤群系</w:t>
            </w:r>
          </w:p>
        </w:tc>
        <w:tc>
          <w:tcPr>
            <w:tcW w:w="1000" w:type="dxa"/>
            <w:vAlign w:val="center"/>
          </w:tcPr>
          <w:p w14:paraId="0837BECC">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129.31</w:t>
            </w:r>
          </w:p>
        </w:tc>
        <w:tc>
          <w:tcPr>
            <w:tcW w:w="1066" w:type="dxa"/>
            <w:vAlign w:val="center"/>
          </w:tcPr>
          <w:p w14:paraId="5D9F5446">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94.11%</w:t>
            </w:r>
          </w:p>
        </w:tc>
      </w:tr>
      <w:tr w14:paraId="2516FC3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3D869EF7">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1285" w:type="dxa"/>
            <w:vAlign w:val="center"/>
          </w:tcPr>
          <w:p w14:paraId="708D3D0C">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钦州湾</w:t>
            </w:r>
          </w:p>
        </w:tc>
        <w:tc>
          <w:tcPr>
            <w:tcW w:w="1418" w:type="dxa"/>
            <w:vAlign w:val="center"/>
          </w:tcPr>
          <w:p w14:paraId="756BF4F6">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白骨壤群落</w:t>
            </w:r>
          </w:p>
        </w:tc>
        <w:tc>
          <w:tcPr>
            <w:tcW w:w="1000" w:type="dxa"/>
            <w:vAlign w:val="center"/>
          </w:tcPr>
          <w:p w14:paraId="49A16818">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205.02</w:t>
            </w:r>
          </w:p>
        </w:tc>
        <w:tc>
          <w:tcPr>
            <w:tcW w:w="1134" w:type="dxa"/>
            <w:vAlign w:val="center"/>
          </w:tcPr>
          <w:p w14:paraId="50233BC2">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91.41%</w:t>
            </w:r>
          </w:p>
        </w:tc>
        <w:tc>
          <w:tcPr>
            <w:tcW w:w="1276" w:type="dxa"/>
            <w:vAlign w:val="center"/>
          </w:tcPr>
          <w:p w14:paraId="72B84F8D">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白骨壤群系</w:t>
            </w:r>
          </w:p>
        </w:tc>
        <w:tc>
          <w:tcPr>
            <w:tcW w:w="1000" w:type="dxa"/>
            <w:vAlign w:val="center"/>
          </w:tcPr>
          <w:p w14:paraId="23D0B867">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224.28</w:t>
            </w:r>
          </w:p>
        </w:tc>
        <w:tc>
          <w:tcPr>
            <w:tcW w:w="1066" w:type="dxa"/>
            <w:vAlign w:val="center"/>
          </w:tcPr>
          <w:p w14:paraId="193F1BB7">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100%</w:t>
            </w:r>
          </w:p>
        </w:tc>
      </w:tr>
      <w:tr w14:paraId="329E3AA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7DD6C7C8">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1285" w:type="dxa"/>
            <w:vMerge w:val="restart"/>
            <w:vAlign w:val="center"/>
          </w:tcPr>
          <w:p w14:paraId="33BB42E3">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大风江</w:t>
            </w:r>
          </w:p>
        </w:tc>
        <w:tc>
          <w:tcPr>
            <w:tcW w:w="1418" w:type="dxa"/>
            <w:vAlign w:val="center"/>
          </w:tcPr>
          <w:p w14:paraId="3201C26D">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桐花树群落</w:t>
            </w:r>
          </w:p>
        </w:tc>
        <w:tc>
          <w:tcPr>
            <w:tcW w:w="1000" w:type="dxa"/>
            <w:vAlign w:val="center"/>
          </w:tcPr>
          <w:p w14:paraId="088C9FC6">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326.89</w:t>
            </w:r>
          </w:p>
        </w:tc>
        <w:tc>
          <w:tcPr>
            <w:tcW w:w="1134" w:type="dxa"/>
            <w:vAlign w:val="center"/>
          </w:tcPr>
          <w:p w14:paraId="15DA300C">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50.64%</w:t>
            </w:r>
          </w:p>
        </w:tc>
        <w:tc>
          <w:tcPr>
            <w:tcW w:w="1276" w:type="dxa"/>
            <w:vAlign w:val="center"/>
          </w:tcPr>
          <w:p w14:paraId="6E71E9EA">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桐花树群系</w:t>
            </w:r>
          </w:p>
        </w:tc>
        <w:tc>
          <w:tcPr>
            <w:tcW w:w="1000" w:type="dxa"/>
            <w:vAlign w:val="center"/>
          </w:tcPr>
          <w:p w14:paraId="2327A0A2">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326.89</w:t>
            </w:r>
          </w:p>
        </w:tc>
        <w:tc>
          <w:tcPr>
            <w:tcW w:w="1066" w:type="dxa"/>
            <w:vAlign w:val="center"/>
          </w:tcPr>
          <w:p w14:paraId="424A2C9C">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50.64%</w:t>
            </w:r>
          </w:p>
        </w:tc>
      </w:tr>
      <w:tr w14:paraId="6ED6A8C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7B3C2A25">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1285" w:type="dxa"/>
            <w:vMerge w:val="continue"/>
            <w:vAlign w:val="center"/>
          </w:tcPr>
          <w:p w14:paraId="4E29D0B7">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1418" w:type="dxa"/>
            <w:vAlign w:val="center"/>
          </w:tcPr>
          <w:p w14:paraId="3538DF50">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白骨壤群落</w:t>
            </w:r>
          </w:p>
        </w:tc>
        <w:tc>
          <w:tcPr>
            <w:tcW w:w="1000" w:type="dxa"/>
            <w:vAlign w:val="center"/>
          </w:tcPr>
          <w:p w14:paraId="61DBC9F1">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318.65</w:t>
            </w:r>
          </w:p>
        </w:tc>
        <w:tc>
          <w:tcPr>
            <w:tcW w:w="1134" w:type="dxa"/>
            <w:vAlign w:val="center"/>
          </w:tcPr>
          <w:p w14:paraId="47DF0023">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49.36%</w:t>
            </w:r>
          </w:p>
        </w:tc>
        <w:tc>
          <w:tcPr>
            <w:tcW w:w="1276" w:type="dxa"/>
            <w:vAlign w:val="center"/>
          </w:tcPr>
          <w:p w14:paraId="51151388">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白骨壤群系</w:t>
            </w:r>
          </w:p>
        </w:tc>
        <w:tc>
          <w:tcPr>
            <w:tcW w:w="1000" w:type="dxa"/>
            <w:vAlign w:val="center"/>
          </w:tcPr>
          <w:p w14:paraId="309B39ED">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318.65</w:t>
            </w:r>
          </w:p>
        </w:tc>
        <w:tc>
          <w:tcPr>
            <w:tcW w:w="1066" w:type="dxa"/>
            <w:vAlign w:val="center"/>
          </w:tcPr>
          <w:p w14:paraId="4E09F3B1">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49.36%</w:t>
            </w:r>
          </w:p>
        </w:tc>
      </w:tr>
    </w:tbl>
    <w:p w14:paraId="3C161EE8">
      <w:pPr>
        <w:ind w:firstLine="482"/>
        <w:rPr>
          <w:b/>
          <w:bCs/>
          <w:color w:val="auto"/>
        </w:rPr>
      </w:pPr>
      <w:r>
        <w:rPr>
          <w:b/>
          <w:bCs/>
          <w:color w:val="auto"/>
        </w:rPr>
        <w:t>3、项目与红树林斑块关系调查</w:t>
      </w:r>
    </w:p>
    <w:p w14:paraId="37AC75BC">
      <w:pPr>
        <w:ind w:firstLine="480"/>
        <w:rPr>
          <w:color w:val="auto"/>
        </w:rPr>
      </w:pPr>
      <w:r>
        <w:rPr>
          <w:color w:val="auto"/>
        </w:rPr>
        <w:t>项目选址区及周边邻近海域无红树林分布，距项目较近的红树林集中分布斑块为项目</w:t>
      </w:r>
      <w:r>
        <w:rPr>
          <w:rFonts w:hint="eastAsia"/>
          <w:color w:val="auto"/>
        </w:rPr>
        <w:t>西南</w:t>
      </w:r>
      <w:r>
        <w:rPr>
          <w:color w:val="auto"/>
        </w:rPr>
        <w:t>面约3.78km外的红树林</w:t>
      </w:r>
      <w:r>
        <w:rPr>
          <w:rFonts w:hint="eastAsia"/>
          <w:color w:val="auto"/>
        </w:rPr>
        <w:t>零星</w:t>
      </w:r>
      <w:r>
        <w:rPr>
          <w:color w:val="auto"/>
        </w:rPr>
        <w:t>分布斑块</w:t>
      </w:r>
      <w:r>
        <w:rPr>
          <w:rFonts w:hint="eastAsia"/>
          <w:color w:val="auto"/>
        </w:rPr>
        <w:t>（为防城港茅尾海西侧红树林分布区）</w:t>
      </w:r>
      <w:r>
        <w:rPr>
          <w:color w:val="auto"/>
        </w:rPr>
        <w:t>。</w:t>
      </w:r>
    </w:p>
    <w:p w14:paraId="6E2D83C3">
      <w:pPr>
        <w:spacing w:line="240" w:lineRule="auto"/>
        <w:ind w:firstLine="0" w:firstLineChars="0"/>
        <w:jc w:val="center"/>
        <w:rPr>
          <w:rFonts w:hint="default" w:eastAsia="宋体"/>
          <w:color w:val="auto"/>
          <w:lang w:val="en-US" w:eastAsia="zh-CN"/>
        </w:rPr>
      </w:pPr>
      <w:r>
        <w:rPr>
          <w:rFonts w:hint="eastAsia"/>
          <w:color w:val="auto"/>
          <w:lang w:val="en-US" w:eastAsia="zh-CN"/>
        </w:rPr>
        <w:t>****</w:t>
      </w:r>
    </w:p>
    <w:p w14:paraId="6324C134">
      <w:pPr>
        <w:pStyle w:val="14"/>
        <w:rPr>
          <w:color w:val="auto"/>
        </w:rPr>
      </w:pPr>
      <w:r>
        <w:rPr>
          <w:rFonts w:hint="eastAsia"/>
          <w:color w:val="auto"/>
        </w:rPr>
        <w:t>图</w:t>
      </w:r>
      <w:r>
        <w:rPr>
          <w:color w:val="auto"/>
        </w:rPr>
        <w:t>3.2</w:t>
      </w:r>
      <w:r>
        <w:rPr>
          <w:color w:val="auto"/>
        </w:rPr>
        <w:noBreakHyphen/>
      </w:r>
      <w:r>
        <w:rPr>
          <w:color w:val="auto"/>
        </w:rPr>
        <w:t>1项目周边红树林斑块分布示意图</w:t>
      </w:r>
    </w:p>
    <w:p w14:paraId="1414E15A">
      <w:pPr>
        <w:pStyle w:val="4"/>
        <w:rPr>
          <w:color w:val="auto"/>
        </w:rPr>
      </w:pPr>
      <w:r>
        <w:rPr>
          <w:rFonts w:hint="eastAsia"/>
          <w:color w:val="auto"/>
        </w:rPr>
        <w:t>重要</w:t>
      </w:r>
      <w:r>
        <w:rPr>
          <w:color w:val="auto"/>
        </w:rPr>
        <w:t>湿地</w:t>
      </w:r>
    </w:p>
    <w:p w14:paraId="2FCAF2E9">
      <w:pPr>
        <w:ind w:firstLine="480"/>
        <w:rPr>
          <w:color w:val="auto"/>
        </w:rPr>
      </w:pPr>
      <w:r>
        <w:rPr>
          <w:rFonts w:hint="eastAsia"/>
          <w:color w:val="auto"/>
        </w:rPr>
        <w:t>根据《广西壮族自治区林业局关于公布第一批自治区重要湿地名录的通知》（桂林发〔2020〕20号）、《广西壮族自治区林业局关于公布第二批自治区重要湿地名录的通知》（桂林发〔2022〕13号），项目不涉及广西壮族自治区级重要湿地，项目距广西钦州茅尾海红树林自治区级重要湿地七十二泾片最近距离约</w:t>
      </w:r>
      <w:r>
        <w:rPr>
          <w:color w:val="auto"/>
        </w:rPr>
        <w:t>3.98</w:t>
      </w:r>
      <w:r>
        <w:rPr>
          <w:rFonts w:hint="eastAsia"/>
          <w:color w:val="auto"/>
        </w:rPr>
        <w:t>km、距广西防城港山心沙岛自治区级重要湿地约</w:t>
      </w:r>
      <w:r>
        <w:rPr>
          <w:color w:val="auto"/>
        </w:rPr>
        <w:t>13.2</w:t>
      </w:r>
      <w:r>
        <w:rPr>
          <w:rFonts w:hint="eastAsia"/>
          <w:color w:val="auto"/>
        </w:rPr>
        <w:t>km。</w:t>
      </w:r>
    </w:p>
    <w:p w14:paraId="17D59CBA">
      <w:pPr>
        <w:ind w:firstLine="480"/>
        <w:rPr>
          <w:color w:val="auto"/>
        </w:rPr>
      </w:pPr>
      <w:r>
        <w:rPr>
          <w:rFonts w:hint="eastAsia"/>
          <w:color w:val="auto"/>
        </w:rPr>
        <w:t>①广西钦州茅尾海红树林自治区级重要湿地</w:t>
      </w:r>
    </w:p>
    <w:p w14:paraId="78EA5B5E">
      <w:pPr>
        <w:ind w:firstLine="480"/>
        <w:rPr>
          <w:color w:val="auto"/>
        </w:rPr>
      </w:pPr>
      <w:r>
        <w:rPr>
          <w:rFonts w:hint="eastAsia"/>
          <w:color w:val="auto"/>
        </w:rPr>
        <w:t>广西钦州茅尾海红树林自治区级重要湿地位于项目西北侧，湿地总面积约4908.63hm</w:t>
      </w:r>
      <w:r>
        <w:rPr>
          <w:rFonts w:hint="eastAsia"/>
          <w:color w:val="auto"/>
          <w:vertAlign w:val="superscript"/>
        </w:rPr>
        <w:t>2</w:t>
      </w:r>
      <w:r>
        <w:rPr>
          <w:rFonts w:hint="eastAsia"/>
          <w:color w:val="auto"/>
        </w:rPr>
        <w:t>，湿地类型为近海与海岸湿地。项目不涉及占用重要湿地，项目与七十二泾片最近距离约</w:t>
      </w:r>
      <w:r>
        <w:rPr>
          <w:color w:val="auto"/>
        </w:rPr>
        <w:t>3.98</w:t>
      </w:r>
      <w:r>
        <w:rPr>
          <w:rFonts w:hint="eastAsia"/>
          <w:color w:val="auto"/>
        </w:rPr>
        <w:t>km。</w:t>
      </w:r>
    </w:p>
    <w:p w14:paraId="51C01025">
      <w:pPr>
        <w:ind w:firstLine="480"/>
        <w:rPr>
          <w:color w:val="auto"/>
        </w:rPr>
      </w:pPr>
      <w:r>
        <w:rPr>
          <w:rFonts w:hint="eastAsia"/>
          <w:color w:val="auto"/>
        </w:rPr>
        <w:t>②广西防城港山心沙岛自治区重要湿地</w:t>
      </w:r>
    </w:p>
    <w:p w14:paraId="503843F7">
      <w:pPr>
        <w:ind w:firstLine="480"/>
        <w:rPr>
          <w:color w:val="auto"/>
        </w:rPr>
      </w:pPr>
      <w:r>
        <w:rPr>
          <w:rFonts w:hint="eastAsia"/>
          <w:color w:val="auto"/>
        </w:rPr>
        <w:t>广西防城港山心沙岛自治区重要湿地位于项目西南侧，距项目约</w:t>
      </w:r>
      <w:r>
        <w:rPr>
          <w:color w:val="auto"/>
        </w:rPr>
        <w:t>13.2</w:t>
      </w:r>
      <w:r>
        <w:rPr>
          <w:rFonts w:hint="eastAsia"/>
          <w:color w:val="auto"/>
        </w:rPr>
        <w:t>km，湿地总面积约584.66hm</w:t>
      </w:r>
      <w:r>
        <w:rPr>
          <w:rFonts w:hint="eastAsia"/>
          <w:color w:val="auto"/>
          <w:vertAlign w:val="superscript"/>
        </w:rPr>
        <w:t>2</w:t>
      </w:r>
      <w:r>
        <w:rPr>
          <w:rFonts w:hint="eastAsia"/>
          <w:color w:val="auto"/>
        </w:rPr>
        <w:t>，湿地类型为近海与海岸湿地。</w:t>
      </w:r>
    </w:p>
    <w:p w14:paraId="1994437C">
      <w:pPr>
        <w:spacing w:line="240" w:lineRule="auto"/>
        <w:ind w:firstLine="0" w:firstLineChars="0"/>
        <w:jc w:val="center"/>
        <w:rPr>
          <w:rFonts w:hint="default" w:eastAsia="宋体"/>
          <w:color w:val="auto"/>
          <w:lang w:val="en-US" w:eastAsia="zh-CN"/>
        </w:rPr>
      </w:pPr>
      <w:r>
        <w:rPr>
          <w:rFonts w:hint="eastAsia"/>
          <w:color w:val="auto"/>
          <w:lang w:val="en-US" w:eastAsia="zh-CN"/>
        </w:rPr>
        <w:t>*****</w:t>
      </w:r>
    </w:p>
    <w:p w14:paraId="67ED9CF9">
      <w:pPr>
        <w:pStyle w:val="14"/>
        <w:rPr>
          <w:rFonts w:hint="eastAsia"/>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rFonts w:hint="eastAsia"/>
          <w:color w:val="auto"/>
        </w:rPr>
        <w:t>项目与广西钦州茅尾海红树林自治区级重要湿地位置关系图</w:t>
      </w:r>
    </w:p>
    <w:p w14:paraId="5FF6D877">
      <w:pPr>
        <w:jc w:val="center"/>
        <w:rPr>
          <w:rFonts w:hint="default" w:eastAsia="宋体"/>
          <w:color w:val="auto"/>
          <w:lang w:val="en-US" w:eastAsia="zh-CN"/>
        </w:rPr>
      </w:pPr>
      <w:r>
        <w:rPr>
          <w:rFonts w:hint="eastAsia"/>
          <w:color w:val="auto"/>
          <w:lang w:val="en-US" w:eastAsia="zh-CN"/>
        </w:rPr>
        <w:t>***</w:t>
      </w:r>
    </w:p>
    <w:p w14:paraId="5BCCAACD">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2</w:t>
      </w:r>
      <w:r>
        <w:rPr>
          <w:color w:val="auto"/>
        </w:rPr>
        <w:fldChar w:fldCharType="end"/>
      </w:r>
      <w:r>
        <w:rPr>
          <w:rFonts w:hint="eastAsia"/>
          <w:color w:val="auto"/>
        </w:rPr>
        <w:t>项目与广西防城港山心沙岛自治区重要湿地位置关系图</w:t>
      </w:r>
    </w:p>
    <w:p w14:paraId="71C15F06">
      <w:pPr>
        <w:ind w:firstLine="480"/>
        <w:rPr>
          <w:color w:val="auto"/>
        </w:rPr>
      </w:pPr>
    </w:p>
    <w:p w14:paraId="614B2650">
      <w:pPr>
        <w:pStyle w:val="4"/>
        <w:rPr>
          <w:color w:val="auto"/>
        </w:rPr>
      </w:pPr>
      <w:r>
        <w:rPr>
          <w:rFonts w:hint="eastAsia"/>
          <w:color w:val="auto"/>
        </w:rPr>
        <w:t>北部湾二长棘鲷长毛对虾国家级种质资源保护区</w:t>
      </w:r>
    </w:p>
    <w:p w14:paraId="09A6B8A3">
      <w:pPr>
        <w:ind w:firstLine="480"/>
        <w:rPr>
          <w:color w:val="auto"/>
        </w:rPr>
      </w:pPr>
      <w:r>
        <w:rPr>
          <w:color w:val="auto"/>
        </w:rPr>
        <w:t>北部湾二长棘鲷长毛对虾国家级种质资源保护区位于本项目</w:t>
      </w:r>
      <w:r>
        <w:rPr>
          <w:rFonts w:hint="eastAsia"/>
          <w:color w:val="auto"/>
        </w:rPr>
        <w:t>南</w:t>
      </w:r>
      <w:r>
        <w:rPr>
          <w:color w:val="auto"/>
        </w:rPr>
        <w:t>面，距项目约20.6km。</w:t>
      </w:r>
    </w:p>
    <w:p w14:paraId="5C06056D">
      <w:pPr>
        <w:ind w:firstLine="480"/>
        <w:rPr>
          <w:color w:val="auto"/>
        </w:rPr>
      </w:pPr>
      <w:r>
        <w:rPr>
          <w:color w:val="auto"/>
        </w:rPr>
        <w:t>北部湾二长棘鲷长毛对虾国家级水产种质资源保护区是2009年</w:t>
      </w:r>
      <w:r>
        <w:rPr>
          <w:rFonts w:hint="eastAsia"/>
          <w:color w:val="auto"/>
          <w:lang w:eastAsia="zh-CN"/>
        </w:rPr>
        <w:t>农业农村部</w:t>
      </w:r>
      <w:r>
        <w:rPr>
          <w:color w:val="auto"/>
        </w:rPr>
        <w:t>批准的水产种质资源保护区。位于北部湾东北部沿岸区域，由北纬21°31′线、五个拐点连线及广西壮族自治区防城港市、北海市海岸线组成，拐点坐标分别为（108°04′E，21°31′N；108°30′E，21°00′N；109°00′E，20°30′N；109°30′E，20°30′N；109°30′E，21°29′N）。核心区由五个拐点连线组成，拐点坐标分别为（108°15′E，21°15′N；108°30′E，21°00′N；109°00′E，20°30′N；109°30′E，20°30N′；109°30′E，21°15′N）；实验区由北纬21°31′线、四个拐点连线及广西壮族自治区防城港市、北海市海岸线组成，拐点坐标分别为（108°04′E，21°31N′；108°15′E，21°15′N；109°30′E，21°15′N；109°30′E，21°29′N）。保护区总面积1142158.03hm</w:t>
      </w:r>
      <w:r>
        <w:rPr>
          <w:color w:val="auto"/>
          <w:vertAlign w:val="superscript"/>
        </w:rPr>
        <w:t>2</w:t>
      </w:r>
      <w:r>
        <w:rPr>
          <w:color w:val="auto"/>
        </w:rPr>
        <w:t>，其中核心区面积808771.36hm</w:t>
      </w:r>
      <w:r>
        <w:rPr>
          <w:color w:val="auto"/>
          <w:vertAlign w:val="superscript"/>
        </w:rPr>
        <w:t>2</w:t>
      </w:r>
      <w:r>
        <w:rPr>
          <w:color w:val="auto"/>
        </w:rPr>
        <w:t>，实验区面积333386.67hm</w:t>
      </w:r>
      <w:r>
        <w:rPr>
          <w:color w:val="auto"/>
          <w:vertAlign w:val="superscript"/>
        </w:rPr>
        <w:t>2</w:t>
      </w:r>
      <w:r>
        <w:rPr>
          <w:color w:val="auto"/>
        </w:rPr>
        <w:t>。核心区特别保护期为每年1月15日至3月1日。</w:t>
      </w:r>
    </w:p>
    <w:p w14:paraId="6E0B19FC">
      <w:pPr>
        <w:ind w:firstLine="480"/>
        <w:rPr>
          <w:color w:val="auto"/>
        </w:rPr>
      </w:pPr>
      <w:r>
        <w:rPr>
          <w:color w:val="auto"/>
        </w:rPr>
        <w:t>根据</w:t>
      </w:r>
      <w:r>
        <w:rPr>
          <w:rFonts w:hint="eastAsia"/>
          <w:color w:val="auto"/>
          <w:lang w:eastAsia="zh-CN"/>
        </w:rPr>
        <w:t>农业农村部</w:t>
      </w:r>
      <w:r>
        <w:rPr>
          <w:color w:val="auto"/>
        </w:rPr>
        <w:t>第1130号公告，北部湾二长棘鲷长毛对虾国家级水产种质资源保护区主要保护对象为二长棘鲷和长毛对虾。保护区内栖息的其他物种包括金线鱼、蓝圆鲹、黄带鲱鲤、长尾大眼鲷、蛇鲻类、日本金线鱼、墨吉对虾、长足鹰爪虾、中华管鞭虾、锈斑蟳、逍遥馒头蟹、日本蟳、马氏珠母贝、方格星虫等。</w:t>
      </w:r>
    </w:p>
    <w:p w14:paraId="3AF0CE43">
      <w:pPr>
        <w:ind w:firstLine="480"/>
        <w:rPr>
          <w:color w:val="auto"/>
        </w:rPr>
      </w:pPr>
      <w:r>
        <w:rPr>
          <w:color w:val="auto"/>
        </w:rPr>
        <w:t>根据</w:t>
      </w:r>
      <w:r>
        <w:rPr>
          <w:rFonts w:hint="eastAsia"/>
          <w:color w:val="auto"/>
          <w:lang w:eastAsia="zh-CN"/>
        </w:rPr>
        <w:t>农业农村部</w:t>
      </w:r>
      <w:r>
        <w:rPr>
          <w:color w:val="auto"/>
        </w:rPr>
        <w:t>南海区渔政局资源环保处提供的资料，保护区内二长棘鲷平均资源密度为92.81kg/km</w:t>
      </w:r>
      <w:r>
        <w:rPr>
          <w:color w:val="auto"/>
          <w:vertAlign w:val="superscript"/>
        </w:rPr>
        <w:t>2</w:t>
      </w:r>
      <w:r>
        <w:rPr>
          <w:color w:val="auto"/>
        </w:rPr>
        <w:t>，可捕量为1060吨。二长棘鲷个体体长范围54mm~206mm，平均110mm，呈单峰型分布，91mm~105mm群体45.62%，占绝对优势；个体体重平均为41g，变化范围是16g~272g，也呈单峰型分布，优势组为31g~50g，占53.03％。保护区内长毛对虾个体体长范围45mm~183mm，平均119.8mm，101mm~119mm群体52.37％，占绝对优势；个体体重平均为31.2g，变化范围是1.8~60g，优势组为27.6g~33.0g；产卵期为4~6月。</w:t>
      </w:r>
    </w:p>
    <w:p w14:paraId="4325A19A">
      <w:pPr>
        <w:spacing w:line="240" w:lineRule="auto"/>
        <w:ind w:firstLine="0" w:firstLineChars="0"/>
        <w:jc w:val="center"/>
        <w:rPr>
          <w:color w:val="auto"/>
        </w:rPr>
      </w:pPr>
      <w:r>
        <w:rPr>
          <w:color w:val="auto"/>
        </w:rPr>
        <mc:AlternateContent>
          <mc:Choice Requires="wps">
            <w:drawing>
              <wp:anchor distT="0" distB="0" distL="114300" distR="114300" simplePos="0" relativeHeight="251695104" behindDoc="0" locked="0" layoutInCell="1" allowOverlap="1">
                <wp:simplePos x="0" y="0"/>
                <wp:positionH relativeFrom="column">
                  <wp:posOffset>2237740</wp:posOffset>
                </wp:positionH>
                <wp:positionV relativeFrom="paragraph">
                  <wp:posOffset>497840</wp:posOffset>
                </wp:positionV>
                <wp:extent cx="951230" cy="325120"/>
                <wp:effectExtent l="0" t="133350" r="20955" b="17780"/>
                <wp:wrapNone/>
                <wp:docPr id="2719" name="圆角矩形标注 2719"/>
                <wp:cNvGraphicFramePr/>
                <a:graphic xmlns:a="http://schemas.openxmlformats.org/drawingml/2006/main">
                  <a:graphicData uri="http://schemas.microsoft.com/office/word/2010/wordprocessingShape">
                    <wps:wsp>
                      <wps:cNvSpPr/>
                      <wps:spPr>
                        <a:xfrm>
                          <a:off x="0" y="0"/>
                          <a:ext cx="950976" cy="325120"/>
                        </a:xfrm>
                        <a:prstGeom prst="wedgeRoundRectCallout">
                          <a:avLst>
                            <a:gd name="adj1" fmla="val -35087"/>
                            <a:gd name="adj2" fmla="val -87695"/>
                            <a:gd name="adj3" fmla="val 16667"/>
                          </a:avLst>
                        </a:prstGeom>
                        <a:solidFill>
                          <a:srgbClr val="C7EDCC"/>
                        </a:solidFill>
                        <a:ln w="12700" cap="flat" cmpd="sng" algn="ctr">
                          <a:gradFill>
                            <a:gsLst>
                              <a:gs pos="50410">
                                <a:srgbClr val="1F1F1F"/>
                              </a:gs>
                              <a:gs pos="0">
                                <a:srgbClr val="020202"/>
                              </a:gs>
                              <a:gs pos="100000">
                                <a:srgbClr val="424242"/>
                              </a:gs>
                            </a:gsLst>
                            <a:lin ang="5400000" scaled="0"/>
                          </a:gradFill>
                          <a:prstDash val="solid"/>
                          <a:miter lim="800000"/>
                        </a:ln>
                      </wps:spPr>
                      <wps:txbx>
                        <w:txbxContent>
                          <w:p w14:paraId="632F2555">
                            <w:pPr>
                              <w:ind w:firstLine="0" w:firstLineChars="0"/>
                              <w:jc w:val="center"/>
                              <w:rPr>
                                <w:b/>
                                <w:bCs/>
                                <w:color w:val="000000"/>
                              </w:rPr>
                            </w:pPr>
                            <w:r>
                              <w:rPr>
                                <w:rFonts w:hint="eastAsia"/>
                                <w:b/>
                                <w:bCs/>
                                <w:color w:val="000000"/>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76.2pt;margin-top:39.2pt;height:25.6pt;width:74.9pt;z-index:251695104;v-text-anchor:middle;mso-width-relative:page;mso-height-relative:page;" fillcolor="#C7EDCC" filled="t" stroked="t" coordsize="21600,21600" o:gfxdata="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" adj="3221,-8142,14400">
                <v:fill on="t" focussize="0,0"/>
                <v:stroke weight="1pt" color="#000000" miterlimit="8" joinstyle="miter"/>
                <v:imagedata o:title=""/>
                <o:lock v:ext="edit" aspectratio="f"/>
                <v:textbox>
                  <w:txbxContent>
                    <w:p w14:paraId="632F2555">
                      <w:pPr>
                        <w:ind w:firstLine="0" w:firstLineChars="0"/>
                        <w:jc w:val="center"/>
                        <w:rPr>
                          <w:b/>
                          <w:bCs/>
                          <w:color w:val="000000"/>
                        </w:rPr>
                      </w:pPr>
                      <w:r>
                        <w:rPr>
                          <w:rFonts w:hint="eastAsia"/>
                          <w:b/>
                          <w:bCs/>
                          <w:color w:val="000000"/>
                        </w:rPr>
                        <w:t>项目位置</w:t>
                      </w:r>
                    </w:p>
                  </w:txbxContent>
                </v:textbox>
              </v:shape>
            </w:pict>
          </mc:Fallback>
        </mc:AlternateContent>
      </w:r>
      <w:r>
        <w:rPr>
          <w:color w:val="auto"/>
        </w:rPr>
        <mc:AlternateContent>
          <mc:Choice Requires="wps">
            <w:drawing>
              <wp:anchor distT="0" distB="0" distL="114300" distR="114300" simplePos="0" relativeHeight="251694080" behindDoc="0" locked="0" layoutInCell="1" allowOverlap="1">
                <wp:simplePos x="0" y="0"/>
                <wp:positionH relativeFrom="column">
                  <wp:posOffset>2171700</wp:posOffset>
                </wp:positionH>
                <wp:positionV relativeFrom="paragraph">
                  <wp:posOffset>288925</wp:posOffset>
                </wp:positionV>
                <wp:extent cx="193040" cy="167005"/>
                <wp:effectExtent l="38100" t="38100" r="0" b="61595"/>
                <wp:wrapNone/>
                <wp:docPr id="2716" name="十字星 2716"/>
                <wp:cNvGraphicFramePr/>
                <a:graphic xmlns:a="http://schemas.openxmlformats.org/drawingml/2006/main">
                  <a:graphicData uri="http://schemas.microsoft.com/office/word/2010/wordprocessingShape">
                    <wps:wsp>
                      <wps:cNvSpPr/>
                      <wps:spPr>
                        <a:xfrm>
                          <a:off x="0" y="0"/>
                          <a:ext cx="193040" cy="167005"/>
                        </a:xfrm>
                        <a:prstGeom prst="star4">
                          <a:avLst/>
                        </a:prstGeom>
                        <a:solidFill>
                          <a:srgbClr val="FF0000"/>
                        </a:solid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71pt;margin-top:22.75pt;height:13.15pt;width:15.2pt;z-index:251694080;v-text-anchor:middle;mso-width-relative:page;mso-height-relative:page;" fillcolor="#FF0000" filled="t" stroked="t" coordsize="21600,21600" o:gfxdata="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ZNsdetkAAAAJAQAADwAAAAAAAAABACAAAAAiAAAAZHJzL2Rv&#10;d25yZXYueG1sUEsBAhQAFAAAAAgAh07iQM6dEpJyAgAA/QQAAA4AAAAAAAAAAQAgAAAAKAEAAGRy&#10;cy9lMm9Eb2MueG1sUEsFBgAAAAAGAAYAWQEAAAwGAAAAAA==&#10;" adj="8100">
                <v:fill on="t" focussize="0,0"/>
                <v:stroke weight="1pt" color="#FF0000" miterlimit="8" joinstyle="miter"/>
                <v:imagedata o:title=""/>
                <o:lock v:ext="edit" aspectratio="f"/>
              </v:shape>
            </w:pict>
          </mc:Fallback>
        </mc:AlternateContent>
      </w:r>
      <w:r>
        <w:rPr>
          <w:color w:val="auto"/>
        </w:rPr>
        <w:drawing>
          <wp:inline distT="0" distB="0" distL="0" distR="0">
            <wp:extent cx="5762625" cy="3804285"/>
            <wp:effectExtent l="0" t="0" r="9525" b="5715"/>
            <wp:docPr id="53" name="图片 53" descr="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3.7.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762625" cy="3804285"/>
                    </a:xfrm>
                    <a:prstGeom prst="rect">
                      <a:avLst/>
                    </a:prstGeom>
                    <a:noFill/>
                    <a:ln>
                      <a:noFill/>
                    </a:ln>
                    <a:effectLst/>
                  </pic:spPr>
                </pic:pic>
              </a:graphicData>
            </a:graphic>
          </wp:inline>
        </w:drawing>
      </w:r>
    </w:p>
    <w:p w14:paraId="15B572CE">
      <w:pPr>
        <w:pStyle w:val="14"/>
        <w:rPr>
          <w:b w:val="0"/>
          <w:bCs/>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3</w:t>
      </w:r>
      <w:r>
        <w:rPr>
          <w:color w:val="auto"/>
        </w:rPr>
        <w:fldChar w:fldCharType="end"/>
      </w:r>
      <w:r>
        <w:rPr>
          <w:color w:val="auto"/>
        </w:rPr>
        <w:t>北部湾二长棘鲷长毛对虾国家级种质资源保护区范围</w:t>
      </w:r>
    </w:p>
    <w:p w14:paraId="714CC304">
      <w:pPr>
        <w:pStyle w:val="4"/>
        <w:rPr>
          <w:color w:val="auto"/>
        </w:rPr>
      </w:pPr>
      <w:r>
        <w:rPr>
          <w:color w:val="auto"/>
        </w:rPr>
        <w:t>中华白海豚分布区</w:t>
      </w:r>
    </w:p>
    <w:p w14:paraId="28E25648">
      <w:pPr>
        <w:widowControl/>
        <w:ind w:firstLine="480"/>
        <w:rPr>
          <w:color w:val="auto"/>
        </w:rPr>
      </w:pPr>
      <w:r>
        <w:rPr>
          <w:rFonts w:hint="eastAsia" w:cs="宋体"/>
          <w:color w:val="auto"/>
          <w:lang w:bidi="ar"/>
        </w:rPr>
        <w:t>三娘湾位于钦州市南部犀牛脚镇境内，是国家</w:t>
      </w:r>
      <w:r>
        <w:rPr>
          <w:color w:val="auto"/>
          <w:lang w:bidi="ar"/>
        </w:rPr>
        <w:t>4A</w:t>
      </w:r>
      <w:r>
        <w:rPr>
          <w:rFonts w:hint="eastAsia" w:cs="宋体"/>
          <w:color w:val="auto"/>
          <w:lang w:bidi="ar"/>
        </w:rPr>
        <w:t>级旅游景区，是中华白海豚的故乡，</w:t>
      </w:r>
      <w:r>
        <w:rPr>
          <w:color w:val="auto"/>
          <w:lang w:bidi="ar"/>
        </w:rPr>
        <w:t>200</w:t>
      </w:r>
      <w:r>
        <w:rPr>
          <w:rFonts w:hint="eastAsia" w:cs="宋体"/>
          <w:color w:val="auto"/>
          <w:lang w:bidi="ar"/>
        </w:rPr>
        <w:t>余头野生中华白海豚</w:t>
      </w:r>
      <w:r>
        <w:rPr>
          <w:rFonts w:hint="eastAsia" w:cs="宋体"/>
          <w:color w:val="auto"/>
          <w:lang w:eastAsia="zh-CN" w:bidi="ar"/>
        </w:rPr>
        <w:t>常年</w:t>
      </w:r>
      <w:r>
        <w:rPr>
          <w:rFonts w:hint="eastAsia" w:cs="宋体"/>
          <w:color w:val="auto"/>
          <w:lang w:bidi="ar"/>
        </w:rPr>
        <w:t>栖居于此，可以看到的海豚有黑色、灰色、白色、粉红色、墨绿色、海蓝色等；海洋资源有</w:t>
      </w:r>
      <w:r>
        <w:rPr>
          <w:color w:val="auto"/>
          <w:lang w:bidi="ar"/>
        </w:rPr>
        <w:t>30</w:t>
      </w:r>
      <w:r>
        <w:rPr>
          <w:rFonts w:hint="eastAsia" w:cs="宋体"/>
          <w:color w:val="auto"/>
          <w:lang w:bidi="ar"/>
        </w:rPr>
        <w:t>多种经济鱼类和</w:t>
      </w:r>
      <w:r>
        <w:rPr>
          <w:color w:val="auto"/>
          <w:lang w:bidi="ar"/>
        </w:rPr>
        <w:t>20</w:t>
      </w:r>
      <w:r>
        <w:rPr>
          <w:rFonts w:hint="eastAsia" w:cs="宋体"/>
          <w:color w:val="auto"/>
          <w:lang w:bidi="ar"/>
        </w:rPr>
        <w:t>多种虾类。中华白海豚是当前地球上最稀有的物种之一，被我国列为国家一级重点保护动物，有“海上大熊猫”、“海上国宝”之称，被世界自然保护联盟（</w:t>
      </w:r>
      <w:r>
        <w:rPr>
          <w:color w:val="auto"/>
          <w:lang w:bidi="ar"/>
        </w:rPr>
        <w:t>IUCU</w:t>
      </w:r>
      <w:r>
        <w:rPr>
          <w:rFonts w:hint="eastAsia" w:cs="宋体"/>
          <w:color w:val="auto"/>
          <w:lang w:bidi="ar"/>
        </w:rPr>
        <w:t>）红皮书收录为“极危物种”，具有很高的科研价值和潜在的经济价值。项目东南侧的三娘湾、大风江口和廉州湾一带是中华白海豚活动区，目前尚未划定国家保护区范围。中华白海豚又名印太驼海豚，属鲸目齿鲸亚目海豚科白海豚属，是世界上</w:t>
      </w:r>
      <w:r>
        <w:rPr>
          <w:color w:val="auto"/>
          <w:lang w:bidi="ar"/>
        </w:rPr>
        <w:t>85</w:t>
      </w:r>
      <w:r>
        <w:rPr>
          <w:rFonts w:hint="eastAsia" w:cs="宋体"/>
          <w:color w:val="auto"/>
          <w:lang w:bidi="ar"/>
        </w:rPr>
        <w:t>种鲸类之一。北部湾中华白海豚是我国较大种群，广西沿岸由钦州至北海水域的种群数量约有</w:t>
      </w:r>
      <w:r>
        <w:rPr>
          <w:color w:val="auto"/>
          <w:lang w:bidi="ar"/>
        </w:rPr>
        <w:t>200~300</w:t>
      </w:r>
      <w:r>
        <w:rPr>
          <w:rFonts w:hint="eastAsia" w:cs="宋体"/>
          <w:color w:val="auto"/>
          <w:lang w:bidi="ar"/>
        </w:rPr>
        <w:t>头（</w:t>
      </w:r>
      <w:r>
        <w:rPr>
          <w:color w:val="auto"/>
          <w:lang w:bidi="ar"/>
        </w:rPr>
        <w:t>ChenB</w:t>
      </w:r>
      <w:r>
        <w:rPr>
          <w:rFonts w:hint="eastAsia" w:cs="宋体"/>
          <w:color w:val="auto"/>
          <w:lang w:bidi="ar"/>
        </w:rPr>
        <w:t>等，</w:t>
      </w:r>
      <w:r>
        <w:rPr>
          <w:color w:val="auto"/>
          <w:lang w:bidi="ar"/>
        </w:rPr>
        <w:t>2009</w:t>
      </w:r>
      <w:r>
        <w:rPr>
          <w:rFonts w:hint="eastAsia" w:cs="宋体"/>
          <w:color w:val="auto"/>
          <w:lang w:bidi="ar"/>
        </w:rPr>
        <w:t>）。为了保护广西中华白海豚，相关学者和研究机构进行了多次调查研究。本次环评收集相关文献资料，借鉴相关研究对北部湾中华白海豚的分布、生活习性以及生物学特征等进行简单介绍。</w:t>
      </w:r>
    </w:p>
    <w:p w14:paraId="0E14DC4E">
      <w:pPr>
        <w:widowControl/>
        <w:ind w:firstLine="480"/>
        <w:rPr>
          <w:color w:val="auto"/>
        </w:rPr>
      </w:pPr>
      <w:r>
        <w:rPr>
          <w:rFonts w:hint="eastAsia"/>
          <w:color w:val="auto"/>
          <w:lang w:bidi="ar"/>
        </w:rPr>
        <w:t>（1）</w:t>
      </w:r>
      <w:r>
        <w:rPr>
          <w:rFonts w:hint="eastAsia" w:cs="宋体"/>
          <w:color w:val="auto"/>
          <w:lang w:bidi="ar"/>
        </w:rPr>
        <w:t>北部湾中华白海豚分布和数量</w:t>
      </w:r>
    </w:p>
    <w:p w14:paraId="51544F23">
      <w:pPr>
        <w:widowControl/>
        <w:ind w:firstLine="480"/>
        <w:rPr>
          <w:rFonts w:hint="eastAsia" w:eastAsia="宋体"/>
          <w:color w:val="auto"/>
          <w:lang w:eastAsia="zh-CN"/>
        </w:rPr>
      </w:pPr>
      <w:r>
        <w:rPr>
          <w:rFonts w:hint="eastAsia" w:cs="宋体"/>
          <w:color w:val="auto"/>
          <w:lang w:bidi="ar"/>
        </w:rPr>
        <w:t>北部湾因其栖息环境远远优于中国东南和广东沿海地区，海水水质优良率居全国首位，海洋生物多样性高，水产品丰富等特点，成为中华白海豚的有利栖息地（张等，</w:t>
      </w:r>
      <w:r>
        <w:rPr>
          <w:color w:val="auto"/>
          <w:lang w:bidi="ar"/>
        </w:rPr>
        <w:t>2008</w:t>
      </w:r>
    </w:p>
    <w:p w14:paraId="2A6CD166">
      <w:pPr>
        <w:widowControl/>
        <w:ind w:firstLine="480"/>
        <w:rPr>
          <w:rFonts w:cs="宋体"/>
          <w:color w:val="auto"/>
          <w:lang w:bidi="ar"/>
        </w:rPr>
      </w:pPr>
      <w:r>
        <w:rPr>
          <w:rFonts w:hint="eastAsia" w:cs="宋体"/>
          <w:color w:val="auto"/>
          <w:lang w:bidi="ar"/>
        </w:rPr>
        <w:t>《中国沿海中华白海豚种群的分布区》），在北部湾作业渔轮常见中华白海豚成小群出没。</w:t>
      </w:r>
    </w:p>
    <w:p w14:paraId="2BAA0E2C">
      <w:pPr>
        <w:widowControl/>
        <w:ind w:firstLine="480"/>
        <w:rPr>
          <w:rFonts w:cs="宋体"/>
          <w:color w:val="auto"/>
          <w:lang w:bidi="ar"/>
        </w:rPr>
      </w:pPr>
      <w:r>
        <w:rPr>
          <w:rFonts w:hint="eastAsia" w:cs="宋体"/>
          <w:color w:val="auto"/>
          <w:lang w:bidi="ar"/>
        </w:rPr>
        <w:t>南京师范大学生命科学研究院针对北部湾中华白海豚，在</w:t>
      </w:r>
      <w:r>
        <w:rPr>
          <w:color w:val="auto"/>
          <w:lang w:bidi="ar"/>
        </w:rPr>
        <w:t>2000</w:t>
      </w:r>
      <w:r>
        <w:rPr>
          <w:rFonts w:hint="eastAsia" w:cs="宋体"/>
          <w:color w:val="auto"/>
          <w:lang w:bidi="ar"/>
        </w:rPr>
        <w:t>年进行了问卷调查和少数探索性船只调查，在</w:t>
      </w:r>
      <w:r>
        <w:rPr>
          <w:color w:val="auto"/>
          <w:lang w:bidi="ar"/>
        </w:rPr>
        <w:t>2003</w:t>
      </w:r>
      <w:r>
        <w:rPr>
          <w:rFonts w:hint="eastAsia" w:cs="宋体"/>
          <w:color w:val="auto"/>
          <w:lang w:bidi="ar"/>
        </w:rPr>
        <w:t>年</w:t>
      </w:r>
      <w:r>
        <w:rPr>
          <w:color w:val="auto"/>
          <w:lang w:bidi="ar"/>
        </w:rPr>
        <w:t>~2004</w:t>
      </w:r>
      <w:r>
        <w:rPr>
          <w:rFonts w:hint="eastAsia" w:cs="宋体"/>
          <w:color w:val="auto"/>
          <w:lang w:bidi="ar"/>
        </w:rPr>
        <w:t>年进行了为期一年的船只调查，在</w:t>
      </w:r>
      <w:r>
        <w:rPr>
          <w:color w:val="auto"/>
          <w:lang w:bidi="ar"/>
        </w:rPr>
        <w:t>2011</w:t>
      </w:r>
      <w:r>
        <w:rPr>
          <w:rFonts w:hint="eastAsia" w:cs="宋体"/>
          <w:color w:val="auto"/>
          <w:lang w:bidi="ar"/>
        </w:rPr>
        <w:t>年</w:t>
      </w:r>
      <w:r>
        <w:rPr>
          <w:color w:val="auto"/>
          <w:lang w:bidi="ar"/>
        </w:rPr>
        <w:t>~2015</w:t>
      </w:r>
      <w:r>
        <w:rPr>
          <w:rFonts w:hint="eastAsia" w:cs="宋体"/>
          <w:color w:val="auto"/>
          <w:lang w:bidi="ar"/>
        </w:rPr>
        <w:t>年进行连续照相识别研究。通过野外船只调查和照相识别数据，获取种群和识别个体出现位点，在种群水平和个体水平上计算家域面积。并探讨不同的社群、不同时期、不同水域（沙田、大风江</w:t>
      </w:r>
      <w:r>
        <w:rPr>
          <w:color w:val="auto"/>
          <w:lang w:bidi="ar"/>
        </w:rPr>
        <w:t>-</w:t>
      </w:r>
      <w:r>
        <w:rPr>
          <w:rFonts w:hint="eastAsia" w:cs="宋体"/>
          <w:color w:val="auto"/>
          <w:lang w:bidi="ar"/>
        </w:rPr>
        <w:t>南流江）中华白海豚家域的变化和移动规律。根据不同时期（年际、季节）的家域变化，判断海洋哺乳动物是否对特殊水域表现出较强的忠诚度。团队调查范围涵盖沙田、大风江南流江水域、大庙墩水域。历时</w:t>
      </w:r>
      <w:r>
        <w:rPr>
          <w:color w:val="auto"/>
          <w:lang w:bidi="ar"/>
        </w:rPr>
        <w:t>7</w:t>
      </w:r>
      <w:r>
        <w:rPr>
          <w:rFonts w:hint="eastAsia" w:cs="宋体"/>
          <w:color w:val="auto"/>
          <w:lang w:bidi="ar"/>
        </w:rPr>
        <w:t>年时间，进行了</w:t>
      </w:r>
      <w:r>
        <w:rPr>
          <w:color w:val="auto"/>
          <w:lang w:bidi="ar"/>
        </w:rPr>
        <w:t>204</w:t>
      </w:r>
      <w:r>
        <w:rPr>
          <w:rFonts w:hint="eastAsia" w:cs="宋体"/>
          <w:color w:val="auto"/>
          <w:lang w:bidi="ar"/>
        </w:rPr>
        <w:t>次船只调查，总计</w:t>
      </w:r>
      <w:r>
        <w:rPr>
          <w:color w:val="auto"/>
          <w:lang w:bidi="ar"/>
        </w:rPr>
        <w:t>11026.92km</w:t>
      </w:r>
      <w:r>
        <w:rPr>
          <w:rFonts w:hint="eastAsia" w:cs="宋体"/>
          <w:color w:val="auto"/>
          <w:lang w:bidi="ar"/>
        </w:rPr>
        <w:t>样线。</w:t>
      </w:r>
    </w:p>
    <w:p w14:paraId="35EE78D7">
      <w:pPr>
        <w:widowControl/>
        <w:ind w:firstLine="480"/>
        <w:rPr>
          <w:color w:val="auto"/>
        </w:rPr>
      </w:pPr>
      <w:r>
        <w:rPr>
          <w:rFonts w:hint="eastAsia" w:cs="宋体"/>
          <w:color w:val="auto"/>
          <w:lang w:bidi="ar"/>
        </w:rPr>
        <w:t>根据南京师范大学的调查成果，北部湾中华白海豚分成两个群体：大风江水域和沙田水域，两个群体很少有交流。调查结果显示，大风江</w:t>
      </w:r>
      <w:r>
        <w:rPr>
          <w:color w:val="auto"/>
          <w:lang w:bidi="ar"/>
        </w:rPr>
        <w:t>-</w:t>
      </w:r>
      <w:r>
        <w:rPr>
          <w:rFonts w:hint="eastAsia" w:cs="宋体"/>
          <w:color w:val="auto"/>
          <w:lang w:bidi="ar"/>
        </w:rPr>
        <w:t>南流江中华白海豚家域面积在不同时期有所不同，</w:t>
      </w:r>
      <w:r>
        <w:rPr>
          <w:color w:val="auto"/>
          <w:lang w:bidi="ar"/>
        </w:rPr>
        <w:t>2011</w:t>
      </w:r>
      <w:r>
        <w:rPr>
          <w:rFonts w:hint="eastAsia" w:cs="宋体"/>
          <w:color w:val="auto"/>
          <w:lang w:bidi="ar"/>
        </w:rPr>
        <w:t>年</w:t>
      </w:r>
      <w:r>
        <w:rPr>
          <w:color w:val="auto"/>
          <w:lang w:bidi="ar"/>
        </w:rPr>
        <w:t>~2012</w:t>
      </w:r>
      <w:r>
        <w:rPr>
          <w:rFonts w:hint="eastAsia" w:cs="宋体"/>
          <w:color w:val="auto"/>
          <w:lang w:bidi="ar"/>
        </w:rPr>
        <w:t>年均大于</w:t>
      </w:r>
      <w:r>
        <w:rPr>
          <w:color w:val="auto"/>
          <w:lang w:bidi="ar"/>
        </w:rPr>
        <w:t>2003</w:t>
      </w:r>
      <w:r>
        <w:rPr>
          <w:rFonts w:hint="eastAsia" w:cs="宋体"/>
          <w:color w:val="auto"/>
          <w:lang w:bidi="ar"/>
        </w:rPr>
        <w:t>年</w:t>
      </w:r>
      <w:r>
        <w:rPr>
          <w:color w:val="auto"/>
          <w:lang w:bidi="ar"/>
        </w:rPr>
        <w:t>~2004</w:t>
      </w:r>
      <w:r>
        <w:rPr>
          <w:rFonts w:hint="eastAsia" w:cs="宋体"/>
          <w:color w:val="auto"/>
          <w:lang w:bidi="ar"/>
        </w:rPr>
        <w:t>年（</w:t>
      </w:r>
      <w:r>
        <w:rPr>
          <w:color w:val="auto"/>
          <w:lang w:bidi="ar"/>
        </w:rPr>
        <w:t>Panetal.</w:t>
      </w:r>
      <w:r>
        <w:rPr>
          <w:rFonts w:hint="eastAsia" w:cs="宋体"/>
          <w:color w:val="auto"/>
          <w:lang w:bidi="ar"/>
        </w:rPr>
        <w:t>,</w:t>
      </w:r>
      <w:r>
        <w:rPr>
          <w:color w:val="auto"/>
          <w:lang w:bidi="ar"/>
        </w:rPr>
        <w:t>2006</w:t>
      </w:r>
      <w:r>
        <w:rPr>
          <w:rFonts w:hint="eastAsia" w:cs="宋体"/>
          <w:color w:val="auto"/>
          <w:lang w:bidi="ar"/>
        </w:rPr>
        <w:t>）的面积。从发现位点上来讲，</w:t>
      </w:r>
      <w:r>
        <w:rPr>
          <w:color w:val="auto"/>
          <w:lang w:bidi="ar"/>
        </w:rPr>
        <w:t>2011</w:t>
      </w:r>
      <w:r>
        <w:rPr>
          <w:rFonts w:hint="eastAsia" w:cs="宋体"/>
          <w:color w:val="auto"/>
          <w:lang w:bidi="ar"/>
        </w:rPr>
        <w:t>年</w:t>
      </w:r>
      <w:r>
        <w:rPr>
          <w:color w:val="auto"/>
          <w:lang w:bidi="ar"/>
        </w:rPr>
        <w:t>~2012</w:t>
      </w:r>
      <w:r>
        <w:rPr>
          <w:rFonts w:hint="eastAsia" w:cs="宋体"/>
          <w:color w:val="auto"/>
          <w:lang w:bidi="ar"/>
        </w:rPr>
        <w:t>年和</w:t>
      </w:r>
      <w:r>
        <w:rPr>
          <w:color w:val="auto"/>
          <w:lang w:bidi="ar"/>
        </w:rPr>
        <w:t>2003</w:t>
      </w:r>
      <w:r>
        <w:rPr>
          <w:rFonts w:hint="eastAsia" w:cs="宋体"/>
          <w:color w:val="auto"/>
          <w:lang w:bidi="ar"/>
        </w:rPr>
        <w:t>年</w:t>
      </w:r>
      <w:r>
        <w:rPr>
          <w:color w:val="auto"/>
          <w:lang w:bidi="ar"/>
        </w:rPr>
        <w:t>~2004</w:t>
      </w:r>
      <w:r>
        <w:rPr>
          <w:rFonts w:hint="eastAsia" w:cs="宋体"/>
          <w:color w:val="auto"/>
          <w:lang w:bidi="ar"/>
        </w:rPr>
        <w:t>年分布范围相似，密集分布区较近。但经过比较发现，</w:t>
      </w:r>
      <w:r>
        <w:rPr>
          <w:color w:val="auto"/>
          <w:lang w:bidi="ar"/>
        </w:rPr>
        <w:t>2011</w:t>
      </w:r>
      <w:r>
        <w:rPr>
          <w:rFonts w:hint="eastAsia" w:cs="宋体"/>
          <w:color w:val="auto"/>
          <w:lang w:bidi="ar"/>
        </w:rPr>
        <w:t>年</w:t>
      </w:r>
      <w:r>
        <w:rPr>
          <w:color w:val="auto"/>
          <w:lang w:bidi="ar"/>
        </w:rPr>
        <w:t>~2012</w:t>
      </w:r>
      <w:r>
        <w:rPr>
          <w:rFonts w:hint="eastAsia" w:cs="宋体"/>
          <w:color w:val="auto"/>
          <w:lang w:bidi="ar"/>
        </w:rPr>
        <w:t>年中华白海豚活动范围更加靠近岸边。研究团队于</w:t>
      </w:r>
      <w:r>
        <w:rPr>
          <w:color w:val="auto"/>
          <w:lang w:bidi="ar"/>
        </w:rPr>
        <w:t>2011</w:t>
      </w:r>
      <w:r>
        <w:rPr>
          <w:rFonts w:hint="eastAsia" w:cs="宋体"/>
          <w:color w:val="auto"/>
          <w:lang w:bidi="ar"/>
        </w:rPr>
        <w:t>年</w:t>
      </w:r>
      <w:r>
        <w:rPr>
          <w:color w:val="auto"/>
          <w:lang w:bidi="ar"/>
        </w:rPr>
        <w:t>~2016</w:t>
      </w:r>
      <w:r>
        <w:rPr>
          <w:rFonts w:hint="eastAsia" w:cs="宋体"/>
          <w:color w:val="auto"/>
          <w:lang w:bidi="ar"/>
        </w:rPr>
        <w:t>年对大风江及沙田水域进行了连续调查，应用特征重捕法估算了北部湾水域的中华白海豚总数量为</w:t>
      </w:r>
      <w:r>
        <w:rPr>
          <w:color w:val="auto"/>
          <w:lang w:bidi="ar"/>
        </w:rPr>
        <w:t>398~444</w:t>
      </w:r>
      <w:r>
        <w:rPr>
          <w:rFonts w:hint="eastAsia" w:cs="宋体"/>
          <w:color w:val="auto"/>
          <w:lang w:bidi="ar"/>
        </w:rPr>
        <w:t>头，其中大风江南流江（包括三娘湾水域）共计</w:t>
      </w:r>
      <w:r>
        <w:rPr>
          <w:color w:val="auto"/>
          <w:lang w:bidi="ar"/>
        </w:rPr>
        <w:t>248~262</w:t>
      </w:r>
      <w:r>
        <w:rPr>
          <w:rFonts w:hint="eastAsia" w:cs="宋体"/>
          <w:color w:val="auto"/>
          <w:lang w:bidi="ar"/>
        </w:rPr>
        <w:t>头，沙田水域约</w:t>
      </w:r>
      <w:r>
        <w:rPr>
          <w:color w:val="auto"/>
          <w:lang w:bidi="ar"/>
        </w:rPr>
        <w:t>150~182</w:t>
      </w:r>
      <w:r>
        <w:rPr>
          <w:rFonts w:hint="eastAsia" w:cs="宋体"/>
          <w:color w:val="auto"/>
          <w:lang w:bidi="ar"/>
        </w:rPr>
        <w:t>头。中华白海豚社群以青年和成体为主。</w:t>
      </w:r>
    </w:p>
    <w:p w14:paraId="189E9531">
      <w:pPr>
        <w:widowControl/>
        <w:ind w:firstLine="480"/>
        <w:rPr>
          <w:rFonts w:cs="宋体"/>
          <w:color w:val="auto"/>
          <w:lang w:bidi="ar"/>
        </w:rPr>
      </w:pPr>
      <w:r>
        <w:rPr>
          <w:rFonts w:hint="eastAsia" w:cs="宋体"/>
          <w:color w:val="auto"/>
          <w:lang w:bidi="ar"/>
        </w:rPr>
        <w:t>结合安徽师范大学的调查成果，北部湾中华白海豚多在中午前后觅食，其中沙田水域部分白海豚觅食区主要在儒艮保护区及邻近水域的螺桩稀疏区。</w:t>
      </w:r>
    </w:p>
    <w:p w14:paraId="16CE3E69">
      <w:pPr>
        <w:widowControl/>
        <w:ind w:firstLine="480"/>
        <w:rPr>
          <w:color w:val="auto"/>
        </w:rPr>
      </w:pPr>
      <w:r>
        <w:rPr>
          <w:rFonts w:hint="eastAsia" w:cs="宋体"/>
          <w:color w:val="auto"/>
          <w:lang w:bidi="ar"/>
        </w:rPr>
        <w:t>著名动物学家潘文石教授于</w:t>
      </w:r>
      <w:r>
        <w:rPr>
          <w:color w:val="auto"/>
          <w:lang w:bidi="ar"/>
        </w:rPr>
        <w:t>2005</w:t>
      </w:r>
      <w:r>
        <w:rPr>
          <w:rFonts w:hint="eastAsia" w:cs="宋体"/>
          <w:color w:val="auto"/>
          <w:lang w:bidi="ar"/>
        </w:rPr>
        <w:t>年</w:t>
      </w:r>
      <w:r>
        <w:rPr>
          <w:color w:val="auto"/>
          <w:lang w:bidi="ar"/>
        </w:rPr>
        <w:t>1</w:t>
      </w:r>
      <w:r>
        <w:rPr>
          <w:rFonts w:hint="eastAsia" w:cs="宋体"/>
          <w:color w:val="auto"/>
          <w:lang w:bidi="ar"/>
        </w:rPr>
        <w:t>月在广西钦州三娘湾成立了北京大学钦州湾中华白海豚保护研究基地，根据该基地最新统计结果，钦州湾中华白海豚种群的个体数量已由</w:t>
      </w:r>
      <w:r>
        <w:rPr>
          <w:color w:val="auto"/>
          <w:lang w:bidi="ar"/>
        </w:rPr>
        <w:t>2004</w:t>
      </w:r>
      <w:r>
        <w:rPr>
          <w:rFonts w:hint="eastAsia" w:cs="宋体"/>
          <w:color w:val="auto"/>
          <w:lang w:bidi="ar"/>
        </w:rPr>
        <w:t>年的</w:t>
      </w:r>
      <w:r>
        <w:rPr>
          <w:color w:val="auto"/>
          <w:lang w:bidi="ar"/>
        </w:rPr>
        <w:t>90</w:t>
      </w:r>
      <w:r>
        <w:rPr>
          <w:rFonts w:hint="eastAsia" w:cs="宋体"/>
          <w:color w:val="auto"/>
          <w:lang w:bidi="ar"/>
        </w:rPr>
        <w:t>多头增至目前的</w:t>
      </w:r>
      <w:r>
        <w:rPr>
          <w:color w:val="auto"/>
          <w:lang w:bidi="ar"/>
        </w:rPr>
        <w:t>250</w:t>
      </w:r>
      <w:r>
        <w:rPr>
          <w:rFonts w:hint="eastAsia" w:cs="宋体"/>
          <w:color w:val="auto"/>
          <w:lang w:bidi="ar"/>
        </w:rPr>
        <w:t>头左右，这与南京师范大学的调查成果总体一致。经研究发现，受临港工业、滩涂养殖业发展影响，以及非法电鱼、抽砂等活动对白海豚栖息地的扰动，</w:t>
      </w:r>
      <w:r>
        <w:rPr>
          <w:color w:val="auto"/>
          <w:lang w:bidi="ar"/>
        </w:rPr>
        <w:t>2014</w:t>
      </w:r>
      <w:r>
        <w:rPr>
          <w:rFonts w:hint="eastAsia" w:cs="宋体"/>
          <w:color w:val="auto"/>
          <w:lang w:bidi="ar"/>
        </w:rPr>
        <w:t>年</w:t>
      </w:r>
      <w:r>
        <w:rPr>
          <w:color w:val="auto"/>
          <w:lang w:bidi="ar"/>
        </w:rPr>
        <w:t>~2016</w:t>
      </w:r>
      <w:r>
        <w:rPr>
          <w:rFonts w:hint="eastAsia" w:cs="宋体"/>
          <w:color w:val="auto"/>
          <w:lang w:bidi="ar"/>
        </w:rPr>
        <w:t>年观测到北部湾中华白海豚分布区整体向东移动，目前北部湾中华白海豚仍是一个年轻的、健康的群体，种群结构稳定，主要由繁殖能力旺盛的年轻、健康的个体组成，且呈缓慢稳定的增长态势。</w:t>
      </w:r>
    </w:p>
    <w:p w14:paraId="013D122C">
      <w:pPr>
        <w:widowControl/>
        <w:ind w:firstLine="480"/>
        <w:jc w:val="left"/>
        <w:rPr>
          <w:color w:val="auto"/>
        </w:rPr>
      </w:pPr>
      <w:r>
        <w:rPr>
          <w:rFonts w:hint="eastAsia"/>
          <w:color w:val="auto"/>
          <w:lang w:bidi="ar"/>
        </w:rPr>
        <w:t>（2）</w:t>
      </w:r>
      <w:r>
        <w:rPr>
          <w:rFonts w:hint="eastAsia" w:cs="宋体"/>
          <w:color w:val="auto"/>
          <w:lang w:bidi="ar"/>
        </w:rPr>
        <w:t>北部湾中华白海豚保护现状</w:t>
      </w:r>
    </w:p>
    <w:p w14:paraId="1EEED52A">
      <w:pPr>
        <w:widowControl/>
        <w:ind w:firstLine="480"/>
        <w:jc w:val="left"/>
        <w:rPr>
          <w:color w:val="auto"/>
        </w:rPr>
      </w:pPr>
      <w:r>
        <w:rPr>
          <w:color w:val="auto"/>
          <w:lang w:bidi="ar"/>
        </w:rPr>
        <w:t>2004</w:t>
      </w:r>
      <w:r>
        <w:rPr>
          <w:rFonts w:hint="eastAsia" w:cs="宋体"/>
          <w:color w:val="auto"/>
          <w:lang w:bidi="ar"/>
        </w:rPr>
        <w:t>年</w:t>
      </w:r>
      <w:r>
        <w:rPr>
          <w:color w:val="auto"/>
          <w:lang w:bidi="ar"/>
        </w:rPr>
        <w:t>~2005</w:t>
      </w:r>
      <w:r>
        <w:rPr>
          <w:rFonts w:hint="eastAsia" w:cs="宋体"/>
          <w:color w:val="auto"/>
          <w:lang w:bidi="ar"/>
        </w:rPr>
        <w:t>年，钦州市政府决定把原规划在犀牛角的工业区布局向西移动到靠近钦州港区；</w:t>
      </w:r>
      <w:r>
        <w:rPr>
          <w:color w:val="auto"/>
          <w:lang w:bidi="ar"/>
        </w:rPr>
        <w:t>2009</w:t>
      </w:r>
      <w:r>
        <w:rPr>
          <w:rFonts w:hint="eastAsia" w:cs="宋体"/>
          <w:color w:val="auto"/>
          <w:lang w:bidi="ar"/>
        </w:rPr>
        <w:t>年钦州市政府又取消原先已经列入要在大风江投资</w:t>
      </w:r>
      <w:r>
        <w:rPr>
          <w:color w:val="auto"/>
          <w:lang w:bidi="ar"/>
        </w:rPr>
        <w:t>30</w:t>
      </w:r>
      <w:r>
        <w:rPr>
          <w:rFonts w:hint="eastAsia" w:cs="宋体"/>
          <w:color w:val="auto"/>
          <w:lang w:bidi="ar"/>
        </w:rPr>
        <w:t>多亿人民币修建造船厂的计划。这两项重大的决策，对三娘湾</w:t>
      </w:r>
      <w:r>
        <w:rPr>
          <w:color w:val="auto"/>
          <w:lang w:bidi="ar"/>
        </w:rPr>
        <w:t>-</w:t>
      </w:r>
      <w:r>
        <w:rPr>
          <w:rFonts w:hint="eastAsia" w:cs="宋体"/>
          <w:color w:val="auto"/>
          <w:lang w:bidi="ar"/>
        </w:rPr>
        <w:t>大风江生态系统继续保持其健康的原始的自然面貌起到了决定性的作用。</w:t>
      </w:r>
      <w:r>
        <w:rPr>
          <w:color w:val="auto"/>
          <w:lang w:bidi="ar"/>
        </w:rPr>
        <w:t>2017</w:t>
      </w:r>
      <w:r>
        <w:rPr>
          <w:rFonts w:hint="eastAsia" w:cs="宋体"/>
          <w:color w:val="auto"/>
          <w:lang w:bidi="ar"/>
        </w:rPr>
        <w:t>年</w:t>
      </w:r>
      <w:r>
        <w:rPr>
          <w:color w:val="auto"/>
          <w:lang w:bidi="ar"/>
        </w:rPr>
        <w:t>7</w:t>
      </w:r>
      <w:r>
        <w:rPr>
          <w:rFonts w:hint="eastAsia" w:cs="宋体"/>
          <w:color w:val="auto"/>
          <w:lang w:bidi="ar"/>
        </w:rPr>
        <w:t>月</w:t>
      </w:r>
      <w:r>
        <w:rPr>
          <w:color w:val="auto"/>
          <w:lang w:bidi="ar"/>
        </w:rPr>
        <w:t>27</w:t>
      </w:r>
      <w:r>
        <w:rPr>
          <w:rFonts w:hint="eastAsia" w:cs="宋体"/>
          <w:color w:val="auto"/>
          <w:lang w:bidi="ar"/>
        </w:rPr>
        <w:t>日，钦州市人民政府印发《钦州市人民政府办公室关于印发钦州湾中华白海豚自然保护区筹建方案的通知》（钦政办函〔</w:t>
      </w:r>
      <w:r>
        <w:rPr>
          <w:color w:val="auto"/>
          <w:lang w:bidi="ar"/>
        </w:rPr>
        <w:t>2017</w:t>
      </w:r>
      <w:r>
        <w:rPr>
          <w:rFonts w:hint="eastAsia" w:cs="宋体"/>
          <w:color w:val="auto"/>
          <w:lang w:bidi="ar"/>
        </w:rPr>
        <w:t>〕</w:t>
      </w:r>
      <w:r>
        <w:rPr>
          <w:color w:val="auto"/>
          <w:lang w:bidi="ar"/>
        </w:rPr>
        <w:t>34</w:t>
      </w:r>
      <w:r>
        <w:rPr>
          <w:rFonts w:hint="eastAsia" w:cs="宋体"/>
          <w:color w:val="auto"/>
          <w:lang w:bidi="ar"/>
        </w:rPr>
        <w:t>号），并成立钦州湾中华白海豚自然保护区筹建工作领导小组，统筹开展中华白海豚自然保护区筹建工作。</w:t>
      </w:r>
    </w:p>
    <w:p w14:paraId="4B74620F">
      <w:pPr>
        <w:widowControl/>
        <w:ind w:firstLine="480"/>
        <w:jc w:val="left"/>
        <w:rPr>
          <w:rFonts w:cs="宋体"/>
          <w:color w:val="auto"/>
          <w:lang w:bidi="ar"/>
        </w:rPr>
      </w:pPr>
      <w:r>
        <w:rPr>
          <w:rFonts w:hint="eastAsia" w:cs="宋体"/>
          <w:color w:val="auto"/>
          <w:lang w:bidi="ar"/>
        </w:rPr>
        <w:t>近年来随着沿岸港口的建设，航运事业的发达，工农业的发展，造成海洋环境的污染，加上渔业捕捞过度，鱼类资源严重减少，沿岸生态系统遭受破坏，北部湾中华白海豚因其生息在浅海沿岸水域，最易受到人类活动和沿岸渔业生产的影响，渔网混获、搁浅死亡时有发生。根据南京师范大学生命科学学院的调查研究，从</w:t>
      </w:r>
      <w:r>
        <w:rPr>
          <w:color w:val="auto"/>
          <w:lang w:bidi="ar"/>
        </w:rPr>
        <w:t>2011~2016</w:t>
      </w:r>
      <w:r>
        <w:rPr>
          <w:rFonts w:hint="eastAsia" w:cs="宋体"/>
          <w:color w:val="auto"/>
          <w:lang w:bidi="ar"/>
        </w:rPr>
        <w:t>年的调查来看，北部湾中华白海豚遇见率比较稳定，死亡个体较少，整体上来看比较稳定。</w:t>
      </w:r>
    </w:p>
    <w:p w14:paraId="4AE2A876">
      <w:pPr>
        <w:widowControl/>
        <w:spacing w:line="240" w:lineRule="auto"/>
        <w:ind w:firstLine="480"/>
        <w:jc w:val="center"/>
        <w:rPr>
          <w:rFonts w:hint="default" w:eastAsia="宋体"/>
          <w:color w:val="auto"/>
          <w:lang w:val="en-US" w:eastAsia="zh-CN"/>
        </w:rPr>
      </w:pPr>
      <w:r>
        <w:rPr>
          <w:rFonts w:hint="eastAsia"/>
          <w:color w:val="auto"/>
          <w:lang w:val="en-US" w:eastAsia="zh-CN"/>
        </w:rPr>
        <w:t>****</w:t>
      </w:r>
    </w:p>
    <w:p w14:paraId="52048045">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4</w:t>
      </w:r>
      <w:r>
        <w:rPr>
          <w:color w:val="auto"/>
        </w:rPr>
        <w:fldChar w:fldCharType="end"/>
      </w:r>
      <w:r>
        <w:rPr>
          <w:rFonts w:hint="eastAsia"/>
          <w:color w:val="auto"/>
        </w:rPr>
        <w:t>北部湾水域中华白海豚的发现位置及其可能的迁移路线图</w:t>
      </w:r>
    </w:p>
    <w:p w14:paraId="74659247">
      <w:pPr>
        <w:pStyle w:val="14"/>
        <w:rPr>
          <w:rFonts w:cs="宋体"/>
          <w:b w:val="0"/>
          <w:bCs/>
          <w:color w:val="auto"/>
          <w:szCs w:val="24"/>
          <w:lang w:bidi="ar"/>
        </w:rPr>
      </w:pPr>
      <w:r>
        <w:rPr>
          <w:rFonts w:hint="eastAsia"/>
          <w:color w:val="auto"/>
        </w:rPr>
        <w:t>（</w:t>
      </w:r>
      <w:r>
        <w:rPr>
          <w:color w:val="auto"/>
        </w:rPr>
        <w:t>DRE</w:t>
      </w:r>
      <w:r>
        <w:rPr>
          <w:rFonts w:hint="eastAsia"/>
          <w:color w:val="auto"/>
        </w:rPr>
        <w:t>大风江群体，</w:t>
      </w:r>
      <w:r>
        <w:rPr>
          <w:color w:val="auto"/>
        </w:rPr>
        <w:t>SC</w:t>
      </w:r>
      <w:r>
        <w:rPr>
          <w:rFonts w:hint="eastAsia"/>
          <w:color w:val="auto"/>
        </w:rPr>
        <w:t>沙田群体）</w:t>
      </w:r>
    </w:p>
    <w:p w14:paraId="1FAE5299">
      <w:pPr>
        <w:ind w:firstLine="480"/>
        <w:rPr>
          <w:color w:val="auto"/>
        </w:rPr>
      </w:pPr>
    </w:p>
    <w:p w14:paraId="0015FE09">
      <w:pPr>
        <w:pStyle w:val="5"/>
        <w:rPr>
          <w:color w:val="auto"/>
        </w:rPr>
      </w:pPr>
      <w:bookmarkStart w:id="414" w:name="_Toc136878475"/>
      <w:bookmarkStart w:id="415" w:name="_Toc223258474"/>
      <w:bookmarkStart w:id="416" w:name="_Toc29131832"/>
      <w:bookmarkStart w:id="417" w:name="_Toc223595765"/>
      <w:r>
        <w:rPr>
          <w:color w:val="auto"/>
        </w:rPr>
        <w:t>空气环境质量现状调查与评价</w:t>
      </w:r>
      <w:bookmarkEnd w:id="414"/>
      <w:bookmarkEnd w:id="415"/>
      <w:bookmarkEnd w:id="416"/>
      <w:bookmarkEnd w:id="417"/>
    </w:p>
    <w:p w14:paraId="66BF458E">
      <w:pPr>
        <w:pStyle w:val="4"/>
        <w:rPr>
          <w:color w:val="auto"/>
        </w:rPr>
      </w:pPr>
      <w:bookmarkStart w:id="418" w:name="_Toc136878476"/>
      <w:bookmarkStart w:id="419" w:name="_Toc216620540"/>
      <w:bookmarkStart w:id="420" w:name="_Toc135090228"/>
      <w:r>
        <w:rPr>
          <w:color w:val="auto"/>
        </w:rPr>
        <w:t>空气质量达标区判定</w:t>
      </w:r>
      <w:bookmarkEnd w:id="418"/>
      <w:bookmarkEnd w:id="419"/>
      <w:bookmarkEnd w:id="420"/>
    </w:p>
    <w:p w14:paraId="52DC51D2">
      <w:pPr>
        <w:ind w:firstLine="480"/>
        <w:rPr>
          <w:color w:val="auto"/>
          <w:lang w:bidi="zh-CN"/>
        </w:rPr>
      </w:pPr>
      <w:r>
        <w:rPr>
          <w:color w:val="auto"/>
        </w:rPr>
        <w:t>根据《自治区生态环境厅关于通报202</w:t>
      </w:r>
      <w:r>
        <w:rPr>
          <w:rFonts w:hint="eastAsia"/>
          <w:color w:val="auto"/>
        </w:rPr>
        <w:t>4</w:t>
      </w:r>
      <w:r>
        <w:rPr>
          <w:color w:val="auto"/>
        </w:rPr>
        <w:t>年设区城市及各县（市、区）环境空气质量的函》（桂环函〔202</w:t>
      </w:r>
      <w:r>
        <w:rPr>
          <w:rFonts w:hint="eastAsia"/>
          <w:color w:val="auto"/>
        </w:rPr>
        <w:t>5</w:t>
      </w:r>
      <w:r>
        <w:rPr>
          <w:color w:val="auto"/>
        </w:rPr>
        <w:t>〕</w:t>
      </w:r>
      <w:r>
        <w:rPr>
          <w:rFonts w:hint="eastAsia"/>
          <w:color w:val="auto"/>
        </w:rPr>
        <w:t>66</w:t>
      </w:r>
      <w:r>
        <w:rPr>
          <w:color w:val="auto"/>
        </w:rPr>
        <w:t>号）中，</w:t>
      </w:r>
      <w:r>
        <w:rPr>
          <w:rFonts w:hint="eastAsia"/>
          <w:color w:val="auto"/>
          <w:lang w:bidi="zh-CN"/>
        </w:rPr>
        <w:t>项目所在区域钦州市SO</w:t>
      </w:r>
      <w:r>
        <w:rPr>
          <w:rFonts w:hint="eastAsia"/>
          <w:color w:val="auto"/>
          <w:vertAlign w:val="subscript"/>
          <w:lang w:bidi="zh-CN"/>
        </w:rPr>
        <w:t>2</w:t>
      </w:r>
      <w:r>
        <w:rPr>
          <w:rFonts w:hint="eastAsia"/>
          <w:color w:val="auto"/>
          <w:lang w:bidi="zh-CN"/>
        </w:rPr>
        <w:t>、NO</w:t>
      </w:r>
      <w:r>
        <w:rPr>
          <w:rFonts w:hint="eastAsia"/>
          <w:color w:val="auto"/>
          <w:vertAlign w:val="subscript"/>
          <w:lang w:bidi="zh-CN"/>
        </w:rPr>
        <w:t>2</w:t>
      </w:r>
      <w:r>
        <w:rPr>
          <w:rFonts w:hint="eastAsia"/>
          <w:color w:val="auto"/>
          <w:lang w:bidi="zh-CN"/>
        </w:rPr>
        <w:t>、PM</w:t>
      </w:r>
      <w:r>
        <w:rPr>
          <w:rFonts w:hint="eastAsia"/>
          <w:color w:val="auto"/>
          <w:vertAlign w:val="subscript"/>
          <w:lang w:bidi="zh-CN"/>
        </w:rPr>
        <w:t>10</w:t>
      </w:r>
      <w:r>
        <w:rPr>
          <w:rFonts w:hint="eastAsia"/>
          <w:color w:val="auto"/>
          <w:lang w:bidi="zh-CN"/>
        </w:rPr>
        <w:t>、PM</w:t>
      </w:r>
      <w:r>
        <w:rPr>
          <w:rFonts w:hint="eastAsia"/>
          <w:color w:val="auto"/>
          <w:vertAlign w:val="subscript"/>
          <w:lang w:bidi="zh-CN"/>
        </w:rPr>
        <w:t>2.5</w:t>
      </w:r>
      <w:r>
        <w:rPr>
          <w:rFonts w:hint="eastAsia"/>
          <w:color w:val="auto"/>
          <w:lang w:bidi="zh-CN"/>
        </w:rPr>
        <w:t>、CO、O</w:t>
      </w:r>
      <w:r>
        <w:rPr>
          <w:rFonts w:hint="eastAsia"/>
          <w:color w:val="auto"/>
          <w:vertAlign w:val="subscript"/>
          <w:lang w:bidi="zh-CN"/>
        </w:rPr>
        <w:t>3</w:t>
      </w:r>
      <w:r>
        <w:rPr>
          <w:rFonts w:hint="eastAsia"/>
          <w:color w:val="auto"/>
          <w:lang w:bidi="zh-CN"/>
        </w:rPr>
        <w:t>环境质量现状均满足《环境空气质量标准》(GB3095-2012)中的二级标准，项目区域环境空气质量为达标区，区域空气质量见下表</w:t>
      </w:r>
      <w:r>
        <w:rPr>
          <w:color w:val="auto"/>
          <w:lang w:bidi="zh-CN"/>
        </w:rPr>
        <w:t>。</w:t>
      </w:r>
    </w:p>
    <w:p w14:paraId="14AD6012">
      <w:pPr>
        <w:ind w:firstLine="480"/>
        <w:rPr>
          <w:color w:val="auto"/>
          <w:lang w:bidi="zh-CN"/>
        </w:rPr>
      </w:pPr>
    </w:p>
    <w:p w14:paraId="693BC8B7">
      <w:pPr>
        <w:pStyle w:val="14"/>
        <w:rPr>
          <w:color w:val="auto"/>
        </w:rPr>
      </w:pPr>
      <w:r>
        <w:rPr>
          <w:rFonts w:hint="eastAsia"/>
          <w:color w:val="auto"/>
        </w:rPr>
        <w:t>表</w:t>
      </w:r>
      <w:r>
        <w:rPr>
          <w:color w:val="auto"/>
        </w:rPr>
        <w:t>3.3</w:t>
      </w:r>
      <w:r>
        <w:rPr>
          <w:color w:val="auto"/>
        </w:rPr>
        <w:noBreakHyphen/>
      </w:r>
      <w:r>
        <w:rPr>
          <w:color w:val="auto"/>
        </w:rPr>
        <w:t>1区域空气质量现状评价表</w:t>
      </w:r>
    </w:p>
    <w:tbl>
      <w:tblPr>
        <w:tblStyle w:val="43"/>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024"/>
        <w:gridCol w:w="2714"/>
        <w:gridCol w:w="1242"/>
        <w:gridCol w:w="1233"/>
        <w:gridCol w:w="1043"/>
        <w:gridCol w:w="1110"/>
        <w:gridCol w:w="1204"/>
      </w:tblGrid>
      <w:tr w14:paraId="66701D0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tblHeader/>
        </w:trPr>
        <w:tc>
          <w:tcPr>
            <w:tcW w:w="535" w:type="pct"/>
            <w:vMerge w:val="restart"/>
            <w:tcBorders>
              <w:bottom w:val="single" w:color="000000" w:sz="4" w:space="0"/>
              <w:right w:val="single" w:color="000000" w:sz="4" w:space="0"/>
            </w:tcBorders>
            <w:vAlign w:val="center"/>
          </w:tcPr>
          <w:p w14:paraId="3590161B">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污染物</w:t>
            </w:r>
          </w:p>
        </w:tc>
        <w:tc>
          <w:tcPr>
            <w:tcW w:w="1418" w:type="pct"/>
            <w:vMerge w:val="restart"/>
            <w:tcBorders>
              <w:left w:val="single" w:color="000000" w:sz="4" w:space="0"/>
              <w:bottom w:val="single" w:color="000000" w:sz="4" w:space="0"/>
              <w:right w:val="single" w:color="000000" w:sz="4" w:space="0"/>
            </w:tcBorders>
            <w:vAlign w:val="center"/>
          </w:tcPr>
          <w:p w14:paraId="73ACECC9">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年平均指标</w:t>
            </w:r>
          </w:p>
        </w:tc>
        <w:tc>
          <w:tcPr>
            <w:tcW w:w="649" w:type="pct"/>
            <w:tcBorders>
              <w:left w:val="single" w:color="000000" w:sz="4" w:space="0"/>
              <w:bottom w:val="single" w:color="000000" w:sz="4" w:space="0"/>
              <w:right w:val="single" w:color="000000" w:sz="4" w:space="0"/>
            </w:tcBorders>
            <w:vAlign w:val="center"/>
          </w:tcPr>
          <w:p w14:paraId="4C04D933">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评价标准</w:t>
            </w:r>
          </w:p>
        </w:tc>
        <w:tc>
          <w:tcPr>
            <w:tcW w:w="644" w:type="pct"/>
            <w:tcBorders>
              <w:left w:val="single" w:color="000000" w:sz="4" w:space="0"/>
              <w:bottom w:val="single" w:color="000000" w:sz="4" w:space="0"/>
              <w:right w:val="single" w:color="000000" w:sz="4" w:space="0"/>
            </w:tcBorders>
            <w:vAlign w:val="center"/>
          </w:tcPr>
          <w:p w14:paraId="710D4EDE">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现状浓度</w:t>
            </w:r>
          </w:p>
        </w:tc>
        <w:tc>
          <w:tcPr>
            <w:tcW w:w="545" w:type="pct"/>
            <w:vMerge w:val="restart"/>
            <w:tcBorders>
              <w:left w:val="single" w:color="000000" w:sz="4" w:space="0"/>
              <w:bottom w:val="single" w:color="000000" w:sz="4" w:space="0"/>
              <w:right w:val="single" w:color="000000" w:sz="4" w:space="0"/>
            </w:tcBorders>
            <w:vAlign w:val="center"/>
          </w:tcPr>
          <w:p w14:paraId="26979695">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占标率</w:t>
            </w:r>
          </w:p>
          <w:p w14:paraId="20789664">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w:t>
            </w:r>
          </w:p>
        </w:tc>
        <w:tc>
          <w:tcPr>
            <w:tcW w:w="580" w:type="pct"/>
            <w:vMerge w:val="restart"/>
            <w:tcBorders>
              <w:left w:val="single" w:color="000000" w:sz="4" w:space="0"/>
              <w:bottom w:val="single" w:color="000000" w:sz="4" w:space="0"/>
              <w:right w:val="single" w:color="000000" w:sz="4" w:space="0"/>
            </w:tcBorders>
            <w:vAlign w:val="center"/>
          </w:tcPr>
          <w:p w14:paraId="4D2E4003">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超标倍数</w:t>
            </w:r>
          </w:p>
        </w:tc>
        <w:tc>
          <w:tcPr>
            <w:tcW w:w="629" w:type="pct"/>
            <w:vMerge w:val="restart"/>
            <w:tcBorders>
              <w:left w:val="single" w:color="000000" w:sz="4" w:space="0"/>
              <w:bottom w:val="single" w:color="000000" w:sz="4" w:space="0"/>
            </w:tcBorders>
            <w:vAlign w:val="center"/>
          </w:tcPr>
          <w:p w14:paraId="025A8A16">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达标情况</w:t>
            </w:r>
          </w:p>
        </w:tc>
      </w:tr>
      <w:tr w14:paraId="6D08846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5" w:hRule="atLeast"/>
          <w:tblHeader/>
        </w:trPr>
        <w:tc>
          <w:tcPr>
            <w:tcW w:w="535" w:type="pct"/>
            <w:vMerge w:val="continue"/>
            <w:tcBorders>
              <w:top w:val="single" w:color="000000" w:sz="4" w:space="0"/>
              <w:bottom w:val="single" w:color="000000" w:sz="4" w:space="0"/>
              <w:right w:val="single" w:color="000000" w:sz="4" w:space="0"/>
            </w:tcBorders>
            <w:vAlign w:val="center"/>
          </w:tcPr>
          <w:p w14:paraId="761731E5">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p>
        </w:tc>
        <w:tc>
          <w:tcPr>
            <w:tcW w:w="1418" w:type="pct"/>
            <w:vMerge w:val="continue"/>
            <w:tcBorders>
              <w:top w:val="single" w:color="000000" w:sz="4" w:space="0"/>
              <w:left w:val="single" w:color="000000" w:sz="4" w:space="0"/>
              <w:bottom w:val="single" w:color="000000" w:sz="4" w:space="0"/>
              <w:right w:val="single" w:color="000000" w:sz="4" w:space="0"/>
            </w:tcBorders>
            <w:vAlign w:val="center"/>
          </w:tcPr>
          <w:p w14:paraId="72E21B8B">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p>
        </w:tc>
        <w:tc>
          <w:tcPr>
            <w:tcW w:w="649" w:type="pct"/>
            <w:tcBorders>
              <w:top w:val="single" w:color="000000" w:sz="4" w:space="0"/>
              <w:left w:val="single" w:color="000000" w:sz="4" w:space="0"/>
              <w:bottom w:val="single" w:color="000000" w:sz="4" w:space="0"/>
              <w:right w:val="single" w:color="000000" w:sz="4" w:space="0"/>
            </w:tcBorders>
            <w:vAlign w:val="center"/>
          </w:tcPr>
          <w:p w14:paraId="67479F5A">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（µg/m</w:t>
            </w:r>
            <w:r>
              <w:rPr>
                <w:rFonts w:hint="default"/>
                <w:b/>
                <w:bCs/>
                <w:snapToGrid w:val="0"/>
                <w:color w:val="auto"/>
                <w:kern w:val="0"/>
                <w:sz w:val="21"/>
                <w:szCs w:val="21"/>
                <w:vertAlign w:val="superscript"/>
              </w:rPr>
              <w:t>3</w:t>
            </w:r>
            <w:r>
              <w:rPr>
                <w:rFonts w:hint="default"/>
                <w:b/>
                <w:bCs/>
                <w:snapToGrid w:val="0"/>
                <w:color w:val="auto"/>
                <w:kern w:val="0"/>
                <w:sz w:val="21"/>
                <w:szCs w:val="21"/>
              </w:rPr>
              <w:t>）</w:t>
            </w:r>
          </w:p>
        </w:tc>
        <w:tc>
          <w:tcPr>
            <w:tcW w:w="644" w:type="pct"/>
            <w:tcBorders>
              <w:top w:val="single" w:color="000000" w:sz="4" w:space="0"/>
              <w:left w:val="single" w:color="000000" w:sz="4" w:space="0"/>
              <w:bottom w:val="single" w:color="000000" w:sz="4" w:space="0"/>
              <w:right w:val="single" w:color="000000" w:sz="4" w:space="0"/>
            </w:tcBorders>
            <w:vAlign w:val="center"/>
          </w:tcPr>
          <w:p w14:paraId="41B92346">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r>
              <w:rPr>
                <w:rFonts w:hint="default"/>
                <w:b/>
                <w:bCs/>
                <w:snapToGrid w:val="0"/>
                <w:color w:val="auto"/>
                <w:kern w:val="0"/>
                <w:sz w:val="21"/>
                <w:szCs w:val="21"/>
              </w:rPr>
              <w:t>（µg/m</w:t>
            </w:r>
            <w:r>
              <w:rPr>
                <w:rFonts w:hint="default"/>
                <w:b/>
                <w:bCs/>
                <w:snapToGrid w:val="0"/>
                <w:color w:val="auto"/>
                <w:kern w:val="0"/>
                <w:sz w:val="21"/>
                <w:szCs w:val="21"/>
                <w:vertAlign w:val="superscript"/>
              </w:rPr>
              <w:t>3</w:t>
            </w:r>
            <w:r>
              <w:rPr>
                <w:rFonts w:hint="default"/>
                <w:b/>
                <w:bCs/>
                <w:snapToGrid w:val="0"/>
                <w:color w:val="auto"/>
                <w:kern w:val="0"/>
                <w:sz w:val="21"/>
                <w:szCs w:val="21"/>
              </w:rPr>
              <w:t>）</w:t>
            </w:r>
          </w:p>
        </w:tc>
        <w:tc>
          <w:tcPr>
            <w:tcW w:w="545" w:type="pct"/>
            <w:vMerge w:val="continue"/>
            <w:tcBorders>
              <w:top w:val="single" w:color="000000" w:sz="4" w:space="0"/>
              <w:left w:val="single" w:color="000000" w:sz="4" w:space="0"/>
              <w:bottom w:val="single" w:color="000000" w:sz="4" w:space="0"/>
              <w:right w:val="single" w:color="000000" w:sz="4" w:space="0"/>
            </w:tcBorders>
            <w:vAlign w:val="center"/>
          </w:tcPr>
          <w:p w14:paraId="768B1DA0">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p>
        </w:tc>
        <w:tc>
          <w:tcPr>
            <w:tcW w:w="580" w:type="pct"/>
            <w:vMerge w:val="continue"/>
            <w:tcBorders>
              <w:top w:val="single" w:color="000000" w:sz="4" w:space="0"/>
              <w:left w:val="single" w:color="000000" w:sz="4" w:space="0"/>
              <w:bottom w:val="single" w:color="000000" w:sz="4" w:space="0"/>
              <w:right w:val="single" w:color="000000" w:sz="4" w:space="0"/>
            </w:tcBorders>
            <w:vAlign w:val="center"/>
          </w:tcPr>
          <w:p w14:paraId="51FC843A">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p>
        </w:tc>
        <w:tc>
          <w:tcPr>
            <w:tcW w:w="629" w:type="pct"/>
            <w:vMerge w:val="continue"/>
            <w:tcBorders>
              <w:top w:val="single" w:color="000000" w:sz="4" w:space="0"/>
              <w:left w:val="single" w:color="000000" w:sz="4" w:space="0"/>
              <w:bottom w:val="single" w:color="000000" w:sz="4" w:space="0"/>
            </w:tcBorders>
            <w:vAlign w:val="center"/>
          </w:tcPr>
          <w:p w14:paraId="5F697DB5">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b/>
                <w:bCs/>
                <w:snapToGrid w:val="0"/>
                <w:color w:val="auto"/>
                <w:kern w:val="0"/>
                <w:sz w:val="21"/>
                <w:szCs w:val="21"/>
              </w:rPr>
            </w:pPr>
          </w:p>
        </w:tc>
      </w:tr>
      <w:tr w14:paraId="781DB74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535" w:type="pct"/>
            <w:tcBorders>
              <w:top w:val="single" w:color="000000" w:sz="4" w:space="0"/>
              <w:bottom w:val="single" w:color="000000" w:sz="4" w:space="0"/>
              <w:right w:val="single" w:color="000000" w:sz="4" w:space="0"/>
            </w:tcBorders>
            <w:vAlign w:val="center"/>
          </w:tcPr>
          <w:p w14:paraId="7ACB9890">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SO</w:t>
            </w:r>
            <w:r>
              <w:rPr>
                <w:rFonts w:hint="default"/>
                <w:snapToGrid w:val="0"/>
                <w:color w:val="auto"/>
                <w:kern w:val="0"/>
                <w:sz w:val="21"/>
                <w:szCs w:val="21"/>
                <w:vertAlign w:val="subscript"/>
              </w:rPr>
              <w:t>2</w:t>
            </w:r>
          </w:p>
        </w:tc>
        <w:tc>
          <w:tcPr>
            <w:tcW w:w="1418" w:type="pct"/>
            <w:tcBorders>
              <w:top w:val="single" w:color="000000" w:sz="4" w:space="0"/>
              <w:left w:val="single" w:color="000000" w:sz="4" w:space="0"/>
              <w:bottom w:val="single" w:color="000000" w:sz="4" w:space="0"/>
              <w:right w:val="single" w:color="000000" w:sz="4" w:space="0"/>
            </w:tcBorders>
            <w:vAlign w:val="center"/>
          </w:tcPr>
          <w:p w14:paraId="6FA8BAFB">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年平均质量浓度</w:t>
            </w:r>
          </w:p>
        </w:tc>
        <w:tc>
          <w:tcPr>
            <w:tcW w:w="649" w:type="pct"/>
            <w:tcBorders>
              <w:top w:val="single" w:color="000000" w:sz="4" w:space="0"/>
              <w:left w:val="single" w:color="000000" w:sz="4" w:space="0"/>
              <w:bottom w:val="single" w:color="000000" w:sz="4" w:space="0"/>
              <w:right w:val="single" w:color="000000" w:sz="4" w:space="0"/>
            </w:tcBorders>
            <w:vAlign w:val="center"/>
          </w:tcPr>
          <w:p w14:paraId="371A13F7">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60</w:t>
            </w:r>
          </w:p>
        </w:tc>
        <w:tc>
          <w:tcPr>
            <w:tcW w:w="644" w:type="pct"/>
            <w:tcBorders>
              <w:top w:val="single" w:color="000000" w:sz="4" w:space="0"/>
              <w:left w:val="single" w:color="000000" w:sz="4" w:space="0"/>
              <w:bottom w:val="single" w:color="000000" w:sz="4" w:space="0"/>
              <w:right w:val="single" w:color="000000" w:sz="4" w:space="0"/>
            </w:tcBorders>
            <w:vAlign w:val="center"/>
          </w:tcPr>
          <w:p w14:paraId="7E7CAA0B">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545" w:type="pct"/>
            <w:tcBorders>
              <w:top w:val="single" w:color="000000" w:sz="4" w:space="0"/>
              <w:left w:val="single" w:color="000000" w:sz="4" w:space="0"/>
              <w:bottom w:val="single" w:color="000000" w:sz="4" w:space="0"/>
              <w:right w:val="single" w:color="000000" w:sz="4" w:space="0"/>
            </w:tcBorders>
            <w:vAlign w:val="center"/>
          </w:tcPr>
          <w:p w14:paraId="0F94547F">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580" w:type="pct"/>
            <w:tcBorders>
              <w:top w:val="single" w:color="000000" w:sz="4" w:space="0"/>
              <w:left w:val="single" w:color="000000" w:sz="4" w:space="0"/>
              <w:bottom w:val="single" w:color="000000" w:sz="4" w:space="0"/>
              <w:right w:val="single" w:color="000000" w:sz="4" w:space="0"/>
            </w:tcBorders>
            <w:vAlign w:val="center"/>
          </w:tcPr>
          <w:p w14:paraId="487A4036">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0</w:t>
            </w:r>
          </w:p>
        </w:tc>
        <w:tc>
          <w:tcPr>
            <w:tcW w:w="629" w:type="pct"/>
            <w:tcBorders>
              <w:top w:val="single" w:color="000000" w:sz="4" w:space="0"/>
              <w:left w:val="single" w:color="000000" w:sz="4" w:space="0"/>
              <w:bottom w:val="single" w:color="000000" w:sz="4" w:space="0"/>
            </w:tcBorders>
            <w:vAlign w:val="center"/>
          </w:tcPr>
          <w:p w14:paraId="14FE3AAD">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达标</w:t>
            </w:r>
          </w:p>
        </w:tc>
      </w:tr>
      <w:tr w14:paraId="5AFC314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535" w:type="pct"/>
            <w:tcBorders>
              <w:top w:val="single" w:color="000000" w:sz="4" w:space="0"/>
              <w:bottom w:val="single" w:color="000000" w:sz="4" w:space="0"/>
              <w:right w:val="single" w:color="000000" w:sz="4" w:space="0"/>
            </w:tcBorders>
            <w:vAlign w:val="center"/>
          </w:tcPr>
          <w:p w14:paraId="270CA34A">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NO</w:t>
            </w:r>
            <w:r>
              <w:rPr>
                <w:rFonts w:hint="default"/>
                <w:snapToGrid w:val="0"/>
                <w:color w:val="auto"/>
                <w:kern w:val="0"/>
                <w:sz w:val="21"/>
                <w:szCs w:val="21"/>
                <w:vertAlign w:val="subscript"/>
              </w:rPr>
              <w:t>2</w:t>
            </w:r>
          </w:p>
        </w:tc>
        <w:tc>
          <w:tcPr>
            <w:tcW w:w="1418" w:type="pct"/>
            <w:tcBorders>
              <w:top w:val="single" w:color="000000" w:sz="4" w:space="0"/>
              <w:left w:val="single" w:color="000000" w:sz="4" w:space="0"/>
              <w:bottom w:val="single" w:color="000000" w:sz="4" w:space="0"/>
              <w:right w:val="single" w:color="000000" w:sz="4" w:space="0"/>
            </w:tcBorders>
            <w:vAlign w:val="center"/>
          </w:tcPr>
          <w:p w14:paraId="2AE123D4">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年平均质量浓度</w:t>
            </w:r>
          </w:p>
        </w:tc>
        <w:tc>
          <w:tcPr>
            <w:tcW w:w="649" w:type="pct"/>
            <w:tcBorders>
              <w:top w:val="single" w:color="000000" w:sz="4" w:space="0"/>
              <w:left w:val="single" w:color="000000" w:sz="4" w:space="0"/>
              <w:bottom w:val="single" w:color="000000" w:sz="4" w:space="0"/>
              <w:right w:val="single" w:color="000000" w:sz="4" w:space="0"/>
            </w:tcBorders>
            <w:vAlign w:val="center"/>
          </w:tcPr>
          <w:p w14:paraId="1A283C9B">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40</w:t>
            </w:r>
          </w:p>
        </w:tc>
        <w:tc>
          <w:tcPr>
            <w:tcW w:w="644" w:type="pct"/>
            <w:tcBorders>
              <w:top w:val="single" w:color="000000" w:sz="4" w:space="0"/>
              <w:left w:val="single" w:color="000000" w:sz="4" w:space="0"/>
              <w:bottom w:val="single" w:color="000000" w:sz="4" w:space="0"/>
              <w:right w:val="single" w:color="000000" w:sz="4" w:space="0"/>
            </w:tcBorders>
            <w:vAlign w:val="center"/>
          </w:tcPr>
          <w:p w14:paraId="14A9CFD1">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545" w:type="pct"/>
            <w:tcBorders>
              <w:top w:val="single" w:color="000000" w:sz="4" w:space="0"/>
              <w:left w:val="single" w:color="000000" w:sz="4" w:space="0"/>
              <w:bottom w:val="single" w:color="000000" w:sz="4" w:space="0"/>
              <w:right w:val="single" w:color="000000" w:sz="4" w:space="0"/>
            </w:tcBorders>
            <w:vAlign w:val="center"/>
          </w:tcPr>
          <w:p w14:paraId="51963FAB">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580" w:type="pct"/>
            <w:tcBorders>
              <w:top w:val="single" w:color="000000" w:sz="4" w:space="0"/>
              <w:left w:val="single" w:color="000000" w:sz="4" w:space="0"/>
              <w:bottom w:val="single" w:color="000000" w:sz="4" w:space="0"/>
              <w:right w:val="single" w:color="000000" w:sz="4" w:space="0"/>
            </w:tcBorders>
            <w:vAlign w:val="center"/>
          </w:tcPr>
          <w:p w14:paraId="0C156C8C">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0</w:t>
            </w:r>
          </w:p>
        </w:tc>
        <w:tc>
          <w:tcPr>
            <w:tcW w:w="629" w:type="pct"/>
            <w:tcBorders>
              <w:top w:val="single" w:color="000000" w:sz="4" w:space="0"/>
              <w:left w:val="single" w:color="000000" w:sz="4" w:space="0"/>
              <w:bottom w:val="single" w:color="000000" w:sz="4" w:space="0"/>
            </w:tcBorders>
            <w:vAlign w:val="center"/>
          </w:tcPr>
          <w:p w14:paraId="2CF20024">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达标</w:t>
            </w:r>
          </w:p>
        </w:tc>
      </w:tr>
      <w:tr w14:paraId="7E6C3F2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535" w:type="pct"/>
            <w:tcBorders>
              <w:top w:val="single" w:color="000000" w:sz="4" w:space="0"/>
              <w:bottom w:val="single" w:color="000000" w:sz="4" w:space="0"/>
              <w:right w:val="single" w:color="000000" w:sz="4" w:space="0"/>
            </w:tcBorders>
            <w:vAlign w:val="center"/>
          </w:tcPr>
          <w:p w14:paraId="17FB6695">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PM</w:t>
            </w:r>
            <w:r>
              <w:rPr>
                <w:rFonts w:hint="default"/>
                <w:snapToGrid w:val="0"/>
                <w:color w:val="auto"/>
                <w:kern w:val="0"/>
                <w:sz w:val="21"/>
                <w:szCs w:val="21"/>
                <w:vertAlign w:val="subscript"/>
              </w:rPr>
              <w:t>10</w:t>
            </w:r>
          </w:p>
        </w:tc>
        <w:tc>
          <w:tcPr>
            <w:tcW w:w="1418" w:type="pct"/>
            <w:tcBorders>
              <w:top w:val="single" w:color="000000" w:sz="4" w:space="0"/>
              <w:left w:val="single" w:color="000000" w:sz="4" w:space="0"/>
              <w:bottom w:val="single" w:color="000000" w:sz="4" w:space="0"/>
              <w:right w:val="single" w:color="000000" w:sz="4" w:space="0"/>
            </w:tcBorders>
            <w:vAlign w:val="center"/>
          </w:tcPr>
          <w:p w14:paraId="229B2A49">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年平均质量浓度</w:t>
            </w:r>
          </w:p>
        </w:tc>
        <w:tc>
          <w:tcPr>
            <w:tcW w:w="649" w:type="pct"/>
            <w:tcBorders>
              <w:top w:val="single" w:color="000000" w:sz="4" w:space="0"/>
              <w:left w:val="single" w:color="000000" w:sz="4" w:space="0"/>
              <w:bottom w:val="single" w:color="000000" w:sz="4" w:space="0"/>
              <w:right w:val="single" w:color="000000" w:sz="4" w:space="0"/>
            </w:tcBorders>
            <w:vAlign w:val="center"/>
          </w:tcPr>
          <w:p w14:paraId="35B2094A">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70</w:t>
            </w:r>
          </w:p>
        </w:tc>
        <w:tc>
          <w:tcPr>
            <w:tcW w:w="644" w:type="pct"/>
            <w:tcBorders>
              <w:top w:val="single" w:color="000000" w:sz="4" w:space="0"/>
              <w:left w:val="single" w:color="000000" w:sz="4" w:space="0"/>
              <w:bottom w:val="single" w:color="000000" w:sz="4" w:space="0"/>
              <w:right w:val="single" w:color="000000" w:sz="4" w:space="0"/>
            </w:tcBorders>
            <w:vAlign w:val="center"/>
          </w:tcPr>
          <w:p w14:paraId="0A1B1C66">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545" w:type="pct"/>
            <w:tcBorders>
              <w:top w:val="single" w:color="000000" w:sz="4" w:space="0"/>
              <w:left w:val="single" w:color="000000" w:sz="4" w:space="0"/>
              <w:bottom w:val="single" w:color="000000" w:sz="4" w:space="0"/>
              <w:right w:val="single" w:color="000000" w:sz="4" w:space="0"/>
            </w:tcBorders>
            <w:vAlign w:val="center"/>
          </w:tcPr>
          <w:p w14:paraId="4D1D3797">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580" w:type="pct"/>
            <w:tcBorders>
              <w:top w:val="single" w:color="000000" w:sz="4" w:space="0"/>
              <w:left w:val="single" w:color="000000" w:sz="4" w:space="0"/>
              <w:bottom w:val="single" w:color="000000" w:sz="4" w:space="0"/>
              <w:right w:val="single" w:color="000000" w:sz="4" w:space="0"/>
            </w:tcBorders>
            <w:vAlign w:val="center"/>
          </w:tcPr>
          <w:p w14:paraId="74EA8115">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0</w:t>
            </w:r>
          </w:p>
        </w:tc>
        <w:tc>
          <w:tcPr>
            <w:tcW w:w="629" w:type="pct"/>
            <w:tcBorders>
              <w:top w:val="single" w:color="000000" w:sz="4" w:space="0"/>
              <w:left w:val="single" w:color="000000" w:sz="4" w:space="0"/>
              <w:bottom w:val="single" w:color="000000" w:sz="4" w:space="0"/>
            </w:tcBorders>
            <w:vAlign w:val="center"/>
          </w:tcPr>
          <w:p w14:paraId="6366EBAD">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达标</w:t>
            </w:r>
          </w:p>
        </w:tc>
      </w:tr>
      <w:tr w14:paraId="7C23AA9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535" w:type="pct"/>
            <w:tcBorders>
              <w:top w:val="single" w:color="000000" w:sz="4" w:space="0"/>
              <w:bottom w:val="single" w:color="000000" w:sz="4" w:space="0"/>
              <w:right w:val="single" w:color="000000" w:sz="4" w:space="0"/>
            </w:tcBorders>
            <w:vAlign w:val="center"/>
          </w:tcPr>
          <w:p w14:paraId="19BFF6A4">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PM</w:t>
            </w:r>
            <w:r>
              <w:rPr>
                <w:rFonts w:hint="default"/>
                <w:snapToGrid w:val="0"/>
                <w:color w:val="auto"/>
                <w:kern w:val="0"/>
                <w:sz w:val="21"/>
                <w:szCs w:val="21"/>
                <w:vertAlign w:val="subscript"/>
              </w:rPr>
              <w:t>2.5</w:t>
            </w:r>
          </w:p>
        </w:tc>
        <w:tc>
          <w:tcPr>
            <w:tcW w:w="1418" w:type="pct"/>
            <w:tcBorders>
              <w:top w:val="single" w:color="000000" w:sz="4" w:space="0"/>
              <w:left w:val="single" w:color="000000" w:sz="4" w:space="0"/>
              <w:bottom w:val="single" w:color="000000" w:sz="4" w:space="0"/>
              <w:right w:val="single" w:color="000000" w:sz="4" w:space="0"/>
            </w:tcBorders>
            <w:vAlign w:val="center"/>
          </w:tcPr>
          <w:p w14:paraId="7465B709">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年平均质量浓度</w:t>
            </w:r>
          </w:p>
        </w:tc>
        <w:tc>
          <w:tcPr>
            <w:tcW w:w="649" w:type="pct"/>
            <w:tcBorders>
              <w:top w:val="single" w:color="000000" w:sz="4" w:space="0"/>
              <w:left w:val="single" w:color="000000" w:sz="4" w:space="0"/>
              <w:bottom w:val="single" w:color="000000" w:sz="4" w:space="0"/>
              <w:right w:val="single" w:color="000000" w:sz="4" w:space="0"/>
            </w:tcBorders>
            <w:vAlign w:val="center"/>
          </w:tcPr>
          <w:p w14:paraId="7D2BBCB7">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35</w:t>
            </w:r>
          </w:p>
        </w:tc>
        <w:tc>
          <w:tcPr>
            <w:tcW w:w="644" w:type="pct"/>
            <w:tcBorders>
              <w:top w:val="single" w:color="000000" w:sz="4" w:space="0"/>
              <w:left w:val="single" w:color="000000" w:sz="4" w:space="0"/>
              <w:bottom w:val="single" w:color="000000" w:sz="4" w:space="0"/>
              <w:right w:val="single" w:color="000000" w:sz="4" w:space="0"/>
            </w:tcBorders>
            <w:vAlign w:val="center"/>
          </w:tcPr>
          <w:p w14:paraId="11F3C0C7">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545" w:type="pct"/>
            <w:tcBorders>
              <w:top w:val="single" w:color="000000" w:sz="4" w:space="0"/>
              <w:left w:val="single" w:color="000000" w:sz="4" w:space="0"/>
              <w:bottom w:val="single" w:color="000000" w:sz="4" w:space="0"/>
              <w:right w:val="single" w:color="000000" w:sz="4" w:space="0"/>
            </w:tcBorders>
            <w:vAlign w:val="center"/>
          </w:tcPr>
          <w:p w14:paraId="4F37555A">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580" w:type="pct"/>
            <w:tcBorders>
              <w:top w:val="single" w:color="000000" w:sz="4" w:space="0"/>
              <w:left w:val="single" w:color="000000" w:sz="4" w:space="0"/>
              <w:bottom w:val="single" w:color="000000" w:sz="4" w:space="0"/>
              <w:right w:val="single" w:color="000000" w:sz="4" w:space="0"/>
            </w:tcBorders>
            <w:vAlign w:val="center"/>
          </w:tcPr>
          <w:p w14:paraId="18D24D57">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0</w:t>
            </w:r>
          </w:p>
        </w:tc>
        <w:tc>
          <w:tcPr>
            <w:tcW w:w="629" w:type="pct"/>
            <w:tcBorders>
              <w:top w:val="single" w:color="000000" w:sz="4" w:space="0"/>
              <w:left w:val="single" w:color="000000" w:sz="4" w:space="0"/>
              <w:bottom w:val="single" w:color="000000" w:sz="4" w:space="0"/>
            </w:tcBorders>
            <w:vAlign w:val="center"/>
          </w:tcPr>
          <w:p w14:paraId="56EDCECE">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达标</w:t>
            </w:r>
          </w:p>
        </w:tc>
      </w:tr>
      <w:tr w14:paraId="50C44CE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535" w:type="pct"/>
            <w:tcBorders>
              <w:top w:val="single" w:color="000000" w:sz="4" w:space="0"/>
              <w:bottom w:val="single" w:color="000000" w:sz="4" w:space="0"/>
              <w:right w:val="single" w:color="000000" w:sz="4" w:space="0"/>
            </w:tcBorders>
            <w:vAlign w:val="center"/>
          </w:tcPr>
          <w:p w14:paraId="7F558447">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CO</w:t>
            </w:r>
          </w:p>
        </w:tc>
        <w:tc>
          <w:tcPr>
            <w:tcW w:w="1418" w:type="pct"/>
            <w:tcBorders>
              <w:top w:val="single" w:color="000000" w:sz="4" w:space="0"/>
              <w:left w:val="single" w:color="000000" w:sz="4" w:space="0"/>
              <w:bottom w:val="single" w:color="000000" w:sz="4" w:space="0"/>
              <w:right w:val="single" w:color="000000" w:sz="4" w:space="0"/>
            </w:tcBorders>
            <w:vAlign w:val="center"/>
          </w:tcPr>
          <w:p w14:paraId="0EC09500">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24小时平均第95百分数</w:t>
            </w:r>
          </w:p>
        </w:tc>
        <w:tc>
          <w:tcPr>
            <w:tcW w:w="649" w:type="pct"/>
            <w:tcBorders>
              <w:top w:val="single" w:color="000000" w:sz="4" w:space="0"/>
              <w:left w:val="single" w:color="000000" w:sz="4" w:space="0"/>
              <w:bottom w:val="single" w:color="000000" w:sz="4" w:space="0"/>
              <w:right w:val="single" w:color="000000" w:sz="4" w:space="0"/>
            </w:tcBorders>
            <w:vAlign w:val="center"/>
          </w:tcPr>
          <w:p w14:paraId="0D20E88F">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4000</w:t>
            </w:r>
          </w:p>
        </w:tc>
        <w:tc>
          <w:tcPr>
            <w:tcW w:w="644" w:type="pct"/>
            <w:tcBorders>
              <w:top w:val="single" w:color="000000" w:sz="4" w:space="0"/>
              <w:left w:val="single" w:color="000000" w:sz="4" w:space="0"/>
              <w:bottom w:val="single" w:color="000000" w:sz="4" w:space="0"/>
              <w:right w:val="single" w:color="000000" w:sz="4" w:space="0"/>
            </w:tcBorders>
            <w:vAlign w:val="center"/>
          </w:tcPr>
          <w:p w14:paraId="42867B55">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545" w:type="pct"/>
            <w:tcBorders>
              <w:top w:val="single" w:color="000000" w:sz="4" w:space="0"/>
              <w:left w:val="single" w:color="000000" w:sz="4" w:space="0"/>
              <w:bottom w:val="single" w:color="000000" w:sz="4" w:space="0"/>
              <w:right w:val="single" w:color="000000" w:sz="4" w:space="0"/>
            </w:tcBorders>
            <w:vAlign w:val="center"/>
          </w:tcPr>
          <w:p w14:paraId="3C364D5C">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580" w:type="pct"/>
            <w:tcBorders>
              <w:top w:val="single" w:color="000000" w:sz="4" w:space="0"/>
              <w:left w:val="single" w:color="000000" w:sz="4" w:space="0"/>
              <w:bottom w:val="single" w:color="000000" w:sz="4" w:space="0"/>
              <w:right w:val="single" w:color="000000" w:sz="4" w:space="0"/>
            </w:tcBorders>
            <w:vAlign w:val="center"/>
          </w:tcPr>
          <w:p w14:paraId="0A42A854">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0</w:t>
            </w:r>
          </w:p>
        </w:tc>
        <w:tc>
          <w:tcPr>
            <w:tcW w:w="629" w:type="pct"/>
            <w:tcBorders>
              <w:top w:val="single" w:color="000000" w:sz="4" w:space="0"/>
              <w:left w:val="single" w:color="000000" w:sz="4" w:space="0"/>
              <w:bottom w:val="single" w:color="000000" w:sz="4" w:space="0"/>
            </w:tcBorders>
            <w:vAlign w:val="center"/>
          </w:tcPr>
          <w:p w14:paraId="3A405331">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达标</w:t>
            </w:r>
          </w:p>
        </w:tc>
      </w:tr>
      <w:tr w14:paraId="205BF54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535" w:type="pct"/>
            <w:tcBorders>
              <w:top w:val="single" w:color="000000" w:sz="4" w:space="0"/>
              <w:right w:val="single" w:color="000000" w:sz="4" w:space="0"/>
            </w:tcBorders>
            <w:vAlign w:val="center"/>
          </w:tcPr>
          <w:p w14:paraId="15C6118F">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O</w:t>
            </w:r>
            <w:r>
              <w:rPr>
                <w:rFonts w:hint="default"/>
                <w:snapToGrid w:val="0"/>
                <w:color w:val="auto"/>
                <w:kern w:val="0"/>
                <w:sz w:val="21"/>
                <w:szCs w:val="21"/>
                <w:vertAlign w:val="subscript"/>
              </w:rPr>
              <w:t>3</w:t>
            </w:r>
          </w:p>
        </w:tc>
        <w:tc>
          <w:tcPr>
            <w:tcW w:w="1418" w:type="pct"/>
            <w:tcBorders>
              <w:top w:val="single" w:color="000000" w:sz="4" w:space="0"/>
              <w:left w:val="single" w:color="000000" w:sz="4" w:space="0"/>
              <w:right w:val="single" w:color="000000" w:sz="4" w:space="0"/>
            </w:tcBorders>
            <w:vAlign w:val="center"/>
          </w:tcPr>
          <w:p w14:paraId="6A9C48CE">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日最大8小时平均第90百分数</w:t>
            </w:r>
          </w:p>
        </w:tc>
        <w:tc>
          <w:tcPr>
            <w:tcW w:w="649" w:type="pct"/>
            <w:tcBorders>
              <w:top w:val="single" w:color="000000" w:sz="4" w:space="0"/>
              <w:left w:val="single" w:color="000000" w:sz="4" w:space="0"/>
              <w:right w:val="single" w:color="000000" w:sz="4" w:space="0"/>
            </w:tcBorders>
            <w:vAlign w:val="center"/>
          </w:tcPr>
          <w:p w14:paraId="08A1E6F9">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160</w:t>
            </w:r>
          </w:p>
        </w:tc>
        <w:tc>
          <w:tcPr>
            <w:tcW w:w="644" w:type="pct"/>
            <w:tcBorders>
              <w:top w:val="single" w:color="000000" w:sz="4" w:space="0"/>
              <w:left w:val="single" w:color="000000" w:sz="4" w:space="0"/>
              <w:right w:val="single" w:color="000000" w:sz="4" w:space="0"/>
            </w:tcBorders>
            <w:vAlign w:val="center"/>
          </w:tcPr>
          <w:p w14:paraId="462693A8">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545" w:type="pct"/>
            <w:tcBorders>
              <w:top w:val="single" w:color="000000" w:sz="4" w:space="0"/>
              <w:left w:val="single" w:color="000000" w:sz="4" w:space="0"/>
              <w:right w:val="single" w:color="000000" w:sz="4" w:space="0"/>
            </w:tcBorders>
            <w:vAlign w:val="center"/>
          </w:tcPr>
          <w:p w14:paraId="50FB6C85">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p>
        </w:tc>
        <w:tc>
          <w:tcPr>
            <w:tcW w:w="580" w:type="pct"/>
            <w:tcBorders>
              <w:top w:val="single" w:color="000000" w:sz="4" w:space="0"/>
              <w:left w:val="single" w:color="000000" w:sz="4" w:space="0"/>
              <w:right w:val="single" w:color="000000" w:sz="4" w:space="0"/>
            </w:tcBorders>
            <w:vAlign w:val="center"/>
          </w:tcPr>
          <w:p w14:paraId="587F1803">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0</w:t>
            </w:r>
          </w:p>
        </w:tc>
        <w:tc>
          <w:tcPr>
            <w:tcW w:w="629" w:type="pct"/>
            <w:tcBorders>
              <w:top w:val="single" w:color="000000" w:sz="4" w:space="0"/>
              <w:left w:val="single" w:color="000000" w:sz="4" w:space="0"/>
            </w:tcBorders>
            <w:vAlign w:val="center"/>
          </w:tcPr>
          <w:p w14:paraId="1EC901EF">
            <w:pPr>
              <w:keepNext w:val="0"/>
              <w:keepLines w:val="0"/>
              <w:suppressLineNumbers w:val="0"/>
              <w:adjustRightInd w:val="0"/>
              <w:snapToGrid w:val="0"/>
              <w:spacing w:before="0" w:beforeAutospacing="0" w:after="0" w:afterAutospacing="0" w:line="260" w:lineRule="exact"/>
              <w:ind w:left="0" w:right="0" w:firstLine="0" w:firstLineChars="0"/>
              <w:jc w:val="center"/>
              <w:rPr>
                <w:rFonts w:hint="default"/>
                <w:snapToGrid w:val="0"/>
                <w:color w:val="auto"/>
                <w:kern w:val="0"/>
                <w:sz w:val="21"/>
                <w:szCs w:val="21"/>
              </w:rPr>
            </w:pPr>
            <w:r>
              <w:rPr>
                <w:rFonts w:hint="default"/>
                <w:snapToGrid w:val="0"/>
                <w:color w:val="auto"/>
                <w:kern w:val="0"/>
                <w:sz w:val="21"/>
                <w:szCs w:val="21"/>
              </w:rPr>
              <w:t>达标</w:t>
            </w:r>
          </w:p>
        </w:tc>
      </w:tr>
    </w:tbl>
    <w:p w14:paraId="02DE961E">
      <w:pPr>
        <w:ind w:firstLine="480"/>
        <w:rPr>
          <w:color w:val="auto"/>
        </w:rPr>
      </w:pPr>
      <w:r>
        <w:rPr>
          <w:color w:val="auto"/>
          <w:lang w:bidi="zh-CN"/>
        </w:rPr>
        <w:t>由上表可知，本项目所在区域202</w:t>
      </w:r>
      <w:r>
        <w:rPr>
          <w:rFonts w:hint="eastAsia"/>
          <w:color w:val="auto"/>
          <w:lang w:bidi="zh-CN"/>
        </w:rPr>
        <w:t>4</w:t>
      </w:r>
      <w:r>
        <w:rPr>
          <w:color w:val="auto"/>
          <w:lang w:bidi="zh-CN"/>
        </w:rPr>
        <w:t>年基本污染物SO</w:t>
      </w:r>
      <w:r>
        <w:rPr>
          <w:color w:val="auto"/>
          <w:vertAlign w:val="subscript"/>
          <w:lang w:bidi="zh-CN"/>
        </w:rPr>
        <w:t>2</w:t>
      </w:r>
      <w:r>
        <w:rPr>
          <w:color w:val="auto"/>
          <w:lang w:bidi="zh-CN"/>
        </w:rPr>
        <w:t>、NO</w:t>
      </w:r>
      <w:r>
        <w:rPr>
          <w:color w:val="auto"/>
          <w:vertAlign w:val="subscript"/>
          <w:lang w:bidi="zh-CN"/>
        </w:rPr>
        <w:t>2</w:t>
      </w:r>
      <w:r>
        <w:rPr>
          <w:color w:val="auto"/>
          <w:lang w:bidi="zh-CN"/>
        </w:rPr>
        <w:t>年平均及24小时平均第98百分位数浓度达到《环境空气质量标准》（GB3095-2012）二级标准；PM</w:t>
      </w:r>
      <w:r>
        <w:rPr>
          <w:color w:val="auto"/>
          <w:vertAlign w:val="subscript"/>
          <w:lang w:bidi="zh-CN"/>
        </w:rPr>
        <w:t>10</w:t>
      </w:r>
      <w:r>
        <w:rPr>
          <w:color w:val="auto"/>
          <w:lang w:bidi="zh-CN"/>
        </w:rPr>
        <w:t>、PM</w:t>
      </w:r>
      <w:r>
        <w:rPr>
          <w:color w:val="auto"/>
          <w:vertAlign w:val="subscript"/>
          <w:lang w:bidi="zh-CN"/>
        </w:rPr>
        <w:t>2.5</w:t>
      </w:r>
      <w:r>
        <w:rPr>
          <w:color w:val="auto"/>
          <w:lang w:bidi="zh-CN"/>
        </w:rPr>
        <w:t>年平均及24小时平均第95百分位数浓度达到《环境空气质量标准》（GB3095-2012）二级标准；CO</w:t>
      </w:r>
      <w:r>
        <w:rPr>
          <w:rFonts w:hint="eastAsia"/>
          <w:color w:val="auto"/>
          <w:lang w:bidi="zh-CN"/>
        </w:rPr>
        <w:t>　</w:t>
      </w:r>
      <w:r>
        <w:rPr>
          <w:color w:val="auto"/>
          <w:lang w:bidi="zh-CN"/>
        </w:rPr>
        <w:t>24小时平均第95百分位数、O</w:t>
      </w:r>
      <w:r>
        <w:rPr>
          <w:color w:val="auto"/>
          <w:vertAlign w:val="subscript"/>
          <w:lang w:bidi="zh-CN"/>
        </w:rPr>
        <w:t>3</w:t>
      </w:r>
      <w:r>
        <w:rPr>
          <w:color w:val="auto"/>
          <w:lang w:bidi="zh-CN"/>
        </w:rPr>
        <w:t>日最大8小时平均第90百分位数浓度均达到《环境空气质量标准》（GB3095-2012）二级标准。</w:t>
      </w:r>
    </w:p>
    <w:p w14:paraId="3031BC24">
      <w:pPr>
        <w:pStyle w:val="4"/>
        <w:rPr>
          <w:color w:val="auto"/>
        </w:rPr>
      </w:pPr>
      <w:bookmarkStart w:id="421" w:name="_Toc216620541"/>
      <w:bookmarkStart w:id="422" w:name="_Toc136878477"/>
      <w:bookmarkStart w:id="423" w:name="_Toc135090229"/>
      <w:r>
        <w:rPr>
          <w:color w:val="auto"/>
        </w:rPr>
        <w:t>补充特征污染物环境质量现状评价</w:t>
      </w:r>
      <w:bookmarkEnd w:id="421"/>
      <w:bookmarkEnd w:id="422"/>
      <w:bookmarkEnd w:id="423"/>
    </w:p>
    <w:p w14:paraId="7F0B703E">
      <w:pPr>
        <w:ind w:firstLine="480"/>
        <w:rPr>
          <w:color w:val="auto"/>
        </w:rPr>
      </w:pPr>
      <w:r>
        <w:rPr>
          <w:color w:val="auto"/>
        </w:rPr>
        <w:t>1、监测点布设</w:t>
      </w:r>
    </w:p>
    <w:p w14:paraId="74DDF015">
      <w:pPr>
        <w:ind w:firstLine="480"/>
        <w:rPr>
          <w:color w:val="auto"/>
        </w:rPr>
      </w:pPr>
      <w:r>
        <w:rPr>
          <w:color w:val="auto"/>
        </w:rPr>
        <w:t>本次评价于在项目</w:t>
      </w:r>
      <w:r>
        <w:rPr>
          <w:rFonts w:hint="eastAsia"/>
          <w:color w:val="auto"/>
        </w:rPr>
        <w:t>码头前沿</w:t>
      </w:r>
      <w:r>
        <w:rPr>
          <w:color w:val="auto"/>
        </w:rPr>
        <w:t>设置</w:t>
      </w:r>
      <w:r>
        <w:rPr>
          <w:rFonts w:hint="eastAsia"/>
          <w:color w:val="auto"/>
        </w:rPr>
        <w:t>1</w:t>
      </w:r>
      <w:r>
        <w:rPr>
          <w:color w:val="auto"/>
        </w:rPr>
        <w:t>个大气环境质量现状监测点</w:t>
      </w:r>
      <w:r>
        <w:rPr>
          <w:color w:val="auto"/>
          <w:u w:val="single"/>
        </w:rPr>
        <w:t>，</w:t>
      </w:r>
      <w:r>
        <w:rPr>
          <w:rFonts w:hint="eastAsia"/>
          <w:color w:val="auto"/>
          <w:u w:val="single"/>
          <w:lang w:val="en-US" w:eastAsia="zh-CN"/>
        </w:rPr>
        <w:t>本次扩建项目甲基叔丁基醚（MTBE）、石脑油、蜡油、渣油、异辛烷（烷基化油）产生的废气以非甲烷总烃表征。</w:t>
      </w:r>
      <w:r>
        <w:rPr>
          <w:color w:val="auto"/>
        </w:rPr>
        <w:t>反映项目所在区域现状特征污染物环境质量情况，各监测点基本情况见表3.3-2。</w:t>
      </w:r>
    </w:p>
    <w:p w14:paraId="015055AF">
      <w:pPr>
        <w:pStyle w:val="14"/>
        <w:rPr>
          <w:color w:val="auto"/>
        </w:rPr>
      </w:pPr>
      <w:r>
        <w:rPr>
          <w:rFonts w:hint="eastAsia"/>
          <w:color w:val="auto"/>
        </w:rPr>
        <w:t>表</w:t>
      </w:r>
      <w:r>
        <w:rPr>
          <w:color w:val="auto"/>
        </w:rPr>
        <w:t>3.3</w:t>
      </w:r>
      <w:r>
        <w:rPr>
          <w:color w:val="auto"/>
        </w:rPr>
        <w:noBreakHyphen/>
      </w:r>
      <w:r>
        <w:rPr>
          <w:color w:val="auto"/>
        </w:rPr>
        <w:t>2</w:t>
      </w:r>
      <w:r>
        <w:rPr>
          <w:rFonts w:hint="eastAsia"/>
          <w:color w:val="auto"/>
        </w:rPr>
        <w:t>　　</w:t>
      </w:r>
      <w:r>
        <w:rPr>
          <w:color w:val="auto"/>
        </w:rPr>
        <w:t>空气质量现状监测点</w:t>
      </w:r>
    </w:p>
    <w:tbl>
      <w:tblPr>
        <w:tblStyle w:val="43"/>
        <w:tblW w:w="891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4"/>
        <w:gridCol w:w="1340"/>
        <w:gridCol w:w="1340"/>
        <w:gridCol w:w="1287"/>
        <w:gridCol w:w="3262"/>
        <w:gridCol w:w="992"/>
      </w:tblGrid>
      <w:tr w14:paraId="41E7C8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4" w:type="dxa"/>
            <w:vMerge w:val="restart"/>
            <w:tcBorders>
              <w:right w:val="single" w:color="auto" w:sz="4" w:space="0"/>
            </w:tcBorders>
            <w:tcMar>
              <w:left w:w="0" w:type="dxa"/>
              <w:right w:w="0" w:type="dxa"/>
            </w:tcMar>
            <w:vAlign w:val="center"/>
          </w:tcPr>
          <w:p w14:paraId="01F3DE63">
            <w:pPr>
              <w:pStyle w:val="91"/>
              <w:keepNext w:val="0"/>
              <w:keepLines w:val="0"/>
              <w:suppressLineNumbers w:val="0"/>
              <w:spacing w:before="0" w:beforeAutospacing="0" w:after="0" w:afterAutospacing="0"/>
              <w:ind w:left="0" w:right="0"/>
              <w:jc w:val="center"/>
              <w:rPr>
                <w:rFonts w:hint="default"/>
                <w:b/>
                <w:bCs/>
                <w:color w:val="auto"/>
              </w:rPr>
            </w:pPr>
            <w:r>
              <w:rPr>
                <w:rFonts w:hint="default"/>
                <w:b/>
                <w:bCs/>
                <w:color w:val="auto"/>
              </w:rPr>
              <w:t>点位名称</w:t>
            </w:r>
          </w:p>
        </w:tc>
        <w:tc>
          <w:tcPr>
            <w:tcW w:w="2680" w:type="dxa"/>
            <w:gridSpan w:val="2"/>
            <w:tcBorders>
              <w:left w:val="single" w:color="auto" w:sz="4" w:space="0"/>
              <w:bottom w:val="single" w:color="auto" w:sz="4" w:space="0"/>
              <w:right w:val="single" w:color="auto" w:sz="4" w:space="0"/>
            </w:tcBorders>
            <w:vAlign w:val="center"/>
          </w:tcPr>
          <w:p w14:paraId="03A73E35">
            <w:pPr>
              <w:pStyle w:val="91"/>
              <w:keepNext w:val="0"/>
              <w:keepLines w:val="0"/>
              <w:suppressLineNumbers w:val="0"/>
              <w:spacing w:before="0" w:beforeAutospacing="0" w:after="0" w:afterAutospacing="0"/>
              <w:ind w:left="0" w:right="0"/>
              <w:jc w:val="center"/>
              <w:rPr>
                <w:rFonts w:hint="default"/>
                <w:b/>
                <w:bCs/>
                <w:color w:val="auto"/>
              </w:rPr>
            </w:pPr>
            <w:r>
              <w:rPr>
                <w:rFonts w:hint="eastAsia"/>
                <w:b/>
                <w:bCs/>
                <w:color w:val="auto"/>
              </w:rPr>
              <w:t>监测点坐标</w:t>
            </w:r>
          </w:p>
        </w:tc>
        <w:tc>
          <w:tcPr>
            <w:tcW w:w="1287" w:type="dxa"/>
            <w:vMerge w:val="restart"/>
            <w:tcBorders>
              <w:left w:val="single" w:color="auto" w:sz="4" w:space="0"/>
              <w:right w:val="single" w:color="auto" w:sz="4" w:space="0"/>
            </w:tcBorders>
            <w:tcMar>
              <w:left w:w="0" w:type="dxa"/>
              <w:right w:w="0" w:type="dxa"/>
            </w:tcMar>
            <w:vAlign w:val="center"/>
          </w:tcPr>
          <w:p w14:paraId="420A25BF">
            <w:pPr>
              <w:pStyle w:val="91"/>
              <w:keepNext w:val="0"/>
              <w:keepLines w:val="0"/>
              <w:suppressLineNumbers w:val="0"/>
              <w:spacing w:before="0" w:beforeAutospacing="0" w:after="0" w:afterAutospacing="0"/>
              <w:ind w:left="0" w:right="0"/>
              <w:jc w:val="center"/>
              <w:rPr>
                <w:rFonts w:hint="default"/>
                <w:b/>
                <w:bCs/>
                <w:color w:val="auto"/>
              </w:rPr>
            </w:pPr>
            <w:r>
              <w:rPr>
                <w:rFonts w:hint="default"/>
                <w:b/>
                <w:bCs/>
                <w:color w:val="auto"/>
              </w:rPr>
              <w:t>监测因子</w:t>
            </w:r>
          </w:p>
        </w:tc>
        <w:tc>
          <w:tcPr>
            <w:tcW w:w="3262" w:type="dxa"/>
            <w:vMerge w:val="restart"/>
            <w:tcBorders>
              <w:left w:val="single" w:color="auto" w:sz="4" w:space="0"/>
              <w:right w:val="single" w:color="auto" w:sz="4" w:space="0"/>
            </w:tcBorders>
            <w:vAlign w:val="center"/>
          </w:tcPr>
          <w:p w14:paraId="1A56DB37">
            <w:pPr>
              <w:pStyle w:val="91"/>
              <w:keepNext w:val="0"/>
              <w:keepLines w:val="0"/>
              <w:suppressLineNumbers w:val="0"/>
              <w:spacing w:before="0" w:beforeAutospacing="0" w:after="0" w:afterAutospacing="0"/>
              <w:ind w:left="0" w:right="0"/>
              <w:jc w:val="center"/>
              <w:rPr>
                <w:rFonts w:hint="default"/>
                <w:b/>
                <w:bCs/>
                <w:color w:val="auto"/>
              </w:rPr>
            </w:pPr>
            <w:r>
              <w:rPr>
                <w:rFonts w:hint="eastAsia"/>
                <w:b/>
                <w:bCs/>
                <w:color w:val="auto"/>
              </w:rPr>
              <w:t>监测时段</w:t>
            </w:r>
          </w:p>
        </w:tc>
        <w:tc>
          <w:tcPr>
            <w:tcW w:w="992" w:type="dxa"/>
            <w:vMerge w:val="restart"/>
            <w:tcBorders>
              <w:left w:val="single" w:color="auto" w:sz="4" w:space="0"/>
              <w:right w:val="single" w:color="auto" w:sz="4" w:space="0"/>
            </w:tcBorders>
          </w:tcPr>
          <w:p w14:paraId="11248AA6">
            <w:pPr>
              <w:pStyle w:val="91"/>
              <w:keepNext w:val="0"/>
              <w:keepLines w:val="0"/>
              <w:suppressLineNumbers w:val="0"/>
              <w:spacing w:before="0" w:beforeAutospacing="0" w:after="0" w:afterAutospacing="0"/>
              <w:ind w:left="0" w:right="0"/>
              <w:rPr>
                <w:rFonts w:hint="default"/>
                <w:b/>
                <w:bCs/>
                <w:color w:val="auto"/>
              </w:rPr>
            </w:pPr>
            <w:r>
              <w:rPr>
                <w:rFonts w:hint="eastAsia"/>
                <w:b/>
                <w:bCs/>
                <w:color w:val="auto"/>
              </w:rPr>
              <w:t>相对厂址方位及距离</w:t>
            </w:r>
          </w:p>
        </w:tc>
      </w:tr>
      <w:tr w14:paraId="47695A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4" w:type="dxa"/>
            <w:vMerge w:val="continue"/>
            <w:tcBorders>
              <w:bottom w:val="single" w:color="auto" w:sz="4" w:space="0"/>
              <w:right w:val="single" w:color="auto" w:sz="4" w:space="0"/>
            </w:tcBorders>
            <w:tcMar>
              <w:left w:w="0" w:type="dxa"/>
              <w:right w:w="0" w:type="dxa"/>
            </w:tcMar>
            <w:vAlign w:val="center"/>
          </w:tcPr>
          <w:p w14:paraId="74070ADD">
            <w:pPr>
              <w:pStyle w:val="91"/>
              <w:keepNext w:val="0"/>
              <w:keepLines w:val="0"/>
              <w:suppressLineNumbers w:val="0"/>
              <w:spacing w:before="0" w:beforeAutospacing="0" w:after="0" w:afterAutospacing="0"/>
              <w:ind w:left="0" w:right="0"/>
              <w:rPr>
                <w:rFonts w:hint="default"/>
                <w:color w:val="auto"/>
              </w:rPr>
            </w:pPr>
          </w:p>
        </w:tc>
        <w:tc>
          <w:tcPr>
            <w:tcW w:w="1340" w:type="dxa"/>
            <w:tcBorders>
              <w:left w:val="single" w:color="auto" w:sz="4" w:space="0"/>
              <w:bottom w:val="single" w:color="auto" w:sz="4" w:space="0"/>
              <w:right w:val="single" w:color="auto" w:sz="4" w:space="0"/>
            </w:tcBorders>
            <w:vAlign w:val="center"/>
          </w:tcPr>
          <w:p w14:paraId="4D38C176">
            <w:pPr>
              <w:pStyle w:val="91"/>
              <w:keepNext w:val="0"/>
              <w:keepLines w:val="0"/>
              <w:suppressLineNumbers w:val="0"/>
              <w:spacing w:before="0" w:beforeAutospacing="0" w:after="0" w:afterAutospacing="0"/>
              <w:ind w:left="0" w:right="0"/>
              <w:jc w:val="center"/>
              <w:rPr>
                <w:rFonts w:hint="default"/>
                <w:b/>
                <w:bCs/>
                <w:color w:val="auto"/>
              </w:rPr>
            </w:pPr>
            <w:r>
              <w:rPr>
                <w:rFonts w:hint="eastAsia"/>
                <w:b/>
                <w:bCs/>
                <w:color w:val="auto"/>
              </w:rPr>
              <w:t>经度</w:t>
            </w:r>
          </w:p>
        </w:tc>
        <w:tc>
          <w:tcPr>
            <w:tcW w:w="1340" w:type="dxa"/>
            <w:tcBorders>
              <w:left w:val="single" w:color="auto" w:sz="4" w:space="0"/>
              <w:bottom w:val="single" w:color="auto" w:sz="4" w:space="0"/>
              <w:right w:val="single" w:color="auto" w:sz="4" w:space="0"/>
            </w:tcBorders>
            <w:vAlign w:val="center"/>
          </w:tcPr>
          <w:p w14:paraId="1562AB67">
            <w:pPr>
              <w:pStyle w:val="91"/>
              <w:keepNext w:val="0"/>
              <w:keepLines w:val="0"/>
              <w:suppressLineNumbers w:val="0"/>
              <w:spacing w:before="0" w:beforeAutospacing="0" w:after="0" w:afterAutospacing="0"/>
              <w:ind w:left="0" w:right="0"/>
              <w:jc w:val="center"/>
              <w:rPr>
                <w:rFonts w:hint="default"/>
                <w:b/>
                <w:bCs/>
                <w:color w:val="auto"/>
              </w:rPr>
            </w:pPr>
            <w:r>
              <w:rPr>
                <w:rFonts w:hint="eastAsia"/>
                <w:b/>
                <w:bCs/>
                <w:color w:val="auto"/>
              </w:rPr>
              <w:t>纬度</w:t>
            </w:r>
          </w:p>
        </w:tc>
        <w:tc>
          <w:tcPr>
            <w:tcW w:w="1287" w:type="dxa"/>
            <w:vMerge w:val="continue"/>
            <w:tcBorders>
              <w:left w:val="single" w:color="auto" w:sz="4" w:space="0"/>
              <w:bottom w:val="single" w:color="auto" w:sz="4" w:space="0"/>
              <w:right w:val="single" w:color="auto" w:sz="4" w:space="0"/>
            </w:tcBorders>
            <w:tcMar>
              <w:left w:w="0" w:type="dxa"/>
              <w:right w:w="0" w:type="dxa"/>
            </w:tcMar>
            <w:vAlign w:val="center"/>
          </w:tcPr>
          <w:p w14:paraId="0556589A">
            <w:pPr>
              <w:pStyle w:val="91"/>
              <w:keepNext w:val="0"/>
              <w:keepLines w:val="0"/>
              <w:suppressLineNumbers w:val="0"/>
              <w:spacing w:before="0" w:beforeAutospacing="0" w:after="0" w:afterAutospacing="0"/>
              <w:ind w:left="0" w:right="0"/>
              <w:rPr>
                <w:rFonts w:hint="default"/>
                <w:color w:val="auto"/>
              </w:rPr>
            </w:pPr>
          </w:p>
        </w:tc>
        <w:tc>
          <w:tcPr>
            <w:tcW w:w="3262" w:type="dxa"/>
            <w:vMerge w:val="continue"/>
            <w:tcBorders>
              <w:left w:val="single" w:color="auto" w:sz="4" w:space="0"/>
              <w:bottom w:val="single" w:color="auto" w:sz="4" w:space="0"/>
              <w:right w:val="single" w:color="auto" w:sz="4" w:space="0"/>
            </w:tcBorders>
          </w:tcPr>
          <w:p w14:paraId="5C91B8AD">
            <w:pPr>
              <w:pStyle w:val="91"/>
              <w:keepNext w:val="0"/>
              <w:keepLines w:val="0"/>
              <w:suppressLineNumbers w:val="0"/>
              <w:spacing w:before="0" w:beforeAutospacing="0" w:after="0" w:afterAutospacing="0"/>
              <w:ind w:left="0" w:right="0"/>
              <w:rPr>
                <w:rFonts w:hint="default"/>
                <w:color w:val="auto"/>
              </w:rPr>
            </w:pPr>
          </w:p>
        </w:tc>
        <w:tc>
          <w:tcPr>
            <w:tcW w:w="992" w:type="dxa"/>
            <w:vMerge w:val="continue"/>
            <w:tcBorders>
              <w:left w:val="single" w:color="auto" w:sz="4" w:space="0"/>
              <w:bottom w:val="single" w:color="auto" w:sz="4" w:space="0"/>
              <w:right w:val="single" w:color="auto" w:sz="4" w:space="0"/>
            </w:tcBorders>
          </w:tcPr>
          <w:p w14:paraId="5D66AF8B">
            <w:pPr>
              <w:pStyle w:val="91"/>
              <w:keepNext w:val="0"/>
              <w:keepLines w:val="0"/>
              <w:suppressLineNumbers w:val="0"/>
              <w:spacing w:before="0" w:beforeAutospacing="0" w:after="0" w:afterAutospacing="0"/>
              <w:ind w:left="0" w:right="0"/>
              <w:rPr>
                <w:rFonts w:hint="default"/>
                <w:color w:val="auto"/>
              </w:rPr>
            </w:pPr>
          </w:p>
        </w:tc>
      </w:tr>
      <w:tr w14:paraId="264F09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4" w:type="dxa"/>
            <w:tcBorders>
              <w:top w:val="single" w:color="auto" w:sz="4" w:space="0"/>
              <w:right w:val="single" w:color="auto" w:sz="4" w:space="0"/>
            </w:tcBorders>
            <w:tcMar>
              <w:left w:w="0" w:type="dxa"/>
              <w:right w:w="0" w:type="dxa"/>
            </w:tcMar>
            <w:vAlign w:val="center"/>
          </w:tcPr>
          <w:p w14:paraId="2FC22676">
            <w:pPr>
              <w:pStyle w:val="91"/>
              <w:keepNext w:val="0"/>
              <w:keepLines w:val="0"/>
              <w:suppressLineNumbers w:val="0"/>
              <w:spacing w:before="0" w:beforeAutospacing="0" w:after="0" w:afterAutospacing="0"/>
              <w:ind w:left="0" w:right="0"/>
              <w:rPr>
                <w:rFonts w:hint="default"/>
                <w:color w:val="auto"/>
              </w:rPr>
            </w:pPr>
            <w:r>
              <w:rPr>
                <w:rFonts w:hint="eastAsia"/>
                <w:color w:val="auto"/>
              </w:rPr>
              <w:t>A1</w:t>
            </w:r>
          </w:p>
        </w:tc>
        <w:tc>
          <w:tcPr>
            <w:tcW w:w="1340" w:type="dxa"/>
            <w:tcBorders>
              <w:top w:val="single" w:color="auto" w:sz="4" w:space="0"/>
              <w:left w:val="single" w:color="auto" w:sz="4" w:space="0"/>
              <w:right w:val="single" w:color="auto" w:sz="4" w:space="0"/>
            </w:tcBorders>
          </w:tcPr>
          <w:p w14:paraId="464A52A9">
            <w:pPr>
              <w:pStyle w:val="91"/>
              <w:keepNext w:val="0"/>
              <w:keepLines w:val="0"/>
              <w:suppressLineNumbers w:val="0"/>
              <w:spacing w:before="0" w:beforeAutospacing="0" w:after="0" w:afterAutospacing="0"/>
              <w:ind w:left="0" w:right="0"/>
              <w:rPr>
                <w:rFonts w:hint="default"/>
                <w:color w:val="auto"/>
              </w:rPr>
            </w:pPr>
            <w:r>
              <w:rPr>
                <w:rFonts w:hint="default"/>
                <w:color w:val="auto"/>
              </w:rPr>
              <w:t>108.612161903</w:t>
            </w:r>
            <w:r>
              <w:rPr>
                <w:rFonts w:hint="eastAsia"/>
                <w:color w:val="auto"/>
              </w:rPr>
              <w:t>°</w:t>
            </w:r>
          </w:p>
        </w:tc>
        <w:tc>
          <w:tcPr>
            <w:tcW w:w="1340" w:type="dxa"/>
            <w:tcBorders>
              <w:top w:val="single" w:color="auto" w:sz="4" w:space="0"/>
              <w:left w:val="single" w:color="auto" w:sz="4" w:space="0"/>
              <w:right w:val="single" w:color="auto" w:sz="4" w:space="0"/>
            </w:tcBorders>
          </w:tcPr>
          <w:p w14:paraId="2C51F669">
            <w:pPr>
              <w:pStyle w:val="91"/>
              <w:keepNext w:val="0"/>
              <w:keepLines w:val="0"/>
              <w:suppressLineNumbers w:val="0"/>
              <w:spacing w:before="0" w:beforeAutospacing="0" w:after="0" w:afterAutospacing="0"/>
              <w:ind w:left="0" w:right="0"/>
              <w:rPr>
                <w:rFonts w:hint="default"/>
                <w:color w:val="auto"/>
              </w:rPr>
            </w:pPr>
            <w:r>
              <w:rPr>
                <w:rFonts w:hint="default"/>
                <w:color w:val="auto"/>
              </w:rPr>
              <w:t>21.697097820</w:t>
            </w:r>
            <w:r>
              <w:rPr>
                <w:rFonts w:hint="eastAsia"/>
                <w:color w:val="auto"/>
              </w:rPr>
              <w:t>°</w:t>
            </w:r>
          </w:p>
        </w:tc>
        <w:tc>
          <w:tcPr>
            <w:tcW w:w="1287" w:type="dxa"/>
            <w:tcBorders>
              <w:top w:val="single" w:color="auto" w:sz="4" w:space="0"/>
              <w:left w:val="single" w:color="auto" w:sz="4" w:space="0"/>
              <w:right w:val="single" w:color="auto" w:sz="4" w:space="0"/>
            </w:tcBorders>
            <w:tcMar>
              <w:left w:w="0" w:type="dxa"/>
              <w:right w:w="0" w:type="dxa"/>
            </w:tcMar>
            <w:vAlign w:val="center"/>
          </w:tcPr>
          <w:p w14:paraId="5F66EBE4">
            <w:pPr>
              <w:pStyle w:val="91"/>
              <w:keepNext w:val="0"/>
              <w:keepLines w:val="0"/>
              <w:suppressLineNumbers w:val="0"/>
              <w:spacing w:before="0" w:beforeAutospacing="0" w:after="0" w:afterAutospacing="0"/>
              <w:ind w:left="0" w:right="0"/>
              <w:rPr>
                <w:rFonts w:hint="default"/>
                <w:color w:val="auto"/>
              </w:rPr>
            </w:pPr>
            <w:r>
              <w:rPr>
                <w:rFonts w:hint="default"/>
                <w:color w:val="auto"/>
              </w:rPr>
              <w:t>非甲烷总烃</w:t>
            </w:r>
          </w:p>
        </w:tc>
        <w:tc>
          <w:tcPr>
            <w:tcW w:w="3262" w:type="dxa"/>
            <w:tcBorders>
              <w:top w:val="single" w:color="auto" w:sz="4" w:space="0"/>
              <w:left w:val="single" w:color="auto" w:sz="4" w:space="0"/>
              <w:right w:val="single" w:color="auto" w:sz="4" w:space="0"/>
            </w:tcBorders>
          </w:tcPr>
          <w:p w14:paraId="0A746A31">
            <w:pPr>
              <w:pStyle w:val="91"/>
              <w:keepNext w:val="0"/>
              <w:keepLines w:val="0"/>
              <w:suppressLineNumbers w:val="0"/>
              <w:spacing w:before="0" w:beforeAutospacing="0" w:after="0" w:afterAutospacing="0"/>
              <w:ind w:left="0" w:right="0"/>
              <w:rPr>
                <w:rFonts w:hint="default"/>
                <w:color w:val="auto"/>
              </w:rPr>
            </w:pPr>
            <w:r>
              <w:rPr>
                <w:rFonts w:hint="eastAsia"/>
                <w:color w:val="auto"/>
              </w:rPr>
              <w:t>连续采样7天，每天采样4次，2025年11月27日至</w:t>
            </w:r>
            <w:r>
              <w:rPr>
                <w:rFonts w:hint="eastAsia"/>
                <w:color w:val="auto"/>
                <w:lang w:eastAsia="zh-CN"/>
              </w:rPr>
              <w:t>12月3日</w:t>
            </w:r>
          </w:p>
        </w:tc>
        <w:tc>
          <w:tcPr>
            <w:tcW w:w="992" w:type="dxa"/>
            <w:tcBorders>
              <w:top w:val="single" w:color="auto" w:sz="4" w:space="0"/>
              <w:left w:val="single" w:color="auto" w:sz="4" w:space="0"/>
              <w:right w:val="single" w:color="auto" w:sz="4" w:space="0"/>
            </w:tcBorders>
          </w:tcPr>
          <w:p w14:paraId="2F1A7D8B">
            <w:pPr>
              <w:pStyle w:val="91"/>
              <w:keepNext w:val="0"/>
              <w:keepLines w:val="0"/>
              <w:suppressLineNumbers w:val="0"/>
              <w:spacing w:before="0" w:beforeAutospacing="0" w:after="0" w:afterAutospacing="0"/>
              <w:ind w:left="0" w:right="0"/>
              <w:rPr>
                <w:rFonts w:hint="default"/>
                <w:color w:val="auto"/>
              </w:rPr>
            </w:pPr>
            <w:r>
              <w:rPr>
                <w:rFonts w:hint="eastAsia"/>
                <w:color w:val="auto"/>
              </w:rPr>
              <w:t>码头前沿</w:t>
            </w:r>
          </w:p>
        </w:tc>
      </w:tr>
    </w:tbl>
    <w:p w14:paraId="41310795">
      <w:pPr>
        <w:ind w:firstLine="480"/>
        <w:rPr>
          <w:color w:val="auto"/>
        </w:rPr>
      </w:pPr>
      <w:r>
        <w:rPr>
          <w:color w:val="auto"/>
        </w:rPr>
        <w:t>2、监测方法</w:t>
      </w:r>
    </w:p>
    <w:p w14:paraId="10FCAB69">
      <w:pPr>
        <w:pStyle w:val="14"/>
        <w:rPr>
          <w:color w:val="auto"/>
        </w:rPr>
      </w:pPr>
      <w:r>
        <w:rPr>
          <w:rFonts w:hint="eastAsia"/>
          <w:color w:val="auto"/>
        </w:rPr>
        <w:t>表</w:t>
      </w:r>
      <w:r>
        <w:rPr>
          <w:color w:val="auto"/>
        </w:rPr>
        <w:t>3.3</w:t>
      </w:r>
      <w:r>
        <w:rPr>
          <w:color w:val="auto"/>
        </w:rPr>
        <w:noBreakHyphen/>
      </w:r>
      <w:r>
        <w:rPr>
          <w:color w:val="auto"/>
        </w:rPr>
        <w:t>3</w:t>
      </w:r>
      <w:r>
        <w:rPr>
          <w:rFonts w:hint="eastAsia"/>
          <w:color w:val="auto"/>
        </w:rPr>
        <w:t>　　</w:t>
      </w:r>
      <w:r>
        <w:rPr>
          <w:color w:val="auto"/>
        </w:rPr>
        <w:t>大气污染物监测方法一览表</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75"/>
        <w:gridCol w:w="4976"/>
        <w:gridCol w:w="1891"/>
      </w:tblGrid>
      <w:tr w14:paraId="5B11E3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175" w:type="dxa"/>
            <w:vMerge w:val="restart"/>
            <w:tcBorders>
              <w:bottom w:val="single" w:color="auto" w:sz="4" w:space="0"/>
              <w:right w:val="single" w:color="auto" w:sz="4" w:space="0"/>
            </w:tcBorders>
            <w:vAlign w:val="center"/>
          </w:tcPr>
          <w:p w14:paraId="48488B2C">
            <w:pPr>
              <w:pStyle w:val="77"/>
              <w:keepNext w:val="0"/>
              <w:keepLines w:val="0"/>
              <w:suppressLineNumbers w:val="0"/>
              <w:spacing w:before="0" w:beforeAutospacing="0" w:after="0" w:afterAutospacing="0" w:line="300" w:lineRule="exact"/>
              <w:ind w:left="0" w:right="0"/>
              <w:rPr>
                <w:rFonts w:hint="default"/>
                <w:b/>
                <w:bCs/>
                <w:color w:val="auto"/>
              </w:rPr>
            </w:pPr>
            <w:r>
              <w:rPr>
                <w:rFonts w:hint="default"/>
                <w:b/>
                <w:bCs/>
                <w:color w:val="auto"/>
              </w:rPr>
              <w:t>检测项目</w:t>
            </w:r>
          </w:p>
        </w:tc>
        <w:tc>
          <w:tcPr>
            <w:tcW w:w="6867" w:type="dxa"/>
            <w:gridSpan w:val="2"/>
            <w:tcBorders>
              <w:left w:val="single" w:color="auto" w:sz="4" w:space="0"/>
              <w:bottom w:val="single" w:color="auto" w:sz="4" w:space="0"/>
            </w:tcBorders>
            <w:vAlign w:val="center"/>
          </w:tcPr>
          <w:p w14:paraId="22100162">
            <w:pPr>
              <w:pStyle w:val="77"/>
              <w:keepNext w:val="0"/>
              <w:keepLines w:val="0"/>
              <w:suppressLineNumbers w:val="0"/>
              <w:spacing w:before="0" w:beforeAutospacing="0" w:after="0" w:afterAutospacing="0" w:line="300" w:lineRule="exact"/>
              <w:ind w:left="0" w:right="0"/>
              <w:rPr>
                <w:rFonts w:hint="default"/>
                <w:b/>
                <w:bCs/>
                <w:color w:val="auto"/>
              </w:rPr>
            </w:pPr>
            <w:r>
              <w:rPr>
                <w:rFonts w:hint="default"/>
                <w:b/>
                <w:bCs/>
                <w:color w:val="auto"/>
              </w:rPr>
              <w:t>检测依据</w:t>
            </w:r>
          </w:p>
        </w:tc>
      </w:tr>
      <w:tr w14:paraId="5DAA9E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175" w:type="dxa"/>
            <w:vMerge w:val="continue"/>
            <w:tcBorders>
              <w:top w:val="single" w:color="auto" w:sz="4" w:space="0"/>
              <w:bottom w:val="single" w:color="auto" w:sz="4" w:space="0"/>
              <w:right w:val="single" w:color="auto" w:sz="4" w:space="0"/>
            </w:tcBorders>
            <w:vAlign w:val="center"/>
          </w:tcPr>
          <w:p w14:paraId="585AD361">
            <w:pPr>
              <w:pStyle w:val="77"/>
              <w:keepNext w:val="0"/>
              <w:keepLines w:val="0"/>
              <w:suppressLineNumbers w:val="0"/>
              <w:spacing w:before="0" w:beforeAutospacing="0" w:after="0" w:afterAutospacing="0" w:line="300" w:lineRule="exact"/>
              <w:ind w:left="0" w:right="0"/>
              <w:rPr>
                <w:rFonts w:hint="default"/>
                <w:b/>
                <w:bCs/>
                <w:color w:val="auto"/>
                <w:lang w:val="zh-CN" w:bidi="zh-CN"/>
              </w:rPr>
            </w:pPr>
          </w:p>
        </w:tc>
        <w:tc>
          <w:tcPr>
            <w:tcW w:w="4976" w:type="dxa"/>
            <w:tcBorders>
              <w:top w:val="single" w:color="auto" w:sz="4" w:space="0"/>
              <w:left w:val="single" w:color="auto" w:sz="4" w:space="0"/>
              <w:bottom w:val="single" w:color="auto" w:sz="4" w:space="0"/>
              <w:right w:val="single" w:color="auto" w:sz="4" w:space="0"/>
            </w:tcBorders>
            <w:vAlign w:val="center"/>
          </w:tcPr>
          <w:p w14:paraId="2F6C0489">
            <w:pPr>
              <w:pStyle w:val="77"/>
              <w:keepNext w:val="0"/>
              <w:keepLines w:val="0"/>
              <w:suppressLineNumbers w:val="0"/>
              <w:spacing w:before="0" w:beforeAutospacing="0" w:after="0" w:afterAutospacing="0" w:line="300" w:lineRule="exact"/>
              <w:ind w:left="0" w:right="0"/>
              <w:rPr>
                <w:rFonts w:hint="default"/>
                <w:b/>
                <w:bCs/>
                <w:color w:val="auto"/>
              </w:rPr>
            </w:pPr>
            <w:r>
              <w:rPr>
                <w:rFonts w:hint="default"/>
                <w:b/>
                <w:bCs/>
                <w:color w:val="auto"/>
              </w:rPr>
              <w:t>方法来源</w:t>
            </w:r>
          </w:p>
        </w:tc>
        <w:tc>
          <w:tcPr>
            <w:tcW w:w="1891" w:type="dxa"/>
            <w:tcBorders>
              <w:top w:val="single" w:color="auto" w:sz="4" w:space="0"/>
              <w:left w:val="single" w:color="auto" w:sz="4" w:space="0"/>
              <w:bottom w:val="single" w:color="auto" w:sz="4" w:space="0"/>
            </w:tcBorders>
            <w:vAlign w:val="center"/>
          </w:tcPr>
          <w:p w14:paraId="5DF6BC82">
            <w:pPr>
              <w:pStyle w:val="77"/>
              <w:keepNext w:val="0"/>
              <w:keepLines w:val="0"/>
              <w:suppressLineNumbers w:val="0"/>
              <w:spacing w:before="0" w:beforeAutospacing="0" w:after="0" w:afterAutospacing="0" w:line="300" w:lineRule="exact"/>
              <w:ind w:left="0" w:right="0"/>
              <w:rPr>
                <w:rFonts w:hint="default"/>
                <w:b/>
                <w:bCs/>
                <w:color w:val="auto"/>
              </w:rPr>
            </w:pPr>
            <w:r>
              <w:rPr>
                <w:rFonts w:hint="default"/>
                <w:b/>
                <w:bCs/>
                <w:color w:val="auto"/>
              </w:rPr>
              <w:t>检出限</w:t>
            </w:r>
          </w:p>
        </w:tc>
      </w:tr>
      <w:tr w14:paraId="2DF798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175" w:type="dxa"/>
            <w:tcBorders>
              <w:top w:val="single" w:color="auto" w:sz="4" w:space="0"/>
              <w:bottom w:val="single" w:color="auto" w:sz="4" w:space="0"/>
              <w:right w:val="single" w:color="auto" w:sz="4" w:space="0"/>
            </w:tcBorders>
            <w:vAlign w:val="center"/>
          </w:tcPr>
          <w:p w14:paraId="7595DEFC">
            <w:pPr>
              <w:pStyle w:val="77"/>
              <w:keepNext w:val="0"/>
              <w:keepLines w:val="0"/>
              <w:suppressLineNumbers w:val="0"/>
              <w:spacing w:before="0" w:beforeAutospacing="0" w:after="0" w:afterAutospacing="0" w:line="300" w:lineRule="exact"/>
              <w:ind w:left="0" w:right="0"/>
              <w:rPr>
                <w:rFonts w:hint="default"/>
                <w:color w:val="auto"/>
              </w:rPr>
            </w:pPr>
            <w:r>
              <w:rPr>
                <w:rFonts w:hint="default"/>
                <w:color w:val="auto"/>
              </w:rPr>
              <w:t>非甲烷总烃</w:t>
            </w:r>
          </w:p>
        </w:tc>
        <w:tc>
          <w:tcPr>
            <w:tcW w:w="4976" w:type="dxa"/>
            <w:tcBorders>
              <w:top w:val="single" w:color="auto" w:sz="4" w:space="0"/>
              <w:left w:val="single" w:color="auto" w:sz="4" w:space="0"/>
              <w:bottom w:val="single" w:color="auto" w:sz="4" w:space="0"/>
              <w:right w:val="single" w:color="auto" w:sz="4" w:space="0"/>
            </w:tcBorders>
            <w:vAlign w:val="center"/>
          </w:tcPr>
          <w:p w14:paraId="119853B9">
            <w:pPr>
              <w:pStyle w:val="77"/>
              <w:keepNext w:val="0"/>
              <w:keepLines w:val="0"/>
              <w:suppressLineNumbers w:val="0"/>
              <w:spacing w:before="0" w:beforeAutospacing="0" w:after="0" w:afterAutospacing="0" w:line="300" w:lineRule="exact"/>
              <w:ind w:left="0" w:right="0"/>
              <w:rPr>
                <w:rFonts w:hint="default"/>
                <w:color w:val="auto"/>
                <w:spacing w:val="-10"/>
              </w:rPr>
            </w:pPr>
            <w:r>
              <w:rPr>
                <w:rFonts w:hint="default"/>
                <w:color w:val="auto"/>
                <w:spacing w:val="-10"/>
              </w:rPr>
              <w:t>环境空气总烃、甲烷和非甲烷总烃的测定直接进样-气相色谱法HJ604-2017</w:t>
            </w:r>
          </w:p>
        </w:tc>
        <w:tc>
          <w:tcPr>
            <w:tcW w:w="1891" w:type="dxa"/>
            <w:tcBorders>
              <w:top w:val="single" w:color="auto" w:sz="4" w:space="0"/>
              <w:left w:val="single" w:color="auto" w:sz="4" w:space="0"/>
              <w:bottom w:val="single" w:color="auto" w:sz="4" w:space="0"/>
            </w:tcBorders>
            <w:vAlign w:val="center"/>
          </w:tcPr>
          <w:p w14:paraId="1BD0A285">
            <w:pPr>
              <w:pStyle w:val="77"/>
              <w:keepNext w:val="0"/>
              <w:keepLines w:val="0"/>
              <w:suppressLineNumbers w:val="0"/>
              <w:spacing w:before="0" w:beforeAutospacing="0" w:after="0" w:afterAutospacing="0" w:line="300" w:lineRule="exact"/>
              <w:ind w:left="0" w:right="0"/>
              <w:rPr>
                <w:rFonts w:hint="default"/>
                <w:color w:val="auto"/>
              </w:rPr>
            </w:pPr>
            <w:r>
              <w:rPr>
                <w:rFonts w:hint="default"/>
                <w:color w:val="auto"/>
              </w:rPr>
              <w:t>0.07mg/m</w:t>
            </w:r>
            <w:r>
              <w:rPr>
                <w:rFonts w:hint="default"/>
                <w:color w:val="auto"/>
                <w:vertAlign w:val="superscript"/>
              </w:rPr>
              <w:t>3</w:t>
            </w:r>
          </w:p>
        </w:tc>
      </w:tr>
    </w:tbl>
    <w:p w14:paraId="0EA79AA1">
      <w:pPr>
        <w:ind w:firstLine="480"/>
        <w:rPr>
          <w:color w:val="auto"/>
          <w:kern w:val="0"/>
          <w:szCs w:val="22"/>
        </w:rPr>
      </w:pPr>
      <w:r>
        <w:rPr>
          <w:color w:val="auto"/>
          <w:kern w:val="0"/>
          <w:szCs w:val="22"/>
        </w:rPr>
        <w:t>3、评价标准</w:t>
      </w:r>
    </w:p>
    <w:p w14:paraId="4EE3DE2A">
      <w:pPr>
        <w:ind w:firstLine="464"/>
        <w:rPr>
          <w:color w:val="auto"/>
          <w:spacing w:val="-4"/>
          <w:kern w:val="0"/>
          <w:szCs w:val="22"/>
        </w:rPr>
      </w:pPr>
      <w:r>
        <w:rPr>
          <w:color w:val="auto"/>
          <w:spacing w:val="-4"/>
          <w:kern w:val="0"/>
          <w:szCs w:val="22"/>
        </w:rPr>
        <w:t>执行</w:t>
      </w:r>
      <w:r>
        <w:rPr>
          <w:color w:val="auto"/>
          <w:kern w:val="0"/>
          <w:szCs w:val="22"/>
        </w:rPr>
        <w:t>《环境空气质</w:t>
      </w:r>
      <w:r>
        <w:rPr>
          <w:color w:val="auto"/>
          <w:spacing w:val="-4"/>
          <w:kern w:val="0"/>
          <w:szCs w:val="22"/>
        </w:rPr>
        <w:t>量标准》（</w:t>
      </w:r>
      <w:r>
        <w:rPr>
          <w:color w:val="auto"/>
          <w:kern w:val="0"/>
          <w:szCs w:val="22"/>
        </w:rPr>
        <w:t>GB3095-2012）</w:t>
      </w:r>
      <w:r>
        <w:rPr>
          <w:color w:val="auto"/>
          <w:spacing w:val="-4"/>
          <w:kern w:val="0"/>
          <w:szCs w:val="22"/>
        </w:rPr>
        <w:t>中的二级标准</w:t>
      </w:r>
      <w:r>
        <w:rPr>
          <w:rFonts w:hint="eastAsia"/>
          <w:color w:val="auto"/>
          <w:spacing w:val="-4"/>
          <w:kern w:val="0"/>
          <w:szCs w:val="22"/>
        </w:rPr>
        <w:t>，</w:t>
      </w:r>
      <w:r>
        <w:rPr>
          <w:color w:val="auto"/>
          <w:spacing w:val="-4"/>
          <w:kern w:val="0"/>
          <w:szCs w:val="22"/>
        </w:rPr>
        <w:t>详见表1.</w:t>
      </w:r>
      <w:r>
        <w:rPr>
          <w:rFonts w:hint="eastAsia"/>
          <w:color w:val="auto"/>
          <w:spacing w:val="-4"/>
          <w:kern w:val="0"/>
          <w:szCs w:val="22"/>
        </w:rPr>
        <w:t>３</w:t>
      </w:r>
      <w:r>
        <w:rPr>
          <w:color w:val="auto"/>
          <w:spacing w:val="-4"/>
          <w:kern w:val="0"/>
          <w:szCs w:val="22"/>
        </w:rPr>
        <w:t>-</w:t>
      </w:r>
      <w:r>
        <w:rPr>
          <w:rFonts w:hint="eastAsia"/>
          <w:color w:val="auto"/>
          <w:spacing w:val="-4"/>
          <w:kern w:val="0"/>
          <w:szCs w:val="22"/>
        </w:rPr>
        <w:t>1</w:t>
      </w:r>
      <w:r>
        <w:rPr>
          <w:color w:val="auto"/>
          <w:spacing w:val="-4"/>
          <w:kern w:val="0"/>
          <w:szCs w:val="22"/>
        </w:rPr>
        <w:t>。</w:t>
      </w:r>
    </w:p>
    <w:p w14:paraId="16CEDCA2">
      <w:pPr>
        <w:ind w:firstLine="480"/>
        <w:rPr>
          <w:color w:val="auto"/>
          <w:kern w:val="0"/>
        </w:rPr>
      </w:pPr>
      <w:r>
        <w:rPr>
          <w:color w:val="auto"/>
          <w:kern w:val="0"/>
          <w:szCs w:val="22"/>
        </w:rPr>
        <w:t>4、评价方法</w:t>
      </w:r>
    </w:p>
    <w:p w14:paraId="18F2F17F">
      <w:pPr>
        <w:ind w:firstLine="480"/>
        <w:rPr>
          <w:color w:val="auto"/>
        </w:rPr>
      </w:pPr>
      <w:r>
        <w:rPr>
          <w:color w:val="auto"/>
        </w:rPr>
        <w:t>采用单因子指数法。</w:t>
      </w:r>
    </w:p>
    <w:p w14:paraId="3B2742EB">
      <w:pPr>
        <w:ind w:firstLine="480"/>
        <w:rPr>
          <w:color w:val="auto"/>
        </w:rPr>
      </w:pPr>
      <w:r>
        <w:rPr>
          <w:color w:val="auto"/>
        </w:rPr>
        <w:t>公式为：</w:t>
      </w:r>
      <w:r>
        <w:rPr>
          <w:i/>
          <w:color w:val="auto"/>
        </w:rPr>
        <w:t>P</w:t>
      </w:r>
      <w:r>
        <w:rPr>
          <w:i/>
          <w:color w:val="auto"/>
          <w:vertAlign w:val="subscript"/>
        </w:rPr>
        <w:t>i</w:t>
      </w:r>
      <w:r>
        <w:rPr>
          <w:color w:val="auto"/>
        </w:rPr>
        <w:t>＝</w:t>
      </w:r>
      <w:r>
        <w:rPr>
          <w:i/>
          <w:color w:val="auto"/>
        </w:rPr>
        <w:t>C</w:t>
      </w:r>
      <w:r>
        <w:rPr>
          <w:i/>
          <w:color w:val="auto"/>
          <w:vertAlign w:val="subscript"/>
        </w:rPr>
        <w:t>i</w:t>
      </w:r>
      <w:r>
        <w:rPr>
          <w:i/>
          <w:color w:val="auto"/>
        </w:rPr>
        <w:t>／S</w:t>
      </w:r>
      <w:r>
        <w:rPr>
          <w:i/>
          <w:color w:val="auto"/>
          <w:vertAlign w:val="subscript"/>
        </w:rPr>
        <w:t>i</w:t>
      </w:r>
    </w:p>
    <w:p w14:paraId="6C3F0A89">
      <w:pPr>
        <w:ind w:firstLine="480"/>
        <w:rPr>
          <w:color w:val="auto"/>
        </w:rPr>
      </w:pPr>
      <w:r>
        <w:rPr>
          <w:color w:val="auto"/>
        </w:rPr>
        <w:t>式中：</w:t>
      </w:r>
      <w:r>
        <w:rPr>
          <w:i/>
          <w:iCs/>
          <w:color w:val="auto"/>
        </w:rPr>
        <w:t>P</w:t>
      </w:r>
      <w:r>
        <w:rPr>
          <w:i/>
          <w:iCs/>
          <w:color w:val="auto"/>
          <w:vertAlign w:val="subscript"/>
        </w:rPr>
        <w:t>i</w:t>
      </w:r>
      <w:r>
        <w:rPr>
          <w:color w:val="auto"/>
        </w:rPr>
        <w:t>——某污染物的单项质量指数；</w:t>
      </w:r>
    </w:p>
    <w:p w14:paraId="49840974">
      <w:pPr>
        <w:ind w:firstLine="480"/>
        <w:rPr>
          <w:color w:val="auto"/>
        </w:rPr>
      </w:pPr>
      <w:r>
        <w:rPr>
          <w:i/>
          <w:iCs/>
          <w:color w:val="auto"/>
        </w:rPr>
        <w:t>C</w:t>
      </w:r>
      <w:r>
        <w:rPr>
          <w:i/>
          <w:iCs/>
          <w:color w:val="auto"/>
          <w:vertAlign w:val="subscript"/>
        </w:rPr>
        <w:t>i</w:t>
      </w:r>
      <w:r>
        <w:rPr>
          <w:color w:val="auto"/>
        </w:rPr>
        <w:t>——某污染物的实测浓度，mg/m</w:t>
      </w:r>
      <w:r>
        <w:rPr>
          <w:color w:val="auto"/>
          <w:vertAlign w:val="superscript"/>
        </w:rPr>
        <w:t>3</w:t>
      </w:r>
      <w:r>
        <w:rPr>
          <w:color w:val="auto"/>
        </w:rPr>
        <w:t>；</w:t>
      </w:r>
    </w:p>
    <w:p w14:paraId="696B7F54">
      <w:pPr>
        <w:ind w:firstLine="480"/>
        <w:rPr>
          <w:color w:val="auto"/>
        </w:rPr>
      </w:pPr>
      <w:r>
        <w:rPr>
          <w:i/>
          <w:iCs/>
          <w:color w:val="auto"/>
        </w:rPr>
        <w:t>S</w:t>
      </w:r>
      <w:r>
        <w:rPr>
          <w:i/>
          <w:iCs/>
          <w:color w:val="auto"/>
          <w:vertAlign w:val="subscript"/>
        </w:rPr>
        <w:t>i</w:t>
      </w:r>
      <w:r>
        <w:rPr>
          <w:color w:val="auto"/>
        </w:rPr>
        <w:t>——某污染物的评价标准限值，mg/m</w:t>
      </w:r>
      <w:r>
        <w:rPr>
          <w:color w:val="auto"/>
          <w:vertAlign w:val="superscript"/>
        </w:rPr>
        <w:t>3</w:t>
      </w:r>
      <w:r>
        <w:rPr>
          <w:color w:val="auto"/>
        </w:rPr>
        <w:t>。</w:t>
      </w:r>
    </w:p>
    <w:p w14:paraId="5C00B1B3">
      <w:pPr>
        <w:ind w:firstLine="480"/>
        <w:rPr>
          <w:color w:val="auto"/>
        </w:rPr>
      </w:pPr>
      <w:r>
        <w:rPr>
          <w:color w:val="auto"/>
        </w:rPr>
        <w:t>5、监测结果及评价</w:t>
      </w:r>
    </w:p>
    <w:p w14:paraId="21AE075B">
      <w:pPr>
        <w:ind w:firstLine="480"/>
        <w:rPr>
          <w:color w:val="auto"/>
        </w:rPr>
      </w:pPr>
      <w:r>
        <w:rPr>
          <w:rFonts w:hint="eastAsia"/>
          <w:color w:val="auto"/>
        </w:rPr>
        <w:t>现场监测期间，气象参数、详细监测结果见附件15，监测结果统计见下表。</w:t>
      </w:r>
    </w:p>
    <w:p w14:paraId="2C5CF40B">
      <w:pPr>
        <w:pStyle w:val="14"/>
        <w:rPr>
          <w:color w:val="auto"/>
        </w:rPr>
      </w:pPr>
      <w:r>
        <w:rPr>
          <w:rFonts w:hint="eastAsia"/>
          <w:color w:val="auto"/>
        </w:rPr>
        <w:t>表</w:t>
      </w:r>
      <w:r>
        <w:rPr>
          <w:color w:val="auto"/>
        </w:rPr>
        <w:t>3.3</w:t>
      </w:r>
      <w:r>
        <w:rPr>
          <w:color w:val="auto"/>
        </w:rPr>
        <w:noBreakHyphen/>
      </w:r>
      <w:r>
        <w:rPr>
          <w:color w:val="auto"/>
        </w:rPr>
        <w:t>4</w:t>
      </w:r>
      <w:r>
        <w:rPr>
          <w:rFonts w:hint="eastAsia"/>
          <w:color w:val="auto"/>
        </w:rPr>
        <w:t>　　环境空气现状监测统计结果</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994"/>
        <w:gridCol w:w="916"/>
        <w:gridCol w:w="1006"/>
        <w:gridCol w:w="947"/>
        <w:gridCol w:w="977"/>
        <w:gridCol w:w="1052"/>
        <w:gridCol w:w="1171"/>
        <w:gridCol w:w="946"/>
        <w:gridCol w:w="705"/>
        <w:gridCol w:w="696"/>
      </w:tblGrid>
      <w:tr w14:paraId="00953C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28" w:type="pct"/>
            <w:vMerge w:val="restart"/>
            <w:vAlign w:val="center"/>
          </w:tcPr>
          <w:p w14:paraId="050B1680">
            <w:pPr>
              <w:pStyle w:val="91"/>
              <w:keepNext w:val="0"/>
              <w:keepLines w:val="0"/>
              <w:suppressLineNumbers w:val="0"/>
              <w:spacing w:before="0" w:beforeAutospacing="0" w:after="0" w:afterAutospacing="0"/>
              <w:ind w:left="0" w:right="0"/>
              <w:rPr>
                <w:rFonts w:hint="default"/>
                <w:color w:val="auto"/>
              </w:rPr>
            </w:pPr>
            <w:r>
              <w:rPr>
                <w:rFonts w:hint="default"/>
                <w:color w:val="auto"/>
              </w:rPr>
              <w:t>监测点</w:t>
            </w:r>
          </w:p>
        </w:tc>
        <w:tc>
          <w:tcPr>
            <w:tcW w:w="1022" w:type="pct"/>
            <w:gridSpan w:val="2"/>
            <w:tcBorders>
              <w:bottom w:val="single" w:color="auto" w:sz="4" w:space="0"/>
            </w:tcBorders>
            <w:vAlign w:val="center"/>
          </w:tcPr>
          <w:p w14:paraId="156AF170">
            <w:pPr>
              <w:pStyle w:val="91"/>
              <w:keepNext w:val="0"/>
              <w:keepLines w:val="0"/>
              <w:suppressLineNumbers w:val="0"/>
              <w:spacing w:before="0" w:beforeAutospacing="0" w:after="0" w:afterAutospacing="0"/>
              <w:ind w:left="0" w:right="0"/>
              <w:rPr>
                <w:rFonts w:hint="default"/>
                <w:color w:val="auto"/>
              </w:rPr>
            </w:pPr>
            <w:r>
              <w:rPr>
                <w:rFonts w:hint="default"/>
                <w:color w:val="auto"/>
              </w:rPr>
              <w:t>监测点坐标/m</w:t>
            </w:r>
          </w:p>
        </w:tc>
        <w:tc>
          <w:tcPr>
            <w:tcW w:w="503" w:type="pct"/>
            <w:vMerge w:val="restart"/>
            <w:vAlign w:val="center"/>
          </w:tcPr>
          <w:p w14:paraId="42BD0D5C">
            <w:pPr>
              <w:pStyle w:val="91"/>
              <w:keepNext w:val="0"/>
              <w:keepLines w:val="0"/>
              <w:suppressLineNumbers w:val="0"/>
              <w:spacing w:before="0" w:beforeAutospacing="0" w:after="0" w:afterAutospacing="0"/>
              <w:ind w:left="0" w:right="0"/>
              <w:rPr>
                <w:rFonts w:hint="default"/>
                <w:color w:val="auto"/>
              </w:rPr>
            </w:pPr>
            <w:r>
              <w:rPr>
                <w:rFonts w:hint="default"/>
                <w:color w:val="auto"/>
              </w:rPr>
              <w:t>污染物</w:t>
            </w:r>
          </w:p>
        </w:tc>
        <w:tc>
          <w:tcPr>
            <w:tcW w:w="519" w:type="pct"/>
            <w:vMerge w:val="restart"/>
            <w:vAlign w:val="center"/>
          </w:tcPr>
          <w:p w14:paraId="69B65AAF">
            <w:pPr>
              <w:pStyle w:val="91"/>
              <w:keepNext w:val="0"/>
              <w:keepLines w:val="0"/>
              <w:suppressLineNumbers w:val="0"/>
              <w:spacing w:before="0" w:beforeAutospacing="0" w:after="0" w:afterAutospacing="0"/>
              <w:ind w:left="0" w:right="0"/>
              <w:rPr>
                <w:rFonts w:hint="default"/>
                <w:color w:val="auto"/>
              </w:rPr>
            </w:pPr>
            <w:r>
              <w:rPr>
                <w:rFonts w:hint="default"/>
                <w:color w:val="auto"/>
              </w:rPr>
              <w:t>平均时间</w:t>
            </w:r>
          </w:p>
        </w:tc>
        <w:tc>
          <w:tcPr>
            <w:tcW w:w="559" w:type="pct"/>
            <w:vMerge w:val="restart"/>
            <w:vAlign w:val="center"/>
          </w:tcPr>
          <w:p w14:paraId="13C1EABB">
            <w:pPr>
              <w:pStyle w:val="91"/>
              <w:keepNext w:val="0"/>
              <w:keepLines w:val="0"/>
              <w:suppressLineNumbers w:val="0"/>
              <w:spacing w:before="0" w:beforeAutospacing="0" w:after="0" w:afterAutospacing="0"/>
              <w:ind w:left="0" w:right="0"/>
              <w:rPr>
                <w:rFonts w:hint="default"/>
                <w:color w:val="auto"/>
              </w:rPr>
            </w:pPr>
            <w:r>
              <w:rPr>
                <w:rFonts w:hint="default"/>
                <w:color w:val="auto"/>
              </w:rPr>
              <w:t>评价标准（mg/m</w:t>
            </w:r>
            <w:r>
              <w:rPr>
                <w:rFonts w:hint="default"/>
                <w:color w:val="auto"/>
                <w:vertAlign w:val="superscript"/>
              </w:rPr>
              <w:t>3</w:t>
            </w:r>
            <w:r>
              <w:rPr>
                <w:rFonts w:hint="default"/>
                <w:color w:val="auto"/>
              </w:rPr>
              <w:t>）</w:t>
            </w:r>
          </w:p>
        </w:tc>
        <w:tc>
          <w:tcPr>
            <w:tcW w:w="622" w:type="pct"/>
            <w:vMerge w:val="restart"/>
            <w:vAlign w:val="center"/>
          </w:tcPr>
          <w:p w14:paraId="1156C4C7">
            <w:pPr>
              <w:pStyle w:val="91"/>
              <w:keepNext w:val="0"/>
              <w:keepLines w:val="0"/>
              <w:suppressLineNumbers w:val="0"/>
              <w:spacing w:before="0" w:beforeAutospacing="0" w:after="0" w:afterAutospacing="0"/>
              <w:ind w:left="0" w:right="0"/>
              <w:rPr>
                <w:rFonts w:hint="default"/>
                <w:color w:val="auto"/>
              </w:rPr>
            </w:pPr>
            <w:r>
              <w:rPr>
                <w:rFonts w:hint="default"/>
                <w:color w:val="auto"/>
              </w:rPr>
              <w:t>监测浓度范围/（mg/m</w:t>
            </w:r>
            <w:r>
              <w:rPr>
                <w:rFonts w:hint="default"/>
                <w:color w:val="auto"/>
                <w:vertAlign w:val="superscript"/>
              </w:rPr>
              <w:t>3</w:t>
            </w:r>
            <w:r>
              <w:rPr>
                <w:rFonts w:hint="default"/>
                <w:color w:val="auto"/>
              </w:rPr>
              <w:t>）</w:t>
            </w:r>
          </w:p>
        </w:tc>
        <w:tc>
          <w:tcPr>
            <w:tcW w:w="502" w:type="pct"/>
            <w:vMerge w:val="restart"/>
            <w:vAlign w:val="center"/>
          </w:tcPr>
          <w:p w14:paraId="48C7CCA7">
            <w:pPr>
              <w:pStyle w:val="91"/>
              <w:keepNext w:val="0"/>
              <w:keepLines w:val="0"/>
              <w:suppressLineNumbers w:val="0"/>
              <w:spacing w:before="0" w:beforeAutospacing="0" w:after="0" w:afterAutospacing="0"/>
              <w:ind w:left="0" w:right="0"/>
              <w:rPr>
                <w:rFonts w:hint="default"/>
                <w:color w:val="auto"/>
              </w:rPr>
            </w:pPr>
            <w:r>
              <w:rPr>
                <w:rFonts w:hint="default"/>
                <w:color w:val="auto"/>
              </w:rPr>
              <w:t>最大浓度占标率/%</w:t>
            </w:r>
          </w:p>
        </w:tc>
        <w:tc>
          <w:tcPr>
            <w:tcW w:w="375" w:type="pct"/>
            <w:vMerge w:val="restart"/>
            <w:vAlign w:val="center"/>
          </w:tcPr>
          <w:p w14:paraId="3402EBA6">
            <w:pPr>
              <w:pStyle w:val="91"/>
              <w:keepNext w:val="0"/>
              <w:keepLines w:val="0"/>
              <w:suppressLineNumbers w:val="0"/>
              <w:spacing w:before="0" w:beforeAutospacing="0" w:after="0" w:afterAutospacing="0"/>
              <w:ind w:left="0" w:right="0"/>
              <w:rPr>
                <w:rFonts w:hint="default"/>
                <w:color w:val="auto"/>
              </w:rPr>
            </w:pPr>
            <w:r>
              <w:rPr>
                <w:rFonts w:hint="default"/>
                <w:color w:val="auto"/>
              </w:rPr>
              <w:t>超标率/%</w:t>
            </w:r>
          </w:p>
        </w:tc>
        <w:tc>
          <w:tcPr>
            <w:tcW w:w="370" w:type="pct"/>
            <w:vMerge w:val="restart"/>
            <w:vAlign w:val="center"/>
          </w:tcPr>
          <w:p w14:paraId="6F1715FF">
            <w:pPr>
              <w:pStyle w:val="91"/>
              <w:keepNext w:val="0"/>
              <w:keepLines w:val="0"/>
              <w:suppressLineNumbers w:val="0"/>
              <w:spacing w:before="0" w:beforeAutospacing="0" w:after="0" w:afterAutospacing="0"/>
              <w:ind w:left="0" w:right="0"/>
              <w:rPr>
                <w:rFonts w:hint="default"/>
                <w:color w:val="auto"/>
              </w:rPr>
            </w:pPr>
            <w:r>
              <w:rPr>
                <w:rFonts w:hint="default"/>
                <w:color w:val="auto"/>
              </w:rPr>
              <w:t>达标</w:t>
            </w:r>
          </w:p>
          <w:p w14:paraId="63B3B78B">
            <w:pPr>
              <w:pStyle w:val="91"/>
              <w:keepNext w:val="0"/>
              <w:keepLines w:val="0"/>
              <w:suppressLineNumbers w:val="0"/>
              <w:spacing w:before="0" w:beforeAutospacing="0" w:after="0" w:afterAutospacing="0"/>
              <w:ind w:left="0" w:right="0"/>
              <w:rPr>
                <w:rFonts w:hint="default"/>
                <w:color w:val="auto"/>
              </w:rPr>
            </w:pPr>
            <w:r>
              <w:rPr>
                <w:rFonts w:hint="default"/>
                <w:color w:val="auto"/>
              </w:rPr>
              <w:t>情况</w:t>
            </w:r>
          </w:p>
        </w:tc>
      </w:tr>
      <w:tr w14:paraId="4A7DF5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35" w:hRule="atLeast"/>
          <w:jc w:val="center"/>
        </w:trPr>
        <w:tc>
          <w:tcPr>
            <w:tcW w:w="528" w:type="pct"/>
            <w:vMerge w:val="continue"/>
            <w:vAlign w:val="center"/>
          </w:tcPr>
          <w:p w14:paraId="783F78CE">
            <w:pPr>
              <w:pStyle w:val="91"/>
              <w:keepNext w:val="0"/>
              <w:keepLines w:val="0"/>
              <w:suppressLineNumbers w:val="0"/>
              <w:spacing w:before="0" w:beforeAutospacing="0" w:after="0" w:afterAutospacing="0"/>
              <w:ind w:left="0" w:right="0"/>
              <w:rPr>
                <w:rFonts w:hint="default"/>
                <w:color w:val="auto"/>
              </w:rPr>
            </w:pPr>
          </w:p>
        </w:tc>
        <w:tc>
          <w:tcPr>
            <w:tcW w:w="487" w:type="pct"/>
            <w:tcBorders>
              <w:top w:val="single" w:color="auto" w:sz="4" w:space="0"/>
            </w:tcBorders>
            <w:vAlign w:val="center"/>
          </w:tcPr>
          <w:p w14:paraId="360A6369">
            <w:pPr>
              <w:pStyle w:val="91"/>
              <w:keepNext w:val="0"/>
              <w:keepLines w:val="0"/>
              <w:suppressLineNumbers w:val="0"/>
              <w:spacing w:before="0" w:beforeAutospacing="0" w:after="0" w:afterAutospacing="0"/>
              <w:ind w:left="0" w:right="0"/>
              <w:rPr>
                <w:rFonts w:hint="default"/>
                <w:color w:val="auto"/>
              </w:rPr>
            </w:pPr>
            <w:r>
              <w:rPr>
                <w:rFonts w:hint="default"/>
                <w:color w:val="auto"/>
              </w:rPr>
              <w:t>经度</w:t>
            </w:r>
          </w:p>
        </w:tc>
        <w:tc>
          <w:tcPr>
            <w:tcW w:w="535" w:type="pct"/>
            <w:tcBorders>
              <w:top w:val="single" w:color="auto" w:sz="4" w:space="0"/>
            </w:tcBorders>
            <w:vAlign w:val="center"/>
          </w:tcPr>
          <w:p w14:paraId="479479CD">
            <w:pPr>
              <w:pStyle w:val="91"/>
              <w:keepNext w:val="0"/>
              <w:keepLines w:val="0"/>
              <w:suppressLineNumbers w:val="0"/>
              <w:spacing w:before="0" w:beforeAutospacing="0" w:after="0" w:afterAutospacing="0"/>
              <w:ind w:left="0" w:right="0"/>
              <w:rPr>
                <w:rFonts w:hint="default"/>
                <w:color w:val="auto"/>
              </w:rPr>
            </w:pPr>
            <w:r>
              <w:rPr>
                <w:rFonts w:hint="default"/>
                <w:color w:val="auto"/>
              </w:rPr>
              <w:t>纬度</w:t>
            </w:r>
          </w:p>
        </w:tc>
        <w:tc>
          <w:tcPr>
            <w:tcW w:w="503" w:type="pct"/>
            <w:vMerge w:val="continue"/>
            <w:vAlign w:val="center"/>
          </w:tcPr>
          <w:p w14:paraId="26119254">
            <w:pPr>
              <w:pStyle w:val="91"/>
              <w:keepNext w:val="0"/>
              <w:keepLines w:val="0"/>
              <w:suppressLineNumbers w:val="0"/>
              <w:spacing w:before="0" w:beforeAutospacing="0" w:after="0" w:afterAutospacing="0"/>
              <w:ind w:left="0" w:right="0"/>
              <w:rPr>
                <w:rFonts w:hint="default"/>
                <w:color w:val="auto"/>
              </w:rPr>
            </w:pPr>
          </w:p>
        </w:tc>
        <w:tc>
          <w:tcPr>
            <w:tcW w:w="519" w:type="pct"/>
            <w:vMerge w:val="continue"/>
            <w:vAlign w:val="center"/>
          </w:tcPr>
          <w:p w14:paraId="0B2766BA">
            <w:pPr>
              <w:pStyle w:val="91"/>
              <w:keepNext w:val="0"/>
              <w:keepLines w:val="0"/>
              <w:suppressLineNumbers w:val="0"/>
              <w:spacing w:before="0" w:beforeAutospacing="0" w:after="0" w:afterAutospacing="0"/>
              <w:ind w:left="0" w:right="0"/>
              <w:rPr>
                <w:rFonts w:hint="default"/>
                <w:color w:val="auto"/>
              </w:rPr>
            </w:pPr>
          </w:p>
        </w:tc>
        <w:tc>
          <w:tcPr>
            <w:tcW w:w="559" w:type="pct"/>
            <w:vMerge w:val="continue"/>
            <w:vAlign w:val="center"/>
          </w:tcPr>
          <w:p w14:paraId="019CA89E">
            <w:pPr>
              <w:pStyle w:val="91"/>
              <w:keepNext w:val="0"/>
              <w:keepLines w:val="0"/>
              <w:suppressLineNumbers w:val="0"/>
              <w:spacing w:before="0" w:beforeAutospacing="0" w:after="0" w:afterAutospacing="0"/>
              <w:ind w:left="0" w:right="0"/>
              <w:rPr>
                <w:rFonts w:hint="default"/>
                <w:color w:val="auto"/>
              </w:rPr>
            </w:pPr>
          </w:p>
        </w:tc>
        <w:tc>
          <w:tcPr>
            <w:tcW w:w="622" w:type="pct"/>
            <w:vMerge w:val="continue"/>
            <w:vAlign w:val="center"/>
          </w:tcPr>
          <w:p w14:paraId="71FD6DF7">
            <w:pPr>
              <w:pStyle w:val="91"/>
              <w:keepNext w:val="0"/>
              <w:keepLines w:val="0"/>
              <w:suppressLineNumbers w:val="0"/>
              <w:spacing w:before="0" w:beforeAutospacing="0" w:after="0" w:afterAutospacing="0"/>
              <w:ind w:left="0" w:right="0"/>
              <w:rPr>
                <w:rFonts w:hint="default"/>
                <w:color w:val="auto"/>
              </w:rPr>
            </w:pPr>
          </w:p>
        </w:tc>
        <w:tc>
          <w:tcPr>
            <w:tcW w:w="502" w:type="pct"/>
            <w:vMerge w:val="continue"/>
            <w:vAlign w:val="center"/>
          </w:tcPr>
          <w:p w14:paraId="2270A242">
            <w:pPr>
              <w:pStyle w:val="91"/>
              <w:keepNext w:val="0"/>
              <w:keepLines w:val="0"/>
              <w:suppressLineNumbers w:val="0"/>
              <w:spacing w:before="0" w:beforeAutospacing="0" w:after="0" w:afterAutospacing="0"/>
              <w:ind w:left="0" w:right="0"/>
              <w:rPr>
                <w:rFonts w:hint="default"/>
                <w:color w:val="auto"/>
              </w:rPr>
            </w:pPr>
          </w:p>
        </w:tc>
        <w:tc>
          <w:tcPr>
            <w:tcW w:w="375" w:type="pct"/>
            <w:vMerge w:val="continue"/>
            <w:vAlign w:val="center"/>
          </w:tcPr>
          <w:p w14:paraId="560D70DA">
            <w:pPr>
              <w:pStyle w:val="91"/>
              <w:keepNext w:val="0"/>
              <w:keepLines w:val="0"/>
              <w:suppressLineNumbers w:val="0"/>
              <w:spacing w:before="0" w:beforeAutospacing="0" w:after="0" w:afterAutospacing="0"/>
              <w:ind w:left="0" w:right="0"/>
              <w:rPr>
                <w:rFonts w:hint="default"/>
                <w:color w:val="auto"/>
              </w:rPr>
            </w:pPr>
          </w:p>
        </w:tc>
        <w:tc>
          <w:tcPr>
            <w:tcW w:w="370" w:type="pct"/>
            <w:vMerge w:val="continue"/>
            <w:vAlign w:val="center"/>
          </w:tcPr>
          <w:p w14:paraId="5CAF41D8">
            <w:pPr>
              <w:pStyle w:val="91"/>
              <w:keepNext w:val="0"/>
              <w:keepLines w:val="0"/>
              <w:suppressLineNumbers w:val="0"/>
              <w:spacing w:before="0" w:beforeAutospacing="0" w:after="0" w:afterAutospacing="0"/>
              <w:ind w:left="0" w:right="0"/>
              <w:rPr>
                <w:rFonts w:hint="default"/>
                <w:color w:val="auto"/>
              </w:rPr>
            </w:pPr>
          </w:p>
        </w:tc>
      </w:tr>
      <w:tr w14:paraId="77B8F0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28" w:type="pct"/>
            <w:vAlign w:val="center"/>
          </w:tcPr>
          <w:p w14:paraId="5D4C913E">
            <w:pPr>
              <w:pStyle w:val="91"/>
              <w:keepNext w:val="0"/>
              <w:keepLines w:val="0"/>
              <w:suppressLineNumbers w:val="0"/>
              <w:spacing w:before="0" w:beforeAutospacing="0" w:after="0" w:afterAutospacing="0"/>
              <w:ind w:left="0" w:right="0"/>
              <w:rPr>
                <w:rFonts w:hint="default"/>
                <w:color w:val="auto"/>
              </w:rPr>
            </w:pPr>
            <w:r>
              <w:rPr>
                <w:rFonts w:hint="eastAsia"/>
                <w:color w:val="auto"/>
              </w:rPr>
              <w:t>A1厂区下风向</w:t>
            </w:r>
          </w:p>
        </w:tc>
        <w:tc>
          <w:tcPr>
            <w:tcW w:w="487" w:type="pct"/>
          </w:tcPr>
          <w:p w14:paraId="5D6CDF73">
            <w:pPr>
              <w:pStyle w:val="91"/>
              <w:keepNext w:val="0"/>
              <w:keepLines w:val="0"/>
              <w:suppressLineNumbers w:val="0"/>
              <w:spacing w:before="0" w:beforeAutospacing="0" w:after="0" w:afterAutospacing="0"/>
              <w:ind w:left="0" w:right="0"/>
              <w:rPr>
                <w:rFonts w:hint="default"/>
                <w:color w:val="auto"/>
              </w:rPr>
            </w:pPr>
            <w:r>
              <w:rPr>
                <w:rFonts w:hint="default"/>
                <w:color w:val="auto"/>
              </w:rPr>
              <w:t>108.612161903</w:t>
            </w:r>
            <w:r>
              <w:rPr>
                <w:rFonts w:hint="eastAsia"/>
                <w:color w:val="auto"/>
              </w:rPr>
              <w:t>°</w:t>
            </w:r>
          </w:p>
        </w:tc>
        <w:tc>
          <w:tcPr>
            <w:tcW w:w="535" w:type="pct"/>
          </w:tcPr>
          <w:p w14:paraId="34C51625">
            <w:pPr>
              <w:pStyle w:val="91"/>
              <w:keepNext w:val="0"/>
              <w:keepLines w:val="0"/>
              <w:suppressLineNumbers w:val="0"/>
              <w:spacing w:before="0" w:beforeAutospacing="0" w:after="0" w:afterAutospacing="0"/>
              <w:ind w:left="0" w:right="0"/>
              <w:rPr>
                <w:rFonts w:hint="default"/>
                <w:color w:val="auto"/>
              </w:rPr>
            </w:pPr>
            <w:r>
              <w:rPr>
                <w:rFonts w:hint="default"/>
                <w:color w:val="auto"/>
              </w:rPr>
              <w:t>21.697097820</w:t>
            </w:r>
            <w:r>
              <w:rPr>
                <w:rFonts w:hint="eastAsia"/>
                <w:color w:val="auto"/>
              </w:rPr>
              <w:t>°</w:t>
            </w:r>
          </w:p>
        </w:tc>
        <w:tc>
          <w:tcPr>
            <w:tcW w:w="503" w:type="pct"/>
            <w:vAlign w:val="center"/>
          </w:tcPr>
          <w:p w14:paraId="07EF5B57">
            <w:pPr>
              <w:pStyle w:val="91"/>
              <w:keepNext w:val="0"/>
              <w:keepLines w:val="0"/>
              <w:suppressLineNumbers w:val="0"/>
              <w:spacing w:before="0" w:beforeAutospacing="0" w:after="0" w:afterAutospacing="0"/>
              <w:ind w:left="0" w:right="0"/>
              <w:rPr>
                <w:rFonts w:hint="default"/>
                <w:color w:val="auto"/>
              </w:rPr>
            </w:pPr>
            <w:r>
              <w:rPr>
                <w:rFonts w:hint="eastAsia"/>
                <w:color w:val="auto"/>
              </w:rPr>
              <w:t>非甲烷总烃</w:t>
            </w:r>
          </w:p>
        </w:tc>
        <w:tc>
          <w:tcPr>
            <w:tcW w:w="519" w:type="pct"/>
            <w:vAlign w:val="center"/>
          </w:tcPr>
          <w:p w14:paraId="048FE08A">
            <w:pPr>
              <w:pStyle w:val="91"/>
              <w:keepNext w:val="0"/>
              <w:keepLines w:val="0"/>
              <w:suppressLineNumbers w:val="0"/>
              <w:spacing w:before="0" w:beforeAutospacing="0" w:after="0" w:afterAutospacing="0"/>
              <w:ind w:left="0" w:right="0"/>
              <w:rPr>
                <w:rFonts w:hint="default"/>
                <w:color w:val="auto"/>
              </w:rPr>
            </w:pPr>
            <w:r>
              <w:rPr>
                <w:rFonts w:hint="default"/>
                <w:color w:val="auto"/>
              </w:rPr>
              <w:t>小时</w:t>
            </w:r>
            <w:r>
              <w:rPr>
                <w:rFonts w:hint="eastAsia"/>
                <w:color w:val="auto"/>
              </w:rPr>
              <w:t>值</w:t>
            </w:r>
          </w:p>
        </w:tc>
        <w:tc>
          <w:tcPr>
            <w:tcW w:w="559" w:type="pct"/>
            <w:vAlign w:val="center"/>
          </w:tcPr>
          <w:p w14:paraId="1EA5CFFF">
            <w:pPr>
              <w:pStyle w:val="91"/>
              <w:keepNext w:val="0"/>
              <w:keepLines w:val="0"/>
              <w:suppressLineNumbers w:val="0"/>
              <w:spacing w:before="0" w:beforeAutospacing="0" w:after="0" w:afterAutospacing="0"/>
              <w:ind w:left="0" w:right="0"/>
              <w:rPr>
                <w:rFonts w:hint="default"/>
                <w:color w:val="auto"/>
              </w:rPr>
            </w:pPr>
            <w:r>
              <w:rPr>
                <w:rFonts w:hint="eastAsia"/>
                <w:color w:val="auto"/>
              </w:rPr>
              <w:t>２</w:t>
            </w:r>
          </w:p>
        </w:tc>
        <w:tc>
          <w:tcPr>
            <w:tcW w:w="622" w:type="pct"/>
            <w:vAlign w:val="center"/>
          </w:tcPr>
          <w:p w14:paraId="5A293683">
            <w:pPr>
              <w:pStyle w:val="91"/>
              <w:keepNext w:val="0"/>
              <w:keepLines w:val="0"/>
              <w:suppressLineNumbers w:val="0"/>
              <w:spacing w:before="0" w:beforeAutospacing="0" w:after="0" w:afterAutospacing="0"/>
              <w:ind w:left="0" w:right="0"/>
              <w:rPr>
                <w:rFonts w:hint="default" w:hAnsi="Times New Roman"/>
                <w:color w:val="auto"/>
              </w:rPr>
            </w:pPr>
          </w:p>
        </w:tc>
        <w:tc>
          <w:tcPr>
            <w:tcW w:w="502" w:type="pct"/>
            <w:vAlign w:val="center"/>
          </w:tcPr>
          <w:p w14:paraId="7A1D275D">
            <w:pPr>
              <w:pStyle w:val="91"/>
              <w:keepNext w:val="0"/>
              <w:keepLines w:val="0"/>
              <w:suppressLineNumbers w:val="0"/>
              <w:spacing w:before="0" w:beforeAutospacing="0" w:after="0" w:afterAutospacing="0"/>
              <w:ind w:left="0" w:right="0"/>
              <w:rPr>
                <w:rFonts w:hint="default"/>
                <w:color w:val="auto"/>
              </w:rPr>
            </w:pPr>
          </w:p>
        </w:tc>
        <w:tc>
          <w:tcPr>
            <w:tcW w:w="375" w:type="pct"/>
            <w:vAlign w:val="center"/>
          </w:tcPr>
          <w:p w14:paraId="4B7C0A94">
            <w:pPr>
              <w:pStyle w:val="91"/>
              <w:keepNext w:val="0"/>
              <w:keepLines w:val="0"/>
              <w:suppressLineNumbers w:val="0"/>
              <w:spacing w:before="0" w:beforeAutospacing="0" w:after="0" w:afterAutospacing="0"/>
              <w:ind w:left="0" w:right="0"/>
              <w:rPr>
                <w:rFonts w:hint="default"/>
                <w:color w:val="auto"/>
              </w:rPr>
            </w:pPr>
            <w:r>
              <w:rPr>
                <w:rFonts w:hint="eastAsia"/>
                <w:color w:val="auto"/>
              </w:rPr>
              <w:t>0</w:t>
            </w:r>
          </w:p>
        </w:tc>
        <w:tc>
          <w:tcPr>
            <w:tcW w:w="370" w:type="pct"/>
            <w:vAlign w:val="center"/>
          </w:tcPr>
          <w:p w14:paraId="70AEA9E7">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bl>
    <w:p w14:paraId="0CEDCE4A">
      <w:pPr>
        <w:ind w:firstLine="480"/>
        <w:rPr>
          <w:color w:val="auto"/>
        </w:rPr>
      </w:pPr>
      <w:r>
        <w:rPr>
          <w:rFonts w:hint="eastAsia"/>
          <w:color w:val="auto"/>
        </w:rPr>
        <w:t>根据上表可知，补充监测点的非甲烷总烃监测结果满足《大气污染物综合排放标准详解》中非甲烷总烃的一次浓度限值要求。项目所在区域环境质量现状良好。</w:t>
      </w:r>
    </w:p>
    <w:p w14:paraId="1A0FA442">
      <w:pPr>
        <w:pStyle w:val="5"/>
        <w:rPr>
          <w:color w:val="auto"/>
        </w:rPr>
      </w:pPr>
      <w:bookmarkStart w:id="424" w:name="_Toc223595766"/>
      <w:bookmarkStart w:id="425" w:name="_Toc223258475"/>
      <w:r>
        <w:rPr>
          <w:color w:val="auto"/>
        </w:rPr>
        <w:t>地下水环境质量现状调查与评价</w:t>
      </w:r>
      <w:bookmarkEnd w:id="424"/>
      <w:bookmarkEnd w:id="425"/>
    </w:p>
    <w:p w14:paraId="651D345E">
      <w:pPr>
        <w:pStyle w:val="4"/>
        <w:rPr>
          <w:color w:val="auto"/>
        </w:rPr>
      </w:pPr>
      <w:bookmarkStart w:id="426" w:name="_Toc216620543"/>
      <w:bookmarkStart w:id="427" w:name="_Toc136878479"/>
      <w:r>
        <w:rPr>
          <w:color w:val="auto"/>
        </w:rPr>
        <w:t>监测布点</w:t>
      </w:r>
      <w:bookmarkEnd w:id="426"/>
      <w:bookmarkEnd w:id="427"/>
    </w:p>
    <w:p w14:paraId="2C6EE36D">
      <w:pPr>
        <w:ind w:firstLine="480"/>
        <w:rPr>
          <w:rFonts w:hint="default" w:eastAsia="宋体"/>
          <w:color w:val="auto"/>
          <w:lang w:val="en-US" w:eastAsia="zh-CN"/>
        </w:rPr>
      </w:pPr>
      <w:r>
        <w:rPr>
          <w:color w:val="auto"/>
        </w:rPr>
        <w:t>根据《环境影响评价技术导则地下水环境》（HJ610-2016）8.3.3.6环境现状监测频率要求，评价工作等级为三级的建设项目，若掌握近3年至少一期水质监测数据，基本水质因子可在评价期补充开展一期现状监测，特征因子在评价期内需至少开展一期现状值监测。本次评价</w:t>
      </w:r>
      <w:r>
        <w:rPr>
          <w:rFonts w:hint="eastAsia"/>
          <w:color w:val="auto"/>
        </w:rPr>
        <w:t>共</w:t>
      </w:r>
      <w:r>
        <w:rPr>
          <w:color w:val="auto"/>
        </w:rPr>
        <w:t>有</w:t>
      </w:r>
      <w:r>
        <w:rPr>
          <w:rFonts w:hint="eastAsia"/>
          <w:color w:val="auto"/>
        </w:rPr>
        <w:t>3个水质</w:t>
      </w:r>
      <w:r>
        <w:rPr>
          <w:color w:val="auto"/>
        </w:rPr>
        <w:t>监测点位，其中2处水质监测点位</w:t>
      </w:r>
      <w:r>
        <w:rPr>
          <w:rFonts w:hint="eastAsia"/>
          <w:color w:val="auto"/>
        </w:rPr>
        <w:t>为</w:t>
      </w:r>
      <w:r>
        <w:rPr>
          <w:color w:val="auto"/>
        </w:rPr>
        <w:t>监测</w:t>
      </w:r>
      <w:r>
        <w:rPr>
          <w:rFonts w:hint="eastAsia"/>
          <w:color w:val="auto"/>
        </w:rPr>
        <w:t>，位于</w:t>
      </w:r>
      <w:r>
        <w:rPr>
          <w:color w:val="auto"/>
        </w:rPr>
        <w:t>项目范围内；</w:t>
      </w:r>
      <w:r>
        <w:rPr>
          <w:rFonts w:hint="eastAsia"/>
          <w:color w:val="auto"/>
        </w:rPr>
        <w:t>1个</w:t>
      </w:r>
      <w:r>
        <w:rPr>
          <w:color w:val="auto"/>
        </w:rPr>
        <w:t>水质监测点位引用</w:t>
      </w:r>
      <w:r>
        <w:rPr>
          <w:rFonts w:hint="eastAsia"/>
          <w:color w:val="auto"/>
        </w:rPr>
        <w:t>《北部湾港钦州港域金谷港区金鼓江作业区14号泊位扩建工程（新增液、乙等装卸设施）环境影响报告书》的</w:t>
      </w:r>
      <w:r>
        <w:rPr>
          <w:color w:val="auto"/>
        </w:rPr>
        <w:t>地下水监测点位</w:t>
      </w:r>
      <w:r>
        <w:rPr>
          <w:rFonts w:hint="eastAsia"/>
          <w:color w:val="auto"/>
        </w:rPr>
        <w:t>，</w:t>
      </w:r>
      <w:r>
        <w:rPr>
          <w:color w:val="auto"/>
        </w:rPr>
        <w:t>位于项目北面约</w:t>
      </w:r>
      <w:r>
        <w:rPr>
          <w:rFonts w:hint="eastAsia"/>
          <w:color w:val="auto"/>
        </w:rPr>
        <w:t>830</w:t>
      </w:r>
      <w:r>
        <w:rPr>
          <w:color w:val="auto"/>
        </w:rPr>
        <w:t>m。</w:t>
      </w:r>
      <w:r>
        <w:rPr>
          <w:rFonts w:hint="eastAsia"/>
          <w:color w:val="auto"/>
          <w:u w:val="single"/>
          <w:lang w:eastAsia="zh-CN"/>
        </w:rPr>
        <w:t>场地地下水由北向南，</w:t>
      </w:r>
      <w:r>
        <w:rPr>
          <w:rFonts w:hint="eastAsia"/>
          <w:color w:val="auto"/>
          <w:u w:val="single"/>
        </w:rPr>
        <w:t>向附近海域呈渗流排泄或蒸发</w:t>
      </w:r>
      <w:r>
        <w:rPr>
          <w:rFonts w:hint="eastAsia"/>
          <w:color w:val="auto"/>
          <w:u w:val="single"/>
          <w:lang w:eastAsia="zh-CN"/>
        </w:rPr>
        <w:t>。</w:t>
      </w:r>
    </w:p>
    <w:p w14:paraId="7CF4FD6D">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rFonts w:hint="eastAsia"/>
          <w:color w:val="auto"/>
        </w:rPr>
        <w:t>地</w:t>
      </w:r>
      <w:r>
        <w:rPr>
          <w:color w:val="auto"/>
        </w:rPr>
        <w:t>下水环境监测布点情况</w:t>
      </w:r>
    </w:p>
    <w:tbl>
      <w:tblPr>
        <w:tblStyle w:val="43"/>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76"/>
        <w:gridCol w:w="1323"/>
        <w:gridCol w:w="2549"/>
        <w:gridCol w:w="980"/>
        <w:gridCol w:w="1021"/>
        <w:gridCol w:w="2935"/>
      </w:tblGrid>
      <w:tr w14:paraId="1166BC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blHeader/>
        </w:trPr>
        <w:tc>
          <w:tcPr>
            <w:tcW w:w="307" w:type="pct"/>
            <w:vAlign w:val="center"/>
          </w:tcPr>
          <w:p w14:paraId="5DAB28D8">
            <w:pPr>
              <w:pStyle w:val="91"/>
              <w:keepNext w:val="0"/>
              <w:keepLines w:val="0"/>
              <w:suppressLineNumbers w:val="0"/>
              <w:spacing w:before="0" w:beforeAutospacing="0" w:after="0" w:afterAutospacing="0"/>
              <w:ind w:left="0" w:right="0"/>
              <w:rPr>
                <w:rFonts w:hint="default"/>
                <w:b/>
                <w:color w:val="auto"/>
              </w:rPr>
            </w:pPr>
            <w:r>
              <w:rPr>
                <w:rFonts w:hint="eastAsia"/>
                <w:b/>
                <w:color w:val="auto"/>
              </w:rPr>
              <w:t>编号</w:t>
            </w:r>
          </w:p>
        </w:tc>
        <w:tc>
          <w:tcPr>
            <w:tcW w:w="705" w:type="pct"/>
            <w:vAlign w:val="center"/>
          </w:tcPr>
          <w:p w14:paraId="0A4AD631">
            <w:pPr>
              <w:pStyle w:val="91"/>
              <w:keepNext w:val="0"/>
              <w:keepLines w:val="0"/>
              <w:suppressLineNumbers w:val="0"/>
              <w:spacing w:before="0" w:beforeAutospacing="0" w:after="0" w:afterAutospacing="0"/>
              <w:ind w:left="0" w:right="0"/>
              <w:rPr>
                <w:rFonts w:hint="default"/>
                <w:b/>
                <w:color w:val="auto"/>
              </w:rPr>
            </w:pPr>
            <w:r>
              <w:rPr>
                <w:rFonts w:hint="eastAsia"/>
                <w:b/>
                <w:color w:val="auto"/>
              </w:rPr>
              <w:t>点位名称</w:t>
            </w:r>
          </w:p>
        </w:tc>
        <w:tc>
          <w:tcPr>
            <w:tcW w:w="1358" w:type="pct"/>
          </w:tcPr>
          <w:p w14:paraId="7407C29B">
            <w:pPr>
              <w:pStyle w:val="91"/>
              <w:keepNext w:val="0"/>
              <w:keepLines w:val="0"/>
              <w:suppressLineNumbers w:val="0"/>
              <w:spacing w:before="0" w:beforeAutospacing="0" w:after="0" w:afterAutospacing="0"/>
              <w:ind w:left="0" w:right="0"/>
              <w:rPr>
                <w:rFonts w:hint="default"/>
                <w:b/>
                <w:bCs/>
                <w:color w:val="auto"/>
              </w:rPr>
            </w:pPr>
            <w:r>
              <w:rPr>
                <w:rFonts w:hint="eastAsia"/>
                <w:b/>
                <w:color w:val="auto"/>
              </w:rPr>
              <w:t>与项目位置关系</w:t>
            </w:r>
          </w:p>
        </w:tc>
        <w:tc>
          <w:tcPr>
            <w:tcW w:w="522" w:type="pct"/>
            <w:vAlign w:val="center"/>
          </w:tcPr>
          <w:p w14:paraId="68C1A5F9">
            <w:pPr>
              <w:pStyle w:val="91"/>
              <w:keepNext w:val="0"/>
              <w:keepLines w:val="0"/>
              <w:suppressLineNumbers w:val="0"/>
              <w:spacing w:before="0" w:beforeAutospacing="0" w:after="0" w:afterAutospacing="0"/>
              <w:ind w:left="0" w:right="0"/>
              <w:rPr>
                <w:rFonts w:hint="default"/>
                <w:b/>
                <w:color w:val="auto"/>
              </w:rPr>
            </w:pPr>
            <w:r>
              <w:rPr>
                <w:rFonts w:hint="eastAsia"/>
                <w:b/>
                <w:color w:val="auto"/>
              </w:rPr>
              <w:t>监测层位</w:t>
            </w:r>
          </w:p>
        </w:tc>
        <w:tc>
          <w:tcPr>
            <w:tcW w:w="544" w:type="pct"/>
            <w:vAlign w:val="center"/>
          </w:tcPr>
          <w:p w14:paraId="6809306C">
            <w:pPr>
              <w:pStyle w:val="91"/>
              <w:keepNext w:val="0"/>
              <w:keepLines w:val="0"/>
              <w:suppressLineNumbers w:val="0"/>
              <w:spacing w:before="0" w:beforeAutospacing="0" w:after="0" w:afterAutospacing="0"/>
              <w:ind w:left="0" w:right="0"/>
              <w:rPr>
                <w:rFonts w:hint="default"/>
                <w:b/>
                <w:bCs/>
                <w:color w:val="auto"/>
              </w:rPr>
            </w:pPr>
            <w:r>
              <w:rPr>
                <w:rFonts w:hint="eastAsia"/>
                <w:b/>
                <w:color w:val="auto"/>
              </w:rPr>
              <w:t>监测内容</w:t>
            </w:r>
          </w:p>
        </w:tc>
        <w:tc>
          <w:tcPr>
            <w:tcW w:w="1563" w:type="pct"/>
          </w:tcPr>
          <w:p w14:paraId="0398D64C">
            <w:pPr>
              <w:pStyle w:val="91"/>
              <w:keepNext w:val="0"/>
              <w:keepLines w:val="0"/>
              <w:suppressLineNumbers w:val="0"/>
              <w:spacing w:before="0" w:beforeAutospacing="0" w:after="0" w:afterAutospacing="0"/>
              <w:ind w:left="0" w:right="0"/>
              <w:rPr>
                <w:rFonts w:hint="default"/>
                <w:b/>
                <w:color w:val="auto"/>
              </w:rPr>
            </w:pPr>
            <w:r>
              <w:rPr>
                <w:rFonts w:hint="eastAsia"/>
                <w:b/>
                <w:color w:val="auto"/>
              </w:rPr>
              <w:t>备注</w:t>
            </w:r>
          </w:p>
        </w:tc>
      </w:tr>
      <w:tr w14:paraId="6844FC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307" w:type="pct"/>
            <w:vAlign w:val="center"/>
          </w:tcPr>
          <w:p w14:paraId="2D627D44">
            <w:pPr>
              <w:pStyle w:val="91"/>
              <w:keepNext w:val="0"/>
              <w:keepLines w:val="0"/>
              <w:suppressLineNumbers w:val="0"/>
              <w:spacing w:before="0" w:beforeAutospacing="0" w:after="0" w:afterAutospacing="0"/>
              <w:ind w:left="0" w:right="0"/>
              <w:rPr>
                <w:rFonts w:hint="default"/>
                <w:color w:val="auto"/>
              </w:rPr>
            </w:pPr>
            <w:r>
              <w:rPr>
                <w:rFonts w:hint="default"/>
                <w:color w:val="auto"/>
              </w:rPr>
              <w:t>D1</w:t>
            </w:r>
          </w:p>
        </w:tc>
        <w:tc>
          <w:tcPr>
            <w:tcW w:w="705" w:type="pct"/>
            <w:vAlign w:val="center"/>
          </w:tcPr>
          <w:p w14:paraId="366C69CD">
            <w:pPr>
              <w:pStyle w:val="91"/>
              <w:keepNext w:val="0"/>
              <w:keepLines w:val="0"/>
              <w:suppressLineNumbers w:val="0"/>
              <w:spacing w:before="0" w:beforeAutospacing="0" w:after="0" w:afterAutospacing="0"/>
              <w:ind w:left="0" w:right="0"/>
              <w:rPr>
                <w:rFonts w:hint="default"/>
                <w:color w:val="auto"/>
              </w:rPr>
            </w:pPr>
            <w:r>
              <w:rPr>
                <w:rFonts w:hint="default"/>
                <w:color w:val="auto"/>
              </w:rPr>
              <w:t>广西华谊新材料有限公司罐区</w:t>
            </w:r>
          </w:p>
        </w:tc>
        <w:tc>
          <w:tcPr>
            <w:tcW w:w="1358" w:type="pct"/>
            <w:vAlign w:val="center"/>
          </w:tcPr>
          <w:p w14:paraId="7823BDF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上游</w:t>
            </w:r>
            <w:r>
              <w:rPr>
                <w:rFonts w:hint="default"/>
                <w:color w:val="auto"/>
              </w:rPr>
              <w:t>，</w:t>
            </w:r>
            <w:r>
              <w:rPr>
                <w:rFonts w:hint="eastAsia"/>
                <w:color w:val="auto"/>
              </w:rPr>
              <w:t>项目北面约830m</w:t>
            </w:r>
          </w:p>
        </w:tc>
        <w:tc>
          <w:tcPr>
            <w:tcW w:w="522" w:type="pct"/>
            <w:vAlign w:val="center"/>
          </w:tcPr>
          <w:p w14:paraId="0E3C1E3A">
            <w:pPr>
              <w:pStyle w:val="91"/>
              <w:keepNext w:val="0"/>
              <w:keepLines w:val="0"/>
              <w:suppressLineNumbers w:val="0"/>
              <w:spacing w:before="0" w:beforeAutospacing="0" w:after="0" w:afterAutospacing="0"/>
              <w:ind w:left="0" w:right="0"/>
              <w:rPr>
                <w:rFonts w:hint="default"/>
                <w:color w:val="auto"/>
              </w:rPr>
            </w:pPr>
            <w:r>
              <w:rPr>
                <w:rFonts w:hint="default"/>
                <w:color w:val="auto"/>
              </w:rPr>
              <w:t>潜水层</w:t>
            </w:r>
          </w:p>
        </w:tc>
        <w:tc>
          <w:tcPr>
            <w:tcW w:w="544" w:type="pct"/>
            <w:vAlign w:val="center"/>
          </w:tcPr>
          <w:p w14:paraId="33605B08">
            <w:pPr>
              <w:pStyle w:val="91"/>
              <w:keepNext w:val="0"/>
              <w:keepLines w:val="0"/>
              <w:suppressLineNumbers w:val="0"/>
              <w:spacing w:before="0" w:beforeAutospacing="0" w:after="0" w:afterAutospacing="0"/>
              <w:ind w:left="0" w:right="0"/>
              <w:rPr>
                <w:rFonts w:hint="default"/>
                <w:color w:val="auto"/>
              </w:rPr>
            </w:pPr>
            <w:r>
              <w:rPr>
                <w:rFonts w:hint="eastAsia"/>
                <w:color w:val="auto"/>
              </w:rPr>
              <w:t>水质、</w:t>
            </w:r>
          </w:p>
          <w:p w14:paraId="12911215">
            <w:pPr>
              <w:pStyle w:val="91"/>
              <w:keepNext w:val="0"/>
              <w:keepLines w:val="0"/>
              <w:suppressLineNumbers w:val="0"/>
              <w:spacing w:before="0" w:beforeAutospacing="0" w:after="0" w:afterAutospacing="0"/>
              <w:ind w:left="0" w:right="0"/>
              <w:rPr>
                <w:rFonts w:hint="default"/>
                <w:color w:val="auto"/>
              </w:rPr>
            </w:pPr>
            <w:r>
              <w:rPr>
                <w:rFonts w:hint="eastAsia"/>
                <w:color w:val="auto"/>
              </w:rPr>
              <w:t>水位</w:t>
            </w:r>
          </w:p>
        </w:tc>
        <w:tc>
          <w:tcPr>
            <w:tcW w:w="1563" w:type="pct"/>
          </w:tcPr>
          <w:p w14:paraId="59160037">
            <w:pPr>
              <w:pStyle w:val="91"/>
              <w:keepNext w:val="0"/>
              <w:keepLines w:val="0"/>
              <w:suppressLineNumbers w:val="0"/>
              <w:spacing w:before="0" w:beforeAutospacing="0" w:after="0" w:afterAutospacing="0"/>
              <w:ind w:left="0" w:right="0"/>
              <w:rPr>
                <w:rFonts w:hint="default"/>
                <w:color w:val="auto"/>
              </w:rPr>
            </w:pPr>
            <w:r>
              <w:rPr>
                <w:rFonts w:hint="eastAsia"/>
                <w:color w:val="auto"/>
              </w:rPr>
              <w:t>引用《北部湾港钦州港域金谷港区金鼓江作业区14号泊位扩建工程（新增液、乙等装卸设施）</w:t>
            </w:r>
          </w:p>
        </w:tc>
      </w:tr>
      <w:tr w14:paraId="5D281F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307" w:type="pct"/>
            <w:vAlign w:val="center"/>
          </w:tcPr>
          <w:p w14:paraId="39A8942D">
            <w:pPr>
              <w:pStyle w:val="91"/>
              <w:keepNext w:val="0"/>
              <w:keepLines w:val="0"/>
              <w:suppressLineNumbers w:val="0"/>
              <w:spacing w:before="0" w:beforeAutospacing="0" w:after="0" w:afterAutospacing="0"/>
              <w:ind w:left="0" w:right="0"/>
              <w:rPr>
                <w:rFonts w:hint="default"/>
                <w:color w:val="auto"/>
              </w:rPr>
            </w:pPr>
            <w:r>
              <w:rPr>
                <w:rFonts w:hint="default"/>
                <w:color w:val="auto"/>
              </w:rPr>
              <w:t>3#</w:t>
            </w:r>
          </w:p>
        </w:tc>
        <w:tc>
          <w:tcPr>
            <w:tcW w:w="705" w:type="pct"/>
            <w:vAlign w:val="center"/>
          </w:tcPr>
          <w:p w14:paraId="13494809">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库区下游监控点</w:t>
            </w:r>
          </w:p>
        </w:tc>
        <w:tc>
          <w:tcPr>
            <w:tcW w:w="1358" w:type="pct"/>
          </w:tcPr>
          <w:p w14:paraId="7D5D31E5">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厂内</w:t>
            </w:r>
          </w:p>
        </w:tc>
        <w:tc>
          <w:tcPr>
            <w:tcW w:w="522" w:type="pct"/>
            <w:vAlign w:val="center"/>
          </w:tcPr>
          <w:p w14:paraId="7B5019F8">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潜水层</w:t>
            </w:r>
          </w:p>
        </w:tc>
        <w:tc>
          <w:tcPr>
            <w:tcW w:w="544" w:type="pct"/>
            <w:vAlign w:val="center"/>
          </w:tcPr>
          <w:p w14:paraId="4B0141FE">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水位</w:t>
            </w:r>
          </w:p>
        </w:tc>
        <w:tc>
          <w:tcPr>
            <w:tcW w:w="1563" w:type="pct"/>
          </w:tcPr>
          <w:p w14:paraId="451DD299">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66108D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307" w:type="pct"/>
            <w:vAlign w:val="center"/>
          </w:tcPr>
          <w:p w14:paraId="674C8946">
            <w:pPr>
              <w:pStyle w:val="91"/>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705" w:type="pct"/>
            <w:vAlign w:val="center"/>
          </w:tcPr>
          <w:p w14:paraId="7E3B293A">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库区厂内监控点</w:t>
            </w:r>
          </w:p>
        </w:tc>
        <w:tc>
          <w:tcPr>
            <w:tcW w:w="1358" w:type="pct"/>
          </w:tcPr>
          <w:p w14:paraId="3EA99E5E">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下游</w:t>
            </w:r>
            <w:r>
              <w:rPr>
                <w:rFonts w:hint="default"/>
                <w:color w:val="auto"/>
                <w:u w:val="single"/>
              </w:rPr>
              <w:t>，</w:t>
            </w:r>
            <w:r>
              <w:rPr>
                <w:rFonts w:hint="eastAsia"/>
                <w:color w:val="auto"/>
                <w:u w:val="single"/>
              </w:rPr>
              <w:t>罐组</w:t>
            </w:r>
            <w:r>
              <w:rPr>
                <w:rFonts w:hint="default"/>
                <w:color w:val="auto"/>
                <w:u w:val="single"/>
              </w:rPr>
              <w:t>南面</w:t>
            </w:r>
          </w:p>
        </w:tc>
        <w:tc>
          <w:tcPr>
            <w:tcW w:w="522" w:type="pct"/>
            <w:vAlign w:val="center"/>
          </w:tcPr>
          <w:p w14:paraId="0C2D3F36">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潜水层</w:t>
            </w:r>
          </w:p>
        </w:tc>
        <w:tc>
          <w:tcPr>
            <w:tcW w:w="544" w:type="pct"/>
            <w:vAlign w:val="center"/>
          </w:tcPr>
          <w:p w14:paraId="3EDEC3E6">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水质</w:t>
            </w:r>
            <w:r>
              <w:rPr>
                <w:rFonts w:hint="default"/>
                <w:color w:val="auto"/>
                <w:u w:val="single"/>
              </w:rPr>
              <w:t>、</w:t>
            </w:r>
          </w:p>
          <w:p w14:paraId="030E1AC3">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水位</w:t>
            </w:r>
          </w:p>
        </w:tc>
        <w:tc>
          <w:tcPr>
            <w:tcW w:w="1563" w:type="pct"/>
          </w:tcPr>
          <w:p w14:paraId="3B933F7F">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bl>
    <w:p w14:paraId="5F6FD67E">
      <w:pPr>
        <w:pStyle w:val="14"/>
        <w:rPr>
          <w:color w:val="auto"/>
        </w:rPr>
      </w:pPr>
    </w:p>
    <w:p w14:paraId="351787F1">
      <w:pPr>
        <w:pStyle w:val="14"/>
        <w:rPr>
          <w:color w:val="auto"/>
        </w:rPr>
      </w:pPr>
      <w:r>
        <w:rPr>
          <w:rFonts w:hint="eastAsia"/>
          <w:color w:val="auto"/>
        </w:rPr>
        <w:t>表</w:t>
      </w:r>
      <w:r>
        <w:rPr>
          <w:color w:val="auto"/>
        </w:rPr>
        <w:t>3.4</w:t>
      </w:r>
      <w:r>
        <w:rPr>
          <w:color w:val="auto"/>
        </w:rPr>
        <w:noBreakHyphen/>
      </w:r>
      <w:r>
        <w:rPr>
          <w:color w:val="auto"/>
        </w:rPr>
        <w:t>1地下水监测井基本情况</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4"/>
        <w:gridCol w:w="1595"/>
        <w:gridCol w:w="5806"/>
        <w:gridCol w:w="977"/>
      </w:tblGrid>
      <w:tr w14:paraId="5806EB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664" w:type="dxa"/>
            <w:vAlign w:val="center"/>
          </w:tcPr>
          <w:p w14:paraId="62C6FCFE">
            <w:pPr>
              <w:pStyle w:val="77"/>
              <w:keepNext w:val="0"/>
              <w:keepLines w:val="0"/>
              <w:suppressLineNumbers w:val="0"/>
              <w:spacing w:before="0" w:beforeAutospacing="0" w:after="0" w:afterAutospacing="0" w:line="300" w:lineRule="exact"/>
              <w:ind w:left="0" w:right="0"/>
              <w:rPr>
                <w:rFonts w:hint="default"/>
                <w:b/>
                <w:bCs/>
                <w:color w:val="auto"/>
                <w:lang w:val="zh-CN"/>
              </w:rPr>
            </w:pPr>
            <w:r>
              <w:rPr>
                <w:rFonts w:hint="default"/>
                <w:b/>
                <w:bCs/>
                <w:color w:val="auto"/>
                <w:lang w:val="zh-CN"/>
              </w:rPr>
              <w:t>编号</w:t>
            </w:r>
          </w:p>
        </w:tc>
        <w:tc>
          <w:tcPr>
            <w:tcW w:w="1595" w:type="dxa"/>
            <w:vAlign w:val="center"/>
          </w:tcPr>
          <w:p w14:paraId="06E49151">
            <w:pPr>
              <w:pStyle w:val="77"/>
              <w:keepNext w:val="0"/>
              <w:keepLines w:val="0"/>
              <w:suppressLineNumbers w:val="0"/>
              <w:spacing w:before="0" w:beforeAutospacing="0" w:after="0" w:afterAutospacing="0" w:line="300" w:lineRule="exact"/>
              <w:ind w:left="0" w:right="0"/>
              <w:rPr>
                <w:rFonts w:hint="default"/>
                <w:b/>
                <w:bCs/>
                <w:color w:val="auto"/>
              </w:rPr>
            </w:pPr>
            <w:r>
              <w:rPr>
                <w:rFonts w:hint="eastAsia"/>
                <w:b/>
                <w:bCs/>
                <w:color w:val="auto"/>
              </w:rPr>
              <w:t>检测点位</w:t>
            </w:r>
          </w:p>
        </w:tc>
        <w:tc>
          <w:tcPr>
            <w:tcW w:w="5806" w:type="dxa"/>
            <w:vAlign w:val="center"/>
          </w:tcPr>
          <w:p w14:paraId="09A77944">
            <w:pPr>
              <w:pStyle w:val="77"/>
              <w:keepNext w:val="0"/>
              <w:keepLines w:val="0"/>
              <w:suppressLineNumbers w:val="0"/>
              <w:spacing w:before="0" w:beforeAutospacing="0" w:after="0" w:afterAutospacing="0" w:line="300" w:lineRule="exact"/>
              <w:ind w:left="0" w:right="0"/>
              <w:rPr>
                <w:rFonts w:hint="default"/>
                <w:b/>
                <w:bCs/>
                <w:color w:val="auto"/>
                <w:lang w:val="zh-CN"/>
              </w:rPr>
            </w:pPr>
            <w:r>
              <w:rPr>
                <w:rFonts w:hint="default"/>
                <w:b/>
                <w:bCs/>
                <w:color w:val="auto"/>
                <w:lang w:val="zh-CN"/>
              </w:rPr>
              <w:t>监测因子</w:t>
            </w:r>
          </w:p>
        </w:tc>
        <w:tc>
          <w:tcPr>
            <w:tcW w:w="977" w:type="dxa"/>
            <w:vAlign w:val="center"/>
          </w:tcPr>
          <w:p w14:paraId="78E3D8F3">
            <w:pPr>
              <w:pStyle w:val="77"/>
              <w:keepNext w:val="0"/>
              <w:keepLines w:val="0"/>
              <w:suppressLineNumbers w:val="0"/>
              <w:spacing w:before="0" w:beforeAutospacing="0" w:after="0" w:afterAutospacing="0" w:line="300" w:lineRule="exact"/>
              <w:ind w:left="0" w:right="0"/>
              <w:rPr>
                <w:rFonts w:hint="default"/>
                <w:b/>
                <w:bCs/>
                <w:color w:val="auto"/>
                <w:lang w:val="zh-CN"/>
              </w:rPr>
            </w:pPr>
            <w:r>
              <w:rPr>
                <w:rFonts w:hint="default"/>
                <w:b/>
                <w:bCs/>
                <w:color w:val="auto"/>
                <w:lang w:val="zh-CN"/>
              </w:rPr>
              <w:t>水位/m</w:t>
            </w:r>
          </w:p>
        </w:tc>
      </w:tr>
      <w:tr w14:paraId="2CD134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4" w:type="dxa"/>
            <w:vAlign w:val="center"/>
          </w:tcPr>
          <w:p w14:paraId="1C8FCA65">
            <w:pPr>
              <w:pStyle w:val="77"/>
              <w:keepNext w:val="0"/>
              <w:keepLines w:val="0"/>
              <w:suppressLineNumbers w:val="0"/>
              <w:spacing w:before="0" w:beforeAutospacing="0" w:after="0" w:afterAutospacing="0" w:line="300" w:lineRule="exact"/>
              <w:ind w:left="0" w:right="0"/>
              <w:rPr>
                <w:rFonts w:hint="default"/>
                <w:color w:val="auto"/>
              </w:rPr>
            </w:pPr>
            <w:r>
              <w:rPr>
                <w:rFonts w:hint="default"/>
                <w:color w:val="auto"/>
              </w:rPr>
              <w:t>D1</w:t>
            </w:r>
          </w:p>
        </w:tc>
        <w:tc>
          <w:tcPr>
            <w:tcW w:w="1595" w:type="dxa"/>
            <w:vAlign w:val="center"/>
          </w:tcPr>
          <w:p w14:paraId="535458C3">
            <w:pPr>
              <w:pStyle w:val="77"/>
              <w:keepNext w:val="0"/>
              <w:keepLines w:val="0"/>
              <w:suppressLineNumbers w:val="0"/>
              <w:spacing w:before="0" w:beforeAutospacing="0" w:after="0" w:afterAutospacing="0" w:line="300" w:lineRule="exact"/>
              <w:ind w:left="0" w:right="0"/>
              <w:rPr>
                <w:rFonts w:hint="default"/>
                <w:color w:val="auto"/>
              </w:rPr>
            </w:pPr>
            <w:r>
              <w:rPr>
                <w:rFonts w:hint="default"/>
                <w:color w:val="auto"/>
              </w:rPr>
              <w:t>广西华谊新材料有限公司罐区</w:t>
            </w:r>
          </w:p>
        </w:tc>
        <w:tc>
          <w:tcPr>
            <w:tcW w:w="5806" w:type="dxa"/>
            <w:vAlign w:val="center"/>
          </w:tcPr>
          <w:p w14:paraId="65DE0309">
            <w:pPr>
              <w:pStyle w:val="77"/>
              <w:keepNext w:val="0"/>
              <w:keepLines w:val="0"/>
              <w:suppressLineNumbers w:val="0"/>
              <w:spacing w:before="0" w:beforeAutospacing="0" w:after="0" w:afterAutospacing="0" w:line="300" w:lineRule="exact"/>
              <w:ind w:left="0" w:right="0"/>
              <w:rPr>
                <w:rFonts w:hint="default"/>
                <w:color w:val="auto"/>
                <w:lang w:val="zh-CN"/>
              </w:rPr>
            </w:pPr>
            <w:r>
              <w:rPr>
                <w:rFonts w:hint="default"/>
                <w:color w:val="auto"/>
              </w:rPr>
              <w:t>pH、总硬度、溶解性总固体、SO</w:t>
            </w:r>
            <w:r>
              <w:rPr>
                <w:rFonts w:hint="default"/>
                <w:color w:val="auto"/>
                <w:vertAlign w:val="subscript"/>
              </w:rPr>
              <w:t>4</w:t>
            </w:r>
            <w:r>
              <w:rPr>
                <w:rFonts w:hint="default"/>
                <w:color w:val="auto"/>
                <w:vertAlign w:val="superscript"/>
              </w:rPr>
              <w:t>2-</w:t>
            </w:r>
            <w:r>
              <w:rPr>
                <w:rFonts w:hint="default"/>
                <w:color w:val="auto"/>
              </w:rPr>
              <w:t>、Cl</w:t>
            </w:r>
            <w:r>
              <w:rPr>
                <w:rFonts w:hint="default"/>
                <w:color w:val="auto"/>
                <w:vertAlign w:val="superscript"/>
              </w:rPr>
              <w:t>-</w:t>
            </w:r>
            <w:r>
              <w:rPr>
                <w:rFonts w:hint="default"/>
                <w:color w:val="auto"/>
              </w:rPr>
              <w:t>、挥发酚、高锰酸盐指数（以O2计）、氨氮、硫化物、NO</w:t>
            </w:r>
            <w:r>
              <w:rPr>
                <w:rFonts w:hint="default"/>
                <w:color w:val="auto"/>
                <w:vertAlign w:val="subscript"/>
              </w:rPr>
              <w:t>3</w:t>
            </w:r>
            <w:r>
              <w:rPr>
                <w:rFonts w:hint="default"/>
                <w:color w:val="auto"/>
                <w:vertAlign w:val="superscript"/>
              </w:rPr>
              <w:t>-</w:t>
            </w:r>
            <w:r>
              <w:rPr>
                <w:rFonts w:hint="default"/>
                <w:color w:val="auto"/>
              </w:rPr>
              <w:t>、NO</w:t>
            </w:r>
            <w:r>
              <w:rPr>
                <w:rFonts w:hint="default"/>
                <w:color w:val="auto"/>
                <w:vertAlign w:val="subscript"/>
              </w:rPr>
              <w:t>2</w:t>
            </w:r>
            <w:r>
              <w:rPr>
                <w:rFonts w:hint="default"/>
                <w:color w:val="auto"/>
                <w:vertAlign w:val="superscript"/>
              </w:rPr>
              <w:t>-</w:t>
            </w:r>
            <w:r>
              <w:rPr>
                <w:rFonts w:hint="default"/>
                <w:color w:val="auto"/>
              </w:rPr>
              <w:t>、F</w:t>
            </w:r>
            <w:r>
              <w:rPr>
                <w:rFonts w:hint="default"/>
                <w:color w:val="auto"/>
                <w:vertAlign w:val="superscript"/>
              </w:rPr>
              <w:t>-</w:t>
            </w:r>
            <w:r>
              <w:rPr>
                <w:rFonts w:hint="default"/>
                <w:color w:val="auto"/>
              </w:rPr>
              <w:t>、氰化物、砷、汞、铅、铬（六价）、镉、苯乙烯</w:t>
            </w:r>
            <w:r>
              <w:rPr>
                <w:rFonts w:hint="eastAsia"/>
                <w:color w:val="auto"/>
              </w:rPr>
              <w:t>，</w:t>
            </w:r>
            <w:r>
              <w:rPr>
                <w:rFonts w:hint="default"/>
                <w:color w:val="auto"/>
              </w:rPr>
              <w:t>记录井深、埋深、水位</w:t>
            </w:r>
          </w:p>
        </w:tc>
        <w:tc>
          <w:tcPr>
            <w:tcW w:w="977" w:type="dxa"/>
            <w:vAlign w:val="center"/>
          </w:tcPr>
          <w:p w14:paraId="11275414">
            <w:pPr>
              <w:pStyle w:val="77"/>
              <w:keepNext w:val="0"/>
              <w:keepLines w:val="0"/>
              <w:suppressLineNumbers w:val="0"/>
              <w:spacing w:before="0" w:beforeAutospacing="0" w:after="0" w:afterAutospacing="0" w:line="300" w:lineRule="exact"/>
              <w:ind w:left="0" w:right="0"/>
              <w:rPr>
                <w:rFonts w:hint="default"/>
                <w:color w:val="auto"/>
              </w:rPr>
            </w:pPr>
          </w:p>
        </w:tc>
      </w:tr>
      <w:tr w14:paraId="757D23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4" w:type="dxa"/>
            <w:vAlign w:val="center"/>
          </w:tcPr>
          <w:p w14:paraId="70DD6C50">
            <w:pPr>
              <w:pStyle w:val="77"/>
              <w:keepNext w:val="0"/>
              <w:keepLines w:val="0"/>
              <w:suppressLineNumbers w:val="0"/>
              <w:spacing w:before="0" w:beforeAutospacing="0" w:after="0" w:afterAutospacing="0" w:line="300" w:lineRule="exact"/>
              <w:ind w:left="0" w:right="0"/>
              <w:rPr>
                <w:rFonts w:hint="default"/>
                <w:color w:val="auto"/>
              </w:rPr>
            </w:pPr>
            <w:r>
              <w:rPr>
                <w:rFonts w:hint="default"/>
                <w:color w:val="auto"/>
              </w:rPr>
              <w:t>3#</w:t>
            </w:r>
          </w:p>
        </w:tc>
        <w:tc>
          <w:tcPr>
            <w:tcW w:w="1595" w:type="dxa"/>
            <w:vAlign w:val="center"/>
          </w:tcPr>
          <w:p w14:paraId="7991391D">
            <w:pPr>
              <w:pStyle w:val="77"/>
              <w:keepNext w:val="0"/>
              <w:keepLines w:val="0"/>
              <w:suppressLineNumbers w:val="0"/>
              <w:spacing w:before="0" w:beforeAutospacing="0" w:after="0" w:afterAutospacing="0" w:line="300" w:lineRule="exact"/>
              <w:ind w:left="0" w:right="0"/>
              <w:rPr>
                <w:rFonts w:hint="default"/>
                <w:color w:val="auto"/>
              </w:rPr>
            </w:pPr>
            <w:r>
              <w:rPr>
                <w:rFonts w:hint="eastAsia"/>
                <w:color w:val="auto"/>
              </w:rPr>
              <w:t>库区下游监控点</w:t>
            </w:r>
          </w:p>
        </w:tc>
        <w:tc>
          <w:tcPr>
            <w:tcW w:w="5806" w:type="dxa"/>
            <w:vMerge w:val="restart"/>
            <w:vAlign w:val="center"/>
          </w:tcPr>
          <w:p w14:paraId="5348F7B5">
            <w:pPr>
              <w:pStyle w:val="77"/>
              <w:keepNext w:val="0"/>
              <w:keepLines w:val="0"/>
              <w:suppressLineNumbers w:val="0"/>
              <w:spacing w:before="0" w:beforeAutospacing="0" w:after="0" w:afterAutospacing="0" w:line="300" w:lineRule="exact"/>
              <w:ind w:left="0" w:right="0"/>
              <w:rPr>
                <w:rFonts w:hint="default"/>
                <w:color w:val="auto"/>
                <w:lang w:val="zh-CN"/>
              </w:rPr>
            </w:pPr>
            <w:r>
              <w:rPr>
                <w:rFonts w:hint="default"/>
                <w:color w:val="auto"/>
                <w:kern w:val="28"/>
              </w:rPr>
              <w:t>K</w:t>
            </w:r>
            <w:r>
              <w:rPr>
                <w:rFonts w:hint="default"/>
                <w:color w:val="auto"/>
                <w:kern w:val="28"/>
                <w:vertAlign w:val="superscript"/>
              </w:rPr>
              <w:t>+</w:t>
            </w:r>
            <w:r>
              <w:rPr>
                <w:rFonts w:hint="default"/>
                <w:color w:val="auto"/>
                <w:kern w:val="28"/>
              </w:rPr>
              <w:t>、Na</w:t>
            </w:r>
            <w:r>
              <w:rPr>
                <w:rFonts w:hint="default"/>
                <w:color w:val="auto"/>
                <w:kern w:val="28"/>
                <w:vertAlign w:val="superscript"/>
              </w:rPr>
              <w:t>+</w:t>
            </w:r>
            <w:r>
              <w:rPr>
                <w:rFonts w:hint="default"/>
                <w:color w:val="auto"/>
                <w:kern w:val="28"/>
              </w:rPr>
              <w:t>、Ca</w:t>
            </w:r>
            <w:r>
              <w:rPr>
                <w:rFonts w:hint="default"/>
                <w:color w:val="auto"/>
                <w:kern w:val="28"/>
                <w:vertAlign w:val="superscript"/>
              </w:rPr>
              <w:t>2+</w:t>
            </w:r>
            <w:r>
              <w:rPr>
                <w:rFonts w:hint="default"/>
                <w:color w:val="auto"/>
                <w:kern w:val="28"/>
              </w:rPr>
              <w:t>、Mg</w:t>
            </w:r>
            <w:r>
              <w:rPr>
                <w:rFonts w:hint="default"/>
                <w:color w:val="auto"/>
                <w:kern w:val="28"/>
                <w:vertAlign w:val="superscript"/>
              </w:rPr>
              <w:t>2+</w:t>
            </w:r>
            <w:r>
              <w:rPr>
                <w:rFonts w:hint="default"/>
                <w:color w:val="auto"/>
                <w:kern w:val="28"/>
              </w:rPr>
              <w:t>、碳酸盐、重碳酸盐、Cl</w:t>
            </w:r>
            <w:r>
              <w:rPr>
                <w:rFonts w:hint="default"/>
                <w:color w:val="auto"/>
                <w:kern w:val="28"/>
                <w:vertAlign w:val="superscript"/>
              </w:rPr>
              <w:t>-</w:t>
            </w:r>
            <w:r>
              <w:rPr>
                <w:rFonts w:hint="default"/>
                <w:color w:val="auto"/>
                <w:kern w:val="28"/>
              </w:rPr>
              <w:t>、SO</w:t>
            </w:r>
            <w:r>
              <w:rPr>
                <w:rFonts w:hint="default"/>
                <w:color w:val="auto"/>
                <w:kern w:val="28"/>
                <w:vertAlign w:val="subscript"/>
              </w:rPr>
              <w:t>4</w:t>
            </w:r>
            <w:r>
              <w:rPr>
                <w:rFonts w:hint="default"/>
                <w:color w:val="auto"/>
                <w:kern w:val="28"/>
                <w:vertAlign w:val="superscript"/>
              </w:rPr>
              <w:t>2-</w:t>
            </w:r>
            <w:r>
              <w:rPr>
                <w:rFonts w:hint="default"/>
                <w:color w:val="auto"/>
                <w:kern w:val="28"/>
              </w:rPr>
              <w:t>、</w:t>
            </w:r>
            <w:r>
              <w:rPr>
                <w:rFonts w:hint="default"/>
                <w:color w:val="auto"/>
              </w:rPr>
              <w:t>NO</w:t>
            </w:r>
            <w:r>
              <w:rPr>
                <w:rFonts w:hint="default"/>
                <w:color w:val="auto"/>
                <w:vertAlign w:val="subscript"/>
              </w:rPr>
              <w:t>3</w:t>
            </w:r>
            <w:r>
              <w:rPr>
                <w:rFonts w:hint="default"/>
                <w:color w:val="auto"/>
                <w:vertAlign w:val="superscript"/>
              </w:rPr>
              <w:t>-</w:t>
            </w:r>
            <w:r>
              <w:rPr>
                <w:rFonts w:hint="default"/>
                <w:color w:val="auto"/>
                <w:lang w:bidi="ar"/>
              </w:rPr>
              <w:t>、</w:t>
            </w:r>
            <w:r>
              <w:rPr>
                <w:rFonts w:hint="default"/>
                <w:color w:val="auto"/>
              </w:rPr>
              <w:t>NO</w:t>
            </w:r>
            <w:r>
              <w:rPr>
                <w:rFonts w:hint="default"/>
                <w:color w:val="auto"/>
                <w:vertAlign w:val="subscript"/>
              </w:rPr>
              <w:t>2</w:t>
            </w:r>
            <w:r>
              <w:rPr>
                <w:rFonts w:hint="default"/>
                <w:color w:val="auto"/>
                <w:vertAlign w:val="superscript"/>
              </w:rPr>
              <w:t>-</w:t>
            </w:r>
            <w:r>
              <w:rPr>
                <w:rFonts w:hint="default"/>
                <w:color w:val="auto"/>
                <w:lang w:bidi="ar"/>
              </w:rPr>
              <w:t>、</w:t>
            </w:r>
            <w:r>
              <w:rPr>
                <w:rFonts w:hint="default"/>
                <w:color w:val="auto"/>
              </w:rPr>
              <w:t>F</w:t>
            </w:r>
            <w:r>
              <w:rPr>
                <w:rFonts w:hint="default"/>
                <w:color w:val="auto"/>
                <w:vertAlign w:val="superscript"/>
              </w:rPr>
              <w:t>-</w:t>
            </w:r>
            <w:r>
              <w:rPr>
                <w:rFonts w:hint="default"/>
                <w:color w:val="auto"/>
                <w:lang w:bidi="ar"/>
              </w:rPr>
              <w:t>、</w:t>
            </w:r>
            <w:r>
              <w:rPr>
                <w:rFonts w:hint="default"/>
                <w:color w:val="auto"/>
              </w:rPr>
              <w:t>pH值、氨氮、挥发酚、氰化物、砷、汞、铬（六价）、总硬度、铅、镉、铁、锰、溶解性总固体、高锰酸盐指数（以O</w:t>
            </w:r>
            <w:r>
              <w:rPr>
                <w:rFonts w:hint="default"/>
                <w:color w:val="auto"/>
                <w:vertAlign w:val="subscript"/>
              </w:rPr>
              <w:t>2</w:t>
            </w:r>
            <w:r>
              <w:rPr>
                <w:rFonts w:hint="default"/>
                <w:color w:val="auto"/>
              </w:rPr>
              <w:t>计）、总大肠菌群、细菌总数</w:t>
            </w:r>
            <w:r>
              <w:rPr>
                <w:rFonts w:hint="default"/>
                <w:color w:val="auto"/>
                <w:lang w:bidi="ar"/>
              </w:rPr>
              <w:t>，同时记录水位</w:t>
            </w:r>
            <w:r>
              <w:rPr>
                <w:rFonts w:hint="eastAsia"/>
                <w:color w:val="auto"/>
                <w:lang w:bidi="ar"/>
              </w:rPr>
              <w:t>、井口高程、埋深</w:t>
            </w:r>
          </w:p>
        </w:tc>
        <w:tc>
          <w:tcPr>
            <w:tcW w:w="977" w:type="dxa"/>
            <w:vAlign w:val="center"/>
          </w:tcPr>
          <w:p w14:paraId="3153C36E">
            <w:pPr>
              <w:pStyle w:val="77"/>
              <w:keepNext w:val="0"/>
              <w:keepLines w:val="0"/>
              <w:suppressLineNumbers w:val="0"/>
              <w:spacing w:before="0" w:beforeAutospacing="0" w:after="0" w:afterAutospacing="0" w:line="300" w:lineRule="exact"/>
              <w:ind w:left="0" w:right="0"/>
              <w:rPr>
                <w:rFonts w:hint="default"/>
                <w:color w:val="auto"/>
              </w:rPr>
            </w:pPr>
          </w:p>
        </w:tc>
      </w:tr>
      <w:tr w14:paraId="280C19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4" w:type="dxa"/>
            <w:vAlign w:val="center"/>
          </w:tcPr>
          <w:p w14:paraId="5CBF7691">
            <w:pPr>
              <w:pStyle w:val="77"/>
              <w:keepNext w:val="0"/>
              <w:keepLines w:val="0"/>
              <w:suppressLineNumbers w:val="0"/>
              <w:spacing w:before="0" w:beforeAutospacing="0" w:after="0" w:afterAutospacing="0" w:line="300" w:lineRule="exact"/>
              <w:ind w:left="0" w:right="0"/>
              <w:rPr>
                <w:rFonts w:hint="default"/>
                <w:color w:val="auto"/>
              </w:rPr>
            </w:pPr>
            <w:r>
              <w:rPr>
                <w:rFonts w:hint="default"/>
                <w:color w:val="auto"/>
              </w:rPr>
              <w:t>4#</w:t>
            </w:r>
          </w:p>
        </w:tc>
        <w:tc>
          <w:tcPr>
            <w:tcW w:w="1595" w:type="dxa"/>
            <w:vAlign w:val="center"/>
          </w:tcPr>
          <w:p w14:paraId="38348ACB">
            <w:pPr>
              <w:pStyle w:val="77"/>
              <w:keepNext w:val="0"/>
              <w:keepLines w:val="0"/>
              <w:suppressLineNumbers w:val="0"/>
              <w:spacing w:before="0" w:beforeAutospacing="0" w:after="0" w:afterAutospacing="0" w:line="300" w:lineRule="exact"/>
              <w:ind w:left="0" w:right="0"/>
              <w:rPr>
                <w:rFonts w:hint="default"/>
                <w:color w:val="auto"/>
              </w:rPr>
            </w:pPr>
            <w:r>
              <w:rPr>
                <w:rFonts w:hint="eastAsia"/>
                <w:color w:val="auto"/>
              </w:rPr>
              <w:t>库区厂内监控点</w:t>
            </w:r>
          </w:p>
        </w:tc>
        <w:tc>
          <w:tcPr>
            <w:tcW w:w="5806" w:type="dxa"/>
            <w:vMerge w:val="continue"/>
            <w:vAlign w:val="center"/>
          </w:tcPr>
          <w:p w14:paraId="52BD59B9">
            <w:pPr>
              <w:pStyle w:val="77"/>
              <w:keepNext w:val="0"/>
              <w:keepLines w:val="0"/>
              <w:suppressLineNumbers w:val="0"/>
              <w:spacing w:before="0" w:beforeAutospacing="0" w:after="0" w:afterAutospacing="0" w:line="300" w:lineRule="exact"/>
              <w:ind w:left="0" w:right="0"/>
              <w:rPr>
                <w:rFonts w:hint="default"/>
                <w:color w:val="auto"/>
                <w:lang w:val="zh-CN"/>
              </w:rPr>
            </w:pPr>
          </w:p>
        </w:tc>
        <w:tc>
          <w:tcPr>
            <w:tcW w:w="977" w:type="dxa"/>
            <w:vAlign w:val="center"/>
          </w:tcPr>
          <w:p w14:paraId="4527EF17">
            <w:pPr>
              <w:pStyle w:val="77"/>
              <w:keepNext w:val="0"/>
              <w:keepLines w:val="0"/>
              <w:suppressLineNumbers w:val="0"/>
              <w:spacing w:before="0" w:beforeAutospacing="0" w:after="0" w:afterAutospacing="0" w:line="300" w:lineRule="exact"/>
              <w:ind w:left="0" w:right="0"/>
              <w:rPr>
                <w:rFonts w:hint="default"/>
                <w:color w:val="auto"/>
              </w:rPr>
            </w:pPr>
          </w:p>
        </w:tc>
      </w:tr>
    </w:tbl>
    <w:p w14:paraId="0907ECE5">
      <w:pPr>
        <w:pStyle w:val="204"/>
        <w:bidi w:val="0"/>
        <w:jc w:val="both"/>
        <w:rPr>
          <w:rFonts w:hint="default"/>
          <w:color w:val="auto"/>
          <w:u w:val="single"/>
          <w:lang w:val="en-US" w:eastAsia="zh-CN"/>
        </w:rPr>
      </w:pPr>
      <w:bookmarkStart w:id="428" w:name="_Toc216620544"/>
      <w:bookmarkStart w:id="429" w:name="_Toc136878480"/>
      <w:r>
        <w:rPr>
          <w:rFonts w:hint="eastAsia"/>
          <w:color w:val="auto"/>
          <w:u w:val="single"/>
          <w:lang w:val="en-US" w:eastAsia="zh-CN"/>
        </w:rPr>
        <w:t>注：高程均以黄海平均海平面为基准面。</w:t>
      </w:r>
    </w:p>
    <w:p w14:paraId="0D0CAAA0">
      <w:pPr>
        <w:pStyle w:val="204"/>
        <w:bidi w:val="0"/>
        <w:jc w:val="both"/>
        <w:rPr>
          <w:rFonts w:hint="default"/>
          <w:color w:val="auto"/>
          <w:lang w:val="en-US" w:eastAsia="zh-CN"/>
        </w:rPr>
      </w:pPr>
    </w:p>
    <w:p w14:paraId="73497C04">
      <w:pPr>
        <w:pStyle w:val="4"/>
        <w:rPr>
          <w:color w:val="auto"/>
        </w:rPr>
      </w:pPr>
      <w:r>
        <w:rPr>
          <w:color w:val="auto"/>
        </w:rPr>
        <w:t>监测与分析方法</w:t>
      </w:r>
      <w:bookmarkEnd w:id="428"/>
      <w:bookmarkEnd w:id="429"/>
    </w:p>
    <w:p w14:paraId="652796E5">
      <w:pPr>
        <w:ind w:firstLine="480"/>
        <w:rPr>
          <w:color w:val="auto"/>
          <w:kern w:val="0"/>
          <w:szCs w:val="22"/>
        </w:rPr>
      </w:pPr>
      <w:r>
        <w:rPr>
          <w:color w:val="auto"/>
          <w:kern w:val="0"/>
          <w:szCs w:val="22"/>
        </w:rPr>
        <w:t>监测分析方法如下：</w:t>
      </w:r>
    </w:p>
    <w:p w14:paraId="3AD4A955">
      <w:pPr>
        <w:pStyle w:val="14"/>
        <w:rPr>
          <w:color w:val="auto"/>
        </w:rPr>
      </w:pPr>
      <w:r>
        <w:rPr>
          <w:rFonts w:hint="eastAsia"/>
          <w:color w:val="auto"/>
        </w:rPr>
        <w:t>表</w:t>
      </w:r>
      <w:r>
        <w:rPr>
          <w:color w:val="auto"/>
        </w:rPr>
        <w:t>3.4</w:t>
      </w:r>
      <w:r>
        <w:rPr>
          <w:color w:val="auto"/>
        </w:rPr>
        <w:noBreakHyphen/>
      </w:r>
      <w:r>
        <w:rPr>
          <w:color w:val="auto"/>
        </w:rPr>
        <w:t>2地下水监测方法一览表</w:t>
      </w:r>
    </w:p>
    <w:tbl>
      <w:tblPr>
        <w:tblStyle w:val="44"/>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6095"/>
        <w:gridCol w:w="1701"/>
      </w:tblGrid>
      <w:tr w14:paraId="3777E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14:paraId="0B70E910">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检测项目</w:t>
            </w:r>
          </w:p>
        </w:tc>
        <w:tc>
          <w:tcPr>
            <w:tcW w:w="6095" w:type="dxa"/>
            <w:vAlign w:val="center"/>
          </w:tcPr>
          <w:p w14:paraId="05A9D3B9">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方法名称及标准号</w:t>
            </w:r>
          </w:p>
        </w:tc>
        <w:tc>
          <w:tcPr>
            <w:tcW w:w="1701" w:type="dxa"/>
            <w:vAlign w:val="center"/>
          </w:tcPr>
          <w:p w14:paraId="5F2C0991">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检出限或最低检出浓度</w:t>
            </w:r>
          </w:p>
        </w:tc>
      </w:tr>
      <w:tr w14:paraId="79A36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0D675D0A">
            <w:pPr>
              <w:pStyle w:val="91"/>
              <w:keepNext w:val="0"/>
              <w:keepLines w:val="0"/>
              <w:suppressLineNumbers w:val="0"/>
              <w:spacing w:before="0" w:beforeAutospacing="0" w:after="0" w:afterAutospacing="0"/>
              <w:ind w:left="0" w:right="0"/>
              <w:rPr>
                <w:rFonts w:hint="default"/>
                <w:color w:val="auto"/>
              </w:rPr>
            </w:pPr>
            <w:r>
              <w:rPr>
                <w:rFonts w:hint="eastAsia"/>
                <w:color w:val="auto"/>
              </w:rPr>
              <w:t>K</w:t>
            </w:r>
            <w:r>
              <w:rPr>
                <w:rFonts w:hint="eastAsia"/>
                <w:color w:val="auto"/>
                <w:vertAlign w:val="superscript"/>
              </w:rPr>
              <w:t>+</w:t>
            </w:r>
          </w:p>
        </w:tc>
        <w:tc>
          <w:tcPr>
            <w:tcW w:w="6095" w:type="dxa"/>
            <w:vMerge w:val="restart"/>
          </w:tcPr>
          <w:p w14:paraId="51690AA5">
            <w:pPr>
              <w:pStyle w:val="91"/>
              <w:keepNext w:val="0"/>
              <w:keepLines w:val="0"/>
              <w:suppressLineNumbers w:val="0"/>
              <w:spacing w:before="0" w:beforeAutospacing="0" w:after="0" w:afterAutospacing="0"/>
              <w:ind w:left="0" w:right="0"/>
              <w:rPr>
                <w:rFonts w:hint="default"/>
                <w:color w:val="auto"/>
              </w:rPr>
            </w:pPr>
            <w:r>
              <w:rPr>
                <w:rFonts w:hint="eastAsia"/>
                <w:color w:val="auto"/>
              </w:rPr>
              <w:t>水质可溶性阳离子（Li</w:t>
            </w:r>
            <w:r>
              <w:rPr>
                <w:rFonts w:hint="eastAsia"/>
                <w:color w:val="auto"/>
                <w:vertAlign w:val="superscript"/>
              </w:rPr>
              <w:t>+</w:t>
            </w:r>
            <w:r>
              <w:rPr>
                <w:rFonts w:hint="eastAsia"/>
                <w:color w:val="auto"/>
              </w:rPr>
              <w:t>、Na</w:t>
            </w:r>
            <w:r>
              <w:rPr>
                <w:rFonts w:hint="eastAsia"/>
                <w:color w:val="auto"/>
                <w:vertAlign w:val="superscript"/>
              </w:rPr>
              <w:t>+</w:t>
            </w:r>
            <w:r>
              <w:rPr>
                <w:rFonts w:hint="eastAsia"/>
                <w:color w:val="auto"/>
              </w:rPr>
              <w:t>、NH</w:t>
            </w:r>
            <w:r>
              <w:rPr>
                <w:rFonts w:hint="eastAsia"/>
                <w:color w:val="auto"/>
                <w:vertAlign w:val="subscript"/>
              </w:rPr>
              <w:t>4</w:t>
            </w:r>
            <w:r>
              <w:rPr>
                <w:rFonts w:hint="eastAsia"/>
                <w:color w:val="auto"/>
                <w:vertAlign w:val="superscript"/>
              </w:rPr>
              <w:t>+</w:t>
            </w:r>
            <w:r>
              <w:rPr>
                <w:rFonts w:hint="eastAsia"/>
                <w:color w:val="auto"/>
              </w:rPr>
              <w:t>、K</w:t>
            </w:r>
            <w:r>
              <w:rPr>
                <w:rFonts w:hint="eastAsia"/>
                <w:color w:val="auto"/>
                <w:vertAlign w:val="superscript"/>
              </w:rPr>
              <w:t>+</w:t>
            </w:r>
            <w:r>
              <w:rPr>
                <w:rFonts w:hint="eastAsia"/>
                <w:color w:val="auto"/>
              </w:rPr>
              <w:t>、Ca</w:t>
            </w:r>
            <w:r>
              <w:rPr>
                <w:rFonts w:hint="eastAsia"/>
                <w:color w:val="auto"/>
                <w:vertAlign w:val="superscript"/>
              </w:rPr>
              <w:t>2+</w:t>
            </w:r>
            <w:r>
              <w:rPr>
                <w:rFonts w:hint="eastAsia"/>
                <w:color w:val="auto"/>
              </w:rPr>
              <w:t>、Mg</w:t>
            </w:r>
            <w:r>
              <w:rPr>
                <w:rFonts w:hint="eastAsia"/>
                <w:color w:val="auto"/>
                <w:vertAlign w:val="superscript"/>
              </w:rPr>
              <w:t>2+</w:t>
            </w:r>
            <w:r>
              <w:rPr>
                <w:rFonts w:hint="eastAsia"/>
                <w:color w:val="auto"/>
              </w:rPr>
              <w:t>）的测定离子色谱法（HJ812-2016）</w:t>
            </w:r>
          </w:p>
        </w:tc>
        <w:tc>
          <w:tcPr>
            <w:tcW w:w="1701" w:type="dxa"/>
          </w:tcPr>
          <w:p w14:paraId="45CA36C1">
            <w:pPr>
              <w:pStyle w:val="91"/>
              <w:keepNext w:val="0"/>
              <w:keepLines w:val="0"/>
              <w:suppressLineNumbers w:val="0"/>
              <w:spacing w:before="0" w:beforeAutospacing="0" w:after="0" w:afterAutospacing="0"/>
              <w:ind w:left="0" w:right="0"/>
              <w:rPr>
                <w:rFonts w:hint="default"/>
                <w:color w:val="auto"/>
              </w:rPr>
            </w:pPr>
            <w:r>
              <w:rPr>
                <w:rFonts w:hint="eastAsia"/>
                <w:color w:val="auto"/>
              </w:rPr>
              <w:t>0.02mg/L</w:t>
            </w:r>
          </w:p>
        </w:tc>
      </w:tr>
      <w:tr w14:paraId="58BCD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0D18CF7D">
            <w:pPr>
              <w:pStyle w:val="91"/>
              <w:keepNext w:val="0"/>
              <w:keepLines w:val="0"/>
              <w:suppressLineNumbers w:val="0"/>
              <w:spacing w:before="0" w:beforeAutospacing="0" w:after="0" w:afterAutospacing="0"/>
              <w:ind w:left="0" w:right="0"/>
              <w:rPr>
                <w:rFonts w:hint="default"/>
                <w:color w:val="auto"/>
              </w:rPr>
            </w:pPr>
            <w:r>
              <w:rPr>
                <w:rFonts w:hint="default"/>
                <w:color w:val="auto"/>
              </w:rPr>
              <w:t>Na</w:t>
            </w:r>
            <w:r>
              <w:rPr>
                <w:rFonts w:hint="default"/>
                <w:color w:val="auto"/>
                <w:vertAlign w:val="superscript"/>
              </w:rPr>
              <w:t>+</w:t>
            </w:r>
          </w:p>
        </w:tc>
        <w:tc>
          <w:tcPr>
            <w:tcW w:w="6095" w:type="dxa"/>
            <w:vMerge w:val="continue"/>
          </w:tcPr>
          <w:p w14:paraId="0BDC9B4C">
            <w:pPr>
              <w:pStyle w:val="91"/>
              <w:keepNext w:val="0"/>
              <w:keepLines w:val="0"/>
              <w:suppressLineNumbers w:val="0"/>
              <w:spacing w:before="0" w:beforeAutospacing="0" w:after="0" w:afterAutospacing="0"/>
              <w:ind w:left="0" w:right="0"/>
              <w:rPr>
                <w:rFonts w:hint="default"/>
                <w:color w:val="auto"/>
              </w:rPr>
            </w:pPr>
          </w:p>
        </w:tc>
        <w:tc>
          <w:tcPr>
            <w:tcW w:w="1701" w:type="dxa"/>
          </w:tcPr>
          <w:p w14:paraId="293E5E85">
            <w:pPr>
              <w:pStyle w:val="91"/>
              <w:keepNext w:val="0"/>
              <w:keepLines w:val="0"/>
              <w:suppressLineNumbers w:val="0"/>
              <w:spacing w:before="0" w:beforeAutospacing="0" w:after="0" w:afterAutospacing="0"/>
              <w:ind w:left="0" w:right="0"/>
              <w:rPr>
                <w:rFonts w:hint="default"/>
                <w:color w:val="auto"/>
              </w:rPr>
            </w:pPr>
            <w:r>
              <w:rPr>
                <w:rFonts w:hint="default"/>
                <w:color w:val="auto"/>
              </w:rPr>
              <w:t>0.02mg/L</w:t>
            </w:r>
          </w:p>
        </w:tc>
      </w:tr>
      <w:tr w14:paraId="47B43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5FD32B30">
            <w:pPr>
              <w:pStyle w:val="91"/>
              <w:keepNext w:val="0"/>
              <w:keepLines w:val="0"/>
              <w:suppressLineNumbers w:val="0"/>
              <w:spacing w:before="0" w:beforeAutospacing="0" w:after="0" w:afterAutospacing="0"/>
              <w:ind w:left="0" w:right="0"/>
              <w:rPr>
                <w:rFonts w:hint="default"/>
                <w:color w:val="auto"/>
              </w:rPr>
            </w:pPr>
            <w:r>
              <w:rPr>
                <w:rFonts w:hint="default"/>
                <w:color w:val="auto"/>
              </w:rPr>
              <w:t>Ca</w:t>
            </w:r>
            <w:r>
              <w:rPr>
                <w:rFonts w:hint="default"/>
                <w:color w:val="auto"/>
                <w:vertAlign w:val="superscript"/>
              </w:rPr>
              <w:t>2+</w:t>
            </w:r>
          </w:p>
        </w:tc>
        <w:tc>
          <w:tcPr>
            <w:tcW w:w="6095" w:type="dxa"/>
            <w:vMerge w:val="continue"/>
          </w:tcPr>
          <w:p w14:paraId="432CC58D">
            <w:pPr>
              <w:pStyle w:val="91"/>
              <w:keepNext w:val="0"/>
              <w:keepLines w:val="0"/>
              <w:suppressLineNumbers w:val="0"/>
              <w:spacing w:before="0" w:beforeAutospacing="0" w:after="0" w:afterAutospacing="0"/>
              <w:ind w:left="0" w:right="0"/>
              <w:rPr>
                <w:rFonts w:hint="default"/>
                <w:color w:val="auto"/>
              </w:rPr>
            </w:pPr>
          </w:p>
        </w:tc>
        <w:tc>
          <w:tcPr>
            <w:tcW w:w="1701" w:type="dxa"/>
          </w:tcPr>
          <w:p w14:paraId="27A38864">
            <w:pPr>
              <w:pStyle w:val="91"/>
              <w:keepNext w:val="0"/>
              <w:keepLines w:val="0"/>
              <w:suppressLineNumbers w:val="0"/>
              <w:spacing w:before="0" w:beforeAutospacing="0" w:after="0" w:afterAutospacing="0"/>
              <w:ind w:left="0" w:right="0"/>
              <w:rPr>
                <w:rFonts w:hint="default"/>
                <w:color w:val="auto"/>
              </w:rPr>
            </w:pPr>
            <w:r>
              <w:rPr>
                <w:rFonts w:hint="default"/>
                <w:color w:val="auto"/>
              </w:rPr>
              <w:t>0.03mg/L</w:t>
            </w:r>
          </w:p>
        </w:tc>
      </w:tr>
      <w:tr w14:paraId="11ED9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681B10CB">
            <w:pPr>
              <w:pStyle w:val="91"/>
              <w:keepNext w:val="0"/>
              <w:keepLines w:val="0"/>
              <w:suppressLineNumbers w:val="0"/>
              <w:spacing w:before="0" w:beforeAutospacing="0" w:after="0" w:afterAutospacing="0"/>
              <w:ind w:left="0" w:right="0"/>
              <w:rPr>
                <w:rFonts w:hint="default"/>
                <w:color w:val="auto"/>
              </w:rPr>
            </w:pPr>
            <w:r>
              <w:rPr>
                <w:rFonts w:hint="default"/>
                <w:color w:val="auto"/>
              </w:rPr>
              <w:t>Mg</w:t>
            </w:r>
            <w:r>
              <w:rPr>
                <w:rFonts w:hint="default"/>
                <w:color w:val="auto"/>
                <w:vertAlign w:val="superscript"/>
              </w:rPr>
              <w:t>2+</w:t>
            </w:r>
          </w:p>
        </w:tc>
        <w:tc>
          <w:tcPr>
            <w:tcW w:w="6095" w:type="dxa"/>
            <w:vMerge w:val="continue"/>
          </w:tcPr>
          <w:p w14:paraId="71601DF9">
            <w:pPr>
              <w:pStyle w:val="91"/>
              <w:keepNext w:val="0"/>
              <w:keepLines w:val="0"/>
              <w:suppressLineNumbers w:val="0"/>
              <w:spacing w:before="0" w:beforeAutospacing="0" w:after="0" w:afterAutospacing="0"/>
              <w:ind w:left="0" w:right="0"/>
              <w:rPr>
                <w:rFonts w:hint="default"/>
                <w:color w:val="auto"/>
              </w:rPr>
            </w:pPr>
          </w:p>
        </w:tc>
        <w:tc>
          <w:tcPr>
            <w:tcW w:w="1701" w:type="dxa"/>
          </w:tcPr>
          <w:p w14:paraId="0F6ADEAF">
            <w:pPr>
              <w:pStyle w:val="91"/>
              <w:keepNext w:val="0"/>
              <w:keepLines w:val="0"/>
              <w:suppressLineNumbers w:val="0"/>
              <w:spacing w:before="0" w:beforeAutospacing="0" w:after="0" w:afterAutospacing="0"/>
              <w:ind w:left="0" w:right="0"/>
              <w:rPr>
                <w:rFonts w:hint="default"/>
                <w:color w:val="auto"/>
              </w:rPr>
            </w:pPr>
            <w:r>
              <w:rPr>
                <w:rFonts w:hint="default"/>
                <w:color w:val="auto"/>
              </w:rPr>
              <w:t>0.02mg/L</w:t>
            </w:r>
          </w:p>
        </w:tc>
      </w:tr>
      <w:tr w14:paraId="7502C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61F5ADFB">
            <w:pPr>
              <w:pStyle w:val="91"/>
              <w:keepNext w:val="0"/>
              <w:keepLines w:val="0"/>
              <w:suppressLineNumbers w:val="0"/>
              <w:spacing w:before="0" w:beforeAutospacing="0" w:after="0" w:afterAutospacing="0"/>
              <w:ind w:left="0" w:right="0"/>
              <w:rPr>
                <w:rFonts w:hint="default"/>
                <w:color w:val="auto"/>
              </w:rPr>
            </w:pPr>
            <w:r>
              <w:rPr>
                <w:rFonts w:hint="eastAsia"/>
                <w:color w:val="auto"/>
              </w:rPr>
              <w:t>碳酸盐</w:t>
            </w:r>
          </w:p>
        </w:tc>
        <w:tc>
          <w:tcPr>
            <w:tcW w:w="6095" w:type="dxa"/>
            <w:vMerge w:val="restart"/>
          </w:tcPr>
          <w:p w14:paraId="29205545">
            <w:pPr>
              <w:pStyle w:val="91"/>
              <w:keepNext w:val="0"/>
              <w:keepLines w:val="0"/>
              <w:suppressLineNumbers w:val="0"/>
              <w:spacing w:before="0" w:beforeAutospacing="0" w:after="0" w:afterAutospacing="0"/>
              <w:ind w:left="0" w:right="0"/>
              <w:rPr>
                <w:rFonts w:hint="default"/>
                <w:color w:val="auto"/>
              </w:rPr>
            </w:pPr>
            <w:r>
              <w:rPr>
                <w:rFonts w:hint="eastAsia"/>
                <w:color w:val="auto"/>
              </w:rPr>
              <w:t>碱度酸碱指示剂滴定法《水和废水监测分析方法》（第四版增补版）国家环境保护总局（2002年）</w:t>
            </w:r>
          </w:p>
        </w:tc>
        <w:tc>
          <w:tcPr>
            <w:tcW w:w="1701" w:type="dxa"/>
          </w:tcPr>
          <w:p w14:paraId="5873FECC">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50571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062369EA">
            <w:pPr>
              <w:pStyle w:val="91"/>
              <w:keepNext w:val="0"/>
              <w:keepLines w:val="0"/>
              <w:suppressLineNumbers w:val="0"/>
              <w:spacing w:before="0" w:beforeAutospacing="0" w:after="0" w:afterAutospacing="0"/>
              <w:ind w:left="0" w:right="0"/>
              <w:rPr>
                <w:rFonts w:hint="default"/>
                <w:color w:val="auto"/>
              </w:rPr>
            </w:pPr>
            <w:r>
              <w:rPr>
                <w:rFonts w:hint="eastAsia"/>
                <w:color w:val="auto"/>
              </w:rPr>
              <w:t>重碳酸盐</w:t>
            </w:r>
          </w:p>
        </w:tc>
        <w:tc>
          <w:tcPr>
            <w:tcW w:w="6095" w:type="dxa"/>
            <w:vMerge w:val="continue"/>
          </w:tcPr>
          <w:p w14:paraId="17A2F194">
            <w:pPr>
              <w:pStyle w:val="91"/>
              <w:keepNext w:val="0"/>
              <w:keepLines w:val="0"/>
              <w:suppressLineNumbers w:val="0"/>
              <w:spacing w:before="0" w:beforeAutospacing="0" w:after="0" w:afterAutospacing="0"/>
              <w:ind w:left="0" w:right="0"/>
              <w:rPr>
                <w:rFonts w:hint="default"/>
                <w:color w:val="auto"/>
              </w:rPr>
            </w:pPr>
          </w:p>
        </w:tc>
        <w:tc>
          <w:tcPr>
            <w:tcW w:w="1701" w:type="dxa"/>
          </w:tcPr>
          <w:p w14:paraId="611A7DC0">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629DA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382A80EC">
            <w:pPr>
              <w:pStyle w:val="91"/>
              <w:keepNext w:val="0"/>
              <w:keepLines w:val="0"/>
              <w:suppressLineNumbers w:val="0"/>
              <w:spacing w:before="0" w:beforeAutospacing="0" w:after="0" w:afterAutospacing="0"/>
              <w:ind w:left="0" w:right="0"/>
              <w:rPr>
                <w:rFonts w:hint="default"/>
                <w:color w:val="auto"/>
              </w:rPr>
            </w:pPr>
            <w:r>
              <w:rPr>
                <w:rFonts w:hint="eastAsia"/>
                <w:color w:val="auto"/>
              </w:rPr>
              <w:t>Cl</w:t>
            </w:r>
            <w:r>
              <w:rPr>
                <w:rFonts w:hint="eastAsia"/>
                <w:color w:val="auto"/>
                <w:vertAlign w:val="superscript"/>
              </w:rPr>
              <w:t>-</w:t>
            </w:r>
          </w:p>
        </w:tc>
        <w:tc>
          <w:tcPr>
            <w:tcW w:w="6095" w:type="dxa"/>
            <w:vMerge w:val="restart"/>
          </w:tcPr>
          <w:p w14:paraId="51A0ACC8">
            <w:pPr>
              <w:pStyle w:val="91"/>
              <w:keepNext w:val="0"/>
              <w:keepLines w:val="0"/>
              <w:suppressLineNumbers w:val="0"/>
              <w:spacing w:before="0" w:beforeAutospacing="0" w:after="0" w:afterAutospacing="0"/>
              <w:ind w:left="0" w:right="0"/>
              <w:rPr>
                <w:rFonts w:hint="default"/>
                <w:color w:val="auto"/>
              </w:rPr>
            </w:pPr>
            <w:r>
              <w:rPr>
                <w:rFonts w:hint="eastAsia"/>
                <w:color w:val="auto"/>
              </w:rPr>
              <w:t>水质无机阴离子（F</w:t>
            </w:r>
            <w:r>
              <w:rPr>
                <w:rFonts w:hint="eastAsia"/>
                <w:color w:val="auto"/>
                <w:vertAlign w:val="superscript"/>
              </w:rPr>
              <w:t>-</w:t>
            </w:r>
            <w:r>
              <w:rPr>
                <w:rFonts w:hint="eastAsia"/>
                <w:color w:val="auto"/>
              </w:rPr>
              <w:t>、Cl</w:t>
            </w:r>
            <w:r>
              <w:rPr>
                <w:rFonts w:hint="eastAsia"/>
                <w:color w:val="auto"/>
                <w:vertAlign w:val="superscript"/>
              </w:rPr>
              <w:t>-</w:t>
            </w:r>
            <w:r>
              <w:rPr>
                <w:rFonts w:hint="eastAsia"/>
                <w:color w:val="auto"/>
              </w:rPr>
              <w:t>、NO2</w:t>
            </w:r>
            <w:r>
              <w:rPr>
                <w:rFonts w:hint="eastAsia"/>
                <w:color w:val="auto"/>
                <w:vertAlign w:val="superscript"/>
              </w:rPr>
              <w:t>-</w:t>
            </w:r>
            <w:r>
              <w:rPr>
                <w:rFonts w:hint="eastAsia"/>
                <w:color w:val="auto"/>
              </w:rPr>
              <w:t>、Br</w:t>
            </w:r>
            <w:r>
              <w:rPr>
                <w:rFonts w:hint="eastAsia"/>
                <w:color w:val="auto"/>
                <w:vertAlign w:val="superscript"/>
              </w:rPr>
              <w:t>-</w:t>
            </w:r>
            <w:r>
              <w:rPr>
                <w:rFonts w:hint="eastAsia"/>
                <w:color w:val="auto"/>
              </w:rPr>
              <w:t>、NO</w:t>
            </w:r>
            <w:r>
              <w:rPr>
                <w:rFonts w:hint="eastAsia"/>
                <w:color w:val="auto"/>
                <w:vertAlign w:val="subscript"/>
              </w:rPr>
              <w:t>3</w:t>
            </w:r>
            <w:r>
              <w:rPr>
                <w:rFonts w:hint="eastAsia"/>
                <w:color w:val="auto"/>
                <w:vertAlign w:val="superscript"/>
              </w:rPr>
              <w:t>-</w:t>
            </w:r>
            <w:r>
              <w:rPr>
                <w:rFonts w:hint="eastAsia"/>
                <w:color w:val="auto"/>
              </w:rPr>
              <w:t>、PO</w:t>
            </w:r>
            <w:r>
              <w:rPr>
                <w:rFonts w:hint="eastAsia"/>
                <w:color w:val="auto"/>
                <w:vertAlign w:val="subscript"/>
              </w:rPr>
              <w:t>4</w:t>
            </w:r>
            <w:r>
              <w:rPr>
                <w:rFonts w:hint="eastAsia"/>
                <w:color w:val="auto"/>
                <w:vertAlign w:val="superscript"/>
              </w:rPr>
              <w:t>3</w:t>
            </w:r>
            <w:r>
              <w:rPr>
                <w:rFonts w:hint="eastAsia"/>
                <w:color w:val="auto"/>
              </w:rPr>
              <w:t>-、SO</w:t>
            </w:r>
            <w:r>
              <w:rPr>
                <w:rFonts w:hint="eastAsia"/>
                <w:color w:val="auto"/>
                <w:vertAlign w:val="subscript"/>
              </w:rPr>
              <w:t>3</w:t>
            </w:r>
            <w:r>
              <w:rPr>
                <w:rFonts w:hint="eastAsia"/>
                <w:color w:val="auto"/>
                <w:vertAlign w:val="superscript"/>
              </w:rPr>
              <w:t>2-</w:t>
            </w:r>
            <w:r>
              <w:rPr>
                <w:rFonts w:hint="eastAsia"/>
                <w:color w:val="auto"/>
              </w:rPr>
              <w:t>、SO</w:t>
            </w:r>
            <w:r>
              <w:rPr>
                <w:rFonts w:hint="eastAsia"/>
                <w:color w:val="auto"/>
                <w:vertAlign w:val="subscript"/>
              </w:rPr>
              <w:t>4</w:t>
            </w:r>
            <w:r>
              <w:rPr>
                <w:rFonts w:hint="eastAsia"/>
                <w:color w:val="auto"/>
                <w:vertAlign w:val="superscript"/>
              </w:rPr>
              <w:t>2-</w:t>
            </w:r>
            <w:r>
              <w:rPr>
                <w:rFonts w:hint="eastAsia"/>
                <w:color w:val="auto"/>
              </w:rPr>
              <w:t>）的测定离子色谱法（HJ84-2016）</w:t>
            </w:r>
          </w:p>
        </w:tc>
        <w:tc>
          <w:tcPr>
            <w:tcW w:w="1701" w:type="dxa"/>
          </w:tcPr>
          <w:p w14:paraId="1C1166B3">
            <w:pPr>
              <w:pStyle w:val="91"/>
              <w:keepNext w:val="0"/>
              <w:keepLines w:val="0"/>
              <w:suppressLineNumbers w:val="0"/>
              <w:spacing w:before="0" w:beforeAutospacing="0" w:after="0" w:afterAutospacing="0"/>
              <w:ind w:left="0" w:right="0"/>
              <w:rPr>
                <w:rFonts w:hint="default"/>
                <w:color w:val="auto"/>
              </w:rPr>
            </w:pPr>
            <w:r>
              <w:rPr>
                <w:rFonts w:hint="eastAsia"/>
                <w:color w:val="auto"/>
              </w:rPr>
              <w:t>0.007mg/L</w:t>
            </w:r>
          </w:p>
        </w:tc>
      </w:tr>
      <w:tr w14:paraId="015F4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54F78C46">
            <w:pPr>
              <w:pStyle w:val="91"/>
              <w:keepNext w:val="0"/>
              <w:keepLines w:val="0"/>
              <w:suppressLineNumbers w:val="0"/>
              <w:spacing w:before="0" w:beforeAutospacing="0" w:after="0" w:afterAutospacing="0"/>
              <w:ind w:left="0" w:right="0"/>
              <w:rPr>
                <w:rFonts w:hint="default"/>
                <w:color w:val="auto"/>
              </w:rPr>
            </w:pPr>
            <w:r>
              <w:rPr>
                <w:rFonts w:hint="default"/>
                <w:color w:val="auto"/>
              </w:rPr>
              <w:t>SO</w:t>
            </w:r>
            <w:r>
              <w:rPr>
                <w:rFonts w:hint="default"/>
                <w:color w:val="auto"/>
                <w:vertAlign w:val="subscript"/>
              </w:rPr>
              <w:t>4</w:t>
            </w:r>
            <w:r>
              <w:rPr>
                <w:rFonts w:hint="default"/>
                <w:color w:val="auto"/>
                <w:vertAlign w:val="superscript"/>
              </w:rPr>
              <w:t>2-</w:t>
            </w:r>
          </w:p>
        </w:tc>
        <w:tc>
          <w:tcPr>
            <w:tcW w:w="6095" w:type="dxa"/>
            <w:vMerge w:val="continue"/>
          </w:tcPr>
          <w:p w14:paraId="37CD2D93">
            <w:pPr>
              <w:pStyle w:val="91"/>
              <w:keepNext w:val="0"/>
              <w:keepLines w:val="0"/>
              <w:suppressLineNumbers w:val="0"/>
              <w:spacing w:before="0" w:beforeAutospacing="0" w:after="0" w:afterAutospacing="0"/>
              <w:ind w:left="0" w:right="0"/>
              <w:rPr>
                <w:rFonts w:hint="default"/>
                <w:color w:val="auto"/>
              </w:rPr>
            </w:pPr>
          </w:p>
        </w:tc>
        <w:tc>
          <w:tcPr>
            <w:tcW w:w="1701" w:type="dxa"/>
          </w:tcPr>
          <w:p w14:paraId="555A3991">
            <w:pPr>
              <w:pStyle w:val="91"/>
              <w:keepNext w:val="0"/>
              <w:keepLines w:val="0"/>
              <w:suppressLineNumbers w:val="0"/>
              <w:spacing w:before="0" w:beforeAutospacing="0" w:after="0" w:afterAutospacing="0"/>
              <w:ind w:left="0" w:right="0"/>
              <w:rPr>
                <w:rFonts w:hint="default"/>
                <w:color w:val="auto"/>
              </w:rPr>
            </w:pPr>
            <w:r>
              <w:rPr>
                <w:rFonts w:hint="default"/>
                <w:color w:val="auto"/>
              </w:rPr>
              <w:t>0.018mg/L</w:t>
            </w:r>
          </w:p>
        </w:tc>
      </w:tr>
      <w:tr w14:paraId="6EECD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4074548A">
            <w:pPr>
              <w:pStyle w:val="91"/>
              <w:keepNext w:val="0"/>
              <w:keepLines w:val="0"/>
              <w:suppressLineNumbers w:val="0"/>
              <w:spacing w:before="0" w:beforeAutospacing="0" w:after="0" w:afterAutospacing="0"/>
              <w:ind w:left="0" w:right="0"/>
              <w:rPr>
                <w:rFonts w:hint="default"/>
                <w:color w:val="auto"/>
              </w:rPr>
            </w:pPr>
            <w:r>
              <w:rPr>
                <w:rFonts w:hint="default"/>
                <w:color w:val="auto"/>
              </w:rPr>
              <w:t>NO</w:t>
            </w:r>
            <w:r>
              <w:rPr>
                <w:rFonts w:hint="default"/>
                <w:color w:val="auto"/>
                <w:vertAlign w:val="subscript"/>
              </w:rPr>
              <w:t>3</w:t>
            </w:r>
            <w:r>
              <w:rPr>
                <w:rFonts w:hint="default"/>
                <w:color w:val="auto"/>
                <w:vertAlign w:val="superscript"/>
              </w:rPr>
              <w:t>-</w:t>
            </w:r>
          </w:p>
        </w:tc>
        <w:tc>
          <w:tcPr>
            <w:tcW w:w="6095" w:type="dxa"/>
            <w:vMerge w:val="continue"/>
          </w:tcPr>
          <w:p w14:paraId="49DBFCFD">
            <w:pPr>
              <w:pStyle w:val="91"/>
              <w:keepNext w:val="0"/>
              <w:keepLines w:val="0"/>
              <w:suppressLineNumbers w:val="0"/>
              <w:spacing w:before="0" w:beforeAutospacing="0" w:after="0" w:afterAutospacing="0"/>
              <w:ind w:left="0" w:right="0"/>
              <w:rPr>
                <w:rFonts w:hint="default"/>
                <w:color w:val="auto"/>
              </w:rPr>
            </w:pPr>
          </w:p>
        </w:tc>
        <w:tc>
          <w:tcPr>
            <w:tcW w:w="1701" w:type="dxa"/>
          </w:tcPr>
          <w:p w14:paraId="17854676">
            <w:pPr>
              <w:pStyle w:val="91"/>
              <w:keepNext w:val="0"/>
              <w:keepLines w:val="0"/>
              <w:suppressLineNumbers w:val="0"/>
              <w:spacing w:before="0" w:beforeAutospacing="0" w:after="0" w:afterAutospacing="0"/>
              <w:ind w:left="0" w:right="0"/>
              <w:rPr>
                <w:rFonts w:hint="default"/>
                <w:color w:val="auto"/>
              </w:rPr>
            </w:pPr>
            <w:r>
              <w:rPr>
                <w:rFonts w:hint="default"/>
                <w:color w:val="auto"/>
              </w:rPr>
              <w:t>0.016mg/L</w:t>
            </w:r>
          </w:p>
        </w:tc>
      </w:tr>
      <w:tr w14:paraId="5B95C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0F85A02F">
            <w:pPr>
              <w:pStyle w:val="91"/>
              <w:keepNext w:val="0"/>
              <w:keepLines w:val="0"/>
              <w:suppressLineNumbers w:val="0"/>
              <w:spacing w:before="0" w:beforeAutospacing="0" w:after="0" w:afterAutospacing="0"/>
              <w:ind w:left="0" w:right="0"/>
              <w:rPr>
                <w:rFonts w:hint="default"/>
                <w:color w:val="auto"/>
              </w:rPr>
            </w:pPr>
            <w:r>
              <w:rPr>
                <w:rFonts w:hint="default"/>
                <w:color w:val="auto"/>
              </w:rPr>
              <w:t>NO</w:t>
            </w:r>
            <w:r>
              <w:rPr>
                <w:rFonts w:hint="default"/>
                <w:color w:val="auto"/>
                <w:vertAlign w:val="superscript"/>
              </w:rPr>
              <w:t>2-</w:t>
            </w:r>
          </w:p>
        </w:tc>
        <w:tc>
          <w:tcPr>
            <w:tcW w:w="6095" w:type="dxa"/>
            <w:vMerge w:val="continue"/>
          </w:tcPr>
          <w:p w14:paraId="145EF149">
            <w:pPr>
              <w:pStyle w:val="91"/>
              <w:keepNext w:val="0"/>
              <w:keepLines w:val="0"/>
              <w:suppressLineNumbers w:val="0"/>
              <w:spacing w:before="0" w:beforeAutospacing="0" w:after="0" w:afterAutospacing="0"/>
              <w:ind w:left="0" w:right="0"/>
              <w:rPr>
                <w:rFonts w:hint="default"/>
                <w:color w:val="auto"/>
              </w:rPr>
            </w:pPr>
          </w:p>
        </w:tc>
        <w:tc>
          <w:tcPr>
            <w:tcW w:w="1701" w:type="dxa"/>
          </w:tcPr>
          <w:p w14:paraId="195B3891">
            <w:pPr>
              <w:pStyle w:val="91"/>
              <w:keepNext w:val="0"/>
              <w:keepLines w:val="0"/>
              <w:suppressLineNumbers w:val="0"/>
              <w:spacing w:before="0" w:beforeAutospacing="0" w:after="0" w:afterAutospacing="0"/>
              <w:ind w:left="0" w:right="0"/>
              <w:rPr>
                <w:rFonts w:hint="default"/>
                <w:color w:val="auto"/>
              </w:rPr>
            </w:pPr>
            <w:r>
              <w:rPr>
                <w:rFonts w:hint="default"/>
                <w:color w:val="auto"/>
              </w:rPr>
              <w:t>0.016mg/L</w:t>
            </w:r>
          </w:p>
        </w:tc>
      </w:tr>
      <w:tr w14:paraId="6B6DF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1CA30F0C">
            <w:pPr>
              <w:pStyle w:val="91"/>
              <w:keepNext w:val="0"/>
              <w:keepLines w:val="0"/>
              <w:suppressLineNumbers w:val="0"/>
              <w:spacing w:before="0" w:beforeAutospacing="0" w:after="0" w:afterAutospacing="0"/>
              <w:ind w:left="0" w:right="0"/>
              <w:rPr>
                <w:rFonts w:hint="default"/>
                <w:color w:val="auto"/>
              </w:rPr>
            </w:pPr>
            <w:r>
              <w:rPr>
                <w:rFonts w:hint="default"/>
                <w:color w:val="auto"/>
              </w:rPr>
              <w:t>F</w:t>
            </w:r>
            <w:r>
              <w:rPr>
                <w:rFonts w:hint="default"/>
                <w:color w:val="auto"/>
                <w:vertAlign w:val="superscript"/>
              </w:rPr>
              <w:t>-</w:t>
            </w:r>
          </w:p>
        </w:tc>
        <w:tc>
          <w:tcPr>
            <w:tcW w:w="6095" w:type="dxa"/>
            <w:vMerge w:val="continue"/>
          </w:tcPr>
          <w:p w14:paraId="36850D10">
            <w:pPr>
              <w:pStyle w:val="91"/>
              <w:keepNext w:val="0"/>
              <w:keepLines w:val="0"/>
              <w:suppressLineNumbers w:val="0"/>
              <w:spacing w:before="0" w:beforeAutospacing="0" w:after="0" w:afterAutospacing="0"/>
              <w:ind w:left="0" w:right="0"/>
              <w:rPr>
                <w:rFonts w:hint="default"/>
                <w:color w:val="auto"/>
              </w:rPr>
            </w:pPr>
          </w:p>
        </w:tc>
        <w:tc>
          <w:tcPr>
            <w:tcW w:w="1701" w:type="dxa"/>
          </w:tcPr>
          <w:p w14:paraId="2952E027">
            <w:pPr>
              <w:pStyle w:val="91"/>
              <w:keepNext w:val="0"/>
              <w:keepLines w:val="0"/>
              <w:suppressLineNumbers w:val="0"/>
              <w:spacing w:before="0" w:beforeAutospacing="0" w:after="0" w:afterAutospacing="0"/>
              <w:ind w:left="0" w:right="0"/>
              <w:rPr>
                <w:rFonts w:hint="default"/>
                <w:color w:val="auto"/>
              </w:rPr>
            </w:pPr>
            <w:r>
              <w:rPr>
                <w:rFonts w:hint="default"/>
                <w:color w:val="auto"/>
              </w:rPr>
              <w:t>0.006mg/L</w:t>
            </w:r>
          </w:p>
        </w:tc>
      </w:tr>
      <w:tr w14:paraId="58390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7534D0BF">
            <w:pPr>
              <w:pStyle w:val="91"/>
              <w:keepNext w:val="0"/>
              <w:keepLines w:val="0"/>
              <w:suppressLineNumbers w:val="0"/>
              <w:spacing w:before="0" w:beforeAutospacing="0" w:after="0" w:afterAutospacing="0"/>
              <w:ind w:left="0" w:right="0"/>
              <w:rPr>
                <w:rFonts w:hint="default"/>
                <w:color w:val="auto"/>
              </w:rPr>
            </w:pPr>
            <w:r>
              <w:rPr>
                <w:rFonts w:hint="eastAsia"/>
                <w:color w:val="auto"/>
              </w:rPr>
              <w:t>pH值</w:t>
            </w:r>
          </w:p>
        </w:tc>
        <w:tc>
          <w:tcPr>
            <w:tcW w:w="6095" w:type="dxa"/>
          </w:tcPr>
          <w:p w14:paraId="06391CB6">
            <w:pPr>
              <w:pStyle w:val="91"/>
              <w:keepNext w:val="0"/>
              <w:keepLines w:val="0"/>
              <w:suppressLineNumbers w:val="0"/>
              <w:spacing w:before="0" w:beforeAutospacing="0" w:after="0" w:afterAutospacing="0"/>
              <w:ind w:left="0" w:right="0"/>
              <w:rPr>
                <w:rFonts w:hint="default"/>
                <w:color w:val="auto"/>
              </w:rPr>
            </w:pPr>
            <w:r>
              <w:rPr>
                <w:rFonts w:hint="eastAsia"/>
                <w:color w:val="auto"/>
              </w:rPr>
              <w:t>水质pH值的测定电极法（HJ1147-2020）</w:t>
            </w:r>
          </w:p>
        </w:tc>
        <w:tc>
          <w:tcPr>
            <w:tcW w:w="1701" w:type="dxa"/>
          </w:tcPr>
          <w:p w14:paraId="580F2631">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6B7F7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1F159858">
            <w:pPr>
              <w:pStyle w:val="91"/>
              <w:keepNext w:val="0"/>
              <w:keepLines w:val="0"/>
              <w:suppressLineNumbers w:val="0"/>
              <w:spacing w:before="0" w:beforeAutospacing="0" w:after="0" w:afterAutospacing="0"/>
              <w:ind w:left="0" w:right="0"/>
              <w:rPr>
                <w:rFonts w:hint="default"/>
                <w:color w:val="auto"/>
              </w:rPr>
            </w:pPr>
            <w:r>
              <w:rPr>
                <w:rFonts w:hint="eastAsia"/>
                <w:color w:val="auto"/>
              </w:rPr>
              <w:t>氨氮</w:t>
            </w:r>
          </w:p>
        </w:tc>
        <w:tc>
          <w:tcPr>
            <w:tcW w:w="6095" w:type="dxa"/>
          </w:tcPr>
          <w:p w14:paraId="1A823932">
            <w:pPr>
              <w:pStyle w:val="91"/>
              <w:keepNext w:val="0"/>
              <w:keepLines w:val="0"/>
              <w:suppressLineNumbers w:val="0"/>
              <w:spacing w:before="0" w:beforeAutospacing="0" w:after="0" w:afterAutospacing="0"/>
              <w:ind w:left="0" w:right="0"/>
              <w:rPr>
                <w:rFonts w:hint="default"/>
                <w:color w:val="auto"/>
              </w:rPr>
            </w:pPr>
            <w:r>
              <w:rPr>
                <w:rFonts w:hint="eastAsia"/>
                <w:color w:val="auto"/>
              </w:rPr>
              <w:t>水质氨氮的测定纳氏试剂分光光度法（HJ535-2009）</w:t>
            </w:r>
          </w:p>
        </w:tc>
        <w:tc>
          <w:tcPr>
            <w:tcW w:w="1701" w:type="dxa"/>
          </w:tcPr>
          <w:p w14:paraId="10D8E2BF">
            <w:pPr>
              <w:pStyle w:val="91"/>
              <w:keepNext w:val="0"/>
              <w:keepLines w:val="0"/>
              <w:suppressLineNumbers w:val="0"/>
              <w:spacing w:before="0" w:beforeAutospacing="0" w:after="0" w:afterAutospacing="0"/>
              <w:ind w:left="0" w:right="0"/>
              <w:rPr>
                <w:rFonts w:hint="default"/>
                <w:color w:val="auto"/>
              </w:rPr>
            </w:pPr>
            <w:r>
              <w:rPr>
                <w:rFonts w:hint="eastAsia"/>
                <w:color w:val="auto"/>
              </w:rPr>
              <w:t>0.025mg/L</w:t>
            </w:r>
          </w:p>
        </w:tc>
      </w:tr>
      <w:tr w14:paraId="6082B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14773554">
            <w:pPr>
              <w:pStyle w:val="91"/>
              <w:keepNext w:val="0"/>
              <w:keepLines w:val="0"/>
              <w:suppressLineNumbers w:val="0"/>
              <w:spacing w:before="0" w:beforeAutospacing="0" w:after="0" w:afterAutospacing="0"/>
              <w:ind w:left="0" w:right="0"/>
              <w:rPr>
                <w:rFonts w:hint="default"/>
                <w:color w:val="auto"/>
              </w:rPr>
            </w:pPr>
            <w:r>
              <w:rPr>
                <w:rFonts w:hint="eastAsia"/>
                <w:color w:val="auto"/>
              </w:rPr>
              <w:t>挥发酚</w:t>
            </w:r>
          </w:p>
        </w:tc>
        <w:tc>
          <w:tcPr>
            <w:tcW w:w="6095" w:type="dxa"/>
          </w:tcPr>
          <w:p w14:paraId="3C459256">
            <w:pPr>
              <w:pStyle w:val="91"/>
              <w:keepNext w:val="0"/>
              <w:keepLines w:val="0"/>
              <w:suppressLineNumbers w:val="0"/>
              <w:spacing w:before="0" w:beforeAutospacing="0" w:after="0" w:afterAutospacing="0"/>
              <w:ind w:left="0" w:right="0"/>
              <w:rPr>
                <w:rFonts w:hint="default"/>
                <w:color w:val="auto"/>
              </w:rPr>
            </w:pPr>
            <w:r>
              <w:rPr>
                <w:rFonts w:hint="eastAsia"/>
                <w:color w:val="auto"/>
              </w:rPr>
              <w:t>水质挥发酚的测定4-氨基安替比林分光光度法（方法1萃取分光光度法）（HJ503-2009）</w:t>
            </w:r>
          </w:p>
        </w:tc>
        <w:tc>
          <w:tcPr>
            <w:tcW w:w="1701" w:type="dxa"/>
          </w:tcPr>
          <w:p w14:paraId="540BB745">
            <w:pPr>
              <w:pStyle w:val="91"/>
              <w:keepNext w:val="0"/>
              <w:keepLines w:val="0"/>
              <w:suppressLineNumbers w:val="0"/>
              <w:spacing w:before="0" w:beforeAutospacing="0" w:after="0" w:afterAutospacing="0"/>
              <w:ind w:left="0" w:right="0"/>
              <w:rPr>
                <w:rFonts w:hint="default"/>
                <w:color w:val="auto"/>
              </w:rPr>
            </w:pPr>
            <w:r>
              <w:rPr>
                <w:rFonts w:hint="eastAsia"/>
                <w:color w:val="auto"/>
              </w:rPr>
              <w:t>0.0003mg/L</w:t>
            </w:r>
          </w:p>
        </w:tc>
      </w:tr>
      <w:tr w14:paraId="4B738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12B0166F">
            <w:pPr>
              <w:pStyle w:val="91"/>
              <w:keepNext w:val="0"/>
              <w:keepLines w:val="0"/>
              <w:suppressLineNumbers w:val="0"/>
              <w:spacing w:before="0" w:beforeAutospacing="0" w:after="0" w:afterAutospacing="0"/>
              <w:ind w:left="0" w:right="0"/>
              <w:rPr>
                <w:rFonts w:hint="default"/>
                <w:color w:val="auto"/>
              </w:rPr>
            </w:pPr>
            <w:r>
              <w:rPr>
                <w:rFonts w:hint="eastAsia"/>
                <w:color w:val="auto"/>
              </w:rPr>
              <w:t>氰化物</w:t>
            </w:r>
          </w:p>
        </w:tc>
        <w:tc>
          <w:tcPr>
            <w:tcW w:w="6095" w:type="dxa"/>
          </w:tcPr>
          <w:p w14:paraId="08596C3B">
            <w:pPr>
              <w:pStyle w:val="91"/>
              <w:keepNext w:val="0"/>
              <w:keepLines w:val="0"/>
              <w:suppressLineNumbers w:val="0"/>
              <w:spacing w:before="0" w:beforeAutospacing="0" w:after="0" w:afterAutospacing="0"/>
              <w:ind w:left="0" w:right="0"/>
              <w:rPr>
                <w:rFonts w:hint="default"/>
                <w:color w:val="auto"/>
              </w:rPr>
            </w:pPr>
            <w:r>
              <w:rPr>
                <w:rFonts w:hint="eastAsia"/>
                <w:color w:val="auto"/>
              </w:rPr>
              <w:t>生活饮用水标准检验方法第5部分：无机非金属指标（7.1异烟酸-吡唑啉酮分光光度法）（GB/T5750.5-2023）</w:t>
            </w:r>
          </w:p>
        </w:tc>
        <w:tc>
          <w:tcPr>
            <w:tcW w:w="1701" w:type="dxa"/>
          </w:tcPr>
          <w:p w14:paraId="6999C6FB">
            <w:pPr>
              <w:pStyle w:val="91"/>
              <w:keepNext w:val="0"/>
              <w:keepLines w:val="0"/>
              <w:suppressLineNumbers w:val="0"/>
              <w:spacing w:before="0" w:beforeAutospacing="0" w:after="0" w:afterAutospacing="0"/>
              <w:ind w:left="0" w:right="0"/>
              <w:rPr>
                <w:rFonts w:hint="default"/>
                <w:color w:val="auto"/>
              </w:rPr>
            </w:pPr>
            <w:r>
              <w:rPr>
                <w:rFonts w:hint="eastAsia"/>
                <w:color w:val="auto"/>
              </w:rPr>
              <w:t>0.002mg/L</w:t>
            </w:r>
          </w:p>
        </w:tc>
      </w:tr>
      <w:tr w14:paraId="32907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2A8928B5">
            <w:pPr>
              <w:pStyle w:val="91"/>
              <w:keepNext w:val="0"/>
              <w:keepLines w:val="0"/>
              <w:suppressLineNumbers w:val="0"/>
              <w:spacing w:before="0" w:beforeAutospacing="0" w:after="0" w:afterAutospacing="0"/>
              <w:ind w:left="0" w:right="0"/>
              <w:rPr>
                <w:rFonts w:hint="default"/>
                <w:color w:val="auto"/>
              </w:rPr>
            </w:pPr>
            <w:r>
              <w:rPr>
                <w:rFonts w:hint="eastAsia"/>
                <w:color w:val="auto"/>
              </w:rPr>
              <w:t>砷</w:t>
            </w:r>
          </w:p>
        </w:tc>
        <w:tc>
          <w:tcPr>
            <w:tcW w:w="6095" w:type="dxa"/>
            <w:vMerge w:val="restart"/>
          </w:tcPr>
          <w:p w14:paraId="6AEB765A">
            <w:pPr>
              <w:pStyle w:val="91"/>
              <w:keepNext w:val="0"/>
              <w:keepLines w:val="0"/>
              <w:suppressLineNumbers w:val="0"/>
              <w:spacing w:before="0" w:beforeAutospacing="0" w:after="0" w:afterAutospacing="0"/>
              <w:ind w:left="0" w:right="0"/>
              <w:rPr>
                <w:rFonts w:hint="default"/>
                <w:color w:val="auto"/>
              </w:rPr>
            </w:pPr>
            <w:r>
              <w:rPr>
                <w:rFonts w:hint="eastAsia"/>
                <w:color w:val="auto"/>
              </w:rPr>
              <w:t>水质汞、砷、硒、铋和锑的测定原子荧光法（HJ694-2014）</w:t>
            </w:r>
          </w:p>
        </w:tc>
        <w:tc>
          <w:tcPr>
            <w:tcW w:w="1701" w:type="dxa"/>
          </w:tcPr>
          <w:p w14:paraId="6628494A">
            <w:pPr>
              <w:pStyle w:val="91"/>
              <w:keepNext w:val="0"/>
              <w:keepLines w:val="0"/>
              <w:suppressLineNumbers w:val="0"/>
              <w:spacing w:before="0" w:beforeAutospacing="0" w:after="0" w:afterAutospacing="0"/>
              <w:ind w:left="0" w:right="0"/>
              <w:rPr>
                <w:rFonts w:hint="default"/>
                <w:color w:val="auto"/>
              </w:rPr>
            </w:pPr>
            <w:r>
              <w:rPr>
                <w:rFonts w:hint="eastAsia"/>
                <w:color w:val="auto"/>
              </w:rPr>
              <w:t>0.3μg/L</w:t>
            </w:r>
          </w:p>
        </w:tc>
      </w:tr>
      <w:tr w14:paraId="4BF07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6B968527">
            <w:pPr>
              <w:pStyle w:val="91"/>
              <w:keepNext w:val="0"/>
              <w:keepLines w:val="0"/>
              <w:suppressLineNumbers w:val="0"/>
              <w:spacing w:before="0" w:beforeAutospacing="0" w:after="0" w:afterAutospacing="0"/>
              <w:ind w:left="0" w:right="0"/>
              <w:rPr>
                <w:rFonts w:hint="default"/>
                <w:color w:val="auto"/>
              </w:rPr>
            </w:pPr>
            <w:r>
              <w:rPr>
                <w:rFonts w:hint="eastAsia"/>
                <w:color w:val="auto"/>
              </w:rPr>
              <w:t>汞</w:t>
            </w:r>
          </w:p>
        </w:tc>
        <w:tc>
          <w:tcPr>
            <w:tcW w:w="6095" w:type="dxa"/>
            <w:vMerge w:val="continue"/>
          </w:tcPr>
          <w:p w14:paraId="087F1272">
            <w:pPr>
              <w:pStyle w:val="91"/>
              <w:keepNext w:val="0"/>
              <w:keepLines w:val="0"/>
              <w:suppressLineNumbers w:val="0"/>
              <w:spacing w:before="0" w:beforeAutospacing="0" w:after="0" w:afterAutospacing="0"/>
              <w:ind w:left="0" w:right="0"/>
              <w:rPr>
                <w:rFonts w:hint="default"/>
                <w:color w:val="auto"/>
              </w:rPr>
            </w:pPr>
          </w:p>
        </w:tc>
        <w:tc>
          <w:tcPr>
            <w:tcW w:w="1701" w:type="dxa"/>
          </w:tcPr>
          <w:p w14:paraId="0DF35AD6">
            <w:pPr>
              <w:pStyle w:val="91"/>
              <w:keepNext w:val="0"/>
              <w:keepLines w:val="0"/>
              <w:suppressLineNumbers w:val="0"/>
              <w:spacing w:before="0" w:beforeAutospacing="0" w:after="0" w:afterAutospacing="0"/>
              <w:ind w:left="0" w:right="0"/>
              <w:rPr>
                <w:rFonts w:hint="default"/>
                <w:color w:val="auto"/>
              </w:rPr>
            </w:pPr>
            <w:r>
              <w:rPr>
                <w:rFonts w:hint="eastAsia"/>
                <w:color w:val="auto"/>
              </w:rPr>
              <w:t>0.04μg/L</w:t>
            </w:r>
          </w:p>
        </w:tc>
      </w:tr>
      <w:tr w14:paraId="2DCED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6356CE4C">
            <w:pPr>
              <w:pStyle w:val="91"/>
              <w:keepNext w:val="0"/>
              <w:keepLines w:val="0"/>
              <w:suppressLineNumbers w:val="0"/>
              <w:spacing w:before="0" w:beforeAutospacing="0" w:after="0" w:afterAutospacing="0"/>
              <w:ind w:left="0" w:right="0"/>
              <w:rPr>
                <w:rFonts w:hint="default"/>
                <w:color w:val="auto"/>
              </w:rPr>
            </w:pPr>
            <w:r>
              <w:rPr>
                <w:rFonts w:hint="eastAsia"/>
                <w:color w:val="auto"/>
              </w:rPr>
              <w:t>铬（六价）</w:t>
            </w:r>
          </w:p>
        </w:tc>
        <w:tc>
          <w:tcPr>
            <w:tcW w:w="6095" w:type="dxa"/>
          </w:tcPr>
          <w:p w14:paraId="14352F8D">
            <w:pPr>
              <w:pStyle w:val="91"/>
              <w:keepNext w:val="0"/>
              <w:keepLines w:val="0"/>
              <w:suppressLineNumbers w:val="0"/>
              <w:spacing w:before="0" w:beforeAutospacing="0" w:after="0" w:afterAutospacing="0"/>
              <w:ind w:left="0" w:right="0"/>
              <w:rPr>
                <w:rFonts w:hint="default"/>
                <w:color w:val="auto"/>
              </w:rPr>
            </w:pPr>
            <w:r>
              <w:rPr>
                <w:rFonts w:hint="eastAsia"/>
                <w:color w:val="auto"/>
              </w:rPr>
              <w:t>生活饮用水标准检验方法第6部分：金属和类金属指标（13.1二苯碳酰二肼分光光度法）（GB/T5750.6-2023）</w:t>
            </w:r>
          </w:p>
        </w:tc>
        <w:tc>
          <w:tcPr>
            <w:tcW w:w="1701" w:type="dxa"/>
          </w:tcPr>
          <w:p w14:paraId="576DE3F3">
            <w:pPr>
              <w:pStyle w:val="91"/>
              <w:keepNext w:val="0"/>
              <w:keepLines w:val="0"/>
              <w:suppressLineNumbers w:val="0"/>
              <w:spacing w:before="0" w:beforeAutospacing="0" w:after="0" w:afterAutospacing="0"/>
              <w:ind w:left="0" w:right="0"/>
              <w:rPr>
                <w:rFonts w:hint="default"/>
                <w:color w:val="auto"/>
              </w:rPr>
            </w:pPr>
            <w:r>
              <w:rPr>
                <w:rFonts w:hint="eastAsia"/>
                <w:color w:val="auto"/>
              </w:rPr>
              <w:t>0.004mg/L</w:t>
            </w:r>
          </w:p>
        </w:tc>
      </w:tr>
      <w:tr w14:paraId="4EF99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72FAF0E1">
            <w:pPr>
              <w:pStyle w:val="91"/>
              <w:keepNext w:val="0"/>
              <w:keepLines w:val="0"/>
              <w:suppressLineNumbers w:val="0"/>
              <w:spacing w:before="0" w:beforeAutospacing="0" w:after="0" w:afterAutospacing="0"/>
              <w:ind w:left="0" w:right="0"/>
              <w:rPr>
                <w:rFonts w:hint="default"/>
                <w:color w:val="auto"/>
              </w:rPr>
            </w:pPr>
            <w:r>
              <w:rPr>
                <w:rFonts w:hint="eastAsia"/>
                <w:color w:val="auto"/>
              </w:rPr>
              <w:t>总硬度</w:t>
            </w:r>
          </w:p>
        </w:tc>
        <w:tc>
          <w:tcPr>
            <w:tcW w:w="6095" w:type="dxa"/>
          </w:tcPr>
          <w:p w14:paraId="1FF7EFF6">
            <w:pPr>
              <w:pStyle w:val="91"/>
              <w:keepNext w:val="0"/>
              <w:keepLines w:val="0"/>
              <w:suppressLineNumbers w:val="0"/>
              <w:spacing w:before="0" w:beforeAutospacing="0" w:after="0" w:afterAutospacing="0"/>
              <w:ind w:left="0" w:right="0"/>
              <w:rPr>
                <w:rFonts w:hint="default"/>
                <w:color w:val="auto"/>
              </w:rPr>
            </w:pPr>
            <w:r>
              <w:rPr>
                <w:rFonts w:hint="eastAsia"/>
                <w:color w:val="auto"/>
              </w:rPr>
              <w:t>水质钙和镁总量的测定EDTA滴定法（GB7477-87）</w:t>
            </w:r>
          </w:p>
        </w:tc>
        <w:tc>
          <w:tcPr>
            <w:tcW w:w="1701" w:type="dxa"/>
          </w:tcPr>
          <w:p w14:paraId="05BD6C8A">
            <w:pPr>
              <w:pStyle w:val="91"/>
              <w:keepNext w:val="0"/>
              <w:keepLines w:val="0"/>
              <w:suppressLineNumbers w:val="0"/>
              <w:spacing w:before="0" w:beforeAutospacing="0" w:after="0" w:afterAutospacing="0"/>
              <w:ind w:left="0" w:right="0"/>
              <w:rPr>
                <w:rFonts w:hint="default"/>
                <w:color w:val="auto"/>
              </w:rPr>
            </w:pPr>
            <w:r>
              <w:rPr>
                <w:rFonts w:hint="eastAsia"/>
                <w:color w:val="auto"/>
              </w:rPr>
              <w:t>5mg/L</w:t>
            </w:r>
          </w:p>
        </w:tc>
      </w:tr>
      <w:tr w14:paraId="462A5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584E64C9">
            <w:pPr>
              <w:pStyle w:val="91"/>
              <w:keepNext w:val="0"/>
              <w:keepLines w:val="0"/>
              <w:suppressLineNumbers w:val="0"/>
              <w:spacing w:before="0" w:beforeAutospacing="0" w:after="0" w:afterAutospacing="0"/>
              <w:ind w:left="0" w:right="0"/>
              <w:rPr>
                <w:rFonts w:hint="default"/>
                <w:color w:val="auto"/>
              </w:rPr>
            </w:pPr>
            <w:r>
              <w:rPr>
                <w:rFonts w:hint="eastAsia"/>
                <w:color w:val="auto"/>
              </w:rPr>
              <w:t>铅</w:t>
            </w:r>
          </w:p>
        </w:tc>
        <w:tc>
          <w:tcPr>
            <w:tcW w:w="6095" w:type="dxa"/>
            <w:vMerge w:val="restart"/>
          </w:tcPr>
          <w:p w14:paraId="527D4657">
            <w:pPr>
              <w:pStyle w:val="91"/>
              <w:keepNext w:val="0"/>
              <w:keepLines w:val="0"/>
              <w:suppressLineNumbers w:val="0"/>
              <w:spacing w:before="0" w:beforeAutospacing="0" w:after="0" w:afterAutospacing="0"/>
              <w:ind w:left="0" w:right="0"/>
              <w:rPr>
                <w:rFonts w:hint="default"/>
                <w:color w:val="auto"/>
              </w:rPr>
            </w:pPr>
            <w:r>
              <w:rPr>
                <w:rFonts w:hint="eastAsia"/>
                <w:color w:val="auto"/>
              </w:rPr>
              <w:t>石墨炉原子吸收分光光度法《水和废水监测分析方法》（第四版）国家环境保护总局（2002年）</w:t>
            </w:r>
          </w:p>
        </w:tc>
        <w:tc>
          <w:tcPr>
            <w:tcW w:w="1701" w:type="dxa"/>
          </w:tcPr>
          <w:p w14:paraId="2B0050D9">
            <w:pPr>
              <w:pStyle w:val="91"/>
              <w:keepNext w:val="0"/>
              <w:keepLines w:val="0"/>
              <w:suppressLineNumbers w:val="0"/>
              <w:spacing w:before="0" w:beforeAutospacing="0" w:after="0" w:afterAutospacing="0"/>
              <w:ind w:left="0" w:right="0"/>
              <w:rPr>
                <w:rFonts w:hint="default"/>
                <w:color w:val="auto"/>
              </w:rPr>
            </w:pPr>
            <w:r>
              <w:rPr>
                <w:rFonts w:hint="eastAsia"/>
                <w:color w:val="auto"/>
              </w:rPr>
              <w:t>1μg/L</w:t>
            </w:r>
          </w:p>
        </w:tc>
      </w:tr>
      <w:tr w14:paraId="72C0F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61105A41">
            <w:pPr>
              <w:pStyle w:val="91"/>
              <w:keepNext w:val="0"/>
              <w:keepLines w:val="0"/>
              <w:suppressLineNumbers w:val="0"/>
              <w:spacing w:before="0" w:beforeAutospacing="0" w:after="0" w:afterAutospacing="0"/>
              <w:ind w:left="0" w:right="0"/>
              <w:rPr>
                <w:rFonts w:hint="default"/>
                <w:color w:val="auto"/>
              </w:rPr>
            </w:pPr>
            <w:r>
              <w:rPr>
                <w:rFonts w:hint="eastAsia"/>
                <w:color w:val="auto"/>
              </w:rPr>
              <w:t>镉</w:t>
            </w:r>
          </w:p>
        </w:tc>
        <w:tc>
          <w:tcPr>
            <w:tcW w:w="6095" w:type="dxa"/>
            <w:vMerge w:val="continue"/>
          </w:tcPr>
          <w:p w14:paraId="4B636134">
            <w:pPr>
              <w:pStyle w:val="91"/>
              <w:keepNext w:val="0"/>
              <w:keepLines w:val="0"/>
              <w:suppressLineNumbers w:val="0"/>
              <w:spacing w:before="0" w:beforeAutospacing="0" w:after="0" w:afterAutospacing="0"/>
              <w:ind w:left="0" w:right="0"/>
              <w:rPr>
                <w:rFonts w:hint="default"/>
                <w:color w:val="auto"/>
              </w:rPr>
            </w:pPr>
          </w:p>
        </w:tc>
        <w:tc>
          <w:tcPr>
            <w:tcW w:w="1701" w:type="dxa"/>
          </w:tcPr>
          <w:p w14:paraId="3E94EFD1">
            <w:pPr>
              <w:pStyle w:val="91"/>
              <w:keepNext w:val="0"/>
              <w:keepLines w:val="0"/>
              <w:suppressLineNumbers w:val="0"/>
              <w:spacing w:before="0" w:beforeAutospacing="0" w:after="0" w:afterAutospacing="0"/>
              <w:ind w:left="0" w:right="0"/>
              <w:rPr>
                <w:rFonts w:hint="default"/>
                <w:color w:val="auto"/>
              </w:rPr>
            </w:pPr>
            <w:r>
              <w:rPr>
                <w:rFonts w:hint="eastAsia"/>
                <w:color w:val="auto"/>
              </w:rPr>
              <w:t>0.1μg/L</w:t>
            </w:r>
          </w:p>
        </w:tc>
      </w:tr>
      <w:tr w14:paraId="2472A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709B9B24">
            <w:pPr>
              <w:pStyle w:val="91"/>
              <w:keepNext w:val="0"/>
              <w:keepLines w:val="0"/>
              <w:suppressLineNumbers w:val="0"/>
              <w:spacing w:before="0" w:beforeAutospacing="0" w:after="0" w:afterAutospacing="0"/>
              <w:ind w:left="0" w:right="0"/>
              <w:rPr>
                <w:rFonts w:hint="default"/>
                <w:color w:val="auto"/>
              </w:rPr>
            </w:pPr>
            <w:r>
              <w:rPr>
                <w:rFonts w:hint="eastAsia"/>
                <w:color w:val="auto"/>
              </w:rPr>
              <w:t>溶解性总固体</w:t>
            </w:r>
          </w:p>
        </w:tc>
        <w:tc>
          <w:tcPr>
            <w:tcW w:w="6095" w:type="dxa"/>
          </w:tcPr>
          <w:p w14:paraId="1C9BA273">
            <w:pPr>
              <w:pStyle w:val="91"/>
              <w:keepNext w:val="0"/>
              <w:keepLines w:val="0"/>
              <w:suppressLineNumbers w:val="0"/>
              <w:spacing w:before="0" w:beforeAutospacing="0" w:after="0" w:afterAutospacing="0"/>
              <w:ind w:left="0" w:right="0"/>
              <w:rPr>
                <w:rFonts w:hint="default"/>
                <w:color w:val="auto"/>
              </w:rPr>
            </w:pPr>
            <w:r>
              <w:rPr>
                <w:rFonts w:hint="eastAsia"/>
                <w:color w:val="auto"/>
              </w:rPr>
              <w:t>生活饮用水标准检验方法第4部分：感官性状和物理指标（11.1称量法）（GB/T5750.4-2023）</w:t>
            </w:r>
          </w:p>
        </w:tc>
        <w:tc>
          <w:tcPr>
            <w:tcW w:w="1701" w:type="dxa"/>
          </w:tcPr>
          <w:p w14:paraId="19B3DEAF">
            <w:pPr>
              <w:pStyle w:val="91"/>
              <w:keepNext w:val="0"/>
              <w:keepLines w:val="0"/>
              <w:suppressLineNumbers w:val="0"/>
              <w:spacing w:before="0" w:beforeAutospacing="0" w:after="0" w:afterAutospacing="0"/>
              <w:ind w:left="0" w:right="0"/>
              <w:rPr>
                <w:rFonts w:hint="default"/>
                <w:color w:val="auto"/>
              </w:rPr>
            </w:pPr>
            <w:r>
              <w:rPr>
                <w:rFonts w:hint="eastAsia"/>
                <w:color w:val="auto"/>
              </w:rPr>
              <w:t>4mg/L</w:t>
            </w:r>
          </w:p>
        </w:tc>
      </w:tr>
      <w:tr w14:paraId="5E05C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5EBBDAA3">
            <w:pPr>
              <w:pStyle w:val="91"/>
              <w:keepNext w:val="0"/>
              <w:keepLines w:val="0"/>
              <w:suppressLineNumbers w:val="0"/>
              <w:spacing w:before="0" w:beforeAutospacing="0" w:after="0" w:afterAutospacing="0"/>
              <w:ind w:left="0" w:right="0"/>
              <w:rPr>
                <w:rFonts w:hint="default"/>
                <w:color w:val="auto"/>
              </w:rPr>
            </w:pPr>
            <w:r>
              <w:rPr>
                <w:rFonts w:hint="eastAsia"/>
                <w:color w:val="auto"/>
              </w:rPr>
              <w:t>铁</w:t>
            </w:r>
          </w:p>
        </w:tc>
        <w:tc>
          <w:tcPr>
            <w:tcW w:w="6095" w:type="dxa"/>
            <w:vMerge w:val="restart"/>
          </w:tcPr>
          <w:p w14:paraId="67BF8BDC">
            <w:pPr>
              <w:pStyle w:val="91"/>
              <w:keepNext w:val="0"/>
              <w:keepLines w:val="0"/>
              <w:suppressLineNumbers w:val="0"/>
              <w:spacing w:before="0" w:beforeAutospacing="0" w:after="0" w:afterAutospacing="0"/>
              <w:ind w:left="0" w:right="0"/>
              <w:rPr>
                <w:rFonts w:hint="default"/>
                <w:color w:val="auto"/>
              </w:rPr>
            </w:pPr>
            <w:r>
              <w:rPr>
                <w:rFonts w:hint="eastAsia"/>
                <w:color w:val="auto"/>
              </w:rPr>
              <w:t>水质32种元素的测定电感耦合等离子体发射光谱法</w:t>
            </w:r>
          </w:p>
        </w:tc>
        <w:tc>
          <w:tcPr>
            <w:tcW w:w="1701" w:type="dxa"/>
          </w:tcPr>
          <w:p w14:paraId="3A655F4C">
            <w:pPr>
              <w:pStyle w:val="91"/>
              <w:keepNext w:val="0"/>
              <w:keepLines w:val="0"/>
              <w:suppressLineNumbers w:val="0"/>
              <w:spacing w:before="0" w:beforeAutospacing="0" w:after="0" w:afterAutospacing="0"/>
              <w:ind w:left="0" w:right="0"/>
              <w:rPr>
                <w:rFonts w:hint="default"/>
                <w:color w:val="auto"/>
              </w:rPr>
            </w:pPr>
            <w:r>
              <w:rPr>
                <w:rFonts w:hint="eastAsia"/>
                <w:color w:val="auto"/>
              </w:rPr>
              <w:t>0.02mg/L</w:t>
            </w:r>
          </w:p>
        </w:tc>
      </w:tr>
      <w:tr w14:paraId="197FA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1DDA2BC5">
            <w:pPr>
              <w:pStyle w:val="91"/>
              <w:keepNext w:val="0"/>
              <w:keepLines w:val="0"/>
              <w:suppressLineNumbers w:val="0"/>
              <w:spacing w:before="0" w:beforeAutospacing="0" w:after="0" w:afterAutospacing="0"/>
              <w:ind w:left="0" w:right="0"/>
              <w:rPr>
                <w:rFonts w:hint="default"/>
                <w:color w:val="auto"/>
              </w:rPr>
            </w:pPr>
            <w:r>
              <w:rPr>
                <w:rFonts w:hint="eastAsia"/>
                <w:color w:val="auto"/>
              </w:rPr>
              <w:t>锰</w:t>
            </w:r>
          </w:p>
        </w:tc>
        <w:tc>
          <w:tcPr>
            <w:tcW w:w="6095" w:type="dxa"/>
            <w:vMerge w:val="continue"/>
          </w:tcPr>
          <w:p w14:paraId="55CDEEBF">
            <w:pPr>
              <w:pStyle w:val="91"/>
              <w:keepNext w:val="0"/>
              <w:keepLines w:val="0"/>
              <w:suppressLineNumbers w:val="0"/>
              <w:spacing w:before="0" w:beforeAutospacing="0" w:after="0" w:afterAutospacing="0"/>
              <w:ind w:left="0" w:right="0"/>
              <w:rPr>
                <w:rFonts w:hint="default"/>
                <w:color w:val="auto"/>
              </w:rPr>
            </w:pPr>
          </w:p>
        </w:tc>
        <w:tc>
          <w:tcPr>
            <w:tcW w:w="1701" w:type="dxa"/>
          </w:tcPr>
          <w:p w14:paraId="584CE87B">
            <w:pPr>
              <w:pStyle w:val="91"/>
              <w:keepNext w:val="0"/>
              <w:keepLines w:val="0"/>
              <w:suppressLineNumbers w:val="0"/>
              <w:spacing w:before="0" w:beforeAutospacing="0" w:after="0" w:afterAutospacing="0"/>
              <w:ind w:left="0" w:right="0"/>
              <w:rPr>
                <w:rFonts w:hint="default"/>
                <w:color w:val="auto"/>
              </w:rPr>
            </w:pPr>
            <w:r>
              <w:rPr>
                <w:rFonts w:hint="eastAsia"/>
                <w:color w:val="auto"/>
              </w:rPr>
              <w:t>0.004mg/L</w:t>
            </w:r>
          </w:p>
        </w:tc>
      </w:tr>
      <w:tr w14:paraId="7BBC8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restart"/>
          </w:tcPr>
          <w:p w14:paraId="505EF941">
            <w:pPr>
              <w:pStyle w:val="91"/>
              <w:keepNext w:val="0"/>
              <w:keepLines w:val="0"/>
              <w:suppressLineNumbers w:val="0"/>
              <w:spacing w:before="0" w:beforeAutospacing="0" w:after="0" w:afterAutospacing="0"/>
              <w:ind w:left="0" w:right="0"/>
              <w:rPr>
                <w:rFonts w:hint="default"/>
                <w:color w:val="auto"/>
              </w:rPr>
            </w:pPr>
            <w:r>
              <w:rPr>
                <w:rFonts w:hint="eastAsia"/>
                <w:color w:val="auto"/>
              </w:rPr>
              <w:t>高锰酸盐指数（以O</w:t>
            </w:r>
            <w:r>
              <w:rPr>
                <w:rFonts w:hint="eastAsia"/>
                <w:color w:val="auto"/>
                <w:vertAlign w:val="subscript"/>
              </w:rPr>
              <w:t>2</w:t>
            </w:r>
            <w:r>
              <w:rPr>
                <w:rFonts w:hint="eastAsia"/>
                <w:color w:val="auto"/>
              </w:rPr>
              <w:t>计）</w:t>
            </w:r>
          </w:p>
        </w:tc>
        <w:tc>
          <w:tcPr>
            <w:tcW w:w="6095" w:type="dxa"/>
          </w:tcPr>
          <w:p w14:paraId="668D057B">
            <w:pPr>
              <w:pStyle w:val="91"/>
              <w:keepNext w:val="0"/>
              <w:keepLines w:val="0"/>
              <w:suppressLineNumbers w:val="0"/>
              <w:spacing w:before="0" w:beforeAutospacing="0" w:after="0" w:afterAutospacing="0"/>
              <w:ind w:left="0" w:right="0"/>
              <w:rPr>
                <w:rFonts w:hint="default"/>
                <w:color w:val="auto"/>
              </w:rPr>
            </w:pPr>
            <w:r>
              <w:rPr>
                <w:rFonts w:hint="eastAsia"/>
                <w:color w:val="auto"/>
              </w:rPr>
              <w:t>生活饮用水标准检验方法第7部分：有机物综合指标</w:t>
            </w:r>
          </w:p>
        </w:tc>
        <w:tc>
          <w:tcPr>
            <w:tcW w:w="1701" w:type="dxa"/>
          </w:tcPr>
          <w:p w14:paraId="4B183BD7">
            <w:pPr>
              <w:pStyle w:val="91"/>
              <w:keepNext w:val="0"/>
              <w:keepLines w:val="0"/>
              <w:suppressLineNumbers w:val="0"/>
              <w:spacing w:before="0" w:beforeAutospacing="0" w:after="0" w:afterAutospacing="0"/>
              <w:ind w:left="0" w:right="0"/>
              <w:rPr>
                <w:rFonts w:hint="default"/>
                <w:color w:val="auto"/>
              </w:rPr>
            </w:pPr>
            <w:r>
              <w:rPr>
                <w:rFonts w:hint="eastAsia"/>
                <w:color w:val="auto"/>
              </w:rPr>
              <w:t>0.05mg/L</w:t>
            </w:r>
          </w:p>
        </w:tc>
      </w:tr>
      <w:tr w14:paraId="69B81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tcPr>
          <w:p w14:paraId="098BF703">
            <w:pPr>
              <w:pStyle w:val="91"/>
              <w:keepNext w:val="0"/>
              <w:keepLines w:val="0"/>
              <w:suppressLineNumbers w:val="0"/>
              <w:spacing w:before="0" w:beforeAutospacing="0" w:after="0" w:afterAutospacing="0"/>
              <w:ind w:left="0" w:right="0"/>
              <w:rPr>
                <w:rFonts w:hint="default"/>
                <w:color w:val="auto"/>
              </w:rPr>
            </w:pPr>
          </w:p>
        </w:tc>
        <w:tc>
          <w:tcPr>
            <w:tcW w:w="6095" w:type="dxa"/>
          </w:tcPr>
          <w:p w14:paraId="598FE828">
            <w:pPr>
              <w:pStyle w:val="91"/>
              <w:keepNext w:val="0"/>
              <w:keepLines w:val="0"/>
              <w:suppressLineNumbers w:val="0"/>
              <w:spacing w:before="0" w:beforeAutospacing="0" w:after="0" w:afterAutospacing="0"/>
              <w:ind w:left="0" w:right="0"/>
              <w:rPr>
                <w:rFonts w:hint="default"/>
                <w:color w:val="auto"/>
              </w:rPr>
            </w:pPr>
            <w:r>
              <w:rPr>
                <w:rFonts w:hint="eastAsia"/>
                <w:color w:val="auto"/>
              </w:rPr>
              <w:t>生活饮用水标准检验方法第7部分：有机物综合指标</w:t>
            </w:r>
          </w:p>
        </w:tc>
        <w:tc>
          <w:tcPr>
            <w:tcW w:w="1701" w:type="dxa"/>
          </w:tcPr>
          <w:p w14:paraId="00CA3DF9">
            <w:pPr>
              <w:pStyle w:val="91"/>
              <w:keepNext w:val="0"/>
              <w:keepLines w:val="0"/>
              <w:suppressLineNumbers w:val="0"/>
              <w:spacing w:before="0" w:beforeAutospacing="0" w:after="0" w:afterAutospacing="0"/>
              <w:ind w:left="0" w:right="0"/>
              <w:rPr>
                <w:rFonts w:hint="default"/>
                <w:color w:val="auto"/>
              </w:rPr>
            </w:pPr>
            <w:r>
              <w:rPr>
                <w:rFonts w:hint="eastAsia"/>
                <w:color w:val="auto"/>
              </w:rPr>
              <w:t>0.05mg/L</w:t>
            </w:r>
          </w:p>
        </w:tc>
      </w:tr>
      <w:tr w14:paraId="45B23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56F47D47">
            <w:pPr>
              <w:pStyle w:val="91"/>
              <w:keepNext w:val="0"/>
              <w:keepLines w:val="0"/>
              <w:suppressLineNumbers w:val="0"/>
              <w:spacing w:before="0" w:beforeAutospacing="0" w:after="0" w:afterAutospacing="0"/>
              <w:ind w:left="0" w:right="0"/>
              <w:rPr>
                <w:rFonts w:hint="default"/>
                <w:color w:val="auto"/>
              </w:rPr>
            </w:pPr>
            <w:r>
              <w:rPr>
                <w:rFonts w:hint="eastAsia"/>
                <w:color w:val="auto"/>
              </w:rPr>
              <w:t>总大肠菌群</w:t>
            </w:r>
          </w:p>
        </w:tc>
        <w:tc>
          <w:tcPr>
            <w:tcW w:w="6095" w:type="dxa"/>
          </w:tcPr>
          <w:p w14:paraId="7C76E102">
            <w:pPr>
              <w:pStyle w:val="91"/>
              <w:keepNext w:val="0"/>
              <w:keepLines w:val="0"/>
              <w:suppressLineNumbers w:val="0"/>
              <w:spacing w:before="0" w:beforeAutospacing="0" w:after="0" w:afterAutospacing="0"/>
              <w:ind w:left="0" w:right="0"/>
              <w:rPr>
                <w:rFonts w:hint="default"/>
                <w:color w:val="auto"/>
              </w:rPr>
            </w:pPr>
            <w:r>
              <w:rPr>
                <w:rFonts w:hint="eastAsia"/>
                <w:color w:val="auto"/>
              </w:rPr>
              <w:t>总大肠菌群多管发酵法《水和废水监测分析方法》（第四版）国家环境保护总局（2002年）</w:t>
            </w:r>
          </w:p>
        </w:tc>
        <w:tc>
          <w:tcPr>
            <w:tcW w:w="1701" w:type="dxa"/>
          </w:tcPr>
          <w:p w14:paraId="77A31038">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53D60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60DBAD80">
            <w:pPr>
              <w:pStyle w:val="91"/>
              <w:keepNext w:val="0"/>
              <w:keepLines w:val="0"/>
              <w:suppressLineNumbers w:val="0"/>
              <w:spacing w:before="0" w:beforeAutospacing="0" w:after="0" w:afterAutospacing="0"/>
              <w:ind w:left="0" w:right="0"/>
              <w:rPr>
                <w:rFonts w:hint="default"/>
                <w:color w:val="auto"/>
              </w:rPr>
            </w:pPr>
            <w:r>
              <w:rPr>
                <w:rFonts w:hint="eastAsia"/>
                <w:color w:val="auto"/>
              </w:rPr>
              <w:t>细菌总数</w:t>
            </w:r>
          </w:p>
        </w:tc>
        <w:tc>
          <w:tcPr>
            <w:tcW w:w="6095" w:type="dxa"/>
          </w:tcPr>
          <w:p w14:paraId="669BF80A">
            <w:pPr>
              <w:pStyle w:val="91"/>
              <w:keepNext w:val="0"/>
              <w:keepLines w:val="0"/>
              <w:suppressLineNumbers w:val="0"/>
              <w:spacing w:before="0" w:beforeAutospacing="0" w:after="0" w:afterAutospacing="0"/>
              <w:ind w:left="0" w:right="0"/>
              <w:rPr>
                <w:rFonts w:hint="default"/>
                <w:color w:val="auto"/>
              </w:rPr>
            </w:pPr>
            <w:r>
              <w:rPr>
                <w:rFonts w:hint="eastAsia"/>
                <w:color w:val="auto"/>
              </w:rPr>
              <w:t>水质细菌总数的测定平皿计数法（HJ1000-2018）</w:t>
            </w:r>
          </w:p>
        </w:tc>
        <w:tc>
          <w:tcPr>
            <w:tcW w:w="1701" w:type="dxa"/>
          </w:tcPr>
          <w:p w14:paraId="08879118">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bl>
    <w:p w14:paraId="554C87BD">
      <w:pPr>
        <w:pStyle w:val="4"/>
        <w:rPr>
          <w:color w:val="auto"/>
        </w:rPr>
      </w:pPr>
      <w:bookmarkStart w:id="430" w:name="_Toc216620545"/>
      <w:bookmarkStart w:id="431" w:name="_Toc136878481"/>
      <w:r>
        <w:rPr>
          <w:color w:val="auto"/>
        </w:rPr>
        <w:t>监测时间和监测频次</w:t>
      </w:r>
      <w:bookmarkEnd w:id="430"/>
      <w:bookmarkEnd w:id="431"/>
    </w:p>
    <w:p w14:paraId="74003087">
      <w:pPr>
        <w:ind w:firstLine="480"/>
        <w:rPr>
          <w:color w:val="auto"/>
          <w:kern w:val="0"/>
          <w:szCs w:val="22"/>
        </w:rPr>
      </w:pPr>
      <w:r>
        <w:rPr>
          <w:rFonts w:hint="eastAsia"/>
          <w:color w:val="auto"/>
          <w:kern w:val="0"/>
          <w:szCs w:val="22"/>
        </w:rPr>
        <w:t>引用</w:t>
      </w:r>
      <w:r>
        <w:rPr>
          <w:color w:val="auto"/>
          <w:kern w:val="0"/>
          <w:szCs w:val="22"/>
        </w:rPr>
        <w:t>监测点位的</w:t>
      </w:r>
      <w:r>
        <w:rPr>
          <w:rFonts w:hint="eastAsia"/>
          <w:color w:val="auto"/>
          <w:kern w:val="0"/>
          <w:szCs w:val="22"/>
        </w:rPr>
        <w:t>检测</w:t>
      </w:r>
      <w:r>
        <w:rPr>
          <w:color w:val="auto"/>
          <w:kern w:val="0"/>
          <w:szCs w:val="22"/>
        </w:rPr>
        <w:t>时间为202</w:t>
      </w:r>
      <w:r>
        <w:rPr>
          <w:rFonts w:hint="eastAsia"/>
          <w:color w:val="auto"/>
          <w:kern w:val="0"/>
          <w:szCs w:val="22"/>
        </w:rPr>
        <w:t>5</w:t>
      </w:r>
      <w:r>
        <w:rPr>
          <w:color w:val="auto"/>
          <w:kern w:val="0"/>
          <w:szCs w:val="22"/>
        </w:rPr>
        <w:t>年</w:t>
      </w:r>
      <w:r>
        <w:rPr>
          <w:rFonts w:hint="eastAsia"/>
          <w:color w:val="auto"/>
          <w:kern w:val="0"/>
          <w:szCs w:val="22"/>
        </w:rPr>
        <w:t>12</w:t>
      </w:r>
      <w:r>
        <w:rPr>
          <w:color w:val="auto"/>
          <w:kern w:val="0"/>
          <w:szCs w:val="22"/>
        </w:rPr>
        <w:t>月</w:t>
      </w:r>
      <w:r>
        <w:rPr>
          <w:rFonts w:hint="eastAsia"/>
          <w:color w:val="auto"/>
          <w:kern w:val="0"/>
          <w:szCs w:val="22"/>
        </w:rPr>
        <w:t>2</w:t>
      </w:r>
      <w:r>
        <w:rPr>
          <w:color w:val="auto"/>
          <w:kern w:val="0"/>
          <w:szCs w:val="22"/>
        </w:rPr>
        <w:t>日，</w:t>
      </w:r>
      <w:r>
        <w:rPr>
          <w:rFonts w:hint="eastAsia"/>
          <w:color w:val="auto"/>
          <w:kern w:val="0"/>
          <w:szCs w:val="22"/>
        </w:rPr>
        <w:t>项目采样</w:t>
      </w:r>
      <w:r>
        <w:rPr>
          <w:color w:val="auto"/>
          <w:kern w:val="0"/>
          <w:szCs w:val="22"/>
        </w:rPr>
        <w:t>时间为2026</w:t>
      </w:r>
      <w:r>
        <w:rPr>
          <w:rFonts w:hint="eastAsia"/>
          <w:color w:val="auto"/>
          <w:kern w:val="0"/>
          <w:szCs w:val="22"/>
        </w:rPr>
        <w:t>年</w:t>
      </w:r>
      <w:r>
        <w:rPr>
          <w:color w:val="auto"/>
          <w:kern w:val="0"/>
          <w:szCs w:val="22"/>
        </w:rPr>
        <w:t>1</w:t>
      </w:r>
      <w:r>
        <w:rPr>
          <w:rFonts w:hint="eastAsia"/>
          <w:color w:val="auto"/>
          <w:kern w:val="0"/>
          <w:szCs w:val="22"/>
        </w:rPr>
        <w:t>月</w:t>
      </w:r>
      <w:r>
        <w:rPr>
          <w:color w:val="auto"/>
          <w:kern w:val="0"/>
          <w:szCs w:val="22"/>
        </w:rPr>
        <w:t>28</w:t>
      </w:r>
      <w:r>
        <w:rPr>
          <w:rFonts w:hint="eastAsia"/>
          <w:color w:val="auto"/>
          <w:kern w:val="0"/>
          <w:szCs w:val="22"/>
        </w:rPr>
        <w:t>日</w:t>
      </w:r>
      <w:r>
        <w:rPr>
          <w:color w:val="auto"/>
          <w:kern w:val="0"/>
          <w:szCs w:val="22"/>
        </w:rPr>
        <w:t>~29</w:t>
      </w:r>
      <w:r>
        <w:rPr>
          <w:rFonts w:hint="eastAsia"/>
          <w:color w:val="auto"/>
          <w:kern w:val="0"/>
          <w:szCs w:val="22"/>
        </w:rPr>
        <w:t>日。</w:t>
      </w:r>
    </w:p>
    <w:p w14:paraId="4652A733">
      <w:pPr>
        <w:pStyle w:val="4"/>
        <w:rPr>
          <w:color w:val="auto"/>
        </w:rPr>
      </w:pPr>
      <w:bookmarkStart w:id="432" w:name="_Toc136878482"/>
      <w:bookmarkStart w:id="433" w:name="_Toc216620546"/>
      <w:r>
        <w:rPr>
          <w:color w:val="auto"/>
        </w:rPr>
        <w:t>评价标准</w:t>
      </w:r>
      <w:bookmarkEnd w:id="432"/>
      <w:bookmarkEnd w:id="433"/>
    </w:p>
    <w:p w14:paraId="6BE5289D">
      <w:pPr>
        <w:ind w:firstLine="480"/>
        <w:rPr>
          <w:color w:val="auto"/>
          <w:kern w:val="0"/>
          <w:szCs w:val="22"/>
        </w:rPr>
      </w:pPr>
      <w:r>
        <w:rPr>
          <w:color w:val="auto"/>
          <w:kern w:val="0"/>
          <w:szCs w:val="22"/>
        </w:rPr>
        <w:t>地下水按《地下水质量标准》（GB/T14848-2017）III类标准进行评价。</w:t>
      </w:r>
    </w:p>
    <w:p w14:paraId="51540E1D">
      <w:pPr>
        <w:pStyle w:val="4"/>
        <w:rPr>
          <w:color w:val="auto"/>
        </w:rPr>
      </w:pPr>
      <w:bookmarkStart w:id="434" w:name="_Toc216620547"/>
      <w:bookmarkStart w:id="435" w:name="_Toc136878483"/>
      <w:r>
        <w:rPr>
          <w:color w:val="auto"/>
        </w:rPr>
        <w:t>评价方法</w:t>
      </w:r>
      <w:bookmarkEnd w:id="434"/>
      <w:bookmarkEnd w:id="435"/>
    </w:p>
    <w:p w14:paraId="20AE4AC6">
      <w:pPr>
        <w:ind w:firstLine="480"/>
        <w:rPr>
          <w:color w:val="auto"/>
          <w:kern w:val="0"/>
          <w:szCs w:val="22"/>
        </w:rPr>
      </w:pPr>
      <w:r>
        <w:rPr>
          <w:color w:val="auto"/>
          <w:kern w:val="0"/>
          <w:szCs w:val="22"/>
        </w:rPr>
        <w:t>单项评价采用标准指数法，即实测浓度值与评价标准限值之比。评价计算公式如下：</w:t>
      </w:r>
    </w:p>
    <w:p w14:paraId="59775868">
      <w:pPr>
        <w:ind w:firstLine="480"/>
        <w:jc w:val="center"/>
        <w:rPr>
          <w:color w:val="auto"/>
          <w:kern w:val="0"/>
          <w:szCs w:val="22"/>
        </w:rPr>
      </w:pPr>
      <w:r>
        <w:rPr>
          <w:i/>
          <w:color w:val="auto"/>
          <w:kern w:val="0"/>
          <w:szCs w:val="22"/>
        </w:rPr>
        <w:t>P</w:t>
      </w:r>
      <w:r>
        <w:rPr>
          <w:i/>
          <w:color w:val="auto"/>
          <w:kern w:val="0"/>
          <w:szCs w:val="22"/>
          <w:vertAlign w:val="subscript"/>
        </w:rPr>
        <w:t>i</w:t>
      </w:r>
      <w:r>
        <w:rPr>
          <w:color w:val="auto"/>
          <w:kern w:val="0"/>
          <w:szCs w:val="22"/>
        </w:rPr>
        <w:t>=</w:t>
      </w:r>
      <w:r>
        <w:rPr>
          <w:i/>
          <w:color w:val="auto"/>
          <w:kern w:val="0"/>
          <w:szCs w:val="22"/>
        </w:rPr>
        <w:t>C</w:t>
      </w:r>
      <w:r>
        <w:rPr>
          <w:i/>
          <w:color w:val="auto"/>
          <w:kern w:val="0"/>
          <w:szCs w:val="22"/>
          <w:vertAlign w:val="subscript"/>
        </w:rPr>
        <w:t>i</w:t>
      </w:r>
      <w:r>
        <w:rPr>
          <w:color w:val="auto"/>
          <w:kern w:val="0"/>
          <w:szCs w:val="22"/>
        </w:rPr>
        <w:t>/</w:t>
      </w:r>
      <w:r>
        <w:rPr>
          <w:i/>
          <w:color w:val="auto"/>
          <w:kern w:val="0"/>
          <w:szCs w:val="22"/>
        </w:rPr>
        <w:t>C</w:t>
      </w:r>
      <w:r>
        <w:rPr>
          <w:i/>
          <w:color w:val="auto"/>
          <w:kern w:val="0"/>
          <w:szCs w:val="22"/>
          <w:vertAlign w:val="subscript"/>
        </w:rPr>
        <w:t>si</w:t>
      </w:r>
    </w:p>
    <w:p w14:paraId="52877CC0">
      <w:pPr>
        <w:ind w:firstLine="480"/>
        <w:rPr>
          <w:color w:val="auto"/>
          <w:kern w:val="0"/>
          <w:szCs w:val="22"/>
        </w:rPr>
      </w:pPr>
      <w:r>
        <w:rPr>
          <w:color w:val="auto"/>
          <w:kern w:val="0"/>
          <w:szCs w:val="22"/>
        </w:rPr>
        <w:t>式中：</w:t>
      </w:r>
    </w:p>
    <w:p w14:paraId="32C9ABF7">
      <w:pPr>
        <w:ind w:firstLine="480"/>
        <w:rPr>
          <w:color w:val="auto"/>
          <w:kern w:val="0"/>
          <w:szCs w:val="22"/>
        </w:rPr>
      </w:pPr>
      <w:r>
        <w:rPr>
          <w:i/>
          <w:color w:val="auto"/>
          <w:kern w:val="0"/>
          <w:szCs w:val="22"/>
        </w:rPr>
        <w:t>P</w:t>
      </w:r>
      <w:r>
        <w:rPr>
          <w:i/>
          <w:color w:val="auto"/>
          <w:kern w:val="0"/>
          <w:szCs w:val="22"/>
          <w:vertAlign w:val="subscript"/>
        </w:rPr>
        <w:t>i</w:t>
      </w:r>
      <w:r>
        <w:rPr>
          <w:i/>
          <w:color w:val="auto"/>
          <w:kern w:val="0"/>
          <w:szCs w:val="22"/>
        </w:rPr>
        <w:t>—</w:t>
      </w:r>
      <w:r>
        <w:rPr>
          <w:color w:val="auto"/>
          <w:kern w:val="0"/>
          <w:szCs w:val="22"/>
        </w:rPr>
        <w:t>第i个水质因子的标准指数，无量纲；</w:t>
      </w:r>
    </w:p>
    <w:p w14:paraId="7DD6F0E1">
      <w:pPr>
        <w:ind w:firstLine="480"/>
        <w:rPr>
          <w:color w:val="auto"/>
          <w:kern w:val="0"/>
          <w:szCs w:val="22"/>
        </w:rPr>
      </w:pPr>
      <w:r>
        <w:rPr>
          <w:i/>
          <w:color w:val="auto"/>
          <w:kern w:val="0"/>
          <w:szCs w:val="22"/>
        </w:rPr>
        <w:t>C</w:t>
      </w:r>
      <w:r>
        <w:rPr>
          <w:i/>
          <w:color w:val="auto"/>
          <w:kern w:val="0"/>
          <w:szCs w:val="22"/>
          <w:vertAlign w:val="subscript"/>
        </w:rPr>
        <w:t>i</w:t>
      </w:r>
      <w:r>
        <w:rPr>
          <w:i/>
          <w:color w:val="auto"/>
          <w:kern w:val="0"/>
          <w:szCs w:val="22"/>
        </w:rPr>
        <w:t>—</w:t>
      </w:r>
      <w:r>
        <w:rPr>
          <w:color w:val="auto"/>
          <w:kern w:val="0"/>
          <w:szCs w:val="22"/>
        </w:rPr>
        <w:t>第i个水质因子的监测浓度值，mg/L；</w:t>
      </w:r>
    </w:p>
    <w:p w14:paraId="39E3D2E3">
      <w:pPr>
        <w:ind w:firstLine="480"/>
        <w:rPr>
          <w:color w:val="auto"/>
          <w:kern w:val="0"/>
          <w:szCs w:val="22"/>
        </w:rPr>
      </w:pPr>
      <w:r>
        <w:rPr>
          <w:i/>
          <w:color w:val="auto"/>
          <w:kern w:val="0"/>
          <w:szCs w:val="22"/>
        </w:rPr>
        <w:t>C</w:t>
      </w:r>
      <w:r>
        <w:rPr>
          <w:i/>
          <w:color w:val="auto"/>
          <w:kern w:val="0"/>
          <w:szCs w:val="22"/>
          <w:vertAlign w:val="subscript"/>
        </w:rPr>
        <w:t>si</w:t>
      </w:r>
      <w:r>
        <w:rPr>
          <w:i/>
          <w:color w:val="auto"/>
          <w:kern w:val="0"/>
          <w:szCs w:val="22"/>
        </w:rPr>
        <w:t>—</w:t>
      </w:r>
      <w:r>
        <w:rPr>
          <w:color w:val="auto"/>
          <w:kern w:val="0"/>
          <w:szCs w:val="22"/>
        </w:rPr>
        <w:t>第i个水质因子的标准浓度值，mg/L。</w:t>
      </w:r>
    </w:p>
    <w:p w14:paraId="741E1EB6">
      <w:pPr>
        <w:ind w:firstLine="480"/>
        <w:rPr>
          <w:color w:val="auto"/>
          <w:kern w:val="0"/>
          <w:szCs w:val="22"/>
        </w:rPr>
      </w:pPr>
      <w:r>
        <w:rPr>
          <w:color w:val="auto"/>
          <w:kern w:val="0"/>
          <w:szCs w:val="22"/>
        </w:rPr>
        <w:t>pH值按以下公式计算和评价：</w:t>
      </w:r>
    </w:p>
    <w:p w14:paraId="428D1A90">
      <w:pPr>
        <w:ind w:firstLine="480"/>
        <w:jc w:val="center"/>
        <w:rPr>
          <w:color w:val="auto"/>
          <w:kern w:val="0"/>
          <w:szCs w:val="22"/>
        </w:rPr>
      </w:pPr>
      <w:r>
        <w:rPr>
          <w:i/>
          <w:color w:val="auto"/>
          <w:kern w:val="0"/>
          <w:szCs w:val="22"/>
        </w:rPr>
        <w:t>P</w:t>
      </w:r>
      <w:r>
        <w:rPr>
          <w:i/>
          <w:color w:val="auto"/>
          <w:kern w:val="0"/>
          <w:szCs w:val="22"/>
          <w:vertAlign w:val="subscript"/>
        </w:rPr>
        <w:t>pH</w:t>
      </w:r>
      <w:r>
        <w:rPr>
          <w:color w:val="auto"/>
          <w:kern w:val="0"/>
          <w:szCs w:val="22"/>
        </w:rPr>
        <w:t>=（7.0－</w:t>
      </w:r>
      <w:r>
        <w:rPr>
          <w:i/>
          <w:color w:val="auto"/>
          <w:kern w:val="0"/>
          <w:szCs w:val="22"/>
        </w:rPr>
        <w:t>pH</w:t>
      </w:r>
      <w:r>
        <w:rPr>
          <w:color w:val="auto"/>
          <w:kern w:val="0"/>
          <w:szCs w:val="22"/>
        </w:rPr>
        <w:t>）/（7.0－</w:t>
      </w:r>
      <w:r>
        <w:rPr>
          <w:i/>
          <w:color w:val="auto"/>
          <w:kern w:val="0"/>
          <w:szCs w:val="22"/>
        </w:rPr>
        <w:t>pH</w:t>
      </w:r>
      <w:r>
        <w:rPr>
          <w:i/>
          <w:color w:val="auto"/>
          <w:kern w:val="0"/>
          <w:szCs w:val="22"/>
          <w:vertAlign w:val="subscript"/>
        </w:rPr>
        <w:t>sd</w:t>
      </w:r>
      <w:r>
        <w:rPr>
          <w:color w:val="auto"/>
          <w:kern w:val="0"/>
          <w:szCs w:val="22"/>
        </w:rPr>
        <w:t>）pH≤7时</w:t>
      </w:r>
    </w:p>
    <w:p w14:paraId="3A40D643">
      <w:pPr>
        <w:ind w:firstLine="480"/>
        <w:jc w:val="center"/>
        <w:rPr>
          <w:color w:val="auto"/>
          <w:kern w:val="0"/>
          <w:szCs w:val="22"/>
        </w:rPr>
      </w:pPr>
      <w:r>
        <w:rPr>
          <w:i/>
          <w:color w:val="auto"/>
          <w:kern w:val="0"/>
          <w:szCs w:val="22"/>
        </w:rPr>
        <w:t>P</w:t>
      </w:r>
      <w:r>
        <w:rPr>
          <w:i/>
          <w:color w:val="auto"/>
          <w:kern w:val="0"/>
          <w:szCs w:val="22"/>
          <w:vertAlign w:val="subscript"/>
        </w:rPr>
        <w:t>pH</w:t>
      </w:r>
      <w:r>
        <w:rPr>
          <w:color w:val="auto"/>
          <w:kern w:val="0"/>
          <w:szCs w:val="22"/>
        </w:rPr>
        <w:t>=（</w:t>
      </w:r>
      <w:r>
        <w:rPr>
          <w:i/>
          <w:color w:val="auto"/>
          <w:kern w:val="0"/>
          <w:szCs w:val="22"/>
        </w:rPr>
        <w:t>pH</w:t>
      </w:r>
      <w:r>
        <w:rPr>
          <w:color w:val="auto"/>
          <w:kern w:val="0"/>
          <w:szCs w:val="22"/>
        </w:rPr>
        <w:t>－7.0）/（</w:t>
      </w:r>
      <w:r>
        <w:rPr>
          <w:i/>
          <w:color w:val="auto"/>
          <w:kern w:val="0"/>
          <w:szCs w:val="22"/>
        </w:rPr>
        <w:t>pH</w:t>
      </w:r>
      <w:r>
        <w:rPr>
          <w:i/>
          <w:color w:val="auto"/>
          <w:kern w:val="0"/>
          <w:szCs w:val="22"/>
          <w:vertAlign w:val="subscript"/>
        </w:rPr>
        <w:t>Su</w:t>
      </w:r>
      <w:r>
        <w:rPr>
          <w:color w:val="auto"/>
          <w:kern w:val="0"/>
          <w:szCs w:val="22"/>
        </w:rPr>
        <w:t>－7.0）pH＞7时</w:t>
      </w:r>
    </w:p>
    <w:p w14:paraId="64689AE9">
      <w:pPr>
        <w:ind w:firstLine="480"/>
        <w:rPr>
          <w:color w:val="auto"/>
          <w:kern w:val="0"/>
          <w:szCs w:val="22"/>
        </w:rPr>
      </w:pPr>
      <w:r>
        <w:rPr>
          <w:color w:val="auto"/>
          <w:kern w:val="0"/>
          <w:szCs w:val="22"/>
        </w:rPr>
        <w:t>式中：</w:t>
      </w:r>
    </w:p>
    <w:p w14:paraId="1C0BBCEE">
      <w:pPr>
        <w:ind w:firstLine="480"/>
        <w:rPr>
          <w:color w:val="auto"/>
          <w:kern w:val="0"/>
          <w:szCs w:val="22"/>
        </w:rPr>
      </w:pPr>
      <w:r>
        <w:rPr>
          <w:i/>
          <w:color w:val="auto"/>
          <w:kern w:val="0"/>
          <w:szCs w:val="22"/>
        </w:rPr>
        <w:t>P</w:t>
      </w:r>
      <w:r>
        <w:rPr>
          <w:i/>
          <w:color w:val="auto"/>
          <w:kern w:val="0"/>
          <w:szCs w:val="22"/>
          <w:vertAlign w:val="subscript"/>
        </w:rPr>
        <w:t>pH</w:t>
      </w:r>
      <w:r>
        <w:rPr>
          <w:i/>
          <w:color w:val="auto"/>
          <w:kern w:val="0"/>
          <w:szCs w:val="22"/>
        </w:rPr>
        <w:t>—</w:t>
      </w:r>
      <w:r>
        <w:rPr>
          <w:color w:val="auto"/>
          <w:kern w:val="0"/>
          <w:szCs w:val="22"/>
        </w:rPr>
        <w:t>pH的标准指数，无量纲；</w:t>
      </w:r>
    </w:p>
    <w:p w14:paraId="095BB99A">
      <w:pPr>
        <w:ind w:firstLine="480"/>
        <w:rPr>
          <w:color w:val="auto"/>
          <w:kern w:val="0"/>
          <w:szCs w:val="22"/>
        </w:rPr>
      </w:pPr>
      <w:r>
        <w:rPr>
          <w:i/>
          <w:color w:val="auto"/>
          <w:kern w:val="0"/>
          <w:szCs w:val="22"/>
        </w:rPr>
        <w:t>pH—</w:t>
      </w:r>
      <w:r>
        <w:rPr>
          <w:color w:val="auto"/>
          <w:kern w:val="0"/>
          <w:szCs w:val="22"/>
        </w:rPr>
        <w:t>pH监测值；</w:t>
      </w:r>
    </w:p>
    <w:p w14:paraId="1EEBF2D5">
      <w:pPr>
        <w:ind w:firstLine="480"/>
        <w:rPr>
          <w:color w:val="auto"/>
          <w:kern w:val="0"/>
          <w:szCs w:val="22"/>
        </w:rPr>
      </w:pPr>
      <w:r>
        <w:rPr>
          <w:i/>
          <w:color w:val="auto"/>
          <w:kern w:val="0"/>
          <w:szCs w:val="22"/>
        </w:rPr>
        <w:t>pH</w:t>
      </w:r>
      <w:r>
        <w:rPr>
          <w:i/>
          <w:color w:val="auto"/>
          <w:kern w:val="0"/>
          <w:szCs w:val="22"/>
          <w:vertAlign w:val="subscript"/>
        </w:rPr>
        <w:t>Su</w:t>
      </w:r>
      <w:r>
        <w:rPr>
          <w:i/>
          <w:color w:val="auto"/>
          <w:kern w:val="0"/>
          <w:szCs w:val="22"/>
        </w:rPr>
        <w:t>—</w:t>
      </w:r>
      <w:r>
        <w:rPr>
          <w:color w:val="auto"/>
          <w:kern w:val="0"/>
          <w:szCs w:val="22"/>
        </w:rPr>
        <w:t>标准中pH的上限值；</w:t>
      </w:r>
    </w:p>
    <w:p w14:paraId="5CCF9D75">
      <w:pPr>
        <w:ind w:firstLine="480"/>
        <w:rPr>
          <w:color w:val="auto"/>
          <w:kern w:val="0"/>
          <w:szCs w:val="22"/>
        </w:rPr>
      </w:pPr>
      <w:r>
        <w:rPr>
          <w:i/>
          <w:color w:val="auto"/>
          <w:kern w:val="0"/>
          <w:szCs w:val="22"/>
        </w:rPr>
        <w:t>pH</w:t>
      </w:r>
      <w:r>
        <w:rPr>
          <w:i/>
          <w:color w:val="auto"/>
          <w:kern w:val="0"/>
          <w:szCs w:val="22"/>
          <w:vertAlign w:val="subscript"/>
        </w:rPr>
        <w:t>sd</w:t>
      </w:r>
      <w:r>
        <w:rPr>
          <w:i/>
          <w:color w:val="auto"/>
          <w:kern w:val="0"/>
          <w:szCs w:val="22"/>
        </w:rPr>
        <w:t>—</w:t>
      </w:r>
      <w:r>
        <w:rPr>
          <w:color w:val="auto"/>
          <w:kern w:val="0"/>
          <w:szCs w:val="22"/>
        </w:rPr>
        <w:t>标准中pH的下限值。</w:t>
      </w:r>
    </w:p>
    <w:p w14:paraId="23D887AB">
      <w:pPr>
        <w:ind w:firstLine="480"/>
        <w:rPr>
          <w:color w:val="auto"/>
          <w:kern w:val="0"/>
          <w:szCs w:val="22"/>
        </w:rPr>
      </w:pPr>
      <w:r>
        <w:rPr>
          <w:color w:val="auto"/>
          <w:kern w:val="0"/>
          <w:szCs w:val="22"/>
        </w:rPr>
        <w:t>水质参数的标准指数＞1，表明该水质参数超过了规定的水质标准限值，水质参数标准指数越大，说明水质参数超标越严重。</w:t>
      </w:r>
    </w:p>
    <w:p w14:paraId="44D96FC1">
      <w:pPr>
        <w:pStyle w:val="4"/>
        <w:rPr>
          <w:color w:val="auto"/>
        </w:rPr>
      </w:pPr>
      <w:bookmarkStart w:id="436" w:name="_Toc216620548"/>
      <w:bookmarkStart w:id="437" w:name="_Toc136878484"/>
      <w:r>
        <w:rPr>
          <w:color w:val="auto"/>
        </w:rPr>
        <w:t>评价结果</w:t>
      </w:r>
      <w:bookmarkEnd w:id="436"/>
      <w:bookmarkEnd w:id="437"/>
    </w:p>
    <w:p w14:paraId="64A127A3">
      <w:pPr>
        <w:ind w:firstLine="480"/>
        <w:rPr>
          <w:color w:val="auto"/>
          <w:kern w:val="0"/>
          <w:szCs w:val="22"/>
        </w:rPr>
      </w:pPr>
      <w:r>
        <w:rPr>
          <w:rFonts w:hint="eastAsia"/>
          <w:color w:val="auto"/>
        </w:rPr>
        <w:t>根据表3.4-3~3.4</w:t>
      </w:r>
      <w:r>
        <w:rPr>
          <w:color w:val="auto"/>
        </w:rPr>
        <w:t>-4</w:t>
      </w:r>
      <w:r>
        <w:rPr>
          <w:rFonts w:hint="eastAsia"/>
          <w:color w:val="auto"/>
        </w:rPr>
        <w:t>可知</w:t>
      </w:r>
      <w:r>
        <w:rPr>
          <w:color w:val="auto"/>
        </w:rPr>
        <w:t>，</w:t>
      </w:r>
      <w:r>
        <w:rPr>
          <w:rFonts w:hint="eastAsia"/>
          <w:color w:val="auto"/>
          <w:u w:val="single"/>
        </w:rPr>
        <w:t>D1监测点出现氟化物超标现象，其余监测指标均能满足《地下水质量标准》（GB/T14848-2017）Ⅲ类标准要求。3</w:t>
      </w:r>
      <w:r>
        <w:rPr>
          <w:color w:val="auto"/>
          <w:u w:val="single"/>
        </w:rPr>
        <w:t>#</w:t>
      </w:r>
      <w:r>
        <w:rPr>
          <w:rFonts w:hint="eastAsia"/>
          <w:color w:val="auto"/>
          <w:u w:val="single"/>
        </w:rPr>
        <w:t>监测点</w:t>
      </w:r>
      <w:r>
        <w:rPr>
          <w:color w:val="auto"/>
          <w:u w:val="single"/>
        </w:rPr>
        <w:t>的</w:t>
      </w:r>
      <w:r>
        <w:rPr>
          <w:rFonts w:hint="eastAsia"/>
          <w:color w:val="auto"/>
          <w:u w:val="single"/>
        </w:rPr>
        <w:t>监测</w:t>
      </w:r>
      <w:r>
        <w:rPr>
          <w:color w:val="auto"/>
          <w:u w:val="single"/>
        </w:rPr>
        <w:t>因子均能满足</w:t>
      </w:r>
      <w:r>
        <w:rPr>
          <w:rFonts w:hint="eastAsia"/>
          <w:color w:val="auto"/>
          <w:u w:val="single"/>
        </w:rPr>
        <w:t>《地下水质量标准》（GB/T14848-2017）Ⅲ类标准要求。</w:t>
      </w:r>
      <w:r>
        <w:rPr>
          <w:rFonts w:hint="eastAsia"/>
          <w:color w:val="auto"/>
        </w:rPr>
        <w:t>4</w:t>
      </w:r>
      <w:r>
        <w:rPr>
          <w:color w:val="auto"/>
        </w:rPr>
        <w:t>#</w:t>
      </w:r>
      <w:r>
        <w:rPr>
          <w:rFonts w:hint="eastAsia"/>
          <w:color w:val="auto"/>
        </w:rPr>
        <w:t>监测点除</w:t>
      </w:r>
      <w:r>
        <w:rPr>
          <w:color w:val="auto"/>
        </w:rPr>
        <w:t>Cl</w:t>
      </w:r>
      <w:r>
        <w:rPr>
          <w:color w:val="auto"/>
          <w:vertAlign w:val="superscript"/>
        </w:rPr>
        <w:t>-</w:t>
      </w:r>
      <w:r>
        <w:rPr>
          <w:rFonts w:hint="eastAsia"/>
          <w:color w:val="auto"/>
        </w:rPr>
        <w:t>、总硬度</w:t>
      </w:r>
      <w:r>
        <w:rPr>
          <w:color w:val="auto"/>
        </w:rPr>
        <w:t>、溶解性总固体外，</w:t>
      </w:r>
      <w:r>
        <w:rPr>
          <w:rFonts w:hint="eastAsia"/>
          <w:color w:val="auto"/>
        </w:rPr>
        <w:t>其余监测指标均能满足《地下水质量标准》（GB/T14848-2017）Ⅲ类标准要求</w:t>
      </w:r>
      <w:r>
        <w:rPr>
          <w:rFonts w:hint="eastAsia"/>
          <w:color w:val="auto"/>
          <w:lang w:eastAsia="zh-CN"/>
        </w:rPr>
        <w:t>。</w:t>
      </w:r>
      <w:r>
        <w:rPr>
          <w:rFonts w:hint="eastAsia"/>
          <w:color w:val="auto"/>
          <w:u w:val="single"/>
          <w:lang w:eastAsia="zh-CN"/>
        </w:rPr>
        <w:t>项目临近海域，所在陆域为填海形成，场地地下水主要来源于大气降水、海水补给，</w:t>
      </w:r>
      <w:r>
        <w:rPr>
          <w:color w:val="auto"/>
          <w:u w:val="single"/>
        </w:rPr>
        <w:t>Cl</w:t>
      </w:r>
      <w:r>
        <w:rPr>
          <w:color w:val="auto"/>
          <w:vertAlign w:val="superscript"/>
        </w:rPr>
        <w:t>-</w:t>
      </w:r>
      <w:r>
        <w:rPr>
          <w:rFonts w:hint="eastAsia"/>
          <w:color w:val="auto"/>
          <w:u w:val="single"/>
        </w:rPr>
        <w:t>、总硬度</w:t>
      </w:r>
      <w:r>
        <w:rPr>
          <w:color w:val="auto"/>
          <w:u w:val="single"/>
        </w:rPr>
        <w:t>、溶解性总固体</w:t>
      </w:r>
      <w:r>
        <w:rPr>
          <w:rFonts w:hint="eastAsia"/>
          <w:color w:val="auto"/>
          <w:u w:val="single"/>
          <w:lang w:eastAsia="zh-CN"/>
        </w:rPr>
        <w:t>超标原因可能是海水渗透引起，现有工程主要为汽油、柴油、原油、甲醇等的装卸，超标因子不属于现有工程特征污染物</w:t>
      </w:r>
      <w:r>
        <w:rPr>
          <w:rFonts w:hint="eastAsia"/>
          <w:color w:val="auto"/>
        </w:rPr>
        <w:t>。</w:t>
      </w:r>
      <w:r>
        <w:rPr>
          <w:rFonts w:hint="eastAsia"/>
          <w:color w:val="auto"/>
          <w:kern w:val="0"/>
          <w:szCs w:val="22"/>
        </w:rPr>
        <w:t>地下水监测</w:t>
      </w:r>
      <w:r>
        <w:rPr>
          <w:color w:val="auto"/>
          <w:kern w:val="0"/>
          <w:szCs w:val="22"/>
        </w:rPr>
        <w:t>结果如下：</w:t>
      </w:r>
    </w:p>
    <w:p w14:paraId="157A80F8">
      <w:pPr>
        <w:pStyle w:val="14"/>
        <w:rPr>
          <w:color w:val="auto"/>
        </w:rPr>
      </w:pPr>
      <w:r>
        <w:rPr>
          <w:rFonts w:hint="eastAsia"/>
          <w:color w:val="auto"/>
        </w:rPr>
        <w:t>表</w:t>
      </w:r>
      <w:r>
        <w:rPr>
          <w:color w:val="auto"/>
        </w:rPr>
        <w:t>3.4</w:t>
      </w:r>
      <w:r>
        <w:rPr>
          <w:color w:val="auto"/>
        </w:rPr>
        <w:noBreakHyphen/>
      </w:r>
      <w:r>
        <w:rPr>
          <w:color w:val="auto"/>
        </w:rPr>
        <w:t>3</w:t>
      </w:r>
      <w:r>
        <w:rPr>
          <w:rFonts w:hint="eastAsia"/>
          <w:color w:val="auto"/>
        </w:rPr>
        <w:t>地下水水质调查与评价结果（单位：mg/L，pH除外）</w:t>
      </w:r>
    </w:p>
    <w:tbl>
      <w:tblPr>
        <w:tblStyle w:val="43"/>
        <w:tblW w:w="881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1" w:type="dxa"/>
          <w:bottom w:w="0" w:type="dxa"/>
          <w:right w:w="51" w:type="dxa"/>
        </w:tblCellMar>
      </w:tblPr>
      <w:tblGrid>
        <w:gridCol w:w="986"/>
        <w:gridCol w:w="1701"/>
        <w:gridCol w:w="2685"/>
        <w:gridCol w:w="1134"/>
        <w:gridCol w:w="992"/>
        <w:gridCol w:w="1315"/>
      </w:tblGrid>
      <w:tr w14:paraId="045D46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restart"/>
            <w:vAlign w:val="center"/>
          </w:tcPr>
          <w:p w14:paraId="17B25B06">
            <w:pPr>
              <w:pStyle w:val="77"/>
              <w:keepNext w:val="0"/>
              <w:keepLines w:val="0"/>
              <w:suppressLineNumbers w:val="0"/>
              <w:spacing w:before="0" w:beforeAutospacing="0" w:after="0" w:afterAutospacing="0"/>
              <w:ind w:left="0" w:right="0"/>
              <w:rPr>
                <w:rFonts w:hint="default"/>
                <w:b/>
                <w:bCs/>
                <w:color w:val="auto"/>
              </w:rPr>
            </w:pPr>
            <w:r>
              <w:rPr>
                <w:rFonts w:hint="eastAsia"/>
                <w:b/>
                <w:bCs/>
                <w:color w:val="auto"/>
              </w:rPr>
              <w:t>采样日期</w:t>
            </w:r>
          </w:p>
        </w:tc>
        <w:tc>
          <w:tcPr>
            <w:tcW w:w="1701" w:type="dxa"/>
            <w:vMerge w:val="restart"/>
            <w:vAlign w:val="center"/>
          </w:tcPr>
          <w:p w14:paraId="305AC01C">
            <w:pPr>
              <w:pStyle w:val="77"/>
              <w:keepNext w:val="0"/>
              <w:keepLines w:val="0"/>
              <w:suppressLineNumbers w:val="0"/>
              <w:spacing w:before="0" w:beforeAutospacing="0" w:after="0" w:afterAutospacing="0"/>
              <w:ind w:left="0" w:right="0"/>
              <w:rPr>
                <w:rFonts w:hint="default"/>
                <w:b/>
                <w:bCs/>
                <w:color w:val="auto"/>
              </w:rPr>
            </w:pPr>
            <w:r>
              <w:rPr>
                <w:rFonts w:hint="eastAsia"/>
                <w:b/>
                <w:bCs/>
                <w:color w:val="auto"/>
              </w:rPr>
              <w:t>检测</w:t>
            </w:r>
            <w:r>
              <w:rPr>
                <w:rFonts w:hint="default"/>
                <w:b/>
                <w:bCs/>
                <w:color w:val="auto"/>
              </w:rPr>
              <w:t>项目</w:t>
            </w:r>
          </w:p>
        </w:tc>
        <w:tc>
          <w:tcPr>
            <w:tcW w:w="2685" w:type="dxa"/>
            <w:vAlign w:val="center"/>
          </w:tcPr>
          <w:p w14:paraId="2488BE3A">
            <w:pPr>
              <w:pStyle w:val="77"/>
              <w:keepNext w:val="0"/>
              <w:keepLines w:val="0"/>
              <w:suppressLineNumbers w:val="0"/>
              <w:spacing w:before="0" w:beforeAutospacing="0" w:after="0" w:afterAutospacing="0"/>
              <w:ind w:left="0" w:right="0"/>
              <w:rPr>
                <w:rFonts w:hint="default"/>
                <w:b/>
                <w:bCs/>
                <w:color w:val="auto"/>
              </w:rPr>
            </w:pPr>
            <w:r>
              <w:rPr>
                <w:rFonts w:hint="eastAsia"/>
                <w:b/>
                <w:bCs/>
                <w:color w:val="auto"/>
              </w:rPr>
              <w:t>检测点位</w:t>
            </w:r>
            <w:r>
              <w:rPr>
                <w:rFonts w:hint="default"/>
                <w:b/>
                <w:bCs/>
                <w:color w:val="auto"/>
              </w:rPr>
              <w:t>及检测结果</w:t>
            </w:r>
          </w:p>
        </w:tc>
        <w:tc>
          <w:tcPr>
            <w:tcW w:w="1134" w:type="dxa"/>
            <w:vMerge w:val="restart"/>
            <w:vAlign w:val="center"/>
          </w:tcPr>
          <w:p w14:paraId="2CF6788F">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标准值</w:t>
            </w:r>
          </w:p>
        </w:tc>
        <w:tc>
          <w:tcPr>
            <w:tcW w:w="992" w:type="dxa"/>
            <w:vMerge w:val="restart"/>
            <w:vAlign w:val="center"/>
          </w:tcPr>
          <w:p w14:paraId="067BD65A">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P</w:t>
            </w:r>
            <w:r>
              <w:rPr>
                <w:rFonts w:hint="default"/>
                <w:b/>
                <w:bCs/>
                <w:color w:val="auto"/>
                <w:vertAlign w:val="subscript"/>
              </w:rPr>
              <w:t>i</w:t>
            </w:r>
          </w:p>
        </w:tc>
        <w:tc>
          <w:tcPr>
            <w:tcW w:w="1315" w:type="dxa"/>
            <w:vMerge w:val="restart"/>
            <w:vAlign w:val="center"/>
          </w:tcPr>
          <w:p w14:paraId="57DAEA59">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是否达标</w:t>
            </w:r>
          </w:p>
        </w:tc>
      </w:tr>
      <w:tr w14:paraId="2E79E6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095CF100">
            <w:pPr>
              <w:pStyle w:val="77"/>
              <w:keepNext w:val="0"/>
              <w:keepLines w:val="0"/>
              <w:suppressLineNumbers w:val="0"/>
              <w:spacing w:before="0" w:beforeAutospacing="0" w:after="0" w:afterAutospacing="0"/>
              <w:ind w:left="0" w:right="0"/>
              <w:rPr>
                <w:rFonts w:hint="default"/>
                <w:b/>
                <w:bCs/>
                <w:color w:val="auto"/>
              </w:rPr>
            </w:pPr>
          </w:p>
        </w:tc>
        <w:tc>
          <w:tcPr>
            <w:tcW w:w="1701" w:type="dxa"/>
            <w:vMerge w:val="continue"/>
            <w:vAlign w:val="center"/>
          </w:tcPr>
          <w:p w14:paraId="4D96481E">
            <w:pPr>
              <w:pStyle w:val="77"/>
              <w:keepNext w:val="0"/>
              <w:keepLines w:val="0"/>
              <w:suppressLineNumbers w:val="0"/>
              <w:spacing w:before="0" w:beforeAutospacing="0" w:after="0" w:afterAutospacing="0"/>
              <w:ind w:left="0" w:right="0"/>
              <w:rPr>
                <w:rFonts w:hint="default"/>
                <w:b/>
                <w:bCs/>
                <w:color w:val="auto"/>
              </w:rPr>
            </w:pPr>
          </w:p>
        </w:tc>
        <w:tc>
          <w:tcPr>
            <w:tcW w:w="2685" w:type="dxa"/>
            <w:vAlign w:val="center"/>
          </w:tcPr>
          <w:p w14:paraId="19598CCE">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D1广西华谊新材料有限公司罐区</w:t>
            </w:r>
            <w:r>
              <w:rPr>
                <w:rFonts w:hint="eastAsia"/>
                <w:b/>
                <w:bCs/>
                <w:color w:val="auto"/>
              </w:rPr>
              <w:t>（氯苯）</w:t>
            </w:r>
          </w:p>
        </w:tc>
        <w:tc>
          <w:tcPr>
            <w:tcW w:w="1134" w:type="dxa"/>
            <w:vMerge w:val="continue"/>
            <w:vAlign w:val="center"/>
          </w:tcPr>
          <w:p w14:paraId="1B7B6F83">
            <w:pPr>
              <w:pStyle w:val="77"/>
              <w:keepNext w:val="0"/>
              <w:keepLines w:val="0"/>
              <w:suppressLineNumbers w:val="0"/>
              <w:spacing w:before="0" w:beforeAutospacing="0" w:after="0" w:afterAutospacing="0"/>
              <w:ind w:left="0" w:right="0"/>
              <w:rPr>
                <w:rFonts w:hint="default"/>
                <w:b/>
                <w:bCs/>
                <w:color w:val="auto"/>
              </w:rPr>
            </w:pPr>
          </w:p>
        </w:tc>
        <w:tc>
          <w:tcPr>
            <w:tcW w:w="992" w:type="dxa"/>
            <w:vMerge w:val="continue"/>
            <w:vAlign w:val="center"/>
          </w:tcPr>
          <w:p w14:paraId="6971C2AA">
            <w:pPr>
              <w:pStyle w:val="77"/>
              <w:keepNext w:val="0"/>
              <w:keepLines w:val="0"/>
              <w:suppressLineNumbers w:val="0"/>
              <w:spacing w:before="0" w:beforeAutospacing="0" w:after="0" w:afterAutospacing="0"/>
              <w:ind w:left="0" w:right="0"/>
              <w:rPr>
                <w:rFonts w:hint="default"/>
                <w:b/>
                <w:bCs/>
                <w:color w:val="auto"/>
              </w:rPr>
            </w:pPr>
          </w:p>
        </w:tc>
        <w:tc>
          <w:tcPr>
            <w:tcW w:w="1315" w:type="dxa"/>
            <w:vMerge w:val="continue"/>
            <w:vAlign w:val="center"/>
          </w:tcPr>
          <w:p w14:paraId="4C45D7F0">
            <w:pPr>
              <w:pStyle w:val="77"/>
              <w:keepNext w:val="0"/>
              <w:keepLines w:val="0"/>
              <w:suppressLineNumbers w:val="0"/>
              <w:spacing w:before="0" w:beforeAutospacing="0" w:after="0" w:afterAutospacing="0"/>
              <w:ind w:left="0" w:right="0"/>
              <w:rPr>
                <w:rFonts w:hint="default"/>
                <w:b/>
                <w:bCs/>
                <w:color w:val="auto"/>
              </w:rPr>
            </w:pPr>
          </w:p>
        </w:tc>
      </w:tr>
      <w:tr w14:paraId="6EAF09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restart"/>
            <w:vAlign w:val="center"/>
          </w:tcPr>
          <w:p w14:paraId="158903EB">
            <w:pPr>
              <w:pStyle w:val="77"/>
              <w:keepNext w:val="0"/>
              <w:keepLines w:val="0"/>
              <w:suppressLineNumbers w:val="0"/>
              <w:spacing w:before="0" w:beforeAutospacing="0" w:after="0" w:afterAutospacing="0"/>
              <w:ind w:left="0" w:right="0"/>
              <w:rPr>
                <w:rFonts w:hint="default"/>
                <w:color w:val="auto"/>
              </w:rPr>
            </w:pPr>
            <w:r>
              <w:rPr>
                <w:rFonts w:hint="eastAsia"/>
                <w:color w:val="auto"/>
              </w:rPr>
              <w:t>2025.12.02</w:t>
            </w:r>
          </w:p>
        </w:tc>
        <w:tc>
          <w:tcPr>
            <w:tcW w:w="1701" w:type="dxa"/>
            <w:vAlign w:val="center"/>
          </w:tcPr>
          <w:p w14:paraId="44680392">
            <w:pPr>
              <w:pStyle w:val="77"/>
              <w:keepNext w:val="0"/>
              <w:keepLines w:val="0"/>
              <w:suppressLineNumbers w:val="0"/>
              <w:spacing w:before="0" w:beforeAutospacing="0" w:after="0" w:afterAutospacing="0"/>
              <w:ind w:left="0" w:right="0"/>
              <w:rPr>
                <w:rFonts w:hint="default"/>
                <w:color w:val="auto"/>
              </w:rPr>
            </w:pPr>
            <w:r>
              <w:rPr>
                <w:rFonts w:hint="default"/>
                <w:color w:val="auto"/>
              </w:rPr>
              <w:t>pH值</w:t>
            </w:r>
          </w:p>
        </w:tc>
        <w:tc>
          <w:tcPr>
            <w:tcW w:w="2685" w:type="dxa"/>
            <w:vAlign w:val="center"/>
          </w:tcPr>
          <w:p w14:paraId="655DD087">
            <w:pPr>
              <w:pStyle w:val="77"/>
              <w:keepNext w:val="0"/>
              <w:keepLines w:val="0"/>
              <w:suppressLineNumbers w:val="0"/>
              <w:spacing w:before="0" w:beforeAutospacing="0" w:after="0" w:afterAutospacing="0"/>
              <w:ind w:left="0" w:right="0"/>
              <w:rPr>
                <w:rFonts w:hint="default"/>
                <w:color w:val="auto"/>
              </w:rPr>
            </w:pPr>
            <w:r>
              <w:rPr>
                <w:rFonts w:hint="eastAsia"/>
                <w:color w:val="auto"/>
              </w:rPr>
              <w:t>7.1</w:t>
            </w:r>
          </w:p>
        </w:tc>
        <w:tc>
          <w:tcPr>
            <w:tcW w:w="1134" w:type="dxa"/>
            <w:vAlign w:val="center"/>
          </w:tcPr>
          <w:p w14:paraId="5B15B8BD">
            <w:pPr>
              <w:pStyle w:val="77"/>
              <w:keepNext w:val="0"/>
              <w:keepLines w:val="0"/>
              <w:suppressLineNumbers w:val="0"/>
              <w:spacing w:before="0" w:beforeAutospacing="0" w:after="0" w:afterAutospacing="0"/>
              <w:ind w:left="0" w:right="0"/>
              <w:rPr>
                <w:rFonts w:hint="default"/>
                <w:color w:val="auto"/>
              </w:rPr>
            </w:pPr>
            <w:r>
              <w:rPr>
                <w:rFonts w:hint="default"/>
                <w:color w:val="auto"/>
              </w:rPr>
              <w:t>6.5≤pH≤8.5</w:t>
            </w:r>
          </w:p>
        </w:tc>
        <w:tc>
          <w:tcPr>
            <w:tcW w:w="992" w:type="dxa"/>
            <w:vAlign w:val="center"/>
          </w:tcPr>
          <w:p w14:paraId="6B5D0180">
            <w:pPr>
              <w:pStyle w:val="77"/>
              <w:keepNext w:val="0"/>
              <w:keepLines w:val="0"/>
              <w:suppressLineNumbers w:val="0"/>
              <w:spacing w:before="0" w:beforeAutospacing="0" w:after="0" w:afterAutospacing="0"/>
              <w:ind w:left="0" w:right="0"/>
              <w:rPr>
                <w:rFonts w:hint="default"/>
                <w:color w:val="auto"/>
              </w:rPr>
            </w:pPr>
            <w:r>
              <w:rPr>
                <w:rFonts w:hint="eastAsia"/>
                <w:color w:val="auto"/>
              </w:rPr>
              <w:t>0.07</w:t>
            </w:r>
          </w:p>
        </w:tc>
        <w:tc>
          <w:tcPr>
            <w:tcW w:w="1315" w:type="dxa"/>
            <w:vAlign w:val="center"/>
          </w:tcPr>
          <w:p w14:paraId="6A0F7958">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734973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4C1B89BB">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577FA85E">
            <w:pPr>
              <w:pStyle w:val="77"/>
              <w:keepNext w:val="0"/>
              <w:keepLines w:val="0"/>
              <w:suppressLineNumbers w:val="0"/>
              <w:spacing w:before="0" w:beforeAutospacing="0" w:after="0" w:afterAutospacing="0"/>
              <w:ind w:left="0" w:right="0"/>
              <w:rPr>
                <w:rFonts w:hint="default"/>
                <w:color w:val="auto"/>
              </w:rPr>
            </w:pPr>
            <w:r>
              <w:rPr>
                <w:rFonts w:hint="eastAsia"/>
                <w:color w:val="auto"/>
              </w:rPr>
              <w:t>镉</w:t>
            </w:r>
          </w:p>
        </w:tc>
        <w:tc>
          <w:tcPr>
            <w:tcW w:w="2685" w:type="dxa"/>
            <w:vAlign w:val="center"/>
          </w:tcPr>
          <w:p w14:paraId="576B0B65">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40A0F516">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79E72D32">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34BDE00F">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5D0F43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63EFE6DD">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0578A200">
            <w:pPr>
              <w:pStyle w:val="77"/>
              <w:keepNext w:val="0"/>
              <w:keepLines w:val="0"/>
              <w:suppressLineNumbers w:val="0"/>
              <w:spacing w:before="0" w:beforeAutospacing="0" w:after="0" w:afterAutospacing="0"/>
              <w:ind w:left="0" w:right="0"/>
              <w:rPr>
                <w:rFonts w:hint="default"/>
                <w:color w:val="auto"/>
              </w:rPr>
            </w:pPr>
            <w:r>
              <w:rPr>
                <w:rFonts w:hint="eastAsia"/>
                <w:color w:val="auto"/>
              </w:rPr>
              <w:t>铅</w:t>
            </w:r>
          </w:p>
        </w:tc>
        <w:tc>
          <w:tcPr>
            <w:tcW w:w="2685" w:type="dxa"/>
            <w:vAlign w:val="center"/>
          </w:tcPr>
          <w:p w14:paraId="7FEB9B2F">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0CAD5B54">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719565BA">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0B6C83F7">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404721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2DA5AB08">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479F2CCB">
            <w:pPr>
              <w:pStyle w:val="77"/>
              <w:keepNext w:val="0"/>
              <w:keepLines w:val="0"/>
              <w:suppressLineNumbers w:val="0"/>
              <w:spacing w:before="0" w:beforeAutospacing="0" w:after="0" w:afterAutospacing="0"/>
              <w:ind w:left="0" w:right="0"/>
              <w:rPr>
                <w:rFonts w:hint="default"/>
                <w:color w:val="auto"/>
              </w:rPr>
            </w:pPr>
            <w:r>
              <w:rPr>
                <w:rFonts w:hint="default"/>
                <w:color w:val="auto"/>
              </w:rPr>
              <w:t>苯乙烯</w:t>
            </w:r>
          </w:p>
        </w:tc>
        <w:tc>
          <w:tcPr>
            <w:tcW w:w="2685" w:type="dxa"/>
            <w:vAlign w:val="center"/>
          </w:tcPr>
          <w:p w14:paraId="40864E40">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7B74B34E">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470FB12B">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400CA5F3">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348484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03D3D3D8">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7072CA66">
            <w:pPr>
              <w:pStyle w:val="77"/>
              <w:keepNext w:val="0"/>
              <w:keepLines w:val="0"/>
              <w:suppressLineNumbers w:val="0"/>
              <w:spacing w:before="0" w:beforeAutospacing="0" w:after="0" w:afterAutospacing="0"/>
              <w:ind w:left="0" w:right="0"/>
              <w:rPr>
                <w:rFonts w:hint="default"/>
                <w:color w:val="auto"/>
              </w:rPr>
            </w:pPr>
            <w:r>
              <w:rPr>
                <w:rFonts w:hint="default"/>
                <w:color w:val="auto"/>
              </w:rPr>
              <w:t>硫化物</w:t>
            </w:r>
          </w:p>
        </w:tc>
        <w:tc>
          <w:tcPr>
            <w:tcW w:w="2685" w:type="dxa"/>
            <w:vAlign w:val="center"/>
          </w:tcPr>
          <w:p w14:paraId="7ECBAF73">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6716CD7B">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70D5C784">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5453F901">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4AE91B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5ADB832E">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32445866">
            <w:pPr>
              <w:pStyle w:val="77"/>
              <w:keepNext w:val="0"/>
              <w:keepLines w:val="0"/>
              <w:suppressLineNumbers w:val="0"/>
              <w:spacing w:before="0" w:beforeAutospacing="0" w:after="0" w:afterAutospacing="0"/>
              <w:ind w:left="0" w:right="0"/>
              <w:rPr>
                <w:rFonts w:hint="default"/>
                <w:color w:val="auto"/>
              </w:rPr>
            </w:pPr>
            <w:r>
              <w:rPr>
                <w:rFonts w:hint="default"/>
                <w:color w:val="auto"/>
              </w:rPr>
              <w:t>总硬度</w:t>
            </w:r>
          </w:p>
        </w:tc>
        <w:tc>
          <w:tcPr>
            <w:tcW w:w="2685" w:type="dxa"/>
            <w:vAlign w:val="center"/>
          </w:tcPr>
          <w:p w14:paraId="03000EFC">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344B896D">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50E3F710">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5489F0D6">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70748F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6BC87551">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04498E4E">
            <w:pPr>
              <w:pStyle w:val="77"/>
              <w:keepNext w:val="0"/>
              <w:keepLines w:val="0"/>
              <w:suppressLineNumbers w:val="0"/>
              <w:spacing w:before="0" w:beforeAutospacing="0" w:after="0" w:afterAutospacing="0"/>
              <w:ind w:left="0" w:right="0"/>
              <w:rPr>
                <w:rFonts w:hint="default"/>
                <w:color w:val="auto"/>
              </w:rPr>
            </w:pPr>
            <w:r>
              <w:rPr>
                <w:rFonts w:hint="default"/>
                <w:color w:val="auto"/>
              </w:rPr>
              <w:t>氨氮</w:t>
            </w:r>
          </w:p>
        </w:tc>
        <w:tc>
          <w:tcPr>
            <w:tcW w:w="2685" w:type="dxa"/>
            <w:vAlign w:val="center"/>
          </w:tcPr>
          <w:p w14:paraId="14E4ECC7">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2D5C48BD">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485F4836">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0A621963">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15CE03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42AA80D9">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221DD2AF">
            <w:pPr>
              <w:pStyle w:val="77"/>
              <w:keepNext w:val="0"/>
              <w:keepLines w:val="0"/>
              <w:suppressLineNumbers w:val="0"/>
              <w:spacing w:before="0" w:beforeAutospacing="0" w:after="0" w:afterAutospacing="0"/>
              <w:ind w:left="0" w:right="0"/>
              <w:rPr>
                <w:rFonts w:hint="default"/>
                <w:color w:val="auto"/>
              </w:rPr>
            </w:pPr>
            <w:r>
              <w:rPr>
                <w:rFonts w:hint="eastAsia"/>
                <w:color w:val="auto"/>
              </w:rPr>
              <w:t>高锰酸盐指数（以O</w:t>
            </w:r>
            <w:r>
              <w:rPr>
                <w:rFonts w:hint="eastAsia"/>
                <w:color w:val="auto"/>
                <w:vertAlign w:val="subscript"/>
              </w:rPr>
              <w:t>2</w:t>
            </w:r>
            <w:r>
              <w:rPr>
                <w:rFonts w:hint="eastAsia"/>
                <w:color w:val="auto"/>
              </w:rPr>
              <w:t>计）</w:t>
            </w:r>
          </w:p>
        </w:tc>
        <w:tc>
          <w:tcPr>
            <w:tcW w:w="2685" w:type="dxa"/>
            <w:vAlign w:val="center"/>
          </w:tcPr>
          <w:p w14:paraId="6D2852D9">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3EFF2F6A">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5ECAD497">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264A91F4">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6CEF6B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1B59BE89">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5CEF4930">
            <w:pPr>
              <w:pStyle w:val="77"/>
              <w:keepNext w:val="0"/>
              <w:keepLines w:val="0"/>
              <w:suppressLineNumbers w:val="0"/>
              <w:spacing w:before="0" w:beforeAutospacing="0" w:after="0" w:afterAutospacing="0"/>
              <w:ind w:left="0" w:right="0"/>
              <w:rPr>
                <w:rFonts w:hint="default"/>
                <w:color w:val="auto"/>
              </w:rPr>
            </w:pPr>
            <w:r>
              <w:rPr>
                <w:rFonts w:hint="eastAsia"/>
                <w:color w:val="auto"/>
              </w:rPr>
              <w:t>铬（六价）</w:t>
            </w:r>
          </w:p>
        </w:tc>
        <w:tc>
          <w:tcPr>
            <w:tcW w:w="2685" w:type="dxa"/>
            <w:vAlign w:val="center"/>
          </w:tcPr>
          <w:p w14:paraId="62D791D9">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030322C1">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2A58EF53">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30E21940">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1D7753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37F8A011">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58218F01">
            <w:pPr>
              <w:pStyle w:val="77"/>
              <w:keepNext w:val="0"/>
              <w:keepLines w:val="0"/>
              <w:suppressLineNumbers w:val="0"/>
              <w:spacing w:before="0" w:beforeAutospacing="0" w:after="0" w:afterAutospacing="0"/>
              <w:ind w:left="0" w:right="0"/>
              <w:rPr>
                <w:rFonts w:hint="default"/>
                <w:color w:val="auto"/>
              </w:rPr>
            </w:pPr>
            <w:r>
              <w:rPr>
                <w:rFonts w:hint="eastAsia"/>
                <w:color w:val="auto"/>
              </w:rPr>
              <w:t>汞</w:t>
            </w:r>
          </w:p>
        </w:tc>
        <w:tc>
          <w:tcPr>
            <w:tcW w:w="2685" w:type="dxa"/>
            <w:vAlign w:val="center"/>
          </w:tcPr>
          <w:p w14:paraId="1A78099C">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0A155CE6">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70999202">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4E83483E">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4EAAFC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05CD510C">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30AAE066">
            <w:pPr>
              <w:pStyle w:val="77"/>
              <w:keepNext w:val="0"/>
              <w:keepLines w:val="0"/>
              <w:suppressLineNumbers w:val="0"/>
              <w:spacing w:before="0" w:beforeAutospacing="0" w:after="0" w:afterAutospacing="0"/>
              <w:ind w:left="0" w:right="0"/>
              <w:rPr>
                <w:rFonts w:hint="default"/>
                <w:color w:val="auto"/>
              </w:rPr>
            </w:pPr>
            <w:r>
              <w:rPr>
                <w:rFonts w:hint="eastAsia"/>
                <w:color w:val="auto"/>
              </w:rPr>
              <w:t>砷</w:t>
            </w:r>
          </w:p>
        </w:tc>
        <w:tc>
          <w:tcPr>
            <w:tcW w:w="2685" w:type="dxa"/>
            <w:vAlign w:val="center"/>
          </w:tcPr>
          <w:p w14:paraId="266F74E2">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1CE3D50D">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6B710A1E">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6A9E1C27">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1291F4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10AE4F61">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0A27ED9F">
            <w:pPr>
              <w:pStyle w:val="77"/>
              <w:keepNext w:val="0"/>
              <w:keepLines w:val="0"/>
              <w:suppressLineNumbers w:val="0"/>
              <w:spacing w:before="0" w:beforeAutospacing="0" w:after="0" w:afterAutospacing="0"/>
              <w:ind w:left="0" w:right="0"/>
              <w:rPr>
                <w:rFonts w:hint="default"/>
                <w:color w:val="auto"/>
              </w:rPr>
            </w:pPr>
            <w:r>
              <w:rPr>
                <w:rFonts w:hint="eastAsia"/>
                <w:color w:val="auto"/>
              </w:rPr>
              <w:t>氰化物</w:t>
            </w:r>
          </w:p>
        </w:tc>
        <w:tc>
          <w:tcPr>
            <w:tcW w:w="2685" w:type="dxa"/>
            <w:vAlign w:val="center"/>
          </w:tcPr>
          <w:p w14:paraId="38D394C6">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27FF499F">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07B81C80">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3D2A15C5">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6C3C29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044C1CCC">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76F96691">
            <w:pPr>
              <w:pStyle w:val="77"/>
              <w:keepNext w:val="0"/>
              <w:keepLines w:val="0"/>
              <w:suppressLineNumbers w:val="0"/>
              <w:spacing w:before="0" w:beforeAutospacing="0" w:after="0" w:afterAutospacing="0"/>
              <w:ind w:left="0" w:right="0"/>
              <w:rPr>
                <w:rFonts w:hint="default"/>
                <w:color w:val="auto"/>
              </w:rPr>
            </w:pPr>
            <w:r>
              <w:rPr>
                <w:rFonts w:hint="default"/>
                <w:color w:val="auto"/>
              </w:rPr>
              <w:t>SO</w:t>
            </w:r>
            <w:r>
              <w:rPr>
                <w:rFonts w:hint="default"/>
                <w:color w:val="auto"/>
                <w:vertAlign w:val="subscript"/>
              </w:rPr>
              <w:t>4</w:t>
            </w:r>
            <w:r>
              <w:rPr>
                <w:rFonts w:hint="default"/>
                <w:color w:val="auto"/>
                <w:vertAlign w:val="superscript"/>
              </w:rPr>
              <w:t>2-</w:t>
            </w:r>
          </w:p>
        </w:tc>
        <w:tc>
          <w:tcPr>
            <w:tcW w:w="2685" w:type="dxa"/>
            <w:vAlign w:val="center"/>
          </w:tcPr>
          <w:p w14:paraId="58E0CC2C">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4305ABCB">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4B9C7598">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4C5822CE">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327314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5B1D808E">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15D9C000">
            <w:pPr>
              <w:pStyle w:val="77"/>
              <w:keepNext w:val="0"/>
              <w:keepLines w:val="0"/>
              <w:suppressLineNumbers w:val="0"/>
              <w:spacing w:before="0" w:beforeAutospacing="0" w:after="0" w:afterAutospacing="0"/>
              <w:ind w:left="0" w:right="0"/>
              <w:rPr>
                <w:rFonts w:hint="default"/>
                <w:color w:val="auto"/>
              </w:rPr>
            </w:pPr>
            <w:r>
              <w:rPr>
                <w:rFonts w:hint="default"/>
                <w:color w:val="auto"/>
              </w:rPr>
              <w:t>Cl</w:t>
            </w:r>
            <w:r>
              <w:rPr>
                <w:rFonts w:hint="default"/>
                <w:color w:val="auto"/>
                <w:vertAlign w:val="superscript"/>
              </w:rPr>
              <w:t>-</w:t>
            </w:r>
          </w:p>
        </w:tc>
        <w:tc>
          <w:tcPr>
            <w:tcW w:w="2685" w:type="dxa"/>
            <w:vAlign w:val="center"/>
          </w:tcPr>
          <w:p w14:paraId="5DA76F81">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7B6D87D8">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34015D75">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336B323D">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088D8F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03EF9AEA">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1A16A6FA">
            <w:pPr>
              <w:pStyle w:val="77"/>
              <w:keepNext w:val="0"/>
              <w:keepLines w:val="0"/>
              <w:suppressLineNumbers w:val="0"/>
              <w:spacing w:before="0" w:beforeAutospacing="0" w:after="0" w:afterAutospacing="0"/>
              <w:ind w:left="0" w:right="0"/>
              <w:rPr>
                <w:rFonts w:hint="default"/>
                <w:color w:val="auto"/>
              </w:rPr>
            </w:pPr>
            <w:r>
              <w:rPr>
                <w:rFonts w:hint="default"/>
                <w:color w:val="auto"/>
              </w:rPr>
              <w:t>NO</w:t>
            </w:r>
            <w:r>
              <w:rPr>
                <w:rFonts w:hint="default"/>
                <w:color w:val="auto"/>
                <w:vertAlign w:val="subscript"/>
              </w:rPr>
              <w:t>3</w:t>
            </w:r>
            <w:r>
              <w:rPr>
                <w:rFonts w:hint="default"/>
                <w:color w:val="auto"/>
                <w:vertAlign w:val="superscript"/>
              </w:rPr>
              <w:t>-</w:t>
            </w:r>
          </w:p>
        </w:tc>
        <w:tc>
          <w:tcPr>
            <w:tcW w:w="2685" w:type="dxa"/>
            <w:vAlign w:val="center"/>
          </w:tcPr>
          <w:p w14:paraId="72107F7D">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7DF7C0DD">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24AED234">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61C2C85D">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509A27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39D344AE">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78FE956F">
            <w:pPr>
              <w:pStyle w:val="77"/>
              <w:keepNext w:val="0"/>
              <w:keepLines w:val="0"/>
              <w:suppressLineNumbers w:val="0"/>
              <w:spacing w:before="0" w:beforeAutospacing="0" w:after="0" w:afterAutospacing="0"/>
              <w:ind w:left="0" w:right="0"/>
              <w:rPr>
                <w:rFonts w:hint="default"/>
                <w:color w:val="auto"/>
              </w:rPr>
            </w:pPr>
            <w:r>
              <w:rPr>
                <w:rFonts w:hint="default"/>
                <w:color w:val="auto"/>
              </w:rPr>
              <w:t>NO</w:t>
            </w:r>
            <w:r>
              <w:rPr>
                <w:rFonts w:hint="default"/>
                <w:color w:val="auto"/>
                <w:vertAlign w:val="subscript"/>
              </w:rPr>
              <w:t>2</w:t>
            </w:r>
            <w:r>
              <w:rPr>
                <w:rFonts w:hint="default"/>
                <w:color w:val="auto"/>
                <w:vertAlign w:val="superscript"/>
              </w:rPr>
              <w:t>-</w:t>
            </w:r>
          </w:p>
        </w:tc>
        <w:tc>
          <w:tcPr>
            <w:tcW w:w="2685" w:type="dxa"/>
            <w:vAlign w:val="center"/>
          </w:tcPr>
          <w:p w14:paraId="59B7B570">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77B87C1A">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7B7DD94B">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26060929">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4C78C4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44EC8598">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40CE0098">
            <w:pPr>
              <w:pStyle w:val="77"/>
              <w:keepNext w:val="0"/>
              <w:keepLines w:val="0"/>
              <w:suppressLineNumbers w:val="0"/>
              <w:spacing w:before="0" w:beforeAutospacing="0" w:after="0" w:afterAutospacing="0"/>
              <w:ind w:left="0" w:right="0"/>
              <w:rPr>
                <w:rFonts w:hint="default"/>
                <w:color w:val="auto"/>
              </w:rPr>
            </w:pPr>
            <w:r>
              <w:rPr>
                <w:rFonts w:hint="default"/>
                <w:color w:val="auto"/>
              </w:rPr>
              <w:t>F</w:t>
            </w:r>
            <w:r>
              <w:rPr>
                <w:rFonts w:hint="default"/>
                <w:color w:val="auto"/>
                <w:vertAlign w:val="superscript"/>
              </w:rPr>
              <w:t>-</w:t>
            </w:r>
          </w:p>
        </w:tc>
        <w:tc>
          <w:tcPr>
            <w:tcW w:w="2685" w:type="dxa"/>
            <w:vAlign w:val="center"/>
          </w:tcPr>
          <w:p w14:paraId="39F9A208">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38C9EC71">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3580753B">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1C1E2B88">
            <w:pPr>
              <w:pStyle w:val="77"/>
              <w:keepNext w:val="0"/>
              <w:keepLines w:val="0"/>
              <w:suppressLineNumbers w:val="0"/>
              <w:spacing w:before="0" w:beforeAutospacing="0" w:after="0" w:afterAutospacing="0"/>
              <w:ind w:left="0" w:right="0"/>
              <w:rPr>
                <w:rFonts w:hint="default"/>
                <w:color w:val="auto"/>
              </w:rPr>
            </w:pPr>
            <w:r>
              <w:rPr>
                <w:rFonts w:hint="default"/>
                <w:color w:val="auto"/>
              </w:rPr>
              <w:t>否</w:t>
            </w:r>
          </w:p>
        </w:tc>
      </w:tr>
      <w:tr w14:paraId="7B20A8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502079AD">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08E8B4B9">
            <w:pPr>
              <w:pStyle w:val="77"/>
              <w:keepNext w:val="0"/>
              <w:keepLines w:val="0"/>
              <w:suppressLineNumbers w:val="0"/>
              <w:spacing w:before="0" w:beforeAutospacing="0" w:after="0" w:afterAutospacing="0"/>
              <w:ind w:left="0" w:right="0"/>
              <w:rPr>
                <w:rFonts w:hint="default"/>
                <w:color w:val="auto"/>
              </w:rPr>
            </w:pPr>
            <w:r>
              <w:rPr>
                <w:rFonts w:hint="default"/>
                <w:color w:val="auto"/>
              </w:rPr>
              <w:t>溶解性总固体</w:t>
            </w:r>
          </w:p>
        </w:tc>
        <w:tc>
          <w:tcPr>
            <w:tcW w:w="2685" w:type="dxa"/>
            <w:vAlign w:val="center"/>
          </w:tcPr>
          <w:p w14:paraId="6269CCA3">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0FDC623C">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14B1432F">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6F6B1C11">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r w14:paraId="76A465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jc w:val="center"/>
        </w:trPr>
        <w:tc>
          <w:tcPr>
            <w:tcW w:w="986" w:type="dxa"/>
            <w:vMerge w:val="continue"/>
            <w:vAlign w:val="center"/>
          </w:tcPr>
          <w:p w14:paraId="2EF28E25">
            <w:pPr>
              <w:pStyle w:val="77"/>
              <w:keepNext w:val="0"/>
              <w:keepLines w:val="0"/>
              <w:suppressLineNumbers w:val="0"/>
              <w:spacing w:before="0" w:beforeAutospacing="0" w:after="0" w:afterAutospacing="0"/>
              <w:ind w:left="0" w:right="0"/>
              <w:rPr>
                <w:rFonts w:hint="default"/>
                <w:color w:val="auto"/>
              </w:rPr>
            </w:pPr>
          </w:p>
        </w:tc>
        <w:tc>
          <w:tcPr>
            <w:tcW w:w="1701" w:type="dxa"/>
            <w:vAlign w:val="center"/>
          </w:tcPr>
          <w:p w14:paraId="2A43F0F1">
            <w:pPr>
              <w:pStyle w:val="77"/>
              <w:keepNext w:val="0"/>
              <w:keepLines w:val="0"/>
              <w:suppressLineNumbers w:val="0"/>
              <w:spacing w:before="0" w:beforeAutospacing="0" w:after="0" w:afterAutospacing="0"/>
              <w:ind w:left="0" w:right="0"/>
              <w:rPr>
                <w:rFonts w:hint="default"/>
                <w:color w:val="auto"/>
              </w:rPr>
            </w:pPr>
            <w:r>
              <w:rPr>
                <w:rFonts w:hint="eastAsia"/>
                <w:color w:val="auto"/>
              </w:rPr>
              <w:t>挥发酚</w:t>
            </w:r>
          </w:p>
        </w:tc>
        <w:tc>
          <w:tcPr>
            <w:tcW w:w="2685" w:type="dxa"/>
            <w:vAlign w:val="center"/>
          </w:tcPr>
          <w:p w14:paraId="0B7F1CAE">
            <w:pPr>
              <w:pStyle w:val="77"/>
              <w:keepNext w:val="0"/>
              <w:keepLines w:val="0"/>
              <w:suppressLineNumbers w:val="0"/>
              <w:spacing w:before="0" w:beforeAutospacing="0" w:after="0" w:afterAutospacing="0"/>
              <w:ind w:left="0" w:right="0"/>
              <w:rPr>
                <w:rFonts w:hint="default"/>
                <w:color w:val="auto"/>
              </w:rPr>
            </w:pPr>
          </w:p>
        </w:tc>
        <w:tc>
          <w:tcPr>
            <w:tcW w:w="1134" w:type="dxa"/>
            <w:vAlign w:val="center"/>
          </w:tcPr>
          <w:p w14:paraId="267BEB7F">
            <w:pPr>
              <w:pStyle w:val="77"/>
              <w:keepNext w:val="0"/>
              <w:keepLines w:val="0"/>
              <w:suppressLineNumbers w:val="0"/>
              <w:spacing w:before="0" w:beforeAutospacing="0" w:after="0" w:afterAutospacing="0"/>
              <w:ind w:left="0" w:right="0"/>
              <w:rPr>
                <w:rFonts w:hint="default"/>
                <w:color w:val="auto"/>
              </w:rPr>
            </w:pPr>
          </w:p>
        </w:tc>
        <w:tc>
          <w:tcPr>
            <w:tcW w:w="992" w:type="dxa"/>
            <w:vAlign w:val="center"/>
          </w:tcPr>
          <w:p w14:paraId="7B062805">
            <w:pPr>
              <w:pStyle w:val="77"/>
              <w:keepNext w:val="0"/>
              <w:keepLines w:val="0"/>
              <w:suppressLineNumbers w:val="0"/>
              <w:spacing w:before="0" w:beforeAutospacing="0" w:after="0" w:afterAutospacing="0"/>
              <w:ind w:left="0" w:right="0"/>
              <w:rPr>
                <w:rFonts w:hint="default"/>
                <w:color w:val="auto"/>
              </w:rPr>
            </w:pPr>
          </w:p>
        </w:tc>
        <w:tc>
          <w:tcPr>
            <w:tcW w:w="1315" w:type="dxa"/>
            <w:vAlign w:val="center"/>
          </w:tcPr>
          <w:p w14:paraId="363A538F">
            <w:pPr>
              <w:pStyle w:val="77"/>
              <w:keepNext w:val="0"/>
              <w:keepLines w:val="0"/>
              <w:suppressLineNumbers w:val="0"/>
              <w:spacing w:before="0" w:beforeAutospacing="0" w:after="0" w:afterAutospacing="0"/>
              <w:ind w:left="0" w:right="0"/>
              <w:rPr>
                <w:rFonts w:hint="default"/>
                <w:color w:val="auto"/>
              </w:rPr>
            </w:pPr>
            <w:r>
              <w:rPr>
                <w:rFonts w:hint="default"/>
                <w:color w:val="auto"/>
              </w:rPr>
              <w:t>是</w:t>
            </w:r>
          </w:p>
        </w:tc>
      </w:tr>
    </w:tbl>
    <w:p w14:paraId="1BDC5CD6">
      <w:pPr>
        <w:widowControl/>
        <w:adjustRightInd w:val="0"/>
        <w:snapToGrid w:val="0"/>
        <w:spacing w:line="0" w:lineRule="atLeast"/>
        <w:ind w:firstLine="0" w:firstLineChars="0"/>
        <w:jc w:val="center"/>
        <w:rPr>
          <w:color w:val="auto"/>
          <w:sz w:val="21"/>
          <w:szCs w:val="21"/>
          <w:lang w:val="zh-CN"/>
        </w:rPr>
        <w:sectPr>
          <w:headerReference r:id="rId21" w:type="default"/>
          <w:pgSz w:w="11906" w:h="16838"/>
          <w:pgMar w:top="1412" w:right="1134" w:bottom="1412" w:left="1418" w:header="720" w:footer="720" w:gutter="0"/>
          <w:cols w:space="720" w:num="1"/>
        </w:sectPr>
      </w:pPr>
    </w:p>
    <w:p w14:paraId="6FE234D0">
      <w:pPr>
        <w:widowControl/>
        <w:adjustRightInd w:val="0"/>
        <w:snapToGrid w:val="0"/>
        <w:spacing w:line="0" w:lineRule="atLeast"/>
        <w:ind w:firstLine="0" w:firstLineChars="0"/>
        <w:jc w:val="center"/>
        <w:rPr>
          <w:color w:val="auto"/>
          <w:sz w:val="21"/>
          <w:szCs w:val="21"/>
          <w:lang w:val="zh-CN"/>
        </w:rPr>
      </w:pPr>
    </w:p>
    <w:p w14:paraId="5410FCCF">
      <w:pPr>
        <w:pStyle w:val="14"/>
        <w:rPr>
          <w:color w:val="auto"/>
          <w:szCs w:val="21"/>
          <w:lang w:val="zh-CN"/>
        </w:rPr>
      </w:pPr>
      <w:r>
        <w:rPr>
          <w:rFonts w:hint="eastAsia"/>
          <w:color w:val="auto"/>
        </w:rPr>
        <w:t>表</w:t>
      </w:r>
      <w:r>
        <w:rPr>
          <w:color w:val="auto"/>
        </w:rPr>
        <w:t>3.4</w:t>
      </w:r>
      <w:r>
        <w:rPr>
          <w:color w:val="auto"/>
        </w:rPr>
        <w:noBreakHyphen/>
      </w:r>
      <w:r>
        <w:rPr>
          <w:color w:val="auto"/>
        </w:rPr>
        <w:t>4</w:t>
      </w:r>
      <w:r>
        <w:rPr>
          <w:rFonts w:hint="eastAsia"/>
          <w:color w:val="auto"/>
        </w:rPr>
        <w:t>地下水水质调查与评价结果（单位：mg/L，pH除外）</w:t>
      </w:r>
    </w:p>
    <w:tbl>
      <w:tblPr>
        <w:tblStyle w:val="43"/>
        <w:tblW w:w="1359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1" w:type="dxa"/>
          <w:bottom w:w="0" w:type="dxa"/>
          <w:right w:w="51" w:type="dxa"/>
        </w:tblCellMar>
      </w:tblPr>
      <w:tblGrid>
        <w:gridCol w:w="1701"/>
        <w:gridCol w:w="1261"/>
        <w:gridCol w:w="1276"/>
        <w:gridCol w:w="992"/>
        <w:gridCol w:w="1134"/>
        <w:gridCol w:w="992"/>
        <w:gridCol w:w="1134"/>
        <w:gridCol w:w="709"/>
        <w:gridCol w:w="851"/>
        <w:gridCol w:w="708"/>
        <w:gridCol w:w="10"/>
        <w:gridCol w:w="841"/>
        <w:gridCol w:w="567"/>
        <w:gridCol w:w="850"/>
        <w:gridCol w:w="567"/>
      </w:tblGrid>
      <w:tr w14:paraId="0C6B71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blHeader/>
          <w:jc w:val="center"/>
        </w:trPr>
        <w:tc>
          <w:tcPr>
            <w:tcW w:w="1701" w:type="dxa"/>
            <w:vMerge w:val="restart"/>
            <w:vAlign w:val="center"/>
          </w:tcPr>
          <w:p w14:paraId="2ABF64BF">
            <w:pPr>
              <w:pStyle w:val="167"/>
              <w:keepNext w:val="0"/>
              <w:keepLines w:val="0"/>
              <w:suppressLineNumbers w:val="0"/>
              <w:spacing w:before="0" w:beforeAutospacing="0" w:after="0" w:afterAutospacing="0"/>
              <w:ind w:right="0"/>
              <w:rPr>
                <w:rFonts w:hint="default"/>
                <w:b/>
                <w:color w:val="auto"/>
              </w:rPr>
            </w:pPr>
            <w:r>
              <w:rPr>
                <w:rFonts w:hint="default"/>
                <w:b/>
                <w:color w:val="auto"/>
              </w:rPr>
              <w:t>检测项目</w:t>
            </w:r>
          </w:p>
        </w:tc>
        <w:tc>
          <w:tcPr>
            <w:tcW w:w="4663" w:type="dxa"/>
            <w:gridSpan w:val="4"/>
            <w:vAlign w:val="center"/>
          </w:tcPr>
          <w:p w14:paraId="0B88BB2C">
            <w:pPr>
              <w:pStyle w:val="167"/>
              <w:keepNext w:val="0"/>
              <w:keepLines w:val="0"/>
              <w:suppressLineNumbers w:val="0"/>
              <w:spacing w:before="0" w:beforeAutospacing="0" w:after="0" w:afterAutospacing="0"/>
              <w:ind w:right="0"/>
              <w:rPr>
                <w:rFonts w:hint="default"/>
                <w:b/>
                <w:color w:val="auto"/>
              </w:rPr>
            </w:pPr>
            <w:r>
              <w:rPr>
                <w:rFonts w:hint="default"/>
                <w:b/>
                <w:color w:val="auto"/>
              </w:rPr>
              <w:t>检测点位及检测结果</w:t>
            </w:r>
          </w:p>
        </w:tc>
        <w:tc>
          <w:tcPr>
            <w:tcW w:w="992" w:type="dxa"/>
            <w:vMerge w:val="restart"/>
            <w:vAlign w:val="center"/>
          </w:tcPr>
          <w:p w14:paraId="17813AEA">
            <w:pPr>
              <w:pStyle w:val="167"/>
              <w:keepNext w:val="0"/>
              <w:keepLines w:val="0"/>
              <w:suppressLineNumbers w:val="0"/>
              <w:spacing w:before="0" w:beforeAutospacing="0" w:after="0" w:afterAutospacing="0"/>
              <w:ind w:right="0"/>
              <w:rPr>
                <w:rFonts w:hint="default"/>
                <w:b/>
                <w:color w:val="auto"/>
              </w:rPr>
            </w:pPr>
            <w:r>
              <w:rPr>
                <w:rFonts w:hint="default"/>
                <w:b/>
                <w:color w:val="auto"/>
              </w:rPr>
              <w:t>标准值</w:t>
            </w:r>
          </w:p>
        </w:tc>
        <w:tc>
          <w:tcPr>
            <w:tcW w:w="3412" w:type="dxa"/>
            <w:gridSpan w:val="5"/>
            <w:vAlign w:val="center"/>
          </w:tcPr>
          <w:p w14:paraId="53BDD1C3">
            <w:pPr>
              <w:pStyle w:val="167"/>
              <w:keepNext w:val="0"/>
              <w:keepLines w:val="0"/>
              <w:suppressLineNumbers w:val="0"/>
              <w:spacing w:before="0" w:beforeAutospacing="0" w:after="0" w:afterAutospacing="0"/>
              <w:ind w:right="0"/>
              <w:rPr>
                <w:rFonts w:hint="default"/>
                <w:b/>
                <w:color w:val="auto"/>
              </w:rPr>
            </w:pPr>
            <w:r>
              <w:rPr>
                <w:rFonts w:hint="default"/>
                <w:b/>
                <w:color w:val="auto"/>
              </w:rPr>
              <w:t>3#</w:t>
            </w:r>
          </w:p>
        </w:tc>
        <w:tc>
          <w:tcPr>
            <w:tcW w:w="2825" w:type="dxa"/>
            <w:gridSpan w:val="4"/>
          </w:tcPr>
          <w:p w14:paraId="34250CDE">
            <w:pPr>
              <w:pStyle w:val="167"/>
              <w:keepNext w:val="0"/>
              <w:keepLines w:val="0"/>
              <w:suppressLineNumbers w:val="0"/>
              <w:spacing w:before="0" w:beforeAutospacing="0" w:after="0" w:afterAutospacing="0"/>
              <w:ind w:right="0"/>
              <w:rPr>
                <w:rFonts w:hint="default"/>
                <w:b/>
                <w:color w:val="auto"/>
              </w:rPr>
            </w:pPr>
            <w:r>
              <w:rPr>
                <w:rFonts w:hint="default"/>
                <w:b/>
                <w:color w:val="auto"/>
              </w:rPr>
              <w:t>4#</w:t>
            </w:r>
          </w:p>
        </w:tc>
      </w:tr>
      <w:tr w14:paraId="0A5E62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47" w:hRule="atLeast"/>
          <w:tblHeader/>
          <w:jc w:val="center"/>
        </w:trPr>
        <w:tc>
          <w:tcPr>
            <w:tcW w:w="1701" w:type="dxa"/>
            <w:vMerge w:val="continue"/>
            <w:vAlign w:val="center"/>
          </w:tcPr>
          <w:p w14:paraId="10DF8F40">
            <w:pPr>
              <w:pStyle w:val="167"/>
              <w:keepNext w:val="0"/>
              <w:keepLines w:val="0"/>
              <w:suppressLineNumbers w:val="0"/>
              <w:spacing w:before="0" w:beforeAutospacing="0" w:after="0" w:afterAutospacing="0"/>
              <w:ind w:right="0"/>
              <w:rPr>
                <w:rFonts w:hint="default"/>
                <w:b/>
                <w:color w:val="auto"/>
              </w:rPr>
            </w:pPr>
          </w:p>
        </w:tc>
        <w:tc>
          <w:tcPr>
            <w:tcW w:w="2537" w:type="dxa"/>
            <w:gridSpan w:val="2"/>
            <w:vAlign w:val="center"/>
          </w:tcPr>
          <w:p w14:paraId="6B874DAF">
            <w:pPr>
              <w:pStyle w:val="167"/>
              <w:keepNext w:val="0"/>
              <w:keepLines w:val="0"/>
              <w:suppressLineNumbers w:val="0"/>
              <w:spacing w:before="0" w:beforeAutospacing="0" w:after="0" w:afterAutospacing="0"/>
              <w:ind w:right="0"/>
              <w:rPr>
                <w:rFonts w:hint="default"/>
                <w:b/>
                <w:color w:val="auto"/>
              </w:rPr>
            </w:pPr>
            <w:r>
              <w:rPr>
                <w:rFonts w:hint="default"/>
                <w:b/>
                <w:color w:val="auto"/>
              </w:rPr>
              <w:t>3#</w:t>
            </w:r>
          </w:p>
        </w:tc>
        <w:tc>
          <w:tcPr>
            <w:tcW w:w="2126" w:type="dxa"/>
            <w:gridSpan w:val="2"/>
            <w:vAlign w:val="center"/>
          </w:tcPr>
          <w:p w14:paraId="40BC1EB2">
            <w:pPr>
              <w:pStyle w:val="167"/>
              <w:keepNext w:val="0"/>
              <w:keepLines w:val="0"/>
              <w:suppressLineNumbers w:val="0"/>
              <w:spacing w:before="0" w:beforeAutospacing="0" w:after="0" w:afterAutospacing="0"/>
              <w:ind w:right="0"/>
              <w:rPr>
                <w:rFonts w:hint="default"/>
                <w:b/>
                <w:color w:val="auto"/>
              </w:rPr>
            </w:pPr>
            <w:r>
              <w:rPr>
                <w:rFonts w:hint="default"/>
                <w:b/>
                <w:color w:val="auto"/>
              </w:rPr>
              <w:t>4#</w:t>
            </w:r>
          </w:p>
        </w:tc>
        <w:tc>
          <w:tcPr>
            <w:tcW w:w="992" w:type="dxa"/>
            <w:vMerge w:val="continue"/>
            <w:vAlign w:val="center"/>
          </w:tcPr>
          <w:p w14:paraId="0BF270B4">
            <w:pPr>
              <w:pStyle w:val="167"/>
              <w:keepNext w:val="0"/>
              <w:keepLines w:val="0"/>
              <w:suppressLineNumbers w:val="0"/>
              <w:spacing w:before="0" w:beforeAutospacing="0" w:after="0" w:afterAutospacing="0"/>
              <w:ind w:right="0"/>
              <w:rPr>
                <w:rFonts w:hint="default"/>
                <w:b/>
                <w:color w:val="auto"/>
              </w:rPr>
            </w:pPr>
          </w:p>
        </w:tc>
        <w:tc>
          <w:tcPr>
            <w:tcW w:w="1134" w:type="dxa"/>
            <w:vMerge w:val="restart"/>
            <w:vAlign w:val="center"/>
          </w:tcPr>
          <w:p w14:paraId="6EDA5B4A">
            <w:pPr>
              <w:pStyle w:val="167"/>
              <w:keepNext w:val="0"/>
              <w:keepLines w:val="0"/>
              <w:suppressLineNumbers w:val="0"/>
              <w:spacing w:before="0" w:beforeAutospacing="0" w:after="0" w:afterAutospacing="0"/>
              <w:ind w:right="0"/>
              <w:rPr>
                <w:rFonts w:hint="default"/>
                <w:b/>
                <w:color w:val="auto"/>
              </w:rPr>
            </w:pPr>
            <w:r>
              <w:rPr>
                <w:rFonts w:hint="default"/>
                <w:b/>
                <w:color w:val="auto"/>
              </w:rPr>
              <w:t>P</w:t>
            </w:r>
            <w:r>
              <w:rPr>
                <w:rFonts w:hint="default"/>
                <w:b/>
                <w:color w:val="auto"/>
                <w:vertAlign w:val="subscript"/>
              </w:rPr>
              <w:t>i</w:t>
            </w:r>
          </w:p>
        </w:tc>
        <w:tc>
          <w:tcPr>
            <w:tcW w:w="709" w:type="dxa"/>
            <w:vMerge w:val="restart"/>
            <w:vAlign w:val="center"/>
          </w:tcPr>
          <w:p w14:paraId="49ED2509">
            <w:pPr>
              <w:pStyle w:val="167"/>
              <w:keepNext w:val="0"/>
              <w:keepLines w:val="0"/>
              <w:suppressLineNumbers w:val="0"/>
              <w:spacing w:before="0" w:beforeAutospacing="0" w:after="0" w:afterAutospacing="0"/>
              <w:ind w:right="0"/>
              <w:rPr>
                <w:rFonts w:hint="default"/>
                <w:b/>
                <w:color w:val="auto"/>
              </w:rPr>
            </w:pPr>
            <w:r>
              <w:rPr>
                <w:rFonts w:hint="default"/>
                <w:b/>
                <w:color w:val="auto"/>
              </w:rPr>
              <w:t>超标率</w:t>
            </w:r>
          </w:p>
        </w:tc>
        <w:tc>
          <w:tcPr>
            <w:tcW w:w="851" w:type="dxa"/>
            <w:vMerge w:val="restart"/>
            <w:vAlign w:val="center"/>
          </w:tcPr>
          <w:p w14:paraId="29B2AD8D">
            <w:pPr>
              <w:pStyle w:val="167"/>
              <w:keepNext w:val="0"/>
              <w:keepLines w:val="0"/>
              <w:suppressLineNumbers w:val="0"/>
              <w:spacing w:before="0" w:beforeAutospacing="0" w:after="0" w:afterAutospacing="0"/>
              <w:ind w:right="0"/>
              <w:rPr>
                <w:rFonts w:hint="default"/>
                <w:b/>
                <w:color w:val="auto"/>
              </w:rPr>
            </w:pPr>
            <w:r>
              <w:rPr>
                <w:rFonts w:hint="default"/>
                <w:b/>
                <w:color w:val="auto"/>
              </w:rPr>
              <w:t>最大超标倍数</w:t>
            </w:r>
          </w:p>
        </w:tc>
        <w:tc>
          <w:tcPr>
            <w:tcW w:w="708" w:type="dxa"/>
            <w:vMerge w:val="restart"/>
            <w:vAlign w:val="center"/>
          </w:tcPr>
          <w:p w14:paraId="46B8C78C">
            <w:pPr>
              <w:pStyle w:val="167"/>
              <w:keepNext w:val="0"/>
              <w:keepLines w:val="0"/>
              <w:suppressLineNumbers w:val="0"/>
              <w:spacing w:before="0" w:beforeAutospacing="0" w:after="0" w:afterAutospacing="0"/>
              <w:ind w:right="0"/>
              <w:rPr>
                <w:rFonts w:hint="default"/>
                <w:b/>
                <w:color w:val="auto"/>
              </w:rPr>
            </w:pPr>
            <w:r>
              <w:rPr>
                <w:rFonts w:hint="default"/>
                <w:b/>
                <w:color w:val="auto"/>
              </w:rPr>
              <w:t>是否达标</w:t>
            </w:r>
          </w:p>
        </w:tc>
        <w:tc>
          <w:tcPr>
            <w:tcW w:w="851" w:type="dxa"/>
            <w:gridSpan w:val="2"/>
            <w:vMerge w:val="restart"/>
            <w:vAlign w:val="center"/>
          </w:tcPr>
          <w:p w14:paraId="39CC3115">
            <w:pPr>
              <w:pStyle w:val="167"/>
              <w:keepNext w:val="0"/>
              <w:keepLines w:val="0"/>
              <w:suppressLineNumbers w:val="0"/>
              <w:spacing w:before="0" w:beforeAutospacing="0" w:after="0" w:afterAutospacing="0"/>
              <w:ind w:right="0"/>
              <w:rPr>
                <w:rFonts w:hint="default"/>
                <w:b/>
                <w:color w:val="auto"/>
              </w:rPr>
            </w:pPr>
            <w:r>
              <w:rPr>
                <w:rFonts w:hint="default"/>
                <w:b/>
                <w:color w:val="auto"/>
              </w:rPr>
              <w:t>P</w:t>
            </w:r>
            <w:r>
              <w:rPr>
                <w:rFonts w:hint="default"/>
                <w:b/>
                <w:color w:val="auto"/>
                <w:vertAlign w:val="subscript"/>
              </w:rPr>
              <w:t>i</w:t>
            </w:r>
          </w:p>
        </w:tc>
        <w:tc>
          <w:tcPr>
            <w:tcW w:w="567" w:type="dxa"/>
            <w:vMerge w:val="restart"/>
            <w:vAlign w:val="center"/>
          </w:tcPr>
          <w:p w14:paraId="6983C9B2">
            <w:pPr>
              <w:pStyle w:val="167"/>
              <w:keepNext w:val="0"/>
              <w:keepLines w:val="0"/>
              <w:suppressLineNumbers w:val="0"/>
              <w:spacing w:before="0" w:beforeAutospacing="0" w:after="0" w:afterAutospacing="0"/>
              <w:ind w:right="0"/>
              <w:rPr>
                <w:rFonts w:hint="default"/>
                <w:b/>
                <w:color w:val="auto"/>
              </w:rPr>
            </w:pPr>
            <w:r>
              <w:rPr>
                <w:rFonts w:hint="default"/>
                <w:b/>
                <w:color w:val="auto"/>
              </w:rPr>
              <w:t>超标率</w:t>
            </w:r>
          </w:p>
        </w:tc>
        <w:tc>
          <w:tcPr>
            <w:tcW w:w="850" w:type="dxa"/>
            <w:vMerge w:val="restart"/>
            <w:vAlign w:val="center"/>
          </w:tcPr>
          <w:p w14:paraId="7FDD8E0C">
            <w:pPr>
              <w:pStyle w:val="167"/>
              <w:keepNext w:val="0"/>
              <w:keepLines w:val="0"/>
              <w:suppressLineNumbers w:val="0"/>
              <w:spacing w:before="0" w:beforeAutospacing="0" w:after="0" w:afterAutospacing="0"/>
              <w:ind w:right="0"/>
              <w:rPr>
                <w:rFonts w:hint="default"/>
                <w:b/>
                <w:color w:val="auto"/>
              </w:rPr>
            </w:pPr>
            <w:r>
              <w:rPr>
                <w:rFonts w:hint="default"/>
                <w:b/>
                <w:color w:val="auto"/>
              </w:rPr>
              <w:t>最大超标倍数</w:t>
            </w:r>
          </w:p>
        </w:tc>
        <w:tc>
          <w:tcPr>
            <w:tcW w:w="567" w:type="dxa"/>
            <w:vMerge w:val="restart"/>
            <w:vAlign w:val="center"/>
          </w:tcPr>
          <w:p w14:paraId="719F6123">
            <w:pPr>
              <w:pStyle w:val="167"/>
              <w:keepNext w:val="0"/>
              <w:keepLines w:val="0"/>
              <w:suppressLineNumbers w:val="0"/>
              <w:spacing w:before="0" w:beforeAutospacing="0" w:after="0" w:afterAutospacing="0"/>
              <w:ind w:right="0"/>
              <w:rPr>
                <w:rFonts w:hint="default"/>
                <w:b/>
                <w:color w:val="auto"/>
              </w:rPr>
            </w:pPr>
            <w:r>
              <w:rPr>
                <w:rFonts w:hint="default"/>
                <w:b/>
                <w:color w:val="auto"/>
              </w:rPr>
              <w:t>是否达标</w:t>
            </w:r>
          </w:p>
        </w:tc>
      </w:tr>
      <w:tr w14:paraId="32CD4D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blHeader/>
          <w:jc w:val="center"/>
        </w:trPr>
        <w:tc>
          <w:tcPr>
            <w:tcW w:w="1701" w:type="dxa"/>
            <w:vMerge w:val="continue"/>
            <w:vAlign w:val="center"/>
          </w:tcPr>
          <w:p w14:paraId="61F36416">
            <w:pPr>
              <w:pStyle w:val="167"/>
              <w:keepNext w:val="0"/>
              <w:keepLines w:val="0"/>
              <w:suppressLineNumbers w:val="0"/>
              <w:spacing w:before="0" w:beforeAutospacing="0" w:after="0" w:afterAutospacing="0"/>
              <w:ind w:right="0"/>
              <w:rPr>
                <w:rFonts w:hint="default"/>
                <w:color w:val="auto"/>
              </w:rPr>
            </w:pPr>
          </w:p>
        </w:tc>
        <w:tc>
          <w:tcPr>
            <w:tcW w:w="1261" w:type="dxa"/>
            <w:vAlign w:val="center"/>
          </w:tcPr>
          <w:p w14:paraId="5153946E">
            <w:pPr>
              <w:pStyle w:val="167"/>
              <w:keepNext w:val="0"/>
              <w:keepLines w:val="0"/>
              <w:suppressLineNumbers w:val="0"/>
              <w:spacing w:before="0" w:beforeAutospacing="0" w:after="0" w:afterAutospacing="0"/>
              <w:ind w:right="0"/>
              <w:rPr>
                <w:rFonts w:hint="default"/>
                <w:b/>
                <w:color w:val="auto"/>
              </w:rPr>
            </w:pPr>
            <w:r>
              <w:rPr>
                <w:rFonts w:hint="default"/>
                <w:b/>
                <w:color w:val="auto"/>
              </w:rPr>
              <w:t>2026.1.28</w:t>
            </w:r>
          </w:p>
        </w:tc>
        <w:tc>
          <w:tcPr>
            <w:tcW w:w="1276" w:type="dxa"/>
            <w:vAlign w:val="center"/>
          </w:tcPr>
          <w:p w14:paraId="0E722425">
            <w:pPr>
              <w:pStyle w:val="167"/>
              <w:keepNext w:val="0"/>
              <w:keepLines w:val="0"/>
              <w:suppressLineNumbers w:val="0"/>
              <w:spacing w:before="0" w:beforeAutospacing="0" w:after="0" w:afterAutospacing="0"/>
              <w:ind w:right="0"/>
              <w:rPr>
                <w:rFonts w:hint="default"/>
                <w:b/>
                <w:color w:val="auto"/>
              </w:rPr>
            </w:pPr>
            <w:r>
              <w:rPr>
                <w:rFonts w:hint="default"/>
                <w:b/>
                <w:color w:val="auto"/>
              </w:rPr>
              <w:t>2026.1.29</w:t>
            </w:r>
          </w:p>
        </w:tc>
        <w:tc>
          <w:tcPr>
            <w:tcW w:w="992" w:type="dxa"/>
            <w:vAlign w:val="center"/>
          </w:tcPr>
          <w:p w14:paraId="4BE14D4C">
            <w:pPr>
              <w:pStyle w:val="167"/>
              <w:keepNext w:val="0"/>
              <w:keepLines w:val="0"/>
              <w:suppressLineNumbers w:val="0"/>
              <w:spacing w:before="0" w:beforeAutospacing="0" w:after="0" w:afterAutospacing="0"/>
              <w:ind w:right="0"/>
              <w:rPr>
                <w:rFonts w:hint="default"/>
                <w:b/>
                <w:color w:val="auto"/>
              </w:rPr>
            </w:pPr>
            <w:r>
              <w:rPr>
                <w:rFonts w:hint="default"/>
                <w:b/>
                <w:color w:val="auto"/>
              </w:rPr>
              <w:t>2026.1.28</w:t>
            </w:r>
          </w:p>
        </w:tc>
        <w:tc>
          <w:tcPr>
            <w:tcW w:w="1134" w:type="dxa"/>
            <w:vAlign w:val="center"/>
          </w:tcPr>
          <w:p w14:paraId="1D5F3CBF">
            <w:pPr>
              <w:pStyle w:val="167"/>
              <w:keepNext w:val="0"/>
              <w:keepLines w:val="0"/>
              <w:suppressLineNumbers w:val="0"/>
              <w:spacing w:before="0" w:beforeAutospacing="0" w:after="0" w:afterAutospacing="0"/>
              <w:ind w:right="0"/>
              <w:rPr>
                <w:rFonts w:hint="default"/>
                <w:b/>
                <w:color w:val="auto"/>
              </w:rPr>
            </w:pPr>
            <w:r>
              <w:rPr>
                <w:rFonts w:hint="default"/>
                <w:b/>
                <w:color w:val="auto"/>
              </w:rPr>
              <w:t>2026.1.29</w:t>
            </w:r>
          </w:p>
        </w:tc>
        <w:tc>
          <w:tcPr>
            <w:tcW w:w="992" w:type="dxa"/>
            <w:vMerge w:val="continue"/>
            <w:vAlign w:val="center"/>
          </w:tcPr>
          <w:p w14:paraId="69AA2095">
            <w:pPr>
              <w:pStyle w:val="167"/>
              <w:keepNext w:val="0"/>
              <w:keepLines w:val="0"/>
              <w:suppressLineNumbers w:val="0"/>
              <w:spacing w:before="0" w:beforeAutospacing="0" w:after="0" w:afterAutospacing="0"/>
              <w:ind w:right="0"/>
              <w:rPr>
                <w:rFonts w:hint="default"/>
                <w:color w:val="auto"/>
              </w:rPr>
            </w:pPr>
          </w:p>
        </w:tc>
        <w:tc>
          <w:tcPr>
            <w:tcW w:w="1134" w:type="dxa"/>
            <w:vMerge w:val="continue"/>
            <w:vAlign w:val="center"/>
          </w:tcPr>
          <w:p w14:paraId="3EB0F2FC">
            <w:pPr>
              <w:pStyle w:val="167"/>
              <w:keepNext w:val="0"/>
              <w:keepLines w:val="0"/>
              <w:suppressLineNumbers w:val="0"/>
              <w:spacing w:before="0" w:beforeAutospacing="0" w:after="0" w:afterAutospacing="0"/>
              <w:ind w:right="0"/>
              <w:rPr>
                <w:rFonts w:hint="default"/>
                <w:color w:val="auto"/>
              </w:rPr>
            </w:pPr>
          </w:p>
        </w:tc>
        <w:tc>
          <w:tcPr>
            <w:tcW w:w="709" w:type="dxa"/>
            <w:vMerge w:val="continue"/>
            <w:vAlign w:val="center"/>
          </w:tcPr>
          <w:p w14:paraId="256674E1">
            <w:pPr>
              <w:pStyle w:val="167"/>
              <w:keepNext w:val="0"/>
              <w:keepLines w:val="0"/>
              <w:suppressLineNumbers w:val="0"/>
              <w:spacing w:before="0" w:beforeAutospacing="0" w:after="0" w:afterAutospacing="0"/>
              <w:ind w:right="0"/>
              <w:rPr>
                <w:rFonts w:hint="default"/>
                <w:color w:val="auto"/>
              </w:rPr>
            </w:pPr>
          </w:p>
        </w:tc>
        <w:tc>
          <w:tcPr>
            <w:tcW w:w="851" w:type="dxa"/>
            <w:vMerge w:val="continue"/>
            <w:vAlign w:val="center"/>
          </w:tcPr>
          <w:p w14:paraId="669EB294">
            <w:pPr>
              <w:pStyle w:val="167"/>
              <w:keepNext w:val="0"/>
              <w:keepLines w:val="0"/>
              <w:suppressLineNumbers w:val="0"/>
              <w:spacing w:before="0" w:beforeAutospacing="0" w:after="0" w:afterAutospacing="0"/>
              <w:ind w:right="0"/>
              <w:rPr>
                <w:rFonts w:hint="default"/>
                <w:color w:val="auto"/>
              </w:rPr>
            </w:pPr>
          </w:p>
        </w:tc>
        <w:tc>
          <w:tcPr>
            <w:tcW w:w="708" w:type="dxa"/>
            <w:vMerge w:val="continue"/>
            <w:vAlign w:val="center"/>
          </w:tcPr>
          <w:p w14:paraId="7135C59C">
            <w:pPr>
              <w:pStyle w:val="167"/>
              <w:keepNext w:val="0"/>
              <w:keepLines w:val="0"/>
              <w:suppressLineNumbers w:val="0"/>
              <w:spacing w:before="0" w:beforeAutospacing="0" w:after="0" w:afterAutospacing="0"/>
              <w:ind w:right="0"/>
              <w:rPr>
                <w:rFonts w:hint="default"/>
                <w:color w:val="auto"/>
              </w:rPr>
            </w:pPr>
          </w:p>
        </w:tc>
        <w:tc>
          <w:tcPr>
            <w:tcW w:w="851" w:type="dxa"/>
            <w:gridSpan w:val="2"/>
            <w:vMerge w:val="continue"/>
          </w:tcPr>
          <w:p w14:paraId="36EAD674">
            <w:pPr>
              <w:pStyle w:val="167"/>
              <w:keepNext w:val="0"/>
              <w:keepLines w:val="0"/>
              <w:suppressLineNumbers w:val="0"/>
              <w:spacing w:before="0" w:beforeAutospacing="0" w:after="0" w:afterAutospacing="0"/>
              <w:ind w:right="0"/>
              <w:rPr>
                <w:rFonts w:hint="default"/>
                <w:color w:val="auto"/>
              </w:rPr>
            </w:pPr>
          </w:p>
        </w:tc>
        <w:tc>
          <w:tcPr>
            <w:tcW w:w="567" w:type="dxa"/>
            <w:vMerge w:val="continue"/>
          </w:tcPr>
          <w:p w14:paraId="6A31DF74">
            <w:pPr>
              <w:pStyle w:val="167"/>
              <w:keepNext w:val="0"/>
              <w:keepLines w:val="0"/>
              <w:suppressLineNumbers w:val="0"/>
              <w:spacing w:before="0" w:beforeAutospacing="0" w:after="0" w:afterAutospacing="0"/>
              <w:ind w:right="0"/>
              <w:rPr>
                <w:rFonts w:hint="default"/>
                <w:color w:val="auto"/>
              </w:rPr>
            </w:pPr>
          </w:p>
        </w:tc>
        <w:tc>
          <w:tcPr>
            <w:tcW w:w="850" w:type="dxa"/>
            <w:vMerge w:val="continue"/>
          </w:tcPr>
          <w:p w14:paraId="165651A4">
            <w:pPr>
              <w:pStyle w:val="167"/>
              <w:keepNext w:val="0"/>
              <w:keepLines w:val="0"/>
              <w:suppressLineNumbers w:val="0"/>
              <w:spacing w:before="0" w:beforeAutospacing="0" w:after="0" w:afterAutospacing="0"/>
              <w:ind w:right="0"/>
              <w:rPr>
                <w:rFonts w:hint="default"/>
                <w:color w:val="auto"/>
              </w:rPr>
            </w:pPr>
          </w:p>
        </w:tc>
        <w:tc>
          <w:tcPr>
            <w:tcW w:w="567" w:type="dxa"/>
            <w:vMerge w:val="continue"/>
          </w:tcPr>
          <w:p w14:paraId="0886B4A8">
            <w:pPr>
              <w:pStyle w:val="167"/>
              <w:keepNext w:val="0"/>
              <w:keepLines w:val="0"/>
              <w:suppressLineNumbers w:val="0"/>
              <w:spacing w:before="0" w:beforeAutospacing="0" w:after="0" w:afterAutospacing="0"/>
              <w:ind w:right="0"/>
              <w:rPr>
                <w:rFonts w:hint="default"/>
                <w:color w:val="auto"/>
              </w:rPr>
            </w:pPr>
          </w:p>
        </w:tc>
      </w:tr>
      <w:tr w14:paraId="0CE153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092B90FF">
            <w:pPr>
              <w:pStyle w:val="167"/>
              <w:keepNext w:val="0"/>
              <w:keepLines w:val="0"/>
              <w:suppressLineNumbers w:val="0"/>
              <w:spacing w:before="0" w:beforeAutospacing="0" w:after="0" w:afterAutospacing="0"/>
              <w:ind w:right="0"/>
              <w:rPr>
                <w:rFonts w:hint="default"/>
                <w:color w:val="auto"/>
              </w:rPr>
            </w:pPr>
            <w:r>
              <w:rPr>
                <w:rFonts w:hint="default"/>
                <w:color w:val="auto"/>
              </w:rPr>
              <w:t>K</w:t>
            </w:r>
            <w:r>
              <w:rPr>
                <w:rFonts w:hint="default"/>
                <w:color w:val="auto"/>
                <w:vertAlign w:val="superscript"/>
              </w:rPr>
              <w:t>+</w:t>
            </w:r>
          </w:p>
        </w:tc>
        <w:tc>
          <w:tcPr>
            <w:tcW w:w="1261" w:type="dxa"/>
            <w:vAlign w:val="center"/>
          </w:tcPr>
          <w:p w14:paraId="6766317E">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5685AB14">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61010537">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7F31FED8">
            <w:pPr>
              <w:pStyle w:val="167"/>
              <w:keepNext w:val="0"/>
              <w:keepLines w:val="0"/>
              <w:suppressLineNumbers w:val="0"/>
              <w:spacing w:before="0" w:beforeAutospacing="0" w:after="0" w:afterAutospacing="0"/>
              <w:ind w:right="0"/>
              <w:rPr>
                <w:rFonts w:hint="default"/>
                <w:color w:val="auto"/>
              </w:rPr>
            </w:pPr>
          </w:p>
        </w:tc>
        <w:tc>
          <w:tcPr>
            <w:tcW w:w="992" w:type="dxa"/>
          </w:tcPr>
          <w:p w14:paraId="3C0AABF1">
            <w:pPr>
              <w:pStyle w:val="167"/>
              <w:keepNext w:val="0"/>
              <w:keepLines w:val="0"/>
              <w:suppressLineNumbers w:val="0"/>
              <w:spacing w:before="0" w:beforeAutospacing="0" w:after="0" w:afterAutospacing="0"/>
              <w:ind w:right="0"/>
              <w:rPr>
                <w:rFonts w:hint="default"/>
                <w:color w:val="auto"/>
              </w:rPr>
            </w:pPr>
          </w:p>
        </w:tc>
        <w:tc>
          <w:tcPr>
            <w:tcW w:w="1134" w:type="dxa"/>
          </w:tcPr>
          <w:p w14:paraId="0072FF9E">
            <w:pPr>
              <w:pStyle w:val="167"/>
              <w:keepNext w:val="0"/>
              <w:keepLines w:val="0"/>
              <w:suppressLineNumbers w:val="0"/>
              <w:spacing w:before="0" w:beforeAutospacing="0" w:after="0" w:afterAutospacing="0"/>
              <w:ind w:right="0"/>
              <w:rPr>
                <w:rFonts w:hint="default"/>
                <w:color w:val="auto"/>
              </w:rPr>
            </w:pPr>
          </w:p>
        </w:tc>
        <w:tc>
          <w:tcPr>
            <w:tcW w:w="709" w:type="dxa"/>
          </w:tcPr>
          <w:p w14:paraId="56C4F350">
            <w:pPr>
              <w:pStyle w:val="167"/>
              <w:keepNext w:val="0"/>
              <w:keepLines w:val="0"/>
              <w:suppressLineNumbers w:val="0"/>
              <w:spacing w:before="0" w:beforeAutospacing="0" w:after="0" w:afterAutospacing="0"/>
              <w:ind w:right="0"/>
              <w:rPr>
                <w:rFonts w:hint="default"/>
                <w:color w:val="auto"/>
              </w:rPr>
            </w:pPr>
          </w:p>
        </w:tc>
        <w:tc>
          <w:tcPr>
            <w:tcW w:w="851" w:type="dxa"/>
          </w:tcPr>
          <w:p w14:paraId="5CB736A1">
            <w:pPr>
              <w:pStyle w:val="167"/>
              <w:keepNext w:val="0"/>
              <w:keepLines w:val="0"/>
              <w:suppressLineNumbers w:val="0"/>
              <w:spacing w:before="0" w:beforeAutospacing="0" w:after="0" w:afterAutospacing="0"/>
              <w:ind w:right="0"/>
              <w:rPr>
                <w:rFonts w:hint="default"/>
                <w:color w:val="auto"/>
              </w:rPr>
            </w:pPr>
          </w:p>
        </w:tc>
        <w:tc>
          <w:tcPr>
            <w:tcW w:w="708" w:type="dxa"/>
          </w:tcPr>
          <w:p w14:paraId="7BB7995F">
            <w:pPr>
              <w:pStyle w:val="167"/>
              <w:keepNext w:val="0"/>
              <w:keepLines w:val="0"/>
              <w:suppressLineNumbers w:val="0"/>
              <w:spacing w:before="0" w:beforeAutospacing="0" w:after="0" w:afterAutospacing="0"/>
              <w:ind w:right="0"/>
              <w:rPr>
                <w:rFonts w:hint="default"/>
                <w:color w:val="auto"/>
              </w:rPr>
            </w:pPr>
          </w:p>
        </w:tc>
        <w:tc>
          <w:tcPr>
            <w:tcW w:w="851" w:type="dxa"/>
            <w:gridSpan w:val="2"/>
          </w:tcPr>
          <w:p w14:paraId="4D83DE60">
            <w:pPr>
              <w:pStyle w:val="167"/>
              <w:keepNext w:val="0"/>
              <w:keepLines w:val="0"/>
              <w:suppressLineNumbers w:val="0"/>
              <w:spacing w:before="0" w:beforeAutospacing="0" w:after="0" w:afterAutospacing="0"/>
              <w:ind w:right="0"/>
              <w:rPr>
                <w:rFonts w:hint="default"/>
                <w:color w:val="auto"/>
              </w:rPr>
            </w:pPr>
          </w:p>
        </w:tc>
        <w:tc>
          <w:tcPr>
            <w:tcW w:w="567" w:type="dxa"/>
          </w:tcPr>
          <w:p w14:paraId="56F6F54C">
            <w:pPr>
              <w:pStyle w:val="167"/>
              <w:keepNext w:val="0"/>
              <w:keepLines w:val="0"/>
              <w:suppressLineNumbers w:val="0"/>
              <w:spacing w:before="0" w:beforeAutospacing="0" w:after="0" w:afterAutospacing="0"/>
              <w:ind w:right="0"/>
              <w:rPr>
                <w:rFonts w:hint="default"/>
                <w:color w:val="auto"/>
              </w:rPr>
            </w:pPr>
          </w:p>
        </w:tc>
        <w:tc>
          <w:tcPr>
            <w:tcW w:w="850" w:type="dxa"/>
          </w:tcPr>
          <w:p w14:paraId="5B2D3814">
            <w:pPr>
              <w:pStyle w:val="167"/>
              <w:keepNext w:val="0"/>
              <w:keepLines w:val="0"/>
              <w:suppressLineNumbers w:val="0"/>
              <w:spacing w:before="0" w:beforeAutospacing="0" w:after="0" w:afterAutospacing="0"/>
              <w:ind w:right="0"/>
              <w:rPr>
                <w:rFonts w:hint="default"/>
                <w:color w:val="auto"/>
              </w:rPr>
            </w:pPr>
          </w:p>
        </w:tc>
        <w:tc>
          <w:tcPr>
            <w:tcW w:w="567" w:type="dxa"/>
          </w:tcPr>
          <w:p w14:paraId="70CD3E70">
            <w:pPr>
              <w:pStyle w:val="167"/>
              <w:keepNext w:val="0"/>
              <w:keepLines w:val="0"/>
              <w:suppressLineNumbers w:val="0"/>
              <w:spacing w:before="0" w:beforeAutospacing="0" w:after="0" w:afterAutospacing="0"/>
              <w:ind w:right="0"/>
              <w:rPr>
                <w:rFonts w:hint="default"/>
                <w:color w:val="auto"/>
              </w:rPr>
            </w:pPr>
          </w:p>
        </w:tc>
      </w:tr>
      <w:tr w14:paraId="7EEC6A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3B4BAA9D">
            <w:pPr>
              <w:pStyle w:val="167"/>
              <w:keepNext w:val="0"/>
              <w:keepLines w:val="0"/>
              <w:suppressLineNumbers w:val="0"/>
              <w:spacing w:before="0" w:beforeAutospacing="0" w:after="0" w:afterAutospacing="0"/>
              <w:ind w:right="0"/>
              <w:rPr>
                <w:rFonts w:hint="default"/>
                <w:color w:val="auto"/>
              </w:rPr>
            </w:pPr>
            <w:r>
              <w:rPr>
                <w:rFonts w:hint="default"/>
                <w:color w:val="auto"/>
              </w:rPr>
              <w:t>Na</w:t>
            </w:r>
            <w:r>
              <w:rPr>
                <w:rFonts w:hint="default"/>
                <w:color w:val="auto"/>
                <w:vertAlign w:val="superscript"/>
              </w:rPr>
              <w:t>+</w:t>
            </w:r>
          </w:p>
        </w:tc>
        <w:tc>
          <w:tcPr>
            <w:tcW w:w="1261" w:type="dxa"/>
            <w:vAlign w:val="center"/>
          </w:tcPr>
          <w:p w14:paraId="60DD0D38">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1B51026D">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0DD6C45A">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03375F61">
            <w:pPr>
              <w:pStyle w:val="167"/>
              <w:keepNext w:val="0"/>
              <w:keepLines w:val="0"/>
              <w:suppressLineNumbers w:val="0"/>
              <w:spacing w:before="0" w:beforeAutospacing="0" w:after="0" w:afterAutospacing="0"/>
              <w:ind w:right="0"/>
              <w:rPr>
                <w:rFonts w:hint="default"/>
                <w:color w:val="auto"/>
              </w:rPr>
            </w:pPr>
          </w:p>
        </w:tc>
        <w:tc>
          <w:tcPr>
            <w:tcW w:w="992" w:type="dxa"/>
          </w:tcPr>
          <w:p w14:paraId="7E52C5EE">
            <w:pPr>
              <w:pStyle w:val="167"/>
              <w:keepNext w:val="0"/>
              <w:keepLines w:val="0"/>
              <w:suppressLineNumbers w:val="0"/>
              <w:spacing w:before="0" w:beforeAutospacing="0" w:after="0" w:afterAutospacing="0"/>
              <w:ind w:right="0"/>
              <w:rPr>
                <w:rFonts w:hint="default"/>
                <w:color w:val="auto"/>
              </w:rPr>
            </w:pPr>
          </w:p>
        </w:tc>
        <w:tc>
          <w:tcPr>
            <w:tcW w:w="1134" w:type="dxa"/>
          </w:tcPr>
          <w:p w14:paraId="4880366C">
            <w:pPr>
              <w:pStyle w:val="167"/>
              <w:keepNext w:val="0"/>
              <w:keepLines w:val="0"/>
              <w:suppressLineNumbers w:val="0"/>
              <w:spacing w:before="0" w:beforeAutospacing="0" w:after="0" w:afterAutospacing="0"/>
              <w:ind w:right="0"/>
              <w:rPr>
                <w:rFonts w:hint="default"/>
                <w:color w:val="auto"/>
              </w:rPr>
            </w:pPr>
          </w:p>
        </w:tc>
        <w:tc>
          <w:tcPr>
            <w:tcW w:w="709" w:type="dxa"/>
          </w:tcPr>
          <w:p w14:paraId="79B49A7B">
            <w:pPr>
              <w:pStyle w:val="167"/>
              <w:keepNext w:val="0"/>
              <w:keepLines w:val="0"/>
              <w:suppressLineNumbers w:val="0"/>
              <w:spacing w:before="0" w:beforeAutospacing="0" w:after="0" w:afterAutospacing="0"/>
              <w:ind w:right="0"/>
              <w:rPr>
                <w:rFonts w:hint="default"/>
                <w:color w:val="auto"/>
              </w:rPr>
            </w:pPr>
          </w:p>
        </w:tc>
        <w:tc>
          <w:tcPr>
            <w:tcW w:w="851" w:type="dxa"/>
          </w:tcPr>
          <w:p w14:paraId="20976B4E">
            <w:pPr>
              <w:pStyle w:val="167"/>
              <w:keepNext w:val="0"/>
              <w:keepLines w:val="0"/>
              <w:suppressLineNumbers w:val="0"/>
              <w:spacing w:before="0" w:beforeAutospacing="0" w:after="0" w:afterAutospacing="0"/>
              <w:ind w:right="0"/>
              <w:rPr>
                <w:rFonts w:hint="default"/>
                <w:color w:val="auto"/>
              </w:rPr>
            </w:pPr>
          </w:p>
        </w:tc>
        <w:tc>
          <w:tcPr>
            <w:tcW w:w="708" w:type="dxa"/>
          </w:tcPr>
          <w:p w14:paraId="6BFC444F">
            <w:pPr>
              <w:pStyle w:val="167"/>
              <w:keepNext w:val="0"/>
              <w:keepLines w:val="0"/>
              <w:suppressLineNumbers w:val="0"/>
              <w:spacing w:before="0" w:beforeAutospacing="0" w:after="0" w:afterAutospacing="0"/>
              <w:ind w:right="0"/>
              <w:rPr>
                <w:rFonts w:hint="default"/>
                <w:color w:val="auto"/>
              </w:rPr>
            </w:pPr>
          </w:p>
        </w:tc>
        <w:tc>
          <w:tcPr>
            <w:tcW w:w="851" w:type="dxa"/>
            <w:gridSpan w:val="2"/>
          </w:tcPr>
          <w:p w14:paraId="47D574A6">
            <w:pPr>
              <w:pStyle w:val="167"/>
              <w:keepNext w:val="0"/>
              <w:keepLines w:val="0"/>
              <w:suppressLineNumbers w:val="0"/>
              <w:spacing w:before="0" w:beforeAutospacing="0" w:after="0" w:afterAutospacing="0"/>
              <w:ind w:right="0"/>
              <w:rPr>
                <w:rFonts w:hint="default"/>
                <w:color w:val="auto"/>
              </w:rPr>
            </w:pPr>
          </w:p>
        </w:tc>
        <w:tc>
          <w:tcPr>
            <w:tcW w:w="567" w:type="dxa"/>
          </w:tcPr>
          <w:p w14:paraId="62E8D826">
            <w:pPr>
              <w:pStyle w:val="167"/>
              <w:keepNext w:val="0"/>
              <w:keepLines w:val="0"/>
              <w:suppressLineNumbers w:val="0"/>
              <w:spacing w:before="0" w:beforeAutospacing="0" w:after="0" w:afterAutospacing="0"/>
              <w:ind w:right="0"/>
              <w:rPr>
                <w:rFonts w:hint="default"/>
                <w:color w:val="auto"/>
              </w:rPr>
            </w:pPr>
          </w:p>
        </w:tc>
        <w:tc>
          <w:tcPr>
            <w:tcW w:w="850" w:type="dxa"/>
          </w:tcPr>
          <w:p w14:paraId="19B90D76">
            <w:pPr>
              <w:pStyle w:val="167"/>
              <w:keepNext w:val="0"/>
              <w:keepLines w:val="0"/>
              <w:suppressLineNumbers w:val="0"/>
              <w:spacing w:before="0" w:beforeAutospacing="0" w:after="0" w:afterAutospacing="0"/>
              <w:ind w:right="0"/>
              <w:rPr>
                <w:rFonts w:hint="default"/>
                <w:color w:val="auto"/>
              </w:rPr>
            </w:pPr>
          </w:p>
        </w:tc>
        <w:tc>
          <w:tcPr>
            <w:tcW w:w="567" w:type="dxa"/>
          </w:tcPr>
          <w:p w14:paraId="6B4631AB">
            <w:pPr>
              <w:pStyle w:val="167"/>
              <w:keepNext w:val="0"/>
              <w:keepLines w:val="0"/>
              <w:suppressLineNumbers w:val="0"/>
              <w:spacing w:before="0" w:beforeAutospacing="0" w:after="0" w:afterAutospacing="0"/>
              <w:ind w:right="0"/>
              <w:rPr>
                <w:rFonts w:hint="default"/>
                <w:color w:val="auto"/>
              </w:rPr>
            </w:pPr>
          </w:p>
        </w:tc>
      </w:tr>
      <w:tr w14:paraId="31C0D2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4EAF4062">
            <w:pPr>
              <w:pStyle w:val="167"/>
              <w:keepNext w:val="0"/>
              <w:keepLines w:val="0"/>
              <w:suppressLineNumbers w:val="0"/>
              <w:spacing w:before="0" w:beforeAutospacing="0" w:after="0" w:afterAutospacing="0"/>
              <w:ind w:right="0"/>
              <w:rPr>
                <w:rFonts w:hint="default"/>
                <w:color w:val="auto"/>
              </w:rPr>
            </w:pPr>
            <w:r>
              <w:rPr>
                <w:rFonts w:hint="default"/>
                <w:color w:val="auto"/>
              </w:rPr>
              <w:t>Ca</w:t>
            </w:r>
            <w:r>
              <w:rPr>
                <w:rFonts w:hint="default"/>
                <w:color w:val="auto"/>
                <w:vertAlign w:val="superscript"/>
              </w:rPr>
              <w:t>2+</w:t>
            </w:r>
          </w:p>
        </w:tc>
        <w:tc>
          <w:tcPr>
            <w:tcW w:w="1261" w:type="dxa"/>
            <w:vAlign w:val="center"/>
          </w:tcPr>
          <w:p w14:paraId="3445E0D2">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77CE9D5F">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4C78317C">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3A0F3225">
            <w:pPr>
              <w:pStyle w:val="167"/>
              <w:keepNext w:val="0"/>
              <w:keepLines w:val="0"/>
              <w:suppressLineNumbers w:val="0"/>
              <w:spacing w:before="0" w:beforeAutospacing="0" w:after="0" w:afterAutospacing="0"/>
              <w:ind w:right="0"/>
              <w:rPr>
                <w:rFonts w:hint="default"/>
                <w:color w:val="auto"/>
              </w:rPr>
            </w:pPr>
          </w:p>
        </w:tc>
        <w:tc>
          <w:tcPr>
            <w:tcW w:w="992" w:type="dxa"/>
          </w:tcPr>
          <w:p w14:paraId="740395F2">
            <w:pPr>
              <w:pStyle w:val="167"/>
              <w:keepNext w:val="0"/>
              <w:keepLines w:val="0"/>
              <w:suppressLineNumbers w:val="0"/>
              <w:spacing w:before="0" w:beforeAutospacing="0" w:after="0" w:afterAutospacing="0"/>
              <w:ind w:right="0"/>
              <w:rPr>
                <w:rFonts w:hint="default"/>
                <w:color w:val="auto"/>
              </w:rPr>
            </w:pPr>
          </w:p>
        </w:tc>
        <w:tc>
          <w:tcPr>
            <w:tcW w:w="1134" w:type="dxa"/>
          </w:tcPr>
          <w:p w14:paraId="489C6351">
            <w:pPr>
              <w:pStyle w:val="167"/>
              <w:keepNext w:val="0"/>
              <w:keepLines w:val="0"/>
              <w:suppressLineNumbers w:val="0"/>
              <w:spacing w:before="0" w:beforeAutospacing="0" w:after="0" w:afterAutospacing="0"/>
              <w:ind w:right="0"/>
              <w:rPr>
                <w:rFonts w:hint="default"/>
                <w:color w:val="auto"/>
              </w:rPr>
            </w:pPr>
          </w:p>
        </w:tc>
        <w:tc>
          <w:tcPr>
            <w:tcW w:w="709" w:type="dxa"/>
          </w:tcPr>
          <w:p w14:paraId="329B04C0">
            <w:pPr>
              <w:pStyle w:val="167"/>
              <w:keepNext w:val="0"/>
              <w:keepLines w:val="0"/>
              <w:suppressLineNumbers w:val="0"/>
              <w:spacing w:before="0" w:beforeAutospacing="0" w:after="0" w:afterAutospacing="0"/>
              <w:ind w:right="0"/>
              <w:rPr>
                <w:rFonts w:hint="default"/>
                <w:color w:val="auto"/>
              </w:rPr>
            </w:pPr>
          </w:p>
        </w:tc>
        <w:tc>
          <w:tcPr>
            <w:tcW w:w="851" w:type="dxa"/>
          </w:tcPr>
          <w:p w14:paraId="001209ED">
            <w:pPr>
              <w:pStyle w:val="167"/>
              <w:keepNext w:val="0"/>
              <w:keepLines w:val="0"/>
              <w:suppressLineNumbers w:val="0"/>
              <w:spacing w:before="0" w:beforeAutospacing="0" w:after="0" w:afterAutospacing="0"/>
              <w:ind w:right="0"/>
              <w:rPr>
                <w:rFonts w:hint="default"/>
                <w:color w:val="auto"/>
              </w:rPr>
            </w:pPr>
          </w:p>
        </w:tc>
        <w:tc>
          <w:tcPr>
            <w:tcW w:w="708" w:type="dxa"/>
          </w:tcPr>
          <w:p w14:paraId="4F138A36">
            <w:pPr>
              <w:pStyle w:val="167"/>
              <w:keepNext w:val="0"/>
              <w:keepLines w:val="0"/>
              <w:suppressLineNumbers w:val="0"/>
              <w:spacing w:before="0" w:beforeAutospacing="0" w:after="0" w:afterAutospacing="0"/>
              <w:ind w:right="0"/>
              <w:rPr>
                <w:rFonts w:hint="default"/>
                <w:color w:val="auto"/>
              </w:rPr>
            </w:pPr>
          </w:p>
        </w:tc>
        <w:tc>
          <w:tcPr>
            <w:tcW w:w="851" w:type="dxa"/>
            <w:gridSpan w:val="2"/>
          </w:tcPr>
          <w:p w14:paraId="3BAA0D8A">
            <w:pPr>
              <w:pStyle w:val="167"/>
              <w:keepNext w:val="0"/>
              <w:keepLines w:val="0"/>
              <w:suppressLineNumbers w:val="0"/>
              <w:spacing w:before="0" w:beforeAutospacing="0" w:after="0" w:afterAutospacing="0"/>
              <w:ind w:right="0"/>
              <w:rPr>
                <w:rFonts w:hint="default"/>
                <w:color w:val="auto"/>
              </w:rPr>
            </w:pPr>
          </w:p>
        </w:tc>
        <w:tc>
          <w:tcPr>
            <w:tcW w:w="567" w:type="dxa"/>
          </w:tcPr>
          <w:p w14:paraId="05D63909">
            <w:pPr>
              <w:pStyle w:val="167"/>
              <w:keepNext w:val="0"/>
              <w:keepLines w:val="0"/>
              <w:suppressLineNumbers w:val="0"/>
              <w:spacing w:before="0" w:beforeAutospacing="0" w:after="0" w:afterAutospacing="0"/>
              <w:ind w:right="0"/>
              <w:rPr>
                <w:rFonts w:hint="default"/>
                <w:color w:val="auto"/>
              </w:rPr>
            </w:pPr>
          </w:p>
        </w:tc>
        <w:tc>
          <w:tcPr>
            <w:tcW w:w="850" w:type="dxa"/>
          </w:tcPr>
          <w:p w14:paraId="0656AFD7">
            <w:pPr>
              <w:pStyle w:val="167"/>
              <w:keepNext w:val="0"/>
              <w:keepLines w:val="0"/>
              <w:suppressLineNumbers w:val="0"/>
              <w:spacing w:before="0" w:beforeAutospacing="0" w:after="0" w:afterAutospacing="0"/>
              <w:ind w:right="0"/>
              <w:rPr>
                <w:rFonts w:hint="default"/>
                <w:color w:val="auto"/>
              </w:rPr>
            </w:pPr>
          </w:p>
        </w:tc>
        <w:tc>
          <w:tcPr>
            <w:tcW w:w="567" w:type="dxa"/>
          </w:tcPr>
          <w:p w14:paraId="46A48CF8">
            <w:pPr>
              <w:pStyle w:val="167"/>
              <w:keepNext w:val="0"/>
              <w:keepLines w:val="0"/>
              <w:suppressLineNumbers w:val="0"/>
              <w:spacing w:before="0" w:beforeAutospacing="0" w:after="0" w:afterAutospacing="0"/>
              <w:ind w:right="0"/>
              <w:rPr>
                <w:rFonts w:hint="default"/>
                <w:color w:val="auto"/>
              </w:rPr>
            </w:pPr>
          </w:p>
        </w:tc>
      </w:tr>
      <w:tr w14:paraId="12D734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4D6A5BDE">
            <w:pPr>
              <w:pStyle w:val="167"/>
              <w:keepNext w:val="0"/>
              <w:keepLines w:val="0"/>
              <w:suppressLineNumbers w:val="0"/>
              <w:spacing w:before="0" w:beforeAutospacing="0" w:after="0" w:afterAutospacing="0"/>
              <w:ind w:right="0"/>
              <w:rPr>
                <w:rFonts w:hint="default"/>
                <w:color w:val="auto"/>
              </w:rPr>
            </w:pPr>
            <w:r>
              <w:rPr>
                <w:rFonts w:hint="default"/>
                <w:color w:val="auto"/>
              </w:rPr>
              <w:t>Mg</w:t>
            </w:r>
            <w:r>
              <w:rPr>
                <w:rFonts w:hint="default"/>
                <w:color w:val="auto"/>
                <w:vertAlign w:val="superscript"/>
              </w:rPr>
              <w:t>2+</w:t>
            </w:r>
          </w:p>
        </w:tc>
        <w:tc>
          <w:tcPr>
            <w:tcW w:w="1261" w:type="dxa"/>
            <w:vAlign w:val="center"/>
          </w:tcPr>
          <w:p w14:paraId="04534372">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094F2031">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3B92BEFC">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07B59275">
            <w:pPr>
              <w:pStyle w:val="167"/>
              <w:keepNext w:val="0"/>
              <w:keepLines w:val="0"/>
              <w:suppressLineNumbers w:val="0"/>
              <w:spacing w:before="0" w:beforeAutospacing="0" w:after="0" w:afterAutospacing="0"/>
              <w:ind w:right="0"/>
              <w:rPr>
                <w:rFonts w:hint="default"/>
                <w:color w:val="auto"/>
              </w:rPr>
            </w:pPr>
          </w:p>
        </w:tc>
        <w:tc>
          <w:tcPr>
            <w:tcW w:w="992" w:type="dxa"/>
          </w:tcPr>
          <w:p w14:paraId="5BC03BDD">
            <w:pPr>
              <w:pStyle w:val="167"/>
              <w:keepNext w:val="0"/>
              <w:keepLines w:val="0"/>
              <w:suppressLineNumbers w:val="0"/>
              <w:spacing w:before="0" w:beforeAutospacing="0" w:after="0" w:afterAutospacing="0"/>
              <w:ind w:right="0"/>
              <w:rPr>
                <w:rFonts w:hint="default"/>
                <w:color w:val="auto"/>
              </w:rPr>
            </w:pPr>
          </w:p>
        </w:tc>
        <w:tc>
          <w:tcPr>
            <w:tcW w:w="1134" w:type="dxa"/>
          </w:tcPr>
          <w:p w14:paraId="78C57150">
            <w:pPr>
              <w:pStyle w:val="167"/>
              <w:keepNext w:val="0"/>
              <w:keepLines w:val="0"/>
              <w:suppressLineNumbers w:val="0"/>
              <w:spacing w:before="0" w:beforeAutospacing="0" w:after="0" w:afterAutospacing="0"/>
              <w:ind w:right="0"/>
              <w:rPr>
                <w:rFonts w:hint="default"/>
                <w:color w:val="auto"/>
              </w:rPr>
            </w:pPr>
          </w:p>
        </w:tc>
        <w:tc>
          <w:tcPr>
            <w:tcW w:w="709" w:type="dxa"/>
          </w:tcPr>
          <w:p w14:paraId="4998F6B5">
            <w:pPr>
              <w:pStyle w:val="167"/>
              <w:keepNext w:val="0"/>
              <w:keepLines w:val="0"/>
              <w:suppressLineNumbers w:val="0"/>
              <w:spacing w:before="0" w:beforeAutospacing="0" w:after="0" w:afterAutospacing="0"/>
              <w:ind w:right="0"/>
              <w:rPr>
                <w:rFonts w:hint="default"/>
                <w:color w:val="auto"/>
              </w:rPr>
            </w:pPr>
          </w:p>
        </w:tc>
        <w:tc>
          <w:tcPr>
            <w:tcW w:w="851" w:type="dxa"/>
          </w:tcPr>
          <w:p w14:paraId="0C3D6648">
            <w:pPr>
              <w:pStyle w:val="167"/>
              <w:keepNext w:val="0"/>
              <w:keepLines w:val="0"/>
              <w:suppressLineNumbers w:val="0"/>
              <w:spacing w:before="0" w:beforeAutospacing="0" w:after="0" w:afterAutospacing="0"/>
              <w:ind w:right="0"/>
              <w:rPr>
                <w:rFonts w:hint="default"/>
                <w:color w:val="auto"/>
              </w:rPr>
            </w:pPr>
          </w:p>
        </w:tc>
        <w:tc>
          <w:tcPr>
            <w:tcW w:w="708" w:type="dxa"/>
          </w:tcPr>
          <w:p w14:paraId="2A899A8B">
            <w:pPr>
              <w:pStyle w:val="167"/>
              <w:keepNext w:val="0"/>
              <w:keepLines w:val="0"/>
              <w:suppressLineNumbers w:val="0"/>
              <w:spacing w:before="0" w:beforeAutospacing="0" w:after="0" w:afterAutospacing="0"/>
              <w:ind w:right="0"/>
              <w:rPr>
                <w:rFonts w:hint="default"/>
                <w:color w:val="auto"/>
              </w:rPr>
            </w:pPr>
          </w:p>
        </w:tc>
        <w:tc>
          <w:tcPr>
            <w:tcW w:w="851" w:type="dxa"/>
            <w:gridSpan w:val="2"/>
          </w:tcPr>
          <w:p w14:paraId="7BFA9DC9">
            <w:pPr>
              <w:pStyle w:val="167"/>
              <w:keepNext w:val="0"/>
              <w:keepLines w:val="0"/>
              <w:suppressLineNumbers w:val="0"/>
              <w:spacing w:before="0" w:beforeAutospacing="0" w:after="0" w:afterAutospacing="0"/>
              <w:ind w:right="0"/>
              <w:rPr>
                <w:rFonts w:hint="default"/>
                <w:color w:val="auto"/>
              </w:rPr>
            </w:pPr>
          </w:p>
        </w:tc>
        <w:tc>
          <w:tcPr>
            <w:tcW w:w="567" w:type="dxa"/>
          </w:tcPr>
          <w:p w14:paraId="5884194F">
            <w:pPr>
              <w:pStyle w:val="167"/>
              <w:keepNext w:val="0"/>
              <w:keepLines w:val="0"/>
              <w:suppressLineNumbers w:val="0"/>
              <w:spacing w:before="0" w:beforeAutospacing="0" w:after="0" w:afterAutospacing="0"/>
              <w:ind w:right="0"/>
              <w:rPr>
                <w:rFonts w:hint="default"/>
                <w:color w:val="auto"/>
              </w:rPr>
            </w:pPr>
          </w:p>
        </w:tc>
        <w:tc>
          <w:tcPr>
            <w:tcW w:w="850" w:type="dxa"/>
          </w:tcPr>
          <w:p w14:paraId="5ECBDE1D">
            <w:pPr>
              <w:pStyle w:val="167"/>
              <w:keepNext w:val="0"/>
              <w:keepLines w:val="0"/>
              <w:suppressLineNumbers w:val="0"/>
              <w:spacing w:before="0" w:beforeAutospacing="0" w:after="0" w:afterAutospacing="0"/>
              <w:ind w:right="0"/>
              <w:rPr>
                <w:rFonts w:hint="default"/>
                <w:color w:val="auto"/>
              </w:rPr>
            </w:pPr>
          </w:p>
        </w:tc>
        <w:tc>
          <w:tcPr>
            <w:tcW w:w="567" w:type="dxa"/>
          </w:tcPr>
          <w:p w14:paraId="4E14E663">
            <w:pPr>
              <w:pStyle w:val="167"/>
              <w:keepNext w:val="0"/>
              <w:keepLines w:val="0"/>
              <w:suppressLineNumbers w:val="0"/>
              <w:spacing w:before="0" w:beforeAutospacing="0" w:after="0" w:afterAutospacing="0"/>
              <w:ind w:right="0"/>
              <w:rPr>
                <w:rFonts w:hint="default"/>
                <w:color w:val="auto"/>
              </w:rPr>
            </w:pPr>
          </w:p>
        </w:tc>
      </w:tr>
      <w:tr w14:paraId="0673C0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6500A9CD">
            <w:pPr>
              <w:pStyle w:val="167"/>
              <w:keepNext w:val="0"/>
              <w:keepLines w:val="0"/>
              <w:suppressLineNumbers w:val="0"/>
              <w:spacing w:before="0" w:beforeAutospacing="0" w:after="0" w:afterAutospacing="0"/>
              <w:ind w:right="0"/>
              <w:rPr>
                <w:rFonts w:hint="default"/>
                <w:color w:val="auto"/>
              </w:rPr>
            </w:pPr>
            <w:r>
              <w:rPr>
                <w:rFonts w:hint="default"/>
                <w:color w:val="auto"/>
              </w:rPr>
              <w:t>碳酸盐</w:t>
            </w:r>
          </w:p>
        </w:tc>
        <w:tc>
          <w:tcPr>
            <w:tcW w:w="1261" w:type="dxa"/>
            <w:vAlign w:val="center"/>
          </w:tcPr>
          <w:p w14:paraId="657F0B64">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55E4E713">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4981A562">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0DB28682">
            <w:pPr>
              <w:pStyle w:val="167"/>
              <w:keepNext w:val="0"/>
              <w:keepLines w:val="0"/>
              <w:suppressLineNumbers w:val="0"/>
              <w:spacing w:before="0" w:beforeAutospacing="0" w:after="0" w:afterAutospacing="0"/>
              <w:ind w:right="0"/>
              <w:rPr>
                <w:rFonts w:hint="default"/>
                <w:color w:val="auto"/>
              </w:rPr>
            </w:pPr>
          </w:p>
        </w:tc>
        <w:tc>
          <w:tcPr>
            <w:tcW w:w="992" w:type="dxa"/>
          </w:tcPr>
          <w:p w14:paraId="14DEDDE7">
            <w:pPr>
              <w:pStyle w:val="167"/>
              <w:keepNext w:val="0"/>
              <w:keepLines w:val="0"/>
              <w:suppressLineNumbers w:val="0"/>
              <w:spacing w:before="0" w:beforeAutospacing="0" w:after="0" w:afterAutospacing="0"/>
              <w:ind w:right="0"/>
              <w:rPr>
                <w:rFonts w:hint="default"/>
                <w:color w:val="auto"/>
              </w:rPr>
            </w:pPr>
          </w:p>
        </w:tc>
        <w:tc>
          <w:tcPr>
            <w:tcW w:w="1134" w:type="dxa"/>
          </w:tcPr>
          <w:p w14:paraId="44F3B4FE">
            <w:pPr>
              <w:pStyle w:val="167"/>
              <w:keepNext w:val="0"/>
              <w:keepLines w:val="0"/>
              <w:suppressLineNumbers w:val="0"/>
              <w:spacing w:before="0" w:beforeAutospacing="0" w:after="0" w:afterAutospacing="0"/>
              <w:ind w:right="0"/>
              <w:rPr>
                <w:rFonts w:hint="default"/>
                <w:color w:val="auto"/>
              </w:rPr>
            </w:pPr>
          </w:p>
        </w:tc>
        <w:tc>
          <w:tcPr>
            <w:tcW w:w="709" w:type="dxa"/>
          </w:tcPr>
          <w:p w14:paraId="54735874">
            <w:pPr>
              <w:pStyle w:val="167"/>
              <w:keepNext w:val="0"/>
              <w:keepLines w:val="0"/>
              <w:suppressLineNumbers w:val="0"/>
              <w:spacing w:before="0" w:beforeAutospacing="0" w:after="0" w:afterAutospacing="0"/>
              <w:ind w:right="0"/>
              <w:rPr>
                <w:rFonts w:hint="default"/>
                <w:color w:val="auto"/>
              </w:rPr>
            </w:pPr>
          </w:p>
        </w:tc>
        <w:tc>
          <w:tcPr>
            <w:tcW w:w="851" w:type="dxa"/>
          </w:tcPr>
          <w:p w14:paraId="68152E5C">
            <w:pPr>
              <w:pStyle w:val="167"/>
              <w:keepNext w:val="0"/>
              <w:keepLines w:val="0"/>
              <w:suppressLineNumbers w:val="0"/>
              <w:spacing w:before="0" w:beforeAutospacing="0" w:after="0" w:afterAutospacing="0"/>
              <w:ind w:right="0"/>
              <w:rPr>
                <w:rFonts w:hint="default"/>
                <w:color w:val="auto"/>
              </w:rPr>
            </w:pPr>
          </w:p>
        </w:tc>
        <w:tc>
          <w:tcPr>
            <w:tcW w:w="708" w:type="dxa"/>
          </w:tcPr>
          <w:p w14:paraId="0FA05F8F">
            <w:pPr>
              <w:pStyle w:val="167"/>
              <w:keepNext w:val="0"/>
              <w:keepLines w:val="0"/>
              <w:suppressLineNumbers w:val="0"/>
              <w:spacing w:before="0" w:beforeAutospacing="0" w:after="0" w:afterAutospacing="0"/>
              <w:ind w:right="0"/>
              <w:rPr>
                <w:rFonts w:hint="default"/>
                <w:color w:val="auto"/>
              </w:rPr>
            </w:pPr>
          </w:p>
        </w:tc>
        <w:tc>
          <w:tcPr>
            <w:tcW w:w="851" w:type="dxa"/>
            <w:gridSpan w:val="2"/>
          </w:tcPr>
          <w:p w14:paraId="167EA627">
            <w:pPr>
              <w:pStyle w:val="167"/>
              <w:keepNext w:val="0"/>
              <w:keepLines w:val="0"/>
              <w:suppressLineNumbers w:val="0"/>
              <w:spacing w:before="0" w:beforeAutospacing="0" w:after="0" w:afterAutospacing="0"/>
              <w:ind w:right="0"/>
              <w:rPr>
                <w:rFonts w:hint="default"/>
                <w:color w:val="auto"/>
              </w:rPr>
            </w:pPr>
          </w:p>
        </w:tc>
        <w:tc>
          <w:tcPr>
            <w:tcW w:w="567" w:type="dxa"/>
          </w:tcPr>
          <w:p w14:paraId="13B8D84C">
            <w:pPr>
              <w:pStyle w:val="167"/>
              <w:keepNext w:val="0"/>
              <w:keepLines w:val="0"/>
              <w:suppressLineNumbers w:val="0"/>
              <w:spacing w:before="0" w:beforeAutospacing="0" w:after="0" w:afterAutospacing="0"/>
              <w:ind w:right="0"/>
              <w:rPr>
                <w:rFonts w:hint="default"/>
                <w:color w:val="auto"/>
              </w:rPr>
            </w:pPr>
          </w:p>
        </w:tc>
        <w:tc>
          <w:tcPr>
            <w:tcW w:w="850" w:type="dxa"/>
          </w:tcPr>
          <w:p w14:paraId="354EA2F1">
            <w:pPr>
              <w:pStyle w:val="167"/>
              <w:keepNext w:val="0"/>
              <w:keepLines w:val="0"/>
              <w:suppressLineNumbers w:val="0"/>
              <w:spacing w:before="0" w:beforeAutospacing="0" w:after="0" w:afterAutospacing="0"/>
              <w:ind w:right="0"/>
              <w:rPr>
                <w:rFonts w:hint="default"/>
                <w:color w:val="auto"/>
              </w:rPr>
            </w:pPr>
          </w:p>
        </w:tc>
        <w:tc>
          <w:tcPr>
            <w:tcW w:w="567" w:type="dxa"/>
          </w:tcPr>
          <w:p w14:paraId="24CDCE65">
            <w:pPr>
              <w:pStyle w:val="167"/>
              <w:keepNext w:val="0"/>
              <w:keepLines w:val="0"/>
              <w:suppressLineNumbers w:val="0"/>
              <w:spacing w:before="0" w:beforeAutospacing="0" w:after="0" w:afterAutospacing="0"/>
              <w:ind w:right="0"/>
              <w:rPr>
                <w:rFonts w:hint="default"/>
                <w:color w:val="auto"/>
              </w:rPr>
            </w:pPr>
          </w:p>
        </w:tc>
      </w:tr>
      <w:tr w14:paraId="134A49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21A03CC4">
            <w:pPr>
              <w:pStyle w:val="167"/>
              <w:keepNext w:val="0"/>
              <w:keepLines w:val="0"/>
              <w:suppressLineNumbers w:val="0"/>
              <w:spacing w:before="0" w:beforeAutospacing="0" w:after="0" w:afterAutospacing="0"/>
              <w:ind w:right="0"/>
              <w:rPr>
                <w:rFonts w:hint="default"/>
                <w:color w:val="auto"/>
              </w:rPr>
            </w:pPr>
            <w:r>
              <w:rPr>
                <w:rFonts w:hint="default"/>
                <w:color w:val="auto"/>
              </w:rPr>
              <w:t>重碳酸盐</w:t>
            </w:r>
          </w:p>
        </w:tc>
        <w:tc>
          <w:tcPr>
            <w:tcW w:w="1261" w:type="dxa"/>
            <w:vAlign w:val="center"/>
          </w:tcPr>
          <w:p w14:paraId="1B47EA72">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30F9D694">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7BA9CA52">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3BC3B4D5">
            <w:pPr>
              <w:pStyle w:val="167"/>
              <w:keepNext w:val="0"/>
              <w:keepLines w:val="0"/>
              <w:suppressLineNumbers w:val="0"/>
              <w:spacing w:before="0" w:beforeAutospacing="0" w:after="0" w:afterAutospacing="0"/>
              <w:ind w:right="0"/>
              <w:rPr>
                <w:rFonts w:hint="default"/>
                <w:color w:val="auto"/>
              </w:rPr>
            </w:pPr>
          </w:p>
        </w:tc>
        <w:tc>
          <w:tcPr>
            <w:tcW w:w="992" w:type="dxa"/>
          </w:tcPr>
          <w:p w14:paraId="5DFD31C2">
            <w:pPr>
              <w:pStyle w:val="167"/>
              <w:keepNext w:val="0"/>
              <w:keepLines w:val="0"/>
              <w:suppressLineNumbers w:val="0"/>
              <w:spacing w:before="0" w:beforeAutospacing="0" w:after="0" w:afterAutospacing="0"/>
              <w:ind w:right="0"/>
              <w:rPr>
                <w:rFonts w:hint="default"/>
                <w:color w:val="auto"/>
              </w:rPr>
            </w:pPr>
          </w:p>
        </w:tc>
        <w:tc>
          <w:tcPr>
            <w:tcW w:w="1134" w:type="dxa"/>
          </w:tcPr>
          <w:p w14:paraId="556ACC45">
            <w:pPr>
              <w:pStyle w:val="167"/>
              <w:keepNext w:val="0"/>
              <w:keepLines w:val="0"/>
              <w:suppressLineNumbers w:val="0"/>
              <w:spacing w:before="0" w:beforeAutospacing="0" w:after="0" w:afterAutospacing="0"/>
              <w:ind w:right="0"/>
              <w:rPr>
                <w:rFonts w:hint="default"/>
                <w:color w:val="auto"/>
              </w:rPr>
            </w:pPr>
          </w:p>
        </w:tc>
        <w:tc>
          <w:tcPr>
            <w:tcW w:w="709" w:type="dxa"/>
          </w:tcPr>
          <w:p w14:paraId="7D2B6960">
            <w:pPr>
              <w:pStyle w:val="167"/>
              <w:keepNext w:val="0"/>
              <w:keepLines w:val="0"/>
              <w:suppressLineNumbers w:val="0"/>
              <w:spacing w:before="0" w:beforeAutospacing="0" w:after="0" w:afterAutospacing="0"/>
              <w:ind w:right="0"/>
              <w:rPr>
                <w:rFonts w:hint="default"/>
                <w:color w:val="auto"/>
              </w:rPr>
            </w:pPr>
          </w:p>
        </w:tc>
        <w:tc>
          <w:tcPr>
            <w:tcW w:w="851" w:type="dxa"/>
          </w:tcPr>
          <w:p w14:paraId="057680D0">
            <w:pPr>
              <w:pStyle w:val="167"/>
              <w:keepNext w:val="0"/>
              <w:keepLines w:val="0"/>
              <w:suppressLineNumbers w:val="0"/>
              <w:spacing w:before="0" w:beforeAutospacing="0" w:after="0" w:afterAutospacing="0"/>
              <w:ind w:right="0"/>
              <w:rPr>
                <w:rFonts w:hint="default"/>
                <w:color w:val="auto"/>
              </w:rPr>
            </w:pPr>
          </w:p>
        </w:tc>
        <w:tc>
          <w:tcPr>
            <w:tcW w:w="708" w:type="dxa"/>
          </w:tcPr>
          <w:p w14:paraId="2E3865A2">
            <w:pPr>
              <w:pStyle w:val="167"/>
              <w:keepNext w:val="0"/>
              <w:keepLines w:val="0"/>
              <w:suppressLineNumbers w:val="0"/>
              <w:spacing w:before="0" w:beforeAutospacing="0" w:after="0" w:afterAutospacing="0"/>
              <w:ind w:right="0"/>
              <w:rPr>
                <w:rFonts w:hint="default"/>
                <w:color w:val="auto"/>
              </w:rPr>
            </w:pPr>
          </w:p>
        </w:tc>
        <w:tc>
          <w:tcPr>
            <w:tcW w:w="851" w:type="dxa"/>
            <w:gridSpan w:val="2"/>
          </w:tcPr>
          <w:p w14:paraId="449FC8ED">
            <w:pPr>
              <w:pStyle w:val="167"/>
              <w:keepNext w:val="0"/>
              <w:keepLines w:val="0"/>
              <w:suppressLineNumbers w:val="0"/>
              <w:spacing w:before="0" w:beforeAutospacing="0" w:after="0" w:afterAutospacing="0"/>
              <w:ind w:right="0"/>
              <w:rPr>
                <w:rFonts w:hint="default"/>
                <w:color w:val="auto"/>
              </w:rPr>
            </w:pPr>
          </w:p>
        </w:tc>
        <w:tc>
          <w:tcPr>
            <w:tcW w:w="567" w:type="dxa"/>
          </w:tcPr>
          <w:p w14:paraId="40EBF41B">
            <w:pPr>
              <w:pStyle w:val="167"/>
              <w:keepNext w:val="0"/>
              <w:keepLines w:val="0"/>
              <w:suppressLineNumbers w:val="0"/>
              <w:spacing w:before="0" w:beforeAutospacing="0" w:after="0" w:afterAutospacing="0"/>
              <w:ind w:right="0"/>
              <w:rPr>
                <w:rFonts w:hint="default"/>
                <w:color w:val="auto"/>
              </w:rPr>
            </w:pPr>
          </w:p>
        </w:tc>
        <w:tc>
          <w:tcPr>
            <w:tcW w:w="850" w:type="dxa"/>
          </w:tcPr>
          <w:p w14:paraId="370078A4">
            <w:pPr>
              <w:pStyle w:val="167"/>
              <w:keepNext w:val="0"/>
              <w:keepLines w:val="0"/>
              <w:suppressLineNumbers w:val="0"/>
              <w:spacing w:before="0" w:beforeAutospacing="0" w:after="0" w:afterAutospacing="0"/>
              <w:ind w:right="0"/>
              <w:rPr>
                <w:rFonts w:hint="default"/>
                <w:color w:val="auto"/>
              </w:rPr>
            </w:pPr>
          </w:p>
        </w:tc>
        <w:tc>
          <w:tcPr>
            <w:tcW w:w="567" w:type="dxa"/>
          </w:tcPr>
          <w:p w14:paraId="2820F456">
            <w:pPr>
              <w:pStyle w:val="167"/>
              <w:keepNext w:val="0"/>
              <w:keepLines w:val="0"/>
              <w:suppressLineNumbers w:val="0"/>
              <w:spacing w:before="0" w:beforeAutospacing="0" w:after="0" w:afterAutospacing="0"/>
              <w:ind w:right="0"/>
              <w:rPr>
                <w:rFonts w:hint="default"/>
                <w:color w:val="auto"/>
              </w:rPr>
            </w:pPr>
          </w:p>
        </w:tc>
      </w:tr>
      <w:tr w14:paraId="443320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23E07DD1">
            <w:pPr>
              <w:pStyle w:val="167"/>
              <w:keepNext w:val="0"/>
              <w:keepLines w:val="0"/>
              <w:suppressLineNumbers w:val="0"/>
              <w:spacing w:before="0" w:beforeAutospacing="0" w:after="0" w:afterAutospacing="0"/>
              <w:ind w:right="0"/>
              <w:rPr>
                <w:rFonts w:hint="default"/>
                <w:color w:val="auto"/>
              </w:rPr>
            </w:pPr>
            <w:r>
              <w:rPr>
                <w:rFonts w:hint="default"/>
                <w:color w:val="auto"/>
              </w:rPr>
              <w:t>Cl</w:t>
            </w:r>
            <w:r>
              <w:rPr>
                <w:rFonts w:hint="default"/>
                <w:color w:val="auto"/>
                <w:vertAlign w:val="superscript"/>
              </w:rPr>
              <w:t>-</w:t>
            </w:r>
          </w:p>
        </w:tc>
        <w:tc>
          <w:tcPr>
            <w:tcW w:w="1261" w:type="dxa"/>
            <w:vAlign w:val="center"/>
          </w:tcPr>
          <w:p w14:paraId="76478075">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3017F7EC">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228EF679">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61923C59">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42220B9B">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2F241B04">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172D3CE6">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3D86123B">
            <w:pPr>
              <w:pStyle w:val="167"/>
              <w:keepNext w:val="0"/>
              <w:keepLines w:val="0"/>
              <w:suppressLineNumbers w:val="0"/>
              <w:spacing w:before="0" w:beforeAutospacing="0" w:after="0" w:afterAutospacing="0"/>
              <w:ind w:right="0"/>
              <w:rPr>
                <w:rFonts w:hint="default"/>
                <w:color w:val="auto"/>
              </w:rPr>
            </w:pPr>
          </w:p>
        </w:tc>
        <w:tc>
          <w:tcPr>
            <w:tcW w:w="708" w:type="dxa"/>
            <w:vAlign w:val="center"/>
          </w:tcPr>
          <w:p w14:paraId="5B7630A2">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60349077">
            <w:pPr>
              <w:pStyle w:val="167"/>
              <w:keepNext w:val="0"/>
              <w:keepLines w:val="0"/>
              <w:suppressLineNumbers w:val="0"/>
              <w:spacing w:before="0" w:beforeAutospacing="0" w:after="0" w:afterAutospacing="0"/>
              <w:ind w:right="0"/>
              <w:rPr>
                <w:rFonts w:hint="default"/>
                <w:color w:val="auto"/>
              </w:rPr>
            </w:pPr>
          </w:p>
        </w:tc>
        <w:tc>
          <w:tcPr>
            <w:tcW w:w="567" w:type="dxa"/>
          </w:tcPr>
          <w:p w14:paraId="5B97085C">
            <w:pPr>
              <w:pStyle w:val="167"/>
              <w:keepNext w:val="0"/>
              <w:keepLines w:val="0"/>
              <w:suppressLineNumbers w:val="0"/>
              <w:spacing w:before="0" w:beforeAutospacing="0" w:after="0" w:afterAutospacing="0"/>
              <w:ind w:right="0"/>
              <w:rPr>
                <w:rFonts w:hint="default"/>
                <w:color w:val="auto"/>
              </w:rPr>
            </w:pPr>
          </w:p>
        </w:tc>
        <w:tc>
          <w:tcPr>
            <w:tcW w:w="850" w:type="dxa"/>
          </w:tcPr>
          <w:p w14:paraId="4C28972D">
            <w:pPr>
              <w:pStyle w:val="167"/>
              <w:keepNext w:val="0"/>
              <w:keepLines w:val="0"/>
              <w:suppressLineNumbers w:val="0"/>
              <w:spacing w:before="0" w:beforeAutospacing="0" w:after="0" w:afterAutospacing="0"/>
              <w:ind w:right="0"/>
              <w:rPr>
                <w:rFonts w:hint="default"/>
                <w:color w:val="auto"/>
              </w:rPr>
            </w:pPr>
          </w:p>
        </w:tc>
        <w:tc>
          <w:tcPr>
            <w:tcW w:w="567" w:type="dxa"/>
          </w:tcPr>
          <w:p w14:paraId="4C3C6673">
            <w:pPr>
              <w:pStyle w:val="167"/>
              <w:keepNext w:val="0"/>
              <w:keepLines w:val="0"/>
              <w:suppressLineNumbers w:val="0"/>
              <w:spacing w:before="0" w:beforeAutospacing="0" w:after="0" w:afterAutospacing="0"/>
              <w:ind w:right="0"/>
              <w:rPr>
                <w:rFonts w:hint="default"/>
                <w:color w:val="auto"/>
              </w:rPr>
            </w:pPr>
          </w:p>
        </w:tc>
      </w:tr>
      <w:tr w14:paraId="4FE3F8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78631C25">
            <w:pPr>
              <w:pStyle w:val="167"/>
              <w:keepNext w:val="0"/>
              <w:keepLines w:val="0"/>
              <w:suppressLineNumbers w:val="0"/>
              <w:spacing w:before="0" w:beforeAutospacing="0" w:after="0" w:afterAutospacing="0"/>
              <w:ind w:right="0"/>
              <w:rPr>
                <w:rFonts w:hint="default"/>
                <w:color w:val="auto"/>
              </w:rPr>
            </w:pPr>
            <w:r>
              <w:rPr>
                <w:rFonts w:hint="default"/>
                <w:color w:val="auto"/>
              </w:rPr>
              <w:t>SO</w:t>
            </w:r>
            <w:r>
              <w:rPr>
                <w:rFonts w:hint="default"/>
                <w:color w:val="auto"/>
                <w:vertAlign w:val="subscript"/>
              </w:rPr>
              <w:t>4</w:t>
            </w:r>
            <w:r>
              <w:rPr>
                <w:rFonts w:hint="default"/>
                <w:color w:val="auto"/>
                <w:vertAlign w:val="superscript"/>
              </w:rPr>
              <w:t>2-</w:t>
            </w:r>
          </w:p>
        </w:tc>
        <w:tc>
          <w:tcPr>
            <w:tcW w:w="1261" w:type="dxa"/>
            <w:vAlign w:val="center"/>
          </w:tcPr>
          <w:p w14:paraId="0D3BB912">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4737A44E">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3CA72A17">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74068174">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38A13BD2">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1C80CAB9">
            <w:pPr>
              <w:pStyle w:val="167"/>
              <w:keepNext w:val="0"/>
              <w:keepLines w:val="0"/>
              <w:suppressLineNumbers w:val="0"/>
              <w:spacing w:before="0" w:beforeAutospacing="0" w:after="0" w:afterAutospacing="0"/>
              <w:ind w:right="0"/>
              <w:rPr>
                <w:rFonts w:hint="default"/>
                <w:color w:val="auto"/>
              </w:rPr>
            </w:pPr>
          </w:p>
        </w:tc>
        <w:tc>
          <w:tcPr>
            <w:tcW w:w="709" w:type="dxa"/>
          </w:tcPr>
          <w:p w14:paraId="13EDD01C">
            <w:pPr>
              <w:pStyle w:val="167"/>
              <w:keepNext w:val="0"/>
              <w:keepLines w:val="0"/>
              <w:suppressLineNumbers w:val="0"/>
              <w:spacing w:before="0" w:beforeAutospacing="0" w:after="0" w:afterAutospacing="0"/>
              <w:ind w:right="0"/>
              <w:rPr>
                <w:rFonts w:hint="default"/>
                <w:color w:val="auto"/>
              </w:rPr>
            </w:pPr>
          </w:p>
        </w:tc>
        <w:tc>
          <w:tcPr>
            <w:tcW w:w="851" w:type="dxa"/>
          </w:tcPr>
          <w:p w14:paraId="25557ECA">
            <w:pPr>
              <w:pStyle w:val="167"/>
              <w:keepNext w:val="0"/>
              <w:keepLines w:val="0"/>
              <w:suppressLineNumbers w:val="0"/>
              <w:spacing w:before="0" w:beforeAutospacing="0" w:after="0" w:afterAutospacing="0"/>
              <w:ind w:right="0"/>
              <w:rPr>
                <w:rFonts w:hint="default"/>
                <w:color w:val="auto"/>
              </w:rPr>
            </w:pPr>
          </w:p>
        </w:tc>
        <w:tc>
          <w:tcPr>
            <w:tcW w:w="708" w:type="dxa"/>
            <w:vAlign w:val="center"/>
          </w:tcPr>
          <w:p w14:paraId="5BEDE333">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5031F0DF">
            <w:pPr>
              <w:pStyle w:val="167"/>
              <w:keepNext w:val="0"/>
              <w:keepLines w:val="0"/>
              <w:suppressLineNumbers w:val="0"/>
              <w:spacing w:before="0" w:beforeAutospacing="0" w:after="0" w:afterAutospacing="0"/>
              <w:ind w:right="0"/>
              <w:rPr>
                <w:rFonts w:hint="default"/>
                <w:color w:val="auto"/>
              </w:rPr>
            </w:pPr>
          </w:p>
        </w:tc>
        <w:tc>
          <w:tcPr>
            <w:tcW w:w="567" w:type="dxa"/>
            <w:vAlign w:val="center"/>
          </w:tcPr>
          <w:p w14:paraId="26F27095">
            <w:pPr>
              <w:pStyle w:val="167"/>
              <w:keepNext w:val="0"/>
              <w:keepLines w:val="0"/>
              <w:suppressLineNumbers w:val="0"/>
              <w:spacing w:before="0" w:beforeAutospacing="0" w:after="0" w:afterAutospacing="0"/>
              <w:ind w:right="0"/>
              <w:rPr>
                <w:rFonts w:hint="default"/>
                <w:color w:val="auto"/>
              </w:rPr>
            </w:pPr>
          </w:p>
        </w:tc>
        <w:tc>
          <w:tcPr>
            <w:tcW w:w="850" w:type="dxa"/>
            <w:vAlign w:val="center"/>
          </w:tcPr>
          <w:p w14:paraId="3DD5C83D">
            <w:pPr>
              <w:pStyle w:val="167"/>
              <w:keepNext w:val="0"/>
              <w:keepLines w:val="0"/>
              <w:suppressLineNumbers w:val="0"/>
              <w:spacing w:before="0" w:beforeAutospacing="0" w:after="0" w:afterAutospacing="0"/>
              <w:ind w:right="0"/>
              <w:rPr>
                <w:rFonts w:hint="default"/>
                <w:color w:val="auto"/>
              </w:rPr>
            </w:pPr>
          </w:p>
        </w:tc>
        <w:tc>
          <w:tcPr>
            <w:tcW w:w="567" w:type="dxa"/>
          </w:tcPr>
          <w:p w14:paraId="4D6FAA45">
            <w:pPr>
              <w:pStyle w:val="167"/>
              <w:keepNext w:val="0"/>
              <w:keepLines w:val="0"/>
              <w:suppressLineNumbers w:val="0"/>
              <w:spacing w:before="0" w:beforeAutospacing="0" w:after="0" w:afterAutospacing="0"/>
              <w:ind w:right="0"/>
              <w:rPr>
                <w:rFonts w:hint="default"/>
                <w:color w:val="auto"/>
              </w:rPr>
            </w:pPr>
          </w:p>
        </w:tc>
      </w:tr>
      <w:tr w14:paraId="365ACE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77B976A3">
            <w:pPr>
              <w:pStyle w:val="167"/>
              <w:keepNext w:val="0"/>
              <w:keepLines w:val="0"/>
              <w:suppressLineNumbers w:val="0"/>
              <w:spacing w:before="0" w:beforeAutospacing="0" w:after="0" w:afterAutospacing="0"/>
              <w:ind w:right="0"/>
              <w:rPr>
                <w:rFonts w:hint="default"/>
                <w:color w:val="auto"/>
              </w:rPr>
            </w:pPr>
            <w:r>
              <w:rPr>
                <w:rFonts w:hint="default"/>
                <w:color w:val="auto"/>
              </w:rPr>
              <w:t>NO</w:t>
            </w:r>
            <w:r>
              <w:rPr>
                <w:rFonts w:hint="default"/>
                <w:color w:val="auto"/>
                <w:vertAlign w:val="subscript"/>
              </w:rPr>
              <w:t>3</w:t>
            </w:r>
            <w:r>
              <w:rPr>
                <w:rFonts w:hint="default"/>
                <w:color w:val="auto"/>
                <w:vertAlign w:val="superscript"/>
              </w:rPr>
              <w:t>-</w:t>
            </w:r>
          </w:p>
        </w:tc>
        <w:tc>
          <w:tcPr>
            <w:tcW w:w="1261" w:type="dxa"/>
            <w:vAlign w:val="center"/>
          </w:tcPr>
          <w:p w14:paraId="21095529">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7E14C8CD">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7E68688A">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067F70F2">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621C9C4C">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7EA50C23">
            <w:pPr>
              <w:pStyle w:val="167"/>
              <w:keepNext w:val="0"/>
              <w:keepLines w:val="0"/>
              <w:suppressLineNumbers w:val="0"/>
              <w:spacing w:before="0" w:beforeAutospacing="0" w:after="0" w:afterAutospacing="0"/>
              <w:ind w:right="0"/>
              <w:rPr>
                <w:rFonts w:hint="default"/>
                <w:color w:val="auto"/>
              </w:rPr>
            </w:pPr>
          </w:p>
        </w:tc>
        <w:tc>
          <w:tcPr>
            <w:tcW w:w="709" w:type="dxa"/>
          </w:tcPr>
          <w:p w14:paraId="1CCF9693">
            <w:pPr>
              <w:pStyle w:val="167"/>
              <w:keepNext w:val="0"/>
              <w:keepLines w:val="0"/>
              <w:suppressLineNumbers w:val="0"/>
              <w:spacing w:before="0" w:beforeAutospacing="0" w:after="0" w:afterAutospacing="0"/>
              <w:ind w:right="0"/>
              <w:rPr>
                <w:rFonts w:hint="default"/>
                <w:color w:val="auto"/>
              </w:rPr>
            </w:pPr>
          </w:p>
        </w:tc>
        <w:tc>
          <w:tcPr>
            <w:tcW w:w="851" w:type="dxa"/>
          </w:tcPr>
          <w:p w14:paraId="62D0429E">
            <w:pPr>
              <w:pStyle w:val="167"/>
              <w:keepNext w:val="0"/>
              <w:keepLines w:val="0"/>
              <w:suppressLineNumbers w:val="0"/>
              <w:spacing w:before="0" w:beforeAutospacing="0" w:after="0" w:afterAutospacing="0"/>
              <w:ind w:right="0"/>
              <w:rPr>
                <w:rFonts w:hint="default"/>
                <w:color w:val="auto"/>
              </w:rPr>
            </w:pPr>
          </w:p>
        </w:tc>
        <w:tc>
          <w:tcPr>
            <w:tcW w:w="708" w:type="dxa"/>
            <w:vAlign w:val="center"/>
          </w:tcPr>
          <w:p w14:paraId="6A989098">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79F01851">
            <w:pPr>
              <w:pStyle w:val="167"/>
              <w:keepNext w:val="0"/>
              <w:keepLines w:val="0"/>
              <w:suppressLineNumbers w:val="0"/>
              <w:spacing w:before="0" w:beforeAutospacing="0" w:after="0" w:afterAutospacing="0"/>
              <w:ind w:right="0"/>
              <w:rPr>
                <w:rFonts w:hint="default"/>
                <w:color w:val="auto"/>
              </w:rPr>
            </w:pPr>
          </w:p>
        </w:tc>
        <w:tc>
          <w:tcPr>
            <w:tcW w:w="567" w:type="dxa"/>
          </w:tcPr>
          <w:p w14:paraId="0AE1DA5C">
            <w:pPr>
              <w:pStyle w:val="167"/>
              <w:keepNext w:val="0"/>
              <w:keepLines w:val="0"/>
              <w:suppressLineNumbers w:val="0"/>
              <w:spacing w:before="0" w:beforeAutospacing="0" w:after="0" w:afterAutospacing="0"/>
              <w:ind w:right="0"/>
              <w:rPr>
                <w:rFonts w:hint="default"/>
                <w:color w:val="auto"/>
              </w:rPr>
            </w:pPr>
          </w:p>
        </w:tc>
        <w:tc>
          <w:tcPr>
            <w:tcW w:w="850" w:type="dxa"/>
          </w:tcPr>
          <w:p w14:paraId="1582A383">
            <w:pPr>
              <w:pStyle w:val="167"/>
              <w:keepNext w:val="0"/>
              <w:keepLines w:val="0"/>
              <w:suppressLineNumbers w:val="0"/>
              <w:spacing w:before="0" w:beforeAutospacing="0" w:after="0" w:afterAutospacing="0"/>
              <w:ind w:right="0"/>
              <w:rPr>
                <w:rFonts w:hint="default"/>
                <w:color w:val="auto"/>
              </w:rPr>
            </w:pPr>
          </w:p>
        </w:tc>
        <w:tc>
          <w:tcPr>
            <w:tcW w:w="567" w:type="dxa"/>
          </w:tcPr>
          <w:p w14:paraId="4FC792E2">
            <w:pPr>
              <w:pStyle w:val="167"/>
              <w:keepNext w:val="0"/>
              <w:keepLines w:val="0"/>
              <w:suppressLineNumbers w:val="0"/>
              <w:spacing w:before="0" w:beforeAutospacing="0" w:after="0" w:afterAutospacing="0"/>
              <w:ind w:right="0"/>
              <w:rPr>
                <w:rFonts w:hint="default"/>
                <w:color w:val="auto"/>
              </w:rPr>
            </w:pPr>
          </w:p>
        </w:tc>
      </w:tr>
      <w:tr w14:paraId="20AB23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54A0B745">
            <w:pPr>
              <w:pStyle w:val="167"/>
              <w:keepNext w:val="0"/>
              <w:keepLines w:val="0"/>
              <w:suppressLineNumbers w:val="0"/>
              <w:spacing w:before="0" w:beforeAutospacing="0" w:after="0" w:afterAutospacing="0"/>
              <w:ind w:right="0"/>
              <w:rPr>
                <w:rFonts w:hint="default"/>
                <w:color w:val="auto"/>
              </w:rPr>
            </w:pPr>
            <w:r>
              <w:rPr>
                <w:rFonts w:hint="default"/>
                <w:color w:val="auto"/>
              </w:rPr>
              <w:t>NO</w:t>
            </w:r>
            <w:r>
              <w:rPr>
                <w:rFonts w:hint="default"/>
                <w:color w:val="auto"/>
                <w:vertAlign w:val="subscript"/>
              </w:rPr>
              <w:t>2-</w:t>
            </w:r>
          </w:p>
        </w:tc>
        <w:tc>
          <w:tcPr>
            <w:tcW w:w="1261" w:type="dxa"/>
            <w:vAlign w:val="center"/>
          </w:tcPr>
          <w:p w14:paraId="34A3C263">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09650E29">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04DCE53C">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2952D3F7">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699A61CD">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62A6E2B7">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3754803D">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3FC8845E">
            <w:pPr>
              <w:pStyle w:val="167"/>
              <w:keepNext w:val="0"/>
              <w:keepLines w:val="0"/>
              <w:suppressLineNumbers w:val="0"/>
              <w:spacing w:before="0" w:beforeAutospacing="0" w:after="0" w:afterAutospacing="0"/>
              <w:ind w:right="0"/>
              <w:rPr>
                <w:rFonts w:hint="default"/>
                <w:color w:val="auto"/>
              </w:rPr>
            </w:pPr>
          </w:p>
        </w:tc>
        <w:tc>
          <w:tcPr>
            <w:tcW w:w="708" w:type="dxa"/>
            <w:vAlign w:val="center"/>
          </w:tcPr>
          <w:p w14:paraId="0A8AECAF">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0EA6A395">
            <w:pPr>
              <w:pStyle w:val="167"/>
              <w:keepNext w:val="0"/>
              <w:keepLines w:val="0"/>
              <w:suppressLineNumbers w:val="0"/>
              <w:spacing w:before="0" w:beforeAutospacing="0" w:after="0" w:afterAutospacing="0"/>
              <w:ind w:right="0"/>
              <w:rPr>
                <w:rFonts w:hint="default"/>
                <w:color w:val="auto"/>
              </w:rPr>
            </w:pPr>
          </w:p>
        </w:tc>
        <w:tc>
          <w:tcPr>
            <w:tcW w:w="567" w:type="dxa"/>
          </w:tcPr>
          <w:p w14:paraId="29DE52D6">
            <w:pPr>
              <w:pStyle w:val="167"/>
              <w:keepNext w:val="0"/>
              <w:keepLines w:val="0"/>
              <w:suppressLineNumbers w:val="0"/>
              <w:spacing w:before="0" w:beforeAutospacing="0" w:after="0" w:afterAutospacing="0"/>
              <w:ind w:right="0"/>
              <w:rPr>
                <w:rFonts w:hint="default"/>
                <w:color w:val="auto"/>
              </w:rPr>
            </w:pPr>
          </w:p>
        </w:tc>
        <w:tc>
          <w:tcPr>
            <w:tcW w:w="850" w:type="dxa"/>
          </w:tcPr>
          <w:p w14:paraId="511CAF10">
            <w:pPr>
              <w:pStyle w:val="167"/>
              <w:keepNext w:val="0"/>
              <w:keepLines w:val="0"/>
              <w:suppressLineNumbers w:val="0"/>
              <w:spacing w:before="0" w:beforeAutospacing="0" w:after="0" w:afterAutospacing="0"/>
              <w:ind w:right="0"/>
              <w:rPr>
                <w:rFonts w:hint="default"/>
                <w:color w:val="auto"/>
              </w:rPr>
            </w:pPr>
          </w:p>
        </w:tc>
        <w:tc>
          <w:tcPr>
            <w:tcW w:w="567" w:type="dxa"/>
          </w:tcPr>
          <w:p w14:paraId="5474D20D">
            <w:pPr>
              <w:pStyle w:val="167"/>
              <w:keepNext w:val="0"/>
              <w:keepLines w:val="0"/>
              <w:suppressLineNumbers w:val="0"/>
              <w:spacing w:before="0" w:beforeAutospacing="0" w:after="0" w:afterAutospacing="0"/>
              <w:ind w:right="0"/>
              <w:rPr>
                <w:rFonts w:hint="default"/>
                <w:color w:val="auto"/>
              </w:rPr>
            </w:pPr>
          </w:p>
        </w:tc>
      </w:tr>
      <w:tr w14:paraId="24515D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6078EDDE">
            <w:pPr>
              <w:pStyle w:val="167"/>
              <w:keepNext w:val="0"/>
              <w:keepLines w:val="0"/>
              <w:suppressLineNumbers w:val="0"/>
              <w:spacing w:before="0" w:beforeAutospacing="0" w:after="0" w:afterAutospacing="0"/>
              <w:ind w:right="0"/>
              <w:rPr>
                <w:rFonts w:hint="default"/>
                <w:color w:val="auto"/>
              </w:rPr>
            </w:pPr>
            <w:r>
              <w:rPr>
                <w:rFonts w:hint="default"/>
                <w:color w:val="auto"/>
              </w:rPr>
              <w:t>F</w:t>
            </w:r>
            <w:r>
              <w:rPr>
                <w:rFonts w:hint="default"/>
                <w:color w:val="auto"/>
                <w:vertAlign w:val="superscript"/>
              </w:rPr>
              <w:t>-</w:t>
            </w:r>
          </w:p>
        </w:tc>
        <w:tc>
          <w:tcPr>
            <w:tcW w:w="1261" w:type="dxa"/>
            <w:vAlign w:val="center"/>
          </w:tcPr>
          <w:p w14:paraId="1A4A4F3E">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2FCEBF16">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2985865C">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02804953">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0E8996B9">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4F67F912">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62CB0B6B">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2281E695">
            <w:pPr>
              <w:pStyle w:val="167"/>
              <w:keepNext w:val="0"/>
              <w:keepLines w:val="0"/>
              <w:suppressLineNumbers w:val="0"/>
              <w:spacing w:before="0" w:beforeAutospacing="0" w:after="0" w:afterAutospacing="0"/>
              <w:ind w:right="0"/>
              <w:rPr>
                <w:rFonts w:hint="default"/>
                <w:color w:val="auto"/>
              </w:rPr>
            </w:pPr>
          </w:p>
        </w:tc>
        <w:tc>
          <w:tcPr>
            <w:tcW w:w="708" w:type="dxa"/>
            <w:vAlign w:val="center"/>
          </w:tcPr>
          <w:p w14:paraId="6C77AC61">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461D05AA">
            <w:pPr>
              <w:pStyle w:val="167"/>
              <w:keepNext w:val="0"/>
              <w:keepLines w:val="0"/>
              <w:suppressLineNumbers w:val="0"/>
              <w:spacing w:before="0" w:beforeAutospacing="0" w:after="0" w:afterAutospacing="0"/>
              <w:ind w:right="0"/>
              <w:rPr>
                <w:rFonts w:hint="default"/>
                <w:color w:val="auto"/>
              </w:rPr>
            </w:pPr>
          </w:p>
        </w:tc>
        <w:tc>
          <w:tcPr>
            <w:tcW w:w="567" w:type="dxa"/>
            <w:vAlign w:val="center"/>
          </w:tcPr>
          <w:p w14:paraId="626F317C">
            <w:pPr>
              <w:pStyle w:val="167"/>
              <w:keepNext w:val="0"/>
              <w:keepLines w:val="0"/>
              <w:suppressLineNumbers w:val="0"/>
              <w:spacing w:before="0" w:beforeAutospacing="0" w:after="0" w:afterAutospacing="0"/>
              <w:ind w:right="0"/>
              <w:rPr>
                <w:rFonts w:hint="default"/>
                <w:color w:val="auto"/>
              </w:rPr>
            </w:pPr>
          </w:p>
        </w:tc>
        <w:tc>
          <w:tcPr>
            <w:tcW w:w="850" w:type="dxa"/>
            <w:vAlign w:val="center"/>
          </w:tcPr>
          <w:p w14:paraId="5ECA3D02">
            <w:pPr>
              <w:pStyle w:val="167"/>
              <w:keepNext w:val="0"/>
              <w:keepLines w:val="0"/>
              <w:suppressLineNumbers w:val="0"/>
              <w:spacing w:before="0" w:beforeAutospacing="0" w:after="0" w:afterAutospacing="0"/>
              <w:ind w:right="0"/>
              <w:rPr>
                <w:rFonts w:hint="default"/>
                <w:color w:val="auto"/>
              </w:rPr>
            </w:pPr>
          </w:p>
        </w:tc>
        <w:tc>
          <w:tcPr>
            <w:tcW w:w="567" w:type="dxa"/>
          </w:tcPr>
          <w:p w14:paraId="0F936333">
            <w:pPr>
              <w:pStyle w:val="167"/>
              <w:keepNext w:val="0"/>
              <w:keepLines w:val="0"/>
              <w:suppressLineNumbers w:val="0"/>
              <w:spacing w:before="0" w:beforeAutospacing="0" w:after="0" w:afterAutospacing="0"/>
              <w:ind w:right="0"/>
              <w:rPr>
                <w:rFonts w:hint="default"/>
                <w:color w:val="auto"/>
              </w:rPr>
            </w:pPr>
          </w:p>
        </w:tc>
      </w:tr>
      <w:tr w14:paraId="0CA8A9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607B7213">
            <w:pPr>
              <w:pStyle w:val="167"/>
              <w:keepNext w:val="0"/>
              <w:keepLines w:val="0"/>
              <w:suppressLineNumbers w:val="0"/>
              <w:spacing w:before="0" w:beforeAutospacing="0" w:after="0" w:afterAutospacing="0"/>
              <w:ind w:right="0"/>
              <w:rPr>
                <w:rFonts w:hint="default"/>
                <w:color w:val="auto"/>
              </w:rPr>
            </w:pPr>
            <w:r>
              <w:rPr>
                <w:rFonts w:hint="default"/>
                <w:color w:val="auto"/>
              </w:rPr>
              <w:t>pH</w:t>
            </w:r>
          </w:p>
        </w:tc>
        <w:tc>
          <w:tcPr>
            <w:tcW w:w="1261" w:type="dxa"/>
            <w:vAlign w:val="center"/>
          </w:tcPr>
          <w:p w14:paraId="7AD4268E">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37D805C1">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756193CD">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3B7025BF">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5864D70B">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2F9AA5DA">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5AD96267">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60A0EAD3">
            <w:pPr>
              <w:pStyle w:val="167"/>
              <w:keepNext w:val="0"/>
              <w:keepLines w:val="0"/>
              <w:suppressLineNumbers w:val="0"/>
              <w:spacing w:before="0" w:beforeAutospacing="0" w:after="0" w:afterAutospacing="0"/>
              <w:ind w:right="0"/>
              <w:rPr>
                <w:rFonts w:hint="default"/>
                <w:color w:val="auto"/>
              </w:rPr>
            </w:pPr>
          </w:p>
        </w:tc>
        <w:tc>
          <w:tcPr>
            <w:tcW w:w="708" w:type="dxa"/>
            <w:vAlign w:val="center"/>
          </w:tcPr>
          <w:p w14:paraId="185D7F97">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55F47CA6">
            <w:pPr>
              <w:pStyle w:val="167"/>
              <w:keepNext w:val="0"/>
              <w:keepLines w:val="0"/>
              <w:suppressLineNumbers w:val="0"/>
              <w:spacing w:before="0" w:beforeAutospacing="0" w:after="0" w:afterAutospacing="0"/>
              <w:ind w:right="0"/>
              <w:rPr>
                <w:rFonts w:hint="default"/>
                <w:color w:val="auto"/>
              </w:rPr>
            </w:pPr>
          </w:p>
        </w:tc>
        <w:tc>
          <w:tcPr>
            <w:tcW w:w="567" w:type="dxa"/>
            <w:vAlign w:val="center"/>
          </w:tcPr>
          <w:p w14:paraId="1F5EE05F">
            <w:pPr>
              <w:pStyle w:val="167"/>
              <w:keepNext w:val="0"/>
              <w:keepLines w:val="0"/>
              <w:suppressLineNumbers w:val="0"/>
              <w:spacing w:before="0" w:beforeAutospacing="0" w:after="0" w:afterAutospacing="0"/>
              <w:ind w:right="0"/>
              <w:rPr>
                <w:rFonts w:hint="default"/>
                <w:color w:val="auto"/>
              </w:rPr>
            </w:pPr>
          </w:p>
        </w:tc>
        <w:tc>
          <w:tcPr>
            <w:tcW w:w="850" w:type="dxa"/>
            <w:vAlign w:val="center"/>
          </w:tcPr>
          <w:p w14:paraId="15D25DDA">
            <w:pPr>
              <w:pStyle w:val="167"/>
              <w:keepNext w:val="0"/>
              <w:keepLines w:val="0"/>
              <w:suppressLineNumbers w:val="0"/>
              <w:spacing w:before="0" w:beforeAutospacing="0" w:after="0" w:afterAutospacing="0"/>
              <w:ind w:right="0"/>
              <w:rPr>
                <w:rFonts w:hint="default"/>
                <w:color w:val="auto"/>
              </w:rPr>
            </w:pPr>
          </w:p>
        </w:tc>
        <w:tc>
          <w:tcPr>
            <w:tcW w:w="567" w:type="dxa"/>
          </w:tcPr>
          <w:p w14:paraId="426736A8">
            <w:pPr>
              <w:pStyle w:val="167"/>
              <w:keepNext w:val="0"/>
              <w:keepLines w:val="0"/>
              <w:suppressLineNumbers w:val="0"/>
              <w:spacing w:before="0" w:beforeAutospacing="0" w:after="0" w:afterAutospacing="0"/>
              <w:ind w:right="0"/>
              <w:rPr>
                <w:rFonts w:hint="default"/>
                <w:color w:val="auto"/>
              </w:rPr>
            </w:pPr>
          </w:p>
        </w:tc>
      </w:tr>
      <w:tr w14:paraId="216EDD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3D73690E">
            <w:pPr>
              <w:pStyle w:val="167"/>
              <w:keepNext w:val="0"/>
              <w:keepLines w:val="0"/>
              <w:suppressLineNumbers w:val="0"/>
              <w:spacing w:before="0" w:beforeAutospacing="0" w:after="0" w:afterAutospacing="0"/>
              <w:ind w:right="0"/>
              <w:rPr>
                <w:rFonts w:hint="default"/>
                <w:color w:val="auto"/>
              </w:rPr>
            </w:pPr>
            <w:r>
              <w:rPr>
                <w:rFonts w:hint="default"/>
                <w:color w:val="auto"/>
              </w:rPr>
              <w:t>氨氮</w:t>
            </w:r>
          </w:p>
        </w:tc>
        <w:tc>
          <w:tcPr>
            <w:tcW w:w="1261" w:type="dxa"/>
            <w:vAlign w:val="center"/>
          </w:tcPr>
          <w:p w14:paraId="0F920A84">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70AA27EB">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4ACA4487">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4CB3C715">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27E95AE1">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3E5032F2">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25BF3326">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331A0C5A">
            <w:pPr>
              <w:pStyle w:val="167"/>
              <w:keepNext w:val="0"/>
              <w:keepLines w:val="0"/>
              <w:suppressLineNumbers w:val="0"/>
              <w:spacing w:before="0" w:beforeAutospacing="0" w:after="0" w:afterAutospacing="0"/>
              <w:ind w:right="0"/>
              <w:rPr>
                <w:rFonts w:hint="default"/>
                <w:color w:val="auto"/>
              </w:rPr>
            </w:pPr>
          </w:p>
        </w:tc>
        <w:tc>
          <w:tcPr>
            <w:tcW w:w="708" w:type="dxa"/>
            <w:vAlign w:val="center"/>
          </w:tcPr>
          <w:p w14:paraId="0958A07B">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2811429C">
            <w:pPr>
              <w:pStyle w:val="167"/>
              <w:keepNext w:val="0"/>
              <w:keepLines w:val="0"/>
              <w:suppressLineNumbers w:val="0"/>
              <w:spacing w:before="0" w:beforeAutospacing="0" w:after="0" w:afterAutospacing="0"/>
              <w:ind w:right="0"/>
              <w:rPr>
                <w:rFonts w:hint="default"/>
                <w:color w:val="auto"/>
              </w:rPr>
            </w:pPr>
          </w:p>
        </w:tc>
        <w:tc>
          <w:tcPr>
            <w:tcW w:w="567" w:type="dxa"/>
          </w:tcPr>
          <w:p w14:paraId="39352FCB">
            <w:pPr>
              <w:pStyle w:val="167"/>
              <w:keepNext w:val="0"/>
              <w:keepLines w:val="0"/>
              <w:suppressLineNumbers w:val="0"/>
              <w:spacing w:before="0" w:beforeAutospacing="0" w:after="0" w:afterAutospacing="0"/>
              <w:ind w:right="0"/>
              <w:rPr>
                <w:rFonts w:hint="default"/>
                <w:color w:val="auto"/>
              </w:rPr>
            </w:pPr>
          </w:p>
        </w:tc>
        <w:tc>
          <w:tcPr>
            <w:tcW w:w="850" w:type="dxa"/>
          </w:tcPr>
          <w:p w14:paraId="48773F69">
            <w:pPr>
              <w:pStyle w:val="167"/>
              <w:keepNext w:val="0"/>
              <w:keepLines w:val="0"/>
              <w:suppressLineNumbers w:val="0"/>
              <w:spacing w:before="0" w:beforeAutospacing="0" w:after="0" w:afterAutospacing="0"/>
              <w:ind w:right="0"/>
              <w:rPr>
                <w:rFonts w:hint="default"/>
                <w:color w:val="auto"/>
              </w:rPr>
            </w:pPr>
          </w:p>
        </w:tc>
        <w:tc>
          <w:tcPr>
            <w:tcW w:w="567" w:type="dxa"/>
          </w:tcPr>
          <w:p w14:paraId="21C86F9F">
            <w:pPr>
              <w:pStyle w:val="167"/>
              <w:keepNext w:val="0"/>
              <w:keepLines w:val="0"/>
              <w:suppressLineNumbers w:val="0"/>
              <w:spacing w:before="0" w:beforeAutospacing="0" w:after="0" w:afterAutospacing="0"/>
              <w:ind w:right="0"/>
              <w:rPr>
                <w:rFonts w:hint="default"/>
                <w:color w:val="auto"/>
              </w:rPr>
            </w:pPr>
          </w:p>
        </w:tc>
      </w:tr>
      <w:tr w14:paraId="7D3C6A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352FE267">
            <w:pPr>
              <w:pStyle w:val="167"/>
              <w:keepNext w:val="0"/>
              <w:keepLines w:val="0"/>
              <w:suppressLineNumbers w:val="0"/>
              <w:spacing w:before="0" w:beforeAutospacing="0" w:after="0" w:afterAutospacing="0"/>
              <w:ind w:right="0"/>
              <w:rPr>
                <w:rFonts w:hint="default"/>
                <w:color w:val="auto"/>
              </w:rPr>
            </w:pPr>
            <w:r>
              <w:rPr>
                <w:rFonts w:hint="default"/>
                <w:color w:val="auto"/>
              </w:rPr>
              <w:t>挥发酚</w:t>
            </w:r>
          </w:p>
        </w:tc>
        <w:tc>
          <w:tcPr>
            <w:tcW w:w="1261" w:type="dxa"/>
            <w:vAlign w:val="center"/>
          </w:tcPr>
          <w:p w14:paraId="090D4F2E">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5EA34F4E">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3A265AFF">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6C7DC58C">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30106EB1">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01734642">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3E5B102B">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46881252">
            <w:pPr>
              <w:pStyle w:val="167"/>
              <w:keepNext w:val="0"/>
              <w:keepLines w:val="0"/>
              <w:suppressLineNumbers w:val="0"/>
              <w:spacing w:before="0" w:beforeAutospacing="0" w:after="0" w:afterAutospacing="0"/>
              <w:ind w:right="0"/>
              <w:rPr>
                <w:rFonts w:hint="default"/>
                <w:color w:val="auto"/>
              </w:rPr>
            </w:pPr>
          </w:p>
        </w:tc>
        <w:tc>
          <w:tcPr>
            <w:tcW w:w="708" w:type="dxa"/>
            <w:vAlign w:val="center"/>
          </w:tcPr>
          <w:p w14:paraId="6D33AAC7">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722B9012">
            <w:pPr>
              <w:pStyle w:val="167"/>
              <w:keepNext w:val="0"/>
              <w:keepLines w:val="0"/>
              <w:suppressLineNumbers w:val="0"/>
              <w:spacing w:before="0" w:beforeAutospacing="0" w:after="0" w:afterAutospacing="0"/>
              <w:ind w:right="0"/>
              <w:rPr>
                <w:rFonts w:hint="default"/>
                <w:color w:val="auto"/>
              </w:rPr>
            </w:pPr>
          </w:p>
        </w:tc>
        <w:tc>
          <w:tcPr>
            <w:tcW w:w="567" w:type="dxa"/>
          </w:tcPr>
          <w:p w14:paraId="0C430571">
            <w:pPr>
              <w:pStyle w:val="167"/>
              <w:keepNext w:val="0"/>
              <w:keepLines w:val="0"/>
              <w:suppressLineNumbers w:val="0"/>
              <w:spacing w:before="0" w:beforeAutospacing="0" w:after="0" w:afterAutospacing="0"/>
              <w:ind w:right="0"/>
              <w:rPr>
                <w:rFonts w:hint="default"/>
                <w:color w:val="auto"/>
              </w:rPr>
            </w:pPr>
          </w:p>
        </w:tc>
        <w:tc>
          <w:tcPr>
            <w:tcW w:w="850" w:type="dxa"/>
          </w:tcPr>
          <w:p w14:paraId="0234801E">
            <w:pPr>
              <w:pStyle w:val="167"/>
              <w:keepNext w:val="0"/>
              <w:keepLines w:val="0"/>
              <w:suppressLineNumbers w:val="0"/>
              <w:spacing w:before="0" w:beforeAutospacing="0" w:after="0" w:afterAutospacing="0"/>
              <w:ind w:right="0"/>
              <w:rPr>
                <w:rFonts w:hint="default"/>
                <w:color w:val="auto"/>
              </w:rPr>
            </w:pPr>
          </w:p>
        </w:tc>
        <w:tc>
          <w:tcPr>
            <w:tcW w:w="567" w:type="dxa"/>
          </w:tcPr>
          <w:p w14:paraId="3323BDFD">
            <w:pPr>
              <w:pStyle w:val="167"/>
              <w:keepNext w:val="0"/>
              <w:keepLines w:val="0"/>
              <w:suppressLineNumbers w:val="0"/>
              <w:spacing w:before="0" w:beforeAutospacing="0" w:after="0" w:afterAutospacing="0"/>
              <w:ind w:right="0"/>
              <w:rPr>
                <w:rFonts w:hint="default"/>
                <w:color w:val="auto"/>
              </w:rPr>
            </w:pPr>
          </w:p>
        </w:tc>
      </w:tr>
      <w:tr w14:paraId="7F531A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11CEAE4F">
            <w:pPr>
              <w:pStyle w:val="167"/>
              <w:keepNext w:val="0"/>
              <w:keepLines w:val="0"/>
              <w:suppressLineNumbers w:val="0"/>
              <w:spacing w:before="0" w:beforeAutospacing="0" w:after="0" w:afterAutospacing="0"/>
              <w:ind w:right="0"/>
              <w:rPr>
                <w:rFonts w:hint="default"/>
                <w:color w:val="auto"/>
              </w:rPr>
            </w:pPr>
            <w:r>
              <w:rPr>
                <w:rFonts w:hint="default"/>
                <w:color w:val="auto"/>
              </w:rPr>
              <w:t>氰化物</w:t>
            </w:r>
          </w:p>
        </w:tc>
        <w:tc>
          <w:tcPr>
            <w:tcW w:w="1261" w:type="dxa"/>
            <w:vAlign w:val="center"/>
          </w:tcPr>
          <w:p w14:paraId="4101BF47">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7B13D191">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425BB285">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52DC621F">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6BAD15E0">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6A2D31AD">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62D7AB10">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06CA7043">
            <w:pPr>
              <w:pStyle w:val="167"/>
              <w:keepNext w:val="0"/>
              <w:keepLines w:val="0"/>
              <w:suppressLineNumbers w:val="0"/>
              <w:spacing w:before="0" w:beforeAutospacing="0" w:after="0" w:afterAutospacing="0"/>
              <w:ind w:right="0"/>
              <w:rPr>
                <w:rFonts w:hint="default"/>
                <w:color w:val="auto"/>
              </w:rPr>
            </w:pPr>
          </w:p>
        </w:tc>
        <w:tc>
          <w:tcPr>
            <w:tcW w:w="708" w:type="dxa"/>
            <w:vAlign w:val="center"/>
          </w:tcPr>
          <w:p w14:paraId="1F417FF3">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2ED65D4D">
            <w:pPr>
              <w:pStyle w:val="167"/>
              <w:keepNext w:val="0"/>
              <w:keepLines w:val="0"/>
              <w:suppressLineNumbers w:val="0"/>
              <w:spacing w:before="0" w:beforeAutospacing="0" w:after="0" w:afterAutospacing="0"/>
              <w:ind w:right="0"/>
              <w:rPr>
                <w:rFonts w:hint="default"/>
                <w:color w:val="auto"/>
              </w:rPr>
            </w:pPr>
          </w:p>
        </w:tc>
        <w:tc>
          <w:tcPr>
            <w:tcW w:w="567" w:type="dxa"/>
            <w:vAlign w:val="center"/>
          </w:tcPr>
          <w:p w14:paraId="70C62C82">
            <w:pPr>
              <w:pStyle w:val="167"/>
              <w:keepNext w:val="0"/>
              <w:keepLines w:val="0"/>
              <w:suppressLineNumbers w:val="0"/>
              <w:spacing w:before="0" w:beforeAutospacing="0" w:after="0" w:afterAutospacing="0"/>
              <w:ind w:right="0"/>
              <w:rPr>
                <w:rFonts w:hint="default"/>
                <w:color w:val="auto"/>
              </w:rPr>
            </w:pPr>
          </w:p>
        </w:tc>
        <w:tc>
          <w:tcPr>
            <w:tcW w:w="850" w:type="dxa"/>
            <w:vAlign w:val="center"/>
          </w:tcPr>
          <w:p w14:paraId="7DA679C0">
            <w:pPr>
              <w:pStyle w:val="167"/>
              <w:keepNext w:val="0"/>
              <w:keepLines w:val="0"/>
              <w:suppressLineNumbers w:val="0"/>
              <w:spacing w:before="0" w:beforeAutospacing="0" w:after="0" w:afterAutospacing="0"/>
              <w:ind w:right="0"/>
              <w:rPr>
                <w:rFonts w:hint="default"/>
                <w:color w:val="auto"/>
              </w:rPr>
            </w:pPr>
          </w:p>
        </w:tc>
        <w:tc>
          <w:tcPr>
            <w:tcW w:w="567" w:type="dxa"/>
          </w:tcPr>
          <w:p w14:paraId="7699A4C5">
            <w:pPr>
              <w:pStyle w:val="167"/>
              <w:keepNext w:val="0"/>
              <w:keepLines w:val="0"/>
              <w:suppressLineNumbers w:val="0"/>
              <w:spacing w:before="0" w:beforeAutospacing="0" w:after="0" w:afterAutospacing="0"/>
              <w:ind w:right="0"/>
              <w:rPr>
                <w:rFonts w:hint="default"/>
                <w:color w:val="auto"/>
              </w:rPr>
            </w:pPr>
          </w:p>
        </w:tc>
      </w:tr>
      <w:tr w14:paraId="6D3403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3232EAC3">
            <w:pPr>
              <w:pStyle w:val="167"/>
              <w:keepNext w:val="0"/>
              <w:keepLines w:val="0"/>
              <w:suppressLineNumbers w:val="0"/>
              <w:spacing w:before="0" w:beforeAutospacing="0" w:after="0" w:afterAutospacing="0"/>
              <w:ind w:right="0"/>
              <w:rPr>
                <w:rFonts w:hint="default"/>
                <w:color w:val="auto"/>
              </w:rPr>
            </w:pPr>
            <w:r>
              <w:rPr>
                <w:rFonts w:hint="default"/>
                <w:color w:val="auto"/>
              </w:rPr>
              <w:t>砷</w:t>
            </w:r>
          </w:p>
        </w:tc>
        <w:tc>
          <w:tcPr>
            <w:tcW w:w="1261" w:type="dxa"/>
            <w:vAlign w:val="center"/>
          </w:tcPr>
          <w:p w14:paraId="6665102E">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4E2AB0A4">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56C76E0D">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3BD5C6D5">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1339B89E">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286C33B5">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5A0863F8">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0EF00A4C">
            <w:pPr>
              <w:pStyle w:val="167"/>
              <w:keepNext w:val="0"/>
              <w:keepLines w:val="0"/>
              <w:suppressLineNumbers w:val="0"/>
              <w:spacing w:before="0" w:beforeAutospacing="0" w:after="0" w:afterAutospacing="0"/>
              <w:ind w:right="0"/>
              <w:rPr>
                <w:rFonts w:hint="default"/>
                <w:color w:val="auto"/>
              </w:rPr>
            </w:pPr>
          </w:p>
        </w:tc>
        <w:tc>
          <w:tcPr>
            <w:tcW w:w="708" w:type="dxa"/>
            <w:vAlign w:val="center"/>
          </w:tcPr>
          <w:p w14:paraId="29C7B9FC">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6E36D11C">
            <w:pPr>
              <w:pStyle w:val="167"/>
              <w:keepNext w:val="0"/>
              <w:keepLines w:val="0"/>
              <w:suppressLineNumbers w:val="0"/>
              <w:spacing w:before="0" w:beforeAutospacing="0" w:after="0" w:afterAutospacing="0"/>
              <w:ind w:right="0"/>
              <w:rPr>
                <w:rFonts w:hint="default"/>
                <w:color w:val="auto"/>
              </w:rPr>
            </w:pPr>
          </w:p>
        </w:tc>
        <w:tc>
          <w:tcPr>
            <w:tcW w:w="567" w:type="dxa"/>
            <w:vAlign w:val="center"/>
          </w:tcPr>
          <w:p w14:paraId="480113D6">
            <w:pPr>
              <w:pStyle w:val="167"/>
              <w:keepNext w:val="0"/>
              <w:keepLines w:val="0"/>
              <w:suppressLineNumbers w:val="0"/>
              <w:spacing w:before="0" w:beforeAutospacing="0" w:after="0" w:afterAutospacing="0"/>
              <w:ind w:right="0"/>
              <w:rPr>
                <w:rFonts w:hint="default"/>
                <w:color w:val="auto"/>
              </w:rPr>
            </w:pPr>
          </w:p>
        </w:tc>
        <w:tc>
          <w:tcPr>
            <w:tcW w:w="850" w:type="dxa"/>
            <w:vAlign w:val="center"/>
          </w:tcPr>
          <w:p w14:paraId="6C62CB89">
            <w:pPr>
              <w:pStyle w:val="167"/>
              <w:keepNext w:val="0"/>
              <w:keepLines w:val="0"/>
              <w:suppressLineNumbers w:val="0"/>
              <w:spacing w:before="0" w:beforeAutospacing="0" w:after="0" w:afterAutospacing="0"/>
              <w:ind w:right="0"/>
              <w:rPr>
                <w:rFonts w:hint="default"/>
                <w:color w:val="auto"/>
              </w:rPr>
            </w:pPr>
          </w:p>
        </w:tc>
        <w:tc>
          <w:tcPr>
            <w:tcW w:w="567" w:type="dxa"/>
          </w:tcPr>
          <w:p w14:paraId="25273BF6">
            <w:pPr>
              <w:pStyle w:val="167"/>
              <w:keepNext w:val="0"/>
              <w:keepLines w:val="0"/>
              <w:suppressLineNumbers w:val="0"/>
              <w:spacing w:before="0" w:beforeAutospacing="0" w:after="0" w:afterAutospacing="0"/>
              <w:ind w:right="0"/>
              <w:rPr>
                <w:rFonts w:hint="default"/>
                <w:color w:val="auto"/>
              </w:rPr>
            </w:pPr>
          </w:p>
        </w:tc>
      </w:tr>
      <w:tr w14:paraId="300D8C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7F694D72">
            <w:pPr>
              <w:pStyle w:val="167"/>
              <w:keepNext w:val="0"/>
              <w:keepLines w:val="0"/>
              <w:suppressLineNumbers w:val="0"/>
              <w:spacing w:before="0" w:beforeAutospacing="0" w:after="0" w:afterAutospacing="0"/>
              <w:ind w:right="0"/>
              <w:rPr>
                <w:rFonts w:hint="default"/>
                <w:color w:val="auto"/>
              </w:rPr>
            </w:pPr>
            <w:r>
              <w:rPr>
                <w:rFonts w:hint="default"/>
                <w:color w:val="auto"/>
              </w:rPr>
              <w:t>汞</w:t>
            </w:r>
          </w:p>
        </w:tc>
        <w:tc>
          <w:tcPr>
            <w:tcW w:w="1261" w:type="dxa"/>
            <w:vAlign w:val="center"/>
          </w:tcPr>
          <w:p w14:paraId="05CD18CF">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283D838F">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5AECCDEE">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49A4FA27">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591D8A13">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5D46E7EC">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043C2D98">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13ADC011">
            <w:pPr>
              <w:pStyle w:val="167"/>
              <w:keepNext w:val="0"/>
              <w:keepLines w:val="0"/>
              <w:suppressLineNumbers w:val="0"/>
              <w:spacing w:before="0" w:beforeAutospacing="0" w:after="0" w:afterAutospacing="0"/>
              <w:ind w:right="0"/>
              <w:rPr>
                <w:rFonts w:hint="default"/>
                <w:color w:val="auto"/>
              </w:rPr>
            </w:pPr>
          </w:p>
        </w:tc>
        <w:tc>
          <w:tcPr>
            <w:tcW w:w="708" w:type="dxa"/>
            <w:vAlign w:val="center"/>
          </w:tcPr>
          <w:p w14:paraId="0BAE0739">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2E57CE48">
            <w:pPr>
              <w:pStyle w:val="167"/>
              <w:keepNext w:val="0"/>
              <w:keepLines w:val="0"/>
              <w:suppressLineNumbers w:val="0"/>
              <w:spacing w:before="0" w:beforeAutospacing="0" w:after="0" w:afterAutospacing="0"/>
              <w:ind w:right="0"/>
              <w:rPr>
                <w:rFonts w:hint="default"/>
                <w:color w:val="auto"/>
              </w:rPr>
            </w:pPr>
          </w:p>
        </w:tc>
        <w:tc>
          <w:tcPr>
            <w:tcW w:w="567" w:type="dxa"/>
          </w:tcPr>
          <w:p w14:paraId="799158F3">
            <w:pPr>
              <w:pStyle w:val="167"/>
              <w:keepNext w:val="0"/>
              <w:keepLines w:val="0"/>
              <w:suppressLineNumbers w:val="0"/>
              <w:spacing w:before="0" w:beforeAutospacing="0" w:after="0" w:afterAutospacing="0"/>
              <w:ind w:right="0"/>
              <w:rPr>
                <w:rFonts w:hint="default"/>
                <w:color w:val="auto"/>
              </w:rPr>
            </w:pPr>
          </w:p>
        </w:tc>
        <w:tc>
          <w:tcPr>
            <w:tcW w:w="850" w:type="dxa"/>
          </w:tcPr>
          <w:p w14:paraId="580E5657">
            <w:pPr>
              <w:pStyle w:val="167"/>
              <w:keepNext w:val="0"/>
              <w:keepLines w:val="0"/>
              <w:suppressLineNumbers w:val="0"/>
              <w:spacing w:before="0" w:beforeAutospacing="0" w:after="0" w:afterAutospacing="0"/>
              <w:ind w:right="0"/>
              <w:rPr>
                <w:rFonts w:hint="default"/>
                <w:color w:val="auto"/>
              </w:rPr>
            </w:pPr>
          </w:p>
        </w:tc>
        <w:tc>
          <w:tcPr>
            <w:tcW w:w="567" w:type="dxa"/>
          </w:tcPr>
          <w:p w14:paraId="39132F62">
            <w:pPr>
              <w:pStyle w:val="167"/>
              <w:keepNext w:val="0"/>
              <w:keepLines w:val="0"/>
              <w:suppressLineNumbers w:val="0"/>
              <w:spacing w:before="0" w:beforeAutospacing="0" w:after="0" w:afterAutospacing="0"/>
              <w:ind w:right="0"/>
              <w:rPr>
                <w:rFonts w:hint="default"/>
                <w:color w:val="auto"/>
              </w:rPr>
            </w:pPr>
          </w:p>
        </w:tc>
      </w:tr>
      <w:tr w14:paraId="6691EB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12C1E90C">
            <w:pPr>
              <w:pStyle w:val="167"/>
              <w:keepNext w:val="0"/>
              <w:keepLines w:val="0"/>
              <w:suppressLineNumbers w:val="0"/>
              <w:spacing w:before="0" w:beforeAutospacing="0" w:after="0" w:afterAutospacing="0"/>
              <w:ind w:right="0"/>
              <w:rPr>
                <w:rFonts w:hint="default"/>
                <w:color w:val="auto"/>
              </w:rPr>
            </w:pPr>
            <w:r>
              <w:rPr>
                <w:rFonts w:hint="default"/>
                <w:color w:val="auto"/>
              </w:rPr>
              <w:t>铬（六价）</w:t>
            </w:r>
          </w:p>
        </w:tc>
        <w:tc>
          <w:tcPr>
            <w:tcW w:w="1261" w:type="dxa"/>
            <w:vAlign w:val="center"/>
          </w:tcPr>
          <w:p w14:paraId="3416388B">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5383F567">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086A4025">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6F2B891B">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7437BD74">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196BF3AB">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5D6FA995">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1FC99764">
            <w:pPr>
              <w:pStyle w:val="167"/>
              <w:keepNext w:val="0"/>
              <w:keepLines w:val="0"/>
              <w:suppressLineNumbers w:val="0"/>
              <w:spacing w:before="0" w:beforeAutospacing="0" w:after="0" w:afterAutospacing="0"/>
              <w:ind w:right="0"/>
              <w:rPr>
                <w:rFonts w:hint="default"/>
                <w:color w:val="auto"/>
              </w:rPr>
            </w:pPr>
          </w:p>
        </w:tc>
        <w:tc>
          <w:tcPr>
            <w:tcW w:w="708" w:type="dxa"/>
            <w:vAlign w:val="center"/>
          </w:tcPr>
          <w:p w14:paraId="13C19E23">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05DC7125">
            <w:pPr>
              <w:pStyle w:val="167"/>
              <w:keepNext w:val="0"/>
              <w:keepLines w:val="0"/>
              <w:suppressLineNumbers w:val="0"/>
              <w:spacing w:before="0" w:beforeAutospacing="0" w:after="0" w:afterAutospacing="0"/>
              <w:ind w:right="0"/>
              <w:rPr>
                <w:rFonts w:hint="default"/>
                <w:color w:val="auto"/>
              </w:rPr>
            </w:pPr>
          </w:p>
        </w:tc>
        <w:tc>
          <w:tcPr>
            <w:tcW w:w="567" w:type="dxa"/>
          </w:tcPr>
          <w:p w14:paraId="74ED5667">
            <w:pPr>
              <w:pStyle w:val="167"/>
              <w:keepNext w:val="0"/>
              <w:keepLines w:val="0"/>
              <w:suppressLineNumbers w:val="0"/>
              <w:spacing w:before="0" w:beforeAutospacing="0" w:after="0" w:afterAutospacing="0"/>
              <w:ind w:right="0"/>
              <w:rPr>
                <w:rFonts w:hint="default"/>
                <w:color w:val="auto"/>
              </w:rPr>
            </w:pPr>
          </w:p>
        </w:tc>
        <w:tc>
          <w:tcPr>
            <w:tcW w:w="850" w:type="dxa"/>
          </w:tcPr>
          <w:p w14:paraId="5018B5F0">
            <w:pPr>
              <w:pStyle w:val="167"/>
              <w:keepNext w:val="0"/>
              <w:keepLines w:val="0"/>
              <w:suppressLineNumbers w:val="0"/>
              <w:spacing w:before="0" w:beforeAutospacing="0" w:after="0" w:afterAutospacing="0"/>
              <w:ind w:right="0"/>
              <w:rPr>
                <w:rFonts w:hint="default"/>
                <w:color w:val="auto"/>
              </w:rPr>
            </w:pPr>
          </w:p>
        </w:tc>
        <w:tc>
          <w:tcPr>
            <w:tcW w:w="567" w:type="dxa"/>
          </w:tcPr>
          <w:p w14:paraId="5F08903A">
            <w:pPr>
              <w:pStyle w:val="167"/>
              <w:keepNext w:val="0"/>
              <w:keepLines w:val="0"/>
              <w:suppressLineNumbers w:val="0"/>
              <w:spacing w:before="0" w:beforeAutospacing="0" w:after="0" w:afterAutospacing="0"/>
              <w:ind w:right="0"/>
              <w:rPr>
                <w:rFonts w:hint="default"/>
                <w:color w:val="auto"/>
              </w:rPr>
            </w:pPr>
          </w:p>
        </w:tc>
      </w:tr>
      <w:tr w14:paraId="3F0853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06FD71FF">
            <w:pPr>
              <w:pStyle w:val="167"/>
              <w:keepNext w:val="0"/>
              <w:keepLines w:val="0"/>
              <w:suppressLineNumbers w:val="0"/>
              <w:spacing w:before="0" w:beforeAutospacing="0" w:after="0" w:afterAutospacing="0"/>
              <w:ind w:right="0"/>
              <w:rPr>
                <w:rFonts w:hint="default"/>
                <w:color w:val="auto"/>
              </w:rPr>
            </w:pPr>
            <w:r>
              <w:rPr>
                <w:rFonts w:hint="default"/>
                <w:color w:val="auto"/>
              </w:rPr>
              <w:t>总硬度</w:t>
            </w:r>
          </w:p>
        </w:tc>
        <w:tc>
          <w:tcPr>
            <w:tcW w:w="1261" w:type="dxa"/>
            <w:vAlign w:val="center"/>
          </w:tcPr>
          <w:p w14:paraId="440B08DF">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7660268E">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61B403BB">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51FFF75F">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63C1DA91">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1EEACB76">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308C3F17">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0F5D2B4D">
            <w:pPr>
              <w:pStyle w:val="167"/>
              <w:keepNext w:val="0"/>
              <w:keepLines w:val="0"/>
              <w:suppressLineNumbers w:val="0"/>
              <w:spacing w:before="0" w:beforeAutospacing="0" w:after="0" w:afterAutospacing="0"/>
              <w:ind w:right="0"/>
              <w:rPr>
                <w:rFonts w:hint="default"/>
                <w:color w:val="auto"/>
              </w:rPr>
            </w:pPr>
          </w:p>
        </w:tc>
        <w:tc>
          <w:tcPr>
            <w:tcW w:w="708" w:type="dxa"/>
            <w:vAlign w:val="center"/>
          </w:tcPr>
          <w:p w14:paraId="0452E991">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7BD702D0">
            <w:pPr>
              <w:pStyle w:val="167"/>
              <w:keepNext w:val="0"/>
              <w:keepLines w:val="0"/>
              <w:suppressLineNumbers w:val="0"/>
              <w:spacing w:before="0" w:beforeAutospacing="0" w:after="0" w:afterAutospacing="0"/>
              <w:ind w:right="0"/>
              <w:rPr>
                <w:rFonts w:hint="default"/>
                <w:color w:val="auto"/>
              </w:rPr>
            </w:pPr>
          </w:p>
        </w:tc>
        <w:tc>
          <w:tcPr>
            <w:tcW w:w="567" w:type="dxa"/>
          </w:tcPr>
          <w:p w14:paraId="0293ED09">
            <w:pPr>
              <w:pStyle w:val="167"/>
              <w:keepNext w:val="0"/>
              <w:keepLines w:val="0"/>
              <w:suppressLineNumbers w:val="0"/>
              <w:spacing w:before="0" w:beforeAutospacing="0" w:after="0" w:afterAutospacing="0"/>
              <w:ind w:right="0"/>
              <w:rPr>
                <w:rFonts w:hint="default"/>
                <w:color w:val="auto"/>
              </w:rPr>
            </w:pPr>
          </w:p>
        </w:tc>
        <w:tc>
          <w:tcPr>
            <w:tcW w:w="850" w:type="dxa"/>
          </w:tcPr>
          <w:p w14:paraId="7FF93554">
            <w:pPr>
              <w:pStyle w:val="167"/>
              <w:keepNext w:val="0"/>
              <w:keepLines w:val="0"/>
              <w:suppressLineNumbers w:val="0"/>
              <w:spacing w:before="0" w:beforeAutospacing="0" w:after="0" w:afterAutospacing="0"/>
              <w:ind w:right="0"/>
              <w:rPr>
                <w:rFonts w:hint="default"/>
                <w:color w:val="auto"/>
              </w:rPr>
            </w:pPr>
          </w:p>
        </w:tc>
        <w:tc>
          <w:tcPr>
            <w:tcW w:w="567" w:type="dxa"/>
          </w:tcPr>
          <w:p w14:paraId="167FC72A">
            <w:pPr>
              <w:pStyle w:val="167"/>
              <w:keepNext w:val="0"/>
              <w:keepLines w:val="0"/>
              <w:suppressLineNumbers w:val="0"/>
              <w:spacing w:before="0" w:beforeAutospacing="0" w:after="0" w:afterAutospacing="0"/>
              <w:ind w:right="0"/>
              <w:rPr>
                <w:rFonts w:hint="default"/>
                <w:color w:val="auto"/>
              </w:rPr>
            </w:pPr>
          </w:p>
        </w:tc>
      </w:tr>
      <w:tr w14:paraId="3C89AD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3D6BB2AD">
            <w:pPr>
              <w:pStyle w:val="167"/>
              <w:keepNext w:val="0"/>
              <w:keepLines w:val="0"/>
              <w:suppressLineNumbers w:val="0"/>
              <w:spacing w:before="0" w:beforeAutospacing="0" w:after="0" w:afterAutospacing="0"/>
              <w:ind w:right="0"/>
              <w:rPr>
                <w:rFonts w:hint="default"/>
                <w:color w:val="auto"/>
              </w:rPr>
            </w:pPr>
            <w:r>
              <w:rPr>
                <w:rFonts w:hint="default"/>
                <w:color w:val="auto"/>
              </w:rPr>
              <w:t>铅</w:t>
            </w:r>
          </w:p>
        </w:tc>
        <w:tc>
          <w:tcPr>
            <w:tcW w:w="1261" w:type="dxa"/>
            <w:vAlign w:val="center"/>
          </w:tcPr>
          <w:p w14:paraId="67B25BB4">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407505D2">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646D25AC">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4A4B3643">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426D8F11">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00165A25">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748CDE2F">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5B349960">
            <w:pPr>
              <w:pStyle w:val="167"/>
              <w:keepNext w:val="0"/>
              <w:keepLines w:val="0"/>
              <w:suppressLineNumbers w:val="0"/>
              <w:spacing w:before="0" w:beforeAutospacing="0" w:after="0" w:afterAutospacing="0"/>
              <w:ind w:right="0"/>
              <w:rPr>
                <w:rFonts w:hint="default"/>
                <w:color w:val="auto"/>
              </w:rPr>
            </w:pPr>
          </w:p>
        </w:tc>
        <w:tc>
          <w:tcPr>
            <w:tcW w:w="708" w:type="dxa"/>
          </w:tcPr>
          <w:p w14:paraId="0BECD983">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18611DB5">
            <w:pPr>
              <w:pStyle w:val="167"/>
              <w:keepNext w:val="0"/>
              <w:keepLines w:val="0"/>
              <w:suppressLineNumbers w:val="0"/>
              <w:spacing w:before="0" w:beforeAutospacing="0" w:after="0" w:afterAutospacing="0"/>
              <w:ind w:right="0"/>
              <w:rPr>
                <w:rFonts w:hint="default"/>
                <w:color w:val="auto"/>
              </w:rPr>
            </w:pPr>
          </w:p>
        </w:tc>
        <w:tc>
          <w:tcPr>
            <w:tcW w:w="567" w:type="dxa"/>
            <w:vAlign w:val="center"/>
          </w:tcPr>
          <w:p w14:paraId="60BD552F">
            <w:pPr>
              <w:pStyle w:val="167"/>
              <w:keepNext w:val="0"/>
              <w:keepLines w:val="0"/>
              <w:suppressLineNumbers w:val="0"/>
              <w:spacing w:before="0" w:beforeAutospacing="0" w:after="0" w:afterAutospacing="0"/>
              <w:ind w:right="0"/>
              <w:rPr>
                <w:rFonts w:hint="default"/>
                <w:color w:val="auto"/>
              </w:rPr>
            </w:pPr>
          </w:p>
        </w:tc>
        <w:tc>
          <w:tcPr>
            <w:tcW w:w="850" w:type="dxa"/>
            <w:vAlign w:val="center"/>
          </w:tcPr>
          <w:p w14:paraId="5A79E143">
            <w:pPr>
              <w:pStyle w:val="167"/>
              <w:keepNext w:val="0"/>
              <w:keepLines w:val="0"/>
              <w:suppressLineNumbers w:val="0"/>
              <w:spacing w:before="0" w:beforeAutospacing="0" w:after="0" w:afterAutospacing="0"/>
              <w:ind w:right="0"/>
              <w:rPr>
                <w:rFonts w:hint="default"/>
                <w:color w:val="auto"/>
              </w:rPr>
            </w:pPr>
          </w:p>
        </w:tc>
        <w:tc>
          <w:tcPr>
            <w:tcW w:w="567" w:type="dxa"/>
          </w:tcPr>
          <w:p w14:paraId="10C3A47B">
            <w:pPr>
              <w:pStyle w:val="167"/>
              <w:keepNext w:val="0"/>
              <w:keepLines w:val="0"/>
              <w:suppressLineNumbers w:val="0"/>
              <w:spacing w:before="0" w:beforeAutospacing="0" w:after="0" w:afterAutospacing="0"/>
              <w:ind w:right="0"/>
              <w:rPr>
                <w:rFonts w:hint="default"/>
                <w:color w:val="auto"/>
              </w:rPr>
            </w:pPr>
          </w:p>
        </w:tc>
      </w:tr>
      <w:tr w14:paraId="7C270A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08D9432F">
            <w:pPr>
              <w:pStyle w:val="167"/>
              <w:keepNext w:val="0"/>
              <w:keepLines w:val="0"/>
              <w:suppressLineNumbers w:val="0"/>
              <w:spacing w:before="0" w:beforeAutospacing="0" w:after="0" w:afterAutospacing="0"/>
              <w:ind w:right="0"/>
              <w:rPr>
                <w:rFonts w:hint="default"/>
                <w:color w:val="auto"/>
              </w:rPr>
            </w:pPr>
            <w:r>
              <w:rPr>
                <w:rFonts w:hint="default"/>
                <w:color w:val="auto"/>
              </w:rPr>
              <w:t>镉</w:t>
            </w:r>
          </w:p>
        </w:tc>
        <w:tc>
          <w:tcPr>
            <w:tcW w:w="1261" w:type="dxa"/>
            <w:vAlign w:val="center"/>
          </w:tcPr>
          <w:p w14:paraId="11F31A6C">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36496B7D">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39AD747A">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4E5A2C89">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746B50CB">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54077175">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3C987D21">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41053CD8">
            <w:pPr>
              <w:pStyle w:val="167"/>
              <w:keepNext w:val="0"/>
              <w:keepLines w:val="0"/>
              <w:suppressLineNumbers w:val="0"/>
              <w:spacing w:before="0" w:beforeAutospacing="0" w:after="0" w:afterAutospacing="0"/>
              <w:ind w:right="0"/>
              <w:rPr>
                <w:rFonts w:hint="default"/>
                <w:color w:val="auto"/>
              </w:rPr>
            </w:pPr>
          </w:p>
        </w:tc>
        <w:tc>
          <w:tcPr>
            <w:tcW w:w="708" w:type="dxa"/>
          </w:tcPr>
          <w:p w14:paraId="00FC0CDB">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6085CDA0">
            <w:pPr>
              <w:pStyle w:val="167"/>
              <w:keepNext w:val="0"/>
              <w:keepLines w:val="0"/>
              <w:suppressLineNumbers w:val="0"/>
              <w:spacing w:before="0" w:beforeAutospacing="0" w:after="0" w:afterAutospacing="0"/>
              <w:ind w:right="0"/>
              <w:rPr>
                <w:rFonts w:hint="default"/>
                <w:color w:val="auto"/>
              </w:rPr>
            </w:pPr>
          </w:p>
        </w:tc>
        <w:tc>
          <w:tcPr>
            <w:tcW w:w="567" w:type="dxa"/>
            <w:vAlign w:val="center"/>
          </w:tcPr>
          <w:p w14:paraId="082E6971">
            <w:pPr>
              <w:pStyle w:val="167"/>
              <w:keepNext w:val="0"/>
              <w:keepLines w:val="0"/>
              <w:suppressLineNumbers w:val="0"/>
              <w:spacing w:before="0" w:beforeAutospacing="0" w:after="0" w:afterAutospacing="0"/>
              <w:ind w:right="0"/>
              <w:rPr>
                <w:rFonts w:hint="default"/>
                <w:color w:val="auto"/>
              </w:rPr>
            </w:pPr>
          </w:p>
        </w:tc>
        <w:tc>
          <w:tcPr>
            <w:tcW w:w="850" w:type="dxa"/>
            <w:vAlign w:val="center"/>
          </w:tcPr>
          <w:p w14:paraId="778FCBB8">
            <w:pPr>
              <w:pStyle w:val="167"/>
              <w:keepNext w:val="0"/>
              <w:keepLines w:val="0"/>
              <w:suppressLineNumbers w:val="0"/>
              <w:spacing w:before="0" w:beforeAutospacing="0" w:after="0" w:afterAutospacing="0"/>
              <w:ind w:right="0"/>
              <w:rPr>
                <w:rFonts w:hint="default"/>
                <w:color w:val="auto"/>
              </w:rPr>
            </w:pPr>
          </w:p>
        </w:tc>
        <w:tc>
          <w:tcPr>
            <w:tcW w:w="567" w:type="dxa"/>
          </w:tcPr>
          <w:p w14:paraId="62875079">
            <w:pPr>
              <w:pStyle w:val="167"/>
              <w:keepNext w:val="0"/>
              <w:keepLines w:val="0"/>
              <w:suppressLineNumbers w:val="0"/>
              <w:spacing w:before="0" w:beforeAutospacing="0" w:after="0" w:afterAutospacing="0"/>
              <w:ind w:right="0"/>
              <w:rPr>
                <w:rFonts w:hint="default"/>
                <w:color w:val="auto"/>
              </w:rPr>
            </w:pPr>
          </w:p>
        </w:tc>
      </w:tr>
      <w:tr w14:paraId="682F7C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00D9E456">
            <w:pPr>
              <w:pStyle w:val="167"/>
              <w:keepNext w:val="0"/>
              <w:keepLines w:val="0"/>
              <w:suppressLineNumbers w:val="0"/>
              <w:spacing w:before="0" w:beforeAutospacing="0" w:after="0" w:afterAutospacing="0"/>
              <w:ind w:right="0"/>
              <w:rPr>
                <w:rFonts w:hint="default"/>
                <w:color w:val="auto"/>
              </w:rPr>
            </w:pPr>
            <w:r>
              <w:rPr>
                <w:rFonts w:hint="default"/>
                <w:color w:val="auto"/>
              </w:rPr>
              <w:t>溶解性总固体</w:t>
            </w:r>
          </w:p>
        </w:tc>
        <w:tc>
          <w:tcPr>
            <w:tcW w:w="1261" w:type="dxa"/>
            <w:vAlign w:val="center"/>
          </w:tcPr>
          <w:p w14:paraId="42197582">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65BDD3E4">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3E76CB10">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6E58FA9A">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6692E552">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2C7472E7">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0A68C1EB">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6FE3F81C">
            <w:pPr>
              <w:pStyle w:val="167"/>
              <w:keepNext w:val="0"/>
              <w:keepLines w:val="0"/>
              <w:suppressLineNumbers w:val="0"/>
              <w:spacing w:before="0" w:beforeAutospacing="0" w:after="0" w:afterAutospacing="0"/>
              <w:ind w:right="0"/>
              <w:rPr>
                <w:rFonts w:hint="default"/>
                <w:color w:val="auto"/>
              </w:rPr>
            </w:pPr>
          </w:p>
        </w:tc>
        <w:tc>
          <w:tcPr>
            <w:tcW w:w="708" w:type="dxa"/>
          </w:tcPr>
          <w:p w14:paraId="17B23CAA">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2BCE0E37">
            <w:pPr>
              <w:pStyle w:val="167"/>
              <w:keepNext w:val="0"/>
              <w:keepLines w:val="0"/>
              <w:suppressLineNumbers w:val="0"/>
              <w:spacing w:before="0" w:beforeAutospacing="0" w:after="0" w:afterAutospacing="0"/>
              <w:ind w:right="0"/>
              <w:rPr>
                <w:rFonts w:hint="default"/>
                <w:color w:val="auto"/>
              </w:rPr>
            </w:pPr>
          </w:p>
        </w:tc>
        <w:tc>
          <w:tcPr>
            <w:tcW w:w="567" w:type="dxa"/>
          </w:tcPr>
          <w:p w14:paraId="1B042043">
            <w:pPr>
              <w:pStyle w:val="167"/>
              <w:keepNext w:val="0"/>
              <w:keepLines w:val="0"/>
              <w:suppressLineNumbers w:val="0"/>
              <w:spacing w:before="0" w:beforeAutospacing="0" w:after="0" w:afterAutospacing="0"/>
              <w:ind w:right="0"/>
              <w:rPr>
                <w:rFonts w:hint="default"/>
                <w:color w:val="auto"/>
              </w:rPr>
            </w:pPr>
          </w:p>
        </w:tc>
        <w:tc>
          <w:tcPr>
            <w:tcW w:w="850" w:type="dxa"/>
          </w:tcPr>
          <w:p w14:paraId="08565A5F">
            <w:pPr>
              <w:pStyle w:val="167"/>
              <w:keepNext w:val="0"/>
              <w:keepLines w:val="0"/>
              <w:suppressLineNumbers w:val="0"/>
              <w:spacing w:before="0" w:beforeAutospacing="0" w:after="0" w:afterAutospacing="0"/>
              <w:ind w:right="0"/>
              <w:rPr>
                <w:rFonts w:hint="default"/>
                <w:color w:val="auto"/>
              </w:rPr>
            </w:pPr>
          </w:p>
        </w:tc>
        <w:tc>
          <w:tcPr>
            <w:tcW w:w="567" w:type="dxa"/>
          </w:tcPr>
          <w:p w14:paraId="73D5B28B">
            <w:pPr>
              <w:pStyle w:val="167"/>
              <w:keepNext w:val="0"/>
              <w:keepLines w:val="0"/>
              <w:suppressLineNumbers w:val="0"/>
              <w:spacing w:before="0" w:beforeAutospacing="0" w:after="0" w:afterAutospacing="0"/>
              <w:ind w:right="0"/>
              <w:rPr>
                <w:rFonts w:hint="default"/>
                <w:color w:val="auto"/>
              </w:rPr>
            </w:pPr>
          </w:p>
        </w:tc>
      </w:tr>
      <w:tr w14:paraId="6EE907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00B4EF6F">
            <w:pPr>
              <w:pStyle w:val="167"/>
              <w:keepNext w:val="0"/>
              <w:keepLines w:val="0"/>
              <w:suppressLineNumbers w:val="0"/>
              <w:spacing w:before="0" w:beforeAutospacing="0" w:after="0" w:afterAutospacing="0"/>
              <w:ind w:right="0"/>
              <w:rPr>
                <w:rFonts w:hint="default"/>
                <w:color w:val="auto"/>
              </w:rPr>
            </w:pPr>
            <w:r>
              <w:rPr>
                <w:rFonts w:hint="default"/>
                <w:color w:val="auto"/>
              </w:rPr>
              <w:t>铁</w:t>
            </w:r>
          </w:p>
        </w:tc>
        <w:tc>
          <w:tcPr>
            <w:tcW w:w="1261" w:type="dxa"/>
            <w:vAlign w:val="center"/>
          </w:tcPr>
          <w:p w14:paraId="38522A39">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432AAFB0">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57A2D637">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1D00EFAC">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47F75E58">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77EB2D08">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142B8EA9">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660C9B85">
            <w:pPr>
              <w:pStyle w:val="167"/>
              <w:keepNext w:val="0"/>
              <w:keepLines w:val="0"/>
              <w:suppressLineNumbers w:val="0"/>
              <w:spacing w:before="0" w:beforeAutospacing="0" w:after="0" w:afterAutospacing="0"/>
              <w:ind w:right="0"/>
              <w:rPr>
                <w:rFonts w:hint="default"/>
                <w:color w:val="auto"/>
              </w:rPr>
            </w:pPr>
          </w:p>
        </w:tc>
        <w:tc>
          <w:tcPr>
            <w:tcW w:w="708" w:type="dxa"/>
          </w:tcPr>
          <w:p w14:paraId="0CB72B04">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69F9E8EE">
            <w:pPr>
              <w:pStyle w:val="167"/>
              <w:keepNext w:val="0"/>
              <w:keepLines w:val="0"/>
              <w:suppressLineNumbers w:val="0"/>
              <w:spacing w:before="0" w:beforeAutospacing="0" w:after="0" w:afterAutospacing="0"/>
              <w:ind w:right="0"/>
              <w:rPr>
                <w:rFonts w:hint="default"/>
                <w:color w:val="auto"/>
              </w:rPr>
            </w:pPr>
          </w:p>
        </w:tc>
        <w:tc>
          <w:tcPr>
            <w:tcW w:w="567" w:type="dxa"/>
            <w:vAlign w:val="center"/>
          </w:tcPr>
          <w:p w14:paraId="3369E04F">
            <w:pPr>
              <w:pStyle w:val="167"/>
              <w:keepNext w:val="0"/>
              <w:keepLines w:val="0"/>
              <w:suppressLineNumbers w:val="0"/>
              <w:spacing w:before="0" w:beforeAutospacing="0" w:after="0" w:afterAutospacing="0"/>
              <w:ind w:right="0"/>
              <w:rPr>
                <w:rFonts w:hint="default"/>
                <w:color w:val="auto"/>
              </w:rPr>
            </w:pPr>
          </w:p>
        </w:tc>
        <w:tc>
          <w:tcPr>
            <w:tcW w:w="850" w:type="dxa"/>
            <w:vAlign w:val="center"/>
          </w:tcPr>
          <w:p w14:paraId="7FCEF51C">
            <w:pPr>
              <w:pStyle w:val="167"/>
              <w:keepNext w:val="0"/>
              <w:keepLines w:val="0"/>
              <w:suppressLineNumbers w:val="0"/>
              <w:spacing w:before="0" w:beforeAutospacing="0" w:after="0" w:afterAutospacing="0"/>
              <w:ind w:right="0"/>
              <w:rPr>
                <w:rFonts w:hint="default"/>
                <w:color w:val="auto"/>
              </w:rPr>
            </w:pPr>
          </w:p>
        </w:tc>
        <w:tc>
          <w:tcPr>
            <w:tcW w:w="567" w:type="dxa"/>
          </w:tcPr>
          <w:p w14:paraId="419E3F23">
            <w:pPr>
              <w:pStyle w:val="167"/>
              <w:keepNext w:val="0"/>
              <w:keepLines w:val="0"/>
              <w:suppressLineNumbers w:val="0"/>
              <w:spacing w:before="0" w:beforeAutospacing="0" w:after="0" w:afterAutospacing="0"/>
              <w:ind w:right="0"/>
              <w:rPr>
                <w:rFonts w:hint="default"/>
                <w:color w:val="auto"/>
              </w:rPr>
            </w:pPr>
          </w:p>
        </w:tc>
      </w:tr>
      <w:tr w14:paraId="38A93C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7CC7B414">
            <w:pPr>
              <w:pStyle w:val="167"/>
              <w:keepNext w:val="0"/>
              <w:keepLines w:val="0"/>
              <w:suppressLineNumbers w:val="0"/>
              <w:spacing w:before="0" w:beforeAutospacing="0" w:after="0" w:afterAutospacing="0"/>
              <w:ind w:right="0"/>
              <w:rPr>
                <w:rFonts w:hint="default"/>
                <w:color w:val="auto"/>
              </w:rPr>
            </w:pPr>
            <w:r>
              <w:rPr>
                <w:rFonts w:hint="default"/>
                <w:color w:val="auto"/>
              </w:rPr>
              <w:t>锰</w:t>
            </w:r>
          </w:p>
        </w:tc>
        <w:tc>
          <w:tcPr>
            <w:tcW w:w="1261" w:type="dxa"/>
            <w:vAlign w:val="center"/>
          </w:tcPr>
          <w:p w14:paraId="14546C76">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05D1B4D3">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5912C0D7">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3F7CEF2B">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36F01026">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32A85F3E">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005A9469">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2DFC2D2E">
            <w:pPr>
              <w:pStyle w:val="167"/>
              <w:keepNext w:val="0"/>
              <w:keepLines w:val="0"/>
              <w:suppressLineNumbers w:val="0"/>
              <w:spacing w:before="0" w:beforeAutospacing="0" w:after="0" w:afterAutospacing="0"/>
              <w:ind w:right="0"/>
              <w:rPr>
                <w:rFonts w:hint="default"/>
                <w:color w:val="auto"/>
              </w:rPr>
            </w:pPr>
          </w:p>
        </w:tc>
        <w:tc>
          <w:tcPr>
            <w:tcW w:w="708" w:type="dxa"/>
          </w:tcPr>
          <w:p w14:paraId="3E5DF78F">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35EEF381">
            <w:pPr>
              <w:pStyle w:val="167"/>
              <w:keepNext w:val="0"/>
              <w:keepLines w:val="0"/>
              <w:suppressLineNumbers w:val="0"/>
              <w:spacing w:before="0" w:beforeAutospacing="0" w:after="0" w:afterAutospacing="0"/>
              <w:ind w:right="0"/>
              <w:rPr>
                <w:rFonts w:hint="default"/>
                <w:color w:val="auto"/>
              </w:rPr>
            </w:pPr>
          </w:p>
        </w:tc>
        <w:tc>
          <w:tcPr>
            <w:tcW w:w="567" w:type="dxa"/>
            <w:vAlign w:val="center"/>
          </w:tcPr>
          <w:p w14:paraId="2B006B70">
            <w:pPr>
              <w:pStyle w:val="167"/>
              <w:keepNext w:val="0"/>
              <w:keepLines w:val="0"/>
              <w:suppressLineNumbers w:val="0"/>
              <w:spacing w:before="0" w:beforeAutospacing="0" w:after="0" w:afterAutospacing="0"/>
              <w:ind w:right="0"/>
              <w:rPr>
                <w:rFonts w:hint="default"/>
                <w:color w:val="auto"/>
              </w:rPr>
            </w:pPr>
          </w:p>
        </w:tc>
        <w:tc>
          <w:tcPr>
            <w:tcW w:w="850" w:type="dxa"/>
            <w:vAlign w:val="center"/>
          </w:tcPr>
          <w:p w14:paraId="4A267DC8">
            <w:pPr>
              <w:pStyle w:val="167"/>
              <w:keepNext w:val="0"/>
              <w:keepLines w:val="0"/>
              <w:suppressLineNumbers w:val="0"/>
              <w:spacing w:before="0" w:beforeAutospacing="0" w:after="0" w:afterAutospacing="0"/>
              <w:ind w:right="0"/>
              <w:rPr>
                <w:rFonts w:hint="default"/>
                <w:color w:val="auto"/>
              </w:rPr>
            </w:pPr>
          </w:p>
        </w:tc>
        <w:tc>
          <w:tcPr>
            <w:tcW w:w="567" w:type="dxa"/>
          </w:tcPr>
          <w:p w14:paraId="41B4302E">
            <w:pPr>
              <w:pStyle w:val="167"/>
              <w:keepNext w:val="0"/>
              <w:keepLines w:val="0"/>
              <w:suppressLineNumbers w:val="0"/>
              <w:spacing w:before="0" w:beforeAutospacing="0" w:after="0" w:afterAutospacing="0"/>
              <w:ind w:right="0"/>
              <w:rPr>
                <w:rFonts w:hint="default"/>
                <w:color w:val="auto"/>
              </w:rPr>
            </w:pPr>
          </w:p>
        </w:tc>
      </w:tr>
      <w:tr w14:paraId="441B7F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4F7C9119">
            <w:pPr>
              <w:pStyle w:val="167"/>
              <w:keepNext w:val="0"/>
              <w:keepLines w:val="0"/>
              <w:suppressLineNumbers w:val="0"/>
              <w:spacing w:before="0" w:beforeAutospacing="0" w:after="0" w:afterAutospacing="0"/>
              <w:ind w:right="0"/>
              <w:rPr>
                <w:rFonts w:hint="default"/>
                <w:color w:val="auto"/>
              </w:rPr>
            </w:pPr>
            <w:r>
              <w:rPr>
                <w:rFonts w:hint="default"/>
                <w:color w:val="auto"/>
              </w:rPr>
              <w:t>高锰酸盐指数（以O</w:t>
            </w:r>
            <w:r>
              <w:rPr>
                <w:rFonts w:hint="default"/>
                <w:color w:val="auto"/>
                <w:vertAlign w:val="subscript"/>
              </w:rPr>
              <w:t>2</w:t>
            </w:r>
            <w:r>
              <w:rPr>
                <w:rFonts w:hint="default"/>
                <w:color w:val="auto"/>
              </w:rPr>
              <w:t>计）</w:t>
            </w:r>
          </w:p>
        </w:tc>
        <w:tc>
          <w:tcPr>
            <w:tcW w:w="1261" w:type="dxa"/>
            <w:vAlign w:val="center"/>
          </w:tcPr>
          <w:p w14:paraId="78D74E76">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76E9F1A9">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07E8D6B6">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0A81B067">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2C59204F">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723935B6">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17CE7E1B">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67C8965E">
            <w:pPr>
              <w:pStyle w:val="167"/>
              <w:keepNext w:val="0"/>
              <w:keepLines w:val="0"/>
              <w:suppressLineNumbers w:val="0"/>
              <w:spacing w:before="0" w:beforeAutospacing="0" w:after="0" w:afterAutospacing="0"/>
              <w:ind w:right="0"/>
              <w:rPr>
                <w:rFonts w:hint="default"/>
                <w:color w:val="auto"/>
              </w:rPr>
            </w:pPr>
          </w:p>
        </w:tc>
        <w:tc>
          <w:tcPr>
            <w:tcW w:w="708" w:type="dxa"/>
          </w:tcPr>
          <w:p w14:paraId="153D75B5">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71D96742">
            <w:pPr>
              <w:pStyle w:val="167"/>
              <w:keepNext w:val="0"/>
              <w:keepLines w:val="0"/>
              <w:suppressLineNumbers w:val="0"/>
              <w:spacing w:before="0" w:beforeAutospacing="0" w:after="0" w:afterAutospacing="0"/>
              <w:ind w:right="0"/>
              <w:rPr>
                <w:rFonts w:hint="default"/>
                <w:color w:val="auto"/>
              </w:rPr>
            </w:pPr>
          </w:p>
        </w:tc>
        <w:tc>
          <w:tcPr>
            <w:tcW w:w="567" w:type="dxa"/>
            <w:vAlign w:val="center"/>
          </w:tcPr>
          <w:p w14:paraId="3C5B4C42">
            <w:pPr>
              <w:pStyle w:val="167"/>
              <w:keepNext w:val="0"/>
              <w:keepLines w:val="0"/>
              <w:suppressLineNumbers w:val="0"/>
              <w:spacing w:before="0" w:beforeAutospacing="0" w:after="0" w:afterAutospacing="0"/>
              <w:ind w:right="0"/>
              <w:rPr>
                <w:rFonts w:hint="default"/>
                <w:color w:val="auto"/>
              </w:rPr>
            </w:pPr>
          </w:p>
        </w:tc>
        <w:tc>
          <w:tcPr>
            <w:tcW w:w="850" w:type="dxa"/>
            <w:vAlign w:val="center"/>
          </w:tcPr>
          <w:p w14:paraId="15894E6E">
            <w:pPr>
              <w:pStyle w:val="167"/>
              <w:keepNext w:val="0"/>
              <w:keepLines w:val="0"/>
              <w:suppressLineNumbers w:val="0"/>
              <w:spacing w:before="0" w:beforeAutospacing="0" w:after="0" w:afterAutospacing="0"/>
              <w:ind w:right="0"/>
              <w:rPr>
                <w:rFonts w:hint="default"/>
                <w:color w:val="auto"/>
              </w:rPr>
            </w:pPr>
          </w:p>
        </w:tc>
        <w:tc>
          <w:tcPr>
            <w:tcW w:w="567" w:type="dxa"/>
          </w:tcPr>
          <w:p w14:paraId="4F928C41">
            <w:pPr>
              <w:pStyle w:val="167"/>
              <w:keepNext w:val="0"/>
              <w:keepLines w:val="0"/>
              <w:suppressLineNumbers w:val="0"/>
              <w:spacing w:before="0" w:beforeAutospacing="0" w:after="0" w:afterAutospacing="0"/>
              <w:ind w:right="0"/>
              <w:rPr>
                <w:rFonts w:hint="default"/>
                <w:color w:val="auto"/>
              </w:rPr>
            </w:pPr>
          </w:p>
        </w:tc>
      </w:tr>
      <w:tr w14:paraId="2D02D9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6DFAA5DC">
            <w:pPr>
              <w:pStyle w:val="167"/>
              <w:keepNext w:val="0"/>
              <w:keepLines w:val="0"/>
              <w:suppressLineNumbers w:val="0"/>
              <w:spacing w:before="0" w:beforeAutospacing="0" w:after="0" w:afterAutospacing="0"/>
              <w:ind w:right="0"/>
              <w:rPr>
                <w:rFonts w:hint="default"/>
                <w:color w:val="auto"/>
              </w:rPr>
            </w:pPr>
            <w:r>
              <w:rPr>
                <w:rFonts w:hint="default"/>
                <w:color w:val="auto"/>
              </w:rPr>
              <w:t>总大肠菌群</w:t>
            </w:r>
          </w:p>
        </w:tc>
        <w:tc>
          <w:tcPr>
            <w:tcW w:w="1261" w:type="dxa"/>
            <w:vAlign w:val="center"/>
          </w:tcPr>
          <w:p w14:paraId="43B9D93D">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4BCFDDCA">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007C660E">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3F63C821">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720177CC">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3D5DC24C">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50F3BABF">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315002C3">
            <w:pPr>
              <w:pStyle w:val="167"/>
              <w:keepNext w:val="0"/>
              <w:keepLines w:val="0"/>
              <w:suppressLineNumbers w:val="0"/>
              <w:spacing w:before="0" w:beforeAutospacing="0" w:after="0" w:afterAutospacing="0"/>
              <w:ind w:right="0"/>
              <w:rPr>
                <w:rFonts w:hint="default"/>
                <w:color w:val="auto"/>
              </w:rPr>
            </w:pPr>
          </w:p>
        </w:tc>
        <w:tc>
          <w:tcPr>
            <w:tcW w:w="708" w:type="dxa"/>
          </w:tcPr>
          <w:p w14:paraId="6586B05B">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7B2871C4">
            <w:pPr>
              <w:pStyle w:val="167"/>
              <w:keepNext w:val="0"/>
              <w:keepLines w:val="0"/>
              <w:suppressLineNumbers w:val="0"/>
              <w:spacing w:before="0" w:beforeAutospacing="0" w:after="0" w:afterAutospacing="0"/>
              <w:ind w:right="0"/>
              <w:rPr>
                <w:rFonts w:hint="default"/>
                <w:color w:val="auto"/>
              </w:rPr>
            </w:pPr>
          </w:p>
        </w:tc>
        <w:tc>
          <w:tcPr>
            <w:tcW w:w="567" w:type="dxa"/>
            <w:vAlign w:val="center"/>
          </w:tcPr>
          <w:p w14:paraId="59A15CD2">
            <w:pPr>
              <w:pStyle w:val="167"/>
              <w:keepNext w:val="0"/>
              <w:keepLines w:val="0"/>
              <w:suppressLineNumbers w:val="0"/>
              <w:spacing w:before="0" w:beforeAutospacing="0" w:after="0" w:afterAutospacing="0"/>
              <w:ind w:right="0"/>
              <w:rPr>
                <w:rFonts w:hint="default"/>
                <w:color w:val="auto"/>
              </w:rPr>
            </w:pPr>
          </w:p>
        </w:tc>
        <w:tc>
          <w:tcPr>
            <w:tcW w:w="850" w:type="dxa"/>
            <w:vAlign w:val="center"/>
          </w:tcPr>
          <w:p w14:paraId="1E72BE6E">
            <w:pPr>
              <w:pStyle w:val="167"/>
              <w:keepNext w:val="0"/>
              <w:keepLines w:val="0"/>
              <w:suppressLineNumbers w:val="0"/>
              <w:spacing w:before="0" w:beforeAutospacing="0" w:after="0" w:afterAutospacing="0"/>
              <w:ind w:right="0"/>
              <w:rPr>
                <w:rFonts w:hint="default"/>
                <w:color w:val="auto"/>
              </w:rPr>
            </w:pPr>
          </w:p>
        </w:tc>
        <w:tc>
          <w:tcPr>
            <w:tcW w:w="567" w:type="dxa"/>
          </w:tcPr>
          <w:p w14:paraId="33004925">
            <w:pPr>
              <w:pStyle w:val="167"/>
              <w:keepNext w:val="0"/>
              <w:keepLines w:val="0"/>
              <w:suppressLineNumbers w:val="0"/>
              <w:spacing w:before="0" w:beforeAutospacing="0" w:after="0" w:afterAutospacing="0"/>
              <w:ind w:right="0"/>
              <w:rPr>
                <w:rFonts w:hint="default"/>
                <w:color w:val="auto"/>
              </w:rPr>
            </w:pPr>
          </w:p>
        </w:tc>
      </w:tr>
      <w:tr w14:paraId="5EAED5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1701" w:type="dxa"/>
            <w:vAlign w:val="center"/>
          </w:tcPr>
          <w:p w14:paraId="6158FB0E">
            <w:pPr>
              <w:pStyle w:val="167"/>
              <w:keepNext w:val="0"/>
              <w:keepLines w:val="0"/>
              <w:suppressLineNumbers w:val="0"/>
              <w:spacing w:before="0" w:beforeAutospacing="0" w:after="0" w:afterAutospacing="0"/>
              <w:ind w:right="0"/>
              <w:rPr>
                <w:rFonts w:hint="default"/>
                <w:color w:val="auto"/>
              </w:rPr>
            </w:pPr>
            <w:r>
              <w:rPr>
                <w:rFonts w:hint="default"/>
                <w:color w:val="auto"/>
              </w:rPr>
              <w:t>细菌总数</w:t>
            </w:r>
          </w:p>
        </w:tc>
        <w:tc>
          <w:tcPr>
            <w:tcW w:w="1261" w:type="dxa"/>
            <w:vAlign w:val="center"/>
          </w:tcPr>
          <w:p w14:paraId="2DA42C1E">
            <w:pPr>
              <w:pStyle w:val="167"/>
              <w:keepNext w:val="0"/>
              <w:keepLines w:val="0"/>
              <w:suppressLineNumbers w:val="0"/>
              <w:spacing w:before="0" w:beforeAutospacing="0" w:after="0" w:afterAutospacing="0"/>
              <w:ind w:right="0"/>
              <w:rPr>
                <w:rFonts w:hint="default"/>
                <w:color w:val="auto"/>
              </w:rPr>
            </w:pPr>
          </w:p>
        </w:tc>
        <w:tc>
          <w:tcPr>
            <w:tcW w:w="1276" w:type="dxa"/>
            <w:vAlign w:val="center"/>
          </w:tcPr>
          <w:p w14:paraId="0E3D412F">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5EFA6A16">
            <w:pPr>
              <w:pStyle w:val="167"/>
              <w:keepNext w:val="0"/>
              <w:keepLines w:val="0"/>
              <w:suppressLineNumbers w:val="0"/>
              <w:spacing w:before="0" w:beforeAutospacing="0" w:after="0" w:afterAutospacing="0"/>
              <w:ind w:right="0"/>
              <w:rPr>
                <w:rFonts w:hint="default"/>
                <w:color w:val="auto"/>
              </w:rPr>
            </w:pPr>
          </w:p>
        </w:tc>
        <w:tc>
          <w:tcPr>
            <w:tcW w:w="1134" w:type="dxa"/>
            <w:vAlign w:val="center"/>
          </w:tcPr>
          <w:p w14:paraId="47C4A8CE">
            <w:pPr>
              <w:pStyle w:val="167"/>
              <w:keepNext w:val="0"/>
              <w:keepLines w:val="0"/>
              <w:suppressLineNumbers w:val="0"/>
              <w:spacing w:before="0" w:beforeAutospacing="0" w:after="0" w:afterAutospacing="0"/>
              <w:ind w:right="0"/>
              <w:rPr>
                <w:rFonts w:hint="default"/>
                <w:color w:val="auto"/>
              </w:rPr>
            </w:pPr>
          </w:p>
        </w:tc>
        <w:tc>
          <w:tcPr>
            <w:tcW w:w="992" w:type="dxa"/>
            <w:vAlign w:val="center"/>
          </w:tcPr>
          <w:p w14:paraId="5E8CC65E">
            <w:pPr>
              <w:pStyle w:val="167"/>
              <w:keepNext w:val="0"/>
              <w:keepLines w:val="0"/>
              <w:suppressLineNumbers w:val="0"/>
              <w:spacing w:before="0" w:beforeAutospacing="0" w:after="0" w:afterAutospacing="0"/>
              <w:ind w:right="0"/>
              <w:rPr>
                <w:rFonts w:hint="default"/>
                <w:color w:val="auto"/>
              </w:rPr>
            </w:pPr>
          </w:p>
        </w:tc>
        <w:tc>
          <w:tcPr>
            <w:tcW w:w="1134" w:type="dxa"/>
            <w:vAlign w:val="bottom"/>
          </w:tcPr>
          <w:p w14:paraId="59A2F4B1">
            <w:pPr>
              <w:pStyle w:val="167"/>
              <w:keepNext w:val="0"/>
              <w:keepLines w:val="0"/>
              <w:suppressLineNumbers w:val="0"/>
              <w:spacing w:before="0" w:beforeAutospacing="0" w:after="0" w:afterAutospacing="0"/>
              <w:ind w:right="0"/>
              <w:rPr>
                <w:rFonts w:hint="default"/>
                <w:color w:val="auto"/>
              </w:rPr>
            </w:pPr>
          </w:p>
        </w:tc>
        <w:tc>
          <w:tcPr>
            <w:tcW w:w="709" w:type="dxa"/>
            <w:vAlign w:val="center"/>
          </w:tcPr>
          <w:p w14:paraId="5B91FD65">
            <w:pPr>
              <w:pStyle w:val="167"/>
              <w:keepNext w:val="0"/>
              <w:keepLines w:val="0"/>
              <w:suppressLineNumbers w:val="0"/>
              <w:spacing w:before="0" w:beforeAutospacing="0" w:after="0" w:afterAutospacing="0"/>
              <w:ind w:right="0"/>
              <w:rPr>
                <w:rFonts w:hint="default"/>
                <w:color w:val="auto"/>
              </w:rPr>
            </w:pPr>
          </w:p>
        </w:tc>
        <w:tc>
          <w:tcPr>
            <w:tcW w:w="851" w:type="dxa"/>
            <w:vAlign w:val="center"/>
          </w:tcPr>
          <w:p w14:paraId="0AB2F665">
            <w:pPr>
              <w:pStyle w:val="167"/>
              <w:keepNext w:val="0"/>
              <w:keepLines w:val="0"/>
              <w:suppressLineNumbers w:val="0"/>
              <w:spacing w:before="0" w:beforeAutospacing="0" w:after="0" w:afterAutospacing="0"/>
              <w:ind w:right="0"/>
              <w:rPr>
                <w:rFonts w:hint="default"/>
                <w:color w:val="auto"/>
              </w:rPr>
            </w:pPr>
          </w:p>
        </w:tc>
        <w:tc>
          <w:tcPr>
            <w:tcW w:w="708" w:type="dxa"/>
          </w:tcPr>
          <w:p w14:paraId="0EA326FC">
            <w:pPr>
              <w:pStyle w:val="167"/>
              <w:keepNext w:val="0"/>
              <w:keepLines w:val="0"/>
              <w:suppressLineNumbers w:val="0"/>
              <w:spacing w:before="0" w:beforeAutospacing="0" w:after="0" w:afterAutospacing="0"/>
              <w:ind w:right="0"/>
              <w:rPr>
                <w:rFonts w:hint="default"/>
                <w:color w:val="auto"/>
              </w:rPr>
            </w:pPr>
          </w:p>
        </w:tc>
        <w:tc>
          <w:tcPr>
            <w:tcW w:w="851" w:type="dxa"/>
            <w:gridSpan w:val="2"/>
            <w:vAlign w:val="bottom"/>
          </w:tcPr>
          <w:p w14:paraId="241B3E0E">
            <w:pPr>
              <w:pStyle w:val="167"/>
              <w:keepNext w:val="0"/>
              <w:keepLines w:val="0"/>
              <w:suppressLineNumbers w:val="0"/>
              <w:spacing w:before="0" w:beforeAutospacing="0" w:after="0" w:afterAutospacing="0"/>
              <w:ind w:right="0"/>
              <w:rPr>
                <w:rFonts w:hint="default"/>
                <w:color w:val="auto"/>
              </w:rPr>
            </w:pPr>
          </w:p>
        </w:tc>
        <w:tc>
          <w:tcPr>
            <w:tcW w:w="567" w:type="dxa"/>
            <w:vAlign w:val="center"/>
          </w:tcPr>
          <w:p w14:paraId="442874E1">
            <w:pPr>
              <w:pStyle w:val="167"/>
              <w:keepNext w:val="0"/>
              <w:keepLines w:val="0"/>
              <w:suppressLineNumbers w:val="0"/>
              <w:spacing w:before="0" w:beforeAutospacing="0" w:after="0" w:afterAutospacing="0"/>
              <w:ind w:right="0"/>
              <w:rPr>
                <w:rFonts w:hint="default"/>
                <w:color w:val="auto"/>
              </w:rPr>
            </w:pPr>
          </w:p>
        </w:tc>
        <w:tc>
          <w:tcPr>
            <w:tcW w:w="850" w:type="dxa"/>
            <w:vAlign w:val="center"/>
          </w:tcPr>
          <w:p w14:paraId="5F18B4C0">
            <w:pPr>
              <w:pStyle w:val="167"/>
              <w:keepNext w:val="0"/>
              <w:keepLines w:val="0"/>
              <w:suppressLineNumbers w:val="0"/>
              <w:spacing w:before="0" w:beforeAutospacing="0" w:after="0" w:afterAutospacing="0"/>
              <w:ind w:right="0"/>
              <w:rPr>
                <w:rFonts w:hint="default"/>
                <w:color w:val="auto"/>
              </w:rPr>
            </w:pPr>
          </w:p>
        </w:tc>
        <w:tc>
          <w:tcPr>
            <w:tcW w:w="567" w:type="dxa"/>
          </w:tcPr>
          <w:p w14:paraId="51DB21DC">
            <w:pPr>
              <w:pStyle w:val="167"/>
              <w:keepNext w:val="0"/>
              <w:keepLines w:val="0"/>
              <w:suppressLineNumbers w:val="0"/>
              <w:spacing w:before="0" w:beforeAutospacing="0" w:after="0" w:afterAutospacing="0"/>
              <w:ind w:right="0"/>
              <w:rPr>
                <w:rFonts w:hint="default"/>
                <w:color w:val="auto"/>
              </w:rPr>
            </w:pPr>
          </w:p>
        </w:tc>
      </w:tr>
    </w:tbl>
    <w:p w14:paraId="7438F542">
      <w:pPr>
        <w:pStyle w:val="117"/>
        <w:rPr>
          <w:color w:val="auto"/>
          <w:sz w:val="21"/>
          <w:szCs w:val="21"/>
          <w:lang w:val="zh-CN"/>
        </w:rPr>
      </w:pPr>
      <w:r>
        <w:rPr>
          <w:color w:val="auto"/>
        </w:rPr>
        <w:t>注：监测结果低于检出限用</w:t>
      </w:r>
      <w:r>
        <w:rPr>
          <w:rFonts w:hint="eastAsia"/>
          <w:color w:val="auto"/>
        </w:rPr>
        <w:t>“ND”表示</w:t>
      </w:r>
    </w:p>
    <w:p w14:paraId="4825D778">
      <w:pPr>
        <w:widowControl/>
        <w:adjustRightInd w:val="0"/>
        <w:snapToGrid w:val="0"/>
        <w:spacing w:line="0" w:lineRule="atLeast"/>
        <w:ind w:firstLine="0" w:firstLineChars="0"/>
        <w:jc w:val="center"/>
        <w:rPr>
          <w:color w:val="auto"/>
          <w:sz w:val="21"/>
          <w:szCs w:val="21"/>
          <w:lang w:val="zh-CN"/>
        </w:rPr>
      </w:pPr>
    </w:p>
    <w:p w14:paraId="6EC7DF0C">
      <w:pPr>
        <w:widowControl/>
        <w:adjustRightInd w:val="0"/>
        <w:snapToGrid w:val="0"/>
        <w:spacing w:line="0" w:lineRule="atLeast"/>
        <w:ind w:firstLine="0" w:firstLineChars="0"/>
        <w:jc w:val="center"/>
        <w:rPr>
          <w:color w:val="auto"/>
          <w:sz w:val="21"/>
          <w:szCs w:val="21"/>
          <w:lang w:val="zh-CN"/>
        </w:rPr>
      </w:pPr>
    </w:p>
    <w:p w14:paraId="04C4C201">
      <w:pPr>
        <w:widowControl/>
        <w:adjustRightInd w:val="0"/>
        <w:snapToGrid w:val="0"/>
        <w:spacing w:line="0" w:lineRule="atLeast"/>
        <w:ind w:firstLine="0" w:firstLineChars="0"/>
        <w:jc w:val="center"/>
        <w:rPr>
          <w:color w:val="auto"/>
          <w:sz w:val="21"/>
          <w:szCs w:val="21"/>
          <w:lang w:val="zh-CN"/>
        </w:rPr>
      </w:pPr>
    </w:p>
    <w:p w14:paraId="0B53508C">
      <w:pPr>
        <w:widowControl/>
        <w:ind w:firstLine="0" w:firstLineChars="0"/>
        <w:jc w:val="left"/>
        <w:rPr>
          <w:b/>
          <w:color w:val="auto"/>
          <w:sz w:val="21"/>
          <w:szCs w:val="20"/>
        </w:rPr>
        <w:sectPr>
          <w:headerReference r:id="rId22" w:type="default"/>
          <w:pgSz w:w="16838" w:h="11906" w:orient="landscape"/>
          <w:pgMar w:top="1418" w:right="1412" w:bottom="1418" w:left="1412" w:header="720" w:footer="720" w:gutter="0"/>
          <w:cols w:space="720" w:num="1"/>
          <w:docGrid w:linePitch="326" w:charSpace="0"/>
        </w:sectPr>
      </w:pPr>
    </w:p>
    <w:p w14:paraId="1645B678">
      <w:pPr>
        <w:pStyle w:val="5"/>
        <w:rPr>
          <w:color w:val="auto"/>
        </w:rPr>
      </w:pPr>
      <w:bookmarkStart w:id="438" w:name="_Toc25436976"/>
      <w:bookmarkStart w:id="439" w:name="_Toc223595767"/>
      <w:bookmarkStart w:id="440" w:name="_Toc136878485"/>
      <w:bookmarkStart w:id="441" w:name="_Toc135090231"/>
      <w:bookmarkStart w:id="442" w:name="_Toc26910021"/>
      <w:bookmarkStart w:id="443" w:name="_Toc223258476"/>
      <w:bookmarkStart w:id="444" w:name="_Toc29131834"/>
      <w:r>
        <w:rPr>
          <w:color w:val="auto"/>
        </w:rPr>
        <w:t>声环境质量现状调查与评价</w:t>
      </w:r>
      <w:bookmarkEnd w:id="438"/>
      <w:bookmarkEnd w:id="439"/>
      <w:bookmarkEnd w:id="440"/>
      <w:bookmarkEnd w:id="441"/>
      <w:bookmarkEnd w:id="442"/>
      <w:bookmarkEnd w:id="443"/>
      <w:bookmarkEnd w:id="444"/>
    </w:p>
    <w:p w14:paraId="0B75E87F">
      <w:pPr>
        <w:pStyle w:val="4"/>
        <w:rPr>
          <w:color w:val="auto"/>
        </w:rPr>
      </w:pPr>
      <w:bookmarkStart w:id="445" w:name="_Toc136878486"/>
      <w:bookmarkStart w:id="446" w:name="_Toc216620550"/>
      <w:r>
        <w:rPr>
          <w:color w:val="auto"/>
        </w:rPr>
        <w:t>监测点布设</w:t>
      </w:r>
      <w:bookmarkEnd w:id="445"/>
      <w:bookmarkEnd w:id="446"/>
    </w:p>
    <w:p w14:paraId="45650DE1">
      <w:pPr>
        <w:ind w:firstLine="480"/>
        <w:rPr>
          <w:color w:val="auto"/>
          <w:kern w:val="0"/>
          <w:szCs w:val="22"/>
        </w:rPr>
      </w:pPr>
      <w:r>
        <w:rPr>
          <w:color w:val="auto"/>
          <w:kern w:val="0"/>
          <w:szCs w:val="22"/>
        </w:rPr>
        <w:t>本次评价在项目厂界设置4个厂界噪声监测点，点位信息见表3.5-1。</w:t>
      </w:r>
    </w:p>
    <w:p w14:paraId="50D23DFD">
      <w:pPr>
        <w:pStyle w:val="14"/>
        <w:rPr>
          <w:color w:val="auto"/>
        </w:rPr>
      </w:pPr>
      <w:r>
        <w:rPr>
          <w:rFonts w:hint="eastAsia"/>
          <w:color w:val="auto"/>
        </w:rPr>
        <w:t>表</w:t>
      </w:r>
      <w:r>
        <w:rPr>
          <w:color w:val="auto"/>
        </w:rPr>
        <w:t>3.5</w:t>
      </w:r>
      <w:r>
        <w:rPr>
          <w:color w:val="auto"/>
        </w:rPr>
        <w:noBreakHyphen/>
      </w:r>
      <w:r>
        <w:rPr>
          <w:color w:val="auto"/>
        </w:rPr>
        <w:t>1声环境监测点布设</w:t>
      </w:r>
    </w:p>
    <w:tbl>
      <w:tblPr>
        <w:tblStyle w:val="43"/>
        <w:tblW w:w="874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71"/>
        <w:gridCol w:w="3608"/>
        <w:gridCol w:w="1874"/>
        <w:gridCol w:w="2187"/>
      </w:tblGrid>
      <w:tr w14:paraId="604BC7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71" w:type="dxa"/>
            <w:vAlign w:val="center"/>
          </w:tcPr>
          <w:p w14:paraId="2CA0F72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kern w:val="0"/>
                <w:sz w:val="21"/>
                <w:szCs w:val="21"/>
              </w:rPr>
            </w:pPr>
            <w:r>
              <w:rPr>
                <w:rFonts w:hint="default"/>
                <w:b/>
                <w:color w:val="auto"/>
                <w:kern w:val="0"/>
                <w:sz w:val="21"/>
                <w:szCs w:val="21"/>
              </w:rPr>
              <w:t>编号</w:t>
            </w:r>
          </w:p>
        </w:tc>
        <w:tc>
          <w:tcPr>
            <w:tcW w:w="3608" w:type="dxa"/>
            <w:vAlign w:val="center"/>
          </w:tcPr>
          <w:p w14:paraId="3636E17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kern w:val="0"/>
                <w:sz w:val="21"/>
                <w:szCs w:val="21"/>
              </w:rPr>
            </w:pPr>
            <w:r>
              <w:rPr>
                <w:rFonts w:hint="default"/>
                <w:b/>
                <w:color w:val="auto"/>
                <w:kern w:val="0"/>
                <w:sz w:val="21"/>
                <w:szCs w:val="21"/>
              </w:rPr>
              <w:t>点位名称</w:t>
            </w:r>
          </w:p>
        </w:tc>
        <w:tc>
          <w:tcPr>
            <w:tcW w:w="1874" w:type="dxa"/>
            <w:vAlign w:val="center"/>
          </w:tcPr>
          <w:p w14:paraId="7273AE6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kern w:val="0"/>
                <w:sz w:val="21"/>
                <w:szCs w:val="21"/>
              </w:rPr>
            </w:pPr>
            <w:r>
              <w:rPr>
                <w:rFonts w:hint="default"/>
                <w:b/>
                <w:color w:val="auto"/>
                <w:kern w:val="0"/>
                <w:sz w:val="21"/>
                <w:szCs w:val="21"/>
              </w:rPr>
              <w:t>点位位置</w:t>
            </w:r>
          </w:p>
        </w:tc>
        <w:tc>
          <w:tcPr>
            <w:tcW w:w="2187" w:type="dxa"/>
            <w:vAlign w:val="center"/>
          </w:tcPr>
          <w:p w14:paraId="5AF7678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kern w:val="0"/>
                <w:sz w:val="21"/>
                <w:szCs w:val="21"/>
              </w:rPr>
            </w:pPr>
            <w:r>
              <w:rPr>
                <w:rFonts w:hint="default"/>
                <w:b/>
                <w:color w:val="auto"/>
                <w:kern w:val="0"/>
                <w:sz w:val="21"/>
                <w:szCs w:val="21"/>
              </w:rPr>
              <w:t>点位性质</w:t>
            </w:r>
          </w:p>
        </w:tc>
      </w:tr>
      <w:tr w14:paraId="424237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71" w:type="dxa"/>
            <w:vAlign w:val="center"/>
          </w:tcPr>
          <w:p w14:paraId="563D569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2"/>
              </w:rPr>
            </w:pPr>
            <w:r>
              <w:rPr>
                <w:rFonts w:hint="default"/>
                <w:color w:val="auto"/>
                <w:kern w:val="0"/>
                <w:sz w:val="21"/>
                <w:szCs w:val="22"/>
              </w:rPr>
              <w:t>N1</w:t>
            </w:r>
          </w:p>
        </w:tc>
        <w:tc>
          <w:tcPr>
            <w:tcW w:w="3608" w:type="dxa"/>
            <w:vAlign w:val="center"/>
          </w:tcPr>
          <w:p w14:paraId="0A30E65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shd w:val="clear" w:color="auto" w:fill="FFFFFF"/>
              </w:rPr>
              <w:t>厂界东面</w:t>
            </w:r>
          </w:p>
        </w:tc>
        <w:tc>
          <w:tcPr>
            <w:tcW w:w="1874" w:type="dxa"/>
            <w:vAlign w:val="center"/>
          </w:tcPr>
          <w:p w14:paraId="11020DA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shd w:val="clear" w:color="auto" w:fill="FFFFFF"/>
              </w:rPr>
              <w:t>厂界</w:t>
            </w:r>
          </w:p>
        </w:tc>
        <w:tc>
          <w:tcPr>
            <w:tcW w:w="2187" w:type="dxa"/>
            <w:vAlign w:val="center"/>
          </w:tcPr>
          <w:p w14:paraId="16D3467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厂界噪声</w:t>
            </w:r>
          </w:p>
        </w:tc>
      </w:tr>
      <w:tr w14:paraId="047546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71" w:type="dxa"/>
            <w:vAlign w:val="center"/>
          </w:tcPr>
          <w:p w14:paraId="0154B99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2"/>
              </w:rPr>
            </w:pPr>
            <w:r>
              <w:rPr>
                <w:rFonts w:hint="default"/>
                <w:color w:val="auto"/>
                <w:kern w:val="0"/>
                <w:sz w:val="21"/>
                <w:szCs w:val="22"/>
              </w:rPr>
              <w:t>N2</w:t>
            </w:r>
          </w:p>
        </w:tc>
        <w:tc>
          <w:tcPr>
            <w:tcW w:w="3608" w:type="dxa"/>
            <w:vAlign w:val="center"/>
          </w:tcPr>
          <w:p w14:paraId="2A60DF2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shd w:val="clear" w:color="auto" w:fill="FFFFFF"/>
              </w:rPr>
              <w:t>厂界南面</w:t>
            </w:r>
          </w:p>
        </w:tc>
        <w:tc>
          <w:tcPr>
            <w:tcW w:w="1874" w:type="dxa"/>
            <w:vAlign w:val="center"/>
          </w:tcPr>
          <w:p w14:paraId="615C9F7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shd w:val="clear" w:color="auto" w:fill="FFFFFF"/>
              </w:rPr>
              <w:t>厂界</w:t>
            </w:r>
          </w:p>
        </w:tc>
        <w:tc>
          <w:tcPr>
            <w:tcW w:w="2187" w:type="dxa"/>
            <w:vAlign w:val="center"/>
          </w:tcPr>
          <w:p w14:paraId="395EC9E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厂界噪声</w:t>
            </w:r>
          </w:p>
        </w:tc>
      </w:tr>
      <w:tr w14:paraId="326BBF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 w:hRule="atLeast"/>
          <w:tblHeader/>
          <w:jc w:val="center"/>
        </w:trPr>
        <w:tc>
          <w:tcPr>
            <w:tcW w:w="1071" w:type="dxa"/>
            <w:vAlign w:val="center"/>
          </w:tcPr>
          <w:p w14:paraId="221FF3E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2"/>
              </w:rPr>
            </w:pPr>
            <w:r>
              <w:rPr>
                <w:rFonts w:hint="default"/>
                <w:color w:val="auto"/>
                <w:kern w:val="0"/>
                <w:sz w:val="21"/>
                <w:szCs w:val="22"/>
              </w:rPr>
              <w:t>N3</w:t>
            </w:r>
          </w:p>
        </w:tc>
        <w:tc>
          <w:tcPr>
            <w:tcW w:w="3608" w:type="dxa"/>
            <w:vAlign w:val="center"/>
          </w:tcPr>
          <w:p w14:paraId="3EDBA6C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shd w:val="clear" w:color="auto" w:fill="FFFFFF"/>
              </w:rPr>
              <w:t>厂界西面</w:t>
            </w:r>
          </w:p>
        </w:tc>
        <w:tc>
          <w:tcPr>
            <w:tcW w:w="1874" w:type="dxa"/>
            <w:vAlign w:val="center"/>
          </w:tcPr>
          <w:p w14:paraId="0B98ED7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shd w:val="clear" w:color="auto" w:fill="FFFFFF"/>
              </w:rPr>
              <w:t>厂界</w:t>
            </w:r>
          </w:p>
        </w:tc>
        <w:tc>
          <w:tcPr>
            <w:tcW w:w="2187" w:type="dxa"/>
            <w:vAlign w:val="center"/>
          </w:tcPr>
          <w:p w14:paraId="04D9CBC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厂界噪声</w:t>
            </w:r>
          </w:p>
        </w:tc>
      </w:tr>
      <w:tr w14:paraId="632DE9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71" w:type="dxa"/>
            <w:vAlign w:val="center"/>
          </w:tcPr>
          <w:p w14:paraId="6AA4372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N4</w:t>
            </w:r>
          </w:p>
        </w:tc>
        <w:tc>
          <w:tcPr>
            <w:tcW w:w="3608" w:type="dxa"/>
            <w:vAlign w:val="center"/>
          </w:tcPr>
          <w:p w14:paraId="38E4593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shd w:val="clear" w:color="auto" w:fill="FFFFFF"/>
              </w:rPr>
              <w:t>厂界北面</w:t>
            </w:r>
          </w:p>
        </w:tc>
        <w:tc>
          <w:tcPr>
            <w:tcW w:w="1874" w:type="dxa"/>
            <w:vAlign w:val="center"/>
          </w:tcPr>
          <w:p w14:paraId="2B4047F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shd w:val="clear" w:color="auto" w:fill="FFFFFF"/>
              </w:rPr>
              <w:t>厂界</w:t>
            </w:r>
          </w:p>
        </w:tc>
        <w:tc>
          <w:tcPr>
            <w:tcW w:w="2187" w:type="dxa"/>
            <w:vAlign w:val="center"/>
          </w:tcPr>
          <w:p w14:paraId="5C166BA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厂界噪声</w:t>
            </w:r>
          </w:p>
        </w:tc>
      </w:tr>
    </w:tbl>
    <w:p w14:paraId="7374CCCA">
      <w:pPr>
        <w:pStyle w:val="4"/>
        <w:rPr>
          <w:color w:val="auto"/>
        </w:rPr>
      </w:pPr>
      <w:bookmarkStart w:id="447" w:name="_Toc136878487"/>
      <w:bookmarkStart w:id="448" w:name="_Toc216620551"/>
      <w:r>
        <w:rPr>
          <w:color w:val="auto"/>
        </w:rPr>
        <w:t>监测因子与监测方法</w:t>
      </w:r>
      <w:bookmarkEnd w:id="447"/>
      <w:bookmarkEnd w:id="448"/>
    </w:p>
    <w:p w14:paraId="62E16674">
      <w:pPr>
        <w:ind w:firstLine="480"/>
        <w:rPr>
          <w:color w:val="auto"/>
          <w:kern w:val="0"/>
          <w:szCs w:val="22"/>
        </w:rPr>
      </w:pPr>
      <w:r>
        <w:rPr>
          <w:color w:val="auto"/>
          <w:kern w:val="0"/>
          <w:szCs w:val="22"/>
        </w:rPr>
        <w:t>监测因子：等效连续A声级。</w:t>
      </w:r>
    </w:p>
    <w:p w14:paraId="7C2460C1">
      <w:pPr>
        <w:ind w:firstLine="480"/>
        <w:rPr>
          <w:color w:val="auto"/>
          <w:kern w:val="0"/>
          <w:szCs w:val="22"/>
        </w:rPr>
      </w:pPr>
      <w:r>
        <w:rPr>
          <w:color w:val="auto"/>
          <w:kern w:val="0"/>
          <w:szCs w:val="22"/>
        </w:rPr>
        <w:t>监测方法：按照</w:t>
      </w:r>
      <w:r>
        <w:rPr>
          <w:color w:val="auto"/>
        </w:rPr>
        <w:t>《</w:t>
      </w:r>
      <w:r>
        <w:rPr>
          <w:rFonts w:hint="eastAsia"/>
          <w:color w:val="auto"/>
        </w:rPr>
        <w:t>声环境质量</w:t>
      </w:r>
      <w:r>
        <w:rPr>
          <w:color w:val="auto"/>
        </w:rPr>
        <w:t>标准》（GB</w:t>
      </w:r>
      <w:r>
        <w:rPr>
          <w:rFonts w:hint="eastAsia"/>
          <w:color w:val="auto"/>
        </w:rPr>
        <w:t>/T15190</w:t>
      </w:r>
      <w:r>
        <w:rPr>
          <w:color w:val="auto"/>
        </w:rPr>
        <w:t>-20</w:t>
      </w:r>
      <w:r>
        <w:rPr>
          <w:rFonts w:hint="eastAsia"/>
          <w:color w:val="auto"/>
        </w:rPr>
        <w:t>14</w:t>
      </w:r>
      <w:r>
        <w:rPr>
          <w:color w:val="auto"/>
        </w:rPr>
        <w:t>）</w:t>
      </w:r>
      <w:r>
        <w:rPr>
          <w:color w:val="auto"/>
          <w:kern w:val="0"/>
          <w:szCs w:val="22"/>
        </w:rPr>
        <w:t>进行。</w:t>
      </w:r>
    </w:p>
    <w:p w14:paraId="1AA0CC8B">
      <w:pPr>
        <w:ind w:firstLine="480"/>
        <w:rPr>
          <w:color w:val="auto"/>
          <w:kern w:val="0"/>
          <w:szCs w:val="22"/>
        </w:rPr>
      </w:pPr>
      <w:r>
        <w:rPr>
          <w:color w:val="auto"/>
          <w:kern w:val="0"/>
          <w:szCs w:val="22"/>
        </w:rPr>
        <w:t>监测环境及条件：监测时无雨、无雷电、风速小于5m/s，以避开突发噪声源。</w:t>
      </w:r>
    </w:p>
    <w:p w14:paraId="25D3B0DD">
      <w:pPr>
        <w:pStyle w:val="4"/>
        <w:rPr>
          <w:color w:val="auto"/>
        </w:rPr>
      </w:pPr>
      <w:bookmarkStart w:id="449" w:name="_Toc136878488"/>
      <w:bookmarkStart w:id="450" w:name="_Toc216620552"/>
      <w:r>
        <w:rPr>
          <w:color w:val="auto"/>
        </w:rPr>
        <w:t>监测时间和监测频次</w:t>
      </w:r>
      <w:bookmarkEnd w:id="449"/>
      <w:bookmarkEnd w:id="450"/>
    </w:p>
    <w:p w14:paraId="4534C2E3">
      <w:pPr>
        <w:ind w:firstLine="480"/>
        <w:rPr>
          <w:color w:val="auto"/>
          <w:kern w:val="0"/>
          <w:szCs w:val="22"/>
        </w:rPr>
      </w:pPr>
      <w:bookmarkStart w:id="451" w:name="_Toc136878489"/>
      <w:r>
        <w:rPr>
          <w:rFonts w:hint="eastAsia"/>
          <w:color w:val="auto"/>
          <w:kern w:val="0"/>
          <w:szCs w:val="22"/>
        </w:rPr>
        <w:t>监测时间为202</w:t>
      </w:r>
      <w:r>
        <w:rPr>
          <w:color w:val="auto"/>
          <w:kern w:val="0"/>
          <w:szCs w:val="22"/>
        </w:rPr>
        <w:t>6</w:t>
      </w:r>
      <w:r>
        <w:rPr>
          <w:rFonts w:hint="eastAsia"/>
          <w:color w:val="auto"/>
          <w:kern w:val="0"/>
          <w:szCs w:val="22"/>
        </w:rPr>
        <w:t>年</w:t>
      </w:r>
      <w:r>
        <w:rPr>
          <w:color w:val="auto"/>
          <w:kern w:val="0"/>
          <w:szCs w:val="22"/>
        </w:rPr>
        <w:t>1</w:t>
      </w:r>
      <w:r>
        <w:rPr>
          <w:rFonts w:hint="eastAsia"/>
          <w:color w:val="auto"/>
          <w:kern w:val="0"/>
          <w:szCs w:val="22"/>
        </w:rPr>
        <w:t>月</w:t>
      </w:r>
      <w:r>
        <w:rPr>
          <w:color w:val="auto"/>
          <w:kern w:val="0"/>
          <w:szCs w:val="22"/>
        </w:rPr>
        <w:t>28</w:t>
      </w:r>
      <w:r>
        <w:rPr>
          <w:rFonts w:hint="eastAsia"/>
          <w:color w:val="auto"/>
          <w:kern w:val="0"/>
          <w:szCs w:val="22"/>
        </w:rPr>
        <w:t>日~</w:t>
      </w:r>
      <w:r>
        <w:rPr>
          <w:color w:val="auto"/>
          <w:kern w:val="0"/>
          <w:szCs w:val="22"/>
        </w:rPr>
        <w:t>29</w:t>
      </w:r>
      <w:r>
        <w:rPr>
          <w:rFonts w:hint="eastAsia"/>
          <w:color w:val="auto"/>
          <w:kern w:val="0"/>
          <w:szCs w:val="22"/>
        </w:rPr>
        <w:t>日，</w:t>
      </w:r>
      <w:r>
        <w:rPr>
          <w:color w:val="auto"/>
          <w:kern w:val="0"/>
          <w:szCs w:val="22"/>
        </w:rPr>
        <w:t>连续监测2天，每天昼间（6:00-22:00）和夜间（22:00-6:00）各1次。</w:t>
      </w:r>
    </w:p>
    <w:p w14:paraId="14254593">
      <w:pPr>
        <w:pStyle w:val="4"/>
        <w:rPr>
          <w:color w:val="auto"/>
        </w:rPr>
      </w:pPr>
      <w:bookmarkStart w:id="452" w:name="_Toc216620553"/>
      <w:r>
        <w:rPr>
          <w:color w:val="auto"/>
        </w:rPr>
        <w:t>评价标准</w:t>
      </w:r>
      <w:bookmarkEnd w:id="451"/>
      <w:bookmarkEnd w:id="452"/>
    </w:p>
    <w:p w14:paraId="74EADA56">
      <w:pPr>
        <w:ind w:firstLine="480"/>
        <w:rPr>
          <w:color w:val="auto"/>
          <w:kern w:val="0"/>
          <w:szCs w:val="22"/>
        </w:rPr>
      </w:pPr>
      <w:r>
        <w:rPr>
          <w:color w:val="auto"/>
          <w:kern w:val="0"/>
          <w:szCs w:val="22"/>
        </w:rPr>
        <w:t>根据</w:t>
      </w:r>
      <w:r>
        <w:rPr>
          <w:color w:val="auto"/>
        </w:rPr>
        <w:t>《</w:t>
      </w:r>
      <w:r>
        <w:rPr>
          <w:rFonts w:hint="eastAsia"/>
          <w:color w:val="auto"/>
        </w:rPr>
        <w:t>钦州市中心城区声环境功能区划</w:t>
      </w:r>
      <w:r>
        <w:rPr>
          <w:color w:val="auto"/>
        </w:rPr>
        <w:t>》</w:t>
      </w:r>
      <w:r>
        <w:rPr>
          <w:color w:val="auto"/>
          <w:kern w:val="0"/>
          <w:szCs w:val="22"/>
        </w:rPr>
        <w:t>划分为3类声功能区，执行</w:t>
      </w:r>
      <w:r>
        <w:rPr>
          <w:color w:val="auto"/>
        </w:rPr>
        <w:t>《</w:t>
      </w:r>
      <w:r>
        <w:rPr>
          <w:rFonts w:hint="eastAsia"/>
          <w:color w:val="auto"/>
        </w:rPr>
        <w:t>声环境质量</w:t>
      </w:r>
      <w:r>
        <w:rPr>
          <w:color w:val="auto"/>
        </w:rPr>
        <w:t>标准》（GB</w:t>
      </w:r>
      <w:r>
        <w:rPr>
          <w:rFonts w:hint="eastAsia"/>
          <w:color w:val="auto"/>
        </w:rPr>
        <w:t>/T15190</w:t>
      </w:r>
      <w:r>
        <w:rPr>
          <w:color w:val="auto"/>
        </w:rPr>
        <w:t>-20</w:t>
      </w:r>
      <w:r>
        <w:rPr>
          <w:rFonts w:hint="eastAsia"/>
          <w:color w:val="auto"/>
        </w:rPr>
        <w:t>14</w:t>
      </w:r>
      <w:r>
        <w:rPr>
          <w:color w:val="auto"/>
        </w:rPr>
        <w:t>）</w:t>
      </w:r>
      <w:r>
        <w:rPr>
          <w:color w:val="auto"/>
          <w:kern w:val="0"/>
          <w:szCs w:val="22"/>
        </w:rPr>
        <w:t>3类标准（昼间65dB(A)，夜间55dB(A)）。</w:t>
      </w:r>
    </w:p>
    <w:p w14:paraId="70C70F73">
      <w:pPr>
        <w:pStyle w:val="4"/>
        <w:rPr>
          <w:color w:val="auto"/>
        </w:rPr>
      </w:pPr>
      <w:bookmarkStart w:id="453" w:name="_Toc136878490"/>
      <w:bookmarkStart w:id="454" w:name="_Toc216620554"/>
      <w:r>
        <w:rPr>
          <w:color w:val="auto"/>
        </w:rPr>
        <w:t>监测结果及评价</w:t>
      </w:r>
      <w:bookmarkEnd w:id="453"/>
      <w:bookmarkEnd w:id="454"/>
    </w:p>
    <w:p w14:paraId="1FA89282">
      <w:pPr>
        <w:ind w:firstLine="480" w:firstLineChars="0"/>
        <w:rPr>
          <w:color w:val="auto"/>
          <w:kern w:val="0"/>
          <w:szCs w:val="22"/>
        </w:rPr>
      </w:pPr>
      <w:r>
        <w:rPr>
          <w:color w:val="auto"/>
          <w:kern w:val="0"/>
          <w:szCs w:val="22"/>
        </w:rPr>
        <w:t>噪声监测与评价结果见表3.5-2。</w:t>
      </w:r>
      <w:r>
        <w:rPr>
          <w:rFonts w:hint="eastAsia"/>
          <w:color w:val="auto"/>
          <w:kern w:val="0"/>
          <w:szCs w:val="22"/>
        </w:rPr>
        <w:t>根据监测</w:t>
      </w:r>
      <w:r>
        <w:rPr>
          <w:color w:val="auto"/>
          <w:kern w:val="0"/>
          <w:szCs w:val="22"/>
        </w:rPr>
        <w:t>结果可知，本项目厂界噪声监测点的昼间、夜间监测值均达到</w:t>
      </w:r>
      <w:r>
        <w:rPr>
          <w:color w:val="auto"/>
        </w:rPr>
        <w:t>《</w:t>
      </w:r>
      <w:r>
        <w:rPr>
          <w:rFonts w:hint="eastAsia"/>
          <w:color w:val="auto"/>
        </w:rPr>
        <w:t>声环境质量</w:t>
      </w:r>
      <w:r>
        <w:rPr>
          <w:color w:val="auto"/>
        </w:rPr>
        <w:t>标准》（GB</w:t>
      </w:r>
      <w:r>
        <w:rPr>
          <w:rFonts w:hint="eastAsia"/>
          <w:color w:val="auto"/>
        </w:rPr>
        <w:t>/T15190</w:t>
      </w:r>
      <w:r>
        <w:rPr>
          <w:color w:val="auto"/>
        </w:rPr>
        <w:t>-20</w:t>
      </w:r>
      <w:r>
        <w:rPr>
          <w:rFonts w:hint="eastAsia"/>
          <w:color w:val="auto"/>
        </w:rPr>
        <w:t>14</w:t>
      </w:r>
      <w:r>
        <w:rPr>
          <w:color w:val="auto"/>
        </w:rPr>
        <w:t>）</w:t>
      </w:r>
      <w:r>
        <w:rPr>
          <w:color w:val="auto"/>
          <w:kern w:val="0"/>
          <w:szCs w:val="22"/>
        </w:rPr>
        <w:t>中3类标准，无超标现象。</w:t>
      </w:r>
    </w:p>
    <w:p w14:paraId="21095614">
      <w:pPr>
        <w:pStyle w:val="14"/>
        <w:rPr>
          <w:color w:val="auto"/>
        </w:rPr>
      </w:pPr>
      <w:r>
        <w:rPr>
          <w:rFonts w:hint="eastAsia"/>
          <w:color w:val="auto"/>
        </w:rPr>
        <w:t>表</w:t>
      </w:r>
      <w:r>
        <w:rPr>
          <w:color w:val="auto"/>
        </w:rPr>
        <w:t>3.5</w:t>
      </w:r>
      <w:r>
        <w:rPr>
          <w:color w:val="auto"/>
        </w:rPr>
        <w:noBreakHyphen/>
      </w:r>
      <w:r>
        <w:rPr>
          <w:color w:val="auto"/>
        </w:rPr>
        <w:t>2噪声监测结果及评价（单位：dB(A)）</w:t>
      </w:r>
    </w:p>
    <w:tbl>
      <w:tblPr>
        <w:tblStyle w:val="43"/>
        <w:tblW w:w="85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846"/>
        <w:gridCol w:w="3006"/>
        <w:gridCol w:w="939"/>
        <w:gridCol w:w="1382"/>
        <w:gridCol w:w="1193"/>
        <w:gridCol w:w="1153"/>
        <w:gridCol w:w="16"/>
      </w:tblGrid>
      <w:tr w14:paraId="41BE8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846" w:type="dxa"/>
            <w:vMerge w:val="restart"/>
            <w:tcBorders>
              <w:top w:val="single" w:color="auto" w:sz="4" w:space="0"/>
              <w:left w:val="single" w:color="auto" w:sz="4" w:space="0"/>
              <w:right w:val="single" w:color="auto" w:sz="4" w:space="0"/>
            </w:tcBorders>
            <w:vAlign w:val="center"/>
          </w:tcPr>
          <w:p w14:paraId="7E37F05D">
            <w:pPr>
              <w:pStyle w:val="91"/>
              <w:keepNext w:val="0"/>
              <w:keepLines w:val="0"/>
              <w:suppressLineNumbers w:val="0"/>
              <w:spacing w:before="0" w:beforeAutospacing="0" w:after="0" w:afterAutospacing="0"/>
              <w:ind w:left="0" w:right="0"/>
              <w:jc w:val="center"/>
              <w:rPr>
                <w:rFonts w:hint="default"/>
                <w:b/>
                <w:color w:val="auto"/>
              </w:rPr>
            </w:pPr>
            <w:bookmarkStart w:id="455" w:name="_Toc136878491"/>
            <w:bookmarkStart w:id="456" w:name="_Toc135090232"/>
            <w:bookmarkStart w:id="457" w:name="_Toc26910022"/>
            <w:bookmarkStart w:id="458" w:name="_Toc25436977"/>
            <w:bookmarkStart w:id="459" w:name="_Toc29131835"/>
            <w:r>
              <w:rPr>
                <w:rFonts w:hint="eastAsia"/>
                <w:b/>
                <w:color w:val="auto"/>
              </w:rPr>
              <w:t>检测</w:t>
            </w:r>
            <w:r>
              <w:rPr>
                <w:rFonts w:hint="default"/>
                <w:b/>
                <w:color w:val="auto"/>
              </w:rPr>
              <w:t>日期</w:t>
            </w:r>
          </w:p>
        </w:tc>
        <w:tc>
          <w:tcPr>
            <w:tcW w:w="3006" w:type="dxa"/>
            <w:vMerge w:val="restart"/>
            <w:tcBorders>
              <w:top w:val="single" w:color="auto" w:sz="4" w:space="0"/>
              <w:left w:val="single" w:color="auto" w:sz="4" w:space="0"/>
              <w:right w:val="single" w:color="auto" w:sz="4" w:space="0"/>
            </w:tcBorders>
            <w:vAlign w:val="center"/>
          </w:tcPr>
          <w:p w14:paraId="430D1B58">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检测点位</w:t>
            </w:r>
          </w:p>
        </w:tc>
        <w:tc>
          <w:tcPr>
            <w:tcW w:w="2321" w:type="dxa"/>
            <w:gridSpan w:val="2"/>
            <w:tcBorders>
              <w:top w:val="single" w:color="auto" w:sz="4" w:space="0"/>
              <w:left w:val="single" w:color="auto" w:sz="4" w:space="0"/>
              <w:bottom w:val="single" w:color="auto" w:sz="4" w:space="0"/>
              <w:right w:val="single" w:color="auto" w:sz="4" w:space="0"/>
            </w:tcBorders>
            <w:vAlign w:val="center"/>
          </w:tcPr>
          <w:p w14:paraId="68DEC6AC">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测量值</w:t>
            </w:r>
            <w:r>
              <w:rPr>
                <w:rFonts w:hint="eastAsia"/>
                <w:b/>
                <w:color w:val="auto"/>
              </w:rPr>
              <w:t>L</w:t>
            </w:r>
            <w:r>
              <w:rPr>
                <w:rFonts w:hint="eastAsia"/>
                <w:b/>
                <w:color w:val="auto"/>
                <w:vertAlign w:val="subscript"/>
              </w:rPr>
              <w:t>eq</w:t>
            </w:r>
            <w:r>
              <w:rPr>
                <w:rFonts w:hint="eastAsia"/>
                <w:b/>
                <w:color w:val="auto"/>
              </w:rPr>
              <w:t>[</w:t>
            </w:r>
            <w:r>
              <w:rPr>
                <w:rFonts w:hint="default"/>
                <w:b/>
                <w:color w:val="auto"/>
              </w:rPr>
              <w:t>dB(A)</w:t>
            </w:r>
            <w:r>
              <w:rPr>
                <w:rFonts w:hint="eastAsia"/>
                <w:b/>
                <w:color w:val="auto"/>
              </w:rPr>
              <w:t>]</w:t>
            </w:r>
          </w:p>
        </w:tc>
        <w:tc>
          <w:tcPr>
            <w:tcW w:w="2362" w:type="dxa"/>
            <w:gridSpan w:val="3"/>
            <w:tcBorders>
              <w:top w:val="single" w:color="auto" w:sz="4" w:space="0"/>
              <w:left w:val="single" w:color="auto" w:sz="4" w:space="0"/>
              <w:bottom w:val="single" w:color="auto" w:sz="4" w:space="0"/>
              <w:right w:val="single" w:color="auto" w:sz="4" w:space="0"/>
            </w:tcBorders>
            <w:vAlign w:val="center"/>
          </w:tcPr>
          <w:p w14:paraId="4578AE2B">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达标情况</w:t>
            </w:r>
          </w:p>
        </w:tc>
      </w:tr>
      <w:tr w14:paraId="5106C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6" w:type="dxa"/>
          <w:tblHeader/>
          <w:jc w:val="center"/>
        </w:trPr>
        <w:tc>
          <w:tcPr>
            <w:tcW w:w="846" w:type="dxa"/>
            <w:vMerge w:val="continue"/>
            <w:tcBorders>
              <w:left w:val="single" w:color="auto" w:sz="4" w:space="0"/>
              <w:right w:val="single" w:color="auto" w:sz="4" w:space="0"/>
            </w:tcBorders>
            <w:vAlign w:val="center"/>
          </w:tcPr>
          <w:p w14:paraId="44625E93">
            <w:pPr>
              <w:pStyle w:val="91"/>
              <w:keepNext w:val="0"/>
              <w:keepLines w:val="0"/>
              <w:suppressLineNumbers w:val="0"/>
              <w:spacing w:before="0" w:beforeAutospacing="0" w:after="0" w:afterAutospacing="0"/>
              <w:ind w:left="0" w:right="0"/>
              <w:jc w:val="center"/>
              <w:rPr>
                <w:rFonts w:hint="default"/>
                <w:b/>
                <w:color w:val="auto"/>
              </w:rPr>
            </w:pPr>
          </w:p>
        </w:tc>
        <w:tc>
          <w:tcPr>
            <w:tcW w:w="3006" w:type="dxa"/>
            <w:vMerge w:val="continue"/>
            <w:tcBorders>
              <w:left w:val="single" w:color="auto" w:sz="4" w:space="0"/>
              <w:right w:val="single" w:color="auto" w:sz="4" w:space="0"/>
            </w:tcBorders>
            <w:vAlign w:val="center"/>
          </w:tcPr>
          <w:p w14:paraId="0CD30167">
            <w:pPr>
              <w:pStyle w:val="91"/>
              <w:keepNext w:val="0"/>
              <w:keepLines w:val="0"/>
              <w:suppressLineNumbers w:val="0"/>
              <w:spacing w:before="0" w:beforeAutospacing="0" w:after="0" w:afterAutospacing="0"/>
              <w:ind w:left="0" w:right="0"/>
              <w:jc w:val="center"/>
              <w:rPr>
                <w:rFonts w:hint="default"/>
                <w:b/>
                <w:color w:val="auto"/>
              </w:rPr>
            </w:pPr>
          </w:p>
        </w:tc>
        <w:tc>
          <w:tcPr>
            <w:tcW w:w="939" w:type="dxa"/>
            <w:tcBorders>
              <w:top w:val="single" w:color="auto" w:sz="4" w:space="0"/>
              <w:left w:val="single" w:color="auto" w:sz="4" w:space="0"/>
              <w:right w:val="single" w:color="auto" w:sz="4" w:space="0"/>
            </w:tcBorders>
            <w:vAlign w:val="center"/>
          </w:tcPr>
          <w:p w14:paraId="15E97149">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昼间</w:t>
            </w:r>
          </w:p>
        </w:tc>
        <w:tc>
          <w:tcPr>
            <w:tcW w:w="1382" w:type="dxa"/>
            <w:tcBorders>
              <w:top w:val="single" w:color="auto" w:sz="4" w:space="0"/>
              <w:left w:val="single" w:color="auto" w:sz="4" w:space="0"/>
              <w:right w:val="single" w:color="auto" w:sz="4" w:space="0"/>
            </w:tcBorders>
            <w:vAlign w:val="center"/>
          </w:tcPr>
          <w:p w14:paraId="37ABBF15">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夜间</w:t>
            </w:r>
          </w:p>
        </w:tc>
        <w:tc>
          <w:tcPr>
            <w:tcW w:w="1193" w:type="dxa"/>
            <w:tcBorders>
              <w:top w:val="single" w:color="auto" w:sz="4" w:space="0"/>
              <w:left w:val="single" w:color="auto" w:sz="4" w:space="0"/>
              <w:right w:val="single" w:color="auto" w:sz="4" w:space="0"/>
            </w:tcBorders>
            <w:vAlign w:val="center"/>
          </w:tcPr>
          <w:p w14:paraId="52CE5FFF">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昼间</w:t>
            </w:r>
          </w:p>
        </w:tc>
        <w:tc>
          <w:tcPr>
            <w:tcW w:w="1153" w:type="dxa"/>
            <w:tcBorders>
              <w:top w:val="single" w:color="auto" w:sz="4" w:space="0"/>
              <w:left w:val="single" w:color="auto" w:sz="4" w:space="0"/>
              <w:right w:val="single" w:color="auto" w:sz="4" w:space="0"/>
            </w:tcBorders>
            <w:vAlign w:val="center"/>
          </w:tcPr>
          <w:p w14:paraId="52458B88">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夜间</w:t>
            </w:r>
          </w:p>
        </w:tc>
      </w:tr>
      <w:tr w14:paraId="552E4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6" w:type="dxa"/>
          <w:jc w:val="center"/>
        </w:trPr>
        <w:tc>
          <w:tcPr>
            <w:tcW w:w="846" w:type="dxa"/>
            <w:vMerge w:val="restart"/>
            <w:tcBorders>
              <w:top w:val="single" w:color="auto" w:sz="4" w:space="0"/>
              <w:left w:val="single" w:color="auto" w:sz="4" w:space="0"/>
              <w:right w:val="single" w:color="auto" w:sz="4" w:space="0"/>
            </w:tcBorders>
            <w:vAlign w:val="center"/>
          </w:tcPr>
          <w:p w14:paraId="0D349142">
            <w:pPr>
              <w:pStyle w:val="91"/>
              <w:keepNext w:val="0"/>
              <w:keepLines w:val="0"/>
              <w:suppressLineNumbers w:val="0"/>
              <w:spacing w:before="0" w:beforeAutospacing="0" w:after="0" w:afterAutospacing="0"/>
              <w:ind w:left="0" w:right="0"/>
              <w:jc w:val="center"/>
              <w:rPr>
                <w:rFonts w:hint="default"/>
                <w:color w:val="auto"/>
              </w:rPr>
            </w:pPr>
            <w:r>
              <w:rPr>
                <w:rFonts w:hint="eastAsia" w:hAnsi="Times New Roman"/>
                <w:color w:val="auto"/>
              </w:rPr>
              <w:t>2026.01.28</w:t>
            </w:r>
          </w:p>
        </w:tc>
        <w:tc>
          <w:tcPr>
            <w:tcW w:w="3006" w:type="dxa"/>
            <w:tcBorders>
              <w:top w:val="single" w:color="auto" w:sz="4" w:space="0"/>
              <w:left w:val="single" w:color="auto" w:sz="4" w:space="0"/>
              <w:bottom w:val="single" w:color="auto" w:sz="4" w:space="0"/>
              <w:right w:val="single" w:color="auto" w:sz="4" w:space="0"/>
            </w:tcBorders>
            <w:vAlign w:val="center"/>
          </w:tcPr>
          <w:p w14:paraId="34B5377E">
            <w:pPr>
              <w:pStyle w:val="91"/>
              <w:keepNext w:val="0"/>
              <w:keepLines w:val="0"/>
              <w:suppressLineNumbers w:val="0"/>
              <w:spacing w:before="0" w:beforeAutospacing="0" w:after="0" w:afterAutospacing="0"/>
              <w:ind w:left="0" w:right="0"/>
              <w:jc w:val="center"/>
              <w:rPr>
                <w:rFonts w:hint="default"/>
                <w:color w:val="auto"/>
              </w:rPr>
            </w:pPr>
            <w:r>
              <w:rPr>
                <w:rFonts w:hint="eastAsia" w:hAnsi="Times New Roman"/>
                <w:color w:val="auto"/>
              </w:rPr>
              <w:t>N1项目东侧厂界外1m处</w:t>
            </w:r>
          </w:p>
        </w:tc>
        <w:tc>
          <w:tcPr>
            <w:tcW w:w="939" w:type="dxa"/>
            <w:tcBorders>
              <w:left w:val="single" w:color="auto" w:sz="4" w:space="0"/>
              <w:right w:val="single" w:color="auto" w:sz="4" w:space="0"/>
            </w:tcBorders>
            <w:vAlign w:val="center"/>
          </w:tcPr>
          <w:p w14:paraId="271E9E30">
            <w:pPr>
              <w:pStyle w:val="91"/>
              <w:keepNext w:val="0"/>
              <w:keepLines w:val="0"/>
              <w:suppressLineNumbers w:val="0"/>
              <w:spacing w:before="0" w:beforeAutospacing="0" w:after="0" w:afterAutospacing="0"/>
              <w:ind w:left="0" w:right="0"/>
              <w:jc w:val="center"/>
              <w:rPr>
                <w:rFonts w:hint="default"/>
                <w:color w:val="auto"/>
              </w:rPr>
            </w:pPr>
          </w:p>
        </w:tc>
        <w:tc>
          <w:tcPr>
            <w:tcW w:w="1382" w:type="dxa"/>
            <w:tcBorders>
              <w:left w:val="single" w:color="auto" w:sz="4" w:space="0"/>
              <w:right w:val="single" w:color="auto" w:sz="4" w:space="0"/>
            </w:tcBorders>
            <w:vAlign w:val="center"/>
          </w:tcPr>
          <w:p w14:paraId="5CA760DE">
            <w:pPr>
              <w:pStyle w:val="91"/>
              <w:keepNext w:val="0"/>
              <w:keepLines w:val="0"/>
              <w:suppressLineNumbers w:val="0"/>
              <w:spacing w:before="0" w:beforeAutospacing="0" w:after="0" w:afterAutospacing="0"/>
              <w:ind w:left="0" w:right="0"/>
              <w:jc w:val="center"/>
              <w:rPr>
                <w:rFonts w:hint="default"/>
                <w:color w:val="auto"/>
              </w:rPr>
            </w:pPr>
          </w:p>
        </w:tc>
        <w:tc>
          <w:tcPr>
            <w:tcW w:w="1193" w:type="dxa"/>
            <w:tcBorders>
              <w:left w:val="single" w:color="auto" w:sz="4" w:space="0"/>
              <w:right w:val="single" w:color="auto" w:sz="4" w:space="0"/>
            </w:tcBorders>
            <w:vAlign w:val="center"/>
          </w:tcPr>
          <w:p w14:paraId="1C3BFEC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c>
          <w:tcPr>
            <w:tcW w:w="1153" w:type="dxa"/>
            <w:tcBorders>
              <w:left w:val="single" w:color="auto" w:sz="4" w:space="0"/>
              <w:right w:val="single" w:color="auto" w:sz="4" w:space="0"/>
            </w:tcBorders>
            <w:vAlign w:val="center"/>
          </w:tcPr>
          <w:p w14:paraId="44AA529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r>
      <w:tr w14:paraId="4EB5B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6" w:type="dxa"/>
          <w:jc w:val="center"/>
        </w:trPr>
        <w:tc>
          <w:tcPr>
            <w:tcW w:w="846" w:type="dxa"/>
            <w:vMerge w:val="continue"/>
            <w:tcBorders>
              <w:left w:val="single" w:color="auto" w:sz="4" w:space="0"/>
              <w:right w:val="single" w:color="auto" w:sz="4" w:space="0"/>
            </w:tcBorders>
            <w:vAlign w:val="center"/>
          </w:tcPr>
          <w:p w14:paraId="6C631CDA">
            <w:pPr>
              <w:pStyle w:val="91"/>
              <w:keepNext w:val="0"/>
              <w:keepLines w:val="0"/>
              <w:suppressLineNumbers w:val="0"/>
              <w:spacing w:before="0" w:beforeAutospacing="0" w:after="0" w:afterAutospacing="0"/>
              <w:ind w:left="0" w:right="0"/>
              <w:jc w:val="center"/>
              <w:rPr>
                <w:rFonts w:hint="default"/>
                <w:color w:val="auto"/>
              </w:rPr>
            </w:pPr>
          </w:p>
        </w:tc>
        <w:tc>
          <w:tcPr>
            <w:tcW w:w="3006" w:type="dxa"/>
            <w:tcBorders>
              <w:top w:val="single" w:color="auto" w:sz="4" w:space="0"/>
              <w:left w:val="single" w:color="auto" w:sz="4" w:space="0"/>
              <w:bottom w:val="single" w:color="auto" w:sz="4" w:space="0"/>
              <w:right w:val="single" w:color="auto" w:sz="4" w:space="0"/>
            </w:tcBorders>
            <w:vAlign w:val="center"/>
          </w:tcPr>
          <w:p w14:paraId="3156BB3A">
            <w:pPr>
              <w:pStyle w:val="91"/>
              <w:keepNext w:val="0"/>
              <w:keepLines w:val="0"/>
              <w:suppressLineNumbers w:val="0"/>
              <w:spacing w:before="0" w:beforeAutospacing="0" w:after="0" w:afterAutospacing="0"/>
              <w:ind w:left="0" w:right="0"/>
              <w:jc w:val="center"/>
              <w:rPr>
                <w:rFonts w:hint="default"/>
                <w:color w:val="auto"/>
              </w:rPr>
            </w:pPr>
            <w:r>
              <w:rPr>
                <w:rFonts w:hint="eastAsia" w:hAnsi="Times New Roman"/>
                <w:color w:val="auto"/>
              </w:rPr>
              <w:t>N2项目南侧厂界外1m处</w:t>
            </w:r>
          </w:p>
        </w:tc>
        <w:tc>
          <w:tcPr>
            <w:tcW w:w="939" w:type="dxa"/>
            <w:tcBorders>
              <w:left w:val="single" w:color="auto" w:sz="4" w:space="0"/>
              <w:right w:val="single" w:color="auto" w:sz="4" w:space="0"/>
            </w:tcBorders>
            <w:vAlign w:val="center"/>
          </w:tcPr>
          <w:p w14:paraId="6759666D">
            <w:pPr>
              <w:pStyle w:val="91"/>
              <w:keepNext w:val="0"/>
              <w:keepLines w:val="0"/>
              <w:suppressLineNumbers w:val="0"/>
              <w:spacing w:before="0" w:beforeAutospacing="0" w:after="0" w:afterAutospacing="0"/>
              <w:ind w:left="0" w:right="0"/>
              <w:jc w:val="center"/>
              <w:rPr>
                <w:rFonts w:hint="default"/>
                <w:color w:val="auto"/>
              </w:rPr>
            </w:pPr>
          </w:p>
        </w:tc>
        <w:tc>
          <w:tcPr>
            <w:tcW w:w="1382" w:type="dxa"/>
            <w:tcBorders>
              <w:left w:val="single" w:color="auto" w:sz="4" w:space="0"/>
              <w:right w:val="single" w:color="auto" w:sz="4" w:space="0"/>
            </w:tcBorders>
            <w:vAlign w:val="center"/>
          </w:tcPr>
          <w:p w14:paraId="6BBB52F0">
            <w:pPr>
              <w:pStyle w:val="91"/>
              <w:keepNext w:val="0"/>
              <w:keepLines w:val="0"/>
              <w:suppressLineNumbers w:val="0"/>
              <w:spacing w:before="0" w:beforeAutospacing="0" w:after="0" w:afterAutospacing="0"/>
              <w:ind w:left="0" w:right="0"/>
              <w:jc w:val="center"/>
              <w:rPr>
                <w:rFonts w:hint="default"/>
                <w:color w:val="auto"/>
              </w:rPr>
            </w:pPr>
          </w:p>
        </w:tc>
        <w:tc>
          <w:tcPr>
            <w:tcW w:w="1193" w:type="dxa"/>
            <w:tcBorders>
              <w:left w:val="single" w:color="auto" w:sz="4" w:space="0"/>
              <w:right w:val="single" w:color="auto" w:sz="4" w:space="0"/>
            </w:tcBorders>
            <w:vAlign w:val="center"/>
          </w:tcPr>
          <w:p w14:paraId="0C69BE3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c>
          <w:tcPr>
            <w:tcW w:w="1153" w:type="dxa"/>
            <w:tcBorders>
              <w:left w:val="single" w:color="auto" w:sz="4" w:space="0"/>
              <w:right w:val="single" w:color="auto" w:sz="4" w:space="0"/>
            </w:tcBorders>
            <w:vAlign w:val="center"/>
          </w:tcPr>
          <w:p w14:paraId="4FB4308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r>
      <w:tr w14:paraId="62340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6" w:type="dxa"/>
          <w:jc w:val="center"/>
        </w:trPr>
        <w:tc>
          <w:tcPr>
            <w:tcW w:w="846" w:type="dxa"/>
            <w:vMerge w:val="continue"/>
            <w:tcBorders>
              <w:left w:val="single" w:color="auto" w:sz="4" w:space="0"/>
              <w:right w:val="single" w:color="auto" w:sz="4" w:space="0"/>
            </w:tcBorders>
            <w:vAlign w:val="center"/>
          </w:tcPr>
          <w:p w14:paraId="2C8163EE">
            <w:pPr>
              <w:pStyle w:val="91"/>
              <w:keepNext w:val="0"/>
              <w:keepLines w:val="0"/>
              <w:suppressLineNumbers w:val="0"/>
              <w:spacing w:before="0" w:beforeAutospacing="0" w:after="0" w:afterAutospacing="0"/>
              <w:ind w:left="0" w:right="0"/>
              <w:jc w:val="center"/>
              <w:rPr>
                <w:rFonts w:hint="default"/>
                <w:color w:val="auto"/>
              </w:rPr>
            </w:pPr>
          </w:p>
        </w:tc>
        <w:tc>
          <w:tcPr>
            <w:tcW w:w="3006" w:type="dxa"/>
            <w:tcBorders>
              <w:top w:val="single" w:color="auto" w:sz="4" w:space="0"/>
              <w:left w:val="single" w:color="auto" w:sz="4" w:space="0"/>
              <w:bottom w:val="single" w:color="auto" w:sz="4" w:space="0"/>
              <w:right w:val="single" w:color="auto" w:sz="4" w:space="0"/>
            </w:tcBorders>
            <w:vAlign w:val="center"/>
          </w:tcPr>
          <w:p w14:paraId="7AE3680A">
            <w:pPr>
              <w:pStyle w:val="91"/>
              <w:keepNext w:val="0"/>
              <w:keepLines w:val="0"/>
              <w:suppressLineNumbers w:val="0"/>
              <w:spacing w:before="0" w:beforeAutospacing="0" w:after="0" w:afterAutospacing="0"/>
              <w:ind w:left="0" w:right="0"/>
              <w:jc w:val="center"/>
              <w:rPr>
                <w:rFonts w:hint="default"/>
                <w:color w:val="auto"/>
              </w:rPr>
            </w:pPr>
            <w:r>
              <w:rPr>
                <w:rFonts w:hint="eastAsia" w:hAnsi="Times New Roman"/>
                <w:color w:val="auto"/>
              </w:rPr>
              <w:t>N3项目西侧厂界外1m处</w:t>
            </w:r>
          </w:p>
        </w:tc>
        <w:tc>
          <w:tcPr>
            <w:tcW w:w="939" w:type="dxa"/>
            <w:tcBorders>
              <w:left w:val="single" w:color="auto" w:sz="4" w:space="0"/>
              <w:right w:val="single" w:color="auto" w:sz="4" w:space="0"/>
            </w:tcBorders>
            <w:vAlign w:val="center"/>
          </w:tcPr>
          <w:p w14:paraId="011B4BE3">
            <w:pPr>
              <w:pStyle w:val="91"/>
              <w:keepNext w:val="0"/>
              <w:keepLines w:val="0"/>
              <w:suppressLineNumbers w:val="0"/>
              <w:spacing w:before="0" w:beforeAutospacing="0" w:after="0" w:afterAutospacing="0"/>
              <w:ind w:left="0" w:right="0"/>
              <w:jc w:val="center"/>
              <w:rPr>
                <w:rFonts w:hint="default"/>
                <w:color w:val="auto"/>
              </w:rPr>
            </w:pPr>
          </w:p>
        </w:tc>
        <w:tc>
          <w:tcPr>
            <w:tcW w:w="1382" w:type="dxa"/>
            <w:tcBorders>
              <w:left w:val="single" w:color="auto" w:sz="4" w:space="0"/>
              <w:right w:val="single" w:color="auto" w:sz="4" w:space="0"/>
            </w:tcBorders>
            <w:vAlign w:val="center"/>
          </w:tcPr>
          <w:p w14:paraId="0F3AE782">
            <w:pPr>
              <w:pStyle w:val="91"/>
              <w:keepNext w:val="0"/>
              <w:keepLines w:val="0"/>
              <w:suppressLineNumbers w:val="0"/>
              <w:spacing w:before="0" w:beforeAutospacing="0" w:after="0" w:afterAutospacing="0"/>
              <w:ind w:left="0" w:right="0"/>
              <w:jc w:val="center"/>
              <w:rPr>
                <w:rFonts w:hint="default"/>
                <w:color w:val="auto"/>
              </w:rPr>
            </w:pPr>
          </w:p>
        </w:tc>
        <w:tc>
          <w:tcPr>
            <w:tcW w:w="1193" w:type="dxa"/>
            <w:tcBorders>
              <w:left w:val="single" w:color="auto" w:sz="4" w:space="0"/>
              <w:right w:val="single" w:color="auto" w:sz="4" w:space="0"/>
            </w:tcBorders>
            <w:vAlign w:val="center"/>
          </w:tcPr>
          <w:p w14:paraId="61D027D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c>
          <w:tcPr>
            <w:tcW w:w="1153" w:type="dxa"/>
            <w:tcBorders>
              <w:left w:val="single" w:color="auto" w:sz="4" w:space="0"/>
              <w:right w:val="single" w:color="auto" w:sz="4" w:space="0"/>
            </w:tcBorders>
            <w:vAlign w:val="center"/>
          </w:tcPr>
          <w:p w14:paraId="0996332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r>
      <w:tr w14:paraId="6F6FE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6" w:type="dxa"/>
          <w:jc w:val="center"/>
        </w:trPr>
        <w:tc>
          <w:tcPr>
            <w:tcW w:w="846" w:type="dxa"/>
            <w:vMerge w:val="continue"/>
            <w:tcBorders>
              <w:left w:val="single" w:color="auto" w:sz="4" w:space="0"/>
              <w:right w:val="single" w:color="auto" w:sz="4" w:space="0"/>
            </w:tcBorders>
            <w:vAlign w:val="center"/>
          </w:tcPr>
          <w:p w14:paraId="013F8098">
            <w:pPr>
              <w:pStyle w:val="91"/>
              <w:keepNext w:val="0"/>
              <w:keepLines w:val="0"/>
              <w:suppressLineNumbers w:val="0"/>
              <w:spacing w:before="0" w:beforeAutospacing="0" w:after="0" w:afterAutospacing="0"/>
              <w:ind w:left="0" w:right="0"/>
              <w:jc w:val="center"/>
              <w:rPr>
                <w:rFonts w:hint="default"/>
                <w:color w:val="auto"/>
              </w:rPr>
            </w:pPr>
          </w:p>
        </w:tc>
        <w:tc>
          <w:tcPr>
            <w:tcW w:w="3006" w:type="dxa"/>
            <w:tcBorders>
              <w:top w:val="single" w:color="auto" w:sz="4" w:space="0"/>
              <w:left w:val="single" w:color="auto" w:sz="4" w:space="0"/>
              <w:bottom w:val="single" w:color="auto" w:sz="4" w:space="0"/>
              <w:right w:val="single" w:color="auto" w:sz="4" w:space="0"/>
            </w:tcBorders>
            <w:vAlign w:val="center"/>
          </w:tcPr>
          <w:p w14:paraId="7C350375">
            <w:pPr>
              <w:pStyle w:val="91"/>
              <w:keepNext w:val="0"/>
              <w:keepLines w:val="0"/>
              <w:suppressLineNumbers w:val="0"/>
              <w:spacing w:before="0" w:beforeAutospacing="0" w:after="0" w:afterAutospacing="0"/>
              <w:ind w:left="0" w:right="0"/>
              <w:jc w:val="center"/>
              <w:rPr>
                <w:rFonts w:hint="default"/>
                <w:color w:val="auto"/>
              </w:rPr>
            </w:pPr>
            <w:r>
              <w:rPr>
                <w:rFonts w:hint="eastAsia" w:hAnsi="Times New Roman"/>
                <w:color w:val="auto"/>
              </w:rPr>
              <w:t>N4项目北侧厂界外1m处</w:t>
            </w:r>
          </w:p>
        </w:tc>
        <w:tc>
          <w:tcPr>
            <w:tcW w:w="939" w:type="dxa"/>
            <w:tcBorders>
              <w:left w:val="single" w:color="auto" w:sz="4" w:space="0"/>
              <w:right w:val="single" w:color="auto" w:sz="4" w:space="0"/>
            </w:tcBorders>
            <w:vAlign w:val="center"/>
          </w:tcPr>
          <w:p w14:paraId="18D2A135">
            <w:pPr>
              <w:pStyle w:val="91"/>
              <w:keepNext w:val="0"/>
              <w:keepLines w:val="0"/>
              <w:suppressLineNumbers w:val="0"/>
              <w:spacing w:before="0" w:beforeAutospacing="0" w:after="0" w:afterAutospacing="0"/>
              <w:ind w:left="0" w:right="0"/>
              <w:jc w:val="center"/>
              <w:rPr>
                <w:rFonts w:hint="default"/>
                <w:color w:val="auto"/>
              </w:rPr>
            </w:pPr>
          </w:p>
        </w:tc>
        <w:tc>
          <w:tcPr>
            <w:tcW w:w="1382" w:type="dxa"/>
            <w:tcBorders>
              <w:left w:val="single" w:color="auto" w:sz="4" w:space="0"/>
              <w:right w:val="single" w:color="auto" w:sz="4" w:space="0"/>
            </w:tcBorders>
            <w:vAlign w:val="center"/>
          </w:tcPr>
          <w:p w14:paraId="637F3D74">
            <w:pPr>
              <w:pStyle w:val="91"/>
              <w:keepNext w:val="0"/>
              <w:keepLines w:val="0"/>
              <w:suppressLineNumbers w:val="0"/>
              <w:spacing w:before="0" w:beforeAutospacing="0" w:after="0" w:afterAutospacing="0"/>
              <w:ind w:left="0" w:right="0"/>
              <w:jc w:val="center"/>
              <w:rPr>
                <w:rFonts w:hint="default"/>
                <w:color w:val="auto"/>
              </w:rPr>
            </w:pPr>
          </w:p>
        </w:tc>
        <w:tc>
          <w:tcPr>
            <w:tcW w:w="1193" w:type="dxa"/>
            <w:tcBorders>
              <w:left w:val="single" w:color="auto" w:sz="4" w:space="0"/>
              <w:right w:val="single" w:color="auto" w:sz="4" w:space="0"/>
            </w:tcBorders>
            <w:vAlign w:val="center"/>
          </w:tcPr>
          <w:p w14:paraId="236564C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c>
          <w:tcPr>
            <w:tcW w:w="1153" w:type="dxa"/>
            <w:tcBorders>
              <w:left w:val="single" w:color="auto" w:sz="4" w:space="0"/>
              <w:right w:val="single" w:color="auto" w:sz="4" w:space="0"/>
            </w:tcBorders>
            <w:vAlign w:val="center"/>
          </w:tcPr>
          <w:p w14:paraId="03D7233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r>
      <w:tr w14:paraId="7D774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6" w:type="dxa"/>
          <w:jc w:val="center"/>
        </w:trPr>
        <w:tc>
          <w:tcPr>
            <w:tcW w:w="846" w:type="dxa"/>
            <w:vMerge w:val="restart"/>
            <w:tcBorders>
              <w:left w:val="single" w:color="auto" w:sz="4" w:space="0"/>
              <w:right w:val="single" w:color="auto" w:sz="4" w:space="0"/>
            </w:tcBorders>
            <w:vAlign w:val="center"/>
          </w:tcPr>
          <w:p w14:paraId="33085BE5">
            <w:pPr>
              <w:pStyle w:val="91"/>
              <w:keepNext w:val="0"/>
              <w:keepLines w:val="0"/>
              <w:suppressLineNumbers w:val="0"/>
              <w:spacing w:before="0" w:beforeAutospacing="0" w:after="0" w:afterAutospacing="0"/>
              <w:ind w:left="0" w:right="0"/>
              <w:jc w:val="center"/>
              <w:rPr>
                <w:rFonts w:hint="default"/>
                <w:color w:val="auto"/>
              </w:rPr>
            </w:pPr>
            <w:r>
              <w:rPr>
                <w:rFonts w:hint="eastAsia" w:hAnsi="Times New Roman"/>
                <w:color w:val="auto"/>
              </w:rPr>
              <w:t>2026.01.29</w:t>
            </w:r>
          </w:p>
        </w:tc>
        <w:tc>
          <w:tcPr>
            <w:tcW w:w="3006" w:type="dxa"/>
            <w:tcBorders>
              <w:top w:val="single" w:color="auto" w:sz="4" w:space="0"/>
              <w:left w:val="single" w:color="auto" w:sz="4" w:space="0"/>
              <w:bottom w:val="single" w:color="auto" w:sz="4" w:space="0"/>
              <w:right w:val="single" w:color="auto" w:sz="4" w:space="0"/>
            </w:tcBorders>
            <w:vAlign w:val="center"/>
          </w:tcPr>
          <w:p w14:paraId="62BA3695">
            <w:pPr>
              <w:pStyle w:val="91"/>
              <w:keepNext w:val="0"/>
              <w:keepLines w:val="0"/>
              <w:suppressLineNumbers w:val="0"/>
              <w:spacing w:before="0" w:beforeAutospacing="0" w:after="0" w:afterAutospacing="0"/>
              <w:ind w:left="0" w:right="0"/>
              <w:jc w:val="center"/>
              <w:rPr>
                <w:rFonts w:hint="default"/>
                <w:color w:val="auto"/>
              </w:rPr>
            </w:pPr>
            <w:r>
              <w:rPr>
                <w:rFonts w:hint="eastAsia" w:hAnsi="Times New Roman"/>
                <w:color w:val="auto"/>
              </w:rPr>
              <w:t>N1项目东侧厂界外1m处</w:t>
            </w:r>
          </w:p>
        </w:tc>
        <w:tc>
          <w:tcPr>
            <w:tcW w:w="939" w:type="dxa"/>
            <w:tcBorders>
              <w:left w:val="single" w:color="auto" w:sz="4" w:space="0"/>
              <w:right w:val="single" w:color="auto" w:sz="4" w:space="0"/>
            </w:tcBorders>
            <w:vAlign w:val="center"/>
          </w:tcPr>
          <w:p w14:paraId="1CCCDC88">
            <w:pPr>
              <w:pStyle w:val="91"/>
              <w:keepNext w:val="0"/>
              <w:keepLines w:val="0"/>
              <w:suppressLineNumbers w:val="0"/>
              <w:spacing w:before="0" w:beforeAutospacing="0" w:after="0" w:afterAutospacing="0"/>
              <w:ind w:left="0" w:right="0"/>
              <w:jc w:val="center"/>
              <w:rPr>
                <w:rFonts w:hint="default"/>
                <w:color w:val="auto"/>
              </w:rPr>
            </w:pPr>
          </w:p>
        </w:tc>
        <w:tc>
          <w:tcPr>
            <w:tcW w:w="1382" w:type="dxa"/>
            <w:tcBorders>
              <w:left w:val="single" w:color="auto" w:sz="4" w:space="0"/>
              <w:right w:val="single" w:color="auto" w:sz="4" w:space="0"/>
            </w:tcBorders>
            <w:vAlign w:val="center"/>
          </w:tcPr>
          <w:p w14:paraId="7A34FE2E">
            <w:pPr>
              <w:pStyle w:val="91"/>
              <w:keepNext w:val="0"/>
              <w:keepLines w:val="0"/>
              <w:suppressLineNumbers w:val="0"/>
              <w:spacing w:before="0" w:beforeAutospacing="0" w:after="0" w:afterAutospacing="0"/>
              <w:ind w:left="0" w:right="0"/>
              <w:jc w:val="center"/>
              <w:rPr>
                <w:rFonts w:hint="default"/>
                <w:color w:val="auto"/>
              </w:rPr>
            </w:pPr>
          </w:p>
        </w:tc>
        <w:tc>
          <w:tcPr>
            <w:tcW w:w="1193" w:type="dxa"/>
            <w:tcBorders>
              <w:left w:val="single" w:color="auto" w:sz="4" w:space="0"/>
              <w:right w:val="single" w:color="auto" w:sz="4" w:space="0"/>
            </w:tcBorders>
            <w:vAlign w:val="center"/>
          </w:tcPr>
          <w:p w14:paraId="5E08346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c>
          <w:tcPr>
            <w:tcW w:w="1153" w:type="dxa"/>
            <w:tcBorders>
              <w:left w:val="single" w:color="auto" w:sz="4" w:space="0"/>
              <w:right w:val="single" w:color="auto" w:sz="4" w:space="0"/>
            </w:tcBorders>
            <w:vAlign w:val="center"/>
          </w:tcPr>
          <w:p w14:paraId="7BD0346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r>
      <w:tr w14:paraId="4C783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6" w:type="dxa"/>
          <w:jc w:val="center"/>
        </w:trPr>
        <w:tc>
          <w:tcPr>
            <w:tcW w:w="846" w:type="dxa"/>
            <w:vMerge w:val="continue"/>
            <w:tcBorders>
              <w:left w:val="single" w:color="auto" w:sz="4" w:space="0"/>
              <w:right w:val="single" w:color="auto" w:sz="4" w:space="0"/>
            </w:tcBorders>
            <w:vAlign w:val="center"/>
          </w:tcPr>
          <w:p w14:paraId="64237FDA">
            <w:pPr>
              <w:pStyle w:val="91"/>
              <w:keepNext w:val="0"/>
              <w:keepLines w:val="0"/>
              <w:suppressLineNumbers w:val="0"/>
              <w:spacing w:before="0" w:beforeAutospacing="0" w:after="0" w:afterAutospacing="0"/>
              <w:ind w:left="0" w:right="0"/>
              <w:jc w:val="center"/>
              <w:rPr>
                <w:rFonts w:hint="default"/>
                <w:color w:val="auto"/>
              </w:rPr>
            </w:pPr>
          </w:p>
        </w:tc>
        <w:tc>
          <w:tcPr>
            <w:tcW w:w="3006" w:type="dxa"/>
            <w:tcBorders>
              <w:top w:val="single" w:color="auto" w:sz="4" w:space="0"/>
              <w:left w:val="single" w:color="auto" w:sz="4" w:space="0"/>
              <w:bottom w:val="single" w:color="auto" w:sz="4" w:space="0"/>
              <w:right w:val="single" w:color="auto" w:sz="4" w:space="0"/>
            </w:tcBorders>
            <w:vAlign w:val="center"/>
          </w:tcPr>
          <w:p w14:paraId="40ECB5D2">
            <w:pPr>
              <w:pStyle w:val="91"/>
              <w:keepNext w:val="0"/>
              <w:keepLines w:val="0"/>
              <w:suppressLineNumbers w:val="0"/>
              <w:spacing w:before="0" w:beforeAutospacing="0" w:after="0" w:afterAutospacing="0"/>
              <w:ind w:left="0" w:right="0"/>
              <w:jc w:val="center"/>
              <w:rPr>
                <w:rFonts w:hint="default"/>
                <w:color w:val="auto"/>
              </w:rPr>
            </w:pPr>
            <w:r>
              <w:rPr>
                <w:rFonts w:hint="eastAsia" w:hAnsi="Times New Roman"/>
                <w:color w:val="auto"/>
              </w:rPr>
              <w:t>N2项目南侧厂界外1m处</w:t>
            </w:r>
          </w:p>
        </w:tc>
        <w:tc>
          <w:tcPr>
            <w:tcW w:w="939" w:type="dxa"/>
            <w:tcBorders>
              <w:left w:val="single" w:color="auto" w:sz="4" w:space="0"/>
              <w:right w:val="single" w:color="auto" w:sz="4" w:space="0"/>
            </w:tcBorders>
            <w:vAlign w:val="center"/>
          </w:tcPr>
          <w:p w14:paraId="54081B25">
            <w:pPr>
              <w:pStyle w:val="91"/>
              <w:keepNext w:val="0"/>
              <w:keepLines w:val="0"/>
              <w:suppressLineNumbers w:val="0"/>
              <w:spacing w:before="0" w:beforeAutospacing="0" w:after="0" w:afterAutospacing="0"/>
              <w:ind w:left="0" w:right="0"/>
              <w:jc w:val="center"/>
              <w:rPr>
                <w:rFonts w:hint="default"/>
                <w:color w:val="auto"/>
              </w:rPr>
            </w:pPr>
          </w:p>
        </w:tc>
        <w:tc>
          <w:tcPr>
            <w:tcW w:w="1382" w:type="dxa"/>
            <w:tcBorders>
              <w:left w:val="single" w:color="auto" w:sz="4" w:space="0"/>
              <w:right w:val="single" w:color="auto" w:sz="4" w:space="0"/>
            </w:tcBorders>
            <w:vAlign w:val="center"/>
          </w:tcPr>
          <w:p w14:paraId="56063CD2">
            <w:pPr>
              <w:pStyle w:val="91"/>
              <w:keepNext w:val="0"/>
              <w:keepLines w:val="0"/>
              <w:suppressLineNumbers w:val="0"/>
              <w:spacing w:before="0" w:beforeAutospacing="0" w:after="0" w:afterAutospacing="0"/>
              <w:ind w:left="0" w:right="0"/>
              <w:jc w:val="center"/>
              <w:rPr>
                <w:rFonts w:hint="default"/>
                <w:color w:val="auto"/>
              </w:rPr>
            </w:pPr>
          </w:p>
        </w:tc>
        <w:tc>
          <w:tcPr>
            <w:tcW w:w="1193" w:type="dxa"/>
            <w:tcBorders>
              <w:left w:val="single" w:color="auto" w:sz="4" w:space="0"/>
              <w:right w:val="single" w:color="auto" w:sz="4" w:space="0"/>
            </w:tcBorders>
            <w:vAlign w:val="center"/>
          </w:tcPr>
          <w:p w14:paraId="4858311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c>
          <w:tcPr>
            <w:tcW w:w="1153" w:type="dxa"/>
            <w:tcBorders>
              <w:left w:val="single" w:color="auto" w:sz="4" w:space="0"/>
              <w:right w:val="single" w:color="auto" w:sz="4" w:space="0"/>
            </w:tcBorders>
            <w:vAlign w:val="center"/>
          </w:tcPr>
          <w:p w14:paraId="7A5FE8F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r>
      <w:tr w14:paraId="76991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6" w:type="dxa"/>
          <w:jc w:val="center"/>
        </w:trPr>
        <w:tc>
          <w:tcPr>
            <w:tcW w:w="846" w:type="dxa"/>
            <w:vMerge w:val="continue"/>
            <w:tcBorders>
              <w:left w:val="single" w:color="auto" w:sz="4" w:space="0"/>
              <w:right w:val="single" w:color="auto" w:sz="4" w:space="0"/>
            </w:tcBorders>
            <w:vAlign w:val="center"/>
          </w:tcPr>
          <w:p w14:paraId="3B0DDDB2">
            <w:pPr>
              <w:pStyle w:val="91"/>
              <w:keepNext w:val="0"/>
              <w:keepLines w:val="0"/>
              <w:suppressLineNumbers w:val="0"/>
              <w:spacing w:before="0" w:beforeAutospacing="0" w:after="0" w:afterAutospacing="0"/>
              <w:ind w:left="0" w:right="0"/>
              <w:jc w:val="center"/>
              <w:rPr>
                <w:rFonts w:hint="default"/>
                <w:color w:val="auto"/>
              </w:rPr>
            </w:pPr>
          </w:p>
        </w:tc>
        <w:tc>
          <w:tcPr>
            <w:tcW w:w="3006" w:type="dxa"/>
            <w:tcBorders>
              <w:top w:val="single" w:color="auto" w:sz="4" w:space="0"/>
              <w:left w:val="single" w:color="auto" w:sz="4" w:space="0"/>
              <w:bottom w:val="single" w:color="auto" w:sz="4" w:space="0"/>
              <w:right w:val="single" w:color="auto" w:sz="4" w:space="0"/>
            </w:tcBorders>
            <w:vAlign w:val="center"/>
          </w:tcPr>
          <w:p w14:paraId="1DFEC6BD">
            <w:pPr>
              <w:pStyle w:val="91"/>
              <w:keepNext w:val="0"/>
              <w:keepLines w:val="0"/>
              <w:suppressLineNumbers w:val="0"/>
              <w:spacing w:before="0" w:beforeAutospacing="0" w:after="0" w:afterAutospacing="0"/>
              <w:ind w:left="0" w:right="0"/>
              <w:jc w:val="center"/>
              <w:rPr>
                <w:rFonts w:hint="default"/>
                <w:color w:val="auto"/>
              </w:rPr>
            </w:pPr>
            <w:r>
              <w:rPr>
                <w:rFonts w:hint="eastAsia" w:hAnsi="Times New Roman"/>
                <w:color w:val="auto"/>
              </w:rPr>
              <w:t>N3项目西侧厂界外1m处</w:t>
            </w:r>
          </w:p>
        </w:tc>
        <w:tc>
          <w:tcPr>
            <w:tcW w:w="939" w:type="dxa"/>
            <w:tcBorders>
              <w:left w:val="single" w:color="auto" w:sz="4" w:space="0"/>
              <w:right w:val="single" w:color="auto" w:sz="4" w:space="0"/>
            </w:tcBorders>
            <w:vAlign w:val="center"/>
          </w:tcPr>
          <w:p w14:paraId="521B08AA">
            <w:pPr>
              <w:pStyle w:val="91"/>
              <w:keepNext w:val="0"/>
              <w:keepLines w:val="0"/>
              <w:suppressLineNumbers w:val="0"/>
              <w:spacing w:before="0" w:beforeAutospacing="0" w:after="0" w:afterAutospacing="0"/>
              <w:ind w:left="0" w:right="0"/>
              <w:jc w:val="center"/>
              <w:rPr>
                <w:rFonts w:hint="default"/>
                <w:color w:val="auto"/>
              </w:rPr>
            </w:pPr>
          </w:p>
        </w:tc>
        <w:tc>
          <w:tcPr>
            <w:tcW w:w="1382" w:type="dxa"/>
            <w:tcBorders>
              <w:left w:val="single" w:color="auto" w:sz="4" w:space="0"/>
              <w:right w:val="single" w:color="auto" w:sz="4" w:space="0"/>
            </w:tcBorders>
            <w:vAlign w:val="center"/>
          </w:tcPr>
          <w:p w14:paraId="722850F3">
            <w:pPr>
              <w:pStyle w:val="91"/>
              <w:keepNext w:val="0"/>
              <w:keepLines w:val="0"/>
              <w:suppressLineNumbers w:val="0"/>
              <w:spacing w:before="0" w:beforeAutospacing="0" w:after="0" w:afterAutospacing="0"/>
              <w:ind w:left="0" w:right="0"/>
              <w:jc w:val="center"/>
              <w:rPr>
                <w:rFonts w:hint="default"/>
                <w:color w:val="auto"/>
              </w:rPr>
            </w:pPr>
          </w:p>
        </w:tc>
        <w:tc>
          <w:tcPr>
            <w:tcW w:w="1193" w:type="dxa"/>
            <w:tcBorders>
              <w:left w:val="single" w:color="auto" w:sz="4" w:space="0"/>
              <w:right w:val="single" w:color="auto" w:sz="4" w:space="0"/>
            </w:tcBorders>
            <w:vAlign w:val="center"/>
          </w:tcPr>
          <w:p w14:paraId="0FB6696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c>
          <w:tcPr>
            <w:tcW w:w="1153" w:type="dxa"/>
            <w:tcBorders>
              <w:left w:val="single" w:color="auto" w:sz="4" w:space="0"/>
              <w:right w:val="single" w:color="auto" w:sz="4" w:space="0"/>
            </w:tcBorders>
            <w:vAlign w:val="center"/>
          </w:tcPr>
          <w:p w14:paraId="63F62FE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r>
      <w:tr w14:paraId="14C1A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6" w:type="dxa"/>
          <w:jc w:val="center"/>
        </w:trPr>
        <w:tc>
          <w:tcPr>
            <w:tcW w:w="846" w:type="dxa"/>
            <w:vMerge w:val="continue"/>
            <w:tcBorders>
              <w:left w:val="single" w:color="auto" w:sz="4" w:space="0"/>
              <w:right w:val="single" w:color="auto" w:sz="4" w:space="0"/>
            </w:tcBorders>
            <w:vAlign w:val="center"/>
          </w:tcPr>
          <w:p w14:paraId="6A1DB3A9">
            <w:pPr>
              <w:pStyle w:val="91"/>
              <w:keepNext w:val="0"/>
              <w:keepLines w:val="0"/>
              <w:suppressLineNumbers w:val="0"/>
              <w:spacing w:before="0" w:beforeAutospacing="0" w:after="0" w:afterAutospacing="0"/>
              <w:ind w:left="0" w:right="0"/>
              <w:jc w:val="center"/>
              <w:rPr>
                <w:rFonts w:hint="default"/>
                <w:color w:val="auto"/>
              </w:rPr>
            </w:pPr>
          </w:p>
        </w:tc>
        <w:tc>
          <w:tcPr>
            <w:tcW w:w="3006" w:type="dxa"/>
            <w:tcBorders>
              <w:top w:val="single" w:color="auto" w:sz="4" w:space="0"/>
              <w:left w:val="single" w:color="auto" w:sz="4" w:space="0"/>
              <w:bottom w:val="single" w:color="auto" w:sz="4" w:space="0"/>
              <w:right w:val="single" w:color="auto" w:sz="4" w:space="0"/>
            </w:tcBorders>
            <w:vAlign w:val="center"/>
          </w:tcPr>
          <w:p w14:paraId="10824A44">
            <w:pPr>
              <w:pStyle w:val="91"/>
              <w:keepNext w:val="0"/>
              <w:keepLines w:val="0"/>
              <w:suppressLineNumbers w:val="0"/>
              <w:spacing w:before="0" w:beforeAutospacing="0" w:after="0" w:afterAutospacing="0"/>
              <w:ind w:left="0" w:right="0"/>
              <w:jc w:val="center"/>
              <w:rPr>
                <w:rFonts w:hint="default"/>
                <w:color w:val="auto"/>
              </w:rPr>
            </w:pPr>
            <w:r>
              <w:rPr>
                <w:rFonts w:hint="eastAsia" w:hAnsi="Times New Roman"/>
                <w:color w:val="auto"/>
              </w:rPr>
              <w:t>N4项目北侧厂界外1m处</w:t>
            </w:r>
          </w:p>
        </w:tc>
        <w:tc>
          <w:tcPr>
            <w:tcW w:w="939" w:type="dxa"/>
            <w:tcBorders>
              <w:left w:val="single" w:color="auto" w:sz="4" w:space="0"/>
              <w:right w:val="single" w:color="auto" w:sz="4" w:space="0"/>
            </w:tcBorders>
            <w:vAlign w:val="center"/>
          </w:tcPr>
          <w:p w14:paraId="7167CD72">
            <w:pPr>
              <w:pStyle w:val="91"/>
              <w:keepNext w:val="0"/>
              <w:keepLines w:val="0"/>
              <w:suppressLineNumbers w:val="0"/>
              <w:spacing w:before="0" w:beforeAutospacing="0" w:after="0" w:afterAutospacing="0"/>
              <w:ind w:left="0" w:right="0"/>
              <w:jc w:val="center"/>
              <w:rPr>
                <w:rFonts w:hint="default"/>
                <w:color w:val="auto"/>
              </w:rPr>
            </w:pPr>
          </w:p>
        </w:tc>
        <w:tc>
          <w:tcPr>
            <w:tcW w:w="1382" w:type="dxa"/>
            <w:tcBorders>
              <w:left w:val="single" w:color="auto" w:sz="4" w:space="0"/>
              <w:right w:val="single" w:color="auto" w:sz="4" w:space="0"/>
            </w:tcBorders>
            <w:vAlign w:val="center"/>
          </w:tcPr>
          <w:p w14:paraId="364177D7">
            <w:pPr>
              <w:pStyle w:val="91"/>
              <w:keepNext w:val="0"/>
              <w:keepLines w:val="0"/>
              <w:suppressLineNumbers w:val="0"/>
              <w:spacing w:before="0" w:beforeAutospacing="0" w:after="0" w:afterAutospacing="0"/>
              <w:ind w:left="0" w:right="0"/>
              <w:jc w:val="center"/>
              <w:rPr>
                <w:rFonts w:hint="default"/>
                <w:color w:val="auto"/>
              </w:rPr>
            </w:pPr>
          </w:p>
        </w:tc>
        <w:tc>
          <w:tcPr>
            <w:tcW w:w="1193" w:type="dxa"/>
            <w:tcBorders>
              <w:left w:val="single" w:color="auto" w:sz="4" w:space="0"/>
              <w:right w:val="single" w:color="auto" w:sz="4" w:space="0"/>
            </w:tcBorders>
            <w:vAlign w:val="center"/>
          </w:tcPr>
          <w:p w14:paraId="089F3C7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c>
          <w:tcPr>
            <w:tcW w:w="1153" w:type="dxa"/>
            <w:tcBorders>
              <w:left w:val="single" w:color="auto" w:sz="4" w:space="0"/>
              <w:right w:val="single" w:color="auto" w:sz="4" w:space="0"/>
            </w:tcBorders>
            <w:vAlign w:val="center"/>
          </w:tcPr>
          <w:p w14:paraId="5FDF4E0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达标</w:t>
            </w:r>
          </w:p>
        </w:tc>
      </w:tr>
    </w:tbl>
    <w:p w14:paraId="6347DFB7">
      <w:pPr>
        <w:pStyle w:val="5"/>
        <w:rPr>
          <w:color w:val="auto"/>
        </w:rPr>
      </w:pPr>
      <w:bookmarkStart w:id="460" w:name="_Toc223595768"/>
      <w:bookmarkStart w:id="461" w:name="_Toc223258477"/>
      <w:r>
        <w:rPr>
          <w:color w:val="auto"/>
        </w:rPr>
        <w:t>土壤环境</w:t>
      </w:r>
      <w:bookmarkEnd w:id="455"/>
      <w:bookmarkEnd w:id="456"/>
      <w:bookmarkEnd w:id="460"/>
      <w:bookmarkEnd w:id="461"/>
    </w:p>
    <w:p w14:paraId="16F03AFB">
      <w:pPr>
        <w:pStyle w:val="6"/>
        <w:rPr>
          <w:color w:val="auto"/>
        </w:rPr>
      </w:pPr>
      <w:r>
        <w:rPr>
          <w:rFonts w:hint="eastAsia"/>
          <w:color w:val="auto"/>
        </w:rPr>
        <w:t>监测</w:t>
      </w:r>
      <w:r>
        <w:rPr>
          <w:color w:val="auto"/>
        </w:rPr>
        <w:t>布点</w:t>
      </w:r>
    </w:p>
    <w:p w14:paraId="24C43A7A">
      <w:pPr>
        <w:ind w:firstLine="480"/>
        <w:rPr>
          <w:color w:val="auto"/>
        </w:rPr>
      </w:pPr>
      <w:r>
        <w:rPr>
          <w:rFonts w:hint="eastAsia"/>
          <w:color w:val="auto"/>
        </w:rPr>
        <w:t>本项目</w:t>
      </w:r>
      <w:r>
        <w:rPr>
          <w:color w:val="auto"/>
        </w:rPr>
        <w:t>土壤评价等级为</w:t>
      </w:r>
      <w:r>
        <w:rPr>
          <w:rFonts w:hint="eastAsia"/>
          <w:color w:val="auto"/>
        </w:rPr>
        <w:t>三级。根据</w:t>
      </w:r>
      <w:r>
        <w:rPr>
          <w:color w:val="auto"/>
        </w:rPr>
        <w:t>广西东油沥青有限公司</w:t>
      </w:r>
      <w:r>
        <w:rPr>
          <w:rFonts w:hint="eastAsia"/>
          <w:color w:val="auto"/>
        </w:rPr>
        <w:t>对土壤</w:t>
      </w:r>
      <w:r>
        <w:rPr>
          <w:color w:val="auto"/>
        </w:rPr>
        <w:t>的常规检测报告</w:t>
      </w:r>
      <w:r>
        <w:rPr>
          <w:rFonts w:hint="eastAsia"/>
          <w:color w:val="auto"/>
        </w:rPr>
        <w:t>（附件），土壤设置2个</w:t>
      </w:r>
      <w:r>
        <w:rPr>
          <w:color w:val="auto"/>
        </w:rPr>
        <w:t>监测点位</w:t>
      </w:r>
      <w:r>
        <w:rPr>
          <w:rFonts w:hint="eastAsia"/>
          <w:color w:val="auto"/>
        </w:rPr>
        <w:t>，监测采样时间</w:t>
      </w:r>
      <w:r>
        <w:rPr>
          <w:color w:val="auto"/>
        </w:rPr>
        <w:t>为</w:t>
      </w:r>
      <w:r>
        <w:rPr>
          <w:rFonts w:hint="eastAsia"/>
          <w:color w:val="auto"/>
        </w:rPr>
        <w:t>2025年5月14日</w:t>
      </w:r>
      <w:r>
        <w:rPr>
          <w:color w:val="auto"/>
        </w:rPr>
        <w:t>，土壤监测点位情况见下表。</w:t>
      </w:r>
    </w:p>
    <w:p w14:paraId="14B6241C">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rFonts w:hint="eastAsia"/>
          <w:color w:val="auto"/>
        </w:rPr>
        <w:t>土壤</w:t>
      </w:r>
      <w:r>
        <w:rPr>
          <w:color w:val="auto"/>
        </w:rPr>
        <w:t>监测</w:t>
      </w:r>
      <w:r>
        <w:rPr>
          <w:rFonts w:hint="eastAsia"/>
          <w:color w:val="auto"/>
        </w:rPr>
        <w:t>布点及监测</w:t>
      </w:r>
      <w:r>
        <w:rPr>
          <w:color w:val="auto"/>
        </w:rPr>
        <w:t>因子情况一览表</w:t>
      </w:r>
    </w:p>
    <w:tbl>
      <w:tblPr>
        <w:tblStyle w:val="43"/>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20"/>
        <w:gridCol w:w="2382"/>
        <w:gridCol w:w="1113"/>
        <w:gridCol w:w="4450"/>
      </w:tblGrid>
      <w:tr w14:paraId="4BD1C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trPr>
        <w:tc>
          <w:tcPr>
            <w:tcW w:w="758" w:type="pct"/>
            <w:vAlign w:val="center"/>
          </w:tcPr>
          <w:p w14:paraId="484D437A">
            <w:pPr>
              <w:pStyle w:val="91"/>
              <w:keepNext w:val="0"/>
              <w:keepLines w:val="0"/>
              <w:suppressLineNumbers w:val="0"/>
              <w:spacing w:before="0" w:beforeAutospacing="0" w:after="0" w:afterAutospacing="0"/>
              <w:ind w:left="0" w:right="0"/>
              <w:rPr>
                <w:rFonts w:hint="default"/>
                <w:b/>
                <w:color w:val="auto"/>
              </w:rPr>
            </w:pPr>
            <w:r>
              <w:rPr>
                <w:rFonts w:hint="default"/>
                <w:b/>
                <w:color w:val="auto"/>
              </w:rPr>
              <w:t>监测点名称</w:t>
            </w:r>
          </w:p>
        </w:tc>
        <w:tc>
          <w:tcPr>
            <w:tcW w:w="1272" w:type="pct"/>
            <w:vAlign w:val="center"/>
          </w:tcPr>
          <w:p w14:paraId="57227C4E">
            <w:pPr>
              <w:pStyle w:val="91"/>
              <w:keepNext w:val="0"/>
              <w:keepLines w:val="0"/>
              <w:suppressLineNumbers w:val="0"/>
              <w:spacing w:before="0" w:beforeAutospacing="0" w:after="0" w:afterAutospacing="0"/>
              <w:ind w:left="0" w:right="0"/>
              <w:rPr>
                <w:rFonts w:hint="default"/>
                <w:b/>
                <w:color w:val="auto"/>
              </w:rPr>
            </w:pPr>
            <w:r>
              <w:rPr>
                <w:rFonts w:hint="default"/>
                <w:b/>
                <w:color w:val="auto"/>
              </w:rPr>
              <w:t>与项目相对方位</w:t>
            </w:r>
          </w:p>
        </w:tc>
        <w:tc>
          <w:tcPr>
            <w:tcW w:w="594" w:type="pct"/>
            <w:vAlign w:val="center"/>
          </w:tcPr>
          <w:p w14:paraId="6107A622">
            <w:pPr>
              <w:pStyle w:val="91"/>
              <w:keepNext w:val="0"/>
              <w:keepLines w:val="0"/>
              <w:suppressLineNumbers w:val="0"/>
              <w:spacing w:before="0" w:beforeAutospacing="0" w:after="0" w:afterAutospacing="0"/>
              <w:ind w:left="0" w:right="0"/>
              <w:rPr>
                <w:rFonts w:hint="default"/>
                <w:b/>
                <w:color w:val="auto"/>
              </w:rPr>
            </w:pPr>
            <w:r>
              <w:rPr>
                <w:rFonts w:hint="default"/>
                <w:b/>
                <w:color w:val="auto"/>
              </w:rPr>
              <w:t>采样类别</w:t>
            </w:r>
          </w:p>
        </w:tc>
        <w:tc>
          <w:tcPr>
            <w:tcW w:w="2376" w:type="pct"/>
            <w:vAlign w:val="center"/>
          </w:tcPr>
          <w:p w14:paraId="7D7D5278">
            <w:pPr>
              <w:pStyle w:val="91"/>
              <w:keepNext w:val="0"/>
              <w:keepLines w:val="0"/>
              <w:suppressLineNumbers w:val="0"/>
              <w:spacing w:before="0" w:beforeAutospacing="0" w:after="0" w:afterAutospacing="0"/>
              <w:ind w:left="0" w:right="0"/>
              <w:rPr>
                <w:rFonts w:hint="default"/>
                <w:b/>
                <w:color w:val="auto"/>
              </w:rPr>
            </w:pPr>
            <w:r>
              <w:rPr>
                <w:rFonts w:hint="default"/>
                <w:b/>
                <w:color w:val="auto"/>
              </w:rPr>
              <w:t>监测因子</w:t>
            </w:r>
          </w:p>
        </w:tc>
      </w:tr>
      <w:tr w14:paraId="47895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58" w:type="pct"/>
            <w:vAlign w:val="center"/>
          </w:tcPr>
          <w:p w14:paraId="7CEAF5C5">
            <w:pPr>
              <w:pStyle w:val="91"/>
              <w:keepNext w:val="0"/>
              <w:keepLines w:val="0"/>
              <w:suppressLineNumbers w:val="0"/>
              <w:spacing w:before="0" w:beforeAutospacing="0" w:after="0" w:afterAutospacing="0"/>
              <w:ind w:left="0" w:right="0"/>
              <w:rPr>
                <w:rFonts w:hint="default"/>
                <w:color w:val="auto"/>
              </w:rPr>
            </w:pPr>
            <w:r>
              <w:rPr>
                <w:rFonts w:hint="eastAsia"/>
                <w:color w:val="auto"/>
              </w:rPr>
              <w:t>土壤3</w:t>
            </w:r>
            <w:r>
              <w:rPr>
                <w:rFonts w:hint="default"/>
                <w:color w:val="auto"/>
              </w:rPr>
              <w:t>#</w:t>
            </w:r>
          </w:p>
        </w:tc>
        <w:tc>
          <w:tcPr>
            <w:tcW w:w="1272" w:type="pct"/>
            <w:vAlign w:val="center"/>
          </w:tcPr>
          <w:p w14:paraId="5CE38784">
            <w:pPr>
              <w:pStyle w:val="91"/>
              <w:keepNext w:val="0"/>
              <w:keepLines w:val="0"/>
              <w:suppressLineNumbers w:val="0"/>
              <w:spacing w:before="0" w:beforeAutospacing="0" w:after="0" w:afterAutospacing="0"/>
              <w:ind w:left="0" w:right="0"/>
              <w:rPr>
                <w:rFonts w:hint="default"/>
                <w:color w:val="auto"/>
              </w:rPr>
            </w:pPr>
            <w:r>
              <w:rPr>
                <w:rFonts w:hint="default"/>
                <w:color w:val="auto"/>
              </w:rPr>
              <w:t>项目内</w:t>
            </w:r>
          </w:p>
        </w:tc>
        <w:tc>
          <w:tcPr>
            <w:tcW w:w="594" w:type="pct"/>
          </w:tcPr>
          <w:p w14:paraId="1FD2C406">
            <w:pPr>
              <w:pStyle w:val="91"/>
              <w:keepNext w:val="0"/>
              <w:keepLines w:val="0"/>
              <w:suppressLineNumbers w:val="0"/>
              <w:spacing w:before="0" w:beforeAutospacing="0" w:after="0" w:afterAutospacing="0"/>
              <w:ind w:left="0" w:right="0"/>
              <w:rPr>
                <w:rFonts w:hint="default"/>
                <w:color w:val="auto"/>
              </w:rPr>
            </w:pPr>
            <w:r>
              <w:rPr>
                <w:rFonts w:hint="eastAsia"/>
                <w:color w:val="auto"/>
              </w:rPr>
              <w:t>柱状样</w:t>
            </w:r>
          </w:p>
        </w:tc>
        <w:tc>
          <w:tcPr>
            <w:tcW w:w="2376" w:type="pct"/>
            <w:vMerge w:val="restart"/>
            <w:vAlign w:val="center"/>
          </w:tcPr>
          <w:p w14:paraId="73B6D153">
            <w:pPr>
              <w:pStyle w:val="91"/>
              <w:keepNext w:val="0"/>
              <w:keepLines w:val="0"/>
              <w:suppressLineNumbers w:val="0"/>
              <w:spacing w:before="0" w:beforeAutospacing="0" w:after="0" w:afterAutospacing="0"/>
              <w:ind w:left="0" w:right="0"/>
              <w:rPr>
                <w:rFonts w:hint="default"/>
                <w:color w:val="auto"/>
              </w:rPr>
            </w:pPr>
            <w:r>
              <w:rPr>
                <w:rFonts w:hint="eastAsia"/>
                <w:color w:val="auto"/>
              </w:rPr>
              <w:t>砷</w:t>
            </w:r>
            <w:r>
              <w:rPr>
                <w:rFonts w:hint="default"/>
                <w:color w:val="auto"/>
              </w:rPr>
              <w:t>、</w:t>
            </w:r>
            <w:r>
              <w:rPr>
                <w:rFonts w:hint="eastAsia"/>
                <w:color w:val="auto"/>
              </w:rPr>
              <w:t>镉、铬</w:t>
            </w:r>
            <w:r>
              <w:rPr>
                <w:rFonts w:hint="default"/>
                <w:color w:val="auto"/>
              </w:rPr>
              <w:t>（</w:t>
            </w:r>
            <w:r>
              <w:rPr>
                <w:rFonts w:hint="eastAsia"/>
                <w:color w:val="auto"/>
              </w:rPr>
              <w:t>六价</w:t>
            </w:r>
            <w:r>
              <w:rPr>
                <w:rFonts w:hint="default"/>
                <w:color w:val="auto"/>
              </w:rPr>
              <w:t>）</w:t>
            </w:r>
            <w:r>
              <w:rPr>
                <w:rFonts w:hint="eastAsia"/>
                <w:color w:val="auto"/>
              </w:rPr>
              <w:t>、</w:t>
            </w:r>
            <w:r>
              <w:rPr>
                <w:rFonts w:hint="default"/>
                <w:color w:val="auto"/>
              </w:rPr>
              <w:t>铜、铅、汞、镍、苯、乙苯、甲苯、</w:t>
            </w:r>
            <w:r>
              <w:rPr>
                <w:rFonts w:hint="eastAsia"/>
                <w:color w:val="auto"/>
              </w:rPr>
              <w:t>间</w:t>
            </w:r>
            <w:r>
              <w:rPr>
                <w:rFonts w:hint="default"/>
                <w:color w:val="auto"/>
              </w:rPr>
              <w:t>二甲苯</w:t>
            </w:r>
            <w:r>
              <w:rPr>
                <w:rFonts w:hint="eastAsia"/>
                <w:color w:val="auto"/>
              </w:rPr>
              <w:t>+对</w:t>
            </w:r>
            <w:r>
              <w:rPr>
                <w:rFonts w:hint="default"/>
                <w:color w:val="auto"/>
              </w:rPr>
              <w:t>二甲苯、邻二甲苯、苯并芘</w:t>
            </w:r>
            <w:r>
              <w:rPr>
                <w:rFonts w:hint="eastAsia"/>
                <w:color w:val="auto"/>
              </w:rPr>
              <w:t>[a]、</w:t>
            </w:r>
            <w:r>
              <w:rPr>
                <w:rFonts w:hint="default"/>
                <w:color w:val="auto"/>
              </w:rPr>
              <w:t>石油烃</w:t>
            </w:r>
            <w:r>
              <w:rPr>
                <w:rFonts w:hint="eastAsia"/>
                <w:color w:val="auto"/>
              </w:rPr>
              <w:t>（C</w:t>
            </w:r>
            <w:r>
              <w:rPr>
                <w:rFonts w:hint="eastAsia"/>
                <w:color w:val="auto"/>
                <w:vertAlign w:val="subscript"/>
              </w:rPr>
              <w:t>10</w:t>
            </w:r>
            <w:r>
              <w:rPr>
                <w:rFonts w:hint="eastAsia"/>
                <w:color w:val="auto"/>
              </w:rPr>
              <w:t>~C</w:t>
            </w:r>
            <w:r>
              <w:rPr>
                <w:rFonts w:hint="eastAsia"/>
                <w:color w:val="auto"/>
                <w:vertAlign w:val="subscript"/>
              </w:rPr>
              <w:t>40</w:t>
            </w:r>
            <w:r>
              <w:rPr>
                <w:rFonts w:hint="eastAsia"/>
                <w:color w:val="auto"/>
              </w:rPr>
              <w:t>）</w:t>
            </w:r>
          </w:p>
        </w:tc>
      </w:tr>
      <w:tr w14:paraId="18AB4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58" w:type="pct"/>
            <w:vAlign w:val="center"/>
          </w:tcPr>
          <w:p w14:paraId="6C80B9AF">
            <w:pPr>
              <w:pStyle w:val="91"/>
              <w:keepNext w:val="0"/>
              <w:keepLines w:val="0"/>
              <w:suppressLineNumbers w:val="0"/>
              <w:spacing w:before="0" w:beforeAutospacing="0" w:after="0" w:afterAutospacing="0"/>
              <w:ind w:left="0" w:right="0"/>
              <w:rPr>
                <w:rFonts w:hint="default"/>
                <w:color w:val="auto"/>
              </w:rPr>
            </w:pPr>
            <w:r>
              <w:rPr>
                <w:rFonts w:hint="eastAsia"/>
                <w:color w:val="auto"/>
              </w:rPr>
              <w:t>土壤4#</w:t>
            </w:r>
          </w:p>
        </w:tc>
        <w:tc>
          <w:tcPr>
            <w:tcW w:w="1272" w:type="pct"/>
            <w:vAlign w:val="center"/>
          </w:tcPr>
          <w:p w14:paraId="21606FFA">
            <w:pPr>
              <w:pStyle w:val="91"/>
              <w:keepNext w:val="0"/>
              <w:keepLines w:val="0"/>
              <w:suppressLineNumbers w:val="0"/>
              <w:spacing w:before="0" w:beforeAutospacing="0" w:after="0" w:afterAutospacing="0"/>
              <w:ind w:left="0" w:right="0"/>
              <w:rPr>
                <w:rFonts w:hint="default"/>
                <w:color w:val="auto"/>
              </w:rPr>
            </w:pPr>
            <w:r>
              <w:rPr>
                <w:rFonts w:hint="default"/>
                <w:color w:val="auto"/>
              </w:rPr>
              <w:t>项目内</w:t>
            </w:r>
          </w:p>
        </w:tc>
        <w:tc>
          <w:tcPr>
            <w:tcW w:w="594" w:type="pct"/>
          </w:tcPr>
          <w:p w14:paraId="0BB497F9">
            <w:pPr>
              <w:pStyle w:val="91"/>
              <w:keepNext w:val="0"/>
              <w:keepLines w:val="0"/>
              <w:suppressLineNumbers w:val="0"/>
              <w:spacing w:before="0" w:beforeAutospacing="0" w:after="0" w:afterAutospacing="0"/>
              <w:ind w:left="0" w:right="0"/>
              <w:rPr>
                <w:rFonts w:hint="default"/>
                <w:color w:val="auto"/>
              </w:rPr>
            </w:pPr>
            <w:r>
              <w:rPr>
                <w:rFonts w:hint="eastAsia"/>
                <w:color w:val="auto"/>
              </w:rPr>
              <w:t>柱状样</w:t>
            </w:r>
          </w:p>
        </w:tc>
        <w:tc>
          <w:tcPr>
            <w:tcW w:w="2376" w:type="pct"/>
            <w:vMerge w:val="continue"/>
            <w:vAlign w:val="center"/>
          </w:tcPr>
          <w:p w14:paraId="2A36F03E">
            <w:pPr>
              <w:pStyle w:val="91"/>
              <w:keepNext w:val="0"/>
              <w:keepLines w:val="0"/>
              <w:suppressLineNumbers w:val="0"/>
              <w:spacing w:before="0" w:beforeAutospacing="0" w:after="0" w:afterAutospacing="0"/>
              <w:ind w:left="0" w:right="0"/>
              <w:rPr>
                <w:rFonts w:hint="default"/>
                <w:color w:val="auto"/>
              </w:rPr>
            </w:pPr>
          </w:p>
        </w:tc>
      </w:tr>
    </w:tbl>
    <w:p w14:paraId="714A2ED4">
      <w:pPr>
        <w:pStyle w:val="6"/>
        <w:rPr>
          <w:color w:val="auto"/>
        </w:rPr>
      </w:pPr>
      <w:r>
        <w:rPr>
          <w:rFonts w:hint="eastAsia"/>
          <w:color w:val="auto"/>
        </w:rPr>
        <w:t>监测</w:t>
      </w:r>
      <w:r>
        <w:rPr>
          <w:color w:val="auto"/>
        </w:rPr>
        <w:t>方法</w:t>
      </w:r>
    </w:p>
    <w:p w14:paraId="3F1454FA">
      <w:pPr>
        <w:ind w:firstLine="480"/>
        <w:rPr>
          <w:color w:val="auto"/>
        </w:rPr>
      </w:pPr>
      <w:r>
        <w:rPr>
          <w:rFonts w:hint="eastAsia"/>
          <w:color w:val="auto"/>
        </w:rPr>
        <w:t>各项目监测分析方法及检出限详见表3.3-15。</w:t>
      </w:r>
    </w:p>
    <w:p w14:paraId="567F7EE9">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2</w:t>
      </w:r>
      <w:r>
        <w:rPr>
          <w:color w:val="auto"/>
        </w:rPr>
        <w:fldChar w:fldCharType="end"/>
      </w:r>
      <w:r>
        <w:rPr>
          <w:rFonts w:hint="eastAsia"/>
          <w:color w:val="auto"/>
        </w:rPr>
        <w:t>土壤环境监测分析方法及检出限</w:t>
      </w:r>
    </w:p>
    <w:tbl>
      <w:tblPr>
        <w:tblStyle w:val="44"/>
        <w:tblW w:w="92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88"/>
        <w:gridCol w:w="4668"/>
        <w:gridCol w:w="1134"/>
        <w:gridCol w:w="2484"/>
      </w:tblGrid>
      <w:tr w14:paraId="662DB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Align w:val="center"/>
          </w:tcPr>
          <w:p w14:paraId="11EC0E3D">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检测项目</w:t>
            </w:r>
          </w:p>
        </w:tc>
        <w:tc>
          <w:tcPr>
            <w:tcW w:w="4668" w:type="dxa"/>
            <w:vAlign w:val="center"/>
          </w:tcPr>
          <w:p w14:paraId="27EAE938">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检测标准(方法)名称及编号(含年号)</w:t>
            </w:r>
          </w:p>
        </w:tc>
        <w:tc>
          <w:tcPr>
            <w:tcW w:w="1134" w:type="dxa"/>
            <w:vAlign w:val="center"/>
          </w:tcPr>
          <w:p w14:paraId="7A01BF84">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方法检出限</w:t>
            </w:r>
          </w:p>
        </w:tc>
        <w:tc>
          <w:tcPr>
            <w:tcW w:w="2484" w:type="dxa"/>
            <w:vAlign w:val="center"/>
          </w:tcPr>
          <w:p w14:paraId="301D114E">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仪器设备名称及编号</w:t>
            </w:r>
          </w:p>
        </w:tc>
      </w:tr>
      <w:tr w14:paraId="0F5A4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Align w:val="center"/>
          </w:tcPr>
          <w:p w14:paraId="039102B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砷</w:t>
            </w:r>
          </w:p>
        </w:tc>
        <w:tc>
          <w:tcPr>
            <w:tcW w:w="4668" w:type="dxa"/>
            <w:vAlign w:val="center"/>
          </w:tcPr>
          <w:p w14:paraId="1694BD7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土壤质量总汞、总砷、总铅的测定</w:t>
            </w:r>
          </w:p>
          <w:p w14:paraId="6BF47C0B">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原子荧光法第2部分土壤中总砷的测定</w:t>
            </w:r>
          </w:p>
          <w:p w14:paraId="6D23113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GB/T22105.2-2008</w:t>
            </w:r>
          </w:p>
        </w:tc>
        <w:tc>
          <w:tcPr>
            <w:tcW w:w="1134" w:type="dxa"/>
            <w:vAlign w:val="center"/>
          </w:tcPr>
          <w:p w14:paraId="7558047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0.01mg/kg</w:t>
            </w:r>
          </w:p>
        </w:tc>
        <w:tc>
          <w:tcPr>
            <w:tcW w:w="2484" w:type="dxa"/>
            <w:vAlign w:val="center"/>
          </w:tcPr>
          <w:p w14:paraId="4CAFCD0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双通道原子荧光光谱仪</w:t>
            </w:r>
            <w:r>
              <w:rPr>
                <w:rFonts w:hint="eastAsia"/>
                <w:color w:val="auto"/>
              </w:rPr>
              <w:br w:type="textWrapping"/>
            </w:r>
            <w:r>
              <w:rPr>
                <w:rFonts w:hint="eastAsia"/>
                <w:color w:val="auto"/>
              </w:rPr>
              <w:t>TTE20235269</w:t>
            </w:r>
          </w:p>
        </w:tc>
      </w:tr>
      <w:tr w14:paraId="2D37A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Align w:val="center"/>
          </w:tcPr>
          <w:p w14:paraId="16B2656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镉</w:t>
            </w:r>
          </w:p>
        </w:tc>
        <w:tc>
          <w:tcPr>
            <w:tcW w:w="4668" w:type="dxa"/>
            <w:vAlign w:val="center"/>
          </w:tcPr>
          <w:p w14:paraId="35180AB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土壤和沉积物19种金属元素总量的测定</w:t>
            </w:r>
          </w:p>
          <w:p w14:paraId="54E8BC1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电感耦合等离子体质谱法</w:t>
            </w:r>
            <w:r>
              <w:rPr>
                <w:rFonts w:hint="eastAsia"/>
                <w:color w:val="auto"/>
              </w:rPr>
              <w:br w:type="textWrapping"/>
            </w:r>
            <w:r>
              <w:rPr>
                <w:rFonts w:hint="eastAsia"/>
                <w:color w:val="auto"/>
              </w:rPr>
              <w:t>HJ1315-2023</w:t>
            </w:r>
          </w:p>
        </w:tc>
        <w:tc>
          <w:tcPr>
            <w:tcW w:w="1134" w:type="dxa"/>
            <w:vAlign w:val="center"/>
          </w:tcPr>
          <w:p w14:paraId="7F83B2F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0.03mg/kg</w:t>
            </w:r>
          </w:p>
        </w:tc>
        <w:tc>
          <w:tcPr>
            <w:tcW w:w="2484" w:type="dxa"/>
            <w:vAlign w:val="center"/>
          </w:tcPr>
          <w:p w14:paraId="7A76737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电感耦合等离子体质谱仪</w:t>
            </w:r>
            <w:r>
              <w:rPr>
                <w:rFonts w:hint="eastAsia"/>
                <w:color w:val="auto"/>
              </w:rPr>
              <w:br w:type="textWrapping"/>
            </w:r>
            <w:r>
              <w:rPr>
                <w:rFonts w:hint="eastAsia"/>
                <w:color w:val="auto"/>
              </w:rPr>
              <w:t>TTE20224259-1</w:t>
            </w:r>
          </w:p>
        </w:tc>
      </w:tr>
      <w:tr w14:paraId="387FE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Align w:val="center"/>
          </w:tcPr>
          <w:p w14:paraId="4B01C84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铬(六价)</w:t>
            </w:r>
          </w:p>
        </w:tc>
        <w:tc>
          <w:tcPr>
            <w:tcW w:w="4668" w:type="dxa"/>
            <w:vAlign w:val="center"/>
          </w:tcPr>
          <w:p w14:paraId="1E6C798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土壤和沉积物六价铬的测定</w:t>
            </w:r>
            <w:r>
              <w:rPr>
                <w:rFonts w:hint="eastAsia"/>
                <w:color w:val="auto"/>
              </w:rPr>
              <w:br w:type="textWrapping"/>
            </w:r>
            <w:r>
              <w:rPr>
                <w:rFonts w:hint="eastAsia"/>
                <w:color w:val="auto"/>
              </w:rPr>
              <w:t>碱溶液提取-火焰原子吸收分光光度法</w:t>
            </w:r>
            <w:r>
              <w:rPr>
                <w:rFonts w:hint="eastAsia"/>
                <w:color w:val="auto"/>
              </w:rPr>
              <w:br w:type="textWrapping"/>
            </w:r>
            <w:r>
              <w:rPr>
                <w:rFonts w:hint="eastAsia"/>
                <w:color w:val="auto"/>
              </w:rPr>
              <w:t>HJ1082-2019</w:t>
            </w:r>
          </w:p>
        </w:tc>
        <w:tc>
          <w:tcPr>
            <w:tcW w:w="1134" w:type="dxa"/>
            <w:vAlign w:val="center"/>
          </w:tcPr>
          <w:p w14:paraId="427ED29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0.5mg/kg</w:t>
            </w:r>
          </w:p>
        </w:tc>
        <w:tc>
          <w:tcPr>
            <w:tcW w:w="2484" w:type="dxa"/>
            <w:vAlign w:val="center"/>
          </w:tcPr>
          <w:p w14:paraId="1661943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原子吸收光谱仪</w:t>
            </w:r>
            <w:r>
              <w:rPr>
                <w:rFonts w:hint="eastAsia"/>
                <w:color w:val="auto"/>
              </w:rPr>
              <w:br w:type="textWrapping"/>
            </w:r>
            <w:r>
              <w:rPr>
                <w:rFonts w:hint="eastAsia"/>
                <w:color w:val="auto"/>
              </w:rPr>
              <w:t>TTE20178617</w:t>
            </w:r>
          </w:p>
        </w:tc>
      </w:tr>
      <w:tr w14:paraId="42383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Align w:val="center"/>
          </w:tcPr>
          <w:p w14:paraId="1DA7C76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铜</w:t>
            </w:r>
          </w:p>
        </w:tc>
        <w:tc>
          <w:tcPr>
            <w:tcW w:w="4668" w:type="dxa"/>
            <w:vAlign w:val="center"/>
          </w:tcPr>
          <w:p w14:paraId="48986FE3">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土壤和沉积物19种金属元素总量的测定</w:t>
            </w:r>
            <w:r>
              <w:rPr>
                <w:rFonts w:hint="eastAsia"/>
                <w:color w:val="auto"/>
              </w:rPr>
              <w:br w:type="textWrapping"/>
            </w:r>
            <w:r>
              <w:rPr>
                <w:rFonts w:hint="eastAsia"/>
                <w:color w:val="auto"/>
              </w:rPr>
              <w:t>电感耦合等离子体质谱法</w:t>
            </w:r>
            <w:r>
              <w:rPr>
                <w:rFonts w:hint="eastAsia"/>
                <w:color w:val="auto"/>
              </w:rPr>
              <w:br w:type="textWrapping"/>
            </w:r>
            <w:r>
              <w:rPr>
                <w:rFonts w:hint="eastAsia"/>
                <w:color w:val="auto"/>
              </w:rPr>
              <w:t>HJ1315-2023</w:t>
            </w:r>
          </w:p>
        </w:tc>
        <w:tc>
          <w:tcPr>
            <w:tcW w:w="1134" w:type="dxa"/>
            <w:vAlign w:val="center"/>
          </w:tcPr>
          <w:p w14:paraId="1B09324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0.7mg/kg</w:t>
            </w:r>
          </w:p>
        </w:tc>
        <w:tc>
          <w:tcPr>
            <w:tcW w:w="2484" w:type="dxa"/>
            <w:vAlign w:val="center"/>
          </w:tcPr>
          <w:p w14:paraId="4ADAAD5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电感耦合等离子体质谱仪</w:t>
            </w:r>
            <w:r>
              <w:rPr>
                <w:rFonts w:hint="eastAsia"/>
                <w:color w:val="auto"/>
              </w:rPr>
              <w:br w:type="textWrapping"/>
            </w:r>
            <w:r>
              <w:rPr>
                <w:rFonts w:hint="eastAsia"/>
                <w:color w:val="auto"/>
              </w:rPr>
              <w:t>TTE20224259-1</w:t>
            </w:r>
          </w:p>
        </w:tc>
      </w:tr>
      <w:tr w14:paraId="60268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Align w:val="center"/>
          </w:tcPr>
          <w:p w14:paraId="020A34C3">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铅</w:t>
            </w:r>
          </w:p>
        </w:tc>
        <w:tc>
          <w:tcPr>
            <w:tcW w:w="4668" w:type="dxa"/>
            <w:vAlign w:val="center"/>
          </w:tcPr>
          <w:p w14:paraId="5C96E12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土壤和沉积物19种金属元素总量的测定</w:t>
            </w:r>
            <w:r>
              <w:rPr>
                <w:rFonts w:hint="eastAsia"/>
                <w:color w:val="auto"/>
              </w:rPr>
              <w:br w:type="textWrapping"/>
            </w:r>
            <w:r>
              <w:rPr>
                <w:rFonts w:hint="eastAsia"/>
                <w:color w:val="auto"/>
              </w:rPr>
              <w:t>电感耦合等离子体质谱法</w:t>
            </w:r>
            <w:r>
              <w:rPr>
                <w:rFonts w:hint="eastAsia"/>
                <w:color w:val="auto"/>
              </w:rPr>
              <w:br w:type="textWrapping"/>
            </w:r>
            <w:r>
              <w:rPr>
                <w:rFonts w:hint="eastAsia"/>
                <w:color w:val="auto"/>
              </w:rPr>
              <w:t>HJ1315-2023</w:t>
            </w:r>
          </w:p>
        </w:tc>
        <w:tc>
          <w:tcPr>
            <w:tcW w:w="1134" w:type="dxa"/>
            <w:vAlign w:val="center"/>
          </w:tcPr>
          <w:p w14:paraId="2349480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1mg/kg</w:t>
            </w:r>
          </w:p>
        </w:tc>
        <w:tc>
          <w:tcPr>
            <w:tcW w:w="2484" w:type="dxa"/>
            <w:vAlign w:val="center"/>
          </w:tcPr>
          <w:p w14:paraId="4D5C11E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电感耦合等离子体质谱仪</w:t>
            </w:r>
            <w:r>
              <w:rPr>
                <w:rFonts w:hint="eastAsia"/>
                <w:color w:val="auto"/>
              </w:rPr>
              <w:br w:type="textWrapping"/>
            </w:r>
            <w:r>
              <w:rPr>
                <w:rFonts w:hint="eastAsia"/>
                <w:color w:val="auto"/>
              </w:rPr>
              <w:t>TTE20224259-1</w:t>
            </w:r>
          </w:p>
        </w:tc>
      </w:tr>
      <w:tr w14:paraId="27598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Align w:val="center"/>
          </w:tcPr>
          <w:p w14:paraId="41B33E4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镍</w:t>
            </w:r>
          </w:p>
        </w:tc>
        <w:tc>
          <w:tcPr>
            <w:tcW w:w="4668" w:type="dxa"/>
            <w:vAlign w:val="center"/>
          </w:tcPr>
          <w:p w14:paraId="1469483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土壤和沉积物19种金属元素总量的测定</w:t>
            </w:r>
            <w:r>
              <w:rPr>
                <w:rFonts w:hint="eastAsia"/>
                <w:color w:val="auto"/>
              </w:rPr>
              <w:br w:type="textWrapping"/>
            </w:r>
            <w:r>
              <w:rPr>
                <w:rFonts w:hint="eastAsia"/>
                <w:color w:val="auto"/>
              </w:rPr>
              <w:t>电感耦合等离子体质谱法</w:t>
            </w:r>
            <w:r>
              <w:rPr>
                <w:rFonts w:hint="eastAsia"/>
                <w:color w:val="auto"/>
              </w:rPr>
              <w:br w:type="textWrapping"/>
            </w:r>
            <w:r>
              <w:rPr>
                <w:rFonts w:hint="eastAsia"/>
                <w:color w:val="auto"/>
              </w:rPr>
              <w:t>HJ1315-2023</w:t>
            </w:r>
          </w:p>
        </w:tc>
        <w:tc>
          <w:tcPr>
            <w:tcW w:w="1134" w:type="dxa"/>
            <w:vAlign w:val="center"/>
          </w:tcPr>
          <w:p w14:paraId="2603593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2mg/kg</w:t>
            </w:r>
          </w:p>
        </w:tc>
        <w:tc>
          <w:tcPr>
            <w:tcW w:w="2484" w:type="dxa"/>
            <w:vAlign w:val="center"/>
          </w:tcPr>
          <w:p w14:paraId="69817B0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电感耦合等离子体质谱仪</w:t>
            </w:r>
            <w:r>
              <w:rPr>
                <w:rFonts w:hint="eastAsia"/>
                <w:color w:val="auto"/>
              </w:rPr>
              <w:br w:type="textWrapping"/>
            </w:r>
            <w:r>
              <w:rPr>
                <w:rFonts w:hint="eastAsia"/>
                <w:color w:val="auto"/>
              </w:rPr>
              <w:t>TTE20224259-1</w:t>
            </w:r>
          </w:p>
        </w:tc>
      </w:tr>
      <w:tr w14:paraId="54821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Align w:val="center"/>
          </w:tcPr>
          <w:p w14:paraId="30A83A9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苯</w:t>
            </w:r>
          </w:p>
        </w:tc>
        <w:tc>
          <w:tcPr>
            <w:tcW w:w="4668" w:type="dxa"/>
            <w:vAlign w:val="center"/>
          </w:tcPr>
          <w:p w14:paraId="40DC6D6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土壤和沉积物挥发性有机物的测定</w:t>
            </w:r>
            <w:r>
              <w:rPr>
                <w:rFonts w:hint="eastAsia"/>
                <w:color w:val="auto"/>
              </w:rPr>
              <w:br w:type="textWrapping"/>
            </w:r>
            <w:r>
              <w:rPr>
                <w:rFonts w:hint="eastAsia"/>
                <w:color w:val="auto"/>
              </w:rPr>
              <w:t>吹扫捕集/气相色谱-质谱法</w:t>
            </w:r>
            <w:r>
              <w:rPr>
                <w:rFonts w:hint="eastAsia"/>
                <w:color w:val="auto"/>
              </w:rPr>
              <w:br w:type="textWrapping"/>
            </w:r>
            <w:r>
              <w:rPr>
                <w:rFonts w:hint="eastAsia"/>
                <w:color w:val="auto"/>
              </w:rPr>
              <w:t>HJ605-2011</w:t>
            </w:r>
          </w:p>
        </w:tc>
        <w:tc>
          <w:tcPr>
            <w:tcW w:w="1134" w:type="dxa"/>
            <w:vAlign w:val="center"/>
          </w:tcPr>
          <w:p w14:paraId="635CD06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0.0019</w:t>
            </w:r>
            <w:r>
              <w:rPr>
                <w:rFonts w:hint="eastAsia"/>
                <w:color w:val="auto"/>
              </w:rPr>
              <w:br w:type="textWrapping"/>
            </w:r>
            <w:r>
              <w:rPr>
                <w:rFonts w:hint="eastAsia"/>
                <w:color w:val="auto"/>
              </w:rPr>
              <w:t>mg/kg</w:t>
            </w:r>
          </w:p>
        </w:tc>
        <w:tc>
          <w:tcPr>
            <w:tcW w:w="2484" w:type="dxa"/>
            <w:vAlign w:val="center"/>
          </w:tcPr>
          <w:p w14:paraId="7AB3885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气相色谱质谱联用仪(GCMS)</w:t>
            </w:r>
            <w:r>
              <w:rPr>
                <w:rFonts w:hint="eastAsia"/>
                <w:color w:val="auto"/>
              </w:rPr>
              <w:br w:type="textWrapping"/>
            </w:r>
            <w:r>
              <w:rPr>
                <w:rFonts w:hint="eastAsia"/>
                <w:color w:val="auto"/>
              </w:rPr>
              <w:t>TTE20180755</w:t>
            </w:r>
          </w:p>
        </w:tc>
      </w:tr>
      <w:tr w14:paraId="40EAA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Align w:val="center"/>
          </w:tcPr>
          <w:p w14:paraId="24E3A55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乙苯</w:t>
            </w:r>
          </w:p>
        </w:tc>
        <w:tc>
          <w:tcPr>
            <w:tcW w:w="4668" w:type="dxa"/>
            <w:vAlign w:val="center"/>
          </w:tcPr>
          <w:p w14:paraId="4C4ACEC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土壤和沉积物挥发性有机物的测定</w:t>
            </w:r>
            <w:r>
              <w:rPr>
                <w:rFonts w:hint="eastAsia"/>
                <w:color w:val="auto"/>
              </w:rPr>
              <w:br w:type="textWrapping"/>
            </w:r>
            <w:r>
              <w:rPr>
                <w:rFonts w:hint="eastAsia"/>
                <w:color w:val="auto"/>
              </w:rPr>
              <w:t>吹扫捕集/气相色谱-质谱法</w:t>
            </w:r>
            <w:r>
              <w:rPr>
                <w:rFonts w:hint="eastAsia"/>
                <w:color w:val="auto"/>
              </w:rPr>
              <w:br w:type="textWrapping"/>
            </w:r>
            <w:r>
              <w:rPr>
                <w:rFonts w:hint="eastAsia"/>
                <w:color w:val="auto"/>
              </w:rPr>
              <w:t>HJ605-2011</w:t>
            </w:r>
          </w:p>
        </w:tc>
        <w:tc>
          <w:tcPr>
            <w:tcW w:w="1134" w:type="dxa"/>
            <w:vAlign w:val="center"/>
          </w:tcPr>
          <w:p w14:paraId="6CEA74E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0.0012</w:t>
            </w:r>
            <w:r>
              <w:rPr>
                <w:rFonts w:hint="eastAsia"/>
                <w:color w:val="auto"/>
              </w:rPr>
              <w:br w:type="textWrapping"/>
            </w:r>
            <w:r>
              <w:rPr>
                <w:rFonts w:hint="eastAsia"/>
                <w:color w:val="auto"/>
              </w:rPr>
              <w:t>mg/kg</w:t>
            </w:r>
          </w:p>
        </w:tc>
        <w:tc>
          <w:tcPr>
            <w:tcW w:w="2484" w:type="dxa"/>
            <w:vAlign w:val="center"/>
          </w:tcPr>
          <w:p w14:paraId="799414B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气相色谱质谱联用仪(GCMS)</w:t>
            </w:r>
            <w:r>
              <w:rPr>
                <w:rFonts w:hint="eastAsia"/>
                <w:color w:val="auto"/>
              </w:rPr>
              <w:br w:type="textWrapping"/>
            </w:r>
            <w:r>
              <w:rPr>
                <w:rFonts w:hint="eastAsia"/>
                <w:color w:val="auto"/>
              </w:rPr>
              <w:t>TTE20180755</w:t>
            </w:r>
          </w:p>
        </w:tc>
      </w:tr>
      <w:tr w14:paraId="496F7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Align w:val="center"/>
          </w:tcPr>
          <w:p w14:paraId="04688DA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甲苯</w:t>
            </w:r>
          </w:p>
        </w:tc>
        <w:tc>
          <w:tcPr>
            <w:tcW w:w="4668" w:type="dxa"/>
            <w:vAlign w:val="center"/>
          </w:tcPr>
          <w:p w14:paraId="3A0FC76B">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土壤和沉积物挥发性有机物的测定</w:t>
            </w:r>
            <w:r>
              <w:rPr>
                <w:rFonts w:hint="eastAsia"/>
                <w:color w:val="auto"/>
              </w:rPr>
              <w:br w:type="textWrapping"/>
            </w:r>
            <w:r>
              <w:rPr>
                <w:rFonts w:hint="eastAsia"/>
                <w:color w:val="auto"/>
              </w:rPr>
              <w:t>吹扫捕集/气相色谱-质谱法</w:t>
            </w:r>
            <w:r>
              <w:rPr>
                <w:rFonts w:hint="eastAsia"/>
                <w:color w:val="auto"/>
              </w:rPr>
              <w:br w:type="textWrapping"/>
            </w:r>
            <w:r>
              <w:rPr>
                <w:rFonts w:hint="eastAsia"/>
                <w:color w:val="auto"/>
              </w:rPr>
              <w:t>HJ605-2011</w:t>
            </w:r>
          </w:p>
        </w:tc>
        <w:tc>
          <w:tcPr>
            <w:tcW w:w="1134" w:type="dxa"/>
            <w:vAlign w:val="center"/>
          </w:tcPr>
          <w:p w14:paraId="0A6215B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0.0013</w:t>
            </w:r>
            <w:r>
              <w:rPr>
                <w:rFonts w:hint="eastAsia"/>
                <w:color w:val="auto"/>
              </w:rPr>
              <w:br w:type="textWrapping"/>
            </w:r>
            <w:r>
              <w:rPr>
                <w:rFonts w:hint="eastAsia"/>
                <w:color w:val="auto"/>
              </w:rPr>
              <w:t>mg/kg</w:t>
            </w:r>
          </w:p>
        </w:tc>
        <w:tc>
          <w:tcPr>
            <w:tcW w:w="2484" w:type="dxa"/>
            <w:vAlign w:val="center"/>
          </w:tcPr>
          <w:p w14:paraId="6FE89A2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气相色谱质谱联用仪(GCMS)</w:t>
            </w:r>
            <w:r>
              <w:rPr>
                <w:rFonts w:hint="eastAsia"/>
                <w:color w:val="auto"/>
              </w:rPr>
              <w:br w:type="textWrapping"/>
            </w:r>
            <w:r>
              <w:rPr>
                <w:rFonts w:hint="eastAsia"/>
                <w:color w:val="auto"/>
              </w:rPr>
              <w:t>TTE20180755</w:t>
            </w:r>
          </w:p>
        </w:tc>
      </w:tr>
      <w:tr w14:paraId="3424A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Align w:val="center"/>
          </w:tcPr>
          <w:p w14:paraId="536C0F5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间二甲苯+</w:t>
            </w:r>
            <w:r>
              <w:rPr>
                <w:rFonts w:hint="eastAsia"/>
                <w:color w:val="auto"/>
              </w:rPr>
              <w:br w:type="textWrapping"/>
            </w:r>
            <w:r>
              <w:rPr>
                <w:rFonts w:hint="eastAsia"/>
                <w:color w:val="auto"/>
              </w:rPr>
              <w:t>对二甲苯</w:t>
            </w:r>
          </w:p>
        </w:tc>
        <w:tc>
          <w:tcPr>
            <w:tcW w:w="4668" w:type="dxa"/>
            <w:vAlign w:val="center"/>
          </w:tcPr>
          <w:p w14:paraId="73958413">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土壤和沉积物挥发性有机物的测定</w:t>
            </w:r>
            <w:r>
              <w:rPr>
                <w:rFonts w:hint="eastAsia"/>
                <w:color w:val="auto"/>
              </w:rPr>
              <w:br w:type="textWrapping"/>
            </w:r>
            <w:r>
              <w:rPr>
                <w:rFonts w:hint="eastAsia"/>
                <w:color w:val="auto"/>
              </w:rPr>
              <w:t>吹扫捕集/气相色谱-质谱法</w:t>
            </w:r>
            <w:r>
              <w:rPr>
                <w:rFonts w:hint="eastAsia"/>
                <w:color w:val="auto"/>
              </w:rPr>
              <w:br w:type="textWrapping"/>
            </w:r>
            <w:r>
              <w:rPr>
                <w:rFonts w:hint="eastAsia"/>
                <w:color w:val="auto"/>
              </w:rPr>
              <w:t>HJ605-2011</w:t>
            </w:r>
          </w:p>
        </w:tc>
        <w:tc>
          <w:tcPr>
            <w:tcW w:w="1134" w:type="dxa"/>
            <w:vAlign w:val="center"/>
          </w:tcPr>
          <w:p w14:paraId="49F8B65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0.0012</w:t>
            </w:r>
            <w:r>
              <w:rPr>
                <w:rFonts w:hint="eastAsia"/>
                <w:color w:val="auto"/>
              </w:rPr>
              <w:br w:type="textWrapping"/>
            </w:r>
            <w:r>
              <w:rPr>
                <w:rFonts w:hint="eastAsia"/>
                <w:color w:val="auto"/>
              </w:rPr>
              <w:t>mg/kg</w:t>
            </w:r>
          </w:p>
        </w:tc>
        <w:tc>
          <w:tcPr>
            <w:tcW w:w="2484" w:type="dxa"/>
            <w:vAlign w:val="center"/>
          </w:tcPr>
          <w:p w14:paraId="65777DD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气相色谱质谱联用仪(GCMS)</w:t>
            </w:r>
            <w:r>
              <w:rPr>
                <w:rFonts w:hint="eastAsia"/>
                <w:color w:val="auto"/>
              </w:rPr>
              <w:br w:type="textWrapping"/>
            </w:r>
            <w:r>
              <w:rPr>
                <w:rFonts w:hint="eastAsia"/>
                <w:color w:val="auto"/>
              </w:rPr>
              <w:t>TTE20180755</w:t>
            </w:r>
          </w:p>
        </w:tc>
      </w:tr>
      <w:tr w14:paraId="6B9E9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Align w:val="center"/>
          </w:tcPr>
          <w:p w14:paraId="7D2E816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邻二甲苯</w:t>
            </w:r>
          </w:p>
        </w:tc>
        <w:tc>
          <w:tcPr>
            <w:tcW w:w="4668" w:type="dxa"/>
            <w:vAlign w:val="center"/>
          </w:tcPr>
          <w:p w14:paraId="7C262EC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土壤和沉积物挥发性有机物的测定</w:t>
            </w:r>
            <w:r>
              <w:rPr>
                <w:rFonts w:hint="eastAsia"/>
                <w:color w:val="auto"/>
              </w:rPr>
              <w:br w:type="textWrapping"/>
            </w:r>
            <w:r>
              <w:rPr>
                <w:rFonts w:hint="eastAsia"/>
                <w:color w:val="auto"/>
              </w:rPr>
              <w:t>吹扫捕集/气相色谱-质谱法</w:t>
            </w:r>
            <w:r>
              <w:rPr>
                <w:rFonts w:hint="eastAsia"/>
                <w:color w:val="auto"/>
              </w:rPr>
              <w:br w:type="textWrapping"/>
            </w:r>
            <w:r>
              <w:rPr>
                <w:rFonts w:hint="eastAsia"/>
                <w:color w:val="auto"/>
              </w:rPr>
              <w:t>HJ605-2011</w:t>
            </w:r>
          </w:p>
        </w:tc>
        <w:tc>
          <w:tcPr>
            <w:tcW w:w="1134" w:type="dxa"/>
            <w:vAlign w:val="center"/>
          </w:tcPr>
          <w:p w14:paraId="5FDD0EC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0.0012</w:t>
            </w:r>
            <w:r>
              <w:rPr>
                <w:rFonts w:hint="eastAsia"/>
                <w:color w:val="auto"/>
              </w:rPr>
              <w:br w:type="textWrapping"/>
            </w:r>
            <w:r>
              <w:rPr>
                <w:rFonts w:hint="eastAsia"/>
                <w:color w:val="auto"/>
              </w:rPr>
              <w:t>mg/kg</w:t>
            </w:r>
          </w:p>
        </w:tc>
        <w:tc>
          <w:tcPr>
            <w:tcW w:w="2484" w:type="dxa"/>
            <w:vAlign w:val="center"/>
          </w:tcPr>
          <w:p w14:paraId="3E8E13E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气相色谱质谱联用仪(GCMS)</w:t>
            </w:r>
            <w:r>
              <w:rPr>
                <w:rFonts w:hint="eastAsia"/>
                <w:color w:val="auto"/>
              </w:rPr>
              <w:br w:type="textWrapping"/>
            </w:r>
            <w:r>
              <w:rPr>
                <w:rFonts w:hint="eastAsia"/>
                <w:color w:val="auto"/>
              </w:rPr>
              <w:t>TTE20180755</w:t>
            </w:r>
          </w:p>
        </w:tc>
      </w:tr>
      <w:tr w14:paraId="7DABA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Align w:val="center"/>
          </w:tcPr>
          <w:p w14:paraId="3EFABEA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苯并[a]芘</w:t>
            </w:r>
          </w:p>
        </w:tc>
        <w:tc>
          <w:tcPr>
            <w:tcW w:w="4668" w:type="dxa"/>
            <w:vAlign w:val="center"/>
          </w:tcPr>
          <w:p w14:paraId="3471E86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土壤和沉积物半挥发性有机物的测定</w:t>
            </w:r>
            <w:r>
              <w:rPr>
                <w:rFonts w:hint="eastAsia"/>
                <w:color w:val="auto"/>
              </w:rPr>
              <w:br w:type="textWrapping"/>
            </w:r>
            <w:r>
              <w:rPr>
                <w:rFonts w:hint="eastAsia"/>
                <w:color w:val="auto"/>
              </w:rPr>
              <w:t>气相色谱-质谱法</w:t>
            </w:r>
            <w:r>
              <w:rPr>
                <w:rFonts w:hint="eastAsia"/>
                <w:color w:val="auto"/>
              </w:rPr>
              <w:br w:type="textWrapping"/>
            </w:r>
            <w:r>
              <w:rPr>
                <w:rFonts w:hint="eastAsia"/>
                <w:color w:val="auto"/>
              </w:rPr>
              <w:t>HJ834-2017</w:t>
            </w:r>
          </w:p>
        </w:tc>
        <w:tc>
          <w:tcPr>
            <w:tcW w:w="1134" w:type="dxa"/>
            <w:vAlign w:val="center"/>
          </w:tcPr>
          <w:p w14:paraId="10EDDDC3">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0.1</w:t>
            </w:r>
            <w:r>
              <w:rPr>
                <w:rFonts w:hint="eastAsia"/>
                <w:color w:val="auto"/>
              </w:rPr>
              <w:br w:type="textWrapping"/>
            </w:r>
            <w:r>
              <w:rPr>
                <w:rFonts w:hint="eastAsia"/>
                <w:color w:val="auto"/>
              </w:rPr>
              <w:t>mg/kg</w:t>
            </w:r>
          </w:p>
        </w:tc>
        <w:tc>
          <w:tcPr>
            <w:tcW w:w="2484" w:type="dxa"/>
            <w:vAlign w:val="center"/>
          </w:tcPr>
          <w:p w14:paraId="10613E9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气相色谱质谱联用仪(GCMS)</w:t>
            </w:r>
            <w:r>
              <w:rPr>
                <w:rFonts w:hint="eastAsia"/>
                <w:color w:val="auto"/>
              </w:rPr>
              <w:br w:type="textWrapping"/>
            </w:r>
            <w:r>
              <w:rPr>
                <w:rFonts w:hint="eastAsia"/>
                <w:color w:val="auto"/>
              </w:rPr>
              <w:t>TTE20210089-1</w:t>
            </w:r>
          </w:p>
        </w:tc>
      </w:tr>
      <w:tr w14:paraId="21117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8" w:type="dxa"/>
            <w:vAlign w:val="center"/>
          </w:tcPr>
          <w:p w14:paraId="3D0E80E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石油烃</w:t>
            </w:r>
            <w:r>
              <w:rPr>
                <w:rFonts w:hint="eastAsia"/>
                <w:color w:val="auto"/>
              </w:rPr>
              <w:br w:type="textWrapping"/>
            </w:r>
            <w:r>
              <w:rPr>
                <w:rFonts w:hint="eastAsia"/>
                <w:color w:val="auto"/>
              </w:rPr>
              <w:t>(C10-C40)</w:t>
            </w:r>
          </w:p>
        </w:tc>
        <w:tc>
          <w:tcPr>
            <w:tcW w:w="4668" w:type="dxa"/>
            <w:vAlign w:val="center"/>
          </w:tcPr>
          <w:p w14:paraId="7074676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土壤和沉积物石油烃(C10-C40)的测定</w:t>
            </w:r>
            <w:r>
              <w:rPr>
                <w:rFonts w:hint="eastAsia"/>
                <w:color w:val="auto"/>
              </w:rPr>
              <w:br w:type="textWrapping"/>
            </w:r>
            <w:r>
              <w:rPr>
                <w:rFonts w:hint="eastAsia"/>
                <w:color w:val="auto"/>
              </w:rPr>
              <w:t>气相色谱法</w:t>
            </w:r>
            <w:r>
              <w:rPr>
                <w:rFonts w:hint="eastAsia"/>
                <w:color w:val="auto"/>
              </w:rPr>
              <w:br w:type="textWrapping"/>
            </w:r>
            <w:r>
              <w:rPr>
                <w:rFonts w:hint="eastAsia"/>
                <w:color w:val="auto"/>
              </w:rPr>
              <w:t>HJ1021-2019</w:t>
            </w:r>
          </w:p>
        </w:tc>
        <w:tc>
          <w:tcPr>
            <w:tcW w:w="1134" w:type="dxa"/>
            <w:vAlign w:val="center"/>
          </w:tcPr>
          <w:p w14:paraId="3CAF9E7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6</w:t>
            </w:r>
            <w:r>
              <w:rPr>
                <w:rFonts w:hint="eastAsia"/>
                <w:color w:val="auto"/>
              </w:rPr>
              <w:br w:type="textWrapping"/>
            </w:r>
            <w:r>
              <w:rPr>
                <w:rFonts w:hint="eastAsia"/>
                <w:color w:val="auto"/>
              </w:rPr>
              <w:t>mg/kg</w:t>
            </w:r>
          </w:p>
        </w:tc>
        <w:tc>
          <w:tcPr>
            <w:tcW w:w="2484" w:type="dxa"/>
            <w:vAlign w:val="center"/>
          </w:tcPr>
          <w:p w14:paraId="385E9F4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气相色谱仪(GC)</w:t>
            </w:r>
            <w:r>
              <w:rPr>
                <w:rFonts w:hint="eastAsia"/>
                <w:color w:val="auto"/>
              </w:rPr>
              <w:br w:type="textWrapping"/>
            </w:r>
            <w:r>
              <w:rPr>
                <w:rFonts w:hint="eastAsia"/>
                <w:color w:val="auto"/>
              </w:rPr>
              <w:t>TTE20176056</w:t>
            </w:r>
          </w:p>
        </w:tc>
      </w:tr>
    </w:tbl>
    <w:p w14:paraId="6AE6E455">
      <w:pPr>
        <w:pStyle w:val="6"/>
        <w:rPr>
          <w:color w:val="auto"/>
        </w:rPr>
      </w:pPr>
      <w:r>
        <w:rPr>
          <w:rFonts w:hint="eastAsia"/>
          <w:color w:val="auto"/>
        </w:rPr>
        <w:t>监测</w:t>
      </w:r>
      <w:r>
        <w:rPr>
          <w:color w:val="auto"/>
        </w:rPr>
        <w:t>结果</w:t>
      </w:r>
    </w:p>
    <w:p w14:paraId="456A9AE5">
      <w:pPr>
        <w:ind w:firstLine="480"/>
        <w:rPr>
          <w:color w:val="auto"/>
        </w:rPr>
      </w:pPr>
      <w:r>
        <w:rPr>
          <w:rFonts w:hint="eastAsia"/>
          <w:color w:val="auto"/>
        </w:rPr>
        <w:t>土壤</w:t>
      </w:r>
      <w:r>
        <w:rPr>
          <w:color w:val="auto"/>
        </w:rPr>
        <w:t>监测结果</w:t>
      </w:r>
      <w:r>
        <w:rPr>
          <w:rFonts w:hint="eastAsia"/>
          <w:color w:val="auto"/>
        </w:rPr>
        <w:t>如下</w:t>
      </w:r>
      <w:r>
        <w:rPr>
          <w:color w:val="auto"/>
        </w:rPr>
        <w:t>表：</w:t>
      </w:r>
    </w:p>
    <w:p w14:paraId="19700B7F">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3</w:t>
      </w:r>
      <w:r>
        <w:rPr>
          <w:color w:val="auto"/>
        </w:rPr>
        <w:fldChar w:fldCharType="end"/>
      </w:r>
      <w:r>
        <w:rPr>
          <w:rFonts w:hint="eastAsia"/>
          <w:color w:val="auto"/>
        </w:rPr>
        <w:t>土壤检测结果</w:t>
      </w:r>
      <w:r>
        <w:rPr>
          <w:color w:val="auto"/>
        </w:rPr>
        <w:t>一览表</w:t>
      </w:r>
    </w:p>
    <w:tbl>
      <w:tblPr>
        <w:tblStyle w:val="44"/>
        <w:tblW w:w="90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340"/>
        <w:gridCol w:w="1032"/>
        <w:gridCol w:w="839"/>
        <w:gridCol w:w="666"/>
        <w:gridCol w:w="800"/>
        <w:gridCol w:w="657"/>
        <w:gridCol w:w="797"/>
        <w:gridCol w:w="797"/>
        <w:gridCol w:w="831"/>
        <w:gridCol w:w="708"/>
        <w:gridCol w:w="567"/>
      </w:tblGrid>
      <w:tr w14:paraId="57616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vMerge w:val="restart"/>
            <w:vAlign w:val="center"/>
          </w:tcPr>
          <w:p w14:paraId="20A69D41">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检测</w:t>
            </w:r>
            <w:r>
              <w:rPr>
                <w:rFonts w:hint="default"/>
                <w:b/>
                <w:color w:val="auto"/>
              </w:rPr>
              <w:t>项目</w:t>
            </w:r>
          </w:p>
        </w:tc>
        <w:tc>
          <w:tcPr>
            <w:tcW w:w="6419" w:type="dxa"/>
            <w:gridSpan w:val="8"/>
            <w:vAlign w:val="center"/>
          </w:tcPr>
          <w:p w14:paraId="63C57B30">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检测</w:t>
            </w:r>
            <w:r>
              <w:rPr>
                <w:rFonts w:hint="default"/>
                <w:b/>
                <w:color w:val="auto"/>
              </w:rPr>
              <w:t>结果</w:t>
            </w:r>
            <w:r>
              <w:rPr>
                <w:rFonts w:hint="eastAsia"/>
                <w:b/>
                <w:color w:val="auto"/>
              </w:rPr>
              <w:t>（mg/kg）</w:t>
            </w:r>
          </w:p>
        </w:tc>
        <w:tc>
          <w:tcPr>
            <w:tcW w:w="708" w:type="dxa"/>
            <w:vMerge w:val="restart"/>
            <w:vAlign w:val="center"/>
          </w:tcPr>
          <w:p w14:paraId="2A13DF11">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标准</w:t>
            </w:r>
            <w:r>
              <w:rPr>
                <w:rFonts w:hint="default"/>
                <w:b/>
                <w:color w:val="auto"/>
              </w:rPr>
              <w:t>限值</w:t>
            </w:r>
          </w:p>
        </w:tc>
        <w:tc>
          <w:tcPr>
            <w:tcW w:w="567" w:type="dxa"/>
            <w:vMerge w:val="restart"/>
            <w:vAlign w:val="center"/>
          </w:tcPr>
          <w:p w14:paraId="0382F160">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达标</w:t>
            </w:r>
            <w:r>
              <w:rPr>
                <w:rFonts w:hint="default"/>
                <w:b/>
                <w:color w:val="auto"/>
              </w:rPr>
              <w:t>情况</w:t>
            </w:r>
          </w:p>
        </w:tc>
      </w:tr>
      <w:tr w14:paraId="4D741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vMerge w:val="continue"/>
          </w:tcPr>
          <w:p w14:paraId="4EDE51EF">
            <w:pPr>
              <w:pStyle w:val="91"/>
              <w:keepNext w:val="0"/>
              <w:keepLines w:val="0"/>
              <w:suppressLineNumbers w:val="0"/>
              <w:spacing w:before="0" w:beforeAutospacing="0" w:after="0" w:afterAutospacing="0"/>
              <w:ind w:left="0" w:right="0"/>
              <w:rPr>
                <w:rFonts w:hint="default"/>
                <w:color w:val="auto"/>
              </w:rPr>
            </w:pPr>
          </w:p>
        </w:tc>
        <w:tc>
          <w:tcPr>
            <w:tcW w:w="3337" w:type="dxa"/>
            <w:gridSpan w:val="4"/>
            <w:vAlign w:val="center"/>
          </w:tcPr>
          <w:p w14:paraId="3AC97505">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土壤3#</w:t>
            </w:r>
          </w:p>
        </w:tc>
        <w:tc>
          <w:tcPr>
            <w:tcW w:w="3082" w:type="dxa"/>
            <w:gridSpan w:val="4"/>
            <w:vAlign w:val="center"/>
          </w:tcPr>
          <w:p w14:paraId="632FCCF9">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土壤4#</w:t>
            </w:r>
          </w:p>
        </w:tc>
        <w:tc>
          <w:tcPr>
            <w:tcW w:w="708" w:type="dxa"/>
            <w:vMerge w:val="continue"/>
          </w:tcPr>
          <w:p w14:paraId="3BD74B64">
            <w:pPr>
              <w:pStyle w:val="91"/>
              <w:keepNext w:val="0"/>
              <w:keepLines w:val="0"/>
              <w:suppressLineNumbers w:val="0"/>
              <w:spacing w:before="0" w:beforeAutospacing="0" w:after="0" w:afterAutospacing="0"/>
              <w:ind w:left="0" w:right="0"/>
              <w:rPr>
                <w:rFonts w:hint="default"/>
                <w:color w:val="auto"/>
              </w:rPr>
            </w:pPr>
          </w:p>
        </w:tc>
        <w:tc>
          <w:tcPr>
            <w:tcW w:w="567" w:type="dxa"/>
            <w:vMerge w:val="continue"/>
          </w:tcPr>
          <w:p w14:paraId="361CA36E">
            <w:pPr>
              <w:pStyle w:val="91"/>
              <w:keepNext w:val="0"/>
              <w:keepLines w:val="0"/>
              <w:suppressLineNumbers w:val="0"/>
              <w:spacing w:before="0" w:beforeAutospacing="0" w:after="0" w:afterAutospacing="0"/>
              <w:ind w:left="0" w:right="0"/>
              <w:rPr>
                <w:rFonts w:hint="default"/>
                <w:color w:val="auto"/>
              </w:rPr>
            </w:pPr>
          </w:p>
        </w:tc>
      </w:tr>
      <w:tr w14:paraId="2C270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vMerge w:val="continue"/>
          </w:tcPr>
          <w:p w14:paraId="7A28FB1C">
            <w:pPr>
              <w:pStyle w:val="91"/>
              <w:keepNext w:val="0"/>
              <w:keepLines w:val="0"/>
              <w:suppressLineNumbers w:val="0"/>
              <w:spacing w:before="0" w:beforeAutospacing="0" w:after="0" w:afterAutospacing="0"/>
              <w:ind w:left="0" w:right="0"/>
              <w:rPr>
                <w:rFonts w:hint="default"/>
                <w:color w:val="auto"/>
              </w:rPr>
            </w:pPr>
          </w:p>
        </w:tc>
        <w:tc>
          <w:tcPr>
            <w:tcW w:w="1032" w:type="dxa"/>
            <w:vAlign w:val="center"/>
          </w:tcPr>
          <w:p w14:paraId="113648E0">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0~20</w:t>
            </w:r>
            <w:r>
              <w:rPr>
                <w:rFonts w:hint="default"/>
                <w:b/>
                <w:color w:val="auto"/>
              </w:rPr>
              <w:t>cm</w:t>
            </w:r>
          </w:p>
        </w:tc>
        <w:tc>
          <w:tcPr>
            <w:tcW w:w="839" w:type="dxa"/>
            <w:vAlign w:val="center"/>
          </w:tcPr>
          <w:p w14:paraId="6A967BD6">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20~50</w:t>
            </w:r>
            <w:r>
              <w:rPr>
                <w:rFonts w:hint="default"/>
                <w:b/>
                <w:color w:val="auto"/>
              </w:rPr>
              <w:t>cm</w:t>
            </w:r>
          </w:p>
        </w:tc>
        <w:tc>
          <w:tcPr>
            <w:tcW w:w="666" w:type="dxa"/>
            <w:vAlign w:val="center"/>
          </w:tcPr>
          <w:p w14:paraId="1DAD9EDC">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50~15</w:t>
            </w:r>
          </w:p>
          <w:p w14:paraId="2A199F01">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cm</w:t>
            </w:r>
          </w:p>
        </w:tc>
        <w:tc>
          <w:tcPr>
            <w:tcW w:w="800" w:type="dxa"/>
            <w:vAlign w:val="center"/>
          </w:tcPr>
          <w:p w14:paraId="33F5B02C">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150~300</w:t>
            </w:r>
            <w:r>
              <w:rPr>
                <w:rFonts w:hint="eastAsia"/>
                <w:b/>
                <w:color w:val="auto"/>
                <w:lang w:val="en-US" w:eastAsia="zh-CN"/>
              </w:rPr>
              <w:t>c</w:t>
            </w:r>
            <w:r>
              <w:rPr>
                <w:rFonts w:hint="default"/>
                <w:b/>
                <w:color w:val="auto"/>
              </w:rPr>
              <w:t>m</w:t>
            </w:r>
          </w:p>
        </w:tc>
        <w:tc>
          <w:tcPr>
            <w:tcW w:w="657" w:type="dxa"/>
            <w:vAlign w:val="center"/>
          </w:tcPr>
          <w:p w14:paraId="73745469">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0~20</w:t>
            </w:r>
            <w:r>
              <w:rPr>
                <w:rFonts w:hint="default"/>
                <w:b/>
                <w:color w:val="auto"/>
              </w:rPr>
              <w:t>cm</w:t>
            </w:r>
          </w:p>
        </w:tc>
        <w:tc>
          <w:tcPr>
            <w:tcW w:w="797" w:type="dxa"/>
            <w:vAlign w:val="center"/>
          </w:tcPr>
          <w:p w14:paraId="50D72479">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20~50</w:t>
            </w:r>
            <w:r>
              <w:rPr>
                <w:rFonts w:hint="eastAsia"/>
                <w:b/>
                <w:color w:val="auto"/>
                <w:lang w:val="en-US" w:eastAsia="zh-CN"/>
              </w:rPr>
              <w:t>c</w:t>
            </w:r>
            <w:r>
              <w:rPr>
                <w:rFonts w:hint="default"/>
                <w:b/>
                <w:color w:val="auto"/>
              </w:rPr>
              <w:t>m</w:t>
            </w:r>
          </w:p>
        </w:tc>
        <w:tc>
          <w:tcPr>
            <w:tcW w:w="797" w:type="dxa"/>
            <w:vAlign w:val="center"/>
          </w:tcPr>
          <w:p w14:paraId="689F1830">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50~150</w:t>
            </w:r>
            <w:r>
              <w:rPr>
                <w:rFonts w:hint="default"/>
                <w:b/>
                <w:color w:val="auto"/>
              </w:rPr>
              <w:t>cm</w:t>
            </w:r>
          </w:p>
        </w:tc>
        <w:tc>
          <w:tcPr>
            <w:tcW w:w="831" w:type="dxa"/>
            <w:vAlign w:val="center"/>
          </w:tcPr>
          <w:p w14:paraId="3A6FC84C">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150~300</w:t>
            </w:r>
            <w:r>
              <w:rPr>
                <w:rFonts w:hint="eastAsia"/>
                <w:b/>
                <w:color w:val="auto"/>
                <w:lang w:val="en-US" w:eastAsia="zh-CN"/>
              </w:rPr>
              <w:t>c</w:t>
            </w:r>
            <w:r>
              <w:rPr>
                <w:rFonts w:hint="default"/>
                <w:b/>
                <w:color w:val="auto"/>
              </w:rPr>
              <w:t>m</w:t>
            </w:r>
          </w:p>
        </w:tc>
        <w:tc>
          <w:tcPr>
            <w:tcW w:w="708" w:type="dxa"/>
            <w:vMerge w:val="continue"/>
          </w:tcPr>
          <w:p w14:paraId="6D63E3CC">
            <w:pPr>
              <w:pStyle w:val="91"/>
              <w:keepNext w:val="0"/>
              <w:keepLines w:val="0"/>
              <w:suppressLineNumbers w:val="0"/>
              <w:spacing w:before="0" w:beforeAutospacing="0" w:after="0" w:afterAutospacing="0"/>
              <w:ind w:left="0" w:right="0"/>
              <w:rPr>
                <w:rFonts w:hint="default"/>
                <w:color w:val="auto"/>
              </w:rPr>
            </w:pPr>
          </w:p>
        </w:tc>
        <w:tc>
          <w:tcPr>
            <w:tcW w:w="567" w:type="dxa"/>
            <w:vMerge w:val="continue"/>
          </w:tcPr>
          <w:p w14:paraId="09AF6F67">
            <w:pPr>
              <w:pStyle w:val="91"/>
              <w:keepNext w:val="0"/>
              <w:keepLines w:val="0"/>
              <w:suppressLineNumbers w:val="0"/>
              <w:spacing w:before="0" w:beforeAutospacing="0" w:after="0" w:afterAutospacing="0"/>
              <w:ind w:left="0" w:right="0"/>
              <w:rPr>
                <w:rFonts w:hint="default"/>
                <w:color w:val="auto"/>
              </w:rPr>
            </w:pPr>
          </w:p>
        </w:tc>
      </w:tr>
      <w:tr w14:paraId="3BF0A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tcPr>
          <w:p w14:paraId="53755884">
            <w:pPr>
              <w:pStyle w:val="91"/>
              <w:keepNext w:val="0"/>
              <w:keepLines w:val="0"/>
              <w:suppressLineNumbers w:val="0"/>
              <w:spacing w:before="0" w:beforeAutospacing="0" w:after="0" w:afterAutospacing="0"/>
              <w:ind w:left="0" w:right="0"/>
              <w:rPr>
                <w:rFonts w:hint="default"/>
                <w:color w:val="auto"/>
              </w:rPr>
            </w:pPr>
            <w:r>
              <w:rPr>
                <w:rFonts w:hint="eastAsia"/>
                <w:color w:val="auto"/>
              </w:rPr>
              <w:t>砷</w:t>
            </w:r>
          </w:p>
        </w:tc>
        <w:tc>
          <w:tcPr>
            <w:tcW w:w="1032" w:type="dxa"/>
          </w:tcPr>
          <w:p w14:paraId="57D1A122">
            <w:pPr>
              <w:pStyle w:val="91"/>
              <w:keepNext w:val="0"/>
              <w:keepLines w:val="0"/>
              <w:suppressLineNumbers w:val="0"/>
              <w:spacing w:before="0" w:beforeAutospacing="0" w:after="0" w:afterAutospacing="0"/>
              <w:ind w:left="0" w:right="0"/>
              <w:rPr>
                <w:rFonts w:hint="default"/>
                <w:color w:val="auto"/>
              </w:rPr>
            </w:pPr>
          </w:p>
        </w:tc>
        <w:tc>
          <w:tcPr>
            <w:tcW w:w="839" w:type="dxa"/>
          </w:tcPr>
          <w:p w14:paraId="201F85BF">
            <w:pPr>
              <w:pStyle w:val="91"/>
              <w:keepNext w:val="0"/>
              <w:keepLines w:val="0"/>
              <w:suppressLineNumbers w:val="0"/>
              <w:spacing w:before="0" w:beforeAutospacing="0" w:after="0" w:afterAutospacing="0"/>
              <w:ind w:left="0" w:right="0"/>
              <w:rPr>
                <w:rFonts w:hint="default"/>
                <w:color w:val="auto"/>
              </w:rPr>
            </w:pPr>
          </w:p>
        </w:tc>
        <w:tc>
          <w:tcPr>
            <w:tcW w:w="666" w:type="dxa"/>
          </w:tcPr>
          <w:p w14:paraId="745AB58B">
            <w:pPr>
              <w:pStyle w:val="91"/>
              <w:keepNext w:val="0"/>
              <w:keepLines w:val="0"/>
              <w:suppressLineNumbers w:val="0"/>
              <w:spacing w:before="0" w:beforeAutospacing="0" w:after="0" w:afterAutospacing="0"/>
              <w:ind w:left="0" w:right="0"/>
              <w:rPr>
                <w:rFonts w:hint="default"/>
                <w:color w:val="auto"/>
              </w:rPr>
            </w:pPr>
          </w:p>
        </w:tc>
        <w:tc>
          <w:tcPr>
            <w:tcW w:w="800" w:type="dxa"/>
          </w:tcPr>
          <w:p w14:paraId="56F3886F">
            <w:pPr>
              <w:pStyle w:val="91"/>
              <w:keepNext w:val="0"/>
              <w:keepLines w:val="0"/>
              <w:suppressLineNumbers w:val="0"/>
              <w:spacing w:before="0" w:beforeAutospacing="0" w:after="0" w:afterAutospacing="0"/>
              <w:ind w:left="0" w:right="0"/>
              <w:rPr>
                <w:rFonts w:hint="default"/>
                <w:color w:val="auto"/>
              </w:rPr>
            </w:pPr>
          </w:p>
        </w:tc>
        <w:tc>
          <w:tcPr>
            <w:tcW w:w="657" w:type="dxa"/>
          </w:tcPr>
          <w:p w14:paraId="57C5FCBD">
            <w:pPr>
              <w:pStyle w:val="91"/>
              <w:keepNext w:val="0"/>
              <w:keepLines w:val="0"/>
              <w:suppressLineNumbers w:val="0"/>
              <w:spacing w:before="0" w:beforeAutospacing="0" w:after="0" w:afterAutospacing="0"/>
              <w:ind w:left="0" w:right="0"/>
              <w:rPr>
                <w:rFonts w:hint="default"/>
                <w:color w:val="auto"/>
              </w:rPr>
            </w:pPr>
          </w:p>
        </w:tc>
        <w:tc>
          <w:tcPr>
            <w:tcW w:w="797" w:type="dxa"/>
          </w:tcPr>
          <w:p w14:paraId="617DC682">
            <w:pPr>
              <w:pStyle w:val="91"/>
              <w:keepNext w:val="0"/>
              <w:keepLines w:val="0"/>
              <w:suppressLineNumbers w:val="0"/>
              <w:spacing w:before="0" w:beforeAutospacing="0" w:after="0" w:afterAutospacing="0"/>
              <w:ind w:left="0" w:right="0"/>
              <w:rPr>
                <w:rFonts w:hint="default"/>
                <w:color w:val="auto"/>
              </w:rPr>
            </w:pPr>
          </w:p>
        </w:tc>
        <w:tc>
          <w:tcPr>
            <w:tcW w:w="797" w:type="dxa"/>
          </w:tcPr>
          <w:p w14:paraId="31355FFD">
            <w:pPr>
              <w:pStyle w:val="91"/>
              <w:keepNext w:val="0"/>
              <w:keepLines w:val="0"/>
              <w:suppressLineNumbers w:val="0"/>
              <w:spacing w:before="0" w:beforeAutospacing="0" w:after="0" w:afterAutospacing="0"/>
              <w:ind w:left="0" w:right="0"/>
              <w:rPr>
                <w:rFonts w:hint="default"/>
                <w:color w:val="auto"/>
              </w:rPr>
            </w:pPr>
          </w:p>
        </w:tc>
        <w:tc>
          <w:tcPr>
            <w:tcW w:w="831" w:type="dxa"/>
          </w:tcPr>
          <w:p w14:paraId="67B042ED">
            <w:pPr>
              <w:pStyle w:val="91"/>
              <w:keepNext w:val="0"/>
              <w:keepLines w:val="0"/>
              <w:suppressLineNumbers w:val="0"/>
              <w:spacing w:before="0" w:beforeAutospacing="0" w:after="0" w:afterAutospacing="0"/>
              <w:ind w:left="0" w:right="0"/>
              <w:rPr>
                <w:rFonts w:hint="default"/>
                <w:color w:val="auto"/>
              </w:rPr>
            </w:pPr>
          </w:p>
        </w:tc>
        <w:tc>
          <w:tcPr>
            <w:tcW w:w="708" w:type="dxa"/>
          </w:tcPr>
          <w:p w14:paraId="70046C04">
            <w:pPr>
              <w:pStyle w:val="91"/>
              <w:keepNext w:val="0"/>
              <w:keepLines w:val="0"/>
              <w:suppressLineNumbers w:val="0"/>
              <w:spacing w:before="0" w:beforeAutospacing="0" w:after="0" w:afterAutospacing="0"/>
              <w:ind w:left="0" w:right="0"/>
              <w:rPr>
                <w:rFonts w:hint="default"/>
                <w:color w:val="auto"/>
              </w:rPr>
            </w:pPr>
          </w:p>
        </w:tc>
        <w:tc>
          <w:tcPr>
            <w:tcW w:w="567" w:type="dxa"/>
          </w:tcPr>
          <w:p w14:paraId="74B0C132">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r w14:paraId="57768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tcPr>
          <w:p w14:paraId="19B02973">
            <w:pPr>
              <w:pStyle w:val="91"/>
              <w:keepNext w:val="0"/>
              <w:keepLines w:val="0"/>
              <w:suppressLineNumbers w:val="0"/>
              <w:spacing w:before="0" w:beforeAutospacing="0" w:after="0" w:afterAutospacing="0"/>
              <w:ind w:left="0" w:right="0"/>
              <w:rPr>
                <w:rFonts w:hint="default"/>
                <w:color w:val="auto"/>
              </w:rPr>
            </w:pPr>
            <w:r>
              <w:rPr>
                <w:rFonts w:hint="eastAsia"/>
                <w:color w:val="auto"/>
              </w:rPr>
              <w:t>镉</w:t>
            </w:r>
          </w:p>
        </w:tc>
        <w:tc>
          <w:tcPr>
            <w:tcW w:w="1032" w:type="dxa"/>
          </w:tcPr>
          <w:p w14:paraId="1632D42E">
            <w:pPr>
              <w:pStyle w:val="91"/>
              <w:keepNext w:val="0"/>
              <w:keepLines w:val="0"/>
              <w:suppressLineNumbers w:val="0"/>
              <w:spacing w:before="0" w:beforeAutospacing="0" w:after="0" w:afterAutospacing="0"/>
              <w:ind w:left="0" w:right="0"/>
              <w:rPr>
                <w:rFonts w:hint="default"/>
                <w:color w:val="auto"/>
              </w:rPr>
            </w:pPr>
          </w:p>
        </w:tc>
        <w:tc>
          <w:tcPr>
            <w:tcW w:w="839" w:type="dxa"/>
          </w:tcPr>
          <w:p w14:paraId="3702B36A">
            <w:pPr>
              <w:pStyle w:val="91"/>
              <w:keepNext w:val="0"/>
              <w:keepLines w:val="0"/>
              <w:suppressLineNumbers w:val="0"/>
              <w:spacing w:before="0" w:beforeAutospacing="0" w:after="0" w:afterAutospacing="0"/>
              <w:ind w:left="0" w:right="0"/>
              <w:rPr>
                <w:rFonts w:hint="default"/>
                <w:color w:val="auto"/>
              </w:rPr>
            </w:pPr>
          </w:p>
        </w:tc>
        <w:tc>
          <w:tcPr>
            <w:tcW w:w="666" w:type="dxa"/>
          </w:tcPr>
          <w:p w14:paraId="7DA9C704">
            <w:pPr>
              <w:pStyle w:val="91"/>
              <w:keepNext w:val="0"/>
              <w:keepLines w:val="0"/>
              <w:suppressLineNumbers w:val="0"/>
              <w:spacing w:before="0" w:beforeAutospacing="0" w:after="0" w:afterAutospacing="0"/>
              <w:ind w:left="0" w:right="0"/>
              <w:rPr>
                <w:rFonts w:hint="default"/>
                <w:color w:val="auto"/>
              </w:rPr>
            </w:pPr>
          </w:p>
        </w:tc>
        <w:tc>
          <w:tcPr>
            <w:tcW w:w="800" w:type="dxa"/>
          </w:tcPr>
          <w:p w14:paraId="7544D8AA">
            <w:pPr>
              <w:pStyle w:val="91"/>
              <w:keepNext w:val="0"/>
              <w:keepLines w:val="0"/>
              <w:suppressLineNumbers w:val="0"/>
              <w:spacing w:before="0" w:beforeAutospacing="0" w:after="0" w:afterAutospacing="0"/>
              <w:ind w:left="0" w:right="0"/>
              <w:rPr>
                <w:rFonts w:hint="default"/>
                <w:color w:val="auto"/>
              </w:rPr>
            </w:pPr>
          </w:p>
        </w:tc>
        <w:tc>
          <w:tcPr>
            <w:tcW w:w="657" w:type="dxa"/>
          </w:tcPr>
          <w:p w14:paraId="6D38E778">
            <w:pPr>
              <w:pStyle w:val="91"/>
              <w:keepNext w:val="0"/>
              <w:keepLines w:val="0"/>
              <w:suppressLineNumbers w:val="0"/>
              <w:spacing w:before="0" w:beforeAutospacing="0" w:after="0" w:afterAutospacing="0"/>
              <w:ind w:left="0" w:right="0"/>
              <w:rPr>
                <w:rFonts w:hint="default"/>
                <w:color w:val="auto"/>
              </w:rPr>
            </w:pPr>
          </w:p>
        </w:tc>
        <w:tc>
          <w:tcPr>
            <w:tcW w:w="797" w:type="dxa"/>
          </w:tcPr>
          <w:p w14:paraId="3B14CE38">
            <w:pPr>
              <w:pStyle w:val="91"/>
              <w:keepNext w:val="0"/>
              <w:keepLines w:val="0"/>
              <w:suppressLineNumbers w:val="0"/>
              <w:spacing w:before="0" w:beforeAutospacing="0" w:after="0" w:afterAutospacing="0"/>
              <w:ind w:left="0" w:right="0"/>
              <w:rPr>
                <w:rFonts w:hint="default"/>
                <w:color w:val="auto"/>
              </w:rPr>
            </w:pPr>
          </w:p>
        </w:tc>
        <w:tc>
          <w:tcPr>
            <w:tcW w:w="797" w:type="dxa"/>
          </w:tcPr>
          <w:p w14:paraId="28381C47">
            <w:pPr>
              <w:pStyle w:val="91"/>
              <w:keepNext w:val="0"/>
              <w:keepLines w:val="0"/>
              <w:suppressLineNumbers w:val="0"/>
              <w:spacing w:before="0" w:beforeAutospacing="0" w:after="0" w:afterAutospacing="0"/>
              <w:ind w:left="0" w:right="0"/>
              <w:rPr>
                <w:rFonts w:hint="default"/>
                <w:color w:val="auto"/>
              </w:rPr>
            </w:pPr>
          </w:p>
        </w:tc>
        <w:tc>
          <w:tcPr>
            <w:tcW w:w="831" w:type="dxa"/>
          </w:tcPr>
          <w:p w14:paraId="0BA192C8">
            <w:pPr>
              <w:pStyle w:val="91"/>
              <w:keepNext w:val="0"/>
              <w:keepLines w:val="0"/>
              <w:suppressLineNumbers w:val="0"/>
              <w:spacing w:before="0" w:beforeAutospacing="0" w:after="0" w:afterAutospacing="0"/>
              <w:ind w:left="0" w:right="0"/>
              <w:rPr>
                <w:rFonts w:hint="default"/>
                <w:color w:val="auto"/>
              </w:rPr>
            </w:pPr>
          </w:p>
        </w:tc>
        <w:tc>
          <w:tcPr>
            <w:tcW w:w="708" w:type="dxa"/>
          </w:tcPr>
          <w:p w14:paraId="5088C4F8">
            <w:pPr>
              <w:pStyle w:val="91"/>
              <w:keepNext w:val="0"/>
              <w:keepLines w:val="0"/>
              <w:suppressLineNumbers w:val="0"/>
              <w:spacing w:before="0" w:beforeAutospacing="0" w:after="0" w:afterAutospacing="0"/>
              <w:ind w:left="0" w:right="0"/>
              <w:rPr>
                <w:rFonts w:hint="default"/>
                <w:color w:val="auto"/>
              </w:rPr>
            </w:pPr>
          </w:p>
        </w:tc>
        <w:tc>
          <w:tcPr>
            <w:tcW w:w="567" w:type="dxa"/>
          </w:tcPr>
          <w:p w14:paraId="29F92E6B">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r w14:paraId="5F448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tcPr>
          <w:p w14:paraId="063C2242">
            <w:pPr>
              <w:pStyle w:val="91"/>
              <w:keepNext w:val="0"/>
              <w:keepLines w:val="0"/>
              <w:suppressLineNumbers w:val="0"/>
              <w:spacing w:before="0" w:beforeAutospacing="0" w:after="0" w:afterAutospacing="0"/>
              <w:ind w:left="0" w:right="0"/>
              <w:rPr>
                <w:rFonts w:hint="default"/>
                <w:color w:val="auto"/>
              </w:rPr>
            </w:pPr>
            <w:r>
              <w:rPr>
                <w:rFonts w:hint="eastAsia"/>
                <w:color w:val="auto"/>
              </w:rPr>
              <w:t>铬（六价）</w:t>
            </w:r>
          </w:p>
        </w:tc>
        <w:tc>
          <w:tcPr>
            <w:tcW w:w="1032" w:type="dxa"/>
          </w:tcPr>
          <w:p w14:paraId="4BFAEE4E">
            <w:pPr>
              <w:pStyle w:val="91"/>
              <w:keepNext w:val="0"/>
              <w:keepLines w:val="0"/>
              <w:suppressLineNumbers w:val="0"/>
              <w:spacing w:before="0" w:beforeAutospacing="0" w:after="0" w:afterAutospacing="0"/>
              <w:ind w:left="0" w:right="0"/>
              <w:rPr>
                <w:rFonts w:hint="default"/>
                <w:color w:val="auto"/>
              </w:rPr>
            </w:pPr>
          </w:p>
        </w:tc>
        <w:tc>
          <w:tcPr>
            <w:tcW w:w="839" w:type="dxa"/>
          </w:tcPr>
          <w:p w14:paraId="7495063E">
            <w:pPr>
              <w:pStyle w:val="91"/>
              <w:keepNext w:val="0"/>
              <w:keepLines w:val="0"/>
              <w:suppressLineNumbers w:val="0"/>
              <w:spacing w:before="0" w:beforeAutospacing="0" w:after="0" w:afterAutospacing="0"/>
              <w:ind w:left="0" w:right="0"/>
              <w:rPr>
                <w:rFonts w:hint="default"/>
                <w:color w:val="auto"/>
              </w:rPr>
            </w:pPr>
          </w:p>
        </w:tc>
        <w:tc>
          <w:tcPr>
            <w:tcW w:w="666" w:type="dxa"/>
          </w:tcPr>
          <w:p w14:paraId="141D658C">
            <w:pPr>
              <w:pStyle w:val="91"/>
              <w:keepNext w:val="0"/>
              <w:keepLines w:val="0"/>
              <w:suppressLineNumbers w:val="0"/>
              <w:spacing w:before="0" w:beforeAutospacing="0" w:after="0" w:afterAutospacing="0"/>
              <w:ind w:left="0" w:right="0"/>
              <w:rPr>
                <w:rFonts w:hint="default"/>
                <w:color w:val="auto"/>
              </w:rPr>
            </w:pPr>
          </w:p>
        </w:tc>
        <w:tc>
          <w:tcPr>
            <w:tcW w:w="800" w:type="dxa"/>
          </w:tcPr>
          <w:p w14:paraId="46CD6A6D">
            <w:pPr>
              <w:pStyle w:val="91"/>
              <w:keepNext w:val="0"/>
              <w:keepLines w:val="0"/>
              <w:suppressLineNumbers w:val="0"/>
              <w:spacing w:before="0" w:beforeAutospacing="0" w:after="0" w:afterAutospacing="0"/>
              <w:ind w:left="0" w:right="0"/>
              <w:rPr>
                <w:rFonts w:hint="default"/>
                <w:color w:val="auto"/>
              </w:rPr>
            </w:pPr>
          </w:p>
        </w:tc>
        <w:tc>
          <w:tcPr>
            <w:tcW w:w="657" w:type="dxa"/>
          </w:tcPr>
          <w:p w14:paraId="5178A4C6">
            <w:pPr>
              <w:pStyle w:val="91"/>
              <w:keepNext w:val="0"/>
              <w:keepLines w:val="0"/>
              <w:suppressLineNumbers w:val="0"/>
              <w:spacing w:before="0" w:beforeAutospacing="0" w:after="0" w:afterAutospacing="0"/>
              <w:ind w:left="0" w:right="0"/>
              <w:rPr>
                <w:rFonts w:hint="default"/>
                <w:color w:val="auto"/>
              </w:rPr>
            </w:pPr>
          </w:p>
        </w:tc>
        <w:tc>
          <w:tcPr>
            <w:tcW w:w="797" w:type="dxa"/>
          </w:tcPr>
          <w:p w14:paraId="1C561D38">
            <w:pPr>
              <w:pStyle w:val="91"/>
              <w:keepNext w:val="0"/>
              <w:keepLines w:val="0"/>
              <w:suppressLineNumbers w:val="0"/>
              <w:spacing w:before="0" w:beforeAutospacing="0" w:after="0" w:afterAutospacing="0"/>
              <w:ind w:left="0" w:right="0"/>
              <w:rPr>
                <w:rFonts w:hint="default"/>
                <w:color w:val="auto"/>
              </w:rPr>
            </w:pPr>
          </w:p>
        </w:tc>
        <w:tc>
          <w:tcPr>
            <w:tcW w:w="797" w:type="dxa"/>
          </w:tcPr>
          <w:p w14:paraId="2EABA64A">
            <w:pPr>
              <w:pStyle w:val="91"/>
              <w:keepNext w:val="0"/>
              <w:keepLines w:val="0"/>
              <w:suppressLineNumbers w:val="0"/>
              <w:spacing w:before="0" w:beforeAutospacing="0" w:after="0" w:afterAutospacing="0"/>
              <w:ind w:left="0" w:right="0"/>
              <w:rPr>
                <w:rFonts w:hint="default"/>
                <w:color w:val="auto"/>
              </w:rPr>
            </w:pPr>
          </w:p>
        </w:tc>
        <w:tc>
          <w:tcPr>
            <w:tcW w:w="831" w:type="dxa"/>
          </w:tcPr>
          <w:p w14:paraId="0A174086">
            <w:pPr>
              <w:pStyle w:val="91"/>
              <w:keepNext w:val="0"/>
              <w:keepLines w:val="0"/>
              <w:suppressLineNumbers w:val="0"/>
              <w:spacing w:before="0" w:beforeAutospacing="0" w:after="0" w:afterAutospacing="0"/>
              <w:ind w:left="0" w:right="0"/>
              <w:rPr>
                <w:rFonts w:hint="default"/>
                <w:color w:val="auto"/>
              </w:rPr>
            </w:pPr>
          </w:p>
        </w:tc>
        <w:tc>
          <w:tcPr>
            <w:tcW w:w="708" w:type="dxa"/>
          </w:tcPr>
          <w:p w14:paraId="39130DC7">
            <w:pPr>
              <w:pStyle w:val="91"/>
              <w:keepNext w:val="0"/>
              <w:keepLines w:val="0"/>
              <w:suppressLineNumbers w:val="0"/>
              <w:spacing w:before="0" w:beforeAutospacing="0" w:after="0" w:afterAutospacing="0"/>
              <w:ind w:left="0" w:right="0"/>
              <w:rPr>
                <w:rFonts w:hint="default"/>
                <w:color w:val="auto"/>
              </w:rPr>
            </w:pPr>
          </w:p>
        </w:tc>
        <w:tc>
          <w:tcPr>
            <w:tcW w:w="567" w:type="dxa"/>
          </w:tcPr>
          <w:p w14:paraId="2B044E81">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r w14:paraId="23255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tcPr>
          <w:p w14:paraId="7A2F6269">
            <w:pPr>
              <w:pStyle w:val="91"/>
              <w:keepNext w:val="0"/>
              <w:keepLines w:val="0"/>
              <w:suppressLineNumbers w:val="0"/>
              <w:spacing w:before="0" w:beforeAutospacing="0" w:after="0" w:afterAutospacing="0"/>
              <w:ind w:left="0" w:right="0"/>
              <w:rPr>
                <w:rFonts w:hint="default"/>
                <w:color w:val="auto"/>
              </w:rPr>
            </w:pPr>
            <w:r>
              <w:rPr>
                <w:rFonts w:hint="eastAsia"/>
                <w:color w:val="auto"/>
              </w:rPr>
              <w:t>铜</w:t>
            </w:r>
          </w:p>
        </w:tc>
        <w:tc>
          <w:tcPr>
            <w:tcW w:w="1032" w:type="dxa"/>
          </w:tcPr>
          <w:p w14:paraId="06DF4185">
            <w:pPr>
              <w:pStyle w:val="91"/>
              <w:keepNext w:val="0"/>
              <w:keepLines w:val="0"/>
              <w:suppressLineNumbers w:val="0"/>
              <w:spacing w:before="0" w:beforeAutospacing="0" w:after="0" w:afterAutospacing="0"/>
              <w:ind w:left="0" w:right="0"/>
              <w:rPr>
                <w:rFonts w:hint="default"/>
                <w:color w:val="auto"/>
              </w:rPr>
            </w:pPr>
          </w:p>
        </w:tc>
        <w:tc>
          <w:tcPr>
            <w:tcW w:w="839" w:type="dxa"/>
          </w:tcPr>
          <w:p w14:paraId="3DE14A08">
            <w:pPr>
              <w:pStyle w:val="91"/>
              <w:keepNext w:val="0"/>
              <w:keepLines w:val="0"/>
              <w:suppressLineNumbers w:val="0"/>
              <w:spacing w:before="0" w:beforeAutospacing="0" w:after="0" w:afterAutospacing="0"/>
              <w:ind w:left="0" w:right="0"/>
              <w:rPr>
                <w:rFonts w:hint="default"/>
                <w:color w:val="auto"/>
              </w:rPr>
            </w:pPr>
          </w:p>
        </w:tc>
        <w:tc>
          <w:tcPr>
            <w:tcW w:w="666" w:type="dxa"/>
          </w:tcPr>
          <w:p w14:paraId="06E1F006">
            <w:pPr>
              <w:pStyle w:val="91"/>
              <w:keepNext w:val="0"/>
              <w:keepLines w:val="0"/>
              <w:suppressLineNumbers w:val="0"/>
              <w:spacing w:before="0" w:beforeAutospacing="0" w:after="0" w:afterAutospacing="0"/>
              <w:ind w:left="0" w:right="0"/>
              <w:rPr>
                <w:rFonts w:hint="default"/>
                <w:color w:val="auto"/>
              </w:rPr>
            </w:pPr>
          </w:p>
        </w:tc>
        <w:tc>
          <w:tcPr>
            <w:tcW w:w="800" w:type="dxa"/>
          </w:tcPr>
          <w:p w14:paraId="24C1C4DD">
            <w:pPr>
              <w:pStyle w:val="91"/>
              <w:keepNext w:val="0"/>
              <w:keepLines w:val="0"/>
              <w:suppressLineNumbers w:val="0"/>
              <w:spacing w:before="0" w:beforeAutospacing="0" w:after="0" w:afterAutospacing="0"/>
              <w:ind w:left="0" w:right="0"/>
              <w:rPr>
                <w:rFonts w:hint="default"/>
                <w:color w:val="auto"/>
              </w:rPr>
            </w:pPr>
          </w:p>
        </w:tc>
        <w:tc>
          <w:tcPr>
            <w:tcW w:w="657" w:type="dxa"/>
          </w:tcPr>
          <w:p w14:paraId="38AA0BFB">
            <w:pPr>
              <w:pStyle w:val="91"/>
              <w:keepNext w:val="0"/>
              <w:keepLines w:val="0"/>
              <w:suppressLineNumbers w:val="0"/>
              <w:spacing w:before="0" w:beforeAutospacing="0" w:after="0" w:afterAutospacing="0"/>
              <w:ind w:left="0" w:right="0"/>
              <w:rPr>
                <w:rFonts w:hint="default"/>
                <w:color w:val="auto"/>
              </w:rPr>
            </w:pPr>
          </w:p>
        </w:tc>
        <w:tc>
          <w:tcPr>
            <w:tcW w:w="797" w:type="dxa"/>
          </w:tcPr>
          <w:p w14:paraId="6E9A70C6">
            <w:pPr>
              <w:pStyle w:val="91"/>
              <w:keepNext w:val="0"/>
              <w:keepLines w:val="0"/>
              <w:suppressLineNumbers w:val="0"/>
              <w:spacing w:before="0" w:beforeAutospacing="0" w:after="0" w:afterAutospacing="0"/>
              <w:ind w:left="0" w:right="0"/>
              <w:rPr>
                <w:rFonts w:hint="default"/>
                <w:color w:val="auto"/>
              </w:rPr>
            </w:pPr>
          </w:p>
        </w:tc>
        <w:tc>
          <w:tcPr>
            <w:tcW w:w="797" w:type="dxa"/>
          </w:tcPr>
          <w:p w14:paraId="35E55EE8">
            <w:pPr>
              <w:pStyle w:val="91"/>
              <w:keepNext w:val="0"/>
              <w:keepLines w:val="0"/>
              <w:suppressLineNumbers w:val="0"/>
              <w:spacing w:before="0" w:beforeAutospacing="0" w:after="0" w:afterAutospacing="0"/>
              <w:ind w:left="0" w:right="0"/>
              <w:rPr>
                <w:rFonts w:hint="default"/>
                <w:color w:val="auto"/>
              </w:rPr>
            </w:pPr>
          </w:p>
        </w:tc>
        <w:tc>
          <w:tcPr>
            <w:tcW w:w="831" w:type="dxa"/>
          </w:tcPr>
          <w:p w14:paraId="3B76B13D">
            <w:pPr>
              <w:pStyle w:val="91"/>
              <w:keepNext w:val="0"/>
              <w:keepLines w:val="0"/>
              <w:suppressLineNumbers w:val="0"/>
              <w:spacing w:before="0" w:beforeAutospacing="0" w:after="0" w:afterAutospacing="0"/>
              <w:ind w:left="0" w:right="0"/>
              <w:rPr>
                <w:rFonts w:hint="default"/>
                <w:color w:val="auto"/>
              </w:rPr>
            </w:pPr>
          </w:p>
        </w:tc>
        <w:tc>
          <w:tcPr>
            <w:tcW w:w="708" w:type="dxa"/>
          </w:tcPr>
          <w:p w14:paraId="537A4B86">
            <w:pPr>
              <w:pStyle w:val="91"/>
              <w:keepNext w:val="0"/>
              <w:keepLines w:val="0"/>
              <w:suppressLineNumbers w:val="0"/>
              <w:spacing w:before="0" w:beforeAutospacing="0" w:after="0" w:afterAutospacing="0"/>
              <w:ind w:left="0" w:right="0"/>
              <w:rPr>
                <w:rFonts w:hint="default"/>
                <w:color w:val="auto"/>
              </w:rPr>
            </w:pPr>
          </w:p>
        </w:tc>
        <w:tc>
          <w:tcPr>
            <w:tcW w:w="567" w:type="dxa"/>
          </w:tcPr>
          <w:p w14:paraId="15B02FC5">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r w14:paraId="0675C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tcPr>
          <w:p w14:paraId="6A3EE404">
            <w:pPr>
              <w:pStyle w:val="91"/>
              <w:keepNext w:val="0"/>
              <w:keepLines w:val="0"/>
              <w:suppressLineNumbers w:val="0"/>
              <w:spacing w:before="0" w:beforeAutospacing="0" w:after="0" w:afterAutospacing="0"/>
              <w:ind w:left="0" w:right="0"/>
              <w:rPr>
                <w:rFonts w:hint="default"/>
                <w:color w:val="auto"/>
              </w:rPr>
            </w:pPr>
            <w:r>
              <w:rPr>
                <w:rFonts w:hint="eastAsia"/>
                <w:color w:val="auto"/>
              </w:rPr>
              <w:t>铅</w:t>
            </w:r>
          </w:p>
        </w:tc>
        <w:tc>
          <w:tcPr>
            <w:tcW w:w="1032" w:type="dxa"/>
          </w:tcPr>
          <w:p w14:paraId="09BE6D49">
            <w:pPr>
              <w:pStyle w:val="91"/>
              <w:keepNext w:val="0"/>
              <w:keepLines w:val="0"/>
              <w:suppressLineNumbers w:val="0"/>
              <w:spacing w:before="0" w:beforeAutospacing="0" w:after="0" w:afterAutospacing="0"/>
              <w:ind w:left="0" w:right="0"/>
              <w:rPr>
                <w:rFonts w:hint="default"/>
                <w:color w:val="auto"/>
              </w:rPr>
            </w:pPr>
          </w:p>
        </w:tc>
        <w:tc>
          <w:tcPr>
            <w:tcW w:w="839" w:type="dxa"/>
          </w:tcPr>
          <w:p w14:paraId="69733859">
            <w:pPr>
              <w:pStyle w:val="91"/>
              <w:keepNext w:val="0"/>
              <w:keepLines w:val="0"/>
              <w:suppressLineNumbers w:val="0"/>
              <w:spacing w:before="0" w:beforeAutospacing="0" w:after="0" w:afterAutospacing="0"/>
              <w:ind w:left="0" w:right="0"/>
              <w:rPr>
                <w:rFonts w:hint="default"/>
                <w:color w:val="auto"/>
              </w:rPr>
            </w:pPr>
          </w:p>
        </w:tc>
        <w:tc>
          <w:tcPr>
            <w:tcW w:w="666" w:type="dxa"/>
          </w:tcPr>
          <w:p w14:paraId="04459C55">
            <w:pPr>
              <w:pStyle w:val="91"/>
              <w:keepNext w:val="0"/>
              <w:keepLines w:val="0"/>
              <w:suppressLineNumbers w:val="0"/>
              <w:spacing w:before="0" w:beforeAutospacing="0" w:after="0" w:afterAutospacing="0"/>
              <w:ind w:left="0" w:right="0"/>
              <w:rPr>
                <w:rFonts w:hint="default"/>
                <w:color w:val="auto"/>
              </w:rPr>
            </w:pPr>
          </w:p>
        </w:tc>
        <w:tc>
          <w:tcPr>
            <w:tcW w:w="800" w:type="dxa"/>
          </w:tcPr>
          <w:p w14:paraId="7D8B0EDD">
            <w:pPr>
              <w:pStyle w:val="91"/>
              <w:keepNext w:val="0"/>
              <w:keepLines w:val="0"/>
              <w:suppressLineNumbers w:val="0"/>
              <w:spacing w:before="0" w:beforeAutospacing="0" w:after="0" w:afterAutospacing="0"/>
              <w:ind w:left="0" w:right="0"/>
              <w:rPr>
                <w:rFonts w:hint="default"/>
                <w:color w:val="auto"/>
              </w:rPr>
            </w:pPr>
          </w:p>
        </w:tc>
        <w:tc>
          <w:tcPr>
            <w:tcW w:w="657" w:type="dxa"/>
          </w:tcPr>
          <w:p w14:paraId="5AC63802">
            <w:pPr>
              <w:pStyle w:val="91"/>
              <w:keepNext w:val="0"/>
              <w:keepLines w:val="0"/>
              <w:suppressLineNumbers w:val="0"/>
              <w:spacing w:before="0" w:beforeAutospacing="0" w:after="0" w:afterAutospacing="0"/>
              <w:ind w:left="0" w:right="0"/>
              <w:rPr>
                <w:rFonts w:hint="default"/>
                <w:color w:val="auto"/>
              </w:rPr>
            </w:pPr>
          </w:p>
        </w:tc>
        <w:tc>
          <w:tcPr>
            <w:tcW w:w="797" w:type="dxa"/>
          </w:tcPr>
          <w:p w14:paraId="015F8B28">
            <w:pPr>
              <w:pStyle w:val="91"/>
              <w:keepNext w:val="0"/>
              <w:keepLines w:val="0"/>
              <w:suppressLineNumbers w:val="0"/>
              <w:spacing w:before="0" w:beforeAutospacing="0" w:after="0" w:afterAutospacing="0"/>
              <w:ind w:left="0" w:right="0"/>
              <w:rPr>
                <w:rFonts w:hint="default"/>
                <w:color w:val="auto"/>
              </w:rPr>
            </w:pPr>
          </w:p>
        </w:tc>
        <w:tc>
          <w:tcPr>
            <w:tcW w:w="797" w:type="dxa"/>
          </w:tcPr>
          <w:p w14:paraId="496A3C9F">
            <w:pPr>
              <w:pStyle w:val="91"/>
              <w:keepNext w:val="0"/>
              <w:keepLines w:val="0"/>
              <w:suppressLineNumbers w:val="0"/>
              <w:spacing w:before="0" w:beforeAutospacing="0" w:after="0" w:afterAutospacing="0"/>
              <w:ind w:left="0" w:right="0"/>
              <w:rPr>
                <w:rFonts w:hint="default"/>
                <w:color w:val="auto"/>
              </w:rPr>
            </w:pPr>
          </w:p>
        </w:tc>
        <w:tc>
          <w:tcPr>
            <w:tcW w:w="831" w:type="dxa"/>
          </w:tcPr>
          <w:p w14:paraId="0BA4775C">
            <w:pPr>
              <w:pStyle w:val="91"/>
              <w:keepNext w:val="0"/>
              <w:keepLines w:val="0"/>
              <w:suppressLineNumbers w:val="0"/>
              <w:spacing w:before="0" w:beforeAutospacing="0" w:after="0" w:afterAutospacing="0"/>
              <w:ind w:left="0" w:right="0"/>
              <w:rPr>
                <w:rFonts w:hint="default"/>
                <w:color w:val="auto"/>
              </w:rPr>
            </w:pPr>
          </w:p>
        </w:tc>
        <w:tc>
          <w:tcPr>
            <w:tcW w:w="708" w:type="dxa"/>
          </w:tcPr>
          <w:p w14:paraId="3F83A9F6">
            <w:pPr>
              <w:pStyle w:val="91"/>
              <w:keepNext w:val="0"/>
              <w:keepLines w:val="0"/>
              <w:suppressLineNumbers w:val="0"/>
              <w:spacing w:before="0" w:beforeAutospacing="0" w:after="0" w:afterAutospacing="0"/>
              <w:ind w:left="0" w:right="0"/>
              <w:rPr>
                <w:rFonts w:hint="default"/>
                <w:color w:val="auto"/>
              </w:rPr>
            </w:pPr>
          </w:p>
        </w:tc>
        <w:tc>
          <w:tcPr>
            <w:tcW w:w="567" w:type="dxa"/>
          </w:tcPr>
          <w:p w14:paraId="391C1C48">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r w14:paraId="15676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tcPr>
          <w:p w14:paraId="708B3D60">
            <w:pPr>
              <w:pStyle w:val="91"/>
              <w:keepNext w:val="0"/>
              <w:keepLines w:val="0"/>
              <w:suppressLineNumbers w:val="0"/>
              <w:spacing w:before="0" w:beforeAutospacing="0" w:after="0" w:afterAutospacing="0"/>
              <w:ind w:left="0" w:right="0"/>
              <w:rPr>
                <w:rFonts w:hint="default"/>
                <w:color w:val="auto"/>
              </w:rPr>
            </w:pPr>
            <w:r>
              <w:rPr>
                <w:rFonts w:hint="eastAsia"/>
                <w:color w:val="auto"/>
              </w:rPr>
              <w:t>汞</w:t>
            </w:r>
          </w:p>
        </w:tc>
        <w:tc>
          <w:tcPr>
            <w:tcW w:w="1032" w:type="dxa"/>
          </w:tcPr>
          <w:p w14:paraId="28BE80D7">
            <w:pPr>
              <w:pStyle w:val="91"/>
              <w:keepNext w:val="0"/>
              <w:keepLines w:val="0"/>
              <w:suppressLineNumbers w:val="0"/>
              <w:spacing w:before="0" w:beforeAutospacing="0" w:after="0" w:afterAutospacing="0"/>
              <w:ind w:left="0" w:right="0"/>
              <w:rPr>
                <w:rFonts w:hint="default"/>
                <w:color w:val="auto"/>
              </w:rPr>
            </w:pPr>
          </w:p>
        </w:tc>
        <w:tc>
          <w:tcPr>
            <w:tcW w:w="839" w:type="dxa"/>
          </w:tcPr>
          <w:p w14:paraId="2F61806A">
            <w:pPr>
              <w:pStyle w:val="91"/>
              <w:keepNext w:val="0"/>
              <w:keepLines w:val="0"/>
              <w:suppressLineNumbers w:val="0"/>
              <w:spacing w:before="0" w:beforeAutospacing="0" w:after="0" w:afterAutospacing="0"/>
              <w:ind w:left="0" w:right="0"/>
              <w:rPr>
                <w:rFonts w:hint="default"/>
                <w:color w:val="auto"/>
              </w:rPr>
            </w:pPr>
          </w:p>
        </w:tc>
        <w:tc>
          <w:tcPr>
            <w:tcW w:w="666" w:type="dxa"/>
          </w:tcPr>
          <w:p w14:paraId="4A8820D9">
            <w:pPr>
              <w:pStyle w:val="91"/>
              <w:keepNext w:val="0"/>
              <w:keepLines w:val="0"/>
              <w:suppressLineNumbers w:val="0"/>
              <w:spacing w:before="0" w:beforeAutospacing="0" w:after="0" w:afterAutospacing="0"/>
              <w:ind w:left="0" w:right="0"/>
              <w:rPr>
                <w:rFonts w:hint="default"/>
                <w:color w:val="auto"/>
              </w:rPr>
            </w:pPr>
          </w:p>
        </w:tc>
        <w:tc>
          <w:tcPr>
            <w:tcW w:w="800" w:type="dxa"/>
          </w:tcPr>
          <w:p w14:paraId="63610377">
            <w:pPr>
              <w:pStyle w:val="91"/>
              <w:keepNext w:val="0"/>
              <w:keepLines w:val="0"/>
              <w:suppressLineNumbers w:val="0"/>
              <w:spacing w:before="0" w:beforeAutospacing="0" w:after="0" w:afterAutospacing="0"/>
              <w:ind w:left="0" w:right="0"/>
              <w:rPr>
                <w:rFonts w:hint="default"/>
                <w:color w:val="auto"/>
              </w:rPr>
            </w:pPr>
          </w:p>
        </w:tc>
        <w:tc>
          <w:tcPr>
            <w:tcW w:w="657" w:type="dxa"/>
          </w:tcPr>
          <w:p w14:paraId="1BCED5E2">
            <w:pPr>
              <w:pStyle w:val="91"/>
              <w:keepNext w:val="0"/>
              <w:keepLines w:val="0"/>
              <w:suppressLineNumbers w:val="0"/>
              <w:spacing w:before="0" w:beforeAutospacing="0" w:after="0" w:afterAutospacing="0"/>
              <w:ind w:left="0" w:right="0"/>
              <w:rPr>
                <w:rFonts w:hint="default"/>
                <w:color w:val="auto"/>
              </w:rPr>
            </w:pPr>
          </w:p>
        </w:tc>
        <w:tc>
          <w:tcPr>
            <w:tcW w:w="797" w:type="dxa"/>
          </w:tcPr>
          <w:p w14:paraId="68EFF6EC">
            <w:pPr>
              <w:pStyle w:val="91"/>
              <w:keepNext w:val="0"/>
              <w:keepLines w:val="0"/>
              <w:suppressLineNumbers w:val="0"/>
              <w:spacing w:before="0" w:beforeAutospacing="0" w:after="0" w:afterAutospacing="0"/>
              <w:ind w:left="0" w:right="0"/>
              <w:rPr>
                <w:rFonts w:hint="default"/>
                <w:color w:val="auto"/>
              </w:rPr>
            </w:pPr>
          </w:p>
        </w:tc>
        <w:tc>
          <w:tcPr>
            <w:tcW w:w="797" w:type="dxa"/>
          </w:tcPr>
          <w:p w14:paraId="58E0A1EF">
            <w:pPr>
              <w:pStyle w:val="91"/>
              <w:keepNext w:val="0"/>
              <w:keepLines w:val="0"/>
              <w:suppressLineNumbers w:val="0"/>
              <w:spacing w:before="0" w:beforeAutospacing="0" w:after="0" w:afterAutospacing="0"/>
              <w:ind w:left="0" w:right="0"/>
              <w:rPr>
                <w:rFonts w:hint="default"/>
                <w:color w:val="auto"/>
              </w:rPr>
            </w:pPr>
          </w:p>
        </w:tc>
        <w:tc>
          <w:tcPr>
            <w:tcW w:w="831" w:type="dxa"/>
          </w:tcPr>
          <w:p w14:paraId="3CB144BC">
            <w:pPr>
              <w:pStyle w:val="91"/>
              <w:keepNext w:val="0"/>
              <w:keepLines w:val="0"/>
              <w:suppressLineNumbers w:val="0"/>
              <w:spacing w:before="0" w:beforeAutospacing="0" w:after="0" w:afterAutospacing="0"/>
              <w:ind w:left="0" w:right="0"/>
              <w:rPr>
                <w:rFonts w:hint="default"/>
                <w:color w:val="auto"/>
              </w:rPr>
            </w:pPr>
          </w:p>
        </w:tc>
        <w:tc>
          <w:tcPr>
            <w:tcW w:w="708" w:type="dxa"/>
          </w:tcPr>
          <w:p w14:paraId="77A6C440">
            <w:pPr>
              <w:pStyle w:val="91"/>
              <w:keepNext w:val="0"/>
              <w:keepLines w:val="0"/>
              <w:suppressLineNumbers w:val="0"/>
              <w:spacing w:before="0" w:beforeAutospacing="0" w:after="0" w:afterAutospacing="0"/>
              <w:ind w:left="0" w:right="0"/>
              <w:rPr>
                <w:rFonts w:hint="default"/>
                <w:color w:val="auto"/>
              </w:rPr>
            </w:pPr>
          </w:p>
        </w:tc>
        <w:tc>
          <w:tcPr>
            <w:tcW w:w="567" w:type="dxa"/>
          </w:tcPr>
          <w:p w14:paraId="53C3B0ED">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r w14:paraId="5991F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tcPr>
          <w:p w14:paraId="122BC997">
            <w:pPr>
              <w:pStyle w:val="91"/>
              <w:keepNext w:val="0"/>
              <w:keepLines w:val="0"/>
              <w:suppressLineNumbers w:val="0"/>
              <w:spacing w:before="0" w:beforeAutospacing="0" w:after="0" w:afterAutospacing="0"/>
              <w:ind w:left="0" w:right="0"/>
              <w:rPr>
                <w:rFonts w:hint="default"/>
                <w:color w:val="auto"/>
              </w:rPr>
            </w:pPr>
            <w:r>
              <w:rPr>
                <w:rFonts w:hint="eastAsia"/>
                <w:color w:val="auto"/>
              </w:rPr>
              <w:t>镍</w:t>
            </w:r>
          </w:p>
        </w:tc>
        <w:tc>
          <w:tcPr>
            <w:tcW w:w="1032" w:type="dxa"/>
          </w:tcPr>
          <w:p w14:paraId="34E16DF0">
            <w:pPr>
              <w:pStyle w:val="91"/>
              <w:keepNext w:val="0"/>
              <w:keepLines w:val="0"/>
              <w:suppressLineNumbers w:val="0"/>
              <w:spacing w:before="0" w:beforeAutospacing="0" w:after="0" w:afterAutospacing="0"/>
              <w:ind w:left="0" w:right="0"/>
              <w:rPr>
                <w:rFonts w:hint="default"/>
                <w:color w:val="auto"/>
              </w:rPr>
            </w:pPr>
          </w:p>
        </w:tc>
        <w:tc>
          <w:tcPr>
            <w:tcW w:w="839" w:type="dxa"/>
          </w:tcPr>
          <w:p w14:paraId="47435FFC">
            <w:pPr>
              <w:pStyle w:val="91"/>
              <w:keepNext w:val="0"/>
              <w:keepLines w:val="0"/>
              <w:suppressLineNumbers w:val="0"/>
              <w:spacing w:before="0" w:beforeAutospacing="0" w:after="0" w:afterAutospacing="0"/>
              <w:ind w:left="0" w:right="0"/>
              <w:rPr>
                <w:rFonts w:hint="default"/>
                <w:color w:val="auto"/>
              </w:rPr>
            </w:pPr>
          </w:p>
        </w:tc>
        <w:tc>
          <w:tcPr>
            <w:tcW w:w="666" w:type="dxa"/>
          </w:tcPr>
          <w:p w14:paraId="7EC6318A">
            <w:pPr>
              <w:pStyle w:val="91"/>
              <w:keepNext w:val="0"/>
              <w:keepLines w:val="0"/>
              <w:suppressLineNumbers w:val="0"/>
              <w:spacing w:before="0" w:beforeAutospacing="0" w:after="0" w:afterAutospacing="0"/>
              <w:ind w:left="0" w:right="0"/>
              <w:rPr>
                <w:rFonts w:hint="default"/>
                <w:color w:val="auto"/>
              </w:rPr>
            </w:pPr>
          </w:p>
        </w:tc>
        <w:tc>
          <w:tcPr>
            <w:tcW w:w="800" w:type="dxa"/>
          </w:tcPr>
          <w:p w14:paraId="14678A06">
            <w:pPr>
              <w:pStyle w:val="91"/>
              <w:keepNext w:val="0"/>
              <w:keepLines w:val="0"/>
              <w:suppressLineNumbers w:val="0"/>
              <w:spacing w:before="0" w:beforeAutospacing="0" w:after="0" w:afterAutospacing="0"/>
              <w:ind w:left="0" w:right="0"/>
              <w:rPr>
                <w:rFonts w:hint="default"/>
                <w:color w:val="auto"/>
              </w:rPr>
            </w:pPr>
          </w:p>
        </w:tc>
        <w:tc>
          <w:tcPr>
            <w:tcW w:w="657" w:type="dxa"/>
          </w:tcPr>
          <w:p w14:paraId="6326CAA4">
            <w:pPr>
              <w:pStyle w:val="91"/>
              <w:keepNext w:val="0"/>
              <w:keepLines w:val="0"/>
              <w:suppressLineNumbers w:val="0"/>
              <w:spacing w:before="0" w:beforeAutospacing="0" w:after="0" w:afterAutospacing="0"/>
              <w:ind w:left="0" w:right="0"/>
              <w:rPr>
                <w:rFonts w:hint="default"/>
                <w:color w:val="auto"/>
              </w:rPr>
            </w:pPr>
          </w:p>
        </w:tc>
        <w:tc>
          <w:tcPr>
            <w:tcW w:w="797" w:type="dxa"/>
          </w:tcPr>
          <w:p w14:paraId="6238D3D6">
            <w:pPr>
              <w:pStyle w:val="91"/>
              <w:keepNext w:val="0"/>
              <w:keepLines w:val="0"/>
              <w:suppressLineNumbers w:val="0"/>
              <w:spacing w:before="0" w:beforeAutospacing="0" w:after="0" w:afterAutospacing="0"/>
              <w:ind w:left="0" w:right="0"/>
              <w:rPr>
                <w:rFonts w:hint="default"/>
                <w:color w:val="auto"/>
              </w:rPr>
            </w:pPr>
          </w:p>
        </w:tc>
        <w:tc>
          <w:tcPr>
            <w:tcW w:w="797" w:type="dxa"/>
          </w:tcPr>
          <w:p w14:paraId="3923A5EA">
            <w:pPr>
              <w:pStyle w:val="91"/>
              <w:keepNext w:val="0"/>
              <w:keepLines w:val="0"/>
              <w:suppressLineNumbers w:val="0"/>
              <w:spacing w:before="0" w:beforeAutospacing="0" w:after="0" w:afterAutospacing="0"/>
              <w:ind w:left="0" w:right="0"/>
              <w:rPr>
                <w:rFonts w:hint="default"/>
                <w:color w:val="auto"/>
              </w:rPr>
            </w:pPr>
          </w:p>
        </w:tc>
        <w:tc>
          <w:tcPr>
            <w:tcW w:w="831" w:type="dxa"/>
          </w:tcPr>
          <w:p w14:paraId="27A0CE70">
            <w:pPr>
              <w:pStyle w:val="91"/>
              <w:keepNext w:val="0"/>
              <w:keepLines w:val="0"/>
              <w:suppressLineNumbers w:val="0"/>
              <w:spacing w:before="0" w:beforeAutospacing="0" w:after="0" w:afterAutospacing="0"/>
              <w:ind w:left="0" w:right="0"/>
              <w:rPr>
                <w:rFonts w:hint="default"/>
                <w:color w:val="auto"/>
              </w:rPr>
            </w:pPr>
          </w:p>
        </w:tc>
        <w:tc>
          <w:tcPr>
            <w:tcW w:w="708" w:type="dxa"/>
          </w:tcPr>
          <w:p w14:paraId="5F1C5CA7">
            <w:pPr>
              <w:pStyle w:val="91"/>
              <w:keepNext w:val="0"/>
              <w:keepLines w:val="0"/>
              <w:suppressLineNumbers w:val="0"/>
              <w:spacing w:before="0" w:beforeAutospacing="0" w:after="0" w:afterAutospacing="0"/>
              <w:ind w:left="0" w:right="0"/>
              <w:rPr>
                <w:rFonts w:hint="default"/>
                <w:color w:val="auto"/>
              </w:rPr>
            </w:pPr>
          </w:p>
        </w:tc>
        <w:tc>
          <w:tcPr>
            <w:tcW w:w="567" w:type="dxa"/>
          </w:tcPr>
          <w:p w14:paraId="5E1B54D3">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r w14:paraId="648B0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tcPr>
          <w:p w14:paraId="504582CF">
            <w:pPr>
              <w:pStyle w:val="91"/>
              <w:keepNext w:val="0"/>
              <w:keepLines w:val="0"/>
              <w:suppressLineNumbers w:val="0"/>
              <w:spacing w:before="0" w:beforeAutospacing="0" w:after="0" w:afterAutospacing="0"/>
              <w:ind w:left="0" w:right="0"/>
              <w:rPr>
                <w:rFonts w:hint="default"/>
                <w:color w:val="auto"/>
              </w:rPr>
            </w:pPr>
            <w:r>
              <w:rPr>
                <w:rFonts w:hint="eastAsia"/>
                <w:color w:val="auto"/>
              </w:rPr>
              <w:t>苯</w:t>
            </w:r>
          </w:p>
        </w:tc>
        <w:tc>
          <w:tcPr>
            <w:tcW w:w="1032" w:type="dxa"/>
          </w:tcPr>
          <w:p w14:paraId="15B810A6">
            <w:pPr>
              <w:pStyle w:val="91"/>
              <w:keepNext w:val="0"/>
              <w:keepLines w:val="0"/>
              <w:suppressLineNumbers w:val="0"/>
              <w:spacing w:before="0" w:beforeAutospacing="0" w:after="0" w:afterAutospacing="0"/>
              <w:ind w:left="0" w:right="0"/>
              <w:rPr>
                <w:rFonts w:hint="default"/>
                <w:color w:val="auto"/>
              </w:rPr>
            </w:pPr>
          </w:p>
        </w:tc>
        <w:tc>
          <w:tcPr>
            <w:tcW w:w="839" w:type="dxa"/>
          </w:tcPr>
          <w:p w14:paraId="516374CA">
            <w:pPr>
              <w:pStyle w:val="91"/>
              <w:keepNext w:val="0"/>
              <w:keepLines w:val="0"/>
              <w:suppressLineNumbers w:val="0"/>
              <w:spacing w:before="0" w:beforeAutospacing="0" w:after="0" w:afterAutospacing="0"/>
              <w:ind w:left="0" w:right="0"/>
              <w:rPr>
                <w:rFonts w:hint="default"/>
                <w:color w:val="auto"/>
              </w:rPr>
            </w:pPr>
          </w:p>
        </w:tc>
        <w:tc>
          <w:tcPr>
            <w:tcW w:w="666" w:type="dxa"/>
          </w:tcPr>
          <w:p w14:paraId="6F8443F8">
            <w:pPr>
              <w:pStyle w:val="91"/>
              <w:keepNext w:val="0"/>
              <w:keepLines w:val="0"/>
              <w:suppressLineNumbers w:val="0"/>
              <w:spacing w:before="0" w:beforeAutospacing="0" w:after="0" w:afterAutospacing="0"/>
              <w:ind w:left="0" w:right="0"/>
              <w:rPr>
                <w:rFonts w:hint="default"/>
                <w:color w:val="auto"/>
              </w:rPr>
            </w:pPr>
          </w:p>
        </w:tc>
        <w:tc>
          <w:tcPr>
            <w:tcW w:w="800" w:type="dxa"/>
          </w:tcPr>
          <w:p w14:paraId="40307216">
            <w:pPr>
              <w:pStyle w:val="91"/>
              <w:keepNext w:val="0"/>
              <w:keepLines w:val="0"/>
              <w:suppressLineNumbers w:val="0"/>
              <w:spacing w:before="0" w:beforeAutospacing="0" w:after="0" w:afterAutospacing="0"/>
              <w:ind w:left="0" w:right="0"/>
              <w:rPr>
                <w:rFonts w:hint="default"/>
                <w:color w:val="auto"/>
              </w:rPr>
            </w:pPr>
          </w:p>
        </w:tc>
        <w:tc>
          <w:tcPr>
            <w:tcW w:w="657" w:type="dxa"/>
          </w:tcPr>
          <w:p w14:paraId="1D958C89">
            <w:pPr>
              <w:pStyle w:val="91"/>
              <w:keepNext w:val="0"/>
              <w:keepLines w:val="0"/>
              <w:suppressLineNumbers w:val="0"/>
              <w:spacing w:before="0" w:beforeAutospacing="0" w:after="0" w:afterAutospacing="0"/>
              <w:ind w:left="0" w:right="0"/>
              <w:rPr>
                <w:rFonts w:hint="default"/>
                <w:color w:val="auto"/>
              </w:rPr>
            </w:pPr>
          </w:p>
        </w:tc>
        <w:tc>
          <w:tcPr>
            <w:tcW w:w="797" w:type="dxa"/>
          </w:tcPr>
          <w:p w14:paraId="0D3D35BF">
            <w:pPr>
              <w:pStyle w:val="91"/>
              <w:keepNext w:val="0"/>
              <w:keepLines w:val="0"/>
              <w:suppressLineNumbers w:val="0"/>
              <w:spacing w:before="0" w:beforeAutospacing="0" w:after="0" w:afterAutospacing="0"/>
              <w:ind w:left="0" w:right="0"/>
              <w:rPr>
                <w:rFonts w:hint="default"/>
                <w:color w:val="auto"/>
              </w:rPr>
            </w:pPr>
          </w:p>
        </w:tc>
        <w:tc>
          <w:tcPr>
            <w:tcW w:w="797" w:type="dxa"/>
          </w:tcPr>
          <w:p w14:paraId="004388ED">
            <w:pPr>
              <w:pStyle w:val="91"/>
              <w:keepNext w:val="0"/>
              <w:keepLines w:val="0"/>
              <w:suppressLineNumbers w:val="0"/>
              <w:spacing w:before="0" w:beforeAutospacing="0" w:after="0" w:afterAutospacing="0"/>
              <w:ind w:left="0" w:right="0"/>
              <w:rPr>
                <w:rFonts w:hint="default"/>
                <w:color w:val="auto"/>
              </w:rPr>
            </w:pPr>
          </w:p>
        </w:tc>
        <w:tc>
          <w:tcPr>
            <w:tcW w:w="831" w:type="dxa"/>
          </w:tcPr>
          <w:p w14:paraId="39E8A9D7">
            <w:pPr>
              <w:pStyle w:val="91"/>
              <w:keepNext w:val="0"/>
              <w:keepLines w:val="0"/>
              <w:suppressLineNumbers w:val="0"/>
              <w:spacing w:before="0" w:beforeAutospacing="0" w:after="0" w:afterAutospacing="0"/>
              <w:ind w:left="0" w:right="0"/>
              <w:rPr>
                <w:rFonts w:hint="default"/>
                <w:color w:val="auto"/>
              </w:rPr>
            </w:pPr>
          </w:p>
        </w:tc>
        <w:tc>
          <w:tcPr>
            <w:tcW w:w="708" w:type="dxa"/>
          </w:tcPr>
          <w:p w14:paraId="2DC86A5C">
            <w:pPr>
              <w:pStyle w:val="91"/>
              <w:keepNext w:val="0"/>
              <w:keepLines w:val="0"/>
              <w:suppressLineNumbers w:val="0"/>
              <w:spacing w:before="0" w:beforeAutospacing="0" w:after="0" w:afterAutospacing="0"/>
              <w:ind w:left="0" w:right="0"/>
              <w:rPr>
                <w:rFonts w:hint="default"/>
                <w:color w:val="auto"/>
              </w:rPr>
            </w:pPr>
          </w:p>
        </w:tc>
        <w:tc>
          <w:tcPr>
            <w:tcW w:w="567" w:type="dxa"/>
          </w:tcPr>
          <w:p w14:paraId="7CA517B2">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r w14:paraId="5A365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tcPr>
          <w:p w14:paraId="44356758">
            <w:pPr>
              <w:pStyle w:val="91"/>
              <w:keepNext w:val="0"/>
              <w:keepLines w:val="0"/>
              <w:suppressLineNumbers w:val="0"/>
              <w:spacing w:before="0" w:beforeAutospacing="0" w:after="0" w:afterAutospacing="0"/>
              <w:ind w:left="0" w:right="0"/>
              <w:rPr>
                <w:rFonts w:hint="default"/>
                <w:color w:val="auto"/>
              </w:rPr>
            </w:pPr>
            <w:r>
              <w:rPr>
                <w:rFonts w:hint="eastAsia"/>
                <w:color w:val="auto"/>
              </w:rPr>
              <w:t>乙苯</w:t>
            </w:r>
          </w:p>
        </w:tc>
        <w:tc>
          <w:tcPr>
            <w:tcW w:w="1032" w:type="dxa"/>
          </w:tcPr>
          <w:p w14:paraId="4FCA7914">
            <w:pPr>
              <w:pStyle w:val="91"/>
              <w:keepNext w:val="0"/>
              <w:keepLines w:val="0"/>
              <w:suppressLineNumbers w:val="0"/>
              <w:spacing w:before="0" w:beforeAutospacing="0" w:after="0" w:afterAutospacing="0"/>
              <w:ind w:left="0" w:right="0"/>
              <w:rPr>
                <w:rFonts w:hint="default"/>
                <w:color w:val="auto"/>
              </w:rPr>
            </w:pPr>
          </w:p>
        </w:tc>
        <w:tc>
          <w:tcPr>
            <w:tcW w:w="839" w:type="dxa"/>
          </w:tcPr>
          <w:p w14:paraId="2593D380">
            <w:pPr>
              <w:pStyle w:val="91"/>
              <w:keepNext w:val="0"/>
              <w:keepLines w:val="0"/>
              <w:suppressLineNumbers w:val="0"/>
              <w:spacing w:before="0" w:beforeAutospacing="0" w:after="0" w:afterAutospacing="0"/>
              <w:ind w:left="0" w:right="0"/>
              <w:rPr>
                <w:rFonts w:hint="default"/>
                <w:color w:val="auto"/>
              </w:rPr>
            </w:pPr>
          </w:p>
        </w:tc>
        <w:tc>
          <w:tcPr>
            <w:tcW w:w="666" w:type="dxa"/>
          </w:tcPr>
          <w:p w14:paraId="3325AA2C">
            <w:pPr>
              <w:pStyle w:val="91"/>
              <w:keepNext w:val="0"/>
              <w:keepLines w:val="0"/>
              <w:suppressLineNumbers w:val="0"/>
              <w:spacing w:before="0" w:beforeAutospacing="0" w:after="0" w:afterAutospacing="0"/>
              <w:ind w:left="0" w:right="0"/>
              <w:rPr>
                <w:rFonts w:hint="default"/>
                <w:color w:val="auto"/>
              </w:rPr>
            </w:pPr>
          </w:p>
        </w:tc>
        <w:tc>
          <w:tcPr>
            <w:tcW w:w="800" w:type="dxa"/>
          </w:tcPr>
          <w:p w14:paraId="46FE1733">
            <w:pPr>
              <w:pStyle w:val="91"/>
              <w:keepNext w:val="0"/>
              <w:keepLines w:val="0"/>
              <w:suppressLineNumbers w:val="0"/>
              <w:spacing w:before="0" w:beforeAutospacing="0" w:after="0" w:afterAutospacing="0"/>
              <w:ind w:left="0" w:right="0"/>
              <w:rPr>
                <w:rFonts w:hint="default"/>
                <w:color w:val="auto"/>
              </w:rPr>
            </w:pPr>
          </w:p>
        </w:tc>
        <w:tc>
          <w:tcPr>
            <w:tcW w:w="657" w:type="dxa"/>
          </w:tcPr>
          <w:p w14:paraId="1CCCE8BB">
            <w:pPr>
              <w:pStyle w:val="91"/>
              <w:keepNext w:val="0"/>
              <w:keepLines w:val="0"/>
              <w:suppressLineNumbers w:val="0"/>
              <w:spacing w:before="0" w:beforeAutospacing="0" w:after="0" w:afterAutospacing="0"/>
              <w:ind w:left="0" w:right="0"/>
              <w:rPr>
                <w:rFonts w:hint="default"/>
                <w:color w:val="auto"/>
              </w:rPr>
            </w:pPr>
          </w:p>
        </w:tc>
        <w:tc>
          <w:tcPr>
            <w:tcW w:w="797" w:type="dxa"/>
          </w:tcPr>
          <w:p w14:paraId="7C09024E">
            <w:pPr>
              <w:pStyle w:val="91"/>
              <w:keepNext w:val="0"/>
              <w:keepLines w:val="0"/>
              <w:suppressLineNumbers w:val="0"/>
              <w:spacing w:before="0" w:beforeAutospacing="0" w:after="0" w:afterAutospacing="0"/>
              <w:ind w:left="0" w:right="0"/>
              <w:rPr>
                <w:rFonts w:hint="default"/>
                <w:color w:val="auto"/>
              </w:rPr>
            </w:pPr>
          </w:p>
        </w:tc>
        <w:tc>
          <w:tcPr>
            <w:tcW w:w="797" w:type="dxa"/>
          </w:tcPr>
          <w:p w14:paraId="00AA6945">
            <w:pPr>
              <w:pStyle w:val="91"/>
              <w:keepNext w:val="0"/>
              <w:keepLines w:val="0"/>
              <w:suppressLineNumbers w:val="0"/>
              <w:spacing w:before="0" w:beforeAutospacing="0" w:after="0" w:afterAutospacing="0"/>
              <w:ind w:left="0" w:right="0"/>
              <w:rPr>
                <w:rFonts w:hint="default"/>
                <w:color w:val="auto"/>
              </w:rPr>
            </w:pPr>
          </w:p>
        </w:tc>
        <w:tc>
          <w:tcPr>
            <w:tcW w:w="831" w:type="dxa"/>
          </w:tcPr>
          <w:p w14:paraId="24952428">
            <w:pPr>
              <w:pStyle w:val="91"/>
              <w:keepNext w:val="0"/>
              <w:keepLines w:val="0"/>
              <w:suppressLineNumbers w:val="0"/>
              <w:spacing w:before="0" w:beforeAutospacing="0" w:after="0" w:afterAutospacing="0"/>
              <w:ind w:left="0" w:right="0"/>
              <w:rPr>
                <w:rFonts w:hint="default"/>
                <w:color w:val="auto"/>
              </w:rPr>
            </w:pPr>
          </w:p>
        </w:tc>
        <w:tc>
          <w:tcPr>
            <w:tcW w:w="708" w:type="dxa"/>
          </w:tcPr>
          <w:p w14:paraId="0898CCD5">
            <w:pPr>
              <w:pStyle w:val="91"/>
              <w:keepNext w:val="0"/>
              <w:keepLines w:val="0"/>
              <w:suppressLineNumbers w:val="0"/>
              <w:spacing w:before="0" w:beforeAutospacing="0" w:after="0" w:afterAutospacing="0"/>
              <w:ind w:left="0" w:right="0"/>
              <w:rPr>
                <w:rFonts w:hint="default"/>
                <w:color w:val="auto"/>
              </w:rPr>
            </w:pPr>
          </w:p>
        </w:tc>
        <w:tc>
          <w:tcPr>
            <w:tcW w:w="567" w:type="dxa"/>
          </w:tcPr>
          <w:p w14:paraId="68F6AC21">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r w14:paraId="19323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tcPr>
          <w:p w14:paraId="72D9AA44">
            <w:pPr>
              <w:pStyle w:val="91"/>
              <w:keepNext w:val="0"/>
              <w:keepLines w:val="0"/>
              <w:suppressLineNumbers w:val="0"/>
              <w:spacing w:before="0" w:beforeAutospacing="0" w:after="0" w:afterAutospacing="0"/>
              <w:ind w:left="0" w:right="0"/>
              <w:rPr>
                <w:rFonts w:hint="default"/>
                <w:color w:val="auto"/>
              </w:rPr>
            </w:pPr>
            <w:r>
              <w:rPr>
                <w:rFonts w:hint="eastAsia"/>
                <w:color w:val="auto"/>
              </w:rPr>
              <w:t>甲苯</w:t>
            </w:r>
          </w:p>
        </w:tc>
        <w:tc>
          <w:tcPr>
            <w:tcW w:w="1032" w:type="dxa"/>
          </w:tcPr>
          <w:p w14:paraId="2365FA1A">
            <w:pPr>
              <w:pStyle w:val="91"/>
              <w:keepNext w:val="0"/>
              <w:keepLines w:val="0"/>
              <w:suppressLineNumbers w:val="0"/>
              <w:spacing w:before="0" w:beforeAutospacing="0" w:after="0" w:afterAutospacing="0"/>
              <w:ind w:left="0" w:right="0"/>
              <w:rPr>
                <w:rFonts w:hint="default"/>
                <w:color w:val="auto"/>
              </w:rPr>
            </w:pPr>
          </w:p>
        </w:tc>
        <w:tc>
          <w:tcPr>
            <w:tcW w:w="839" w:type="dxa"/>
          </w:tcPr>
          <w:p w14:paraId="1A38739E">
            <w:pPr>
              <w:pStyle w:val="91"/>
              <w:keepNext w:val="0"/>
              <w:keepLines w:val="0"/>
              <w:suppressLineNumbers w:val="0"/>
              <w:spacing w:before="0" w:beforeAutospacing="0" w:after="0" w:afterAutospacing="0"/>
              <w:ind w:left="0" w:right="0"/>
              <w:rPr>
                <w:rFonts w:hint="default"/>
                <w:color w:val="auto"/>
              </w:rPr>
            </w:pPr>
          </w:p>
        </w:tc>
        <w:tc>
          <w:tcPr>
            <w:tcW w:w="666" w:type="dxa"/>
          </w:tcPr>
          <w:p w14:paraId="02B82269">
            <w:pPr>
              <w:pStyle w:val="91"/>
              <w:keepNext w:val="0"/>
              <w:keepLines w:val="0"/>
              <w:suppressLineNumbers w:val="0"/>
              <w:spacing w:before="0" w:beforeAutospacing="0" w:after="0" w:afterAutospacing="0"/>
              <w:ind w:left="0" w:right="0"/>
              <w:rPr>
                <w:rFonts w:hint="default"/>
                <w:color w:val="auto"/>
              </w:rPr>
            </w:pPr>
          </w:p>
        </w:tc>
        <w:tc>
          <w:tcPr>
            <w:tcW w:w="800" w:type="dxa"/>
          </w:tcPr>
          <w:p w14:paraId="6D0CB77C">
            <w:pPr>
              <w:pStyle w:val="91"/>
              <w:keepNext w:val="0"/>
              <w:keepLines w:val="0"/>
              <w:suppressLineNumbers w:val="0"/>
              <w:spacing w:before="0" w:beforeAutospacing="0" w:after="0" w:afterAutospacing="0"/>
              <w:ind w:left="0" w:right="0"/>
              <w:rPr>
                <w:rFonts w:hint="default"/>
                <w:color w:val="auto"/>
              </w:rPr>
            </w:pPr>
          </w:p>
        </w:tc>
        <w:tc>
          <w:tcPr>
            <w:tcW w:w="657" w:type="dxa"/>
          </w:tcPr>
          <w:p w14:paraId="1BE809BC">
            <w:pPr>
              <w:pStyle w:val="91"/>
              <w:keepNext w:val="0"/>
              <w:keepLines w:val="0"/>
              <w:suppressLineNumbers w:val="0"/>
              <w:spacing w:before="0" w:beforeAutospacing="0" w:after="0" w:afterAutospacing="0"/>
              <w:ind w:left="0" w:right="0"/>
              <w:rPr>
                <w:rFonts w:hint="default"/>
                <w:color w:val="auto"/>
              </w:rPr>
            </w:pPr>
          </w:p>
        </w:tc>
        <w:tc>
          <w:tcPr>
            <w:tcW w:w="797" w:type="dxa"/>
          </w:tcPr>
          <w:p w14:paraId="2FCA3B41">
            <w:pPr>
              <w:pStyle w:val="91"/>
              <w:keepNext w:val="0"/>
              <w:keepLines w:val="0"/>
              <w:suppressLineNumbers w:val="0"/>
              <w:spacing w:before="0" w:beforeAutospacing="0" w:after="0" w:afterAutospacing="0"/>
              <w:ind w:left="0" w:right="0"/>
              <w:rPr>
                <w:rFonts w:hint="default"/>
                <w:color w:val="auto"/>
              </w:rPr>
            </w:pPr>
          </w:p>
        </w:tc>
        <w:tc>
          <w:tcPr>
            <w:tcW w:w="797" w:type="dxa"/>
          </w:tcPr>
          <w:p w14:paraId="7C4FEACD">
            <w:pPr>
              <w:pStyle w:val="91"/>
              <w:keepNext w:val="0"/>
              <w:keepLines w:val="0"/>
              <w:suppressLineNumbers w:val="0"/>
              <w:spacing w:before="0" w:beforeAutospacing="0" w:after="0" w:afterAutospacing="0"/>
              <w:ind w:left="0" w:right="0"/>
              <w:rPr>
                <w:rFonts w:hint="default"/>
                <w:color w:val="auto"/>
              </w:rPr>
            </w:pPr>
          </w:p>
        </w:tc>
        <w:tc>
          <w:tcPr>
            <w:tcW w:w="831" w:type="dxa"/>
          </w:tcPr>
          <w:p w14:paraId="20EFB189">
            <w:pPr>
              <w:pStyle w:val="91"/>
              <w:keepNext w:val="0"/>
              <w:keepLines w:val="0"/>
              <w:suppressLineNumbers w:val="0"/>
              <w:spacing w:before="0" w:beforeAutospacing="0" w:after="0" w:afterAutospacing="0"/>
              <w:ind w:left="0" w:right="0"/>
              <w:rPr>
                <w:rFonts w:hint="default"/>
                <w:color w:val="auto"/>
              </w:rPr>
            </w:pPr>
          </w:p>
        </w:tc>
        <w:tc>
          <w:tcPr>
            <w:tcW w:w="708" w:type="dxa"/>
          </w:tcPr>
          <w:p w14:paraId="267AA060">
            <w:pPr>
              <w:pStyle w:val="91"/>
              <w:keepNext w:val="0"/>
              <w:keepLines w:val="0"/>
              <w:suppressLineNumbers w:val="0"/>
              <w:spacing w:before="0" w:beforeAutospacing="0" w:after="0" w:afterAutospacing="0"/>
              <w:ind w:left="0" w:right="0"/>
              <w:rPr>
                <w:rFonts w:hint="default"/>
                <w:color w:val="auto"/>
              </w:rPr>
            </w:pPr>
          </w:p>
        </w:tc>
        <w:tc>
          <w:tcPr>
            <w:tcW w:w="567" w:type="dxa"/>
          </w:tcPr>
          <w:p w14:paraId="496740EA">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r w14:paraId="0D264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tcPr>
          <w:p w14:paraId="36ECFE1F">
            <w:pPr>
              <w:pStyle w:val="91"/>
              <w:keepNext w:val="0"/>
              <w:keepLines w:val="0"/>
              <w:suppressLineNumbers w:val="0"/>
              <w:spacing w:before="0" w:beforeAutospacing="0" w:after="0" w:afterAutospacing="0"/>
              <w:ind w:left="0" w:right="0"/>
              <w:rPr>
                <w:rFonts w:hint="default"/>
                <w:color w:val="auto"/>
              </w:rPr>
            </w:pPr>
            <w:r>
              <w:rPr>
                <w:rFonts w:hint="eastAsia"/>
                <w:color w:val="auto"/>
              </w:rPr>
              <w:t>间二甲苯+对二甲苯</w:t>
            </w:r>
          </w:p>
        </w:tc>
        <w:tc>
          <w:tcPr>
            <w:tcW w:w="1032" w:type="dxa"/>
          </w:tcPr>
          <w:p w14:paraId="3CDDC7F3">
            <w:pPr>
              <w:pStyle w:val="91"/>
              <w:keepNext w:val="0"/>
              <w:keepLines w:val="0"/>
              <w:suppressLineNumbers w:val="0"/>
              <w:spacing w:before="0" w:beforeAutospacing="0" w:after="0" w:afterAutospacing="0"/>
              <w:ind w:left="0" w:right="0"/>
              <w:rPr>
                <w:rFonts w:hint="default"/>
                <w:color w:val="auto"/>
              </w:rPr>
            </w:pPr>
          </w:p>
        </w:tc>
        <w:tc>
          <w:tcPr>
            <w:tcW w:w="839" w:type="dxa"/>
          </w:tcPr>
          <w:p w14:paraId="234C8334">
            <w:pPr>
              <w:pStyle w:val="91"/>
              <w:keepNext w:val="0"/>
              <w:keepLines w:val="0"/>
              <w:suppressLineNumbers w:val="0"/>
              <w:spacing w:before="0" w:beforeAutospacing="0" w:after="0" w:afterAutospacing="0"/>
              <w:ind w:left="0" w:right="0"/>
              <w:rPr>
                <w:rFonts w:hint="default"/>
                <w:color w:val="auto"/>
              </w:rPr>
            </w:pPr>
          </w:p>
        </w:tc>
        <w:tc>
          <w:tcPr>
            <w:tcW w:w="666" w:type="dxa"/>
          </w:tcPr>
          <w:p w14:paraId="49523822">
            <w:pPr>
              <w:pStyle w:val="91"/>
              <w:keepNext w:val="0"/>
              <w:keepLines w:val="0"/>
              <w:suppressLineNumbers w:val="0"/>
              <w:spacing w:before="0" w:beforeAutospacing="0" w:after="0" w:afterAutospacing="0"/>
              <w:ind w:left="0" w:right="0"/>
              <w:rPr>
                <w:rFonts w:hint="default"/>
                <w:color w:val="auto"/>
              </w:rPr>
            </w:pPr>
          </w:p>
        </w:tc>
        <w:tc>
          <w:tcPr>
            <w:tcW w:w="800" w:type="dxa"/>
          </w:tcPr>
          <w:p w14:paraId="72404CCF">
            <w:pPr>
              <w:pStyle w:val="91"/>
              <w:keepNext w:val="0"/>
              <w:keepLines w:val="0"/>
              <w:suppressLineNumbers w:val="0"/>
              <w:spacing w:before="0" w:beforeAutospacing="0" w:after="0" w:afterAutospacing="0"/>
              <w:ind w:left="0" w:right="0"/>
              <w:rPr>
                <w:rFonts w:hint="default"/>
                <w:color w:val="auto"/>
              </w:rPr>
            </w:pPr>
          </w:p>
        </w:tc>
        <w:tc>
          <w:tcPr>
            <w:tcW w:w="657" w:type="dxa"/>
          </w:tcPr>
          <w:p w14:paraId="27CFA6F3">
            <w:pPr>
              <w:pStyle w:val="91"/>
              <w:keepNext w:val="0"/>
              <w:keepLines w:val="0"/>
              <w:suppressLineNumbers w:val="0"/>
              <w:spacing w:before="0" w:beforeAutospacing="0" w:after="0" w:afterAutospacing="0"/>
              <w:ind w:left="0" w:right="0"/>
              <w:rPr>
                <w:rFonts w:hint="default"/>
                <w:color w:val="auto"/>
              </w:rPr>
            </w:pPr>
          </w:p>
        </w:tc>
        <w:tc>
          <w:tcPr>
            <w:tcW w:w="797" w:type="dxa"/>
          </w:tcPr>
          <w:p w14:paraId="64447498">
            <w:pPr>
              <w:pStyle w:val="91"/>
              <w:keepNext w:val="0"/>
              <w:keepLines w:val="0"/>
              <w:suppressLineNumbers w:val="0"/>
              <w:spacing w:before="0" w:beforeAutospacing="0" w:after="0" w:afterAutospacing="0"/>
              <w:ind w:left="0" w:right="0"/>
              <w:rPr>
                <w:rFonts w:hint="default"/>
                <w:color w:val="auto"/>
              </w:rPr>
            </w:pPr>
          </w:p>
        </w:tc>
        <w:tc>
          <w:tcPr>
            <w:tcW w:w="797" w:type="dxa"/>
          </w:tcPr>
          <w:p w14:paraId="3139CD87">
            <w:pPr>
              <w:pStyle w:val="91"/>
              <w:keepNext w:val="0"/>
              <w:keepLines w:val="0"/>
              <w:suppressLineNumbers w:val="0"/>
              <w:spacing w:before="0" w:beforeAutospacing="0" w:after="0" w:afterAutospacing="0"/>
              <w:ind w:left="0" w:right="0"/>
              <w:rPr>
                <w:rFonts w:hint="default"/>
                <w:color w:val="auto"/>
              </w:rPr>
            </w:pPr>
          </w:p>
        </w:tc>
        <w:tc>
          <w:tcPr>
            <w:tcW w:w="831" w:type="dxa"/>
          </w:tcPr>
          <w:p w14:paraId="118E7383">
            <w:pPr>
              <w:pStyle w:val="91"/>
              <w:keepNext w:val="0"/>
              <w:keepLines w:val="0"/>
              <w:suppressLineNumbers w:val="0"/>
              <w:spacing w:before="0" w:beforeAutospacing="0" w:after="0" w:afterAutospacing="0"/>
              <w:ind w:left="0" w:right="0"/>
              <w:rPr>
                <w:rFonts w:hint="default"/>
                <w:color w:val="auto"/>
              </w:rPr>
            </w:pPr>
          </w:p>
        </w:tc>
        <w:tc>
          <w:tcPr>
            <w:tcW w:w="708" w:type="dxa"/>
          </w:tcPr>
          <w:p w14:paraId="20F2164C">
            <w:pPr>
              <w:pStyle w:val="91"/>
              <w:keepNext w:val="0"/>
              <w:keepLines w:val="0"/>
              <w:suppressLineNumbers w:val="0"/>
              <w:spacing w:before="0" w:beforeAutospacing="0" w:after="0" w:afterAutospacing="0"/>
              <w:ind w:left="0" w:right="0"/>
              <w:rPr>
                <w:rFonts w:hint="default"/>
                <w:color w:val="auto"/>
              </w:rPr>
            </w:pPr>
          </w:p>
        </w:tc>
        <w:tc>
          <w:tcPr>
            <w:tcW w:w="567" w:type="dxa"/>
          </w:tcPr>
          <w:p w14:paraId="024E33CF">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r w14:paraId="585F6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tcPr>
          <w:p w14:paraId="6F698192">
            <w:pPr>
              <w:pStyle w:val="91"/>
              <w:keepNext w:val="0"/>
              <w:keepLines w:val="0"/>
              <w:suppressLineNumbers w:val="0"/>
              <w:spacing w:before="0" w:beforeAutospacing="0" w:after="0" w:afterAutospacing="0"/>
              <w:ind w:left="0" w:right="0"/>
              <w:rPr>
                <w:rFonts w:hint="default"/>
                <w:color w:val="auto"/>
              </w:rPr>
            </w:pPr>
            <w:r>
              <w:rPr>
                <w:rFonts w:hint="eastAsia"/>
                <w:color w:val="auto"/>
              </w:rPr>
              <w:t>邻二甲苯</w:t>
            </w:r>
          </w:p>
        </w:tc>
        <w:tc>
          <w:tcPr>
            <w:tcW w:w="1032" w:type="dxa"/>
          </w:tcPr>
          <w:p w14:paraId="3D9CAA63">
            <w:pPr>
              <w:pStyle w:val="91"/>
              <w:keepNext w:val="0"/>
              <w:keepLines w:val="0"/>
              <w:suppressLineNumbers w:val="0"/>
              <w:spacing w:before="0" w:beforeAutospacing="0" w:after="0" w:afterAutospacing="0"/>
              <w:ind w:left="0" w:right="0"/>
              <w:rPr>
                <w:rFonts w:hint="default"/>
                <w:color w:val="auto"/>
              </w:rPr>
            </w:pPr>
          </w:p>
        </w:tc>
        <w:tc>
          <w:tcPr>
            <w:tcW w:w="839" w:type="dxa"/>
          </w:tcPr>
          <w:p w14:paraId="3E41649E">
            <w:pPr>
              <w:pStyle w:val="91"/>
              <w:keepNext w:val="0"/>
              <w:keepLines w:val="0"/>
              <w:suppressLineNumbers w:val="0"/>
              <w:spacing w:before="0" w:beforeAutospacing="0" w:after="0" w:afterAutospacing="0"/>
              <w:ind w:left="0" w:right="0"/>
              <w:rPr>
                <w:rFonts w:hint="default"/>
                <w:color w:val="auto"/>
              </w:rPr>
            </w:pPr>
          </w:p>
        </w:tc>
        <w:tc>
          <w:tcPr>
            <w:tcW w:w="666" w:type="dxa"/>
          </w:tcPr>
          <w:p w14:paraId="6DBDD444">
            <w:pPr>
              <w:pStyle w:val="91"/>
              <w:keepNext w:val="0"/>
              <w:keepLines w:val="0"/>
              <w:suppressLineNumbers w:val="0"/>
              <w:spacing w:before="0" w:beforeAutospacing="0" w:after="0" w:afterAutospacing="0"/>
              <w:ind w:left="0" w:right="0"/>
              <w:rPr>
                <w:rFonts w:hint="default"/>
                <w:color w:val="auto"/>
              </w:rPr>
            </w:pPr>
          </w:p>
        </w:tc>
        <w:tc>
          <w:tcPr>
            <w:tcW w:w="800" w:type="dxa"/>
          </w:tcPr>
          <w:p w14:paraId="268530DC">
            <w:pPr>
              <w:pStyle w:val="91"/>
              <w:keepNext w:val="0"/>
              <w:keepLines w:val="0"/>
              <w:suppressLineNumbers w:val="0"/>
              <w:spacing w:before="0" w:beforeAutospacing="0" w:after="0" w:afterAutospacing="0"/>
              <w:ind w:left="0" w:right="0"/>
              <w:rPr>
                <w:rFonts w:hint="default"/>
                <w:color w:val="auto"/>
              </w:rPr>
            </w:pPr>
          </w:p>
        </w:tc>
        <w:tc>
          <w:tcPr>
            <w:tcW w:w="657" w:type="dxa"/>
          </w:tcPr>
          <w:p w14:paraId="5EB04103">
            <w:pPr>
              <w:pStyle w:val="91"/>
              <w:keepNext w:val="0"/>
              <w:keepLines w:val="0"/>
              <w:suppressLineNumbers w:val="0"/>
              <w:spacing w:before="0" w:beforeAutospacing="0" w:after="0" w:afterAutospacing="0"/>
              <w:ind w:left="0" w:right="0"/>
              <w:rPr>
                <w:rFonts w:hint="default"/>
                <w:color w:val="auto"/>
              </w:rPr>
            </w:pPr>
          </w:p>
        </w:tc>
        <w:tc>
          <w:tcPr>
            <w:tcW w:w="797" w:type="dxa"/>
          </w:tcPr>
          <w:p w14:paraId="2ABAE8CE">
            <w:pPr>
              <w:pStyle w:val="91"/>
              <w:keepNext w:val="0"/>
              <w:keepLines w:val="0"/>
              <w:suppressLineNumbers w:val="0"/>
              <w:spacing w:before="0" w:beforeAutospacing="0" w:after="0" w:afterAutospacing="0"/>
              <w:ind w:left="0" w:right="0"/>
              <w:rPr>
                <w:rFonts w:hint="default"/>
                <w:color w:val="auto"/>
              </w:rPr>
            </w:pPr>
          </w:p>
        </w:tc>
        <w:tc>
          <w:tcPr>
            <w:tcW w:w="797" w:type="dxa"/>
          </w:tcPr>
          <w:p w14:paraId="5F820312">
            <w:pPr>
              <w:pStyle w:val="91"/>
              <w:keepNext w:val="0"/>
              <w:keepLines w:val="0"/>
              <w:suppressLineNumbers w:val="0"/>
              <w:spacing w:before="0" w:beforeAutospacing="0" w:after="0" w:afterAutospacing="0"/>
              <w:ind w:left="0" w:right="0"/>
              <w:rPr>
                <w:rFonts w:hint="default"/>
                <w:color w:val="auto"/>
              </w:rPr>
            </w:pPr>
          </w:p>
        </w:tc>
        <w:tc>
          <w:tcPr>
            <w:tcW w:w="831" w:type="dxa"/>
          </w:tcPr>
          <w:p w14:paraId="19BCBA62">
            <w:pPr>
              <w:pStyle w:val="91"/>
              <w:keepNext w:val="0"/>
              <w:keepLines w:val="0"/>
              <w:suppressLineNumbers w:val="0"/>
              <w:spacing w:before="0" w:beforeAutospacing="0" w:after="0" w:afterAutospacing="0"/>
              <w:ind w:left="0" w:right="0"/>
              <w:rPr>
                <w:rFonts w:hint="default"/>
                <w:color w:val="auto"/>
              </w:rPr>
            </w:pPr>
          </w:p>
        </w:tc>
        <w:tc>
          <w:tcPr>
            <w:tcW w:w="708" w:type="dxa"/>
          </w:tcPr>
          <w:p w14:paraId="78470A34">
            <w:pPr>
              <w:pStyle w:val="91"/>
              <w:keepNext w:val="0"/>
              <w:keepLines w:val="0"/>
              <w:suppressLineNumbers w:val="0"/>
              <w:spacing w:before="0" w:beforeAutospacing="0" w:after="0" w:afterAutospacing="0"/>
              <w:ind w:left="0" w:right="0"/>
              <w:rPr>
                <w:rFonts w:hint="default"/>
                <w:color w:val="auto"/>
              </w:rPr>
            </w:pPr>
          </w:p>
        </w:tc>
        <w:tc>
          <w:tcPr>
            <w:tcW w:w="567" w:type="dxa"/>
          </w:tcPr>
          <w:p w14:paraId="139D32ED">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r w14:paraId="1E90B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tcPr>
          <w:p w14:paraId="5FF762BE">
            <w:pPr>
              <w:pStyle w:val="91"/>
              <w:keepNext w:val="0"/>
              <w:keepLines w:val="0"/>
              <w:suppressLineNumbers w:val="0"/>
              <w:spacing w:before="0" w:beforeAutospacing="0" w:after="0" w:afterAutospacing="0"/>
              <w:ind w:left="0" w:right="0"/>
              <w:rPr>
                <w:rFonts w:hint="default"/>
                <w:color w:val="auto"/>
              </w:rPr>
            </w:pPr>
            <w:r>
              <w:rPr>
                <w:rFonts w:hint="eastAsia"/>
                <w:color w:val="auto"/>
              </w:rPr>
              <w:t>苯并芘[a]</w:t>
            </w:r>
          </w:p>
        </w:tc>
        <w:tc>
          <w:tcPr>
            <w:tcW w:w="1032" w:type="dxa"/>
          </w:tcPr>
          <w:p w14:paraId="3093FE2C">
            <w:pPr>
              <w:pStyle w:val="91"/>
              <w:keepNext w:val="0"/>
              <w:keepLines w:val="0"/>
              <w:suppressLineNumbers w:val="0"/>
              <w:spacing w:before="0" w:beforeAutospacing="0" w:after="0" w:afterAutospacing="0"/>
              <w:ind w:left="0" w:right="0"/>
              <w:rPr>
                <w:rFonts w:hint="default"/>
                <w:color w:val="auto"/>
              </w:rPr>
            </w:pPr>
          </w:p>
        </w:tc>
        <w:tc>
          <w:tcPr>
            <w:tcW w:w="839" w:type="dxa"/>
          </w:tcPr>
          <w:p w14:paraId="388AAE15">
            <w:pPr>
              <w:pStyle w:val="91"/>
              <w:keepNext w:val="0"/>
              <w:keepLines w:val="0"/>
              <w:suppressLineNumbers w:val="0"/>
              <w:spacing w:before="0" w:beforeAutospacing="0" w:after="0" w:afterAutospacing="0"/>
              <w:ind w:left="0" w:right="0"/>
              <w:rPr>
                <w:rFonts w:hint="default"/>
                <w:color w:val="auto"/>
              </w:rPr>
            </w:pPr>
          </w:p>
        </w:tc>
        <w:tc>
          <w:tcPr>
            <w:tcW w:w="666" w:type="dxa"/>
          </w:tcPr>
          <w:p w14:paraId="3B453C23">
            <w:pPr>
              <w:pStyle w:val="91"/>
              <w:keepNext w:val="0"/>
              <w:keepLines w:val="0"/>
              <w:suppressLineNumbers w:val="0"/>
              <w:spacing w:before="0" w:beforeAutospacing="0" w:after="0" w:afterAutospacing="0"/>
              <w:ind w:left="0" w:right="0"/>
              <w:rPr>
                <w:rFonts w:hint="default"/>
                <w:color w:val="auto"/>
              </w:rPr>
            </w:pPr>
          </w:p>
        </w:tc>
        <w:tc>
          <w:tcPr>
            <w:tcW w:w="800" w:type="dxa"/>
          </w:tcPr>
          <w:p w14:paraId="6A20E2C1">
            <w:pPr>
              <w:pStyle w:val="91"/>
              <w:keepNext w:val="0"/>
              <w:keepLines w:val="0"/>
              <w:suppressLineNumbers w:val="0"/>
              <w:spacing w:before="0" w:beforeAutospacing="0" w:after="0" w:afterAutospacing="0"/>
              <w:ind w:left="0" w:right="0"/>
              <w:rPr>
                <w:rFonts w:hint="default"/>
                <w:color w:val="auto"/>
              </w:rPr>
            </w:pPr>
          </w:p>
        </w:tc>
        <w:tc>
          <w:tcPr>
            <w:tcW w:w="657" w:type="dxa"/>
          </w:tcPr>
          <w:p w14:paraId="0AA7F05D">
            <w:pPr>
              <w:pStyle w:val="91"/>
              <w:keepNext w:val="0"/>
              <w:keepLines w:val="0"/>
              <w:suppressLineNumbers w:val="0"/>
              <w:spacing w:before="0" w:beforeAutospacing="0" w:after="0" w:afterAutospacing="0"/>
              <w:ind w:left="0" w:right="0"/>
              <w:rPr>
                <w:rFonts w:hint="default"/>
                <w:color w:val="auto"/>
              </w:rPr>
            </w:pPr>
          </w:p>
        </w:tc>
        <w:tc>
          <w:tcPr>
            <w:tcW w:w="797" w:type="dxa"/>
          </w:tcPr>
          <w:p w14:paraId="67BCE8FD">
            <w:pPr>
              <w:pStyle w:val="91"/>
              <w:keepNext w:val="0"/>
              <w:keepLines w:val="0"/>
              <w:suppressLineNumbers w:val="0"/>
              <w:spacing w:before="0" w:beforeAutospacing="0" w:after="0" w:afterAutospacing="0"/>
              <w:ind w:left="0" w:right="0"/>
              <w:rPr>
                <w:rFonts w:hint="default"/>
                <w:color w:val="auto"/>
              </w:rPr>
            </w:pPr>
          </w:p>
        </w:tc>
        <w:tc>
          <w:tcPr>
            <w:tcW w:w="797" w:type="dxa"/>
          </w:tcPr>
          <w:p w14:paraId="55431D82">
            <w:pPr>
              <w:pStyle w:val="91"/>
              <w:keepNext w:val="0"/>
              <w:keepLines w:val="0"/>
              <w:suppressLineNumbers w:val="0"/>
              <w:spacing w:before="0" w:beforeAutospacing="0" w:after="0" w:afterAutospacing="0"/>
              <w:ind w:left="0" w:right="0"/>
              <w:rPr>
                <w:rFonts w:hint="default"/>
                <w:color w:val="auto"/>
              </w:rPr>
            </w:pPr>
          </w:p>
        </w:tc>
        <w:tc>
          <w:tcPr>
            <w:tcW w:w="831" w:type="dxa"/>
          </w:tcPr>
          <w:p w14:paraId="0ACFD7C6">
            <w:pPr>
              <w:pStyle w:val="91"/>
              <w:keepNext w:val="0"/>
              <w:keepLines w:val="0"/>
              <w:suppressLineNumbers w:val="0"/>
              <w:spacing w:before="0" w:beforeAutospacing="0" w:after="0" w:afterAutospacing="0"/>
              <w:ind w:left="0" w:right="0"/>
              <w:rPr>
                <w:rFonts w:hint="default"/>
                <w:color w:val="auto"/>
              </w:rPr>
            </w:pPr>
          </w:p>
        </w:tc>
        <w:tc>
          <w:tcPr>
            <w:tcW w:w="708" w:type="dxa"/>
          </w:tcPr>
          <w:p w14:paraId="62958EB6">
            <w:pPr>
              <w:pStyle w:val="91"/>
              <w:keepNext w:val="0"/>
              <w:keepLines w:val="0"/>
              <w:suppressLineNumbers w:val="0"/>
              <w:spacing w:before="0" w:beforeAutospacing="0" w:after="0" w:afterAutospacing="0"/>
              <w:ind w:left="0" w:right="0"/>
              <w:rPr>
                <w:rFonts w:hint="default"/>
                <w:color w:val="auto"/>
              </w:rPr>
            </w:pPr>
          </w:p>
        </w:tc>
        <w:tc>
          <w:tcPr>
            <w:tcW w:w="567" w:type="dxa"/>
          </w:tcPr>
          <w:p w14:paraId="65AB7BA2">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r w14:paraId="60969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340" w:type="dxa"/>
          </w:tcPr>
          <w:p w14:paraId="30B288E7">
            <w:pPr>
              <w:pStyle w:val="91"/>
              <w:keepNext w:val="0"/>
              <w:keepLines w:val="0"/>
              <w:suppressLineNumbers w:val="0"/>
              <w:spacing w:before="0" w:beforeAutospacing="0" w:after="0" w:afterAutospacing="0"/>
              <w:ind w:left="0" w:right="0"/>
              <w:rPr>
                <w:rFonts w:hint="default"/>
                <w:color w:val="auto"/>
              </w:rPr>
            </w:pPr>
            <w:r>
              <w:rPr>
                <w:rFonts w:hint="eastAsia"/>
                <w:color w:val="auto"/>
              </w:rPr>
              <w:t>石油烃（C10~C40）</w:t>
            </w:r>
          </w:p>
        </w:tc>
        <w:tc>
          <w:tcPr>
            <w:tcW w:w="1032" w:type="dxa"/>
          </w:tcPr>
          <w:p w14:paraId="4C3AC695">
            <w:pPr>
              <w:pStyle w:val="91"/>
              <w:keepNext w:val="0"/>
              <w:keepLines w:val="0"/>
              <w:suppressLineNumbers w:val="0"/>
              <w:spacing w:before="0" w:beforeAutospacing="0" w:after="0" w:afterAutospacing="0"/>
              <w:ind w:left="0" w:right="0"/>
              <w:rPr>
                <w:rFonts w:hint="default"/>
                <w:color w:val="auto"/>
              </w:rPr>
            </w:pPr>
          </w:p>
        </w:tc>
        <w:tc>
          <w:tcPr>
            <w:tcW w:w="839" w:type="dxa"/>
          </w:tcPr>
          <w:p w14:paraId="05E1129B">
            <w:pPr>
              <w:pStyle w:val="91"/>
              <w:keepNext w:val="0"/>
              <w:keepLines w:val="0"/>
              <w:suppressLineNumbers w:val="0"/>
              <w:spacing w:before="0" w:beforeAutospacing="0" w:after="0" w:afterAutospacing="0"/>
              <w:ind w:left="0" w:right="0"/>
              <w:rPr>
                <w:rFonts w:hint="default"/>
                <w:color w:val="auto"/>
              </w:rPr>
            </w:pPr>
          </w:p>
        </w:tc>
        <w:tc>
          <w:tcPr>
            <w:tcW w:w="666" w:type="dxa"/>
          </w:tcPr>
          <w:p w14:paraId="26937AEF">
            <w:pPr>
              <w:pStyle w:val="91"/>
              <w:keepNext w:val="0"/>
              <w:keepLines w:val="0"/>
              <w:suppressLineNumbers w:val="0"/>
              <w:spacing w:before="0" w:beforeAutospacing="0" w:after="0" w:afterAutospacing="0"/>
              <w:ind w:left="0" w:right="0"/>
              <w:rPr>
                <w:rFonts w:hint="default"/>
                <w:color w:val="auto"/>
              </w:rPr>
            </w:pPr>
          </w:p>
        </w:tc>
        <w:tc>
          <w:tcPr>
            <w:tcW w:w="800" w:type="dxa"/>
          </w:tcPr>
          <w:p w14:paraId="02DFE644">
            <w:pPr>
              <w:pStyle w:val="91"/>
              <w:keepNext w:val="0"/>
              <w:keepLines w:val="0"/>
              <w:suppressLineNumbers w:val="0"/>
              <w:spacing w:before="0" w:beforeAutospacing="0" w:after="0" w:afterAutospacing="0"/>
              <w:ind w:left="0" w:right="0"/>
              <w:rPr>
                <w:rFonts w:hint="default"/>
                <w:color w:val="auto"/>
              </w:rPr>
            </w:pPr>
          </w:p>
        </w:tc>
        <w:tc>
          <w:tcPr>
            <w:tcW w:w="657" w:type="dxa"/>
          </w:tcPr>
          <w:p w14:paraId="62915E19">
            <w:pPr>
              <w:pStyle w:val="91"/>
              <w:keepNext w:val="0"/>
              <w:keepLines w:val="0"/>
              <w:suppressLineNumbers w:val="0"/>
              <w:spacing w:before="0" w:beforeAutospacing="0" w:after="0" w:afterAutospacing="0"/>
              <w:ind w:left="0" w:right="0"/>
              <w:rPr>
                <w:rFonts w:hint="default"/>
                <w:color w:val="auto"/>
              </w:rPr>
            </w:pPr>
          </w:p>
        </w:tc>
        <w:tc>
          <w:tcPr>
            <w:tcW w:w="797" w:type="dxa"/>
          </w:tcPr>
          <w:p w14:paraId="7DD3C30A">
            <w:pPr>
              <w:pStyle w:val="91"/>
              <w:keepNext w:val="0"/>
              <w:keepLines w:val="0"/>
              <w:suppressLineNumbers w:val="0"/>
              <w:spacing w:before="0" w:beforeAutospacing="0" w:after="0" w:afterAutospacing="0"/>
              <w:ind w:left="0" w:right="0"/>
              <w:rPr>
                <w:rFonts w:hint="default"/>
                <w:color w:val="auto"/>
              </w:rPr>
            </w:pPr>
          </w:p>
        </w:tc>
        <w:tc>
          <w:tcPr>
            <w:tcW w:w="797" w:type="dxa"/>
          </w:tcPr>
          <w:p w14:paraId="3FEE654C">
            <w:pPr>
              <w:pStyle w:val="91"/>
              <w:keepNext w:val="0"/>
              <w:keepLines w:val="0"/>
              <w:suppressLineNumbers w:val="0"/>
              <w:spacing w:before="0" w:beforeAutospacing="0" w:after="0" w:afterAutospacing="0"/>
              <w:ind w:left="0" w:right="0"/>
              <w:rPr>
                <w:rFonts w:hint="default"/>
                <w:color w:val="auto"/>
              </w:rPr>
            </w:pPr>
          </w:p>
        </w:tc>
        <w:tc>
          <w:tcPr>
            <w:tcW w:w="831" w:type="dxa"/>
          </w:tcPr>
          <w:p w14:paraId="37B0E874">
            <w:pPr>
              <w:pStyle w:val="91"/>
              <w:keepNext w:val="0"/>
              <w:keepLines w:val="0"/>
              <w:suppressLineNumbers w:val="0"/>
              <w:spacing w:before="0" w:beforeAutospacing="0" w:after="0" w:afterAutospacing="0"/>
              <w:ind w:left="0" w:right="0"/>
              <w:rPr>
                <w:rFonts w:hint="default"/>
                <w:color w:val="auto"/>
              </w:rPr>
            </w:pPr>
          </w:p>
        </w:tc>
        <w:tc>
          <w:tcPr>
            <w:tcW w:w="708" w:type="dxa"/>
          </w:tcPr>
          <w:p w14:paraId="18D28DCC">
            <w:pPr>
              <w:pStyle w:val="91"/>
              <w:keepNext w:val="0"/>
              <w:keepLines w:val="0"/>
              <w:suppressLineNumbers w:val="0"/>
              <w:spacing w:before="0" w:beforeAutospacing="0" w:after="0" w:afterAutospacing="0"/>
              <w:ind w:left="0" w:right="0"/>
              <w:rPr>
                <w:rFonts w:hint="default"/>
                <w:color w:val="auto"/>
              </w:rPr>
            </w:pPr>
          </w:p>
        </w:tc>
        <w:tc>
          <w:tcPr>
            <w:tcW w:w="567" w:type="dxa"/>
          </w:tcPr>
          <w:p w14:paraId="305482C1">
            <w:pPr>
              <w:pStyle w:val="91"/>
              <w:keepNext w:val="0"/>
              <w:keepLines w:val="0"/>
              <w:suppressLineNumbers w:val="0"/>
              <w:spacing w:before="0" w:beforeAutospacing="0" w:after="0" w:afterAutospacing="0"/>
              <w:ind w:left="0" w:right="0"/>
              <w:rPr>
                <w:rFonts w:hint="default"/>
                <w:color w:val="auto"/>
              </w:rPr>
            </w:pPr>
            <w:r>
              <w:rPr>
                <w:rFonts w:hint="eastAsia"/>
                <w:color w:val="auto"/>
              </w:rPr>
              <w:t>达标</w:t>
            </w:r>
          </w:p>
        </w:tc>
      </w:tr>
    </w:tbl>
    <w:p w14:paraId="6D2BADEA">
      <w:pPr>
        <w:pStyle w:val="117"/>
        <w:rPr>
          <w:color w:val="auto"/>
        </w:rPr>
      </w:pPr>
      <w:r>
        <w:rPr>
          <w:rFonts w:hint="eastAsia"/>
          <w:color w:val="auto"/>
        </w:rPr>
        <w:t>注</w:t>
      </w:r>
      <w:r>
        <w:rPr>
          <w:color w:val="auto"/>
        </w:rPr>
        <w:t>：</w:t>
      </w:r>
      <w:r>
        <w:rPr>
          <w:rFonts w:hint="eastAsia"/>
          <w:color w:val="auto"/>
        </w:rPr>
        <w:t>ND为未检出</w:t>
      </w:r>
      <w:r>
        <w:rPr>
          <w:color w:val="auto"/>
        </w:rPr>
        <w:t>。</w:t>
      </w:r>
    </w:p>
    <w:p w14:paraId="1911687C">
      <w:pPr>
        <w:ind w:firstLine="480"/>
        <w:rPr>
          <w:color w:val="auto"/>
        </w:rPr>
      </w:pPr>
      <w:r>
        <w:rPr>
          <w:rFonts w:hint="eastAsia"/>
          <w:color w:val="auto"/>
        </w:rPr>
        <w:t>根据</w:t>
      </w:r>
      <w:r>
        <w:rPr>
          <w:color w:val="auto"/>
        </w:rPr>
        <w:t>监测结果可知，库区内的</w:t>
      </w:r>
      <w:r>
        <w:rPr>
          <w:rFonts w:hint="eastAsia"/>
          <w:color w:val="auto"/>
        </w:rPr>
        <w:t>土壤各检测</w:t>
      </w:r>
      <w:r>
        <w:rPr>
          <w:color w:val="auto"/>
        </w:rPr>
        <w:t>因子均</w:t>
      </w:r>
      <w:r>
        <w:rPr>
          <w:rFonts w:hint="eastAsia"/>
          <w:color w:val="auto"/>
        </w:rPr>
        <w:t>达到《土壤环境质量建设用地土壤污染风险管控标准（试行）》（GB36600-2018）筛选值标准。</w:t>
      </w:r>
    </w:p>
    <w:p w14:paraId="5BF269A0">
      <w:pPr>
        <w:pStyle w:val="5"/>
        <w:rPr>
          <w:color w:val="auto"/>
        </w:rPr>
      </w:pPr>
      <w:bookmarkStart w:id="462" w:name="_Toc136878495"/>
      <w:bookmarkStart w:id="463" w:name="_Toc223258478"/>
      <w:bookmarkStart w:id="464" w:name="_Toc135090233"/>
      <w:bookmarkStart w:id="465" w:name="_Toc223595769"/>
      <w:r>
        <w:rPr>
          <w:color w:val="auto"/>
        </w:rPr>
        <w:t>海洋环境质量现状调查与评价</w:t>
      </w:r>
      <w:bookmarkEnd w:id="457"/>
      <w:bookmarkEnd w:id="458"/>
      <w:bookmarkEnd w:id="459"/>
      <w:bookmarkEnd w:id="462"/>
      <w:bookmarkEnd w:id="463"/>
      <w:bookmarkEnd w:id="464"/>
      <w:bookmarkEnd w:id="465"/>
    </w:p>
    <w:p w14:paraId="7DCB09E5">
      <w:pPr>
        <w:pStyle w:val="4"/>
        <w:rPr>
          <w:color w:val="auto"/>
        </w:rPr>
      </w:pPr>
      <w:bookmarkStart w:id="466" w:name="_Toc136878496"/>
      <w:bookmarkStart w:id="467" w:name="_Toc216620560"/>
      <w:r>
        <w:rPr>
          <w:color w:val="auto"/>
        </w:rPr>
        <w:t>调查时间及调查站位</w:t>
      </w:r>
      <w:bookmarkEnd w:id="466"/>
      <w:bookmarkEnd w:id="467"/>
    </w:p>
    <w:p w14:paraId="7147902C">
      <w:pPr>
        <w:ind w:firstLine="480"/>
        <w:rPr>
          <w:rFonts w:hint="eastAsia"/>
          <w:color w:val="auto"/>
          <w:lang w:eastAsia="zh-CN"/>
        </w:rPr>
      </w:pPr>
      <w:r>
        <w:rPr>
          <w:color w:val="auto"/>
        </w:rPr>
        <w:t>本次评价海洋环境调查资料引用《</w:t>
      </w:r>
      <w:r>
        <w:rPr>
          <w:rFonts w:hint="eastAsia"/>
          <w:color w:val="auto"/>
        </w:rPr>
        <w:t>广西自贸区逸海港务有限责任公司2025年环境委托监测项目监测报告》（2025年11月19日）</w:t>
      </w:r>
      <w:r>
        <w:rPr>
          <w:color w:val="auto"/>
        </w:rPr>
        <w:t>的调查监测结果</w:t>
      </w:r>
      <w:r>
        <w:rPr>
          <w:rFonts w:hint="eastAsia"/>
          <w:color w:val="auto"/>
          <w:lang w:eastAsia="zh-CN"/>
        </w:rPr>
        <w:t>。</w:t>
      </w:r>
    </w:p>
    <w:p w14:paraId="7007DF1A">
      <w:pPr>
        <w:ind w:firstLine="480"/>
        <w:rPr>
          <w:rFonts w:hint="default" w:eastAsia="宋体"/>
          <w:color w:val="auto"/>
          <w:u w:val="single"/>
          <w:lang w:val="en-US" w:eastAsia="zh-CN"/>
        </w:rPr>
      </w:pPr>
      <w:r>
        <w:rPr>
          <w:rFonts w:hint="eastAsia"/>
          <w:color w:val="auto"/>
          <w:u w:val="single"/>
          <w:lang w:val="en-US" w:eastAsia="zh-CN"/>
        </w:rPr>
        <w:t>本次扩建项目无涉海建设内容，也无废水直接排放至海域，海洋环境以调查为主。根据《环境影响评价技术导则海洋生态环境》（HJ1409-2025），3级评价的评价时段为任何一季，海水水质调查站位≥2，沉积物调查站位宜与海水水质站位相同。沿岸海域的海水水质、海洋生态现状数据有效期为3年，其他海域为5年。沿岸海域的海洋沉积物、海洋水文动力、海洋地形地貌与泥沙现状数据有效期为5年，其他海域为10年。本项目引用</w:t>
      </w:r>
      <w:r>
        <w:rPr>
          <w:rFonts w:hint="eastAsia"/>
          <w:color w:val="auto"/>
          <w:u w:val="single"/>
        </w:rPr>
        <w:t>2025年11月19日</w:t>
      </w:r>
      <w:r>
        <w:rPr>
          <w:color w:val="auto"/>
          <w:u w:val="single"/>
        </w:rPr>
        <w:t>《</w:t>
      </w:r>
      <w:r>
        <w:rPr>
          <w:rFonts w:hint="eastAsia"/>
          <w:color w:val="auto"/>
          <w:u w:val="single"/>
        </w:rPr>
        <w:t>广西自贸区逸海港务有限责任公司2025年环境委托监测项目监测报告》</w:t>
      </w:r>
      <w:r>
        <w:rPr>
          <w:rFonts w:hint="eastAsia"/>
          <w:color w:val="auto"/>
          <w:u w:val="single"/>
          <w:lang w:val="en-US" w:eastAsia="zh-CN"/>
        </w:rPr>
        <w:t>调查站位为5个，从调查时间、站位、评价时段等方面，本次扩建项目引用的监测数据是可行的。</w:t>
      </w:r>
    </w:p>
    <w:p w14:paraId="6172DD18">
      <w:pPr>
        <w:pStyle w:val="14"/>
        <w:rPr>
          <w:color w:val="auto"/>
        </w:rPr>
      </w:pPr>
      <w:r>
        <w:rPr>
          <w:rFonts w:hint="eastAsia"/>
          <w:color w:val="auto"/>
        </w:rPr>
        <w:t>表</w:t>
      </w:r>
      <w:r>
        <w:rPr>
          <w:color w:val="auto"/>
        </w:rPr>
        <w:t>3.7</w:t>
      </w:r>
      <w:r>
        <w:rPr>
          <w:color w:val="auto"/>
        </w:rPr>
        <w:noBreakHyphen/>
      </w:r>
      <w:r>
        <w:rPr>
          <w:color w:val="auto"/>
        </w:rPr>
        <w:t>1202</w:t>
      </w:r>
      <w:r>
        <w:rPr>
          <w:rFonts w:hint="eastAsia"/>
          <w:color w:val="auto"/>
        </w:rPr>
        <w:t>5</w:t>
      </w:r>
      <w:r>
        <w:rPr>
          <w:color w:val="auto"/>
        </w:rPr>
        <w:t>年</w:t>
      </w:r>
      <w:r>
        <w:rPr>
          <w:rFonts w:hint="eastAsia"/>
          <w:color w:val="auto"/>
        </w:rPr>
        <w:t>11</w:t>
      </w:r>
      <w:r>
        <w:rPr>
          <w:color w:val="auto"/>
        </w:rPr>
        <w:t>月海洋生态环境调查站位及监测项目</w:t>
      </w:r>
    </w:p>
    <w:tbl>
      <w:tblPr>
        <w:tblStyle w:val="43"/>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679"/>
        <w:gridCol w:w="6517"/>
      </w:tblGrid>
      <w:tr w14:paraId="288950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3" w:hRule="atLeast"/>
        </w:trPr>
        <w:tc>
          <w:tcPr>
            <w:tcW w:w="2679" w:type="dxa"/>
          </w:tcPr>
          <w:p w14:paraId="0E98DE54">
            <w:pPr>
              <w:pStyle w:val="77"/>
              <w:keepNext w:val="0"/>
              <w:keepLines w:val="0"/>
              <w:suppressLineNumbers w:val="0"/>
              <w:spacing w:before="0" w:beforeAutospacing="0" w:after="0" w:afterAutospacing="0"/>
              <w:ind w:left="0" w:right="0"/>
              <w:rPr>
                <w:rFonts w:hint="default"/>
                <w:color w:val="auto"/>
              </w:rPr>
            </w:pPr>
            <w:r>
              <w:rPr>
                <w:rFonts w:hint="eastAsia"/>
                <w:color w:val="auto"/>
              </w:rPr>
              <w:t>监测点位</w:t>
            </w:r>
          </w:p>
        </w:tc>
        <w:tc>
          <w:tcPr>
            <w:tcW w:w="6517" w:type="dxa"/>
          </w:tcPr>
          <w:p w14:paraId="1995F29E">
            <w:pPr>
              <w:pStyle w:val="77"/>
              <w:keepNext w:val="0"/>
              <w:keepLines w:val="0"/>
              <w:suppressLineNumbers w:val="0"/>
              <w:spacing w:before="0" w:beforeAutospacing="0" w:after="0" w:afterAutospacing="0"/>
              <w:ind w:left="0" w:right="0"/>
              <w:rPr>
                <w:rFonts w:hint="default"/>
                <w:color w:val="auto"/>
              </w:rPr>
            </w:pPr>
            <w:r>
              <w:rPr>
                <w:rFonts w:hint="eastAsia"/>
                <w:color w:val="auto"/>
              </w:rPr>
              <w:t>调查</w:t>
            </w:r>
            <w:r>
              <w:rPr>
                <w:rFonts w:hint="default"/>
                <w:color w:val="auto"/>
              </w:rPr>
              <w:t>内容</w:t>
            </w:r>
          </w:p>
        </w:tc>
      </w:tr>
      <w:tr w14:paraId="0E09E0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679" w:type="dxa"/>
            <w:vAlign w:val="center"/>
          </w:tcPr>
          <w:p w14:paraId="36DEFB7A">
            <w:pPr>
              <w:pStyle w:val="77"/>
              <w:keepNext w:val="0"/>
              <w:keepLines w:val="0"/>
              <w:suppressLineNumbers w:val="0"/>
              <w:spacing w:before="0" w:beforeAutospacing="0" w:after="0" w:afterAutospacing="0"/>
              <w:ind w:left="0" w:right="0"/>
              <w:rPr>
                <w:rFonts w:hint="default"/>
                <w:color w:val="auto"/>
              </w:rPr>
            </w:pPr>
            <w:r>
              <w:rPr>
                <w:rFonts w:hint="eastAsia"/>
                <w:color w:val="auto"/>
              </w:rPr>
              <w:t>S1、S2、S3、S4、S5</w:t>
            </w:r>
          </w:p>
        </w:tc>
        <w:tc>
          <w:tcPr>
            <w:tcW w:w="6517" w:type="dxa"/>
          </w:tcPr>
          <w:p w14:paraId="236252A9">
            <w:pPr>
              <w:pStyle w:val="77"/>
              <w:keepNext w:val="0"/>
              <w:keepLines w:val="0"/>
              <w:suppressLineNumbers w:val="0"/>
              <w:spacing w:before="0" w:beforeAutospacing="0" w:after="0" w:afterAutospacing="0"/>
              <w:ind w:left="0" w:right="0"/>
              <w:rPr>
                <w:rFonts w:hint="default"/>
                <w:color w:val="auto"/>
              </w:rPr>
            </w:pPr>
            <w:r>
              <w:rPr>
                <w:rFonts w:hint="eastAsia"/>
                <w:color w:val="auto"/>
              </w:rPr>
              <w:t>水质</w:t>
            </w:r>
            <w:r>
              <w:rPr>
                <w:rFonts w:hint="default"/>
                <w:color w:val="auto"/>
              </w:rPr>
              <w:t>、沉积物、海洋生态</w:t>
            </w:r>
          </w:p>
        </w:tc>
      </w:tr>
    </w:tbl>
    <w:p w14:paraId="344B2D9A">
      <w:pPr>
        <w:pStyle w:val="14"/>
        <w:rPr>
          <w:color w:val="auto"/>
        </w:rPr>
      </w:pPr>
      <w:bookmarkStart w:id="468" w:name="8.3.1水质环境质量状况"/>
      <w:bookmarkEnd w:id="468"/>
      <w:bookmarkStart w:id="469" w:name="_Toc136878497"/>
      <w:bookmarkStart w:id="470" w:name="_Toc216620561"/>
      <w:r>
        <w:rPr>
          <w:color w:val="auto"/>
        </w:rPr>
        <w:drawing>
          <wp:inline distT="0" distB="0" distL="114300" distR="114300">
            <wp:extent cx="4624705" cy="3846830"/>
            <wp:effectExtent l="0" t="0" r="4445" b="1270"/>
            <wp:docPr id="6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8"/>
                    <pic:cNvPicPr>
                      <a:picLocks noChangeAspect="1"/>
                    </pic:cNvPicPr>
                  </pic:nvPicPr>
                  <pic:blipFill>
                    <a:blip r:embed="rId62"/>
                    <a:stretch>
                      <a:fillRect/>
                    </a:stretch>
                  </pic:blipFill>
                  <pic:spPr>
                    <a:xfrm>
                      <a:off x="0" y="0"/>
                      <a:ext cx="4624705" cy="3846830"/>
                    </a:xfrm>
                    <a:prstGeom prst="rect">
                      <a:avLst/>
                    </a:prstGeom>
                    <a:noFill/>
                    <a:ln>
                      <a:noFill/>
                    </a:ln>
                  </pic:spPr>
                </pic:pic>
              </a:graphicData>
            </a:graphic>
          </wp:inline>
        </w:drawing>
      </w:r>
    </w:p>
    <w:p w14:paraId="69421D74">
      <w:pPr>
        <w:pStyle w:val="14"/>
        <w:rPr>
          <w:color w:val="auto"/>
        </w:rPr>
      </w:pPr>
      <w:r>
        <w:rPr>
          <w:rFonts w:hint="eastAsia"/>
          <w:color w:val="auto"/>
        </w:rPr>
        <w:t>图</w:t>
      </w:r>
      <w:r>
        <w:rPr>
          <w:color w:val="auto"/>
        </w:rPr>
        <w:t>3.7</w:t>
      </w:r>
      <w:r>
        <w:rPr>
          <w:color w:val="auto"/>
        </w:rPr>
        <w:noBreakHyphen/>
      </w:r>
      <w:r>
        <w:rPr>
          <w:color w:val="auto"/>
        </w:rPr>
        <w:t>1</w:t>
      </w:r>
      <w:r>
        <w:rPr>
          <w:rFonts w:hint="eastAsia"/>
          <w:color w:val="auto"/>
        </w:rPr>
        <w:t>项目</w:t>
      </w:r>
      <w:r>
        <w:rPr>
          <w:color w:val="auto"/>
        </w:rPr>
        <w:t>引用海洋环境调查站位布点图</w:t>
      </w:r>
    </w:p>
    <w:p w14:paraId="2870E38D">
      <w:pPr>
        <w:pStyle w:val="4"/>
        <w:rPr>
          <w:color w:val="auto"/>
          <w:lang w:val="zh-CN"/>
        </w:rPr>
      </w:pPr>
      <w:r>
        <w:rPr>
          <w:rFonts w:hint="eastAsia"/>
          <w:color w:val="auto"/>
          <w:lang w:val="zh-CN"/>
        </w:rPr>
        <w:t>海水</w:t>
      </w:r>
      <w:r>
        <w:rPr>
          <w:color w:val="auto"/>
          <w:lang w:val="zh-CN"/>
        </w:rPr>
        <w:t>水质</w:t>
      </w:r>
      <w:r>
        <w:rPr>
          <w:rFonts w:hint="eastAsia"/>
          <w:color w:val="auto"/>
          <w:lang w:val="zh-CN"/>
        </w:rPr>
        <w:t>现状</w:t>
      </w:r>
      <w:r>
        <w:rPr>
          <w:color w:val="auto"/>
          <w:lang w:val="zh-CN"/>
        </w:rPr>
        <w:t>调查</w:t>
      </w:r>
      <w:bookmarkEnd w:id="469"/>
      <w:bookmarkEnd w:id="470"/>
      <w:r>
        <w:rPr>
          <w:rFonts w:hint="eastAsia"/>
          <w:color w:val="auto"/>
          <w:lang w:val="zh-CN"/>
        </w:rPr>
        <w:t>与</w:t>
      </w:r>
      <w:r>
        <w:rPr>
          <w:color w:val="auto"/>
          <w:lang w:val="zh-CN"/>
        </w:rPr>
        <w:t>评价</w:t>
      </w:r>
    </w:p>
    <w:p w14:paraId="0DD66E18">
      <w:pPr>
        <w:ind w:firstLine="480"/>
        <w:rPr>
          <w:color w:val="auto"/>
          <w:lang w:val="zh-CN" w:bidi="zh-CN"/>
        </w:rPr>
      </w:pPr>
      <w:r>
        <w:rPr>
          <w:color w:val="auto"/>
          <w:lang w:val="zh-CN" w:bidi="zh-CN"/>
        </w:rPr>
        <w:t>1、监测项目和调查分析方法</w:t>
      </w:r>
    </w:p>
    <w:p w14:paraId="764A4856">
      <w:pPr>
        <w:ind w:firstLine="480"/>
        <w:rPr>
          <w:color w:val="auto"/>
        </w:rPr>
      </w:pPr>
      <w:r>
        <w:rPr>
          <w:color w:val="auto"/>
        </w:rPr>
        <w:t>监测项目主要有水温、盐度、pH、悬浮物、COD、溶解氧、BOD、活性磷酸盐、油类、</w:t>
      </w:r>
      <w:r>
        <w:rPr>
          <w:color w:val="auto"/>
          <w:spacing w:val="-17"/>
          <w:lang w:val="zh-CN" w:bidi="zh-CN"/>
        </w:rPr>
        <w:t>硫化物、</w:t>
      </w:r>
      <w:r>
        <w:rPr>
          <w:rFonts w:hint="eastAsia"/>
          <w:color w:val="auto"/>
          <w:spacing w:val="-17"/>
          <w:lang w:bidi="zh-CN"/>
        </w:rPr>
        <w:t>无机氮、</w:t>
      </w:r>
      <w:r>
        <w:rPr>
          <w:color w:val="auto"/>
          <w:spacing w:val="-17"/>
          <w:lang w:val="zh-CN" w:bidi="zh-CN"/>
        </w:rPr>
        <w:t>铜</w:t>
      </w:r>
      <w:r>
        <w:rPr>
          <w:color w:val="auto"/>
        </w:rPr>
        <w:t>、铅、锌、镉</w:t>
      </w:r>
      <w:r>
        <w:rPr>
          <w:color w:val="auto"/>
          <w:spacing w:val="-1"/>
          <w:lang w:val="zh-CN" w:bidi="zh-CN"/>
        </w:rPr>
        <w:t>、总铬、汞、砷</w:t>
      </w:r>
      <w:r>
        <w:rPr>
          <w:color w:val="auto"/>
          <w:spacing w:val="-17"/>
          <w:lang w:val="zh-CN" w:bidi="zh-CN"/>
        </w:rPr>
        <w:t>共</w:t>
      </w:r>
      <w:r>
        <w:rPr>
          <w:rFonts w:hint="eastAsia" w:eastAsiaTheme="minorEastAsia"/>
          <w:color w:val="auto"/>
          <w:spacing w:val="-3"/>
          <w:lang w:bidi="zh-CN"/>
        </w:rPr>
        <w:t>18</w:t>
      </w:r>
      <w:r>
        <w:rPr>
          <w:color w:val="auto"/>
          <w:spacing w:val="-20"/>
          <w:lang w:val="zh-CN" w:bidi="zh-CN"/>
        </w:rPr>
        <w:t>项。</w:t>
      </w:r>
    </w:p>
    <w:p w14:paraId="1AC5FF3C">
      <w:pPr>
        <w:ind w:firstLine="480"/>
        <w:rPr>
          <w:color w:val="auto"/>
        </w:rPr>
      </w:pPr>
      <w:r>
        <w:rPr>
          <w:color w:val="auto"/>
        </w:rPr>
        <w:t>水质调查和分析方法按《海洋监测规范》（GB17378-2007）进行。</w:t>
      </w:r>
    </w:p>
    <w:p w14:paraId="38DD5B2B">
      <w:pPr>
        <w:ind w:firstLine="480"/>
        <w:rPr>
          <w:color w:val="auto"/>
          <w:lang w:val="zh-CN" w:bidi="zh-CN"/>
        </w:rPr>
      </w:pPr>
      <w:bookmarkStart w:id="471" w:name="8.3.1.2水质现状调查结果"/>
      <w:bookmarkEnd w:id="471"/>
      <w:r>
        <w:rPr>
          <w:color w:val="auto"/>
          <w:lang w:val="zh-CN" w:bidi="zh-CN"/>
        </w:rPr>
        <w:t>2、评价方法和标准</w:t>
      </w:r>
    </w:p>
    <w:p w14:paraId="1EFF4735">
      <w:pPr>
        <w:ind w:firstLine="480"/>
        <w:rPr>
          <w:color w:val="auto"/>
          <w:lang w:val="zh-CN" w:bidi="zh-CN"/>
        </w:rPr>
      </w:pPr>
      <w:r>
        <w:rPr>
          <w:color w:val="auto"/>
          <w:lang w:val="zh-CN" w:bidi="zh-CN"/>
        </w:rPr>
        <w:t>水质评价方法为单项指数超标分类法。</w:t>
      </w:r>
    </w:p>
    <w:p w14:paraId="425B73C7">
      <w:pPr>
        <w:ind w:firstLine="480"/>
        <w:rPr>
          <w:color w:val="auto"/>
        </w:rPr>
      </w:pPr>
      <w:r>
        <w:rPr>
          <w:rFonts w:hint="eastAsia"/>
          <w:color w:val="auto"/>
        </w:rPr>
        <w:t>海水水质：根据《广西壮族自治区近岸海域环境功能区划调整方案》（桂环发〔2023〕9号），S1、S2、S4点位执行海水水质执行《海水水质标准》（GB3097-1997）第二类标准；S3点位执行海水水质执行《海水水质标准》（GB3097-1997）第四类标准；S5点位位于茅尾海红树林自然保护区（七十二泾片区），执行海水水质执行《海水水质标准》（GB3097-1997）第一类标准。</w:t>
      </w:r>
    </w:p>
    <w:p w14:paraId="4975639F">
      <w:pPr>
        <w:ind w:firstLine="480"/>
        <w:rPr>
          <w:color w:val="auto"/>
          <w:lang w:val="zh-CN" w:bidi="zh-CN"/>
        </w:rPr>
      </w:pPr>
      <w:r>
        <w:rPr>
          <w:color w:val="auto"/>
          <w:lang w:val="zh-CN" w:bidi="zh-CN"/>
        </w:rPr>
        <w:t>3、水质现状调查结果</w:t>
      </w:r>
    </w:p>
    <w:p w14:paraId="377BABCB">
      <w:pPr>
        <w:ind w:firstLine="480"/>
        <w:rPr>
          <w:color w:val="auto"/>
          <w:lang w:val="zh-CN" w:bidi="zh-CN"/>
        </w:rPr>
      </w:pPr>
      <w:r>
        <w:rPr>
          <w:color w:val="auto"/>
          <w:lang w:val="zh-CN" w:bidi="zh-CN"/>
        </w:rPr>
        <w:t>海水水质调查结果见如下表</w:t>
      </w:r>
      <w:r>
        <w:rPr>
          <w:rFonts w:hint="eastAsia"/>
          <w:color w:val="auto"/>
          <w:lang w:val="zh-CN" w:bidi="zh-CN"/>
        </w:rPr>
        <w:t>3.7-2</w:t>
      </w:r>
      <w:r>
        <w:rPr>
          <w:color w:val="auto"/>
          <w:lang w:val="zh-CN" w:bidi="zh-CN"/>
        </w:rPr>
        <w:t>。</w:t>
      </w:r>
    </w:p>
    <w:p w14:paraId="1E7A6D34">
      <w:pPr>
        <w:pStyle w:val="178"/>
        <w:ind w:firstLine="480"/>
        <w:rPr>
          <w:color w:val="auto"/>
        </w:rPr>
      </w:pPr>
      <w:r>
        <w:rPr>
          <w:rFonts w:hint="eastAsia"/>
          <w:color w:val="auto"/>
        </w:rPr>
        <w:t>根据海水水质监测结果，区域海水水质除S1、S2、S5点位的活性磷酸盐，S5点位的无机氮指标超标外，其余指标均能满足《海水水质标准》（GB3097-1997）相应标准限值。</w:t>
      </w:r>
      <w:r>
        <w:rPr>
          <w:rFonts w:hint="eastAsia"/>
          <w:color w:val="auto"/>
          <w:u w:val="single"/>
        </w:rPr>
        <w:t>区域海洋环境中的无机氮、活性磷酸盐指标本底值已存在不同程度的超标情况，主要由于内陆河流带入污染物及沿海排污口排污导致</w:t>
      </w:r>
      <w:r>
        <w:rPr>
          <w:rFonts w:hint="eastAsia"/>
          <w:color w:val="auto"/>
          <w:u w:val="single"/>
          <w:lang w:eastAsia="zh-CN"/>
        </w:rPr>
        <w:t>，本项目废水由罐车运至东油沥青厂，再通过管网输送至广西石化污水处理厂处理，项目不设置排污口，对海水水质影响较小</w:t>
      </w:r>
      <w:r>
        <w:rPr>
          <w:rFonts w:hint="eastAsia"/>
          <w:color w:val="auto"/>
          <w:u w:val="single"/>
        </w:rPr>
        <w:t>。</w:t>
      </w:r>
    </w:p>
    <w:p w14:paraId="59BC314A">
      <w:pPr>
        <w:ind w:firstLine="480"/>
        <w:rPr>
          <w:color w:val="auto"/>
          <w:u w:val="single"/>
        </w:rPr>
        <w:sectPr>
          <w:headerReference r:id="rId25" w:type="first"/>
          <w:footerReference r:id="rId28" w:type="first"/>
          <w:headerReference r:id="rId23" w:type="default"/>
          <w:footerReference r:id="rId26" w:type="default"/>
          <w:headerReference r:id="rId24" w:type="even"/>
          <w:footerReference r:id="rId27" w:type="even"/>
          <w:pgSz w:w="11906" w:h="16838"/>
          <w:pgMar w:top="1440" w:right="1134" w:bottom="1440" w:left="1417" w:header="851" w:footer="850" w:gutter="0"/>
          <w:cols w:space="720" w:num="1"/>
          <w:docGrid w:type="lines" w:linePitch="326" w:charSpace="0"/>
        </w:sectPr>
      </w:pPr>
    </w:p>
    <w:p w14:paraId="23BBD613">
      <w:pPr>
        <w:pStyle w:val="14"/>
        <w:rPr>
          <w:color w:val="auto"/>
        </w:rPr>
      </w:pPr>
      <w:bookmarkStart w:id="472" w:name="8.3.1.3水质现状评价"/>
      <w:bookmarkEnd w:id="472"/>
      <w:r>
        <w:rPr>
          <w:rFonts w:hint="eastAsia"/>
          <w:color w:val="auto"/>
        </w:rPr>
        <w:t>表</w:t>
      </w:r>
      <w:r>
        <w:rPr>
          <w:color w:val="auto"/>
        </w:rPr>
        <w:t>3.7</w:t>
      </w:r>
      <w:r>
        <w:rPr>
          <w:color w:val="auto"/>
        </w:rPr>
        <w:noBreakHyphen/>
      </w:r>
      <w:r>
        <w:rPr>
          <w:color w:val="auto"/>
        </w:rPr>
        <w:t>2</w:t>
      </w:r>
      <w:r>
        <w:rPr>
          <w:rFonts w:hint="eastAsia"/>
          <w:color w:val="auto"/>
        </w:rPr>
        <w:t>海水水质检测结果一览表</w:t>
      </w:r>
    </w:p>
    <w:tbl>
      <w:tblPr>
        <w:tblStyle w:val="43"/>
        <w:tblW w:w="5006"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28" w:type="dxa"/>
          <w:bottom w:w="0" w:type="dxa"/>
          <w:right w:w="28" w:type="dxa"/>
        </w:tblCellMar>
      </w:tblPr>
      <w:tblGrid>
        <w:gridCol w:w="506"/>
        <w:gridCol w:w="506"/>
        <w:gridCol w:w="722"/>
        <w:gridCol w:w="722"/>
        <w:gridCol w:w="722"/>
        <w:gridCol w:w="722"/>
        <w:gridCol w:w="722"/>
        <w:gridCol w:w="722"/>
        <w:gridCol w:w="722"/>
        <w:gridCol w:w="722"/>
        <w:gridCol w:w="723"/>
        <w:gridCol w:w="723"/>
        <w:gridCol w:w="723"/>
        <w:gridCol w:w="723"/>
        <w:gridCol w:w="723"/>
        <w:gridCol w:w="723"/>
        <w:gridCol w:w="723"/>
        <w:gridCol w:w="723"/>
        <w:gridCol w:w="723"/>
        <w:gridCol w:w="728"/>
      </w:tblGrid>
      <w:tr w14:paraId="4A425A9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006" w:type="dxa"/>
            <w:gridSpan w:val="2"/>
            <w:vMerge w:val="restart"/>
            <w:vAlign w:val="center"/>
          </w:tcPr>
          <w:p w14:paraId="781069D8">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pacing w:val="7"/>
                <w:sz w:val="21"/>
              </w:rPr>
              <w:t>监测站位</w:t>
            </w:r>
          </w:p>
        </w:tc>
        <w:tc>
          <w:tcPr>
            <w:tcW w:w="718" w:type="dxa"/>
            <w:vAlign w:val="center"/>
          </w:tcPr>
          <w:p w14:paraId="28B98698">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水温</w:t>
            </w:r>
          </w:p>
        </w:tc>
        <w:tc>
          <w:tcPr>
            <w:tcW w:w="718" w:type="dxa"/>
            <w:vAlign w:val="center"/>
          </w:tcPr>
          <w:p w14:paraId="706D4A42">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盐度</w:t>
            </w:r>
          </w:p>
        </w:tc>
        <w:tc>
          <w:tcPr>
            <w:tcW w:w="718" w:type="dxa"/>
            <w:vAlign w:val="center"/>
          </w:tcPr>
          <w:p w14:paraId="2BC6CC66">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PH值</w:t>
            </w:r>
          </w:p>
        </w:tc>
        <w:tc>
          <w:tcPr>
            <w:tcW w:w="718" w:type="dxa"/>
            <w:vAlign w:val="center"/>
          </w:tcPr>
          <w:p w14:paraId="049C39CD">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悬浮物</w:t>
            </w:r>
          </w:p>
        </w:tc>
        <w:tc>
          <w:tcPr>
            <w:tcW w:w="718" w:type="dxa"/>
            <w:vAlign w:val="center"/>
          </w:tcPr>
          <w:p w14:paraId="786231A7">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溶解氧</w:t>
            </w:r>
          </w:p>
        </w:tc>
        <w:tc>
          <w:tcPr>
            <w:tcW w:w="718" w:type="dxa"/>
            <w:vAlign w:val="center"/>
          </w:tcPr>
          <w:p w14:paraId="6A17DF1B">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化学需氧量</w:t>
            </w:r>
          </w:p>
        </w:tc>
        <w:tc>
          <w:tcPr>
            <w:tcW w:w="718" w:type="dxa"/>
            <w:vAlign w:val="center"/>
          </w:tcPr>
          <w:p w14:paraId="30D7105C">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生化需氧量</w:t>
            </w:r>
          </w:p>
        </w:tc>
        <w:tc>
          <w:tcPr>
            <w:tcW w:w="718" w:type="dxa"/>
            <w:vAlign w:val="center"/>
          </w:tcPr>
          <w:p w14:paraId="459B756F">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活性磷酸盐</w:t>
            </w:r>
          </w:p>
        </w:tc>
        <w:tc>
          <w:tcPr>
            <w:tcW w:w="719" w:type="dxa"/>
            <w:vAlign w:val="center"/>
          </w:tcPr>
          <w:p w14:paraId="77F4FF42">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无机氮</w:t>
            </w:r>
          </w:p>
        </w:tc>
        <w:tc>
          <w:tcPr>
            <w:tcW w:w="719" w:type="dxa"/>
            <w:vAlign w:val="center"/>
          </w:tcPr>
          <w:p w14:paraId="0CF18250">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
                <w:sz w:val="21"/>
              </w:rPr>
            </w:pPr>
            <w:r>
              <w:rPr>
                <w:rFonts w:hint="default"/>
                <w:b/>
                <w:bCs/>
                <w:color w:val="auto"/>
                <w:spacing w:val="1"/>
                <w:sz w:val="21"/>
              </w:rPr>
              <w:t>油类</w:t>
            </w:r>
          </w:p>
        </w:tc>
        <w:tc>
          <w:tcPr>
            <w:tcW w:w="719" w:type="dxa"/>
            <w:vAlign w:val="center"/>
          </w:tcPr>
          <w:p w14:paraId="2820E9F1">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
                <w:sz w:val="21"/>
              </w:rPr>
            </w:pPr>
            <w:r>
              <w:rPr>
                <w:rFonts w:hint="default"/>
                <w:b/>
                <w:bCs/>
                <w:color w:val="auto"/>
                <w:spacing w:val="1"/>
                <w:sz w:val="21"/>
              </w:rPr>
              <w:t>硫化物</w:t>
            </w:r>
          </w:p>
        </w:tc>
        <w:tc>
          <w:tcPr>
            <w:tcW w:w="719" w:type="dxa"/>
            <w:vAlign w:val="center"/>
          </w:tcPr>
          <w:p w14:paraId="11BB82D8">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铜</w:t>
            </w:r>
          </w:p>
        </w:tc>
        <w:tc>
          <w:tcPr>
            <w:tcW w:w="719" w:type="dxa"/>
            <w:vAlign w:val="center"/>
          </w:tcPr>
          <w:p w14:paraId="61974619">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铅</w:t>
            </w:r>
          </w:p>
        </w:tc>
        <w:tc>
          <w:tcPr>
            <w:tcW w:w="719" w:type="dxa"/>
            <w:vAlign w:val="center"/>
          </w:tcPr>
          <w:p w14:paraId="03691EAD">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锌</w:t>
            </w:r>
          </w:p>
        </w:tc>
        <w:tc>
          <w:tcPr>
            <w:tcW w:w="719" w:type="dxa"/>
            <w:vAlign w:val="center"/>
          </w:tcPr>
          <w:p w14:paraId="72CA9468">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镉</w:t>
            </w:r>
          </w:p>
        </w:tc>
        <w:tc>
          <w:tcPr>
            <w:tcW w:w="719" w:type="dxa"/>
            <w:vAlign w:val="center"/>
          </w:tcPr>
          <w:p w14:paraId="60AC5782">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总铬</w:t>
            </w:r>
          </w:p>
        </w:tc>
        <w:tc>
          <w:tcPr>
            <w:tcW w:w="719" w:type="dxa"/>
            <w:vAlign w:val="center"/>
          </w:tcPr>
          <w:p w14:paraId="4EA60EA3">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汞</w:t>
            </w:r>
          </w:p>
        </w:tc>
        <w:tc>
          <w:tcPr>
            <w:tcW w:w="724" w:type="dxa"/>
            <w:vAlign w:val="center"/>
          </w:tcPr>
          <w:p w14:paraId="538C5915">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砷</w:t>
            </w:r>
          </w:p>
        </w:tc>
      </w:tr>
      <w:tr w14:paraId="4590A7C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006" w:type="dxa"/>
            <w:gridSpan w:val="2"/>
            <w:vMerge w:val="continue"/>
            <w:vAlign w:val="center"/>
          </w:tcPr>
          <w:p w14:paraId="6E9B06A9">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p>
        </w:tc>
        <w:tc>
          <w:tcPr>
            <w:tcW w:w="718" w:type="dxa"/>
            <w:vAlign w:val="center"/>
          </w:tcPr>
          <w:p w14:paraId="4C5B6220">
            <w:pPr>
              <w:keepNext w:val="0"/>
              <w:keepLines w:val="0"/>
              <w:suppressLineNumbers w:val="0"/>
              <w:spacing w:before="0" w:beforeAutospacing="0" w:after="0" w:afterAutospacing="0" w:line="240" w:lineRule="auto"/>
              <w:ind w:left="0" w:right="0" w:firstLine="0" w:firstLineChars="0"/>
              <w:jc w:val="center"/>
              <w:rPr>
                <w:rFonts w:hint="default" w:ascii="宋体" w:hAnsi="宋体" w:eastAsia="MS Mincho" w:cs="宋体"/>
                <w:b/>
                <w:bCs/>
                <w:color w:val="auto"/>
                <w:sz w:val="21"/>
                <w:lang w:eastAsia="ja-JP"/>
              </w:rPr>
            </w:pPr>
            <w:r>
              <w:rPr>
                <w:rFonts w:hint="eastAsia" w:ascii="宋体" w:hAnsi="宋体" w:cs="宋体"/>
                <w:b/>
                <w:bCs/>
                <w:color w:val="auto"/>
                <w:sz w:val="21"/>
                <w:lang w:eastAsia="ja-JP"/>
              </w:rPr>
              <w:t>℃</w:t>
            </w:r>
          </w:p>
        </w:tc>
        <w:tc>
          <w:tcPr>
            <w:tcW w:w="718" w:type="dxa"/>
            <w:vAlign w:val="center"/>
          </w:tcPr>
          <w:p w14:paraId="68D052A5">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w:t>
            </w:r>
          </w:p>
        </w:tc>
        <w:tc>
          <w:tcPr>
            <w:tcW w:w="718" w:type="dxa"/>
            <w:vAlign w:val="center"/>
          </w:tcPr>
          <w:p w14:paraId="1AFF68CC">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无量纲</w:t>
            </w:r>
          </w:p>
        </w:tc>
        <w:tc>
          <w:tcPr>
            <w:tcW w:w="718" w:type="dxa"/>
            <w:vAlign w:val="center"/>
          </w:tcPr>
          <w:p w14:paraId="53642051">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mg/L</w:t>
            </w:r>
          </w:p>
        </w:tc>
        <w:tc>
          <w:tcPr>
            <w:tcW w:w="718" w:type="dxa"/>
            <w:vAlign w:val="center"/>
          </w:tcPr>
          <w:p w14:paraId="4338A4D5">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mg/L</w:t>
            </w:r>
          </w:p>
        </w:tc>
        <w:tc>
          <w:tcPr>
            <w:tcW w:w="718" w:type="dxa"/>
            <w:vAlign w:val="center"/>
          </w:tcPr>
          <w:p w14:paraId="6F185E4F">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mg/L</w:t>
            </w:r>
          </w:p>
        </w:tc>
        <w:tc>
          <w:tcPr>
            <w:tcW w:w="718" w:type="dxa"/>
            <w:vAlign w:val="center"/>
          </w:tcPr>
          <w:p w14:paraId="14E70239">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mg</w:t>
            </w:r>
            <w:r>
              <w:rPr>
                <w:rFonts w:hint="default"/>
                <w:b/>
                <w:bCs/>
                <w:color w:val="auto"/>
                <w:spacing w:val="8"/>
                <w:sz w:val="21"/>
              </w:rPr>
              <w:t>/L</w:t>
            </w:r>
          </w:p>
        </w:tc>
        <w:tc>
          <w:tcPr>
            <w:tcW w:w="718" w:type="dxa"/>
            <w:vAlign w:val="center"/>
          </w:tcPr>
          <w:p w14:paraId="7D4D128E">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mg/L</w:t>
            </w:r>
          </w:p>
        </w:tc>
        <w:tc>
          <w:tcPr>
            <w:tcW w:w="719" w:type="dxa"/>
            <w:vAlign w:val="center"/>
          </w:tcPr>
          <w:p w14:paraId="10CDC73A">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mg</w:t>
            </w:r>
            <w:r>
              <w:rPr>
                <w:rFonts w:hint="default"/>
                <w:b/>
                <w:bCs/>
                <w:color w:val="auto"/>
                <w:spacing w:val="8"/>
                <w:sz w:val="21"/>
              </w:rPr>
              <w:t>/L</w:t>
            </w:r>
          </w:p>
        </w:tc>
        <w:tc>
          <w:tcPr>
            <w:tcW w:w="719" w:type="dxa"/>
            <w:vAlign w:val="center"/>
          </w:tcPr>
          <w:p w14:paraId="4160B671">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mg</w:t>
            </w:r>
            <w:r>
              <w:rPr>
                <w:rFonts w:hint="default"/>
                <w:b/>
                <w:bCs/>
                <w:color w:val="auto"/>
                <w:spacing w:val="8"/>
                <w:sz w:val="21"/>
              </w:rPr>
              <w:t>/L</w:t>
            </w:r>
          </w:p>
        </w:tc>
        <w:tc>
          <w:tcPr>
            <w:tcW w:w="719" w:type="dxa"/>
            <w:vAlign w:val="center"/>
          </w:tcPr>
          <w:p w14:paraId="3643D3A2">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mg</w:t>
            </w:r>
            <w:r>
              <w:rPr>
                <w:rFonts w:hint="default"/>
                <w:b/>
                <w:bCs/>
                <w:color w:val="auto"/>
                <w:spacing w:val="8"/>
                <w:sz w:val="21"/>
              </w:rPr>
              <w:t>/L</w:t>
            </w:r>
          </w:p>
        </w:tc>
        <w:tc>
          <w:tcPr>
            <w:tcW w:w="719" w:type="dxa"/>
            <w:vAlign w:val="center"/>
          </w:tcPr>
          <w:p w14:paraId="631ACBBC">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μg</w:t>
            </w:r>
            <w:r>
              <w:rPr>
                <w:rFonts w:hint="default"/>
                <w:b/>
                <w:bCs/>
                <w:color w:val="auto"/>
                <w:spacing w:val="9"/>
                <w:sz w:val="21"/>
              </w:rPr>
              <w:t>/L</w:t>
            </w:r>
          </w:p>
        </w:tc>
        <w:tc>
          <w:tcPr>
            <w:tcW w:w="719" w:type="dxa"/>
            <w:vAlign w:val="center"/>
          </w:tcPr>
          <w:p w14:paraId="1606DBFE">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μg</w:t>
            </w:r>
            <w:r>
              <w:rPr>
                <w:rFonts w:hint="default"/>
                <w:b/>
                <w:bCs/>
                <w:color w:val="auto"/>
                <w:spacing w:val="9"/>
                <w:sz w:val="21"/>
              </w:rPr>
              <w:t>/L</w:t>
            </w:r>
          </w:p>
        </w:tc>
        <w:tc>
          <w:tcPr>
            <w:tcW w:w="719" w:type="dxa"/>
            <w:vAlign w:val="center"/>
          </w:tcPr>
          <w:p w14:paraId="203259F2">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μg</w:t>
            </w:r>
            <w:r>
              <w:rPr>
                <w:rFonts w:hint="default"/>
                <w:b/>
                <w:bCs/>
                <w:color w:val="auto"/>
                <w:spacing w:val="9"/>
                <w:sz w:val="21"/>
              </w:rPr>
              <w:t>/L</w:t>
            </w:r>
          </w:p>
        </w:tc>
        <w:tc>
          <w:tcPr>
            <w:tcW w:w="719" w:type="dxa"/>
            <w:vAlign w:val="center"/>
          </w:tcPr>
          <w:p w14:paraId="46B15502">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μg</w:t>
            </w:r>
            <w:r>
              <w:rPr>
                <w:rFonts w:hint="default"/>
                <w:b/>
                <w:bCs/>
                <w:color w:val="auto"/>
                <w:spacing w:val="9"/>
                <w:sz w:val="21"/>
              </w:rPr>
              <w:t>/L</w:t>
            </w:r>
          </w:p>
        </w:tc>
        <w:tc>
          <w:tcPr>
            <w:tcW w:w="719" w:type="dxa"/>
            <w:vAlign w:val="center"/>
          </w:tcPr>
          <w:p w14:paraId="1C16FB21">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μg</w:t>
            </w:r>
            <w:r>
              <w:rPr>
                <w:rFonts w:hint="default"/>
                <w:b/>
                <w:bCs/>
                <w:color w:val="auto"/>
                <w:spacing w:val="9"/>
                <w:sz w:val="21"/>
              </w:rPr>
              <w:t>/L</w:t>
            </w:r>
          </w:p>
        </w:tc>
        <w:tc>
          <w:tcPr>
            <w:tcW w:w="719" w:type="dxa"/>
            <w:vAlign w:val="center"/>
          </w:tcPr>
          <w:p w14:paraId="38ACECD1">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μg</w:t>
            </w:r>
            <w:r>
              <w:rPr>
                <w:rFonts w:hint="default"/>
                <w:b/>
                <w:bCs/>
                <w:color w:val="auto"/>
                <w:spacing w:val="9"/>
                <w:sz w:val="21"/>
              </w:rPr>
              <w:t>/L</w:t>
            </w:r>
          </w:p>
        </w:tc>
        <w:tc>
          <w:tcPr>
            <w:tcW w:w="724" w:type="dxa"/>
            <w:vAlign w:val="center"/>
          </w:tcPr>
          <w:p w14:paraId="5D05E0DF">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z w:val="21"/>
              </w:rPr>
              <w:t>μg</w:t>
            </w:r>
            <w:r>
              <w:rPr>
                <w:rFonts w:hint="default"/>
                <w:b/>
                <w:bCs/>
                <w:color w:val="auto"/>
                <w:spacing w:val="9"/>
                <w:sz w:val="21"/>
              </w:rPr>
              <w:t>/L</w:t>
            </w:r>
          </w:p>
        </w:tc>
      </w:tr>
      <w:tr w14:paraId="1F15334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006" w:type="dxa"/>
            <w:gridSpan w:val="2"/>
            <w:vAlign w:val="center"/>
          </w:tcPr>
          <w:p w14:paraId="59812BD2">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z w:val="21"/>
              </w:rPr>
              <w:t>S1</w:t>
            </w:r>
          </w:p>
        </w:tc>
        <w:tc>
          <w:tcPr>
            <w:tcW w:w="718" w:type="dxa"/>
            <w:vAlign w:val="center"/>
          </w:tcPr>
          <w:p w14:paraId="4B7B0FC6">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4B18FBC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187F6A11">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6B14DC2D">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1A4F8790">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78105149">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250B63A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40FA69D0">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61BA253B">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3D332C0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6F2C5849">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1343E9A0">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2F665167">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034DB1B1">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56A67B89">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4BDE255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244C5587">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24" w:type="dxa"/>
            <w:vAlign w:val="center"/>
          </w:tcPr>
          <w:p w14:paraId="1F79CF5F">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r>
      <w:tr w14:paraId="53244F9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006" w:type="dxa"/>
            <w:gridSpan w:val="2"/>
            <w:vAlign w:val="center"/>
          </w:tcPr>
          <w:p w14:paraId="0B5BD986">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pacing w:val="2"/>
                <w:sz w:val="21"/>
              </w:rPr>
              <w:t>S2</w:t>
            </w:r>
          </w:p>
        </w:tc>
        <w:tc>
          <w:tcPr>
            <w:tcW w:w="718" w:type="dxa"/>
            <w:vAlign w:val="center"/>
          </w:tcPr>
          <w:p w14:paraId="5DB490C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73238E8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36203952">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0D43DBE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7F58E477">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1041B37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438F07B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6128D53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7689A7D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19F856F8">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672D31BF">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4BDA5B6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12F26C2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792B9178">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1778941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07D70F8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607C6717">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24" w:type="dxa"/>
            <w:vAlign w:val="center"/>
          </w:tcPr>
          <w:p w14:paraId="1F8BD98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r>
      <w:tr w14:paraId="18856C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006" w:type="dxa"/>
            <w:gridSpan w:val="2"/>
            <w:vAlign w:val="center"/>
          </w:tcPr>
          <w:p w14:paraId="330EBF0E">
            <w:pPr>
              <w:keepNext w:val="0"/>
              <w:keepLines w:val="0"/>
              <w:suppressLineNumbers w:val="0"/>
              <w:spacing w:before="0" w:beforeAutospacing="0" w:after="0" w:afterAutospacing="0" w:line="240" w:lineRule="auto"/>
              <w:ind w:left="0" w:right="0" w:firstLine="0" w:firstLineChars="0"/>
              <w:jc w:val="center"/>
              <w:rPr>
                <w:rFonts w:hint="default"/>
                <w:color w:val="auto"/>
                <w:spacing w:val="2"/>
                <w:sz w:val="21"/>
              </w:rPr>
            </w:pPr>
            <w:r>
              <w:rPr>
                <w:rFonts w:hint="default"/>
                <w:color w:val="auto"/>
                <w:spacing w:val="2"/>
                <w:sz w:val="21"/>
              </w:rPr>
              <w:t>S4</w:t>
            </w:r>
          </w:p>
        </w:tc>
        <w:tc>
          <w:tcPr>
            <w:tcW w:w="718" w:type="dxa"/>
            <w:vAlign w:val="center"/>
          </w:tcPr>
          <w:p w14:paraId="57C45C71">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231B4B8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692CF971">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7D6A52D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72FA0149">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7C104A6C">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180409A6">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6DF2D4E2">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17DDC90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3276E7B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16A52CB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59B0D692">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70248F6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459F5A7C">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0D5F13B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13838CE7">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38C12959">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24" w:type="dxa"/>
            <w:vAlign w:val="center"/>
          </w:tcPr>
          <w:p w14:paraId="655C1458">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r>
      <w:tr w14:paraId="2109D6E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006" w:type="dxa"/>
            <w:gridSpan w:val="2"/>
            <w:vAlign w:val="center"/>
          </w:tcPr>
          <w:p w14:paraId="51901B9F">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pacing w:val="7"/>
                <w:sz w:val="21"/>
              </w:rPr>
              <w:t>评价标准（二类）</w:t>
            </w:r>
          </w:p>
        </w:tc>
        <w:tc>
          <w:tcPr>
            <w:tcW w:w="718" w:type="dxa"/>
            <w:vAlign w:val="center"/>
          </w:tcPr>
          <w:p w14:paraId="2080933B">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7F9D0A8F">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46AAFEC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28FC97EC">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7D5CEFB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7165BF3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6765523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350FA222">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33CBB4E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28E74DB2">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4C9C685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275C1180">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121815F2">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410EB277">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6BE158F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3F1FF957">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48AD5C31">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24" w:type="dxa"/>
            <w:vAlign w:val="center"/>
          </w:tcPr>
          <w:p w14:paraId="3DB6989F">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r>
      <w:tr w14:paraId="5DF799E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503" w:type="dxa"/>
            <w:vMerge w:val="restart"/>
            <w:vAlign w:val="center"/>
          </w:tcPr>
          <w:p w14:paraId="1186AFF8">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pacing w:val="6"/>
                <w:sz w:val="21"/>
              </w:rPr>
              <w:t>标准</w:t>
            </w:r>
            <w:r>
              <w:rPr>
                <w:rFonts w:hint="default"/>
                <w:color w:val="auto"/>
                <w:spacing w:val="3"/>
                <w:sz w:val="21"/>
              </w:rPr>
              <w:t>指数</w:t>
            </w:r>
          </w:p>
        </w:tc>
        <w:tc>
          <w:tcPr>
            <w:tcW w:w="503" w:type="dxa"/>
            <w:vAlign w:val="center"/>
          </w:tcPr>
          <w:p w14:paraId="77197237">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eastAsia"/>
                <w:color w:val="auto"/>
                <w:spacing w:val="3"/>
                <w:sz w:val="21"/>
              </w:rPr>
              <w:t>S1</w:t>
            </w:r>
          </w:p>
        </w:tc>
        <w:tc>
          <w:tcPr>
            <w:tcW w:w="718" w:type="dxa"/>
            <w:vAlign w:val="center"/>
          </w:tcPr>
          <w:p w14:paraId="263F9FDE">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8" w:type="dxa"/>
            <w:vAlign w:val="center"/>
          </w:tcPr>
          <w:p w14:paraId="71E4D319">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8" w:type="dxa"/>
            <w:vAlign w:val="center"/>
          </w:tcPr>
          <w:p w14:paraId="728362E9">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8" w:type="dxa"/>
            <w:vAlign w:val="center"/>
          </w:tcPr>
          <w:p w14:paraId="35767629">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8" w:type="dxa"/>
            <w:vAlign w:val="center"/>
          </w:tcPr>
          <w:p w14:paraId="1C9FE3EE">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8" w:type="dxa"/>
            <w:vAlign w:val="center"/>
          </w:tcPr>
          <w:p w14:paraId="3CF7DD8E">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8" w:type="dxa"/>
            <w:vAlign w:val="center"/>
          </w:tcPr>
          <w:p w14:paraId="0BFB5DFE">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8" w:type="dxa"/>
            <w:vAlign w:val="center"/>
          </w:tcPr>
          <w:p w14:paraId="45517EBD">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9" w:type="dxa"/>
            <w:vAlign w:val="center"/>
          </w:tcPr>
          <w:p w14:paraId="6277EB9B">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9" w:type="dxa"/>
            <w:vAlign w:val="center"/>
          </w:tcPr>
          <w:p w14:paraId="2D967612">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003C6570">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280C2573">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75056340">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6ABD787F">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01C48FDC">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6CCF97BA">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72FCAC3C">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24" w:type="dxa"/>
            <w:vAlign w:val="center"/>
          </w:tcPr>
          <w:p w14:paraId="62687FB1">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r>
      <w:tr w14:paraId="541BADB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503" w:type="dxa"/>
            <w:vMerge w:val="continue"/>
            <w:vAlign w:val="center"/>
          </w:tcPr>
          <w:p w14:paraId="7ED8A66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503" w:type="dxa"/>
            <w:vAlign w:val="center"/>
          </w:tcPr>
          <w:p w14:paraId="5875D6E6">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eastAsia"/>
                <w:color w:val="auto"/>
                <w:spacing w:val="3"/>
                <w:sz w:val="21"/>
              </w:rPr>
              <w:t>S2</w:t>
            </w:r>
          </w:p>
        </w:tc>
        <w:tc>
          <w:tcPr>
            <w:tcW w:w="718" w:type="dxa"/>
            <w:vAlign w:val="center"/>
          </w:tcPr>
          <w:p w14:paraId="3BC22905">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8" w:type="dxa"/>
            <w:vAlign w:val="center"/>
          </w:tcPr>
          <w:p w14:paraId="22AC7B23">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8" w:type="dxa"/>
            <w:vAlign w:val="center"/>
          </w:tcPr>
          <w:p w14:paraId="4DFCAAC8">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8" w:type="dxa"/>
            <w:vAlign w:val="center"/>
          </w:tcPr>
          <w:p w14:paraId="713095EB">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8" w:type="dxa"/>
            <w:vAlign w:val="center"/>
          </w:tcPr>
          <w:p w14:paraId="6FF43B59">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8" w:type="dxa"/>
            <w:vAlign w:val="center"/>
          </w:tcPr>
          <w:p w14:paraId="0795C397">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8" w:type="dxa"/>
            <w:vAlign w:val="center"/>
          </w:tcPr>
          <w:p w14:paraId="177D2DE2">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8" w:type="dxa"/>
            <w:vAlign w:val="center"/>
          </w:tcPr>
          <w:p w14:paraId="3855E928">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9" w:type="dxa"/>
            <w:vAlign w:val="center"/>
          </w:tcPr>
          <w:p w14:paraId="52DE63E5">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9" w:type="dxa"/>
            <w:vAlign w:val="center"/>
          </w:tcPr>
          <w:p w14:paraId="38AB2328">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18707CA4">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2E6A6184">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422BD8CC">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2728EDC4">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68364201">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048F1D59">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016591EA">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24" w:type="dxa"/>
            <w:vAlign w:val="center"/>
          </w:tcPr>
          <w:p w14:paraId="309B626D">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r>
      <w:tr w14:paraId="7B240C9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503" w:type="dxa"/>
            <w:vMerge w:val="continue"/>
            <w:vAlign w:val="center"/>
          </w:tcPr>
          <w:p w14:paraId="44E41AB6">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503" w:type="dxa"/>
            <w:vAlign w:val="center"/>
          </w:tcPr>
          <w:p w14:paraId="7DE19660">
            <w:pPr>
              <w:keepNext w:val="0"/>
              <w:keepLines w:val="0"/>
              <w:suppressLineNumbers w:val="0"/>
              <w:spacing w:before="0" w:beforeAutospacing="0" w:after="0" w:afterAutospacing="0" w:line="240" w:lineRule="auto"/>
              <w:ind w:left="0" w:right="0" w:firstLine="0" w:firstLineChars="0"/>
              <w:jc w:val="center"/>
              <w:rPr>
                <w:rFonts w:hint="default"/>
                <w:color w:val="auto"/>
                <w:spacing w:val="3"/>
                <w:sz w:val="21"/>
              </w:rPr>
            </w:pPr>
            <w:r>
              <w:rPr>
                <w:rFonts w:hint="eastAsia"/>
                <w:color w:val="auto"/>
                <w:spacing w:val="3"/>
                <w:sz w:val="21"/>
              </w:rPr>
              <w:t>S4</w:t>
            </w:r>
          </w:p>
        </w:tc>
        <w:tc>
          <w:tcPr>
            <w:tcW w:w="718" w:type="dxa"/>
            <w:vAlign w:val="center"/>
          </w:tcPr>
          <w:p w14:paraId="5252CE0B">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718" w:type="dxa"/>
            <w:vAlign w:val="center"/>
          </w:tcPr>
          <w:p w14:paraId="4DB76EDC">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718" w:type="dxa"/>
            <w:vAlign w:val="center"/>
          </w:tcPr>
          <w:p w14:paraId="1124D939">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718" w:type="dxa"/>
            <w:vAlign w:val="center"/>
          </w:tcPr>
          <w:p w14:paraId="4DAE1761">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718" w:type="dxa"/>
            <w:vAlign w:val="center"/>
          </w:tcPr>
          <w:p w14:paraId="2AC3BC81">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kern w:val="0"/>
                <w:sz w:val="21"/>
                <w:lang w:eastAsia="zh-CN" w:bidi="ar"/>
              </w:rPr>
            </w:pPr>
          </w:p>
        </w:tc>
        <w:tc>
          <w:tcPr>
            <w:tcW w:w="718" w:type="dxa"/>
            <w:vAlign w:val="center"/>
          </w:tcPr>
          <w:p w14:paraId="322379A8">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kern w:val="0"/>
                <w:sz w:val="21"/>
                <w:lang w:eastAsia="zh-CN" w:bidi="ar"/>
              </w:rPr>
            </w:pPr>
          </w:p>
        </w:tc>
        <w:tc>
          <w:tcPr>
            <w:tcW w:w="718" w:type="dxa"/>
            <w:vAlign w:val="center"/>
          </w:tcPr>
          <w:p w14:paraId="15FEDEE0">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kern w:val="0"/>
                <w:sz w:val="21"/>
                <w:lang w:eastAsia="zh-CN" w:bidi="ar"/>
              </w:rPr>
            </w:pPr>
          </w:p>
        </w:tc>
        <w:tc>
          <w:tcPr>
            <w:tcW w:w="718" w:type="dxa"/>
            <w:vAlign w:val="center"/>
          </w:tcPr>
          <w:p w14:paraId="6DB8FDBB">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b/>
                <w:bCs/>
                <w:color w:val="auto"/>
                <w:kern w:val="0"/>
                <w:sz w:val="21"/>
                <w:lang w:eastAsia="zh-CN" w:bidi="ar"/>
              </w:rPr>
            </w:pPr>
          </w:p>
        </w:tc>
        <w:tc>
          <w:tcPr>
            <w:tcW w:w="719" w:type="dxa"/>
            <w:vAlign w:val="center"/>
          </w:tcPr>
          <w:p w14:paraId="6CEADE46">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719" w:type="dxa"/>
            <w:vAlign w:val="center"/>
          </w:tcPr>
          <w:p w14:paraId="095E20A3">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719" w:type="dxa"/>
            <w:vAlign w:val="center"/>
          </w:tcPr>
          <w:p w14:paraId="7B16D4C5">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719" w:type="dxa"/>
            <w:vAlign w:val="center"/>
          </w:tcPr>
          <w:p w14:paraId="35ED7550">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719" w:type="dxa"/>
            <w:vAlign w:val="center"/>
          </w:tcPr>
          <w:p w14:paraId="71BA5FB1">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719" w:type="dxa"/>
            <w:vAlign w:val="center"/>
          </w:tcPr>
          <w:p w14:paraId="15F5FD25">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719" w:type="dxa"/>
            <w:vAlign w:val="center"/>
          </w:tcPr>
          <w:p w14:paraId="18FD2107">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719" w:type="dxa"/>
            <w:vAlign w:val="center"/>
          </w:tcPr>
          <w:p w14:paraId="41E8BFF1">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719" w:type="dxa"/>
            <w:vAlign w:val="center"/>
          </w:tcPr>
          <w:p w14:paraId="19185572">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724" w:type="dxa"/>
            <w:vAlign w:val="center"/>
          </w:tcPr>
          <w:p w14:paraId="5592C889">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kern w:val="0"/>
                <w:sz w:val="21"/>
                <w:lang w:eastAsia="zh-CN" w:bidi="ar"/>
              </w:rPr>
            </w:pPr>
          </w:p>
        </w:tc>
      </w:tr>
      <w:tr w14:paraId="0FB3BAD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006" w:type="dxa"/>
            <w:gridSpan w:val="2"/>
            <w:vAlign w:val="center"/>
          </w:tcPr>
          <w:p w14:paraId="3104722C">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z w:val="21"/>
              </w:rPr>
              <w:t>S3</w:t>
            </w:r>
          </w:p>
        </w:tc>
        <w:tc>
          <w:tcPr>
            <w:tcW w:w="718" w:type="dxa"/>
            <w:vAlign w:val="center"/>
          </w:tcPr>
          <w:p w14:paraId="129CD023">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24E99380">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2FCC659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4F627F17">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10B26D66">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281BA5F1">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47B9D7C1">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3F96F2B6">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1CEA03A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589B588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5AA0806C">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5A6B845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69C157B8">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394F24A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2C3F0433">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0890DBF7">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3853587D">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24" w:type="dxa"/>
            <w:vAlign w:val="center"/>
          </w:tcPr>
          <w:p w14:paraId="7076915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r>
      <w:tr w14:paraId="2F0F250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006" w:type="dxa"/>
            <w:gridSpan w:val="2"/>
            <w:vAlign w:val="center"/>
          </w:tcPr>
          <w:p w14:paraId="7D12742F">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pacing w:val="7"/>
                <w:sz w:val="21"/>
              </w:rPr>
              <w:t>评价标准（四类）</w:t>
            </w:r>
          </w:p>
        </w:tc>
        <w:tc>
          <w:tcPr>
            <w:tcW w:w="718" w:type="dxa"/>
            <w:vAlign w:val="center"/>
          </w:tcPr>
          <w:p w14:paraId="480018DF">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46C70F22">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5D9C694F">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5480F35C">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7204ED5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4211B8B6">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3CE7E812">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27BEDF18">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60816C6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60291066">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2266F67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630B06A7">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390B2E6D">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7D00EBCD">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2763205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20DD8A98">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6E1AB7E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24" w:type="dxa"/>
            <w:vAlign w:val="center"/>
          </w:tcPr>
          <w:p w14:paraId="120D9B6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r>
      <w:tr w14:paraId="06AA3B3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006" w:type="dxa"/>
            <w:gridSpan w:val="2"/>
            <w:vAlign w:val="center"/>
          </w:tcPr>
          <w:p w14:paraId="730BF48C">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pacing w:val="6"/>
                <w:sz w:val="21"/>
              </w:rPr>
              <w:t>标准</w:t>
            </w:r>
            <w:r>
              <w:rPr>
                <w:rFonts w:hint="default"/>
                <w:color w:val="auto"/>
                <w:spacing w:val="3"/>
                <w:sz w:val="21"/>
              </w:rPr>
              <w:t>指数</w:t>
            </w:r>
          </w:p>
        </w:tc>
        <w:tc>
          <w:tcPr>
            <w:tcW w:w="718" w:type="dxa"/>
            <w:vAlign w:val="center"/>
          </w:tcPr>
          <w:p w14:paraId="2CB1A6DB">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8" w:type="dxa"/>
            <w:vAlign w:val="center"/>
          </w:tcPr>
          <w:p w14:paraId="365AED1C">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8" w:type="dxa"/>
            <w:vAlign w:val="center"/>
          </w:tcPr>
          <w:p w14:paraId="594724EF">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8" w:type="dxa"/>
            <w:vAlign w:val="center"/>
          </w:tcPr>
          <w:p w14:paraId="1960D5E5">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8" w:type="dxa"/>
            <w:vAlign w:val="center"/>
          </w:tcPr>
          <w:p w14:paraId="32FA6957">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8" w:type="dxa"/>
            <w:vAlign w:val="center"/>
          </w:tcPr>
          <w:p w14:paraId="4BA7FC75">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8" w:type="dxa"/>
            <w:vAlign w:val="center"/>
          </w:tcPr>
          <w:p w14:paraId="068CE3C8">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8" w:type="dxa"/>
            <w:vAlign w:val="center"/>
          </w:tcPr>
          <w:p w14:paraId="660B29E0">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9" w:type="dxa"/>
            <w:vAlign w:val="center"/>
          </w:tcPr>
          <w:p w14:paraId="55525562">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52A276BA">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3DB1AD83">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645A62AA">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7A87F90F">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4D6AA477">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0F34585A">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662E367B">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15ECF8F5">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24" w:type="dxa"/>
            <w:vAlign w:val="center"/>
          </w:tcPr>
          <w:p w14:paraId="3F17948A">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r>
      <w:tr w14:paraId="5A8045C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006" w:type="dxa"/>
            <w:gridSpan w:val="2"/>
            <w:vAlign w:val="center"/>
          </w:tcPr>
          <w:p w14:paraId="4BAD7E19">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z w:val="21"/>
              </w:rPr>
              <w:t>S5</w:t>
            </w:r>
          </w:p>
        </w:tc>
        <w:tc>
          <w:tcPr>
            <w:tcW w:w="718" w:type="dxa"/>
            <w:vAlign w:val="center"/>
          </w:tcPr>
          <w:p w14:paraId="59CB60D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6A50120B">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1CD1115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1B929B7C">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6263A0F6">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2322F10F">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0E869150">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5B815AC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0C83ED98">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3C3E924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477E47CB">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529511B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3BD53A3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7E278501">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4D267192">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56DFD1C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637F4356">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24" w:type="dxa"/>
            <w:vAlign w:val="center"/>
          </w:tcPr>
          <w:p w14:paraId="2447331B">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r>
      <w:tr w14:paraId="3C3386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006" w:type="dxa"/>
            <w:gridSpan w:val="2"/>
            <w:vAlign w:val="center"/>
          </w:tcPr>
          <w:p w14:paraId="0601111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pacing w:val="7"/>
                <w:sz w:val="21"/>
              </w:rPr>
              <w:t>评价标准（一类）</w:t>
            </w:r>
          </w:p>
        </w:tc>
        <w:tc>
          <w:tcPr>
            <w:tcW w:w="718" w:type="dxa"/>
            <w:vAlign w:val="center"/>
          </w:tcPr>
          <w:p w14:paraId="71F9BBF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14AC719C">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368F2BC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2D8FAE1D">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7C175E2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27850E23">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367C1F4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8" w:type="dxa"/>
            <w:vAlign w:val="center"/>
          </w:tcPr>
          <w:p w14:paraId="52C869A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6D898EAB">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51332B02">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3305D35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018A058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2703D49B">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590004B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70C2C879">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7B91AB36">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19" w:type="dxa"/>
            <w:vAlign w:val="center"/>
          </w:tcPr>
          <w:p w14:paraId="1E622E21">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724" w:type="dxa"/>
            <w:vAlign w:val="center"/>
          </w:tcPr>
          <w:p w14:paraId="3790770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r>
      <w:tr w14:paraId="0AAB560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006" w:type="dxa"/>
            <w:gridSpan w:val="2"/>
            <w:vAlign w:val="center"/>
          </w:tcPr>
          <w:p w14:paraId="1FB47013">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pacing w:val="6"/>
                <w:sz w:val="21"/>
              </w:rPr>
              <w:t>标准</w:t>
            </w:r>
            <w:r>
              <w:rPr>
                <w:rFonts w:hint="default"/>
                <w:color w:val="auto"/>
                <w:spacing w:val="3"/>
                <w:sz w:val="21"/>
              </w:rPr>
              <w:t>指数</w:t>
            </w:r>
          </w:p>
        </w:tc>
        <w:tc>
          <w:tcPr>
            <w:tcW w:w="718" w:type="dxa"/>
            <w:vAlign w:val="center"/>
          </w:tcPr>
          <w:p w14:paraId="683C478A">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8" w:type="dxa"/>
            <w:vAlign w:val="center"/>
          </w:tcPr>
          <w:p w14:paraId="6B9173A3">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8" w:type="dxa"/>
            <w:vAlign w:val="center"/>
          </w:tcPr>
          <w:p w14:paraId="460E33BE">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8" w:type="dxa"/>
            <w:vAlign w:val="center"/>
          </w:tcPr>
          <w:p w14:paraId="29E3DFDC">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8" w:type="dxa"/>
            <w:vAlign w:val="center"/>
          </w:tcPr>
          <w:p w14:paraId="260FBA9D">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718" w:type="dxa"/>
            <w:vAlign w:val="center"/>
          </w:tcPr>
          <w:p w14:paraId="4476DBA5">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8" w:type="dxa"/>
            <w:vAlign w:val="center"/>
          </w:tcPr>
          <w:p w14:paraId="1ED53524">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8" w:type="dxa"/>
            <w:vAlign w:val="center"/>
          </w:tcPr>
          <w:p w14:paraId="746464A4">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b/>
                <w:bCs/>
                <w:color w:val="auto"/>
                <w:sz w:val="21"/>
              </w:rPr>
            </w:pPr>
          </w:p>
        </w:tc>
        <w:tc>
          <w:tcPr>
            <w:tcW w:w="719" w:type="dxa"/>
            <w:vAlign w:val="center"/>
          </w:tcPr>
          <w:p w14:paraId="4A75DB1E">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b/>
                <w:bCs/>
                <w:color w:val="auto"/>
                <w:sz w:val="21"/>
              </w:rPr>
            </w:pPr>
          </w:p>
        </w:tc>
        <w:tc>
          <w:tcPr>
            <w:tcW w:w="719" w:type="dxa"/>
            <w:vAlign w:val="center"/>
          </w:tcPr>
          <w:p w14:paraId="2663EB56">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6248091F">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0092E406">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1E427407">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7669ECB5">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58AAE1FD">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2EAC7D4E">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19" w:type="dxa"/>
            <w:vAlign w:val="center"/>
          </w:tcPr>
          <w:p w14:paraId="2A4FDD5F">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724" w:type="dxa"/>
            <w:vAlign w:val="center"/>
          </w:tcPr>
          <w:p w14:paraId="54EC5CA7">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rPr>
            </w:pPr>
          </w:p>
        </w:tc>
      </w:tr>
    </w:tbl>
    <w:p w14:paraId="6A0FF879">
      <w:pPr>
        <w:pStyle w:val="42"/>
        <w:ind w:left="480" w:firstLine="480"/>
        <w:rPr>
          <w:color w:val="auto"/>
          <w:lang w:val="zh-CN" w:bidi="zh-CN"/>
        </w:rPr>
        <w:sectPr>
          <w:headerReference r:id="rId29" w:type="default"/>
          <w:footerReference r:id="rId30" w:type="default"/>
          <w:pgSz w:w="16838" w:h="11906" w:orient="landscape"/>
          <w:pgMar w:top="1304" w:right="1440" w:bottom="1304" w:left="1440" w:header="851" w:footer="680" w:gutter="0"/>
          <w:cols w:space="720" w:num="1"/>
          <w:docGrid w:type="lines" w:linePitch="312" w:charSpace="0"/>
        </w:sectPr>
      </w:pPr>
    </w:p>
    <w:p w14:paraId="01BC2110">
      <w:pPr>
        <w:pStyle w:val="4"/>
        <w:rPr>
          <w:color w:val="auto"/>
          <w:lang w:val="zh-CN"/>
        </w:rPr>
      </w:pPr>
      <w:bookmarkStart w:id="473" w:name="_Toc216620562"/>
      <w:bookmarkStart w:id="474" w:name="_Toc136878498"/>
      <w:r>
        <w:rPr>
          <w:color w:val="auto"/>
          <w:lang w:val="zh-CN"/>
        </w:rPr>
        <w:t>海洋沉积物</w:t>
      </w:r>
      <w:r>
        <w:rPr>
          <w:rFonts w:hint="eastAsia"/>
          <w:color w:val="auto"/>
          <w:lang w:val="zh-CN"/>
        </w:rPr>
        <w:t>现状</w:t>
      </w:r>
      <w:r>
        <w:rPr>
          <w:color w:val="auto"/>
          <w:lang w:val="zh-CN"/>
        </w:rPr>
        <w:t>调查与评价</w:t>
      </w:r>
      <w:bookmarkEnd w:id="473"/>
      <w:bookmarkEnd w:id="474"/>
    </w:p>
    <w:p w14:paraId="294D13E4">
      <w:pPr>
        <w:ind w:firstLine="480"/>
        <w:rPr>
          <w:color w:val="auto"/>
          <w:lang w:val="zh-CN" w:bidi="zh-CN"/>
        </w:rPr>
      </w:pPr>
      <w:bookmarkStart w:id="475" w:name="8.3.2.1沉积物环境质量现状调查与结果"/>
      <w:bookmarkEnd w:id="475"/>
      <w:r>
        <w:rPr>
          <w:color w:val="auto"/>
          <w:lang w:val="zh-CN" w:bidi="zh-CN"/>
        </w:rPr>
        <w:t>1、监测项目和调查分析方法</w:t>
      </w:r>
    </w:p>
    <w:p w14:paraId="0D00EAB3">
      <w:pPr>
        <w:adjustRightInd w:val="0"/>
        <w:snapToGrid w:val="0"/>
        <w:ind w:firstLine="480"/>
        <w:rPr>
          <w:color w:val="auto"/>
          <w:lang w:val="zh-CN" w:bidi="zh-CN"/>
        </w:rPr>
      </w:pPr>
      <w:r>
        <w:rPr>
          <w:color w:val="auto"/>
          <w:szCs w:val="22"/>
        </w:rPr>
        <w:t>沉积物调查项目包括铜、铅、锌、镉、铬、汞、砷、石油类、硫化物以及有机碳共10项。样品的采集、贮存、运输及分析均按《海洋监测规范》（GB17378－2007）和《海洋调查规范》（GB12763-2007）执行。沉积物调查项目及测定方法、检出限见下表。</w:t>
      </w:r>
    </w:p>
    <w:p w14:paraId="77388979">
      <w:pPr>
        <w:pStyle w:val="14"/>
        <w:rPr>
          <w:color w:val="auto"/>
          <w:lang w:val="zh-CN"/>
        </w:rPr>
      </w:pPr>
      <w:r>
        <w:rPr>
          <w:rFonts w:hint="eastAsia"/>
          <w:color w:val="auto"/>
        </w:rPr>
        <w:t>表</w:t>
      </w:r>
      <w:r>
        <w:rPr>
          <w:color w:val="auto"/>
        </w:rPr>
        <w:t>3.7</w:t>
      </w:r>
      <w:r>
        <w:rPr>
          <w:color w:val="auto"/>
        </w:rPr>
        <w:noBreakHyphen/>
      </w:r>
      <w:r>
        <w:rPr>
          <w:color w:val="auto"/>
        </w:rPr>
        <w:t>3</w:t>
      </w:r>
      <w:r>
        <w:rPr>
          <w:rFonts w:hint="eastAsia"/>
          <w:color w:val="auto"/>
          <w:lang w:val="zh-CN"/>
        </w:rPr>
        <w:t>沉积物调查项目及分析方法、检出限</w:t>
      </w:r>
    </w:p>
    <w:tbl>
      <w:tblPr>
        <w:tblStyle w:val="43"/>
        <w:tblW w:w="8502" w:type="dxa"/>
        <w:tblInd w:w="-5"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212"/>
        <w:gridCol w:w="1499"/>
        <w:gridCol w:w="4083"/>
        <w:gridCol w:w="1708"/>
      </w:tblGrid>
      <w:tr w14:paraId="7A1CC66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5" w:hRule="atLeast"/>
        </w:trPr>
        <w:tc>
          <w:tcPr>
            <w:tcW w:w="1212" w:type="dxa"/>
            <w:vAlign w:val="center"/>
          </w:tcPr>
          <w:p w14:paraId="4EFEECDA">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heme="minorEastAsia"/>
                <w:b/>
                <w:color w:val="auto"/>
                <w:sz w:val="21"/>
                <w:szCs w:val="21"/>
                <w:lang w:val="zh-CN" w:eastAsia="en-US" w:bidi="zh-CN"/>
              </w:rPr>
            </w:pPr>
            <w:r>
              <w:rPr>
                <w:rFonts w:hint="default" w:eastAsiaTheme="minorEastAsia"/>
                <w:b/>
                <w:color w:val="auto"/>
                <w:sz w:val="21"/>
                <w:szCs w:val="21"/>
                <w:lang w:val="zh-CN" w:eastAsia="en-US" w:bidi="zh-CN"/>
              </w:rPr>
              <w:t>序号</w:t>
            </w:r>
          </w:p>
        </w:tc>
        <w:tc>
          <w:tcPr>
            <w:tcW w:w="1499" w:type="dxa"/>
            <w:vAlign w:val="center"/>
          </w:tcPr>
          <w:p w14:paraId="24D157D1">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b/>
                <w:color w:val="auto"/>
                <w:sz w:val="21"/>
                <w:szCs w:val="21"/>
                <w:lang w:val="zh-CN" w:eastAsia="en-US" w:bidi="zh-CN"/>
              </w:rPr>
            </w:pPr>
            <w:r>
              <w:rPr>
                <w:rFonts w:hint="default"/>
                <w:b/>
                <w:color w:val="auto"/>
                <w:sz w:val="21"/>
                <w:szCs w:val="21"/>
                <w:lang w:val="zh-CN" w:eastAsia="en-US" w:bidi="zh-CN"/>
              </w:rPr>
              <w:t>项目</w:t>
            </w:r>
          </w:p>
        </w:tc>
        <w:tc>
          <w:tcPr>
            <w:tcW w:w="4083" w:type="dxa"/>
            <w:vAlign w:val="center"/>
          </w:tcPr>
          <w:p w14:paraId="0E22A0A1">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b/>
                <w:color w:val="auto"/>
                <w:sz w:val="21"/>
                <w:szCs w:val="21"/>
                <w:lang w:val="zh-CN" w:eastAsia="en-US" w:bidi="zh-CN"/>
              </w:rPr>
            </w:pPr>
            <w:r>
              <w:rPr>
                <w:rFonts w:hint="default"/>
                <w:b/>
                <w:color w:val="auto"/>
                <w:sz w:val="21"/>
                <w:szCs w:val="21"/>
                <w:lang w:val="zh-CN" w:eastAsia="en-US" w:bidi="zh-CN"/>
              </w:rPr>
              <w:t>分析方法</w:t>
            </w:r>
          </w:p>
        </w:tc>
        <w:tc>
          <w:tcPr>
            <w:tcW w:w="1708" w:type="dxa"/>
            <w:vAlign w:val="center"/>
          </w:tcPr>
          <w:p w14:paraId="617900B3">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b/>
                <w:color w:val="auto"/>
                <w:sz w:val="21"/>
                <w:szCs w:val="21"/>
                <w:lang w:val="zh-CN" w:eastAsia="en-US" w:bidi="zh-CN"/>
              </w:rPr>
            </w:pPr>
            <w:r>
              <w:rPr>
                <w:rFonts w:hint="default"/>
                <w:b/>
                <w:color w:val="auto"/>
                <w:sz w:val="21"/>
                <w:szCs w:val="21"/>
                <w:lang w:val="zh-CN" w:eastAsia="en-US" w:bidi="zh-CN"/>
              </w:rPr>
              <w:t>检出限</w:t>
            </w:r>
          </w:p>
        </w:tc>
      </w:tr>
      <w:tr w14:paraId="494275D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24" w:hRule="atLeast"/>
        </w:trPr>
        <w:tc>
          <w:tcPr>
            <w:tcW w:w="1212" w:type="dxa"/>
            <w:vAlign w:val="center"/>
          </w:tcPr>
          <w:p w14:paraId="3CF4C638">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heme="minorEastAsia"/>
                <w:color w:val="auto"/>
                <w:sz w:val="21"/>
                <w:szCs w:val="21"/>
                <w:lang w:val="zh-CN" w:eastAsia="en-US" w:bidi="zh-CN"/>
              </w:rPr>
            </w:pPr>
            <w:r>
              <w:rPr>
                <w:rFonts w:hint="default" w:eastAsiaTheme="minorEastAsia"/>
                <w:color w:val="auto"/>
                <w:sz w:val="21"/>
                <w:szCs w:val="21"/>
                <w:lang w:val="zh-CN" w:eastAsia="en-US" w:bidi="zh-CN"/>
              </w:rPr>
              <w:t>1</w:t>
            </w:r>
          </w:p>
        </w:tc>
        <w:tc>
          <w:tcPr>
            <w:tcW w:w="1499" w:type="dxa"/>
            <w:vAlign w:val="center"/>
          </w:tcPr>
          <w:p w14:paraId="156539F9">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color w:val="auto"/>
                <w:sz w:val="21"/>
                <w:szCs w:val="21"/>
                <w:lang w:val="zh-CN" w:eastAsia="en-US" w:bidi="zh-CN"/>
              </w:rPr>
              <w:t>铜</w:t>
            </w:r>
          </w:p>
        </w:tc>
        <w:tc>
          <w:tcPr>
            <w:tcW w:w="4083" w:type="dxa"/>
            <w:vAlign w:val="center"/>
          </w:tcPr>
          <w:p w14:paraId="676DC0F3">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bidi="zh-CN"/>
              </w:rPr>
            </w:pPr>
            <w:r>
              <w:rPr>
                <w:rFonts w:hint="default"/>
                <w:color w:val="auto"/>
                <w:sz w:val="21"/>
                <w:szCs w:val="21"/>
                <w:lang w:val="zh-CN" w:bidi="zh-CN"/>
              </w:rPr>
              <w:t>火焰原子吸收分光光度法</w:t>
            </w:r>
          </w:p>
        </w:tc>
        <w:tc>
          <w:tcPr>
            <w:tcW w:w="1708" w:type="dxa"/>
            <w:vAlign w:val="center"/>
          </w:tcPr>
          <w:p w14:paraId="78900CA8">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eastAsia="Times New Roman"/>
                <w:color w:val="auto"/>
                <w:sz w:val="21"/>
                <w:szCs w:val="21"/>
                <w:lang w:val="zh-CN" w:eastAsia="en-US" w:bidi="zh-CN"/>
              </w:rPr>
              <w:t>0.5×10</w:t>
            </w:r>
            <w:r>
              <w:rPr>
                <w:rFonts w:hint="default" w:eastAsia="Times New Roman"/>
                <w:color w:val="auto"/>
                <w:sz w:val="21"/>
                <w:szCs w:val="21"/>
                <w:vertAlign w:val="superscript"/>
                <w:lang w:val="zh-CN" w:eastAsia="en-US" w:bidi="zh-CN"/>
              </w:rPr>
              <w:t>-6</w:t>
            </w:r>
          </w:p>
        </w:tc>
      </w:tr>
      <w:tr w14:paraId="501240A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1" w:hRule="atLeast"/>
        </w:trPr>
        <w:tc>
          <w:tcPr>
            <w:tcW w:w="1212" w:type="dxa"/>
            <w:vAlign w:val="center"/>
          </w:tcPr>
          <w:p w14:paraId="15AF15F8">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heme="minorEastAsia"/>
                <w:color w:val="auto"/>
                <w:sz w:val="21"/>
                <w:szCs w:val="21"/>
                <w:lang w:val="zh-CN" w:eastAsia="en-US" w:bidi="zh-CN"/>
              </w:rPr>
            </w:pPr>
            <w:r>
              <w:rPr>
                <w:rFonts w:hint="default" w:eastAsiaTheme="minorEastAsia"/>
                <w:color w:val="auto"/>
                <w:sz w:val="21"/>
                <w:szCs w:val="21"/>
                <w:lang w:val="zh-CN" w:eastAsia="en-US" w:bidi="zh-CN"/>
              </w:rPr>
              <w:t>2</w:t>
            </w:r>
          </w:p>
        </w:tc>
        <w:tc>
          <w:tcPr>
            <w:tcW w:w="1499" w:type="dxa"/>
            <w:vAlign w:val="center"/>
          </w:tcPr>
          <w:p w14:paraId="78EA774C">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color w:val="auto"/>
                <w:sz w:val="21"/>
                <w:szCs w:val="21"/>
                <w:lang w:val="zh-CN" w:eastAsia="en-US" w:bidi="zh-CN"/>
              </w:rPr>
              <w:t>铅</w:t>
            </w:r>
          </w:p>
        </w:tc>
        <w:tc>
          <w:tcPr>
            <w:tcW w:w="4083" w:type="dxa"/>
            <w:vAlign w:val="center"/>
          </w:tcPr>
          <w:p w14:paraId="55EFA541">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bidi="zh-CN"/>
              </w:rPr>
            </w:pPr>
            <w:r>
              <w:rPr>
                <w:rFonts w:hint="default"/>
                <w:color w:val="auto"/>
                <w:sz w:val="21"/>
                <w:szCs w:val="21"/>
                <w:lang w:val="zh-CN" w:bidi="zh-CN"/>
              </w:rPr>
              <w:t>火焰原子吸收分光光度法</w:t>
            </w:r>
          </w:p>
        </w:tc>
        <w:tc>
          <w:tcPr>
            <w:tcW w:w="1708" w:type="dxa"/>
            <w:vAlign w:val="center"/>
          </w:tcPr>
          <w:p w14:paraId="65A3982F">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eastAsia="Times New Roman"/>
                <w:color w:val="auto"/>
                <w:sz w:val="21"/>
                <w:szCs w:val="21"/>
                <w:lang w:val="zh-CN" w:eastAsia="en-US" w:bidi="zh-CN"/>
              </w:rPr>
              <w:t>1×10</w:t>
            </w:r>
            <w:r>
              <w:rPr>
                <w:rFonts w:hint="default" w:eastAsia="Times New Roman"/>
                <w:color w:val="auto"/>
                <w:sz w:val="21"/>
                <w:szCs w:val="21"/>
                <w:vertAlign w:val="superscript"/>
                <w:lang w:val="zh-CN" w:eastAsia="en-US" w:bidi="zh-CN"/>
              </w:rPr>
              <w:t>-6</w:t>
            </w:r>
          </w:p>
        </w:tc>
      </w:tr>
      <w:tr w14:paraId="42F33C0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6" w:hRule="atLeast"/>
        </w:trPr>
        <w:tc>
          <w:tcPr>
            <w:tcW w:w="1212" w:type="dxa"/>
            <w:vAlign w:val="center"/>
          </w:tcPr>
          <w:p w14:paraId="674730FD">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heme="minorEastAsia"/>
                <w:color w:val="auto"/>
                <w:sz w:val="21"/>
                <w:szCs w:val="21"/>
                <w:lang w:val="zh-CN" w:eastAsia="en-US" w:bidi="zh-CN"/>
              </w:rPr>
            </w:pPr>
            <w:r>
              <w:rPr>
                <w:rFonts w:hint="default" w:eastAsiaTheme="minorEastAsia"/>
                <w:color w:val="auto"/>
                <w:sz w:val="21"/>
                <w:szCs w:val="21"/>
                <w:lang w:val="zh-CN" w:eastAsia="en-US" w:bidi="zh-CN"/>
              </w:rPr>
              <w:t>3</w:t>
            </w:r>
          </w:p>
        </w:tc>
        <w:tc>
          <w:tcPr>
            <w:tcW w:w="1499" w:type="dxa"/>
            <w:vAlign w:val="center"/>
          </w:tcPr>
          <w:p w14:paraId="312F5073">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color w:val="auto"/>
                <w:sz w:val="21"/>
                <w:szCs w:val="21"/>
                <w:lang w:val="zh-CN" w:eastAsia="en-US" w:bidi="zh-CN"/>
              </w:rPr>
              <w:t>锌</w:t>
            </w:r>
          </w:p>
        </w:tc>
        <w:tc>
          <w:tcPr>
            <w:tcW w:w="4083" w:type="dxa"/>
            <w:vAlign w:val="center"/>
          </w:tcPr>
          <w:p w14:paraId="7F2E0CE3">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bidi="zh-CN"/>
              </w:rPr>
            </w:pPr>
            <w:r>
              <w:rPr>
                <w:rFonts w:hint="default"/>
                <w:color w:val="auto"/>
                <w:sz w:val="21"/>
                <w:szCs w:val="21"/>
                <w:lang w:val="zh-CN" w:bidi="zh-CN"/>
              </w:rPr>
              <w:t>火焰原子吸收分光光度法</w:t>
            </w:r>
          </w:p>
        </w:tc>
        <w:tc>
          <w:tcPr>
            <w:tcW w:w="1708" w:type="dxa"/>
            <w:vAlign w:val="center"/>
          </w:tcPr>
          <w:p w14:paraId="24B15AC0">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eastAsia="Times New Roman"/>
                <w:color w:val="auto"/>
                <w:sz w:val="21"/>
                <w:szCs w:val="21"/>
                <w:lang w:val="zh-CN" w:eastAsia="en-US" w:bidi="zh-CN"/>
              </w:rPr>
              <w:t>6×10</w:t>
            </w:r>
            <w:r>
              <w:rPr>
                <w:rFonts w:hint="default" w:eastAsia="Times New Roman"/>
                <w:color w:val="auto"/>
                <w:sz w:val="21"/>
                <w:szCs w:val="21"/>
                <w:vertAlign w:val="superscript"/>
                <w:lang w:val="zh-CN" w:eastAsia="en-US" w:bidi="zh-CN"/>
              </w:rPr>
              <w:t>-6</w:t>
            </w:r>
          </w:p>
        </w:tc>
      </w:tr>
      <w:tr w14:paraId="61201CB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7" w:hRule="atLeast"/>
        </w:trPr>
        <w:tc>
          <w:tcPr>
            <w:tcW w:w="1212" w:type="dxa"/>
            <w:vAlign w:val="center"/>
          </w:tcPr>
          <w:p w14:paraId="085204C7">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heme="minorEastAsia"/>
                <w:color w:val="auto"/>
                <w:sz w:val="21"/>
                <w:szCs w:val="21"/>
                <w:lang w:val="zh-CN" w:eastAsia="en-US" w:bidi="zh-CN"/>
              </w:rPr>
            </w:pPr>
            <w:r>
              <w:rPr>
                <w:rFonts w:hint="default" w:eastAsiaTheme="minorEastAsia"/>
                <w:color w:val="auto"/>
                <w:sz w:val="21"/>
                <w:szCs w:val="21"/>
                <w:lang w:val="zh-CN" w:eastAsia="en-US" w:bidi="zh-CN"/>
              </w:rPr>
              <w:t>4</w:t>
            </w:r>
          </w:p>
        </w:tc>
        <w:tc>
          <w:tcPr>
            <w:tcW w:w="1499" w:type="dxa"/>
            <w:vAlign w:val="center"/>
          </w:tcPr>
          <w:p w14:paraId="4D8DF6EC">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color w:val="auto"/>
                <w:sz w:val="21"/>
                <w:szCs w:val="21"/>
                <w:lang w:val="zh-CN" w:eastAsia="en-US" w:bidi="zh-CN"/>
              </w:rPr>
              <w:t>镉</w:t>
            </w:r>
          </w:p>
        </w:tc>
        <w:tc>
          <w:tcPr>
            <w:tcW w:w="4083" w:type="dxa"/>
            <w:vAlign w:val="center"/>
          </w:tcPr>
          <w:p w14:paraId="5A469127">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bidi="zh-CN"/>
              </w:rPr>
            </w:pPr>
            <w:r>
              <w:rPr>
                <w:rFonts w:hint="default"/>
                <w:color w:val="auto"/>
                <w:sz w:val="21"/>
                <w:szCs w:val="21"/>
                <w:lang w:val="zh-CN" w:bidi="zh-CN"/>
              </w:rPr>
              <w:t>火焰原子吸收分光光度法</w:t>
            </w:r>
          </w:p>
        </w:tc>
        <w:tc>
          <w:tcPr>
            <w:tcW w:w="1708" w:type="dxa"/>
            <w:vAlign w:val="center"/>
          </w:tcPr>
          <w:p w14:paraId="603B61B4">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eastAsia="Times New Roman"/>
                <w:color w:val="auto"/>
                <w:sz w:val="21"/>
                <w:szCs w:val="21"/>
                <w:lang w:val="zh-CN" w:eastAsia="en-US" w:bidi="zh-CN"/>
              </w:rPr>
              <w:t>0.04×10</w:t>
            </w:r>
            <w:r>
              <w:rPr>
                <w:rFonts w:hint="default" w:eastAsia="Times New Roman"/>
                <w:color w:val="auto"/>
                <w:sz w:val="21"/>
                <w:szCs w:val="21"/>
                <w:vertAlign w:val="superscript"/>
                <w:lang w:val="zh-CN" w:eastAsia="en-US" w:bidi="zh-CN"/>
              </w:rPr>
              <w:t>-6</w:t>
            </w:r>
          </w:p>
        </w:tc>
      </w:tr>
      <w:tr w14:paraId="11C8D4E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0" w:hRule="atLeast"/>
        </w:trPr>
        <w:tc>
          <w:tcPr>
            <w:tcW w:w="1212" w:type="dxa"/>
            <w:vAlign w:val="center"/>
          </w:tcPr>
          <w:p w14:paraId="27FB8383">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heme="minorEastAsia"/>
                <w:color w:val="auto"/>
                <w:sz w:val="21"/>
                <w:szCs w:val="21"/>
                <w:lang w:val="zh-CN" w:eastAsia="en-US" w:bidi="zh-CN"/>
              </w:rPr>
            </w:pPr>
            <w:r>
              <w:rPr>
                <w:rFonts w:hint="default" w:eastAsiaTheme="minorEastAsia"/>
                <w:color w:val="auto"/>
                <w:sz w:val="21"/>
                <w:szCs w:val="21"/>
                <w:lang w:val="zh-CN" w:eastAsia="en-US" w:bidi="zh-CN"/>
              </w:rPr>
              <w:t>5</w:t>
            </w:r>
          </w:p>
        </w:tc>
        <w:tc>
          <w:tcPr>
            <w:tcW w:w="1499" w:type="dxa"/>
            <w:vAlign w:val="center"/>
          </w:tcPr>
          <w:p w14:paraId="76F0EDF0">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color w:val="auto"/>
                <w:sz w:val="21"/>
                <w:szCs w:val="21"/>
                <w:lang w:val="zh-CN" w:eastAsia="en-US" w:bidi="zh-CN"/>
              </w:rPr>
              <w:t>铬</w:t>
            </w:r>
          </w:p>
        </w:tc>
        <w:tc>
          <w:tcPr>
            <w:tcW w:w="4083" w:type="dxa"/>
            <w:vAlign w:val="center"/>
          </w:tcPr>
          <w:p w14:paraId="13E4F69E">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bidi="zh-CN"/>
              </w:rPr>
            </w:pPr>
            <w:r>
              <w:rPr>
                <w:rFonts w:hint="default"/>
                <w:color w:val="auto"/>
                <w:sz w:val="21"/>
                <w:szCs w:val="21"/>
              </w:rPr>
              <w:t>二苯碳酰二肼分光光度法</w:t>
            </w:r>
          </w:p>
        </w:tc>
        <w:tc>
          <w:tcPr>
            <w:tcW w:w="1708" w:type="dxa"/>
            <w:vAlign w:val="center"/>
          </w:tcPr>
          <w:p w14:paraId="51D5CA90">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eastAsia="Times New Roman"/>
                <w:color w:val="auto"/>
                <w:sz w:val="21"/>
                <w:szCs w:val="21"/>
                <w:lang w:val="zh-CN" w:eastAsia="en-US" w:bidi="zh-CN"/>
              </w:rPr>
              <w:t>2×10</w:t>
            </w:r>
            <w:r>
              <w:rPr>
                <w:rFonts w:hint="default" w:eastAsia="Times New Roman"/>
                <w:color w:val="auto"/>
                <w:sz w:val="21"/>
                <w:szCs w:val="21"/>
                <w:vertAlign w:val="superscript"/>
                <w:lang w:val="zh-CN" w:eastAsia="en-US" w:bidi="zh-CN"/>
              </w:rPr>
              <w:t>-6</w:t>
            </w:r>
          </w:p>
        </w:tc>
      </w:tr>
      <w:tr w14:paraId="7FCDC43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5" w:hRule="atLeast"/>
        </w:trPr>
        <w:tc>
          <w:tcPr>
            <w:tcW w:w="1212" w:type="dxa"/>
            <w:vAlign w:val="center"/>
          </w:tcPr>
          <w:p w14:paraId="609B51B1">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heme="minorEastAsia"/>
                <w:color w:val="auto"/>
                <w:sz w:val="21"/>
                <w:szCs w:val="21"/>
                <w:lang w:val="zh-CN" w:eastAsia="en-US" w:bidi="zh-CN"/>
              </w:rPr>
            </w:pPr>
            <w:r>
              <w:rPr>
                <w:rFonts w:hint="default" w:eastAsiaTheme="minorEastAsia"/>
                <w:color w:val="auto"/>
                <w:sz w:val="21"/>
                <w:szCs w:val="21"/>
                <w:lang w:val="zh-CN" w:eastAsia="en-US" w:bidi="zh-CN"/>
              </w:rPr>
              <w:t>6</w:t>
            </w:r>
          </w:p>
        </w:tc>
        <w:tc>
          <w:tcPr>
            <w:tcW w:w="1499" w:type="dxa"/>
            <w:vAlign w:val="center"/>
          </w:tcPr>
          <w:p w14:paraId="4199D59B">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color w:val="auto"/>
                <w:sz w:val="21"/>
                <w:szCs w:val="21"/>
                <w:lang w:val="zh-CN" w:eastAsia="en-US" w:bidi="zh-CN"/>
              </w:rPr>
              <w:t>汞</w:t>
            </w:r>
          </w:p>
        </w:tc>
        <w:tc>
          <w:tcPr>
            <w:tcW w:w="4083" w:type="dxa"/>
            <w:vAlign w:val="center"/>
          </w:tcPr>
          <w:p w14:paraId="45A48123">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color w:val="auto"/>
                <w:sz w:val="21"/>
                <w:szCs w:val="21"/>
                <w:lang w:val="zh-CN" w:eastAsia="en-US" w:bidi="zh-CN"/>
              </w:rPr>
              <w:t>原子荧光法</w:t>
            </w:r>
          </w:p>
        </w:tc>
        <w:tc>
          <w:tcPr>
            <w:tcW w:w="1708" w:type="dxa"/>
            <w:vAlign w:val="center"/>
          </w:tcPr>
          <w:p w14:paraId="52FAEFC9">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eastAsia="Times New Roman"/>
                <w:color w:val="auto"/>
                <w:sz w:val="21"/>
                <w:szCs w:val="21"/>
                <w:lang w:val="zh-CN" w:eastAsia="en-US" w:bidi="zh-CN"/>
              </w:rPr>
              <w:t>0.002×10</w:t>
            </w:r>
            <w:r>
              <w:rPr>
                <w:rFonts w:hint="default" w:eastAsia="Times New Roman"/>
                <w:color w:val="auto"/>
                <w:sz w:val="21"/>
                <w:szCs w:val="21"/>
                <w:vertAlign w:val="superscript"/>
                <w:lang w:val="zh-CN" w:eastAsia="en-US" w:bidi="zh-CN"/>
              </w:rPr>
              <w:t>-6</w:t>
            </w:r>
          </w:p>
        </w:tc>
      </w:tr>
      <w:tr w14:paraId="6360973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5" w:hRule="atLeast"/>
        </w:trPr>
        <w:tc>
          <w:tcPr>
            <w:tcW w:w="1212" w:type="dxa"/>
            <w:vAlign w:val="center"/>
          </w:tcPr>
          <w:p w14:paraId="13ED55CA">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heme="minorEastAsia"/>
                <w:color w:val="auto"/>
                <w:sz w:val="21"/>
                <w:szCs w:val="21"/>
                <w:lang w:val="zh-CN" w:eastAsia="en-US" w:bidi="zh-CN"/>
              </w:rPr>
            </w:pPr>
            <w:r>
              <w:rPr>
                <w:rFonts w:hint="default" w:eastAsiaTheme="minorEastAsia"/>
                <w:color w:val="auto"/>
                <w:sz w:val="21"/>
                <w:szCs w:val="21"/>
                <w:lang w:val="zh-CN" w:eastAsia="en-US" w:bidi="zh-CN"/>
              </w:rPr>
              <w:t>7</w:t>
            </w:r>
          </w:p>
        </w:tc>
        <w:tc>
          <w:tcPr>
            <w:tcW w:w="1499" w:type="dxa"/>
            <w:vAlign w:val="center"/>
          </w:tcPr>
          <w:p w14:paraId="1300D7C3">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color w:val="auto"/>
                <w:sz w:val="21"/>
                <w:szCs w:val="21"/>
                <w:lang w:val="zh-CN" w:eastAsia="en-US" w:bidi="zh-CN"/>
              </w:rPr>
              <w:t>砷</w:t>
            </w:r>
          </w:p>
        </w:tc>
        <w:tc>
          <w:tcPr>
            <w:tcW w:w="4083" w:type="dxa"/>
            <w:vAlign w:val="center"/>
          </w:tcPr>
          <w:p w14:paraId="22622238">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color w:val="auto"/>
                <w:sz w:val="21"/>
                <w:szCs w:val="21"/>
                <w:lang w:val="zh-CN" w:eastAsia="en-US" w:bidi="zh-CN"/>
              </w:rPr>
              <w:t>原子荧光法</w:t>
            </w:r>
          </w:p>
        </w:tc>
        <w:tc>
          <w:tcPr>
            <w:tcW w:w="1708" w:type="dxa"/>
            <w:vAlign w:val="center"/>
          </w:tcPr>
          <w:p w14:paraId="29C771AC">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eastAsia="Times New Roman"/>
                <w:color w:val="auto"/>
                <w:sz w:val="21"/>
                <w:szCs w:val="21"/>
                <w:lang w:val="zh-CN" w:eastAsia="en-US" w:bidi="zh-CN"/>
              </w:rPr>
              <w:t>0.06×10</w:t>
            </w:r>
            <w:r>
              <w:rPr>
                <w:rFonts w:hint="default" w:eastAsia="Times New Roman"/>
                <w:color w:val="auto"/>
                <w:sz w:val="21"/>
                <w:szCs w:val="21"/>
                <w:vertAlign w:val="superscript"/>
                <w:lang w:val="zh-CN" w:eastAsia="en-US" w:bidi="zh-CN"/>
              </w:rPr>
              <w:t>-6</w:t>
            </w:r>
          </w:p>
        </w:tc>
      </w:tr>
      <w:tr w14:paraId="50B8457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9" w:hRule="atLeast"/>
        </w:trPr>
        <w:tc>
          <w:tcPr>
            <w:tcW w:w="1212" w:type="dxa"/>
            <w:vAlign w:val="center"/>
          </w:tcPr>
          <w:p w14:paraId="0B9620FB">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heme="minorEastAsia"/>
                <w:color w:val="auto"/>
                <w:sz w:val="21"/>
                <w:szCs w:val="21"/>
                <w:lang w:val="zh-CN" w:eastAsia="en-US" w:bidi="zh-CN"/>
              </w:rPr>
            </w:pPr>
            <w:r>
              <w:rPr>
                <w:rFonts w:hint="default" w:eastAsiaTheme="minorEastAsia"/>
                <w:color w:val="auto"/>
                <w:sz w:val="21"/>
                <w:szCs w:val="21"/>
                <w:lang w:val="zh-CN" w:eastAsia="en-US" w:bidi="zh-CN"/>
              </w:rPr>
              <w:t>8</w:t>
            </w:r>
          </w:p>
        </w:tc>
        <w:tc>
          <w:tcPr>
            <w:tcW w:w="1499" w:type="dxa"/>
            <w:vAlign w:val="center"/>
          </w:tcPr>
          <w:p w14:paraId="197BE44D">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color w:val="auto"/>
                <w:sz w:val="21"/>
                <w:szCs w:val="21"/>
                <w:lang w:val="zh-CN" w:eastAsia="en-US" w:bidi="zh-CN"/>
              </w:rPr>
              <w:t>石油类</w:t>
            </w:r>
          </w:p>
        </w:tc>
        <w:tc>
          <w:tcPr>
            <w:tcW w:w="4083" w:type="dxa"/>
            <w:vAlign w:val="center"/>
          </w:tcPr>
          <w:p w14:paraId="40F20A68">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color w:val="auto"/>
                <w:sz w:val="21"/>
                <w:szCs w:val="21"/>
                <w:lang w:val="zh-CN" w:eastAsia="en-US" w:bidi="zh-CN"/>
              </w:rPr>
              <w:t>紫外分光光度法</w:t>
            </w:r>
          </w:p>
        </w:tc>
        <w:tc>
          <w:tcPr>
            <w:tcW w:w="1708" w:type="dxa"/>
            <w:vAlign w:val="center"/>
          </w:tcPr>
          <w:p w14:paraId="2086069C">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eastAsia="Times New Roman"/>
                <w:color w:val="auto"/>
                <w:sz w:val="21"/>
                <w:szCs w:val="21"/>
                <w:lang w:val="zh-CN" w:eastAsia="en-US" w:bidi="zh-CN"/>
              </w:rPr>
              <w:t>3×10</w:t>
            </w:r>
            <w:r>
              <w:rPr>
                <w:rFonts w:hint="default" w:eastAsia="Times New Roman"/>
                <w:color w:val="auto"/>
                <w:sz w:val="21"/>
                <w:szCs w:val="21"/>
                <w:vertAlign w:val="superscript"/>
                <w:lang w:val="zh-CN" w:eastAsia="en-US" w:bidi="zh-CN"/>
              </w:rPr>
              <w:t>-6</w:t>
            </w:r>
          </w:p>
        </w:tc>
      </w:tr>
      <w:tr w14:paraId="75EC9A1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7" w:hRule="atLeast"/>
        </w:trPr>
        <w:tc>
          <w:tcPr>
            <w:tcW w:w="1212" w:type="dxa"/>
            <w:vAlign w:val="center"/>
          </w:tcPr>
          <w:p w14:paraId="484CF7C9">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heme="minorEastAsia"/>
                <w:color w:val="auto"/>
                <w:sz w:val="21"/>
                <w:szCs w:val="21"/>
                <w:lang w:val="zh-CN" w:eastAsia="en-US" w:bidi="zh-CN"/>
              </w:rPr>
            </w:pPr>
            <w:r>
              <w:rPr>
                <w:rFonts w:hint="default" w:eastAsiaTheme="minorEastAsia"/>
                <w:color w:val="auto"/>
                <w:sz w:val="21"/>
                <w:szCs w:val="21"/>
                <w:lang w:val="zh-CN" w:eastAsia="en-US" w:bidi="zh-CN"/>
              </w:rPr>
              <w:t>9</w:t>
            </w:r>
          </w:p>
        </w:tc>
        <w:tc>
          <w:tcPr>
            <w:tcW w:w="1499" w:type="dxa"/>
            <w:vAlign w:val="center"/>
          </w:tcPr>
          <w:p w14:paraId="4BCABDE6">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color w:val="auto"/>
                <w:sz w:val="21"/>
                <w:szCs w:val="21"/>
                <w:lang w:val="zh-CN" w:eastAsia="en-US" w:bidi="zh-CN"/>
              </w:rPr>
              <w:t>有机碳</w:t>
            </w:r>
          </w:p>
        </w:tc>
        <w:tc>
          <w:tcPr>
            <w:tcW w:w="4083" w:type="dxa"/>
            <w:vAlign w:val="center"/>
          </w:tcPr>
          <w:p w14:paraId="3BE3FF44">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bidi="zh-CN"/>
              </w:rPr>
            </w:pPr>
            <w:r>
              <w:rPr>
                <w:rFonts w:hint="default"/>
                <w:color w:val="auto"/>
                <w:sz w:val="21"/>
                <w:szCs w:val="21"/>
                <w:lang w:val="zh-CN" w:bidi="zh-CN"/>
              </w:rPr>
              <w:t>重铬酸钾氧化－还原容量法</w:t>
            </w:r>
          </w:p>
        </w:tc>
        <w:tc>
          <w:tcPr>
            <w:tcW w:w="1708" w:type="dxa"/>
            <w:vAlign w:val="center"/>
          </w:tcPr>
          <w:p w14:paraId="34C49DF5">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eastAsia="Times New Roman"/>
                <w:color w:val="auto"/>
                <w:sz w:val="21"/>
                <w:szCs w:val="21"/>
                <w:lang w:val="zh-CN" w:eastAsia="en-US" w:bidi="zh-CN"/>
              </w:rPr>
              <w:t>0.03×10</w:t>
            </w:r>
            <w:r>
              <w:rPr>
                <w:rFonts w:hint="default" w:eastAsia="Times New Roman"/>
                <w:color w:val="auto"/>
                <w:sz w:val="21"/>
                <w:szCs w:val="21"/>
                <w:vertAlign w:val="superscript"/>
                <w:lang w:val="zh-CN" w:eastAsia="en-US" w:bidi="zh-CN"/>
              </w:rPr>
              <w:t>-2</w:t>
            </w:r>
          </w:p>
        </w:tc>
      </w:tr>
      <w:tr w14:paraId="0FB01AF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7" w:hRule="atLeast"/>
        </w:trPr>
        <w:tc>
          <w:tcPr>
            <w:tcW w:w="1212" w:type="dxa"/>
            <w:vAlign w:val="center"/>
          </w:tcPr>
          <w:p w14:paraId="10DF64C1">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heme="minorEastAsia"/>
                <w:color w:val="auto"/>
                <w:sz w:val="21"/>
                <w:szCs w:val="21"/>
                <w:lang w:val="zh-CN" w:eastAsia="en-US" w:bidi="zh-CN"/>
              </w:rPr>
            </w:pPr>
            <w:r>
              <w:rPr>
                <w:rFonts w:hint="default" w:eastAsiaTheme="minorEastAsia"/>
                <w:color w:val="auto"/>
                <w:sz w:val="21"/>
                <w:szCs w:val="21"/>
                <w:lang w:val="zh-CN" w:eastAsia="en-US" w:bidi="zh-CN"/>
              </w:rPr>
              <w:t>10</w:t>
            </w:r>
          </w:p>
        </w:tc>
        <w:tc>
          <w:tcPr>
            <w:tcW w:w="1499" w:type="dxa"/>
            <w:vAlign w:val="center"/>
          </w:tcPr>
          <w:p w14:paraId="65290D36">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color w:val="auto"/>
                <w:sz w:val="21"/>
                <w:szCs w:val="21"/>
                <w:lang w:val="zh-CN" w:eastAsia="en-US" w:bidi="zh-CN"/>
              </w:rPr>
              <w:t>硫化物</w:t>
            </w:r>
          </w:p>
        </w:tc>
        <w:tc>
          <w:tcPr>
            <w:tcW w:w="4083" w:type="dxa"/>
            <w:vAlign w:val="center"/>
          </w:tcPr>
          <w:p w14:paraId="72ECCD4C">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color w:val="auto"/>
                <w:sz w:val="21"/>
                <w:szCs w:val="21"/>
                <w:lang w:val="zh-CN" w:eastAsia="en-US" w:bidi="zh-CN"/>
              </w:rPr>
              <w:t>亚甲基蓝分光光度法</w:t>
            </w:r>
          </w:p>
        </w:tc>
        <w:tc>
          <w:tcPr>
            <w:tcW w:w="1708" w:type="dxa"/>
            <w:vAlign w:val="center"/>
          </w:tcPr>
          <w:p w14:paraId="018CC00B">
            <w:pPr>
              <w:keepNext w:val="0"/>
              <w:keepLines w:val="0"/>
              <w:widowControl/>
              <w:suppressLineNumbers w:val="0"/>
              <w:adjustRightInd w:val="0"/>
              <w:snapToGrid w:val="0"/>
              <w:spacing w:before="0" w:beforeAutospacing="0" w:after="0" w:afterAutospacing="0" w:line="0" w:lineRule="atLeast"/>
              <w:ind w:left="0" w:right="0" w:firstLine="0" w:firstLineChars="0"/>
              <w:jc w:val="center"/>
              <w:rPr>
                <w:rFonts w:hint="default" w:eastAsia="Times New Roman"/>
                <w:color w:val="auto"/>
                <w:sz w:val="21"/>
                <w:szCs w:val="21"/>
                <w:lang w:val="zh-CN" w:eastAsia="en-US" w:bidi="zh-CN"/>
              </w:rPr>
            </w:pPr>
            <w:r>
              <w:rPr>
                <w:rFonts w:hint="default" w:eastAsia="Times New Roman"/>
                <w:color w:val="auto"/>
                <w:sz w:val="21"/>
                <w:szCs w:val="21"/>
                <w:lang w:val="zh-CN" w:eastAsia="en-US" w:bidi="zh-CN"/>
              </w:rPr>
              <w:t>0.3×10</w:t>
            </w:r>
            <w:r>
              <w:rPr>
                <w:rFonts w:hint="default" w:eastAsia="Times New Roman"/>
                <w:color w:val="auto"/>
                <w:sz w:val="21"/>
                <w:szCs w:val="21"/>
                <w:vertAlign w:val="superscript"/>
                <w:lang w:val="zh-CN" w:eastAsia="en-US" w:bidi="zh-CN"/>
              </w:rPr>
              <w:t>-6</w:t>
            </w:r>
          </w:p>
        </w:tc>
      </w:tr>
    </w:tbl>
    <w:p w14:paraId="7207860A">
      <w:pPr>
        <w:ind w:firstLine="480"/>
        <w:rPr>
          <w:color w:val="auto"/>
          <w:lang w:val="zh-CN" w:bidi="zh-CN"/>
        </w:rPr>
      </w:pPr>
      <w:bookmarkStart w:id="476" w:name="8.3.2.2沉积物质量现状调查结果"/>
      <w:bookmarkEnd w:id="476"/>
      <w:r>
        <w:rPr>
          <w:color w:val="auto"/>
          <w:lang w:val="zh-CN" w:bidi="zh-CN"/>
        </w:rPr>
        <w:t>2、评价方法和标准</w:t>
      </w:r>
    </w:p>
    <w:p w14:paraId="25AE3332">
      <w:pPr>
        <w:pStyle w:val="81"/>
        <w:rPr>
          <w:color w:val="auto"/>
        </w:rPr>
      </w:pPr>
      <w:r>
        <w:rPr>
          <w:color w:val="auto"/>
          <w:szCs w:val="22"/>
          <w:lang w:val="zh-CN" w:bidi="zh-CN"/>
        </w:rPr>
        <w:t>评价方法为单项指数超标分类法。</w:t>
      </w:r>
      <w:r>
        <w:rPr>
          <w:rFonts w:hint="eastAsia"/>
          <w:color w:val="auto"/>
        </w:rPr>
        <w:t>根据《广西壮族自治区海洋功能区划》（2011-2020），S1、S2、S3点位位于港口航运区，执行《海洋沉积物质量》（GB18668-2002）第三类标准；S4点位位于农渔业区，S5点位位于茅尾海红树林自然保护区（七十二泾片区），执行《海洋沉积物质量》（GB18668-2002）第一类标准。</w:t>
      </w:r>
    </w:p>
    <w:p w14:paraId="26EEC348">
      <w:pPr>
        <w:pStyle w:val="81"/>
        <w:rPr>
          <w:color w:val="auto"/>
          <w:lang w:val="zh-CN" w:bidi="zh-CN"/>
        </w:rPr>
      </w:pPr>
      <w:r>
        <w:rPr>
          <w:color w:val="auto"/>
          <w:lang w:val="zh-CN" w:bidi="zh-CN"/>
        </w:rPr>
        <w:t>3、沉积物质量现状调查结果</w:t>
      </w:r>
    </w:p>
    <w:p w14:paraId="30C66AE3">
      <w:pPr>
        <w:pStyle w:val="81"/>
        <w:rPr>
          <w:color w:val="auto"/>
          <w:szCs w:val="22"/>
          <w:lang w:val="zh-CN" w:bidi="zh-CN"/>
        </w:rPr>
      </w:pPr>
      <w:r>
        <w:rPr>
          <w:color w:val="auto"/>
          <w:szCs w:val="22"/>
          <w:lang w:val="zh-CN" w:bidi="zh-CN"/>
        </w:rPr>
        <w:t>沉积物质量现状调查结果见如下表：</w:t>
      </w:r>
    </w:p>
    <w:p w14:paraId="46FF561D">
      <w:pPr>
        <w:pStyle w:val="14"/>
        <w:rPr>
          <w:color w:val="auto"/>
          <w:lang w:val="zh-CN"/>
        </w:rPr>
      </w:pPr>
      <w:r>
        <w:rPr>
          <w:rFonts w:hint="eastAsia"/>
          <w:color w:val="auto"/>
        </w:rPr>
        <w:t>表</w:t>
      </w:r>
      <w:r>
        <w:rPr>
          <w:color w:val="auto"/>
        </w:rPr>
        <w:t>3.7</w:t>
      </w:r>
      <w:r>
        <w:rPr>
          <w:color w:val="auto"/>
        </w:rPr>
        <w:noBreakHyphen/>
      </w:r>
      <w:r>
        <w:rPr>
          <w:color w:val="auto"/>
        </w:rPr>
        <w:t>4</w:t>
      </w:r>
      <w:r>
        <w:rPr>
          <w:rFonts w:hint="eastAsia"/>
          <w:color w:val="auto"/>
          <w:lang w:val="zh-CN"/>
        </w:rPr>
        <w:t>沉积物质量现状调查结果表</w:t>
      </w:r>
    </w:p>
    <w:tbl>
      <w:tblPr>
        <w:tblStyle w:val="43"/>
        <w:tblW w:w="509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28" w:type="dxa"/>
          <w:bottom w:w="0" w:type="dxa"/>
          <w:right w:w="28" w:type="dxa"/>
        </w:tblCellMar>
      </w:tblPr>
      <w:tblGrid>
        <w:gridCol w:w="587"/>
        <w:gridCol w:w="587"/>
        <w:gridCol w:w="780"/>
        <w:gridCol w:w="847"/>
        <w:gridCol w:w="847"/>
        <w:gridCol w:w="847"/>
        <w:gridCol w:w="847"/>
        <w:gridCol w:w="847"/>
        <w:gridCol w:w="847"/>
        <w:gridCol w:w="847"/>
        <w:gridCol w:w="847"/>
        <w:gridCol w:w="850"/>
      </w:tblGrid>
      <w:tr w14:paraId="5C14661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tblHeader/>
          <w:jc w:val="center"/>
        </w:trPr>
        <w:tc>
          <w:tcPr>
            <w:tcW w:w="1174" w:type="dxa"/>
            <w:gridSpan w:val="2"/>
            <w:vAlign w:val="center"/>
          </w:tcPr>
          <w:p w14:paraId="4C977398">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bookmarkStart w:id="477" w:name="8.3.2.3沉积物质量现状评价"/>
            <w:bookmarkEnd w:id="477"/>
            <w:r>
              <w:rPr>
                <w:rFonts w:hint="default"/>
                <w:b/>
                <w:bCs/>
                <w:color w:val="auto"/>
                <w:spacing w:val="7"/>
                <w:sz w:val="21"/>
              </w:rPr>
              <w:t>监测站位</w:t>
            </w:r>
          </w:p>
        </w:tc>
        <w:tc>
          <w:tcPr>
            <w:tcW w:w="780" w:type="dxa"/>
            <w:vAlign w:val="center"/>
          </w:tcPr>
          <w:p w14:paraId="693A7EFC">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8"/>
                <w:sz w:val="21"/>
              </w:rPr>
            </w:pPr>
            <w:r>
              <w:rPr>
                <w:rFonts w:hint="default"/>
                <w:b/>
                <w:bCs/>
                <w:color w:val="auto"/>
                <w:spacing w:val="-8"/>
                <w:sz w:val="21"/>
              </w:rPr>
              <w:t>有机碳</w:t>
            </w:r>
          </w:p>
          <w:p w14:paraId="0426718D">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rPr>
            </w:pPr>
            <w:r>
              <w:rPr>
                <w:rFonts w:hint="default"/>
                <w:b/>
                <w:bCs/>
                <w:color w:val="auto"/>
                <w:spacing w:val="-8"/>
                <w:sz w:val="21"/>
              </w:rPr>
              <w:t>（%）</w:t>
            </w:r>
          </w:p>
        </w:tc>
        <w:tc>
          <w:tcPr>
            <w:tcW w:w="847" w:type="dxa"/>
            <w:vAlign w:val="center"/>
          </w:tcPr>
          <w:p w14:paraId="51DEE631">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硫化物</w:t>
            </w:r>
          </w:p>
          <w:p w14:paraId="6F31D9F0">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（×10</w:t>
            </w:r>
            <w:r>
              <w:rPr>
                <w:rFonts w:hint="default"/>
                <w:b/>
                <w:bCs/>
                <w:color w:val="auto"/>
                <w:spacing w:val="-10"/>
                <w:sz w:val="21"/>
                <w:vertAlign w:val="superscript"/>
              </w:rPr>
              <w:t>-6</w:t>
            </w:r>
            <w:r>
              <w:rPr>
                <w:rFonts w:hint="default"/>
                <w:b/>
                <w:bCs/>
                <w:color w:val="auto"/>
                <w:spacing w:val="-10"/>
                <w:sz w:val="21"/>
              </w:rPr>
              <w:t>）</w:t>
            </w:r>
          </w:p>
        </w:tc>
        <w:tc>
          <w:tcPr>
            <w:tcW w:w="847" w:type="dxa"/>
            <w:vAlign w:val="center"/>
          </w:tcPr>
          <w:p w14:paraId="6682BADB">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油类</w:t>
            </w:r>
          </w:p>
          <w:p w14:paraId="40474856">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（×10</w:t>
            </w:r>
            <w:r>
              <w:rPr>
                <w:rFonts w:hint="default"/>
                <w:b/>
                <w:bCs/>
                <w:color w:val="auto"/>
                <w:spacing w:val="-10"/>
                <w:sz w:val="21"/>
                <w:vertAlign w:val="superscript"/>
              </w:rPr>
              <w:t>-6</w:t>
            </w:r>
            <w:r>
              <w:rPr>
                <w:rFonts w:hint="default"/>
                <w:b/>
                <w:bCs/>
                <w:color w:val="auto"/>
                <w:spacing w:val="-10"/>
                <w:sz w:val="21"/>
              </w:rPr>
              <w:t>）</w:t>
            </w:r>
          </w:p>
        </w:tc>
        <w:tc>
          <w:tcPr>
            <w:tcW w:w="847" w:type="dxa"/>
            <w:vAlign w:val="center"/>
          </w:tcPr>
          <w:p w14:paraId="09AEF0D9">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汞</w:t>
            </w:r>
          </w:p>
          <w:p w14:paraId="175A7400">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（×10</w:t>
            </w:r>
            <w:r>
              <w:rPr>
                <w:rFonts w:hint="default"/>
                <w:b/>
                <w:bCs/>
                <w:color w:val="auto"/>
                <w:spacing w:val="-10"/>
                <w:sz w:val="21"/>
                <w:vertAlign w:val="superscript"/>
              </w:rPr>
              <w:t>-6</w:t>
            </w:r>
            <w:r>
              <w:rPr>
                <w:rFonts w:hint="default"/>
                <w:b/>
                <w:bCs/>
                <w:color w:val="auto"/>
                <w:spacing w:val="-10"/>
                <w:sz w:val="21"/>
              </w:rPr>
              <w:t>）</w:t>
            </w:r>
          </w:p>
        </w:tc>
        <w:tc>
          <w:tcPr>
            <w:tcW w:w="847" w:type="dxa"/>
            <w:vAlign w:val="center"/>
          </w:tcPr>
          <w:p w14:paraId="0420DC33">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砷</w:t>
            </w:r>
          </w:p>
          <w:p w14:paraId="7BAC4CD7">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（×10</w:t>
            </w:r>
            <w:r>
              <w:rPr>
                <w:rFonts w:hint="default"/>
                <w:b/>
                <w:bCs/>
                <w:color w:val="auto"/>
                <w:spacing w:val="-10"/>
                <w:sz w:val="21"/>
                <w:vertAlign w:val="superscript"/>
              </w:rPr>
              <w:t>-6</w:t>
            </w:r>
            <w:r>
              <w:rPr>
                <w:rFonts w:hint="default"/>
                <w:b/>
                <w:bCs/>
                <w:color w:val="auto"/>
                <w:spacing w:val="-10"/>
                <w:sz w:val="21"/>
              </w:rPr>
              <w:t>）</w:t>
            </w:r>
          </w:p>
        </w:tc>
        <w:tc>
          <w:tcPr>
            <w:tcW w:w="847" w:type="dxa"/>
            <w:vAlign w:val="center"/>
          </w:tcPr>
          <w:p w14:paraId="1C0CDCC7">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铜</w:t>
            </w:r>
          </w:p>
          <w:p w14:paraId="347E7DC2">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（×10</w:t>
            </w:r>
            <w:r>
              <w:rPr>
                <w:rFonts w:hint="default"/>
                <w:b/>
                <w:bCs/>
                <w:color w:val="auto"/>
                <w:spacing w:val="-10"/>
                <w:sz w:val="21"/>
                <w:vertAlign w:val="superscript"/>
              </w:rPr>
              <w:t>-6</w:t>
            </w:r>
            <w:r>
              <w:rPr>
                <w:rFonts w:hint="default"/>
                <w:b/>
                <w:bCs/>
                <w:color w:val="auto"/>
                <w:spacing w:val="-10"/>
                <w:sz w:val="21"/>
              </w:rPr>
              <w:t>）</w:t>
            </w:r>
          </w:p>
        </w:tc>
        <w:tc>
          <w:tcPr>
            <w:tcW w:w="847" w:type="dxa"/>
            <w:vAlign w:val="center"/>
          </w:tcPr>
          <w:p w14:paraId="73AB4F8B">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铅</w:t>
            </w:r>
          </w:p>
          <w:p w14:paraId="0E17800F">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（×10</w:t>
            </w:r>
            <w:r>
              <w:rPr>
                <w:rFonts w:hint="default"/>
                <w:b/>
                <w:bCs/>
                <w:color w:val="auto"/>
                <w:spacing w:val="-10"/>
                <w:sz w:val="21"/>
                <w:vertAlign w:val="superscript"/>
              </w:rPr>
              <w:t>-6</w:t>
            </w:r>
            <w:r>
              <w:rPr>
                <w:rFonts w:hint="default"/>
                <w:b/>
                <w:bCs/>
                <w:color w:val="auto"/>
                <w:spacing w:val="-10"/>
                <w:sz w:val="21"/>
              </w:rPr>
              <w:t>）</w:t>
            </w:r>
          </w:p>
        </w:tc>
        <w:tc>
          <w:tcPr>
            <w:tcW w:w="847" w:type="dxa"/>
            <w:vAlign w:val="center"/>
          </w:tcPr>
          <w:p w14:paraId="36987CF7">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锌</w:t>
            </w:r>
          </w:p>
          <w:p w14:paraId="12FEEE71">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（×10</w:t>
            </w:r>
            <w:r>
              <w:rPr>
                <w:rFonts w:hint="default"/>
                <w:b/>
                <w:bCs/>
                <w:color w:val="auto"/>
                <w:spacing w:val="-10"/>
                <w:sz w:val="21"/>
                <w:vertAlign w:val="superscript"/>
              </w:rPr>
              <w:t>-6</w:t>
            </w:r>
            <w:r>
              <w:rPr>
                <w:rFonts w:hint="default"/>
                <w:b/>
                <w:bCs/>
                <w:color w:val="auto"/>
                <w:spacing w:val="-10"/>
                <w:sz w:val="21"/>
              </w:rPr>
              <w:t>）</w:t>
            </w:r>
          </w:p>
        </w:tc>
        <w:tc>
          <w:tcPr>
            <w:tcW w:w="847" w:type="dxa"/>
            <w:vAlign w:val="center"/>
          </w:tcPr>
          <w:p w14:paraId="590E2F4E">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镉</w:t>
            </w:r>
          </w:p>
          <w:p w14:paraId="10399D67">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（×10</w:t>
            </w:r>
            <w:r>
              <w:rPr>
                <w:rFonts w:hint="default"/>
                <w:b/>
                <w:bCs/>
                <w:color w:val="auto"/>
                <w:spacing w:val="-10"/>
                <w:sz w:val="21"/>
                <w:vertAlign w:val="superscript"/>
              </w:rPr>
              <w:t>-6</w:t>
            </w:r>
            <w:r>
              <w:rPr>
                <w:rFonts w:hint="default"/>
                <w:b/>
                <w:bCs/>
                <w:color w:val="auto"/>
                <w:spacing w:val="-10"/>
                <w:sz w:val="21"/>
              </w:rPr>
              <w:t>）</w:t>
            </w:r>
          </w:p>
        </w:tc>
        <w:tc>
          <w:tcPr>
            <w:tcW w:w="850" w:type="dxa"/>
            <w:vAlign w:val="center"/>
          </w:tcPr>
          <w:p w14:paraId="0D5838A3">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铬</w:t>
            </w:r>
          </w:p>
          <w:p w14:paraId="0C816BE2">
            <w:pPr>
              <w:keepNext w:val="0"/>
              <w:keepLines w:val="0"/>
              <w:suppressLineNumbers w:val="0"/>
              <w:spacing w:before="0" w:beforeAutospacing="0" w:after="0" w:afterAutospacing="0" w:line="240" w:lineRule="auto"/>
              <w:ind w:left="0" w:right="0" w:firstLine="0" w:firstLineChars="0"/>
              <w:jc w:val="center"/>
              <w:rPr>
                <w:rFonts w:hint="default"/>
                <w:b/>
                <w:bCs/>
                <w:color w:val="auto"/>
                <w:spacing w:val="-10"/>
                <w:sz w:val="21"/>
              </w:rPr>
            </w:pPr>
            <w:r>
              <w:rPr>
                <w:rFonts w:hint="default"/>
                <w:b/>
                <w:bCs/>
                <w:color w:val="auto"/>
                <w:spacing w:val="-10"/>
                <w:sz w:val="21"/>
              </w:rPr>
              <w:t>（×10</w:t>
            </w:r>
            <w:r>
              <w:rPr>
                <w:rFonts w:hint="default"/>
                <w:b/>
                <w:bCs/>
                <w:color w:val="auto"/>
                <w:spacing w:val="-10"/>
                <w:sz w:val="21"/>
                <w:vertAlign w:val="superscript"/>
              </w:rPr>
              <w:t>-6</w:t>
            </w:r>
            <w:r>
              <w:rPr>
                <w:rFonts w:hint="default"/>
                <w:b/>
                <w:bCs/>
                <w:color w:val="auto"/>
                <w:spacing w:val="-10"/>
                <w:sz w:val="21"/>
              </w:rPr>
              <w:t>）</w:t>
            </w:r>
          </w:p>
        </w:tc>
      </w:tr>
      <w:tr w14:paraId="414BB13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174" w:type="dxa"/>
            <w:gridSpan w:val="2"/>
            <w:vAlign w:val="center"/>
          </w:tcPr>
          <w:p w14:paraId="159D418C">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z w:val="21"/>
              </w:rPr>
              <w:t>S1</w:t>
            </w:r>
          </w:p>
        </w:tc>
        <w:tc>
          <w:tcPr>
            <w:tcW w:w="780" w:type="dxa"/>
            <w:vAlign w:val="center"/>
          </w:tcPr>
          <w:p w14:paraId="4CE84C62">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06C7321B">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22D9FBD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1FA0471F">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62D53113">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27C88450">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5288C5C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64195A62">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3BAD46A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50" w:type="dxa"/>
            <w:vAlign w:val="center"/>
          </w:tcPr>
          <w:p w14:paraId="017D5C54">
            <w:pPr>
              <w:keepNext w:val="0"/>
              <w:keepLines w:val="0"/>
              <w:suppressLineNumbers w:val="0"/>
              <w:spacing w:before="0" w:beforeAutospacing="0" w:after="0" w:afterAutospacing="0" w:line="240" w:lineRule="auto"/>
              <w:ind w:left="0" w:right="0" w:firstLine="0" w:firstLineChars="0"/>
              <w:jc w:val="center"/>
              <w:rPr>
                <w:rFonts w:hint="default"/>
                <w:color w:val="auto"/>
                <w:spacing w:val="2"/>
                <w:sz w:val="21"/>
              </w:rPr>
            </w:pPr>
          </w:p>
        </w:tc>
      </w:tr>
      <w:tr w14:paraId="11E384A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174" w:type="dxa"/>
            <w:gridSpan w:val="2"/>
            <w:vAlign w:val="center"/>
          </w:tcPr>
          <w:p w14:paraId="0FD9AB3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z w:val="21"/>
              </w:rPr>
              <w:t>S2</w:t>
            </w:r>
          </w:p>
        </w:tc>
        <w:tc>
          <w:tcPr>
            <w:tcW w:w="780" w:type="dxa"/>
            <w:vAlign w:val="center"/>
          </w:tcPr>
          <w:p w14:paraId="2C8A89C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59D3F8CC">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33FC86B9">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79C92E29">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35FCDB9F">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40823F00">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5FB7AD7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2487104B">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6C88C118">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50" w:type="dxa"/>
            <w:vAlign w:val="center"/>
          </w:tcPr>
          <w:p w14:paraId="5564AA3B">
            <w:pPr>
              <w:keepNext w:val="0"/>
              <w:keepLines w:val="0"/>
              <w:suppressLineNumbers w:val="0"/>
              <w:spacing w:before="0" w:beforeAutospacing="0" w:after="0" w:afterAutospacing="0" w:line="240" w:lineRule="auto"/>
              <w:ind w:left="0" w:right="0" w:firstLine="0" w:firstLineChars="0"/>
              <w:jc w:val="center"/>
              <w:rPr>
                <w:rFonts w:hint="default"/>
                <w:color w:val="auto"/>
                <w:spacing w:val="2"/>
                <w:sz w:val="21"/>
              </w:rPr>
            </w:pPr>
          </w:p>
        </w:tc>
      </w:tr>
      <w:tr w14:paraId="7A0E91B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174" w:type="dxa"/>
            <w:gridSpan w:val="2"/>
            <w:vAlign w:val="center"/>
          </w:tcPr>
          <w:p w14:paraId="6064F819">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z w:val="21"/>
              </w:rPr>
              <w:t>S3</w:t>
            </w:r>
          </w:p>
        </w:tc>
        <w:tc>
          <w:tcPr>
            <w:tcW w:w="780" w:type="dxa"/>
            <w:vAlign w:val="center"/>
          </w:tcPr>
          <w:p w14:paraId="1C8EB379">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2987DB03">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5BE9C27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31D5B71B">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6EDE4DE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615FF24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38DF948B">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74527C26">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1B71ADF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50" w:type="dxa"/>
            <w:vAlign w:val="center"/>
          </w:tcPr>
          <w:p w14:paraId="732C0025">
            <w:pPr>
              <w:keepNext w:val="0"/>
              <w:keepLines w:val="0"/>
              <w:suppressLineNumbers w:val="0"/>
              <w:spacing w:before="0" w:beforeAutospacing="0" w:after="0" w:afterAutospacing="0" w:line="240" w:lineRule="auto"/>
              <w:ind w:left="0" w:right="0" w:firstLine="0" w:firstLineChars="0"/>
              <w:jc w:val="center"/>
              <w:rPr>
                <w:rFonts w:hint="default"/>
                <w:color w:val="auto"/>
                <w:spacing w:val="2"/>
                <w:sz w:val="21"/>
              </w:rPr>
            </w:pPr>
          </w:p>
        </w:tc>
      </w:tr>
      <w:tr w14:paraId="6505A8E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174" w:type="dxa"/>
            <w:gridSpan w:val="2"/>
            <w:vAlign w:val="center"/>
          </w:tcPr>
          <w:p w14:paraId="1BF8E02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pacing w:val="6"/>
                <w:sz w:val="21"/>
              </w:rPr>
              <w:t>标准值（第三类）</w:t>
            </w:r>
          </w:p>
        </w:tc>
        <w:tc>
          <w:tcPr>
            <w:tcW w:w="780" w:type="dxa"/>
            <w:vAlign w:val="center"/>
          </w:tcPr>
          <w:p w14:paraId="35BB83A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75B61E1D">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66AE422F">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462DE47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69A23F1B">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105BF083">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3226952D">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0D35B30C">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602282B6">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50" w:type="dxa"/>
            <w:vAlign w:val="center"/>
          </w:tcPr>
          <w:p w14:paraId="26FD7887">
            <w:pPr>
              <w:keepNext w:val="0"/>
              <w:keepLines w:val="0"/>
              <w:suppressLineNumbers w:val="0"/>
              <w:spacing w:before="0" w:beforeAutospacing="0" w:after="0" w:afterAutospacing="0" w:line="240" w:lineRule="auto"/>
              <w:ind w:left="0" w:right="0" w:firstLine="0" w:firstLineChars="0"/>
              <w:jc w:val="center"/>
              <w:rPr>
                <w:rFonts w:hint="default"/>
                <w:color w:val="auto"/>
                <w:spacing w:val="2"/>
                <w:sz w:val="21"/>
              </w:rPr>
            </w:pPr>
          </w:p>
        </w:tc>
      </w:tr>
      <w:tr w14:paraId="1975D78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587" w:type="dxa"/>
            <w:vMerge w:val="restart"/>
            <w:vAlign w:val="center"/>
          </w:tcPr>
          <w:p w14:paraId="252DD2A1">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pacing w:val="7"/>
                <w:sz w:val="21"/>
              </w:rPr>
              <w:t>标准指数</w:t>
            </w:r>
          </w:p>
        </w:tc>
        <w:tc>
          <w:tcPr>
            <w:tcW w:w="587" w:type="dxa"/>
            <w:vAlign w:val="center"/>
          </w:tcPr>
          <w:p w14:paraId="69F6381D">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eastAsia"/>
                <w:color w:val="auto"/>
                <w:sz w:val="21"/>
              </w:rPr>
              <w:t>S1</w:t>
            </w:r>
          </w:p>
        </w:tc>
        <w:tc>
          <w:tcPr>
            <w:tcW w:w="780" w:type="dxa"/>
            <w:vAlign w:val="center"/>
          </w:tcPr>
          <w:p w14:paraId="25D39145">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847" w:type="dxa"/>
            <w:vAlign w:val="center"/>
          </w:tcPr>
          <w:p w14:paraId="4078CAA6">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847" w:type="dxa"/>
            <w:vAlign w:val="center"/>
          </w:tcPr>
          <w:p w14:paraId="75032030">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847" w:type="dxa"/>
            <w:vAlign w:val="center"/>
          </w:tcPr>
          <w:p w14:paraId="13F6C222">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847" w:type="dxa"/>
            <w:vAlign w:val="center"/>
          </w:tcPr>
          <w:p w14:paraId="7C824D04">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847" w:type="dxa"/>
            <w:vAlign w:val="center"/>
          </w:tcPr>
          <w:p w14:paraId="2DD19B46">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847" w:type="dxa"/>
            <w:vAlign w:val="center"/>
          </w:tcPr>
          <w:p w14:paraId="5D3E99FB">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847" w:type="dxa"/>
            <w:vAlign w:val="center"/>
          </w:tcPr>
          <w:p w14:paraId="45A60BF3">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847" w:type="dxa"/>
            <w:vAlign w:val="center"/>
          </w:tcPr>
          <w:p w14:paraId="0E2533FC">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850" w:type="dxa"/>
            <w:vAlign w:val="center"/>
          </w:tcPr>
          <w:p w14:paraId="444801B2">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spacing w:val="2"/>
                <w:sz w:val="21"/>
                <w:lang w:eastAsia="zh-CN"/>
              </w:rPr>
            </w:pPr>
          </w:p>
        </w:tc>
      </w:tr>
      <w:tr w14:paraId="312A239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587" w:type="dxa"/>
            <w:vMerge w:val="continue"/>
            <w:vAlign w:val="center"/>
          </w:tcPr>
          <w:p w14:paraId="58D9B23A">
            <w:pPr>
              <w:keepNext w:val="0"/>
              <w:keepLines w:val="0"/>
              <w:suppressLineNumbers w:val="0"/>
              <w:spacing w:before="0" w:beforeAutospacing="0" w:after="0" w:afterAutospacing="0" w:line="240" w:lineRule="auto"/>
              <w:ind w:left="0" w:right="0" w:firstLine="0" w:firstLineChars="0"/>
              <w:jc w:val="center"/>
              <w:rPr>
                <w:rFonts w:hint="default"/>
                <w:color w:val="auto"/>
                <w:spacing w:val="7"/>
                <w:sz w:val="21"/>
              </w:rPr>
            </w:pPr>
          </w:p>
        </w:tc>
        <w:tc>
          <w:tcPr>
            <w:tcW w:w="587" w:type="dxa"/>
            <w:vAlign w:val="center"/>
          </w:tcPr>
          <w:p w14:paraId="32973BA7">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eastAsia"/>
                <w:color w:val="auto"/>
                <w:sz w:val="21"/>
              </w:rPr>
              <w:t>S2</w:t>
            </w:r>
          </w:p>
        </w:tc>
        <w:tc>
          <w:tcPr>
            <w:tcW w:w="780" w:type="dxa"/>
            <w:vAlign w:val="center"/>
          </w:tcPr>
          <w:p w14:paraId="6ED854AD">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847" w:type="dxa"/>
            <w:vAlign w:val="center"/>
          </w:tcPr>
          <w:p w14:paraId="7C3556F9">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kern w:val="0"/>
                <w:sz w:val="21"/>
                <w:lang w:eastAsia="zh-CN" w:bidi="ar"/>
              </w:rPr>
            </w:pPr>
          </w:p>
        </w:tc>
        <w:tc>
          <w:tcPr>
            <w:tcW w:w="847" w:type="dxa"/>
            <w:vAlign w:val="center"/>
          </w:tcPr>
          <w:p w14:paraId="25567E7A">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kern w:val="0"/>
                <w:sz w:val="21"/>
                <w:lang w:eastAsia="zh-CN" w:bidi="ar"/>
              </w:rPr>
            </w:pPr>
          </w:p>
        </w:tc>
        <w:tc>
          <w:tcPr>
            <w:tcW w:w="847" w:type="dxa"/>
            <w:vAlign w:val="center"/>
          </w:tcPr>
          <w:p w14:paraId="023ED714">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847" w:type="dxa"/>
            <w:vAlign w:val="center"/>
          </w:tcPr>
          <w:p w14:paraId="3FCDDC0E">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kern w:val="0"/>
                <w:sz w:val="21"/>
                <w:lang w:eastAsia="zh-CN" w:bidi="ar"/>
              </w:rPr>
            </w:pPr>
          </w:p>
        </w:tc>
        <w:tc>
          <w:tcPr>
            <w:tcW w:w="847" w:type="dxa"/>
            <w:vAlign w:val="center"/>
          </w:tcPr>
          <w:p w14:paraId="577FCAFF">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847" w:type="dxa"/>
            <w:vAlign w:val="center"/>
          </w:tcPr>
          <w:p w14:paraId="5C9B752C">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847" w:type="dxa"/>
            <w:vAlign w:val="center"/>
          </w:tcPr>
          <w:p w14:paraId="52EAFF56">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847" w:type="dxa"/>
            <w:vAlign w:val="center"/>
          </w:tcPr>
          <w:p w14:paraId="1C5264BB">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850" w:type="dxa"/>
            <w:vAlign w:val="center"/>
          </w:tcPr>
          <w:p w14:paraId="1FEF0F49">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kern w:val="0"/>
                <w:sz w:val="21"/>
                <w:lang w:eastAsia="zh-CN" w:bidi="ar"/>
              </w:rPr>
            </w:pPr>
          </w:p>
        </w:tc>
      </w:tr>
      <w:tr w14:paraId="5E7120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587" w:type="dxa"/>
            <w:vMerge w:val="continue"/>
            <w:vAlign w:val="center"/>
          </w:tcPr>
          <w:p w14:paraId="38A3F095">
            <w:pPr>
              <w:keepNext w:val="0"/>
              <w:keepLines w:val="0"/>
              <w:suppressLineNumbers w:val="0"/>
              <w:spacing w:before="0" w:beforeAutospacing="0" w:after="0" w:afterAutospacing="0" w:line="240" w:lineRule="auto"/>
              <w:ind w:left="0" w:right="0" w:firstLine="0" w:firstLineChars="0"/>
              <w:jc w:val="center"/>
              <w:rPr>
                <w:rFonts w:hint="default"/>
                <w:color w:val="auto"/>
                <w:spacing w:val="7"/>
                <w:sz w:val="21"/>
              </w:rPr>
            </w:pPr>
          </w:p>
        </w:tc>
        <w:tc>
          <w:tcPr>
            <w:tcW w:w="587" w:type="dxa"/>
            <w:vAlign w:val="center"/>
          </w:tcPr>
          <w:p w14:paraId="04515BB9">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eastAsia"/>
                <w:color w:val="auto"/>
                <w:sz w:val="21"/>
              </w:rPr>
              <w:t>S3</w:t>
            </w:r>
          </w:p>
        </w:tc>
        <w:tc>
          <w:tcPr>
            <w:tcW w:w="780" w:type="dxa"/>
            <w:vAlign w:val="center"/>
          </w:tcPr>
          <w:p w14:paraId="403888A5">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847" w:type="dxa"/>
            <w:vAlign w:val="center"/>
          </w:tcPr>
          <w:p w14:paraId="53DF03DF">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847" w:type="dxa"/>
            <w:vAlign w:val="center"/>
          </w:tcPr>
          <w:p w14:paraId="2DA46B5D">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847" w:type="dxa"/>
            <w:vAlign w:val="center"/>
          </w:tcPr>
          <w:p w14:paraId="17B79119">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847" w:type="dxa"/>
            <w:vAlign w:val="center"/>
          </w:tcPr>
          <w:p w14:paraId="78463C67">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kern w:val="0"/>
                <w:sz w:val="21"/>
                <w:lang w:eastAsia="zh-CN" w:bidi="ar"/>
              </w:rPr>
            </w:pPr>
          </w:p>
        </w:tc>
        <w:tc>
          <w:tcPr>
            <w:tcW w:w="847" w:type="dxa"/>
            <w:vAlign w:val="center"/>
          </w:tcPr>
          <w:p w14:paraId="398830D5">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847" w:type="dxa"/>
            <w:vAlign w:val="center"/>
          </w:tcPr>
          <w:p w14:paraId="38C62722">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847" w:type="dxa"/>
            <w:vAlign w:val="center"/>
          </w:tcPr>
          <w:p w14:paraId="24D80F55">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kern w:val="0"/>
                <w:sz w:val="21"/>
                <w:lang w:eastAsia="zh-CN" w:bidi="ar"/>
              </w:rPr>
            </w:pPr>
          </w:p>
        </w:tc>
        <w:tc>
          <w:tcPr>
            <w:tcW w:w="847" w:type="dxa"/>
            <w:vAlign w:val="center"/>
          </w:tcPr>
          <w:p w14:paraId="0FD0EA67">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kern w:val="0"/>
                <w:sz w:val="21"/>
                <w:lang w:bidi="ar"/>
              </w:rPr>
            </w:pPr>
          </w:p>
        </w:tc>
        <w:tc>
          <w:tcPr>
            <w:tcW w:w="850" w:type="dxa"/>
            <w:vAlign w:val="center"/>
          </w:tcPr>
          <w:p w14:paraId="5CBD1F93">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kern w:val="0"/>
                <w:sz w:val="21"/>
                <w:lang w:eastAsia="zh-CN" w:bidi="ar"/>
              </w:rPr>
            </w:pPr>
          </w:p>
        </w:tc>
      </w:tr>
      <w:tr w14:paraId="4E16012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174" w:type="dxa"/>
            <w:gridSpan w:val="2"/>
            <w:vAlign w:val="center"/>
          </w:tcPr>
          <w:p w14:paraId="34E73770">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z w:val="21"/>
              </w:rPr>
              <w:t>S4</w:t>
            </w:r>
          </w:p>
        </w:tc>
        <w:tc>
          <w:tcPr>
            <w:tcW w:w="780" w:type="dxa"/>
            <w:vAlign w:val="center"/>
          </w:tcPr>
          <w:p w14:paraId="25469DA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211BD57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43D8BAA7">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6C7D67A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21FDE9A7">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24F974E0">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11057A9D">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1A3D8638">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4552DA20">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50" w:type="dxa"/>
            <w:vAlign w:val="center"/>
          </w:tcPr>
          <w:p w14:paraId="1686D7EB">
            <w:pPr>
              <w:keepNext w:val="0"/>
              <w:keepLines w:val="0"/>
              <w:suppressLineNumbers w:val="0"/>
              <w:spacing w:before="0" w:beforeAutospacing="0" w:after="0" w:afterAutospacing="0" w:line="240" w:lineRule="auto"/>
              <w:ind w:left="0" w:right="0" w:firstLine="0" w:firstLineChars="0"/>
              <w:jc w:val="center"/>
              <w:rPr>
                <w:rFonts w:hint="default"/>
                <w:color w:val="auto"/>
                <w:spacing w:val="2"/>
                <w:sz w:val="21"/>
              </w:rPr>
            </w:pPr>
          </w:p>
        </w:tc>
      </w:tr>
      <w:tr w14:paraId="61A8FC4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174" w:type="dxa"/>
            <w:gridSpan w:val="2"/>
            <w:vAlign w:val="center"/>
          </w:tcPr>
          <w:p w14:paraId="3D360FA7">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z w:val="21"/>
              </w:rPr>
              <w:t>S5</w:t>
            </w:r>
          </w:p>
        </w:tc>
        <w:tc>
          <w:tcPr>
            <w:tcW w:w="780" w:type="dxa"/>
            <w:vAlign w:val="center"/>
          </w:tcPr>
          <w:p w14:paraId="5E034A2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3F402411">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1AB4639D">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155E43CC">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5C5BA0B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4231110D">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6F67FCA2">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0353B5B0">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3D6DC487">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50" w:type="dxa"/>
            <w:vAlign w:val="center"/>
          </w:tcPr>
          <w:p w14:paraId="3719539A">
            <w:pPr>
              <w:keepNext w:val="0"/>
              <w:keepLines w:val="0"/>
              <w:suppressLineNumbers w:val="0"/>
              <w:spacing w:before="0" w:beforeAutospacing="0" w:after="0" w:afterAutospacing="0" w:line="240" w:lineRule="auto"/>
              <w:ind w:left="0" w:right="0" w:firstLine="0" w:firstLineChars="0"/>
              <w:jc w:val="center"/>
              <w:rPr>
                <w:rFonts w:hint="default"/>
                <w:color w:val="auto"/>
                <w:spacing w:val="2"/>
                <w:sz w:val="21"/>
              </w:rPr>
            </w:pPr>
          </w:p>
        </w:tc>
      </w:tr>
      <w:tr w14:paraId="7AA80D5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1174" w:type="dxa"/>
            <w:gridSpan w:val="2"/>
            <w:vAlign w:val="center"/>
          </w:tcPr>
          <w:p w14:paraId="2AE33EFC">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pacing w:val="6"/>
                <w:sz w:val="21"/>
              </w:rPr>
              <w:t>标准值（第一类）</w:t>
            </w:r>
          </w:p>
        </w:tc>
        <w:tc>
          <w:tcPr>
            <w:tcW w:w="780" w:type="dxa"/>
            <w:vAlign w:val="center"/>
          </w:tcPr>
          <w:p w14:paraId="6AF40171">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2DE83939">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40E80C36">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2129388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456B5742">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41FF573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7BC2BE4F">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790BE644">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47" w:type="dxa"/>
            <w:vAlign w:val="center"/>
          </w:tcPr>
          <w:p w14:paraId="588DAB6C">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850" w:type="dxa"/>
            <w:vAlign w:val="center"/>
          </w:tcPr>
          <w:p w14:paraId="4DF63DA7">
            <w:pPr>
              <w:keepNext w:val="0"/>
              <w:keepLines w:val="0"/>
              <w:suppressLineNumbers w:val="0"/>
              <w:spacing w:before="0" w:beforeAutospacing="0" w:after="0" w:afterAutospacing="0" w:line="240" w:lineRule="auto"/>
              <w:ind w:left="0" w:right="0" w:firstLine="0" w:firstLineChars="0"/>
              <w:jc w:val="center"/>
              <w:rPr>
                <w:rFonts w:hint="default"/>
                <w:color w:val="auto"/>
                <w:spacing w:val="2"/>
                <w:sz w:val="21"/>
              </w:rPr>
            </w:pPr>
          </w:p>
        </w:tc>
      </w:tr>
      <w:tr w14:paraId="62AC648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587" w:type="dxa"/>
            <w:vMerge w:val="restart"/>
            <w:vAlign w:val="center"/>
          </w:tcPr>
          <w:p w14:paraId="1C142B4E">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pacing w:val="7"/>
                <w:sz w:val="21"/>
              </w:rPr>
              <w:t>标准指数</w:t>
            </w:r>
          </w:p>
        </w:tc>
        <w:tc>
          <w:tcPr>
            <w:tcW w:w="587" w:type="dxa"/>
            <w:vAlign w:val="center"/>
          </w:tcPr>
          <w:p w14:paraId="4CCE1671">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z w:val="21"/>
              </w:rPr>
              <w:t>S4</w:t>
            </w:r>
          </w:p>
        </w:tc>
        <w:tc>
          <w:tcPr>
            <w:tcW w:w="780" w:type="dxa"/>
            <w:vAlign w:val="center"/>
          </w:tcPr>
          <w:p w14:paraId="193FD55B">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847" w:type="dxa"/>
            <w:vAlign w:val="center"/>
          </w:tcPr>
          <w:p w14:paraId="40E8B18A">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847" w:type="dxa"/>
            <w:vAlign w:val="center"/>
          </w:tcPr>
          <w:p w14:paraId="39EFDECA">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847" w:type="dxa"/>
            <w:vAlign w:val="center"/>
          </w:tcPr>
          <w:p w14:paraId="4242B530">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847" w:type="dxa"/>
            <w:vAlign w:val="center"/>
          </w:tcPr>
          <w:p w14:paraId="142DC90F">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847" w:type="dxa"/>
            <w:vAlign w:val="center"/>
          </w:tcPr>
          <w:p w14:paraId="3B86F707">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847" w:type="dxa"/>
            <w:vAlign w:val="center"/>
          </w:tcPr>
          <w:p w14:paraId="43BF9252">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847" w:type="dxa"/>
            <w:vAlign w:val="center"/>
          </w:tcPr>
          <w:p w14:paraId="275D3845">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847" w:type="dxa"/>
            <w:vAlign w:val="center"/>
          </w:tcPr>
          <w:p w14:paraId="3E4478CC">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850" w:type="dxa"/>
            <w:vAlign w:val="center"/>
          </w:tcPr>
          <w:p w14:paraId="63DAF9C2">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pacing w:val="2"/>
                <w:sz w:val="21"/>
              </w:rPr>
            </w:pPr>
          </w:p>
        </w:tc>
      </w:tr>
      <w:tr w14:paraId="0BC0B73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587" w:type="dxa"/>
            <w:vMerge w:val="continue"/>
            <w:vAlign w:val="center"/>
          </w:tcPr>
          <w:p w14:paraId="0A99CC8A">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p>
        </w:tc>
        <w:tc>
          <w:tcPr>
            <w:tcW w:w="587" w:type="dxa"/>
            <w:vAlign w:val="center"/>
          </w:tcPr>
          <w:p w14:paraId="49488BC5">
            <w:pPr>
              <w:keepNext w:val="0"/>
              <w:keepLines w:val="0"/>
              <w:suppressLineNumbers w:val="0"/>
              <w:spacing w:before="0" w:beforeAutospacing="0" w:after="0" w:afterAutospacing="0" w:line="240" w:lineRule="auto"/>
              <w:ind w:left="0" w:right="0" w:firstLine="0" w:firstLineChars="0"/>
              <w:jc w:val="center"/>
              <w:rPr>
                <w:rFonts w:hint="default"/>
                <w:color w:val="auto"/>
                <w:sz w:val="21"/>
              </w:rPr>
            </w:pPr>
            <w:r>
              <w:rPr>
                <w:rFonts w:hint="default"/>
                <w:color w:val="auto"/>
                <w:sz w:val="21"/>
              </w:rPr>
              <w:t>S5</w:t>
            </w:r>
          </w:p>
        </w:tc>
        <w:tc>
          <w:tcPr>
            <w:tcW w:w="780" w:type="dxa"/>
            <w:vAlign w:val="center"/>
          </w:tcPr>
          <w:p w14:paraId="7F26E2E6">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847" w:type="dxa"/>
            <w:vAlign w:val="center"/>
          </w:tcPr>
          <w:p w14:paraId="11DB85B2">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847" w:type="dxa"/>
            <w:vAlign w:val="center"/>
          </w:tcPr>
          <w:p w14:paraId="2DA4C61F">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847" w:type="dxa"/>
            <w:vAlign w:val="center"/>
          </w:tcPr>
          <w:p w14:paraId="25515F8A">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847" w:type="dxa"/>
            <w:vAlign w:val="center"/>
          </w:tcPr>
          <w:p w14:paraId="3DCB0787">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847" w:type="dxa"/>
            <w:vAlign w:val="center"/>
          </w:tcPr>
          <w:p w14:paraId="30EC8A14">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847" w:type="dxa"/>
            <w:vAlign w:val="center"/>
          </w:tcPr>
          <w:p w14:paraId="7D79F867">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847" w:type="dxa"/>
            <w:vAlign w:val="center"/>
          </w:tcPr>
          <w:p w14:paraId="4B3B9123">
            <w:pPr>
              <w:keepNext w:val="0"/>
              <w:keepLines w:val="0"/>
              <w:suppressLineNumbers w:val="0"/>
              <w:spacing w:before="0" w:beforeAutospacing="0" w:after="0" w:afterAutospacing="0" w:line="240" w:lineRule="auto"/>
              <w:ind w:left="0" w:right="0" w:firstLine="0" w:firstLineChars="0"/>
              <w:jc w:val="center"/>
              <w:textAlignment w:val="center"/>
              <w:rPr>
                <w:rFonts w:hint="eastAsia" w:eastAsia="宋体"/>
                <w:color w:val="auto"/>
                <w:sz w:val="21"/>
                <w:lang w:eastAsia="zh-CN"/>
              </w:rPr>
            </w:pPr>
          </w:p>
        </w:tc>
        <w:tc>
          <w:tcPr>
            <w:tcW w:w="847" w:type="dxa"/>
            <w:vAlign w:val="center"/>
          </w:tcPr>
          <w:p w14:paraId="473BC029">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c>
          <w:tcPr>
            <w:tcW w:w="850" w:type="dxa"/>
            <w:vAlign w:val="center"/>
          </w:tcPr>
          <w:p w14:paraId="5A47B391">
            <w:pPr>
              <w:keepNext w:val="0"/>
              <w:keepLines w:val="0"/>
              <w:suppressLineNumbers w:val="0"/>
              <w:spacing w:before="0" w:beforeAutospacing="0" w:after="0" w:afterAutospacing="0" w:line="240" w:lineRule="auto"/>
              <w:ind w:left="0" w:right="0" w:firstLine="0" w:firstLineChars="0"/>
              <w:jc w:val="center"/>
              <w:textAlignment w:val="center"/>
              <w:rPr>
                <w:rFonts w:hint="default"/>
                <w:color w:val="auto"/>
                <w:sz w:val="21"/>
              </w:rPr>
            </w:pPr>
          </w:p>
        </w:tc>
      </w:tr>
    </w:tbl>
    <w:p w14:paraId="7B4278C5">
      <w:pPr>
        <w:ind w:firstLine="480"/>
        <w:rPr>
          <w:color w:val="auto"/>
          <w:lang w:val="zh-CN" w:bidi="zh-CN"/>
        </w:rPr>
      </w:pPr>
      <w:r>
        <w:rPr>
          <w:color w:val="auto"/>
          <w:lang w:val="zh-CN" w:bidi="zh-CN"/>
        </w:rPr>
        <w:t>4、沉积物质量现状评价</w:t>
      </w:r>
    </w:p>
    <w:p w14:paraId="4020270F">
      <w:pPr>
        <w:ind w:firstLine="480"/>
        <w:rPr>
          <w:color w:val="auto"/>
        </w:rPr>
      </w:pPr>
      <w:bookmarkStart w:id="478" w:name="_Toc136878499"/>
      <w:r>
        <w:rPr>
          <w:rFonts w:hint="eastAsia"/>
          <w:color w:val="auto"/>
        </w:rPr>
        <w:t>区域海洋沉积物质量S4、S5点位的汞指标超标外，其余指标均能满足《海洋沉积物质量标准》（GB18668-2002）中相应标准限值。汞超标站位均为一类海域，其水质要求较高，受内陆河流带入污染物后容易出现超标现象。同时根据本次海洋沉积物监测数据对比，S1~S5汞指标监测值范围为0.302~0.472，总体波动不大。</w:t>
      </w:r>
    </w:p>
    <w:p w14:paraId="2C875047">
      <w:pPr>
        <w:pStyle w:val="4"/>
        <w:rPr>
          <w:color w:val="auto"/>
          <w:lang w:val="zh-CN"/>
        </w:rPr>
      </w:pPr>
      <w:bookmarkStart w:id="479" w:name="_Toc216620563"/>
      <w:r>
        <w:rPr>
          <w:color w:val="auto"/>
          <w:lang w:val="zh-CN"/>
        </w:rPr>
        <w:t>海洋生态</w:t>
      </w:r>
      <w:bookmarkEnd w:id="478"/>
      <w:bookmarkEnd w:id="479"/>
      <w:r>
        <w:rPr>
          <w:rFonts w:hint="eastAsia"/>
          <w:color w:val="auto"/>
          <w:lang w:val="zh-CN"/>
        </w:rPr>
        <w:t>现状</w:t>
      </w:r>
      <w:r>
        <w:rPr>
          <w:color w:val="auto"/>
          <w:lang w:val="zh-CN"/>
        </w:rPr>
        <w:t>调查</w:t>
      </w:r>
    </w:p>
    <w:p w14:paraId="5E1F87DC">
      <w:pPr>
        <w:pStyle w:val="6"/>
        <w:rPr>
          <w:color w:val="auto"/>
          <w:lang w:val="zh-CN" w:bidi="zh-CN"/>
        </w:rPr>
      </w:pPr>
      <w:bookmarkStart w:id="480" w:name="_Hlk122343852"/>
      <w:r>
        <w:rPr>
          <w:color w:val="auto"/>
          <w:lang w:val="zh-CN" w:bidi="zh-CN"/>
        </w:rPr>
        <w:t>海洋生态调查结果</w:t>
      </w:r>
    </w:p>
    <w:bookmarkEnd w:id="480"/>
    <w:p w14:paraId="7AABFB7A">
      <w:pPr>
        <w:ind w:firstLine="482"/>
        <w:rPr>
          <w:b/>
          <w:bCs/>
          <w:color w:val="auto"/>
          <w:lang w:bidi="zh-CN"/>
        </w:rPr>
      </w:pPr>
      <w:r>
        <w:rPr>
          <w:rFonts w:hint="eastAsia"/>
          <w:b/>
          <w:bCs/>
          <w:color w:val="auto"/>
          <w:lang w:bidi="zh-CN"/>
        </w:rPr>
        <w:t>（1）</w:t>
      </w:r>
      <w:r>
        <w:rPr>
          <w:b/>
          <w:bCs/>
          <w:color w:val="auto"/>
          <w:lang w:bidi="zh-CN"/>
        </w:rPr>
        <w:t>叶绿素a</w:t>
      </w:r>
    </w:p>
    <w:p w14:paraId="32DB817D">
      <w:pPr>
        <w:ind w:firstLine="480"/>
        <w:rPr>
          <w:bCs/>
          <w:color w:val="auto"/>
          <w:lang w:bidi="zh-CN"/>
        </w:rPr>
      </w:pPr>
      <w:r>
        <w:rPr>
          <w:bCs/>
          <w:color w:val="auto"/>
          <w:lang w:bidi="zh-CN"/>
        </w:rPr>
        <w:t>叶绿素a调查结果见表3.7-</w:t>
      </w:r>
      <w:r>
        <w:rPr>
          <w:rFonts w:hint="eastAsia"/>
          <w:bCs/>
          <w:color w:val="auto"/>
          <w:lang w:bidi="zh-CN"/>
        </w:rPr>
        <w:t>5，</w:t>
      </w:r>
      <w:r>
        <w:rPr>
          <w:rFonts w:hint="eastAsia"/>
          <w:color w:val="auto"/>
        </w:rPr>
        <w:t>叶绿素a含量范围为2</w:t>
      </w:r>
      <w:r>
        <w:rPr>
          <w:color w:val="auto"/>
        </w:rPr>
        <w:t>~4μg/L，平均值为2.8μg/L</w:t>
      </w:r>
      <w:r>
        <w:rPr>
          <w:bCs/>
          <w:color w:val="auto"/>
          <w:lang w:bidi="zh-CN"/>
        </w:rPr>
        <w:t>。</w:t>
      </w:r>
    </w:p>
    <w:p w14:paraId="2A037027">
      <w:pPr>
        <w:pStyle w:val="14"/>
        <w:rPr>
          <w:color w:val="auto"/>
          <w:lang w:val="zh-CN"/>
        </w:rPr>
      </w:pPr>
      <w:r>
        <w:rPr>
          <w:rFonts w:hint="eastAsia"/>
          <w:color w:val="auto"/>
        </w:rPr>
        <w:t>表</w:t>
      </w:r>
      <w:r>
        <w:rPr>
          <w:color w:val="auto"/>
        </w:rPr>
        <w:t>3.7</w:t>
      </w:r>
      <w:r>
        <w:rPr>
          <w:color w:val="auto"/>
        </w:rPr>
        <w:noBreakHyphen/>
      </w:r>
      <w:r>
        <w:rPr>
          <w:color w:val="auto"/>
        </w:rPr>
        <w:t>5</w:t>
      </w:r>
      <w:r>
        <w:rPr>
          <w:rFonts w:hint="eastAsia"/>
          <w:color w:val="auto"/>
          <w:lang w:val="zh-CN"/>
        </w:rPr>
        <w:t>叶绿素a调查结果汇总表</w:t>
      </w:r>
    </w:p>
    <w:tbl>
      <w:tblPr>
        <w:tblStyle w:val="43"/>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224"/>
        <w:gridCol w:w="1462"/>
        <w:gridCol w:w="1482"/>
        <w:gridCol w:w="1474"/>
        <w:gridCol w:w="1463"/>
        <w:gridCol w:w="1459"/>
      </w:tblGrid>
      <w:tr w14:paraId="6D3F50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162" w:type="pct"/>
            <w:tcBorders>
              <w:top w:val="single" w:color="000000" w:sz="12" w:space="0"/>
              <w:left w:val="single" w:color="000000" w:sz="12" w:space="0"/>
            </w:tcBorders>
          </w:tcPr>
          <w:p w14:paraId="60F2568B">
            <w:pPr>
              <w:pStyle w:val="167"/>
              <w:keepNext w:val="0"/>
              <w:keepLines w:val="0"/>
              <w:suppressLineNumbers w:val="0"/>
              <w:spacing w:before="0" w:beforeAutospacing="0" w:after="0" w:afterAutospacing="0"/>
              <w:ind w:right="0"/>
              <w:rPr>
                <w:rFonts w:hint="default"/>
                <w:color w:val="auto"/>
                <w:lang w:val="zh-CN"/>
              </w:rPr>
            </w:pPr>
            <w:r>
              <w:rPr>
                <w:rFonts w:hint="default"/>
                <w:color w:val="auto"/>
              </w:rPr>
              <mc:AlternateContent>
                <mc:Choice Requires="wps">
                  <w:drawing>
                    <wp:anchor distT="0" distB="0" distL="114300" distR="114300" simplePos="0" relativeHeight="251668480" behindDoc="0" locked="0" layoutInCell="1" allowOverlap="1">
                      <wp:simplePos x="0" y="0"/>
                      <wp:positionH relativeFrom="column">
                        <wp:posOffset>1270</wp:posOffset>
                      </wp:positionH>
                      <wp:positionV relativeFrom="paragraph">
                        <wp:posOffset>-12700</wp:posOffset>
                      </wp:positionV>
                      <wp:extent cx="1228725" cy="390525"/>
                      <wp:effectExtent l="1270" t="4445" r="4445" b="16510"/>
                      <wp:wrapNone/>
                      <wp:docPr id="4" name="直接连接符 4"/>
                      <wp:cNvGraphicFramePr/>
                      <a:graphic xmlns:a="http://schemas.openxmlformats.org/drawingml/2006/main">
                        <a:graphicData uri="http://schemas.microsoft.com/office/word/2010/wordprocessingShape">
                          <wps:wsp>
                            <wps:cNvCnPr/>
                            <wps:spPr>
                              <a:xfrm>
                                <a:off x="1153795" y="5073650"/>
                                <a:ext cx="1228725" cy="390525"/>
                              </a:xfrm>
                              <a:prstGeom prst="line">
                                <a:avLst/>
                              </a:prstGeom>
                              <a:ln w="254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0.1pt;margin-top:-1pt;height:30.75pt;width:96.75pt;z-index:251668480;mso-width-relative:page;mso-height-relative:page;" filled="f" stroked="t" coordsize="21600,21600" o:gfxdata="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iiNbtNUA&#10;AAAGAQAADwAAAAAAAAABACAAAAAiAAAAZHJzL2Rvd25yZXYueG1sUEsBAhQAFAAAAAgAh07iQDbR&#10;DrPpAQAAqwMAAA4AAAAAAAAAAQAgAAAAJAEAAGRycy9lMm9Eb2MueG1sUEsFBgAAAAAGAAYAWQEA&#10;AH8FAAAAAA==&#10;">
                      <v:fill on="f" focussize="0,0"/>
                      <v:stroke weight="0.2pt" color="#000000 [3213]" joinstyle="round"/>
                      <v:imagedata o:title=""/>
                      <o:lock v:ext="edit" aspectratio="f"/>
                    </v:line>
                  </w:pict>
                </mc:Fallback>
              </mc:AlternateContent>
            </w:r>
            <w:r>
              <w:rPr>
                <w:rFonts w:hint="default"/>
                <w:color w:val="auto"/>
                <w:lang w:val="zh-CN"/>
              </w:rPr>
              <w:t>监测点位</w:t>
            </w:r>
          </w:p>
          <w:p w14:paraId="4BEEEC2F">
            <w:pPr>
              <w:pStyle w:val="167"/>
              <w:keepNext w:val="0"/>
              <w:keepLines w:val="0"/>
              <w:suppressLineNumbers w:val="0"/>
              <w:spacing w:before="0" w:beforeAutospacing="0" w:after="0" w:afterAutospacing="0"/>
              <w:ind w:right="0"/>
              <w:jc w:val="both"/>
              <w:rPr>
                <w:rFonts w:hint="default"/>
                <w:color w:val="auto"/>
                <w:lang w:val="zh-CN"/>
              </w:rPr>
            </w:pPr>
            <w:r>
              <w:rPr>
                <w:rFonts w:hint="default"/>
                <w:color w:val="auto"/>
                <w:lang w:val="zh-CN"/>
              </w:rPr>
              <w:t>监测项目</w:t>
            </w:r>
          </w:p>
        </w:tc>
        <w:tc>
          <w:tcPr>
            <w:tcW w:w="764" w:type="pct"/>
            <w:tcBorders>
              <w:top w:val="single" w:color="000000" w:sz="12" w:space="0"/>
            </w:tcBorders>
          </w:tcPr>
          <w:p w14:paraId="27E7B12D">
            <w:pPr>
              <w:pStyle w:val="167"/>
              <w:keepNext w:val="0"/>
              <w:keepLines w:val="0"/>
              <w:suppressLineNumbers w:val="0"/>
              <w:spacing w:before="0" w:beforeAutospacing="0" w:after="0" w:afterAutospacing="0"/>
              <w:ind w:right="0"/>
              <w:rPr>
                <w:rFonts w:hint="default"/>
                <w:color w:val="auto"/>
                <w:lang w:val="zh-CN"/>
              </w:rPr>
            </w:pPr>
            <w:r>
              <w:rPr>
                <w:rFonts w:hint="default"/>
                <w:color w:val="auto"/>
                <w:lang w:val="zh-CN"/>
              </w:rPr>
              <w:t>S1</w:t>
            </w:r>
          </w:p>
        </w:tc>
        <w:tc>
          <w:tcPr>
            <w:tcW w:w="774" w:type="pct"/>
            <w:tcBorders>
              <w:top w:val="single" w:color="000000" w:sz="12" w:space="0"/>
            </w:tcBorders>
          </w:tcPr>
          <w:p w14:paraId="7E84C69D">
            <w:pPr>
              <w:pStyle w:val="167"/>
              <w:keepNext w:val="0"/>
              <w:keepLines w:val="0"/>
              <w:suppressLineNumbers w:val="0"/>
              <w:spacing w:before="0" w:beforeAutospacing="0" w:after="0" w:afterAutospacing="0"/>
              <w:ind w:right="0"/>
              <w:rPr>
                <w:rFonts w:hint="default"/>
                <w:color w:val="auto"/>
                <w:lang w:val="zh-CN"/>
              </w:rPr>
            </w:pPr>
            <w:r>
              <w:rPr>
                <w:rFonts w:hint="default"/>
                <w:color w:val="auto"/>
                <w:lang w:val="zh-CN"/>
              </w:rPr>
              <w:t>S2</w:t>
            </w:r>
          </w:p>
        </w:tc>
        <w:tc>
          <w:tcPr>
            <w:tcW w:w="770" w:type="pct"/>
            <w:tcBorders>
              <w:top w:val="single" w:color="000000" w:sz="12" w:space="0"/>
            </w:tcBorders>
          </w:tcPr>
          <w:p w14:paraId="46C468E0">
            <w:pPr>
              <w:pStyle w:val="167"/>
              <w:keepNext w:val="0"/>
              <w:keepLines w:val="0"/>
              <w:suppressLineNumbers w:val="0"/>
              <w:spacing w:before="0" w:beforeAutospacing="0" w:after="0" w:afterAutospacing="0"/>
              <w:ind w:right="0"/>
              <w:rPr>
                <w:rFonts w:hint="default"/>
                <w:color w:val="auto"/>
                <w:lang w:val="zh-CN"/>
              </w:rPr>
            </w:pPr>
            <w:r>
              <w:rPr>
                <w:rFonts w:hint="default"/>
                <w:color w:val="auto"/>
                <w:lang w:val="zh-CN"/>
              </w:rPr>
              <w:t>S3</w:t>
            </w:r>
          </w:p>
        </w:tc>
        <w:tc>
          <w:tcPr>
            <w:tcW w:w="764" w:type="pct"/>
            <w:tcBorders>
              <w:top w:val="single" w:color="000000" w:sz="12" w:space="0"/>
            </w:tcBorders>
          </w:tcPr>
          <w:p w14:paraId="77F82C51">
            <w:pPr>
              <w:pStyle w:val="167"/>
              <w:keepNext w:val="0"/>
              <w:keepLines w:val="0"/>
              <w:suppressLineNumbers w:val="0"/>
              <w:spacing w:before="0" w:beforeAutospacing="0" w:after="0" w:afterAutospacing="0"/>
              <w:ind w:right="0"/>
              <w:rPr>
                <w:rFonts w:hint="default"/>
                <w:color w:val="auto"/>
                <w:lang w:val="zh-CN"/>
              </w:rPr>
            </w:pPr>
            <w:r>
              <w:rPr>
                <w:rFonts w:hint="default"/>
                <w:color w:val="auto"/>
                <w:lang w:val="zh-CN"/>
              </w:rPr>
              <w:t>S4</w:t>
            </w:r>
          </w:p>
        </w:tc>
        <w:tc>
          <w:tcPr>
            <w:tcW w:w="762" w:type="pct"/>
            <w:tcBorders>
              <w:top w:val="single" w:color="000000" w:sz="12" w:space="0"/>
              <w:right w:val="single" w:color="000000" w:sz="12" w:space="0"/>
            </w:tcBorders>
          </w:tcPr>
          <w:p w14:paraId="06C9228E">
            <w:pPr>
              <w:pStyle w:val="167"/>
              <w:keepNext w:val="0"/>
              <w:keepLines w:val="0"/>
              <w:suppressLineNumbers w:val="0"/>
              <w:spacing w:before="0" w:beforeAutospacing="0" w:after="0" w:afterAutospacing="0"/>
              <w:ind w:right="0"/>
              <w:rPr>
                <w:rFonts w:hint="default"/>
                <w:color w:val="auto"/>
                <w:lang w:val="zh-CN"/>
              </w:rPr>
            </w:pPr>
            <w:r>
              <w:rPr>
                <w:rFonts w:hint="default"/>
                <w:color w:val="auto"/>
                <w:lang w:val="zh-CN"/>
              </w:rPr>
              <w:t>S5</w:t>
            </w:r>
          </w:p>
        </w:tc>
      </w:tr>
      <w:tr w14:paraId="2E89CC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162" w:type="pct"/>
            <w:tcBorders>
              <w:left w:val="single" w:color="000000" w:sz="12" w:space="0"/>
              <w:bottom w:val="single" w:color="000000" w:sz="12" w:space="0"/>
            </w:tcBorders>
          </w:tcPr>
          <w:p w14:paraId="30F720C3">
            <w:pPr>
              <w:pStyle w:val="167"/>
              <w:keepNext w:val="0"/>
              <w:keepLines w:val="0"/>
              <w:suppressLineNumbers w:val="0"/>
              <w:spacing w:before="0" w:beforeAutospacing="0" w:after="0" w:afterAutospacing="0"/>
              <w:ind w:right="0"/>
              <w:rPr>
                <w:rFonts w:hint="default"/>
                <w:color w:val="auto"/>
                <w:lang w:val="zh-CN"/>
              </w:rPr>
            </w:pPr>
            <w:r>
              <w:rPr>
                <w:rFonts w:hint="default"/>
                <w:color w:val="auto"/>
                <w:lang w:val="zh-CN"/>
              </w:rPr>
              <w:t>叶绿素a(μg/L)</w:t>
            </w:r>
          </w:p>
        </w:tc>
        <w:tc>
          <w:tcPr>
            <w:tcW w:w="764" w:type="pct"/>
            <w:tcBorders>
              <w:bottom w:val="single" w:color="000000" w:sz="12" w:space="0"/>
            </w:tcBorders>
          </w:tcPr>
          <w:p w14:paraId="13B0AD96">
            <w:pPr>
              <w:pStyle w:val="167"/>
              <w:keepNext w:val="0"/>
              <w:keepLines w:val="0"/>
              <w:suppressLineNumbers w:val="0"/>
              <w:spacing w:before="0" w:beforeAutospacing="0" w:after="0" w:afterAutospacing="0"/>
              <w:ind w:right="0"/>
              <w:rPr>
                <w:rFonts w:hint="default"/>
                <w:color w:val="auto"/>
                <w:lang w:val="zh-CN"/>
              </w:rPr>
            </w:pPr>
          </w:p>
        </w:tc>
        <w:tc>
          <w:tcPr>
            <w:tcW w:w="774" w:type="pct"/>
            <w:tcBorders>
              <w:bottom w:val="single" w:color="000000" w:sz="12" w:space="0"/>
            </w:tcBorders>
          </w:tcPr>
          <w:p w14:paraId="7C0017AC">
            <w:pPr>
              <w:pStyle w:val="167"/>
              <w:keepNext w:val="0"/>
              <w:keepLines w:val="0"/>
              <w:suppressLineNumbers w:val="0"/>
              <w:spacing w:before="0" w:beforeAutospacing="0" w:after="0" w:afterAutospacing="0"/>
              <w:ind w:right="0"/>
              <w:rPr>
                <w:rFonts w:hint="default"/>
                <w:color w:val="auto"/>
                <w:lang w:val="zh-CN"/>
              </w:rPr>
            </w:pPr>
          </w:p>
        </w:tc>
        <w:tc>
          <w:tcPr>
            <w:tcW w:w="770" w:type="pct"/>
            <w:tcBorders>
              <w:bottom w:val="single" w:color="000000" w:sz="12" w:space="0"/>
            </w:tcBorders>
          </w:tcPr>
          <w:p w14:paraId="2A992CED">
            <w:pPr>
              <w:pStyle w:val="167"/>
              <w:keepNext w:val="0"/>
              <w:keepLines w:val="0"/>
              <w:suppressLineNumbers w:val="0"/>
              <w:spacing w:before="0" w:beforeAutospacing="0" w:after="0" w:afterAutospacing="0"/>
              <w:ind w:right="0"/>
              <w:rPr>
                <w:rFonts w:hint="default"/>
                <w:color w:val="auto"/>
                <w:lang w:val="zh-CN"/>
              </w:rPr>
            </w:pPr>
          </w:p>
        </w:tc>
        <w:tc>
          <w:tcPr>
            <w:tcW w:w="764" w:type="pct"/>
            <w:tcBorders>
              <w:bottom w:val="single" w:color="000000" w:sz="12" w:space="0"/>
            </w:tcBorders>
          </w:tcPr>
          <w:p w14:paraId="515D5B49">
            <w:pPr>
              <w:pStyle w:val="167"/>
              <w:keepNext w:val="0"/>
              <w:keepLines w:val="0"/>
              <w:suppressLineNumbers w:val="0"/>
              <w:spacing w:before="0" w:beforeAutospacing="0" w:after="0" w:afterAutospacing="0"/>
              <w:ind w:right="0"/>
              <w:rPr>
                <w:rFonts w:hint="default"/>
                <w:color w:val="auto"/>
                <w:lang w:val="zh-CN"/>
              </w:rPr>
            </w:pPr>
          </w:p>
        </w:tc>
        <w:tc>
          <w:tcPr>
            <w:tcW w:w="762" w:type="pct"/>
            <w:tcBorders>
              <w:bottom w:val="single" w:color="000000" w:sz="12" w:space="0"/>
              <w:right w:val="single" w:color="000000" w:sz="12" w:space="0"/>
            </w:tcBorders>
          </w:tcPr>
          <w:p w14:paraId="0583DB89">
            <w:pPr>
              <w:pStyle w:val="167"/>
              <w:keepNext w:val="0"/>
              <w:keepLines w:val="0"/>
              <w:suppressLineNumbers w:val="0"/>
              <w:spacing w:before="0" w:beforeAutospacing="0" w:after="0" w:afterAutospacing="0"/>
              <w:ind w:right="0"/>
              <w:rPr>
                <w:rFonts w:hint="default"/>
                <w:color w:val="auto"/>
                <w:lang w:val="zh-CN"/>
              </w:rPr>
            </w:pPr>
          </w:p>
        </w:tc>
      </w:tr>
    </w:tbl>
    <w:p w14:paraId="777120EF">
      <w:pPr>
        <w:ind w:firstLine="482"/>
        <w:rPr>
          <w:b/>
          <w:bCs/>
          <w:color w:val="auto"/>
          <w:lang w:bidi="zh-CN"/>
        </w:rPr>
      </w:pPr>
      <w:r>
        <w:rPr>
          <w:rFonts w:hint="eastAsia"/>
          <w:b/>
          <w:bCs/>
          <w:color w:val="auto"/>
          <w:lang w:bidi="zh-CN"/>
        </w:rPr>
        <w:t>（2）</w:t>
      </w:r>
      <w:r>
        <w:rPr>
          <w:b/>
          <w:bCs/>
          <w:color w:val="auto"/>
          <w:lang w:bidi="zh-CN"/>
        </w:rPr>
        <w:t>浮游植物调查结果</w:t>
      </w:r>
    </w:p>
    <w:p w14:paraId="4A097047">
      <w:pPr>
        <w:ind w:firstLine="480"/>
        <w:rPr>
          <w:color w:val="auto"/>
          <w:lang w:val="zh-CN" w:bidi="zh-CN"/>
        </w:rPr>
      </w:pPr>
      <w:r>
        <w:rPr>
          <w:rFonts w:hint="eastAsia"/>
          <w:color w:val="auto"/>
          <w:lang w:val="zh-CN" w:bidi="zh-CN"/>
        </w:rPr>
        <w:t>本次调查记录浮游植物2门（硅藻门、甲藻门），其中硅藻门占总种数绝对优势。在所有站位中，甲藻门仅出现少量，其余绝大多数为硅藻。</w:t>
      </w:r>
    </w:p>
    <w:p w14:paraId="67252C95">
      <w:pPr>
        <w:ind w:firstLine="480"/>
        <w:rPr>
          <w:color w:val="auto"/>
          <w:lang w:val="zh-CN" w:bidi="zh-CN"/>
        </w:rPr>
      </w:pPr>
      <w:r>
        <w:rPr>
          <w:rFonts w:hint="eastAsia"/>
          <w:color w:val="auto"/>
          <w:lang w:val="zh-CN" w:bidi="zh-CN"/>
        </w:rPr>
        <w:t>调查海域的5个站位中，浮游植物的种数最多的是S3站，为34种；S1站和S4站次之，均为32种；最少的是S2站和S5站，均为26种。</w:t>
      </w:r>
    </w:p>
    <w:p w14:paraId="182C3356">
      <w:pPr>
        <w:ind w:firstLine="480"/>
        <w:rPr>
          <w:color w:val="auto"/>
          <w:lang w:val="zh-CN" w:bidi="zh-CN"/>
        </w:rPr>
      </w:pPr>
      <w:r>
        <w:rPr>
          <w:rFonts w:hint="eastAsia"/>
          <w:color w:val="auto"/>
          <w:lang w:val="zh-CN" w:bidi="zh-CN"/>
        </w:rPr>
        <w:t>根据各站位物种密度累加计算，调查海域5个站位的浮游植物平均密度为172,983.4个/L。最高密度站位：S4站密度最高，总密度达705,400个/L（主要由旋链角毛藻和柔弱管藻</w:t>
      </w:r>
      <w:r>
        <w:rPr>
          <w:rFonts w:hint="eastAsia"/>
          <w:color w:val="auto"/>
          <w:lang w:bidi="zh-CN"/>
        </w:rPr>
        <w:t>贡</w:t>
      </w:r>
      <w:r>
        <w:rPr>
          <w:rFonts w:hint="eastAsia"/>
          <w:color w:val="auto"/>
          <w:lang w:val="zh-CN" w:bidi="zh-CN"/>
        </w:rPr>
        <w:t>献）。</w:t>
      </w:r>
    </w:p>
    <w:p w14:paraId="72BA3099">
      <w:pPr>
        <w:ind w:firstLine="480"/>
        <w:rPr>
          <w:color w:val="auto"/>
          <w:lang w:val="zh-CN" w:bidi="zh-CN"/>
        </w:rPr>
      </w:pPr>
      <w:r>
        <w:rPr>
          <w:rFonts w:hint="eastAsia"/>
          <w:color w:val="auto"/>
          <w:lang w:val="zh-CN" w:bidi="zh-CN"/>
        </w:rPr>
        <w:t>S5站密度最低，总密度为20,339个/L。S1站为57,560个/L，S3站为52,618个/L，S2站为29,000个/L。单个物种的密度变化范围为175个/L（如S5站的多个物种）至284,000个/L（S4站的旋链角毛藻）。</w:t>
      </w:r>
    </w:p>
    <w:p w14:paraId="6BE74CEC">
      <w:pPr>
        <w:pStyle w:val="14"/>
        <w:rPr>
          <w:color w:val="auto"/>
        </w:rPr>
      </w:pPr>
      <w:r>
        <w:rPr>
          <w:rFonts w:hint="eastAsia"/>
          <w:color w:val="auto"/>
        </w:rPr>
        <w:t>表</w:t>
      </w:r>
      <w:r>
        <w:rPr>
          <w:color w:val="auto"/>
        </w:rPr>
        <w:t>3.7</w:t>
      </w:r>
      <w:r>
        <w:rPr>
          <w:color w:val="auto"/>
        </w:rPr>
        <w:noBreakHyphen/>
      </w:r>
      <w:r>
        <w:rPr>
          <w:color w:val="auto"/>
        </w:rPr>
        <w:t>6</w:t>
      </w:r>
      <w:r>
        <w:rPr>
          <w:rFonts w:hint="eastAsia"/>
          <w:color w:val="auto"/>
        </w:rPr>
        <w:t>浮游植物数量统计表</w:t>
      </w:r>
    </w:p>
    <w:p w14:paraId="2F028303">
      <w:pPr>
        <w:ind w:firstLine="482"/>
        <w:jc w:val="center"/>
        <w:rPr>
          <w:rFonts w:hint="default"/>
          <w:b/>
          <w:bCs/>
          <w:color w:val="auto"/>
          <w:lang w:val="en-US" w:bidi="zh-CN"/>
        </w:rPr>
      </w:pPr>
      <w:r>
        <w:rPr>
          <w:rFonts w:hint="eastAsia"/>
          <w:b/>
          <w:bCs/>
          <w:color w:val="auto"/>
          <w:lang w:val="en-US" w:bidi="zh-CN"/>
        </w:rPr>
        <w:t>*****</w:t>
      </w:r>
    </w:p>
    <w:p w14:paraId="18BF445D">
      <w:pPr>
        <w:ind w:firstLine="482"/>
        <w:rPr>
          <w:b/>
          <w:bCs/>
          <w:color w:val="auto"/>
          <w:lang w:bidi="zh-CN"/>
        </w:rPr>
      </w:pPr>
      <w:r>
        <w:rPr>
          <w:rFonts w:hint="eastAsia"/>
          <w:b/>
          <w:bCs/>
          <w:color w:val="auto"/>
          <w:lang w:bidi="zh-CN"/>
        </w:rPr>
        <w:t>（3）</w:t>
      </w:r>
      <w:r>
        <w:rPr>
          <w:b/>
          <w:bCs/>
          <w:color w:val="auto"/>
          <w:lang w:bidi="zh-CN"/>
        </w:rPr>
        <w:t>浮游动物</w:t>
      </w:r>
    </w:p>
    <w:p w14:paraId="7CAE6340">
      <w:pPr>
        <w:ind w:firstLine="480"/>
        <w:rPr>
          <w:color w:val="auto"/>
        </w:rPr>
      </w:pPr>
      <w:r>
        <w:rPr>
          <w:rFonts w:hint="eastAsia"/>
          <w:color w:val="auto"/>
        </w:rPr>
        <w:t>本次调查共鉴定出浮游动物成体16种，浮游幼体3类，其中桡足类种类最多（10种），其次为毛颚类（2种）。</w:t>
      </w:r>
    </w:p>
    <w:p w14:paraId="49227953">
      <w:pPr>
        <w:ind w:firstLine="480"/>
        <w:rPr>
          <w:color w:val="auto"/>
        </w:rPr>
      </w:pPr>
      <w:r>
        <w:rPr>
          <w:rFonts w:hint="eastAsia"/>
          <w:color w:val="auto"/>
        </w:rPr>
        <w:t>各测站浮游动物种类数在6～15种之间。其中S4站种类数最多，为15种；S1站次之，为14种；S2、S5站种类数最少，均为6种。</w:t>
      </w:r>
    </w:p>
    <w:p w14:paraId="4A952E5B">
      <w:pPr>
        <w:ind w:firstLine="480"/>
        <w:rPr>
          <w:color w:val="auto"/>
        </w:rPr>
      </w:pPr>
      <w:r>
        <w:rPr>
          <w:rFonts w:hint="eastAsia"/>
          <w:color w:val="auto"/>
        </w:rPr>
        <w:t>调查期间，各测站浮游动物的总密度介于935.9~2067.2个/m³之间，总体平均密度为1355.2个/m³。最高密度出现在S4站，为2067.2个/m³；最低密度出现在S2站，为935.9个/m³。</w:t>
      </w:r>
    </w:p>
    <w:p w14:paraId="582044A8">
      <w:pPr>
        <w:ind w:firstLine="480"/>
        <w:rPr>
          <w:color w:val="auto"/>
        </w:rPr>
      </w:pPr>
      <w:r>
        <w:rPr>
          <w:rFonts w:hint="eastAsia"/>
          <w:color w:val="auto"/>
        </w:rPr>
        <w:t>调查期间，各测站浮游动物生物量变化范围为95.8~345mg/m³，平均值为188.76mg/m³。最大值出现在S4站（345mg/m³）；最小值出现在S2站（95.8mg/m</w:t>
      </w:r>
      <w:r>
        <w:rPr>
          <w:color w:val="auto"/>
          <w:vertAlign w:val="superscript"/>
        </w:rPr>
        <w:t>3</w:t>
      </w:r>
      <w:r>
        <w:rPr>
          <w:rFonts w:hint="eastAsia"/>
          <w:color w:val="auto"/>
        </w:rPr>
        <w:t>）。</w:t>
      </w:r>
    </w:p>
    <w:p w14:paraId="68F6B493">
      <w:pPr>
        <w:pStyle w:val="14"/>
        <w:rPr>
          <w:color w:val="auto"/>
          <w:lang w:val="zh-CN"/>
        </w:rPr>
      </w:pPr>
      <w:r>
        <w:rPr>
          <w:rFonts w:hint="eastAsia"/>
          <w:color w:val="auto"/>
        </w:rPr>
        <w:t>表</w:t>
      </w:r>
      <w:r>
        <w:rPr>
          <w:color w:val="auto"/>
        </w:rPr>
        <w:t>3.7</w:t>
      </w:r>
      <w:r>
        <w:rPr>
          <w:color w:val="auto"/>
        </w:rPr>
        <w:noBreakHyphen/>
      </w:r>
      <w:r>
        <w:rPr>
          <w:color w:val="auto"/>
        </w:rPr>
        <w:t>7</w:t>
      </w:r>
      <w:r>
        <w:rPr>
          <w:rFonts w:hint="eastAsia"/>
          <w:color w:val="auto"/>
          <w:lang w:val="zh-CN"/>
        </w:rPr>
        <w:t>浮游动物丰度和生物量统计表</w:t>
      </w:r>
    </w:p>
    <w:p w14:paraId="5A80A8B6">
      <w:pPr>
        <w:ind w:firstLine="482"/>
        <w:jc w:val="center"/>
        <w:rPr>
          <w:rFonts w:hint="default"/>
          <w:b/>
          <w:bCs/>
          <w:color w:val="auto"/>
          <w:lang w:val="en-US" w:bidi="zh-CN"/>
        </w:rPr>
      </w:pPr>
      <w:r>
        <w:rPr>
          <w:rFonts w:hint="eastAsia"/>
          <w:b/>
          <w:bCs/>
          <w:color w:val="auto"/>
          <w:lang w:val="en-US" w:bidi="zh-CN"/>
        </w:rPr>
        <w:t>****</w:t>
      </w:r>
    </w:p>
    <w:p w14:paraId="21E27E66">
      <w:pPr>
        <w:ind w:firstLine="482"/>
        <w:rPr>
          <w:b/>
          <w:bCs/>
          <w:color w:val="auto"/>
          <w:lang w:bidi="zh-CN"/>
        </w:rPr>
      </w:pPr>
      <w:r>
        <w:rPr>
          <w:rFonts w:hint="eastAsia"/>
          <w:b/>
          <w:bCs/>
          <w:color w:val="auto"/>
          <w:lang w:bidi="zh-CN"/>
        </w:rPr>
        <w:t>（4）</w:t>
      </w:r>
      <w:r>
        <w:rPr>
          <w:b/>
          <w:bCs/>
          <w:color w:val="auto"/>
          <w:lang w:bidi="zh-CN"/>
        </w:rPr>
        <w:t>大型底栖动物</w:t>
      </w:r>
    </w:p>
    <w:p w14:paraId="0917CDEC">
      <w:pPr>
        <w:ind w:firstLine="480"/>
        <w:rPr>
          <w:color w:val="auto"/>
        </w:rPr>
      </w:pPr>
      <w:r>
        <w:rPr>
          <w:rFonts w:hint="eastAsia"/>
          <w:color w:val="auto"/>
        </w:rPr>
        <w:t>本次调查共鉴定出底栖生物4大类群（环节动物多毛类、软体动物、脊索动物、棘皮动物），其中，多毛类种类数最多（8种/类）。</w:t>
      </w:r>
    </w:p>
    <w:p w14:paraId="7143996B">
      <w:pPr>
        <w:ind w:firstLine="480"/>
        <w:rPr>
          <w:color w:val="auto"/>
        </w:rPr>
      </w:pPr>
      <w:r>
        <w:rPr>
          <w:rFonts w:hint="eastAsia"/>
          <w:color w:val="auto"/>
        </w:rPr>
        <w:t>调查海域5个测站中，S5站采集到的底栖生物种类数最多，为4种；S1、S2站次之，均采集到3种；S3、S4站最少，均仅采集到1种。</w:t>
      </w:r>
    </w:p>
    <w:p w14:paraId="49619109">
      <w:pPr>
        <w:ind w:firstLine="480"/>
        <w:rPr>
          <w:color w:val="auto"/>
        </w:rPr>
      </w:pPr>
      <w:r>
        <w:rPr>
          <w:rFonts w:hint="eastAsia"/>
          <w:color w:val="auto"/>
        </w:rPr>
        <w:t>调查海域底栖生物的总密度变化范围为3.0~43.0个/m²，平均密度为19.6个/m²。密度最高站位为S4站，为43.0个/m²；密度最低的站位为S3站，为3.0个/m²。</w:t>
      </w:r>
    </w:p>
    <w:p w14:paraId="3F05E727">
      <w:pPr>
        <w:ind w:firstLine="480"/>
        <w:rPr>
          <w:color w:val="auto"/>
        </w:rPr>
      </w:pPr>
      <w:r>
        <w:rPr>
          <w:rFonts w:hint="eastAsia"/>
          <w:color w:val="auto"/>
        </w:rPr>
        <w:t>调查海域底栖生物的总生物量变化范围为0.27~2.80g/m²，平均生物量为1.24g/m²。生物量最高的站位为S1站，为2.80g/m²；生物量最低的站位：S3站，为0.27g/m²。</w:t>
      </w:r>
    </w:p>
    <w:p w14:paraId="608197AF">
      <w:pPr>
        <w:pStyle w:val="14"/>
        <w:rPr>
          <w:color w:val="auto"/>
          <w:lang w:val="zh-CN"/>
        </w:rPr>
      </w:pPr>
      <w:r>
        <w:rPr>
          <w:rFonts w:hint="eastAsia"/>
          <w:color w:val="auto"/>
        </w:rPr>
        <w:t>表</w:t>
      </w:r>
      <w:r>
        <w:rPr>
          <w:color w:val="auto"/>
        </w:rPr>
        <w:t>3.7</w:t>
      </w:r>
      <w:r>
        <w:rPr>
          <w:color w:val="auto"/>
        </w:rPr>
        <w:noBreakHyphen/>
      </w:r>
      <w:r>
        <w:rPr>
          <w:color w:val="auto"/>
        </w:rPr>
        <w:t>8</w:t>
      </w:r>
      <w:r>
        <w:rPr>
          <w:rFonts w:hint="eastAsia"/>
          <w:color w:val="auto"/>
          <w:lang w:val="zh-CN"/>
        </w:rPr>
        <w:t>各站底栖动物密度和生物量</w:t>
      </w:r>
    </w:p>
    <w:p w14:paraId="449224B2">
      <w:pPr>
        <w:ind w:firstLine="482"/>
        <w:jc w:val="center"/>
        <w:rPr>
          <w:rFonts w:hint="default"/>
          <w:b/>
          <w:bCs/>
          <w:color w:val="auto"/>
          <w:lang w:val="en-US" w:bidi="zh-CN"/>
        </w:rPr>
      </w:pPr>
      <w:r>
        <w:rPr>
          <w:rFonts w:hint="eastAsia"/>
          <w:b/>
          <w:bCs/>
          <w:color w:val="auto"/>
          <w:lang w:val="en-US" w:bidi="zh-CN"/>
        </w:rPr>
        <w:t>***</w:t>
      </w:r>
    </w:p>
    <w:p w14:paraId="13037361">
      <w:pPr>
        <w:ind w:firstLine="482"/>
        <w:rPr>
          <w:b/>
          <w:bCs/>
          <w:color w:val="auto"/>
          <w:lang w:bidi="zh-CN"/>
        </w:rPr>
      </w:pPr>
      <w:r>
        <w:rPr>
          <w:rFonts w:hint="eastAsia"/>
          <w:b/>
          <w:bCs/>
          <w:color w:val="auto"/>
          <w:lang w:bidi="zh-CN"/>
        </w:rPr>
        <w:t>（5）游泳动物</w:t>
      </w:r>
    </w:p>
    <w:p w14:paraId="066E1733">
      <w:pPr>
        <w:ind w:firstLine="480"/>
        <w:rPr>
          <w:color w:val="auto"/>
        </w:rPr>
      </w:pPr>
      <w:r>
        <w:rPr>
          <w:color w:val="auto"/>
        </w:rPr>
        <w:t>本次调查</w:t>
      </w:r>
      <w:r>
        <w:rPr>
          <w:rFonts w:hint="eastAsia"/>
          <w:color w:val="auto"/>
        </w:rPr>
        <w:t>共采集到渔获物18种，其中鱼类14种，蟹类3种，头足类1种。平均游泳动物渔获量和相对资源密度见下表。</w:t>
      </w:r>
    </w:p>
    <w:p w14:paraId="487CB387">
      <w:pPr>
        <w:pStyle w:val="14"/>
        <w:rPr>
          <w:color w:val="auto"/>
          <w:lang w:val="zh-CN"/>
        </w:rPr>
      </w:pPr>
      <w:r>
        <w:rPr>
          <w:rFonts w:hint="eastAsia"/>
          <w:color w:val="auto"/>
        </w:rPr>
        <w:t>表</w:t>
      </w:r>
      <w:r>
        <w:rPr>
          <w:color w:val="auto"/>
        </w:rPr>
        <w:t>3.7</w:t>
      </w:r>
      <w:r>
        <w:rPr>
          <w:color w:val="auto"/>
        </w:rPr>
        <w:noBreakHyphen/>
      </w:r>
      <w:r>
        <w:rPr>
          <w:color w:val="auto"/>
        </w:rPr>
        <w:t>9</w:t>
      </w:r>
      <w:r>
        <w:rPr>
          <w:rFonts w:hint="eastAsia"/>
          <w:color w:val="auto"/>
          <w:lang w:val="zh-CN"/>
        </w:rPr>
        <w:t>游泳动物调查结果表</w:t>
      </w:r>
    </w:p>
    <w:p w14:paraId="7EC7A12E">
      <w:pPr>
        <w:ind w:firstLine="482"/>
        <w:jc w:val="center"/>
        <w:rPr>
          <w:rFonts w:hint="default"/>
          <w:b/>
          <w:bCs/>
          <w:color w:val="auto"/>
          <w:lang w:val="en-US" w:bidi="zh-CN"/>
        </w:rPr>
      </w:pPr>
      <w:bookmarkStart w:id="481" w:name="_Toc216620564"/>
      <w:r>
        <w:rPr>
          <w:rFonts w:hint="eastAsia"/>
          <w:b/>
          <w:bCs/>
          <w:color w:val="auto"/>
          <w:lang w:val="en-US" w:bidi="zh-CN"/>
        </w:rPr>
        <w:t>***</w:t>
      </w:r>
    </w:p>
    <w:p w14:paraId="6E3E9215">
      <w:pPr>
        <w:pStyle w:val="4"/>
        <w:rPr>
          <w:color w:val="auto"/>
        </w:rPr>
      </w:pPr>
      <w:r>
        <w:rPr>
          <w:color w:val="auto"/>
        </w:rPr>
        <w:t>水文动力现状调查与评价</w:t>
      </w:r>
      <w:bookmarkEnd w:id="481"/>
    </w:p>
    <w:p w14:paraId="71772D48">
      <w:pPr>
        <w:ind w:firstLine="480"/>
        <w:rPr>
          <w:color w:val="auto"/>
        </w:rPr>
      </w:pPr>
      <w:r>
        <w:rPr>
          <w:color w:val="auto"/>
        </w:rPr>
        <w:t>本次评价海洋水文动力春季数据引自《钦州港</w:t>
      </w:r>
      <w:r>
        <w:rPr>
          <w:rFonts w:hint="eastAsia"/>
          <w:color w:val="auto"/>
        </w:rPr>
        <w:t>“</w:t>
      </w:r>
      <w:r>
        <w:rPr>
          <w:color w:val="auto"/>
        </w:rPr>
        <w:t>十四五</w:t>
      </w:r>
      <w:r>
        <w:rPr>
          <w:rFonts w:hint="eastAsia"/>
          <w:color w:val="auto"/>
        </w:rPr>
        <w:t>”</w:t>
      </w:r>
      <w:r>
        <w:rPr>
          <w:color w:val="auto"/>
        </w:rPr>
        <w:t>拟建项目海洋水文调查报告》。</w:t>
      </w:r>
    </w:p>
    <w:p w14:paraId="04111487">
      <w:pPr>
        <w:pStyle w:val="6"/>
        <w:rPr>
          <w:color w:val="auto"/>
        </w:rPr>
      </w:pPr>
      <w:r>
        <w:rPr>
          <w:color w:val="auto"/>
        </w:rPr>
        <w:t>调查时间与站位布置</w:t>
      </w:r>
    </w:p>
    <w:p w14:paraId="1E4D2BC7">
      <w:pPr>
        <w:ind w:firstLine="480"/>
        <w:rPr>
          <w:color w:val="auto"/>
        </w:rPr>
      </w:pPr>
      <w:r>
        <w:rPr>
          <w:color w:val="auto"/>
        </w:rPr>
        <w:t>2023年4月17日至5月1日（春季）在项目周边共布设潮位测站3个，海流测站9个。观测站位布设见表3.7-10</w:t>
      </w:r>
      <w:r>
        <w:rPr>
          <w:rFonts w:hint="eastAsia"/>
          <w:color w:val="auto"/>
        </w:rPr>
        <w:t>、</w:t>
      </w:r>
      <w:r>
        <w:rPr>
          <w:color w:val="auto"/>
        </w:rPr>
        <w:t>图3.7-1。</w:t>
      </w:r>
    </w:p>
    <w:p w14:paraId="119535A1">
      <w:pPr>
        <w:ind w:firstLine="480"/>
        <w:rPr>
          <w:color w:val="auto"/>
        </w:rPr>
      </w:pPr>
      <w:r>
        <w:rPr>
          <w:color w:val="auto"/>
        </w:rPr>
        <w:t>本次引用的数据为2023年的监测结果，</w:t>
      </w:r>
      <w:r>
        <w:rPr>
          <w:rFonts w:hint="eastAsia"/>
          <w:color w:val="auto"/>
        </w:rPr>
        <w:t>满足《环境影响评价技术导则海洋生态环境》（HJ1409-2025）中“6.1.3沿岸海域的海洋水文动力现状数据有限期5年”的要求。</w:t>
      </w:r>
      <w:r>
        <w:rPr>
          <w:color w:val="auto"/>
        </w:rPr>
        <w:t>本次引用数据布设潮位测站3个、海流测站9个。</w:t>
      </w:r>
    </w:p>
    <w:p w14:paraId="73F1EDF2">
      <w:pPr>
        <w:pStyle w:val="14"/>
        <w:rPr>
          <w:color w:val="auto"/>
          <w:lang w:val="zh-CN"/>
        </w:rPr>
      </w:pPr>
      <w:r>
        <w:rPr>
          <w:rFonts w:hint="eastAsia"/>
          <w:color w:val="auto"/>
        </w:rPr>
        <w:t>表</w:t>
      </w:r>
      <w:r>
        <w:rPr>
          <w:color w:val="auto"/>
        </w:rPr>
        <w:t>3.7</w:t>
      </w:r>
      <w:r>
        <w:rPr>
          <w:color w:val="auto"/>
        </w:rPr>
        <w:noBreakHyphen/>
      </w:r>
      <w:r>
        <w:rPr>
          <w:color w:val="auto"/>
        </w:rPr>
        <w:t>10</w:t>
      </w:r>
      <w:r>
        <w:rPr>
          <w:rFonts w:hint="eastAsia"/>
          <w:color w:val="auto"/>
          <w:lang w:val="zh-CN"/>
        </w:rPr>
        <w:t>潮位、海流观测站位一览表</w:t>
      </w:r>
    </w:p>
    <w:tbl>
      <w:tblPr>
        <w:tblStyle w:val="43"/>
        <w:tblW w:w="500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21"/>
        <w:gridCol w:w="1910"/>
        <w:gridCol w:w="1912"/>
        <w:gridCol w:w="1912"/>
        <w:gridCol w:w="1923"/>
      </w:tblGrid>
      <w:tr w14:paraId="67A0EC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7" w:hRule="atLeast"/>
          <w:jc w:val="center"/>
        </w:trPr>
        <w:tc>
          <w:tcPr>
            <w:tcW w:w="1003" w:type="pct"/>
            <w:vAlign w:val="center"/>
          </w:tcPr>
          <w:p w14:paraId="2342591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序号</w:t>
            </w:r>
          </w:p>
        </w:tc>
        <w:tc>
          <w:tcPr>
            <w:tcW w:w="997" w:type="pct"/>
            <w:vAlign w:val="center"/>
          </w:tcPr>
          <w:p w14:paraId="435FE0A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站位</w:t>
            </w:r>
          </w:p>
        </w:tc>
        <w:tc>
          <w:tcPr>
            <w:tcW w:w="998" w:type="pct"/>
            <w:vAlign w:val="center"/>
          </w:tcPr>
          <w:p w14:paraId="5039593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经度</w:t>
            </w:r>
          </w:p>
        </w:tc>
        <w:tc>
          <w:tcPr>
            <w:tcW w:w="998" w:type="pct"/>
            <w:vAlign w:val="center"/>
          </w:tcPr>
          <w:p w14:paraId="431FFC2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纬度</w:t>
            </w:r>
          </w:p>
        </w:tc>
        <w:tc>
          <w:tcPr>
            <w:tcW w:w="1004" w:type="pct"/>
            <w:vAlign w:val="center"/>
          </w:tcPr>
          <w:p w14:paraId="3D18487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观测项目</w:t>
            </w:r>
          </w:p>
        </w:tc>
      </w:tr>
      <w:tr w14:paraId="227C54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0" w:hRule="atLeast"/>
          <w:jc w:val="center"/>
        </w:trPr>
        <w:tc>
          <w:tcPr>
            <w:tcW w:w="1003" w:type="pct"/>
            <w:vAlign w:val="center"/>
          </w:tcPr>
          <w:p w14:paraId="23923AB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p>
        </w:tc>
        <w:tc>
          <w:tcPr>
            <w:tcW w:w="997" w:type="pct"/>
            <w:vAlign w:val="center"/>
          </w:tcPr>
          <w:p w14:paraId="3BE4592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H1</w:t>
            </w:r>
          </w:p>
        </w:tc>
        <w:tc>
          <w:tcPr>
            <w:tcW w:w="998" w:type="pct"/>
            <w:vAlign w:val="center"/>
          </w:tcPr>
          <w:p w14:paraId="423DD82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998" w:type="pct"/>
            <w:vAlign w:val="center"/>
          </w:tcPr>
          <w:p w14:paraId="5999607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004" w:type="pct"/>
            <w:vMerge w:val="restart"/>
            <w:vAlign w:val="center"/>
          </w:tcPr>
          <w:p w14:paraId="6C15FC4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潮位</w:t>
            </w:r>
          </w:p>
        </w:tc>
      </w:tr>
      <w:tr w14:paraId="7C6276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003" w:type="pct"/>
            <w:vAlign w:val="center"/>
          </w:tcPr>
          <w:p w14:paraId="16C4DC4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w:t>
            </w:r>
          </w:p>
        </w:tc>
        <w:tc>
          <w:tcPr>
            <w:tcW w:w="997" w:type="pct"/>
            <w:vAlign w:val="center"/>
          </w:tcPr>
          <w:p w14:paraId="1943399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H2</w:t>
            </w:r>
          </w:p>
        </w:tc>
        <w:tc>
          <w:tcPr>
            <w:tcW w:w="998" w:type="pct"/>
            <w:vAlign w:val="center"/>
          </w:tcPr>
          <w:p w14:paraId="4305B06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998" w:type="pct"/>
            <w:vAlign w:val="center"/>
          </w:tcPr>
          <w:p w14:paraId="4C4DF32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004" w:type="pct"/>
            <w:vMerge w:val="continue"/>
            <w:vAlign w:val="center"/>
          </w:tcPr>
          <w:p w14:paraId="657609C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r>
      <w:tr w14:paraId="1BCD5E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003" w:type="pct"/>
            <w:vAlign w:val="center"/>
          </w:tcPr>
          <w:p w14:paraId="686630F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3</w:t>
            </w:r>
          </w:p>
        </w:tc>
        <w:tc>
          <w:tcPr>
            <w:tcW w:w="997" w:type="pct"/>
            <w:vAlign w:val="center"/>
          </w:tcPr>
          <w:p w14:paraId="3370D62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H3</w:t>
            </w:r>
          </w:p>
        </w:tc>
        <w:tc>
          <w:tcPr>
            <w:tcW w:w="998" w:type="pct"/>
            <w:vAlign w:val="center"/>
          </w:tcPr>
          <w:p w14:paraId="0AD3B9D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998" w:type="pct"/>
            <w:vAlign w:val="center"/>
          </w:tcPr>
          <w:p w14:paraId="778DE8C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004" w:type="pct"/>
            <w:vMerge w:val="continue"/>
            <w:vAlign w:val="center"/>
          </w:tcPr>
          <w:p w14:paraId="1A286C3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r>
      <w:tr w14:paraId="4FDEFE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003" w:type="pct"/>
            <w:vAlign w:val="center"/>
          </w:tcPr>
          <w:p w14:paraId="30BD240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4</w:t>
            </w:r>
          </w:p>
        </w:tc>
        <w:tc>
          <w:tcPr>
            <w:tcW w:w="997" w:type="pct"/>
            <w:vAlign w:val="center"/>
          </w:tcPr>
          <w:p w14:paraId="631C991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V1</w:t>
            </w:r>
          </w:p>
        </w:tc>
        <w:tc>
          <w:tcPr>
            <w:tcW w:w="998" w:type="pct"/>
            <w:vAlign w:val="center"/>
          </w:tcPr>
          <w:p w14:paraId="5B29815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998" w:type="pct"/>
            <w:vAlign w:val="center"/>
          </w:tcPr>
          <w:p w14:paraId="6254923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004" w:type="pct"/>
            <w:vMerge w:val="restart"/>
            <w:vAlign w:val="center"/>
          </w:tcPr>
          <w:p w14:paraId="617B3CF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潮流</w:t>
            </w:r>
          </w:p>
        </w:tc>
      </w:tr>
      <w:tr w14:paraId="1CCA66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1003" w:type="pct"/>
            <w:vAlign w:val="center"/>
          </w:tcPr>
          <w:p w14:paraId="38CC459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5</w:t>
            </w:r>
          </w:p>
        </w:tc>
        <w:tc>
          <w:tcPr>
            <w:tcW w:w="997" w:type="pct"/>
            <w:vAlign w:val="center"/>
          </w:tcPr>
          <w:p w14:paraId="0F95E2F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V2</w:t>
            </w:r>
          </w:p>
        </w:tc>
        <w:tc>
          <w:tcPr>
            <w:tcW w:w="998" w:type="pct"/>
            <w:vAlign w:val="center"/>
          </w:tcPr>
          <w:p w14:paraId="0430A09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998" w:type="pct"/>
            <w:vAlign w:val="center"/>
          </w:tcPr>
          <w:p w14:paraId="588D23D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004" w:type="pct"/>
            <w:vMerge w:val="continue"/>
            <w:vAlign w:val="center"/>
          </w:tcPr>
          <w:p w14:paraId="39A57D73">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r>
      <w:tr w14:paraId="7FF993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003" w:type="pct"/>
            <w:vAlign w:val="center"/>
          </w:tcPr>
          <w:p w14:paraId="1BB96F7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6</w:t>
            </w:r>
          </w:p>
        </w:tc>
        <w:tc>
          <w:tcPr>
            <w:tcW w:w="997" w:type="pct"/>
            <w:vAlign w:val="center"/>
          </w:tcPr>
          <w:p w14:paraId="33F6F0C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V3</w:t>
            </w:r>
          </w:p>
        </w:tc>
        <w:tc>
          <w:tcPr>
            <w:tcW w:w="998" w:type="pct"/>
            <w:vAlign w:val="center"/>
          </w:tcPr>
          <w:p w14:paraId="2380622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998" w:type="pct"/>
            <w:vAlign w:val="center"/>
          </w:tcPr>
          <w:p w14:paraId="0F434EA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004" w:type="pct"/>
            <w:vMerge w:val="continue"/>
            <w:vAlign w:val="center"/>
          </w:tcPr>
          <w:p w14:paraId="242D7BF8">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r>
      <w:tr w14:paraId="263AEF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1003" w:type="pct"/>
            <w:vAlign w:val="center"/>
          </w:tcPr>
          <w:p w14:paraId="2489C39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7</w:t>
            </w:r>
          </w:p>
        </w:tc>
        <w:tc>
          <w:tcPr>
            <w:tcW w:w="997" w:type="pct"/>
            <w:vAlign w:val="center"/>
          </w:tcPr>
          <w:p w14:paraId="5421481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V4</w:t>
            </w:r>
          </w:p>
        </w:tc>
        <w:tc>
          <w:tcPr>
            <w:tcW w:w="998" w:type="pct"/>
            <w:vAlign w:val="center"/>
          </w:tcPr>
          <w:p w14:paraId="1BD7FBE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998" w:type="pct"/>
            <w:vAlign w:val="center"/>
          </w:tcPr>
          <w:p w14:paraId="47E729A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004" w:type="pct"/>
            <w:vMerge w:val="continue"/>
            <w:vAlign w:val="center"/>
          </w:tcPr>
          <w:p w14:paraId="0A34CA20">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r>
      <w:tr w14:paraId="24DD42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003" w:type="pct"/>
            <w:vAlign w:val="center"/>
          </w:tcPr>
          <w:p w14:paraId="3E0DDAC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8</w:t>
            </w:r>
          </w:p>
        </w:tc>
        <w:tc>
          <w:tcPr>
            <w:tcW w:w="997" w:type="pct"/>
            <w:vAlign w:val="center"/>
          </w:tcPr>
          <w:p w14:paraId="348E8ED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V5</w:t>
            </w:r>
          </w:p>
        </w:tc>
        <w:tc>
          <w:tcPr>
            <w:tcW w:w="998" w:type="pct"/>
            <w:vAlign w:val="center"/>
          </w:tcPr>
          <w:p w14:paraId="5C0B58D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998" w:type="pct"/>
            <w:vAlign w:val="center"/>
          </w:tcPr>
          <w:p w14:paraId="3A5C6F4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004" w:type="pct"/>
            <w:vMerge w:val="continue"/>
            <w:vAlign w:val="center"/>
          </w:tcPr>
          <w:p w14:paraId="0724ABBE">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r>
      <w:tr w14:paraId="3810D4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1003" w:type="pct"/>
            <w:vAlign w:val="center"/>
          </w:tcPr>
          <w:p w14:paraId="573C0F7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9</w:t>
            </w:r>
          </w:p>
        </w:tc>
        <w:tc>
          <w:tcPr>
            <w:tcW w:w="997" w:type="pct"/>
            <w:vAlign w:val="center"/>
          </w:tcPr>
          <w:p w14:paraId="362A362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V6</w:t>
            </w:r>
          </w:p>
        </w:tc>
        <w:tc>
          <w:tcPr>
            <w:tcW w:w="998" w:type="pct"/>
            <w:vAlign w:val="center"/>
          </w:tcPr>
          <w:p w14:paraId="0C6C3B8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998" w:type="pct"/>
            <w:vAlign w:val="center"/>
          </w:tcPr>
          <w:p w14:paraId="2F3571B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004" w:type="pct"/>
            <w:vMerge w:val="continue"/>
            <w:vAlign w:val="center"/>
          </w:tcPr>
          <w:p w14:paraId="3057EC4B">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r>
      <w:tr w14:paraId="37FFD8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003" w:type="pct"/>
            <w:vAlign w:val="center"/>
          </w:tcPr>
          <w:p w14:paraId="78ACC29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10</w:t>
            </w:r>
          </w:p>
        </w:tc>
        <w:tc>
          <w:tcPr>
            <w:tcW w:w="997" w:type="pct"/>
            <w:vAlign w:val="center"/>
          </w:tcPr>
          <w:p w14:paraId="16B2256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V7</w:t>
            </w:r>
          </w:p>
        </w:tc>
        <w:tc>
          <w:tcPr>
            <w:tcW w:w="998" w:type="pct"/>
            <w:vAlign w:val="center"/>
          </w:tcPr>
          <w:p w14:paraId="4B518E5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998" w:type="pct"/>
            <w:vAlign w:val="center"/>
          </w:tcPr>
          <w:p w14:paraId="12CED37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004" w:type="pct"/>
            <w:vMerge w:val="continue"/>
            <w:vAlign w:val="center"/>
          </w:tcPr>
          <w:p w14:paraId="239220C5">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r>
      <w:tr w14:paraId="4AD168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1003" w:type="pct"/>
            <w:vAlign w:val="center"/>
          </w:tcPr>
          <w:p w14:paraId="6D10EE5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11</w:t>
            </w:r>
          </w:p>
        </w:tc>
        <w:tc>
          <w:tcPr>
            <w:tcW w:w="997" w:type="pct"/>
            <w:vAlign w:val="center"/>
          </w:tcPr>
          <w:p w14:paraId="3D94B4E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V8</w:t>
            </w:r>
          </w:p>
        </w:tc>
        <w:tc>
          <w:tcPr>
            <w:tcW w:w="998" w:type="pct"/>
            <w:vAlign w:val="center"/>
          </w:tcPr>
          <w:p w14:paraId="0CEDFE2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998" w:type="pct"/>
            <w:vAlign w:val="center"/>
          </w:tcPr>
          <w:p w14:paraId="213CFDE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004" w:type="pct"/>
            <w:vMerge w:val="continue"/>
            <w:vAlign w:val="center"/>
          </w:tcPr>
          <w:p w14:paraId="3BE49268">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r>
      <w:tr w14:paraId="00FAB5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1003" w:type="pct"/>
            <w:vAlign w:val="center"/>
          </w:tcPr>
          <w:p w14:paraId="5E9B984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12</w:t>
            </w:r>
          </w:p>
        </w:tc>
        <w:tc>
          <w:tcPr>
            <w:tcW w:w="997" w:type="pct"/>
            <w:vAlign w:val="center"/>
          </w:tcPr>
          <w:p w14:paraId="122EE0F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V9</w:t>
            </w:r>
          </w:p>
        </w:tc>
        <w:tc>
          <w:tcPr>
            <w:tcW w:w="998" w:type="pct"/>
            <w:vAlign w:val="center"/>
          </w:tcPr>
          <w:p w14:paraId="2B7974D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998" w:type="pct"/>
            <w:vAlign w:val="center"/>
          </w:tcPr>
          <w:p w14:paraId="6D853C4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004" w:type="pct"/>
            <w:vMerge w:val="continue"/>
            <w:vAlign w:val="center"/>
          </w:tcPr>
          <w:p w14:paraId="2B65F1D1">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r>
    </w:tbl>
    <w:p w14:paraId="657956F9">
      <w:pPr>
        <w:ind w:firstLine="482"/>
        <w:jc w:val="center"/>
        <w:rPr>
          <w:rFonts w:hint="default"/>
          <w:b/>
          <w:bCs/>
          <w:color w:val="auto"/>
          <w:lang w:val="en-US" w:bidi="zh-CN"/>
        </w:rPr>
      </w:pPr>
      <w:r>
        <w:rPr>
          <w:rFonts w:hint="eastAsia"/>
          <w:b/>
          <w:bCs/>
          <w:color w:val="auto"/>
          <w:lang w:val="en-US" w:bidi="zh-CN"/>
        </w:rPr>
        <w:t>***</w:t>
      </w:r>
    </w:p>
    <w:p w14:paraId="36207804">
      <w:pPr>
        <w:pStyle w:val="14"/>
        <w:rPr>
          <w:color w:val="auto"/>
        </w:rPr>
      </w:pPr>
      <w:r>
        <w:rPr>
          <w:rFonts w:hint="eastAsia"/>
          <w:color w:val="auto"/>
        </w:rPr>
        <w:t>图</w:t>
      </w:r>
      <w:r>
        <w:rPr>
          <w:color w:val="auto"/>
        </w:rPr>
        <w:t>3.7</w:t>
      </w:r>
      <w:r>
        <w:rPr>
          <w:color w:val="auto"/>
        </w:rPr>
        <w:noBreakHyphen/>
      </w:r>
      <w:r>
        <w:rPr>
          <w:color w:val="auto"/>
        </w:rPr>
        <w:t>2海流、潮位观测站位布设图</w:t>
      </w:r>
    </w:p>
    <w:p w14:paraId="16A8F933">
      <w:pPr>
        <w:pStyle w:val="6"/>
        <w:rPr>
          <w:b w:val="0"/>
          <w:color w:val="auto"/>
        </w:rPr>
      </w:pPr>
      <w:r>
        <w:rPr>
          <w:rFonts w:hint="eastAsia"/>
          <w:b w:val="0"/>
          <w:color w:val="auto"/>
        </w:rPr>
        <w:t>潮位分析</w:t>
      </w:r>
    </w:p>
    <w:p w14:paraId="6B6CDD1C">
      <w:pPr>
        <w:ind w:firstLine="480"/>
        <w:rPr>
          <w:color w:val="auto"/>
          <w:kern w:val="0"/>
          <w:szCs w:val="20"/>
        </w:rPr>
      </w:pPr>
      <w:r>
        <w:rPr>
          <w:rFonts w:hint="eastAsia"/>
          <w:color w:val="auto"/>
          <w:kern w:val="0"/>
          <w:szCs w:val="20"/>
        </w:rPr>
        <w:t>（1）</w:t>
      </w:r>
      <w:r>
        <w:rPr>
          <w:color w:val="auto"/>
          <w:kern w:val="0"/>
          <w:szCs w:val="20"/>
        </w:rPr>
        <w:t>潮位过程线</w:t>
      </w:r>
    </w:p>
    <w:p w14:paraId="4A6B753B">
      <w:pPr>
        <w:ind w:firstLine="480"/>
        <w:rPr>
          <w:color w:val="auto"/>
          <w:kern w:val="0"/>
          <w:szCs w:val="20"/>
        </w:rPr>
      </w:pPr>
      <w:r>
        <w:rPr>
          <w:color w:val="auto"/>
          <w:kern w:val="0"/>
          <w:szCs w:val="20"/>
        </w:rPr>
        <w:t>利用临时H1~H3潮位站实测潮位资料，绘制了该处的潮位过程曲线，其中高度基准面采用当地理论最低基准高程。从潮位过程曲线可以看出：在一个太阴日内，测区大多数天为出现1次高潮和1次低潮（全日潮），少数天为两次高潮和两次低潮（日潮），由此可见，测区潮汐类型以全日潮为主。</w:t>
      </w:r>
    </w:p>
    <w:p w14:paraId="177D2E3B">
      <w:pPr>
        <w:spacing w:line="240" w:lineRule="auto"/>
        <w:ind w:firstLine="0" w:firstLineChars="0"/>
        <w:jc w:val="center"/>
        <w:rPr>
          <w:color w:val="auto"/>
          <w:kern w:val="0"/>
          <w:szCs w:val="20"/>
        </w:rPr>
      </w:pPr>
      <w:r>
        <w:rPr>
          <w:color w:val="auto"/>
          <w:kern w:val="0"/>
          <w:szCs w:val="20"/>
        </w:rPr>
        <w:drawing>
          <wp:inline distT="0" distB="0" distL="0" distR="0">
            <wp:extent cx="5471795" cy="249936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472000" cy="2499898"/>
                    </a:xfrm>
                    <a:prstGeom prst="rect">
                      <a:avLst/>
                    </a:prstGeom>
                    <a:noFill/>
                    <a:ln>
                      <a:noFill/>
                    </a:ln>
                    <a:effectLst/>
                  </pic:spPr>
                </pic:pic>
              </a:graphicData>
            </a:graphic>
          </wp:inline>
        </w:drawing>
      </w:r>
    </w:p>
    <w:p w14:paraId="38634016">
      <w:pPr>
        <w:pStyle w:val="14"/>
        <w:rPr>
          <w:b w:val="0"/>
          <w:color w:val="auto"/>
        </w:rPr>
      </w:pPr>
      <w:r>
        <w:rPr>
          <w:rFonts w:hint="eastAsia"/>
          <w:color w:val="auto"/>
        </w:rPr>
        <w:t>图</w:t>
      </w:r>
      <w:r>
        <w:rPr>
          <w:color w:val="auto"/>
        </w:rPr>
        <w:t>3.7</w:t>
      </w:r>
      <w:r>
        <w:rPr>
          <w:color w:val="auto"/>
        </w:rPr>
        <w:noBreakHyphen/>
      </w:r>
      <w:r>
        <w:rPr>
          <w:color w:val="auto"/>
        </w:rPr>
        <w:t>3H1潮位站潮位过程曲线</w:t>
      </w:r>
    </w:p>
    <w:p w14:paraId="529E5DBD">
      <w:pPr>
        <w:ind w:firstLine="0" w:firstLineChars="0"/>
        <w:rPr>
          <w:color w:val="auto"/>
        </w:rPr>
      </w:pPr>
      <w:r>
        <w:rPr>
          <w:color w:val="auto"/>
        </w:rPr>
        <w:drawing>
          <wp:inline distT="0" distB="0" distL="0" distR="0">
            <wp:extent cx="5471795" cy="2353945"/>
            <wp:effectExtent l="0" t="0" r="0"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472000" cy="2354339"/>
                    </a:xfrm>
                    <a:prstGeom prst="rect">
                      <a:avLst/>
                    </a:prstGeom>
                    <a:noFill/>
                    <a:ln>
                      <a:noFill/>
                    </a:ln>
                    <a:effectLst/>
                  </pic:spPr>
                </pic:pic>
              </a:graphicData>
            </a:graphic>
          </wp:inline>
        </w:drawing>
      </w:r>
    </w:p>
    <w:p w14:paraId="207EFC05">
      <w:pPr>
        <w:pStyle w:val="14"/>
        <w:rPr>
          <w:b w:val="0"/>
          <w:color w:val="auto"/>
        </w:rPr>
      </w:pPr>
      <w:r>
        <w:rPr>
          <w:rFonts w:hint="eastAsia"/>
          <w:color w:val="auto"/>
        </w:rPr>
        <w:t>图</w:t>
      </w:r>
      <w:r>
        <w:rPr>
          <w:color w:val="auto"/>
        </w:rPr>
        <w:t>3.7</w:t>
      </w:r>
      <w:r>
        <w:rPr>
          <w:color w:val="auto"/>
        </w:rPr>
        <w:noBreakHyphen/>
      </w:r>
      <w:r>
        <w:rPr>
          <w:color w:val="auto"/>
        </w:rPr>
        <w:t>4H2潮位站潮位过程曲线</w:t>
      </w:r>
    </w:p>
    <w:p w14:paraId="429715EC">
      <w:pPr>
        <w:spacing w:line="240" w:lineRule="auto"/>
        <w:ind w:firstLine="0" w:firstLineChars="0"/>
        <w:jc w:val="center"/>
        <w:rPr>
          <w:color w:val="auto"/>
          <w:kern w:val="0"/>
          <w:szCs w:val="20"/>
        </w:rPr>
      </w:pPr>
      <w:r>
        <w:rPr>
          <w:color w:val="auto"/>
          <w:kern w:val="0"/>
          <w:szCs w:val="20"/>
        </w:rPr>
        <w:drawing>
          <wp:inline distT="0" distB="0" distL="0" distR="0">
            <wp:extent cx="5471795" cy="221234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488915" cy="2219713"/>
                    </a:xfrm>
                    <a:prstGeom prst="rect">
                      <a:avLst/>
                    </a:prstGeom>
                    <a:noFill/>
                    <a:ln>
                      <a:noFill/>
                    </a:ln>
                    <a:effectLst/>
                  </pic:spPr>
                </pic:pic>
              </a:graphicData>
            </a:graphic>
          </wp:inline>
        </w:drawing>
      </w:r>
    </w:p>
    <w:p w14:paraId="3930CADD">
      <w:pPr>
        <w:pStyle w:val="14"/>
        <w:rPr>
          <w:b w:val="0"/>
          <w:color w:val="auto"/>
        </w:rPr>
      </w:pPr>
      <w:r>
        <w:rPr>
          <w:rFonts w:hint="eastAsia"/>
          <w:color w:val="auto"/>
        </w:rPr>
        <w:t>图</w:t>
      </w:r>
      <w:r>
        <w:rPr>
          <w:color w:val="auto"/>
        </w:rPr>
        <w:t>3.7</w:t>
      </w:r>
      <w:r>
        <w:rPr>
          <w:color w:val="auto"/>
        </w:rPr>
        <w:noBreakHyphen/>
      </w:r>
      <w:r>
        <w:rPr>
          <w:color w:val="auto"/>
        </w:rPr>
        <w:t>5H3潮位站潮位过程曲线</w:t>
      </w:r>
    </w:p>
    <w:p w14:paraId="1FE348BE">
      <w:pPr>
        <w:adjustRightInd w:val="0"/>
        <w:ind w:firstLine="480"/>
        <w:rPr>
          <w:color w:val="auto"/>
          <w:kern w:val="0"/>
          <w:szCs w:val="20"/>
        </w:rPr>
      </w:pPr>
      <w:r>
        <w:rPr>
          <w:rFonts w:hint="eastAsia"/>
          <w:color w:val="auto"/>
          <w:kern w:val="0"/>
          <w:szCs w:val="20"/>
        </w:rPr>
        <w:t>（2）</w:t>
      </w:r>
      <w:r>
        <w:rPr>
          <w:color w:val="auto"/>
          <w:kern w:val="0"/>
          <w:szCs w:val="20"/>
        </w:rPr>
        <w:t>实测潮汐特征值</w:t>
      </w:r>
    </w:p>
    <w:p w14:paraId="6D6A6D4C">
      <w:pPr>
        <w:adjustRightInd w:val="0"/>
        <w:ind w:firstLine="480"/>
        <w:rPr>
          <w:color w:val="auto"/>
          <w:kern w:val="0"/>
          <w:szCs w:val="20"/>
        </w:rPr>
      </w:pPr>
      <w:r>
        <w:rPr>
          <w:color w:val="auto"/>
          <w:kern w:val="0"/>
          <w:szCs w:val="20"/>
        </w:rPr>
        <w:t>为进一步了解测区的潮位变化特征，根据临时潮位站测得的实测潮位资料，统计得到该处的实测潮汐特征，由此可见：</w:t>
      </w:r>
    </w:p>
    <w:p w14:paraId="26EFF95E">
      <w:pPr>
        <w:adjustRightInd w:val="0"/>
        <w:ind w:firstLine="480"/>
        <w:rPr>
          <w:color w:val="auto"/>
          <w:kern w:val="0"/>
          <w:szCs w:val="20"/>
        </w:rPr>
      </w:pPr>
      <w:r>
        <w:rPr>
          <w:rFonts w:hint="eastAsia"/>
          <w:color w:val="auto"/>
          <w:kern w:val="0"/>
          <w:szCs w:val="20"/>
        </w:rPr>
        <w:t>①</w:t>
      </w:r>
      <w:r>
        <w:rPr>
          <w:color w:val="auto"/>
          <w:kern w:val="0"/>
          <w:szCs w:val="20"/>
        </w:rPr>
        <w:t>临时潮位站H1、H2、H3的短期平均海平面分别为263cm、265cm、268cm；</w:t>
      </w:r>
    </w:p>
    <w:p w14:paraId="5F3E4F42">
      <w:pPr>
        <w:adjustRightInd w:val="0"/>
        <w:ind w:firstLine="480"/>
        <w:rPr>
          <w:color w:val="auto"/>
          <w:kern w:val="0"/>
          <w:szCs w:val="20"/>
        </w:rPr>
      </w:pPr>
      <w:r>
        <w:rPr>
          <w:rFonts w:hint="eastAsia"/>
          <w:color w:val="auto"/>
          <w:kern w:val="0"/>
          <w:szCs w:val="20"/>
        </w:rPr>
        <w:t>②</w:t>
      </w:r>
      <w:r>
        <w:rPr>
          <w:color w:val="auto"/>
          <w:kern w:val="0"/>
          <w:szCs w:val="20"/>
        </w:rPr>
        <w:t>临时潮位站H1、H2、H3的最高潮位分别为467cm、468cm、470cm。最低潮位分别为58cm、59cm、30cm；</w:t>
      </w:r>
    </w:p>
    <w:p w14:paraId="74737515">
      <w:pPr>
        <w:adjustRightInd w:val="0"/>
        <w:ind w:firstLine="480"/>
        <w:rPr>
          <w:color w:val="auto"/>
          <w:kern w:val="0"/>
          <w:szCs w:val="20"/>
        </w:rPr>
      </w:pPr>
      <w:r>
        <w:rPr>
          <w:rFonts w:hint="eastAsia"/>
          <w:color w:val="auto"/>
          <w:kern w:val="0"/>
          <w:szCs w:val="20"/>
        </w:rPr>
        <w:t>③</w:t>
      </w:r>
      <w:r>
        <w:rPr>
          <w:color w:val="auto"/>
          <w:kern w:val="0"/>
          <w:szCs w:val="20"/>
        </w:rPr>
        <w:t>临时潮位站H1、H2、H3平均高潮位467cm、468cm、470cm，平均低潮位132cm、</w:t>
      </w:r>
      <w:r>
        <w:rPr>
          <w:rFonts w:hint="eastAsia"/>
          <w:color w:val="auto"/>
          <w:kern w:val="0"/>
          <w:szCs w:val="20"/>
        </w:rPr>
        <w:t>135cm、137cm。</w:t>
      </w:r>
    </w:p>
    <w:p w14:paraId="0C5FAC3B">
      <w:pPr>
        <w:adjustRightInd w:val="0"/>
        <w:ind w:firstLine="480"/>
        <w:rPr>
          <w:color w:val="auto"/>
          <w:kern w:val="0"/>
          <w:szCs w:val="20"/>
        </w:rPr>
      </w:pPr>
      <w:r>
        <w:rPr>
          <w:rFonts w:hint="eastAsia"/>
          <w:color w:val="auto"/>
          <w:kern w:val="0"/>
          <w:szCs w:val="20"/>
        </w:rPr>
        <w:t>④临时潮位站H1、H2、H3的最大潮差分别为409cm、409cm、410cm，最小潮差</w:t>
      </w:r>
      <w:r>
        <w:rPr>
          <w:color w:val="auto"/>
          <w:kern w:val="0"/>
          <w:szCs w:val="20"/>
        </w:rPr>
        <w:t>分别为16cm、15cm、18cm，平均潮差为分别260cm、260cm、261cm。</w:t>
      </w:r>
    </w:p>
    <w:p w14:paraId="4D5F01D0">
      <w:pPr>
        <w:pStyle w:val="14"/>
        <w:rPr>
          <w:color w:val="auto"/>
          <w:lang w:val="zh-CN"/>
        </w:rPr>
      </w:pPr>
      <w:r>
        <w:rPr>
          <w:rFonts w:hint="eastAsia"/>
          <w:color w:val="auto"/>
        </w:rPr>
        <w:t>表</w:t>
      </w:r>
      <w:r>
        <w:rPr>
          <w:color w:val="auto"/>
        </w:rPr>
        <w:t>3.7</w:t>
      </w:r>
      <w:r>
        <w:rPr>
          <w:color w:val="auto"/>
        </w:rPr>
        <w:noBreakHyphen/>
      </w:r>
      <w:r>
        <w:rPr>
          <w:color w:val="auto"/>
        </w:rPr>
        <w:t>11</w:t>
      </w:r>
      <w:r>
        <w:rPr>
          <w:rFonts w:hint="eastAsia"/>
          <w:color w:val="auto"/>
          <w:lang w:val="zh-CN"/>
        </w:rPr>
        <w:t>测区潮汐特征值列表</w:t>
      </w:r>
    </w:p>
    <w:tbl>
      <w:tblPr>
        <w:tblStyle w:val="217"/>
        <w:tblW w:w="502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997"/>
        <w:gridCol w:w="2520"/>
        <w:gridCol w:w="1774"/>
        <w:gridCol w:w="2050"/>
        <w:gridCol w:w="2097"/>
      </w:tblGrid>
      <w:tr w14:paraId="543418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4" w:hRule="atLeast"/>
          <w:tblHeader/>
          <w:jc w:val="center"/>
        </w:trPr>
        <w:tc>
          <w:tcPr>
            <w:tcW w:w="1863" w:type="pct"/>
            <w:gridSpan w:val="2"/>
            <w:vMerge w:val="restart"/>
            <w:vAlign w:val="center"/>
          </w:tcPr>
          <w:p w14:paraId="50D5731C">
            <w:pPr>
              <w:spacing w:line="240" w:lineRule="auto"/>
              <w:ind w:firstLine="0" w:firstLineChars="0"/>
              <w:jc w:val="center"/>
              <w:rPr>
                <w:color w:val="auto"/>
                <w:kern w:val="0"/>
                <w:sz w:val="21"/>
                <w:szCs w:val="21"/>
              </w:rPr>
            </w:pPr>
            <w:r>
              <w:rPr>
                <w:color w:val="auto"/>
                <w:kern w:val="0"/>
                <w:sz w:val="21"/>
                <w:szCs w:val="21"/>
              </w:rPr>
              <w:t>项目</w:t>
            </w:r>
          </w:p>
        </w:tc>
        <w:tc>
          <w:tcPr>
            <w:tcW w:w="3137" w:type="pct"/>
            <w:gridSpan w:val="3"/>
            <w:vAlign w:val="center"/>
          </w:tcPr>
          <w:p w14:paraId="27ADDE40">
            <w:pPr>
              <w:spacing w:line="240" w:lineRule="auto"/>
              <w:ind w:firstLine="0" w:firstLineChars="0"/>
              <w:jc w:val="center"/>
              <w:rPr>
                <w:color w:val="auto"/>
                <w:kern w:val="0"/>
                <w:sz w:val="21"/>
                <w:szCs w:val="21"/>
              </w:rPr>
            </w:pPr>
            <w:r>
              <w:rPr>
                <w:color w:val="auto"/>
                <w:kern w:val="0"/>
                <w:sz w:val="21"/>
                <w:szCs w:val="21"/>
              </w:rPr>
              <w:t>特征值（cm）</w:t>
            </w:r>
          </w:p>
        </w:tc>
      </w:tr>
      <w:tr w14:paraId="46837E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2" w:hRule="atLeast"/>
          <w:tblHeader/>
          <w:jc w:val="center"/>
        </w:trPr>
        <w:tc>
          <w:tcPr>
            <w:tcW w:w="1863" w:type="pct"/>
            <w:gridSpan w:val="2"/>
            <w:vMerge w:val="continue"/>
            <w:vAlign w:val="center"/>
          </w:tcPr>
          <w:p w14:paraId="6D977CD4">
            <w:pPr>
              <w:spacing w:line="240" w:lineRule="auto"/>
              <w:ind w:firstLine="0" w:firstLineChars="0"/>
              <w:jc w:val="center"/>
              <w:rPr>
                <w:color w:val="auto"/>
                <w:kern w:val="0"/>
                <w:sz w:val="21"/>
                <w:szCs w:val="21"/>
              </w:rPr>
            </w:pPr>
          </w:p>
        </w:tc>
        <w:tc>
          <w:tcPr>
            <w:tcW w:w="940" w:type="pct"/>
            <w:vAlign w:val="center"/>
          </w:tcPr>
          <w:p w14:paraId="679CB112">
            <w:pPr>
              <w:spacing w:line="240" w:lineRule="auto"/>
              <w:ind w:firstLine="0" w:firstLineChars="0"/>
              <w:jc w:val="center"/>
              <w:rPr>
                <w:color w:val="auto"/>
                <w:kern w:val="0"/>
                <w:sz w:val="21"/>
                <w:szCs w:val="21"/>
              </w:rPr>
            </w:pPr>
            <w:r>
              <w:rPr>
                <w:color w:val="auto"/>
                <w:kern w:val="0"/>
                <w:sz w:val="21"/>
                <w:szCs w:val="21"/>
              </w:rPr>
              <w:t>临时潮位站H1</w:t>
            </w:r>
          </w:p>
        </w:tc>
        <w:tc>
          <w:tcPr>
            <w:tcW w:w="1086" w:type="pct"/>
            <w:vAlign w:val="center"/>
          </w:tcPr>
          <w:p w14:paraId="0141FAA7">
            <w:pPr>
              <w:spacing w:line="240" w:lineRule="auto"/>
              <w:ind w:firstLine="0" w:firstLineChars="0"/>
              <w:jc w:val="center"/>
              <w:rPr>
                <w:color w:val="auto"/>
                <w:kern w:val="0"/>
                <w:sz w:val="21"/>
                <w:szCs w:val="21"/>
              </w:rPr>
            </w:pPr>
            <w:r>
              <w:rPr>
                <w:color w:val="auto"/>
                <w:kern w:val="0"/>
                <w:sz w:val="21"/>
                <w:szCs w:val="21"/>
              </w:rPr>
              <w:t>临时潮位站H2</w:t>
            </w:r>
          </w:p>
        </w:tc>
        <w:tc>
          <w:tcPr>
            <w:tcW w:w="1111" w:type="pct"/>
            <w:vAlign w:val="center"/>
          </w:tcPr>
          <w:p w14:paraId="5B39767D">
            <w:pPr>
              <w:spacing w:line="240" w:lineRule="auto"/>
              <w:ind w:firstLine="0" w:firstLineChars="0"/>
              <w:jc w:val="center"/>
              <w:rPr>
                <w:color w:val="auto"/>
                <w:kern w:val="0"/>
                <w:sz w:val="21"/>
                <w:szCs w:val="21"/>
              </w:rPr>
            </w:pPr>
            <w:r>
              <w:rPr>
                <w:color w:val="auto"/>
                <w:kern w:val="0"/>
                <w:sz w:val="21"/>
                <w:szCs w:val="21"/>
              </w:rPr>
              <w:t>临时潮位站H3</w:t>
            </w:r>
          </w:p>
        </w:tc>
      </w:tr>
      <w:tr w14:paraId="1FD3DD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2" w:hRule="atLeast"/>
          <w:jc w:val="center"/>
        </w:trPr>
        <w:tc>
          <w:tcPr>
            <w:tcW w:w="528" w:type="pct"/>
            <w:vMerge w:val="restart"/>
            <w:vAlign w:val="center"/>
          </w:tcPr>
          <w:p w14:paraId="3D9867FD">
            <w:pPr>
              <w:spacing w:line="240" w:lineRule="auto"/>
              <w:ind w:firstLine="0" w:firstLineChars="0"/>
              <w:jc w:val="center"/>
              <w:rPr>
                <w:color w:val="auto"/>
                <w:kern w:val="0"/>
                <w:sz w:val="21"/>
                <w:szCs w:val="21"/>
              </w:rPr>
            </w:pPr>
            <w:r>
              <w:rPr>
                <w:color w:val="auto"/>
                <w:kern w:val="0"/>
                <w:sz w:val="21"/>
                <w:szCs w:val="21"/>
              </w:rPr>
              <w:t>潮位</w:t>
            </w:r>
          </w:p>
        </w:tc>
        <w:tc>
          <w:tcPr>
            <w:tcW w:w="1334" w:type="pct"/>
            <w:vAlign w:val="center"/>
          </w:tcPr>
          <w:p w14:paraId="1ADA21F0">
            <w:pPr>
              <w:spacing w:line="240" w:lineRule="auto"/>
              <w:ind w:firstLine="0" w:firstLineChars="0"/>
              <w:jc w:val="center"/>
              <w:rPr>
                <w:color w:val="auto"/>
                <w:kern w:val="0"/>
                <w:sz w:val="21"/>
                <w:szCs w:val="21"/>
              </w:rPr>
            </w:pPr>
            <w:r>
              <w:rPr>
                <w:color w:val="auto"/>
                <w:kern w:val="0"/>
                <w:sz w:val="21"/>
                <w:szCs w:val="21"/>
              </w:rPr>
              <w:t>最高潮位</w:t>
            </w:r>
          </w:p>
        </w:tc>
        <w:tc>
          <w:tcPr>
            <w:tcW w:w="940" w:type="pct"/>
            <w:vAlign w:val="center"/>
          </w:tcPr>
          <w:p w14:paraId="3D54C389">
            <w:pPr>
              <w:spacing w:line="240" w:lineRule="auto"/>
              <w:ind w:firstLine="0" w:firstLineChars="0"/>
              <w:jc w:val="center"/>
              <w:rPr>
                <w:color w:val="auto"/>
                <w:kern w:val="0"/>
                <w:sz w:val="21"/>
                <w:szCs w:val="21"/>
              </w:rPr>
            </w:pPr>
          </w:p>
        </w:tc>
        <w:tc>
          <w:tcPr>
            <w:tcW w:w="1086" w:type="pct"/>
            <w:vAlign w:val="center"/>
          </w:tcPr>
          <w:p w14:paraId="77DE4651">
            <w:pPr>
              <w:spacing w:line="240" w:lineRule="auto"/>
              <w:ind w:firstLine="0" w:firstLineChars="0"/>
              <w:jc w:val="center"/>
              <w:rPr>
                <w:color w:val="auto"/>
                <w:kern w:val="0"/>
                <w:sz w:val="21"/>
                <w:szCs w:val="21"/>
              </w:rPr>
            </w:pPr>
          </w:p>
        </w:tc>
        <w:tc>
          <w:tcPr>
            <w:tcW w:w="1111" w:type="pct"/>
            <w:vAlign w:val="center"/>
          </w:tcPr>
          <w:p w14:paraId="253C92AE">
            <w:pPr>
              <w:spacing w:line="240" w:lineRule="auto"/>
              <w:ind w:firstLine="0" w:firstLineChars="0"/>
              <w:jc w:val="center"/>
              <w:rPr>
                <w:color w:val="auto"/>
                <w:kern w:val="0"/>
                <w:sz w:val="21"/>
                <w:szCs w:val="21"/>
              </w:rPr>
            </w:pPr>
          </w:p>
        </w:tc>
      </w:tr>
      <w:tr w14:paraId="484903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4" w:hRule="atLeast"/>
          <w:jc w:val="center"/>
        </w:trPr>
        <w:tc>
          <w:tcPr>
            <w:tcW w:w="528" w:type="pct"/>
            <w:vMerge w:val="continue"/>
            <w:vAlign w:val="center"/>
          </w:tcPr>
          <w:p w14:paraId="1DE26BA0">
            <w:pPr>
              <w:spacing w:line="240" w:lineRule="auto"/>
              <w:ind w:firstLine="0" w:firstLineChars="0"/>
              <w:jc w:val="center"/>
              <w:rPr>
                <w:color w:val="auto"/>
                <w:kern w:val="0"/>
                <w:sz w:val="21"/>
                <w:szCs w:val="21"/>
              </w:rPr>
            </w:pPr>
          </w:p>
        </w:tc>
        <w:tc>
          <w:tcPr>
            <w:tcW w:w="1334" w:type="pct"/>
            <w:vAlign w:val="center"/>
          </w:tcPr>
          <w:p w14:paraId="1247A87A">
            <w:pPr>
              <w:spacing w:line="240" w:lineRule="auto"/>
              <w:ind w:firstLine="0" w:firstLineChars="0"/>
              <w:jc w:val="center"/>
              <w:rPr>
                <w:color w:val="auto"/>
                <w:kern w:val="0"/>
                <w:sz w:val="21"/>
                <w:szCs w:val="21"/>
              </w:rPr>
            </w:pPr>
            <w:r>
              <w:rPr>
                <w:color w:val="auto"/>
                <w:kern w:val="0"/>
                <w:sz w:val="21"/>
                <w:szCs w:val="21"/>
              </w:rPr>
              <w:t>最低潮位</w:t>
            </w:r>
          </w:p>
        </w:tc>
        <w:tc>
          <w:tcPr>
            <w:tcW w:w="940" w:type="pct"/>
            <w:vAlign w:val="center"/>
          </w:tcPr>
          <w:p w14:paraId="62171182">
            <w:pPr>
              <w:spacing w:line="240" w:lineRule="auto"/>
              <w:ind w:firstLine="0" w:firstLineChars="0"/>
              <w:jc w:val="center"/>
              <w:rPr>
                <w:color w:val="auto"/>
                <w:kern w:val="0"/>
                <w:sz w:val="21"/>
                <w:szCs w:val="21"/>
              </w:rPr>
            </w:pPr>
          </w:p>
        </w:tc>
        <w:tc>
          <w:tcPr>
            <w:tcW w:w="1086" w:type="pct"/>
            <w:vAlign w:val="center"/>
          </w:tcPr>
          <w:p w14:paraId="2A07831E">
            <w:pPr>
              <w:spacing w:line="240" w:lineRule="auto"/>
              <w:ind w:firstLine="0" w:firstLineChars="0"/>
              <w:jc w:val="center"/>
              <w:rPr>
                <w:color w:val="auto"/>
                <w:kern w:val="0"/>
                <w:sz w:val="21"/>
                <w:szCs w:val="21"/>
              </w:rPr>
            </w:pPr>
          </w:p>
        </w:tc>
        <w:tc>
          <w:tcPr>
            <w:tcW w:w="1111" w:type="pct"/>
            <w:vAlign w:val="center"/>
          </w:tcPr>
          <w:p w14:paraId="7D3DD609">
            <w:pPr>
              <w:spacing w:line="240" w:lineRule="auto"/>
              <w:ind w:firstLine="0" w:firstLineChars="0"/>
              <w:jc w:val="center"/>
              <w:rPr>
                <w:color w:val="auto"/>
                <w:kern w:val="0"/>
                <w:sz w:val="21"/>
                <w:szCs w:val="21"/>
              </w:rPr>
            </w:pPr>
          </w:p>
        </w:tc>
      </w:tr>
      <w:tr w14:paraId="16E5BD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528" w:type="pct"/>
            <w:vMerge w:val="continue"/>
            <w:vAlign w:val="center"/>
          </w:tcPr>
          <w:p w14:paraId="341F70D9">
            <w:pPr>
              <w:spacing w:line="240" w:lineRule="auto"/>
              <w:ind w:firstLine="0" w:firstLineChars="0"/>
              <w:jc w:val="center"/>
              <w:rPr>
                <w:color w:val="auto"/>
                <w:kern w:val="0"/>
                <w:sz w:val="21"/>
                <w:szCs w:val="21"/>
              </w:rPr>
            </w:pPr>
          </w:p>
        </w:tc>
        <w:tc>
          <w:tcPr>
            <w:tcW w:w="1334" w:type="pct"/>
            <w:vAlign w:val="center"/>
          </w:tcPr>
          <w:p w14:paraId="3538FC9D">
            <w:pPr>
              <w:spacing w:line="240" w:lineRule="auto"/>
              <w:ind w:firstLine="0" w:firstLineChars="0"/>
              <w:jc w:val="center"/>
              <w:rPr>
                <w:color w:val="auto"/>
                <w:kern w:val="0"/>
                <w:sz w:val="21"/>
                <w:szCs w:val="21"/>
              </w:rPr>
            </w:pPr>
            <w:r>
              <w:rPr>
                <w:color w:val="auto"/>
                <w:kern w:val="0"/>
                <w:sz w:val="21"/>
                <w:szCs w:val="21"/>
              </w:rPr>
              <w:t>平均高潮位</w:t>
            </w:r>
          </w:p>
        </w:tc>
        <w:tc>
          <w:tcPr>
            <w:tcW w:w="940" w:type="pct"/>
            <w:vAlign w:val="center"/>
          </w:tcPr>
          <w:p w14:paraId="663FED52">
            <w:pPr>
              <w:spacing w:line="240" w:lineRule="auto"/>
              <w:ind w:firstLine="0" w:firstLineChars="0"/>
              <w:jc w:val="center"/>
              <w:rPr>
                <w:color w:val="auto"/>
                <w:kern w:val="0"/>
                <w:sz w:val="21"/>
                <w:szCs w:val="21"/>
              </w:rPr>
            </w:pPr>
          </w:p>
        </w:tc>
        <w:tc>
          <w:tcPr>
            <w:tcW w:w="1086" w:type="pct"/>
            <w:vAlign w:val="center"/>
          </w:tcPr>
          <w:p w14:paraId="3D805E45">
            <w:pPr>
              <w:spacing w:line="240" w:lineRule="auto"/>
              <w:ind w:firstLine="0" w:firstLineChars="0"/>
              <w:jc w:val="center"/>
              <w:rPr>
                <w:color w:val="auto"/>
                <w:kern w:val="0"/>
                <w:sz w:val="21"/>
                <w:szCs w:val="21"/>
              </w:rPr>
            </w:pPr>
          </w:p>
        </w:tc>
        <w:tc>
          <w:tcPr>
            <w:tcW w:w="1111" w:type="pct"/>
            <w:vAlign w:val="center"/>
          </w:tcPr>
          <w:p w14:paraId="00AD6419">
            <w:pPr>
              <w:spacing w:line="240" w:lineRule="auto"/>
              <w:ind w:firstLine="0" w:firstLineChars="0"/>
              <w:jc w:val="center"/>
              <w:rPr>
                <w:color w:val="auto"/>
                <w:kern w:val="0"/>
                <w:sz w:val="21"/>
                <w:szCs w:val="21"/>
              </w:rPr>
            </w:pPr>
          </w:p>
        </w:tc>
      </w:tr>
      <w:tr w14:paraId="1631EC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0697DDCB">
            <w:pPr>
              <w:spacing w:line="240" w:lineRule="auto"/>
              <w:ind w:firstLine="0" w:firstLineChars="0"/>
              <w:jc w:val="center"/>
              <w:rPr>
                <w:color w:val="auto"/>
                <w:kern w:val="0"/>
                <w:sz w:val="21"/>
                <w:szCs w:val="21"/>
              </w:rPr>
            </w:pPr>
          </w:p>
        </w:tc>
        <w:tc>
          <w:tcPr>
            <w:tcW w:w="1334" w:type="pct"/>
            <w:vAlign w:val="center"/>
          </w:tcPr>
          <w:p w14:paraId="0B245D53">
            <w:pPr>
              <w:spacing w:line="240" w:lineRule="auto"/>
              <w:ind w:firstLine="0" w:firstLineChars="0"/>
              <w:jc w:val="center"/>
              <w:rPr>
                <w:color w:val="auto"/>
                <w:kern w:val="0"/>
                <w:sz w:val="21"/>
                <w:szCs w:val="21"/>
              </w:rPr>
            </w:pPr>
            <w:r>
              <w:rPr>
                <w:color w:val="auto"/>
                <w:kern w:val="0"/>
                <w:sz w:val="21"/>
                <w:szCs w:val="21"/>
              </w:rPr>
              <w:t>平均低潮位</w:t>
            </w:r>
          </w:p>
        </w:tc>
        <w:tc>
          <w:tcPr>
            <w:tcW w:w="940" w:type="pct"/>
            <w:vAlign w:val="center"/>
          </w:tcPr>
          <w:p w14:paraId="0D1CE733">
            <w:pPr>
              <w:spacing w:line="240" w:lineRule="auto"/>
              <w:ind w:firstLine="0" w:firstLineChars="0"/>
              <w:jc w:val="center"/>
              <w:rPr>
                <w:color w:val="auto"/>
                <w:kern w:val="0"/>
                <w:sz w:val="21"/>
                <w:szCs w:val="21"/>
              </w:rPr>
            </w:pPr>
          </w:p>
        </w:tc>
        <w:tc>
          <w:tcPr>
            <w:tcW w:w="1086" w:type="pct"/>
            <w:vAlign w:val="center"/>
          </w:tcPr>
          <w:p w14:paraId="28DE478A">
            <w:pPr>
              <w:spacing w:line="240" w:lineRule="auto"/>
              <w:ind w:firstLine="0" w:firstLineChars="0"/>
              <w:jc w:val="center"/>
              <w:rPr>
                <w:color w:val="auto"/>
                <w:kern w:val="0"/>
                <w:sz w:val="21"/>
                <w:szCs w:val="21"/>
              </w:rPr>
            </w:pPr>
          </w:p>
        </w:tc>
        <w:tc>
          <w:tcPr>
            <w:tcW w:w="1111" w:type="pct"/>
            <w:vAlign w:val="center"/>
          </w:tcPr>
          <w:p w14:paraId="726B3735">
            <w:pPr>
              <w:spacing w:line="240" w:lineRule="auto"/>
              <w:ind w:firstLine="0" w:firstLineChars="0"/>
              <w:jc w:val="center"/>
              <w:rPr>
                <w:color w:val="auto"/>
                <w:kern w:val="0"/>
                <w:sz w:val="21"/>
                <w:szCs w:val="21"/>
              </w:rPr>
            </w:pPr>
          </w:p>
        </w:tc>
      </w:tr>
      <w:tr w14:paraId="69229A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143946ED">
            <w:pPr>
              <w:spacing w:line="240" w:lineRule="auto"/>
              <w:ind w:firstLine="0" w:firstLineChars="0"/>
              <w:jc w:val="center"/>
              <w:rPr>
                <w:color w:val="auto"/>
                <w:kern w:val="0"/>
                <w:sz w:val="21"/>
                <w:szCs w:val="21"/>
              </w:rPr>
            </w:pPr>
          </w:p>
        </w:tc>
        <w:tc>
          <w:tcPr>
            <w:tcW w:w="1334" w:type="pct"/>
            <w:vAlign w:val="center"/>
          </w:tcPr>
          <w:p w14:paraId="7462BF45">
            <w:pPr>
              <w:spacing w:line="240" w:lineRule="auto"/>
              <w:ind w:firstLine="0" w:firstLineChars="0"/>
              <w:jc w:val="center"/>
              <w:rPr>
                <w:color w:val="auto"/>
                <w:kern w:val="0"/>
                <w:sz w:val="21"/>
                <w:szCs w:val="21"/>
              </w:rPr>
            </w:pPr>
            <w:r>
              <w:rPr>
                <w:color w:val="auto"/>
                <w:kern w:val="0"/>
                <w:sz w:val="21"/>
                <w:szCs w:val="21"/>
              </w:rPr>
              <w:t>平均海平面</w:t>
            </w:r>
          </w:p>
        </w:tc>
        <w:tc>
          <w:tcPr>
            <w:tcW w:w="940" w:type="pct"/>
            <w:vAlign w:val="center"/>
          </w:tcPr>
          <w:p w14:paraId="0B50BDB8">
            <w:pPr>
              <w:spacing w:line="240" w:lineRule="auto"/>
              <w:ind w:firstLine="0" w:firstLineChars="0"/>
              <w:jc w:val="center"/>
              <w:rPr>
                <w:color w:val="auto"/>
                <w:kern w:val="0"/>
                <w:sz w:val="21"/>
                <w:szCs w:val="21"/>
              </w:rPr>
            </w:pPr>
          </w:p>
        </w:tc>
        <w:tc>
          <w:tcPr>
            <w:tcW w:w="1086" w:type="pct"/>
            <w:vAlign w:val="center"/>
          </w:tcPr>
          <w:p w14:paraId="338AF4DE">
            <w:pPr>
              <w:spacing w:line="240" w:lineRule="auto"/>
              <w:ind w:firstLine="0" w:firstLineChars="0"/>
              <w:jc w:val="center"/>
              <w:rPr>
                <w:color w:val="auto"/>
                <w:kern w:val="0"/>
                <w:sz w:val="21"/>
                <w:szCs w:val="21"/>
              </w:rPr>
            </w:pPr>
          </w:p>
        </w:tc>
        <w:tc>
          <w:tcPr>
            <w:tcW w:w="1111" w:type="pct"/>
            <w:vAlign w:val="center"/>
          </w:tcPr>
          <w:p w14:paraId="74E0A4E3">
            <w:pPr>
              <w:spacing w:line="240" w:lineRule="auto"/>
              <w:ind w:firstLine="0" w:firstLineChars="0"/>
              <w:jc w:val="center"/>
              <w:rPr>
                <w:color w:val="auto"/>
                <w:kern w:val="0"/>
                <w:sz w:val="21"/>
                <w:szCs w:val="21"/>
              </w:rPr>
            </w:pPr>
          </w:p>
        </w:tc>
      </w:tr>
      <w:tr w14:paraId="0DB987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restart"/>
            <w:vAlign w:val="center"/>
          </w:tcPr>
          <w:p w14:paraId="6F812747">
            <w:pPr>
              <w:spacing w:line="240" w:lineRule="auto"/>
              <w:ind w:firstLine="0" w:firstLineChars="0"/>
              <w:jc w:val="center"/>
              <w:rPr>
                <w:color w:val="auto"/>
                <w:kern w:val="0"/>
                <w:sz w:val="21"/>
                <w:szCs w:val="21"/>
              </w:rPr>
            </w:pPr>
            <w:r>
              <w:rPr>
                <w:color w:val="auto"/>
                <w:kern w:val="0"/>
                <w:sz w:val="21"/>
                <w:szCs w:val="21"/>
              </w:rPr>
              <w:t>潮差</w:t>
            </w:r>
          </w:p>
        </w:tc>
        <w:tc>
          <w:tcPr>
            <w:tcW w:w="1334" w:type="pct"/>
            <w:vAlign w:val="center"/>
          </w:tcPr>
          <w:p w14:paraId="48CCCFD2">
            <w:pPr>
              <w:spacing w:line="240" w:lineRule="auto"/>
              <w:ind w:firstLine="0" w:firstLineChars="0"/>
              <w:jc w:val="center"/>
              <w:rPr>
                <w:color w:val="auto"/>
                <w:kern w:val="0"/>
                <w:sz w:val="21"/>
                <w:szCs w:val="21"/>
              </w:rPr>
            </w:pPr>
            <w:r>
              <w:rPr>
                <w:color w:val="auto"/>
                <w:kern w:val="0"/>
                <w:sz w:val="21"/>
                <w:szCs w:val="21"/>
              </w:rPr>
              <w:t>最大潮差</w:t>
            </w:r>
          </w:p>
        </w:tc>
        <w:tc>
          <w:tcPr>
            <w:tcW w:w="940" w:type="pct"/>
            <w:vAlign w:val="center"/>
          </w:tcPr>
          <w:p w14:paraId="744D7D08">
            <w:pPr>
              <w:spacing w:line="240" w:lineRule="auto"/>
              <w:ind w:firstLine="0" w:firstLineChars="0"/>
              <w:jc w:val="center"/>
              <w:rPr>
                <w:color w:val="auto"/>
                <w:kern w:val="0"/>
                <w:sz w:val="21"/>
                <w:szCs w:val="21"/>
              </w:rPr>
            </w:pPr>
          </w:p>
        </w:tc>
        <w:tc>
          <w:tcPr>
            <w:tcW w:w="1086" w:type="pct"/>
            <w:vAlign w:val="center"/>
          </w:tcPr>
          <w:p w14:paraId="5BC2A2A0">
            <w:pPr>
              <w:spacing w:line="240" w:lineRule="auto"/>
              <w:ind w:firstLine="0" w:firstLineChars="0"/>
              <w:jc w:val="center"/>
              <w:rPr>
                <w:color w:val="auto"/>
                <w:kern w:val="0"/>
                <w:sz w:val="21"/>
                <w:szCs w:val="21"/>
              </w:rPr>
            </w:pPr>
          </w:p>
        </w:tc>
        <w:tc>
          <w:tcPr>
            <w:tcW w:w="1111" w:type="pct"/>
            <w:vAlign w:val="center"/>
          </w:tcPr>
          <w:p w14:paraId="54E5C4BE">
            <w:pPr>
              <w:spacing w:line="240" w:lineRule="auto"/>
              <w:ind w:firstLine="0" w:firstLineChars="0"/>
              <w:jc w:val="center"/>
              <w:rPr>
                <w:color w:val="auto"/>
                <w:kern w:val="0"/>
                <w:sz w:val="21"/>
                <w:szCs w:val="21"/>
              </w:rPr>
            </w:pPr>
          </w:p>
        </w:tc>
      </w:tr>
      <w:tr w14:paraId="5E9404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528" w:type="pct"/>
            <w:vMerge w:val="continue"/>
            <w:vAlign w:val="center"/>
          </w:tcPr>
          <w:p w14:paraId="21803D92">
            <w:pPr>
              <w:spacing w:line="240" w:lineRule="auto"/>
              <w:ind w:firstLine="0" w:firstLineChars="0"/>
              <w:jc w:val="center"/>
              <w:rPr>
                <w:color w:val="auto"/>
                <w:kern w:val="0"/>
                <w:sz w:val="21"/>
                <w:szCs w:val="21"/>
              </w:rPr>
            </w:pPr>
          </w:p>
        </w:tc>
        <w:tc>
          <w:tcPr>
            <w:tcW w:w="1334" w:type="pct"/>
            <w:vAlign w:val="center"/>
          </w:tcPr>
          <w:p w14:paraId="4FC6D711">
            <w:pPr>
              <w:spacing w:line="240" w:lineRule="auto"/>
              <w:ind w:firstLine="0" w:firstLineChars="0"/>
              <w:jc w:val="center"/>
              <w:rPr>
                <w:color w:val="auto"/>
                <w:kern w:val="0"/>
                <w:sz w:val="21"/>
                <w:szCs w:val="21"/>
              </w:rPr>
            </w:pPr>
            <w:r>
              <w:rPr>
                <w:color w:val="auto"/>
                <w:kern w:val="0"/>
                <w:sz w:val="21"/>
                <w:szCs w:val="21"/>
              </w:rPr>
              <w:t>最小潮差</w:t>
            </w:r>
          </w:p>
        </w:tc>
        <w:tc>
          <w:tcPr>
            <w:tcW w:w="940" w:type="pct"/>
            <w:vAlign w:val="center"/>
          </w:tcPr>
          <w:p w14:paraId="1A357687">
            <w:pPr>
              <w:spacing w:line="240" w:lineRule="auto"/>
              <w:ind w:firstLine="0" w:firstLineChars="0"/>
              <w:jc w:val="center"/>
              <w:rPr>
                <w:color w:val="auto"/>
                <w:kern w:val="0"/>
                <w:sz w:val="21"/>
                <w:szCs w:val="21"/>
              </w:rPr>
            </w:pPr>
          </w:p>
        </w:tc>
        <w:tc>
          <w:tcPr>
            <w:tcW w:w="1086" w:type="pct"/>
            <w:vAlign w:val="center"/>
          </w:tcPr>
          <w:p w14:paraId="1010DA3C">
            <w:pPr>
              <w:spacing w:line="240" w:lineRule="auto"/>
              <w:ind w:firstLine="0" w:firstLineChars="0"/>
              <w:jc w:val="center"/>
              <w:rPr>
                <w:color w:val="auto"/>
                <w:kern w:val="0"/>
                <w:sz w:val="21"/>
                <w:szCs w:val="21"/>
              </w:rPr>
            </w:pPr>
          </w:p>
        </w:tc>
        <w:tc>
          <w:tcPr>
            <w:tcW w:w="1111" w:type="pct"/>
            <w:vAlign w:val="center"/>
          </w:tcPr>
          <w:p w14:paraId="7190E452">
            <w:pPr>
              <w:spacing w:line="240" w:lineRule="auto"/>
              <w:ind w:firstLine="0" w:firstLineChars="0"/>
              <w:jc w:val="center"/>
              <w:rPr>
                <w:color w:val="auto"/>
                <w:kern w:val="0"/>
                <w:sz w:val="21"/>
                <w:szCs w:val="21"/>
              </w:rPr>
            </w:pPr>
          </w:p>
        </w:tc>
      </w:tr>
      <w:tr w14:paraId="5B6981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6F75774D">
            <w:pPr>
              <w:spacing w:line="240" w:lineRule="auto"/>
              <w:ind w:firstLine="0" w:firstLineChars="0"/>
              <w:jc w:val="center"/>
              <w:rPr>
                <w:color w:val="auto"/>
                <w:kern w:val="0"/>
                <w:sz w:val="21"/>
                <w:szCs w:val="21"/>
              </w:rPr>
            </w:pPr>
          </w:p>
        </w:tc>
        <w:tc>
          <w:tcPr>
            <w:tcW w:w="1334" w:type="pct"/>
            <w:vAlign w:val="center"/>
          </w:tcPr>
          <w:p w14:paraId="086EBECF">
            <w:pPr>
              <w:spacing w:line="240" w:lineRule="auto"/>
              <w:ind w:firstLine="0" w:firstLineChars="0"/>
              <w:jc w:val="center"/>
              <w:rPr>
                <w:color w:val="auto"/>
                <w:kern w:val="0"/>
                <w:sz w:val="21"/>
                <w:szCs w:val="21"/>
              </w:rPr>
            </w:pPr>
            <w:r>
              <w:rPr>
                <w:color w:val="auto"/>
                <w:kern w:val="0"/>
                <w:sz w:val="21"/>
                <w:szCs w:val="21"/>
              </w:rPr>
              <w:t>平均潮差</w:t>
            </w:r>
          </w:p>
        </w:tc>
        <w:tc>
          <w:tcPr>
            <w:tcW w:w="940" w:type="pct"/>
            <w:vAlign w:val="center"/>
          </w:tcPr>
          <w:p w14:paraId="1B9ACC2A">
            <w:pPr>
              <w:spacing w:line="240" w:lineRule="auto"/>
              <w:ind w:firstLine="0" w:firstLineChars="0"/>
              <w:jc w:val="center"/>
              <w:rPr>
                <w:color w:val="auto"/>
                <w:kern w:val="0"/>
                <w:sz w:val="21"/>
                <w:szCs w:val="21"/>
              </w:rPr>
            </w:pPr>
          </w:p>
        </w:tc>
        <w:tc>
          <w:tcPr>
            <w:tcW w:w="1086" w:type="pct"/>
            <w:vAlign w:val="center"/>
          </w:tcPr>
          <w:p w14:paraId="1C972D3E">
            <w:pPr>
              <w:spacing w:line="240" w:lineRule="auto"/>
              <w:ind w:firstLine="0" w:firstLineChars="0"/>
              <w:jc w:val="center"/>
              <w:rPr>
                <w:color w:val="auto"/>
                <w:kern w:val="0"/>
                <w:sz w:val="21"/>
                <w:szCs w:val="21"/>
              </w:rPr>
            </w:pPr>
          </w:p>
        </w:tc>
        <w:tc>
          <w:tcPr>
            <w:tcW w:w="1111" w:type="pct"/>
            <w:vAlign w:val="center"/>
          </w:tcPr>
          <w:p w14:paraId="6EAF7006">
            <w:pPr>
              <w:spacing w:line="240" w:lineRule="auto"/>
              <w:ind w:firstLine="0" w:firstLineChars="0"/>
              <w:jc w:val="center"/>
              <w:rPr>
                <w:color w:val="auto"/>
                <w:kern w:val="0"/>
                <w:sz w:val="21"/>
                <w:szCs w:val="21"/>
              </w:rPr>
            </w:pPr>
          </w:p>
        </w:tc>
      </w:tr>
      <w:tr w14:paraId="6D7DF7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528" w:type="pct"/>
            <w:vMerge w:val="restart"/>
            <w:vAlign w:val="center"/>
          </w:tcPr>
          <w:p w14:paraId="7999035A">
            <w:pPr>
              <w:spacing w:line="240" w:lineRule="auto"/>
              <w:ind w:firstLine="0" w:firstLineChars="0"/>
              <w:jc w:val="center"/>
              <w:rPr>
                <w:color w:val="auto"/>
                <w:kern w:val="0"/>
                <w:sz w:val="21"/>
                <w:szCs w:val="21"/>
              </w:rPr>
            </w:pPr>
            <w:r>
              <w:rPr>
                <w:color w:val="auto"/>
                <w:kern w:val="0"/>
                <w:sz w:val="21"/>
                <w:szCs w:val="21"/>
              </w:rPr>
              <w:t>全日潮时段</w:t>
            </w:r>
          </w:p>
        </w:tc>
        <w:tc>
          <w:tcPr>
            <w:tcW w:w="1334" w:type="pct"/>
            <w:vAlign w:val="center"/>
          </w:tcPr>
          <w:p w14:paraId="7E229252">
            <w:pPr>
              <w:spacing w:line="240" w:lineRule="auto"/>
              <w:ind w:firstLine="0" w:firstLineChars="0"/>
              <w:jc w:val="center"/>
              <w:rPr>
                <w:color w:val="auto"/>
                <w:kern w:val="0"/>
                <w:sz w:val="21"/>
                <w:szCs w:val="21"/>
              </w:rPr>
            </w:pPr>
            <w:r>
              <w:rPr>
                <w:color w:val="auto"/>
                <w:kern w:val="0"/>
                <w:sz w:val="21"/>
                <w:szCs w:val="21"/>
              </w:rPr>
              <w:t>平均涨潮历时（h:mm）</w:t>
            </w:r>
          </w:p>
        </w:tc>
        <w:tc>
          <w:tcPr>
            <w:tcW w:w="940" w:type="pct"/>
            <w:vAlign w:val="center"/>
          </w:tcPr>
          <w:p w14:paraId="0F545318">
            <w:pPr>
              <w:spacing w:line="240" w:lineRule="auto"/>
              <w:ind w:firstLine="0" w:firstLineChars="0"/>
              <w:jc w:val="center"/>
              <w:rPr>
                <w:color w:val="auto"/>
                <w:kern w:val="0"/>
                <w:sz w:val="21"/>
                <w:szCs w:val="21"/>
              </w:rPr>
            </w:pPr>
          </w:p>
        </w:tc>
        <w:tc>
          <w:tcPr>
            <w:tcW w:w="1086" w:type="pct"/>
            <w:vAlign w:val="center"/>
          </w:tcPr>
          <w:p w14:paraId="31048A93">
            <w:pPr>
              <w:spacing w:line="240" w:lineRule="auto"/>
              <w:ind w:firstLine="0" w:firstLineChars="0"/>
              <w:jc w:val="center"/>
              <w:rPr>
                <w:color w:val="auto"/>
                <w:kern w:val="0"/>
                <w:sz w:val="21"/>
                <w:szCs w:val="21"/>
              </w:rPr>
            </w:pPr>
          </w:p>
        </w:tc>
        <w:tc>
          <w:tcPr>
            <w:tcW w:w="1111" w:type="pct"/>
            <w:vAlign w:val="center"/>
          </w:tcPr>
          <w:p w14:paraId="1644EE7D">
            <w:pPr>
              <w:spacing w:line="240" w:lineRule="auto"/>
              <w:ind w:firstLine="0" w:firstLineChars="0"/>
              <w:jc w:val="center"/>
              <w:rPr>
                <w:color w:val="auto"/>
                <w:kern w:val="0"/>
                <w:sz w:val="21"/>
                <w:szCs w:val="21"/>
              </w:rPr>
            </w:pPr>
          </w:p>
        </w:tc>
      </w:tr>
      <w:tr w14:paraId="4EA377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147A4AD8">
            <w:pPr>
              <w:spacing w:line="240" w:lineRule="auto"/>
              <w:ind w:firstLine="0" w:firstLineChars="0"/>
              <w:jc w:val="center"/>
              <w:rPr>
                <w:color w:val="auto"/>
                <w:kern w:val="0"/>
                <w:sz w:val="21"/>
                <w:szCs w:val="21"/>
              </w:rPr>
            </w:pPr>
          </w:p>
        </w:tc>
        <w:tc>
          <w:tcPr>
            <w:tcW w:w="1334" w:type="pct"/>
            <w:vAlign w:val="center"/>
          </w:tcPr>
          <w:p w14:paraId="3295F3A5">
            <w:pPr>
              <w:spacing w:line="240" w:lineRule="auto"/>
              <w:ind w:firstLine="0" w:firstLineChars="0"/>
              <w:jc w:val="center"/>
              <w:rPr>
                <w:color w:val="auto"/>
                <w:kern w:val="0"/>
                <w:sz w:val="21"/>
                <w:szCs w:val="21"/>
              </w:rPr>
            </w:pPr>
            <w:r>
              <w:rPr>
                <w:color w:val="auto"/>
                <w:kern w:val="0"/>
                <w:sz w:val="21"/>
                <w:szCs w:val="21"/>
              </w:rPr>
              <w:t>平均落潮历时（h:mm）</w:t>
            </w:r>
          </w:p>
        </w:tc>
        <w:tc>
          <w:tcPr>
            <w:tcW w:w="940" w:type="pct"/>
            <w:vAlign w:val="center"/>
          </w:tcPr>
          <w:p w14:paraId="3DB0DD1B">
            <w:pPr>
              <w:spacing w:line="240" w:lineRule="auto"/>
              <w:ind w:firstLine="0" w:firstLineChars="0"/>
              <w:jc w:val="center"/>
              <w:rPr>
                <w:color w:val="auto"/>
                <w:kern w:val="0"/>
                <w:sz w:val="21"/>
                <w:szCs w:val="21"/>
              </w:rPr>
            </w:pPr>
          </w:p>
        </w:tc>
        <w:tc>
          <w:tcPr>
            <w:tcW w:w="1086" w:type="pct"/>
            <w:vAlign w:val="center"/>
          </w:tcPr>
          <w:p w14:paraId="451F1852">
            <w:pPr>
              <w:spacing w:line="240" w:lineRule="auto"/>
              <w:ind w:firstLine="0" w:firstLineChars="0"/>
              <w:jc w:val="center"/>
              <w:rPr>
                <w:color w:val="auto"/>
                <w:kern w:val="0"/>
                <w:sz w:val="21"/>
                <w:szCs w:val="21"/>
              </w:rPr>
            </w:pPr>
          </w:p>
        </w:tc>
        <w:tc>
          <w:tcPr>
            <w:tcW w:w="1111" w:type="pct"/>
            <w:vAlign w:val="center"/>
          </w:tcPr>
          <w:p w14:paraId="54F4CE84">
            <w:pPr>
              <w:spacing w:line="240" w:lineRule="auto"/>
              <w:ind w:firstLine="0" w:firstLineChars="0"/>
              <w:jc w:val="center"/>
              <w:rPr>
                <w:color w:val="auto"/>
                <w:kern w:val="0"/>
                <w:sz w:val="21"/>
                <w:szCs w:val="21"/>
              </w:rPr>
            </w:pPr>
          </w:p>
        </w:tc>
      </w:tr>
      <w:tr w14:paraId="2EE1FB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restart"/>
            <w:vAlign w:val="center"/>
          </w:tcPr>
          <w:p w14:paraId="7037786A">
            <w:pPr>
              <w:spacing w:line="240" w:lineRule="auto"/>
              <w:ind w:firstLine="0" w:firstLineChars="0"/>
              <w:jc w:val="center"/>
              <w:rPr>
                <w:color w:val="auto"/>
                <w:kern w:val="0"/>
                <w:sz w:val="21"/>
                <w:szCs w:val="21"/>
              </w:rPr>
            </w:pPr>
            <w:r>
              <w:rPr>
                <w:color w:val="auto"/>
                <w:kern w:val="0"/>
                <w:sz w:val="21"/>
                <w:szCs w:val="21"/>
              </w:rPr>
              <w:t>半日潮时段</w:t>
            </w:r>
          </w:p>
        </w:tc>
        <w:tc>
          <w:tcPr>
            <w:tcW w:w="1334" w:type="pct"/>
            <w:vAlign w:val="center"/>
          </w:tcPr>
          <w:p w14:paraId="1B137A43">
            <w:pPr>
              <w:spacing w:line="240" w:lineRule="auto"/>
              <w:ind w:firstLine="0" w:firstLineChars="0"/>
              <w:jc w:val="center"/>
              <w:rPr>
                <w:color w:val="auto"/>
                <w:kern w:val="0"/>
                <w:sz w:val="21"/>
                <w:szCs w:val="21"/>
              </w:rPr>
            </w:pPr>
            <w:r>
              <w:rPr>
                <w:color w:val="auto"/>
                <w:kern w:val="0"/>
                <w:sz w:val="21"/>
                <w:szCs w:val="21"/>
              </w:rPr>
              <w:t>平均涨潮历时（h:mm）</w:t>
            </w:r>
          </w:p>
        </w:tc>
        <w:tc>
          <w:tcPr>
            <w:tcW w:w="940" w:type="pct"/>
            <w:vAlign w:val="center"/>
          </w:tcPr>
          <w:p w14:paraId="55462AA4">
            <w:pPr>
              <w:spacing w:line="240" w:lineRule="auto"/>
              <w:ind w:firstLine="0" w:firstLineChars="0"/>
              <w:jc w:val="center"/>
              <w:rPr>
                <w:color w:val="auto"/>
                <w:kern w:val="0"/>
                <w:sz w:val="21"/>
                <w:szCs w:val="21"/>
              </w:rPr>
            </w:pPr>
          </w:p>
        </w:tc>
        <w:tc>
          <w:tcPr>
            <w:tcW w:w="1086" w:type="pct"/>
            <w:vAlign w:val="center"/>
          </w:tcPr>
          <w:p w14:paraId="7FDEA84C">
            <w:pPr>
              <w:spacing w:line="240" w:lineRule="auto"/>
              <w:ind w:firstLine="0" w:firstLineChars="0"/>
              <w:jc w:val="center"/>
              <w:rPr>
                <w:color w:val="auto"/>
                <w:kern w:val="0"/>
                <w:sz w:val="21"/>
                <w:szCs w:val="21"/>
              </w:rPr>
            </w:pPr>
          </w:p>
        </w:tc>
        <w:tc>
          <w:tcPr>
            <w:tcW w:w="1111" w:type="pct"/>
            <w:vAlign w:val="center"/>
          </w:tcPr>
          <w:p w14:paraId="1BEB59D5">
            <w:pPr>
              <w:spacing w:line="240" w:lineRule="auto"/>
              <w:ind w:firstLine="0" w:firstLineChars="0"/>
              <w:jc w:val="center"/>
              <w:rPr>
                <w:color w:val="auto"/>
                <w:kern w:val="0"/>
                <w:sz w:val="21"/>
                <w:szCs w:val="21"/>
              </w:rPr>
            </w:pPr>
          </w:p>
        </w:tc>
      </w:tr>
      <w:tr w14:paraId="1EE7D8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2E745D4D">
            <w:pPr>
              <w:spacing w:line="240" w:lineRule="auto"/>
              <w:ind w:firstLine="0" w:firstLineChars="0"/>
              <w:jc w:val="center"/>
              <w:rPr>
                <w:color w:val="auto"/>
                <w:kern w:val="0"/>
                <w:sz w:val="21"/>
                <w:szCs w:val="21"/>
              </w:rPr>
            </w:pPr>
          </w:p>
        </w:tc>
        <w:tc>
          <w:tcPr>
            <w:tcW w:w="1334" w:type="pct"/>
            <w:vAlign w:val="center"/>
          </w:tcPr>
          <w:p w14:paraId="412C0FE4">
            <w:pPr>
              <w:spacing w:line="240" w:lineRule="auto"/>
              <w:ind w:firstLine="0" w:firstLineChars="0"/>
              <w:jc w:val="center"/>
              <w:rPr>
                <w:color w:val="auto"/>
                <w:kern w:val="0"/>
                <w:sz w:val="21"/>
                <w:szCs w:val="21"/>
              </w:rPr>
            </w:pPr>
            <w:r>
              <w:rPr>
                <w:color w:val="auto"/>
                <w:kern w:val="0"/>
                <w:sz w:val="21"/>
                <w:szCs w:val="21"/>
              </w:rPr>
              <w:t>平均落潮历时（h:mm）</w:t>
            </w:r>
          </w:p>
        </w:tc>
        <w:tc>
          <w:tcPr>
            <w:tcW w:w="940" w:type="pct"/>
            <w:vAlign w:val="center"/>
          </w:tcPr>
          <w:p w14:paraId="526A6B27">
            <w:pPr>
              <w:spacing w:line="240" w:lineRule="auto"/>
              <w:ind w:firstLine="0" w:firstLineChars="0"/>
              <w:jc w:val="center"/>
              <w:rPr>
                <w:color w:val="auto"/>
                <w:kern w:val="0"/>
                <w:sz w:val="21"/>
                <w:szCs w:val="21"/>
              </w:rPr>
            </w:pPr>
          </w:p>
        </w:tc>
        <w:tc>
          <w:tcPr>
            <w:tcW w:w="1086" w:type="pct"/>
            <w:vAlign w:val="center"/>
          </w:tcPr>
          <w:p w14:paraId="579DA264">
            <w:pPr>
              <w:spacing w:line="240" w:lineRule="auto"/>
              <w:ind w:firstLine="0" w:firstLineChars="0"/>
              <w:jc w:val="center"/>
              <w:rPr>
                <w:color w:val="auto"/>
                <w:kern w:val="0"/>
                <w:sz w:val="21"/>
                <w:szCs w:val="21"/>
              </w:rPr>
            </w:pPr>
          </w:p>
        </w:tc>
        <w:tc>
          <w:tcPr>
            <w:tcW w:w="1111" w:type="pct"/>
            <w:vAlign w:val="center"/>
          </w:tcPr>
          <w:p w14:paraId="556BAD65">
            <w:pPr>
              <w:spacing w:line="240" w:lineRule="auto"/>
              <w:ind w:firstLine="0" w:firstLineChars="0"/>
              <w:jc w:val="center"/>
              <w:rPr>
                <w:color w:val="auto"/>
                <w:kern w:val="0"/>
                <w:sz w:val="21"/>
                <w:szCs w:val="21"/>
              </w:rPr>
            </w:pPr>
          </w:p>
        </w:tc>
      </w:tr>
      <w:tr w14:paraId="5EC14E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30" w:hRule="atLeast"/>
          <w:jc w:val="center"/>
        </w:trPr>
        <w:tc>
          <w:tcPr>
            <w:tcW w:w="1863" w:type="pct"/>
            <w:gridSpan w:val="2"/>
            <w:vAlign w:val="center"/>
          </w:tcPr>
          <w:p w14:paraId="3F594FAE">
            <w:pPr>
              <w:spacing w:line="240" w:lineRule="auto"/>
              <w:ind w:firstLine="0" w:firstLineChars="0"/>
              <w:jc w:val="center"/>
              <w:rPr>
                <w:color w:val="auto"/>
                <w:kern w:val="0"/>
                <w:sz w:val="21"/>
                <w:szCs w:val="21"/>
              </w:rPr>
            </w:pPr>
            <w:r>
              <w:rPr>
                <w:color w:val="auto"/>
                <w:kern w:val="0"/>
                <w:sz w:val="21"/>
                <w:szCs w:val="21"/>
              </w:rPr>
              <w:t>基准面</w:t>
            </w:r>
          </w:p>
        </w:tc>
        <w:tc>
          <w:tcPr>
            <w:tcW w:w="3137" w:type="pct"/>
            <w:gridSpan w:val="3"/>
            <w:vAlign w:val="center"/>
          </w:tcPr>
          <w:p w14:paraId="6052ACF0">
            <w:pPr>
              <w:spacing w:line="240" w:lineRule="auto"/>
              <w:ind w:firstLine="0" w:firstLineChars="0"/>
              <w:jc w:val="center"/>
              <w:rPr>
                <w:color w:val="auto"/>
                <w:kern w:val="0"/>
                <w:sz w:val="21"/>
                <w:szCs w:val="21"/>
              </w:rPr>
            </w:pPr>
            <w:r>
              <w:rPr>
                <w:color w:val="auto"/>
                <w:kern w:val="0"/>
                <w:sz w:val="21"/>
                <w:szCs w:val="21"/>
              </w:rPr>
              <w:t>当地理论最低基准高程</w:t>
            </w:r>
          </w:p>
        </w:tc>
      </w:tr>
    </w:tbl>
    <w:p w14:paraId="38DFF547">
      <w:pPr>
        <w:ind w:firstLine="480"/>
        <w:rPr>
          <w:color w:val="auto"/>
          <w:kern w:val="0"/>
          <w:szCs w:val="20"/>
        </w:rPr>
      </w:pPr>
      <w:r>
        <w:rPr>
          <w:rFonts w:hint="eastAsia"/>
          <w:color w:val="auto"/>
          <w:kern w:val="0"/>
          <w:szCs w:val="20"/>
        </w:rPr>
        <w:t>（3）</w:t>
      </w:r>
      <w:r>
        <w:rPr>
          <w:color w:val="auto"/>
          <w:kern w:val="0"/>
          <w:szCs w:val="20"/>
        </w:rPr>
        <w:t>潮汐性质</w:t>
      </w:r>
    </w:p>
    <w:p w14:paraId="02D166BC">
      <w:pPr>
        <w:ind w:firstLine="480"/>
        <w:rPr>
          <w:color w:val="auto"/>
          <w:kern w:val="0"/>
          <w:szCs w:val="20"/>
        </w:rPr>
      </w:pPr>
      <w:r>
        <w:rPr>
          <w:color w:val="auto"/>
          <w:kern w:val="0"/>
          <w:szCs w:val="20"/>
        </w:rPr>
        <w:t>对临时潮位站H1、H2、H3实测潮位资料进行短期调和分析，以了解该海域的潮汐一般特性，表3.</w:t>
      </w:r>
      <w:r>
        <w:rPr>
          <w:rFonts w:hint="eastAsia"/>
          <w:color w:val="auto"/>
          <w:kern w:val="0"/>
          <w:szCs w:val="20"/>
        </w:rPr>
        <w:t>8-3</w:t>
      </w:r>
      <w:r>
        <w:rPr>
          <w:color w:val="auto"/>
          <w:kern w:val="0"/>
          <w:szCs w:val="20"/>
        </w:rPr>
        <w:t>列出了临时潮位站H1~H3处4个主要分潮和4个主要浅水分潮的潮汐调和常数。由表可见，临时潮位站处的潮汐以O1分潮为主，验潮站H1、H2、H3的O1分潮振幅分别为96.28cm、95.70cm、95.30cm，其次是K1分潮，其振幅分别为72.63cm、72.97cm、73.60cm，表明该海区由全日潮占主导。根据下面两个临时潮位站的潮汐类型判别式可知测区潮汐主要表现均为正规全日潮。</w:t>
      </w:r>
    </w:p>
    <w:p w14:paraId="365EE7C7">
      <w:pPr>
        <w:ind w:firstLine="480"/>
        <w:rPr>
          <w:color w:val="auto"/>
          <w:kern w:val="0"/>
          <w:szCs w:val="20"/>
        </w:rPr>
      </w:pPr>
      <w:r>
        <w:rPr>
          <w:color w:val="auto"/>
          <w:kern w:val="0"/>
          <w:szCs w:val="20"/>
        </w:rPr>
        <w:t>H1、H2、H3潮位站第一类潮汐特征值</w:t>
      </w:r>
      <w:r>
        <w:rPr>
          <w:rFonts w:hint="eastAsia"/>
          <w:color w:val="auto"/>
          <w:kern w:val="0"/>
          <w:szCs w:val="20"/>
        </w:rPr>
        <w:t>（主要描述潮汐的运动学特征，即潮汐的基本运动规律）</w:t>
      </w:r>
      <w:r>
        <w:rPr>
          <w:color w:val="auto"/>
          <w:kern w:val="0"/>
          <w:szCs w:val="20"/>
        </w:rPr>
        <w:t>分别为3.12、3.10、3.08，均大于3。第二类潮汐特征值</w:t>
      </w:r>
      <w:r>
        <w:rPr>
          <w:rFonts w:hint="eastAsia"/>
          <w:color w:val="auto"/>
          <w:kern w:val="0"/>
          <w:szCs w:val="20"/>
        </w:rPr>
        <w:t>（主要描述潮汐的动力学特征，即潮汐的形成原因和影响因素）</w:t>
      </w:r>
      <w:r>
        <w:rPr>
          <w:color w:val="auto"/>
          <w:kern w:val="0"/>
          <w:szCs w:val="20"/>
        </w:rPr>
        <w:t>分别为4.37、4.35、4.32，大于4。潮汐类型：由验潮资料求得的调和常数计算可知，该海区的潮汐类型为正规的全日潮海区。</w:t>
      </w:r>
    </w:p>
    <w:p w14:paraId="71EEA0F2">
      <w:pPr>
        <w:pStyle w:val="14"/>
        <w:rPr>
          <w:color w:val="auto"/>
          <w:lang w:val="zh-CN"/>
        </w:rPr>
      </w:pPr>
      <w:r>
        <w:rPr>
          <w:rFonts w:hint="eastAsia"/>
          <w:color w:val="auto"/>
        </w:rPr>
        <w:t>表</w:t>
      </w:r>
      <w:r>
        <w:rPr>
          <w:color w:val="auto"/>
        </w:rPr>
        <w:t>3.7</w:t>
      </w:r>
      <w:r>
        <w:rPr>
          <w:color w:val="auto"/>
        </w:rPr>
        <w:noBreakHyphen/>
      </w:r>
      <w:r>
        <w:rPr>
          <w:color w:val="auto"/>
        </w:rPr>
        <w:t>12</w:t>
      </w:r>
      <w:r>
        <w:rPr>
          <w:rFonts w:hint="eastAsia"/>
          <w:color w:val="auto"/>
          <w:lang w:val="zh-CN"/>
        </w:rPr>
        <w:t>测区临时潮位站的潮汐调和常数列表</w:t>
      </w:r>
    </w:p>
    <w:tbl>
      <w:tblPr>
        <w:tblStyle w:val="217"/>
        <w:tblW w:w="4999"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973"/>
        <w:gridCol w:w="1231"/>
        <w:gridCol w:w="1233"/>
        <w:gridCol w:w="1231"/>
        <w:gridCol w:w="1233"/>
        <w:gridCol w:w="1232"/>
        <w:gridCol w:w="1249"/>
      </w:tblGrid>
      <w:tr w14:paraId="688D5A8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01" w:hRule="atLeast"/>
          <w:jc w:val="center"/>
        </w:trPr>
        <w:tc>
          <w:tcPr>
            <w:tcW w:w="1051" w:type="pct"/>
            <w:vMerge w:val="restart"/>
            <w:vAlign w:val="center"/>
          </w:tcPr>
          <w:p w14:paraId="6AA16B15">
            <w:pPr>
              <w:spacing w:line="240" w:lineRule="auto"/>
              <w:ind w:firstLine="0" w:firstLineChars="0"/>
              <w:jc w:val="center"/>
              <w:rPr>
                <w:color w:val="auto"/>
                <w:kern w:val="0"/>
                <w:sz w:val="21"/>
                <w:szCs w:val="21"/>
              </w:rPr>
            </w:pPr>
            <w:r>
              <w:rPr>
                <w:color w:val="auto"/>
                <w:kern w:val="0"/>
                <w:sz w:val="21"/>
                <w:szCs w:val="21"/>
              </w:rPr>
              <w:t>分潮</w:t>
            </w:r>
          </w:p>
        </w:tc>
        <w:tc>
          <w:tcPr>
            <w:tcW w:w="1313" w:type="pct"/>
            <w:gridSpan w:val="2"/>
            <w:vAlign w:val="center"/>
          </w:tcPr>
          <w:p w14:paraId="4D95F88B">
            <w:pPr>
              <w:spacing w:line="240" w:lineRule="auto"/>
              <w:ind w:firstLine="0" w:firstLineChars="0"/>
              <w:jc w:val="center"/>
              <w:rPr>
                <w:color w:val="auto"/>
                <w:kern w:val="0"/>
                <w:sz w:val="21"/>
                <w:szCs w:val="21"/>
              </w:rPr>
            </w:pPr>
            <w:r>
              <w:rPr>
                <w:color w:val="auto"/>
                <w:kern w:val="0"/>
                <w:sz w:val="21"/>
                <w:szCs w:val="21"/>
              </w:rPr>
              <w:t>H1</w:t>
            </w:r>
          </w:p>
        </w:tc>
        <w:tc>
          <w:tcPr>
            <w:tcW w:w="1313" w:type="pct"/>
            <w:gridSpan w:val="2"/>
            <w:vAlign w:val="center"/>
          </w:tcPr>
          <w:p w14:paraId="0D6CC643">
            <w:pPr>
              <w:spacing w:line="240" w:lineRule="auto"/>
              <w:ind w:firstLine="0" w:firstLineChars="0"/>
              <w:jc w:val="center"/>
              <w:rPr>
                <w:color w:val="auto"/>
                <w:kern w:val="0"/>
                <w:sz w:val="21"/>
                <w:szCs w:val="21"/>
              </w:rPr>
            </w:pPr>
            <w:r>
              <w:rPr>
                <w:color w:val="auto"/>
                <w:kern w:val="0"/>
                <w:sz w:val="21"/>
                <w:szCs w:val="21"/>
              </w:rPr>
              <w:t>H2</w:t>
            </w:r>
          </w:p>
        </w:tc>
        <w:tc>
          <w:tcPr>
            <w:tcW w:w="1321" w:type="pct"/>
            <w:gridSpan w:val="2"/>
            <w:vAlign w:val="center"/>
          </w:tcPr>
          <w:p w14:paraId="20FEC30C">
            <w:pPr>
              <w:spacing w:line="240" w:lineRule="auto"/>
              <w:ind w:firstLine="0" w:firstLineChars="0"/>
              <w:jc w:val="center"/>
              <w:rPr>
                <w:color w:val="auto"/>
                <w:kern w:val="0"/>
                <w:sz w:val="21"/>
                <w:szCs w:val="21"/>
              </w:rPr>
            </w:pPr>
            <w:r>
              <w:rPr>
                <w:color w:val="auto"/>
                <w:kern w:val="0"/>
                <w:sz w:val="21"/>
                <w:szCs w:val="21"/>
              </w:rPr>
              <w:t>H3</w:t>
            </w:r>
          </w:p>
        </w:tc>
      </w:tr>
      <w:tr w14:paraId="22A7572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Merge w:val="continue"/>
            <w:vAlign w:val="center"/>
          </w:tcPr>
          <w:p w14:paraId="11D5FB15">
            <w:pPr>
              <w:spacing w:line="240" w:lineRule="auto"/>
              <w:ind w:firstLine="0" w:firstLineChars="0"/>
              <w:jc w:val="center"/>
              <w:rPr>
                <w:color w:val="auto"/>
                <w:kern w:val="0"/>
                <w:sz w:val="21"/>
                <w:szCs w:val="21"/>
              </w:rPr>
            </w:pPr>
          </w:p>
        </w:tc>
        <w:tc>
          <w:tcPr>
            <w:tcW w:w="656" w:type="pct"/>
            <w:vAlign w:val="center"/>
          </w:tcPr>
          <w:p w14:paraId="590DFD8A">
            <w:pPr>
              <w:spacing w:line="240" w:lineRule="auto"/>
              <w:ind w:firstLine="0" w:firstLineChars="0"/>
              <w:jc w:val="center"/>
              <w:rPr>
                <w:color w:val="auto"/>
                <w:kern w:val="0"/>
                <w:sz w:val="21"/>
                <w:szCs w:val="21"/>
              </w:rPr>
            </w:pPr>
            <w:r>
              <w:rPr>
                <w:color w:val="auto"/>
                <w:kern w:val="0"/>
                <w:sz w:val="21"/>
                <w:szCs w:val="21"/>
              </w:rPr>
              <w:t>振幅</w:t>
            </w:r>
          </w:p>
        </w:tc>
        <w:tc>
          <w:tcPr>
            <w:tcW w:w="657" w:type="pct"/>
            <w:vAlign w:val="center"/>
          </w:tcPr>
          <w:p w14:paraId="08C477B8">
            <w:pPr>
              <w:spacing w:line="240" w:lineRule="auto"/>
              <w:ind w:firstLine="0" w:firstLineChars="0"/>
              <w:jc w:val="center"/>
              <w:rPr>
                <w:color w:val="auto"/>
                <w:kern w:val="0"/>
                <w:sz w:val="21"/>
                <w:szCs w:val="21"/>
              </w:rPr>
            </w:pPr>
            <w:r>
              <w:rPr>
                <w:color w:val="auto"/>
                <w:kern w:val="0"/>
                <w:sz w:val="21"/>
                <w:szCs w:val="21"/>
              </w:rPr>
              <w:t>迟角</w:t>
            </w:r>
          </w:p>
        </w:tc>
        <w:tc>
          <w:tcPr>
            <w:tcW w:w="656" w:type="pct"/>
            <w:vAlign w:val="center"/>
          </w:tcPr>
          <w:p w14:paraId="7431867D">
            <w:pPr>
              <w:spacing w:line="240" w:lineRule="auto"/>
              <w:ind w:firstLine="0" w:firstLineChars="0"/>
              <w:jc w:val="center"/>
              <w:rPr>
                <w:color w:val="auto"/>
                <w:kern w:val="0"/>
                <w:sz w:val="21"/>
                <w:szCs w:val="21"/>
              </w:rPr>
            </w:pPr>
            <w:r>
              <w:rPr>
                <w:color w:val="auto"/>
                <w:kern w:val="0"/>
                <w:sz w:val="21"/>
                <w:szCs w:val="21"/>
              </w:rPr>
              <w:t>振幅</w:t>
            </w:r>
          </w:p>
        </w:tc>
        <w:tc>
          <w:tcPr>
            <w:tcW w:w="657" w:type="pct"/>
            <w:vAlign w:val="center"/>
          </w:tcPr>
          <w:p w14:paraId="2B014F8A">
            <w:pPr>
              <w:spacing w:line="240" w:lineRule="auto"/>
              <w:ind w:firstLine="0" w:firstLineChars="0"/>
              <w:jc w:val="center"/>
              <w:rPr>
                <w:color w:val="auto"/>
                <w:kern w:val="0"/>
                <w:sz w:val="21"/>
                <w:szCs w:val="21"/>
              </w:rPr>
            </w:pPr>
            <w:r>
              <w:rPr>
                <w:color w:val="auto"/>
                <w:kern w:val="0"/>
                <w:sz w:val="21"/>
                <w:szCs w:val="21"/>
              </w:rPr>
              <w:t>迟角</w:t>
            </w:r>
          </w:p>
        </w:tc>
        <w:tc>
          <w:tcPr>
            <w:tcW w:w="656" w:type="pct"/>
            <w:vAlign w:val="center"/>
          </w:tcPr>
          <w:p w14:paraId="6C552AC9">
            <w:pPr>
              <w:spacing w:line="240" w:lineRule="auto"/>
              <w:ind w:firstLine="0" w:firstLineChars="0"/>
              <w:jc w:val="center"/>
              <w:rPr>
                <w:color w:val="auto"/>
                <w:kern w:val="0"/>
                <w:sz w:val="21"/>
                <w:szCs w:val="21"/>
              </w:rPr>
            </w:pPr>
            <w:r>
              <w:rPr>
                <w:color w:val="auto"/>
                <w:kern w:val="0"/>
                <w:sz w:val="21"/>
                <w:szCs w:val="21"/>
              </w:rPr>
              <w:t>振幅</w:t>
            </w:r>
          </w:p>
        </w:tc>
        <w:tc>
          <w:tcPr>
            <w:tcW w:w="664" w:type="pct"/>
            <w:vAlign w:val="center"/>
          </w:tcPr>
          <w:p w14:paraId="1A575011">
            <w:pPr>
              <w:spacing w:line="240" w:lineRule="auto"/>
              <w:ind w:firstLine="0" w:firstLineChars="0"/>
              <w:jc w:val="center"/>
              <w:rPr>
                <w:color w:val="auto"/>
                <w:kern w:val="0"/>
                <w:sz w:val="21"/>
                <w:szCs w:val="21"/>
              </w:rPr>
            </w:pPr>
            <w:r>
              <w:rPr>
                <w:color w:val="auto"/>
                <w:kern w:val="0"/>
                <w:sz w:val="21"/>
                <w:szCs w:val="21"/>
              </w:rPr>
              <w:t>迟角</w:t>
            </w:r>
          </w:p>
        </w:tc>
      </w:tr>
      <w:tr w14:paraId="561DD87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Align w:val="center"/>
          </w:tcPr>
          <w:p w14:paraId="08C6FE69">
            <w:pPr>
              <w:spacing w:line="240" w:lineRule="auto"/>
              <w:ind w:firstLine="0" w:firstLineChars="0"/>
              <w:jc w:val="center"/>
              <w:rPr>
                <w:color w:val="auto"/>
                <w:kern w:val="0"/>
                <w:sz w:val="21"/>
                <w:szCs w:val="21"/>
              </w:rPr>
            </w:pPr>
            <w:r>
              <w:rPr>
                <w:color w:val="auto"/>
                <w:kern w:val="0"/>
                <w:sz w:val="21"/>
                <w:szCs w:val="21"/>
              </w:rPr>
              <w:t>O1</w:t>
            </w:r>
          </w:p>
        </w:tc>
        <w:tc>
          <w:tcPr>
            <w:tcW w:w="656" w:type="pct"/>
            <w:vAlign w:val="center"/>
          </w:tcPr>
          <w:p w14:paraId="551ABF0F">
            <w:pPr>
              <w:spacing w:line="240" w:lineRule="auto"/>
              <w:ind w:firstLine="0" w:firstLineChars="0"/>
              <w:jc w:val="center"/>
              <w:rPr>
                <w:color w:val="auto"/>
                <w:kern w:val="0"/>
                <w:sz w:val="21"/>
                <w:szCs w:val="21"/>
              </w:rPr>
            </w:pPr>
          </w:p>
        </w:tc>
        <w:tc>
          <w:tcPr>
            <w:tcW w:w="657" w:type="pct"/>
            <w:vAlign w:val="center"/>
          </w:tcPr>
          <w:p w14:paraId="7E209623">
            <w:pPr>
              <w:spacing w:line="240" w:lineRule="auto"/>
              <w:ind w:firstLine="0" w:firstLineChars="0"/>
              <w:jc w:val="center"/>
              <w:rPr>
                <w:color w:val="auto"/>
                <w:kern w:val="0"/>
                <w:sz w:val="21"/>
                <w:szCs w:val="21"/>
              </w:rPr>
            </w:pPr>
          </w:p>
        </w:tc>
        <w:tc>
          <w:tcPr>
            <w:tcW w:w="656" w:type="pct"/>
            <w:vAlign w:val="center"/>
          </w:tcPr>
          <w:p w14:paraId="432CA7F0">
            <w:pPr>
              <w:spacing w:line="240" w:lineRule="auto"/>
              <w:ind w:firstLine="0" w:firstLineChars="0"/>
              <w:jc w:val="center"/>
              <w:rPr>
                <w:color w:val="auto"/>
                <w:kern w:val="0"/>
                <w:sz w:val="21"/>
                <w:szCs w:val="21"/>
              </w:rPr>
            </w:pPr>
          </w:p>
        </w:tc>
        <w:tc>
          <w:tcPr>
            <w:tcW w:w="657" w:type="pct"/>
            <w:vAlign w:val="center"/>
          </w:tcPr>
          <w:p w14:paraId="23337955">
            <w:pPr>
              <w:spacing w:line="240" w:lineRule="auto"/>
              <w:ind w:firstLine="0" w:firstLineChars="0"/>
              <w:jc w:val="center"/>
              <w:rPr>
                <w:color w:val="auto"/>
                <w:kern w:val="0"/>
                <w:sz w:val="21"/>
                <w:szCs w:val="21"/>
              </w:rPr>
            </w:pPr>
          </w:p>
        </w:tc>
        <w:tc>
          <w:tcPr>
            <w:tcW w:w="656" w:type="pct"/>
            <w:vAlign w:val="center"/>
          </w:tcPr>
          <w:p w14:paraId="08C26EE0">
            <w:pPr>
              <w:spacing w:line="240" w:lineRule="auto"/>
              <w:ind w:firstLine="0" w:firstLineChars="0"/>
              <w:jc w:val="center"/>
              <w:rPr>
                <w:color w:val="auto"/>
                <w:kern w:val="0"/>
                <w:sz w:val="21"/>
                <w:szCs w:val="21"/>
              </w:rPr>
            </w:pPr>
          </w:p>
        </w:tc>
        <w:tc>
          <w:tcPr>
            <w:tcW w:w="664" w:type="pct"/>
            <w:vAlign w:val="center"/>
          </w:tcPr>
          <w:p w14:paraId="2624354F">
            <w:pPr>
              <w:spacing w:line="240" w:lineRule="auto"/>
              <w:ind w:firstLine="0" w:firstLineChars="0"/>
              <w:jc w:val="center"/>
              <w:rPr>
                <w:color w:val="auto"/>
                <w:kern w:val="0"/>
                <w:sz w:val="21"/>
                <w:szCs w:val="21"/>
              </w:rPr>
            </w:pPr>
          </w:p>
        </w:tc>
      </w:tr>
      <w:tr w14:paraId="281565F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Align w:val="center"/>
          </w:tcPr>
          <w:p w14:paraId="52051821">
            <w:pPr>
              <w:spacing w:line="240" w:lineRule="auto"/>
              <w:ind w:firstLine="0" w:firstLineChars="0"/>
              <w:jc w:val="center"/>
              <w:rPr>
                <w:color w:val="auto"/>
                <w:kern w:val="0"/>
                <w:sz w:val="21"/>
                <w:szCs w:val="21"/>
              </w:rPr>
            </w:pPr>
            <w:r>
              <w:rPr>
                <w:color w:val="auto"/>
                <w:kern w:val="0"/>
                <w:sz w:val="21"/>
                <w:szCs w:val="21"/>
              </w:rPr>
              <w:t>K1</w:t>
            </w:r>
          </w:p>
        </w:tc>
        <w:tc>
          <w:tcPr>
            <w:tcW w:w="656" w:type="pct"/>
            <w:vAlign w:val="center"/>
          </w:tcPr>
          <w:p w14:paraId="287B82DB">
            <w:pPr>
              <w:spacing w:line="240" w:lineRule="auto"/>
              <w:ind w:firstLine="0" w:firstLineChars="0"/>
              <w:jc w:val="center"/>
              <w:rPr>
                <w:color w:val="auto"/>
                <w:kern w:val="0"/>
                <w:sz w:val="21"/>
                <w:szCs w:val="21"/>
              </w:rPr>
            </w:pPr>
          </w:p>
        </w:tc>
        <w:tc>
          <w:tcPr>
            <w:tcW w:w="657" w:type="pct"/>
            <w:vAlign w:val="center"/>
          </w:tcPr>
          <w:p w14:paraId="2557CF5F">
            <w:pPr>
              <w:spacing w:line="240" w:lineRule="auto"/>
              <w:ind w:firstLine="0" w:firstLineChars="0"/>
              <w:jc w:val="center"/>
              <w:rPr>
                <w:color w:val="auto"/>
                <w:kern w:val="0"/>
                <w:sz w:val="21"/>
                <w:szCs w:val="21"/>
              </w:rPr>
            </w:pPr>
          </w:p>
        </w:tc>
        <w:tc>
          <w:tcPr>
            <w:tcW w:w="656" w:type="pct"/>
            <w:vAlign w:val="center"/>
          </w:tcPr>
          <w:p w14:paraId="34BB31C0">
            <w:pPr>
              <w:spacing w:line="240" w:lineRule="auto"/>
              <w:ind w:firstLine="0" w:firstLineChars="0"/>
              <w:jc w:val="center"/>
              <w:rPr>
                <w:color w:val="auto"/>
                <w:kern w:val="0"/>
                <w:sz w:val="21"/>
                <w:szCs w:val="21"/>
              </w:rPr>
            </w:pPr>
          </w:p>
        </w:tc>
        <w:tc>
          <w:tcPr>
            <w:tcW w:w="657" w:type="pct"/>
            <w:vAlign w:val="center"/>
          </w:tcPr>
          <w:p w14:paraId="0C705C1C">
            <w:pPr>
              <w:spacing w:line="240" w:lineRule="auto"/>
              <w:ind w:firstLine="0" w:firstLineChars="0"/>
              <w:jc w:val="center"/>
              <w:rPr>
                <w:color w:val="auto"/>
                <w:kern w:val="0"/>
                <w:sz w:val="21"/>
                <w:szCs w:val="21"/>
              </w:rPr>
            </w:pPr>
          </w:p>
        </w:tc>
        <w:tc>
          <w:tcPr>
            <w:tcW w:w="656" w:type="pct"/>
            <w:vAlign w:val="center"/>
          </w:tcPr>
          <w:p w14:paraId="4D8A4AFA">
            <w:pPr>
              <w:spacing w:line="240" w:lineRule="auto"/>
              <w:ind w:firstLine="0" w:firstLineChars="0"/>
              <w:jc w:val="center"/>
              <w:rPr>
                <w:color w:val="auto"/>
                <w:kern w:val="0"/>
                <w:sz w:val="21"/>
                <w:szCs w:val="21"/>
              </w:rPr>
            </w:pPr>
          </w:p>
        </w:tc>
        <w:tc>
          <w:tcPr>
            <w:tcW w:w="664" w:type="pct"/>
            <w:vAlign w:val="center"/>
          </w:tcPr>
          <w:p w14:paraId="4D6B4A7C">
            <w:pPr>
              <w:spacing w:line="240" w:lineRule="auto"/>
              <w:ind w:firstLine="0" w:firstLineChars="0"/>
              <w:jc w:val="center"/>
              <w:rPr>
                <w:color w:val="auto"/>
                <w:kern w:val="0"/>
                <w:sz w:val="21"/>
                <w:szCs w:val="21"/>
              </w:rPr>
            </w:pPr>
          </w:p>
        </w:tc>
      </w:tr>
      <w:tr w14:paraId="7995687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350" w:hRule="atLeast"/>
          <w:jc w:val="center"/>
        </w:trPr>
        <w:tc>
          <w:tcPr>
            <w:tcW w:w="1051" w:type="pct"/>
            <w:vAlign w:val="center"/>
          </w:tcPr>
          <w:p w14:paraId="57F4A1CC">
            <w:pPr>
              <w:spacing w:line="240" w:lineRule="auto"/>
              <w:ind w:firstLine="0" w:firstLineChars="0"/>
              <w:jc w:val="center"/>
              <w:rPr>
                <w:color w:val="auto"/>
                <w:kern w:val="0"/>
                <w:sz w:val="21"/>
                <w:szCs w:val="21"/>
              </w:rPr>
            </w:pPr>
            <w:r>
              <w:rPr>
                <w:color w:val="auto"/>
                <w:kern w:val="0"/>
                <w:sz w:val="21"/>
                <w:szCs w:val="21"/>
              </w:rPr>
              <w:t>M2</w:t>
            </w:r>
          </w:p>
        </w:tc>
        <w:tc>
          <w:tcPr>
            <w:tcW w:w="656" w:type="pct"/>
            <w:vAlign w:val="center"/>
          </w:tcPr>
          <w:p w14:paraId="5EEFE161">
            <w:pPr>
              <w:spacing w:line="240" w:lineRule="auto"/>
              <w:ind w:firstLine="0" w:firstLineChars="0"/>
              <w:jc w:val="center"/>
              <w:rPr>
                <w:color w:val="auto"/>
                <w:kern w:val="0"/>
                <w:sz w:val="21"/>
                <w:szCs w:val="21"/>
              </w:rPr>
            </w:pPr>
          </w:p>
        </w:tc>
        <w:tc>
          <w:tcPr>
            <w:tcW w:w="657" w:type="pct"/>
            <w:vAlign w:val="center"/>
          </w:tcPr>
          <w:p w14:paraId="33A63103">
            <w:pPr>
              <w:spacing w:line="240" w:lineRule="auto"/>
              <w:ind w:firstLine="0" w:firstLineChars="0"/>
              <w:jc w:val="center"/>
              <w:rPr>
                <w:color w:val="auto"/>
                <w:kern w:val="0"/>
                <w:sz w:val="21"/>
                <w:szCs w:val="21"/>
              </w:rPr>
            </w:pPr>
          </w:p>
        </w:tc>
        <w:tc>
          <w:tcPr>
            <w:tcW w:w="656" w:type="pct"/>
            <w:vAlign w:val="center"/>
          </w:tcPr>
          <w:p w14:paraId="09B313B7">
            <w:pPr>
              <w:spacing w:line="240" w:lineRule="auto"/>
              <w:ind w:firstLine="0" w:firstLineChars="0"/>
              <w:jc w:val="center"/>
              <w:rPr>
                <w:color w:val="auto"/>
                <w:kern w:val="0"/>
                <w:sz w:val="21"/>
                <w:szCs w:val="21"/>
              </w:rPr>
            </w:pPr>
          </w:p>
        </w:tc>
        <w:tc>
          <w:tcPr>
            <w:tcW w:w="657" w:type="pct"/>
            <w:vAlign w:val="center"/>
          </w:tcPr>
          <w:p w14:paraId="3607FBDE">
            <w:pPr>
              <w:spacing w:line="240" w:lineRule="auto"/>
              <w:ind w:firstLine="0" w:firstLineChars="0"/>
              <w:jc w:val="center"/>
              <w:rPr>
                <w:color w:val="auto"/>
                <w:kern w:val="0"/>
                <w:sz w:val="21"/>
                <w:szCs w:val="21"/>
              </w:rPr>
            </w:pPr>
          </w:p>
        </w:tc>
        <w:tc>
          <w:tcPr>
            <w:tcW w:w="656" w:type="pct"/>
            <w:vAlign w:val="center"/>
          </w:tcPr>
          <w:p w14:paraId="6B5649D0">
            <w:pPr>
              <w:spacing w:line="240" w:lineRule="auto"/>
              <w:ind w:firstLine="0" w:firstLineChars="0"/>
              <w:jc w:val="center"/>
              <w:rPr>
                <w:color w:val="auto"/>
                <w:kern w:val="0"/>
                <w:sz w:val="21"/>
                <w:szCs w:val="21"/>
              </w:rPr>
            </w:pPr>
          </w:p>
        </w:tc>
        <w:tc>
          <w:tcPr>
            <w:tcW w:w="664" w:type="pct"/>
            <w:vAlign w:val="center"/>
          </w:tcPr>
          <w:p w14:paraId="685AAC6B">
            <w:pPr>
              <w:spacing w:line="240" w:lineRule="auto"/>
              <w:ind w:firstLine="0" w:firstLineChars="0"/>
              <w:jc w:val="center"/>
              <w:rPr>
                <w:color w:val="auto"/>
                <w:kern w:val="0"/>
                <w:sz w:val="21"/>
                <w:szCs w:val="21"/>
              </w:rPr>
            </w:pPr>
          </w:p>
        </w:tc>
      </w:tr>
      <w:tr w14:paraId="0BBDD98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349" w:hRule="atLeast"/>
          <w:jc w:val="center"/>
        </w:trPr>
        <w:tc>
          <w:tcPr>
            <w:tcW w:w="1051" w:type="pct"/>
            <w:vAlign w:val="center"/>
          </w:tcPr>
          <w:p w14:paraId="73D4ECF9">
            <w:pPr>
              <w:spacing w:line="240" w:lineRule="auto"/>
              <w:ind w:firstLine="0" w:firstLineChars="0"/>
              <w:jc w:val="center"/>
              <w:rPr>
                <w:color w:val="auto"/>
                <w:kern w:val="0"/>
                <w:sz w:val="21"/>
                <w:szCs w:val="21"/>
              </w:rPr>
            </w:pPr>
            <w:r>
              <w:rPr>
                <w:color w:val="auto"/>
                <w:kern w:val="0"/>
                <w:sz w:val="21"/>
                <w:szCs w:val="21"/>
              </w:rPr>
              <w:t>S2</w:t>
            </w:r>
          </w:p>
        </w:tc>
        <w:tc>
          <w:tcPr>
            <w:tcW w:w="656" w:type="pct"/>
            <w:vAlign w:val="center"/>
          </w:tcPr>
          <w:p w14:paraId="4A940D8F">
            <w:pPr>
              <w:spacing w:line="240" w:lineRule="auto"/>
              <w:ind w:firstLine="0" w:firstLineChars="0"/>
              <w:jc w:val="center"/>
              <w:rPr>
                <w:color w:val="auto"/>
                <w:kern w:val="0"/>
                <w:sz w:val="21"/>
                <w:szCs w:val="21"/>
              </w:rPr>
            </w:pPr>
          </w:p>
        </w:tc>
        <w:tc>
          <w:tcPr>
            <w:tcW w:w="657" w:type="pct"/>
            <w:vAlign w:val="center"/>
          </w:tcPr>
          <w:p w14:paraId="2CD8FF97">
            <w:pPr>
              <w:spacing w:line="240" w:lineRule="auto"/>
              <w:ind w:firstLine="0" w:firstLineChars="0"/>
              <w:jc w:val="center"/>
              <w:rPr>
                <w:color w:val="auto"/>
                <w:kern w:val="0"/>
                <w:sz w:val="21"/>
                <w:szCs w:val="21"/>
              </w:rPr>
            </w:pPr>
          </w:p>
        </w:tc>
        <w:tc>
          <w:tcPr>
            <w:tcW w:w="656" w:type="pct"/>
            <w:vAlign w:val="center"/>
          </w:tcPr>
          <w:p w14:paraId="1BD21920">
            <w:pPr>
              <w:spacing w:line="240" w:lineRule="auto"/>
              <w:ind w:firstLine="0" w:firstLineChars="0"/>
              <w:jc w:val="center"/>
              <w:rPr>
                <w:color w:val="auto"/>
                <w:kern w:val="0"/>
                <w:sz w:val="21"/>
                <w:szCs w:val="21"/>
              </w:rPr>
            </w:pPr>
          </w:p>
        </w:tc>
        <w:tc>
          <w:tcPr>
            <w:tcW w:w="657" w:type="pct"/>
            <w:vAlign w:val="center"/>
          </w:tcPr>
          <w:p w14:paraId="661AAF39">
            <w:pPr>
              <w:spacing w:line="240" w:lineRule="auto"/>
              <w:ind w:firstLine="0" w:firstLineChars="0"/>
              <w:jc w:val="center"/>
              <w:rPr>
                <w:color w:val="auto"/>
                <w:kern w:val="0"/>
                <w:sz w:val="21"/>
                <w:szCs w:val="21"/>
              </w:rPr>
            </w:pPr>
          </w:p>
        </w:tc>
        <w:tc>
          <w:tcPr>
            <w:tcW w:w="656" w:type="pct"/>
            <w:vAlign w:val="center"/>
          </w:tcPr>
          <w:p w14:paraId="28C10C4E">
            <w:pPr>
              <w:spacing w:line="240" w:lineRule="auto"/>
              <w:ind w:firstLine="0" w:firstLineChars="0"/>
              <w:jc w:val="center"/>
              <w:rPr>
                <w:color w:val="auto"/>
                <w:kern w:val="0"/>
                <w:sz w:val="21"/>
                <w:szCs w:val="21"/>
              </w:rPr>
            </w:pPr>
          </w:p>
        </w:tc>
        <w:tc>
          <w:tcPr>
            <w:tcW w:w="664" w:type="pct"/>
            <w:vAlign w:val="center"/>
          </w:tcPr>
          <w:p w14:paraId="1101C3B6">
            <w:pPr>
              <w:spacing w:line="240" w:lineRule="auto"/>
              <w:ind w:firstLine="0" w:firstLineChars="0"/>
              <w:jc w:val="center"/>
              <w:rPr>
                <w:color w:val="auto"/>
                <w:kern w:val="0"/>
                <w:sz w:val="21"/>
                <w:szCs w:val="21"/>
              </w:rPr>
            </w:pPr>
          </w:p>
        </w:tc>
      </w:tr>
      <w:tr w14:paraId="3F0AA65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349" w:hRule="atLeast"/>
          <w:jc w:val="center"/>
        </w:trPr>
        <w:tc>
          <w:tcPr>
            <w:tcW w:w="1051" w:type="pct"/>
            <w:vAlign w:val="center"/>
          </w:tcPr>
          <w:p w14:paraId="0D4E3981">
            <w:pPr>
              <w:spacing w:line="240" w:lineRule="auto"/>
              <w:ind w:firstLine="0" w:firstLineChars="0"/>
              <w:jc w:val="center"/>
              <w:rPr>
                <w:color w:val="auto"/>
                <w:kern w:val="0"/>
                <w:sz w:val="21"/>
                <w:szCs w:val="21"/>
              </w:rPr>
            </w:pPr>
            <w:r>
              <w:rPr>
                <w:color w:val="auto"/>
                <w:kern w:val="0"/>
                <w:sz w:val="21"/>
                <w:szCs w:val="21"/>
              </w:rPr>
              <w:t>M4</w:t>
            </w:r>
          </w:p>
        </w:tc>
        <w:tc>
          <w:tcPr>
            <w:tcW w:w="656" w:type="pct"/>
            <w:vAlign w:val="center"/>
          </w:tcPr>
          <w:p w14:paraId="0D00C536">
            <w:pPr>
              <w:spacing w:line="240" w:lineRule="auto"/>
              <w:ind w:firstLine="0" w:firstLineChars="0"/>
              <w:jc w:val="center"/>
              <w:rPr>
                <w:color w:val="auto"/>
                <w:kern w:val="0"/>
                <w:sz w:val="21"/>
                <w:szCs w:val="21"/>
              </w:rPr>
            </w:pPr>
          </w:p>
        </w:tc>
        <w:tc>
          <w:tcPr>
            <w:tcW w:w="657" w:type="pct"/>
            <w:vAlign w:val="center"/>
          </w:tcPr>
          <w:p w14:paraId="719A56B2">
            <w:pPr>
              <w:spacing w:line="240" w:lineRule="auto"/>
              <w:ind w:firstLine="0" w:firstLineChars="0"/>
              <w:jc w:val="center"/>
              <w:rPr>
                <w:color w:val="auto"/>
                <w:kern w:val="0"/>
                <w:sz w:val="21"/>
                <w:szCs w:val="21"/>
              </w:rPr>
            </w:pPr>
          </w:p>
        </w:tc>
        <w:tc>
          <w:tcPr>
            <w:tcW w:w="656" w:type="pct"/>
            <w:vAlign w:val="center"/>
          </w:tcPr>
          <w:p w14:paraId="48FCDFB4">
            <w:pPr>
              <w:spacing w:line="240" w:lineRule="auto"/>
              <w:ind w:firstLine="0" w:firstLineChars="0"/>
              <w:jc w:val="center"/>
              <w:rPr>
                <w:color w:val="auto"/>
                <w:kern w:val="0"/>
                <w:sz w:val="21"/>
                <w:szCs w:val="21"/>
              </w:rPr>
            </w:pPr>
          </w:p>
        </w:tc>
        <w:tc>
          <w:tcPr>
            <w:tcW w:w="657" w:type="pct"/>
            <w:vAlign w:val="center"/>
          </w:tcPr>
          <w:p w14:paraId="281ECBBE">
            <w:pPr>
              <w:spacing w:line="240" w:lineRule="auto"/>
              <w:ind w:firstLine="0" w:firstLineChars="0"/>
              <w:jc w:val="center"/>
              <w:rPr>
                <w:color w:val="auto"/>
                <w:kern w:val="0"/>
                <w:sz w:val="21"/>
                <w:szCs w:val="21"/>
              </w:rPr>
            </w:pPr>
          </w:p>
        </w:tc>
        <w:tc>
          <w:tcPr>
            <w:tcW w:w="656" w:type="pct"/>
            <w:vAlign w:val="center"/>
          </w:tcPr>
          <w:p w14:paraId="407AF936">
            <w:pPr>
              <w:spacing w:line="240" w:lineRule="auto"/>
              <w:ind w:firstLine="0" w:firstLineChars="0"/>
              <w:jc w:val="center"/>
              <w:rPr>
                <w:color w:val="auto"/>
                <w:kern w:val="0"/>
                <w:sz w:val="21"/>
                <w:szCs w:val="21"/>
              </w:rPr>
            </w:pPr>
          </w:p>
        </w:tc>
        <w:tc>
          <w:tcPr>
            <w:tcW w:w="664" w:type="pct"/>
            <w:vAlign w:val="center"/>
          </w:tcPr>
          <w:p w14:paraId="48B76781">
            <w:pPr>
              <w:spacing w:line="240" w:lineRule="auto"/>
              <w:ind w:firstLine="0" w:firstLineChars="0"/>
              <w:jc w:val="center"/>
              <w:rPr>
                <w:color w:val="auto"/>
                <w:kern w:val="0"/>
                <w:sz w:val="21"/>
                <w:szCs w:val="21"/>
              </w:rPr>
            </w:pPr>
          </w:p>
        </w:tc>
      </w:tr>
      <w:tr w14:paraId="5652C24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349" w:hRule="atLeast"/>
          <w:jc w:val="center"/>
        </w:trPr>
        <w:tc>
          <w:tcPr>
            <w:tcW w:w="1051" w:type="pct"/>
            <w:vAlign w:val="center"/>
          </w:tcPr>
          <w:p w14:paraId="169D2A36">
            <w:pPr>
              <w:spacing w:line="240" w:lineRule="auto"/>
              <w:ind w:firstLine="0" w:firstLineChars="0"/>
              <w:jc w:val="center"/>
              <w:rPr>
                <w:color w:val="auto"/>
                <w:kern w:val="0"/>
                <w:sz w:val="21"/>
                <w:szCs w:val="21"/>
              </w:rPr>
            </w:pPr>
            <w:r>
              <w:rPr>
                <w:color w:val="auto"/>
                <w:kern w:val="0"/>
                <w:sz w:val="21"/>
                <w:szCs w:val="21"/>
              </w:rPr>
              <w:t>MS4</w:t>
            </w:r>
          </w:p>
        </w:tc>
        <w:tc>
          <w:tcPr>
            <w:tcW w:w="656" w:type="pct"/>
            <w:vAlign w:val="center"/>
          </w:tcPr>
          <w:p w14:paraId="266906BA">
            <w:pPr>
              <w:spacing w:line="240" w:lineRule="auto"/>
              <w:ind w:firstLine="0" w:firstLineChars="0"/>
              <w:jc w:val="center"/>
              <w:rPr>
                <w:color w:val="auto"/>
                <w:kern w:val="0"/>
                <w:sz w:val="21"/>
                <w:szCs w:val="21"/>
              </w:rPr>
            </w:pPr>
          </w:p>
        </w:tc>
        <w:tc>
          <w:tcPr>
            <w:tcW w:w="657" w:type="pct"/>
            <w:vAlign w:val="center"/>
          </w:tcPr>
          <w:p w14:paraId="2633CE63">
            <w:pPr>
              <w:spacing w:line="240" w:lineRule="auto"/>
              <w:ind w:firstLine="0" w:firstLineChars="0"/>
              <w:jc w:val="center"/>
              <w:rPr>
                <w:color w:val="auto"/>
                <w:kern w:val="0"/>
                <w:sz w:val="21"/>
                <w:szCs w:val="21"/>
              </w:rPr>
            </w:pPr>
          </w:p>
        </w:tc>
        <w:tc>
          <w:tcPr>
            <w:tcW w:w="656" w:type="pct"/>
            <w:vAlign w:val="center"/>
          </w:tcPr>
          <w:p w14:paraId="2C816403">
            <w:pPr>
              <w:spacing w:line="240" w:lineRule="auto"/>
              <w:ind w:firstLine="0" w:firstLineChars="0"/>
              <w:jc w:val="center"/>
              <w:rPr>
                <w:color w:val="auto"/>
                <w:kern w:val="0"/>
                <w:sz w:val="21"/>
                <w:szCs w:val="21"/>
              </w:rPr>
            </w:pPr>
          </w:p>
        </w:tc>
        <w:tc>
          <w:tcPr>
            <w:tcW w:w="657" w:type="pct"/>
            <w:vAlign w:val="center"/>
          </w:tcPr>
          <w:p w14:paraId="7AE69BD5">
            <w:pPr>
              <w:spacing w:line="240" w:lineRule="auto"/>
              <w:ind w:firstLine="0" w:firstLineChars="0"/>
              <w:jc w:val="center"/>
              <w:rPr>
                <w:color w:val="auto"/>
                <w:kern w:val="0"/>
                <w:sz w:val="21"/>
                <w:szCs w:val="21"/>
              </w:rPr>
            </w:pPr>
          </w:p>
        </w:tc>
        <w:tc>
          <w:tcPr>
            <w:tcW w:w="656" w:type="pct"/>
            <w:vAlign w:val="center"/>
          </w:tcPr>
          <w:p w14:paraId="7BF524EC">
            <w:pPr>
              <w:spacing w:line="240" w:lineRule="auto"/>
              <w:ind w:firstLine="0" w:firstLineChars="0"/>
              <w:jc w:val="center"/>
              <w:rPr>
                <w:color w:val="auto"/>
                <w:kern w:val="0"/>
                <w:sz w:val="21"/>
                <w:szCs w:val="21"/>
              </w:rPr>
            </w:pPr>
          </w:p>
        </w:tc>
        <w:tc>
          <w:tcPr>
            <w:tcW w:w="664" w:type="pct"/>
            <w:vAlign w:val="center"/>
          </w:tcPr>
          <w:p w14:paraId="06967D54">
            <w:pPr>
              <w:spacing w:line="240" w:lineRule="auto"/>
              <w:ind w:firstLine="0" w:firstLineChars="0"/>
              <w:jc w:val="center"/>
              <w:rPr>
                <w:color w:val="auto"/>
                <w:kern w:val="0"/>
                <w:sz w:val="21"/>
                <w:szCs w:val="21"/>
              </w:rPr>
            </w:pPr>
          </w:p>
        </w:tc>
      </w:tr>
      <w:tr w14:paraId="6568C4E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349" w:hRule="atLeast"/>
          <w:jc w:val="center"/>
        </w:trPr>
        <w:tc>
          <w:tcPr>
            <w:tcW w:w="1051" w:type="pct"/>
            <w:vAlign w:val="center"/>
          </w:tcPr>
          <w:p w14:paraId="3FF3F190">
            <w:pPr>
              <w:spacing w:line="240" w:lineRule="auto"/>
              <w:ind w:firstLine="0" w:firstLineChars="0"/>
              <w:jc w:val="center"/>
              <w:rPr>
                <w:color w:val="auto"/>
                <w:kern w:val="0"/>
                <w:sz w:val="21"/>
                <w:szCs w:val="21"/>
              </w:rPr>
            </w:pPr>
            <w:r>
              <w:rPr>
                <w:color w:val="auto"/>
                <w:kern w:val="0"/>
                <w:sz w:val="21"/>
                <w:szCs w:val="21"/>
              </w:rPr>
              <w:t>M6</w:t>
            </w:r>
          </w:p>
        </w:tc>
        <w:tc>
          <w:tcPr>
            <w:tcW w:w="656" w:type="pct"/>
            <w:vAlign w:val="center"/>
          </w:tcPr>
          <w:p w14:paraId="0C86FE01">
            <w:pPr>
              <w:spacing w:line="240" w:lineRule="auto"/>
              <w:ind w:firstLine="0" w:firstLineChars="0"/>
              <w:jc w:val="center"/>
              <w:rPr>
                <w:color w:val="auto"/>
                <w:kern w:val="0"/>
                <w:sz w:val="21"/>
                <w:szCs w:val="21"/>
              </w:rPr>
            </w:pPr>
          </w:p>
        </w:tc>
        <w:tc>
          <w:tcPr>
            <w:tcW w:w="657" w:type="pct"/>
            <w:vAlign w:val="center"/>
          </w:tcPr>
          <w:p w14:paraId="31CB13ED">
            <w:pPr>
              <w:spacing w:line="240" w:lineRule="auto"/>
              <w:ind w:firstLine="0" w:firstLineChars="0"/>
              <w:jc w:val="center"/>
              <w:rPr>
                <w:color w:val="auto"/>
                <w:kern w:val="0"/>
                <w:sz w:val="21"/>
                <w:szCs w:val="21"/>
              </w:rPr>
            </w:pPr>
          </w:p>
        </w:tc>
        <w:tc>
          <w:tcPr>
            <w:tcW w:w="656" w:type="pct"/>
            <w:vAlign w:val="center"/>
          </w:tcPr>
          <w:p w14:paraId="56C84157">
            <w:pPr>
              <w:spacing w:line="240" w:lineRule="auto"/>
              <w:ind w:firstLine="0" w:firstLineChars="0"/>
              <w:jc w:val="center"/>
              <w:rPr>
                <w:color w:val="auto"/>
                <w:kern w:val="0"/>
                <w:sz w:val="21"/>
                <w:szCs w:val="21"/>
              </w:rPr>
            </w:pPr>
          </w:p>
        </w:tc>
        <w:tc>
          <w:tcPr>
            <w:tcW w:w="657" w:type="pct"/>
            <w:vAlign w:val="center"/>
          </w:tcPr>
          <w:p w14:paraId="5B7F8311">
            <w:pPr>
              <w:spacing w:line="240" w:lineRule="auto"/>
              <w:ind w:firstLine="0" w:firstLineChars="0"/>
              <w:jc w:val="center"/>
              <w:rPr>
                <w:color w:val="auto"/>
                <w:kern w:val="0"/>
                <w:sz w:val="21"/>
                <w:szCs w:val="21"/>
              </w:rPr>
            </w:pPr>
          </w:p>
        </w:tc>
        <w:tc>
          <w:tcPr>
            <w:tcW w:w="656" w:type="pct"/>
            <w:vAlign w:val="center"/>
          </w:tcPr>
          <w:p w14:paraId="45D4028F">
            <w:pPr>
              <w:spacing w:line="240" w:lineRule="auto"/>
              <w:ind w:firstLine="0" w:firstLineChars="0"/>
              <w:jc w:val="center"/>
              <w:rPr>
                <w:color w:val="auto"/>
                <w:kern w:val="0"/>
                <w:sz w:val="21"/>
                <w:szCs w:val="21"/>
              </w:rPr>
            </w:pPr>
          </w:p>
        </w:tc>
        <w:tc>
          <w:tcPr>
            <w:tcW w:w="664" w:type="pct"/>
            <w:vAlign w:val="center"/>
          </w:tcPr>
          <w:p w14:paraId="71730A8D">
            <w:pPr>
              <w:spacing w:line="240" w:lineRule="auto"/>
              <w:ind w:firstLine="0" w:firstLineChars="0"/>
              <w:jc w:val="center"/>
              <w:rPr>
                <w:color w:val="auto"/>
                <w:kern w:val="0"/>
                <w:sz w:val="21"/>
                <w:szCs w:val="21"/>
              </w:rPr>
            </w:pPr>
          </w:p>
        </w:tc>
      </w:tr>
      <w:tr w14:paraId="6F1B348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350" w:hRule="atLeast"/>
          <w:jc w:val="center"/>
        </w:trPr>
        <w:tc>
          <w:tcPr>
            <w:tcW w:w="1051" w:type="pct"/>
            <w:vAlign w:val="center"/>
          </w:tcPr>
          <w:p w14:paraId="7F577BC1">
            <w:pPr>
              <w:spacing w:line="240" w:lineRule="auto"/>
              <w:ind w:firstLine="0" w:firstLineChars="0"/>
              <w:jc w:val="center"/>
              <w:rPr>
                <w:color w:val="auto"/>
                <w:kern w:val="0"/>
                <w:sz w:val="21"/>
                <w:szCs w:val="21"/>
              </w:rPr>
            </w:pPr>
            <w:r>
              <w:rPr>
                <w:color w:val="auto"/>
                <w:kern w:val="0"/>
                <w:sz w:val="21"/>
                <w:szCs w:val="21"/>
              </w:rPr>
              <w:t>MS6</w:t>
            </w:r>
          </w:p>
        </w:tc>
        <w:tc>
          <w:tcPr>
            <w:tcW w:w="656" w:type="pct"/>
            <w:vAlign w:val="center"/>
          </w:tcPr>
          <w:p w14:paraId="5A339C23">
            <w:pPr>
              <w:spacing w:line="240" w:lineRule="auto"/>
              <w:ind w:firstLine="0" w:firstLineChars="0"/>
              <w:jc w:val="center"/>
              <w:rPr>
                <w:color w:val="auto"/>
                <w:kern w:val="0"/>
                <w:sz w:val="21"/>
                <w:szCs w:val="21"/>
              </w:rPr>
            </w:pPr>
          </w:p>
        </w:tc>
        <w:tc>
          <w:tcPr>
            <w:tcW w:w="657" w:type="pct"/>
            <w:vAlign w:val="center"/>
          </w:tcPr>
          <w:p w14:paraId="08F9E2D4">
            <w:pPr>
              <w:spacing w:line="240" w:lineRule="auto"/>
              <w:ind w:firstLine="0" w:firstLineChars="0"/>
              <w:jc w:val="center"/>
              <w:rPr>
                <w:color w:val="auto"/>
                <w:kern w:val="0"/>
                <w:sz w:val="21"/>
                <w:szCs w:val="21"/>
              </w:rPr>
            </w:pPr>
          </w:p>
        </w:tc>
        <w:tc>
          <w:tcPr>
            <w:tcW w:w="656" w:type="pct"/>
            <w:vAlign w:val="center"/>
          </w:tcPr>
          <w:p w14:paraId="757F9902">
            <w:pPr>
              <w:spacing w:line="240" w:lineRule="auto"/>
              <w:ind w:firstLine="0" w:firstLineChars="0"/>
              <w:jc w:val="center"/>
              <w:rPr>
                <w:color w:val="auto"/>
                <w:kern w:val="0"/>
                <w:sz w:val="21"/>
                <w:szCs w:val="21"/>
              </w:rPr>
            </w:pPr>
          </w:p>
        </w:tc>
        <w:tc>
          <w:tcPr>
            <w:tcW w:w="657" w:type="pct"/>
            <w:vAlign w:val="center"/>
          </w:tcPr>
          <w:p w14:paraId="3B1DD232">
            <w:pPr>
              <w:spacing w:line="240" w:lineRule="auto"/>
              <w:ind w:firstLine="0" w:firstLineChars="0"/>
              <w:jc w:val="center"/>
              <w:rPr>
                <w:color w:val="auto"/>
                <w:kern w:val="0"/>
                <w:sz w:val="21"/>
                <w:szCs w:val="21"/>
              </w:rPr>
            </w:pPr>
          </w:p>
        </w:tc>
        <w:tc>
          <w:tcPr>
            <w:tcW w:w="656" w:type="pct"/>
            <w:vAlign w:val="center"/>
          </w:tcPr>
          <w:p w14:paraId="0215945F">
            <w:pPr>
              <w:spacing w:line="240" w:lineRule="auto"/>
              <w:ind w:firstLine="0" w:firstLineChars="0"/>
              <w:jc w:val="center"/>
              <w:rPr>
                <w:color w:val="auto"/>
                <w:kern w:val="0"/>
                <w:sz w:val="21"/>
                <w:szCs w:val="21"/>
              </w:rPr>
            </w:pPr>
          </w:p>
        </w:tc>
        <w:tc>
          <w:tcPr>
            <w:tcW w:w="664" w:type="pct"/>
            <w:vAlign w:val="center"/>
          </w:tcPr>
          <w:p w14:paraId="10E9A993">
            <w:pPr>
              <w:spacing w:line="240" w:lineRule="auto"/>
              <w:ind w:firstLine="0" w:firstLineChars="0"/>
              <w:jc w:val="center"/>
              <w:rPr>
                <w:color w:val="auto"/>
                <w:kern w:val="0"/>
                <w:sz w:val="21"/>
                <w:szCs w:val="21"/>
              </w:rPr>
            </w:pPr>
          </w:p>
        </w:tc>
      </w:tr>
      <w:tr w14:paraId="78B0E5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349" w:hRule="atLeast"/>
          <w:jc w:val="center"/>
        </w:trPr>
        <w:tc>
          <w:tcPr>
            <w:tcW w:w="1051" w:type="pct"/>
            <w:vAlign w:val="center"/>
          </w:tcPr>
          <w:p w14:paraId="01BC3FB9">
            <w:pPr>
              <w:spacing w:line="240" w:lineRule="auto"/>
              <w:ind w:firstLine="0" w:firstLineChars="0"/>
              <w:jc w:val="center"/>
              <w:rPr>
                <w:color w:val="auto"/>
                <w:kern w:val="0"/>
                <w:sz w:val="21"/>
                <w:szCs w:val="21"/>
              </w:rPr>
            </w:pPr>
            <w:r>
              <w:rPr>
                <w:color w:val="auto"/>
                <w:kern w:val="0"/>
                <w:sz w:val="21"/>
                <w:szCs w:val="21"/>
              </w:rPr>
              <w:t>第一类潮汐特征值</w:t>
            </w:r>
          </w:p>
        </w:tc>
        <w:tc>
          <w:tcPr>
            <w:tcW w:w="1313" w:type="pct"/>
            <w:gridSpan w:val="2"/>
            <w:vAlign w:val="center"/>
          </w:tcPr>
          <w:p w14:paraId="2DE553BB">
            <w:pPr>
              <w:spacing w:line="240" w:lineRule="auto"/>
              <w:ind w:firstLine="0" w:firstLineChars="0"/>
              <w:jc w:val="center"/>
              <w:rPr>
                <w:color w:val="auto"/>
                <w:kern w:val="0"/>
                <w:sz w:val="21"/>
                <w:szCs w:val="21"/>
              </w:rPr>
            </w:pPr>
          </w:p>
        </w:tc>
        <w:tc>
          <w:tcPr>
            <w:tcW w:w="1313" w:type="pct"/>
            <w:gridSpan w:val="2"/>
            <w:vAlign w:val="center"/>
          </w:tcPr>
          <w:p w14:paraId="51C9F744">
            <w:pPr>
              <w:spacing w:line="240" w:lineRule="auto"/>
              <w:ind w:firstLine="0" w:firstLineChars="0"/>
              <w:jc w:val="center"/>
              <w:rPr>
                <w:color w:val="auto"/>
                <w:kern w:val="0"/>
                <w:sz w:val="21"/>
                <w:szCs w:val="21"/>
              </w:rPr>
            </w:pPr>
          </w:p>
        </w:tc>
        <w:tc>
          <w:tcPr>
            <w:tcW w:w="1321" w:type="pct"/>
            <w:gridSpan w:val="2"/>
            <w:vAlign w:val="center"/>
          </w:tcPr>
          <w:p w14:paraId="4C1FBD60">
            <w:pPr>
              <w:spacing w:line="240" w:lineRule="auto"/>
              <w:ind w:firstLine="0" w:firstLineChars="0"/>
              <w:jc w:val="center"/>
              <w:rPr>
                <w:color w:val="auto"/>
                <w:kern w:val="0"/>
                <w:sz w:val="21"/>
                <w:szCs w:val="21"/>
              </w:rPr>
            </w:pPr>
          </w:p>
        </w:tc>
      </w:tr>
      <w:tr w14:paraId="68CF71F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64" w:hRule="atLeast"/>
          <w:jc w:val="center"/>
        </w:trPr>
        <w:tc>
          <w:tcPr>
            <w:tcW w:w="1051" w:type="pct"/>
            <w:vAlign w:val="center"/>
          </w:tcPr>
          <w:p w14:paraId="35582FEE">
            <w:pPr>
              <w:spacing w:line="240" w:lineRule="auto"/>
              <w:ind w:firstLine="0" w:firstLineChars="0"/>
              <w:jc w:val="center"/>
              <w:rPr>
                <w:color w:val="auto"/>
                <w:kern w:val="0"/>
                <w:sz w:val="21"/>
                <w:szCs w:val="21"/>
              </w:rPr>
            </w:pPr>
            <w:r>
              <w:rPr>
                <w:color w:val="auto"/>
                <w:kern w:val="0"/>
                <w:sz w:val="21"/>
                <w:szCs w:val="21"/>
              </w:rPr>
              <w:t>第二类潮汐特征值</w:t>
            </w:r>
          </w:p>
        </w:tc>
        <w:tc>
          <w:tcPr>
            <w:tcW w:w="1313" w:type="pct"/>
            <w:gridSpan w:val="2"/>
            <w:vAlign w:val="center"/>
          </w:tcPr>
          <w:p w14:paraId="13338937">
            <w:pPr>
              <w:spacing w:line="240" w:lineRule="auto"/>
              <w:ind w:firstLine="0" w:firstLineChars="0"/>
              <w:jc w:val="center"/>
              <w:rPr>
                <w:color w:val="auto"/>
                <w:kern w:val="0"/>
                <w:sz w:val="21"/>
                <w:szCs w:val="21"/>
              </w:rPr>
            </w:pPr>
          </w:p>
        </w:tc>
        <w:tc>
          <w:tcPr>
            <w:tcW w:w="1313" w:type="pct"/>
            <w:gridSpan w:val="2"/>
            <w:vAlign w:val="center"/>
          </w:tcPr>
          <w:p w14:paraId="3B23CEF5">
            <w:pPr>
              <w:spacing w:line="240" w:lineRule="auto"/>
              <w:ind w:firstLine="0" w:firstLineChars="0"/>
              <w:jc w:val="center"/>
              <w:rPr>
                <w:color w:val="auto"/>
                <w:kern w:val="0"/>
                <w:sz w:val="21"/>
                <w:szCs w:val="21"/>
              </w:rPr>
            </w:pPr>
          </w:p>
        </w:tc>
        <w:tc>
          <w:tcPr>
            <w:tcW w:w="1321" w:type="pct"/>
            <w:gridSpan w:val="2"/>
            <w:vAlign w:val="center"/>
          </w:tcPr>
          <w:p w14:paraId="67C76DE2">
            <w:pPr>
              <w:spacing w:line="240" w:lineRule="auto"/>
              <w:ind w:firstLine="0" w:firstLineChars="0"/>
              <w:jc w:val="center"/>
              <w:rPr>
                <w:color w:val="auto"/>
                <w:kern w:val="0"/>
                <w:sz w:val="21"/>
                <w:szCs w:val="21"/>
              </w:rPr>
            </w:pPr>
          </w:p>
        </w:tc>
      </w:tr>
    </w:tbl>
    <w:p w14:paraId="7954A630">
      <w:pPr>
        <w:pStyle w:val="6"/>
        <w:rPr>
          <w:color w:val="auto"/>
          <w:kern w:val="0"/>
          <w:szCs w:val="22"/>
        </w:rPr>
      </w:pPr>
      <w:r>
        <w:rPr>
          <w:rFonts w:hint="eastAsia"/>
          <w:color w:val="auto"/>
          <w:kern w:val="0"/>
          <w:szCs w:val="22"/>
        </w:rPr>
        <w:t>潮流分析</w:t>
      </w:r>
    </w:p>
    <w:p w14:paraId="3F7870E1">
      <w:pPr>
        <w:ind w:firstLine="480"/>
        <w:rPr>
          <w:color w:val="auto"/>
          <w:kern w:val="0"/>
          <w:szCs w:val="20"/>
        </w:rPr>
      </w:pPr>
      <w:r>
        <w:rPr>
          <w:rFonts w:hint="eastAsia"/>
          <w:color w:val="auto"/>
          <w:kern w:val="0"/>
          <w:szCs w:val="20"/>
        </w:rPr>
        <w:t>（1）</w:t>
      </w:r>
      <w:r>
        <w:rPr>
          <w:color w:val="auto"/>
          <w:kern w:val="0"/>
          <w:szCs w:val="20"/>
        </w:rPr>
        <w:t>实测结果</w:t>
      </w:r>
    </w:p>
    <w:p w14:paraId="0A8F41E1">
      <w:pPr>
        <w:ind w:firstLine="480"/>
        <w:rPr>
          <w:color w:val="auto"/>
          <w:kern w:val="0"/>
          <w:szCs w:val="20"/>
        </w:rPr>
      </w:pPr>
      <w:r>
        <w:rPr>
          <w:color w:val="auto"/>
          <w:kern w:val="0"/>
          <w:szCs w:val="20"/>
        </w:rPr>
        <w:t>按照项目技术要求，在测区布设V1~V9共计9个定点测站进行了大、小潮汛时连续26个时次的潮流观测，为更清晰地了解测区9个测站的潮流流速、流向分布特征，该处统计了本次大、小潮汛时9个测站各层次的实测最大流速、流向情况。现根据实测资料绘制的潮流矢量图，予以分析。</w:t>
      </w:r>
    </w:p>
    <w:p w14:paraId="34DF1BEC">
      <w:pPr>
        <w:ind w:firstLine="480"/>
        <w:rPr>
          <w:color w:val="auto"/>
          <w:kern w:val="0"/>
          <w:szCs w:val="20"/>
        </w:rPr>
      </w:pPr>
      <w:r>
        <w:rPr>
          <w:rFonts w:hint="eastAsia"/>
          <w:color w:val="auto"/>
          <w:kern w:val="0"/>
          <w:szCs w:val="20"/>
        </w:rPr>
        <w:t>大潮监测时间：2023年4月21日~2023年4月22日，小潮监测时间：2</w:t>
      </w:r>
      <w:r>
        <w:rPr>
          <w:color w:val="auto"/>
          <w:kern w:val="0"/>
          <w:szCs w:val="20"/>
        </w:rPr>
        <w:t>023</w:t>
      </w:r>
      <w:r>
        <w:rPr>
          <w:rFonts w:hint="eastAsia"/>
          <w:color w:val="auto"/>
          <w:kern w:val="0"/>
          <w:szCs w:val="20"/>
        </w:rPr>
        <w:t>年4月27日</w:t>
      </w:r>
      <w:r>
        <w:rPr>
          <w:color w:val="auto"/>
          <w:kern w:val="0"/>
          <w:szCs w:val="20"/>
        </w:rPr>
        <w:t>~2023</w:t>
      </w:r>
      <w:r>
        <w:rPr>
          <w:rFonts w:hint="eastAsia"/>
          <w:color w:val="auto"/>
          <w:kern w:val="0"/>
          <w:szCs w:val="20"/>
        </w:rPr>
        <w:t>年4月28日。</w:t>
      </w:r>
    </w:p>
    <w:p w14:paraId="6E3EF5A3">
      <w:pPr>
        <w:ind w:firstLine="480"/>
        <w:rPr>
          <w:color w:val="auto"/>
          <w:kern w:val="0"/>
          <w:szCs w:val="20"/>
        </w:rPr>
      </w:pPr>
      <w:r>
        <w:rPr>
          <w:rFonts w:hint="eastAsia"/>
          <w:color w:val="auto"/>
          <w:kern w:val="0"/>
          <w:szCs w:val="20"/>
        </w:rPr>
        <w:t>①</w:t>
      </w:r>
      <w:r>
        <w:rPr>
          <w:color w:val="auto"/>
          <w:kern w:val="0"/>
          <w:szCs w:val="20"/>
        </w:rPr>
        <w:t>潮汛期间，测区各站位潮流运动形式以往复流为主。</w:t>
      </w:r>
    </w:p>
    <w:p w14:paraId="0062644E">
      <w:pPr>
        <w:ind w:firstLine="480"/>
        <w:rPr>
          <w:color w:val="auto"/>
          <w:kern w:val="0"/>
          <w:szCs w:val="20"/>
        </w:rPr>
      </w:pPr>
      <w:r>
        <w:rPr>
          <w:rFonts w:hint="eastAsia"/>
          <w:color w:val="auto"/>
          <w:kern w:val="0"/>
          <w:szCs w:val="20"/>
        </w:rPr>
        <w:t>②</w:t>
      </w:r>
      <w:r>
        <w:rPr>
          <w:color w:val="auto"/>
          <w:kern w:val="0"/>
          <w:szCs w:val="20"/>
        </w:rPr>
        <w:t>从层次来看，测区普遍上层流速&gt;中层&gt;底层流速。</w:t>
      </w:r>
    </w:p>
    <w:p w14:paraId="59AEC200">
      <w:pPr>
        <w:ind w:firstLine="480"/>
        <w:rPr>
          <w:color w:val="auto"/>
          <w:kern w:val="0"/>
          <w:szCs w:val="20"/>
        </w:rPr>
      </w:pPr>
      <w:r>
        <w:rPr>
          <w:rFonts w:hint="eastAsia"/>
          <w:color w:val="auto"/>
          <w:kern w:val="0"/>
          <w:szCs w:val="20"/>
        </w:rPr>
        <w:t>③</w:t>
      </w:r>
      <w:r>
        <w:rPr>
          <w:color w:val="auto"/>
          <w:kern w:val="0"/>
          <w:szCs w:val="20"/>
        </w:rPr>
        <w:t>潮流实测最大值为140cm/s，方向为139°</w:t>
      </w:r>
      <w:r>
        <w:rPr>
          <w:rFonts w:hint="eastAsia"/>
          <w:color w:val="auto"/>
          <w:kern w:val="0"/>
          <w:szCs w:val="20"/>
        </w:rPr>
        <w:t>，</w:t>
      </w:r>
      <w:r>
        <w:rPr>
          <w:color w:val="auto"/>
          <w:kern w:val="0"/>
          <w:szCs w:val="20"/>
        </w:rPr>
        <w:t>发生自V9站位的大潮表层落潮方向。</w:t>
      </w:r>
    </w:p>
    <w:p w14:paraId="205566A6">
      <w:pPr>
        <w:pStyle w:val="14"/>
        <w:rPr>
          <w:color w:val="auto"/>
          <w:lang w:val="zh-CN"/>
        </w:rPr>
      </w:pPr>
      <w:r>
        <w:rPr>
          <w:rFonts w:hint="eastAsia"/>
          <w:color w:val="auto"/>
        </w:rPr>
        <w:t>表</w:t>
      </w:r>
      <w:r>
        <w:rPr>
          <w:color w:val="auto"/>
        </w:rPr>
        <w:t>3.7</w:t>
      </w:r>
      <w:r>
        <w:rPr>
          <w:color w:val="auto"/>
        </w:rPr>
        <w:noBreakHyphen/>
      </w:r>
      <w:r>
        <w:rPr>
          <w:color w:val="auto"/>
        </w:rPr>
        <w:t>13</w:t>
      </w:r>
      <w:r>
        <w:rPr>
          <w:rFonts w:hint="eastAsia"/>
          <w:color w:val="auto"/>
          <w:lang w:val="zh-CN"/>
        </w:rPr>
        <w:t>实测潮流最大流速统计结果表</w:t>
      </w:r>
    </w:p>
    <w:tbl>
      <w:tblPr>
        <w:tblStyle w:val="219"/>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167"/>
        <w:gridCol w:w="1163"/>
        <w:gridCol w:w="1163"/>
        <w:gridCol w:w="1171"/>
        <w:gridCol w:w="1186"/>
        <w:gridCol w:w="1163"/>
        <w:gridCol w:w="1165"/>
        <w:gridCol w:w="1202"/>
      </w:tblGrid>
      <w:tr w14:paraId="7DF397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9" w:hRule="atLeast"/>
          <w:tblHeader/>
          <w:jc w:val="center"/>
        </w:trPr>
        <w:tc>
          <w:tcPr>
            <w:tcW w:w="622" w:type="pct"/>
            <w:vMerge w:val="restart"/>
            <w:vAlign w:val="center"/>
          </w:tcPr>
          <w:p w14:paraId="074FBEB5">
            <w:pPr>
              <w:spacing w:line="240" w:lineRule="auto"/>
              <w:ind w:firstLine="0" w:firstLineChars="0"/>
              <w:jc w:val="center"/>
              <w:rPr>
                <w:b/>
                <w:color w:val="auto"/>
                <w:kern w:val="0"/>
                <w:sz w:val="21"/>
                <w:szCs w:val="21"/>
              </w:rPr>
            </w:pPr>
            <w:r>
              <w:rPr>
                <w:b/>
                <w:color w:val="auto"/>
                <w:kern w:val="0"/>
                <w:sz w:val="21"/>
                <w:szCs w:val="21"/>
              </w:rPr>
              <w:t>站位</w:t>
            </w:r>
          </w:p>
        </w:tc>
        <w:tc>
          <w:tcPr>
            <w:tcW w:w="620" w:type="pct"/>
            <w:vMerge w:val="restart"/>
            <w:vAlign w:val="center"/>
          </w:tcPr>
          <w:p w14:paraId="1953D569">
            <w:pPr>
              <w:spacing w:line="240" w:lineRule="auto"/>
              <w:ind w:firstLine="0" w:firstLineChars="0"/>
              <w:jc w:val="center"/>
              <w:rPr>
                <w:b/>
                <w:color w:val="auto"/>
                <w:kern w:val="0"/>
                <w:sz w:val="21"/>
                <w:szCs w:val="21"/>
              </w:rPr>
            </w:pPr>
            <w:r>
              <w:rPr>
                <w:b/>
                <w:color w:val="auto"/>
                <w:kern w:val="0"/>
                <w:sz w:val="21"/>
                <w:szCs w:val="21"/>
              </w:rPr>
              <w:t>实测流速</w:t>
            </w:r>
          </w:p>
        </w:tc>
        <w:tc>
          <w:tcPr>
            <w:tcW w:w="1876" w:type="pct"/>
            <w:gridSpan w:val="3"/>
            <w:vAlign w:val="center"/>
          </w:tcPr>
          <w:p w14:paraId="402EE4B4">
            <w:pPr>
              <w:spacing w:line="240" w:lineRule="auto"/>
              <w:ind w:firstLine="0" w:firstLineChars="0"/>
              <w:jc w:val="center"/>
              <w:rPr>
                <w:b/>
                <w:color w:val="auto"/>
                <w:kern w:val="0"/>
                <w:sz w:val="21"/>
                <w:szCs w:val="21"/>
              </w:rPr>
            </w:pPr>
            <w:r>
              <w:rPr>
                <w:b/>
                <w:color w:val="auto"/>
                <w:kern w:val="0"/>
                <w:sz w:val="21"/>
                <w:szCs w:val="21"/>
              </w:rPr>
              <w:t>大潮实测潮流最大值（小时、cm/s、°)</w:t>
            </w:r>
          </w:p>
        </w:tc>
        <w:tc>
          <w:tcPr>
            <w:tcW w:w="1881" w:type="pct"/>
            <w:gridSpan w:val="3"/>
            <w:vAlign w:val="center"/>
          </w:tcPr>
          <w:p w14:paraId="620892C6">
            <w:pPr>
              <w:spacing w:line="240" w:lineRule="auto"/>
              <w:ind w:firstLine="0" w:firstLineChars="0"/>
              <w:jc w:val="center"/>
              <w:rPr>
                <w:b/>
                <w:color w:val="auto"/>
                <w:kern w:val="0"/>
                <w:sz w:val="21"/>
                <w:szCs w:val="21"/>
              </w:rPr>
            </w:pPr>
            <w:r>
              <w:rPr>
                <w:b/>
                <w:color w:val="auto"/>
                <w:kern w:val="0"/>
                <w:sz w:val="21"/>
                <w:szCs w:val="21"/>
              </w:rPr>
              <w:t>小潮实测潮流最大值（小时、cm/s、°)</w:t>
            </w:r>
          </w:p>
        </w:tc>
      </w:tr>
      <w:tr w14:paraId="617962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72" w:hRule="atLeast"/>
          <w:tblHeader/>
          <w:jc w:val="center"/>
        </w:trPr>
        <w:tc>
          <w:tcPr>
            <w:tcW w:w="622" w:type="pct"/>
            <w:vMerge w:val="continue"/>
            <w:vAlign w:val="center"/>
          </w:tcPr>
          <w:p w14:paraId="05047D0D">
            <w:pPr>
              <w:spacing w:line="240" w:lineRule="auto"/>
              <w:ind w:firstLine="0" w:firstLineChars="0"/>
              <w:jc w:val="center"/>
              <w:rPr>
                <w:b/>
                <w:color w:val="auto"/>
                <w:kern w:val="0"/>
                <w:sz w:val="21"/>
                <w:szCs w:val="21"/>
              </w:rPr>
            </w:pPr>
          </w:p>
        </w:tc>
        <w:tc>
          <w:tcPr>
            <w:tcW w:w="620" w:type="pct"/>
            <w:vMerge w:val="continue"/>
            <w:vAlign w:val="center"/>
          </w:tcPr>
          <w:p w14:paraId="183E1066">
            <w:pPr>
              <w:spacing w:line="240" w:lineRule="auto"/>
              <w:ind w:firstLine="0" w:firstLineChars="0"/>
              <w:jc w:val="center"/>
              <w:rPr>
                <w:b/>
                <w:color w:val="auto"/>
                <w:kern w:val="0"/>
                <w:sz w:val="21"/>
                <w:szCs w:val="21"/>
              </w:rPr>
            </w:pPr>
          </w:p>
        </w:tc>
        <w:tc>
          <w:tcPr>
            <w:tcW w:w="620" w:type="pct"/>
            <w:vAlign w:val="center"/>
          </w:tcPr>
          <w:p w14:paraId="2007E722">
            <w:pPr>
              <w:spacing w:line="240" w:lineRule="auto"/>
              <w:ind w:firstLine="0" w:firstLineChars="0"/>
              <w:jc w:val="center"/>
              <w:rPr>
                <w:b/>
                <w:color w:val="auto"/>
                <w:kern w:val="0"/>
                <w:sz w:val="21"/>
                <w:szCs w:val="21"/>
              </w:rPr>
            </w:pPr>
            <w:r>
              <w:rPr>
                <w:b/>
                <w:color w:val="auto"/>
                <w:kern w:val="0"/>
                <w:sz w:val="21"/>
                <w:szCs w:val="21"/>
              </w:rPr>
              <w:t>T</w:t>
            </w:r>
          </w:p>
        </w:tc>
        <w:tc>
          <w:tcPr>
            <w:tcW w:w="624" w:type="pct"/>
            <w:vAlign w:val="center"/>
          </w:tcPr>
          <w:p w14:paraId="6A3AC12A">
            <w:pPr>
              <w:spacing w:line="240" w:lineRule="auto"/>
              <w:ind w:firstLine="0" w:firstLineChars="0"/>
              <w:jc w:val="center"/>
              <w:rPr>
                <w:b/>
                <w:color w:val="auto"/>
                <w:kern w:val="0"/>
                <w:sz w:val="21"/>
                <w:szCs w:val="21"/>
              </w:rPr>
            </w:pPr>
            <w:r>
              <w:rPr>
                <w:b/>
                <w:color w:val="auto"/>
                <w:kern w:val="0"/>
                <w:sz w:val="21"/>
                <w:szCs w:val="21"/>
              </w:rPr>
              <w:t>V</w:t>
            </w:r>
          </w:p>
        </w:tc>
        <w:tc>
          <w:tcPr>
            <w:tcW w:w="631" w:type="pct"/>
            <w:vAlign w:val="center"/>
          </w:tcPr>
          <w:p w14:paraId="6B1162D7">
            <w:pPr>
              <w:spacing w:line="240" w:lineRule="auto"/>
              <w:ind w:firstLine="0" w:firstLineChars="0"/>
              <w:jc w:val="center"/>
              <w:rPr>
                <w:b/>
                <w:color w:val="auto"/>
                <w:kern w:val="0"/>
                <w:sz w:val="21"/>
                <w:szCs w:val="21"/>
              </w:rPr>
            </w:pPr>
            <w:r>
              <w:rPr>
                <w:b/>
                <w:color w:val="auto"/>
                <w:kern w:val="0"/>
                <w:sz w:val="21"/>
                <w:szCs w:val="21"/>
              </w:rPr>
              <w:t>D</w:t>
            </w:r>
          </w:p>
        </w:tc>
        <w:tc>
          <w:tcPr>
            <w:tcW w:w="620" w:type="pct"/>
            <w:vAlign w:val="center"/>
          </w:tcPr>
          <w:p w14:paraId="1509B23E">
            <w:pPr>
              <w:spacing w:line="240" w:lineRule="auto"/>
              <w:ind w:firstLine="0" w:firstLineChars="0"/>
              <w:jc w:val="center"/>
              <w:rPr>
                <w:b/>
                <w:color w:val="auto"/>
                <w:kern w:val="0"/>
                <w:sz w:val="21"/>
                <w:szCs w:val="21"/>
              </w:rPr>
            </w:pPr>
            <w:r>
              <w:rPr>
                <w:b/>
                <w:color w:val="auto"/>
                <w:kern w:val="0"/>
                <w:sz w:val="21"/>
                <w:szCs w:val="21"/>
              </w:rPr>
              <w:t>T</w:t>
            </w:r>
          </w:p>
        </w:tc>
        <w:tc>
          <w:tcPr>
            <w:tcW w:w="621" w:type="pct"/>
            <w:vAlign w:val="center"/>
          </w:tcPr>
          <w:p w14:paraId="3007A9CC">
            <w:pPr>
              <w:spacing w:line="240" w:lineRule="auto"/>
              <w:ind w:firstLine="0" w:firstLineChars="0"/>
              <w:jc w:val="center"/>
              <w:rPr>
                <w:b/>
                <w:color w:val="auto"/>
                <w:kern w:val="0"/>
                <w:sz w:val="21"/>
                <w:szCs w:val="21"/>
              </w:rPr>
            </w:pPr>
            <w:r>
              <w:rPr>
                <w:b/>
                <w:color w:val="auto"/>
                <w:kern w:val="0"/>
                <w:sz w:val="21"/>
                <w:szCs w:val="21"/>
              </w:rPr>
              <w:t>V</w:t>
            </w:r>
          </w:p>
        </w:tc>
        <w:tc>
          <w:tcPr>
            <w:tcW w:w="638" w:type="pct"/>
            <w:vAlign w:val="center"/>
          </w:tcPr>
          <w:p w14:paraId="3109D692">
            <w:pPr>
              <w:spacing w:line="240" w:lineRule="auto"/>
              <w:ind w:firstLine="0" w:firstLineChars="0"/>
              <w:jc w:val="center"/>
              <w:rPr>
                <w:b/>
                <w:color w:val="auto"/>
                <w:kern w:val="0"/>
                <w:sz w:val="21"/>
                <w:szCs w:val="21"/>
              </w:rPr>
            </w:pPr>
            <w:r>
              <w:rPr>
                <w:b/>
                <w:color w:val="auto"/>
                <w:kern w:val="0"/>
                <w:sz w:val="21"/>
                <w:szCs w:val="21"/>
              </w:rPr>
              <w:t>D</w:t>
            </w:r>
          </w:p>
        </w:tc>
      </w:tr>
      <w:tr w14:paraId="12F492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8" w:hRule="atLeast"/>
          <w:jc w:val="center"/>
        </w:trPr>
        <w:tc>
          <w:tcPr>
            <w:tcW w:w="622" w:type="pct"/>
            <w:vMerge w:val="restart"/>
            <w:vAlign w:val="center"/>
          </w:tcPr>
          <w:p w14:paraId="08BB0878">
            <w:pPr>
              <w:spacing w:line="240" w:lineRule="auto"/>
              <w:ind w:firstLine="0" w:firstLineChars="0"/>
              <w:jc w:val="center"/>
              <w:rPr>
                <w:color w:val="auto"/>
                <w:kern w:val="0"/>
                <w:sz w:val="21"/>
                <w:szCs w:val="21"/>
              </w:rPr>
            </w:pPr>
            <w:r>
              <w:rPr>
                <w:color w:val="auto"/>
                <w:kern w:val="0"/>
                <w:sz w:val="21"/>
                <w:szCs w:val="21"/>
              </w:rPr>
              <w:t>V1</w:t>
            </w:r>
          </w:p>
        </w:tc>
        <w:tc>
          <w:tcPr>
            <w:tcW w:w="620" w:type="pct"/>
            <w:vAlign w:val="center"/>
          </w:tcPr>
          <w:p w14:paraId="0A40A78F">
            <w:pPr>
              <w:spacing w:line="240" w:lineRule="auto"/>
              <w:ind w:firstLine="0" w:firstLineChars="0"/>
              <w:jc w:val="center"/>
              <w:rPr>
                <w:color w:val="auto"/>
                <w:kern w:val="0"/>
                <w:sz w:val="21"/>
                <w:szCs w:val="21"/>
              </w:rPr>
            </w:pPr>
            <w:r>
              <w:rPr>
                <w:color w:val="auto"/>
                <w:kern w:val="0"/>
                <w:sz w:val="21"/>
                <w:szCs w:val="21"/>
              </w:rPr>
              <w:t>表层</w:t>
            </w:r>
          </w:p>
        </w:tc>
        <w:tc>
          <w:tcPr>
            <w:tcW w:w="620" w:type="pct"/>
            <w:vAlign w:val="center"/>
          </w:tcPr>
          <w:p w14:paraId="6D68C2C2">
            <w:pPr>
              <w:spacing w:line="240" w:lineRule="auto"/>
              <w:ind w:firstLine="0" w:firstLineChars="0"/>
              <w:jc w:val="center"/>
              <w:rPr>
                <w:color w:val="auto"/>
                <w:kern w:val="0"/>
                <w:sz w:val="21"/>
                <w:szCs w:val="21"/>
              </w:rPr>
            </w:pPr>
          </w:p>
        </w:tc>
        <w:tc>
          <w:tcPr>
            <w:tcW w:w="624" w:type="pct"/>
            <w:vAlign w:val="center"/>
          </w:tcPr>
          <w:p w14:paraId="670473F3">
            <w:pPr>
              <w:spacing w:line="240" w:lineRule="auto"/>
              <w:ind w:firstLine="0" w:firstLineChars="0"/>
              <w:jc w:val="center"/>
              <w:rPr>
                <w:color w:val="auto"/>
                <w:kern w:val="0"/>
                <w:sz w:val="21"/>
                <w:szCs w:val="21"/>
              </w:rPr>
            </w:pPr>
          </w:p>
        </w:tc>
        <w:tc>
          <w:tcPr>
            <w:tcW w:w="631" w:type="pct"/>
            <w:vAlign w:val="center"/>
          </w:tcPr>
          <w:p w14:paraId="30E12BA3">
            <w:pPr>
              <w:spacing w:line="240" w:lineRule="auto"/>
              <w:ind w:firstLine="0" w:firstLineChars="0"/>
              <w:jc w:val="center"/>
              <w:rPr>
                <w:color w:val="auto"/>
                <w:kern w:val="0"/>
                <w:sz w:val="21"/>
                <w:szCs w:val="21"/>
              </w:rPr>
            </w:pPr>
          </w:p>
        </w:tc>
        <w:tc>
          <w:tcPr>
            <w:tcW w:w="620" w:type="pct"/>
            <w:vAlign w:val="center"/>
          </w:tcPr>
          <w:p w14:paraId="4953D771">
            <w:pPr>
              <w:spacing w:line="240" w:lineRule="auto"/>
              <w:ind w:firstLine="0" w:firstLineChars="0"/>
              <w:jc w:val="center"/>
              <w:rPr>
                <w:color w:val="auto"/>
                <w:kern w:val="0"/>
                <w:sz w:val="21"/>
                <w:szCs w:val="21"/>
              </w:rPr>
            </w:pPr>
          </w:p>
        </w:tc>
        <w:tc>
          <w:tcPr>
            <w:tcW w:w="621" w:type="pct"/>
            <w:vAlign w:val="center"/>
          </w:tcPr>
          <w:p w14:paraId="307CF1FA">
            <w:pPr>
              <w:spacing w:line="240" w:lineRule="auto"/>
              <w:ind w:firstLine="0" w:firstLineChars="0"/>
              <w:jc w:val="center"/>
              <w:rPr>
                <w:color w:val="auto"/>
                <w:kern w:val="0"/>
                <w:sz w:val="21"/>
                <w:szCs w:val="21"/>
              </w:rPr>
            </w:pPr>
          </w:p>
        </w:tc>
        <w:tc>
          <w:tcPr>
            <w:tcW w:w="638" w:type="pct"/>
            <w:vAlign w:val="center"/>
          </w:tcPr>
          <w:p w14:paraId="445BDB30">
            <w:pPr>
              <w:spacing w:line="240" w:lineRule="auto"/>
              <w:ind w:firstLine="0" w:firstLineChars="0"/>
              <w:jc w:val="center"/>
              <w:rPr>
                <w:color w:val="auto"/>
                <w:kern w:val="0"/>
                <w:sz w:val="21"/>
                <w:szCs w:val="21"/>
              </w:rPr>
            </w:pPr>
          </w:p>
        </w:tc>
      </w:tr>
      <w:tr w14:paraId="7E12FE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4B9EB52C">
            <w:pPr>
              <w:spacing w:line="240" w:lineRule="auto"/>
              <w:ind w:firstLine="0" w:firstLineChars="0"/>
              <w:jc w:val="center"/>
              <w:rPr>
                <w:color w:val="auto"/>
                <w:kern w:val="0"/>
                <w:sz w:val="21"/>
                <w:szCs w:val="21"/>
              </w:rPr>
            </w:pPr>
          </w:p>
        </w:tc>
        <w:tc>
          <w:tcPr>
            <w:tcW w:w="620" w:type="pct"/>
            <w:vAlign w:val="center"/>
          </w:tcPr>
          <w:p w14:paraId="22994136">
            <w:pPr>
              <w:spacing w:line="240" w:lineRule="auto"/>
              <w:ind w:firstLine="0" w:firstLineChars="0"/>
              <w:jc w:val="center"/>
              <w:rPr>
                <w:color w:val="auto"/>
                <w:kern w:val="0"/>
                <w:sz w:val="21"/>
                <w:szCs w:val="21"/>
              </w:rPr>
            </w:pPr>
            <w:r>
              <w:rPr>
                <w:color w:val="auto"/>
                <w:kern w:val="0"/>
                <w:sz w:val="21"/>
                <w:szCs w:val="21"/>
              </w:rPr>
              <w:t>0.2H</w:t>
            </w:r>
          </w:p>
        </w:tc>
        <w:tc>
          <w:tcPr>
            <w:tcW w:w="620" w:type="pct"/>
            <w:vAlign w:val="center"/>
          </w:tcPr>
          <w:p w14:paraId="6C67817E">
            <w:pPr>
              <w:spacing w:line="240" w:lineRule="auto"/>
              <w:ind w:firstLine="0" w:firstLineChars="0"/>
              <w:jc w:val="center"/>
              <w:rPr>
                <w:color w:val="auto"/>
                <w:kern w:val="0"/>
                <w:sz w:val="21"/>
                <w:szCs w:val="21"/>
              </w:rPr>
            </w:pPr>
          </w:p>
        </w:tc>
        <w:tc>
          <w:tcPr>
            <w:tcW w:w="624" w:type="pct"/>
            <w:vAlign w:val="center"/>
          </w:tcPr>
          <w:p w14:paraId="59DFA68C">
            <w:pPr>
              <w:spacing w:line="240" w:lineRule="auto"/>
              <w:ind w:firstLine="0" w:firstLineChars="0"/>
              <w:jc w:val="center"/>
              <w:rPr>
                <w:color w:val="auto"/>
                <w:kern w:val="0"/>
                <w:sz w:val="21"/>
                <w:szCs w:val="21"/>
              </w:rPr>
            </w:pPr>
          </w:p>
        </w:tc>
        <w:tc>
          <w:tcPr>
            <w:tcW w:w="631" w:type="pct"/>
            <w:vAlign w:val="center"/>
          </w:tcPr>
          <w:p w14:paraId="740538B9">
            <w:pPr>
              <w:spacing w:line="240" w:lineRule="auto"/>
              <w:ind w:firstLine="0" w:firstLineChars="0"/>
              <w:jc w:val="center"/>
              <w:rPr>
                <w:color w:val="auto"/>
                <w:kern w:val="0"/>
                <w:sz w:val="21"/>
                <w:szCs w:val="21"/>
              </w:rPr>
            </w:pPr>
          </w:p>
        </w:tc>
        <w:tc>
          <w:tcPr>
            <w:tcW w:w="620" w:type="pct"/>
            <w:vAlign w:val="center"/>
          </w:tcPr>
          <w:p w14:paraId="075E18AE">
            <w:pPr>
              <w:spacing w:line="240" w:lineRule="auto"/>
              <w:ind w:firstLine="0" w:firstLineChars="0"/>
              <w:jc w:val="center"/>
              <w:rPr>
                <w:color w:val="auto"/>
                <w:kern w:val="0"/>
                <w:sz w:val="21"/>
                <w:szCs w:val="21"/>
              </w:rPr>
            </w:pPr>
          </w:p>
        </w:tc>
        <w:tc>
          <w:tcPr>
            <w:tcW w:w="621" w:type="pct"/>
            <w:vAlign w:val="center"/>
          </w:tcPr>
          <w:p w14:paraId="3FE58E46">
            <w:pPr>
              <w:spacing w:line="240" w:lineRule="auto"/>
              <w:ind w:firstLine="0" w:firstLineChars="0"/>
              <w:jc w:val="center"/>
              <w:rPr>
                <w:color w:val="auto"/>
                <w:kern w:val="0"/>
                <w:sz w:val="21"/>
                <w:szCs w:val="21"/>
              </w:rPr>
            </w:pPr>
          </w:p>
        </w:tc>
        <w:tc>
          <w:tcPr>
            <w:tcW w:w="638" w:type="pct"/>
            <w:vAlign w:val="center"/>
          </w:tcPr>
          <w:p w14:paraId="648FDCB5">
            <w:pPr>
              <w:spacing w:line="240" w:lineRule="auto"/>
              <w:ind w:firstLine="0" w:firstLineChars="0"/>
              <w:jc w:val="center"/>
              <w:rPr>
                <w:color w:val="auto"/>
                <w:kern w:val="0"/>
                <w:sz w:val="21"/>
                <w:szCs w:val="21"/>
              </w:rPr>
            </w:pPr>
          </w:p>
        </w:tc>
      </w:tr>
      <w:tr w14:paraId="04CEAE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continue"/>
            <w:vAlign w:val="center"/>
          </w:tcPr>
          <w:p w14:paraId="39B35F37">
            <w:pPr>
              <w:spacing w:line="240" w:lineRule="auto"/>
              <w:ind w:firstLine="0" w:firstLineChars="0"/>
              <w:jc w:val="center"/>
              <w:rPr>
                <w:color w:val="auto"/>
                <w:kern w:val="0"/>
                <w:sz w:val="21"/>
                <w:szCs w:val="21"/>
              </w:rPr>
            </w:pPr>
          </w:p>
        </w:tc>
        <w:tc>
          <w:tcPr>
            <w:tcW w:w="620" w:type="pct"/>
            <w:vAlign w:val="center"/>
          </w:tcPr>
          <w:p w14:paraId="31588923">
            <w:pPr>
              <w:spacing w:line="240" w:lineRule="auto"/>
              <w:ind w:firstLine="0" w:firstLineChars="0"/>
              <w:jc w:val="center"/>
              <w:rPr>
                <w:color w:val="auto"/>
                <w:kern w:val="0"/>
                <w:sz w:val="21"/>
                <w:szCs w:val="21"/>
              </w:rPr>
            </w:pPr>
            <w:r>
              <w:rPr>
                <w:color w:val="auto"/>
                <w:kern w:val="0"/>
                <w:sz w:val="21"/>
                <w:szCs w:val="21"/>
              </w:rPr>
              <w:t>0.4H</w:t>
            </w:r>
          </w:p>
        </w:tc>
        <w:tc>
          <w:tcPr>
            <w:tcW w:w="620" w:type="pct"/>
            <w:vAlign w:val="center"/>
          </w:tcPr>
          <w:p w14:paraId="2C91DA7C">
            <w:pPr>
              <w:spacing w:line="240" w:lineRule="auto"/>
              <w:ind w:firstLine="0" w:firstLineChars="0"/>
              <w:jc w:val="center"/>
              <w:rPr>
                <w:color w:val="auto"/>
                <w:kern w:val="0"/>
                <w:sz w:val="21"/>
                <w:szCs w:val="21"/>
              </w:rPr>
            </w:pPr>
          </w:p>
        </w:tc>
        <w:tc>
          <w:tcPr>
            <w:tcW w:w="624" w:type="pct"/>
            <w:vAlign w:val="center"/>
          </w:tcPr>
          <w:p w14:paraId="7277878F">
            <w:pPr>
              <w:spacing w:line="240" w:lineRule="auto"/>
              <w:ind w:firstLine="0" w:firstLineChars="0"/>
              <w:jc w:val="center"/>
              <w:rPr>
                <w:color w:val="auto"/>
                <w:kern w:val="0"/>
                <w:sz w:val="21"/>
                <w:szCs w:val="21"/>
              </w:rPr>
            </w:pPr>
          </w:p>
        </w:tc>
        <w:tc>
          <w:tcPr>
            <w:tcW w:w="631" w:type="pct"/>
            <w:vAlign w:val="center"/>
          </w:tcPr>
          <w:p w14:paraId="6E9861D9">
            <w:pPr>
              <w:spacing w:line="240" w:lineRule="auto"/>
              <w:ind w:firstLine="0" w:firstLineChars="0"/>
              <w:jc w:val="center"/>
              <w:rPr>
                <w:color w:val="auto"/>
                <w:kern w:val="0"/>
                <w:sz w:val="21"/>
                <w:szCs w:val="21"/>
              </w:rPr>
            </w:pPr>
          </w:p>
        </w:tc>
        <w:tc>
          <w:tcPr>
            <w:tcW w:w="620" w:type="pct"/>
            <w:vAlign w:val="center"/>
          </w:tcPr>
          <w:p w14:paraId="66EEA70F">
            <w:pPr>
              <w:spacing w:line="240" w:lineRule="auto"/>
              <w:ind w:firstLine="0" w:firstLineChars="0"/>
              <w:jc w:val="center"/>
              <w:rPr>
                <w:color w:val="auto"/>
                <w:kern w:val="0"/>
                <w:sz w:val="21"/>
                <w:szCs w:val="21"/>
              </w:rPr>
            </w:pPr>
          </w:p>
        </w:tc>
        <w:tc>
          <w:tcPr>
            <w:tcW w:w="621" w:type="pct"/>
            <w:vAlign w:val="center"/>
          </w:tcPr>
          <w:p w14:paraId="6C8BD392">
            <w:pPr>
              <w:spacing w:line="240" w:lineRule="auto"/>
              <w:ind w:firstLine="0" w:firstLineChars="0"/>
              <w:jc w:val="center"/>
              <w:rPr>
                <w:color w:val="auto"/>
                <w:kern w:val="0"/>
                <w:sz w:val="21"/>
                <w:szCs w:val="21"/>
              </w:rPr>
            </w:pPr>
          </w:p>
        </w:tc>
        <w:tc>
          <w:tcPr>
            <w:tcW w:w="638" w:type="pct"/>
            <w:vAlign w:val="center"/>
          </w:tcPr>
          <w:p w14:paraId="4B40822C">
            <w:pPr>
              <w:spacing w:line="240" w:lineRule="auto"/>
              <w:ind w:firstLine="0" w:firstLineChars="0"/>
              <w:jc w:val="center"/>
              <w:rPr>
                <w:color w:val="auto"/>
                <w:kern w:val="0"/>
                <w:sz w:val="21"/>
                <w:szCs w:val="21"/>
              </w:rPr>
            </w:pPr>
          </w:p>
        </w:tc>
      </w:tr>
      <w:tr w14:paraId="19574D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08158A28">
            <w:pPr>
              <w:spacing w:line="240" w:lineRule="auto"/>
              <w:ind w:firstLine="0" w:firstLineChars="0"/>
              <w:jc w:val="center"/>
              <w:rPr>
                <w:color w:val="auto"/>
                <w:kern w:val="0"/>
                <w:sz w:val="21"/>
                <w:szCs w:val="21"/>
              </w:rPr>
            </w:pPr>
          </w:p>
        </w:tc>
        <w:tc>
          <w:tcPr>
            <w:tcW w:w="620" w:type="pct"/>
            <w:vAlign w:val="center"/>
          </w:tcPr>
          <w:p w14:paraId="3D61C82B">
            <w:pPr>
              <w:spacing w:line="240" w:lineRule="auto"/>
              <w:ind w:firstLine="0" w:firstLineChars="0"/>
              <w:jc w:val="center"/>
              <w:rPr>
                <w:color w:val="auto"/>
                <w:kern w:val="0"/>
                <w:sz w:val="21"/>
                <w:szCs w:val="21"/>
              </w:rPr>
            </w:pPr>
            <w:r>
              <w:rPr>
                <w:color w:val="auto"/>
                <w:kern w:val="0"/>
                <w:sz w:val="21"/>
                <w:szCs w:val="21"/>
              </w:rPr>
              <w:t>0.6H</w:t>
            </w:r>
          </w:p>
        </w:tc>
        <w:tc>
          <w:tcPr>
            <w:tcW w:w="620" w:type="pct"/>
            <w:vAlign w:val="center"/>
          </w:tcPr>
          <w:p w14:paraId="6B48F6D4">
            <w:pPr>
              <w:spacing w:line="240" w:lineRule="auto"/>
              <w:ind w:firstLine="0" w:firstLineChars="0"/>
              <w:jc w:val="center"/>
              <w:rPr>
                <w:color w:val="auto"/>
                <w:kern w:val="0"/>
                <w:sz w:val="21"/>
                <w:szCs w:val="21"/>
              </w:rPr>
            </w:pPr>
          </w:p>
        </w:tc>
        <w:tc>
          <w:tcPr>
            <w:tcW w:w="624" w:type="pct"/>
            <w:vAlign w:val="center"/>
          </w:tcPr>
          <w:p w14:paraId="693221B8">
            <w:pPr>
              <w:spacing w:line="240" w:lineRule="auto"/>
              <w:ind w:firstLine="0" w:firstLineChars="0"/>
              <w:jc w:val="center"/>
              <w:rPr>
                <w:color w:val="auto"/>
                <w:kern w:val="0"/>
                <w:sz w:val="21"/>
                <w:szCs w:val="21"/>
              </w:rPr>
            </w:pPr>
          </w:p>
        </w:tc>
        <w:tc>
          <w:tcPr>
            <w:tcW w:w="631" w:type="pct"/>
            <w:vAlign w:val="center"/>
          </w:tcPr>
          <w:p w14:paraId="43446FAD">
            <w:pPr>
              <w:spacing w:line="240" w:lineRule="auto"/>
              <w:ind w:firstLine="0" w:firstLineChars="0"/>
              <w:jc w:val="center"/>
              <w:rPr>
                <w:color w:val="auto"/>
                <w:kern w:val="0"/>
                <w:sz w:val="21"/>
                <w:szCs w:val="21"/>
              </w:rPr>
            </w:pPr>
          </w:p>
        </w:tc>
        <w:tc>
          <w:tcPr>
            <w:tcW w:w="620" w:type="pct"/>
            <w:vAlign w:val="center"/>
          </w:tcPr>
          <w:p w14:paraId="337D25E7">
            <w:pPr>
              <w:spacing w:line="240" w:lineRule="auto"/>
              <w:ind w:firstLine="0" w:firstLineChars="0"/>
              <w:jc w:val="center"/>
              <w:rPr>
                <w:color w:val="auto"/>
                <w:kern w:val="0"/>
                <w:sz w:val="21"/>
                <w:szCs w:val="21"/>
              </w:rPr>
            </w:pPr>
          </w:p>
        </w:tc>
        <w:tc>
          <w:tcPr>
            <w:tcW w:w="621" w:type="pct"/>
            <w:vAlign w:val="center"/>
          </w:tcPr>
          <w:p w14:paraId="6323D187">
            <w:pPr>
              <w:spacing w:line="240" w:lineRule="auto"/>
              <w:ind w:firstLine="0" w:firstLineChars="0"/>
              <w:jc w:val="center"/>
              <w:rPr>
                <w:color w:val="auto"/>
                <w:kern w:val="0"/>
                <w:sz w:val="21"/>
                <w:szCs w:val="21"/>
              </w:rPr>
            </w:pPr>
          </w:p>
        </w:tc>
        <w:tc>
          <w:tcPr>
            <w:tcW w:w="638" w:type="pct"/>
            <w:vAlign w:val="center"/>
          </w:tcPr>
          <w:p w14:paraId="702A143D">
            <w:pPr>
              <w:spacing w:line="240" w:lineRule="auto"/>
              <w:ind w:firstLine="0" w:firstLineChars="0"/>
              <w:jc w:val="center"/>
              <w:rPr>
                <w:color w:val="auto"/>
                <w:kern w:val="0"/>
                <w:sz w:val="21"/>
                <w:szCs w:val="21"/>
              </w:rPr>
            </w:pPr>
          </w:p>
        </w:tc>
      </w:tr>
      <w:tr w14:paraId="0658AA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continue"/>
            <w:vAlign w:val="center"/>
          </w:tcPr>
          <w:p w14:paraId="4535389B">
            <w:pPr>
              <w:spacing w:line="240" w:lineRule="auto"/>
              <w:ind w:firstLine="0" w:firstLineChars="0"/>
              <w:jc w:val="center"/>
              <w:rPr>
                <w:color w:val="auto"/>
                <w:kern w:val="0"/>
                <w:sz w:val="21"/>
                <w:szCs w:val="21"/>
              </w:rPr>
            </w:pPr>
          </w:p>
        </w:tc>
        <w:tc>
          <w:tcPr>
            <w:tcW w:w="620" w:type="pct"/>
            <w:vAlign w:val="center"/>
          </w:tcPr>
          <w:p w14:paraId="25C97691">
            <w:pPr>
              <w:spacing w:line="240" w:lineRule="auto"/>
              <w:ind w:firstLine="0" w:firstLineChars="0"/>
              <w:jc w:val="center"/>
              <w:rPr>
                <w:color w:val="auto"/>
                <w:kern w:val="0"/>
                <w:sz w:val="21"/>
                <w:szCs w:val="21"/>
              </w:rPr>
            </w:pPr>
            <w:r>
              <w:rPr>
                <w:color w:val="auto"/>
                <w:kern w:val="0"/>
                <w:sz w:val="21"/>
                <w:szCs w:val="21"/>
              </w:rPr>
              <w:t>0.8H</w:t>
            </w:r>
          </w:p>
        </w:tc>
        <w:tc>
          <w:tcPr>
            <w:tcW w:w="620" w:type="pct"/>
            <w:vAlign w:val="center"/>
          </w:tcPr>
          <w:p w14:paraId="3CD64D80">
            <w:pPr>
              <w:spacing w:line="240" w:lineRule="auto"/>
              <w:ind w:firstLine="0" w:firstLineChars="0"/>
              <w:jc w:val="center"/>
              <w:rPr>
                <w:color w:val="auto"/>
                <w:kern w:val="0"/>
                <w:sz w:val="21"/>
                <w:szCs w:val="21"/>
              </w:rPr>
            </w:pPr>
          </w:p>
        </w:tc>
        <w:tc>
          <w:tcPr>
            <w:tcW w:w="624" w:type="pct"/>
            <w:vAlign w:val="center"/>
          </w:tcPr>
          <w:p w14:paraId="04680384">
            <w:pPr>
              <w:spacing w:line="240" w:lineRule="auto"/>
              <w:ind w:firstLine="0" w:firstLineChars="0"/>
              <w:jc w:val="center"/>
              <w:rPr>
                <w:color w:val="auto"/>
                <w:kern w:val="0"/>
                <w:sz w:val="21"/>
                <w:szCs w:val="21"/>
              </w:rPr>
            </w:pPr>
          </w:p>
        </w:tc>
        <w:tc>
          <w:tcPr>
            <w:tcW w:w="631" w:type="pct"/>
            <w:vAlign w:val="center"/>
          </w:tcPr>
          <w:p w14:paraId="255B9487">
            <w:pPr>
              <w:spacing w:line="240" w:lineRule="auto"/>
              <w:ind w:firstLine="0" w:firstLineChars="0"/>
              <w:jc w:val="center"/>
              <w:rPr>
                <w:color w:val="auto"/>
                <w:kern w:val="0"/>
                <w:sz w:val="21"/>
                <w:szCs w:val="21"/>
              </w:rPr>
            </w:pPr>
          </w:p>
        </w:tc>
        <w:tc>
          <w:tcPr>
            <w:tcW w:w="620" w:type="pct"/>
            <w:vAlign w:val="center"/>
          </w:tcPr>
          <w:p w14:paraId="455DD403">
            <w:pPr>
              <w:spacing w:line="240" w:lineRule="auto"/>
              <w:ind w:firstLine="0" w:firstLineChars="0"/>
              <w:jc w:val="center"/>
              <w:rPr>
                <w:color w:val="auto"/>
                <w:kern w:val="0"/>
                <w:sz w:val="21"/>
                <w:szCs w:val="21"/>
              </w:rPr>
            </w:pPr>
          </w:p>
        </w:tc>
        <w:tc>
          <w:tcPr>
            <w:tcW w:w="621" w:type="pct"/>
            <w:vAlign w:val="center"/>
          </w:tcPr>
          <w:p w14:paraId="3B9B502E">
            <w:pPr>
              <w:spacing w:line="240" w:lineRule="auto"/>
              <w:ind w:firstLine="0" w:firstLineChars="0"/>
              <w:jc w:val="center"/>
              <w:rPr>
                <w:color w:val="auto"/>
                <w:kern w:val="0"/>
                <w:sz w:val="21"/>
                <w:szCs w:val="21"/>
              </w:rPr>
            </w:pPr>
          </w:p>
        </w:tc>
        <w:tc>
          <w:tcPr>
            <w:tcW w:w="638" w:type="pct"/>
            <w:vAlign w:val="center"/>
          </w:tcPr>
          <w:p w14:paraId="505FCD6D">
            <w:pPr>
              <w:spacing w:line="240" w:lineRule="auto"/>
              <w:ind w:firstLine="0" w:firstLineChars="0"/>
              <w:jc w:val="center"/>
              <w:rPr>
                <w:color w:val="auto"/>
                <w:kern w:val="0"/>
                <w:sz w:val="21"/>
                <w:szCs w:val="21"/>
              </w:rPr>
            </w:pPr>
          </w:p>
        </w:tc>
      </w:tr>
      <w:tr w14:paraId="67B4A2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continue"/>
            <w:vAlign w:val="center"/>
          </w:tcPr>
          <w:p w14:paraId="129E9E39">
            <w:pPr>
              <w:spacing w:line="240" w:lineRule="auto"/>
              <w:ind w:firstLine="0" w:firstLineChars="0"/>
              <w:jc w:val="center"/>
              <w:rPr>
                <w:color w:val="auto"/>
                <w:kern w:val="0"/>
                <w:sz w:val="21"/>
                <w:szCs w:val="21"/>
              </w:rPr>
            </w:pPr>
          </w:p>
        </w:tc>
        <w:tc>
          <w:tcPr>
            <w:tcW w:w="620" w:type="pct"/>
            <w:vAlign w:val="center"/>
          </w:tcPr>
          <w:p w14:paraId="6A28B94F">
            <w:pPr>
              <w:spacing w:line="240" w:lineRule="auto"/>
              <w:ind w:firstLine="0" w:firstLineChars="0"/>
              <w:jc w:val="center"/>
              <w:rPr>
                <w:color w:val="auto"/>
                <w:kern w:val="0"/>
                <w:sz w:val="21"/>
                <w:szCs w:val="21"/>
              </w:rPr>
            </w:pPr>
            <w:r>
              <w:rPr>
                <w:color w:val="auto"/>
                <w:kern w:val="0"/>
                <w:sz w:val="21"/>
                <w:szCs w:val="21"/>
              </w:rPr>
              <w:t>底层</w:t>
            </w:r>
          </w:p>
        </w:tc>
        <w:tc>
          <w:tcPr>
            <w:tcW w:w="620" w:type="pct"/>
            <w:vAlign w:val="center"/>
          </w:tcPr>
          <w:p w14:paraId="375A0C47">
            <w:pPr>
              <w:spacing w:line="240" w:lineRule="auto"/>
              <w:ind w:firstLine="0" w:firstLineChars="0"/>
              <w:jc w:val="center"/>
              <w:rPr>
                <w:color w:val="auto"/>
                <w:kern w:val="0"/>
                <w:sz w:val="21"/>
                <w:szCs w:val="21"/>
              </w:rPr>
            </w:pPr>
          </w:p>
        </w:tc>
        <w:tc>
          <w:tcPr>
            <w:tcW w:w="624" w:type="pct"/>
            <w:vAlign w:val="center"/>
          </w:tcPr>
          <w:p w14:paraId="1495CDF2">
            <w:pPr>
              <w:spacing w:line="240" w:lineRule="auto"/>
              <w:ind w:firstLine="0" w:firstLineChars="0"/>
              <w:jc w:val="center"/>
              <w:rPr>
                <w:color w:val="auto"/>
                <w:kern w:val="0"/>
                <w:sz w:val="21"/>
                <w:szCs w:val="21"/>
              </w:rPr>
            </w:pPr>
          </w:p>
        </w:tc>
        <w:tc>
          <w:tcPr>
            <w:tcW w:w="631" w:type="pct"/>
            <w:vAlign w:val="center"/>
          </w:tcPr>
          <w:p w14:paraId="520A81B3">
            <w:pPr>
              <w:spacing w:line="240" w:lineRule="auto"/>
              <w:ind w:firstLine="0" w:firstLineChars="0"/>
              <w:jc w:val="center"/>
              <w:rPr>
                <w:color w:val="auto"/>
                <w:kern w:val="0"/>
                <w:sz w:val="21"/>
                <w:szCs w:val="21"/>
              </w:rPr>
            </w:pPr>
          </w:p>
        </w:tc>
        <w:tc>
          <w:tcPr>
            <w:tcW w:w="620" w:type="pct"/>
            <w:vAlign w:val="center"/>
          </w:tcPr>
          <w:p w14:paraId="781E801F">
            <w:pPr>
              <w:spacing w:line="240" w:lineRule="auto"/>
              <w:ind w:firstLine="0" w:firstLineChars="0"/>
              <w:jc w:val="center"/>
              <w:rPr>
                <w:color w:val="auto"/>
                <w:kern w:val="0"/>
                <w:sz w:val="21"/>
                <w:szCs w:val="21"/>
              </w:rPr>
            </w:pPr>
          </w:p>
        </w:tc>
        <w:tc>
          <w:tcPr>
            <w:tcW w:w="621" w:type="pct"/>
            <w:vAlign w:val="center"/>
          </w:tcPr>
          <w:p w14:paraId="45262C22">
            <w:pPr>
              <w:spacing w:line="240" w:lineRule="auto"/>
              <w:ind w:firstLine="0" w:firstLineChars="0"/>
              <w:jc w:val="center"/>
              <w:rPr>
                <w:color w:val="auto"/>
                <w:kern w:val="0"/>
                <w:sz w:val="21"/>
                <w:szCs w:val="21"/>
              </w:rPr>
            </w:pPr>
          </w:p>
        </w:tc>
        <w:tc>
          <w:tcPr>
            <w:tcW w:w="638" w:type="pct"/>
            <w:vAlign w:val="center"/>
          </w:tcPr>
          <w:p w14:paraId="6477EC64">
            <w:pPr>
              <w:spacing w:line="240" w:lineRule="auto"/>
              <w:ind w:firstLine="0" w:firstLineChars="0"/>
              <w:jc w:val="center"/>
              <w:rPr>
                <w:color w:val="auto"/>
                <w:kern w:val="0"/>
                <w:sz w:val="21"/>
                <w:szCs w:val="21"/>
              </w:rPr>
            </w:pPr>
          </w:p>
        </w:tc>
      </w:tr>
      <w:tr w14:paraId="164386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0" w:hRule="atLeast"/>
          <w:jc w:val="center"/>
        </w:trPr>
        <w:tc>
          <w:tcPr>
            <w:tcW w:w="622" w:type="pct"/>
            <w:vMerge w:val="continue"/>
            <w:vAlign w:val="center"/>
          </w:tcPr>
          <w:p w14:paraId="17CDD0F9">
            <w:pPr>
              <w:spacing w:line="240" w:lineRule="auto"/>
              <w:ind w:firstLine="0" w:firstLineChars="0"/>
              <w:jc w:val="center"/>
              <w:rPr>
                <w:color w:val="auto"/>
                <w:kern w:val="0"/>
                <w:sz w:val="21"/>
                <w:szCs w:val="21"/>
              </w:rPr>
            </w:pPr>
          </w:p>
        </w:tc>
        <w:tc>
          <w:tcPr>
            <w:tcW w:w="620" w:type="pct"/>
            <w:vAlign w:val="center"/>
          </w:tcPr>
          <w:p w14:paraId="4DD6A5B1">
            <w:pPr>
              <w:spacing w:line="240" w:lineRule="auto"/>
              <w:ind w:firstLine="0" w:firstLineChars="0"/>
              <w:jc w:val="center"/>
              <w:rPr>
                <w:color w:val="auto"/>
                <w:kern w:val="0"/>
                <w:sz w:val="21"/>
                <w:szCs w:val="21"/>
              </w:rPr>
            </w:pPr>
            <w:r>
              <w:rPr>
                <w:color w:val="auto"/>
                <w:kern w:val="0"/>
                <w:sz w:val="21"/>
                <w:szCs w:val="21"/>
              </w:rPr>
              <w:t>垂线</w:t>
            </w:r>
          </w:p>
        </w:tc>
        <w:tc>
          <w:tcPr>
            <w:tcW w:w="620" w:type="pct"/>
            <w:vAlign w:val="center"/>
          </w:tcPr>
          <w:p w14:paraId="3E9F4AD9">
            <w:pPr>
              <w:spacing w:line="240" w:lineRule="auto"/>
              <w:ind w:firstLine="0" w:firstLineChars="0"/>
              <w:jc w:val="center"/>
              <w:rPr>
                <w:color w:val="auto"/>
                <w:kern w:val="0"/>
                <w:sz w:val="21"/>
                <w:szCs w:val="21"/>
              </w:rPr>
            </w:pPr>
          </w:p>
        </w:tc>
        <w:tc>
          <w:tcPr>
            <w:tcW w:w="624" w:type="pct"/>
            <w:vAlign w:val="center"/>
          </w:tcPr>
          <w:p w14:paraId="00072E9E">
            <w:pPr>
              <w:spacing w:line="240" w:lineRule="auto"/>
              <w:ind w:firstLine="0" w:firstLineChars="0"/>
              <w:jc w:val="center"/>
              <w:rPr>
                <w:color w:val="auto"/>
                <w:kern w:val="0"/>
                <w:sz w:val="21"/>
                <w:szCs w:val="21"/>
              </w:rPr>
            </w:pPr>
          </w:p>
        </w:tc>
        <w:tc>
          <w:tcPr>
            <w:tcW w:w="631" w:type="pct"/>
            <w:vAlign w:val="center"/>
          </w:tcPr>
          <w:p w14:paraId="2E941753">
            <w:pPr>
              <w:spacing w:line="240" w:lineRule="auto"/>
              <w:ind w:firstLine="0" w:firstLineChars="0"/>
              <w:jc w:val="center"/>
              <w:rPr>
                <w:color w:val="auto"/>
                <w:kern w:val="0"/>
                <w:sz w:val="21"/>
                <w:szCs w:val="21"/>
              </w:rPr>
            </w:pPr>
          </w:p>
        </w:tc>
        <w:tc>
          <w:tcPr>
            <w:tcW w:w="620" w:type="pct"/>
            <w:vAlign w:val="center"/>
          </w:tcPr>
          <w:p w14:paraId="024FA047">
            <w:pPr>
              <w:spacing w:line="240" w:lineRule="auto"/>
              <w:ind w:firstLine="0" w:firstLineChars="0"/>
              <w:jc w:val="center"/>
              <w:rPr>
                <w:color w:val="auto"/>
                <w:kern w:val="0"/>
                <w:sz w:val="21"/>
                <w:szCs w:val="21"/>
              </w:rPr>
            </w:pPr>
          </w:p>
        </w:tc>
        <w:tc>
          <w:tcPr>
            <w:tcW w:w="621" w:type="pct"/>
            <w:vAlign w:val="center"/>
          </w:tcPr>
          <w:p w14:paraId="43C46BBB">
            <w:pPr>
              <w:spacing w:line="240" w:lineRule="auto"/>
              <w:ind w:firstLine="0" w:firstLineChars="0"/>
              <w:jc w:val="center"/>
              <w:rPr>
                <w:color w:val="auto"/>
                <w:kern w:val="0"/>
                <w:sz w:val="21"/>
                <w:szCs w:val="21"/>
              </w:rPr>
            </w:pPr>
          </w:p>
        </w:tc>
        <w:tc>
          <w:tcPr>
            <w:tcW w:w="638" w:type="pct"/>
            <w:vAlign w:val="center"/>
          </w:tcPr>
          <w:p w14:paraId="6165B7A8">
            <w:pPr>
              <w:spacing w:line="240" w:lineRule="auto"/>
              <w:ind w:firstLine="0" w:firstLineChars="0"/>
              <w:jc w:val="center"/>
              <w:rPr>
                <w:color w:val="auto"/>
                <w:kern w:val="0"/>
                <w:sz w:val="21"/>
                <w:szCs w:val="21"/>
              </w:rPr>
            </w:pPr>
          </w:p>
        </w:tc>
      </w:tr>
      <w:tr w14:paraId="278CAA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restart"/>
            <w:vAlign w:val="center"/>
          </w:tcPr>
          <w:p w14:paraId="379AB105">
            <w:pPr>
              <w:spacing w:line="240" w:lineRule="auto"/>
              <w:ind w:firstLine="0" w:firstLineChars="0"/>
              <w:jc w:val="center"/>
              <w:rPr>
                <w:color w:val="auto"/>
                <w:kern w:val="0"/>
                <w:sz w:val="21"/>
                <w:szCs w:val="21"/>
              </w:rPr>
            </w:pPr>
            <w:r>
              <w:rPr>
                <w:color w:val="auto"/>
                <w:kern w:val="0"/>
                <w:sz w:val="21"/>
                <w:szCs w:val="21"/>
              </w:rPr>
              <w:t>V2</w:t>
            </w:r>
          </w:p>
        </w:tc>
        <w:tc>
          <w:tcPr>
            <w:tcW w:w="620" w:type="pct"/>
            <w:vAlign w:val="center"/>
          </w:tcPr>
          <w:p w14:paraId="4485DEA3">
            <w:pPr>
              <w:spacing w:line="240" w:lineRule="auto"/>
              <w:ind w:firstLine="0" w:firstLineChars="0"/>
              <w:jc w:val="center"/>
              <w:rPr>
                <w:color w:val="auto"/>
                <w:kern w:val="0"/>
                <w:sz w:val="21"/>
                <w:szCs w:val="21"/>
              </w:rPr>
            </w:pPr>
            <w:r>
              <w:rPr>
                <w:color w:val="auto"/>
                <w:kern w:val="0"/>
                <w:sz w:val="21"/>
                <w:szCs w:val="21"/>
              </w:rPr>
              <w:t>表层</w:t>
            </w:r>
          </w:p>
        </w:tc>
        <w:tc>
          <w:tcPr>
            <w:tcW w:w="620" w:type="pct"/>
            <w:vAlign w:val="center"/>
          </w:tcPr>
          <w:p w14:paraId="5EBAFA8A">
            <w:pPr>
              <w:spacing w:line="240" w:lineRule="auto"/>
              <w:ind w:firstLine="0" w:firstLineChars="0"/>
              <w:jc w:val="center"/>
              <w:rPr>
                <w:color w:val="auto"/>
                <w:kern w:val="0"/>
                <w:sz w:val="21"/>
                <w:szCs w:val="21"/>
              </w:rPr>
            </w:pPr>
          </w:p>
        </w:tc>
        <w:tc>
          <w:tcPr>
            <w:tcW w:w="624" w:type="pct"/>
            <w:vAlign w:val="center"/>
          </w:tcPr>
          <w:p w14:paraId="462A6C7B">
            <w:pPr>
              <w:spacing w:line="240" w:lineRule="auto"/>
              <w:ind w:firstLine="0" w:firstLineChars="0"/>
              <w:jc w:val="center"/>
              <w:rPr>
                <w:color w:val="auto"/>
                <w:kern w:val="0"/>
                <w:sz w:val="21"/>
                <w:szCs w:val="21"/>
              </w:rPr>
            </w:pPr>
          </w:p>
        </w:tc>
        <w:tc>
          <w:tcPr>
            <w:tcW w:w="631" w:type="pct"/>
            <w:vAlign w:val="center"/>
          </w:tcPr>
          <w:p w14:paraId="6490772F">
            <w:pPr>
              <w:spacing w:line="240" w:lineRule="auto"/>
              <w:ind w:firstLine="0" w:firstLineChars="0"/>
              <w:jc w:val="center"/>
              <w:rPr>
                <w:color w:val="auto"/>
                <w:kern w:val="0"/>
                <w:sz w:val="21"/>
                <w:szCs w:val="21"/>
              </w:rPr>
            </w:pPr>
          </w:p>
        </w:tc>
        <w:tc>
          <w:tcPr>
            <w:tcW w:w="620" w:type="pct"/>
            <w:vAlign w:val="center"/>
          </w:tcPr>
          <w:p w14:paraId="15393160">
            <w:pPr>
              <w:spacing w:line="240" w:lineRule="auto"/>
              <w:ind w:firstLine="0" w:firstLineChars="0"/>
              <w:jc w:val="center"/>
              <w:rPr>
                <w:color w:val="auto"/>
                <w:kern w:val="0"/>
                <w:sz w:val="21"/>
                <w:szCs w:val="21"/>
              </w:rPr>
            </w:pPr>
          </w:p>
        </w:tc>
        <w:tc>
          <w:tcPr>
            <w:tcW w:w="621" w:type="pct"/>
            <w:vAlign w:val="center"/>
          </w:tcPr>
          <w:p w14:paraId="4E27E78C">
            <w:pPr>
              <w:spacing w:line="240" w:lineRule="auto"/>
              <w:ind w:firstLine="0" w:firstLineChars="0"/>
              <w:jc w:val="center"/>
              <w:rPr>
                <w:color w:val="auto"/>
                <w:kern w:val="0"/>
                <w:sz w:val="21"/>
                <w:szCs w:val="21"/>
              </w:rPr>
            </w:pPr>
          </w:p>
        </w:tc>
        <w:tc>
          <w:tcPr>
            <w:tcW w:w="638" w:type="pct"/>
            <w:vAlign w:val="center"/>
          </w:tcPr>
          <w:p w14:paraId="6BEABE1F">
            <w:pPr>
              <w:spacing w:line="240" w:lineRule="auto"/>
              <w:ind w:firstLine="0" w:firstLineChars="0"/>
              <w:jc w:val="center"/>
              <w:rPr>
                <w:color w:val="auto"/>
                <w:kern w:val="0"/>
                <w:sz w:val="21"/>
                <w:szCs w:val="21"/>
              </w:rPr>
            </w:pPr>
          </w:p>
        </w:tc>
      </w:tr>
      <w:tr w14:paraId="6B5050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5A7287C9">
            <w:pPr>
              <w:spacing w:line="240" w:lineRule="auto"/>
              <w:ind w:firstLine="0" w:firstLineChars="0"/>
              <w:jc w:val="center"/>
              <w:rPr>
                <w:color w:val="auto"/>
                <w:kern w:val="0"/>
                <w:sz w:val="21"/>
                <w:szCs w:val="21"/>
              </w:rPr>
            </w:pPr>
          </w:p>
        </w:tc>
        <w:tc>
          <w:tcPr>
            <w:tcW w:w="620" w:type="pct"/>
            <w:vAlign w:val="center"/>
          </w:tcPr>
          <w:p w14:paraId="76D01DB5">
            <w:pPr>
              <w:spacing w:line="240" w:lineRule="auto"/>
              <w:ind w:firstLine="0" w:firstLineChars="0"/>
              <w:jc w:val="center"/>
              <w:rPr>
                <w:color w:val="auto"/>
                <w:kern w:val="0"/>
                <w:sz w:val="21"/>
                <w:szCs w:val="21"/>
              </w:rPr>
            </w:pPr>
            <w:r>
              <w:rPr>
                <w:color w:val="auto"/>
                <w:kern w:val="0"/>
                <w:sz w:val="21"/>
                <w:szCs w:val="21"/>
              </w:rPr>
              <w:t>0.2H</w:t>
            </w:r>
          </w:p>
        </w:tc>
        <w:tc>
          <w:tcPr>
            <w:tcW w:w="620" w:type="pct"/>
            <w:vAlign w:val="center"/>
          </w:tcPr>
          <w:p w14:paraId="291093FA">
            <w:pPr>
              <w:spacing w:line="240" w:lineRule="auto"/>
              <w:ind w:firstLine="0" w:firstLineChars="0"/>
              <w:jc w:val="center"/>
              <w:rPr>
                <w:color w:val="auto"/>
                <w:kern w:val="0"/>
                <w:sz w:val="21"/>
                <w:szCs w:val="21"/>
              </w:rPr>
            </w:pPr>
          </w:p>
        </w:tc>
        <w:tc>
          <w:tcPr>
            <w:tcW w:w="624" w:type="pct"/>
            <w:vAlign w:val="center"/>
          </w:tcPr>
          <w:p w14:paraId="7C09B4F5">
            <w:pPr>
              <w:spacing w:line="240" w:lineRule="auto"/>
              <w:ind w:firstLine="0" w:firstLineChars="0"/>
              <w:jc w:val="center"/>
              <w:rPr>
                <w:color w:val="auto"/>
                <w:kern w:val="0"/>
                <w:sz w:val="21"/>
                <w:szCs w:val="21"/>
              </w:rPr>
            </w:pPr>
          </w:p>
        </w:tc>
        <w:tc>
          <w:tcPr>
            <w:tcW w:w="631" w:type="pct"/>
            <w:vAlign w:val="center"/>
          </w:tcPr>
          <w:p w14:paraId="1B7024BA">
            <w:pPr>
              <w:spacing w:line="240" w:lineRule="auto"/>
              <w:ind w:firstLine="0" w:firstLineChars="0"/>
              <w:jc w:val="center"/>
              <w:rPr>
                <w:color w:val="auto"/>
                <w:kern w:val="0"/>
                <w:sz w:val="21"/>
                <w:szCs w:val="21"/>
              </w:rPr>
            </w:pPr>
          </w:p>
        </w:tc>
        <w:tc>
          <w:tcPr>
            <w:tcW w:w="620" w:type="pct"/>
            <w:vAlign w:val="center"/>
          </w:tcPr>
          <w:p w14:paraId="383DA1A7">
            <w:pPr>
              <w:spacing w:line="240" w:lineRule="auto"/>
              <w:ind w:firstLine="0" w:firstLineChars="0"/>
              <w:jc w:val="center"/>
              <w:rPr>
                <w:color w:val="auto"/>
                <w:kern w:val="0"/>
                <w:sz w:val="21"/>
                <w:szCs w:val="21"/>
              </w:rPr>
            </w:pPr>
          </w:p>
        </w:tc>
        <w:tc>
          <w:tcPr>
            <w:tcW w:w="621" w:type="pct"/>
            <w:vAlign w:val="center"/>
          </w:tcPr>
          <w:p w14:paraId="2F6F5258">
            <w:pPr>
              <w:spacing w:line="240" w:lineRule="auto"/>
              <w:ind w:firstLine="0" w:firstLineChars="0"/>
              <w:jc w:val="center"/>
              <w:rPr>
                <w:color w:val="auto"/>
                <w:kern w:val="0"/>
                <w:sz w:val="21"/>
                <w:szCs w:val="21"/>
              </w:rPr>
            </w:pPr>
          </w:p>
        </w:tc>
        <w:tc>
          <w:tcPr>
            <w:tcW w:w="638" w:type="pct"/>
            <w:vAlign w:val="center"/>
          </w:tcPr>
          <w:p w14:paraId="5CB6C92B">
            <w:pPr>
              <w:spacing w:line="240" w:lineRule="auto"/>
              <w:ind w:firstLine="0" w:firstLineChars="0"/>
              <w:jc w:val="center"/>
              <w:rPr>
                <w:color w:val="auto"/>
                <w:kern w:val="0"/>
                <w:sz w:val="21"/>
                <w:szCs w:val="21"/>
              </w:rPr>
            </w:pPr>
          </w:p>
        </w:tc>
      </w:tr>
      <w:tr w14:paraId="58D62C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continue"/>
            <w:vAlign w:val="center"/>
          </w:tcPr>
          <w:p w14:paraId="0322F0EE">
            <w:pPr>
              <w:spacing w:line="240" w:lineRule="auto"/>
              <w:ind w:firstLine="0" w:firstLineChars="0"/>
              <w:jc w:val="center"/>
              <w:rPr>
                <w:color w:val="auto"/>
                <w:kern w:val="0"/>
                <w:sz w:val="21"/>
                <w:szCs w:val="21"/>
              </w:rPr>
            </w:pPr>
          </w:p>
        </w:tc>
        <w:tc>
          <w:tcPr>
            <w:tcW w:w="620" w:type="pct"/>
            <w:vAlign w:val="center"/>
          </w:tcPr>
          <w:p w14:paraId="6E8199EC">
            <w:pPr>
              <w:spacing w:line="240" w:lineRule="auto"/>
              <w:ind w:firstLine="0" w:firstLineChars="0"/>
              <w:jc w:val="center"/>
              <w:rPr>
                <w:color w:val="auto"/>
                <w:kern w:val="0"/>
                <w:sz w:val="21"/>
                <w:szCs w:val="21"/>
              </w:rPr>
            </w:pPr>
            <w:r>
              <w:rPr>
                <w:color w:val="auto"/>
                <w:kern w:val="0"/>
                <w:sz w:val="21"/>
                <w:szCs w:val="21"/>
              </w:rPr>
              <w:t>0.4H</w:t>
            </w:r>
          </w:p>
        </w:tc>
        <w:tc>
          <w:tcPr>
            <w:tcW w:w="620" w:type="pct"/>
            <w:vAlign w:val="center"/>
          </w:tcPr>
          <w:p w14:paraId="7CFAED2B">
            <w:pPr>
              <w:spacing w:line="240" w:lineRule="auto"/>
              <w:ind w:firstLine="0" w:firstLineChars="0"/>
              <w:jc w:val="center"/>
              <w:rPr>
                <w:color w:val="auto"/>
                <w:kern w:val="0"/>
                <w:sz w:val="21"/>
                <w:szCs w:val="21"/>
              </w:rPr>
            </w:pPr>
          </w:p>
        </w:tc>
        <w:tc>
          <w:tcPr>
            <w:tcW w:w="624" w:type="pct"/>
            <w:vAlign w:val="center"/>
          </w:tcPr>
          <w:p w14:paraId="416973E5">
            <w:pPr>
              <w:spacing w:line="240" w:lineRule="auto"/>
              <w:ind w:firstLine="0" w:firstLineChars="0"/>
              <w:jc w:val="center"/>
              <w:rPr>
                <w:color w:val="auto"/>
                <w:kern w:val="0"/>
                <w:sz w:val="21"/>
                <w:szCs w:val="21"/>
              </w:rPr>
            </w:pPr>
          </w:p>
        </w:tc>
        <w:tc>
          <w:tcPr>
            <w:tcW w:w="631" w:type="pct"/>
            <w:vAlign w:val="center"/>
          </w:tcPr>
          <w:p w14:paraId="058FF9FA">
            <w:pPr>
              <w:spacing w:line="240" w:lineRule="auto"/>
              <w:ind w:firstLine="0" w:firstLineChars="0"/>
              <w:jc w:val="center"/>
              <w:rPr>
                <w:color w:val="auto"/>
                <w:kern w:val="0"/>
                <w:sz w:val="21"/>
                <w:szCs w:val="21"/>
              </w:rPr>
            </w:pPr>
          </w:p>
        </w:tc>
        <w:tc>
          <w:tcPr>
            <w:tcW w:w="620" w:type="pct"/>
            <w:vAlign w:val="center"/>
          </w:tcPr>
          <w:p w14:paraId="7F75A0DE">
            <w:pPr>
              <w:spacing w:line="240" w:lineRule="auto"/>
              <w:ind w:firstLine="0" w:firstLineChars="0"/>
              <w:jc w:val="center"/>
              <w:rPr>
                <w:color w:val="auto"/>
                <w:kern w:val="0"/>
                <w:sz w:val="21"/>
                <w:szCs w:val="21"/>
              </w:rPr>
            </w:pPr>
          </w:p>
        </w:tc>
        <w:tc>
          <w:tcPr>
            <w:tcW w:w="621" w:type="pct"/>
            <w:vAlign w:val="center"/>
          </w:tcPr>
          <w:p w14:paraId="5EA95590">
            <w:pPr>
              <w:spacing w:line="240" w:lineRule="auto"/>
              <w:ind w:firstLine="0" w:firstLineChars="0"/>
              <w:jc w:val="center"/>
              <w:rPr>
                <w:color w:val="auto"/>
                <w:kern w:val="0"/>
                <w:sz w:val="21"/>
                <w:szCs w:val="21"/>
              </w:rPr>
            </w:pPr>
          </w:p>
        </w:tc>
        <w:tc>
          <w:tcPr>
            <w:tcW w:w="638" w:type="pct"/>
            <w:vAlign w:val="center"/>
          </w:tcPr>
          <w:p w14:paraId="21446B54">
            <w:pPr>
              <w:spacing w:line="240" w:lineRule="auto"/>
              <w:ind w:firstLine="0" w:firstLineChars="0"/>
              <w:jc w:val="center"/>
              <w:rPr>
                <w:color w:val="auto"/>
                <w:kern w:val="0"/>
                <w:sz w:val="21"/>
                <w:szCs w:val="21"/>
              </w:rPr>
            </w:pPr>
          </w:p>
        </w:tc>
      </w:tr>
      <w:tr w14:paraId="4C5C81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continue"/>
            <w:vAlign w:val="center"/>
          </w:tcPr>
          <w:p w14:paraId="2B6B0463">
            <w:pPr>
              <w:spacing w:line="240" w:lineRule="auto"/>
              <w:ind w:firstLine="0" w:firstLineChars="0"/>
              <w:jc w:val="center"/>
              <w:rPr>
                <w:color w:val="auto"/>
                <w:kern w:val="0"/>
                <w:sz w:val="21"/>
                <w:szCs w:val="21"/>
              </w:rPr>
            </w:pPr>
          </w:p>
        </w:tc>
        <w:tc>
          <w:tcPr>
            <w:tcW w:w="620" w:type="pct"/>
            <w:vAlign w:val="center"/>
          </w:tcPr>
          <w:p w14:paraId="43940B9A">
            <w:pPr>
              <w:spacing w:line="240" w:lineRule="auto"/>
              <w:ind w:firstLine="0" w:firstLineChars="0"/>
              <w:jc w:val="center"/>
              <w:rPr>
                <w:color w:val="auto"/>
                <w:kern w:val="0"/>
                <w:sz w:val="21"/>
                <w:szCs w:val="21"/>
              </w:rPr>
            </w:pPr>
            <w:r>
              <w:rPr>
                <w:color w:val="auto"/>
                <w:kern w:val="0"/>
                <w:sz w:val="21"/>
                <w:szCs w:val="21"/>
              </w:rPr>
              <w:t>0.6H</w:t>
            </w:r>
          </w:p>
        </w:tc>
        <w:tc>
          <w:tcPr>
            <w:tcW w:w="620" w:type="pct"/>
            <w:vAlign w:val="center"/>
          </w:tcPr>
          <w:p w14:paraId="218DF148">
            <w:pPr>
              <w:spacing w:line="240" w:lineRule="auto"/>
              <w:ind w:firstLine="0" w:firstLineChars="0"/>
              <w:jc w:val="center"/>
              <w:rPr>
                <w:color w:val="auto"/>
                <w:kern w:val="0"/>
                <w:sz w:val="21"/>
                <w:szCs w:val="21"/>
              </w:rPr>
            </w:pPr>
          </w:p>
        </w:tc>
        <w:tc>
          <w:tcPr>
            <w:tcW w:w="624" w:type="pct"/>
            <w:vAlign w:val="center"/>
          </w:tcPr>
          <w:p w14:paraId="5D6E24EE">
            <w:pPr>
              <w:spacing w:line="240" w:lineRule="auto"/>
              <w:ind w:firstLine="0" w:firstLineChars="0"/>
              <w:jc w:val="center"/>
              <w:rPr>
                <w:color w:val="auto"/>
                <w:kern w:val="0"/>
                <w:sz w:val="21"/>
                <w:szCs w:val="21"/>
              </w:rPr>
            </w:pPr>
          </w:p>
        </w:tc>
        <w:tc>
          <w:tcPr>
            <w:tcW w:w="631" w:type="pct"/>
            <w:vAlign w:val="center"/>
          </w:tcPr>
          <w:p w14:paraId="658BAD21">
            <w:pPr>
              <w:spacing w:line="240" w:lineRule="auto"/>
              <w:ind w:firstLine="0" w:firstLineChars="0"/>
              <w:jc w:val="center"/>
              <w:rPr>
                <w:color w:val="auto"/>
                <w:kern w:val="0"/>
                <w:sz w:val="21"/>
                <w:szCs w:val="21"/>
              </w:rPr>
            </w:pPr>
          </w:p>
        </w:tc>
        <w:tc>
          <w:tcPr>
            <w:tcW w:w="620" w:type="pct"/>
            <w:vAlign w:val="center"/>
          </w:tcPr>
          <w:p w14:paraId="3A7DAFB1">
            <w:pPr>
              <w:spacing w:line="240" w:lineRule="auto"/>
              <w:ind w:firstLine="0" w:firstLineChars="0"/>
              <w:jc w:val="center"/>
              <w:rPr>
                <w:color w:val="auto"/>
                <w:kern w:val="0"/>
                <w:sz w:val="21"/>
                <w:szCs w:val="21"/>
              </w:rPr>
            </w:pPr>
          </w:p>
        </w:tc>
        <w:tc>
          <w:tcPr>
            <w:tcW w:w="621" w:type="pct"/>
            <w:vAlign w:val="center"/>
          </w:tcPr>
          <w:p w14:paraId="02C9F7F0">
            <w:pPr>
              <w:spacing w:line="240" w:lineRule="auto"/>
              <w:ind w:firstLine="0" w:firstLineChars="0"/>
              <w:jc w:val="center"/>
              <w:rPr>
                <w:color w:val="auto"/>
                <w:kern w:val="0"/>
                <w:sz w:val="21"/>
                <w:szCs w:val="21"/>
              </w:rPr>
            </w:pPr>
          </w:p>
        </w:tc>
        <w:tc>
          <w:tcPr>
            <w:tcW w:w="638" w:type="pct"/>
            <w:vAlign w:val="center"/>
          </w:tcPr>
          <w:p w14:paraId="1939757A">
            <w:pPr>
              <w:spacing w:line="240" w:lineRule="auto"/>
              <w:ind w:firstLine="0" w:firstLineChars="0"/>
              <w:jc w:val="center"/>
              <w:rPr>
                <w:color w:val="auto"/>
                <w:kern w:val="0"/>
                <w:sz w:val="21"/>
                <w:szCs w:val="21"/>
              </w:rPr>
            </w:pPr>
          </w:p>
        </w:tc>
      </w:tr>
      <w:tr w14:paraId="76E51F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13D33F49">
            <w:pPr>
              <w:spacing w:line="240" w:lineRule="auto"/>
              <w:ind w:firstLine="0" w:firstLineChars="0"/>
              <w:jc w:val="center"/>
              <w:rPr>
                <w:color w:val="auto"/>
                <w:kern w:val="0"/>
                <w:sz w:val="21"/>
                <w:szCs w:val="21"/>
              </w:rPr>
            </w:pPr>
          </w:p>
        </w:tc>
        <w:tc>
          <w:tcPr>
            <w:tcW w:w="620" w:type="pct"/>
            <w:vAlign w:val="center"/>
          </w:tcPr>
          <w:p w14:paraId="2A2F9B01">
            <w:pPr>
              <w:spacing w:line="240" w:lineRule="auto"/>
              <w:ind w:firstLine="0" w:firstLineChars="0"/>
              <w:jc w:val="center"/>
              <w:rPr>
                <w:color w:val="auto"/>
                <w:kern w:val="0"/>
                <w:sz w:val="21"/>
                <w:szCs w:val="21"/>
              </w:rPr>
            </w:pPr>
            <w:r>
              <w:rPr>
                <w:color w:val="auto"/>
                <w:kern w:val="0"/>
                <w:sz w:val="21"/>
                <w:szCs w:val="21"/>
              </w:rPr>
              <w:t>0.8H</w:t>
            </w:r>
          </w:p>
        </w:tc>
        <w:tc>
          <w:tcPr>
            <w:tcW w:w="620" w:type="pct"/>
            <w:vAlign w:val="center"/>
          </w:tcPr>
          <w:p w14:paraId="7F5A33C6">
            <w:pPr>
              <w:spacing w:line="240" w:lineRule="auto"/>
              <w:ind w:firstLine="0" w:firstLineChars="0"/>
              <w:jc w:val="center"/>
              <w:rPr>
                <w:color w:val="auto"/>
                <w:kern w:val="0"/>
                <w:sz w:val="21"/>
                <w:szCs w:val="21"/>
              </w:rPr>
            </w:pPr>
          </w:p>
        </w:tc>
        <w:tc>
          <w:tcPr>
            <w:tcW w:w="624" w:type="pct"/>
            <w:vAlign w:val="center"/>
          </w:tcPr>
          <w:p w14:paraId="42813EE5">
            <w:pPr>
              <w:spacing w:line="240" w:lineRule="auto"/>
              <w:ind w:firstLine="0" w:firstLineChars="0"/>
              <w:jc w:val="center"/>
              <w:rPr>
                <w:color w:val="auto"/>
                <w:kern w:val="0"/>
                <w:sz w:val="21"/>
                <w:szCs w:val="21"/>
              </w:rPr>
            </w:pPr>
          </w:p>
        </w:tc>
        <w:tc>
          <w:tcPr>
            <w:tcW w:w="631" w:type="pct"/>
            <w:vAlign w:val="center"/>
          </w:tcPr>
          <w:p w14:paraId="7356BCB7">
            <w:pPr>
              <w:spacing w:line="240" w:lineRule="auto"/>
              <w:ind w:firstLine="0" w:firstLineChars="0"/>
              <w:jc w:val="center"/>
              <w:rPr>
                <w:color w:val="auto"/>
                <w:kern w:val="0"/>
                <w:sz w:val="21"/>
                <w:szCs w:val="21"/>
              </w:rPr>
            </w:pPr>
          </w:p>
        </w:tc>
        <w:tc>
          <w:tcPr>
            <w:tcW w:w="620" w:type="pct"/>
            <w:vAlign w:val="center"/>
          </w:tcPr>
          <w:p w14:paraId="6192BD67">
            <w:pPr>
              <w:spacing w:line="240" w:lineRule="auto"/>
              <w:ind w:firstLine="0" w:firstLineChars="0"/>
              <w:jc w:val="center"/>
              <w:rPr>
                <w:color w:val="auto"/>
                <w:kern w:val="0"/>
                <w:sz w:val="21"/>
                <w:szCs w:val="21"/>
              </w:rPr>
            </w:pPr>
          </w:p>
        </w:tc>
        <w:tc>
          <w:tcPr>
            <w:tcW w:w="621" w:type="pct"/>
            <w:vAlign w:val="center"/>
          </w:tcPr>
          <w:p w14:paraId="5578FB3F">
            <w:pPr>
              <w:spacing w:line="240" w:lineRule="auto"/>
              <w:ind w:firstLine="0" w:firstLineChars="0"/>
              <w:jc w:val="center"/>
              <w:rPr>
                <w:color w:val="auto"/>
                <w:kern w:val="0"/>
                <w:sz w:val="21"/>
                <w:szCs w:val="21"/>
              </w:rPr>
            </w:pPr>
          </w:p>
        </w:tc>
        <w:tc>
          <w:tcPr>
            <w:tcW w:w="638" w:type="pct"/>
            <w:vAlign w:val="center"/>
          </w:tcPr>
          <w:p w14:paraId="1D4B9022">
            <w:pPr>
              <w:spacing w:line="240" w:lineRule="auto"/>
              <w:ind w:firstLine="0" w:firstLineChars="0"/>
              <w:jc w:val="center"/>
              <w:rPr>
                <w:color w:val="auto"/>
                <w:kern w:val="0"/>
                <w:sz w:val="21"/>
                <w:szCs w:val="21"/>
              </w:rPr>
            </w:pPr>
          </w:p>
        </w:tc>
      </w:tr>
      <w:tr w14:paraId="0A8CBA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continue"/>
            <w:vAlign w:val="center"/>
          </w:tcPr>
          <w:p w14:paraId="4EF91F38">
            <w:pPr>
              <w:spacing w:line="240" w:lineRule="auto"/>
              <w:ind w:firstLine="0" w:firstLineChars="0"/>
              <w:jc w:val="center"/>
              <w:rPr>
                <w:color w:val="auto"/>
                <w:kern w:val="0"/>
                <w:sz w:val="21"/>
                <w:szCs w:val="21"/>
              </w:rPr>
            </w:pPr>
          </w:p>
        </w:tc>
        <w:tc>
          <w:tcPr>
            <w:tcW w:w="620" w:type="pct"/>
            <w:vAlign w:val="center"/>
          </w:tcPr>
          <w:p w14:paraId="462F98DC">
            <w:pPr>
              <w:spacing w:line="240" w:lineRule="auto"/>
              <w:ind w:firstLine="0" w:firstLineChars="0"/>
              <w:jc w:val="center"/>
              <w:rPr>
                <w:color w:val="auto"/>
                <w:kern w:val="0"/>
                <w:sz w:val="21"/>
                <w:szCs w:val="21"/>
              </w:rPr>
            </w:pPr>
            <w:r>
              <w:rPr>
                <w:color w:val="auto"/>
                <w:kern w:val="0"/>
                <w:sz w:val="21"/>
                <w:szCs w:val="21"/>
              </w:rPr>
              <w:t>底层</w:t>
            </w:r>
          </w:p>
        </w:tc>
        <w:tc>
          <w:tcPr>
            <w:tcW w:w="620" w:type="pct"/>
            <w:vAlign w:val="center"/>
          </w:tcPr>
          <w:p w14:paraId="2B0810E1">
            <w:pPr>
              <w:spacing w:line="240" w:lineRule="auto"/>
              <w:ind w:firstLine="0" w:firstLineChars="0"/>
              <w:jc w:val="center"/>
              <w:rPr>
                <w:color w:val="auto"/>
                <w:kern w:val="0"/>
                <w:sz w:val="21"/>
                <w:szCs w:val="21"/>
              </w:rPr>
            </w:pPr>
          </w:p>
        </w:tc>
        <w:tc>
          <w:tcPr>
            <w:tcW w:w="624" w:type="pct"/>
            <w:vAlign w:val="center"/>
          </w:tcPr>
          <w:p w14:paraId="6F7C6339">
            <w:pPr>
              <w:spacing w:line="240" w:lineRule="auto"/>
              <w:ind w:firstLine="0" w:firstLineChars="0"/>
              <w:jc w:val="center"/>
              <w:rPr>
                <w:color w:val="auto"/>
                <w:kern w:val="0"/>
                <w:sz w:val="21"/>
                <w:szCs w:val="21"/>
              </w:rPr>
            </w:pPr>
          </w:p>
        </w:tc>
        <w:tc>
          <w:tcPr>
            <w:tcW w:w="631" w:type="pct"/>
            <w:vAlign w:val="center"/>
          </w:tcPr>
          <w:p w14:paraId="11F77998">
            <w:pPr>
              <w:spacing w:line="240" w:lineRule="auto"/>
              <w:ind w:firstLine="0" w:firstLineChars="0"/>
              <w:jc w:val="center"/>
              <w:rPr>
                <w:color w:val="auto"/>
                <w:kern w:val="0"/>
                <w:sz w:val="21"/>
                <w:szCs w:val="21"/>
              </w:rPr>
            </w:pPr>
          </w:p>
        </w:tc>
        <w:tc>
          <w:tcPr>
            <w:tcW w:w="620" w:type="pct"/>
            <w:vAlign w:val="center"/>
          </w:tcPr>
          <w:p w14:paraId="5E0087AC">
            <w:pPr>
              <w:spacing w:line="240" w:lineRule="auto"/>
              <w:ind w:firstLine="0" w:firstLineChars="0"/>
              <w:jc w:val="center"/>
              <w:rPr>
                <w:color w:val="auto"/>
                <w:kern w:val="0"/>
                <w:sz w:val="21"/>
                <w:szCs w:val="21"/>
              </w:rPr>
            </w:pPr>
          </w:p>
        </w:tc>
        <w:tc>
          <w:tcPr>
            <w:tcW w:w="621" w:type="pct"/>
            <w:vAlign w:val="center"/>
          </w:tcPr>
          <w:p w14:paraId="5561A7F3">
            <w:pPr>
              <w:spacing w:line="240" w:lineRule="auto"/>
              <w:ind w:firstLine="0" w:firstLineChars="0"/>
              <w:jc w:val="center"/>
              <w:rPr>
                <w:color w:val="auto"/>
                <w:kern w:val="0"/>
                <w:sz w:val="21"/>
                <w:szCs w:val="21"/>
              </w:rPr>
            </w:pPr>
          </w:p>
        </w:tc>
        <w:tc>
          <w:tcPr>
            <w:tcW w:w="638" w:type="pct"/>
            <w:vAlign w:val="center"/>
          </w:tcPr>
          <w:p w14:paraId="1E7506A5">
            <w:pPr>
              <w:spacing w:line="240" w:lineRule="auto"/>
              <w:ind w:firstLine="0" w:firstLineChars="0"/>
              <w:jc w:val="center"/>
              <w:rPr>
                <w:color w:val="auto"/>
                <w:kern w:val="0"/>
                <w:sz w:val="21"/>
                <w:szCs w:val="21"/>
              </w:rPr>
            </w:pPr>
          </w:p>
        </w:tc>
      </w:tr>
      <w:tr w14:paraId="5A5E04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53ED5319">
            <w:pPr>
              <w:spacing w:line="240" w:lineRule="auto"/>
              <w:ind w:firstLine="0" w:firstLineChars="0"/>
              <w:jc w:val="center"/>
              <w:rPr>
                <w:color w:val="auto"/>
                <w:kern w:val="0"/>
                <w:sz w:val="21"/>
                <w:szCs w:val="21"/>
              </w:rPr>
            </w:pPr>
          </w:p>
        </w:tc>
        <w:tc>
          <w:tcPr>
            <w:tcW w:w="620" w:type="pct"/>
            <w:vAlign w:val="center"/>
          </w:tcPr>
          <w:p w14:paraId="5299B6DB">
            <w:pPr>
              <w:spacing w:line="240" w:lineRule="auto"/>
              <w:ind w:firstLine="0" w:firstLineChars="0"/>
              <w:jc w:val="center"/>
              <w:rPr>
                <w:color w:val="auto"/>
                <w:kern w:val="0"/>
                <w:sz w:val="21"/>
                <w:szCs w:val="21"/>
              </w:rPr>
            </w:pPr>
            <w:r>
              <w:rPr>
                <w:color w:val="auto"/>
                <w:kern w:val="0"/>
                <w:sz w:val="21"/>
                <w:szCs w:val="21"/>
              </w:rPr>
              <w:t>垂线</w:t>
            </w:r>
          </w:p>
        </w:tc>
        <w:tc>
          <w:tcPr>
            <w:tcW w:w="620" w:type="pct"/>
            <w:vAlign w:val="center"/>
          </w:tcPr>
          <w:p w14:paraId="6E08C20D">
            <w:pPr>
              <w:spacing w:line="240" w:lineRule="auto"/>
              <w:ind w:firstLine="0" w:firstLineChars="0"/>
              <w:jc w:val="center"/>
              <w:rPr>
                <w:color w:val="auto"/>
                <w:kern w:val="0"/>
                <w:sz w:val="21"/>
                <w:szCs w:val="21"/>
              </w:rPr>
            </w:pPr>
          </w:p>
        </w:tc>
        <w:tc>
          <w:tcPr>
            <w:tcW w:w="624" w:type="pct"/>
            <w:vAlign w:val="center"/>
          </w:tcPr>
          <w:p w14:paraId="61096C66">
            <w:pPr>
              <w:spacing w:line="240" w:lineRule="auto"/>
              <w:ind w:firstLine="0" w:firstLineChars="0"/>
              <w:jc w:val="center"/>
              <w:rPr>
                <w:color w:val="auto"/>
                <w:kern w:val="0"/>
                <w:sz w:val="21"/>
                <w:szCs w:val="21"/>
              </w:rPr>
            </w:pPr>
          </w:p>
        </w:tc>
        <w:tc>
          <w:tcPr>
            <w:tcW w:w="631" w:type="pct"/>
            <w:vAlign w:val="center"/>
          </w:tcPr>
          <w:p w14:paraId="419072AD">
            <w:pPr>
              <w:spacing w:line="240" w:lineRule="auto"/>
              <w:ind w:firstLine="0" w:firstLineChars="0"/>
              <w:jc w:val="center"/>
              <w:rPr>
                <w:color w:val="auto"/>
                <w:kern w:val="0"/>
                <w:sz w:val="21"/>
                <w:szCs w:val="21"/>
              </w:rPr>
            </w:pPr>
          </w:p>
        </w:tc>
        <w:tc>
          <w:tcPr>
            <w:tcW w:w="620" w:type="pct"/>
            <w:vAlign w:val="center"/>
          </w:tcPr>
          <w:p w14:paraId="5D8C26B8">
            <w:pPr>
              <w:spacing w:line="240" w:lineRule="auto"/>
              <w:ind w:firstLine="0" w:firstLineChars="0"/>
              <w:jc w:val="center"/>
              <w:rPr>
                <w:color w:val="auto"/>
                <w:kern w:val="0"/>
                <w:sz w:val="21"/>
                <w:szCs w:val="21"/>
              </w:rPr>
            </w:pPr>
          </w:p>
        </w:tc>
        <w:tc>
          <w:tcPr>
            <w:tcW w:w="621" w:type="pct"/>
            <w:vAlign w:val="center"/>
          </w:tcPr>
          <w:p w14:paraId="64B652CF">
            <w:pPr>
              <w:spacing w:line="240" w:lineRule="auto"/>
              <w:ind w:firstLine="0" w:firstLineChars="0"/>
              <w:jc w:val="center"/>
              <w:rPr>
                <w:color w:val="auto"/>
                <w:kern w:val="0"/>
                <w:sz w:val="21"/>
                <w:szCs w:val="21"/>
              </w:rPr>
            </w:pPr>
          </w:p>
        </w:tc>
        <w:tc>
          <w:tcPr>
            <w:tcW w:w="638" w:type="pct"/>
            <w:vAlign w:val="center"/>
          </w:tcPr>
          <w:p w14:paraId="4193B39A">
            <w:pPr>
              <w:spacing w:line="240" w:lineRule="auto"/>
              <w:ind w:firstLine="0" w:firstLineChars="0"/>
              <w:jc w:val="center"/>
              <w:rPr>
                <w:color w:val="auto"/>
                <w:kern w:val="0"/>
                <w:sz w:val="21"/>
                <w:szCs w:val="21"/>
              </w:rPr>
            </w:pPr>
          </w:p>
        </w:tc>
      </w:tr>
      <w:tr w14:paraId="06E023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7" w:hRule="atLeast"/>
          <w:jc w:val="center"/>
        </w:trPr>
        <w:tc>
          <w:tcPr>
            <w:tcW w:w="622" w:type="pct"/>
            <w:vMerge w:val="restart"/>
            <w:vAlign w:val="center"/>
          </w:tcPr>
          <w:p w14:paraId="63CEFA4F">
            <w:pPr>
              <w:spacing w:line="240" w:lineRule="auto"/>
              <w:ind w:firstLine="0" w:firstLineChars="0"/>
              <w:jc w:val="center"/>
              <w:rPr>
                <w:color w:val="auto"/>
                <w:kern w:val="0"/>
                <w:sz w:val="21"/>
                <w:szCs w:val="21"/>
              </w:rPr>
            </w:pPr>
            <w:r>
              <w:rPr>
                <w:color w:val="auto"/>
                <w:kern w:val="0"/>
                <w:sz w:val="21"/>
                <w:szCs w:val="21"/>
              </w:rPr>
              <w:t>V3</w:t>
            </w:r>
          </w:p>
        </w:tc>
        <w:tc>
          <w:tcPr>
            <w:tcW w:w="620" w:type="pct"/>
            <w:vAlign w:val="center"/>
          </w:tcPr>
          <w:p w14:paraId="16658563">
            <w:pPr>
              <w:spacing w:line="240" w:lineRule="auto"/>
              <w:ind w:firstLine="0" w:firstLineChars="0"/>
              <w:jc w:val="center"/>
              <w:rPr>
                <w:color w:val="auto"/>
                <w:kern w:val="0"/>
                <w:sz w:val="21"/>
                <w:szCs w:val="21"/>
              </w:rPr>
            </w:pPr>
            <w:r>
              <w:rPr>
                <w:color w:val="auto"/>
                <w:kern w:val="0"/>
                <w:sz w:val="21"/>
                <w:szCs w:val="21"/>
              </w:rPr>
              <w:t>表层</w:t>
            </w:r>
          </w:p>
        </w:tc>
        <w:tc>
          <w:tcPr>
            <w:tcW w:w="620" w:type="pct"/>
            <w:vAlign w:val="center"/>
          </w:tcPr>
          <w:p w14:paraId="4FBAF4E4">
            <w:pPr>
              <w:spacing w:line="240" w:lineRule="auto"/>
              <w:ind w:firstLine="0" w:firstLineChars="0"/>
              <w:jc w:val="center"/>
              <w:rPr>
                <w:color w:val="auto"/>
                <w:kern w:val="0"/>
                <w:sz w:val="21"/>
                <w:szCs w:val="21"/>
              </w:rPr>
            </w:pPr>
          </w:p>
        </w:tc>
        <w:tc>
          <w:tcPr>
            <w:tcW w:w="624" w:type="pct"/>
            <w:vAlign w:val="center"/>
          </w:tcPr>
          <w:p w14:paraId="5251A512">
            <w:pPr>
              <w:spacing w:line="240" w:lineRule="auto"/>
              <w:ind w:firstLine="0" w:firstLineChars="0"/>
              <w:jc w:val="center"/>
              <w:rPr>
                <w:color w:val="auto"/>
                <w:kern w:val="0"/>
                <w:sz w:val="21"/>
                <w:szCs w:val="21"/>
              </w:rPr>
            </w:pPr>
          </w:p>
        </w:tc>
        <w:tc>
          <w:tcPr>
            <w:tcW w:w="631" w:type="pct"/>
            <w:vAlign w:val="center"/>
          </w:tcPr>
          <w:p w14:paraId="21368001">
            <w:pPr>
              <w:spacing w:line="240" w:lineRule="auto"/>
              <w:ind w:firstLine="0" w:firstLineChars="0"/>
              <w:jc w:val="center"/>
              <w:rPr>
                <w:color w:val="auto"/>
                <w:kern w:val="0"/>
                <w:sz w:val="21"/>
                <w:szCs w:val="21"/>
              </w:rPr>
            </w:pPr>
          </w:p>
        </w:tc>
        <w:tc>
          <w:tcPr>
            <w:tcW w:w="620" w:type="pct"/>
            <w:vAlign w:val="center"/>
          </w:tcPr>
          <w:p w14:paraId="42D95F62">
            <w:pPr>
              <w:spacing w:line="240" w:lineRule="auto"/>
              <w:ind w:firstLine="0" w:firstLineChars="0"/>
              <w:jc w:val="center"/>
              <w:rPr>
                <w:color w:val="auto"/>
                <w:kern w:val="0"/>
                <w:sz w:val="21"/>
                <w:szCs w:val="21"/>
              </w:rPr>
            </w:pPr>
          </w:p>
        </w:tc>
        <w:tc>
          <w:tcPr>
            <w:tcW w:w="621" w:type="pct"/>
            <w:vAlign w:val="center"/>
          </w:tcPr>
          <w:p w14:paraId="282D1535">
            <w:pPr>
              <w:spacing w:line="240" w:lineRule="auto"/>
              <w:ind w:firstLine="0" w:firstLineChars="0"/>
              <w:jc w:val="center"/>
              <w:rPr>
                <w:color w:val="auto"/>
                <w:kern w:val="0"/>
                <w:sz w:val="21"/>
                <w:szCs w:val="21"/>
              </w:rPr>
            </w:pPr>
          </w:p>
        </w:tc>
        <w:tc>
          <w:tcPr>
            <w:tcW w:w="638" w:type="pct"/>
            <w:vAlign w:val="center"/>
          </w:tcPr>
          <w:p w14:paraId="64936D97">
            <w:pPr>
              <w:spacing w:line="240" w:lineRule="auto"/>
              <w:ind w:firstLine="0" w:firstLineChars="0"/>
              <w:jc w:val="center"/>
              <w:rPr>
                <w:color w:val="auto"/>
                <w:kern w:val="0"/>
                <w:sz w:val="21"/>
                <w:szCs w:val="21"/>
              </w:rPr>
            </w:pPr>
          </w:p>
        </w:tc>
      </w:tr>
      <w:tr w14:paraId="41F740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continue"/>
            <w:vAlign w:val="center"/>
          </w:tcPr>
          <w:p w14:paraId="5FCA6987">
            <w:pPr>
              <w:spacing w:line="240" w:lineRule="auto"/>
              <w:ind w:firstLine="0" w:firstLineChars="0"/>
              <w:jc w:val="center"/>
              <w:rPr>
                <w:color w:val="auto"/>
                <w:kern w:val="0"/>
                <w:sz w:val="21"/>
                <w:szCs w:val="21"/>
              </w:rPr>
            </w:pPr>
          </w:p>
        </w:tc>
        <w:tc>
          <w:tcPr>
            <w:tcW w:w="620" w:type="pct"/>
            <w:vAlign w:val="center"/>
          </w:tcPr>
          <w:p w14:paraId="733F5C1F">
            <w:pPr>
              <w:spacing w:line="240" w:lineRule="auto"/>
              <w:ind w:firstLine="0" w:firstLineChars="0"/>
              <w:jc w:val="center"/>
              <w:rPr>
                <w:color w:val="auto"/>
                <w:kern w:val="0"/>
                <w:sz w:val="21"/>
                <w:szCs w:val="21"/>
              </w:rPr>
            </w:pPr>
            <w:r>
              <w:rPr>
                <w:color w:val="auto"/>
                <w:kern w:val="0"/>
                <w:sz w:val="21"/>
                <w:szCs w:val="21"/>
              </w:rPr>
              <w:t>0.2H</w:t>
            </w:r>
          </w:p>
        </w:tc>
        <w:tc>
          <w:tcPr>
            <w:tcW w:w="620" w:type="pct"/>
            <w:vAlign w:val="center"/>
          </w:tcPr>
          <w:p w14:paraId="60BE09AB">
            <w:pPr>
              <w:spacing w:line="240" w:lineRule="auto"/>
              <w:ind w:firstLine="0" w:firstLineChars="0"/>
              <w:jc w:val="center"/>
              <w:rPr>
                <w:color w:val="auto"/>
                <w:kern w:val="0"/>
                <w:sz w:val="21"/>
                <w:szCs w:val="21"/>
              </w:rPr>
            </w:pPr>
          </w:p>
        </w:tc>
        <w:tc>
          <w:tcPr>
            <w:tcW w:w="624" w:type="pct"/>
            <w:vAlign w:val="center"/>
          </w:tcPr>
          <w:p w14:paraId="7585E16D">
            <w:pPr>
              <w:spacing w:line="240" w:lineRule="auto"/>
              <w:ind w:firstLine="0" w:firstLineChars="0"/>
              <w:jc w:val="center"/>
              <w:rPr>
                <w:color w:val="auto"/>
                <w:kern w:val="0"/>
                <w:sz w:val="21"/>
                <w:szCs w:val="21"/>
              </w:rPr>
            </w:pPr>
          </w:p>
        </w:tc>
        <w:tc>
          <w:tcPr>
            <w:tcW w:w="631" w:type="pct"/>
            <w:vAlign w:val="center"/>
          </w:tcPr>
          <w:p w14:paraId="2C25F98D">
            <w:pPr>
              <w:spacing w:line="240" w:lineRule="auto"/>
              <w:ind w:firstLine="0" w:firstLineChars="0"/>
              <w:jc w:val="center"/>
              <w:rPr>
                <w:color w:val="auto"/>
                <w:kern w:val="0"/>
                <w:sz w:val="21"/>
                <w:szCs w:val="21"/>
              </w:rPr>
            </w:pPr>
          </w:p>
        </w:tc>
        <w:tc>
          <w:tcPr>
            <w:tcW w:w="620" w:type="pct"/>
            <w:vAlign w:val="center"/>
          </w:tcPr>
          <w:p w14:paraId="47E35FE1">
            <w:pPr>
              <w:spacing w:line="240" w:lineRule="auto"/>
              <w:ind w:firstLine="0" w:firstLineChars="0"/>
              <w:jc w:val="center"/>
              <w:rPr>
                <w:color w:val="auto"/>
                <w:kern w:val="0"/>
                <w:sz w:val="21"/>
                <w:szCs w:val="21"/>
              </w:rPr>
            </w:pPr>
          </w:p>
        </w:tc>
        <w:tc>
          <w:tcPr>
            <w:tcW w:w="621" w:type="pct"/>
            <w:vAlign w:val="center"/>
          </w:tcPr>
          <w:p w14:paraId="78E2036A">
            <w:pPr>
              <w:spacing w:line="240" w:lineRule="auto"/>
              <w:ind w:firstLine="0" w:firstLineChars="0"/>
              <w:jc w:val="center"/>
              <w:rPr>
                <w:color w:val="auto"/>
                <w:kern w:val="0"/>
                <w:sz w:val="21"/>
                <w:szCs w:val="21"/>
              </w:rPr>
            </w:pPr>
          </w:p>
        </w:tc>
        <w:tc>
          <w:tcPr>
            <w:tcW w:w="638" w:type="pct"/>
            <w:vAlign w:val="center"/>
          </w:tcPr>
          <w:p w14:paraId="11AA010E">
            <w:pPr>
              <w:spacing w:line="240" w:lineRule="auto"/>
              <w:ind w:firstLine="0" w:firstLineChars="0"/>
              <w:jc w:val="center"/>
              <w:rPr>
                <w:color w:val="auto"/>
                <w:kern w:val="0"/>
                <w:sz w:val="21"/>
                <w:szCs w:val="21"/>
              </w:rPr>
            </w:pPr>
          </w:p>
        </w:tc>
      </w:tr>
      <w:tr w14:paraId="76FC17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456663EE">
            <w:pPr>
              <w:spacing w:line="240" w:lineRule="auto"/>
              <w:ind w:firstLine="0" w:firstLineChars="0"/>
              <w:jc w:val="center"/>
              <w:rPr>
                <w:color w:val="auto"/>
                <w:kern w:val="0"/>
                <w:sz w:val="21"/>
                <w:szCs w:val="21"/>
              </w:rPr>
            </w:pPr>
          </w:p>
        </w:tc>
        <w:tc>
          <w:tcPr>
            <w:tcW w:w="620" w:type="pct"/>
            <w:vAlign w:val="center"/>
          </w:tcPr>
          <w:p w14:paraId="041469EC">
            <w:pPr>
              <w:spacing w:line="240" w:lineRule="auto"/>
              <w:ind w:firstLine="0" w:firstLineChars="0"/>
              <w:jc w:val="center"/>
              <w:rPr>
                <w:color w:val="auto"/>
                <w:kern w:val="0"/>
                <w:sz w:val="21"/>
                <w:szCs w:val="21"/>
              </w:rPr>
            </w:pPr>
            <w:r>
              <w:rPr>
                <w:color w:val="auto"/>
                <w:kern w:val="0"/>
                <w:sz w:val="21"/>
                <w:szCs w:val="21"/>
              </w:rPr>
              <w:t>0.4H</w:t>
            </w:r>
          </w:p>
        </w:tc>
        <w:tc>
          <w:tcPr>
            <w:tcW w:w="620" w:type="pct"/>
            <w:vAlign w:val="center"/>
          </w:tcPr>
          <w:p w14:paraId="1E3028A7">
            <w:pPr>
              <w:spacing w:line="240" w:lineRule="auto"/>
              <w:ind w:firstLine="0" w:firstLineChars="0"/>
              <w:jc w:val="center"/>
              <w:rPr>
                <w:color w:val="auto"/>
                <w:kern w:val="0"/>
                <w:sz w:val="21"/>
                <w:szCs w:val="21"/>
              </w:rPr>
            </w:pPr>
          </w:p>
        </w:tc>
        <w:tc>
          <w:tcPr>
            <w:tcW w:w="624" w:type="pct"/>
            <w:vAlign w:val="center"/>
          </w:tcPr>
          <w:p w14:paraId="38943EB3">
            <w:pPr>
              <w:spacing w:line="240" w:lineRule="auto"/>
              <w:ind w:firstLine="0" w:firstLineChars="0"/>
              <w:jc w:val="center"/>
              <w:rPr>
                <w:color w:val="auto"/>
                <w:kern w:val="0"/>
                <w:sz w:val="21"/>
                <w:szCs w:val="21"/>
              </w:rPr>
            </w:pPr>
          </w:p>
        </w:tc>
        <w:tc>
          <w:tcPr>
            <w:tcW w:w="631" w:type="pct"/>
            <w:vAlign w:val="center"/>
          </w:tcPr>
          <w:p w14:paraId="2A361D10">
            <w:pPr>
              <w:spacing w:line="240" w:lineRule="auto"/>
              <w:ind w:firstLine="0" w:firstLineChars="0"/>
              <w:jc w:val="center"/>
              <w:rPr>
                <w:color w:val="auto"/>
                <w:kern w:val="0"/>
                <w:sz w:val="21"/>
                <w:szCs w:val="21"/>
              </w:rPr>
            </w:pPr>
          </w:p>
        </w:tc>
        <w:tc>
          <w:tcPr>
            <w:tcW w:w="620" w:type="pct"/>
            <w:vAlign w:val="center"/>
          </w:tcPr>
          <w:p w14:paraId="7905C5F3">
            <w:pPr>
              <w:spacing w:line="240" w:lineRule="auto"/>
              <w:ind w:firstLine="0" w:firstLineChars="0"/>
              <w:jc w:val="center"/>
              <w:rPr>
                <w:color w:val="auto"/>
                <w:kern w:val="0"/>
                <w:sz w:val="21"/>
                <w:szCs w:val="21"/>
              </w:rPr>
            </w:pPr>
          </w:p>
        </w:tc>
        <w:tc>
          <w:tcPr>
            <w:tcW w:w="621" w:type="pct"/>
            <w:vAlign w:val="center"/>
          </w:tcPr>
          <w:p w14:paraId="6D8804FE">
            <w:pPr>
              <w:spacing w:line="240" w:lineRule="auto"/>
              <w:ind w:firstLine="0" w:firstLineChars="0"/>
              <w:jc w:val="center"/>
              <w:rPr>
                <w:color w:val="auto"/>
                <w:kern w:val="0"/>
                <w:sz w:val="21"/>
                <w:szCs w:val="21"/>
              </w:rPr>
            </w:pPr>
          </w:p>
        </w:tc>
        <w:tc>
          <w:tcPr>
            <w:tcW w:w="638" w:type="pct"/>
            <w:vAlign w:val="center"/>
          </w:tcPr>
          <w:p w14:paraId="16347F15">
            <w:pPr>
              <w:spacing w:line="240" w:lineRule="auto"/>
              <w:ind w:firstLine="0" w:firstLineChars="0"/>
              <w:jc w:val="center"/>
              <w:rPr>
                <w:color w:val="auto"/>
                <w:kern w:val="0"/>
                <w:sz w:val="21"/>
                <w:szCs w:val="21"/>
              </w:rPr>
            </w:pPr>
          </w:p>
        </w:tc>
      </w:tr>
      <w:tr w14:paraId="63E78C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7" w:hRule="atLeast"/>
          <w:jc w:val="center"/>
        </w:trPr>
        <w:tc>
          <w:tcPr>
            <w:tcW w:w="622" w:type="pct"/>
            <w:vMerge w:val="continue"/>
            <w:vAlign w:val="center"/>
          </w:tcPr>
          <w:p w14:paraId="4019BA68">
            <w:pPr>
              <w:spacing w:line="240" w:lineRule="auto"/>
              <w:ind w:firstLine="0" w:firstLineChars="0"/>
              <w:jc w:val="center"/>
              <w:rPr>
                <w:color w:val="auto"/>
                <w:kern w:val="0"/>
                <w:sz w:val="21"/>
                <w:szCs w:val="21"/>
              </w:rPr>
            </w:pPr>
          </w:p>
        </w:tc>
        <w:tc>
          <w:tcPr>
            <w:tcW w:w="620" w:type="pct"/>
            <w:vAlign w:val="center"/>
          </w:tcPr>
          <w:p w14:paraId="3610FD6D">
            <w:pPr>
              <w:spacing w:line="240" w:lineRule="auto"/>
              <w:ind w:firstLine="0" w:firstLineChars="0"/>
              <w:jc w:val="center"/>
              <w:rPr>
                <w:color w:val="auto"/>
                <w:kern w:val="0"/>
                <w:sz w:val="21"/>
                <w:szCs w:val="21"/>
              </w:rPr>
            </w:pPr>
            <w:r>
              <w:rPr>
                <w:color w:val="auto"/>
                <w:kern w:val="0"/>
                <w:sz w:val="21"/>
                <w:szCs w:val="21"/>
              </w:rPr>
              <w:t>0.6H</w:t>
            </w:r>
          </w:p>
        </w:tc>
        <w:tc>
          <w:tcPr>
            <w:tcW w:w="620" w:type="pct"/>
            <w:vAlign w:val="center"/>
          </w:tcPr>
          <w:p w14:paraId="44D709AD">
            <w:pPr>
              <w:spacing w:line="240" w:lineRule="auto"/>
              <w:ind w:firstLine="0" w:firstLineChars="0"/>
              <w:jc w:val="center"/>
              <w:rPr>
                <w:color w:val="auto"/>
                <w:kern w:val="0"/>
                <w:sz w:val="21"/>
                <w:szCs w:val="21"/>
              </w:rPr>
            </w:pPr>
          </w:p>
        </w:tc>
        <w:tc>
          <w:tcPr>
            <w:tcW w:w="624" w:type="pct"/>
            <w:vAlign w:val="center"/>
          </w:tcPr>
          <w:p w14:paraId="089B0BD7">
            <w:pPr>
              <w:spacing w:line="240" w:lineRule="auto"/>
              <w:ind w:firstLine="0" w:firstLineChars="0"/>
              <w:jc w:val="center"/>
              <w:rPr>
                <w:color w:val="auto"/>
                <w:kern w:val="0"/>
                <w:sz w:val="21"/>
                <w:szCs w:val="21"/>
              </w:rPr>
            </w:pPr>
          </w:p>
        </w:tc>
        <w:tc>
          <w:tcPr>
            <w:tcW w:w="631" w:type="pct"/>
            <w:vAlign w:val="center"/>
          </w:tcPr>
          <w:p w14:paraId="3F21F05A">
            <w:pPr>
              <w:spacing w:line="240" w:lineRule="auto"/>
              <w:ind w:firstLine="0" w:firstLineChars="0"/>
              <w:jc w:val="center"/>
              <w:rPr>
                <w:color w:val="auto"/>
                <w:kern w:val="0"/>
                <w:sz w:val="21"/>
                <w:szCs w:val="21"/>
              </w:rPr>
            </w:pPr>
          </w:p>
        </w:tc>
        <w:tc>
          <w:tcPr>
            <w:tcW w:w="620" w:type="pct"/>
            <w:vAlign w:val="center"/>
          </w:tcPr>
          <w:p w14:paraId="140E7DD8">
            <w:pPr>
              <w:spacing w:line="240" w:lineRule="auto"/>
              <w:ind w:firstLine="0" w:firstLineChars="0"/>
              <w:jc w:val="center"/>
              <w:rPr>
                <w:color w:val="auto"/>
                <w:kern w:val="0"/>
                <w:sz w:val="21"/>
                <w:szCs w:val="21"/>
              </w:rPr>
            </w:pPr>
          </w:p>
        </w:tc>
        <w:tc>
          <w:tcPr>
            <w:tcW w:w="621" w:type="pct"/>
            <w:vAlign w:val="center"/>
          </w:tcPr>
          <w:p w14:paraId="0AFE9672">
            <w:pPr>
              <w:spacing w:line="240" w:lineRule="auto"/>
              <w:ind w:firstLine="0" w:firstLineChars="0"/>
              <w:jc w:val="center"/>
              <w:rPr>
                <w:color w:val="auto"/>
                <w:kern w:val="0"/>
                <w:sz w:val="21"/>
                <w:szCs w:val="21"/>
              </w:rPr>
            </w:pPr>
          </w:p>
        </w:tc>
        <w:tc>
          <w:tcPr>
            <w:tcW w:w="638" w:type="pct"/>
            <w:vAlign w:val="center"/>
          </w:tcPr>
          <w:p w14:paraId="63DE581F">
            <w:pPr>
              <w:spacing w:line="240" w:lineRule="auto"/>
              <w:ind w:firstLine="0" w:firstLineChars="0"/>
              <w:jc w:val="center"/>
              <w:rPr>
                <w:color w:val="auto"/>
                <w:kern w:val="0"/>
                <w:sz w:val="21"/>
                <w:szCs w:val="21"/>
              </w:rPr>
            </w:pPr>
          </w:p>
        </w:tc>
      </w:tr>
      <w:tr w14:paraId="1B9AC1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450FACBE">
            <w:pPr>
              <w:spacing w:line="240" w:lineRule="auto"/>
              <w:ind w:firstLine="0" w:firstLineChars="0"/>
              <w:jc w:val="center"/>
              <w:rPr>
                <w:color w:val="auto"/>
                <w:kern w:val="0"/>
                <w:sz w:val="21"/>
                <w:szCs w:val="21"/>
              </w:rPr>
            </w:pPr>
          </w:p>
        </w:tc>
        <w:tc>
          <w:tcPr>
            <w:tcW w:w="620" w:type="pct"/>
            <w:vAlign w:val="center"/>
          </w:tcPr>
          <w:p w14:paraId="0562CCB2">
            <w:pPr>
              <w:spacing w:line="240" w:lineRule="auto"/>
              <w:ind w:firstLine="0" w:firstLineChars="0"/>
              <w:jc w:val="center"/>
              <w:rPr>
                <w:color w:val="auto"/>
                <w:kern w:val="0"/>
                <w:sz w:val="21"/>
                <w:szCs w:val="21"/>
              </w:rPr>
            </w:pPr>
            <w:r>
              <w:rPr>
                <w:color w:val="auto"/>
                <w:kern w:val="0"/>
                <w:sz w:val="21"/>
                <w:szCs w:val="21"/>
              </w:rPr>
              <w:t>0.8H</w:t>
            </w:r>
          </w:p>
        </w:tc>
        <w:tc>
          <w:tcPr>
            <w:tcW w:w="620" w:type="pct"/>
            <w:vAlign w:val="center"/>
          </w:tcPr>
          <w:p w14:paraId="3A5369B5">
            <w:pPr>
              <w:spacing w:line="240" w:lineRule="auto"/>
              <w:ind w:firstLine="0" w:firstLineChars="0"/>
              <w:jc w:val="center"/>
              <w:rPr>
                <w:color w:val="auto"/>
                <w:kern w:val="0"/>
                <w:sz w:val="21"/>
                <w:szCs w:val="21"/>
              </w:rPr>
            </w:pPr>
          </w:p>
        </w:tc>
        <w:tc>
          <w:tcPr>
            <w:tcW w:w="624" w:type="pct"/>
            <w:vAlign w:val="center"/>
          </w:tcPr>
          <w:p w14:paraId="2D0B2291">
            <w:pPr>
              <w:spacing w:line="240" w:lineRule="auto"/>
              <w:ind w:firstLine="0" w:firstLineChars="0"/>
              <w:jc w:val="center"/>
              <w:rPr>
                <w:color w:val="auto"/>
                <w:kern w:val="0"/>
                <w:sz w:val="21"/>
                <w:szCs w:val="21"/>
              </w:rPr>
            </w:pPr>
          </w:p>
        </w:tc>
        <w:tc>
          <w:tcPr>
            <w:tcW w:w="631" w:type="pct"/>
            <w:vAlign w:val="center"/>
          </w:tcPr>
          <w:p w14:paraId="1F39D80A">
            <w:pPr>
              <w:spacing w:line="240" w:lineRule="auto"/>
              <w:ind w:firstLine="0" w:firstLineChars="0"/>
              <w:jc w:val="center"/>
              <w:rPr>
                <w:color w:val="auto"/>
                <w:kern w:val="0"/>
                <w:sz w:val="21"/>
                <w:szCs w:val="21"/>
              </w:rPr>
            </w:pPr>
          </w:p>
        </w:tc>
        <w:tc>
          <w:tcPr>
            <w:tcW w:w="620" w:type="pct"/>
            <w:vAlign w:val="center"/>
          </w:tcPr>
          <w:p w14:paraId="0921B66D">
            <w:pPr>
              <w:spacing w:line="240" w:lineRule="auto"/>
              <w:ind w:firstLine="0" w:firstLineChars="0"/>
              <w:jc w:val="center"/>
              <w:rPr>
                <w:color w:val="auto"/>
                <w:kern w:val="0"/>
                <w:sz w:val="21"/>
                <w:szCs w:val="21"/>
              </w:rPr>
            </w:pPr>
          </w:p>
        </w:tc>
        <w:tc>
          <w:tcPr>
            <w:tcW w:w="621" w:type="pct"/>
            <w:vAlign w:val="center"/>
          </w:tcPr>
          <w:p w14:paraId="6D602F50">
            <w:pPr>
              <w:spacing w:line="240" w:lineRule="auto"/>
              <w:ind w:firstLine="0" w:firstLineChars="0"/>
              <w:jc w:val="center"/>
              <w:rPr>
                <w:color w:val="auto"/>
                <w:kern w:val="0"/>
                <w:sz w:val="21"/>
                <w:szCs w:val="21"/>
              </w:rPr>
            </w:pPr>
          </w:p>
        </w:tc>
        <w:tc>
          <w:tcPr>
            <w:tcW w:w="638" w:type="pct"/>
            <w:vAlign w:val="center"/>
          </w:tcPr>
          <w:p w14:paraId="1E04075A">
            <w:pPr>
              <w:spacing w:line="240" w:lineRule="auto"/>
              <w:ind w:firstLine="0" w:firstLineChars="0"/>
              <w:jc w:val="center"/>
              <w:rPr>
                <w:color w:val="auto"/>
                <w:kern w:val="0"/>
                <w:sz w:val="21"/>
                <w:szCs w:val="21"/>
              </w:rPr>
            </w:pPr>
          </w:p>
        </w:tc>
      </w:tr>
      <w:tr w14:paraId="134023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7" w:hRule="atLeast"/>
          <w:jc w:val="center"/>
        </w:trPr>
        <w:tc>
          <w:tcPr>
            <w:tcW w:w="622" w:type="pct"/>
            <w:vMerge w:val="continue"/>
            <w:vAlign w:val="center"/>
          </w:tcPr>
          <w:p w14:paraId="1B084D47">
            <w:pPr>
              <w:spacing w:line="240" w:lineRule="auto"/>
              <w:ind w:firstLine="0" w:firstLineChars="0"/>
              <w:jc w:val="center"/>
              <w:rPr>
                <w:color w:val="auto"/>
                <w:kern w:val="0"/>
                <w:sz w:val="21"/>
                <w:szCs w:val="21"/>
              </w:rPr>
            </w:pPr>
          </w:p>
        </w:tc>
        <w:tc>
          <w:tcPr>
            <w:tcW w:w="620" w:type="pct"/>
            <w:vAlign w:val="center"/>
          </w:tcPr>
          <w:p w14:paraId="288964CD">
            <w:pPr>
              <w:spacing w:line="240" w:lineRule="auto"/>
              <w:ind w:firstLine="0" w:firstLineChars="0"/>
              <w:jc w:val="center"/>
              <w:rPr>
                <w:color w:val="auto"/>
                <w:kern w:val="0"/>
                <w:sz w:val="21"/>
                <w:szCs w:val="21"/>
              </w:rPr>
            </w:pPr>
            <w:r>
              <w:rPr>
                <w:color w:val="auto"/>
                <w:kern w:val="0"/>
                <w:sz w:val="21"/>
                <w:szCs w:val="21"/>
              </w:rPr>
              <w:t>底层</w:t>
            </w:r>
          </w:p>
        </w:tc>
        <w:tc>
          <w:tcPr>
            <w:tcW w:w="620" w:type="pct"/>
            <w:vAlign w:val="center"/>
          </w:tcPr>
          <w:p w14:paraId="39ECD54E">
            <w:pPr>
              <w:spacing w:line="240" w:lineRule="auto"/>
              <w:ind w:firstLine="0" w:firstLineChars="0"/>
              <w:jc w:val="center"/>
              <w:rPr>
                <w:color w:val="auto"/>
                <w:kern w:val="0"/>
                <w:sz w:val="21"/>
                <w:szCs w:val="21"/>
              </w:rPr>
            </w:pPr>
          </w:p>
        </w:tc>
        <w:tc>
          <w:tcPr>
            <w:tcW w:w="624" w:type="pct"/>
            <w:vAlign w:val="center"/>
          </w:tcPr>
          <w:p w14:paraId="4DBFDA17">
            <w:pPr>
              <w:spacing w:line="240" w:lineRule="auto"/>
              <w:ind w:firstLine="0" w:firstLineChars="0"/>
              <w:jc w:val="center"/>
              <w:rPr>
                <w:color w:val="auto"/>
                <w:kern w:val="0"/>
                <w:sz w:val="21"/>
                <w:szCs w:val="21"/>
              </w:rPr>
            </w:pPr>
          </w:p>
        </w:tc>
        <w:tc>
          <w:tcPr>
            <w:tcW w:w="631" w:type="pct"/>
            <w:vAlign w:val="center"/>
          </w:tcPr>
          <w:p w14:paraId="541E8C81">
            <w:pPr>
              <w:spacing w:line="240" w:lineRule="auto"/>
              <w:ind w:firstLine="0" w:firstLineChars="0"/>
              <w:jc w:val="center"/>
              <w:rPr>
                <w:color w:val="auto"/>
                <w:kern w:val="0"/>
                <w:sz w:val="21"/>
                <w:szCs w:val="21"/>
              </w:rPr>
            </w:pPr>
          </w:p>
        </w:tc>
        <w:tc>
          <w:tcPr>
            <w:tcW w:w="620" w:type="pct"/>
            <w:vAlign w:val="center"/>
          </w:tcPr>
          <w:p w14:paraId="33011D23">
            <w:pPr>
              <w:spacing w:line="240" w:lineRule="auto"/>
              <w:ind w:firstLine="0" w:firstLineChars="0"/>
              <w:jc w:val="center"/>
              <w:rPr>
                <w:color w:val="auto"/>
                <w:kern w:val="0"/>
                <w:sz w:val="21"/>
                <w:szCs w:val="21"/>
              </w:rPr>
            </w:pPr>
          </w:p>
        </w:tc>
        <w:tc>
          <w:tcPr>
            <w:tcW w:w="621" w:type="pct"/>
            <w:vAlign w:val="center"/>
          </w:tcPr>
          <w:p w14:paraId="4CC78D3F">
            <w:pPr>
              <w:spacing w:line="240" w:lineRule="auto"/>
              <w:ind w:firstLine="0" w:firstLineChars="0"/>
              <w:jc w:val="center"/>
              <w:rPr>
                <w:color w:val="auto"/>
                <w:kern w:val="0"/>
                <w:sz w:val="21"/>
                <w:szCs w:val="21"/>
              </w:rPr>
            </w:pPr>
          </w:p>
        </w:tc>
        <w:tc>
          <w:tcPr>
            <w:tcW w:w="638" w:type="pct"/>
            <w:vAlign w:val="center"/>
          </w:tcPr>
          <w:p w14:paraId="1E82994F">
            <w:pPr>
              <w:spacing w:line="240" w:lineRule="auto"/>
              <w:ind w:firstLine="0" w:firstLineChars="0"/>
              <w:jc w:val="center"/>
              <w:rPr>
                <w:color w:val="auto"/>
                <w:kern w:val="0"/>
                <w:sz w:val="21"/>
                <w:szCs w:val="21"/>
              </w:rPr>
            </w:pPr>
          </w:p>
        </w:tc>
      </w:tr>
      <w:tr w14:paraId="096902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continue"/>
            <w:vAlign w:val="center"/>
          </w:tcPr>
          <w:p w14:paraId="1E8B6C6D">
            <w:pPr>
              <w:spacing w:line="240" w:lineRule="auto"/>
              <w:ind w:firstLine="0" w:firstLineChars="0"/>
              <w:jc w:val="center"/>
              <w:rPr>
                <w:color w:val="auto"/>
                <w:kern w:val="0"/>
                <w:sz w:val="21"/>
                <w:szCs w:val="21"/>
              </w:rPr>
            </w:pPr>
          </w:p>
        </w:tc>
        <w:tc>
          <w:tcPr>
            <w:tcW w:w="620" w:type="pct"/>
            <w:vAlign w:val="center"/>
          </w:tcPr>
          <w:p w14:paraId="65CB58A1">
            <w:pPr>
              <w:spacing w:line="240" w:lineRule="auto"/>
              <w:ind w:firstLine="0" w:firstLineChars="0"/>
              <w:jc w:val="center"/>
              <w:rPr>
                <w:color w:val="auto"/>
                <w:kern w:val="0"/>
                <w:sz w:val="21"/>
                <w:szCs w:val="21"/>
              </w:rPr>
            </w:pPr>
            <w:r>
              <w:rPr>
                <w:color w:val="auto"/>
                <w:kern w:val="0"/>
                <w:sz w:val="21"/>
                <w:szCs w:val="21"/>
              </w:rPr>
              <w:t>垂线</w:t>
            </w:r>
          </w:p>
        </w:tc>
        <w:tc>
          <w:tcPr>
            <w:tcW w:w="620" w:type="pct"/>
            <w:vAlign w:val="center"/>
          </w:tcPr>
          <w:p w14:paraId="4513F9D2">
            <w:pPr>
              <w:spacing w:line="240" w:lineRule="auto"/>
              <w:ind w:firstLine="0" w:firstLineChars="0"/>
              <w:jc w:val="center"/>
              <w:rPr>
                <w:color w:val="auto"/>
                <w:kern w:val="0"/>
                <w:sz w:val="21"/>
                <w:szCs w:val="21"/>
              </w:rPr>
            </w:pPr>
          </w:p>
        </w:tc>
        <w:tc>
          <w:tcPr>
            <w:tcW w:w="624" w:type="pct"/>
            <w:vAlign w:val="center"/>
          </w:tcPr>
          <w:p w14:paraId="2A63C542">
            <w:pPr>
              <w:spacing w:line="240" w:lineRule="auto"/>
              <w:ind w:firstLine="0" w:firstLineChars="0"/>
              <w:jc w:val="center"/>
              <w:rPr>
                <w:color w:val="auto"/>
                <w:kern w:val="0"/>
                <w:sz w:val="21"/>
                <w:szCs w:val="21"/>
              </w:rPr>
            </w:pPr>
          </w:p>
        </w:tc>
        <w:tc>
          <w:tcPr>
            <w:tcW w:w="631" w:type="pct"/>
            <w:vAlign w:val="center"/>
          </w:tcPr>
          <w:p w14:paraId="509331E5">
            <w:pPr>
              <w:spacing w:line="240" w:lineRule="auto"/>
              <w:ind w:firstLine="0" w:firstLineChars="0"/>
              <w:jc w:val="center"/>
              <w:rPr>
                <w:color w:val="auto"/>
                <w:kern w:val="0"/>
                <w:sz w:val="21"/>
                <w:szCs w:val="21"/>
              </w:rPr>
            </w:pPr>
          </w:p>
        </w:tc>
        <w:tc>
          <w:tcPr>
            <w:tcW w:w="620" w:type="pct"/>
            <w:vAlign w:val="center"/>
          </w:tcPr>
          <w:p w14:paraId="39EDEB85">
            <w:pPr>
              <w:spacing w:line="240" w:lineRule="auto"/>
              <w:ind w:firstLine="0" w:firstLineChars="0"/>
              <w:jc w:val="center"/>
              <w:rPr>
                <w:color w:val="auto"/>
                <w:kern w:val="0"/>
                <w:sz w:val="21"/>
                <w:szCs w:val="21"/>
              </w:rPr>
            </w:pPr>
          </w:p>
        </w:tc>
        <w:tc>
          <w:tcPr>
            <w:tcW w:w="621" w:type="pct"/>
            <w:vAlign w:val="center"/>
          </w:tcPr>
          <w:p w14:paraId="7771122C">
            <w:pPr>
              <w:spacing w:line="240" w:lineRule="auto"/>
              <w:ind w:firstLine="0" w:firstLineChars="0"/>
              <w:jc w:val="center"/>
              <w:rPr>
                <w:color w:val="auto"/>
                <w:kern w:val="0"/>
                <w:sz w:val="21"/>
                <w:szCs w:val="21"/>
              </w:rPr>
            </w:pPr>
          </w:p>
        </w:tc>
        <w:tc>
          <w:tcPr>
            <w:tcW w:w="638" w:type="pct"/>
            <w:vAlign w:val="center"/>
          </w:tcPr>
          <w:p w14:paraId="47D31F6A">
            <w:pPr>
              <w:spacing w:line="240" w:lineRule="auto"/>
              <w:ind w:firstLine="0" w:firstLineChars="0"/>
              <w:jc w:val="center"/>
              <w:rPr>
                <w:color w:val="auto"/>
                <w:kern w:val="0"/>
                <w:sz w:val="21"/>
                <w:szCs w:val="21"/>
              </w:rPr>
            </w:pPr>
          </w:p>
        </w:tc>
      </w:tr>
      <w:tr w14:paraId="2BD4B9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restart"/>
            <w:vAlign w:val="center"/>
          </w:tcPr>
          <w:p w14:paraId="1C80465A">
            <w:pPr>
              <w:spacing w:line="240" w:lineRule="auto"/>
              <w:ind w:firstLine="0" w:firstLineChars="0"/>
              <w:jc w:val="center"/>
              <w:rPr>
                <w:color w:val="auto"/>
                <w:kern w:val="0"/>
                <w:sz w:val="21"/>
                <w:szCs w:val="21"/>
              </w:rPr>
            </w:pPr>
            <w:r>
              <w:rPr>
                <w:color w:val="auto"/>
                <w:kern w:val="0"/>
                <w:sz w:val="21"/>
                <w:szCs w:val="21"/>
              </w:rPr>
              <w:t>V</w:t>
            </w:r>
            <w:r>
              <w:rPr>
                <w:rFonts w:hint="eastAsia"/>
                <w:color w:val="auto"/>
                <w:kern w:val="0"/>
                <w:sz w:val="21"/>
                <w:szCs w:val="21"/>
              </w:rPr>
              <w:t>4</w:t>
            </w:r>
          </w:p>
        </w:tc>
        <w:tc>
          <w:tcPr>
            <w:tcW w:w="620" w:type="pct"/>
            <w:vAlign w:val="center"/>
          </w:tcPr>
          <w:p w14:paraId="0017A2D2">
            <w:pPr>
              <w:spacing w:line="240" w:lineRule="auto"/>
              <w:ind w:firstLine="0" w:firstLineChars="0"/>
              <w:jc w:val="center"/>
              <w:rPr>
                <w:color w:val="auto"/>
                <w:kern w:val="0"/>
                <w:sz w:val="21"/>
                <w:szCs w:val="21"/>
              </w:rPr>
            </w:pPr>
            <w:r>
              <w:rPr>
                <w:color w:val="auto"/>
                <w:kern w:val="0"/>
                <w:sz w:val="21"/>
                <w:szCs w:val="21"/>
              </w:rPr>
              <w:t>表层</w:t>
            </w:r>
          </w:p>
        </w:tc>
        <w:tc>
          <w:tcPr>
            <w:tcW w:w="620" w:type="pct"/>
            <w:vAlign w:val="center"/>
          </w:tcPr>
          <w:p w14:paraId="25CE07A4">
            <w:pPr>
              <w:spacing w:line="240" w:lineRule="auto"/>
              <w:ind w:firstLine="0" w:firstLineChars="0"/>
              <w:jc w:val="center"/>
              <w:rPr>
                <w:color w:val="auto"/>
                <w:kern w:val="0"/>
                <w:sz w:val="21"/>
                <w:szCs w:val="21"/>
              </w:rPr>
            </w:pPr>
          </w:p>
        </w:tc>
        <w:tc>
          <w:tcPr>
            <w:tcW w:w="624" w:type="pct"/>
            <w:vAlign w:val="center"/>
          </w:tcPr>
          <w:p w14:paraId="6C07DEA4">
            <w:pPr>
              <w:spacing w:line="240" w:lineRule="auto"/>
              <w:ind w:firstLine="0" w:firstLineChars="0"/>
              <w:jc w:val="center"/>
              <w:rPr>
                <w:color w:val="auto"/>
                <w:kern w:val="0"/>
                <w:sz w:val="21"/>
                <w:szCs w:val="21"/>
              </w:rPr>
            </w:pPr>
          </w:p>
        </w:tc>
        <w:tc>
          <w:tcPr>
            <w:tcW w:w="631" w:type="pct"/>
            <w:vAlign w:val="center"/>
          </w:tcPr>
          <w:p w14:paraId="04F52CAC">
            <w:pPr>
              <w:spacing w:line="240" w:lineRule="auto"/>
              <w:ind w:firstLine="0" w:firstLineChars="0"/>
              <w:jc w:val="center"/>
              <w:rPr>
                <w:color w:val="auto"/>
                <w:kern w:val="0"/>
                <w:sz w:val="21"/>
                <w:szCs w:val="21"/>
              </w:rPr>
            </w:pPr>
          </w:p>
        </w:tc>
        <w:tc>
          <w:tcPr>
            <w:tcW w:w="620" w:type="pct"/>
            <w:vAlign w:val="center"/>
          </w:tcPr>
          <w:p w14:paraId="4CBF75F6">
            <w:pPr>
              <w:spacing w:line="240" w:lineRule="auto"/>
              <w:ind w:firstLine="0" w:firstLineChars="0"/>
              <w:jc w:val="center"/>
              <w:rPr>
                <w:color w:val="auto"/>
                <w:kern w:val="0"/>
                <w:sz w:val="21"/>
                <w:szCs w:val="21"/>
              </w:rPr>
            </w:pPr>
          </w:p>
        </w:tc>
        <w:tc>
          <w:tcPr>
            <w:tcW w:w="621" w:type="pct"/>
            <w:vAlign w:val="center"/>
          </w:tcPr>
          <w:p w14:paraId="681D3009">
            <w:pPr>
              <w:spacing w:line="240" w:lineRule="auto"/>
              <w:ind w:firstLine="0" w:firstLineChars="0"/>
              <w:jc w:val="center"/>
              <w:rPr>
                <w:color w:val="auto"/>
                <w:kern w:val="0"/>
                <w:sz w:val="21"/>
                <w:szCs w:val="21"/>
              </w:rPr>
            </w:pPr>
          </w:p>
        </w:tc>
        <w:tc>
          <w:tcPr>
            <w:tcW w:w="638" w:type="pct"/>
            <w:vAlign w:val="center"/>
          </w:tcPr>
          <w:p w14:paraId="42C8C906">
            <w:pPr>
              <w:spacing w:line="240" w:lineRule="auto"/>
              <w:ind w:firstLine="0" w:firstLineChars="0"/>
              <w:jc w:val="center"/>
              <w:rPr>
                <w:color w:val="auto"/>
                <w:kern w:val="0"/>
                <w:sz w:val="21"/>
                <w:szCs w:val="21"/>
              </w:rPr>
            </w:pPr>
          </w:p>
        </w:tc>
      </w:tr>
      <w:tr w14:paraId="0BDFB2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7" w:hRule="atLeast"/>
          <w:jc w:val="center"/>
        </w:trPr>
        <w:tc>
          <w:tcPr>
            <w:tcW w:w="622" w:type="pct"/>
            <w:vMerge w:val="continue"/>
            <w:vAlign w:val="center"/>
          </w:tcPr>
          <w:p w14:paraId="1AD99689">
            <w:pPr>
              <w:spacing w:line="240" w:lineRule="auto"/>
              <w:ind w:firstLine="0" w:firstLineChars="0"/>
              <w:jc w:val="center"/>
              <w:rPr>
                <w:color w:val="auto"/>
                <w:kern w:val="0"/>
                <w:sz w:val="21"/>
                <w:szCs w:val="21"/>
              </w:rPr>
            </w:pPr>
          </w:p>
        </w:tc>
        <w:tc>
          <w:tcPr>
            <w:tcW w:w="620" w:type="pct"/>
            <w:vAlign w:val="center"/>
          </w:tcPr>
          <w:p w14:paraId="2870D1C0">
            <w:pPr>
              <w:spacing w:line="240" w:lineRule="auto"/>
              <w:ind w:firstLine="0" w:firstLineChars="0"/>
              <w:jc w:val="center"/>
              <w:rPr>
                <w:color w:val="auto"/>
                <w:kern w:val="0"/>
                <w:sz w:val="21"/>
                <w:szCs w:val="21"/>
              </w:rPr>
            </w:pPr>
            <w:r>
              <w:rPr>
                <w:color w:val="auto"/>
                <w:kern w:val="0"/>
                <w:sz w:val="21"/>
                <w:szCs w:val="21"/>
              </w:rPr>
              <w:t>0.6H</w:t>
            </w:r>
          </w:p>
        </w:tc>
        <w:tc>
          <w:tcPr>
            <w:tcW w:w="620" w:type="pct"/>
            <w:vAlign w:val="center"/>
          </w:tcPr>
          <w:p w14:paraId="0B2B6D46">
            <w:pPr>
              <w:spacing w:line="240" w:lineRule="auto"/>
              <w:ind w:firstLine="0" w:firstLineChars="0"/>
              <w:jc w:val="center"/>
              <w:rPr>
                <w:color w:val="auto"/>
                <w:kern w:val="0"/>
                <w:sz w:val="21"/>
                <w:szCs w:val="21"/>
              </w:rPr>
            </w:pPr>
          </w:p>
        </w:tc>
        <w:tc>
          <w:tcPr>
            <w:tcW w:w="624" w:type="pct"/>
            <w:vAlign w:val="center"/>
          </w:tcPr>
          <w:p w14:paraId="1C0BC497">
            <w:pPr>
              <w:spacing w:line="240" w:lineRule="auto"/>
              <w:ind w:firstLine="0" w:firstLineChars="0"/>
              <w:jc w:val="center"/>
              <w:rPr>
                <w:color w:val="auto"/>
                <w:kern w:val="0"/>
                <w:sz w:val="21"/>
                <w:szCs w:val="21"/>
              </w:rPr>
            </w:pPr>
          </w:p>
        </w:tc>
        <w:tc>
          <w:tcPr>
            <w:tcW w:w="631" w:type="pct"/>
            <w:vAlign w:val="center"/>
          </w:tcPr>
          <w:p w14:paraId="0A818424">
            <w:pPr>
              <w:spacing w:line="240" w:lineRule="auto"/>
              <w:ind w:firstLine="0" w:firstLineChars="0"/>
              <w:jc w:val="center"/>
              <w:rPr>
                <w:color w:val="auto"/>
                <w:kern w:val="0"/>
                <w:sz w:val="21"/>
                <w:szCs w:val="21"/>
              </w:rPr>
            </w:pPr>
          </w:p>
        </w:tc>
        <w:tc>
          <w:tcPr>
            <w:tcW w:w="620" w:type="pct"/>
            <w:vAlign w:val="center"/>
          </w:tcPr>
          <w:p w14:paraId="25B6FDCC">
            <w:pPr>
              <w:spacing w:line="240" w:lineRule="auto"/>
              <w:ind w:firstLine="0" w:firstLineChars="0"/>
              <w:jc w:val="center"/>
              <w:rPr>
                <w:color w:val="auto"/>
                <w:kern w:val="0"/>
                <w:sz w:val="21"/>
                <w:szCs w:val="21"/>
              </w:rPr>
            </w:pPr>
          </w:p>
        </w:tc>
        <w:tc>
          <w:tcPr>
            <w:tcW w:w="621" w:type="pct"/>
            <w:vAlign w:val="center"/>
          </w:tcPr>
          <w:p w14:paraId="78332EBB">
            <w:pPr>
              <w:spacing w:line="240" w:lineRule="auto"/>
              <w:ind w:firstLine="0" w:firstLineChars="0"/>
              <w:jc w:val="center"/>
              <w:rPr>
                <w:color w:val="auto"/>
                <w:kern w:val="0"/>
                <w:sz w:val="21"/>
                <w:szCs w:val="21"/>
              </w:rPr>
            </w:pPr>
          </w:p>
        </w:tc>
        <w:tc>
          <w:tcPr>
            <w:tcW w:w="638" w:type="pct"/>
            <w:vAlign w:val="center"/>
          </w:tcPr>
          <w:p w14:paraId="5E94C1E7">
            <w:pPr>
              <w:spacing w:line="240" w:lineRule="auto"/>
              <w:ind w:firstLine="0" w:firstLineChars="0"/>
              <w:jc w:val="center"/>
              <w:rPr>
                <w:color w:val="auto"/>
                <w:kern w:val="0"/>
                <w:sz w:val="21"/>
                <w:szCs w:val="21"/>
              </w:rPr>
            </w:pPr>
          </w:p>
        </w:tc>
      </w:tr>
      <w:tr w14:paraId="5A7373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1FCCF4F0">
            <w:pPr>
              <w:spacing w:line="240" w:lineRule="auto"/>
              <w:ind w:firstLine="0" w:firstLineChars="0"/>
              <w:jc w:val="center"/>
              <w:rPr>
                <w:color w:val="auto"/>
                <w:kern w:val="0"/>
                <w:sz w:val="21"/>
                <w:szCs w:val="21"/>
              </w:rPr>
            </w:pPr>
          </w:p>
        </w:tc>
        <w:tc>
          <w:tcPr>
            <w:tcW w:w="620" w:type="pct"/>
            <w:vAlign w:val="center"/>
          </w:tcPr>
          <w:p w14:paraId="14DD5FE6">
            <w:pPr>
              <w:spacing w:line="240" w:lineRule="auto"/>
              <w:ind w:firstLine="0" w:firstLineChars="0"/>
              <w:jc w:val="center"/>
              <w:rPr>
                <w:color w:val="auto"/>
                <w:kern w:val="0"/>
                <w:sz w:val="21"/>
                <w:szCs w:val="21"/>
              </w:rPr>
            </w:pPr>
            <w:r>
              <w:rPr>
                <w:color w:val="auto"/>
                <w:kern w:val="0"/>
                <w:sz w:val="21"/>
                <w:szCs w:val="21"/>
              </w:rPr>
              <w:t>底层</w:t>
            </w:r>
          </w:p>
        </w:tc>
        <w:tc>
          <w:tcPr>
            <w:tcW w:w="620" w:type="pct"/>
            <w:vAlign w:val="center"/>
          </w:tcPr>
          <w:p w14:paraId="0BB4C3B0">
            <w:pPr>
              <w:spacing w:line="240" w:lineRule="auto"/>
              <w:ind w:firstLine="0" w:firstLineChars="0"/>
              <w:jc w:val="center"/>
              <w:rPr>
                <w:color w:val="auto"/>
                <w:kern w:val="0"/>
                <w:sz w:val="21"/>
                <w:szCs w:val="21"/>
              </w:rPr>
            </w:pPr>
          </w:p>
        </w:tc>
        <w:tc>
          <w:tcPr>
            <w:tcW w:w="624" w:type="pct"/>
            <w:vAlign w:val="center"/>
          </w:tcPr>
          <w:p w14:paraId="30C3F534">
            <w:pPr>
              <w:spacing w:line="240" w:lineRule="auto"/>
              <w:ind w:firstLine="0" w:firstLineChars="0"/>
              <w:jc w:val="center"/>
              <w:rPr>
                <w:color w:val="auto"/>
                <w:kern w:val="0"/>
                <w:sz w:val="21"/>
                <w:szCs w:val="21"/>
              </w:rPr>
            </w:pPr>
          </w:p>
        </w:tc>
        <w:tc>
          <w:tcPr>
            <w:tcW w:w="631" w:type="pct"/>
            <w:vAlign w:val="center"/>
          </w:tcPr>
          <w:p w14:paraId="68A2A38E">
            <w:pPr>
              <w:spacing w:line="240" w:lineRule="auto"/>
              <w:ind w:firstLine="0" w:firstLineChars="0"/>
              <w:jc w:val="center"/>
              <w:rPr>
                <w:color w:val="auto"/>
                <w:kern w:val="0"/>
                <w:sz w:val="21"/>
                <w:szCs w:val="21"/>
              </w:rPr>
            </w:pPr>
          </w:p>
        </w:tc>
        <w:tc>
          <w:tcPr>
            <w:tcW w:w="620" w:type="pct"/>
            <w:vAlign w:val="center"/>
          </w:tcPr>
          <w:p w14:paraId="42696C5B">
            <w:pPr>
              <w:spacing w:line="240" w:lineRule="auto"/>
              <w:ind w:firstLine="0" w:firstLineChars="0"/>
              <w:jc w:val="center"/>
              <w:rPr>
                <w:color w:val="auto"/>
                <w:kern w:val="0"/>
                <w:sz w:val="21"/>
                <w:szCs w:val="21"/>
              </w:rPr>
            </w:pPr>
          </w:p>
        </w:tc>
        <w:tc>
          <w:tcPr>
            <w:tcW w:w="621" w:type="pct"/>
            <w:vAlign w:val="center"/>
          </w:tcPr>
          <w:p w14:paraId="616EBCDE">
            <w:pPr>
              <w:spacing w:line="240" w:lineRule="auto"/>
              <w:ind w:firstLine="0" w:firstLineChars="0"/>
              <w:jc w:val="center"/>
              <w:rPr>
                <w:color w:val="auto"/>
                <w:kern w:val="0"/>
                <w:sz w:val="21"/>
                <w:szCs w:val="21"/>
              </w:rPr>
            </w:pPr>
          </w:p>
        </w:tc>
        <w:tc>
          <w:tcPr>
            <w:tcW w:w="638" w:type="pct"/>
            <w:vAlign w:val="center"/>
          </w:tcPr>
          <w:p w14:paraId="70507A5F">
            <w:pPr>
              <w:spacing w:line="240" w:lineRule="auto"/>
              <w:ind w:firstLine="0" w:firstLineChars="0"/>
              <w:jc w:val="center"/>
              <w:rPr>
                <w:color w:val="auto"/>
                <w:kern w:val="0"/>
                <w:sz w:val="21"/>
                <w:szCs w:val="21"/>
              </w:rPr>
            </w:pPr>
          </w:p>
        </w:tc>
      </w:tr>
      <w:tr w14:paraId="027770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7" w:hRule="atLeast"/>
          <w:jc w:val="center"/>
        </w:trPr>
        <w:tc>
          <w:tcPr>
            <w:tcW w:w="622" w:type="pct"/>
            <w:vMerge w:val="continue"/>
            <w:vAlign w:val="center"/>
          </w:tcPr>
          <w:p w14:paraId="1A2922FE">
            <w:pPr>
              <w:spacing w:line="240" w:lineRule="auto"/>
              <w:ind w:firstLine="0" w:firstLineChars="0"/>
              <w:jc w:val="center"/>
              <w:rPr>
                <w:color w:val="auto"/>
                <w:kern w:val="0"/>
                <w:sz w:val="21"/>
                <w:szCs w:val="21"/>
              </w:rPr>
            </w:pPr>
          </w:p>
        </w:tc>
        <w:tc>
          <w:tcPr>
            <w:tcW w:w="620" w:type="pct"/>
            <w:vAlign w:val="center"/>
          </w:tcPr>
          <w:p w14:paraId="373022C5">
            <w:pPr>
              <w:spacing w:line="240" w:lineRule="auto"/>
              <w:ind w:firstLine="0" w:firstLineChars="0"/>
              <w:jc w:val="center"/>
              <w:rPr>
                <w:color w:val="auto"/>
                <w:kern w:val="0"/>
                <w:sz w:val="21"/>
                <w:szCs w:val="21"/>
              </w:rPr>
            </w:pPr>
            <w:r>
              <w:rPr>
                <w:color w:val="auto"/>
                <w:kern w:val="0"/>
                <w:sz w:val="21"/>
                <w:szCs w:val="21"/>
              </w:rPr>
              <w:t>垂线</w:t>
            </w:r>
          </w:p>
        </w:tc>
        <w:tc>
          <w:tcPr>
            <w:tcW w:w="620" w:type="pct"/>
            <w:vAlign w:val="center"/>
          </w:tcPr>
          <w:p w14:paraId="4CB2B7C2">
            <w:pPr>
              <w:spacing w:line="240" w:lineRule="auto"/>
              <w:ind w:firstLine="0" w:firstLineChars="0"/>
              <w:jc w:val="center"/>
              <w:rPr>
                <w:color w:val="auto"/>
                <w:kern w:val="0"/>
                <w:sz w:val="21"/>
                <w:szCs w:val="21"/>
              </w:rPr>
            </w:pPr>
          </w:p>
        </w:tc>
        <w:tc>
          <w:tcPr>
            <w:tcW w:w="624" w:type="pct"/>
            <w:vAlign w:val="center"/>
          </w:tcPr>
          <w:p w14:paraId="7F405F4B">
            <w:pPr>
              <w:spacing w:line="240" w:lineRule="auto"/>
              <w:ind w:firstLine="0" w:firstLineChars="0"/>
              <w:jc w:val="center"/>
              <w:rPr>
                <w:color w:val="auto"/>
                <w:kern w:val="0"/>
                <w:sz w:val="21"/>
                <w:szCs w:val="21"/>
              </w:rPr>
            </w:pPr>
          </w:p>
        </w:tc>
        <w:tc>
          <w:tcPr>
            <w:tcW w:w="631" w:type="pct"/>
            <w:vAlign w:val="center"/>
          </w:tcPr>
          <w:p w14:paraId="6394CDEF">
            <w:pPr>
              <w:spacing w:line="240" w:lineRule="auto"/>
              <w:ind w:firstLine="0" w:firstLineChars="0"/>
              <w:jc w:val="center"/>
              <w:rPr>
                <w:color w:val="auto"/>
                <w:kern w:val="0"/>
                <w:sz w:val="21"/>
                <w:szCs w:val="21"/>
              </w:rPr>
            </w:pPr>
          </w:p>
        </w:tc>
        <w:tc>
          <w:tcPr>
            <w:tcW w:w="620" w:type="pct"/>
            <w:vAlign w:val="center"/>
          </w:tcPr>
          <w:p w14:paraId="5EAD363E">
            <w:pPr>
              <w:spacing w:line="240" w:lineRule="auto"/>
              <w:ind w:firstLine="0" w:firstLineChars="0"/>
              <w:jc w:val="center"/>
              <w:rPr>
                <w:color w:val="auto"/>
                <w:kern w:val="0"/>
                <w:sz w:val="21"/>
                <w:szCs w:val="21"/>
              </w:rPr>
            </w:pPr>
          </w:p>
        </w:tc>
        <w:tc>
          <w:tcPr>
            <w:tcW w:w="621" w:type="pct"/>
            <w:vAlign w:val="center"/>
          </w:tcPr>
          <w:p w14:paraId="3606E25C">
            <w:pPr>
              <w:spacing w:line="240" w:lineRule="auto"/>
              <w:ind w:firstLine="0" w:firstLineChars="0"/>
              <w:jc w:val="center"/>
              <w:rPr>
                <w:color w:val="auto"/>
                <w:kern w:val="0"/>
                <w:sz w:val="21"/>
                <w:szCs w:val="21"/>
              </w:rPr>
            </w:pPr>
          </w:p>
        </w:tc>
        <w:tc>
          <w:tcPr>
            <w:tcW w:w="638" w:type="pct"/>
            <w:vAlign w:val="center"/>
          </w:tcPr>
          <w:p w14:paraId="4126A43C">
            <w:pPr>
              <w:spacing w:line="240" w:lineRule="auto"/>
              <w:ind w:firstLine="0" w:firstLineChars="0"/>
              <w:jc w:val="center"/>
              <w:rPr>
                <w:color w:val="auto"/>
                <w:kern w:val="0"/>
                <w:sz w:val="21"/>
                <w:szCs w:val="21"/>
              </w:rPr>
            </w:pPr>
          </w:p>
        </w:tc>
      </w:tr>
      <w:tr w14:paraId="14D9D3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restart"/>
            <w:vAlign w:val="center"/>
          </w:tcPr>
          <w:p w14:paraId="3B187600">
            <w:pPr>
              <w:spacing w:line="240" w:lineRule="auto"/>
              <w:ind w:firstLine="0" w:firstLineChars="0"/>
              <w:jc w:val="center"/>
              <w:rPr>
                <w:color w:val="auto"/>
                <w:kern w:val="0"/>
                <w:sz w:val="21"/>
                <w:szCs w:val="21"/>
              </w:rPr>
            </w:pPr>
            <w:r>
              <w:rPr>
                <w:color w:val="auto"/>
                <w:kern w:val="0"/>
                <w:sz w:val="21"/>
                <w:szCs w:val="21"/>
              </w:rPr>
              <w:t>V5</w:t>
            </w:r>
          </w:p>
        </w:tc>
        <w:tc>
          <w:tcPr>
            <w:tcW w:w="620" w:type="pct"/>
            <w:vAlign w:val="center"/>
          </w:tcPr>
          <w:p w14:paraId="3473A230">
            <w:pPr>
              <w:spacing w:line="240" w:lineRule="auto"/>
              <w:ind w:firstLine="0" w:firstLineChars="0"/>
              <w:jc w:val="center"/>
              <w:rPr>
                <w:color w:val="auto"/>
                <w:kern w:val="0"/>
                <w:sz w:val="21"/>
                <w:szCs w:val="21"/>
              </w:rPr>
            </w:pPr>
            <w:r>
              <w:rPr>
                <w:color w:val="auto"/>
                <w:kern w:val="0"/>
                <w:sz w:val="21"/>
                <w:szCs w:val="21"/>
              </w:rPr>
              <w:t>表层</w:t>
            </w:r>
          </w:p>
        </w:tc>
        <w:tc>
          <w:tcPr>
            <w:tcW w:w="620" w:type="pct"/>
            <w:vAlign w:val="center"/>
          </w:tcPr>
          <w:p w14:paraId="5321E128">
            <w:pPr>
              <w:spacing w:line="240" w:lineRule="auto"/>
              <w:ind w:firstLine="0" w:firstLineChars="0"/>
              <w:jc w:val="center"/>
              <w:rPr>
                <w:color w:val="auto"/>
                <w:kern w:val="0"/>
                <w:sz w:val="21"/>
                <w:szCs w:val="21"/>
              </w:rPr>
            </w:pPr>
          </w:p>
        </w:tc>
        <w:tc>
          <w:tcPr>
            <w:tcW w:w="624" w:type="pct"/>
            <w:vAlign w:val="center"/>
          </w:tcPr>
          <w:p w14:paraId="55C78D94">
            <w:pPr>
              <w:spacing w:line="240" w:lineRule="auto"/>
              <w:ind w:firstLine="0" w:firstLineChars="0"/>
              <w:jc w:val="center"/>
              <w:rPr>
                <w:color w:val="auto"/>
                <w:kern w:val="0"/>
                <w:sz w:val="21"/>
                <w:szCs w:val="21"/>
              </w:rPr>
            </w:pPr>
          </w:p>
        </w:tc>
        <w:tc>
          <w:tcPr>
            <w:tcW w:w="631" w:type="pct"/>
            <w:vAlign w:val="center"/>
          </w:tcPr>
          <w:p w14:paraId="638F3CA2">
            <w:pPr>
              <w:spacing w:line="240" w:lineRule="auto"/>
              <w:ind w:firstLine="0" w:firstLineChars="0"/>
              <w:jc w:val="center"/>
              <w:rPr>
                <w:color w:val="auto"/>
                <w:kern w:val="0"/>
                <w:sz w:val="21"/>
                <w:szCs w:val="21"/>
              </w:rPr>
            </w:pPr>
          </w:p>
        </w:tc>
        <w:tc>
          <w:tcPr>
            <w:tcW w:w="620" w:type="pct"/>
            <w:vAlign w:val="center"/>
          </w:tcPr>
          <w:p w14:paraId="0915F2D7">
            <w:pPr>
              <w:spacing w:line="240" w:lineRule="auto"/>
              <w:ind w:firstLine="0" w:firstLineChars="0"/>
              <w:jc w:val="center"/>
              <w:rPr>
                <w:color w:val="auto"/>
                <w:kern w:val="0"/>
                <w:sz w:val="21"/>
                <w:szCs w:val="21"/>
              </w:rPr>
            </w:pPr>
          </w:p>
        </w:tc>
        <w:tc>
          <w:tcPr>
            <w:tcW w:w="621" w:type="pct"/>
            <w:vAlign w:val="center"/>
          </w:tcPr>
          <w:p w14:paraId="2A11C95F">
            <w:pPr>
              <w:spacing w:line="240" w:lineRule="auto"/>
              <w:ind w:firstLine="0" w:firstLineChars="0"/>
              <w:jc w:val="center"/>
              <w:rPr>
                <w:color w:val="auto"/>
                <w:kern w:val="0"/>
                <w:sz w:val="21"/>
                <w:szCs w:val="21"/>
              </w:rPr>
            </w:pPr>
          </w:p>
        </w:tc>
        <w:tc>
          <w:tcPr>
            <w:tcW w:w="638" w:type="pct"/>
            <w:vAlign w:val="center"/>
          </w:tcPr>
          <w:p w14:paraId="0766FBE2">
            <w:pPr>
              <w:spacing w:line="240" w:lineRule="auto"/>
              <w:ind w:firstLine="0" w:firstLineChars="0"/>
              <w:jc w:val="center"/>
              <w:rPr>
                <w:color w:val="auto"/>
                <w:kern w:val="0"/>
                <w:sz w:val="21"/>
                <w:szCs w:val="21"/>
              </w:rPr>
            </w:pPr>
          </w:p>
        </w:tc>
      </w:tr>
      <w:tr w14:paraId="0815EA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9" w:hRule="atLeast"/>
          <w:jc w:val="center"/>
        </w:trPr>
        <w:tc>
          <w:tcPr>
            <w:tcW w:w="622" w:type="pct"/>
            <w:vMerge w:val="continue"/>
            <w:vAlign w:val="center"/>
          </w:tcPr>
          <w:p w14:paraId="039ABE77">
            <w:pPr>
              <w:spacing w:line="240" w:lineRule="auto"/>
              <w:ind w:firstLine="0" w:firstLineChars="0"/>
              <w:jc w:val="center"/>
              <w:rPr>
                <w:color w:val="auto"/>
                <w:kern w:val="0"/>
                <w:sz w:val="21"/>
                <w:szCs w:val="21"/>
              </w:rPr>
            </w:pPr>
          </w:p>
        </w:tc>
        <w:tc>
          <w:tcPr>
            <w:tcW w:w="620" w:type="pct"/>
            <w:vAlign w:val="center"/>
          </w:tcPr>
          <w:p w14:paraId="62897F32">
            <w:pPr>
              <w:spacing w:line="240" w:lineRule="auto"/>
              <w:ind w:firstLine="0" w:firstLineChars="0"/>
              <w:jc w:val="center"/>
              <w:rPr>
                <w:color w:val="auto"/>
                <w:kern w:val="0"/>
                <w:sz w:val="21"/>
                <w:szCs w:val="21"/>
              </w:rPr>
            </w:pPr>
            <w:r>
              <w:rPr>
                <w:color w:val="auto"/>
                <w:kern w:val="0"/>
                <w:sz w:val="21"/>
                <w:szCs w:val="21"/>
              </w:rPr>
              <w:t>0.2H</w:t>
            </w:r>
          </w:p>
        </w:tc>
        <w:tc>
          <w:tcPr>
            <w:tcW w:w="620" w:type="pct"/>
            <w:vAlign w:val="center"/>
          </w:tcPr>
          <w:p w14:paraId="4FE18232">
            <w:pPr>
              <w:spacing w:line="240" w:lineRule="auto"/>
              <w:ind w:firstLine="0" w:firstLineChars="0"/>
              <w:jc w:val="center"/>
              <w:rPr>
                <w:color w:val="auto"/>
                <w:kern w:val="0"/>
                <w:sz w:val="21"/>
                <w:szCs w:val="21"/>
              </w:rPr>
            </w:pPr>
          </w:p>
        </w:tc>
        <w:tc>
          <w:tcPr>
            <w:tcW w:w="624" w:type="pct"/>
            <w:vAlign w:val="center"/>
          </w:tcPr>
          <w:p w14:paraId="194C9A9F">
            <w:pPr>
              <w:spacing w:line="240" w:lineRule="auto"/>
              <w:ind w:firstLine="0" w:firstLineChars="0"/>
              <w:jc w:val="center"/>
              <w:rPr>
                <w:color w:val="auto"/>
                <w:kern w:val="0"/>
                <w:sz w:val="21"/>
                <w:szCs w:val="21"/>
              </w:rPr>
            </w:pPr>
          </w:p>
        </w:tc>
        <w:tc>
          <w:tcPr>
            <w:tcW w:w="631" w:type="pct"/>
            <w:vAlign w:val="center"/>
          </w:tcPr>
          <w:p w14:paraId="2AD4932A">
            <w:pPr>
              <w:spacing w:line="240" w:lineRule="auto"/>
              <w:ind w:firstLine="0" w:firstLineChars="0"/>
              <w:jc w:val="center"/>
              <w:rPr>
                <w:color w:val="auto"/>
                <w:kern w:val="0"/>
                <w:sz w:val="21"/>
                <w:szCs w:val="21"/>
              </w:rPr>
            </w:pPr>
          </w:p>
        </w:tc>
        <w:tc>
          <w:tcPr>
            <w:tcW w:w="620" w:type="pct"/>
            <w:vAlign w:val="center"/>
          </w:tcPr>
          <w:p w14:paraId="381E7E16">
            <w:pPr>
              <w:spacing w:line="240" w:lineRule="auto"/>
              <w:ind w:firstLine="0" w:firstLineChars="0"/>
              <w:jc w:val="center"/>
              <w:rPr>
                <w:color w:val="auto"/>
                <w:kern w:val="0"/>
                <w:sz w:val="21"/>
                <w:szCs w:val="21"/>
              </w:rPr>
            </w:pPr>
          </w:p>
        </w:tc>
        <w:tc>
          <w:tcPr>
            <w:tcW w:w="621" w:type="pct"/>
            <w:vAlign w:val="center"/>
          </w:tcPr>
          <w:p w14:paraId="04D7E4F1">
            <w:pPr>
              <w:spacing w:line="240" w:lineRule="auto"/>
              <w:ind w:firstLine="0" w:firstLineChars="0"/>
              <w:jc w:val="center"/>
              <w:rPr>
                <w:color w:val="auto"/>
                <w:kern w:val="0"/>
                <w:sz w:val="21"/>
                <w:szCs w:val="21"/>
              </w:rPr>
            </w:pPr>
          </w:p>
        </w:tc>
        <w:tc>
          <w:tcPr>
            <w:tcW w:w="638" w:type="pct"/>
            <w:vAlign w:val="center"/>
          </w:tcPr>
          <w:p w14:paraId="6976A7F2">
            <w:pPr>
              <w:spacing w:line="240" w:lineRule="auto"/>
              <w:ind w:firstLine="0" w:firstLineChars="0"/>
              <w:jc w:val="center"/>
              <w:rPr>
                <w:color w:val="auto"/>
                <w:kern w:val="0"/>
                <w:sz w:val="21"/>
                <w:szCs w:val="21"/>
              </w:rPr>
            </w:pPr>
          </w:p>
        </w:tc>
      </w:tr>
      <w:tr w14:paraId="32001E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7" w:hRule="atLeast"/>
          <w:jc w:val="center"/>
        </w:trPr>
        <w:tc>
          <w:tcPr>
            <w:tcW w:w="622" w:type="pct"/>
            <w:vMerge w:val="continue"/>
            <w:vAlign w:val="center"/>
          </w:tcPr>
          <w:p w14:paraId="4BC56C1B">
            <w:pPr>
              <w:spacing w:line="240" w:lineRule="auto"/>
              <w:ind w:firstLine="0" w:firstLineChars="0"/>
              <w:jc w:val="center"/>
              <w:rPr>
                <w:color w:val="auto"/>
                <w:kern w:val="0"/>
                <w:sz w:val="21"/>
                <w:szCs w:val="21"/>
              </w:rPr>
            </w:pPr>
          </w:p>
        </w:tc>
        <w:tc>
          <w:tcPr>
            <w:tcW w:w="620" w:type="pct"/>
            <w:vAlign w:val="center"/>
          </w:tcPr>
          <w:p w14:paraId="6FD124A4">
            <w:pPr>
              <w:spacing w:line="240" w:lineRule="auto"/>
              <w:ind w:firstLine="0" w:firstLineChars="0"/>
              <w:jc w:val="center"/>
              <w:rPr>
                <w:color w:val="auto"/>
                <w:kern w:val="0"/>
                <w:sz w:val="21"/>
                <w:szCs w:val="21"/>
              </w:rPr>
            </w:pPr>
            <w:r>
              <w:rPr>
                <w:color w:val="auto"/>
                <w:kern w:val="0"/>
                <w:sz w:val="21"/>
                <w:szCs w:val="21"/>
              </w:rPr>
              <w:t>0.4H</w:t>
            </w:r>
          </w:p>
        </w:tc>
        <w:tc>
          <w:tcPr>
            <w:tcW w:w="620" w:type="pct"/>
            <w:vAlign w:val="center"/>
          </w:tcPr>
          <w:p w14:paraId="4577A9CE">
            <w:pPr>
              <w:spacing w:line="240" w:lineRule="auto"/>
              <w:ind w:firstLine="0" w:firstLineChars="0"/>
              <w:jc w:val="center"/>
              <w:rPr>
                <w:color w:val="auto"/>
                <w:kern w:val="0"/>
                <w:sz w:val="21"/>
                <w:szCs w:val="21"/>
              </w:rPr>
            </w:pPr>
          </w:p>
        </w:tc>
        <w:tc>
          <w:tcPr>
            <w:tcW w:w="624" w:type="pct"/>
            <w:vAlign w:val="center"/>
          </w:tcPr>
          <w:p w14:paraId="1ABA11FD">
            <w:pPr>
              <w:spacing w:line="240" w:lineRule="auto"/>
              <w:ind w:firstLine="0" w:firstLineChars="0"/>
              <w:jc w:val="center"/>
              <w:rPr>
                <w:color w:val="auto"/>
                <w:kern w:val="0"/>
                <w:sz w:val="21"/>
                <w:szCs w:val="21"/>
              </w:rPr>
            </w:pPr>
          </w:p>
        </w:tc>
        <w:tc>
          <w:tcPr>
            <w:tcW w:w="631" w:type="pct"/>
            <w:vAlign w:val="center"/>
          </w:tcPr>
          <w:p w14:paraId="6F50DBB1">
            <w:pPr>
              <w:spacing w:line="240" w:lineRule="auto"/>
              <w:ind w:firstLine="0" w:firstLineChars="0"/>
              <w:jc w:val="center"/>
              <w:rPr>
                <w:color w:val="auto"/>
                <w:kern w:val="0"/>
                <w:sz w:val="21"/>
                <w:szCs w:val="21"/>
              </w:rPr>
            </w:pPr>
          </w:p>
        </w:tc>
        <w:tc>
          <w:tcPr>
            <w:tcW w:w="620" w:type="pct"/>
            <w:vAlign w:val="center"/>
          </w:tcPr>
          <w:p w14:paraId="0C090BC4">
            <w:pPr>
              <w:spacing w:line="240" w:lineRule="auto"/>
              <w:ind w:firstLine="0" w:firstLineChars="0"/>
              <w:jc w:val="center"/>
              <w:rPr>
                <w:color w:val="auto"/>
                <w:kern w:val="0"/>
                <w:sz w:val="21"/>
                <w:szCs w:val="21"/>
              </w:rPr>
            </w:pPr>
          </w:p>
        </w:tc>
        <w:tc>
          <w:tcPr>
            <w:tcW w:w="621" w:type="pct"/>
            <w:vAlign w:val="center"/>
          </w:tcPr>
          <w:p w14:paraId="5215186C">
            <w:pPr>
              <w:spacing w:line="240" w:lineRule="auto"/>
              <w:ind w:firstLine="0" w:firstLineChars="0"/>
              <w:jc w:val="center"/>
              <w:rPr>
                <w:color w:val="auto"/>
                <w:kern w:val="0"/>
                <w:sz w:val="21"/>
                <w:szCs w:val="21"/>
              </w:rPr>
            </w:pPr>
          </w:p>
        </w:tc>
        <w:tc>
          <w:tcPr>
            <w:tcW w:w="638" w:type="pct"/>
            <w:vAlign w:val="center"/>
          </w:tcPr>
          <w:p w14:paraId="0E56C63F">
            <w:pPr>
              <w:spacing w:line="240" w:lineRule="auto"/>
              <w:ind w:firstLine="0" w:firstLineChars="0"/>
              <w:jc w:val="center"/>
              <w:rPr>
                <w:color w:val="auto"/>
                <w:kern w:val="0"/>
                <w:sz w:val="21"/>
                <w:szCs w:val="21"/>
              </w:rPr>
            </w:pPr>
          </w:p>
        </w:tc>
      </w:tr>
      <w:tr w14:paraId="6A89A9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49A4B63F">
            <w:pPr>
              <w:spacing w:line="240" w:lineRule="auto"/>
              <w:ind w:firstLine="0" w:firstLineChars="0"/>
              <w:jc w:val="center"/>
              <w:rPr>
                <w:color w:val="auto"/>
                <w:kern w:val="0"/>
                <w:sz w:val="21"/>
                <w:szCs w:val="21"/>
              </w:rPr>
            </w:pPr>
          </w:p>
        </w:tc>
        <w:tc>
          <w:tcPr>
            <w:tcW w:w="620" w:type="pct"/>
            <w:vAlign w:val="center"/>
          </w:tcPr>
          <w:p w14:paraId="4EF076F6">
            <w:pPr>
              <w:spacing w:line="240" w:lineRule="auto"/>
              <w:ind w:firstLine="0" w:firstLineChars="0"/>
              <w:jc w:val="center"/>
              <w:rPr>
                <w:color w:val="auto"/>
                <w:kern w:val="0"/>
                <w:sz w:val="21"/>
                <w:szCs w:val="21"/>
              </w:rPr>
            </w:pPr>
            <w:r>
              <w:rPr>
                <w:color w:val="auto"/>
                <w:kern w:val="0"/>
                <w:sz w:val="21"/>
                <w:szCs w:val="21"/>
              </w:rPr>
              <w:t>0.6H</w:t>
            </w:r>
          </w:p>
        </w:tc>
        <w:tc>
          <w:tcPr>
            <w:tcW w:w="620" w:type="pct"/>
            <w:vAlign w:val="center"/>
          </w:tcPr>
          <w:p w14:paraId="7A10A0AB">
            <w:pPr>
              <w:spacing w:line="240" w:lineRule="auto"/>
              <w:ind w:firstLine="0" w:firstLineChars="0"/>
              <w:jc w:val="center"/>
              <w:rPr>
                <w:color w:val="auto"/>
                <w:kern w:val="0"/>
                <w:sz w:val="21"/>
                <w:szCs w:val="21"/>
              </w:rPr>
            </w:pPr>
          </w:p>
        </w:tc>
        <w:tc>
          <w:tcPr>
            <w:tcW w:w="624" w:type="pct"/>
            <w:vAlign w:val="center"/>
          </w:tcPr>
          <w:p w14:paraId="6AF0B023">
            <w:pPr>
              <w:spacing w:line="240" w:lineRule="auto"/>
              <w:ind w:firstLine="0" w:firstLineChars="0"/>
              <w:jc w:val="center"/>
              <w:rPr>
                <w:color w:val="auto"/>
                <w:kern w:val="0"/>
                <w:sz w:val="21"/>
                <w:szCs w:val="21"/>
              </w:rPr>
            </w:pPr>
          </w:p>
        </w:tc>
        <w:tc>
          <w:tcPr>
            <w:tcW w:w="631" w:type="pct"/>
            <w:vAlign w:val="center"/>
          </w:tcPr>
          <w:p w14:paraId="2EA21DD6">
            <w:pPr>
              <w:spacing w:line="240" w:lineRule="auto"/>
              <w:ind w:firstLine="0" w:firstLineChars="0"/>
              <w:jc w:val="center"/>
              <w:rPr>
                <w:color w:val="auto"/>
                <w:kern w:val="0"/>
                <w:sz w:val="21"/>
                <w:szCs w:val="21"/>
              </w:rPr>
            </w:pPr>
          </w:p>
        </w:tc>
        <w:tc>
          <w:tcPr>
            <w:tcW w:w="620" w:type="pct"/>
            <w:vAlign w:val="center"/>
          </w:tcPr>
          <w:p w14:paraId="1C5F5C9B">
            <w:pPr>
              <w:spacing w:line="240" w:lineRule="auto"/>
              <w:ind w:firstLine="0" w:firstLineChars="0"/>
              <w:jc w:val="center"/>
              <w:rPr>
                <w:color w:val="auto"/>
                <w:kern w:val="0"/>
                <w:sz w:val="21"/>
                <w:szCs w:val="21"/>
              </w:rPr>
            </w:pPr>
          </w:p>
        </w:tc>
        <w:tc>
          <w:tcPr>
            <w:tcW w:w="621" w:type="pct"/>
            <w:vAlign w:val="center"/>
          </w:tcPr>
          <w:p w14:paraId="11707330">
            <w:pPr>
              <w:spacing w:line="240" w:lineRule="auto"/>
              <w:ind w:firstLine="0" w:firstLineChars="0"/>
              <w:jc w:val="center"/>
              <w:rPr>
                <w:color w:val="auto"/>
                <w:kern w:val="0"/>
                <w:sz w:val="21"/>
                <w:szCs w:val="21"/>
              </w:rPr>
            </w:pPr>
          </w:p>
        </w:tc>
        <w:tc>
          <w:tcPr>
            <w:tcW w:w="638" w:type="pct"/>
            <w:vAlign w:val="center"/>
          </w:tcPr>
          <w:p w14:paraId="21FFB9DA">
            <w:pPr>
              <w:spacing w:line="240" w:lineRule="auto"/>
              <w:ind w:firstLine="0" w:firstLineChars="0"/>
              <w:jc w:val="center"/>
              <w:rPr>
                <w:color w:val="auto"/>
                <w:kern w:val="0"/>
                <w:sz w:val="21"/>
                <w:szCs w:val="21"/>
              </w:rPr>
            </w:pPr>
          </w:p>
        </w:tc>
      </w:tr>
      <w:tr w14:paraId="448168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continue"/>
            <w:vAlign w:val="center"/>
          </w:tcPr>
          <w:p w14:paraId="3E3D3944">
            <w:pPr>
              <w:spacing w:line="240" w:lineRule="auto"/>
              <w:ind w:firstLine="0" w:firstLineChars="0"/>
              <w:jc w:val="center"/>
              <w:rPr>
                <w:color w:val="auto"/>
                <w:kern w:val="0"/>
                <w:sz w:val="21"/>
                <w:szCs w:val="21"/>
              </w:rPr>
            </w:pPr>
          </w:p>
        </w:tc>
        <w:tc>
          <w:tcPr>
            <w:tcW w:w="620" w:type="pct"/>
            <w:vAlign w:val="center"/>
          </w:tcPr>
          <w:p w14:paraId="4DCAACE2">
            <w:pPr>
              <w:spacing w:line="240" w:lineRule="auto"/>
              <w:ind w:firstLine="0" w:firstLineChars="0"/>
              <w:jc w:val="center"/>
              <w:rPr>
                <w:color w:val="auto"/>
                <w:kern w:val="0"/>
                <w:sz w:val="21"/>
                <w:szCs w:val="21"/>
              </w:rPr>
            </w:pPr>
            <w:r>
              <w:rPr>
                <w:color w:val="auto"/>
                <w:kern w:val="0"/>
                <w:sz w:val="21"/>
                <w:szCs w:val="21"/>
              </w:rPr>
              <w:t>0.8H</w:t>
            </w:r>
          </w:p>
        </w:tc>
        <w:tc>
          <w:tcPr>
            <w:tcW w:w="620" w:type="pct"/>
            <w:vAlign w:val="center"/>
          </w:tcPr>
          <w:p w14:paraId="7357495E">
            <w:pPr>
              <w:spacing w:line="240" w:lineRule="auto"/>
              <w:ind w:firstLine="0" w:firstLineChars="0"/>
              <w:jc w:val="center"/>
              <w:rPr>
                <w:color w:val="auto"/>
                <w:kern w:val="0"/>
                <w:sz w:val="21"/>
                <w:szCs w:val="21"/>
              </w:rPr>
            </w:pPr>
          </w:p>
        </w:tc>
        <w:tc>
          <w:tcPr>
            <w:tcW w:w="624" w:type="pct"/>
            <w:vAlign w:val="center"/>
          </w:tcPr>
          <w:p w14:paraId="76A6913B">
            <w:pPr>
              <w:spacing w:line="240" w:lineRule="auto"/>
              <w:ind w:firstLine="0" w:firstLineChars="0"/>
              <w:jc w:val="center"/>
              <w:rPr>
                <w:color w:val="auto"/>
                <w:kern w:val="0"/>
                <w:sz w:val="21"/>
                <w:szCs w:val="21"/>
              </w:rPr>
            </w:pPr>
          </w:p>
        </w:tc>
        <w:tc>
          <w:tcPr>
            <w:tcW w:w="631" w:type="pct"/>
            <w:vAlign w:val="center"/>
          </w:tcPr>
          <w:p w14:paraId="6F1E8ED3">
            <w:pPr>
              <w:spacing w:line="240" w:lineRule="auto"/>
              <w:ind w:firstLine="0" w:firstLineChars="0"/>
              <w:jc w:val="center"/>
              <w:rPr>
                <w:color w:val="auto"/>
                <w:kern w:val="0"/>
                <w:sz w:val="21"/>
                <w:szCs w:val="21"/>
              </w:rPr>
            </w:pPr>
          </w:p>
        </w:tc>
        <w:tc>
          <w:tcPr>
            <w:tcW w:w="620" w:type="pct"/>
            <w:vAlign w:val="center"/>
          </w:tcPr>
          <w:p w14:paraId="025A2161">
            <w:pPr>
              <w:spacing w:line="240" w:lineRule="auto"/>
              <w:ind w:firstLine="0" w:firstLineChars="0"/>
              <w:jc w:val="center"/>
              <w:rPr>
                <w:color w:val="auto"/>
                <w:kern w:val="0"/>
                <w:sz w:val="21"/>
                <w:szCs w:val="21"/>
              </w:rPr>
            </w:pPr>
          </w:p>
        </w:tc>
        <w:tc>
          <w:tcPr>
            <w:tcW w:w="621" w:type="pct"/>
            <w:vAlign w:val="center"/>
          </w:tcPr>
          <w:p w14:paraId="56BF28EE">
            <w:pPr>
              <w:spacing w:line="240" w:lineRule="auto"/>
              <w:ind w:firstLine="0" w:firstLineChars="0"/>
              <w:jc w:val="center"/>
              <w:rPr>
                <w:color w:val="auto"/>
                <w:kern w:val="0"/>
                <w:sz w:val="21"/>
                <w:szCs w:val="21"/>
              </w:rPr>
            </w:pPr>
          </w:p>
        </w:tc>
        <w:tc>
          <w:tcPr>
            <w:tcW w:w="638" w:type="pct"/>
            <w:vAlign w:val="center"/>
          </w:tcPr>
          <w:p w14:paraId="7E92101F">
            <w:pPr>
              <w:spacing w:line="240" w:lineRule="auto"/>
              <w:ind w:firstLine="0" w:firstLineChars="0"/>
              <w:jc w:val="center"/>
              <w:rPr>
                <w:color w:val="auto"/>
                <w:kern w:val="0"/>
                <w:sz w:val="21"/>
                <w:szCs w:val="21"/>
              </w:rPr>
            </w:pPr>
          </w:p>
        </w:tc>
      </w:tr>
      <w:tr w14:paraId="10C05E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7" w:hRule="atLeast"/>
          <w:jc w:val="center"/>
        </w:trPr>
        <w:tc>
          <w:tcPr>
            <w:tcW w:w="622" w:type="pct"/>
            <w:vMerge w:val="continue"/>
            <w:vAlign w:val="center"/>
          </w:tcPr>
          <w:p w14:paraId="33819F0D">
            <w:pPr>
              <w:spacing w:line="240" w:lineRule="auto"/>
              <w:ind w:firstLine="0" w:firstLineChars="0"/>
              <w:jc w:val="center"/>
              <w:rPr>
                <w:color w:val="auto"/>
                <w:kern w:val="0"/>
                <w:sz w:val="21"/>
                <w:szCs w:val="21"/>
              </w:rPr>
            </w:pPr>
          </w:p>
        </w:tc>
        <w:tc>
          <w:tcPr>
            <w:tcW w:w="620" w:type="pct"/>
            <w:vAlign w:val="center"/>
          </w:tcPr>
          <w:p w14:paraId="0EBF97E2">
            <w:pPr>
              <w:spacing w:line="240" w:lineRule="auto"/>
              <w:ind w:firstLine="0" w:firstLineChars="0"/>
              <w:jc w:val="center"/>
              <w:rPr>
                <w:color w:val="auto"/>
                <w:kern w:val="0"/>
                <w:sz w:val="21"/>
                <w:szCs w:val="21"/>
              </w:rPr>
            </w:pPr>
            <w:r>
              <w:rPr>
                <w:color w:val="auto"/>
                <w:kern w:val="0"/>
                <w:sz w:val="21"/>
                <w:szCs w:val="21"/>
              </w:rPr>
              <w:t>底层</w:t>
            </w:r>
          </w:p>
        </w:tc>
        <w:tc>
          <w:tcPr>
            <w:tcW w:w="620" w:type="pct"/>
            <w:vAlign w:val="center"/>
          </w:tcPr>
          <w:p w14:paraId="67326AA1">
            <w:pPr>
              <w:spacing w:line="240" w:lineRule="auto"/>
              <w:ind w:firstLine="0" w:firstLineChars="0"/>
              <w:jc w:val="center"/>
              <w:rPr>
                <w:color w:val="auto"/>
                <w:kern w:val="0"/>
                <w:sz w:val="21"/>
                <w:szCs w:val="21"/>
              </w:rPr>
            </w:pPr>
          </w:p>
        </w:tc>
        <w:tc>
          <w:tcPr>
            <w:tcW w:w="624" w:type="pct"/>
            <w:vAlign w:val="center"/>
          </w:tcPr>
          <w:p w14:paraId="14317ECE">
            <w:pPr>
              <w:spacing w:line="240" w:lineRule="auto"/>
              <w:ind w:firstLine="0" w:firstLineChars="0"/>
              <w:jc w:val="center"/>
              <w:rPr>
                <w:color w:val="auto"/>
                <w:kern w:val="0"/>
                <w:sz w:val="21"/>
                <w:szCs w:val="21"/>
              </w:rPr>
            </w:pPr>
          </w:p>
        </w:tc>
        <w:tc>
          <w:tcPr>
            <w:tcW w:w="631" w:type="pct"/>
            <w:vAlign w:val="center"/>
          </w:tcPr>
          <w:p w14:paraId="49DA4FEB">
            <w:pPr>
              <w:spacing w:line="240" w:lineRule="auto"/>
              <w:ind w:firstLine="0" w:firstLineChars="0"/>
              <w:jc w:val="center"/>
              <w:rPr>
                <w:color w:val="auto"/>
                <w:kern w:val="0"/>
                <w:sz w:val="21"/>
                <w:szCs w:val="21"/>
              </w:rPr>
            </w:pPr>
          </w:p>
        </w:tc>
        <w:tc>
          <w:tcPr>
            <w:tcW w:w="620" w:type="pct"/>
            <w:vAlign w:val="center"/>
          </w:tcPr>
          <w:p w14:paraId="5738D538">
            <w:pPr>
              <w:spacing w:line="240" w:lineRule="auto"/>
              <w:ind w:firstLine="0" w:firstLineChars="0"/>
              <w:jc w:val="center"/>
              <w:rPr>
                <w:color w:val="auto"/>
                <w:kern w:val="0"/>
                <w:sz w:val="21"/>
                <w:szCs w:val="21"/>
              </w:rPr>
            </w:pPr>
          </w:p>
        </w:tc>
        <w:tc>
          <w:tcPr>
            <w:tcW w:w="621" w:type="pct"/>
            <w:vAlign w:val="center"/>
          </w:tcPr>
          <w:p w14:paraId="3A589FEF">
            <w:pPr>
              <w:spacing w:line="240" w:lineRule="auto"/>
              <w:ind w:firstLine="0" w:firstLineChars="0"/>
              <w:jc w:val="center"/>
              <w:rPr>
                <w:color w:val="auto"/>
                <w:kern w:val="0"/>
                <w:sz w:val="21"/>
                <w:szCs w:val="21"/>
              </w:rPr>
            </w:pPr>
          </w:p>
        </w:tc>
        <w:tc>
          <w:tcPr>
            <w:tcW w:w="638" w:type="pct"/>
            <w:vAlign w:val="center"/>
          </w:tcPr>
          <w:p w14:paraId="74FC5E73">
            <w:pPr>
              <w:spacing w:line="240" w:lineRule="auto"/>
              <w:ind w:firstLine="0" w:firstLineChars="0"/>
              <w:jc w:val="center"/>
              <w:rPr>
                <w:color w:val="auto"/>
                <w:kern w:val="0"/>
                <w:sz w:val="21"/>
                <w:szCs w:val="21"/>
              </w:rPr>
            </w:pPr>
          </w:p>
        </w:tc>
      </w:tr>
      <w:tr w14:paraId="19D9F5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3EFD319F">
            <w:pPr>
              <w:spacing w:line="240" w:lineRule="auto"/>
              <w:ind w:firstLine="0" w:firstLineChars="0"/>
              <w:jc w:val="center"/>
              <w:rPr>
                <w:color w:val="auto"/>
                <w:kern w:val="0"/>
                <w:sz w:val="21"/>
                <w:szCs w:val="21"/>
              </w:rPr>
            </w:pPr>
          </w:p>
        </w:tc>
        <w:tc>
          <w:tcPr>
            <w:tcW w:w="620" w:type="pct"/>
            <w:vAlign w:val="center"/>
          </w:tcPr>
          <w:p w14:paraId="126576A2">
            <w:pPr>
              <w:spacing w:line="240" w:lineRule="auto"/>
              <w:ind w:firstLine="0" w:firstLineChars="0"/>
              <w:jc w:val="center"/>
              <w:rPr>
                <w:color w:val="auto"/>
                <w:kern w:val="0"/>
                <w:sz w:val="21"/>
                <w:szCs w:val="21"/>
              </w:rPr>
            </w:pPr>
            <w:r>
              <w:rPr>
                <w:color w:val="auto"/>
                <w:kern w:val="0"/>
                <w:sz w:val="21"/>
                <w:szCs w:val="21"/>
              </w:rPr>
              <w:t>垂线</w:t>
            </w:r>
          </w:p>
        </w:tc>
        <w:tc>
          <w:tcPr>
            <w:tcW w:w="620" w:type="pct"/>
            <w:vAlign w:val="center"/>
          </w:tcPr>
          <w:p w14:paraId="5984DE78">
            <w:pPr>
              <w:spacing w:line="240" w:lineRule="auto"/>
              <w:ind w:firstLine="0" w:firstLineChars="0"/>
              <w:jc w:val="center"/>
              <w:rPr>
                <w:color w:val="auto"/>
                <w:kern w:val="0"/>
                <w:sz w:val="21"/>
                <w:szCs w:val="21"/>
              </w:rPr>
            </w:pPr>
          </w:p>
        </w:tc>
        <w:tc>
          <w:tcPr>
            <w:tcW w:w="624" w:type="pct"/>
            <w:vAlign w:val="center"/>
          </w:tcPr>
          <w:p w14:paraId="59579595">
            <w:pPr>
              <w:spacing w:line="240" w:lineRule="auto"/>
              <w:ind w:firstLine="0" w:firstLineChars="0"/>
              <w:jc w:val="center"/>
              <w:rPr>
                <w:color w:val="auto"/>
                <w:kern w:val="0"/>
                <w:sz w:val="21"/>
                <w:szCs w:val="21"/>
              </w:rPr>
            </w:pPr>
          </w:p>
        </w:tc>
        <w:tc>
          <w:tcPr>
            <w:tcW w:w="631" w:type="pct"/>
            <w:vAlign w:val="center"/>
          </w:tcPr>
          <w:p w14:paraId="101255DD">
            <w:pPr>
              <w:spacing w:line="240" w:lineRule="auto"/>
              <w:ind w:firstLine="0" w:firstLineChars="0"/>
              <w:jc w:val="center"/>
              <w:rPr>
                <w:color w:val="auto"/>
                <w:kern w:val="0"/>
                <w:sz w:val="21"/>
                <w:szCs w:val="21"/>
              </w:rPr>
            </w:pPr>
          </w:p>
        </w:tc>
        <w:tc>
          <w:tcPr>
            <w:tcW w:w="620" w:type="pct"/>
            <w:vAlign w:val="center"/>
          </w:tcPr>
          <w:p w14:paraId="2A74C5DF">
            <w:pPr>
              <w:spacing w:line="240" w:lineRule="auto"/>
              <w:ind w:firstLine="0" w:firstLineChars="0"/>
              <w:jc w:val="center"/>
              <w:rPr>
                <w:color w:val="auto"/>
                <w:kern w:val="0"/>
                <w:sz w:val="21"/>
                <w:szCs w:val="21"/>
              </w:rPr>
            </w:pPr>
          </w:p>
        </w:tc>
        <w:tc>
          <w:tcPr>
            <w:tcW w:w="621" w:type="pct"/>
            <w:vAlign w:val="center"/>
          </w:tcPr>
          <w:p w14:paraId="5CD7B388">
            <w:pPr>
              <w:spacing w:line="240" w:lineRule="auto"/>
              <w:ind w:firstLine="0" w:firstLineChars="0"/>
              <w:jc w:val="center"/>
              <w:rPr>
                <w:color w:val="auto"/>
                <w:kern w:val="0"/>
                <w:sz w:val="21"/>
                <w:szCs w:val="21"/>
              </w:rPr>
            </w:pPr>
          </w:p>
        </w:tc>
        <w:tc>
          <w:tcPr>
            <w:tcW w:w="638" w:type="pct"/>
            <w:vAlign w:val="center"/>
          </w:tcPr>
          <w:p w14:paraId="5A0F5919">
            <w:pPr>
              <w:spacing w:line="240" w:lineRule="auto"/>
              <w:ind w:firstLine="0" w:firstLineChars="0"/>
              <w:jc w:val="center"/>
              <w:rPr>
                <w:color w:val="auto"/>
                <w:kern w:val="0"/>
                <w:sz w:val="21"/>
                <w:szCs w:val="21"/>
              </w:rPr>
            </w:pPr>
          </w:p>
        </w:tc>
      </w:tr>
      <w:tr w14:paraId="185643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restart"/>
            <w:vAlign w:val="center"/>
          </w:tcPr>
          <w:p w14:paraId="599D3BFD">
            <w:pPr>
              <w:spacing w:line="240" w:lineRule="auto"/>
              <w:ind w:firstLine="0" w:firstLineChars="0"/>
              <w:jc w:val="center"/>
              <w:rPr>
                <w:color w:val="auto"/>
                <w:kern w:val="0"/>
                <w:sz w:val="21"/>
                <w:szCs w:val="21"/>
              </w:rPr>
            </w:pPr>
            <w:r>
              <w:rPr>
                <w:color w:val="auto"/>
                <w:kern w:val="0"/>
                <w:sz w:val="21"/>
                <w:szCs w:val="21"/>
              </w:rPr>
              <w:t>V6</w:t>
            </w:r>
          </w:p>
        </w:tc>
        <w:tc>
          <w:tcPr>
            <w:tcW w:w="620" w:type="pct"/>
            <w:vAlign w:val="center"/>
          </w:tcPr>
          <w:p w14:paraId="00134CAE">
            <w:pPr>
              <w:spacing w:line="240" w:lineRule="auto"/>
              <w:ind w:firstLine="0" w:firstLineChars="0"/>
              <w:jc w:val="center"/>
              <w:rPr>
                <w:color w:val="auto"/>
                <w:kern w:val="0"/>
                <w:sz w:val="21"/>
                <w:szCs w:val="21"/>
              </w:rPr>
            </w:pPr>
            <w:r>
              <w:rPr>
                <w:color w:val="auto"/>
                <w:kern w:val="0"/>
                <w:sz w:val="21"/>
                <w:szCs w:val="21"/>
              </w:rPr>
              <w:t>表层</w:t>
            </w:r>
          </w:p>
        </w:tc>
        <w:tc>
          <w:tcPr>
            <w:tcW w:w="620" w:type="pct"/>
            <w:vAlign w:val="center"/>
          </w:tcPr>
          <w:p w14:paraId="7F7154AC">
            <w:pPr>
              <w:spacing w:line="240" w:lineRule="auto"/>
              <w:ind w:firstLine="0" w:firstLineChars="0"/>
              <w:jc w:val="center"/>
              <w:rPr>
                <w:color w:val="auto"/>
                <w:kern w:val="0"/>
                <w:sz w:val="21"/>
                <w:szCs w:val="21"/>
              </w:rPr>
            </w:pPr>
          </w:p>
        </w:tc>
        <w:tc>
          <w:tcPr>
            <w:tcW w:w="624" w:type="pct"/>
            <w:vAlign w:val="center"/>
          </w:tcPr>
          <w:p w14:paraId="39CA43CC">
            <w:pPr>
              <w:spacing w:line="240" w:lineRule="auto"/>
              <w:ind w:firstLine="0" w:firstLineChars="0"/>
              <w:jc w:val="center"/>
              <w:rPr>
                <w:color w:val="auto"/>
                <w:kern w:val="0"/>
                <w:sz w:val="21"/>
                <w:szCs w:val="21"/>
              </w:rPr>
            </w:pPr>
          </w:p>
        </w:tc>
        <w:tc>
          <w:tcPr>
            <w:tcW w:w="631" w:type="pct"/>
            <w:vAlign w:val="center"/>
          </w:tcPr>
          <w:p w14:paraId="1F97AD39">
            <w:pPr>
              <w:spacing w:line="240" w:lineRule="auto"/>
              <w:ind w:firstLine="0" w:firstLineChars="0"/>
              <w:jc w:val="center"/>
              <w:rPr>
                <w:color w:val="auto"/>
                <w:kern w:val="0"/>
                <w:sz w:val="21"/>
                <w:szCs w:val="21"/>
              </w:rPr>
            </w:pPr>
          </w:p>
        </w:tc>
        <w:tc>
          <w:tcPr>
            <w:tcW w:w="620" w:type="pct"/>
            <w:vAlign w:val="center"/>
          </w:tcPr>
          <w:p w14:paraId="18DD1B75">
            <w:pPr>
              <w:spacing w:line="240" w:lineRule="auto"/>
              <w:ind w:firstLine="0" w:firstLineChars="0"/>
              <w:jc w:val="center"/>
              <w:rPr>
                <w:color w:val="auto"/>
                <w:kern w:val="0"/>
                <w:sz w:val="21"/>
                <w:szCs w:val="21"/>
              </w:rPr>
            </w:pPr>
          </w:p>
        </w:tc>
        <w:tc>
          <w:tcPr>
            <w:tcW w:w="621" w:type="pct"/>
            <w:vAlign w:val="center"/>
          </w:tcPr>
          <w:p w14:paraId="7573105F">
            <w:pPr>
              <w:spacing w:line="240" w:lineRule="auto"/>
              <w:ind w:firstLine="0" w:firstLineChars="0"/>
              <w:jc w:val="center"/>
              <w:rPr>
                <w:color w:val="auto"/>
                <w:kern w:val="0"/>
                <w:sz w:val="21"/>
                <w:szCs w:val="21"/>
              </w:rPr>
            </w:pPr>
          </w:p>
        </w:tc>
        <w:tc>
          <w:tcPr>
            <w:tcW w:w="638" w:type="pct"/>
            <w:vAlign w:val="center"/>
          </w:tcPr>
          <w:p w14:paraId="5A48078B">
            <w:pPr>
              <w:spacing w:line="240" w:lineRule="auto"/>
              <w:ind w:firstLine="0" w:firstLineChars="0"/>
              <w:jc w:val="center"/>
              <w:rPr>
                <w:color w:val="auto"/>
                <w:kern w:val="0"/>
                <w:sz w:val="21"/>
                <w:szCs w:val="21"/>
              </w:rPr>
            </w:pPr>
          </w:p>
        </w:tc>
      </w:tr>
      <w:tr w14:paraId="44E01B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405DD8D8">
            <w:pPr>
              <w:spacing w:line="240" w:lineRule="auto"/>
              <w:ind w:firstLine="0" w:firstLineChars="0"/>
              <w:jc w:val="center"/>
              <w:rPr>
                <w:color w:val="auto"/>
                <w:kern w:val="0"/>
                <w:sz w:val="21"/>
                <w:szCs w:val="21"/>
              </w:rPr>
            </w:pPr>
          </w:p>
        </w:tc>
        <w:tc>
          <w:tcPr>
            <w:tcW w:w="620" w:type="pct"/>
            <w:vAlign w:val="center"/>
          </w:tcPr>
          <w:p w14:paraId="6B54A8F6">
            <w:pPr>
              <w:spacing w:line="240" w:lineRule="auto"/>
              <w:ind w:firstLine="0" w:firstLineChars="0"/>
              <w:jc w:val="center"/>
              <w:rPr>
                <w:color w:val="auto"/>
                <w:kern w:val="0"/>
                <w:sz w:val="21"/>
                <w:szCs w:val="21"/>
              </w:rPr>
            </w:pPr>
            <w:r>
              <w:rPr>
                <w:color w:val="auto"/>
                <w:kern w:val="0"/>
                <w:sz w:val="21"/>
                <w:szCs w:val="21"/>
              </w:rPr>
              <w:t>0.6H</w:t>
            </w:r>
          </w:p>
        </w:tc>
        <w:tc>
          <w:tcPr>
            <w:tcW w:w="620" w:type="pct"/>
            <w:vAlign w:val="center"/>
          </w:tcPr>
          <w:p w14:paraId="29E2E50C">
            <w:pPr>
              <w:spacing w:line="240" w:lineRule="auto"/>
              <w:ind w:firstLine="0" w:firstLineChars="0"/>
              <w:jc w:val="center"/>
              <w:rPr>
                <w:color w:val="auto"/>
                <w:kern w:val="0"/>
                <w:sz w:val="21"/>
                <w:szCs w:val="21"/>
              </w:rPr>
            </w:pPr>
          </w:p>
        </w:tc>
        <w:tc>
          <w:tcPr>
            <w:tcW w:w="624" w:type="pct"/>
            <w:vAlign w:val="center"/>
          </w:tcPr>
          <w:p w14:paraId="0079C49F">
            <w:pPr>
              <w:spacing w:line="240" w:lineRule="auto"/>
              <w:ind w:firstLine="0" w:firstLineChars="0"/>
              <w:jc w:val="center"/>
              <w:rPr>
                <w:color w:val="auto"/>
                <w:kern w:val="0"/>
                <w:sz w:val="21"/>
                <w:szCs w:val="21"/>
              </w:rPr>
            </w:pPr>
          </w:p>
        </w:tc>
        <w:tc>
          <w:tcPr>
            <w:tcW w:w="631" w:type="pct"/>
            <w:vAlign w:val="center"/>
          </w:tcPr>
          <w:p w14:paraId="5A78B145">
            <w:pPr>
              <w:spacing w:line="240" w:lineRule="auto"/>
              <w:ind w:firstLine="0" w:firstLineChars="0"/>
              <w:jc w:val="center"/>
              <w:rPr>
                <w:color w:val="auto"/>
                <w:kern w:val="0"/>
                <w:sz w:val="21"/>
                <w:szCs w:val="21"/>
              </w:rPr>
            </w:pPr>
          </w:p>
        </w:tc>
        <w:tc>
          <w:tcPr>
            <w:tcW w:w="620" w:type="pct"/>
            <w:vAlign w:val="center"/>
          </w:tcPr>
          <w:p w14:paraId="63359608">
            <w:pPr>
              <w:spacing w:line="240" w:lineRule="auto"/>
              <w:ind w:firstLine="0" w:firstLineChars="0"/>
              <w:jc w:val="center"/>
              <w:rPr>
                <w:color w:val="auto"/>
                <w:kern w:val="0"/>
                <w:sz w:val="21"/>
                <w:szCs w:val="21"/>
              </w:rPr>
            </w:pPr>
          </w:p>
        </w:tc>
        <w:tc>
          <w:tcPr>
            <w:tcW w:w="621" w:type="pct"/>
            <w:vAlign w:val="center"/>
          </w:tcPr>
          <w:p w14:paraId="19C9A0C7">
            <w:pPr>
              <w:spacing w:line="240" w:lineRule="auto"/>
              <w:ind w:firstLine="0" w:firstLineChars="0"/>
              <w:jc w:val="center"/>
              <w:rPr>
                <w:color w:val="auto"/>
                <w:kern w:val="0"/>
                <w:sz w:val="21"/>
                <w:szCs w:val="21"/>
              </w:rPr>
            </w:pPr>
          </w:p>
        </w:tc>
        <w:tc>
          <w:tcPr>
            <w:tcW w:w="638" w:type="pct"/>
            <w:vAlign w:val="center"/>
          </w:tcPr>
          <w:p w14:paraId="6729AD09">
            <w:pPr>
              <w:spacing w:line="240" w:lineRule="auto"/>
              <w:ind w:firstLine="0" w:firstLineChars="0"/>
              <w:jc w:val="center"/>
              <w:rPr>
                <w:color w:val="auto"/>
                <w:kern w:val="0"/>
                <w:sz w:val="21"/>
                <w:szCs w:val="21"/>
              </w:rPr>
            </w:pPr>
          </w:p>
        </w:tc>
      </w:tr>
      <w:tr w14:paraId="001359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continue"/>
            <w:vAlign w:val="center"/>
          </w:tcPr>
          <w:p w14:paraId="649344F1">
            <w:pPr>
              <w:spacing w:line="240" w:lineRule="auto"/>
              <w:ind w:firstLine="0" w:firstLineChars="0"/>
              <w:jc w:val="center"/>
              <w:rPr>
                <w:color w:val="auto"/>
                <w:kern w:val="0"/>
                <w:sz w:val="21"/>
                <w:szCs w:val="21"/>
              </w:rPr>
            </w:pPr>
          </w:p>
        </w:tc>
        <w:tc>
          <w:tcPr>
            <w:tcW w:w="620" w:type="pct"/>
            <w:vAlign w:val="center"/>
          </w:tcPr>
          <w:p w14:paraId="00C8C41F">
            <w:pPr>
              <w:spacing w:line="240" w:lineRule="auto"/>
              <w:ind w:firstLine="0" w:firstLineChars="0"/>
              <w:jc w:val="center"/>
              <w:rPr>
                <w:color w:val="auto"/>
                <w:kern w:val="0"/>
                <w:sz w:val="21"/>
                <w:szCs w:val="21"/>
              </w:rPr>
            </w:pPr>
            <w:r>
              <w:rPr>
                <w:color w:val="auto"/>
                <w:kern w:val="0"/>
                <w:sz w:val="21"/>
                <w:szCs w:val="21"/>
              </w:rPr>
              <w:t>底层</w:t>
            </w:r>
          </w:p>
        </w:tc>
        <w:tc>
          <w:tcPr>
            <w:tcW w:w="620" w:type="pct"/>
            <w:vAlign w:val="center"/>
          </w:tcPr>
          <w:p w14:paraId="31188253">
            <w:pPr>
              <w:spacing w:line="240" w:lineRule="auto"/>
              <w:ind w:firstLine="0" w:firstLineChars="0"/>
              <w:jc w:val="center"/>
              <w:rPr>
                <w:color w:val="auto"/>
                <w:kern w:val="0"/>
                <w:sz w:val="21"/>
                <w:szCs w:val="21"/>
              </w:rPr>
            </w:pPr>
          </w:p>
        </w:tc>
        <w:tc>
          <w:tcPr>
            <w:tcW w:w="624" w:type="pct"/>
            <w:vAlign w:val="center"/>
          </w:tcPr>
          <w:p w14:paraId="144C7250">
            <w:pPr>
              <w:spacing w:line="240" w:lineRule="auto"/>
              <w:ind w:firstLine="0" w:firstLineChars="0"/>
              <w:jc w:val="center"/>
              <w:rPr>
                <w:color w:val="auto"/>
                <w:kern w:val="0"/>
                <w:sz w:val="21"/>
                <w:szCs w:val="21"/>
              </w:rPr>
            </w:pPr>
          </w:p>
        </w:tc>
        <w:tc>
          <w:tcPr>
            <w:tcW w:w="631" w:type="pct"/>
            <w:vAlign w:val="center"/>
          </w:tcPr>
          <w:p w14:paraId="53CA22F7">
            <w:pPr>
              <w:spacing w:line="240" w:lineRule="auto"/>
              <w:ind w:firstLine="0" w:firstLineChars="0"/>
              <w:jc w:val="center"/>
              <w:rPr>
                <w:color w:val="auto"/>
                <w:kern w:val="0"/>
                <w:sz w:val="21"/>
                <w:szCs w:val="21"/>
              </w:rPr>
            </w:pPr>
          </w:p>
        </w:tc>
        <w:tc>
          <w:tcPr>
            <w:tcW w:w="620" w:type="pct"/>
            <w:vAlign w:val="center"/>
          </w:tcPr>
          <w:p w14:paraId="0CAC5342">
            <w:pPr>
              <w:spacing w:line="240" w:lineRule="auto"/>
              <w:ind w:firstLine="0" w:firstLineChars="0"/>
              <w:jc w:val="center"/>
              <w:rPr>
                <w:color w:val="auto"/>
                <w:kern w:val="0"/>
                <w:sz w:val="21"/>
                <w:szCs w:val="21"/>
              </w:rPr>
            </w:pPr>
          </w:p>
        </w:tc>
        <w:tc>
          <w:tcPr>
            <w:tcW w:w="621" w:type="pct"/>
            <w:vAlign w:val="center"/>
          </w:tcPr>
          <w:p w14:paraId="4A02CDF6">
            <w:pPr>
              <w:spacing w:line="240" w:lineRule="auto"/>
              <w:ind w:firstLine="0" w:firstLineChars="0"/>
              <w:jc w:val="center"/>
              <w:rPr>
                <w:color w:val="auto"/>
                <w:kern w:val="0"/>
                <w:sz w:val="21"/>
                <w:szCs w:val="21"/>
              </w:rPr>
            </w:pPr>
          </w:p>
        </w:tc>
        <w:tc>
          <w:tcPr>
            <w:tcW w:w="638" w:type="pct"/>
            <w:vAlign w:val="center"/>
          </w:tcPr>
          <w:p w14:paraId="68A43F0A">
            <w:pPr>
              <w:spacing w:line="240" w:lineRule="auto"/>
              <w:ind w:firstLine="0" w:firstLineChars="0"/>
              <w:jc w:val="center"/>
              <w:rPr>
                <w:color w:val="auto"/>
                <w:kern w:val="0"/>
                <w:sz w:val="21"/>
                <w:szCs w:val="21"/>
              </w:rPr>
            </w:pPr>
          </w:p>
        </w:tc>
      </w:tr>
      <w:tr w14:paraId="46A0B8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7" w:hRule="atLeast"/>
          <w:jc w:val="center"/>
        </w:trPr>
        <w:tc>
          <w:tcPr>
            <w:tcW w:w="622" w:type="pct"/>
            <w:vMerge w:val="continue"/>
            <w:vAlign w:val="center"/>
          </w:tcPr>
          <w:p w14:paraId="01566DD8">
            <w:pPr>
              <w:spacing w:line="240" w:lineRule="auto"/>
              <w:ind w:firstLine="0" w:firstLineChars="0"/>
              <w:jc w:val="center"/>
              <w:rPr>
                <w:color w:val="auto"/>
                <w:kern w:val="0"/>
                <w:sz w:val="21"/>
                <w:szCs w:val="21"/>
              </w:rPr>
            </w:pPr>
          </w:p>
        </w:tc>
        <w:tc>
          <w:tcPr>
            <w:tcW w:w="620" w:type="pct"/>
            <w:vAlign w:val="center"/>
          </w:tcPr>
          <w:p w14:paraId="6BC09CC8">
            <w:pPr>
              <w:spacing w:line="240" w:lineRule="auto"/>
              <w:ind w:firstLine="0" w:firstLineChars="0"/>
              <w:jc w:val="center"/>
              <w:rPr>
                <w:color w:val="auto"/>
                <w:kern w:val="0"/>
                <w:sz w:val="21"/>
                <w:szCs w:val="21"/>
              </w:rPr>
            </w:pPr>
            <w:r>
              <w:rPr>
                <w:color w:val="auto"/>
                <w:kern w:val="0"/>
                <w:sz w:val="21"/>
                <w:szCs w:val="21"/>
              </w:rPr>
              <w:t>垂线</w:t>
            </w:r>
          </w:p>
        </w:tc>
        <w:tc>
          <w:tcPr>
            <w:tcW w:w="620" w:type="pct"/>
            <w:vAlign w:val="center"/>
          </w:tcPr>
          <w:p w14:paraId="574B9DAF">
            <w:pPr>
              <w:spacing w:line="240" w:lineRule="auto"/>
              <w:ind w:firstLine="0" w:firstLineChars="0"/>
              <w:jc w:val="center"/>
              <w:rPr>
                <w:color w:val="auto"/>
                <w:kern w:val="0"/>
                <w:sz w:val="21"/>
                <w:szCs w:val="21"/>
              </w:rPr>
            </w:pPr>
          </w:p>
        </w:tc>
        <w:tc>
          <w:tcPr>
            <w:tcW w:w="624" w:type="pct"/>
            <w:vAlign w:val="center"/>
          </w:tcPr>
          <w:p w14:paraId="0AED1693">
            <w:pPr>
              <w:spacing w:line="240" w:lineRule="auto"/>
              <w:ind w:firstLine="0" w:firstLineChars="0"/>
              <w:jc w:val="center"/>
              <w:rPr>
                <w:color w:val="auto"/>
                <w:kern w:val="0"/>
                <w:sz w:val="21"/>
                <w:szCs w:val="21"/>
              </w:rPr>
            </w:pPr>
          </w:p>
        </w:tc>
        <w:tc>
          <w:tcPr>
            <w:tcW w:w="631" w:type="pct"/>
            <w:vAlign w:val="center"/>
          </w:tcPr>
          <w:p w14:paraId="4487AA44">
            <w:pPr>
              <w:spacing w:line="240" w:lineRule="auto"/>
              <w:ind w:firstLine="0" w:firstLineChars="0"/>
              <w:jc w:val="center"/>
              <w:rPr>
                <w:color w:val="auto"/>
                <w:kern w:val="0"/>
                <w:sz w:val="21"/>
                <w:szCs w:val="21"/>
              </w:rPr>
            </w:pPr>
          </w:p>
        </w:tc>
        <w:tc>
          <w:tcPr>
            <w:tcW w:w="620" w:type="pct"/>
            <w:vAlign w:val="center"/>
          </w:tcPr>
          <w:p w14:paraId="239BDAA1">
            <w:pPr>
              <w:spacing w:line="240" w:lineRule="auto"/>
              <w:ind w:firstLine="0" w:firstLineChars="0"/>
              <w:jc w:val="center"/>
              <w:rPr>
                <w:color w:val="auto"/>
                <w:kern w:val="0"/>
                <w:sz w:val="21"/>
                <w:szCs w:val="21"/>
              </w:rPr>
            </w:pPr>
          </w:p>
        </w:tc>
        <w:tc>
          <w:tcPr>
            <w:tcW w:w="621" w:type="pct"/>
            <w:vAlign w:val="center"/>
          </w:tcPr>
          <w:p w14:paraId="2D1F29DB">
            <w:pPr>
              <w:spacing w:line="240" w:lineRule="auto"/>
              <w:ind w:firstLine="0" w:firstLineChars="0"/>
              <w:jc w:val="center"/>
              <w:rPr>
                <w:color w:val="auto"/>
                <w:kern w:val="0"/>
                <w:sz w:val="21"/>
                <w:szCs w:val="21"/>
              </w:rPr>
            </w:pPr>
          </w:p>
        </w:tc>
        <w:tc>
          <w:tcPr>
            <w:tcW w:w="638" w:type="pct"/>
            <w:vAlign w:val="center"/>
          </w:tcPr>
          <w:p w14:paraId="1F958875">
            <w:pPr>
              <w:spacing w:line="240" w:lineRule="auto"/>
              <w:ind w:firstLine="0" w:firstLineChars="0"/>
              <w:jc w:val="center"/>
              <w:rPr>
                <w:color w:val="auto"/>
                <w:kern w:val="0"/>
                <w:sz w:val="21"/>
                <w:szCs w:val="21"/>
              </w:rPr>
            </w:pPr>
          </w:p>
        </w:tc>
      </w:tr>
      <w:tr w14:paraId="72CA78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restart"/>
            <w:vAlign w:val="center"/>
          </w:tcPr>
          <w:p w14:paraId="1ED0628D">
            <w:pPr>
              <w:spacing w:line="240" w:lineRule="auto"/>
              <w:ind w:firstLine="0" w:firstLineChars="0"/>
              <w:jc w:val="center"/>
              <w:rPr>
                <w:color w:val="auto"/>
                <w:kern w:val="0"/>
                <w:sz w:val="21"/>
                <w:szCs w:val="21"/>
              </w:rPr>
            </w:pPr>
            <w:r>
              <w:rPr>
                <w:color w:val="auto"/>
                <w:kern w:val="0"/>
                <w:sz w:val="21"/>
                <w:szCs w:val="21"/>
              </w:rPr>
              <w:t>V7</w:t>
            </w:r>
          </w:p>
        </w:tc>
        <w:tc>
          <w:tcPr>
            <w:tcW w:w="620" w:type="pct"/>
            <w:vAlign w:val="center"/>
          </w:tcPr>
          <w:p w14:paraId="3B61881A">
            <w:pPr>
              <w:spacing w:line="240" w:lineRule="auto"/>
              <w:ind w:firstLine="0" w:firstLineChars="0"/>
              <w:jc w:val="center"/>
              <w:rPr>
                <w:color w:val="auto"/>
                <w:kern w:val="0"/>
                <w:sz w:val="21"/>
                <w:szCs w:val="21"/>
              </w:rPr>
            </w:pPr>
            <w:r>
              <w:rPr>
                <w:color w:val="auto"/>
                <w:kern w:val="0"/>
                <w:sz w:val="21"/>
                <w:szCs w:val="21"/>
              </w:rPr>
              <w:t>表层</w:t>
            </w:r>
          </w:p>
        </w:tc>
        <w:tc>
          <w:tcPr>
            <w:tcW w:w="620" w:type="pct"/>
            <w:vAlign w:val="center"/>
          </w:tcPr>
          <w:p w14:paraId="27AF0EDC">
            <w:pPr>
              <w:spacing w:line="240" w:lineRule="auto"/>
              <w:ind w:firstLine="0" w:firstLineChars="0"/>
              <w:jc w:val="center"/>
              <w:rPr>
                <w:color w:val="auto"/>
                <w:kern w:val="0"/>
                <w:sz w:val="21"/>
                <w:szCs w:val="21"/>
              </w:rPr>
            </w:pPr>
          </w:p>
        </w:tc>
        <w:tc>
          <w:tcPr>
            <w:tcW w:w="624" w:type="pct"/>
            <w:vAlign w:val="center"/>
          </w:tcPr>
          <w:p w14:paraId="01D9D75B">
            <w:pPr>
              <w:spacing w:line="240" w:lineRule="auto"/>
              <w:ind w:firstLine="0" w:firstLineChars="0"/>
              <w:jc w:val="center"/>
              <w:rPr>
                <w:color w:val="auto"/>
                <w:kern w:val="0"/>
                <w:sz w:val="21"/>
                <w:szCs w:val="21"/>
              </w:rPr>
            </w:pPr>
          </w:p>
        </w:tc>
        <w:tc>
          <w:tcPr>
            <w:tcW w:w="631" w:type="pct"/>
            <w:vAlign w:val="center"/>
          </w:tcPr>
          <w:p w14:paraId="1D2771D6">
            <w:pPr>
              <w:spacing w:line="240" w:lineRule="auto"/>
              <w:ind w:firstLine="0" w:firstLineChars="0"/>
              <w:jc w:val="center"/>
              <w:rPr>
                <w:color w:val="auto"/>
                <w:kern w:val="0"/>
                <w:sz w:val="21"/>
                <w:szCs w:val="21"/>
              </w:rPr>
            </w:pPr>
          </w:p>
        </w:tc>
        <w:tc>
          <w:tcPr>
            <w:tcW w:w="620" w:type="pct"/>
            <w:vAlign w:val="center"/>
          </w:tcPr>
          <w:p w14:paraId="0D46E5EE">
            <w:pPr>
              <w:spacing w:line="240" w:lineRule="auto"/>
              <w:ind w:firstLine="0" w:firstLineChars="0"/>
              <w:jc w:val="center"/>
              <w:rPr>
                <w:color w:val="auto"/>
                <w:kern w:val="0"/>
                <w:sz w:val="21"/>
                <w:szCs w:val="21"/>
              </w:rPr>
            </w:pPr>
          </w:p>
        </w:tc>
        <w:tc>
          <w:tcPr>
            <w:tcW w:w="621" w:type="pct"/>
            <w:vAlign w:val="center"/>
          </w:tcPr>
          <w:p w14:paraId="73EF9501">
            <w:pPr>
              <w:spacing w:line="240" w:lineRule="auto"/>
              <w:ind w:firstLine="0" w:firstLineChars="0"/>
              <w:jc w:val="center"/>
              <w:rPr>
                <w:color w:val="auto"/>
                <w:kern w:val="0"/>
                <w:sz w:val="21"/>
                <w:szCs w:val="21"/>
              </w:rPr>
            </w:pPr>
          </w:p>
        </w:tc>
        <w:tc>
          <w:tcPr>
            <w:tcW w:w="638" w:type="pct"/>
            <w:vAlign w:val="center"/>
          </w:tcPr>
          <w:p w14:paraId="49343462">
            <w:pPr>
              <w:spacing w:line="240" w:lineRule="auto"/>
              <w:ind w:firstLine="0" w:firstLineChars="0"/>
              <w:jc w:val="center"/>
              <w:rPr>
                <w:color w:val="auto"/>
                <w:kern w:val="0"/>
                <w:sz w:val="21"/>
                <w:szCs w:val="21"/>
              </w:rPr>
            </w:pPr>
          </w:p>
        </w:tc>
      </w:tr>
      <w:tr w14:paraId="2EC32C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continue"/>
            <w:vAlign w:val="center"/>
          </w:tcPr>
          <w:p w14:paraId="5C7EC695">
            <w:pPr>
              <w:spacing w:line="240" w:lineRule="auto"/>
              <w:ind w:firstLine="0" w:firstLineChars="0"/>
              <w:jc w:val="center"/>
              <w:rPr>
                <w:color w:val="auto"/>
                <w:kern w:val="0"/>
                <w:sz w:val="21"/>
                <w:szCs w:val="21"/>
              </w:rPr>
            </w:pPr>
          </w:p>
        </w:tc>
        <w:tc>
          <w:tcPr>
            <w:tcW w:w="620" w:type="pct"/>
            <w:vAlign w:val="center"/>
          </w:tcPr>
          <w:p w14:paraId="06951F91">
            <w:pPr>
              <w:spacing w:line="240" w:lineRule="auto"/>
              <w:ind w:firstLine="0" w:firstLineChars="0"/>
              <w:jc w:val="center"/>
              <w:rPr>
                <w:color w:val="auto"/>
                <w:kern w:val="0"/>
                <w:sz w:val="21"/>
                <w:szCs w:val="21"/>
              </w:rPr>
            </w:pPr>
            <w:r>
              <w:rPr>
                <w:color w:val="auto"/>
                <w:kern w:val="0"/>
                <w:sz w:val="21"/>
                <w:szCs w:val="21"/>
              </w:rPr>
              <w:t>0.2H</w:t>
            </w:r>
          </w:p>
        </w:tc>
        <w:tc>
          <w:tcPr>
            <w:tcW w:w="620" w:type="pct"/>
            <w:vAlign w:val="center"/>
          </w:tcPr>
          <w:p w14:paraId="21E8C48F">
            <w:pPr>
              <w:spacing w:line="240" w:lineRule="auto"/>
              <w:ind w:firstLine="0" w:firstLineChars="0"/>
              <w:jc w:val="center"/>
              <w:rPr>
                <w:color w:val="auto"/>
                <w:kern w:val="0"/>
                <w:sz w:val="21"/>
                <w:szCs w:val="21"/>
              </w:rPr>
            </w:pPr>
          </w:p>
        </w:tc>
        <w:tc>
          <w:tcPr>
            <w:tcW w:w="624" w:type="pct"/>
            <w:vAlign w:val="center"/>
          </w:tcPr>
          <w:p w14:paraId="79C97557">
            <w:pPr>
              <w:spacing w:line="240" w:lineRule="auto"/>
              <w:ind w:firstLine="0" w:firstLineChars="0"/>
              <w:jc w:val="center"/>
              <w:rPr>
                <w:color w:val="auto"/>
                <w:kern w:val="0"/>
                <w:sz w:val="21"/>
                <w:szCs w:val="21"/>
              </w:rPr>
            </w:pPr>
          </w:p>
        </w:tc>
        <w:tc>
          <w:tcPr>
            <w:tcW w:w="631" w:type="pct"/>
            <w:vAlign w:val="center"/>
          </w:tcPr>
          <w:p w14:paraId="40A7912D">
            <w:pPr>
              <w:spacing w:line="240" w:lineRule="auto"/>
              <w:ind w:firstLine="0" w:firstLineChars="0"/>
              <w:jc w:val="center"/>
              <w:rPr>
                <w:color w:val="auto"/>
                <w:kern w:val="0"/>
                <w:sz w:val="21"/>
                <w:szCs w:val="21"/>
              </w:rPr>
            </w:pPr>
          </w:p>
        </w:tc>
        <w:tc>
          <w:tcPr>
            <w:tcW w:w="620" w:type="pct"/>
            <w:vAlign w:val="center"/>
          </w:tcPr>
          <w:p w14:paraId="77794DE0">
            <w:pPr>
              <w:spacing w:line="240" w:lineRule="auto"/>
              <w:ind w:firstLine="0" w:firstLineChars="0"/>
              <w:jc w:val="center"/>
              <w:rPr>
                <w:color w:val="auto"/>
                <w:kern w:val="0"/>
                <w:sz w:val="21"/>
                <w:szCs w:val="21"/>
              </w:rPr>
            </w:pPr>
          </w:p>
        </w:tc>
        <w:tc>
          <w:tcPr>
            <w:tcW w:w="621" w:type="pct"/>
            <w:vAlign w:val="center"/>
          </w:tcPr>
          <w:p w14:paraId="03AD851D">
            <w:pPr>
              <w:spacing w:line="240" w:lineRule="auto"/>
              <w:ind w:firstLine="0" w:firstLineChars="0"/>
              <w:jc w:val="center"/>
              <w:rPr>
                <w:color w:val="auto"/>
                <w:kern w:val="0"/>
                <w:sz w:val="21"/>
                <w:szCs w:val="21"/>
              </w:rPr>
            </w:pPr>
          </w:p>
        </w:tc>
        <w:tc>
          <w:tcPr>
            <w:tcW w:w="638" w:type="pct"/>
            <w:vAlign w:val="center"/>
          </w:tcPr>
          <w:p w14:paraId="32D84B07">
            <w:pPr>
              <w:spacing w:line="240" w:lineRule="auto"/>
              <w:ind w:firstLine="0" w:firstLineChars="0"/>
              <w:jc w:val="center"/>
              <w:rPr>
                <w:color w:val="auto"/>
                <w:kern w:val="0"/>
                <w:sz w:val="21"/>
                <w:szCs w:val="21"/>
              </w:rPr>
            </w:pPr>
          </w:p>
        </w:tc>
      </w:tr>
      <w:tr w14:paraId="399C28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109A8579">
            <w:pPr>
              <w:spacing w:line="240" w:lineRule="auto"/>
              <w:ind w:firstLine="0" w:firstLineChars="0"/>
              <w:jc w:val="center"/>
              <w:rPr>
                <w:color w:val="auto"/>
                <w:kern w:val="0"/>
                <w:sz w:val="21"/>
                <w:szCs w:val="21"/>
              </w:rPr>
            </w:pPr>
          </w:p>
        </w:tc>
        <w:tc>
          <w:tcPr>
            <w:tcW w:w="620" w:type="pct"/>
            <w:vAlign w:val="center"/>
          </w:tcPr>
          <w:p w14:paraId="12FF33FF">
            <w:pPr>
              <w:spacing w:line="240" w:lineRule="auto"/>
              <w:ind w:firstLine="0" w:firstLineChars="0"/>
              <w:jc w:val="center"/>
              <w:rPr>
                <w:color w:val="auto"/>
                <w:kern w:val="0"/>
                <w:sz w:val="21"/>
                <w:szCs w:val="21"/>
              </w:rPr>
            </w:pPr>
            <w:r>
              <w:rPr>
                <w:color w:val="auto"/>
                <w:kern w:val="0"/>
                <w:sz w:val="21"/>
                <w:szCs w:val="21"/>
              </w:rPr>
              <w:t>0.4H</w:t>
            </w:r>
          </w:p>
        </w:tc>
        <w:tc>
          <w:tcPr>
            <w:tcW w:w="620" w:type="pct"/>
            <w:vAlign w:val="center"/>
          </w:tcPr>
          <w:p w14:paraId="637A8A96">
            <w:pPr>
              <w:spacing w:line="240" w:lineRule="auto"/>
              <w:ind w:firstLine="0" w:firstLineChars="0"/>
              <w:jc w:val="center"/>
              <w:rPr>
                <w:color w:val="auto"/>
                <w:kern w:val="0"/>
                <w:sz w:val="21"/>
                <w:szCs w:val="21"/>
              </w:rPr>
            </w:pPr>
          </w:p>
        </w:tc>
        <w:tc>
          <w:tcPr>
            <w:tcW w:w="624" w:type="pct"/>
            <w:vAlign w:val="center"/>
          </w:tcPr>
          <w:p w14:paraId="6F238B3C">
            <w:pPr>
              <w:spacing w:line="240" w:lineRule="auto"/>
              <w:ind w:firstLine="0" w:firstLineChars="0"/>
              <w:jc w:val="center"/>
              <w:rPr>
                <w:color w:val="auto"/>
                <w:kern w:val="0"/>
                <w:sz w:val="21"/>
                <w:szCs w:val="21"/>
              </w:rPr>
            </w:pPr>
          </w:p>
        </w:tc>
        <w:tc>
          <w:tcPr>
            <w:tcW w:w="631" w:type="pct"/>
            <w:vAlign w:val="center"/>
          </w:tcPr>
          <w:p w14:paraId="41A16878">
            <w:pPr>
              <w:spacing w:line="240" w:lineRule="auto"/>
              <w:ind w:firstLine="0" w:firstLineChars="0"/>
              <w:jc w:val="center"/>
              <w:rPr>
                <w:color w:val="auto"/>
                <w:kern w:val="0"/>
                <w:sz w:val="21"/>
                <w:szCs w:val="21"/>
              </w:rPr>
            </w:pPr>
          </w:p>
        </w:tc>
        <w:tc>
          <w:tcPr>
            <w:tcW w:w="620" w:type="pct"/>
            <w:vAlign w:val="center"/>
          </w:tcPr>
          <w:p w14:paraId="68319E2E">
            <w:pPr>
              <w:spacing w:line="240" w:lineRule="auto"/>
              <w:ind w:firstLine="0" w:firstLineChars="0"/>
              <w:jc w:val="center"/>
              <w:rPr>
                <w:color w:val="auto"/>
                <w:kern w:val="0"/>
                <w:sz w:val="21"/>
                <w:szCs w:val="21"/>
              </w:rPr>
            </w:pPr>
          </w:p>
        </w:tc>
        <w:tc>
          <w:tcPr>
            <w:tcW w:w="621" w:type="pct"/>
            <w:vAlign w:val="center"/>
          </w:tcPr>
          <w:p w14:paraId="528E3BB4">
            <w:pPr>
              <w:spacing w:line="240" w:lineRule="auto"/>
              <w:ind w:firstLine="0" w:firstLineChars="0"/>
              <w:jc w:val="center"/>
              <w:rPr>
                <w:color w:val="auto"/>
                <w:kern w:val="0"/>
                <w:sz w:val="21"/>
                <w:szCs w:val="21"/>
              </w:rPr>
            </w:pPr>
          </w:p>
        </w:tc>
        <w:tc>
          <w:tcPr>
            <w:tcW w:w="638" w:type="pct"/>
            <w:vAlign w:val="center"/>
          </w:tcPr>
          <w:p w14:paraId="35953EEF">
            <w:pPr>
              <w:spacing w:line="240" w:lineRule="auto"/>
              <w:ind w:firstLine="0" w:firstLineChars="0"/>
              <w:jc w:val="center"/>
              <w:rPr>
                <w:color w:val="auto"/>
                <w:kern w:val="0"/>
                <w:sz w:val="21"/>
                <w:szCs w:val="21"/>
              </w:rPr>
            </w:pPr>
          </w:p>
        </w:tc>
      </w:tr>
      <w:tr w14:paraId="47F109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continue"/>
            <w:vAlign w:val="center"/>
          </w:tcPr>
          <w:p w14:paraId="36D5E902">
            <w:pPr>
              <w:spacing w:line="240" w:lineRule="auto"/>
              <w:ind w:firstLine="0" w:firstLineChars="0"/>
              <w:jc w:val="center"/>
              <w:rPr>
                <w:color w:val="auto"/>
                <w:kern w:val="0"/>
                <w:sz w:val="21"/>
                <w:szCs w:val="21"/>
              </w:rPr>
            </w:pPr>
          </w:p>
        </w:tc>
        <w:tc>
          <w:tcPr>
            <w:tcW w:w="620" w:type="pct"/>
            <w:vAlign w:val="center"/>
          </w:tcPr>
          <w:p w14:paraId="4758D5D5">
            <w:pPr>
              <w:spacing w:line="240" w:lineRule="auto"/>
              <w:ind w:firstLine="0" w:firstLineChars="0"/>
              <w:jc w:val="center"/>
              <w:rPr>
                <w:color w:val="auto"/>
                <w:kern w:val="0"/>
                <w:sz w:val="21"/>
                <w:szCs w:val="21"/>
              </w:rPr>
            </w:pPr>
            <w:r>
              <w:rPr>
                <w:color w:val="auto"/>
                <w:kern w:val="0"/>
                <w:sz w:val="21"/>
                <w:szCs w:val="21"/>
              </w:rPr>
              <w:t>0.6H</w:t>
            </w:r>
          </w:p>
        </w:tc>
        <w:tc>
          <w:tcPr>
            <w:tcW w:w="620" w:type="pct"/>
            <w:vAlign w:val="center"/>
          </w:tcPr>
          <w:p w14:paraId="361019A2">
            <w:pPr>
              <w:spacing w:line="240" w:lineRule="auto"/>
              <w:ind w:firstLine="0" w:firstLineChars="0"/>
              <w:jc w:val="center"/>
              <w:rPr>
                <w:color w:val="auto"/>
                <w:kern w:val="0"/>
                <w:sz w:val="21"/>
                <w:szCs w:val="21"/>
              </w:rPr>
            </w:pPr>
          </w:p>
        </w:tc>
        <w:tc>
          <w:tcPr>
            <w:tcW w:w="624" w:type="pct"/>
            <w:vAlign w:val="center"/>
          </w:tcPr>
          <w:p w14:paraId="22B419BF">
            <w:pPr>
              <w:spacing w:line="240" w:lineRule="auto"/>
              <w:ind w:firstLine="0" w:firstLineChars="0"/>
              <w:jc w:val="center"/>
              <w:rPr>
                <w:color w:val="auto"/>
                <w:kern w:val="0"/>
                <w:sz w:val="21"/>
                <w:szCs w:val="21"/>
              </w:rPr>
            </w:pPr>
          </w:p>
        </w:tc>
        <w:tc>
          <w:tcPr>
            <w:tcW w:w="631" w:type="pct"/>
            <w:vAlign w:val="center"/>
          </w:tcPr>
          <w:p w14:paraId="724C6935">
            <w:pPr>
              <w:spacing w:line="240" w:lineRule="auto"/>
              <w:ind w:firstLine="0" w:firstLineChars="0"/>
              <w:jc w:val="center"/>
              <w:rPr>
                <w:color w:val="auto"/>
                <w:kern w:val="0"/>
                <w:sz w:val="21"/>
                <w:szCs w:val="21"/>
              </w:rPr>
            </w:pPr>
          </w:p>
        </w:tc>
        <w:tc>
          <w:tcPr>
            <w:tcW w:w="620" w:type="pct"/>
            <w:vAlign w:val="center"/>
          </w:tcPr>
          <w:p w14:paraId="786D18A0">
            <w:pPr>
              <w:spacing w:line="240" w:lineRule="auto"/>
              <w:ind w:firstLine="0" w:firstLineChars="0"/>
              <w:jc w:val="center"/>
              <w:rPr>
                <w:color w:val="auto"/>
                <w:kern w:val="0"/>
                <w:sz w:val="21"/>
                <w:szCs w:val="21"/>
              </w:rPr>
            </w:pPr>
          </w:p>
        </w:tc>
        <w:tc>
          <w:tcPr>
            <w:tcW w:w="621" w:type="pct"/>
            <w:vAlign w:val="center"/>
          </w:tcPr>
          <w:p w14:paraId="0C56B46E">
            <w:pPr>
              <w:spacing w:line="240" w:lineRule="auto"/>
              <w:ind w:firstLine="0" w:firstLineChars="0"/>
              <w:jc w:val="center"/>
              <w:rPr>
                <w:color w:val="auto"/>
                <w:kern w:val="0"/>
                <w:sz w:val="21"/>
                <w:szCs w:val="21"/>
              </w:rPr>
            </w:pPr>
          </w:p>
        </w:tc>
        <w:tc>
          <w:tcPr>
            <w:tcW w:w="638" w:type="pct"/>
            <w:vAlign w:val="center"/>
          </w:tcPr>
          <w:p w14:paraId="75548EA3">
            <w:pPr>
              <w:spacing w:line="240" w:lineRule="auto"/>
              <w:ind w:firstLine="0" w:firstLineChars="0"/>
              <w:jc w:val="center"/>
              <w:rPr>
                <w:color w:val="auto"/>
                <w:kern w:val="0"/>
                <w:sz w:val="21"/>
                <w:szCs w:val="21"/>
              </w:rPr>
            </w:pPr>
          </w:p>
        </w:tc>
      </w:tr>
      <w:tr w14:paraId="1F3772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7" w:hRule="atLeast"/>
          <w:jc w:val="center"/>
        </w:trPr>
        <w:tc>
          <w:tcPr>
            <w:tcW w:w="622" w:type="pct"/>
            <w:vMerge w:val="continue"/>
            <w:vAlign w:val="center"/>
          </w:tcPr>
          <w:p w14:paraId="050B86F6">
            <w:pPr>
              <w:spacing w:line="240" w:lineRule="auto"/>
              <w:ind w:firstLine="0" w:firstLineChars="0"/>
              <w:jc w:val="center"/>
              <w:rPr>
                <w:color w:val="auto"/>
                <w:kern w:val="0"/>
                <w:sz w:val="21"/>
                <w:szCs w:val="21"/>
              </w:rPr>
            </w:pPr>
          </w:p>
        </w:tc>
        <w:tc>
          <w:tcPr>
            <w:tcW w:w="620" w:type="pct"/>
            <w:vAlign w:val="center"/>
          </w:tcPr>
          <w:p w14:paraId="26454F8E">
            <w:pPr>
              <w:spacing w:line="240" w:lineRule="auto"/>
              <w:ind w:firstLine="0" w:firstLineChars="0"/>
              <w:jc w:val="center"/>
              <w:rPr>
                <w:color w:val="auto"/>
                <w:kern w:val="0"/>
                <w:sz w:val="21"/>
                <w:szCs w:val="21"/>
              </w:rPr>
            </w:pPr>
            <w:r>
              <w:rPr>
                <w:color w:val="auto"/>
                <w:kern w:val="0"/>
                <w:sz w:val="21"/>
                <w:szCs w:val="21"/>
              </w:rPr>
              <w:t>0.8H</w:t>
            </w:r>
          </w:p>
        </w:tc>
        <w:tc>
          <w:tcPr>
            <w:tcW w:w="620" w:type="pct"/>
            <w:vAlign w:val="center"/>
          </w:tcPr>
          <w:p w14:paraId="4C09B94D">
            <w:pPr>
              <w:spacing w:line="240" w:lineRule="auto"/>
              <w:ind w:firstLine="0" w:firstLineChars="0"/>
              <w:jc w:val="center"/>
              <w:rPr>
                <w:color w:val="auto"/>
                <w:kern w:val="0"/>
                <w:sz w:val="21"/>
                <w:szCs w:val="21"/>
              </w:rPr>
            </w:pPr>
          </w:p>
        </w:tc>
        <w:tc>
          <w:tcPr>
            <w:tcW w:w="624" w:type="pct"/>
            <w:vAlign w:val="center"/>
          </w:tcPr>
          <w:p w14:paraId="2C169A16">
            <w:pPr>
              <w:spacing w:line="240" w:lineRule="auto"/>
              <w:ind w:firstLine="0" w:firstLineChars="0"/>
              <w:jc w:val="center"/>
              <w:rPr>
                <w:color w:val="auto"/>
                <w:kern w:val="0"/>
                <w:sz w:val="21"/>
                <w:szCs w:val="21"/>
              </w:rPr>
            </w:pPr>
          </w:p>
        </w:tc>
        <w:tc>
          <w:tcPr>
            <w:tcW w:w="631" w:type="pct"/>
            <w:vAlign w:val="center"/>
          </w:tcPr>
          <w:p w14:paraId="7A221308">
            <w:pPr>
              <w:spacing w:line="240" w:lineRule="auto"/>
              <w:ind w:firstLine="0" w:firstLineChars="0"/>
              <w:jc w:val="center"/>
              <w:rPr>
                <w:color w:val="auto"/>
                <w:kern w:val="0"/>
                <w:sz w:val="21"/>
                <w:szCs w:val="21"/>
              </w:rPr>
            </w:pPr>
          </w:p>
        </w:tc>
        <w:tc>
          <w:tcPr>
            <w:tcW w:w="620" w:type="pct"/>
            <w:vAlign w:val="center"/>
          </w:tcPr>
          <w:p w14:paraId="08412055">
            <w:pPr>
              <w:spacing w:line="240" w:lineRule="auto"/>
              <w:ind w:firstLine="0" w:firstLineChars="0"/>
              <w:jc w:val="center"/>
              <w:rPr>
                <w:color w:val="auto"/>
                <w:kern w:val="0"/>
                <w:sz w:val="21"/>
                <w:szCs w:val="21"/>
              </w:rPr>
            </w:pPr>
          </w:p>
        </w:tc>
        <w:tc>
          <w:tcPr>
            <w:tcW w:w="621" w:type="pct"/>
            <w:vAlign w:val="center"/>
          </w:tcPr>
          <w:p w14:paraId="45820B42">
            <w:pPr>
              <w:spacing w:line="240" w:lineRule="auto"/>
              <w:ind w:firstLine="0" w:firstLineChars="0"/>
              <w:jc w:val="center"/>
              <w:rPr>
                <w:color w:val="auto"/>
                <w:kern w:val="0"/>
                <w:sz w:val="21"/>
                <w:szCs w:val="21"/>
              </w:rPr>
            </w:pPr>
          </w:p>
        </w:tc>
        <w:tc>
          <w:tcPr>
            <w:tcW w:w="638" w:type="pct"/>
            <w:vAlign w:val="center"/>
          </w:tcPr>
          <w:p w14:paraId="28F6CD87">
            <w:pPr>
              <w:spacing w:line="240" w:lineRule="auto"/>
              <w:ind w:firstLine="0" w:firstLineChars="0"/>
              <w:jc w:val="center"/>
              <w:rPr>
                <w:color w:val="auto"/>
                <w:kern w:val="0"/>
                <w:sz w:val="21"/>
                <w:szCs w:val="21"/>
              </w:rPr>
            </w:pPr>
          </w:p>
        </w:tc>
      </w:tr>
      <w:tr w14:paraId="099CE4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2D3A5797">
            <w:pPr>
              <w:spacing w:line="240" w:lineRule="auto"/>
              <w:ind w:firstLine="0" w:firstLineChars="0"/>
              <w:jc w:val="center"/>
              <w:rPr>
                <w:color w:val="auto"/>
                <w:kern w:val="0"/>
                <w:sz w:val="21"/>
                <w:szCs w:val="21"/>
              </w:rPr>
            </w:pPr>
          </w:p>
        </w:tc>
        <w:tc>
          <w:tcPr>
            <w:tcW w:w="620" w:type="pct"/>
            <w:vAlign w:val="center"/>
          </w:tcPr>
          <w:p w14:paraId="323F10E6">
            <w:pPr>
              <w:spacing w:line="240" w:lineRule="auto"/>
              <w:ind w:firstLine="0" w:firstLineChars="0"/>
              <w:jc w:val="center"/>
              <w:rPr>
                <w:color w:val="auto"/>
                <w:kern w:val="0"/>
                <w:sz w:val="21"/>
                <w:szCs w:val="21"/>
              </w:rPr>
            </w:pPr>
            <w:r>
              <w:rPr>
                <w:color w:val="auto"/>
                <w:kern w:val="0"/>
                <w:sz w:val="21"/>
                <w:szCs w:val="21"/>
              </w:rPr>
              <w:t>底层</w:t>
            </w:r>
          </w:p>
        </w:tc>
        <w:tc>
          <w:tcPr>
            <w:tcW w:w="620" w:type="pct"/>
            <w:vAlign w:val="center"/>
          </w:tcPr>
          <w:p w14:paraId="3878279D">
            <w:pPr>
              <w:spacing w:line="240" w:lineRule="auto"/>
              <w:ind w:firstLine="0" w:firstLineChars="0"/>
              <w:jc w:val="center"/>
              <w:rPr>
                <w:color w:val="auto"/>
                <w:kern w:val="0"/>
                <w:sz w:val="21"/>
                <w:szCs w:val="21"/>
              </w:rPr>
            </w:pPr>
          </w:p>
        </w:tc>
        <w:tc>
          <w:tcPr>
            <w:tcW w:w="624" w:type="pct"/>
            <w:vAlign w:val="center"/>
          </w:tcPr>
          <w:p w14:paraId="749486A0">
            <w:pPr>
              <w:spacing w:line="240" w:lineRule="auto"/>
              <w:ind w:firstLine="0" w:firstLineChars="0"/>
              <w:jc w:val="center"/>
              <w:rPr>
                <w:color w:val="auto"/>
                <w:kern w:val="0"/>
                <w:sz w:val="21"/>
                <w:szCs w:val="21"/>
              </w:rPr>
            </w:pPr>
          </w:p>
        </w:tc>
        <w:tc>
          <w:tcPr>
            <w:tcW w:w="631" w:type="pct"/>
            <w:vAlign w:val="center"/>
          </w:tcPr>
          <w:p w14:paraId="00FDAB1B">
            <w:pPr>
              <w:spacing w:line="240" w:lineRule="auto"/>
              <w:ind w:firstLine="0" w:firstLineChars="0"/>
              <w:jc w:val="center"/>
              <w:rPr>
                <w:color w:val="auto"/>
                <w:kern w:val="0"/>
                <w:sz w:val="21"/>
                <w:szCs w:val="21"/>
              </w:rPr>
            </w:pPr>
          </w:p>
        </w:tc>
        <w:tc>
          <w:tcPr>
            <w:tcW w:w="620" w:type="pct"/>
            <w:vAlign w:val="center"/>
          </w:tcPr>
          <w:p w14:paraId="1E99CB68">
            <w:pPr>
              <w:spacing w:line="240" w:lineRule="auto"/>
              <w:ind w:firstLine="0" w:firstLineChars="0"/>
              <w:jc w:val="center"/>
              <w:rPr>
                <w:color w:val="auto"/>
                <w:kern w:val="0"/>
                <w:sz w:val="21"/>
                <w:szCs w:val="21"/>
              </w:rPr>
            </w:pPr>
          </w:p>
        </w:tc>
        <w:tc>
          <w:tcPr>
            <w:tcW w:w="621" w:type="pct"/>
            <w:vAlign w:val="center"/>
          </w:tcPr>
          <w:p w14:paraId="0D1D08C9">
            <w:pPr>
              <w:spacing w:line="240" w:lineRule="auto"/>
              <w:ind w:firstLine="0" w:firstLineChars="0"/>
              <w:jc w:val="center"/>
              <w:rPr>
                <w:color w:val="auto"/>
                <w:kern w:val="0"/>
                <w:sz w:val="21"/>
                <w:szCs w:val="21"/>
              </w:rPr>
            </w:pPr>
          </w:p>
        </w:tc>
        <w:tc>
          <w:tcPr>
            <w:tcW w:w="638" w:type="pct"/>
            <w:vAlign w:val="center"/>
          </w:tcPr>
          <w:p w14:paraId="2DE6C83F">
            <w:pPr>
              <w:spacing w:line="240" w:lineRule="auto"/>
              <w:ind w:firstLine="0" w:firstLineChars="0"/>
              <w:jc w:val="center"/>
              <w:rPr>
                <w:color w:val="auto"/>
                <w:kern w:val="0"/>
                <w:sz w:val="21"/>
                <w:szCs w:val="21"/>
              </w:rPr>
            </w:pPr>
          </w:p>
        </w:tc>
      </w:tr>
      <w:tr w14:paraId="137842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continue"/>
            <w:vAlign w:val="center"/>
          </w:tcPr>
          <w:p w14:paraId="62E6A486">
            <w:pPr>
              <w:spacing w:line="240" w:lineRule="auto"/>
              <w:ind w:firstLine="0" w:firstLineChars="0"/>
              <w:jc w:val="center"/>
              <w:rPr>
                <w:color w:val="auto"/>
                <w:kern w:val="0"/>
                <w:sz w:val="21"/>
                <w:szCs w:val="21"/>
              </w:rPr>
            </w:pPr>
          </w:p>
        </w:tc>
        <w:tc>
          <w:tcPr>
            <w:tcW w:w="620" w:type="pct"/>
            <w:vAlign w:val="center"/>
          </w:tcPr>
          <w:p w14:paraId="4542954A">
            <w:pPr>
              <w:spacing w:line="240" w:lineRule="auto"/>
              <w:ind w:firstLine="0" w:firstLineChars="0"/>
              <w:jc w:val="center"/>
              <w:rPr>
                <w:color w:val="auto"/>
                <w:kern w:val="0"/>
                <w:sz w:val="21"/>
                <w:szCs w:val="21"/>
              </w:rPr>
            </w:pPr>
            <w:r>
              <w:rPr>
                <w:color w:val="auto"/>
                <w:kern w:val="0"/>
                <w:sz w:val="21"/>
                <w:szCs w:val="21"/>
              </w:rPr>
              <w:t>垂线</w:t>
            </w:r>
          </w:p>
        </w:tc>
        <w:tc>
          <w:tcPr>
            <w:tcW w:w="620" w:type="pct"/>
            <w:vAlign w:val="center"/>
          </w:tcPr>
          <w:p w14:paraId="2666098E">
            <w:pPr>
              <w:spacing w:line="240" w:lineRule="auto"/>
              <w:ind w:firstLine="0" w:firstLineChars="0"/>
              <w:jc w:val="center"/>
              <w:rPr>
                <w:color w:val="auto"/>
                <w:kern w:val="0"/>
                <w:sz w:val="21"/>
                <w:szCs w:val="21"/>
              </w:rPr>
            </w:pPr>
          </w:p>
        </w:tc>
        <w:tc>
          <w:tcPr>
            <w:tcW w:w="624" w:type="pct"/>
            <w:vAlign w:val="center"/>
          </w:tcPr>
          <w:p w14:paraId="338965FA">
            <w:pPr>
              <w:spacing w:line="240" w:lineRule="auto"/>
              <w:ind w:firstLine="0" w:firstLineChars="0"/>
              <w:jc w:val="center"/>
              <w:rPr>
                <w:color w:val="auto"/>
                <w:kern w:val="0"/>
                <w:sz w:val="21"/>
                <w:szCs w:val="21"/>
              </w:rPr>
            </w:pPr>
          </w:p>
        </w:tc>
        <w:tc>
          <w:tcPr>
            <w:tcW w:w="631" w:type="pct"/>
            <w:vAlign w:val="center"/>
          </w:tcPr>
          <w:p w14:paraId="3919F60C">
            <w:pPr>
              <w:spacing w:line="240" w:lineRule="auto"/>
              <w:ind w:firstLine="0" w:firstLineChars="0"/>
              <w:jc w:val="center"/>
              <w:rPr>
                <w:color w:val="auto"/>
                <w:kern w:val="0"/>
                <w:sz w:val="21"/>
                <w:szCs w:val="21"/>
              </w:rPr>
            </w:pPr>
          </w:p>
        </w:tc>
        <w:tc>
          <w:tcPr>
            <w:tcW w:w="620" w:type="pct"/>
            <w:vAlign w:val="center"/>
          </w:tcPr>
          <w:p w14:paraId="3400F61D">
            <w:pPr>
              <w:spacing w:line="240" w:lineRule="auto"/>
              <w:ind w:firstLine="0" w:firstLineChars="0"/>
              <w:jc w:val="center"/>
              <w:rPr>
                <w:color w:val="auto"/>
                <w:kern w:val="0"/>
                <w:sz w:val="21"/>
                <w:szCs w:val="21"/>
              </w:rPr>
            </w:pPr>
          </w:p>
        </w:tc>
        <w:tc>
          <w:tcPr>
            <w:tcW w:w="621" w:type="pct"/>
            <w:vAlign w:val="center"/>
          </w:tcPr>
          <w:p w14:paraId="23EE8284">
            <w:pPr>
              <w:spacing w:line="240" w:lineRule="auto"/>
              <w:ind w:firstLine="0" w:firstLineChars="0"/>
              <w:jc w:val="center"/>
              <w:rPr>
                <w:color w:val="auto"/>
                <w:kern w:val="0"/>
                <w:sz w:val="21"/>
                <w:szCs w:val="21"/>
              </w:rPr>
            </w:pPr>
          </w:p>
        </w:tc>
        <w:tc>
          <w:tcPr>
            <w:tcW w:w="638" w:type="pct"/>
            <w:vAlign w:val="center"/>
          </w:tcPr>
          <w:p w14:paraId="1011BC7A">
            <w:pPr>
              <w:spacing w:line="240" w:lineRule="auto"/>
              <w:ind w:firstLine="0" w:firstLineChars="0"/>
              <w:jc w:val="center"/>
              <w:rPr>
                <w:color w:val="auto"/>
                <w:kern w:val="0"/>
                <w:sz w:val="21"/>
                <w:szCs w:val="21"/>
              </w:rPr>
            </w:pPr>
          </w:p>
        </w:tc>
      </w:tr>
      <w:tr w14:paraId="77CCFB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restart"/>
            <w:vAlign w:val="center"/>
          </w:tcPr>
          <w:p w14:paraId="079B17F8">
            <w:pPr>
              <w:spacing w:line="240" w:lineRule="auto"/>
              <w:ind w:firstLine="0" w:firstLineChars="0"/>
              <w:jc w:val="center"/>
              <w:rPr>
                <w:color w:val="auto"/>
                <w:kern w:val="0"/>
                <w:sz w:val="21"/>
                <w:szCs w:val="21"/>
              </w:rPr>
            </w:pPr>
            <w:r>
              <w:rPr>
                <w:color w:val="auto"/>
                <w:kern w:val="0"/>
                <w:sz w:val="21"/>
                <w:szCs w:val="21"/>
              </w:rPr>
              <w:t>V8</w:t>
            </w:r>
          </w:p>
        </w:tc>
        <w:tc>
          <w:tcPr>
            <w:tcW w:w="620" w:type="pct"/>
            <w:vAlign w:val="center"/>
          </w:tcPr>
          <w:p w14:paraId="63F329CF">
            <w:pPr>
              <w:spacing w:line="240" w:lineRule="auto"/>
              <w:ind w:firstLine="0" w:firstLineChars="0"/>
              <w:jc w:val="center"/>
              <w:rPr>
                <w:color w:val="auto"/>
                <w:kern w:val="0"/>
                <w:sz w:val="21"/>
                <w:szCs w:val="21"/>
              </w:rPr>
            </w:pPr>
            <w:r>
              <w:rPr>
                <w:color w:val="auto"/>
                <w:kern w:val="0"/>
                <w:sz w:val="21"/>
                <w:szCs w:val="21"/>
              </w:rPr>
              <w:t>表层</w:t>
            </w:r>
          </w:p>
        </w:tc>
        <w:tc>
          <w:tcPr>
            <w:tcW w:w="620" w:type="pct"/>
            <w:vAlign w:val="center"/>
          </w:tcPr>
          <w:p w14:paraId="0297C431">
            <w:pPr>
              <w:spacing w:line="240" w:lineRule="auto"/>
              <w:ind w:firstLine="0" w:firstLineChars="0"/>
              <w:jc w:val="center"/>
              <w:rPr>
                <w:color w:val="auto"/>
                <w:kern w:val="0"/>
                <w:sz w:val="21"/>
                <w:szCs w:val="21"/>
              </w:rPr>
            </w:pPr>
          </w:p>
        </w:tc>
        <w:tc>
          <w:tcPr>
            <w:tcW w:w="624" w:type="pct"/>
            <w:vAlign w:val="center"/>
          </w:tcPr>
          <w:p w14:paraId="134E450D">
            <w:pPr>
              <w:spacing w:line="240" w:lineRule="auto"/>
              <w:ind w:firstLine="0" w:firstLineChars="0"/>
              <w:jc w:val="center"/>
              <w:rPr>
                <w:color w:val="auto"/>
                <w:kern w:val="0"/>
                <w:sz w:val="21"/>
                <w:szCs w:val="21"/>
              </w:rPr>
            </w:pPr>
          </w:p>
        </w:tc>
        <w:tc>
          <w:tcPr>
            <w:tcW w:w="631" w:type="pct"/>
            <w:vAlign w:val="center"/>
          </w:tcPr>
          <w:p w14:paraId="3CBBAE82">
            <w:pPr>
              <w:spacing w:line="240" w:lineRule="auto"/>
              <w:ind w:firstLine="0" w:firstLineChars="0"/>
              <w:jc w:val="center"/>
              <w:rPr>
                <w:color w:val="auto"/>
                <w:kern w:val="0"/>
                <w:sz w:val="21"/>
                <w:szCs w:val="21"/>
              </w:rPr>
            </w:pPr>
          </w:p>
        </w:tc>
        <w:tc>
          <w:tcPr>
            <w:tcW w:w="620" w:type="pct"/>
            <w:vAlign w:val="center"/>
          </w:tcPr>
          <w:p w14:paraId="07229735">
            <w:pPr>
              <w:spacing w:line="240" w:lineRule="auto"/>
              <w:ind w:firstLine="0" w:firstLineChars="0"/>
              <w:jc w:val="center"/>
              <w:rPr>
                <w:color w:val="auto"/>
                <w:kern w:val="0"/>
                <w:sz w:val="21"/>
                <w:szCs w:val="21"/>
              </w:rPr>
            </w:pPr>
          </w:p>
        </w:tc>
        <w:tc>
          <w:tcPr>
            <w:tcW w:w="621" w:type="pct"/>
            <w:vAlign w:val="center"/>
          </w:tcPr>
          <w:p w14:paraId="550F87E5">
            <w:pPr>
              <w:spacing w:line="240" w:lineRule="auto"/>
              <w:ind w:firstLine="0" w:firstLineChars="0"/>
              <w:jc w:val="center"/>
              <w:rPr>
                <w:color w:val="auto"/>
                <w:kern w:val="0"/>
                <w:sz w:val="21"/>
                <w:szCs w:val="21"/>
              </w:rPr>
            </w:pPr>
          </w:p>
        </w:tc>
        <w:tc>
          <w:tcPr>
            <w:tcW w:w="638" w:type="pct"/>
            <w:vAlign w:val="center"/>
          </w:tcPr>
          <w:p w14:paraId="4FDD4C82">
            <w:pPr>
              <w:spacing w:line="240" w:lineRule="auto"/>
              <w:ind w:firstLine="0" w:firstLineChars="0"/>
              <w:jc w:val="center"/>
              <w:rPr>
                <w:color w:val="auto"/>
                <w:kern w:val="0"/>
                <w:sz w:val="21"/>
                <w:szCs w:val="21"/>
              </w:rPr>
            </w:pPr>
          </w:p>
        </w:tc>
      </w:tr>
      <w:tr w14:paraId="20A406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7" w:hRule="atLeast"/>
          <w:jc w:val="center"/>
        </w:trPr>
        <w:tc>
          <w:tcPr>
            <w:tcW w:w="622" w:type="pct"/>
            <w:vMerge w:val="continue"/>
            <w:vAlign w:val="center"/>
          </w:tcPr>
          <w:p w14:paraId="0DE3F85B">
            <w:pPr>
              <w:spacing w:line="240" w:lineRule="auto"/>
              <w:ind w:firstLine="0" w:firstLineChars="0"/>
              <w:jc w:val="center"/>
              <w:rPr>
                <w:color w:val="auto"/>
                <w:kern w:val="0"/>
                <w:sz w:val="21"/>
                <w:szCs w:val="21"/>
              </w:rPr>
            </w:pPr>
          </w:p>
        </w:tc>
        <w:tc>
          <w:tcPr>
            <w:tcW w:w="620" w:type="pct"/>
            <w:vAlign w:val="center"/>
          </w:tcPr>
          <w:p w14:paraId="7DBB86A8">
            <w:pPr>
              <w:spacing w:line="240" w:lineRule="auto"/>
              <w:ind w:firstLine="0" w:firstLineChars="0"/>
              <w:jc w:val="center"/>
              <w:rPr>
                <w:color w:val="auto"/>
                <w:kern w:val="0"/>
                <w:sz w:val="21"/>
                <w:szCs w:val="21"/>
              </w:rPr>
            </w:pPr>
            <w:r>
              <w:rPr>
                <w:color w:val="auto"/>
                <w:kern w:val="0"/>
                <w:sz w:val="21"/>
                <w:szCs w:val="21"/>
              </w:rPr>
              <w:t>0.2H</w:t>
            </w:r>
          </w:p>
        </w:tc>
        <w:tc>
          <w:tcPr>
            <w:tcW w:w="620" w:type="pct"/>
            <w:vAlign w:val="center"/>
          </w:tcPr>
          <w:p w14:paraId="1E29E5CD">
            <w:pPr>
              <w:spacing w:line="240" w:lineRule="auto"/>
              <w:ind w:firstLine="0" w:firstLineChars="0"/>
              <w:jc w:val="center"/>
              <w:rPr>
                <w:color w:val="auto"/>
                <w:kern w:val="0"/>
                <w:sz w:val="21"/>
                <w:szCs w:val="21"/>
              </w:rPr>
            </w:pPr>
          </w:p>
        </w:tc>
        <w:tc>
          <w:tcPr>
            <w:tcW w:w="624" w:type="pct"/>
            <w:vAlign w:val="center"/>
          </w:tcPr>
          <w:p w14:paraId="4861AC3C">
            <w:pPr>
              <w:spacing w:line="240" w:lineRule="auto"/>
              <w:ind w:firstLine="0" w:firstLineChars="0"/>
              <w:jc w:val="center"/>
              <w:rPr>
                <w:color w:val="auto"/>
                <w:kern w:val="0"/>
                <w:sz w:val="21"/>
                <w:szCs w:val="21"/>
              </w:rPr>
            </w:pPr>
          </w:p>
        </w:tc>
        <w:tc>
          <w:tcPr>
            <w:tcW w:w="631" w:type="pct"/>
            <w:vAlign w:val="center"/>
          </w:tcPr>
          <w:p w14:paraId="66194D91">
            <w:pPr>
              <w:spacing w:line="240" w:lineRule="auto"/>
              <w:ind w:firstLine="0" w:firstLineChars="0"/>
              <w:jc w:val="center"/>
              <w:rPr>
                <w:color w:val="auto"/>
                <w:kern w:val="0"/>
                <w:sz w:val="21"/>
                <w:szCs w:val="21"/>
              </w:rPr>
            </w:pPr>
          </w:p>
        </w:tc>
        <w:tc>
          <w:tcPr>
            <w:tcW w:w="620" w:type="pct"/>
            <w:vAlign w:val="center"/>
          </w:tcPr>
          <w:p w14:paraId="73C1905C">
            <w:pPr>
              <w:spacing w:line="240" w:lineRule="auto"/>
              <w:ind w:firstLine="0" w:firstLineChars="0"/>
              <w:jc w:val="center"/>
              <w:rPr>
                <w:color w:val="auto"/>
                <w:kern w:val="0"/>
                <w:sz w:val="21"/>
                <w:szCs w:val="21"/>
              </w:rPr>
            </w:pPr>
          </w:p>
        </w:tc>
        <w:tc>
          <w:tcPr>
            <w:tcW w:w="621" w:type="pct"/>
            <w:vAlign w:val="center"/>
          </w:tcPr>
          <w:p w14:paraId="63CC0DB5">
            <w:pPr>
              <w:spacing w:line="240" w:lineRule="auto"/>
              <w:ind w:firstLine="0" w:firstLineChars="0"/>
              <w:jc w:val="center"/>
              <w:rPr>
                <w:color w:val="auto"/>
                <w:kern w:val="0"/>
                <w:sz w:val="21"/>
                <w:szCs w:val="21"/>
              </w:rPr>
            </w:pPr>
          </w:p>
        </w:tc>
        <w:tc>
          <w:tcPr>
            <w:tcW w:w="638" w:type="pct"/>
            <w:vAlign w:val="center"/>
          </w:tcPr>
          <w:p w14:paraId="2636D55D">
            <w:pPr>
              <w:spacing w:line="240" w:lineRule="auto"/>
              <w:ind w:firstLine="0" w:firstLineChars="0"/>
              <w:jc w:val="center"/>
              <w:rPr>
                <w:color w:val="auto"/>
                <w:kern w:val="0"/>
                <w:sz w:val="21"/>
                <w:szCs w:val="21"/>
              </w:rPr>
            </w:pPr>
          </w:p>
        </w:tc>
      </w:tr>
      <w:tr w14:paraId="33EA26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7" w:hRule="atLeast"/>
          <w:jc w:val="center"/>
        </w:trPr>
        <w:tc>
          <w:tcPr>
            <w:tcW w:w="622" w:type="pct"/>
            <w:vMerge w:val="continue"/>
            <w:vAlign w:val="center"/>
          </w:tcPr>
          <w:p w14:paraId="4FA8EB7C">
            <w:pPr>
              <w:spacing w:line="240" w:lineRule="auto"/>
              <w:ind w:firstLine="0" w:firstLineChars="0"/>
              <w:jc w:val="center"/>
              <w:rPr>
                <w:color w:val="auto"/>
                <w:kern w:val="0"/>
                <w:sz w:val="21"/>
                <w:szCs w:val="21"/>
              </w:rPr>
            </w:pPr>
          </w:p>
        </w:tc>
        <w:tc>
          <w:tcPr>
            <w:tcW w:w="620" w:type="pct"/>
            <w:vAlign w:val="center"/>
          </w:tcPr>
          <w:p w14:paraId="1E5ED6A8">
            <w:pPr>
              <w:spacing w:line="240" w:lineRule="auto"/>
              <w:ind w:firstLine="0" w:firstLineChars="0"/>
              <w:jc w:val="center"/>
              <w:rPr>
                <w:color w:val="auto"/>
                <w:kern w:val="0"/>
                <w:sz w:val="21"/>
                <w:szCs w:val="21"/>
              </w:rPr>
            </w:pPr>
            <w:r>
              <w:rPr>
                <w:color w:val="auto"/>
                <w:kern w:val="0"/>
                <w:sz w:val="21"/>
                <w:szCs w:val="21"/>
              </w:rPr>
              <w:t>0.4H</w:t>
            </w:r>
          </w:p>
        </w:tc>
        <w:tc>
          <w:tcPr>
            <w:tcW w:w="620" w:type="pct"/>
            <w:vAlign w:val="center"/>
          </w:tcPr>
          <w:p w14:paraId="375DA002">
            <w:pPr>
              <w:spacing w:line="240" w:lineRule="auto"/>
              <w:ind w:firstLine="0" w:firstLineChars="0"/>
              <w:jc w:val="center"/>
              <w:rPr>
                <w:color w:val="auto"/>
                <w:kern w:val="0"/>
                <w:sz w:val="21"/>
                <w:szCs w:val="21"/>
              </w:rPr>
            </w:pPr>
          </w:p>
        </w:tc>
        <w:tc>
          <w:tcPr>
            <w:tcW w:w="624" w:type="pct"/>
            <w:vAlign w:val="center"/>
          </w:tcPr>
          <w:p w14:paraId="1DD03050">
            <w:pPr>
              <w:spacing w:line="240" w:lineRule="auto"/>
              <w:ind w:firstLine="0" w:firstLineChars="0"/>
              <w:jc w:val="center"/>
              <w:rPr>
                <w:color w:val="auto"/>
                <w:kern w:val="0"/>
                <w:sz w:val="21"/>
                <w:szCs w:val="21"/>
              </w:rPr>
            </w:pPr>
          </w:p>
        </w:tc>
        <w:tc>
          <w:tcPr>
            <w:tcW w:w="631" w:type="pct"/>
            <w:vAlign w:val="center"/>
          </w:tcPr>
          <w:p w14:paraId="56DA40C2">
            <w:pPr>
              <w:spacing w:line="240" w:lineRule="auto"/>
              <w:ind w:firstLine="0" w:firstLineChars="0"/>
              <w:jc w:val="center"/>
              <w:rPr>
                <w:color w:val="auto"/>
                <w:kern w:val="0"/>
                <w:sz w:val="21"/>
                <w:szCs w:val="21"/>
              </w:rPr>
            </w:pPr>
          </w:p>
        </w:tc>
        <w:tc>
          <w:tcPr>
            <w:tcW w:w="620" w:type="pct"/>
            <w:vAlign w:val="center"/>
          </w:tcPr>
          <w:p w14:paraId="0DF32833">
            <w:pPr>
              <w:spacing w:line="240" w:lineRule="auto"/>
              <w:ind w:firstLine="0" w:firstLineChars="0"/>
              <w:jc w:val="center"/>
              <w:rPr>
                <w:color w:val="auto"/>
                <w:kern w:val="0"/>
                <w:sz w:val="21"/>
                <w:szCs w:val="21"/>
              </w:rPr>
            </w:pPr>
          </w:p>
        </w:tc>
        <w:tc>
          <w:tcPr>
            <w:tcW w:w="621" w:type="pct"/>
            <w:vAlign w:val="center"/>
          </w:tcPr>
          <w:p w14:paraId="4459D836">
            <w:pPr>
              <w:spacing w:line="240" w:lineRule="auto"/>
              <w:ind w:firstLine="0" w:firstLineChars="0"/>
              <w:jc w:val="center"/>
              <w:rPr>
                <w:color w:val="auto"/>
                <w:kern w:val="0"/>
                <w:sz w:val="21"/>
                <w:szCs w:val="21"/>
              </w:rPr>
            </w:pPr>
          </w:p>
        </w:tc>
        <w:tc>
          <w:tcPr>
            <w:tcW w:w="638" w:type="pct"/>
            <w:vAlign w:val="center"/>
          </w:tcPr>
          <w:p w14:paraId="45C8657C">
            <w:pPr>
              <w:spacing w:line="240" w:lineRule="auto"/>
              <w:ind w:firstLine="0" w:firstLineChars="0"/>
              <w:jc w:val="center"/>
              <w:rPr>
                <w:color w:val="auto"/>
                <w:kern w:val="0"/>
                <w:sz w:val="21"/>
                <w:szCs w:val="21"/>
              </w:rPr>
            </w:pPr>
          </w:p>
        </w:tc>
      </w:tr>
      <w:tr w14:paraId="6B93B3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38C1CE88">
            <w:pPr>
              <w:spacing w:line="240" w:lineRule="auto"/>
              <w:ind w:firstLine="0" w:firstLineChars="0"/>
              <w:jc w:val="center"/>
              <w:rPr>
                <w:color w:val="auto"/>
                <w:kern w:val="0"/>
                <w:sz w:val="21"/>
                <w:szCs w:val="21"/>
              </w:rPr>
            </w:pPr>
          </w:p>
        </w:tc>
        <w:tc>
          <w:tcPr>
            <w:tcW w:w="620" w:type="pct"/>
            <w:vAlign w:val="center"/>
          </w:tcPr>
          <w:p w14:paraId="7E1D1823">
            <w:pPr>
              <w:spacing w:line="240" w:lineRule="auto"/>
              <w:ind w:firstLine="0" w:firstLineChars="0"/>
              <w:jc w:val="center"/>
              <w:rPr>
                <w:color w:val="auto"/>
                <w:kern w:val="0"/>
                <w:sz w:val="21"/>
                <w:szCs w:val="21"/>
              </w:rPr>
            </w:pPr>
            <w:r>
              <w:rPr>
                <w:color w:val="auto"/>
                <w:kern w:val="0"/>
                <w:sz w:val="21"/>
                <w:szCs w:val="21"/>
              </w:rPr>
              <w:t>0.6H</w:t>
            </w:r>
          </w:p>
        </w:tc>
        <w:tc>
          <w:tcPr>
            <w:tcW w:w="620" w:type="pct"/>
            <w:vAlign w:val="center"/>
          </w:tcPr>
          <w:p w14:paraId="3D33E3A9">
            <w:pPr>
              <w:spacing w:line="240" w:lineRule="auto"/>
              <w:ind w:firstLine="0" w:firstLineChars="0"/>
              <w:jc w:val="center"/>
              <w:rPr>
                <w:color w:val="auto"/>
                <w:kern w:val="0"/>
                <w:sz w:val="21"/>
                <w:szCs w:val="21"/>
              </w:rPr>
            </w:pPr>
          </w:p>
        </w:tc>
        <w:tc>
          <w:tcPr>
            <w:tcW w:w="624" w:type="pct"/>
            <w:vAlign w:val="center"/>
          </w:tcPr>
          <w:p w14:paraId="0AB1A86F">
            <w:pPr>
              <w:spacing w:line="240" w:lineRule="auto"/>
              <w:ind w:firstLine="0" w:firstLineChars="0"/>
              <w:jc w:val="center"/>
              <w:rPr>
                <w:color w:val="auto"/>
                <w:kern w:val="0"/>
                <w:sz w:val="21"/>
                <w:szCs w:val="21"/>
              </w:rPr>
            </w:pPr>
          </w:p>
        </w:tc>
        <w:tc>
          <w:tcPr>
            <w:tcW w:w="631" w:type="pct"/>
            <w:vAlign w:val="center"/>
          </w:tcPr>
          <w:p w14:paraId="5C975C3A">
            <w:pPr>
              <w:spacing w:line="240" w:lineRule="auto"/>
              <w:ind w:firstLine="0" w:firstLineChars="0"/>
              <w:jc w:val="center"/>
              <w:rPr>
                <w:color w:val="auto"/>
                <w:kern w:val="0"/>
                <w:sz w:val="21"/>
                <w:szCs w:val="21"/>
              </w:rPr>
            </w:pPr>
          </w:p>
        </w:tc>
        <w:tc>
          <w:tcPr>
            <w:tcW w:w="620" w:type="pct"/>
            <w:vAlign w:val="center"/>
          </w:tcPr>
          <w:p w14:paraId="35B9F5DC">
            <w:pPr>
              <w:spacing w:line="240" w:lineRule="auto"/>
              <w:ind w:firstLine="0" w:firstLineChars="0"/>
              <w:jc w:val="center"/>
              <w:rPr>
                <w:color w:val="auto"/>
                <w:kern w:val="0"/>
                <w:sz w:val="21"/>
                <w:szCs w:val="21"/>
              </w:rPr>
            </w:pPr>
          </w:p>
        </w:tc>
        <w:tc>
          <w:tcPr>
            <w:tcW w:w="621" w:type="pct"/>
            <w:vAlign w:val="center"/>
          </w:tcPr>
          <w:p w14:paraId="3A19DC21">
            <w:pPr>
              <w:spacing w:line="240" w:lineRule="auto"/>
              <w:ind w:firstLine="0" w:firstLineChars="0"/>
              <w:jc w:val="center"/>
              <w:rPr>
                <w:color w:val="auto"/>
                <w:kern w:val="0"/>
                <w:sz w:val="21"/>
                <w:szCs w:val="21"/>
              </w:rPr>
            </w:pPr>
          </w:p>
        </w:tc>
        <w:tc>
          <w:tcPr>
            <w:tcW w:w="638" w:type="pct"/>
            <w:vAlign w:val="center"/>
          </w:tcPr>
          <w:p w14:paraId="0D1EA459">
            <w:pPr>
              <w:spacing w:line="240" w:lineRule="auto"/>
              <w:ind w:firstLine="0" w:firstLineChars="0"/>
              <w:jc w:val="center"/>
              <w:rPr>
                <w:color w:val="auto"/>
                <w:kern w:val="0"/>
                <w:sz w:val="21"/>
                <w:szCs w:val="21"/>
              </w:rPr>
            </w:pPr>
          </w:p>
        </w:tc>
      </w:tr>
      <w:tr w14:paraId="138434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continue"/>
            <w:vAlign w:val="center"/>
          </w:tcPr>
          <w:p w14:paraId="1C52DAC2">
            <w:pPr>
              <w:spacing w:line="240" w:lineRule="auto"/>
              <w:ind w:firstLine="0" w:firstLineChars="0"/>
              <w:jc w:val="center"/>
              <w:rPr>
                <w:color w:val="auto"/>
                <w:kern w:val="0"/>
                <w:sz w:val="21"/>
                <w:szCs w:val="21"/>
              </w:rPr>
            </w:pPr>
          </w:p>
        </w:tc>
        <w:tc>
          <w:tcPr>
            <w:tcW w:w="620" w:type="pct"/>
            <w:vAlign w:val="center"/>
          </w:tcPr>
          <w:p w14:paraId="319EFE19">
            <w:pPr>
              <w:spacing w:line="240" w:lineRule="auto"/>
              <w:ind w:firstLine="0" w:firstLineChars="0"/>
              <w:jc w:val="center"/>
              <w:rPr>
                <w:color w:val="auto"/>
                <w:kern w:val="0"/>
                <w:sz w:val="21"/>
                <w:szCs w:val="21"/>
              </w:rPr>
            </w:pPr>
            <w:r>
              <w:rPr>
                <w:color w:val="auto"/>
                <w:kern w:val="0"/>
                <w:sz w:val="21"/>
                <w:szCs w:val="21"/>
              </w:rPr>
              <w:t>0.8H</w:t>
            </w:r>
          </w:p>
        </w:tc>
        <w:tc>
          <w:tcPr>
            <w:tcW w:w="620" w:type="pct"/>
            <w:vAlign w:val="center"/>
          </w:tcPr>
          <w:p w14:paraId="3B86D2B5">
            <w:pPr>
              <w:spacing w:line="240" w:lineRule="auto"/>
              <w:ind w:firstLine="0" w:firstLineChars="0"/>
              <w:jc w:val="center"/>
              <w:rPr>
                <w:color w:val="auto"/>
                <w:kern w:val="0"/>
                <w:sz w:val="21"/>
                <w:szCs w:val="21"/>
              </w:rPr>
            </w:pPr>
          </w:p>
        </w:tc>
        <w:tc>
          <w:tcPr>
            <w:tcW w:w="624" w:type="pct"/>
            <w:vAlign w:val="center"/>
          </w:tcPr>
          <w:p w14:paraId="3E4E4A7D">
            <w:pPr>
              <w:spacing w:line="240" w:lineRule="auto"/>
              <w:ind w:firstLine="0" w:firstLineChars="0"/>
              <w:jc w:val="center"/>
              <w:rPr>
                <w:color w:val="auto"/>
                <w:kern w:val="0"/>
                <w:sz w:val="21"/>
                <w:szCs w:val="21"/>
              </w:rPr>
            </w:pPr>
          </w:p>
        </w:tc>
        <w:tc>
          <w:tcPr>
            <w:tcW w:w="631" w:type="pct"/>
            <w:vAlign w:val="center"/>
          </w:tcPr>
          <w:p w14:paraId="5C8C63FE">
            <w:pPr>
              <w:spacing w:line="240" w:lineRule="auto"/>
              <w:ind w:firstLine="0" w:firstLineChars="0"/>
              <w:jc w:val="center"/>
              <w:rPr>
                <w:color w:val="auto"/>
                <w:kern w:val="0"/>
                <w:sz w:val="21"/>
                <w:szCs w:val="21"/>
              </w:rPr>
            </w:pPr>
          </w:p>
        </w:tc>
        <w:tc>
          <w:tcPr>
            <w:tcW w:w="620" w:type="pct"/>
            <w:vAlign w:val="center"/>
          </w:tcPr>
          <w:p w14:paraId="10E4E529">
            <w:pPr>
              <w:spacing w:line="240" w:lineRule="auto"/>
              <w:ind w:firstLine="0" w:firstLineChars="0"/>
              <w:jc w:val="center"/>
              <w:rPr>
                <w:color w:val="auto"/>
                <w:kern w:val="0"/>
                <w:sz w:val="21"/>
                <w:szCs w:val="21"/>
              </w:rPr>
            </w:pPr>
          </w:p>
        </w:tc>
        <w:tc>
          <w:tcPr>
            <w:tcW w:w="621" w:type="pct"/>
            <w:vAlign w:val="center"/>
          </w:tcPr>
          <w:p w14:paraId="38382039">
            <w:pPr>
              <w:spacing w:line="240" w:lineRule="auto"/>
              <w:ind w:firstLine="0" w:firstLineChars="0"/>
              <w:jc w:val="center"/>
              <w:rPr>
                <w:color w:val="auto"/>
                <w:kern w:val="0"/>
                <w:sz w:val="21"/>
                <w:szCs w:val="21"/>
              </w:rPr>
            </w:pPr>
          </w:p>
        </w:tc>
        <w:tc>
          <w:tcPr>
            <w:tcW w:w="638" w:type="pct"/>
            <w:vAlign w:val="center"/>
          </w:tcPr>
          <w:p w14:paraId="5C390BBD">
            <w:pPr>
              <w:spacing w:line="240" w:lineRule="auto"/>
              <w:ind w:firstLine="0" w:firstLineChars="0"/>
              <w:jc w:val="center"/>
              <w:rPr>
                <w:color w:val="auto"/>
                <w:kern w:val="0"/>
                <w:sz w:val="21"/>
                <w:szCs w:val="21"/>
              </w:rPr>
            </w:pPr>
          </w:p>
        </w:tc>
      </w:tr>
      <w:tr w14:paraId="49B86C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51D0304C">
            <w:pPr>
              <w:spacing w:line="240" w:lineRule="auto"/>
              <w:ind w:firstLine="0" w:firstLineChars="0"/>
              <w:jc w:val="center"/>
              <w:rPr>
                <w:color w:val="auto"/>
                <w:kern w:val="0"/>
                <w:sz w:val="21"/>
                <w:szCs w:val="21"/>
              </w:rPr>
            </w:pPr>
          </w:p>
        </w:tc>
        <w:tc>
          <w:tcPr>
            <w:tcW w:w="620" w:type="pct"/>
            <w:vAlign w:val="center"/>
          </w:tcPr>
          <w:p w14:paraId="3AD9C5CD">
            <w:pPr>
              <w:spacing w:line="240" w:lineRule="auto"/>
              <w:ind w:firstLine="0" w:firstLineChars="0"/>
              <w:jc w:val="center"/>
              <w:rPr>
                <w:color w:val="auto"/>
                <w:kern w:val="0"/>
                <w:sz w:val="21"/>
                <w:szCs w:val="21"/>
              </w:rPr>
            </w:pPr>
            <w:r>
              <w:rPr>
                <w:color w:val="auto"/>
                <w:kern w:val="0"/>
                <w:sz w:val="21"/>
                <w:szCs w:val="21"/>
              </w:rPr>
              <w:t>底层</w:t>
            </w:r>
          </w:p>
        </w:tc>
        <w:tc>
          <w:tcPr>
            <w:tcW w:w="620" w:type="pct"/>
            <w:vAlign w:val="center"/>
          </w:tcPr>
          <w:p w14:paraId="4F861C6B">
            <w:pPr>
              <w:spacing w:line="240" w:lineRule="auto"/>
              <w:ind w:firstLine="0" w:firstLineChars="0"/>
              <w:jc w:val="center"/>
              <w:rPr>
                <w:color w:val="auto"/>
                <w:kern w:val="0"/>
                <w:sz w:val="21"/>
                <w:szCs w:val="21"/>
              </w:rPr>
            </w:pPr>
          </w:p>
        </w:tc>
        <w:tc>
          <w:tcPr>
            <w:tcW w:w="624" w:type="pct"/>
            <w:vAlign w:val="center"/>
          </w:tcPr>
          <w:p w14:paraId="66FD11A1">
            <w:pPr>
              <w:spacing w:line="240" w:lineRule="auto"/>
              <w:ind w:firstLine="0" w:firstLineChars="0"/>
              <w:jc w:val="center"/>
              <w:rPr>
                <w:color w:val="auto"/>
                <w:kern w:val="0"/>
                <w:sz w:val="21"/>
                <w:szCs w:val="21"/>
              </w:rPr>
            </w:pPr>
          </w:p>
        </w:tc>
        <w:tc>
          <w:tcPr>
            <w:tcW w:w="631" w:type="pct"/>
            <w:vAlign w:val="center"/>
          </w:tcPr>
          <w:p w14:paraId="159A48C0">
            <w:pPr>
              <w:spacing w:line="240" w:lineRule="auto"/>
              <w:ind w:firstLine="0" w:firstLineChars="0"/>
              <w:jc w:val="center"/>
              <w:rPr>
                <w:color w:val="auto"/>
                <w:kern w:val="0"/>
                <w:sz w:val="21"/>
                <w:szCs w:val="21"/>
              </w:rPr>
            </w:pPr>
          </w:p>
        </w:tc>
        <w:tc>
          <w:tcPr>
            <w:tcW w:w="620" w:type="pct"/>
            <w:vAlign w:val="center"/>
          </w:tcPr>
          <w:p w14:paraId="5AE59982">
            <w:pPr>
              <w:spacing w:line="240" w:lineRule="auto"/>
              <w:ind w:firstLine="0" w:firstLineChars="0"/>
              <w:jc w:val="center"/>
              <w:rPr>
                <w:color w:val="auto"/>
                <w:kern w:val="0"/>
                <w:sz w:val="21"/>
                <w:szCs w:val="21"/>
              </w:rPr>
            </w:pPr>
          </w:p>
        </w:tc>
        <w:tc>
          <w:tcPr>
            <w:tcW w:w="621" w:type="pct"/>
            <w:vAlign w:val="center"/>
          </w:tcPr>
          <w:p w14:paraId="353EED10">
            <w:pPr>
              <w:spacing w:line="240" w:lineRule="auto"/>
              <w:ind w:firstLine="0" w:firstLineChars="0"/>
              <w:jc w:val="center"/>
              <w:rPr>
                <w:color w:val="auto"/>
                <w:kern w:val="0"/>
                <w:sz w:val="21"/>
                <w:szCs w:val="21"/>
              </w:rPr>
            </w:pPr>
          </w:p>
        </w:tc>
        <w:tc>
          <w:tcPr>
            <w:tcW w:w="638" w:type="pct"/>
            <w:vAlign w:val="center"/>
          </w:tcPr>
          <w:p w14:paraId="4A195AAD">
            <w:pPr>
              <w:spacing w:line="240" w:lineRule="auto"/>
              <w:ind w:firstLine="0" w:firstLineChars="0"/>
              <w:jc w:val="center"/>
              <w:rPr>
                <w:color w:val="auto"/>
                <w:kern w:val="0"/>
                <w:sz w:val="21"/>
                <w:szCs w:val="21"/>
              </w:rPr>
            </w:pPr>
          </w:p>
        </w:tc>
      </w:tr>
      <w:tr w14:paraId="76C18F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7" w:hRule="atLeast"/>
          <w:jc w:val="center"/>
        </w:trPr>
        <w:tc>
          <w:tcPr>
            <w:tcW w:w="622" w:type="pct"/>
            <w:vMerge w:val="continue"/>
            <w:vAlign w:val="center"/>
          </w:tcPr>
          <w:p w14:paraId="43349E0B">
            <w:pPr>
              <w:spacing w:line="240" w:lineRule="auto"/>
              <w:ind w:firstLine="0" w:firstLineChars="0"/>
              <w:jc w:val="center"/>
              <w:rPr>
                <w:color w:val="auto"/>
                <w:kern w:val="0"/>
                <w:sz w:val="21"/>
                <w:szCs w:val="21"/>
              </w:rPr>
            </w:pPr>
          </w:p>
        </w:tc>
        <w:tc>
          <w:tcPr>
            <w:tcW w:w="620" w:type="pct"/>
            <w:vAlign w:val="center"/>
          </w:tcPr>
          <w:p w14:paraId="549FE456">
            <w:pPr>
              <w:spacing w:line="240" w:lineRule="auto"/>
              <w:ind w:firstLine="0" w:firstLineChars="0"/>
              <w:jc w:val="center"/>
              <w:rPr>
                <w:color w:val="auto"/>
                <w:kern w:val="0"/>
                <w:sz w:val="21"/>
                <w:szCs w:val="21"/>
              </w:rPr>
            </w:pPr>
            <w:r>
              <w:rPr>
                <w:color w:val="auto"/>
                <w:kern w:val="0"/>
                <w:sz w:val="21"/>
                <w:szCs w:val="21"/>
              </w:rPr>
              <w:t>垂线</w:t>
            </w:r>
          </w:p>
        </w:tc>
        <w:tc>
          <w:tcPr>
            <w:tcW w:w="620" w:type="pct"/>
            <w:vAlign w:val="center"/>
          </w:tcPr>
          <w:p w14:paraId="15079701">
            <w:pPr>
              <w:spacing w:line="240" w:lineRule="auto"/>
              <w:ind w:firstLine="0" w:firstLineChars="0"/>
              <w:jc w:val="center"/>
              <w:rPr>
                <w:color w:val="auto"/>
                <w:kern w:val="0"/>
                <w:sz w:val="21"/>
                <w:szCs w:val="21"/>
              </w:rPr>
            </w:pPr>
          </w:p>
        </w:tc>
        <w:tc>
          <w:tcPr>
            <w:tcW w:w="624" w:type="pct"/>
            <w:vAlign w:val="center"/>
          </w:tcPr>
          <w:p w14:paraId="5F38BA15">
            <w:pPr>
              <w:spacing w:line="240" w:lineRule="auto"/>
              <w:ind w:firstLine="0" w:firstLineChars="0"/>
              <w:jc w:val="center"/>
              <w:rPr>
                <w:color w:val="auto"/>
                <w:kern w:val="0"/>
                <w:sz w:val="21"/>
                <w:szCs w:val="21"/>
              </w:rPr>
            </w:pPr>
          </w:p>
        </w:tc>
        <w:tc>
          <w:tcPr>
            <w:tcW w:w="631" w:type="pct"/>
            <w:vAlign w:val="center"/>
          </w:tcPr>
          <w:p w14:paraId="1E47A4BA">
            <w:pPr>
              <w:spacing w:line="240" w:lineRule="auto"/>
              <w:ind w:firstLine="0" w:firstLineChars="0"/>
              <w:jc w:val="center"/>
              <w:rPr>
                <w:color w:val="auto"/>
                <w:kern w:val="0"/>
                <w:sz w:val="21"/>
                <w:szCs w:val="21"/>
              </w:rPr>
            </w:pPr>
          </w:p>
        </w:tc>
        <w:tc>
          <w:tcPr>
            <w:tcW w:w="620" w:type="pct"/>
            <w:vAlign w:val="center"/>
          </w:tcPr>
          <w:p w14:paraId="3D873908">
            <w:pPr>
              <w:spacing w:line="240" w:lineRule="auto"/>
              <w:ind w:firstLine="0" w:firstLineChars="0"/>
              <w:jc w:val="center"/>
              <w:rPr>
                <w:color w:val="auto"/>
                <w:kern w:val="0"/>
                <w:sz w:val="21"/>
                <w:szCs w:val="21"/>
              </w:rPr>
            </w:pPr>
          </w:p>
        </w:tc>
        <w:tc>
          <w:tcPr>
            <w:tcW w:w="621" w:type="pct"/>
            <w:vAlign w:val="center"/>
          </w:tcPr>
          <w:p w14:paraId="07A3A9FF">
            <w:pPr>
              <w:spacing w:line="240" w:lineRule="auto"/>
              <w:ind w:firstLine="0" w:firstLineChars="0"/>
              <w:jc w:val="center"/>
              <w:rPr>
                <w:color w:val="auto"/>
                <w:kern w:val="0"/>
                <w:sz w:val="21"/>
                <w:szCs w:val="21"/>
              </w:rPr>
            </w:pPr>
          </w:p>
        </w:tc>
        <w:tc>
          <w:tcPr>
            <w:tcW w:w="638" w:type="pct"/>
            <w:vAlign w:val="center"/>
          </w:tcPr>
          <w:p w14:paraId="2CBD570E">
            <w:pPr>
              <w:spacing w:line="240" w:lineRule="auto"/>
              <w:ind w:firstLine="0" w:firstLineChars="0"/>
              <w:jc w:val="center"/>
              <w:rPr>
                <w:color w:val="auto"/>
                <w:kern w:val="0"/>
                <w:sz w:val="21"/>
                <w:szCs w:val="21"/>
              </w:rPr>
            </w:pPr>
          </w:p>
        </w:tc>
      </w:tr>
      <w:tr w14:paraId="1E008C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7" w:hRule="atLeast"/>
          <w:jc w:val="center"/>
        </w:trPr>
        <w:tc>
          <w:tcPr>
            <w:tcW w:w="622" w:type="pct"/>
            <w:vMerge w:val="restart"/>
            <w:vAlign w:val="center"/>
          </w:tcPr>
          <w:p w14:paraId="7AAAEC0D">
            <w:pPr>
              <w:spacing w:line="240" w:lineRule="auto"/>
              <w:ind w:firstLine="0" w:firstLineChars="0"/>
              <w:jc w:val="center"/>
              <w:rPr>
                <w:color w:val="auto"/>
                <w:kern w:val="0"/>
                <w:sz w:val="21"/>
                <w:szCs w:val="21"/>
              </w:rPr>
            </w:pPr>
            <w:r>
              <w:rPr>
                <w:color w:val="auto"/>
                <w:kern w:val="0"/>
                <w:sz w:val="21"/>
                <w:szCs w:val="21"/>
              </w:rPr>
              <w:t>V9</w:t>
            </w:r>
          </w:p>
        </w:tc>
        <w:tc>
          <w:tcPr>
            <w:tcW w:w="620" w:type="pct"/>
            <w:vAlign w:val="center"/>
          </w:tcPr>
          <w:p w14:paraId="0A2EA4BD">
            <w:pPr>
              <w:spacing w:line="240" w:lineRule="auto"/>
              <w:ind w:firstLine="0" w:firstLineChars="0"/>
              <w:jc w:val="center"/>
              <w:rPr>
                <w:color w:val="auto"/>
                <w:kern w:val="0"/>
                <w:sz w:val="21"/>
                <w:szCs w:val="21"/>
              </w:rPr>
            </w:pPr>
            <w:r>
              <w:rPr>
                <w:color w:val="auto"/>
                <w:kern w:val="0"/>
                <w:sz w:val="21"/>
                <w:szCs w:val="21"/>
              </w:rPr>
              <w:t>表层</w:t>
            </w:r>
          </w:p>
        </w:tc>
        <w:tc>
          <w:tcPr>
            <w:tcW w:w="620" w:type="pct"/>
            <w:vAlign w:val="center"/>
          </w:tcPr>
          <w:p w14:paraId="3A729D6F">
            <w:pPr>
              <w:spacing w:line="240" w:lineRule="auto"/>
              <w:ind w:firstLine="0" w:firstLineChars="0"/>
              <w:jc w:val="center"/>
              <w:rPr>
                <w:color w:val="auto"/>
                <w:kern w:val="0"/>
                <w:sz w:val="21"/>
                <w:szCs w:val="21"/>
              </w:rPr>
            </w:pPr>
          </w:p>
        </w:tc>
        <w:tc>
          <w:tcPr>
            <w:tcW w:w="624" w:type="pct"/>
            <w:vAlign w:val="center"/>
          </w:tcPr>
          <w:p w14:paraId="5A0E7CB2">
            <w:pPr>
              <w:spacing w:line="240" w:lineRule="auto"/>
              <w:ind w:firstLine="0" w:firstLineChars="0"/>
              <w:jc w:val="center"/>
              <w:rPr>
                <w:color w:val="auto"/>
                <w:kern w:val="0"/>
                <w:sz w:val="21"/>
                <w:szCs w:val="21"/>
              </w:rPr>
            </w:pPr>
          </w:p>
        </w:tc>
        <w:tc>
          <w:tcPr>
            <w:tcW w:w="631" w:type="pct"/>
            <w:vAlign w:val="center"/>
          </w:tcPr>
          <w:p w14:paraId="78D29C8A">
            <w:pPr>
              <w:spacing w:line="240" w:lineRule="auto"/>
              <w:ind w:firstLine="0" w:firstLineChars="0"/>
              <w:jc w:val="center"/>
              <w:rPr>
                <w:color w:val="auto"/>
                <w:kern w:val="0"/>
                <w:sz w:val="21"/>
                <w:szCs w:val="21"/>
              </w:rPr>
            </w:pPr>
          </w:p>
        </w:tc>
        <w:tc>
          <w:tcPr>
            <w:tcW w:w="620" w:type="pct"/>
            <w:vAlign w:val="center"/>
          </w:tcPr>
          <w:p w14:paraId="42CC5F35">
            <w:pPr>
              <w:spacing w:line="240" w:lineRule="auto"/>
              <w:ind w:firstLine="0" w:firstLineChars="0"/>
              <w:jc w:val="center"/>
              <w:rPr>
                <w:color w:val="auto"/>
                <w:kern w:val="0"/>
                <w:sz w:val="21"/>
                <w:szCs w:val="21"/>
              </w:rPr>
            </w:pPr>
          </w:p>
        </w:tc>
        <w:tc>
          <w:tcPr>
            <w:tcW w:w="621" w:type="pct"/>
            <w:vAlign w:val="center"/>
          </w:tcPr>
          <w:p w14:paraId="356D3E82">
            <w:pPr>
              <w:spacing w:line="240" w:lineRule="auto"/>
              <w:ind w:firstLine="0" w:firstLineChars="0"/>
              <w:jc w:val="center"/>
              <w:rPr>
                <w:color w:val="auto"/>
                <w:kern w:val="0"/>
                <w:sz w:val="21"/>
                <w:szCs w:val="21"/>
              </w:rPr>
            </w:pPr>
          </w:p>
        </w:tc>
        <w:tc>
          <w:tcPr>
            <w:tcW w:w="638" w:type="pct"/>
            <w:vAlign w:val="center"/>
          </w:tcPr>
          <w:p w14:paraId="3B03DB4A">
            <w:pPr>
              <w:spacing w:line="240" w:lineRule="auto"/>
              <w:ind w:firstLine="0" w:firstLineChars="0"/>
              <w:jc w:val="center"/>
              <w:rPr>
                <w:color w:val="auto"/>
                <w:kern w:val="0"/>
                <w:sz w:val="21"/>
                <w:szCs w:val="21"/>
              </w:rPr>
            </w:pPr>
          </w:p>
        </w:tc>
      </w:tr>
      <w:tr w14:paraId="6F7C2A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161957E5">
            <w:pPr>
              <w:spacing w:line="240" w:lineRule="auto"/>
              <w:ind w:firstLine="0" w:firstLineChars="0"/>
              <w:jc w:val="center"/>
              <w:rPr>
                <w:color w:val="auto"/>
                <w:kern w:val="0"/>
                <w:sz w:val="21"/>
                <w:szCs w:val="21"/>
              </w:rPr>
            </w:pPr>
          </w:p>
        </w:tc>
        <w:tc>
          <w:tcPr>
            <w:tcW w:w="620" w:type="pct"/>
            <w:vAlign w:val="center"/>
          </w:tcPr>
          <w:p w14:paraId="654DBB8A">
            <w:pPr>
              <w:spacing w:line="240" w:lineRule="auto"/>
              <w:ind w:firstLine="0" w:firstLineChars="0"/>
              <w:jc w:val="center"/>
              <w:rPr>
                <w:color w:val="auto"/>
                <w:kern w:val="0"/>
                <w:sz w:val="21"/>
                <w:szCs w:val="21"/>
              </w:rPr>
            </w:pPr>
            <w:r>
              <w:rPr>
                <w:color w:val="auto"/>
                <w:kern w:val="0"/>
                <w:sz w:val="21"/>
                <w:szCs w:val="21"/>
              </w:rPr>
              <w:t>0.2H</w:t>
            </w:r>
          </w:p>
        </w:tc>
        <w:tc>
          <w:tcPr>
            <w:tcW w:w="620" w:type="pct"/>
            <w:vAlign w:val="center"/>
          </w:tcPr>
          <w:p w14:paraId="722084AE">
            <w:pPr>
              <w:spacing w:line="240" w:lineRule="auto"/>
              <w:ind w:firstLine="0" w:firstLineChars="0"/>
              <w:jc w:val="center"/>
              <w:rPr>
                <w:color w:val="auto"/>
                <w:kern w:val="0"/>
                <w:sz w:val="21"/>
                <w:szCs w:val="21"/>
              </w:rPr>
            </w:pPr>
          </w:p>
        </w:tc>
        <w:tc>
          <w:tcPr>
            <w:tcW w:w="624" w:type="pct"/>
            <w:vAlign w:val="center"/>
          </w:tcPr>
          <w:p w14:paraId="648F0876">
            <w:pPr>
              <w:spacing w:line="240" w:lineRule="auto"/>
              <w:ind w:firstLine="0" w:firstLineChars="0"/>
              <w:jc w:val="center"/>
              <w:rPr>
                <w:color w:val="auto"/>
                <w:kern w:val="0"/>
                <w:sz w:val="21"/>
                <w:szCs w:val="21"/>
              </w:rPr>
            </w:pPr>
          </w:p>
        </w:tc>
        <w:tc>
          <w:tcPr>
            <w:tcW w:w="631" w:type="pct"/>
            <w:vAlign w:val="center"/>
          </w:tcPr>
          <w:p w14:paraId="5E447D71">
            <w:pPr>
              <w:spacing w:line="240" w:lineRule="auto"/>
              <w:ind w:firstLine="0" w:firstLineChars="0"/>
              <w:jc w:val="center"/>
              <w:rPr>
                <w:color w:val="auto"/>
                <w:kern w:val="0"/>
                <w:sz w:val="21"/>
                <w:szCs w:val="21"/>
              </w:rPr>
            </w:pPr>
          </w:p>
        </w:tc>
        <w:tc>
          <w:tcPr>
            <w:tcW w:w="620" w:type="pct"/>
            <w:vAlign w:val="center"/>
          </w:tcPr>
          <w:p w14:paraId="048D4B72">
            <w:pPr>
              <w:spacing w:line="240" w:lineRule="auto"/>
              <w:ind w:firstLine="0" w:firstLineChars="0"/>
              <w:jc w:val="center"/>
              <w:rPr>
                <w:color w:val="auto"/>
                <w:kern w:val="0"/>
                <w:sz w:val="21"/>
                <w:szCs w:val="21"/>
              </w:rPr>
            </w:pPr>
          </w:p>
        </w:tc>
        <w:tc>
          <w:tcPr>
            <w:tcW w:w="621" w:type="pct"/>
            <w:vAlign w:val="center"/>
          </w:tcPr>
          <w:p w14:paraId="3B93FD67">
            <w:pPr>
              <w:spacing w:line="240" w:lineRule="auto"/>
              <w:ind w:firstLine="0" w:firstLineChars="0"/>
              <w:jc w:val="center"/>
              <w:rPr>
                <w:color w:val="auto"/>
                <w:kern w:val="0"/>
                <w:sz w:val="21"/>
                <w:szCs w:val="21"/>
              </w:rPr>
            </w:pPr>
          </w:p>
        </w:tc>
        <w:tc>
          <w:tcPr>
            <w:tcW w:w="638" w:type="pct"/>
            <w:vAlign w:val="center"/>
          </w:tcPr>
          <w:p w14:paraId="376D199B">
            <w:pPr>
              <w:spacing w:line="240" w:lineRule="auto"/>
              <w:ind w:firstLine="0" w:firstLineChars="0"/>
              <w:jc w:val="center"/>
              <w:rPr>
                <w:color w:val="auto"/>
                <w:kern w:val="0"/>
                <w:sz w:val="21"/>
                <w:szCs w:val="21"/>
              </w:rPr>
            </w:pPr>
          </w:p>
        </w:tc>
      </w:tr>
      <w:tr w14:paraId="563671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7" w:hRule="atLeast"/>
          <w:jc w:val="center"/>
        </w:trPr>
        <w:tc>
          <w:tcPr>
            <w:tcW w:w="622" w:type="pct"/>
            <w:vMerge w:val="continue"/>
            <w:vAlign w:val="center"/>
          </w:tcPr>
          <w:p w14:paraId="096BA6AB">
            <w:pPr>
              <w:spacing w:line="240" w:lineRule="auto"/>
              <w:ind w:firstLine="0" w:firstLineChars="0"/>
              <w:jc w:val="center"/>
              <w:rPr>
                <w:color w:val="auto"/>
                <w:kern w:val="0"/>
                <w:sz w:val="21"/>
                <w:szCs w:val="21"/>
              </w:rPr>
            </w:pPr>
          </w:p>
        </w:tc>
        <w:tc>
          <w:tcPr>
            <w:tcW w:w="620" w:type="pct"/>
            <w:vAlign w:val="center"/>
          </w:tcPr>
          <w:p w14:paraId="01E5B42F">
            <w:pPr>
              <w:spacing w:line="240" w:lineRule="auto"/>
              <w:ind w:firstLine="0" w:firstLineChars="0"/>
              <w:jc w:val="center"/>
              <w:rPr>
                <w:color w:val="auto"/>
                <w:kern w:val="0"/>
                <w:sz w:val="21"/>
                <w:szCs w:val="21"/>
              </w:rPr>
            </w:pPr>
            <w:r>
              <w:rPr>
                <w:color w:val="auto"/>
                <w:kern w:val="0"/>
                <w:sz w:val="21"/>
                <w:szCs w:val="21"/>
              </w:rPr>
              <w:t>0.4H</w:t>
            </w:r>
          </w:p>
        </w:tc>
        <w:tc>
          <w:tcPr>
            <w:tcW w:w="620" w:type="pct"/>
            <w:vAlign w:val="center"/>
          </w:tcPr>
          <w:p w14:paraId="643E1C2E">
            <w:pPr>
              <w:spacing w:line="240" w:lineRule="auto"/>
              <w:ind w:firstLine="0" w:firstLineChars="0"/>
              <w:jc w:val="center"/>
              <w:rPr>
                <w:color w:val="auto"/>
                <w:kern w:val="0"/>
                <w:sz w:val="21"/>
                <w:szCs w:val="21"/>
              </w:rPr>
            </w:pPr>
          </w:p>
        </w:tc>
        <w:tc>
          <w:tcPr>
            <w:tcW w:w="624" w:type="pct"/>
            <w:vAlign w:val="center"/>
          </w:tcPr>
          <w:p w14:paraId="3DCBF7E4">
            <w:pPr>
              <w:spacing w:line="240" w:lineRule="auto"/>
              <w:ind w:firstLine="0" w:firstLineChars="0"/>
              <w:jc w:val="center"/>
              <w:rPr>
                <w:color w:val="auto"/>
                <w:kern w:val="0"/>
                <w:sz w:val="21"/>
                <w:szCs w:val="21"/>
              </w:rPr>
            </w:pPr>
          </w:p>
        </w:tc>
        <w:tc>
          <w:tcPr>
            <w:tcW w:w="631" w:type="pct"/>
            <w:vAlign w:val="center"/>
          </w:tcPr>
          <w:p w14:paraId="54F1B4E0">
            <w:pPr>
              <w:spacing w:line="240" w:lineRule="auto"/>
              <w:ind w:firstLine="0" w:firstLineChars="0"/>
              <w:jc w:val="center"/>
              <w:rPr>
                <w:color w:val="auto"/>
                <w:kern w:val="0"/>
                <w:sz w:val="21"/>
                <w:szCs w:val="21"/>
              </w:rPr>
            </w:pPr>
          </w:p>
        </w:tc>
        <w:tc>
          <w:tcPr>
            <w:tcW w:w="620" w:type="pct"/>
            <w:vAlign w:val="center"/>
          </w:tcPr>
          <w:p w14:paraId="57B4E76A">
            <w:pPr>
              <w:spacing w:line="240" w:lineRule="auto"/>
              <w:ind w:firstLine="0" w:firstLineChars="0"/>
              <w:jc w:val="center"/>
              <w:rPr>
                <w:color w:val="auto"/>
                <w:kern w:val="0"/>
                <w:sz w:val="21"/>
                <w:szCs w:val="21"/>
              </w:rPr>
            </w:pPr>
          </w:p>
        </w:tc>
        <w:tc>
          <w:tcPr>
            <w:tcW w:w="621" w:type="pct"/>
            <w:vAlign w:val="center"/>
          </w:tcPr>
          <w:p w14:paraId="521EB8E1">
            <w:pPr>
              <w:spacing w:line="240" w:lineRule="auto"/>
              <w:ind w:firstLine="0" w:firstLineChars="0"/>
              <w:jc w:val="center"/>
              <w:rPr>
                <w:color w:val="auto"/>
                <w:kern w:val="0"/>
                <w:sz w:val="21"/>
                <w:szCs w:val="21"/>
              </w:rPr>
            </w:pPr>
          </w:p>
        </w:tc>
        <w:tc>
          <w:tcPr>
            <w:tcW w:w="638" w:type="pct"/>
            <w:vAlign w:val="center"/>
          </w:tcPr>
          <w:p w14:paraId="7FA774BD">
            <w:pPr>
              <w:spacing w:line="240" w:lineRule="auto"/>
              <w:ind w:firstLine="0" w:firstLineChars="0"/>
              <w:jc w:val="center"/>
              <w:rPr>
                <w:color w:val="auto"/>
                <w:kern w:val="0"/>
                <w:sz w:val="21"/>
                <w:szCs w:val="21"/>
              </w:rPr>
            </w:pPr>
          </w:p>
        </w:tc>
      </w:tr>
      <w:tr w14:paraId="6327EB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01A057DD">
            <w:pPr>
              <w:spacing w:line="240" w:lineRule="auto"/>
              <w:ind w:firstLine="0" w:firstLineChars="0"/>
              <w:jc w:val="center"/>
              <w:rPr>
                <w:color w:val="auto"/>
                <w:kern w:val="0"/>
                <w:sz w:val="21"/>
                <w:szCs w:val="21"/>
              </w:rPr>
            </w:pPr>
          </w:p>
        </w:tc>
        <w:tc>
          <w:tcPr>
            <w:tcW w:w="620" w:type="pct"/>
            <w:vAlign w:val="center"/>
          </w:tcPr>
          <w:p w14:paraId="7F577992">
            <w:pPr>
              <w:spacing w:line="240" w:lineRule="auto"/>
              <w:ind w:firstLine="0" w:firstLineChars="0"/>
              <w:jc w:val="center"/>
              <w:rPr>
                <w:color w:val="auto"/>
                <w:kern w:val="0"/>
                <w:sz w:val="21"/>
                <w:szCs w:val="21"/>
              </w:rPr>
            </w:pPr>
            <w:r>
              <w:rPr>
                <w:color w:val="auto"/>
                <w:kern w:val="0"/>
                <w:sz w:val="21"/>
                <w:szCs w:val="21"/>
              </w:rPr>
              <w:t>0.6H</w:t>
            </w:r>
          </w:p>
        </w:tc>
        <w:tc>
          <w:tcPr>
            <w:tcW w:w="620" w:type="pct"/>
            <w:vAlign w:val="center"/>
          </w:tcPr>
          <w:p w14:paraId="59DFD066">
            <w:pPr>
              <w:spacing w:line="240" w:lineRule="auto"/>
              <w:ind w:firstLine="0" w:firstLineChars="0"/>
              <w:jc w:val="center"/>
              <w:rPr>
                <w:color w:val="auto"/>
                <w:kern w:val="0"/>
                <w:sz w:val="21"/>
                <w:szCs w:val="21"/>
              </w:rPr>
            </w:pPr>
          </w:p>
        </w:tc>
        <w:tc>
          <w:tcPr>
            <w:tcW w:w="624" w:type="pct"/>
            <w:vAlign w:val="center"/>
          </w:tcPr>
          <w:p w14:paraId="7A4AAFE5">
            <w:pPr>
              <w:spacing w:line="240" w:lineRule="auto"/>
              <w:ind w:firstLine="0" w:firstLineChars="0"/>
              <w:jc w:val="center"/>
              <w:rPr>
                <w:color w:val="auto"/>
                <w:kern w:val="0"/>
                <w:sz w:val="21"/>
                <w:szCs w:val="21"/>
              </w:rPr>
            </w:pPr>
          </w:p>
        </w:tc>
        <w:tc>
          <w:tcPr>
            <w:tcW w:w="631" w:type="pct"/>
            <w:vAlign w:val="center"/>
          </w:tcPr>
          <w:p w14:paraId="1E4AD20A">
            <w:pPr>
              <w:spacing w:line="240" w:lineRule="auto"/>
              <w:ind w:firstLine="0" w:firstLineChars="0"/>
              <w:jc w:val="center"/>
              <w:rPr>
                <w:color w:val="auto"/>
                <w:kern w:val="0"/>
                <w:sz w:val="21"/>
                <w:szCs w:val="21"/>
              </w:rPr>
            </w:pPr>
          </w:p>
        </w:tc>
        <w:tc>
          <w:tcPr>
            <w:tcW w:w="620" w:type="pct"/>
            <w:vAlign w:val="center"/>
          </w:tcPr>
          <w:p w14:paraId="37688833">
            <w:pPr>
              <w:spacing w:line="240" w:lineRule="auto"/>
              <w:ind w:firstLine="0" w:firstLineChars="0"/>
              <w:jc w:val="center"/>
              <w:rPr>
                <w:color w:val="auto"/>
                <w:kern w:val="0"/>
                <w:sz w:val="21"/>
                <w:szCs w:val="21"/>
              </w:rPr>
            </w:pPr>
          </w:p>
        </w:tc>
        <w:tc>
          <w:tcPr>
            <w:tcW w:w="621" w:type="pct"/>
            <w:vAlign w:val="center"/>
          </w:tcPr>
          <w:p w14:paraId="403DD9B4">
            <w:pPr>
              <w:spacing w:line="240" w:lineRule="auto"/>
              <w:ind w:firstLine="0" w:firstLineChars="0"/>
              <w:jc w:val="center"/>
              <w:rPr>
                <w:color w:val="auto"/>
                <w:kern w:val="0"/>
                <w:sz w:val="21"/>
                <w:szCs w:val="21"/>
              </w:rPr>
            </w:pPr>
          </w:p>
        </w:tc>
        <w:tc>
          <w:tcPr>
            <w:tcW w:w="638" w:type="pct"/>
            <w:vAlign w:val="center"/>
          </w:tcPr>
          <w:p w14:paraId="1FD5ABAE">
            <w:pPr>
              <w:spacing w:line="240" w:lineRule="auto"/>
              <w:ind w:firstLine="0" w:firstLineChars="0"/>
              <w:jc w:val="center"/>
              <w:rPr>
                <w:color w:val="auto"/>
                <w:kern w:val="0"/>
                <w:sz w:val="21"/>
                <w:szCs w:val="21"/>
              </w:rPr>
            </w:pPr>
          </w:p>
        </w:tc>
      </w:tr>
      <w:tr w14:paraId="553A2A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continue"/>
            <w:vAlign w:val="center"/>
          </w:tcPr>
          <w:p w14:paraId="0D75392C">
            <w:pPr>
              <w:spacing w:line="240" w:lineRule="auto"/>
              <w:ind w:firstLine="0" w:firstLineChars="0"/>
              <w:jc w:val="center"/>
              <w:rPr>
                <w:color w:val="auto"/>
                <w:kern w:val="0"/>
                <w:sz w:val="21"/>
                <w:szCs w:val="21"/>
              </w:rPr>
            </w:pPr>
          </w:p>
        </w:tc>
        <w:tc>
          <w:tcPr>
            <w:tcW w:w="620" w:type="pct"/>
            <w:vAlign w:val="center"/>
          </w:tcPr>
          <w:p w14:paraId="651F0614">
            <w:pPr>
              <w:spacing w:line="240" w:lineRule="auto"/>
              <w:ind w:firstLine="0" w:firstLineChars="0"/>
              <w:jc w:val="center"/>
              <w:rPr>
                <w:color w:val="auto"/>
                <w:kern w:val="0"/>
                <w:sz w:val="21"/>
                <w:szCs w:val="21"/>
              </w:rPr>
            </w:pPr>
            <w:r>
              <w:rPr>
                <w:color w:val="auto"/>
                <w:kern w:val="0"/>
                <w:sz w:val="21"/>
                <w:szCs w:val="21"/>
              </w:rPr>
              <w:t>0.8H</w:t>
            </w:r>
          </w:p>
        </w:tc>
        <w:tc>
          <w:tcPr>
            <w:tcW w:w="620" w:type="pct"/>
            <w:vAlign w:val="center"/>
          </w:tcPr>
          <w:p w14:paraId="723916D6">
            <w:pPr>
              <w:spacing w:line="240" w:lineRule="auto"/>
              <w:ind w:firstLine="0" w:firstLineChars="0"/>
              <w:jc w:val="center"/>
              <w:rPr>
                <w:color w:val="auto"/>
                <w:kern w:val="0"/>
                <w:sz w:val="21"/>
                <w:szCs w:val="21"/>
              </w:rPr>
            </w:pPr>
          </w:p>
        </w:tc>
        <w:tc>
          <w:tcPr>
            <w:tcW w:w="624" w:type="pct"/>
            <w:vAlign w:val="center"/>
          </w:tcPr>
          <w:p w14:paraId="132E0D53">
            <w:pPr>
              <w:spacing w:line="240" w:lineRule="auto"/>
              <w:ind w:firstLine="0" w:firstLineChars="0"/>
              <w:jc w:val="center"/>
              <w:rPr>
                <w:color w:val="auto"/>
                <w:kern w:val="0"/>
                <w:sz w:val="21"/>
                <w:szCs w:val="21"/>
              </w:rPr>
            </w:pPr>
          </w:p>
        </w:tc>
        <w:tc>
          <w:tcPr>
            <w:tcW w:w="631" w:type="pct"/>
            <w:vAlign w:val="center"/>
          </w:tcPr>
          <w:p w14:paraId="68C1ED1C">
            <w:pPr>
              <w:spacing w:line="240" w:lineRule="auto"/>
              <w:ind w:firstLine="0" w:firstLineChars="0"/>
              <w:jc w:val="center"/>
              <w:rPr>
                <w:color w:val="auto"/>
                <w:kern w:val="0"/>
                <w:sz w:val="21"/>
                <w:szCs w:val="21"/>
              </w:rPr>
            </w:pPr>
          </w:p>
        </w:tc>
        <w:tc>
          <w:tcPr>
            <w:tcW w:w="620" w:type="pct"/>
            <w:vAlign w:val="center"/>
          </w:tcPr>
          <w:p w14:paraId="72B241B5">
            <w:pPr>
              <w:spacing w:line="240" w:lineRule="auto"/>
              <w:ind w:firstLine="0" w:firstLineChars="0"/>
              <w:jc w:val="center"/>
              <w:rPr>
                <w:color w:val="auto"/>
                <w:kern w:val="0"/>
                <w:sz w:val="21"/>
                <w:szCs w:val="21"/>
              </w:rPr>
            </w:pPr>
          </w:p>
        </w:tc>
        <w:tc>
          <w:tcPr>
            <w:tcW w:w="621" w:type="pct"/>
            <w:vAlign w:val="center"/>
          </w:tcPr>
          <w:p w14:paraId="3B8FA43B">
            <w:pPr>
              <w:spacing w:line="240" w:lineRule="auto"/>
              <w:ind w:firstLine="0" w:firstLineChars="0"/>
              <w:jc w:val="center"/>
              <w:rPr>
                <w:color w:val="auto"/>
                <w:kern w:val="0"/>
                <w:sz w:val="21"/>
                <w:szCs w:val="21"/>
              </w:rPr>
            </w:pPr>
          </w:p>
        </w:tc>
        <w:tc>
          <w:tcPr>
            <w:tcW w:w="638" w:type="pct"/>
            <w:vAlign w:val="center"/>
          </w:tcPr>
          <w:p w14:paraId="109C3F6E">
            <w:pPr>
              <w:spacing w:line="240" w:lineRule="auto"/>
              <w:ind w:firstLine="0" w:firstLineChars="0"/>
              <w:jc w:val="center"/>
              <w:rPr>
                <w:color w:val="auto"/>
                <w:kern w:val="0"/>
                <w:sz w:val="21"/>
                <w:szCs w:val="21"/>
              </w:rPr>
            </w:pPr>
          </w:p>
        </w:tc>
      </w:tr>
      <w:tr w14:paraId="3C6808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6" w:hRule="atLeast"/>
          <w:jc w:val="center"/>
        </w:trPr>
        <w:tc>
          <w:tcPr>
            <w:tcW w:w="622" w:type="pct"/>
            <w:vMerge w:val="continue"/>
            <w:vAlign w:val="center"/>
          </w:tcPr>
          <w:p w14:paraId="33715B5D">
            <w:pPr>
              <w:spacing w:line="240" w:lineRule="auto"/>
              <w:ind w:firstLine="0" w:firstLineChars="0"/>
              <w:jc w:val="center"/>
              <w:rPr>
                <w:color w:val="auto"/>
                <w:kern w:val="0"/>
                <w:sz w:val="21"/>
                <w:szCs w:val="21"/>
              </w:rPr>
            </w:pPr>
          </w:p>
        </w:tc>
        <w:tc>
          <w:tcPr>
            <w:tcW w:w="620" w:type="pct"/>
            <w:vAlign w:val="center"/>
          </w:tcPr>
          <w:p w14:paraId="1ECAD627">
            <w:pPr>
              <w:spacing w:line="240" w:lineRule="auto"/>
              <w:ind w:firstLine="0" w:firstLineChars="0"/>
              <w:jc w:val="center"/>
              <w:rPr>
                <w:color w:val="auto"/>
                <w:kern w:val="0"/>
                <w:sz w:val="21"/>
                <w:szCs w:val="21"/>
              </w:rPr>
            </w:pPr>
            <w:r>
              <w:rPr>
                <w:color w:val="auto"/>
                <w:kern w:val="0"/>
                <w:sz w:val="21"/>
                <w:szCs w:val="21"/>
              </w:rPr>
              <w:t>底层</w:t>
            </w:r>
          </w:p>
        </w:tc>
        <w:tc>
          <w:tcPr>
            <w:tcW w:w="620" w:type="pct"/>
            <w:vAlign w:val="center"/>
          </w:tcPr>
          <w:p w14:paraId="66866810">
            <w:pPr>
              <w:spacing w:line="240" w:lineRule="auto"/>
              <w:ind w:firstLine="0" w:firstLineChars="0"/>
              <w:jc w:val="center"/>
              <w:rPr>
                <w:color w:val="auto"/>
                <w:kern w:val="0"/>
                <w:sz w:val="21"/>
                <w:szCs w:val="21"/>
              </w:rPr>
            </w:pPr>
          </w:p>
        </w:tc>
        <w:tc>
          <w:tcPr>
            <w:tcW w:w="624" w:type="pct"/>
            <w:vAlign w:val="center"/>
          </w:tcPr>
          <w:p w14:paraId="4D531C1B">
            <w:pPr>
              <w:spacing w:line="240" w:lineRule="auto"/>
              <w:ind w:firstLine="0" w:firstLineChars="0"/>
              <w:jc w:val="center"/>
              <w:rPr>
                <w:color w:val="auto"/>
                <w:kern w:val="0"/>
                <w:sz w:val="21"/>
                <w:szCs w:val="21"/>
              </w:rPr>
            </w:pPr>
          </w:p>
        </w:tc>
        <w:tc>
          <w:tcPr>
            <w:tcW w:w="631" w:type="pct"/>
            <w:vAlign w:val="center"/>
          </w:tcPr>
          <w:p w14:paraId="086A200A">
            <w:pPr>
              <w:spacing w:line="240" w:lineRule="auto"/>
              <w:ind w:firstLine="0" w:firstLineChars="0"/>
              <w:jc w:val="center"/>
              <w:rPr>
                <w:color w:val="auto"/>
                <w:kern w:val="0"/>
                <w:sz w:val="21"/>
                <w:szCs w:val="21"/>
              </w:rPr>
            </w:pPr>
          </w:p>
        </w:tc>
        <w:tc>
          <w:tcPr>
            <w:tcW w:w="620" w:type="pct"/>
            <w:vAlign w:val="center"/>
          </w:tcPr>
          <w:p w14:paraId="6A5BC625">
            <w:pPr>
              <w:spacing w:line="240" w:lineRule="auto"/>
              <w:ind w:firstLine="0" w:firstLineChars="0"/>
              <w:jc w:val="center"/>
              <w:rPr>
                <w:color w:val="auto"/>
                <w:kern w:val="0"/>
                <w:sz w:val="21"/>
                <w:szCs w:val="21"/>
              </w:rPr>
            </w:pPr>
          </w:p>
        </w:tc>
        <w:tc>
          <w:tcPr>
            <w:tcW w:w="621" w:type="pct"/>
            <w:vAlign w:val="center"/>
          </w:tcPr>
          <w:p w14:paraId="5DCD6137">
            <w:pPr>
              <w:spacing w:line="240" w:lineRule="auto"/>
              <w:ind w:firstLine="0" w:firstLineChars="0"/>
              <w:jc w:val="center"/>
              <w:rPr>
                <w:color w:val="auto"/>
                <w:kern w:val="0"/>
                <w:sz w:val="21"/>
                <w:szCs w:val="21"/>
              </w:rPr>
            </w:pPr>
          </w:p>
        </w:tc>
        <w:tc>
          <w:tcPr>
            <w:tcW w:w="638" w:type="pct"/>
            <w:vAlign w:val="center"/>
          </w:tcPr>
          <w:p w14:paraId="2B176AC6">
            <w:pPr>
              <w:spacing w:line="240" w:lineRule="auto"/>
              <w:ind w:firstLine="0" w:firstLineChars="0"/>
              <w:jc w:val="center"/>
              <w:rPr>
                <w:color w:val="auto"/>
                <w:kern w:val="0"/>
                <w:sz w:val="21"/>
                <w:szCs w:val="21"/>
              </w:rPr>
            </w:pPr>
          </w:p>
        </w:tc>
      </w:tr>
      <w:tr w14:paraId="514C04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31" w:hRule="atLeast"/>
          <w:jc w:val="center"/>
        </w:trPr>
        <w:tc>
          <w:tcPr>
            <w:tcW w:w="622" w:type="pct"/>
            <w:vMerge w:val="continue"/>
            <w:vAlign w:val="center"/>
          </w:tcPr>
          <w:p w14:paraId="7E0A61B8">
            <w:pPr>
              <w:spacing w:line="240" w:lineRule="auto"/>
              <w:ind w:firstLine="0" w:firstLineChars="0"/>
              <w:jc w:val="center"/>
              <w:rPr>
                <w:color w:val="auto"/>
                <w:kern w:val="0"/>
                <w:sz w:val="21"/>
                <w:szCs w:val="21"/>
              </w:rPr>
            </w:pPr>
          </w:p>
        </w:tc>
        <w:tc>
          <w:tcPr>
            <w:tcW w:w="620" w:type="pct"/>
            <w:vAlign w:val="center"/>
          </w:tcPr>
          <w:p w14:paraId="6F53BF1C">
            <w:pPr>
              <w:spacing w:line="240" w:lineRule="auto"/>
              <w:ind w:firstLine="0" w:firstLineChars="0"/>
              <w:jc w:val="center"/>
              <w:rPr>
                <w:color w:val="auto"/>
                <w:kern w:val="0"/>
                <w:sz w:val="21"/>
                <w:szCs w:val="21"/>
              </w:rPr>
            </w:pPr>
            <w:r>
              <w:rPr>
                <w:color w:val="auto"/>
                <w:kern w:val="0"/>
                <w:sz w:val="21"/>
                <w:szCs w:val="21"/>
              </w:rPr>
              <w:t>垂线</w:t>
            </w:r>
          </w:p>
        </w:tc>
        <w:tc>
          <w:tcPr>
            <w:tcW w:w="620" w:type="pct"/>
            <w:vAlign w:val="center"/>
          </w:tcPr>
          <w:p w14:paraId="7AD78B55">
            <w:pPr>
              <w:spacing w:line="240" w:lineRule="auto"/>
              <w:ind w:firstLine="0" w:firstLineChars="0"/>
              <w:jc w:val="center"/>
              <w:rPr>
                <w:color w:val="auto"/>
                <w:kern w:val="0"/>
                <w:sz w:val="21"/>
                <w:szCs w:val="21"/>
              </w:rPr>
            </w:pPr>
          </w:p>
        </w:tc>
        <w:tc>
          <w:tcPr>
            <w:tcW w:w="624" w:type="pct"/>
            <w:vAlign w:val="center"/>
          </w:tcPr>
          <w:p w14:paraId="3A0926F4">
            <w:pPr>
              <w:spacing w:line="240" w:lineRule="auto"/>
              <w:ind w:firstLine="0" w:firstLineChars="0"/>
              <w:jc w:val="center"/>
              <w:rPr>
                <w:color w:val="auto"/>
                <w:kern w:val="0"/>
                <w:sz w:val="21"/>
                <w:szCs w:val="21"/>
              </w:rPr>
            </w:pPr>
          </w:p>
        </w:tc>
        <w:tc>
          <w:tcPr>
            <w:tcW w:w="631" w:type="pct"/>
            <w:vAlign w:val="center"/>
          </w:tcPr>
          <w:p w14:paraId="0C2827D9">
            <w:pPr>
              <w:spacing w:line="240" w:lineRule="auto"/>
              <w:ind w:firstLine="0" w:firstLineChars="0"/>
              <w:jc w:val="center"/>
              <w:rPr>
                <w:color w:val="auto"/>
                <w:kern w:val="0"/>
                <w:sz w:val="21"/>
                <w:szCs w:val="21"/>
              </w:rPr>
            </w:pPr>
          </w:p>
        </w:tc>
        <w:tc>
          <w:tcPr>
            <w:tcW w:w="620" w:type="pct"/>
            <w:vAlign w:val="center"/>
          </w:tcPr>
          <w:p w14:paraId="7B8D7510">
            <w:pPr>
              <w:spacing w:line="240" w:lineRule="auto"/>
              <w:ind w:firstLine="0" w:firstLineChars="0"/>
              <w:jc w:val="center"/>
              <w:rPr>
                <w:color w:val="auto"/>
                <w:kern w:val="0"/>
                <w:sz w:val="21"/>
                <w:szCs w:val="21"/>
              </w:rPr>
            </w:pPr>
          </w:p>
        </w:tc>
        <w:tc>
          <w:tcPr>
            <w:tcW w:w="621" w:type="pct"/>
            <w:vAlign w:val="center"/>
          </w:tcPr>
          <w:p w14:paraId="7CD0E0B8">
            <w:pPr>
              <w:spacing w:line="240" w:lineRule="auto"/>
              <w:ind w:firstLine="0" w:firstLineChars="0"/>
              <w:jc w:val="center"/>
              <w:rPr>
                <w:color w:val="auto"/>
                <w:kern w:val="0"/>
                <w:sz w:val="21"/>
                <w:szCs w:val="21"/>
              </w:rPr>
            </w:pPr>
          </w:p>
        </w:tc>
        <w:tc>
          <w:tcPr>
            <w:tcW w:w="638" w:type="pct"/>
            <w:vAlign w:val="center"/>
          </w:tcPr>
          <w:p w14:paraId="7449E10F">
            <w:pPr>
              <w:spacing w:line="240" w:lineRule="auto"/>
              <w:ind w:firstLine="0" w:firstLineChars="0"/>
              <w:jc w:val="center"/>
              <w:rPr>
                <w:color w:val="auto"/>
                <w:kern w:val="0"/>
                <w:sz w:val="21"/>
                <w:szCs w:val="21"/>
              </w:rPr>
            </w:pPr>
          </w:p>
        </w:tc>
      </w:tr>
    </w:tbl>
    <w:p w14:paraId="6C47D77B">
      <w:pPr>
        <w:ind w:firstLine="0" w:firstLineChars="0"/>
        <w:jc w:val="center"/>
        <w:rPr>
          <w:color w:val="auto"/>
          <w:kern w:val="0"/>
          <w:szCs w:val="20"/>
        </w:rPr>
      </w:pPr>
      <w:r>
        <w:rPr>
          <w:color w:val="auto"/>
          <w:kern w:val="0"/>
          <w:szCs w:val="20"/>
        </w:rPr>
        <w:drawing>
          <wp:inline distT="0" distB="0" distL="0" distR="0">
            <wp:extent cx="2819400" cy="25908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2819400" cy="2590800"/>
                    </a:xfrm>
                    <a:prstGeom prst="rect">
                      <a:avLst/>
                    </a:prstGeom>
                    <a:noFill/>
                    <a:ln>
                      <a:noFill/>
                    </a:ln>
                    <a:effectLst/>
                  </pic:spPr>
                </pic:pic>
              </a:graphicData>
            </a:graphic>
          </wp:inline>
        </w:drawing>
      </w:r>
      <w:r>
        <w:rPr>
          <w:color w:val="auto"/>
          <w:kern w:val="0"/>
          <w:szCs w:val="20"/>
        </w:rPr>
        <w:drawing>
          <wp:inline distT="0" distB="0" distL="0" distR="0">
            <wp:extent cx="2838450" cy="25908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838450" cy="2590800"/>
                    </a:xfrm>
                    <a:prstGeom prst="rect">
                      <a:avLst/>
                    </a:prstGeom>
                    <a:noFill/>
                    <a:ln>
                      <a:noFill/>
                    </a:ln>
                  </pic:spPr>
                </pic:pic>
              </a:graphicData>
            </a:graphic>
          </wp:inline>
        </w:drawing>
      </w:r>
    </w:p>
    <w:p w14:paraId="1B2273EF">
      <w:pPr>
        <w:spacing w:line="240" w:lineRule="auto"/>
        <w:ind w:firstLine="2160" w:firstLineChars="900"/>
        <w:rPr>
          <w:color w:val="auto"/>
          <w:kern w:val="0"/>
          <w:szCs w:val="20"/>
        </w:rPr>
      </w:pPr>
      <w:r>
        <w:rPr>
          <w:rFonts w:hint="eastAsia"/>
          <w:color w:val="auto"/>
          <w:kern w:val="0"/>
          <w:szCs w:val="20"/>
        </w:rPr>
        <w:t>小潮大潮</w:t>
      </w:r>
    </w:p>
    <w:p w14:paraId="13C6612F">
      <w:pPr>
        <w:pStyle w:val="14"/>
        <w:rPr>
          <w:b w:val="0"/>
          <w:color w:val="auto"/>
        </w:rPr>
      </w:pPr>
      <w:r>
        <w:rPr>
          <w:rFonts w:hint="eastAsia"/>
          <w:color w:val="auto"/>
        </w:rPr>
        <w:t>图</w:t>
      </w:r>
      <w:r>
        <w:rPr>
          <w:color w:val="auto"/>
        </w:rPr>
        <w:t>3.7</w:t>
      </w:r>
      <w:r>
        <w:rPr>
          <w:color w:val="auto"/>
        </w:rPr>
        <w:noBreakHyphen/>
      </w:r>
      <w:r>
        <w:rPr>
          <w:color w:val="auto"/>
        </w:rPr>
        <w:t>6各潮流站垂线平均潮流矢量图</w:t>
      </w:r>
    </w:p>
    <w:p w14:paraId="3C8AF4E2">
      <w:pPr>
        <w:ind w:firstLine="480"/>
        <w:rPr>
          <w:color w:val="auto"/>
          <w:kern w:val="0"/>
          <w:szCs w:val="20"/>
        </w:rPr>
      </w:pPr>
      <w:r>
        <w:rPr>
          <w:rFonts w:hint="eastAsia"/>
          <w:color w:val="auto"/>
          <w:kern w:val="0"/>
          <w:szCs w:val="20"/>
        </w:rPr>
        <w:t>（2）</w:t>
      </w:r>
      <w:r>
        <w:rPr>
          <w:color w:val="auto"/>
          <w:kern w:val="0"/>
          <w:szCs w:val="20"/>
        </w:rPr>
        <w:t>余流</w:t>
      </w:r>
    </w:p>
    <w:p w14:paraId="39E14D68">
      <w:pPr>
        <w:ind w:firstLine="480"/>
        <w:rPr>
          <w:color w:val="auto"/>
          <w:kern w:val="0"/>
          <w:szCs w:val="20"/>
        </w:rPr>
      </w:pPr>
      <w:r>
        <w:rPr>
          <w:color w:val="auto"/>
          <w:kern w:val="0"/>
          <w:szCs w:val="20"/>
        </w:rPr>
        <w:t>余流是指剔除周期性变化潮流之后的一种相对稳定的流动。然而由于受分析方法和计算资料序列的限制，本次水文观测各潮流站各层余流数据对比如下表所示。列出的余流值仍可能包含部分尚未被分离的潮流成分，但其结果仍可表征某些统计性的规律。由此可见：</w:t>
      </w:r>
    </w:p>
    <w:p w14:paraId="13635751">
      <w:pPr>
        <w:ind w:firstLine="480"/>
        <w:rPr>
          <w:color w:val="auto"/>
          <w:kern w:val="0"/>
          <w:szCs w:val="20"/>
        </w:rPr>
      </w:pPr>
      <w:r>
        <w:rPr>
          <w:rFonts w:hint="eastAsia"/>
          <w:color w:val="auto"/>
          <w:kern w:val="0"/>
          <w:szCs w:val="20"/>
        </w:rPr>
        <w:t>①</w:t>
      </w:r>
      <w:r>
        <w:rPr>
          <w:color w:val="auto"/>
          <w:kern w:val="0"/>
          <w:szCs w:val="20"/>
        </w:rPr>
        <w:t>测区大潮余流相对较大，整个测验期间的大潮平均余流为5.78cm/s，对应流向226°；小潮平均余流为6.48cm/s，对应流向263°。</w:t>
      </w:r>
    </w:p>
    <w:p w14:paraId="65196B4E">
      <w:pPr>
        <w:ind w:firstLine="480"/>
        <w:rPr>
          <w:color w:val="auto"/>
          <w:kern w:val="0"/>
          <w:szCs w:val="20"/>
        </w:rPr>
      </w:pPr>
      <w:r>
        <w:rPr>
          <w:rFonts w:hint="eastAsia"/>
          <w:color w:val="auto"/>
          <w:kern w:val="0"/>
          <w:szCs w:val="20"/>
        </w:rPr>
        <w:t>②</w:t>
      </w:r>
      <w:r>
        <w:rPr>
          <w:color w:val="auto"/>
          <w:kern w:val="0"/>
          <w:szCs w:val="20"/>
        </w:rPr>
        <w:t>最大余流出现在大潮汛时V3测站表层，流速值为27.32cm/s，对应流向264º。最小余流出现在大潮汛时V6测站底层，流速值为0.74cm/s，对应流向191º。</w:t>
      </w:r>
    </w:p>
    <w:p w14:paraId="1B3687F9">
      <w:pPr>
        <w:ind w:firstLine="480"/>
        <w:rPr>
          <w:color w:val="auto"/>
          <w:kern w:val="0"/>
          <w:szCs w:val="20"/>
        </w:rPr>
      </w:pPr>
      <w:r>
        <w:rPr>
          <w:rFonts w:hint="eastAsia"/>
          <w:color w:val="auto"/>
          <w:kern w:val="0"/>
          <w:szCs w:val="20"/>
        </w:rPr>
        <w:t>③</w:t>
      </w:r>
      <w:r>
        <w:rPr>
          <w:color w:val="auto"/>
          <w:kern w:val="0"/>
          <w:szCs w:val="20"/>
        </w:rPr>
        <w:t>此次测验期间，测区9个测站的余流流向整体偏SW-S方向。</w:t>
      </w:r>
    </w:p>
    <w:p w14:paraId="7E76CAA7">
      <w:pPr>
        <w:ind w:firstLine="480"/>
        <w:rPr>
          <w:color w:val="auto"/>
          <w:kern w:val="0"/>
          <w:szCs w:val="20"/>
        </w:rPr>
      </w:pPr>
    </w:p>
    <w:p w14:paraId="160B1FDF">
      <w:pPr>
        <w:pStyle w:val="14"/>
        <w:rPr>
          <w:color w:val="auto"/>
          <w:lang w:val="zh-CN"/>
        </w:rPr>
      </w:pPr>
      <w:r>
        <w:rPr>
          <w:rFonts w:hint="eastAsia"/>
          <w:color w:val="auto"/>
        </w:rPr>
        <w:t>表</w:t>
      </w:r>
      <w:r>
        <w:rPr>
          <w:color w:val="auto"/>
        </w:rPr>
        <w:t>3.7</w:t>
      </w:r>
      <w:r>
        <w:rPr>
          <w:color w:val="auto"/>
        </w:rPr>
        <w:noBreakHyphen/>
      </w:r>
      <w:r>
        <w:rPr>
          <w:color w:val="auto"/>
        </w:rPr>
        <w:t>14</w:t>
      </w:r>
      <w:r>
        <w:rPr>
          <w:rFonts w:hint="eastAsia"/>
          <w:color w:val="auto"/>
          <w:lang w:val="zh-CN"/>
        </w:rPr>
        <w:t>观测海域期间各潮流站各层余流对比表单位：流速（cm/s），流向（°）</w:t>
      </w:r>
    </w:p>
    <w:tbl>
      <w:tblPr>
        <w:tblStyle w:val="219"/>
        <w:tblW w:w="5003" w:type="pct"/>
        <w:tblInd w:w="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193"/>
        <w:gridCol w:w="1168"/>
        <w:gridCol w:w="2032"/>
        <w:gridCol w:w="1662"/>
        <w:gridCol w:w="1659"/>
        <w:gridCol w:w="1676"/>
      </w:tblGrid>
      <w:tr w14:paraId="244F1C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blHeader/>
        </w:trPr>
        <w:tc>
          <w:tcPr>
            <w:tcW w:w="635" w:type="pct"/>
            <w:vMerge w:val="restart"/>
            <w:vAlign w:val="center"/>
          </w:tcPr>
          <w:p w14:paraId="43D25B45">
            <w:pPr>
              <w:spacing w:line="240" w:lineRule="auto"/>
              <w:ind w:firstLine="0" w:firstLineChars="0"/>
              <w:jc w:val="center"/>
              <w:rPr>
                <w:b/>
                <w:color w:val="auto"/>
                <w:kern w:val="0"/>
                <w:sz w:val="21"/>
                <w:szCs w:val="21"/>
              </w:rPr>
            </w:pPr>
            <w:r>
              <w:rPr>
                <w:b/>
                <w:color w:val="auto"/>
                <w:kern w:val="0"/>
                <w:sz w:val="21"/>
                <w:szCs w:val="21"/>
              </w:rPr>
              <w:t>站位</w:t>
            </w:r>
          </w:p>
        </w:tc>
        <w:tc>
          <w:tcPr>
            <w:tcW w:w="622" w:type="pct"/>
            <w:vMerge w:val="restart"/>
            <w:vAlign w:val="center"/>
          </w:tcPr>
          <w:p w14:paraId="780434D0">
            <w:pPr>
              <w:spacing w:line="240" w:lineRule="auto"/>
              <w:ind w:firstLine="0" w:firstLineChars="0"/>
              <w:jc w:val="center"/>
              <w:rPr>
                <w:b/>
                <w:color w:val="auto"/>
                <w:kern w:val="0"/>
                <w:sz w:val="21"/>
                <w:szCs w:val="21"/>
              </w:rPr>
            </w:pPr>
            <w:r>
              <w:rPr>
                <w:b/>
                <w:color w:val="auto"/>
                <w:kern w:val="0"/>
                <w:sz w:val="21"/>
                <w:szCs w:val="21"/>
              </w:rPr>
              <w:t>层次</w:t>
            </w:r>
          </w:p>
        </w:tc>
        <w:tc>
          <w:tcPr>
            <w:tcW w:w="1967" w:type="pct"/>
            <w:gridSpan w:val="2"/>
            <w:vAlign w:val="center"/>
          </w:tcPr>
          <w:p w14:paraId="546B0C18">
            <w:pPr>
              <w:spacing w:line="240" w:lineRule="auto"/>
              <w:ind w:firstLine="0" w:firstLineChars="0"/>
              <w:jc w:val="center"/>
              <w:rPr>
                <w:b/>
                <w:color w:val="auto"/>
                <w:kern w:val="0"/>
                <w:sz w:val="21"/>
                <w:szCs w:val="21"/>
              </w:rPr>
            </w:pPr>
            <w:r>
              <w:rPr>
                <w:b/>
                <w:color w:val="auto"/>
                <w:kern w:val="0"/>
                <w:sz w:val="21"/>
                <w:szCs w:val="21"/>
              </w:rPr>
              <w:t>大潮</w:t>
            </w:r>
          </w:p>
        </w:tc>
        <w:tc>
          <w:tcPr>
            <w:tcW w:w="1775" w:type="pct"/>
            <w:gridSpan w:val="2"/>
            <w:vAlign w:val="center"/>
          </w:tcPr>
          <w:p w14:paraId="29BBCA5D">
            <w:pPr>
              <w:spacing w:line="240" w:lineRule="auto"/>
              <w:ind w:firstLine="0" w:firstLineChars="0"/>
              <w:jc w:val="center"/>
              <w:rPr>
                <w:b/>
                <w:color w:val="auto"/>
                <w:kern w:val="0"/>
                <w:sz w:val="21"/>
                <w:szCs w:val="21"/>
              </w:rPr>
            </w:pPr>
            <w:r>
              <w:rPr>
                <w:b/>
                <w:color w:val="auto"/>
                <w:kern w:val="0"/>
                <w:sz w:val="21"/>
                <w:szCs w:val="21"/>
              </w:rPr>
              <w:t>小潮</w:t>
            </w:r>
          </w:p>
        </w:tc>
      </w:tr>
      <w:tr w14:paraId="6FD50F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blHeader/>
        </w:trPr>
        <w:tc>
          <w:tcPr>
            <w:tcW w:w="635" w:type="pct"/>
            <w:vMerge w:val="continue"/>
            <w:vAlign w:val="center"/>
          </w:tcPr>
          <w:p w14:paraId="0A132447">
            <w:pPr>
              <w:spacing w:line="240" w:lineRule="auto"/>
              <w:ind w:firstLine="0" w:firstLineChars="0"/>
              <w:jc w:val="center"/>
              <w:rPr>
                <w:b/>
                <w:color w:val="auto"/>
                <w:kern w:val="0"/>
                <w:sz w:val="21"/>
                <w:szCs w:val="21"/>
              </w:rPr>
            </w:pPr>
          </w:p>
        </w:tc>
        <w:tc>
          <w:tcPr>
            <w:tcW w:w="622" w:type="pct"/>
            <w:vMerge w:val="continue"/>
            <w:vAlign w:val="center"/>
          </w:tcPr>
          <w:p w14:paraId="1B63710A">
            <w:pPr>
              <w:spacing w:line="240" w:lineRule="auto"/>
              <w:ind w:firstLine="0" w:firstLineChars="0"/>
              <w:jc w:val="center"/>
              <w:rPr>
                <w:b/>
                <w:color w:val="auto"/>
                <w:kern w:val="0"/>
                <w:sz w:val="21"/>
                <w:szCs w:val="21"/>
              </w:rPr>
            </w:pPr>
          </w:p>
        </w:tc>
        <w:tc>
          <w:tcPr>
            <w:tcW w:w="1082" w:type="pct"/>
            <w:vAlign w:val="center"/>
          </w:tcPr>
          <w:p w14:paraId="50F45DC8">
            <w:pPr>
              <w:spacing w:line="240" w:lineRule="auto"/>
              <w:ind w:firstLine="0" w:firstLineChars="0"/>
              <w:jc w:val="center"/>
              <w:rPr>
                <w:b/>
                <w:color w:val="auto"/>
                <w:kern w:val="0"/>
                <w:sz w:val="21"/>
                <w:szCs w:val="21"/>
              </w:rPr>
            </w:pPr>
            <w:r>
              <w:rPr>
                <w:b/>
                <w:color w:val="auto"/>
                <w:kern w:val="0"/>
                <w:sz w:val="21"/>
                <w:szCs w:val="21"/>
              </w:rPr>
              <w:t>流速</w:t>
            </w:r>
          </w:p>
        </w:tc>
        <w:tc>
          <w:tcPr>
            <w:tcW w:w="885" w:type="pct"/>
            <w:vAlign w:val="center"/>
          </w:tcPr>
          <w:p w14:paraId="49BE90A1">
            <w:pPr>
              <w:spacing w:line="240" w:lineRule="auto"/>
              <w:ind w:firstLine="0" w:firstLineChars="0"/>
              <w:jc w:val="center"/>
              <w:rPr>
                <w:b/>
                <w:color w:val="auto"/>
                <w:kern w:val="0"/>
                <w:sz w:val="21"/>
                <w:szCs w:val="21"/>
              </w:rPr>
            </w:pPr>
            <w:r>
              <w:rPr>
                <w:b/>
                <w:color w:val="auto"/>
                <w:kern w:val="0"/>
                <w:sz w:val="21"/>
                <w:szCs w:val="21"/>
              </w:rPr>
              <w:t>流向</w:t>
            </w:r>
          </w:p>
        </w:tc>
        <w:tc>
          <w:tcPr>
            <w:tcW w:w="883" w:type="pct"/>
            <w:vAlign w:val="center"/>
          </w:tcPr>
          <w:p w14:paraId="2EBF5B90">
            <w:pPr>
              <w:spacing w:line="240" w:lineRule="auto"/>
              <w:ind w:firstLine="0" w:firstLineChars="0"/>
              <w:jc w:val="center"/>
              <w:rPr>
                <w:b/>
                <w:color w:val="auto"/>
                <w:kern w:val="0"/>
                <w:sz w:val="21"/>
                <w:szCs w:val="21"/>
              </w:rPr>
            </w:pPr>
            <w:r>
              <w:rPr>
                <w:b/>
                <w:color w:val="auto"/>
                <w:kern w:val="0"/>
                <w:sz w:val="21"/>
                <w:szCs w:val="21"/>
              </w:rPr>
              <w:t>流速</w:t>
            </w:r>
          </w:p>
        </w:tc>
        <w:tc>
          <w:tcPr>
            <w:tcW w:w="891" w:type="pct"/>
            <w:vAlign w:val="center"/>
          </w:tcPr>
          <w:p w14:paraId="7E286C70">
            <w:pPr>
              <w:spacing w:line="240" w:lineRule="auto"/>
              <w:ind w:firstLine="0" w:firstLineChars="0"/>
              <w:jc w:val="center"/>
              <w:rPr>
                <w:b/>
                <w:color w:val="auto"/>
                <w:kern w:val="0"/>
                <w:sz w:val="21"/>
                <w:szCs w:val="21"/>
              </w:rPr>
            </w:pPr>
            <w:r>
              <w:rPr>
                <w:b/>
                <w:color w:val="auto"/>
                <w:kern w:val="0"/>
                <w:sz w:val="21"/>
                <w:szCs w:val="21"/>
              </w:rPr>
              <w:t>流向</w:t>
            </w:r>
          </w:p>
        </w:tc>
      </w:tr>
      <w:tr w14:paraId="237EA1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635" w:type="pct"/>
            <w:vMerge w:val="restart"/>
            <w:vAlign w:val="center"/>
          </w:tcPr>
          <w:p w14:paraId="5BC75DF3">
            <w:pPr>
              <w:spacing w:line="240" w:lineRule="auto"/>
              <w:ind w:firstLine="0" w:firstLineChars="0"/>
              <w:jc w:val="center"/>
              <w:rPr>
                <w:color w:val="auto"/>
                <w:kern w:val="0"/>
                <w:sz w:val="21"/>
                <w:szCs w:val="21"/>
              </w:rPr>
            </w:pPr>
            <w:r>
              <w:rPr>
                <w:color w:val="auto"/>
                <w:kern w:val="0"/>
                <w:sz w:val="21"/>
                <w:szCs w:val="21"/>
              </w:rPr>
              <w:t>V1</w:t>
            </w:r>
          </w:p>
        </w:tc>
        <w:tc>
          <w:tcPr>
            <w:tcW w:w="622" w:type="pct"/>
            <w:vAlign w:val="center"/>
          </w:tcPr>
          <w:p w14:paraId="0A6C2818">
            <w:pPr>
              <w:spacing w:line="240" w:lineRule="auto"/>
              <w:ind w:firstLine="0" w:firstLineChars="0"/>
              <w:jc w:val="center"/>
              <w:rPr>
                <w:color w:val="auto"/>
                <w:kern w:val="0"/>
                <w:sz w:val="21"/>
                <w:szCs w:val="21"/>
              </w:rPr>
            </w:pPr>
            <w:r>
              <w:rPr>
                <w:color w:val="auto"/>
                <w:kern w:val="0"/>
                <w:sz w:val="21"/>
                <w:szCs w:val="21"/>
              </w:rPr>
              <w:t>表层</w:t>
            </w:r>
          </w:p>
        </w:tc>
        <w:tc>
          <w:tcPr>
            <w:tcW w:w="1082" w:type="pct"/>
            <w:vAlign w:val="center"/>
          </w:tcPr>
          <w:p w14:paraId="724ADB03">
            <w:pPr>
              <w:spacing w:line="240" w:lineRule="auto"/>
              <w:ind w:firstLine="0" w:firstLineChars="0"/>
              <w:jc w:val="center"/>
              <w:rPr>
                <w:color w:val="auto"/>
                <w:kern w:val="0"/>
                <w:sz w:val="21"/>
                <w:szCs w:val="21"/>
              </w:rPr>
            </w:pPr>
          </w:p>
        </w:tc>
        <w:tc>
          <w:tcPr>
            <w:tcW w:w="885" w:type="pct"/>
            <w:vAlign w:val="center"/>
          </w:tcPr>
          <w:p w14:paraId="3CC0E811">
            <w:pPr>
              <w:spacing w:line="240" w:lineRule="auto"/>
              <w:ind w:firstLine="0" w:firstLineChars="0"/>
              <w:jc w:val="center"/>
              <w:rPr>
                <w:color w:val="auto"/>
                <w:kern w:val="0"/>
                <w:sz w:val="21"/>
                <w:szCs w:val="21"/>
              </w:rPr>
            </w:pPr>
          </w:p>
        </w:tc>
        <w:tc>
          <w:tcPr>
            <w:tcW w:w="883" w:type="pct"/>
            <w:vAlign w:val="center"/>
          </w:tcPr>
          <w:p w14:paraId="4F93B642">
            <w:pPr>
              <w:spacing w:line="240" w:lineRule="auto"/>
              <w:ind w:firstLine="0" w:firstLineChars="0"/>
              <w:jc w:val="center"/>
              <w:rPr>
                <w:color w:val="auto"/>
                <w:kern w:val="0"/>
                <w:sz w:val="21"/>
                <w:szCs w:val="21"/>
              </w:rPr>
            </w:pPr>
          </w:p>
        </w:tc>
        <w:tc>
          <w:tcPr>
            <w:tcW w:w="891" w:type="pct"/>
            <w:vAlign w:val="center"/>
          </w:tcPr>
          <w:p w14:paraId="70C3D2E5">
            <w:pPr>
              <w:spacing w:line="240" w:lineRule="auto"/>
              <w:ind w:firstLine="0" w:firstLineChars="0"/>
              <w:jc w:val="center"/>
              <w:rPr>
                <w:color w:val="auto"/>
                <w:kern w:val="0"/>
                <w:sz w:val="21"/>
                <w:szCs w:val="21"/>
              </w:rPr>
            </w:pPr>
          </w:p>
        </w:tc>
      </w:tr>
      <w:tr w14:paraId="008B99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635" w:type="pct"/>
            <w:vMerge w:val="continue"/>
            <w:vAlign w:val="center"/>
          </w:tcPr>
          <w:p w14:paraId="4C19380F">
            <w:pPr>
              <w:spacing w:line="240" w:lineRule="auto"/>
              <w:ind w:firstLine="0" w:firstLineChars="0"/>
              <w:jc w:val="center"/>
              <w:rPr>
                <w:color w:val="auto"/>
                <w:kern w:val="0"/>
                <w:sz w:val="21"/>
                <w:szCs w:val="21"/>
              </w:rPr>
            </w:pPr>
          </w:p>
        </w:tc>
        <w:tc>
          <w:tcPr>
            <w:tcW w:w="622" w:type="pct"/>
            <w:vAlign w:val="center"/>
          </w:tcPr>
          <w:p w14:paraId="7E88666C">
            <w:pPr>
              <w:spacing w:line="240" w:lineRule="auto"/>
              <w:ind w:firstLine="0" w:firstLineChars="0"/>
              <w:jc w:val="center"/>
              <w:rPr>
                <w:color w:val="auto"/>
                <w:kern w:val="0"/>
                <w:sz w:val="21"/>
                <w:szCs w:val="21"/>
              </w:rPr>
            </w:pPr>
            <w:r>
              <w:rPr>
                <w:color w:val="auto"/>
                <w:kern w:val="0"/>
                <w:sz w:val="21"/>
                <w:szCs w:val="21"/>
              </w:rPr>
              <w:t>0.2H</w:t>
            </w:r>
          </w:p>
        </w:tc>
        <w:tc>
          <w:tcPr>
            <w:tcW w:w="1082" w:type="pct"/>
            <w:vAlign w:val="center"/>
          </w:tcPr>
          <w:p w14:paraId="51CE284E">
            <w:pPr>
              <w:spacing w:line="240" w:lineRule="auto"/>
              <w:ind w:firstLine="0" w:firstLineChars="0"/>
              <w:jc w:val="center"/>
              <w:rPr>
                <w:color w:val="auto"/>
                <w:kern w:val="0"/>
                <w:sz w:val="21"/>
                <w:szCs w:val="21"/>
              </w:rPr>
            </w:pPr>
          </w:p>
        </w:tc>
        <w:tc>
          <w:tcPr>
            <w:tcW w:w="885" w:type="pct"/>
            <w:vAlign w:val="center"/>
          </w:tcPr>
          <w:p w14:paraId="6CED27E7">
            <w:pPr>
              <w:spacing w:line="240" w:lineRule="auto"/>
              <w:ind w:firstLine="0" w:firstLineChars="0"/>
              <w:jc w:val="center"/>
              <w:rPr>
                <w:color w:val="auto"/>
                <w:kern w:val="0"/>
                <w:sz w:val="21"/>
                <w:szCs w:val="21"/>
              </w:rPr>
            </w:pPr>
          </w:p>
        </w:tc>
        <w:tc>
          <w:tcPr>
            <w:tcW w:w="883" w:type="pct"/>
            <w:vAlign w:val="center"/>
          </w:tcPr>
          <w:p w14:paraId="6120B483">
            <w:pPr>
              <w:spacing w:line="240" w:lineRule="auto"/>
              <w:ind w:firstLine="0" w:firstLineChars="0"/>
              <w:jc w:val="center"/>
              <w:rPr>
                <w:color w:val="auto"/>
                <w:kern w:val="0"/>
                <w:sz w:val="21"/>
                <w:szCs w:val="21"/>
              </w:rPr>
            </w:pPr>
          </w:p>
        </w:tc>
        <w:tc>
          <w:tcPr>
            <w:tcW w:w="891" w:type="pct"/>
            <w:vAlign w:val="center"/>
          </w:tcPr>
          <w:p w14:paraId="3EB9FF80">
            <w:pPr>
              <w:spacing w:line="240" w:lineRule="auto"/>
              <w:ind w:firstLine="0" w:firstLineChars="0"/>
              <w:jc w:val="center"/>
              <w:rPr>
                <w:color w:val="auto"/>
                <w:kern w:val="0"/>
                <w:sz w:val="21"/>
                <w:szCs w:val="21"/>
              </w:rPr>
            </w:pPr>
          </w:p>
        </w:tc>
      </w:tr>
      <w:tr w14:paraId="3CD0BF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635" w:type="pct"/>
            <w:vMerge w:val="continue"/>
            <w:vAlign w:val="center"/>
          </w:tcPr>
          <w:p w14:paraId="06843973">
            <w:pPr>
              <w:spacing w:line="240" w:lineRule="auto"/>
              <w:ind w:firstLine="0" w:firstLineChars="0"/>
              <w:jc w:val="center"/>
              <w:rPr>
                <w:color w:val="auto"/>
                <w:kern w:val="0"/>
                <w:sz w:val="21"/>
                <w:szCs w:val="21"/>
              </w:rPr>
            </w:pPr>
          </w:p>
        </w:tc>
        <w:tc>
          <w:tcPr>
            <w:tcW w:w="622" w:type="pct"/>
            <w:vAlign w:val="center"/>
          </w:tcPr>
          <w:p w14:paraId="199C9F89">
            <w:pPr>
              <w:spacing w:line="240" w:lineRule="auto"/>
              <w:ind w:firstLine="0" w:firstLineChars="0"/>
              <w:jc w:val="center"/>
              <w:rPr>
                <w:color w:val="auto"/>
                <w:kern w:val="0"/>
                <w:sz w:val="21"/>
                <w:szCs w:val="21"/>
              </w:rPr>
            </w:pPr>
            <w:r>
              <w:rPr>
                <w:color w:val="auto"/>
                <w:kern w:val="0"/>
                <w:sz w:val="21"/>
                <w:szCs w:val="21"/>
              </w:rPr>
              <w:t>0.4H</w:t>
            </w:r>
          </w:p>
        </w:tc>
        <w:tc>
          <w:tcPr>
            <w:tcW w:w="1082" w:type="pct"/>
            <w:vAlign w:val="center"/>
          </w:tcPr>
          <w:p w14:paraId="28A116EE">
            <w:pPr>
              <w:spacing w:line="240" w:lineRule="auto"/>
              <w:ind w:firstLine="0" w:firstLineChars="0"/>
              <w:jc w:val="center"/>
              <w:rPr>
                <w:color w:val="auto"/>
                <w:kern w:val="0"/>
                <w:sz w:val="21"/>
                <w:szCs w:val="21"/>
              </w:rPr>
            </w:pPr>
          </w:p>
        </w:tc>
        <w:tc>
          <w:tcPr>
            <w:tcW w:w="885" w:type="pct"/>
            <w:vAlign w:val="center"/>
          </w:tcPr>
          <w:p w14:paraId="46F97FF5">
            <w:pPr>
              <w:spacing w:line="240" w:lineRule="auto"/>
              <w:ind w:firstLine="0" w:firstLineChars="0"/>
              <w:jc w:val="center"/>
              <w:rPr>
                <w:color w:val="auto"/>
                <w:kern w:val="0"/>
                <w:sz w:val="21"/>
                <w:szCs w:val="21"/>
              </w:rPr>
            </w:pPr>
          </w:p>
        </w:tc>
        <w:tc>
          <w:tcPr>
            <w:tcW w:w="883" w:type="pct"/>
            <w:vAlign w:val="center"/>
          </w:tcPr>
          <w:p w14:paraId="6CAEC1B4">
            <w:pPr>
              <w:spacing w:line="240" w:lineRule="auto"/>
              <w:ind w:firstLine="0" w:firstLineChars="0"/>
              <w:jc w:val="center"/>
              <w:rPr>
                <w:color w:val="auto"/>
                <w:kern w:val="0"/>
                <w:sz w:val="21"/>
                <w:szCs w:val="21"/>
              </w:rPr>
            </w:pPr>
          </w:p>
        </w:tc>
        <w:tc>
          <w:tcPr>
            <w:tcW w:w="891" w:type="pct"/>
            <w:vAlign w:val="center"/>
          </w:tcPr>
          <w:p w14:paraId="0749FF38">
            <w:pPr>
              <w:spacing w:line="240" w:lineRule="auto"/>
              <w:ind w:firstLine="0" w:firstLineChars="0"/>
              <w:jc w:val="center"/>
              <w:rPr>
                <w:color w:val="auto"/>
                <w:kern w:val="0"/>
                <w:sz w:val="21"/>
                <w:szCs w:val="21"/>
              </w:rPr>
            </w:pPr>
          </w:p>
        </w:tc>
      </w:tr>
      <w:tr w14:paraId="6362D6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2F485434">
            <w:pPr>
              <w:spacing w:line="240" w:lineRule="auto"/>
              <w:ind w:firstLine="0" w:firstLineChars="0"/>
              <w:jc w:val="center"/>
              <w:rPr>
                <w:color w:val="auto"/>
                <w:kern w:val="0"/>
                <w:sz w:val="21"/>
                <w:szCs w:val="21"/>
              </w:rPr>
            </w:pPr>
          </w:p>
        </w:tc>
        <w:tc>
          <w:tcPr>
            <w:tcW w:w="622" w:type="pct"/>
            <w:vAlign w:val="center"/>
          </w:tcPr>
          <w:p w14:paraId="04D31733">
            <w:pPr>
              <w:spacing w:line="240" w:lineRule="auto"/>
              <w:ind w:firstLine="0" w:firstLineChars="0"/>
              <w:jc w:val="center"/>
              <w:rPr>
                <w:color w:val="auto"/>
                <w:kern w:val="0"/>
                <w:sz w:val="21"/>
                <w:szCs w:val="21"/>
              </w:rPr>
            </w:pPr>
            <w:r>
              <w:rPr>
                <w:color w:val="auto"/>
                <w:kern w:val="0"/>
                <w:sz w:val="21"/>
                <w:szCs w:val="21"/>
              </w:rPr>
              <w:t>0.6H</w:t>
            </w:r>
          </w:p>
        </w:tc>
        <w:tc>
          <w:tcPr>
            <w:tcW w:w="1082" w:type="pct"/>
            <w:vAlign w:val="center"/>
          </w:tcPr>
          <w:p w14:paraId="312DBDDE">
            <w:pPr>
              <w:spacing w:line="240" w:lineRule="auto"/>
              <w:ind w:firstLine="0" w:firstLineChars="0"/>
              <w:jc w:val="center"/>
              <w:rPr>
                <w:color w:val="auto"/>
                <w:kern w:val="0"/>
                <w:sz w:val="21"/>
                <w:szCs w:val="21"/>
              </w:rPr>
            </w:pPr>
          </w:p>
        </w:tc>
        <w:tc>
          <w:tcPr>
            <w:tcW w:w="885" w:type="pct"/>
            <w:vAlign w:val="center"/>
          </w:tcPr>
          <w:p w14:paraId="42D9CC48">
            <w:pPr>
              <w:spacing w:line="240" w:lineRule="auto"/>
              <w:ind w:firstLine="0" w:firstLineChars="0"/>
              <w:jc w:val="center"/>
              <w:rPr>
                <w:color w:val="auto"/>
                <w:kern w:val="0"/>
                <w:sz w:val="21"/>
                <w:szCs w:val="21"/>
              </w:rPr>
            </w:pPr>
          </w:p>
        </w:tc>
        <w:tc>
          <w:tcPr>
            <w:tcW w:w="883" w:type="pct"/>
            <w:vAlign w:val="center"/>
          </w:tcPr>
          <w:p w14:paraId="387ECFCE">
            <w:pPr>
              <w:spacing w:line="240" w:lineRule="auto"/>
              <w:ind w:firstLine="0" w:firstLineChars="0"/>
              <w:jc w:val="center"/>
              <w:rPr>
                <w:color w:val="auto"/>
                <w:kern w:val="0"/>
                <w:sz w:val="21"/>
                <w:szCs w:val="21"/>
              </w:rPr>
            </w:pPr>
          </w:p>
        </w:tc>
        <w:tc>
          <w:tcPr>
            <w:tcW w:w="891" w:type="pct"/>
            <w:vAlign w:val="center"/>
          </w:tcPr>
          <w:p w14:paraId="73F6F005">
            <w:pPr>
              <w:spacing w:line="240" w:lineRule="auto"/>
              <w:ind w:firstLine="0" w:firstLineChars="0"/>
              <w:jc w:val="center"/>
              <w:rPr>
                <w:color w:val="auto"/>
                <w:kern w:val="0"/>
                <w:sz w:val="21"/>
                <w:szCs w:val="21"/>
              </w:rPr>
            </w:pPr>
          </w:p>
        </w:tc>
      </w:tr>
      <w:tr w14:paraId="1A6004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61B94E5D">
            <w:pPr>
              <w:spacing w:line="240" w:lineRule="auto"/>
              <w:ind w:firstLine="0" w:firstLineChars="0"/>
              <w:jc w:val="center"/>
              <w:rPr>
                <w:color w:val="auto"/>
                <w:kern w:val="0"/>
                <w:sz w:val="21"/>
                <w:szCs w:val="21"/>
              </w:rPr>
            </w:pPr>
          </w:p>
        </w:tc>
        <w:tc>
          <w:tcPr>
            <w:tcW w:w="622" w:type="pct"/>
            <w:vAlign w:val="center"/>
          </w:tcPr>
          <w:p w14:paraId="1D0029BE">
            <w:pPr>
              <w:spacing w:line="240" w:lineRule="auto"/>
              <w:ind w:firstLine="0" w:firstLineChars="0"/>
              <w:jc w:val="center"/>
              <w:rPr>
                <w:color w:val="auto"/>
                <w:kern w:val="0"/>
                <w:sz w:val="21"/>
                <w:szCs w:val="21"/>
              </w:rPr>
            </w:pPr>
            <w:r>
              <w:rPr>
                <w:color w:val="auto"/>
                <w:kern w:val="0"/>
                <w:sz w:val="21"/>
                <w:szCs w:val="21"/>
              </w:rPr>
              <w:t>0.8H</w:t>
            </w:r>
          </w:p>
        </w:tc>
        <w:tc>
          <w:tcPr>
            <w:tcW w:w="1082" w:type="pct"/>
            <w:vAlign w:val="center"/>
          </w:tcPr>
          <w:p w14:paraId="2A4E1D57">
            <w:pPr>
              <w:spacing w:line="240" w:lineRule="auto"/>
              <w:ind w:firstLine="0" w:firstLineChars="0"/>
              <w:jc w:val="center"/>
              <w:rPr>
                <w:color w:val="auto"/>
                <w:kern w:val="0"/>
                <w:sz w:val="21"/>
                <w:szCs w:val="21"/>
              </w:rPr>
            </w:pPr>
          </w:p>
        </w:tc>
        <w:tc>
          <w:tcPr>
            <w:tcW w:w="885" w:type="pct"/>
            <w:vAlign w:val="center"/>
          </w:tcPr>
          <w:p w14:paraId="11C858BE">
            <w:pPr>
              <w:spacing w:line="240" w:lineRule="auto"/>
              <w:ind w:firstLine="0" w:firstLineChars="0"/>
              <w:jc w:val="center"/>
              <w:rPr>
                <w:color w:val="auto"/>
                <w:kern w:val="0"/>
                <w:sz w:val="21"/>
                <w:szCs w:val="21"/>
              </w:rPr>
            </w:pPr>
          </w:p>
        </w:tc>
        <w:tc>
          <w:tcPr>
            <w:tcW w:w="883" w:type="pct"/>
            <w:vAlign w:val="center"/>
          </w:tcPr>
          <w:p w14:paraId="4E012519">
            <w:pPr>
              <w:spacing w:line="240" w:lineRule="auto"/>
              <w:ind w:firstLine="0" w:firstLineChars="0"/>
              <w:jc w:val="center"/>
              <w:rPr>
                <w:color w:val="auto"/>
                <w:kern w:val="0"/>
                <w:sz w:val="21"/>
                <w:szCs w:val="21"/>
              </w:rPr>
            </w:pPr>
          </w:p>
        </w:tc>
        <w:tc>
          <w:tcPr>
            <w:tcW w:w="891" w:type="pct"/>
            <w:vAlign w:val="center"/>
          </w:tcPr>
          <w:p w14:paraId="1CF91324">
            <w:pPr>
              <w:spacing w:line="240" w:lineRule="auto"/>
              <w:ind w:firstLine="0" w:firstLineChars="0"/>
              <w:jc w:val="center"/>
              <w:rPr>
                <w:color w:val="auto"/>
                <w:kern w:val="0"/>
                <w:sz w:val="21"/>
                <w:szCs w:val="21"/>
              </w:rPr>
            </w:pPr>
          </w:p>
        </w:tc>
      </w:tr>
      <w:tr w14:paraId="65E536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709973B8">
            <w:pPr>
              <w:spacing w:line="240" w:lineRule="auto"/>
              <w:ind w:firstLine="0" w:firstLineChars="0"/>
              <w:jc w:val="center"/>
              <w:rPr>
                <w:color w:val="auto"/>
                <w:kern w:val="0"/>
                <w:sz w:val="21"/>
                <w:szCs w:val="21"/>
              </w:rPr>
            </w:pPr>
          </w:p>
        </w:tc>
        <w:tc>
          <w:tcPr>
            <w:tcW w:w="622" w:type="pct"/>
            <w:vAlign w:val="center"/>
          </w:tcPr>
          <w:p w14:paraId="49F95626">
            <w:pPr>
              <w:spacing w:line="240" w:lineRule="auto"/>
              <w:ind w:firstLine="0" w:firstLineChars="0"/>
              <w:jc w:val="center"/>
              <w:rPr>
                <w:color w:val="auto"/>
                <w:kern w:val="0"/>
                <w:sz w:val="21"/>
                <w:szCs w:val="21"/>
              </w:rPr>
            </w:pPr>
            <w:r>
              <w:rPr>
                <w:color w:val="auto"/>
                <w:kern w:val="0"/>
                <w:sz w:val="21"/>
                <w:szCs w:val="21"/>
              </w:rPr>
              <w:t>底层</w:t>
            </w:r>
          </w:p>
        </w:tc>
        <w:tc>
          <w:tcPr>
            <w:tcW w:w="1082" w:type="pct"/>
            <w:vAlign w:val="center"/>
          </w:tcPr>
          <w:p w14:paraId="7D6AD6D4">
            <w:pPr>
              <w:spacing w:line="240" w:lineRule="auto"/>
              <w:ind w:firstLine="0" w:firstLineChars="0"/>
              <w:jc w:val="center"/>
              <w:rPr>
                <w:color w:val="auto"/>
                <w:kern w:val="0"/>
                <w:sz w:val="21"/>
                <w:szCs w:val="21"/>
              </w:rPr>
            </w:pPr>
          </w:p>
        </w:tc>
        <w:tc>
          <w:tcPr>
            <w:tcW w:w="885" w:type="pct"/>
            <w:vAlign w:val="center"/>
          </w:tcPr>
          <w:p w14:paraId="06C079DB">
            <w:pPr>
              <w:spacing w:line="240" w:lineRule="auto"/>
              <w:ind w:firstLine="0" w:firstLineChars="0"/>
              <w:jc w:val="center"/>
              <w:rPr>
                <w:color w:val="auto"/>
                <w:kern w:val="0"/>
                <w:sz w:val="21"/>
                <w:szCs w:val="21"/>
              </w:rPr>
            </w:pPr>
          </w:p>
        </w:tc>
        <w:tc>
          <w:tcPr>
            <w:tcW w:w="883" w:type="pct"/>
            <w:vAlign w:val="center"/>
          </w:tcPr>
          <w:p w14:paraId="210F7D55">
            <w:pPr>
              <w:spacing w:line="240" w:lineRule="auto"/>
              <w:ind w:firstLine="0" w:firstLineChars="0"/>
              <w:jc w:val="center"/>
              <w:rPr>
                <w:color w:val="auto"/>
                <w:kern w:val="0"/>
                <w:sz w:val="21"/>
                <w:szCs w:val="21"/>
              </w:rPr>
            </w:pPr>
          </w:p>
        </w:tc>
        <w:tc>
          <w:tcPr>
            <w:tcW w:w="891" w:type="pct"/>
            <w:vAlign w:val="center"/>
          </w:tcPr>
          <w:p w14:paraId="6A47F740">
            <w:pPr>
              <w:spacing w:line="240" w:lineRule="auto"/>
              <w:ind w:firstLine="0" w:firstLineChars="0"/>
              <w:jc w:val="center"/>
              <w:rPr>
                <w:color w:val="auto"/>
                <w:kern w:val="0"/>
                <w:sz w:val="21"/>
                <w:szCs w:val="21"/>
              </w:rPr>
            </w:pPr>
          </w:p>
        </w:tc>
      </w:tr>
      <w:tr w14:paraId="767EE0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255A6EB3">
            <w:pPr>
              <w:spacing w:line="240" w:lineRule="auto"/>
              <w:ind w:firstLine="0" w:firstLineChars="0"/>
              <w:jc w:val="center"/>
              <w:rPr>
                <w:color w:val="auto"/>
                <w:kern w:val="0"/>
                <w:sz w:val="21"/>
                <w:szCs w:val="21"/>
              </w:rPr>
            </w:pPr>
          </w:p>
        </w:tc>
        <w:tc>
          <w:tcPr>
            <w:tcW w:w="622" w:type="pct"/>
            <w:vAlign w:val="center"/>
          </w:tcPr>
          <w:p w14:paraId="19559349">
            <w:pPr>
              <w:spacing w:line="240" w:lineRule="auto"/>
              <w:ind w:firstLine="0" w:firstLineChars="0"/>
              <w:jc w:val="center"/>
              <w:rPr>
                <w:color w:val="auto"/>
                <w:kern w:val="0"/>
                <w:sz w:val="21"/>
                <w:szCs w:val="21"/>
              </w:rPr>
            </w:pPr>
            <w:r>
              <w:rPr>
                <w:color w:val="auto"/>
                <w:kern w:val="0"/>
                <w:sz w:val="21"/>
                <w:szCs w:val="21"/>
              </w:rPr>
              <w:t>垂线</w:t>
            </w:r>
          </w:p>
        </w:tc>
        <w:tc>
          <w:tcPr>
            <w:tcW w:w="1082" w:type="pct"/>
            <w:vAlign w:val="center"/>
          </w:tcPr>
          <w:p w14:paraId="03000B39">
            <w:pPr>
              <w:spacing w:line="240" w:lineRule="auto"/>
              <w:ind w:firstLine="0" w:firstLineChars="0"/>
              <w:jc w:val="center"/>
              <w:rPr>
                <w:color w:val="auto"/>
                <w:kern w:val="0"/>
                <w:sz w:val="21"/>
                <w:szCs w:val="21"/>
              </w:rPr>
            </w:pPr>
          </w:p>
        </w:tc>
        <w:tc>
          <w:tcPr>
            <w:tcW w:w="885" w:type="pct"/>
            <w:vAlign w:val="center"/>
          </w:tcPr>
          <w:p w14:paraId="33BB49EC">
            <w:pPr>
              <w:spacing w:line="240" w:lineRule="auto"/>
              <w:ind w:firstLine="0" w:firstLineChars="0"/>
              <w:jc w:val="center"/>
              <w:rPr>
                <w:color w:val="auto"/>
                <w:kern w:val="0"/>
                <w:sz w:val="21"/>
                <w:szCs w:val="21"/>
              </w:rPr>
            </w:pPr>
          </w:p>
        </w:tc>
        <w:tc>
          <w:tcPr>
            <w:tcW w:w="883" w:type="pct"/>
            <w:vAlign w:val="center"/>
          </w:tcPr>
          <w:p w14:paraId="330FAFC4">
            <w:pPr>
              <w:spacing w:line="240" w:lineRule="auto"/>
              <w:ind w:firstLine="0" w:firstLineChars="0"/>
              <w:jc w:val="center"/>
              <w:rPr>
                <w:color w:val="auto"/>
                <w:kern w:val="0"/>
                <w:sz w:val="21"/>
                <w:szCs w:val="21"/>
              </w:rPr>
            </w:pPr>
          </w:p>
        </w:tc>
        <w:tc>
          <w:tcPr>
            <w:tcW w:w="891" w:type="pct"/>
            <w:vAlign w:val="center"/>
          </w:tcPr>
          <w:p w14:paraId="7BD6B230">
            <w:pPr>
              <w:spacing w:line="240" w:lineRule="auto"/>
              <w:ind w:firstLine="0" w:firstLineChars="0"/>
              <w:jc w:val="center"/>
              <w:rPr>
                <w:color w:val="auto"/>
                <w:kern w:val="0"/>
                <w:sz w:val="21"/>
                <w:szCs w:val="21"/>
              </w:rPr>
            </w:pPr>
          </w:p>
        </w:tc>
      </w:tr>
      <w:tr w14:paraId="460789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restart"/>
            <w:vAlign w:val="center"/>
          </w:tcPr>
          <w:p w14:paraId="7C6F2C4E">
            <w:pPr>
              <w:spacing w:line="240" w:lineRule="auto"/>
              <w:ind w:firstLine="0" w:firstLineChars="0"/>
              <w:jc w:val="center"/>
              <w:rPr>
                <w:color w:val="auto"/>
                <w:kern w:val="0"/>
                <w:sz w:val="21"/>
                <w:szCs w:val="21"/>
              </w:rPr>
            </w:pPr>
            <w:r>
              <w:rPr>
                <w:color w:val="auto"/>
                <w:kern w:val="0"/>
                <w:sz w:val="21"/>
                <w:szCs w:val="21"/>
              </w:rPr>
              <w:t>V2</w:t>
            </w:r>
          </w:p>
        </w:tc>
        <w:tc>
          <w:tcPr>
            <w:tcW w:w="622" w:type="pct"/>
            <w:vAlign w:val="center"/>
          </w:tcPr>
          <w:p w14:paraId="500399CE">
            <w:pPr>
              <w:spacing w:line="240" w:lineRule="auto"/>
              <w:ind w:firstLine="0" w:firstLineChars="0"/>
              <w:jc w:val="center"/>
              <w:rPr>
                <w:color w:val="auto"/>
                <w:kern w:val="0"/>
                <w:sz w:val="21"/>
                <w:szCs w:val="21"/>
              </w:rPr>
            </w:pPr>
            <w:r>
              <w:rPr>
                <w:color w:val="auto"/>
                <w:kern w:val="0"/>
                <w:sz w:val="21"/>
                <w:szCs w:val="21"/>
              </w:rPr>
              <w:t>表层</w:t>
            </w:r>
          </w:p>
        </w:tc>
        <w:tc>
          <w:tcPr>
            <w:tcW w:w="1082" w:type="pct"/>
            <w:vAlign w:val="center"/>
          </w:tcPr>
          <w:p w14:paraId="35305C36">
            <w:pPr>
              <w:spacing w:line="240" w:lineRule="auto"/>
              <w:ind w:firstLine="0" w:firstLineChars="0"/>
              <w:jc w:val="center"/>
              <w:rPr>
                <w:color w:val="auto"/>
                <w:kern w:val="0"/>
                <w:sz w:val="21"/>
                <w:szCs w:val="21"/>
              </w:rPr>
            </w:pPr>
          </w:p>
        </w:tc>
        <w:tc>
          <w:tcPr>
            <w:tcW w:w="885" w:type="pct"/>
            <w:vAlign w:val="center"/>
          </w:tcPr>
          <w:p w14:paraId="1B4E5E6F">
            <w:pPr>
              <w:spacing w:line="240" w:lineRule="auto"/>
              <w:ind w:firstLine="0" w:firstLineChars="0"/>
              <w:jc w:val="center"/>
              <w:rPr>
                <w:color w:val="auto"/>
                <w:kern w:val="0"/>
                <w:sz w:val="21"/>
                <w:szCs w:val="21"/>
              </w:rPr>
            </w:pPr>
          </w:p>
        </w:tc>
        <w:tc>
          <w:tcPr>
            <w:tcW w:w="883" w:type="pct"/>
            <w:vAlign w:val="center"/>
          </w:tcPr>
          <w:p w14:paraId="2889817F">
            <w:pPr>
              <w:spacing w:line="240" w:lineRule="auto"/>
              <w:ind w:firstLine="0" w:firstLineChars="0"/>
              <w:jc w:val="center"/>
              <w:rPr>
                <w:color w:val="auto"/>
                <w:kern w:val="0"/>
                <w:sz w:val="21"/>
                <w:szCs w:val="21"/>
              </w:rPr>
            </w:pPr>
          </w:p>
        </w:tc>
        <w:tc>
          <w:tcPr>
            <w:tcW w:w="891" w:type="pct"/>
            <w:vAlign w:val="center"/>
          </w:tcPr>
          <w:p w14:paraId="3E39AF51">
            <w:pPr>
              <w:spacing w:line="240" w:lineRule="auto"/>
              <w:ind w:firstLine="0" w:firstLineChars="0"/>
              <w:jc w:val="center"/>
              <w:rPr>
                <w:color w:val="auto"/>
                <w:kern w:val="0"/>
                <w:sz w:val="21"/>
                <w:szCs w:val="21"/>
              </w:rPr>
            </w:pPr>
          </w:p>
        </w:tc>
      </w:tr>
      <w:tr w14:paraId="109133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2A339E04">
            <w:pPr>
              <w:spacing w:line="240" w:lineRule="auto"/>
              <w:ind w:firstLine="0" w:firstLineChars="0"/>
              <w:jc w:val="center"/>
              <w:rPr>
                <w:color w:val="auto"/>
                <w:kern w:val="0"/>
                <w:sz w:val="21"/>
                <w:szCs w:val="21"/>
              </w:rPr>
            </w:pPr>
          </w:p>
        </w:tc>
        <w:tc>
          <w:tcPr>
            <w:tcW w:w="622" w:type="pct"/>
            <w:vAlign w:val="center"/>
          </w:tcPr>
          <w:p w14:paraId="1941CC1C">
            <w:pPr>
              <w:spacing w:line="240" w:lineRule="auto"/>
              <w:ind w:firstLine="0" w:firstLineChars="0"/>
              <w:jc w:val="center"/>
              <w:rPr>
                <w:color w:val="auto"/>
                <w:kern w:val="0"/>
                <w:sz w:val="21"/>
                <w:szCs w:val="21"/>
              </w:rPr>
            </w:pPr>
            <w:r>
              <w:rPr>
                <w:color w:val="auto"/>
                <w:kern w:val="0"/>
                <w:sz w:val="21"/>
                <w:szCs w:val="21"/>
              </w:rPr>
              <w:t>0.2H</w:t>
            </w:r>
          </w:p>
        </w:tc>
        <w:tc>
          <w:tcPr>
            <w:tcW w:w="1082" w:type="pct"/>
            <w:vAlign w:val="center"/>
          </w:tcPr>
          <w:p w14:paraId="0C3FFAAF">
            <w:pPr>
              <w:spacing w:line="240" w:lineRule="auto"/>
              <w:ind w:firstLine="0" w:firstLineChars="0"/>
              <w:jc w:val="center"/>
              <w:rPr>
                <w:color w:val="auto"/>
                <w:kern w:val="0"/>
                <w:sz w:val="21"/>
                <w:szCs w:val="21"/>
              </w:rPr>
            </w:pPr>
          </w:p>
        </w:tc>
        <w:tc>
          <w:tcPr>
            <w:tcW w:w="885" w:type="pct"/>
            <w:vAlign w:val="center"/>
          </w:tcPr>
          <w:p w14:paraId="0D80BB02">
            <w:pPr>
              <w:spacing w:line="240" w:lineRule="auto"/>
              <w:ind w:firstLine="0" w:firstLineChars="0"/>
              <w:jc w:val="center"/>
              <w:rPr>
                <w:color w:val="auto"/>
                <w:kern w:val="0"/>
                <w:sz w:val="21"/>
                <w:szCs w:val="21"/>
              </w:rPr>
            </w:pPr>
          </w:p>
        </w:tc>
        <w:tc>
          <w:tcPr>
            <w:tcW w:w="883" w:type="pct"/>
            <w:vAlign w:val="center"/>
          </w:tcPr>
          <w:p w14:paraId="1E92EE61">
            <w:pPr>
              <w:spacing w:line="240" w:lineRule="auto"/>
              <w:ind w:firstLine="0" w:firstLineChars="0"/>
              <w:jc w:val="center"/>
              <w:rPr>
                <w:color w:val="auto"/>
                <w:kern w:val="0"/>
                <w:sz w:val="21"/>
                <w:szCs w:val="21"/>
              </w:rPr>
            </w:pPr>
          </w:p>
        </w:tc>
        <w:tc>
          <w:tcPr>
            <w:tcW w:w="891" w:type="pct"/>
            <w:vAlign w:val="center"/>
          </w:tcPr>
          <w:p w14:paraId="05CFD0FD">
            <w:pPr>
              <w:spacing w:line="240" w:lineRule="auto"/>
              <w:ind w:firstLine="0" w:firstLineChars="0"/>
              <w:jc w:val="center"/>
              <w:rPr>
                <w:color w:val="auto"/>
                <w:kern w:val="0"/>
                <w:sz w:val="21"/>
                <w:szCs w:val="21"/>
              </w:rPr>
            </w:pPr>
          </w:p>
        </w:tc>
      </w:tr>
      <w:tr w14:paraId="11B117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2D811563">
            <w:pPr>
              <w:spacing w:line="240" w:lineRule="auto"/>
              <w:ind w:firstLine="0" w:firstLineChars="0"/>
              <w:jc w:val="center"/>
              <w:rPr>
                <w:color w:val="auto"/>
                <w:kern w:val="0"/>
                <w:sz w:val="21"/>
                <w:szCs w:val="21"/>
              </w:rPr>
            </w:pPr>
          </w:p>
        </w:tc>
        <w:tc>
          <w:tcPr>
            <w:tcW w:w="622" w:type="pct"/>
            <w:vAlign w:val="center"/>
          </w:tcPr>
          <w:p w14:paraId="4C1E4317">
            <w:pPr>
              <w:spacing w:line="240" w:lineRule="auto"/>
              <w:ind w:firstLine="0" w:firstLineChars="0"/>
              <w:jc w:val="center"/>
              <w:rPr>
                <w:color w:val="auto"/>
                <w:kern w:val="0"/>
                <w:sz w:val="21"/>
                <w:szCs w:val="21"/>
              </w:rPr>
            </w:pPr>
            <w:r>
              <w:rPr>
                <w:color w:val="auto"/>
                <w:kern w:val="0"/>
                <w:sz w:val="21"/>
                <w:szCs w:val="21"/>
              </w:rPr>
              <w:t>0.4H</w:t>
            </w:r>
          </w:p>
        </w:tc>
        <w:tc>
          <w:tcPr>
            <w:tcW w:w="1082" w:type="pct"/>
            <w:vAlign w:val="center"/>
          </w:tcPr>
          <w:p w14:paraId="4000B82D">
            <w:pPr>
              <w:spacing w:line="240" w:lineRule="auto"/>
              <w:ind w:firstLine="0" w:firstLineChars="0"/>
              <w:jc w:val="center"/>
              <w:rPr>
                <w:color w:val="auto"/>
                <w:kern w:val="0"/>
                <w:sz w:val="21"/>
                <w:szCs w:val="21"/>
              </w:rPr>
            </w:pPr>
          </w:p>
        </w:tc>
        <w:tc>
          <w:tcPr>
            <w:tcW w:w="885" w:type="pct"/>
            <w:vAlign w:val="center"/>
          </w:tcPr>
          <w:p w14:paraId="76A6629F">
            <w:pPr>
              <w:spacing w:line="240" w:lineRule="auto"/>
              <w:ind w:firstLine="0" w:firstLineChars="0"/>
              <w:jc w:val="center"/>
              <w:rPr>
                <w:color w:val="auto"/>
                <w:kern w:val="0"/>
                <w:sz w:val="21"/>
                <w:szCs w:val="21"/>
              </w:rPr>
            </w:pPr>
          </w:p>
        </w:tc>
        <w:tc>
          <w:tcPr>
            <w:tcW w:w="883" w:type="pct"/>
            <w:vAlign w:val="center"/>
          </w:tcPr>
          <w:p w14:paraId="68226A84">
            <w:pPr>
              <w:spacing w:line="240" w:lineRule="auto"/>
              <w:ind w:firstLine="0" w:firstLineChars="0"/>
              <w:jc w:val="center"/>
              <w:rPr>
                <w:color w:val="auto"/>
                <w:kern w:val="0"/>
                <w:sz w:val="21"/>
                <w:szCs w:val="21"/>
              </w:rPr>
            </w:pPr>
          </w:p>
        </w:tc>
        <w:tc>
          <w:tcPr>
            <w:tcW w:w="891" w:type="pct"/>
            <w:vAlign w:val="center"/>
          </w:tcPr>
          <w:p w14:paraId="0B5D346E">
            <w:pPr>
              <w:spacing w:line="240" w:lineRule="auto"/>
              <w:ind w:firstLine="0" w:firstLineChars="0"/>
              <w:jc w:val="center"/>
              <w:rPr>
                <w:color w:val="auto"/>
                <w:kern w:val="0"/>
                <w:sz w:val="21"/>
                <w:szCs w:val="21"/>
              </w:rPr>
            </w:pPr>
          </w:p>
        </w:tc>
      </w:tr>
      <w:tr w14:paraId="50F6B6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51E759FD">
            <w:pPr>
              <w:spacing w:line="240" w:lineRule="auto"/>
              <w:ind w:firstLine="0" w:firstLineChars="0"/>
              <w:jc w:val="center"/>
              <w:rPr>
                <w:color w:val="auto"/>
                <w:kern w:val="0"/>
                <w:sz w:val="21"/>
                <w:szCs w:val="21"/>
              </w:rPr>
            </w:pPr>
          </w:p>
        </w:tc>
        <w:tc>
          <w:tcPr>
            <w:tcW w:w="622" w:type="pct"/>
            <w:vAlign w:val="center"/>
          </w:tcPr>
          <w:p w14:paraId="33741395">
            <w:pPr>
              <w:spacing w:line="240" w:lineRule="auto"/>
              <w:ind w:firstLine="0" w:firstLineChars="0"/>
              <w:jc w:val="center"/>
              <w:rPr>
                <w:color w:val="auto"/>
                <w:kern w:val="0"/>
                <w:sz w:val="21"/>
                <w:szCs w:val="21"/>
              </w:rPr>
            </w:pPr>
            <w:r>
              <w:rPr>
                <w:color w:val="auto"/>
                <w:kern w:val="0"/>
                <w:sz w:val="21"/>
                <w:szCs w:val="21"/>
              </w:rPr>
              <w:t>0.6H</w:t>
            </w:r>
          </w:p>
        </w:tc>
        <w:tc>
          <w:tcPr>
            <w:tcW w:w="1082" w:type="pct"/>
            <w:vAlign w:val="center"/>
          </w:tcPr>
          <w:p w14:paraId="071FF859">
            <w:pPr>
              <w:spacing w:line="240" w:lineRule="auto"/>
              <w:ind w:firstLine="0" w:firstLineChars="0"/>
              <w:jc w:val="center"/>
              <w:rPr>
                <w:color w:val="auto"/>
                <w:kern w:val="0"/>
                <w:sz w:val="21"/>
                <w:szCs w:val="21"/>
              </w:rPr>
            </w:pPr>
          </w:p>
        </w:tc>
        <w:tc>
          <w:tcPr>
            <w:tcW w:w="885" w:type="pct"/>
            <w:vAlign w:val="center"/>
          </w:tcPr>
          <w:p w14:paraId="7087312A">
            <w:pPr>
              <w:spacing w:line="240" w:lineRule="auto"/>
              <w:ind w:firstLine="0" w:firstLineChars="0"/>
              <w:jc w:val="center"/>
              <w:rPr>
                <w:color w:val="auto"/>
                <w:kern w:val="0"/>
                <w:sz w:val="21"/>
                <w:szCs w:val="21"/>
              </w:rPr>
            </w:pPr>
          </w:p>
        </w:tc>
        <w:tc>
          <w:tcPr>
            <w:tcW w:w="883" w:type="pct"/>
            <w:vAlign w:val="center"/>
          </w:tcPr>
          <w:p w14:paraId="0D76195D">
            <w:pPr>
              <w:spacing w:line="240" w:lineRule="auto"/>
              <w:ind w:firstLine="0" w:firstLineChars="0"/>
              <w:jc w:val="center"/>
              <w:rPr>
                <w:color w:val="auto"/>
                <w:kern w:val="0"/>
                <w:sz w:val="21"/>
                <w:szCs w:val="21"/>
              </w:rPr>
            </w:pPr>
          </w:p>
        </w:tc>
        <w:tc>
          <w:tcPr>
            <w:tcW w:w="891" w:type="pct"/>
            <w:vAlign w:val="center"/>
          </w:tcPr>
          <w:p w14:paraId="06B7B711">
            <w:pPr>
              <w:spacing w:line="240" w:lineRule="auto"/>
              <w:ind w:firstLine="0" w:firstLineChars="0"/>
              <w:jc w:val="center"/>
              <w:rPr>
                <w:color w:val="auto"/>
                <w:kern w:val="0"/>
                <w:sz w:val="21"/>
                <w:szCs w:val="21"/>
              </w:rPr>
            </w:pPr>
          </w:p>
        </w:tc>
      </w:tr>
      <w:tr w14:paraId="518AD1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23B4123B">
            <w:pPr>
              <w:spacing w:line="240" w:lineRule="auto"/>
              <w:ind w:firstLine="0" w:firstLineChars="0"/>
              <w:jc w:val="center"/>
              <w:rPr>
                <w:color w:val="auto"/>
                <w:kern w:val="0"/>
                <w:sz w:val="21"/>
                <w:szCs w:val="21"/>
              </w:rPr>
            </w:pPr>
          </w:p>
        </w:tc>
        <w:tc>
          <w:tcPr>
            <w:tcW w:w="622" w:type="pct"/>
            <w:vAlign w:val="center"/>
          </w:tcPr>
          <w:p w14:paraId="4E2C29AA">
            <w:pPr>
              <w:spacing w:line="240" w:lineRule="auto"/>
              <w:ind w:firstLine="0" w:firstLineChars="0"/>
              <w:jc w:val="center"/>
              <w:rPr>
                <w:color w:val="auto"/>
                <w:kern w:val="0"/>
                <w:sz w:val="21"/>
                <w:szCs w:val="21"/>
              </w:rPr>
            </w:pPr>
            <w:r>
              <w:rPr>
                <w:color w:val="auto"/>
                <w:kern w:val="0"/>
                <w:sz w:val="21"/>
                <w:szCs w:val="21"/>
              </w:rPr>
              <w:t>0.8H</w:t>
            </w:r>
          </w:p>
        </w:tc>
        <w:tc>
          <w:tcPr>
            <w:tcW w:w="1082" w:type="pct"/>
            <w:vAlign w:val="center"/>
          </w:tcPr>
          <w:p w14:paraId="0F473C7F">
            <w:pPr>
              <w:spacing w:line="240" w:lineRule="auto"/>
              <w:ind w:firstLine="0" w:firstLineChars="0"/>
              <w:jc w:val="center"/>
              <w:rPr>
                <w:color w:val="auto"/>
                <w:kern w:val="0"/>
                <w:sz w:val="21"/>
                <w:szCs w:val="21"/>
              </w:rPr>
            </w:pPr>
          </w:p>
        </w:tc>
        <w:tc>
          <w:tcPr>
            <w:tcW w:w="885" w:type="pct"/>
            <w:vAlign w:val="center"/>
          </w:tcPr>
          <w:p w14:paraId="3AE89088">
            <w:pPr>
              <w:spacing w:line="240" w:lineRule="auto"/>
              <w:ind w:firstLine="0" w:firstLineChars="0"/>
              <w:jc w:val="center"/>
              <w:rPr>
                <w:color w:val="auto"/>
                <w:kern w:val="0"/>
                <w:sz w:val="21"/>
                <w:szCs w:val="21"/>
              </w:rPr>
            </w:pPr>
          </w:p>
        </w:tc>
        <w:tc>
          <w:tcPr>
            <w:tcW w:w="883" w:type="pct"/>
            <w:vAlign w:val="center"/>
          </w:tcPr>
          <w:p w14:paraId="06FD7452">
            <w:pPr>
              <w:spacing w:line="240" w:lineRule="auto"/>
              <w:ind w:firstLine="0" w:firstLineChars="0"/>
              <w:jc w:val="center"/>
              <w:rPr>
                <w:color w:val="auto"/>
                <w:kern w:val="0"/>
                <w:sz w:val="21"/>
                <w:szCs w:val="21"/>
              </w:rPr>
            </w:pPr>
          </w:p>
        </w:tc>
        <w:tc>
          <w:tcPr>
            <w:tcW w:w="891" w:type="pct"/>
            <w:vAlign w:val="center"/>
          </w:tcPr>
          <w:p w14:paraId="44642922">
            <w:pPr>
              <w:spacing w:line="240" w:lineRule="auto"/>
              <w:ind w:firstLine="0" w:firstLineChars="0"/>
              <w:jc w:val="center"/>
              <w:rPr>
                <w:color w:val="auto"/>
                <w:kern w:val="0"/>
                <w:sz w:val="21"/>
                <w:szCs w:val="21"/>
              </w:rPr>
            </w:pPr>
          </w:p>
        </w:tc>
      </w:tr>
      <w:tr w14:paraId="37D350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559F4DC8">
            <w:pPr>
              <w:spacing w:line="240" w:lineRule="auto"/>
              <w:ind w:firstLine="0" w:firstLineChars="0"/>
              <w:jc w:val="center"/>
              <w:rPr>
                <w:color w:val="auto"/>
                <w:kern w:val="0"/>
                <w:sz w:val="21"/>
                <w:szCs w:val="21"/>
              </w:rPr>
            </w:pPr>
          </w:p>
        </w:tc>
        <w:tc>
          <w:tcPr>
            <w:tcW w:w="622" w:type="pct"/>
            <w:vAlign w:val="center"/>
          </w:tcPr>
          <w:p w14:paraId="5B77E738">
            <w:pPr>
              <w:spacing w:line="240" w:lineRule="auto"/>
              <w:ind w:firstLine="0" w:firstLineChars="0"/>
              <w:jc w:val="center"/>
              <w:rPr>
                <w:color w:val="auto"/>
                <w:kern w:val="0"/>
                <w:sz w:val="21"/>
                <w:szCs w:val="21"/>
              </w:rPr>
            </w:pPr>
            <w:r>
              <w:rPr>
                <w:color w:val="auto"/>
                <w:kern w:val="0"/>
                <w:sz w:val="21"/>
                <w:szCs w:val="21"/>
              </w:rPr>
              <w:t>底层</w:t>
            </w:r>
          </w:p>
        </w:tc>
        <w:tc>
          <w:tcPr>
            <w:tcW w:w="1082" w:type="pct"/>
            <w:vAlign w:val="center"/>
          </w:tcPr>
          <w:p w14:paraId="21EE28F6">
            <w:pPr>
              <w:spacing w:line="240" w:lineRule="auto"/>
              <w:ind w:firstLine="0" w:firstLineChars="0"/>
              <w:jc w:val="center"/>
              <w:rPr>
                <w:color w:val="auto"/>
                <w:kern w:val="0"/>
                <w:sz w:val="21"/>
                <w:szCs w:val="21"/>
              </w:rPr>
            </w:pPr>
          </w:p>
        </w:tc>
        <w:tc>
          <w:tcPr>
            <w:tcW w:w="885" w:type="pct"/>
            <w:vAlign w:val="center"/>
          </w:tcPr>
          <w:p w14:paraId="48A62222">
            <w:pPr>
              <w:spacing w:line="240" w:lineRule="auto"/>
              <w:ind w:firstLine="0" w:firstLineChars="0"/>
              <w:jc w:val="center"/>
              <w:rPr>
                <w:color w:val="auto"/>
                <w:kern w:val="0"/>
                <w:sz w:val="21"/>
                <w:szCs w:val="21"/>
              </w:rPr>
            </w:pPr>
          </w:p>
        </w:tc>
        <w:tc>
          <w:tcPr>
            <w:tcW w:w="883" w:type="pct"/>
            <w:vAlign w:val="center"/>
          </w:tcPr>
          <w:p w14:paraId="2878581B">
            <w:pPr>
              <w:spacing w:line="240" w:lineRule="auto"/>
              <w:ind w:firstLine="0" w:firstLineChars="0"/>
              <w:jc w:val="center"/>
              <w:rPr>
                <w:color w:val="auto"/>
                <w:kern w:val="0"/>
                <w:sz w:val="21"/>
                <w:szCs w:val="21"/>
              </w:rPr>
            </w:pPr>
          </w:p>
        </w:tc>
        <w:tc>
          <w:tcPr>
            <w:tcW w:w="891" w:type="pct"/>
            <w:vAlign w:val="center"/>
          </w:tcPr>
          <w:p w14:paraId="2BD8D0E9">
            <w:pPr>
              <w:spacing w:line="240" w:lineRule="auto"/>
              <w:ind w:firstLine="0" w:firstLineChars="0"/>
              <w:jc w:val="center"/>
              <w:rPr>
                <w:color w:val="auto"/>
                <w:kern w:val="0"/>
                <w:sz w:val="21"/>
                <w:szCs w:val="21"/>
              </w:rPr>
            </w:pPr>
          </w:p>
        </w:tc>
      </w:tr>
      <w:tr w14:paraId="777A80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40D5D0CC">
            <w:pPr>
              <w:spacing w:line="240" w:lineRule="auto"/>
              <w:ind w:firstLine="0" w:firstLineChars="0"/>
              <w:jc w:val="center"/>
              <w:rPr>
                <w:color w:val="auto"/>
                <w:kern w:val="0"/>
                <w:sz w:val="21"/>
                <w:szCs w:val="21"/>
              </w:rPr>
            </w:pPr>
          </w:p>
        </w:tc>
        <w:tc>
          <w:tcPr>
            <w:tcW w:w="622" w:type="pct"/>
            <w:vAlign w:val="center"/>
          </w:tcPr>
          <w:p w14:paraId="65B7FD5F">
            <w:pPr>
              <w:spacing w:line="240" w:lineRule="auto"/>
              <w:ind w:firstLine="0" w:firstLineChars="0"/>
              <w:jc w:val="center"/>
              <w:rPr>
                <w:color w:val="auto"/>
                <w:kern w:val="0"/>
                <w:sz w:val="21"/>
                <w:szCs w:val="21"/>
              </w:rPr>
            </w:pPr>
            <w:r>
              <w:rPr>
                <w:color w:val="auto"/>
                <w:kern w:val="0"/>
                <w:sz w:val="21"/>
                <w:szCs w:val="21"/>
              </w:rPr>
              <w:t>垂线</w:t>
            </w:r>
          </w:p>
        </w:tc>
        <w:tc>
          <w:tcPr>
            <w:tcW w:w="1082" w:type="pct"/>
            <w:vAlign w:val="center"/>
          </w:tcPr>
          <w:p w14:paraId="5E80087E">
            <w:pPr>
              <w:spacing w:line="240" w:lineRule="auto"/>
              <w:ind w:firstLine="0" w:firstLineChars="0"/>
              <w:jc w:val="center"/>
              <w:rPr>
                <w:color w:val="auto"/>
                <w:kern w:val="0"/>
                <w:sz w:val="21"/>
                <w:szCs w:val="21"/>
              </w:rPr>
            </w:pPr>
          </w:p>
        </w:tc>
        <w:tc>
          <w:tcPr>
            <w:tcW w:w="885" w:type="pct"/>
            <w:vAlign w:val="center"/>
          </w:tcPr>
          <w:p w14:paraId="70D2A196">
            <w:pPr>
              <w:spacing w:line="240" w:lineRule="auto"/>
              <w:ind w:firstLine="0" w:firstLineChars="0"/>
              <w:jc w:val="center"/>
              <w:rPr>
                <w:color w:val="auto"/>
                <w:kern w:val="0"/>
                <w:sz w:val="21"/>
                <w:szCs w:val="21"/>
              </w:rPr>
            </w:pPr>
          </w:p>
        </w:tc>
        <w:tc>
          <w:tcPr>
            <w:tcW w:w="883" w:type="pct"/>
            <w:vAlign w:val="center"/>
          </w:tcPr>
          <w:p w14:paraId="5B8DF333">
            <w:pPr>
              <w:spacing w:line="240" w:lineRule="auto"/>
              <w:ind w:firstLine="0" w:firstLineChars="0"/>
              <w:jc w:val="center"/>
              <w:rPr>
                <w:color w:val="auto"/>
                <w:kern w:val="0"/>
                <w:sz w:val="21"/>
                <w:szCs w:val="21"/>
              </w:rPr>
            </w:pPr>
          </w:p>
        </w:tc>
        <w:tc>
          <w:tcPr>
            <w:tcW w:w="891" w:type="pct"/>
            <w:vAlign w:val="center"/>
          </w:tcPr>
          <w:p w14:paraId="6FB7C12B">
            <w:pPr>
              <w:spacing w:line="240" w:lineRule="auto"/>
              <w:ind w:firstLine="0" w:firstLineChars="0"/>
              <w:jc w:val="center"/>
              <w:rPr>
                <w:color w:val="auto"/>
                <w:kern w:val="0"/>
                <w:sz w:val="21"/>
                <w:szCs w:val="21"/>
              </w:rPr>
            </w:pPr>
          </w:p>
        </w:tc>
      </w:tr>
      <w:tr w14:paraId="2FA953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restart"/>
            <w:vAlign w:val="center"/>
          </w:tcPr>
          <w:p w14:paraId="318FBFF4">
            <w:pPr>
              <w:spacing w:line="240" w:lineRule="auto"/>
              <w:ind w:firstLine="0" w:firstLineChars="0"/>
              <w:jc w:val="center"/>
              <w:rPr>
                <w:color w:val="auto"/>
                <w:kern w:val="0"/>
                <w:sz w:val="21"/>
                <w:szCs w:val="21"/>
              </w:rPr>
            </w:pPr>
            <w:r>
              <w:rPr>
                <w:color w:val="auto"/>
                <w:kern w:val="0"/>
                <w:sz w:val="21"/>
                <w:szCs w:val="21"/>
              </w:rPr>
              <w:t>V3</w:t>
            </w:r>
          </w:p>
        </w:tc>
        <w:tc>
          <w:tcPr>
            <w:tcW w:w="622" w:type="pct"/>
            <w:vAlign w:val="center"/>
          </w:tcPr>
          <w:p w14:paraId="72C3BAE5">
            <w:pPr>
              <w:spacing w:line="240" w:lineRule="auto"/>
              <w:ind w:firstLine="0" w:firstLineChars="0"/>
              <w:jc w:val="center"/>
              <w:rPr>
                <w:color w:val="auto"/>
                <w:kern w:val="0"/>
                <w:sz w:val="21"/>
                <w:szCs w:val="21"/>
              </w:rPr>
            </w:pPr>
            <w:r>
              <w:rPr>
                <w:color w:val="auto"/>
                <w:kern w:val="0"/>
                <w:sz w:val="21"/>
                <w:szCs w:val="21"/>
              </w:rPr>
              <w:t>表层</w:t>
            </w:r>
          </w:p>
        </w:tc>
        <w:tc>
          <w:tcPr>
            <w:tcW w:w="1082" w:type="pct"/>
            <w:vAlign w:val="center"/>
          </w:tcPr>
          <w:p w14:paraId="59E5D96D">
            <w:pPr>
              <w:spacing w:line="240" w:lineRule="auto"/>
              <w:ind w:firstLine="0" w:firstLineChars="0"/>
              <w:jc w:val="center"/>
              <w:rPr>
                <w:color w:val="auto"/>
                <w:kern w:val="0"/>
                <w:sz w:val="21"/>
                <w:szCs w:val="21"/>
              </w:rPr>
            </w:pPr>
          </w:p>
        </w:tc>
        <w:tc>
          <w:tcPr>
            <w:tcW w:w="885" w:type="pct"/>
            <w:vAlign w:val="center"/>
          </w:tcPr>
          <w:p w14:paraId="61D31CB6">
            <w:pPr>
              <w:spacing w:line="240" w:lineRule="auto"/>
              <w:ind w:firstLine="0" w:firstLineChars="0"/>
              <w:jc w:val="center"/>
              <w:rPr>
                <w:color w:val="auto"/>
                <w:kern w:val="0"/>
                <w:sz w:val="21"/>
                <w:szCs w:val="21"/>
              </w:rPr>
            </w:pPr>
          </w:p>
        </w:tc>
        <w:tc>
          <w:tcPr>
            <w:tcW w:w="883" w:type="pct"/>
            <w:vAlign w:val="center"/>
          </w:tcPr>
          <w:p w14:paraId="7B016474">
            <w:pPr>
              <w:spacing w:line="240" w:lineRule="auto"/>
              <w:ind w:firstLine="0" w:firstLineChars="0"/>
              <w:jc w:val="center"/>
              <w:rPr>
                <w:color w:val="auto"/>
                <w:kern w:val="0"/>
                <w:sz w:val="21"/>
                <w:szCs w:val="21"/>
              </w:rPr>
            </w:pPr>
          </w:p>
        </w:tc>
        <w:tc>
          <w:tcPr>
            <w:tcW w:w="891" w:type="pct"/>
            <w:vAlign w:val="center"/>
          </w:tcPr>
          <w:p w14:paraId="7F77BD62">
            <w:pPr>
              <w:spacing w:line="240" w:lineRule="auto"/>
              <w:ind w:firstLine="0" w:firstLineChars="0"/>
              <w:jc w:val="center"/>
              <w:rPr>
                <w:color w:val="auto"/>
                <w:kern w:val="0"/>
                <w:sz w:val="21"/>
                <w:szCs w:val="21"/>
              </w:rPr>
            </w:pPr>
          </w:p>
        </w:tc>
      </w:tr>
      <w:tr w14:paraId="3B9453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0DF771A4">
            <w:pPr>
              <w:spacing w:line="240" w:lineRule="auto"/>
              <w:ind w:firstLine="0" w:firstLineChars="0"/>
              <w:jc w:val="center"/>
              <w:rPr>
                <w:color w:val="auto"/>
                <w:kern w:val="0"/>
                <w:sz w:val="21"/>
                <w:szCs w:val="21"/>
              </w:rPr>
            </w:pPr>
          </w:p>
        </w:tc>
        <w:tc>
          <w:tcPr>
            <w:tcW w:w="622" w:type="pct"/>
            <w:vAlign w:val="center"/>
          </w:tcPr>
          <w:p w14:paraId="68CF4823">
            <w:pPr>
              <w:spacing w:line="240" w:lineRule="auto"/>
              <w:ind w:firstLine="0" w:firstLineChars="0"/>
              <w:jc w:val="center"/>
              <w:rPr>
                <w:color w:val="auto"/>
                <w:kern w:val="0"/>
                <w:sz w:val="21"/>
                <w:szCs w:val="21"/>
              </w:rPr>
            </w:pPr>
            <w:r>
              <w:rPr>
                <w:color w:val="auto"/>
                <w:kern w:val="0"/>
                <w:sz w:val="21"/>
                <w:szCs w:val="21"/>
              </w:rPr>
              <w:t>0.2H</w:t>
            </w:r>
          </w:p>
        </w:tc>
        <w:tc>
          <w:tcPr>
            <w:tcW w:w="1082" w:type="pct"/>
            <w:vAlign w:val="center"/>
          </w:tcPr>
          <w:p w14:paraId="730F6351">
            <w:pPr>
              <w:spacing w:line="240" w:lineRule="auto"/>
              <w:ind w:firstLine="0" w:firstLineChars="0"/>
              <w:jc w:val="center"/>
              <w:rPr>
                <w:color w:val="auto"/>
                <w:kern w:val="0"/>
                <w:sz w:val="21"/>
                <w:szCs w:val="21"/>
              </w:rPr>
            </w:pPr>
          </w:p>
        </w:tc>
        <w:tc>
          <w:tcPr>
            <w:tcW w:w="885" w:type="pct"/>
            <w:vAlign w:val="center"/>
          </w:tcPr>
          <w:p w14:paraId="30621D40">
            <w:pPr>
              <w:spacing w:line="240" w:lineRule="auto"/>
              <w:ind w:firstLine="0" w:firstLineChars="0"/>
              <w:jc w:val="center"/>
              <w:rPr>
                <w:color w:val="auto"/>
                <w:kern w:val="0"/>
                <w:sz w:val="21"/>
                <w:szCs w:val="21"/>
              </w:rPr>
            </w:pPr>
          </w:p>
        </w:tc>
        <w:tc>
          <w:tcPr>
            <w:tcW w:w="883" w:type="pct"/>
            <w:vAlign w:val="center"/>
          </w:tcPr>
          <w:p w14:paraId="3F08FFC9">
            <w:pPr>
              <w:spacing w:line="240" w:lineRule="auto"/>
              <w:ind w:firstLine="0" w:firstLineChars="0"/>
              <w:jc w:val="center"/>
              <w:rPr>
                <w:color w:val="auto"/>
                <w:kern w:val="0"/>
                <w:sz w:val="21"/>
                <w:szCs w:val="21"/>
              </w:rPr>
            </w:pPr>
          </w:p>
        </w:tc>
        <w:tc>
          <w:tcPr>
            <w:tcW w:w="891" w:type="pct"/>
            <w:vAlign w:val="center"/>
          </w:tcPr>
          <w:p w14:paraId="57498C33">
            <w:pPr>
              <w:spacing w:line="240" w:lineRule="auto"/>
              <w:ind w:firstLine="0" w:firstLineChars="0"/>
              <w:jc w:val="center"/>
              <w:rPr>
                <w:color w:val="auto"/>
                <w:kern w:val="0"/>
                <w:sz w:val="21"/>
                <w:szCs w:val="21"/>
              </w:rPr>
            </w:pPr>
          </w:p>
        </w:tc>
      </w:tr>
      <w:tr w14:paraId="5E7BCE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4458E576">
            <w:pPr>
              <w:spacing w:line="240" w:lineRule="auto"/>
              <w:ind w:firstLine="0" w:firstLineChars="0"/>
              <w:jc w:val="center"/>
              <w:rPr>
                <w:color w:val="auto"/>
                <w:kern w:val="0"/>
                <w:sz w:val="21"/>
                <w:szCs w:val="21"/>
              </w:rPr>
            </w:pPr>
          </w:p>
        </w:tc>
        <w:tc>
          <w:tcPr>
            <w:tcW w:w="622" w:type="pct"/>
            <w:vAlign w:val="center"/>
          </w:tcPr>
          <w:p w14:paraId="2167AC85">
            <w:pPr>
              <w:spacing w:line="240" w:lineRule="auto"/>
              <w:ind w:firstLine="0" w:firstLineChars="0"/>
              <w:jc w:val="center"/>
              <w:rPr>
                <w:color w:val="auto"/>
                <w:kern w:val="0"/>
                <w:sz w:val="21"/>
                <w:szCs w:val="21"/>
              </w:rPr>
            </w:pPr>
            <w:r>
              <w:rPr>
                <w:color w:val="auto"/>
                <w:kern w:val="0"/>
                <w:sz w:val="21"/>
                <w:szCs w:val="21"/>
              </w:rPr>
              <w:t>0.4H</w:t>
            </w:r>
          </w:p>
        </w:tc>
        <w:tc>
          <w:tcPr>
            <w:tcW w:w="1082" w:type="pct"/>
            <w:vAlign w:val="center"/>
          </w:tcPr>
          <w:p w14:paraId="21523D30">
            <w:pPr>
              <w:spacing w:line="240" w:lineRule="auto"/>
              <w:ind w:firstLine="0" w:firstLineChars="0"/>
              <w:jc w:val="center"/>
              <w:rPr>
                <w:color w:val="auto"/>
                <w:kern w:val="0"/>
                <w:sz w:val="21"/>
                <w:szCs w:val="21"/>
              </w:rPr>
            </w:pPr>
          </w:p>
        </w:tc>
        <w:tc>
          <w:tcPr>
            <w:tcW w:w="885" w:type="pct"/>
            <w:vAlign w:val="center"/>
          </w:tcPr>
          <w:p w14:paraId="6B02303A">
            <w:pPr>
              <w:spacing w:line="240" w:lineRule="auto"/>
              <w:ind w:firstLine="0" w:firstLineChars="0"/>
              <w:jc w:val="center"/>
              <w:rPr>
                <w:color w:val="auto"/>
                <w:kern w:val="0"/>
                <w:sz w:val="21"/>
                <w:szCs w:val="21"/>
              </w:rPr>
            </w:pPr>
          </w:p>
        </w:tc>
        <w:tc>
          <w:tcPr>
            <w:tcW w:w="883" w:type="pct"/>
            <w:vAlign w:val="center"/>
          </w:tcPr>
          <w:p w14:paraId="4E012073">
            <w:pPr>
              <w:spacing w:line="240" w:lineRule="auto"/>
              <w:ind w:firstLine="0" w:firstLineChars="0"/>
              <w:jc w:val="center"/>
              <w:rPr>
                <w:color w:val="auto"/>
                <w:kern w:val="0"/>
                <w:sz w:val="21"/>
                <w:szCs w:val="21"/>
              </w:rPr>
            </w:pPr>
          </w:p>
        </w:tc>
        <w:tc>
          <w:tcPr>
            <w:tcW w:w="891" w:type="pct"/>
            <w:vAlign w:val="center"/>
          </w:tcPr>
          <w:p w14:paraId="1C46AD87">
            <w:pPr>
              <w:spacing w:line="240" w:lineRule="auto"/>
              <w:ind w:firstLine="0" w:firstLineChars="0"/>
              <w:jc w:val="center"/>
              <w:rPr>
                <w:color w:val="auto"/>
                <w:kern w:val="0"/>
                <w:sz w:val="21"/>
                <w:szCs w:val="21"/>
              </w:rPr>
            </w:pPr>
          </w:p>
        </w:tc>
      </w:tr>
      <w:tr w14:paraId="5E803A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4E9C1FBD">
            <w:pPr>
              <w:spacing w:line="240" w:lineRule="auto"/>
              <w:ind w:firstLine="0" w:firstLineChars="0"/>
              <w:jc w:val="center"/>
              <w:rPr>
                <w:color w:val="auto"/>
                <w:kern w:val="0"/>
                <w:sz w:val="21"/>
                <w:szCs w:val="21"/>
              </w:rPr>
            </w:pPr>
          </w:p>
        </w:tc>
        <w:tc>
          <w:tcPr>
            <w:tcW w:w="622" w:type="pct"/>
            <w:vAlign w:val="center"/>
          </w:tcPr>
          <w:p w14:paraId="567A61C9">
            <w:pPr>
              <w:spacing w:line="240" w:lineRule="auto"/>
              <w:ind w:firstLine="0" w:firstLineChars="0"/>
              <w:jc w:val="center"/>
              <w:rPr>
                <w:color w:val="auto"/>
                <w:kern w:val="0"/>
                <w:sz w:val="21"/>
                <w:szCs w:val="21"/>
              </w:rPr>
            </w:pPr>
            <w:r>
              <w:rPr>
                <w:color w:val="auto"/>
                <w:kern w:val="0"/>
                <w:sz w:val="21"/>
                <w:szCs w:val="21"/>
              </w:rPr>
              <w:t>0.6H</w:t>
            </w:r>
          </w:p>
        </w:tc>
        <w:tc>
          <w:tcPr>
            <w:tcW w:w="1082" w:type="pct"/>
            <w:vAlign w:val="center"/>
          </w:tcPr>
          <w:p w14:paraId="30064AD7">
            <w:pPr>
              <w:spacing w:line="240" w:lineRule="auto"/>
              <w:ind w:firstLine="0" w:firstLineChars="0"/>
              <w:jc w:val="center"/>
              <w:rPr>
                <w:color w:val="auto"/>
                <w:kern w:val="0"/>
                <w:sz w:val="21"/>
                <w:szCs w:val="21"/>
              </w:rPr>
            </w:pPr>
          </w:p>
        </w:tc>
        <w:tc>
          <w:tcPr>
            <w:tcW w:w="885" w:type="pct"/>
            <w:vAlign w:val="center"/>
          </w:tcPr>
          <w:p w14:paraId="7C71E661">
            <w:pPr>
              <w:spacing w:line="240" w:lineRule="auto"/>
              <w:ind w:firstLine="0" w:firstLineChars="0"/>
              <w:jc w:val="center"/>
              <w:rPr>
                <w:color w:val="auto"/>
                <w:kern w:val="0"/>
                <w:sz w:val="21"/>
                <w:szCs w:val="21"/>
              </w:rPr>
            </w:pPr>
          </w:p>
        </w:tc>
        <w:tc>
          <w:tcPr>
            <w:tcW w:w="883" w:type="pct"/>
            <w:vAlign w:val="center"/>
          </w:tcPr>
          <w:p w14:paraId="38A013FF">
            <w:pPr>
              <w:spacing w:line="240" w:lineRule="auto"/>
              <w:ind w:firstLine="0" w:firstLineChars="0"/>
              <w:jc w:val="center"/>
              <w:rPr>
                <w:color w:val="auto"/>
                <w:kern w:val="0"/>
                <w:sz w:val="21"/>
                <w:szCs w:val="21"/>
              </w:rPr>
            </w:pPr>
          </w:p>
        </w:tc>
        <w:tc>
          <w:tcPr>
            <w:tcW w:w="891" w:type="pct"/>
            <w:vAlign w:val="center"/>
          </w:tcPr>
          <w:p w14:paraId="702BE1BE">
            <w:pPr>
              <w:spacing w:line="240" w:lineRule="auto"/>
              <w:ind w:firstLine="0" w:firstLineChars="0"/>
              <w:jc w:val="center"/>
              <w:rPr>
                <w:color w:val="auto"/>
                <w:kern w:val="0"/>
                <w:sz w:val="21"/>
                <w:szCs w:val="21"/>
              </w:rPr>
            </w:pPr>
          </w:p>
        </w:tc>
      </w:tr>
      <w:tr w14:paraId="327C89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7850F95E">
            <w:pPr>
              <w:spacing w:line="240" w:lineRule="auto"/>
              <w:ind w:firstLine="0" w:firstLineChars="0"/>
              <w:jc w:val="center"/>
              <w:rPr>
                <w:color w:val="auto"/>
                <w:kern w:val="0"/>
                <w:sz w:val="21"/>
                <w:szCs w:val="21"/>
              </w:rPr>
            </w:pPr>
          </w:p>
        </w:tc>
        <w:tc>
          <w:tcPr>
            <w:tcW w:w="622" w:type="pct"/>
            <w:vAlign w:val="center"/>
          </w:tcPr>
          <w:p w14:paraId="557B862E">
            <w:pPr>
              <w:spacing w:line="240" w:lineRule="auto"/>
              <w:ind w:firstLine="0" w:firstLineChars="0"/>
              <w:jc w:val="center"/>
              <w:rPr>
                <w:color w:val="auto"/>
                <w:kern w:val="0"/>
                <w:sz w:val="21"/>
                <w:szCs w:val="21"/>
              </w:rPr>
            </w:pPr>
            <w:r>
              <w:rPr>
                <w:color w:val="auto"/>
                <w:kern w:val="0"/>
                <w:sz w:val="21"/>
                <w:szCs w:val="21"/>
              </w:rPr>
              <w:t>0.8H</w:t>
            </w:r>
          </w:p>
        </w:tc>
        <w:tc>
          <w:tcPr>
            <w:tcW w:w="1082" w:type="pct"/>
            <w:vAlign w:val="center"/>
          </w:tcPr>
          <w:p w14:paraId="7ED77670">
            <w:pPr>
              <w:spacing w:line="240" w:lineRule="auto"/>
              <w:ind w:firstLine="0" w:firstLineChars="0"/>
              <w:jc w:val="center"/>
              <w:rPr>
                <w:color w:val="auto"/>
                <w:kern w:val="0"/>
                <w:sz w:val="21"/>
                <w:szCs w:val="21"/>
              </w:rPr>
            </w:pPr>
          </w:p>
        </w:tc>
        <w:tc>
          <w:tcPr>
            <w:tcW w:w="885" w:type="pct"/>
            <w:vAlign w:val="center"/>
          </w:tcPr>
          <w:p w14:paraId="2AE79DD3">
            <w:pPr>
              <w:spacing w:line="240" w:lineRule="auto"/>
              <w:ind w:firstLine="0" w:firstLineChars="0"/>
              <w:jc w:val="center"/>
              <w:rPr>
                <w:color w:val="auto"/>
                <w:kern w:val="0"/>
                <w:sz w:val="21"/>
                <w:szCs w:val="21"/>
              </w:rPr>
            </w:pPr>
          </w:p>
        </w:tc>
        <w:tc>
          <w:tcPr>
            <w:tcW w:w="883" w:type="pct"/>
            <w:vAlign w:val="center"/>
          </w:tcPr>
          <w:p w14:paraId="129E7A4D">
            <w:pPr>
              <w:spacing w:line="240" w:lineRule="auto"/>
              <w:ind w:firstLine="0" w:firstLineChars="0"/>
              <w:jc w:val="center"/>
              <w:rPr>
                <w:color w:val="auto"/>
                <w:kern w:val="0"/>
                <w:sz w:val="21"/>
                <w:szCs w:val="21"/>
              </w:rPr>
            </w:pPr>
          </w:p>
        </w:tc>
        <w:tc>
          <w:tcPr>
            <w:tcW w:w="891" w:type="pct"/>
            <w:vAlign w:val="center"/>
          </w:tcPr>
          <w:p w14:paraId="64C69CDC">
            <w:pPr>
              <w:spacing w:line="240" w:lineRule="auto"/>
              <w:ind w:firstLine="0" w:firstLineChars="0"/>
              <w:jc w:val="center"/>
              <w:rPr>
                <w:color w:val="auto"/>
                <w:kern w:val="0"/>
                <w:sz w:val="21"/>
                <w:szCs w:val="21"/>
              </w:rPr>
            </w:pPr>
          </w:p>
        </w:tc>
      </w:tr>
      <w:tr w14:paraId="338488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6EAC1F98">
            <w:pPr>
              <w:spacing w:line="240" w:lineRule="auto"/>
              <w:ind w:firstLine="0" w:firstLineChars="0"/>
              <w:jc w:val="center"/>
              <w:rPr>
                <w:color w:val="auto"/>
                <w:kern w:val="0"/>
                <w:sz w:val="21"/>
                <w:szCs w:val="21"/>
              </w:rPr>
            </w:pPr>
          </w:p>
        </w:tc>
        <w:tc>
          <w:tcPr>
            <w:tcW w:w="622" w:type="pct"/>
            <w:vAlign w:val="center"/>
          </w:tcPr>
          <w:p w14:paraId="5C44F524">
            <w:pPr>
              <w:spacing w:line="240" w:lineRule="auto"/>
              <w:ind w:firstLine="0" w:firstLineChars="0"/>
              <w:jc w:val="center"/>
              <w:rPr>
                <w:color w:val="auto"/>
                <w:kern w:val="0"/>
                <w:sz w:val="21"/>
                <w:szCs w:val="21"/>
              </w:rPr>
            </w:pPr>
            <w:r>
              <w:rPr>
                <w:color w:val="auto"/>
                <w:kern w:val="0"/>
                <w:sz w:val="21"/>
                <w:szCs w:val="21"/>
              </w:rPr>
              <w:t>底层</w:t>
            </w:r>
          </w:p>
        </w:tc>
        <w:tc>
          <w:tcPr>
            <w:tcW w:w="1082" w:type="pct"/>
            <w:vAlign w:val="center"/>
          </w:tcPr>
          <w:p w14:paraId="5C7D47B5">
            <w:pPr>
              <w:spacing w:line="240" w:lineRule="auto"/>
              <w:ind w:firstLine="0" w:firstLineChars="0"/>
              <w:jc w:val="center"/>
              <w:rPr>
                <w:color w:val="auto"/>
                <w:kern w:val="0"/>
                <w:sz w:val="21"/>
                <w:szCs w:val="21"/>
              </w:rPr>
            </w:pPr>
          </w:p>
        </w:tc>
        <w:tc>
          <w:tcPr>
            <w:tcW w:w="885" w:type="pct"/>
            <w:vAlign w:val="center"/>
          </w:tcPr>
          <w:p w14:paraId="4D34DE98">
            <w:pPr>
              <w:spacing w:line="240" w:lineRule="auto"/>
              <w:ind w:firstLine="0" w:firstLineChars="0"/>
              <w:jc w:val="center"/>
              <w:rPr>
                <w:color w:val="auto"/>
                <w:kern w:val="0"/>
                <w:sz w:val="21"/>
                <w:szCs w:val="21"/>
              </w:rPr>
            </w:pPr>
          </w:p>
        </w:tc>
        <w:tc>
          <w:tcPr>
            <w:tcW w:w="883" w:type="pct"/>
            <w:vAlign w:val="center"/>
          </w:tcPr>
          <w:p w14:paraId="004C4005">
            <w:pPr>
              <w:spacing w:line="240" w:lineRule="auto"/>
              <w:ind w:firstLine="0" w:firstLineChars="0"/>
              <w:jc w:val="center"/>
              <w:rPr>
                <w:color w:val="auto"/>
                <w:kern w:val="0"/>
                <w:sz w:val="21"/>
                <w:szCs w:val="21"/>
              </w:rPr>
            </w:pPr>
          </w:p>
        </w:tc>
        <w:tc>
          <w:tcPr>
            <w:tcW w:w="891" w:type="pct"/>
            <w:vAlign w:val="center"/>
          </w:tcPr>
          <w:p w14:paraId="0840A848">
            <w:pPr>
              <w:spacing w:line="240" w:lineRule="auto"/>
              <w:ind w:firstLine="0" w:firstLineChars="0"/>
              <w:jc w:val="center"/>
              <w:rPr>
                <w:color w:val="auto"/>
                <w:kern w:val="0"/>
                <w:sz w:val="21"/>
                <w:szCs w:val="21"/>
              </w:rPr>
            </w:pPr>
          </w:p>
        </w:tc>
      </w:tr>
      <w:tr w14:paraId="5294E4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7E85F235">
            <w:pPr>
              <w:spacing w:line="240" w:lineRule="auto"/>
              <w:ind w:firstLine="0" w:firstLineChars="0"/>
              <w:jc w:val="center"/>
              <w:rPr>
                <w:color w:val="auto"/>
                <w:kern w:val="0"/>
                <w:sz w:val="21"/>
                <w:szCs w:val="21"/>
              </w:rPr>
            </w:pPr>
          </w:p>
        </w:tc>
        <w:tc>
          <w:tcPr>
            <w:tcW w:w="622" w:type="pct"/>
            <w:vAlign w:val="center"/>
          </w:tcPr>
          <w:p w14:paraId="73A9D173">
            <w:pPr>
              <w:spacing w:line="240" w:lineRule="auto"/>
              <w:ind w:firstLine="0" w:firstLineChars="0"/>
              <w:jc w:val="center"/>
              <w:rPr>
                <w:color w:val="auto"/>
                <w:kern w:val="0"/>
                <w:sz w:val="21"/>
                <w:szCs w:val="21"/>
              </w:rPr>
            </w:pPr>
            <w:r>
              <w:rPr>
                <w:color w:val="auto"/>
                <w:kern w:val="0"/>
                <w:sz w:val="21"/>
                <w:szCs w:val="21"/>
              </w:rPr>
              <w:t>垂线</w:t>
            </w:r>
          </w:p>
        </w:tc>
        <w:tc>
          <w:tcPr>
            <w:tcW w:w="1082" w:type="pct"/>
            <w:vAlign w:val="center"/>
          </w:tcPr>
          <w:p w14:paraId="54D52A7A">
            <w:pPr>
              <w:spacing w:line="240" w:lineRule="auto"/>
              <w:ind w:firstLine="0" w:firstLineChars="0"/>
              <w:jc w:val="center"/>
              <w:rPr>
                <w:color w:val="auto"/>
                <w:kern w:val="0"/>
                <w:sz w:val="21"/>
                <w:szCs w:val="21"/>
              </w:rPr>
            </w:pPr>
          </w:p>
        </w:tc>
        <w:tc>
          <w:tcPr>
            <w:tcW w:w="885" w:type="pct"/>
            <w:vAlign w:val="center"/>
          </w:tcPr>
          <w:p w14:paraId="10CB7459">
            <w:pPr>
              <w:spacing w:line="240" w:lineRule="auto"/>
              <w:ind w:firstLine="0" w:firstLineChars="0"/>
              <w:jc w:val="center"/>
              <w:rPr>
                <w:color w:val="auto"/>
                <w:kern w:val="0"/>
                <w:sz w:val="21"/>
                <w:szCs w:val="21"/>
              </w:rPr>
            </w:pPr>
          </w:p>
        </w:tc>
        <w:tc>
          <w:tcPr>
            <w:tcW w:w="883" w:type="pct"/>
            <w:vAlign w:val="center"/>
          </w:tcPr>
          <w:p w14:paraId="683B2EA1">
            <w:pPr>
              <w:spacing w:line="240" w:lineRule="auto"/>
              <w:ind w:firstLine="0" w:firstLineChars="0"/>
              <w:jc w:val="center"/>
              <w:rPr>
                <w:color w:val="auto"/>
                <w:kern w:val="0"/>
                <w:sz w:val="21"/>
                <w:szCs w:val="21"/>
              </w:rPr>
            </w:pPr>
          </w:p>
        </w:tc>
        <w:tc>
          <w:tcPr>
            <w:tcW w:w="891" w:type="pct"/>
            <w:vAlign w:val="center"/>
          </w:tcPr>
          <w:p w14:paraId="4178CE73">
            <w:pPr>
              <w:spacing w:line="240" w:lineRule="auto"/>
              <w:ind w:firstLine="0" w:firstLineChars="0"/>
              <w:jc w:val="center"/>
              <w:rPr>
                <w:color w:val="auto"/>
                <w:kern w:val="0"/>
                <w:sz w:val="21"/>
                <w:szCs w:val="21"/>
              </w:rPr>
            </w:pPr>
          </w:p>
        </w:tc>
      </w:tr>
      <w:tr w14:paraId="2AD043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restart"/>
            <w:vAlign w:val="center"/>
          </w:tcPr>
          <w:p w14:paraId="35034AE0">
            <w:pPr>
              <w:spacing w:line="240" w:lineRule="auto"/>
              <w:ind w:firstLine="0" w:firstLineChars="0"/>
              <w:jc w:val="center"/>
              <w:rPr>
                <w:color w:val="auto"/>
                <w:kern w:val="0"/>
                <w:sz w:val="21"/>
                <w:szCs w:val="21"/>
              </w:rPr>
            </w:pPr>
            <w:r>
              <w:rPr>
                <w:color w:val="auto"/>
                <w:kern w:val="0"/>
                <w:sz w:val="21"/>
                <w:szCs w:val="21"/>
              </w:rPr>
              <w:t>V4</w:t>
            </w:r>
          </w:p>
        </w:tc>
        <w:tc>
          <w:tcPr>
            <w:tcW w:w="622" w:type="pct"/>
            <w:vAlign w:val="center"/>
          </w:tcPr>
          <w:p w14:paraId="5A5C3EC0">
            <w:pPr>
              <w:spacing w:line="240" w:lineRule="auto"/>
              <w:ind w:firstLine="0" w:firstLineChars="0"/>
              <w:jc w:val="center"/>
              <w:rPr>
                <w:color w:val="auto"/>
                <w:kern w:val="0"/>
                <w:sz w:val="21"/>
                <w:szCs w:val="21"/>
              </w:rPr>
            </w:pPr>
            <w:r>
              <w:rPr>
                <w:color w:val="auto"/>
                <w:kern w:val="0"/>
                <w:sz w:val="21"/>
                <w:szCs w:val="21"/>
              </w:rPr>
              <w:t>表层</w:t>
            </w:r>
          </w:p>
        </w:tc>
        <w:tc>
          <w:tcPr>
            <w:tcW w:w="1082" w:type="pct"/>
            <w:vAlign w:val="center"/>
          </w:tcPr>
          <w:p w14:paraId="1FE0419D">
            <w:pPr>
              <w:spacing w:line="240" w:lineRule="auto"/>
              <w:ind w:firstLine="0" w:firstLineChars="0"/>
              <w:jc w:val="center"/>
              <w:rPr>
                <w:color w:val="auto"/>
                <w:kern w:val="0"/>
                <w:sz w:val="21"/>
                <w:szCs w:val="21"/>
              </w:rPr>
            </w:pPr>
          </w:p>
        </w:tc>
        <w:tc>
          <w:tcPr>
            <w:tcW w:w="885" w:type="pct"/>
            <w:vAlign w:val="center"/>
          </w:tcPr>
          <w:p w14:paraId="7941F328">
            <w:pPr>
              <w:spacing w:line="240" w:lineRule="auto"/>
              <w:ind w:firstLine="0" w:firstLineChars="0"/>
              <w:jc w:val="center"/>
              <w:rPr>
                <w:color w:val="auto"/>
                <w:kern w:val="0"/>
                <w:sz w:val="21"/>
                <w:szCs w:val="21"/>
              </w:rPr>
            </w:pPr>
          </w:p>
        </w:tc>
        <w:tc>
          <w:tcPr>
            <w:tcW w:w="883" w:type="pct"/>
            <w:vAlign w:val="center"/>
          </w:tcPr>
          <w:p w14:paraId="721A3E8A">
            <w:pPr>
              <w:spacing w:line="240" w:lineRule="auto"/>
              <w:ind w:firstLine="0" w:firstLineChars="0"/>
              <w:jc w:val="center"/>
              <w:rPr>
                <w:color w:val="auto"/>
                <w:kern w:val="0"/>
                <w:sz w:val="21"/>
                <w:szCs w:val="21"/>
              </w:rPr>
            </w:pPr>
          </w:p>
        </w:tc>
        <w:tc>
          <w:tcPr>
            <w:tcW w:w="891" w:type="pct"/>
            <w:vAlign w:val="center"/>
          </w:tcPr>
          <w:p w14:paraId="73DE1B75">
            <w:pPr>
              <w:spacing w:line="240" w:lineRule="auto"/>
              <w:ind w:firstLine="0" w:firstLineChars="0"/>
              <w:jc w:val="center"/>
              <w:rPr>
                <w:color w:val="auto"/>
                <w:kern w:val="0"/>
                <w:sz w:val="21"/>
                <w:szCs w:val="21"/>
              </w:rPr>
            </w:pPr>
          </w:p>
        </w:tc>
      </w:tr>
      <w:tr w14:paraId="1282A6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12CAAEA5">
            <w:pPr>
              <w:spacing w:line="240" w:lineRule="auto"/>
              <w:ind w:firstLine="0" w:firstLineChars="0"/>
              <w:jc w:val="center"/>
              <w:rPr>
                <w:color w:val="auto"/>
                <w:kern w:val="0"/>
                <w:sz w:val="21"/>
                <w:szCs w:val="21"/>
              </w:rPr>
            </w:pPr>
          </w:p>
        </w:tc>
        <w:tc>
          <w:tcPr>
            <w:tcW w:w="622" w:type="pct"/>
            <w:vAlign w:val="center"/>
          </w:tcPr>
          <w:p w14:paraId="049AB7BA">
            <w:pPr>
              <w:spacing w:line="240" w:lineRule="auto"/>
              <w:ind w:firstLine="0" w:firstLineChars="0"/>
              <w:jc w:val="center"/>
              <w:rPr>
                <w:color w:val="auto"/>
                <w:kern w:val="0"/>
                <w:sz w:val="21"/>
                <w:szCs w:val="21"/>
              </w:rPr>
            </w:pPr>
            <w:r>
              <w:rPr>
                <w:color w:val="auto"/>
                <w:kern w:val="0"/>
                <w:sz w:val="21"/>
                <w:szCs w:val="21"/>
              </w:rPr>
              <w:t>0.6H</w:t>
            </w:r>
          </w:p>
        </w:tc>
        <w:tc>
          <w:tcPr>
            <w:tcW w:w="1082" w:type="pct"/>
            <w:vAlign w:val="center"/>
          </w:tcPr>
          <w:p w14:paraId="3E870E7F">
            <w:pPr>
              <w:spacing w:line="240" w:lineRule="auto"/>
              <w:ind w:firstLine="0" w:firstLineChars="0"/>
              <w:jc w:val="center"/>
              <w:rPr>
                <w:color w:val="auto"/>
                <w:kern w:val="0"/>
                <w:sz w:val="21"/>
                <w:szCs w:val="21"/>
              </w:rPr>
            </w:pPr>
          </w:p>
        </w:tc>
        <w:tc>
          <w:tcPr>
            <w:tcW w:w="885" w:type="pct"/>
            <w:vAlign w:val="center"/>
          </w:tcPr>
          <w:p w14:paraId="5E43F341">
            <w:pPr>
              <w:spacing w:line="240" w:lineRule="auto"/>
              <w:ind w:firstLine="0" w:firstLineChars="0"/>
              <w:jc w:val="center"/>
              <w:rPr>
                <w:color w:val="auto"/>
                <w:kern w:val="0"/>
                <w:sz w:val="21"/>
                <w:szCs w:val="21"/>
              </w:rPr>
            </w:pPr>
          </w:p>
        </w:tc>
        <w:tc>
          <w:tcPr>
            <w:tcW w:w="883" w:type="pct"/>
            <w:vAlign w:val="center"/>
          </w:tcPr>
          <w:p w14:paraId="6FD7EBA3">
            <w:pPr>
              <w:spacing w:line="240" w:lineRule="auto"/>
              <w:ind w:firstLine="0" w:firstLineChars="0"/>
              <w:jc w:val="center"/>
              <w:rPr>
                <w:color w:val="auto"/>
                <w:kern w:val="0"/>
                <w:sz w:val="21"/>
                <w:szCs w:val="21"/>
              </w:rPr>
            </w:pPr>
          </w:p>
        </w:tc>
        <w:tc>
          <w:tcPr>
            <w:tcW w:w="891" w:type="pct"/>
            <w:vAlign w:val="center"/>
          </w:tcPr>
          <w:p w14:paraId="4977C30D">
            <w:pPr>
              <w:spacing w:line="240" w:lineRule="auto"/>
              <w:ind w:firstLine="0" w:firstLineChars="0"/>
              <w:jc w:val="center"/>
              <w:rPr>
                <w:color w:val="auto"/>
                <w:kern w:val="0"/>
                <w:sz w:val="21"/>
                <w:szCs w:val="21"/>
              </w:rPr>
            </w:pPr>
          </w:p>
        </w:tc>
      </w:tr>
      <w:tr w14:paraId="6DD2C0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3948174B">
            <w:pPr>
              <w:spacing w:line="240" w:lineRule="auto"/>
              <w:ind w:firstLine="0" w:firstLineChars="0"/>
              <w:jc w:val="center"/>
              <w:rPr>
                <w:color w:val="auto"/>
                <w:kern w:val="0"/>
                <w:sz w:val="21"/>
                <w:szCs w:val="21"/>
              </w:rPr>
            </w:pPr>
          </w:p>
        </w:tc>
        <w:tc>
          <w:tcPr>
            <w:tcW w:w="622" w:type="pct"/>
            <w:vAlign w:val="center"/>
          </w:tcPr>
          <w:p w14:paraId="1DB27C21">
            <w:pPr>
              <w:spacing w:line="240" w:lineRule="auto"/>
              <w:ind w:firstLine="0" w:firstLineChars="0"/>
              <w:jc w:val="center"/>
              <w:rPr>
                <w:color w:val="auto"/>
                <w:kern w:val="0"/>
                <w:sz w:val="21"/>
                <w:szCs w:val="21"/>
              </w:rPr>
            </w:pPr>
            <w:r>
              <w:rPr>
                <w:color w:val="auto"/>
                <w:kern w:val="0"/>
                <w:sz w:val="21"/>
                <w:szCs w:val="21"/>
              </w:rPr>
              <w:t>底层</w:t>
            </w:r>
          </w:p>
        </w:tc>
        <w:tc>
          <w:tcPr>
            <w:tcW w:w="1082" w:type="pct"/>
            <w:vAlign w:val="center"/>
          </w:tcPr>
          <w:p w14:paraId="6350B655">
            <w:pPr>
              <w:spacing w:line="240" w:lineRule="auto"/>
              <w:ind w:firstLine="0" w:firstLineChars="0"/>
              <w:jc w:val="center"/>
              <w:rPr>
                <w:color w:val="auto"/>
                <w:kern w:val="0"/>
                <w:sz w:val="21"/>
                <w:szCs w:val="21"/>
              </w:rPr>
            </w:pPr>
          </w:p>
        </w:tc>
        <w:tc>
          <w:tcPr>
            <w:tcW w:w="885" w:type="pct"/>
            <w:vAlign w:val="center"/>
          </w:tcPr>
          <w:p w14:paraId="2A6FCB7F">
            <w:pPr>
              <w:spacing w:line="240" w:lineRule="auto"/>
              <w:ind w:firstLine="0" w:firstLineChars="0"/>
              <w:jc w:val="center"/>
              <w:rPr>
                <w:color w:val="auto"/>
                <w:kern w:val="0"/>
                <w:sz w:val="21"/>
                <w:szCs w:val="21"/>
              </w:rPr>
            </w:pPr>
          </w:p>
        </w:tc>
        <w:tc>
          <w:tcPr>
            <w:tcW w:w="883" w:type="pct"/>
            <w:vAlign w:val="center"/>
          </w:tcPr>
          <w:p w14:paraId="1DDEA134">
            <w:pPr>
              <w:spacing w:line="240" w:lineRule="auto"/>
              <w:ind w:firstLine="0" w:firstLineChars="0"/>
              <w:jc w:val="center"/>
              <w:rPr>
                <w:color w:val="auto"/>
                <w:kern w:val="0"/>
                <w:sz w:val="21"/>
                <w:szCs w:val="21"/>
              </w:rPr>
            </w:pPr>
          </w:p>
        </w:tc>
        <w:tc>
          <w:tcPr>
            <w:tcW w:w="891" w:type="pct"/>
            <w:vAlign w:val="center"/>
          </w:tcPr>
          <w:p w14:paraId="00DB081C">
            <w:pPr>
              <w:spacing w:line="240" w:lineRule="auto"/>
              <w:ind w:firstLine="0" w:firstLineChars="0"/>
              <w:jc w:val="center"/>
              <w:rPr>
                <w:color w:val="auto"/>
                <w:kern w:val="0"/>
                <w:sz w:val="21"/>
                <w:szCs w:val="21"/>
              </w:rPr>
            </w:pPr>
          </w:p>
        </w:tc>
      </w:tr>
      <w:tr w14:paraId="052346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493CA118">
            <w:pPr>
              <w:spacing w:line="240" w:lineRule="auto"/>
              <w:ind w:firstLine="0" w:firstLineChars="0"/>
              <w:jc w:val="center"/>
              <w:rPr>
                <w:color w:val="auto"/>
                <w:kern w:val="0"/>
                <w:sz w:val="21"/>
                <w:szCs w:val="21"/>
              </w:rPr>
            </w:pPr>
          </w:p>
        </w:tc>
        <w:tc>
          <w:tcPr>
            <w:tcW w:w="622" w:type="pct"/>
            <w:vAlign w:val="center"/>
          </w:tcPr>
          <w:p w14:paraId="35FCE285">
            <w:pPr>
              <w:spacing w:line="240" w:lineRule="auto"/>
              <w:ind w:firstLine="0" w:firstLineChars="0"/>
              <w:jc w:val="center"/>
              <w:rPr>
                <w:color w:val="auto"/>
                <w:kern w:val="0"/>
                <w:sz w:val="21"/>
                <w:szCs w:val="21"/>
              </w:rPr>
            </w:pPr>
            <w:r>
              <w:rPr>
                <w:color w:val="auto"/>
                <w:kern w:val="0"/>
                <w:sz w:val="21"/>
                <w:szCs w:val="21"/>
              </w:rPr>
              <w:t>垂线</w:t>
            </w:r>
          </w:p>
        </w:tc>
        <w:tc>
          <w:tcPr>
            <w:tcW w:w="1082" w:type="pct"/>
            <w:vAlign w:val="center"/>
          </w:tcPr>
          <w:p w14:paraId="418AE920">
            <w:pPr>
              <w:spacing w:line="240" w:lineRule="auto"/>
              <w:ind w:firstLine="0" w:firstLineChars="0"/>
              <w:jc w:val="center"/>
              <w:rPr>
                <w:color w:val="auto"/>
                <w:kern w:val="0"/>
                <w:sz w:val="21"/>
                <w:szCs w:val="21"/>
              </w:rPr>
            </w:pPr>
          </w:p>
        </w:tc>
        <w:tc>
          <w:tcPr>
            <w:tcW w:w="885" w:type="pct"/>
            <w:vAlign w:val="center"/>
          </w:tcPr>
          <w:p w14:paraId="091E3E2E">
            <w:pPr>
              <w:spacing w:line="240" w:lineRule="auto"/>
              <w:ind w:firstLine="0" w:firstLineChars="0"/>
              <w:jc w:val="center"/>
              <w:rPr>
                <w:color w:val="auto"/>
                <w:kern w:val="0"/>
                <w:sz w:val="21"/>
                <w:szCs w:val="21"/>
              </w:rPr>
            </w:pPr>
          </w:p>
        </w:tc>
        <w:tc>
          <w:tcPr>
            <w:tcW w:w="883" w:type="pct"/>
            <w:vAlign w:val="center"/>
          </w:tcPr>
          <w:p w14:paraId="68441E1C">
            <w:pPr>
              <w:spacing w:line="240" w:lineRule="auto"/>
              <w:ind w:firstLine="0" w:firstLineChars="0"/>
              <w:jc w:val="center"/>
              <w:rPr>
                <w:color w:val="auto"/>
                <w:kern w:val="0"/>
                <w:sz w:val="21"/>
                <w:szCs w:val="21"/>
              </w:rPr>
            </w:pPr>
          </w:p>
        </w:tc>
        <w:tc>
          <w:tcPr>
            <w:tcW w:w="891" w:type="pct"/>
            <w:vAlign w:val="center"/>
          </w:tcPr>
          <w:p w14:paraId="1844093E">
            <w:pPr>
              <w:spacing w:line="240" w:lineRule="auto"/>
              <w:ind w:firstLine="0" w:firstLineChars="0"/>
              <w:jc w:val="center"/>
              <w:rPr>
                <w:color w:val="auto"/>
                <w:kern w:val="0"/>
                <w:sz w:val="21"/>
                <w:szCs w:val="21"/>
              </w:rPr>
            </w:pPr>
          </w:p>
        </w:tc>
      </w:tr>
      <w:tr w14:paraId="08CE15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restart"/>
            <w:vAlign w:val="center"/>
          </w:tcPr>
          <w:p w14:paraId="355B0256">
            <w:pPr>
              <w:spacing w:line="240" w:lineRule="auto"/>
              <w:ind w:firstLine="0" w:firstLineChars="0"/>
              <w:jc w:val="center"/>
              <w:rPr>
                <w:color w:val="auto"/>
                <w:kern w:val="0"/>
                <w:sz w:val="21"/>
                <w:szCs w:val="21"/>
              </w:rPr>
            </w:pPr>
            <w:r>
              <w:rPr>
                <w:color w:val="auto"/>
                <w:kern w:val="0"/>
                <w:sz w:val="21"/>
                <w:szCs w:val="21"/>
              </w:rPr>
              <w:t>V5</w:t>
            </w:r>
          </w:p>
        </w:tc>
        <w:tc>
          <w:tcPr>
            <w:tcW w:w="622" w:type="pct"/>
            <w:vAlign w:val="center"/>
          </w:tcPr>
          <w:p w14:paraId="7F756C83">
            <w:pPr>
              <w:spacing w:line="240" w:lineRule="auto"/>
              <w:ind w:firstLine="0" w:firstLineChars="0"/>
              <w:jc w:val="center"/>
              <w:rPr>
                <w:color w:val="auto"/>
                <w:kern w:val="0"/>
                <w:sz w:val="21"/>
                <w:szCs w:val="21"/>
              </w:rPr>
            </w:pPr>
            <w:r>
              <w:rPr>
                <w:color w:val="auto"/>
                <w:kern w:val="0"/>
                <w:sz w:val="21"/>
                <w:szCs w:val="21"/>
              </w:rPr>
              <w:t>表层</w:t>
            </w:r>
          </w:p>
        </w:tc>
        <w:tc>
          <w:tcPr>
            <w:tcW w:w="1082" w:type="pct"/>
            <w:vAlign w:val="center"/>
          </w:tcPr>
          <w:p w14:paraId="56D0E489">
            <w:pPr>
              <w:spacing w:line="240" w:lineRule="auto"/>
              <w:ind w:firstLine="0" w:firstLineChars="0"/>
              <w:jc w:val="center"/>
              <w:rPr>
                <w:color w:val="auto"/>
                <w:kern w:val="0"/>
                <w:sz w:val="21"/>
                <w:szCs w:val="21"/>
              </w:rPr>
            </w:pPr>
          </w:p>
        </w:tc>
        <w:tc>
          <w:tcPr>
            <w:tcW w:w="885" w:type="pct"/>
            <w:vAlign w:val="center"/>
          </w:tcPr>
          <w:p w14:paraId="26DC3ADB">
            <w:pPr>
              <w:spacing w:line="240" w:lineRule="auto"/>
              <w:ind w:firstLine="0" w:firstLineChars="0"/>
              <w:jc w:val="center"/>
              <w:rPr>
                <w:color w:val="auto"/>
                <w:kern w:val="0"/>
                <w:sz w:val="21"/>
                <w:szCs w:val="21"/>
              </w:rPr>
            </w:pPr>
          </w:p>
        </w:tc>
        <w:tc>
          <w:tcPr>
            <w:tcW w:w="883" w:type="pct"/>
            <w:vAlign w:val="center"/>
          </w:tcPr>
          <w:p w14:paraId="69CAAA4A">
            <w:pPr>
              <w:spacing w:line="240" w:lineRule="auto"/>
              <w:ind w:firstLine="0" w:firstLineChars="0"/>
              <w:jc w:val="center"/>
              <w:rPr>
                <w:color w:val="auto"/>
                <w:kern w:val="0"/>
                <w:sz w:val="21"/>
                <w:szCs w:val="21"/>
              </w:rPr>
            </w:pPr>
          </w:p>
        </w:tc>
        <w:tc>
          <w:tcPr>
            <w:tcW w:w="891" w:type="pct"/>
            <w:vAlign w:val="center"/>
          </w:tcPr>
          <w:p w14:paraId="1EF3C4B5">
            <w:pPr>
              <w:spacing w:line="240" w:lineRule="auto"/>
              <w:ind w:firstLine="0" w:firstLineChars="0"/>
              <w:jc w:val="center"/>
              <w:rPr>
                <w:color w:val="auto"/>
                <w:kern w:val="0"/>
                <w:sz w:val="21"/>
                <w:szCs w:val="21"/>
              </w:rPr>
            </w:pPr>
          </w:p>
        </w:tc>
      </w:tr>
      <w:tr w14:paraId="6482B2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6528BAE3">
            <w:pPr>
              <w:spacing w:line="240" w:lineRule="auto"/>
              <w:ind w:firstLine="0" w:firstLineChars="0"/>
              <w:jc w:val="center"/>
              <w:rPr>
                <w:color w:val="auto"/>
                <w:kern w:val="0"/>
                <w:sz w:val="21"/>
                <w:szCs w:val="21"/>
              </w:rPr>
            </w:pPr>
          </w:p>
        </w:tc>
        <w:tc>
          <w:tcPr>
            <w:tcW w:w="622" w:type="pct"/>
            <w:vAlign w:val="center"/>
          </w:tcPr>
          <w:p w14:paraId="669671E0">
            <w:pPr>
              <w:spacing w:line="240" w:lineRule="auto"/>
              <w:ind w:firstLine="0" w:firstLineChars="0"/>
              <w:jc w:val="center"/>
              <w:rPr>
                <w:color w:val="auto"/>
                <w:kern w:val="0"/>
                <w:sz w:val="21"/>
                <w:szCs w:val="21"/>
              </w:rPr>
            </w:pPr>
            <w:r>
              <w:rPr>
                <w:color w:val="auto"/>
                <w:kern w:val="0"/>
                <w:sz w:val="21"/>
                <w:szCs w:val="21"/>
              </w:rPr>
              <w:t>0.2H</w:t>
            </w:r>
          </w:p>
        </w:tc>
        <w:tc>
          <w:tcPr>
            <w:tcW w:w="1082" w:type="pct"/>
            <w:vAlign w:val="center"/>
          </w:tcPr>
          <w:p w14:paraId="349B8F4B">
            <w:pPr>
              <w:spacing w:line="240" w:lineRule="auto"/>
              <w:ind w:firstLine="0" w:firstLineChars="0"/>
              <w:jc w:val="center"/>
              <w:rPr>
                <w:color w:val="auto"/>
                <w:kern w:val="0"/>
                <w:sz w:val="21"/>
                <w:szCs w:val="21"/>
              </w:rPr>
            </w:pPr>
          </w:p>
        </w:tc>
        <w:tc>
          <w:tcPr>
            <w:tcW w:w="885" w:type="pct"/>
            <w:vAlign w:val="center"/>
          </w:tcPr>
          <w:p w14:paraId="4ED4FFD2">
            <w:pPr>
              <w:spacing w:line="240" w:lineRule="auto"/>
              <w:ind w:firstLine="0" w:firstLineChars="0"/>
              <w:jc w:val="center"/>
              <w:rPr>
                <w:color w:val="auto"/>
                <w:kern w:val="0"/>
                <w:sz w:val="21"/>
                <w:szCs w:val="21"/>
              </w:rPr>
            </w:pPr>
          </w:p>
        </w:tc>
        <w:tc>
          <w:tcPr>
            <w:tcW w:w="883" w:type="pct"/>
            <w:vAlign w:val="center"/>
          </w:tcPr>
          <w:p w14:paraId="5C66F161">
            <w:pPr>
              <w:spacing w:line="240" w:lineRule="auto"/>
              <w:ind w:firstLine="0" w:firstLineChars="0"/>
              <w:jc w:val="center"/>
              <w:rPr>
                <w:color w:val="auto"/>
                <w:kern w:val="0"/>
                <w:sz w:val="21"/>
                <w:szCs w:val="21"/>
              </w:rPr>
            </w:pPr>
          </w:p>
        </w:tc>
        <w:tc>
          <w:tcPr>
            <w:tcW w:w="891" w:type="pct"/>
            <w:vAlign w:val="center"/>
          </w:tcPr>
          <w:p w14:paraId="74470B20">
            <w:pPr>
              <w:spacing w:line="240" w:lineRule="auto"/>
              <w:ind w:firstLine="0" w:firstLineChars="0"/>
              <w:jc w:val="center"/>
              <w:rPr>
                <w:color w:val="auto"/>
                <w:kern w:val="0"/>
                <w:sz w:val="21"/>
                <w:szCs w:val="21"/>
              </w:rPr>
            </w:pPr>
          </w:p>
        </w:tc>
      </w:tr>
      <w:tr w14:paraId="258DBE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04FD232F">
            <w:pPr>
              <w:spacing w:line="240" w:lineRule="auto"/>
              <w:ind w:firstLine="0" w:firstLineChars="0"/>
              <w:jc w:val="center"/>
              <w:rPr>
                <w:color w:val="auto"/>
                <w:kern w:val="0"/>
                <w:sz w:val="21"/>
                <w:szCs w:val="21"/>
              </w:rPr>
            </w:pPr>
          </w:p>
        </w:tc>
        <w:tc>
          <w:tcPr>
            <w:tcW w:w="622" w:type="pct"/>
            <w:vAlign w:val="center"/>
          </w:tcPr>
          <w:p w14:paraId="7E3B850F">
            <w:pPr>
              <w:spacing w:line="240" w:lineRule="auto"/>
              <w:ind w:firstLine="0" w:firstLineChars="0"/>
              <w:jc w:val="center"/>
              <w:rPr>
                <w:color w:val="auto"/>
                <w:kern w:val="0"/>
                <w:sz w:val="21"/>
                <w:szCs w:val="21"/>
              </w:rPr>
            </w:pPr>
            <w:r>
              <w:rPr>
                <w:color w:val="auto"/>
                <w:kern w:val="0"/>
                <w:sz w:val="21"/>
                <w:szCs w:val="21"/>
              </w:rPr>
              <w:t>0.4H</w:t>
            </w:r>
          </w:p>
        </w:tc>
        <w:tc>
          <w:tcPr>
            <w:tcW w:w="1082" w:type="pct"/>
            <w:vAlign w:val="center"/>
          </w:tcPr>
          <w:p w14:paraId="4C6C7920">
            <w:pPr>
              <w:spacing w:line="240" w:lineRule="auto"/>
              <w:ind w:firstLine="0" w:firstLineChars="0"/>
              <w:jc w:val="center"/>
              <w:rPr>
                <w:color w:val="auto"/>
                <w:kern w:val="0"/>
                <w:sz w:val="21"/>
                <w:szCs w:val="21"/>
              </w:rPr>
            </w:pPr>
          </w:p>
        </w:tc>
        <w:tc>
          <w:tcPr>
            <w:tcW w:w="885" w:type="pct"/>
            <w:vAlign w:val="center"/>
          </w:tcPr>
          <w:p w14:paraId="786F9105">
            <w:pPr>
              <w:spacing w:line="240" w:lineRule="auto"/>
              <w:ind w:firstLine="0" w:firstLineChars="0"/>
              <w:jc w:val="center"/>
              <w:rPr>
                <w:color w:val="auto"/>
                <w:kern w:val="0"/>
                <w:sz w:val="21"/>
                <w:szCs w:val="21"/>
              </w:rPr>
            </w:pPr>
          </w:p>
        </w:tc>
        <w:tc>
          <w:tcPr>
            <w:tcW w:w="883" w:type="pct"/>
            <w:vAlign w:val="center"/>
          </w:tcPr>
          <w:p w14:paraId="6B1B6932">
            <w:pPr>
              <w:spacing w:line="240" w:lineRule="auto"/>
              <w:ind w:firstLine="0" w:firstLineChars="0"/>
              <w:jc w:val="center"/>
              <w:rPr>
                <w:color w:val="auto"/>
                <w:kern w:val="0"/>
                <w:sz w:val="21"/>
                <w:szCs w:val="21"/>
              </w:rPr>
            </w:pPr>
          </w:p>
        </w:tc>
        <w:tc>
          <w:tcPr>
            <w:tcW w:w="891" w:type="pct"/>
            <w:vAlign w:val="center"/>
          </w:tcPr>
          <w:p w14:paraId="159F9116">
            <w:pPr>
              <w:spacing w:line="240" w:lineRule="auto"/>
              <w:ind w:firstLine="0" w:firstLineChars="0"/>
              <w:jc w:val="center"/>
              <w:rPr>
                <w:color w:val="auto"/>
                <w:kern w:val="0"/>
                <w:sz w:val="21"/>
                <w:szCs w:val="21"/>
              </w:rPr>
            </w:pPr>
          </w:p>
        </w:tc>
      </w:tr>
      <w:tr w14:paraId="797A78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49D02A3A">
            <w:pPr>
              <w:spacing w:line="240" w:lineRule="auto"/>
              <w:ind w:firstLine="0" w:firstLineChars="0"/>
              <w:jc w:val="center"/>
              <w:rPr>
                <w:color w:val="auto"/>
                <w:kern w:val="0"/>
                <w:sz w:val="21"/>
                <w:szCs w:val="21"/>
              </w:rPr>
            </w:pPr>
          </w:p>
        </w:tc>
        <w:tc>
          <w:tcPr>
            <w:tcW w:w="622" w:type="pct"/>
            <w:vAlign w:val="center"/>
          </w:tcPr>
          <w:p w14:paraId="51F0D4DA">
            <w:pPr>
              <w:spacing w:line="240" w:lineRule="auto"/>
              <w:ind w:firstLine="0" w:firstLineChars="0"/>
              <w:jc w:val="center"/>
              <w:rPr>
                <w:color w:val="auto"/>
                <w:kern w:val="0"/>
                <w:sz w:val="21"/>
                <w:szCs w:val="21"/>
              </w:rPr>
            </w:pPr>
            <w:r>
              <w:rPr>
                <w:color w:val="auto"/>
                <w:kern w:val="0"/>
                <w:sz w:val="21"/>
                <w:szCs w:val="21"/>
              </w:rPr>
              <w:t>0.6H</w:t>
            </w:r>
          </w:p>
        </w:tc>
        <w:tc>
          <w:tcPr>
            <w:tcW w:w="1082" w:type="pct"/>
            <w:vAlign w:val="center"/>
          </w:tcPr>
          <w:p w14:paraId="1F228A9C">
            <w:pPr>
              <w:spacing w:line="240" w:lineRule="auto"/>
              <w:ind w:firstLine="0" w:firstLineChars="0"/>
              <w:jc w:val="center"/>
              <w:rPr>
                <w:color w:val="auto"/>
                <w:kern w:val="0"/>
                <w:sz w:val="21"/>
                <w:szCs w:val="21"/>
              </w:rPr>
            </w:pPr>
          </w:p>
        </w:tc>
        <w:tc>
          <w:tcPr>
            <w:tcW w:w="885" w:type="pct"/>
            <w:vAlign w:val="center"/>
          </w:tcPr>
          <w:p w14:paraId="0B2C4D3B">
            <w:pPr>
              <w:spacing w:line="240" w:lineRule="auto"/>
              <w:ind w:firstLine="0" w:firstLineChars="0"/>
              <w:jc w:val="center"/>
              <w:rPr>
                <w:color w:val="auto"/>
                <w:kern w:val="0"/>
                <w:sz w:val="21"/>
                <w:szCs w:val="21"/>
              </w:rPr>
            </w:pPr>
          </w:p>
        </w:tc>
        <w:tc>
          <w:tcPr>
            <w:tcW w:w="883" w:type="pct"/>
            <w:vAlign w:val="center"/>
          </w:tcPr>
          <w:p w14:paraId="3D9B79A5">
            <w:pPr>
              <w:spacing w:line="240" w:lineRule="auto"/>
              <w:ind w:firstLine="0" w:firstLineChars="0"/>
              <w:jc w:val="center"/>
              <w:rPr>
                <w:color w:val="auto"/>
                <w:kern w:val="0"/>
                <w:sz w:val="21"/>
                <w:szCs w:val="21"/>
              </w:rPr>
            </w:pPr>
          </w:p>
        </w:tc>
        <w:tc>
          <w:tcPr>
            <w:tcW w:w="891" w:type="pct"/>
            <w:vAlign w:val="center"/>
          </w:tcPr>
          <w:p w14:paraId="1096850A">
            <w:pPr>
              <w:spacing w:line="240" w:lineRule="auto"/>
              <w:ind w:firstLine="0" w:firstLineChars="0"/>
              <w:jc w:val="center"/>
              <w:rPr>
                <w:color w:val="auto"/>
                <w:kern w:val="0"/>
                <w:sz w:val="21"/>
                <w:szCs w:val="21"/>
              </w:rPr>
            </w:pPr>
          </w:p>
        </w:tc>
      </w:tr>
      <w:tr w14:paraId="2BE8EB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6A78EB5F">
            <w:pPr>
              <w:spacing w:line="240" w:lineRule="auto"/>
              <w:ind w:firstLine="0" w:firstLineChars="0"/>
              <w:jc w:val="center"/>
              <w:rPr>
                <w:color w:val="auto"/>
                <w:kern w:val="0"/>
                <w:sz w:val="21"/>
                <w:szCs w:val="21"/>
              </w:rPr>
            </w:pPr>
          </w:p>
        </w:tc>
        <w:tc>
          <w:tcPr>
            <w:tcW w:w="622" w:type="pct"/>
            <w:vAlign w:val="center"/>
          </w:tcPr>
          <w:p w14:paraId="3BEA7D72">
            <w:pPr>
              <w:spacing w:line="240" w:lineRule="auto"/>
              <w:ind w:firstLine="0" w:firstLineChars="0"/>
              <w:jc w:val="center"/>
              <w:rPr>
                <w:color w:val="auto"/>
                <w:kern w:val="0"/>
                <w:sz w:val="21"/>
                <w:szCs w:val="21"/>
              </w:rPr>
            </w:pPr>
            <w:r>
              <w:rPr>
                <w:color w:val="auto"/>
                <w:kern w:val="0"/>
                <w:sz w:val="21"/>
                <w:szCs w:val="21"/>
              </w:rPr>
              <w:t>0.8H</w:t>
            </w:r>
          </w:p>
        </w:tc>
        <w:tc>
          <w:tcPr>
            <w:tcW w:w="1082" w:type="pct"/>
            <w:vAlign w:val="center"/>
          </w:tcPr>
          <w:p w14:paraId="2DDB4167">
            <w:pPr>
              <w:spacing w:line="240" w:lineRule="auto"/>
              <w:ind w:firstLine="0" w:firstLineChars="0"/>
              <w:jc w:val="center"/>
              <w:rPr>
                <w:color w:val="auto"/>
                <w:kern w:val="0"/>
                <w:sz w:val="21"/>
                <w:szCs w:val="21"/>
              </w:rPr>
            </w:pPr>
          </w:p>
        </w:tc>
        <w:tc>
          <w:tcPr>
            <w:tcW w:w="885" w:type="pct"/>
            <w:vAlign w:val="center"/>
          </w:tcPr>
          <w:p w14:paraId="4F68CEBB">
            <w:pPr>
              <w:spacing w:line="240" w:lineRule="auto"/>
              <w:ind w:firstLine="0" w:firstLineChars="0"/>
              <w:jc w:val="center"/>
              <w:rPr>
                <w:color w:val="auto"/>
                <w:kern w:val="0"/>
                <w:sz w:val="21"/>
                <w:szCs w:val="21"/>
              </w:rPr>
            </w:pPr>
          </w:p>
        </w:tc>
        <w:tc>
          <w:tcPr>
            <w:tcW w:w="883" w:type="pct"/>
            <w:vAlign w:val="center"/>
          </w:tcPr>
          <w:p w14:paraId="02CFAC43">
            <w:pPr>
              <w:spacing w:line="240" w:lineRule="auto"/>
              <w:ind w:firstLine="0" w:firstLineChars="0"/>
              <w:jc w:val="center"/>
              <w:rPr>
                <w:color w:val="auto"/>
                <w:kern w:val="0"/>
                <w:sz w:val="21"/>
                <w:szCs w:val="21"/>
              </w:rPr>
            </w:pPr>
          </w:p>
        </w:tc>
        <w:tc>
          <w:tcPr>
            <w:tcW w:w="891" w:type="pct"/>
            <w:vAlign w:val="center"/>
          </w:tcPr>
          <w:p w14:paraId="74102F06">
            <w:pPr>
              <w:spacing w:line="240" w:lineRule="auto"/>
              <w:ind w:firstLine="0" w:firstLineChars="0"/>
              <w:jc w:val="center"/>
              <w:rPr>
                <w:color w:val="auto"/>
                <w:kern w:val="0"/>
                <w:sz w:val="21"/>
                <w:szCs w:val="21"/>
              </w:rPr>
            </w:pPr>
          </w:p>
        </w:tc>
      </w:tr>
      <w:tr w14:paraId="666665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2194C5CC">
            <w:pPr>
              <w:spacing w:line="240" w:lineRule="auto"/>
              <w:ind w:firstLine="0" w:firstLineChars="0"/>
              <w:jc w:val="center"/>
              <w:rPr>
                <w:color w:val="auto"/>
                <w:kern w:val="0"/>
                <w:sz w:val="21"/>
                <w:szCs w:val="21"/>
              </w:rPr>
            </w:pPr>
          </w:p>
        </w:tc>
        <w:tc>
          <w:tcPr>
            <w:tcW w:w="622" w:type="pct"/>
            <w:vAlign w:val="center"/>
          </w:tcPr>
          <w:p w14:paraId="6374DFA6">
            <w:pPr>
              <w:spacing w:line="240" w:lineRule="auto"/>
              <w:ind w:firstLine="0" w:firstLineChars="0"/>
              <w:jc w:val="center"/>
              <w:rPr>
                <w:color w:val="auto"/>
                <w:kern w:val="0"/>
                <w:sz w:val="21"/>
                <w:szCs w:val="21"/>
              </w:rPr>
            </w:pPr>
            <w:r>
              <w:rPr>
                <w:color w:val="auto"/>
                <w:kern w:val="0"/>
                <w:sz w:val="21"/>
                <w:szCs w:val="21"/>
              </w:rPr>
              <w:t>底层</w:t>
            </w:r>
          </w:p>
        </w:tc>
        <w:tc>
          <w:tcPr>
            <w:tcW w:w="1082" w:type="pct"/>
            <w:vAlign w:val="center"/>
          </w:tcPr>
          <w:p w14:paraId="15B4DA85">
            <w:pPr>
              <w:spacing w:line="240" w:lineRule="auto"/>
              <w:ind w:firstLine="0" w:firstLineChars="0"/>
              <w:jc w:val="center"/>
              <w:rPr>
                <w:color w:val="auto"/>
                <w:kern w:val="0"/>
                <w:sz w:val="21"/>
                <w:szCs w:val="21"/>
              </w:rPr>
            </w:pPr>
          </w:p>
        </w:tc>
        <w:tc>
          <w:tcPr>
            <w:tcW w:w="885" w:type="pct"/>
            <w:vAlign w:val="center"/>
          </w:tcPr>
          <w:p w14:paraId="562FD36B">
            <w:pPr>
              <w:spacing w:line="240" w:lineRule="auto"/>
              <w:ind w:firstLine="0" w:firstLineChars="0"/>
              <w:jc w:val="center"/>
              <w:rPr>
                <w:color w:val="auto"/>
                <w:kern w:val="0"/>
                <w:sz w:val="21"/>
                <w:szCs w:val="21"/>
              </w:rPr>
            </w:pPr>
          </w:p>
        </w:tc>
        <w:tc>
          <w:tcPr>
            <w:tcW w:w="883" w:type="pct"/>
            <w:vAlign w:val="center"/>
          </w:tcPr>
          <w:p w14:paraId="03CE8512">
            <w:pPr>
              <w:spacing w:line="240" w:lineRule="auto"/>
              <w:ind w:firstLine="0" w:firstLineChars="0"/>
              <w:jc w:val="center"/>
              <w:rPr>
                <w:color w:val="auto"/>
                <w:kern w:val="0"/>
                <w:sz w:val="21"/>
                <w:szCs w:val="21"/>
              </w:rPr>
            </w:pPr>
          </w:p>
        </w:tc>
        <w:tc>
          <w:tcPr>
            <w:tcW w:w="891" w:type="pct"/>
            <w:vAlign w:val="center"/>
          </w:tcPr>
          <w:p w14:paraId="24D3A4CF">
            <w:pPr>
              <w:spacing w:line="240" w:lineRule="auto"/>
              <w:ind w:firstLine="0" w:firstLineChars="0"/>
              <w:jc w:val="center"/>
              <w:rPr>
                <w:color w:val="auto"/>
                <w:kern w:val="0"/>
                <w:sz w:val="21"/>
                <w:szCs w:val="21"/>
              </w:rPr>
            </w:pPr>
          </w:p>
        </w:tc>
      </w:tr>
      <w:tr w14:paraId="2E6E0C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0152AF96">
            <w:pPr>
              <w:spacing w:line="240" w:lineRule="auto"/>
              <w:ind w:firstLine="0" w:firstLineChars="0"/>
              <w:jc w:val="center"/>
              <w:rPr>
                <w:color w:val="auto"/>
                <w:kern w:val="0"/>
                <w:sz w:val="21"/>
                <w:szCs w:val="21"/>
              </w:rPr>
            </w:pPr>
          </w:p>
        </w:tc>
        <w:tc>
          <w:tcPr>
            <w:tcW w:w="622" w:type="pct"/>
            <w:vAlign w:val="center"/>
          </w:tcPr>
          <w:p w14:paraId="5C26CD68">
            <w:pPr>
              <w:spacing w:line="240" w:lineRule="auto"/>
              <w:ind w:firstLine="0" w:firstLineChars="0"/>
              <w:jc w:val="center"/>
              <w:rPr>
                <w:color w:val="auto"/>
                <w:kern w:val="0"/>
                <w:sz w:val="21"/>
                <w:szCs w:val="21"/>
              </w:rPr>
            </w:pPr>
            <w:r>
              <w:rPr>
                <w:color w:val="auto"/>
                <w:kern w:val="0"/>
                <w:sz w:val="21"/>
                <w:szCs w:val="21"/>
              </w:rPr>
              <w:t>垂线</w:t>
            </w:r>
          </w:p>
        </w:tc>
        <w:tc>
          <w:tcPr>
            <w:tcW w:w="1082" w:type="pct"/>
            <w:vAlign w:val="center"/>
          </w:tcPr>
          <w:p w14:paraId="57A2E64C">
            <w:pPr>
              <w:spacing w:line="240" w:lineRule="auto"/>
              <w:ind w:firstLine="0" w:firstLineChars="0"/>
              <w:jc w:val="center"/>
              <w:rPr>
                <w:color w:val="auto"/>
                <w:kern w:val="0"/>
                <w:sz w:val="21"/>
                <w:szCs w:val="21"/>
              </w:rPr>
            </w:pPr>
          </w:p>
        </w:tc>
        <w:tc>
          <w:tcPr>
            <w:tcW w:w="885" w:type="pct"/>
            <w:vAlign w:val="center"/>
          </w:tcPr>
          <w:p w14:paraId="1F69DCE9">
            <w:pPr>
              <w:spacing w:line="240" w:lineRule="auto"/>
              <w:ind w:firstLine="0" w:firstLineChars="0"/>
              <w:jc w:val="center"/>
              <w:rPr>
                <w:color w:val="auto"/>
                <w:kern w:val="0"/>
                <w:sz w:val="21"/>
                <w:szCs w:val="21"/>
              </w:rPr>
            </w:pPr>
          </w:p>
        </w:tc>
        <w:tc>
          <w:tcPr>
            <w:tcW w:w="883" w:type="pct"/>
            <w:vAlign w:val="center"/>
          </w:tcPr>
          <w:p w14:paraId="3B4C8E51">
            <w:pPr>
              <w:spacing w:line="240" w:lineRule="auto"/>
              <w:ind w:firstLine="0" w:firstLineChars="0"/>
              <w:jc w:val="center"/>
              <w:rPr>
                <w:color w:val="auto"/>
                <w:kern w:val="0"/>
                <w:sz w:val="21"/>
                <w:szCs w:val="21"/>
              </w:rPr>
            </w:pPr>
          </w:p>
        </w:tc>
        <w:tc>
          <w:tcPr>
            <w:tcW w:w="891" w:type="pct"/>
            <w:vAlign w:val="center"/>
          </w:tcPr>
          <w:p w14:paraId="02FC91B2">
            <w:pPr>
              <w:spacing w:line="240" w:lineRule="auto"/>
              <w:ind w:firstLine="0" w:firstLineChars="0"/>
              <w:jc w:val="center"/>
              <w:rPr>
                <w:color w:val="auto"/>
                <w:kern w:val="0"/>
                <w:sz w:val="21"/>
                <w:szCs w:val="21"/>
              </w:rPr>
            </w:pPr>
          </w:p>
        </w:tc>
      </w:tr>
      <w:tr w14:paraId="2CCC24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restart"/>
            <w:vAlign w:val="center"/>
          </w:tcPr>
          <w:p w14:paraId="4ED2B190">
            <w:pPr>
              <w:spacing w:line="240" w:lineRule="auto"/>
              <w:ind w:firstLine="0" w:firstLineChars="0"/>
              <w:jc w:val="center"/>
              <w:rPr>
                <w:color w:val="auto"/>
                <w:kern w:val="0"/>
                <w:sz w:val="21"/>
                <w:szCs w:val="21"/>
              </w:rPr>
            </w:pPr>
            <w:r>
              <w:rPr>
                <w:color w:val="auto"/>
                <w:kern w:val="0"/>
                <w:sz w:val="21"/>
                <w:szCs w:val="21"/>
              </w:rPr>
              <w:t>V6</w:t>
            </w:r>
          </w:p>
        </w:tc>
        <w:tc>
          <w:tcPr>
            <w:tcW w:w="622" w:type="pct"/>
            <w:vAlign w:val="center"/>
          </w:tcPr>
          <w:p w14:paraId="03F2BEAD">
            <w:pPr>
              <w:spacing w:line="240" w:lineRule="auto"/>
              <w:ind w:firstLine="0" w:firstLineChars="0"/>
              <w:jc w:val="center"/>
              <w:rPr>
                <w:color w:val="auto"/>
                <w:kern w:val="0"/>
                <w:sz w:val="21"/>
                <w:szCs w:val="21"/>
              </w:rPr>
            </w:pPr>
            <w:r>
              <w:rPr>
                <w:color w:val="auto"/>
                <w:kern w:val="0"/>
                <w:sz w:val="21"/>
                <w:szCs w:val="21"/>
              </w:rPr>
              <w:t>表层</w:t>
            </w:r>
          </w:p>
        </w:tc>
        <w:tc>
          <w:tcPr>
            <w:tcW w:w="1082" w:type="pct"/>
            <w:vAlign w:val="center"/>
          </w:tcPr>
          <w:p w14:paraId="1289B2C4">
            <w:pPr>
              <w:spacing w:line="240" w:lineRule="auto"/>
              <w:ind w:firstLine="0" w:firstLineChars="0"/>
              <w:jc w:val="center"/>
              <w:rPr>
                <w:color w:val="auto"/>
                <w:kern w:val="0"/>
                <w:sz w:val="21"/>
                <w:szCs w:val="21"/>
              </w:rPr>
            </w:pPr>
          </w:p>
        </w:tc>
        <w:tc>
          <w:tcPr>
            <w:tcW w:w="885" w:type="pct"/>
            <w:vAlign w:val="center"/>
          </w:tcPr>
          <w:p w14:paraId="479BBA5B">
            <w:pPr>
              <w:spacing w:line="240" w:lineRule="auto"/>
              <w:ind w:firstLine="0" w:firstLineChars="0"/>
              <w:jc w:val="center"/>
              <w:rPr>
                <w:color w:val="auto"/>
                <w:kern w:val="0"/>
                <w:sz w:val="21"/>
                <w:szCs w:val="21"/>
              </w:rPr>
            </w:pPr>
          </w:p>
        </w:tc>
        <w:tc>
          <w:tcPr>
            <w:tcW w:w="883" w:type="pct"/>
            <w:vAlign w:val="center"/>
          </w:tcPr>
          <w:p w14:paraId="3C4914E4">
            <w:pPr>
              <w:spacing w:line="240" w:lineRule="auto"/>
              <w:ind w:firstLine="0" w:firstLineChars="0"/>
              <w:jc w:val="center"/>
              <w:rPr>
                <w:color w:val="auto"/>
                <w:kern w:val="0"/>
                <w:sz w:val="21"/>
                <w:szCs w:val="21"/>
              </w:rPr>
            </w:pPr>
          </w:p>
        </w:tc>
        <w:tc>
          <w:tcPr>
            <w:tcW w:w="891" w:type="pct"/>
            <w:vAlign w:val="center"/>
          </w:tcPr>
          <w:p w14:paraId="5AB354E1">
            <w:pPr>
              <w:spacing w:line="240" w:lineRule="auto"/>
              <w:ind w:firstLine="0" w:firstLineChars="0"/>
              <w:jc w:val="center"/>
              <w:rPr>
                <w:color w:val="auto"/>
                <w:kern w:val="0"/>
                <w:sz w:val="21"/>
                <w:szCs w:val="21"/>
              </w:rPr>
            </w:pPr>
          </w:p>
        </w:tc>
      </w:tr>
      <w:tr w14:paraId="27FB7A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2EA94651">
            <w:pPr>
              <w:spacing w:line="240" w:lineRule="auto"/>
              <w:ind w:firstLine="0" w:firstLineChars="0"/>
              <w:jc w:val="center"/>
              <w:rPr>
                <w:color w:val="auto"/>
                <w:kern w:val="0"/>
                <w:sz w:val="21"/>
                <w:szCs w:val="21"/>
              </w:rPr>
            </w:pPr>
          </w:p>
        </w:tc>
        <w:tc>
          <w:tcPr>
            <w:tcW w:w="622" w:type="pct"/>
            <w:vAlign w:val="center"/>
          </w:tcPr>
          <w:p w14:paraId="2EFB4FFE">
            <w:pPr>
              <w:spacing w:line="240" w:lineRule="auto"/>
              <w:ind w:firstLine="0" w:firstLineChars="0"/>
              <w:jc w:val="center"/>
              <w:rPr>
                <w:color w:val="auto"/>
                <w:kern w:val="0"/>
                <w:sz w:val="21"/>
                <w:szCs w:val="21"/>
              </w:rPr>
            </w:pPr>
            <w:r>
              <w:rPr>
                <w:color w:val="auto"/>
                <w:kern w:val="0"/>
                <w:sz w:val="21"/>
                <w:szCs w:val="21"/>
              </w:rPr>
              <w:t>0.6H</w:t>
            </w:r>
          </w:p>
        </w:tc>
        <w:tc>
          <w:tcPr>
            <w:tcW w:w="1082" w:type="pct"/>
            <w:vAlign w:val="center"/>
          </w:tcPr>
          <w:p w14:paraId="7A389072">
            <w:pPr>
              <w:spacing w:line="240" w:lineRule="auto"/>
              <w:ind w:firstLine="0" w:firstLineChars="0"/>
              <w:jc w:val="center"/>
              <w:rPr>
                <w:color w:val="auto"/>
                <w:kern w:val="0"/>
                <w:sz w:val="21"/>
                <w:szCs w:val="21"/>
              </w:rPr>
            </w:pPr>
          </w:p>
        </w:tc>
        <w:tc>
          <w:tcPr>
            <w:tcW w:w="885" w:type="pct"/>
            <w:vAlign w:val="center"/>
          </w:tcPr>
          <w:p w14:paraId="670A6910">
            <w:pPr>
              <w:spacing w:line="240" w:lineRule="auto"/>
              <w:ind w:firstLine="0" w:firstLineChars="0"/>
              <w:jc w:val="center"/>
              <w:rPr>
                <w:color w:val="auto"/>
                <w:kern w:val="0"/>
                <w:sz w:val="21"/>
                <w:szCs w:val="21"/>
              </w:rPr>
            </w:pPr>
          </w:p>
        </w:tc>
        <w:tc>
          <w:tcPr>
            <w:tcW w:w="883" w:type="pct"/>
            <w:vAlign w:val="center"/>
          </w:tcPr>
          <w:p w14:paraId="156D6A33">
            <w:pPr>
              <w:spacing w:line="240" w:lineRule="auto"/>
              <w:ind w:firstLine="0" w:firstLineChars="0"/>
              <w:jc w:val="center"/>
              <w:rPr>
                <w:color w:val="auto"/>
                <w:kern w:val="0"/>
                <w:sz w:val="21"/>
                <w:szCs w:val="21"/>
              </w:rPr>
            </w:pPr>
          </w:p>
        </w:tc>
        <w:tc>
          <w:tcPr>
            <w:tcW w:w="891" w:type="pct"/>
            <w:vAlign w:val="center"/>
          </w:tcPr>
          <w:p w14:paraId="218FE2C6">
            <w:pPr>
              <w:spacing w:line="240" w:lineRule="auto"/>
              <w:ind w:firstLine="0" w:firstLineChars="0"/>
              <w:jc w:val="center"/>
              <w:rPr>
                <w:color w:val="auto"/>
                <w:kern w:val="0"/>
                <w:sz w:val="21"/>
                <w:szCs w:val="21"/>
              </w:rPr>
            </w:pPr>
          </w:p>
        </w:tc>
      </w:tr>
      <w:tr w14:paraId="7BE294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75A6D9DD">
            <w:pPr>
              <w:spacing w:line="240" w:lineRule="auto"/>
              <w:ind w:firstLine="0" w:firstLineChars="0"/>
              <w:jc w:val="center"/>
              <w:rPr>
                <w:color w:val="auto"/>
                <w:kern w:val="0"/>
                <w:sz w:val="21"/>
                <w:szCs w:val="21"/>
              </w:rPr>
            </w:pPr>
          </w:p>
        </w:tc>
        <w:tc>
          <w:tcPr>
            <w:tcW w:w="622" w:type="pct"/>
            <w:vAlign w:val="center"/>
          </w:tcPr>
          <w:p w14:paraId="1D00ED59">
            <w:pPr>
              <w:spacing w:line="240" w:lineRule="auto"/>
              <w:ind w:firstLine="0" w:firstLineChars="0"/>
              <w:jc w:val="center"/>
              <w:rPr>
                <w:color w:val="auto"/>
                <w:kern w:val="0"/>
                <w:sz w:val="21"/>
                <w:szCs w:val="21"/>
              </w:rPr>
            </w:pPr>
            <w:r>
              <w:rPr>
                <w:color w:val="auto"/>
                <w:kern w:val="0"/>
                <w:sz w:val="21"/>
                <w:szCs w:val="21"/>
              </w:rPr>
              <w:t>底层</w:t>
            </w:r>
          </w:p>
        </w:tc>
        <w:tc>
          <w:tcPr>
            <w:tcW w:w="1082" w:type="pct"/>
            <w:vAlign w:val="center"/>
          </w:tcPr>
          <w:p w14:paraId="479E1EC3">
            <w:pPr>
              <w:spacing w:line="240" w:lineRule="auto"/>
              <w:ind w:firstLine="0" w:firstLineChars="0"/>
              <w:jc w:val="center"/>
              <w:rPr>
                <w:color w:val="auto"/>
                <w:kern w:val="0"/>
                <w:sz w:val="21"/>
                <w:szCs w:val="21"/>
              </w:rPr>
            </w:pPr>
          </w:p>
        </w:tc>
        <w:tc>
          <w:tcPr>
            <w:tcW w:w="885" w:type="pct"/>
            <w:vAlign w:val="center"/>
          </w:tcPr>
          <w:p w14:paraId="180EF7DB">
            <w:pPr>
              <w:spacing w:line="240" w:lineRule="auto"/>
              <w:ind w:firstLine="0" w:firstLineChars="0"/>
              <w:jc w:val="center"/>
              <w:rPr>
                <w:color w:val="auto"/>
                <w:kern w:val="0"/>
                <w:sz w:val="21"/>
                <w:szCs w:val="21"/>
              </w:rPr>
            </w:pPr>
          </w:p>
        </w:tc>
        <w:tc>
          <w:tcPr>
            <w:tcW w:w="883" w:type="pct"/>
            <w:vAlign w:val="center"/>
          </w:tcPr>
          <w:p w14:paraId="11475E4F">
            <w:pPr>
              <w:spacing w:line="240" w:lineRule="auto"/>
              <w:ind w:firstLine="0" w:firstLineChars="0"/>
              <w:jc w:val="center"/>
              <w:rPr>
                <w:color w:val="auto"/>
                <w:kern w:val="0"/>
                <w:sz w:val="21"/>
                <w:szCs w:val="21"/>
              </w:rPr>
            </w:pPr>
          </w:p>
        </w:tc>
        <w:tc>
          <w:tcPr>
            <w:tcW w:w="891" w:type="pct"/>
            <w:vAlign w:val="center"/>
          </w:tcPr>
          <w:p w14:paraId="79F9B6B1">
            <w:pPr>
              <w:spacing w:line="240" w:lineRule="auto"/>
              <w:ind w:firstLine="0" w:firstLineChars="0"/>
              <w:jc w:val="center"/>
              <w:rPr>
                <w:color w:val="auto"/>
                <w:kern w:val="0"/>
                <w:sz w:val="21"/>
                <w:szCs w:val="21"/>
              </w:rPr>
            </w:pPr>
          </w:p>
        </w:tc>
      </w:tr>
      <w:tr w14:paraId="0E6AA4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3E7215C5">
            <w:pPr>
              <w:spacing w:line="240" w:lineRule="auto"/>
              <w:ind w:firstLine="0" w:firstLineChars="0"/>
              <w:jc w:val="center"/>
              <w:rPr>
                <w:color w:val="auto"/>
                <w:kern w:val="0"/>
                <w:sz w:val="21"/>
                <w:szCs w:val="21"/>
              </w:rPr>
            </w:pPr>
          </w:p>
        </w:tc>
        <w:tc>
          <w:tcPr>
            <w:tcW w:w="622" w:type="pct"/>
            <w:vAlign w:val="center"/>
          </w:tcPr>
          <w:p w14:paraId="39B9F611">
            <w:pPr>
              <w:spacing w:line="240" w:lineRule="auto"/>
              <w:ind w:firstLine="0" w:firstLineChars="0"/>
              <w:jc w:val="center"/>
              <w:rPr>
                <w:color w:val="auto"/>
                <w:kern w:val="0"/>
                <w:sz w:val="21"/>
                <w:szCs w:val="21"/>
              </w:rPr>
            </w:pPr>
            <w:r>
              <w:rPr>
                <w:color w:val="auto"/>
                <w:kern w:val="0"/>
                <w:sz w:val="21"/>
                <w:szCs w:val="21"/>
              </w:rPr>
              <w:t>垂线</w:t>
            </w:r>
          </w:p>
        </w:tc>
        <w:tc>
          <w:tcPr>
            <w:tcW w:w="1082" w:type="pct"/>
            <w:vAlign w:val="center"/>
          </w:tcPr>
          <w:p w14:paraId="2E21B94D">
            <w:pPr>
              <w:spacing w:line="240" w:lineRule="auto"/>
              <w:ind w:firstLine="0" w:firstLineChars="0"/>
              <w:jc w:val="center"/>
              <w:rPr>
                <w:color w:val="auto"/>
                <w:kern w:val="0"/>
                <w:sz w:val="21"/>
                <w:szCs w:val="21"/>
              </w:rPr>
            </w:pPr>
          </w:p>
        </w:tc>
        <w:tc>
          <w:tcPr>
            <w:tcW w:w="885" w:type="pct"/>
            <w:vAlign w:val="center"/>
          </w:tcPr>
          <w:p w14:paraId="5ECE919E">
            <w:pPr>
              <w:spacing w:line="240" w:lineRule="auto"/>
              <w:ind w:firstLine="0" w:firstLineChars="0"/>
              <w:jc w:val="center"/>
              <w:rPr>
                <w:color w:val="auto"/>
                <w:kern w:val="0"/>
                <w:sz w:val="21"/>
                <w:szCs w:val="21"/>
              </w:rPr>
            </w:pPr>
          </w:p>
        </w:tc>
        <w:tc>
          <w:tcPr>
            <w:tcW w:w="883" w:type="pct"/>
            <w:vAlign w:val="center"/>
          </w:tcPr>
          <w:p w14:paraId="35B541A7">
            <w:pPr>
              <w:spacing w:line="240" w:lineRule="auto"/>
              <w:ind w:firstLine="0" w:firstLineChars="0"/>
              <w:jc w:val="center"/>
              <w:rPr>
                <w:color w:val="auto"/>
                <w:kern w:val="0"/>
                <w:sz w:val="21"/>
                <w:szCs w:val="21"/>
              </w:rPr>
            </w:pPr>
          </w:p>
        </w:tc>
        <w:tc>
          <w:tcPr>
            <w:tcW w:w="891" w:type="pct"/>
            <w:vAlign w:val="center"/>
          </w:tcPr>
          <w:p w14:paraId="05A462B0">
            <w:pPr>
              <w:spacing w:line="240" w:lineRule="auto"/>
              <w:ind w:firstLine="0" w:firstLineChars="0"/>
              <w:jc w:val="center"/>
              <w:rPr>
                <w:color w:val="auto"/>
                <w:kern w:val="0"/>
                <w:sz w:val="21"/>
                <w:szCs w:val="21"/>
              </w:rPr>
            </w:pPr>
          </w:p>
        </w:tc>
      </w:tr>
      <w:tr w14:paraId="12AEE7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restart"/>
            <w:vAlign w:val="center"/>
          </w:tcPr>
          <w:p w14:paraId="2C29FD17">
            <w:pPr>
              <w:spacing w:line="240" w:lineRule="auto"/>
              <w:ind w:firstLine="0" w:firstLineChars="0"/>
              <w:jc w:val="center"/>
              <w:rPr>
                <w:color w:val="auto"/>
                <w:kern w:val="0"/>
                <w:sz w:val="21"/>
                <w:szCs w:val="21"/>
              </w:rPr>
            </w:pPr>
            <w:r>
              <w:rPr>
                <w:color w:val="auto"/>
                <w:kern w:val="0"/>
                <w:sz w:val="21"/>
                <w:szCs w:val="21"/>
              </w:rPr>
              <w:t>V7</w:t>
            </w:r>
          </w:p>
        </w:tc>
        <w:tc>
          <w:tcPr>
            <w:tcW w:w="622" w:type="pct"/>
            <w:vAlign w:val="center"/>
          </w:tcPr>
          <w:p w14:paraId="61DF168C">
            <w:pPr>
              <w:spacing w:line="240" w:lineRule="auto"/>
              <w:ind w:firstLine="0" w:firstLineChars="0"/>
              <w:jc w:val="center"/>
              <w:rPr>
                <w:color w:val="auto"/>
                <w:kern w:val="0"/>
                <w:sz w:val="21"/>
                <w:szCs w:val="21"/>
              </w:rPr>
            </w:pPr>
            <w:r>
              <w:rPr>
                <w:color w:val="auto"/>
                <w:kern w:val="0"/>
                <w:sz w:val="21"/>
                <w:szCs w:val="21"/>
              </w:rPr>
              <w:t>表层</w:t>
            </w:r>
          </w:p>
        </w:tc>
        <w:tc>
          <w:tcPr>
            <w:tcW w:w="1082" w:type="pct"/>
            <w:vAlign w:val="center"/>
          </w:tcPr>
          <w:p w14:paraId="4670E5BB">
            <w:pPr>
              <w:spacing w:line="240" w:lineRule="auto"/>
              <w:ind w:firstLine="0" w:firstLineChars="0"/>
              <w:jc w:val="center"/>
              <w:rPr>
                <w:color w:val="auto"/>
                <w:kern w:val="0"/>
                <w:sz w:val="21"/>
                <w:szCs w:val="21"/>
              </w:rPr>
            </w:pPr>
          </w:p>
        </w:tc>
        <w:tc>
          <w:tcPr>
            <w:tcW w:w="885" w:type="pct"/>
            <w:vAlign w:val="center"/>
          </w:tcPr>
          <w:p w14:paraId="742A0DD9">
            <w:pPr>
              <w:spacing w:line="240" w:lineRule="auto"/>
              <w:ind w:firstLine="0" w:firstLineChars="0"/>
              <w:jc w:val="center"/>
              <w:rPr>
                <w:color w:val="auto"/>
                <w:kern w:val="0"/>
                <w:sz w:val="21"/>
                <w:szCs w:val="21"/>
              </w:rPr>
            </w:pPr>
          </w:p>
        </w:tc>
        <w:tc>
          <w:tcPr>
            <w:tcW w:w="883" w:type="pct"/>
            <w:vAlign w:val="center"/>
          </w:tcPr>
          <w:p w14:paraId="0C6232A6">
            <w:pPr>
              <w:spacing w:line="240" w:lineRule="auto"/>
              <w:ind w:firstLine="0" w:firstLineChars="0"/>
              <w:jc w:val="center"/>
              <w:rPr>
                <w:color w:val="auto"/>
                <w:kern w:val="0"/>
                <w:sz w:val="21"/>
                <w:szCs w:val="21"/>
              </w:rPr>
            </w:pPr>
          </w:p>
        </w:tc>
        <w:tc>
          <w:tcPr>
            <w:tcW w:w="891" w:type="pct"/>
            <w:vAlign w:val="center"/>
          </w:tcPr>
          <w:p w14:paraId="2E3DC4AD">
            <w:pPr>
              <w:spacing w:line="240" w:lineRule="auto"/>
              <w:ind w:firstLine="0" w:firstLineChars="0"/>
              <w:jc w:val="center"/>
              <w:rPr>
                <w:color w:val="auto"/>
                <w:kern w:val="0"/>
                <w:sz w:val="21"/>
                <w:szCs w:val="21"/>
              </w:rPr>
            </w:pPr>
          </w:p>
        </w:tc>
      </w:tr>
      <w:tr w14:paraId="007D2E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5AF144D8">
            <w:pPr>
              <w:spacing w:line="240" w:lineRule="auto"/>
              <w:ind w:firstLine="0" w:firstLineChars="0"/>
              <w:jc w:val="center"/>
              <w:rPr>
                <w:color w:val="auto"/>
                <w:kern w:val="0"/>
                <w:sz w:val="21"/>
                <w:szCs w:val="21"/>
              </w:rPr>
            </w:pPr>
          </w:p>
        </w:tc>
        <w:tc>
          <w:tcPr>
            <w:tcW w:w="622" w:type="pct"/>
            <w:vAlign w:val="center"/>
          </w:tcPr>
          <w:p w14:paraId="74EB0328">
            <w:pPr>
              <w:spacing w:line="240" w:lineRule="auto"/>
              <w:ind w:firstLine="0" w:firstLineChars="0"/>
              <w:jc w:val="center"/>
              <w:rPr>
                <w:color w:val="auto"/>
                <w:kern w:val="0"/>
                <w:sz w:val="21"/>
                <w:szCs w:val="21"/>
              </w:rPr>
            </w:pPr>
            <w:r>
              <w:rPr>
                <w:color w:val="auto"/>
                <w:kern w:val="0"/>
                <w:sz w:val="21"/>
                <w:szCs w:val="21"/>
              </w:rPr>
              <w:t>0.2H</w:t>
            </w:r>
          </w:p>
        </w:tc>
        <w:tc>
          <w:tcPr>
            <w:tcW w:w="1082" w:type="pct"/>
            <w:vAlign w:val="center"/>
          </w:tcPr>
          <w:p w14:paraId="76E51CEC">
            <w:pPr>
              <w:spacing w:line="240" w:lineRule="auto"/>
              <w:ind w:firstLine="0" w:firstLineChars="0"/>
              <w:jc w:val="center"/>
              <w:rPr>
                <w:color w:val="auto"/>
                <w:kern w:val="0"/>
                <w:sz w:val="21"/>
                <w:szCs w:val="21"/>
              </w:rPr>
            </w:pPr>
          </w:p>
        </w:tc>
        <w:tc>
          <w:tcPr>
            <w:tcW w:w="885" w:type="pct"/>
            <w:vAlign w:val="center"/>
          </w:tcPr>
          <w:p w14:paraId="4E9392A1">
            <w:pPr>
              <w:spacing w:line="240" w:lineRule="auto"/>
              <w:ind w:firstLine="0" w:firstLineChars="0"/>
              <w:jc w:val="center"/>
              <w:rPr>
                <w:color w:val="auto"/>
                <w:kern w:val="0"/>
                <w:sz w:val="21"/>
                <w:szCs w:val="21"/>
              </w:rPr>
            </w:pPr>
          </w:p>
        </w:tc>
        <w:tc>
          <w:tcPr>
            <w:tcW w:w="883" w:type="pct"/>
            <w:vAlign w:val="center"/>
          </w:tcPr>
          <w:p w14:paraId="0E6CFEF0">
            <w:pPr>
              <w:spacing w:line="240" w:lineRule="auto"/>
              <w:ind w:firstLine="0" w:firstLineChars="0"/>
              <w:jc w:val="center"/>
              <w:rPr>
                <w:color w:val="auto"/>
                <w:kern w:val="0"/>
                <w:sz w:val="21"/>
                <w:szCs w:val="21"/>
              </w:rPr>
            </w:pPr>
          </w:p>
        </w:tc>
        <w:tc>
          <w:tcPr>
            <w:tcW w:w="891" w:type="pct"/>
            <w:vAlign w:val="center"/>
          </w:tcPr>
          <w:p w14:paraId="067CE581">
            <w:pPr>
              <w:spacing w:line="240" w:lineRule="auto"/>
              <w:ind w:firstLine="0" w:firstLineChars="0"/>
              <w:jc w:val="center"/>
              <w:rPr>
                <w:color w:val="auto"/>
                <w:kern w:val="0"/>
                <w:sz w:val="21"/>
                <w:szCs w:val="21"/>
              </w:rPr>
            </w:pPr>
          </w:p>
        </w:tc>
      </w:tr>
      <w:tr w14:paraId="7A22D7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5D7562A4">
            <w:pPr>
              <w:spacing w:line="240" w:lineRule="auto"/>
              <w:ind w:firstLine="0" w:firstLineChars="0"/>
              <w:jc w:val="center"/>
              <w:rPr>
                <w:color w:val="auto"/>
                <w:kern w:val="0"/>
                <w:sz w:val="21"/>
                <w:szCs w:val="21"/>
              </w:rPr>
            </w:pPr>
          </w:p>
        </w:tc>
        <w:tc>
          <w:tcPr>
            <w:tcW w:w="622" w:type="pct"/>
            <w:vAlign w:val="center"/>
          </w:tcPr>
          <w:p w14:paraId="7B5610B5">
            <w:pPr>
              <w:spacing w:line="240" w:lineRule="auto"/>
              <w:ind w:firstLine="0" w:firstLineChars="0"/>
              <w:jc w:val="center"/>
              <w:rPr>
                <w:color w:val="auto"/>
                <w:kern w:val="0"/>
                <w:sz w:val="21"/>
                <w:szCs w:val="21"/>
              </w:rPr>
            </w:pPr>
            <w:r>
              <w:rPr>
                <w:color w:val="auto"/>
                <w:kern w:val="0"/>
                <w:sz w:val="21"/>
                <w:szCs w:val="21"/>
              </w:rPr>
              <w:t>0.4H</w:t>
            </w:r>
          </w:p>
        </w:tc>
        <w:tc>
          <w:tcPr>
            <w:tcW w:w="1082" w:type="pct"/>
            <w:vAlign w:val="center"/>
          </w:tcPr>
          <w:p w14:paraId="2FCBE0F9">
            <w:pPr>
              <w:spacing w:line="240" w:lineRule="auto"/>
              <w:ind w:firstLine="0" w:firstLineChars="0"/>
              <w:jc w:val="center"/>
              <w:rPr>
                <w:color w:val="auto"/>
                <w:kern w:val="0"/>
                <w:sz w:val="21"/>
                <w:szCs w:val="21"/>
              </w:rPr>
            </w:pPr>
          </w:p>
        </w:tc>
        <w:tc>
          <w:tcPr>
            <w:tcW w:w="885" w:type="pct"/>
            <w:vAlign w:val="center"/>
          </w:tcPr>
          <w:p w14:paraId="3B82759E">
            <w:pPr>
              <w:spacing w:line="240" w:lineRule="auto"/>
              <w:ind w:firstLine="0" w:firstLineChars="0"/>
              <w:jc w:val="center"/>
              <w:rPr>
                <w:color w:val="auto"/>
                <w:kern w:val="0"/>
                <w:sz w:val="21"/>
                <w:szCs w:val="21"/>
              </w:rPr>
            </w:pPr>
          </w:p>
        </w:tc>
        <w:tc>
          <w:tcPr>
            <w:tcW w:w="883" w:type="pct"/>
            <w:vAlign w:val="center"/>
          </w:tcPr>
          <w:p w14:paraId="16E6FAFA">
            <w:pPr>
              <w:spacing w:line="240" w:lineRule="auto"/>
              <w:ind w:firstLine="0" w:firstLineChars="0"/>
              <w:jc w:val="center"/>
              <w:rPr>
                <w:color w:val="auto"/>
                <w:kern w:val="0"/>
                <w:sz w:val="21"/>
                <w:szCs w:val="21"/>
              </w:rPr>
            </w:pPr>
          </w:p>
        </w:tc>
        <w:tc>
          <w:tcPr>
            <w:tcW w:w="891" w:type="pct"/>
            <w:vAlign w:val="center"/>
          </w:tcPr>
          <w:p w14:paraId="363714B9">
            <w:pPr>
              <w:spacing w:line="240" w:lineRule="auto"/>
              <w:ind w:firstLine="0" w:firstLineChars="0"/>
              <w:jc w:val="center"/>
              <w:rPr>
                <w:color w:val="auto"/>
                <w:kern w:val="0"/>
                <w:sz w:val="21"/>
                <w:szCs w:val="21"/>
              </w:rPr>
            </w:pPr>
          </w:p>
        </w:tc>
      </w:tr>
      <w:tr w14:paraId="249E75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25A398E7">
            <w:pPr>
              <w:spacing w:line="240" w:lineRule="auto"/>
              <w:ind w:firstLine="0" w:firstLineChars="0"/>
              <w:jc w:val="center"/>
              <w:rPr>
                <w:color w:val="auto"/>
                <w:kern w:val="0"/>
                <w:sz w:val="21"/>
                <w:szCs w:val="21"/>
              </w:rPr>
            </w:pPr>
          </w:p>
        </w:tc>
        <w:tc>
          <w:tcPr>
            <w:tcW w:w="622" w:type="pct"/>
            <w:vAlign w:val="center"/>
          </w:tcPr>
          <w:p w14:paraId="102DAB44">
            <w:pPr>
              <w:spacing w:line="240" w:lineRule="auto"/>
              <w:ind w:firstLine="0" w:firstLineChars="0"/>
              <w:jc w:val="center"/>
              <w:rPr>
                <w:color w:val="auto"/>
                <w:kern w:val="0"/>
                <w:sz w:val="21"/>
                <w:szCs w:val="21"/>
              </w:rPr>
            </w:pPr>
            <w:r>
              <w:rPr>
                <w:color w:val="auto"/>
                <w:kern w:val="0"/>
                <w:sz w:val="21"/>
                <w:szCs w:val="21"/>
              </w:rPr>
              <w:t>0.6H</w:t>
            </w:r>
          </w:p>
        </w:tc>
        <w:tc>
          <w:tcPr>
            <w:tcW w:w="1082" w:type="pct"/>
            <w:vAlign w:val="center"/>
          </w:tcPr>
          <w:p w14:paraId="430FFEE8">
            <w:pPr>
              <w:spacing w:line="240" w:lineRule="auto"/>
              <w:ind w:firstLine="0" w:firstLineChars="0"/>
              <w:jc w:val="center"/>
              <w:rPr>
                <w:color w:val="auto"/>
                <w:kern w:val="0"/>
                <w:sz w:val="21"/>
                <w:szCs w:val="21"/>
              </w:rPr>
            </w:pPr>
          </w:p>
        </w:tc>
        <w:tc>
          <w:tcPr>
            <w:tcW w:w="885" w:type="pct"/>
            <w:vAlign w:val="center"/>
          </w:tcPr>
          <w:p w14:paraId="57B2F4C1">
            <w:pPr>
              <w:spacing w:line="240" w:lineRule="auto"/>
              <w:ind w:firstLine="0" w:firstLineChars="0"/>
              <w:jc w:val="center"/>
              <w:rPr>
                <w:color w:val="auto"/>
                <w:kern w:val="0"/>
                <w:sz w:val="21"/>
                <w:szCs w:val="21"/>
              </w:rPr>
            </w:pPr>
          </w:p>
        </w:tc>
        <w:tc>
          <w:tcPr>
            <w:tcW w:w="883" w:type="pct"/>
            <w:vAlign w:val="center"/>
          </w:tcPr>
          <w:p w14:paraId="07646E3A">
            <w:pPr>
              <w:spacing w:line="240" w:lineRule="auto"/>
              <w:ind w:firstLine="0" w:firstLineChars="0"/>
              <w:jc w:val="center"/>
              <w:rPr>
                <w:color w:val="auto"/>
                <w:kern w:val="0"/>
                <w:sz w:val="21"/>
                <w:szCs w:val="21"/>
              </w:rPr>
            </w:pPr>
          </w:p>
        </w:tc>
        <w:tc>
          <w:tcPr>
            <w:tcW w:w="891" w:type="pct"/>
            <w:vAlign w:val="center"/>
          </w:tcPr>
          <w:p w14:paraId="32E55FF1">
            <w:pPr>
              <w:spacing w:line="240" w:lineRule="auto"/>
              <w:ind w:firstLine="0" w:firstLineChars="0"/>
              <w:jc w:val="center"/>
              <w:rPr>
                <w:color w:val="auto"/>
                <w:kern w:val="0"/>
                <w:sz w:val="21"/>
                <w:szCs w:val="21"/>
              </w:rPr>
            </w:pPr>
          </w:p>
        </w:tc>
      </w:tr>
      <w:tr w14:paraId="3D7B77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6E03C8EC">
            <w:pPr>
              <w:spacing w:line="240" w:lineRule="auto"/>
              <w:ind w:firstLine="0" w:firstLineChars="0"/>
              <w:jc w:val="center"/>
              <w:rPr>
                <w:color w:val="auto"/>
                <w:kern w:val="0"/>
                <w:sz w:val="21"/>
                <w:szCs w:val="21"/>
              </w:rPr>
            </w:pPr>
          </w:p>
        </w:tc>
        <w:tc>
          <w:tcPr>
            <w:tcW w:w="622" w:type="pct"/>
            <w:vAlign w:val="center"/>
          </w:tcPr>
          <w:p w14:paraId="223FEEF0">
            <w:pPr>
              <w:spacing w:line="240" w:lineRule="auto"/>
              <w:ind w:firstLine="0" w:firstLineChars="0"/>
              <w:jc w:val="center"/>
              <w:rPr>
                <w:color w:val="auto"/>
                <w:kern w:val="0"/>
                <w:sz w:val="21"/>
                <w:szCs w:val="21"/>
              </w:rPr>
            </w:pPr>
            <w:r>
              <w:rPr>
                <w:color w:val="auto"/>
                <w:kern w:val="0"/>
                <w:sz w:val="21"/>
                <w:szCs w:val="21"/>
              </w:rPr>
              <w:t>0.8H</w:t>
            </w:r>
          </w:p>
        </w:tc>
        <w:tc>
          <w:tcPr>
            <w:tcW w:w="1082" w:type="pct"/>
            <w:vAlign w:val="center"/>
          </w:tcPr>
          <w:p w14:paraId="09BE2191">
            <w:pPr>
              <w:spacing w:line="240" w:lineRule="auto"/>
              <w:ind w:firstLine="0" w:firstLineChars="0"/>
              <w:jc w:val="center"/>
              <w:rPr>
                <w:color w:val="auto"/>
                <w:kern w:val="0"/>
                <w:sz w:val="21"/>
                <w:szCs w:val="21"/>
              </w:rPr>
            </w:pPr>
          </w:p>
        </w:tc>
        <w:tc>
          <w:tcPr>
            <w:tcW w:w="885" w:type="pct"/>
            <w:vAlign w:val="center"/>
          </w:tcPr>
          <w:p w14:paraId="5E1A69E0">
            <w:pPr>
              <w:spacing w:line="240" w:lineRule="auto"/>
              <w:ind w:firstLine="0" w:firstLineChars="0"/>
              <w:jc w:val="center"/>
              <w:rPr>
                <w:color w:val="auto"/>
                <w:kern w:val="0"/>
                <w:sz w:val="21"/>
                <w:szCs w:val="21"/>
              </w:rPr>
            </w:pPr>
          </w:p>
        </w:tc>
        <w:tc>
          <w:tcPr>
            <w:tcW w:w="883" w:type="pct"/>
            <w:vAlign w:val="center"/>
          </w:tcPr>
          <w:p w14:paraId="365CAB0A">
            <w:pPr>
              <w:spacing w:line="240" w:lineRule="auto"/>
              <w:ind w:firstLine="0" w:firstLineChars="0"/>
              <w:jc w:val="center"/>
              <w:rPr>
                <w:color w:val="auto"/>
                <w:kern w:val="0"/>
                <w:sz w:val="21"/>
                <w:szCs w:val="21"/>
              </w:rPr>
            </w:pPr>
          </w:p>
        </w:tc>
        <w:tc>
          <w:tcPr>
            <w:tcW w:w="891" w:type="pct"/>
            <w:vAlign w:val="center"/>
          </w:tcPr>
          <w:p w14:paraId="1C1A715B">
            <w:pPr>
              <w:spacing w:line="240" w:lineRule="auto"/>
              <w:ind w:firstLine="0" w:firstLineChars="0"/>
              <w:jc w:val="center"/>
              <w:rPr>
                <w:color w:val="auto"/>
                <w:kern w:val="0"/>
                <w:sz w:val="21"/>
                <w:szCs w:val="21"/>
              </w:rPr>
            </w:pPr>
          </w:p>
        </w:tc>
      </w:tr>
      <w:tr w14:paraId="6EEE59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44B42D44">
            <w:pPr>
              <w:spacing w:line="240" w:lineRule="auto"/>
              <w:ind w:firstLine="0" w:firstLineChars="0"/>
              <w:jc w:val="center"/>
              <w:rPr>
                <w:color w:val="auto"/>
                <w:kern w:val="0"/>
                <w:sz w:val="21"/>
                <w:szCs w:val="21"/>
              </w:rPr>
            </w:pPr>
          </w:p>
        </w:tc>
        <w:tc>
          <w:tcPr>
            <w:tcW w:w="622" w:type="pct"/>
            <w:vAlign w:val="center"/>
          </w:tcPr>
          <w:p w14:paraId="4F395AB3">
            <w:pPr>
              <w:spacing w:line="240" w:lineRule="auto"/>
              <w:ind w:firstLine="0" w:firstLineChars="0"/>
              <w:jc w:val="center"/>
              <w:rPr>
                <w:color w:val="auto"/>
                <w:kern w:val="0"/>
                <w:sz w:val="21"/>
                <w:szCs w:val="21"/>
              </w:rPr>
            </w:pPr>
            <w:r>
              <w:rPr>
                <w:color w:val="auto"/>
                <w:kern w:val="0"/>
                <w:sz w:val="21"/>
                <w:szCs w:val="21"/>
              </w:rPr>
              <w:t>底层</w:t>
            </w:r>
          </w:p>
        </w:tc>
        <w:tc>
          <w:tcPr>
            <w:tcW w:w="1082" w:type="pct"/>
            <w:vAlign w:val="center"/>
          </w:tcPr>
          <w:p w14:paraId="66596C6D">
            <w:pPr>
              <w:spacing w:line="240" w:lineRule="auto"/>
              <w:ind w:firstLine="0" w:firstLineChars="0"/>
              <w:jc w:val="center"/>
              <w:rPr>
                <w:color w:val="auto"/>
                <w:kern w:val="0"/>
                <w:sz w:val="21"/>
                <w:szCs w:val="21"/>
              </w:rPr>
            </w:pPr>
          </w:p>
        </w:tc>
        <w:tc>
          <w:tcPr>
            <w:tcW w:w="885" w:type="pct"/>
            <w:vAlign w:val="center"/>
          </w:tcPr>
          <w:p w14:paraId="0FA184EA">
            <w:pPr>
              <w:spacing w:line="240" w:lineRule="auto"/>
              <w:ind w:firstLine="0" w:firstLineChars="0"/>
              <w:jc w:val="center"/>
              <w:rPr>
                <w:color w:val="auto"/>
                <w:kern w:val="0"/>
                <w:sz w:val="21"/>
                <w:szCs w:val="21"/>
              </w:rPr>
            </w:pPr>
          </w:p>
        </w:tc>
        <w:tc>
          <w:tcPr>
            <w:tcW w:w="883" w:type="pct"/>
            <w:vAlign w:val="center"/>
          </w:tcPr>
          <w:p w14:paraId="4274CD64">
            <w:pPr>
              <w:spacing w:line="240" w:lineRule="auto"/>
              <w:ind w:firstLine="0" w:firstLineChars="0"/>
              <w:jc w:val="center"/>
              <w:rPr>
                <w:color w:val="auto"/>
                <w:kern w:val="0"/>
                <w:sz w:val="21"/>
                <w:szCs w:val="21"/>
              </w:rPr>
            </w:pPr>
          </w:p>
        </w:tc>
        <w:tc>
          <w:tcPr>
            <w:tcW w:w="891" w:type="pct"/>
            <w:vAlign w:val="center"/>
          </w:tcPr>
          <w:p w14:paraId="15F83AA4">
            <w:pPr>
              <w:spacing w:line="240" w:lineRule="auto"/>
              <w:ind w:firstLine="0" w:firstLineChars="0"/>
              <w:jc w:val="center"/>
              <w:rPr>
                <w:color w:val="auto"/>
                <w:kern w:val="0"/>
                <w:sz w:val="21"/>
                <w:szCs w:val="21"/>
              </w:rPr>
            </w:pPr>
          </w:p>
        </w:tc>
      </w:tr>
      <w:tr w14:paraId="3884C5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48F51E98">
            <w:pPr>
              <w:spacing w:line="240" w:lineRule="auto"/>
              <w:ind w:firstLine="0" w:firstLineChars="0"/>
              <w:jc w:val="center"/>
              <w:rPr>
                <w:color w:val="auto"/>
                <w:kern w:val="0"/>
                <w:sz w:val="21"/>
                <w:szCs w:val="21"/>
              </w:rPr>
            </w:pPr>
          </w:p>
        </w:tc>
        <w:tc>
          <w:tcPr>
            <w:tcW w:w="622" w:type="pct"/>
            <w:vAlign w:val="center"/>
          </w:tcPr>
          <w:p w14:paraId="7EA387F4">
            <w:pPr>
              <w:spacing w:line="240" w:lineRule="auto"/>
              <w:ind w:firstLine="0" w:firstLineChars="0"/>
              <w:jc w:val="center"/>
              <w:rPr>
                <w:color w:val="auto"/>
                <w:kern w:val="0"/>
                <w:sz w:val="21"/>
                <w:szCs w:val="21"/>
              </w:rPr>
            </w:pPr>
            <w:r>
              <w:rPr>
                <w:color w:val="auto"/>
                <w:kern w:val="0"/>
                <w:sz w:val="21"/>
                <w:szCs w:val="21"/>
              </w:rPr>
              <w:t>垂线</w:t>
            </w:r>
          </w:p>
        </w:tc>
        <w:tc>
          <w:tcPr>
            <w:tcW w:w="1082" w:type="pct"/>
            <w:vAlign w:val="center"/>
          </w:tcPr>
          <w:p w14:paraId="62A39A91">
            <w:pPr>
              <w:spacing w:line="240" w:lineRule="auto"/>
              <w:ind w:firstLine="0" w:firstLineChars="0"/>
              <w:jc w:val="center"/>
              <w:rPr>
                <w:color w:val="auto"/>
                <w:kern w:val="0"/>
                <w:sz w:val="21"/>
                <w:szCs w:val="21"/>
              </w:rPr>
            </w:pPr>
          </w:p>
        </w:tc>
        <w:tc>
          <w:tcPr>
            <w:tcW w:w="885" w:type="pct"/>
            <w:vAlign w:val="center"/>
          </w:tcPr>
          <w:p w14:paraId="396DA17D">
            <w:pPr>
              <w:spacing w:line="240" w:lineRule="auto"/>
              <w:ind w:firstLine="0" w:firstLineChars="0"/>
              <w:jc w:val="center"/>
              <w:rPr>
                <w:color w:val="auto"/>
                <w:kern w:val="0"/>
                <w:sz w:val="21"/>
                <w:szCs w:val="21"/>
              </w:rPr>
            </w:pPr>
          </w:p>
        </w:tc>
        <w:tc>
          <w:tcPr>
            <w:tcW w:w="883" w:type="pct"/>
            <w:vAlign w:val="center"/>
          </w:tcPr>
          <w:p w14:paraId="3DD91911">
            <w:pPr>
              <w:spacing w:line="240" w:lineRule="auto"/>
              <w:ind w:firstLine="0" w:firstLineChars="0"/>
              <w:jc w:val="center"/>
              <w:rPr>
                <w:color w:val="auto"/>
                <w:kern w:val="0"/>
                <w:sz w:val="21"/>
                <w:szCs w:val="21"/>
              </w:rPr>
            </w:pPr>
          </w:p>
        </w:tc>
        <w:tc>
          <w:tcPr>
            <w:tcW w:w="891" w:type="pct"/>
            <w:vAlign w:val="center"/>
          </w:tcPr>
          <w:p w14:paraId="4CA38727">
            <w:pPr>
              <w:spacing w:line="240" w:lineRule="auto"/>
              <w:ind w:firstLine="0" w:firstLineChars="0"/>
              <w:jc w:val="center"/>
              <w:rPr>
                <w:color w:val="auto"/>
                <w:kern w:val="0"/>
                <w:sz w:val="21"/>
                <w:szCs w:val="21"/>
              </w:rPr>
            </w:pPr>
          </w:p>
        </w:tc>
      </w:tr>
      <w:tr w14:paraId="3BD3ED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restart"/>
            <w:vAlign w:val="center"/>
          </w:tcPr>
          <w:p w14:paraId="588D194D">
            <w:pPr>
              <w:spacing w:line="240" w:lineRule="auto"/>
              <w:ind w:firstLine="0" w:firstLineChars="0"/>
              <w:jc w:val="center"/>
              <w:rPr>
                <w:color w:val="auto"/>
                <w:kern w:val="0"/>
                <w:sz w:val="21"/>
                <w:szCs w:val="21"/>
              </w:rPr>
            </w:pPr>
            <w:r>
              <w:rPr>
                <w:color w:val="auto"/>
                <w:kern w:val="0"/>
                <w:sz w:val="21"/>
                <w:szCs w:val="21"/>
              </w:rPr>
              <w:t>V8</w:t>
            </w:r>
          </w:p>
        </w:tc>
        <w:tc>
          <w:tcPr>
            <w:tcW w:w="622" w:type="pct"/>
            <w:vAlign w:val="center"/>
          </w:tcPr>
          <w:p w14:paraId="38108387">
            <w:pPr>
              <w:spacing w:line="240" w:lineRule="auto"/>
              <w:ind w:firstLine="0" w:firstLineChars="0"/>
              <w:jc w:val="center"/>
              <w:rPr>
                <w:color w:val="auto"/>
                <w:kern w:val="0"/>
                <w:sz w:val="21"/>
                <w:szCs w:val="21"/>
              </w:rPr>
            </w:pPr>
            <w:r>
              <w:rPr>
                <w:color w:val="auto"/>
                <w:kern w:val="0"/>
                <w:sz w:val="21"/>
                <w:szCs w:val="21"/>
              </w:rPr>
              <w:t>表层</w:t>
            </w:r>
          </w:p>
        </w:tc>
        <w:tc>
          <w:tcPr>
            <w:tcW w:w="1082" w:type="pct"/>
            <w:vAlign w:val="center"/>
          </w:tcPr>
          <w:p w14:paraId="6C92A2BD">
            <w:pPr>
              <w:spacing w:line="240" w:lineRule="auto"/>
              <w:ind w:firstLine="0" w:firstLineChars="0"/>
              <w:jc w:val="center"/>
              <w:rPr>
                <w:color w:val="auto"/>
                <w:kern w:val="0"/>
                <w:sz w:val="21"/>
                <w:szCs w:val="21"/>
              </w:rPr>
            </w:pPr>
          </w:p>
        </w:tc>
        <w:tc>
          <w:tcPr>
            <w:tcW w:w="885" w:type="pct"/>
            <w:vAlign w:val="center"/>
          </w:tcPr>
          <w:p w14:paraId="507A1E8D">
            <w:pPr>
              <w:spacing w:line="240" w:lineRule="auto"/>
              <w:ind w:firstLine="0" w:firstLineChars="0"/>
              <w:jc w:val="center"/>
              <w:rPr>
                <w:color w:val="auto"/>
                <w:kern w:val="0"/>
                <w:sz w:val="21"/>
                <w:szCs w:val="21"/>
              </w:rPr>
            </w:pPr>
          </w:p>
        </w:tc>
        <w:tc>
          <w:tcPr>
            <w:tcW w:w="883" w:type="pct"/>
            <w:vAlign w:val="center"/>
          </w:tcPr>
          <w:p w14:paraId="77F2E4A8">
            <w:pPr>
              <w:spacing w:line="240" w:lineRule="auto"/>
              <w:ind w:firstLine="0" w:firstLineChars="0"/>
              <w:jc w:val="center"/>
              <w:rPr>
                <w:color w:val="auto"/>
                <w:kern w:val="0"/>
                <w:sz w:val="21"/>
                <w:szCs w:val="21"/>
              </w:rPr>
            </w:pPr>
          </w:p>
        </w:tc>
        <w:tc>
          <w:tcPr>
            <w:tcW w:w="891" w:type="pct"/>
            <w:vAlign w:val="center"/>
          </w:tcPr>
          <w:p w14:paraId="3C3AEE47">
            <w:pPr>
              <w:spacing w:line="240" w:lineRule="auto"/>
              <w:ind w:firstLine="0" w:firstLineChars="0"/>
              <w:jc w:val="center"/>
              <w:rPr>
                <w:color w:val="auto"/>
                <w:kern w:val="0"/>
                <w:sz w:val="21"/>
                <w:szCs w:val="21"/>
              </w:rPr>
            </w:pPr>
          </w:p>
        </w:tc>
      </w:tr>
      <w:tr w14:paraId="4C5D6A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4C44EA63">
            <w:pPr>
              <w:spacing w:line="240" w:lineRule="auto"/>
              <w:ind w:firstLine="0" w:firstLineChars="0"/>
              <w:jc w:val="center"/>
              <w:rPr>
                <w:color w:val="auto"/>
                <w:kern w:val="0"/>
                <w:sz w:val="21"/>
                <w:szCs w:val="21"/>
              </w:rPr>
            </w:pPr>
          </w:p>
        </w:tc>
        <w:tc>
          <w:tcPr>
            <w:tcW w:w="622" w:type="pct"/>
            <w:vAlign w:val="center"/>
          </w:tcPr>
          <w:p w14:paraId="0AE0B242">
            <w:pPr>
              <w:spacing w:line="240" w:lineRule="auto"/>
              <w:ind w:firstLine="0" w:firstLineChars="0"/>
              <w:jc w:val="center"/>
              <w:rPr>
                <w:color w:val="auto"/>
                <w:kern w:val="0"/>
                <w:sz w:val="21"/>
                <w:szCs w:val="21"/>
              </w:rPr>
            </w:pPr>
            <w:r>
              <w:rPr>
                <w:color w:val="auto"/>
                <w:kern w:val="0"/>
                <w:sz w:val="21"/>
                <w:szCs w:val="21"/>
              </w:rPr>
              <w:t>0.2H</w:t>
            </w:r>
          </w:p>
        </w:tc>
        <w:tc>
          <w:tcPr>
            <w:tcW w:w="1082" w:type="pct"/>
            <w:vAlign w:val="center"/>
          </w:tcPr>
          <w:p w14:paraId="69233CBB">
            <w:pPr>
              <w:spacing w:line="240" w:lineRule="auto"/>
              <w:ind w:firstLine="0" w:firstLineChars="0"/>
              <w:jc w:val="center"/>
              <w:rPr>
                <w:color w:val="auto"/>
                <w:kern w:val="0"/>
                <w:sz w:val="21"/>
                <w:szCs w:val="21"/>
              </w:rPr>
            </w:pPr>
          </w:p>
        </w:tc>
        <w:tc>
          <w:tcPr>
            <w:tcW w:w="885" w:type="pct"/>
            <w:vAlign w:val="center"/>
          </w:tcPr>
          <w:p w14:paraId="07DDB8F7">
            <w:pPr>
              <w:spacing w:line="240" w:lineRule="auto"/>
              <w:ind w:firstLine="0" w:firstLineChars="0"/>
              <w:jc w:val="center"/>
              <w:rPr>
                <w:color w:val="auto"/>
                <w:kern w:val="0"/>
                <w:sz w:val="21"/>
                <w:szCs w:val="21"/>
              </w:rPr>
            </w:pPr>
          </w:p>
        </w:tc>
        <w:tc>
          <w:tcPr>
            <w:tcW w:w="883" w:type="pct"/>
            <w:vAlign w:val="center"/>
          </w:tcPr>
          <w:p w14:paraId="600D85D7">
            <w:pPr>
              <w:spacing w:line="240" w:lineRule="auto"/>
              <w:ind w:firstLine="0" w:firstLineChars="0"/>
              <w:jc w:val="center"/>
              <w:rPr>
                <w:color w:val="auto"/>
                <w:kern w:val="0"/>
                <w:sz w:val="21"/>
                <w:szCs w:val="21"/>
              </w:rPr>
            </w:pPr>
          </w:p>
        </w:tc>
        <w:tc>
          <w:tcPr>
            <w:tcW w:w="891" w:type="pct"/>
            <w:vAlign w:val="center"/>
          </w:tcPr>
          <w:p w14:paraId="01D46618">
            <w:pPr>
              <w:spacing w:line="240" w:lineRule="auto"/>
              <w:ind w:firstLine="0" w:firstLineChars="0"/>
              <w:jc w:val="center"/>
              <w:rPr>
                <w:color w:val="auto"/>
                <w:kern w:val="0"/>
                <w:sz w:val="21"/>
                <w:szCs w:val="21"/>
              </w:rPr>
            </w:pPr>
          </w:p>
        </w:tc>
      </w:tr>
      <w:tr w14:paraId="4E1B1E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36BE464B">
            <w:pPr>
              <w:spacing w:line="240" w:lineRule="auto"/>
              <w:ind w:firstLine="0" w:firstLineChars="0"/>
              <w:jc w:val="center"/>
              <w:rPr>
                <w:color w:val="auto"/>
                <w:kern w:val="0"/>
                <w:sz w:val="21"/>
                <w:szCs w:val="21"/>
              </w:rPr>
            </w:pPr>
          </w:p>
        </w:tc>
        <w:tc>
          <w:tcPr>
            <w:tcW w:w="622" w:type="pct"/>
            <w:vAlign w:val="center"/>
          </w:tcPr>
          <w:p w14:paraId="3C9B79D9">
            <w:pPr>
              <w:spacing w:line="240" w:lineRule="auto"/>
              <w:ind w:firstLine="0" w:firstLineChars="0"/>
              <w:jc w:val="center"/>
              <w:rPr>
                <w:color w:val="auto"/>
                <w:kern w:val="0"/>
                <w:sz w:val="21"/>
                <w:szCs w:val="21"/>
              </w:rPr>
            </w:pPr>
            <w:r>
              <w:rPr>
                <w:color w:val="auto"/>
                <w:kern w:val="0"/>
                <w:sz w:val="21"/>
                <w:szCs w:val="21"/>
              </w:rPr>
              <w:t>0.4H</w:t>
            </w:r>
          </w:p>
        </w:tc>
        <w:tc>
          <w:tcPr>
            <w:tcW w:w="1082" w:type="pct"/>
            <w:vAlign w:val="center"/>
          </w:tcPr>
          <w:p w14:paraId="339E4210">
            <w:pPr>
              <w:spacing w:line="240" w:lineRule="auto"/>
              <w:ind w:firstLine="0" w:firstLineChars="0"/>
              <w:jc w:val="center"/>
              <w:rPr>
                <w:color w:val="auto"/>
                <w:kern w:val="0"/>
                <w:sz w:val="21"/>
                <w:szCs w:val="21"/>
              </w:rPr>
            </w:pPr>
          </w:p>
        </w:tc>
        <w:tc>
          <w:tcPr>
            <w:tcW w:w="885" w:type="pct"/>
            <w:vAlign w:val="center"/>
          </w:tcPr>
          <w:p w14:paraId="59593D8C">
            <w:pPr>
              <w:spacing w:line="240" w:lineRule="auto"/>
              <w:ind w:firstLine="0" w:firstLineChars="0"/>
              <w:jc w:val="center"/>
              <w:rPr>
                <w:color w:val="auto"/>
                <w:kern w:val="0"/>
                <w:sz w:val="21"/>
                <w:szCs w:val="21"/>
              </w:rPr>
            </w:pPr>
          </w:p>
        </w:tc>
        <w:tc>
          <w:tcPr>
            <w:tcW w:w="883" w:type="pct"/>
            <w:vAlign w:val="center"/>
          </w:tcPr>
          <w:p w14:paraId="4F9B069D">
            <w:pPr>
              <w:spacing w:line="240" w:lineRule="auto"/>
              <w:ind w:firstLine="0" w:firstLineChars="0"/>
              <w:jc w:val="center"/>
              <w:rPr>
                <w:color w:val="auto"/>
                <w:kern w:val="0"/>
                <w:sz w:val="21"/>
                <w:szCs w:val="21"/>
              </w:rPr>
            </w:pPr>
          </w:p>
        </w:tc>
        <w:tc>
          <w:tcPr>
            <w:tcW w:w="891" w:type="pct"/>
            <w:vAlign w:val="center"/>
          </w:tcPr>
          <w:p w14:paraId="09599E50">
            <w:pPr>
              <w:spacing w:line="240" w:lineRule="auto"/>
              <w:ind w:firstLine="0" w:firstLineChars="0"/>
              <w:jc w:val="center"/>
              <w:rPr>
                <w:color w:val="auto"/>
                <w:kern w:val="0"/>
                <w:sz w:val="21"/>
                <w:szCs w:val="21"/>
              </w:rPr>
            </w:pPr>
          </w:p>
        </w:tc>
      </w:tr>
      <w:tr w14:paraId="2D6DE2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016A503B">
            <w:pPr>
              <w:spacing w:line="240" w:lineRule="auto"/>
              <w:ind w:firstLine="0" w:firstLineChars="0"/>
              <w:jc w:val="center"/>
              <w:rPr>
                <w:color w:val="auto"/>
                <w:kern w:val="0"/>
                <w:sz w:val="21"/>
                <w:szCs w:val="21"/>
              </w:rPr>
            </w:pPr>
          </w:p>
        </w:tc>
        <w:tc>
          <w:tcPr>
            <w:tcW w:w="622" w:type="pct"/>
            <w:vAlign w:val="center"/>
          </w:tcPr>
          <w:p w14:paraId="66948FBE">
            <w:pPr>
              <w:spacing w:line="240" w:lineRule="auto"/>
              <w:ind w:firstLine="0" w:firstLineChars="0"/>
              <w:jc w:val="center"/>
              <w:rPr>
                <w:color w:val="auto"/>
                <w:kern w:val="0"/>
                <w:sz w:val="21"/>
                <w:szCs w:val="21"/>
              </w:rPr>
            </w:pPr>
            <w:r>
              <w:rPr>
                <w:color w:val="auto"/>
                <w:kern w:val="0"/>
                <w:sz w:val="21"/>
                <w:szCs w:val="21"/>
              </w:rPr>
              <w:t>0.6H</w:t>
            </w:r>
          </w:p>
        </w:tc>
        <w:tc>
          <w:tcPr>
            <w:tcW w:w="1082" w:type="pct"/>
            <w:vAlign w:val="center"/>
          </w:tcPr>
          <w:p w14:paraId="6C5B6196">
            <w:pPr>
              <w:spacing w:line="240" w:lineRule="auto"/>
              <w:ind w:firstLine="0" w:firstLineChars="0"/>
              <w:jc w:val="center"/>
              <w:rPr>
                <w:color w:val="auto"/>
                <w:kern w:val="0"/>
                <w:sz w:val="21"/>
                <w:szCs w:val="21"/>
              </w:rPr>
            </w:pPr>
          </w:p>
        </w:tc>
        <w:tc>
          <w:tcPr>
            <w:tcW w:w="885" w:type="pct"/>
            <w:vAlign w:val="center"/>
          </w:tcPr>
          <w:p w14:paraId="08BB9C93">
            <w:pPr>
              <w:spacing w:line="240" w:lineRule="auto"/>
              <w:ind w:firstLine="0" w:firstLineChars="0"/>
              <w:jc w:val="center"/>
              <w:rPr>
                <w:color w:val="auto"/>
                <w:kern w:val="0"/>
                <w:sz w:val="21"/>
                <w:szCs w:val="21"/>
              </w:rPr>
            </w:pPr>
          </w:p>
        </w:tc>
        <w:tc>
          <w:tcPr>
            <w:tcW w:w="883" w:type="pct"/>
            <w:vAlign w:val="center"/>
          </w:tcPr>
          <w:p w14:paraId="2072683B">
            <w:pPr>
              <w:spacing w:line="240" w:lineRule="auto"/>
              <w:ind w:firstLine="0" w:firstLineChars="0"/>
              <w:jc w:val="center"/>
              <w:rPr>
                <w:color w:val="auto"/>
                <w:kern w:val="0"/>
                <w:sz w:val="21"/>
                <w:szCs w:val="21"/>
              </w:rPr>
            </w:pPr>
          </w:p>
        </w:tc>
        <w:tc>
          <w:tcPr>
            <w:tcW w:w="891" w:type="pct"/>
            <w:vAlign w:val="center"/>
          </w:tcPr>
          <w:p w14:paraId="60155515">
            <w:pPr>
              <w:spacing w:line="240" w:lineRule="auto"/>
              <w:ind w:firstLine="0" w:firstLineChars="0"/>
              <w:jc w:val="center"/>
              <w:rPr>
                <w:color w:val="auto"/>
                <w:kern w:val="0"/>
                <w:sz w:val="21"/>
                <w:szCs w:val="21"/>
              </w:rPr>
            </w:pPr>
          </w:p>
        </w:tc>
      </w:tr>
      <w:tr w14:paraId="4BC8DE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6B99A9A4">
            <w:pPr>
              <w:spacing w:line="240" w:lineRule="auto"/>
              <w:ind w:firstLine="0" w:firstLineChars="0"/>
              <w:jc w:val="center"/>
              <w:rPr>
                <w:color w:val="auto"/>
                <w:kern w:val="0"/>
                <w:sz w:val="21"/>
                <w:szCs w:val="21"/>
              </w:rPr>
            </w:pPr>
          </w:p>
        </w:tc>
        <w:tc>
          <w:tcPr>
            <w:tcW w:w="622" w:type="pct"/>
            <w:vAlign w:val="center"/>
          </w:tcPr>
          <w:p w14:paraId="010DF809">
            <w:pPr>
              <w:spacing w:line="240" w:lineRule="auto"/>
              <w:ind w:firstLine="0" w:firstLineChars="0"/>
              <w:jc w:val="center"/>
              <w:rPr>
                <w:color w:val="auto"/>
                <w:kern w:val="0"/>
                <w:sz w:val="21"/>
                <w:szCs w:val="21"/>
              </w:rPr>
            </w:pPr>
            <w:r>
              <w:rPr>
                <w:color w:val="auto"/>
                <w:kern w:val="0"/>
                <w:sz w:val="21"/>
                <w:szCs w:val="21"/>
              </w:rPr>
              <w:t>0.8H</w:t>
            </w:r>
          </w:p>
        </w:tc>
        <w:tc>
          <w:tcPr>
            <w:tcW w:w="1082" w:type="pct"/>
            <w:vAlign w:val="center"/>
          </w:tcPr>
          <w:p w14:paraId="0FF123B3">
            <w:pPr>
              <w:spacing w:line="240" w:lineRule="auto"/>
              <w:ind w:firstLine="0" w:firstLineChars="0"/>
              <w:jc w:val="center"/>
              <w:rPr>
                <w:color w:val="auto"/>
                <w:kern w:val="0"/>
                <w:sz w:val="21"/>
                <w:szCs w:val="21"/>
              </w:rPr>
            </w:pPr>
          </w:p>
        </w:tc>
        <w:tc>
          <w:tcPr>
            <w:tcW w:w="885" w:type="pct"/>
            <w:vAlign w:val="center"/>
          </w:tcPr>
          <w:p w14:paraId="30F346DF">
            <w:pPr>
              <w:spacing w:line="240" w:lineRule="auto"/>
              <w:ind w:firstLine="0" w:firstLineChars="0"/>
              <w:jc w:val="center"/>
              <w:rPr>
                <w:color w:val="auto"/>
                <w:kern w:val="0"/>
                <w:sz w:val="21"/>
                <w:szCs w:val="21"/>
              </w:rPr>
            </w:pPr>
          </w:p>
        </w:tc>
        <w:tc>
          <w:tcPr>
            <w:tcW w:w="883" w:type="pct"/>
            <w:vAlign w:val="center"/>
          </w:tcPr>
          <w:p w14:paraId="7FF2AADE">
            <w:pPr>
              <w:spacing w:line="240" w:lineRule="auto"/>
              <w:ind w:firstLine="0" w:firstLineChars="0"/>
              <w:jc w:val="center"/>
              <w:rPr>
                <w:color w:val="auto"/>
                <w:kern w:val="0"/>
                <w:sz w:val="21"/>
                <w:szCs w:val="21"/>
              </w:rPr>
            </w:pPr>
          </w:p>
        </w:tc>
        <w:tc>
          <w:tcPr>
            <w:tcW w:w="891" w:type="pct"/>
            <w:vAlign w:val="center"/>
          </w:tcPr>
          <w:p w14:paraId="1B9204A5">
            <w:pPr>
              <w:spacing w:line="240" w:lineRule="auto"/>
              <w:ind w:firstLine="0" w:firstLineChars="0"/>
              <w:jc w:val="center"/>
              <w:rPr>
                <w:color w:val="auto"/>
                <w:kern w:val="0"/>
                <w:sz w:val="21"/>
                <w:szCs w:val="21"/>
              </w:rPr>
            </w:pPr>
          </w:p>
        </w:tc>
      </w:tr>
      <w:tr w14:paraId="5FE736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74151C32">
            <w:pPr>
              <w:spacing w:line="240" w:lineRule="auto"/>
              <w:ind w:firstLine="0" w:firstLineChars="0"/>
              <w:jc w:val="center"/>
              <w:rPr>
                <w:color w:val="auto"/>
                <w:kern w:val="0"/>
                <w:sz w:val="21"/>
                <w:szCs w:val="21"/>
              </w:rPr>
            </w:pPr>
          </w:p>
        </w:tc>
        <w:tc>
          <w:tcPr>
            <w:tcW w:w="622" w:type="pct"/>
            <w:vAlign w:val="center"/>
          </w:tcPr>
          <w:p w14:paraId="68E7A4D2">
            <w:pPr>
              <w:spacing w:line="240" w:lineRule="auto"/>
              <w:ind w:firstLine="0" w:firstLineChars="0"/>
              <w:jc w:val="center"/>
              <w:rPr>
                <w:color w:val="auto"/>
                <w:kern w:val="0"/>
                <w:sz w:val="21"/>
                <w:szCs w:val="21"/>
              </w:rPr>
            </w:pPr>
            <w:r>
              <w:rPr>
                <w:color w:val="auto"/>
                <w:kern w:val="0"/>
                <w:sz w:val="21"/>
                <w:szCs w:val="21"/>
              </w:rPr>
              <w:t>底层</w:t>
            </w:r>
          </w:p>
        </w:tc>
        <w:tc>
          <w:tcPr>
            <w:tcW w:w="1082" w:type="pct"/>
            <w:vAlign w:val="center"/>
          </w:tcPr>
          <w:p w14:paraId="19AAF378">
            <w:pPr>
              <w:spacing w:line="240" w:lineRule="auto"/>
              <w:ind w:firstLine="0" w:firstLineChars="0"/>
              <w:jc w:val="center"/>
              <w:rPr>
                <w:color w:val="auto"/>
                <w:kern w:val="0"/>
                <w:sz w:val="21"/>
                <w:szCs w:val="21"/>
              </w:rPr>
            </w:pPr>
          </w:p>
        </w:tc>
        <w:tc>
          <w:tcPr>
            <w:tcW w:w="885" w:type="pct"/>
            <w:vAlign w:val="center"/>
          </w:tcPr>
          <w:p w14:paraId="4E4AFAA4">
            <w:pPr>
              <w:spacing w:line="240" w:lineRule="auto"/>
              <w:ind w:firstLine="0" w:firstLineChars="0"/>
              <w:jc w:val="center"/>
              <w:rPr>
                <w:color w:val="auto"/>
                <w:kern w:val="0"/>
                <w:sz w:val="21"/>
                <w:szCs w:val="21"/>
              </w:rPr>
            </w:pPr>
          </w:p>
        </w:tc>
        <w:tc>
          <w:tcPr>
            <w:tcW w:w="883" w:type="pct"/>
            <w:vAlign w:val="center"/>
          </w:tcPr>
          <w:p w14:paraId="2D7E3A53">
            <w:pPr>
              <w:spacing w:line="240" w:lineRule="auto"/>
              <w:ind w:firstLine="0" w:firstLineChars="0"/>
              <w:jc w:val="center"/>
              <w:rPr>
                <w:color w:val="auto"/>
                <w:kern w:val="0"/>
                <w:sz w:val="21"/>
                <w:szCs w:val="21"/>
              </w:rPr>
            </w:pPr>
          </w:p>
        </w:tc>
        <w:tc>
          <w:tcPr>
            <w:tcW w:w="891" w:type="pct"/>
            <w:vAlign w:val="center"/>
          </w:tcPr>
          <w:p w14:paraId="5E904656">
            <w:pPr>
              <w:spacing w:line="240" w:lineRule="auto"/>
              <w:ind w:firstLine="0" w:firstLineChars="0"/>
              <w:jc w:val="center"/>
              <w:rPr>
                <w:color w:val="auto"/>
                <w:kern w:val="0"/>
                <w:sz w:val="21"/>
                <w:szCs w:val="21"/>
              </w:rPr>
            </w:pPr>
          </w:p>
        </w:tc>
      </w:tr>
      <w:tr w14:paraId="777A24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441BC2E7">
            <w:pPr>
              <w:spacing w:line="240" w:lineRule="auto"/>
              <w:ind w:firstLine="0" w:firstLineChars="0"/>
              <w:jc w:val="center"/>
              <w:rPr>
                <w:color w:val="auto"/>
                <w:kern w:val="0"/>
                <w:sz w:val="21"/>
                <w:szCs w:val="21"/>
              </w:rPr>
            </w:pPr>
          </w:p>
        </w:tc>
        <w:tc>
          <w:tcPr>
            <w:tcW w:w="622" w:type="pct"/>
            <w:vAlign w:val="center"/>
          </w:tcPr>
          <w:p w14:paraId="7810ECF5">
            <w:pPr>
              <w:spacing w:line="240" w:lineRule="auto"/>
              <w:ind w:firstLine="0" w:firstLineChars="0"/>
              <w:jc w:val="center"/>
              <w:rPr>
                <w:color w:val="auto"/>
                <w:kern w:val="0"/>
                <w:sz w:val="21"/>
                <w:szCs w:val="21"/>
              </w:rPr>
            </w:pPr>
            <w:r>
              <w:rPr>
                <w:color w:val="auto"/>
                <w:kern w:val="0"/>
                <w:sz w:val="21"/>
                <w:szCs w:val="21"/>
              </w:rPr>
              <w:t>垂线</w:t>
            </w:r>
          </w:p>
        </w:tc>
        <w:tc>
          <w:tcPr>
            <w:tcW w:w="1082" w:type="pct"/>
            <w:vAlign w:val="center"/>
          </w:tcPr>
          <w:p w14:paraId="3C5F796D">
            <w:pPr>
              <w:spacing w:line="240" w:lineRule="auto"/>
              <w:ind w:firstLine="0" w:firstLineChars="0"/>
              <w:jc w:val="center"/>
              <w:rPr>
                <w:color w:val="auto"/>
                <w:kern w:val="0"/>
                <w:sz w:val="21"/>
                <w:szCs w:val="21"/>
              </w:rPr>
            </w:pPr>
          </w:p>
        </w:tc>
        <w:tc>
          <w:tcPr>
            <w:tcW w:w="885" w:type="pct"/>
            <w:vAlign w:val="center"/>
          </w:tcPr>
          <w:p w14:paraId="35C21F58">
            <w:pPr>
              <w:spacing w:line="240" w:lineRule="auto"/>
              <w:ind w:firstLine="0" w:firstLineChars="0"/>
              <w:jc w:val="center"/>
              <w:rPr>
                <w:color w:val="auto"/>
                <w:kern w:val="0"/>
                <w:sz w:val="21"/>
                <w:szCs w:val="21"/>
              </w:rPr>
            </w:pPr>
          </w:p>
        </w:tc>
        <w:tc>
          <w:tcPr>
            <w:tcW w:w="883" w:type="pct"/>
            <w:vAlign w:val="center"/>
          </w:tcPr>
          <w:p w14:paraId="73393727">
            <w:pPr>
              <w:spacing w:line="240" w:lineRule="auto"/>
              <w:ind w:firstLine="0" w:firstLineChars="0"/>
              <w:jc w:val="center"/>
              <w:rPr>
                <w:color w:val="auto"/>
                <w:kern w:val="0"/>
                <w:sz w:val="21"/>
                <w:szCs w:val="21"/>
              </w:rPr>
            </w:pPr>
          </w:p>
        </w:tc>
        <w:tc>
          <w:tcPr>
            <w:tcW w:w="891" w:type="pct"/>
            <w:vAlign w:val="center"/>
          </w:tcPr>
          <w:p w14:paraId="7505B83E">
            <w:pPr>
              <w:spacing w:line="240" w:lineRule="auto"/>
              <w:ind w:firstLine="0" w:firstLineChars="0"/>
              <w:jc w:val="center"/>
              <w:rPr>
                <w:color w:val="auto"/>
                <w:kern w:val="0"/>
                <w:sz w:val="21"/>
                <w:szCs w:val="21"/>
              </w:rPr>
            </w:pPr>
          </w:p>
        </w:tc>
      </w:tr>
      <w:tr w14:paraId="094198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restart"/>
            <w:vAlign w:val="center"/>
          </w:tcPr>
          <w:p w14:paraId="23C6C8FE">
            <w:pPr>
              <w:spacing w:line="240" w:lineRule="auto"/>
              <w:ind w:firstLine="0" w:firstLineChars="0"/>
              <w:jc w:val="center"/>
              <w:rPr>
                <w:color w:val="auto"/>
                <w:kern w:val="0"/>
                <w:sz w:val="21"/>
                <w:szCs w:val="21"/>
              </w:rPr>
            </w:pPr>
            <w:r>
              <w:rPr>
                <w:color w:val="auto"/>
                <w:kern w:val="0"/>
                <w:sz w:val="21"/>
                <w:szCs w:val="21"/>
              </w:rPr>
              <w:t>V9</w:t>
            </w:r>
          </w:p>
        </w:tc>
        <w:tc>
          <w:tcPr>
            <w:tcW w:w="622" w:type="pct"/>
            <w:vAlign w:val="center"/>
          </w:tcPr>
          <w:p w14:paraId="1C1974E5">
            <w:pPr>
              <w:spacing w:line="240" w:lineRule="auto"/>
              <w:ind w:firstLine="0" w:firstLineChars="0"/>
              <w:jc w:val="center"/>
              <w:rPr>
                <w:color w:val="auto"/>
                <w:kern w:val="0"/>
                <w:sz w:val="21"/>
                <w:szCs w:val="21"/>
              </w:rPr>
            </w:pPr>
            <w:r>
              <w:rPr>
                <w:color w:val="auto"/>
                <w:kern w:val="0"/>
                <w:sz w:val="21"/>
                <w:szCs w:val="21"/>
              </w:rPr>
              <w:t>表层</w:t>
            </w:r>
          </w:p>
        </w:tc>
        <w:tc>
          <w:tcPr>
            <w:tcW w:w="1082" w:type="pct"/>
            <w:vAlign w:val="center"/>
          </w:tcPr>
          <w:p w14:paraId="17A626A6">
            <w:pPr>
              <w:spacing w:line="240" w:lineRule="auto"/>
              <w:ind w:firstLine="0" w:firstLineChars="0"/>
              <w:jc w:val="center"/>
              <w:rPr>
                <w:color w:val="auto"/>
                <w:kern w:val="0"/>
                <w:sz w:val="21"/>
                <w:szCs w:val="21"/>
              </w:rPr>
            </w:pPr>
          </w:p>
        </w:tc>
        <w:tc>
          <w:tcPr>
            <w:tcW w:w="885" w:type="pct"/>
            <w:vAlign w:val="center"/>
          </w:tcPr>
          <w:p w14:paraId="5C255D49">
            <w:pPr>
              <w:spacing w:line="240" w:lineRule="auto"/>
              <w:ind w:firstLine="0" w:firstLineChars="0"/>
              <w:jc w:val="center"/>
              <w:rPr>
                <w:color w:val="auto"/>
                <w:kern w:val="0"/>
                <w:sz w:val="21"/>
                <w:szCs w:val="21"/>
              </w:rPr>
            </w:pPr>
          </w:p>
        </w:tc>
        <w:tc>
          <w:tcPr>
            <w:tcW w:w="883" w:type="pct"/>
            <w:vAlign w:val="center"/>
          </w:tcPr>
          <w:p w14:paraId="20788F17">
            <w:pPr>
              <w:spacing w:line="240" w:lineRule="auto"/>
              <w:ind w:firstLine="0" w:firstLineChars="0"/>
              <w:jc w:val="center"/>
              <w:rPr>
                <w:color w:val="auto"/>
                <w:kern w:val="0"/>
                <w:sz w:val="21"/>
                <w:szCs w:val="21"/>
              </w:rPr>
            </w:pPr>
          </w:p>
        </w:tc>
        <w:tc>
          <w:tcPr>
            <w:tcW w:w="891" w:type="pct"/>
            <w:vAlign w:val="center"/>
          </w:tcPr>
          <w:p w14:paraId="4C162977">
            <w:pPr>
              <w:spacing w:line="240" w:lineRule="auto"/>
              <w:ind w:firstLine="0" w:firstLineChars="0"/>
              <w:jc w:val="center"/>
              <w:rPr>
                <w:color w:val="auto"/>
                <w:kern w:val="0"/>
                <w:sz w:val="21"/>
                <w:szCs w:val="21"/>
              </w:rPr>
            </w:pPr>
          </w:p>
        </w:tc>
      </w:tr>
      <w:tr w14:paraId="7A8061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347E20D7">
            <w:pPr>
              <w:spacing w:line="240" w:lineRule="auto"/>
              <w:ind w:firstLine="0" w:firstLineChars="0"/>
              <w:jc w:val="center"/>
              <w:rPr>
                <w:color w:val="auto"/>
                <w:kern w:val="0"/>
                <w:sz w:val="21"/>
                <w:szCs w:val="21"/>
              </w:rPr>
            </w:pPr>
          </w:p>
        </w:tc>
        <w:tc>
          <w:tcPr>
            <w:tcW w:w="622" w:type="pct"/>
            <w:vAlign w:val="center"/>
          </w:tcPr>
          <w:p w14:paraId="65BEACC6">
            <w:pPr>
              <w:spacing w:line="240" w:lineRule="auto"/>
              <w:ind w:firstLine="0" w:firstLineChars="0"/>
              <w:jc w:val="center"/>
              <w:rPr>
                <w:color w:val="auto"/>
                <w:kern w:val="0"/>
                <w:sz w:val="21"/>
                <w:szCs w:val="21"/>
              </w:rPr>
            </w:pPr>
            <w:r>
              <w:rPr>
                <w:color w:val="auto"/>
                <w:kern w:val="0"/>
                <w:sz w:val="21"/>
                <w:szCs w:val="21"/>
              </w:rPr>
              <w:t>0.2H</w:t>
            </w:r>
          </w:p>
        </w:tc>
        <w:tc>
          <w:tcPr>
            <w:tcW w:w="1082" w:type="pct"/>
            <w:vAlign w:val="center"/>
          </w:tcPr>
          <w:p w14:paraId="5EF70B82">
            <w:pPr>
              <w:spacing w:line="240" w:lineRule="auto"/>
              <w:ind w:firstLine="0" w:firstLineChars="0"/>
              <w:jc w:val="center"/>
              <w:rPr>
                <w:color w:val="auto"/>
                <w:kern w:val="0"/>
                <w:sz w:val="21"/>
                <w:szCs w:val="21"/>
              </w:rPr>
            </w:pPr>
          </w:p>
        </w:tc>
        <w:tc>
          <w:tcPr>
            <w:tcW w:w="885" w:type="pct"/>
            <w:vAlign w:val="center"/>
          </w:tcPr>
          <w:p w14:paraId="4681636D">
            <w:pPr>
              <w:spacing w:line="240" w:lineRule="auto"/>
              <w:ind w:firstLine="0" w:firstLineChars="0"/>
              <w:jc w:val="center"/>
              <w:rPr>
                <w:color w:val="auto"/>
                <w:kern w:val="0"/>
                <w:sz w:val="21"/>
                <w:szCs w:val="21"/>
              </w:rPr>
            </w:pPr>
          </w:p>
        </w:tc>
        <w:tc>
          <w:tcPr>
            <w:tcW w:w="883" w:type="pct"/>
            <w:vAlign w:val="center"/>
          </w:tcPr>
          <w:p w14:paraId="6CD02755">
            <w:pPr>
              <w:spacing w:line="240" w:lineRule="auto"/>
              <w:ind w:firstLine="0" w:firstLineChars="0"/>
              <w:jc w:val="center"/>
              <w:rPr>
                <w:color w:val="auto"/>
                <w:kern w:val="0"/>
                <w:sz w:val="21"/>
                <w:szCs w:val="21"/>
              </w:rPr>
            </w:pPr>
          </w:p>
        </w:tc>
        <w:tc>
          <w:tcPr>
            <w:tcW w:w="891" w:type="pct"/>
            <w:vAlign w:val="center"/>
          </w:tcPr>
          <w:p w14:paraId="0881E6D0">
            <w:pPr>
              <w:spacing w:line="240" w:lineRule="auto"/>
              <w:ind w:firstLine="0" w:firstLineChars="0"/>
              <w:jc w:val="center"/>
              <w:rPr>
                <w:color w:val="auto"/>
                <w:kern w:val="0"/>
                <w:sz w:val="21"/>
                <w:szCs w:val="21"/>
              </w:rPr>
            </w:pPr>
          </w:p>
        </w:tc>
      </w:tr>
      <w:tr w14:paraId="14E378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2A2EFDF7">
            <w:pPr>
              <w:spacing w:line="240" w:lineRule="auto"/>
              <w:ind w:firstLine="0" w:firstLineChars="0"/>
              <w:jc w:val="center"/>
              <w:rPr>
                <w:color w:val="auto"/>
                <w:kern w:val="0"/>
                <w:sz w:val="21"/>
                <w:szCs w:val="21"/>
              </w:rPr>
            </w:pPr>
          </w:p>
        </w:tc>
        <w:tc>
          <w:tcPr>
            <w:tcW w:w="622" w:type="pct"/>
            <w:vAlign w:val="center"/>
          </w:tcPr>
          <w:p w14:paraId="67D1AC7E">
            <w:pPr>
              <w:spacing w:line="240" w:lineRule="auto"/>
              <w:ind w:firstLine="0" w:firstLineChars="0"/>
              <w:jc w:val="center"/>
              <w:rPr>
                <w:color w:val="auto"/>
                <w:kern w:val="0"/>
                <w:sz w:val="21"/>
                <w:szCs w:val="21"/>
              </w:rPr>
            </w:pPr>
            <w:r>
              <w:rPr>
                <w:color w:val="auto"/>
                <w:kern w:val="0"/>
                <w:sz w:val="21"/>
                <w:szCs w:val="21"/>
              </w:rPr>
              <w:t>0.4H</w:t>
            </w:r>
          </w:p>
        </w:tc>
        <w:tc>
          <w:tcPr>
            <w:tcW w:w="1082" w:type="pct"/>
            <w:vAlign w:val="center"/>
          </w:tcPr>
          <w:p w14:paraId="71D34DB7">
            <w:pPr>
              <w:spacing w:line="240" w:lineRule="auto"/>
              <w:ind w:firstLine="0" w:firstLineChars="0"/>
              <w:jc w:val="center"/>
              <w:rPr>
                <w:color w:val="auto"/>
                <w:kern w:val="0"/>
                <w:sz w:val="21"/>
                <w:szCs w:val="21"/>
              </w:rPr>
            </w:pPr>
          </w:p>
        </w:tc>
        <w:tc>
          <w:tcPr>
            <w:tcW w:w="885" w:type="pct"/>
            <w:vAlign w:val="center"/>
          </w:tcPr>
          <w:p w14:paraId="52594D8E">
            <w:pPr>
              <w:spacing w:line="240" w:lineRule="auto"/>
              <w:ind w:firstLine="0" w:firstLineChars="0"/>
              <w:jc w:val="center"/>
              <w:rPr>
                <w:color w:val="auto"/>
                <w:kern w:val="0"/>
                <w:sz w:val="21"/>
                <w:szCs w:val="21"/>
              </w:rPr>
            </w:pPr>
          </w:p>
        </w:tc>
        <w:tc>
          <w:tcPr>
            <w:tcW w:w="883" w:type="pct"/>
            <w:vAlign w:val="center"/>
          </w:tcPr>
          <w:p w14:paraId="470125F7">
            <w:pPr>
              <w:spacing w:line="240" w:lineRule="auto"/>
              <w:ind w:firstLine="0" w:firstLineChars="0"/>
              <w:jc w:val="center"/>
              <w:rPr>
                <w:color w:val="auto"/>
                <w:kern w:val="0"/>
                <w:sz w:val="21"/>
                <w:szCs w:val="21"/>
              </w:rPr>
            </w:pPr>
          </w:p>
        </w:tc>
        <w:tc>
          <w:tcPr>
            <w:tcW w:w="891" w:type="pct"/>
            <w:vAlign w:val="center"/>
          </w:tcPr>
          <w:p w14:paraId="121A455B">
            <w:pPr>
              <w:spacing w:line="240" w:lineRule="auto"/>
              <w:ind w:firstLine="0" w:firstLineChars="0"/>
              <w:jc w:val="center"/>
              <w:rPr>
                <w:color w:val="auto"/>
                <w:kern w:val="0"/>
                <w:sz w:val="21"/>
                <w:szCs w:val="21"/>
              </w:rPr>
            </w:pPr>
          </w:p>
        </w:tc>
      </w:tr>
      <w:tr w14:paraId="53A1CC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759726F4">
            <w:pPr>
              <w:spacing w:line="240" w:lineRule="auto"/>
              <w:ind w:firstLine="0" w:firstLineChars="0"/>
              <w:jc w:val="center"/>
              <w:rPr>
                <w:color w:val="auto"/>
                <w:kern w:val="0"/>
                <w:sz w:val="21"/>
                <w:szCs w:val="21"/>
              </w:rPr>
            </w:pPr>
          </w:p>
        </w:tc>
        <w:tc>
          <w:tcPr>
            <w:tcW w:w="622" w:type="pct"/>
            <w:vAlign w:val="center"/>
          </w:tcPr>
          <w:p w14:paraId="42BE4B83">
            <w:pPr>
              <w:spacing w:line="240" w:lineRule="auto"/>
              <w:ind w:firstLine="0" w:firstLineChars="0"/>
              <w:jc w:val="center"/>
              <w:rPr>
                <w:color w:val="auto"/>
                <w:kern w:val="0"/>
                <w:sz w:val="21"/>
                <w:szCs w:val="21"/>
              </w:rPr>
            </w:pPr>
            <w:r>
              <w:rPr>
                <w:color w:val="auto"/>
                <w:kern w:val="0"/>
                <w:sz w:val="21"/>
                <w:szCs w:val="21"/>
              </w:rPr>
              <w:t>0.6H</w:t>
            </w:r>
          </w:p>
        </w:tc>
        <w:tc>
          <w:tcPr>
            <w:tcW w:w="1082" w:type="pct"/>
            <w:vAlign w:val="center"/>
          </w:tcPr>
          <w:p w14:paraId="1963B796">
            <w:pPr>
              <w:spacing w:line="240" w:lineRule="auto"/>
              <w:ind w:firstLine="0" w:firstLineChars="0"/>
              <w:jc w:val="center"/>
              <w:rPr>
                <w:color w:val="auto"/>
                <w:kern w:val="0"/>
                <w:sz w:val="21"/>
                <w:szCs w:val="21"/>
              </w:rPr>
            </w:pPr>
          </w:p>
        </w:tc>
        <w:tc>
          <w:tcPr>
            <w:tcW w:w="885" w:type="pct"/>
            <w:vAlign w:val="center"/>
          </w:tcPr>
          <w:p w14:paraId="2186A48D">
            <w:pPr>
              <w:spacing w:line="240" w:lineRule="auto"/>
              <w:ind w:firstLine="0" w:firstLineChars="0"/>
              <w:jc w:val="center"/>
              <w:rPr>
                <w:color w:val="auto"/>
                <w:kern w:val="0"/>
                <w:sz w:val="21"/>
                <w:szCs w:val="21"/>
              </w:rPr>
            </w:pPr>
          </w:p>
        </w:tc>
        <w:tc>
          <w:tcPr>
            <w:tcW w:w="883" w:type="pct"/>
            <w:vAlign w:val="center"/>
          </w:tcPr>
          <w:p w14:paraId="45636B65">
            <w:pPr>
              <w:spacing w:line="240" w:lineRule="auto"/>
              <w:ind w:firstLine="0" w:firstLineChars="0"/>
              <w:jc w:val="center"/>
              <w:rPr>
                <w:color w:val="auto"/>
                <w:kern w:val="0"/>
                <w:sz w:val="21"/>
                <w:szCs w:val="21"/>
              </w:rPr>
            </w:pPr>
          </w:p>
        </w:tc>
        <w:tc>
          <w:tcPr>
            <w:tcW w:w="891" w:type="pct"/>
            <w:vAlign w:val="center"/>
          </w:tcPr>
          <w:p w14:paraId="121BE80C">
            <w:pPr>
              <w:spacing w:line="240" w:lineRule="auto"/>
              <w:ind w:firstLine="0" w:firstLineChars="0"/>
              <w:jc w:val="center"/>
              <w:rPr>
                <w:color w:val="auto"/>
                <w:kern w:val="0"/>
                <w:sz w:val="21"/>
                <w:szCs w:val="21"/>
              </w:rPr>
            </w:pPr>
          </w:p>
        </w:tc>
      </w:tr>
      <w:tr w14:paraId="7D94BC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012E6666">
            <w:pPr>
              <w:spacing w:line="240" w:lineRule="auto"/>
              <w:ind w:firstLine="0" w:firstLineChars="0"/>
              <w:jc w:val="center"/>
              <w:rPr>
                <w:color w:val="auto"/>
                <w:kern w:val="0"/>
                <w:sz w:val="21"/>
                <w:szCs w:val="21"/>
              </w:rPr>
            </w:pPr>
          </w:p>
        </w:tc>
        <w:tc>
          <w:tcPr>
            <w:tcW w:w="622" w:type="pct"/>
            <w:vAlign w:val="center"/>
          </w:tcPr>
          <w:p w14:paraId="6C1B171E">
            <w:pPr>
              <w:spacing w:line="240" w:lineRule="auto"/>
              <w:ind w:firstLine="0" w:firstLineChars="0"/>
              <w:jc w:val="center"/>
              <w:rPr>
                <w:color w:val="auto"/>
                <w:kern w:val="0"/>
                <w:sz w:val="21"/>
                <w:szCs w:val="21"/>
              </w:rPr>
            </w:pPr>
            <w:r>
              <w:rPr>
                <w:color w:val="auto"/>
                <w:kern w:val="0"/>
                <w:sz w:val="21"/>
                <w:szCs w:val="21"/>
              </w:rPr>
              <w:t>0.8H</w:t>
            </w:r>
          </w:p>
        </w:tc>
        <w:tc>
          <w:tcPr>
            <w:tcW w:w="1082" w:type="pct"/>
            <w:vAlign w:val="center"/>
          </w:tcPr>
          <w:p w14:paraId="6652BF5A">
            <w:pPr>
              <w:spacing w:line="240" w:lineRule="auto"/>
              <w:ind w:firstLine="0" w:firstLineChars="0"/>
              <w:jc w:val="center"/>
              <w:rPr>
                <w:color w:val="auto"/>
                <w:kern w:val="0"/>
                <w:sz w:val="21"/>
                <w:szCs w:val="21"/>
              </w:rPr>
            </w:pPr>
          </w:p>
        </w:tc>
        <w:tc>
          <w:tcPr>
            <w:tcW w:w="885" w:type="pct"/>
            <w:vAlign w:val="center"/>
          </w:tcPr>
          <w:p w14:paraId="0F83C2D4">
            <w:pPr>
              <w:spacing w:line="240" w:lineRule="auto"/>
              <w:ind w:firstLine="0" w:firstLineChars="0"/>
              <w:jc w:val="center"/>
              <w:rPr>
                <w:color w:val="auto"/>
                <w:kern w:val="0"/>
                <w:sz w:val="21"/>
                <w:szCs w:val="21"/>
              </w:rPr>
            </w:pPr>
          </w:p>
        </w:tc>
        <w:tc>
          <w:tcPr>
            <w:tcW w:w="883" w:type="pct"/>
            <w:vAlign w:val="center"/>
          </w:tcPr>
          <w:p w14:paraId="4CD5FE68">
            <w:pPr>
              <w:spacing w:line="240" w:lineRule="auto"/>
              <w:ind w:firstLine="0" w:firstLineChars="0"/>
              <w:jc w:val="center"/>
              <w:rPr>
                <w:color w:val="auto"/>
                <w:kern w:val="0"/>
                <w:sz w:val="21"/>
                <w:szCs w:val="21"/>
              </w:rPr>
            </w:pPr>
          </w:p>
        </w:tc>
        <w:tc>
          <w:tcPr>
            <w:tcW w:w="891" w:type="pct"/>
            <w:vAlign w:val="center"/>
          </w:tcPr>
          <w:p w14:paraId="488DA8E2">
            <w:pPr>
              <w:spacing w:line="240" w:lineRule="auto"/>
              <w:ind w:firstLine="0" w:firstLineChars="0"/>
              <w:jc w:val="center"/>
              <w:rPr>
                <w:color w:val="auto"/>
                <w:kern w:val="0"/>
                <w:sz w:val="21"/>
                <w:szCs w:val="21"/>
              </w:rPr>
            </w:pPr>
          </w:p>
        </w:tc>
      </w:tr>
      <w:tr w14:paraId="26FD6F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4E0D384D">
            <w:pPr>
              <w:spacing w:line="240" w:lineRule="auto"/>
              <w:ind w:firstLine="0" w:firstLineChars="0"/>
              <w:jc w:val="center"/>
              <w:rPr>
                <w:color w:val="auto"/>
                <w:kern w:val="0"/>
                <w:sz w:val="21"/>
                <w:szCs w:val="21"/>
              </w:rPr>
            </w:pPr>
          </w:p>
        </w:tc>
        <w:tc>
          <w:tcPr>
            <w:tcW w:w="622" w:type="pct"/>
            <w:vAlign w:val="center"/>
          </w:tcPr>
          <w:p w14:paraId="6C35BD4F">
            <w:pPr>
              <w:spacing w:line="240" w:lineRule="auto"/>
              <w:ind w:firstLine="0" w:firstLineChars="0"/>
              <w:jc w:val="center"/>
              <w:rPr>
                <w:color w:val="auto"/>
                <w:kern w:val="0"/>
                <w:sz w:val="21"/>
                <w:szCs w:val="21"/>
              </w:rPr>
            </w:pPr>
            <w:r>
              <w:rPr>
                <w:color w:val="auto"/>
                <w:kern w:val="0"/>
                <w:sz w:val="21"/>
                <w:szCs w:val="21"/>
              </w:rPr>
              <w:t>底层</w:t>
            </w:r>
          </w:p>
        </w:tc>
        <w:tc>
          <w:tcPr>
            <w:tcW w:w="1082" w:type="pct"/>
            <w:vAlign w:val="center"/>
          </w:tcPr>
          <w:p w14:paraId="64AC69A5">
            <w:pPr>
              <w:spacing w:line="240" w:lineRule="auto"/>
              <w:ind w:firstLine="0" w:firstLineChars="0"/>
              <w:jc w:val="center"/>
              <w:rPr>
                <w:color w:val="auto"/>
                <w:kern w:val="0"/>
                <w:sz w:val="21"/>
                <w:szCs w:val="21"/>
              </w:rPr>
            </w:pPr>
          </w:p>
        </w:tc>
        <w:tc>
          <w:tcPr>
            <w:tcW w:w="885" w:type="pct"/>
            <w:vAlign w:val="center"/>
          </w:tcPr>
          <w:p w14:paraId="455DD926">
            <w:pPr>
              <w:spacing w:line="240" w:lineRule="auto"/>
              <w:ind w:firstLine="0" w:firstLineChars="0"/>
              <w:jc w:val="center"/>
              <w:rPr>
                <w:color w:val="auto"/>
                <w:kern w:val="0"/>
                <w:sz w:val="21"/>
                <w:szCs w:val="21"/>
              </w:rPr>
            </w:pPr>
          </w:p>
        </w:tc>
        <w:tc>
          <w:tcPr>
            <w:tcW w:w="883" w:type="pct"/>
            <w:vAlign w:val="center"/>
          </w:tcPr>
          <w:p w14:paraId="3C606A76">
            <w:pPr>
              <w:spacing w:line="240" w:lineRule="auto"/>
              <w:ind w:firstLine="0" w:firstLineChars="0"/>
              <w:jc w:val="center"/>
              <w:rPr>
                <w:color w:val="auto"/>
                <w:kern w:val="0"/>
                <w:sz w:val="21"/>
                <w:szCs w:val="21"/>
              </w:rPr>
            </w:pPr>
          </w:p>
        </w:tc>
        <w:tc>
          <w:tcPr>
            <w:tcW w:w="891" w:type="pct"/>
            <w:vAlign w:val="center"/>
          </w:tcPr>
          <w:p w14:paraId="59E0FAAC">
            <w:pPr>
              <w:spacing w:line="240" w:lineRule="auto"/>
              <w:ind w:firstLine="0" w:firstLineChars="0"/>
              <w:jc w:val="center"/>
              <w:rPr>
                <w:color w:val="auto"/>
                <w:kern w:val="0"/>
                <w:sz w:val="21"/>
                <w:szCs w:val="21"/>
              </w:rPr>
            </w:pPr>
          </w:p>
        </w:tc>
      </w:tr>
      <w:tr w14:paraId="1F2C6F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35" w:type="pct"/>
            <w:vMerge w:val="continue"/>
            <w:vAlign w:val="center"/>
          </w:tcPr>
          <w:p w14:paraId="639C1162">
            <w:pPr>
              <w:spacing w:line="240" w:lineRule="auto"/>
              <w:ind w:firstLine="0" w:firstLineChars="0"/>
              <w:jc w:val="center"/>
              <w:rPr>
                <w:color w:val="auto"/>
                <w:kern w:val="0"/>
                <w:sz w:val="21"/>
                <w:szCs w:val="21"/>
              </w:rPr>
            </w:pPr>
          </w:p>
        </w:tc>
        <w:tc>
          <w:tcPr>
            <w:tcW w:w="622" w:type="pct"/>
            <w:vAlign w:val="center"/>
          </w:tcPr>
          <w:p w14:paraId="7553CDBE">
            <w:pPr>
              <w:spacing w:line="240" w:lineRule="auto"/>
              <w:ind w:firstLine="0" w:firstLineChars="0"/>
              <w:jc w:val="center"/>
              <w:rPr>
                <w:color w:val="auto"/>
                <w:kern w:val="0"/>
                <w:sz w:val="21"/>
                <w:szCs w:val="21"/>
              </w:rPr>
            </w:pPr>
            <w:r>
              <w:rPr>
                <w:color w:val="auto"/>
                <w:kern w:val="0"/>
                <w:sz w:val="21"/>
                <w:szCs w:val="21"/>
              </w:rPr>
              <w:t>垂线</w:t>
            </w:r>
          </w:p>
        </w:tc>
        <w:tc>
          <w:tcPr>
            <w:tcW w:w="1082" w:type="pct"/>
            <w:vAlign w:val="center"/>
          </w:tcPr>
          <w:p w14:paraId="2B08D681">
            <w:pPr>
              <w:spacing w:line="240" w:lineRule="auto"/>
              <w:ind w:firstLine="0" w:firstLineChars="0"/>
              <w:jc w:val="center"/>
              <w:rPr>
                <w:color w:val="auto"/>
                <w:kern w:val="0"/>
                <w:sz w:val="21"/>
                <w:szCs w:val="21"/>
              </w:rPr>
            </w:pPr>
          </w:p>
        </w:tc>
        <w:tc>
          <w:tcPr>
            <w:tcW w:w="885" w:type="pct"/>
            <w:vAlign w:val="center"/>
          </w:tcPr>
          <w:p w14:paraId="0D19DCAC">
            <w:pPr>
              <w:spacing w:line="240" w:lineRule="auto"/>
              <w:ind w:firstLine="0" w:firstLineChars="0"/>
              <w:jc w:val="center"/>
              <w:rPr>
                <w:color w:val="auto"/>
                <w:kern w:val="0"/>
                <w:sz w:val="21"/>
                <w:szCs w:val="21"/>
              </w:rPr>
            </w:pPr>
          </w:p>
        </w:tc>
        <w:tc>
          <w:tcPr>
            <w:tcW w:w="883" w:type="pct"/>
            <w:vAlign w:val="center"/>
          </w:tcPr>
          <w:p w14:paraId="343362BD">
            <w:pPr>
              <w:spacing w:line="240" w:lineRule="auto"/>
              <w:ind w:firstLine="0" w:firstLineChars="0"/>
              <w:jc w:val="center"/>
              <w:rPr>
                <w:color w:val="auto"/>
                <w:kern w:val="0"/>
                <w:sz w:val="21"/>
                <w:szCs w:val="21"/>
              </w:rPr>
            </w:pPr>
          </w:p>
        </w:tc>
        <w:tc>
          <w:tcPr>
            <w:tcW w:w="891" w:type="pct"/>
            <w:vAlign w:val="center"/>
          </w:tcPr>
          <w:p w14:paraId="325FC59A">
            <w:pPr>
              <w:spacing w:line="240" w:lineRule="auto"/>
              <w:ind w:firstLine="0" w:firstLineChars="0"/>
              <w:jc w:val="center"/>
              <w:rPr>
                <w:color w:val="auto"/>
                <w:kern w:val="0"/>
                <w:sz w:val="21"/>
                <w:szCs w:val="21"/>
              </w:rPr>
            </w:pPr>
          </w:p>
        </w:tc>
      </w:tr>
    </w:tbl>
    <w:p w14:paraId="06C6F0B1">
      <w:pPr>
        <w:spacing w:line="120" w:lineRule="exact"/>
        <w:ind w:firstLine="0" w:firstLineChars="0"/>
        <w:jc w:val="center"/>
        <w:rPr>
          <w:color w:val="auto"/>
          <w:kern w:val="0"/>
          <w:sz w:val="10"/>
          <w:szCs w:val="4"/>
        </w:rPr>
      </w:pPr>
    </w:p>
    <w:tbl>
      <w:tblPr>
        <w:tblStyle w:val="43"/>
        <w:tblW w:w="5000" w:type="pct"/>
        <w:tblInd w:w="0" w:type="dxa"/>
        <w:tblLayout w:type="autofit"/>
        <w:tblCellMar>
          <w:top w:w="0" w:type="dxa"/>
          <w:left w:w="108" w:type="dxa"/>
          <w:bottom w:w="0" w:type="dxa"/>
          <w:right w:w="108" w:type="dxa"/>
        </w:tblCellMar>
      </w:tblPr>
      <w:tblGrid>
        <w:gridCol w:w="4785"/>
        <w:gridCol w:w="4785"/>
      </w:tblGrid>
      <w:tr w14:paraId="5C0196A0">
        <w:tblPrEx>
          <w:tblCellMar>
            <w:top w:w="0" w:type="dxa"/>
            <w:left w:w="108" w:type="dxa"/>
            <w:bottom w:w="0" w:type="dxa"/>
            <w:right w:w="108" w:type="dxa"/>
          </w:tblCellMar>
        </w:tblPrEx>
        <w:tc>
          <w:tcPr>
            <w:tcW w:w="2500" w:type="pct"/>
            <w:vAlign w:val="center"/>
          </w:tcPr>
          <w:p w14:paraId="190C59AB">
            <w:pPr>
              <w:keepNext w:val="0"/>
              <w:keepLines w:val="0"/>
              <w:suppressLineNumbers w:val="0"/>
              <w:spacing w:before="0" w:beforeAutospacing="0" w:after="0" w:afterAutospacing="0"/>
              <w:ind w:left="0" w:right="0" w:firstLine="0" w:firstLineChars="0"/>
              <w:jc w:val="center"/>
              <w:rPr>
                <w:rFonts w:hint="default"/>
                <w:color w:val="auto"/>
                <w:kern w:val="0"/>
                <w:szCs w:val="20"/>
              </w:rPr>
            </w:pPr>
            <w:r>
              <w:rPr>
                <w:rFonts w:hint="default"/>
                <w:color w:val="auto"/>
                <w:kern w:val="0"/>
                <w:szCs w:val="20"/>
              </w:rPr>
              <w:drawing>
                <wp:inline distT="0" distB="0" distL="0" distR="0">
                  <wp:extent cx="2752725" cy="253365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2752725" cy="2533650"/>
                          </a:xfrm>
                          <a:prstGeom prst="rect">
                            <a:avLst/>
                          </a:prstGeom>
                          <a:noFill/>
                          <a:ln>
                            <a:noFill/>
                          </a:ln>
                          <a:effectLst/>
                        </pic:spPr>
                      </pic:pic>
                    </a:graphicData>
                  </a:graphic>
                </wp:inline>
              </w:drawing>
            </w:r>
          </w:p>
        </w:tc>
        <w:tc>
          <w:tcPr>
            <w:tcW w:w="2500" w:type="pct"/>
            <w:vAlign w:val="center"/>
          </w:tcPr>
          <w:p w14:paraId="09D8C4C6">
            <w:pPr>
              <w:keepNext w:val="0"/>
              <w:keepLines w:val="0"/>
              <w:suppressLineNumbers w:val="0"/>
              <w:spacing w:before="0" w:beforeAutospacing="0" w:after="0" w:afterAutospacing="0"/>
              <w:ind w:left="0" w:right="0" w:firstLine="0" w:firstLineChars="0"/>
              <w:jc w:val="center"/>
              <w:rPr>
                <w:rFonts w:hint="default"/>
                <w:color w:val="auto"/>
                <w:kern w:val="0"/>
                <w:szCs w:val="20"/>
              </w:rPr>
            </w:pPr>
            <w:r>
              <w:rPr>
                <w:rFonts w:hint="default"/>
                <w:color w:val="auto"/>
                <w:kern w:val="0"/>
                <w:szCs w:val="20"/>
              </w:rPr>
              <w:drawing>
                <wp:inline distT="0" distB="0" distL="0" distR="0">
                  <wp:extent cx="2781300" cy="25336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2781300" cy="2533650"/>
                          </a:xfrm>
                          <a:prstGeom prst="rect">
                            <a:avLst/>
                          </a:prstGeom>
                          <a:noFill/>
                          <a:ln>
                            <a:noFill/>
                          </a:ln>
                        </pic:spPr>
                      </pic:pic>
                    </a:graphicData>
                  </a:graphic>
                </wp:inline>
              </w:drawing>
            </w:r>
          </w:p>
        </w:tc>
      </w:tr>
    </w:tbl>
    <w:p w14:paraId="43FC68E4">
      <w:pPr>
        <w:spacing w:line="240" w:lineRule="auto"/>
        <w:ind w:firstLine="2160" w:firstLineChars="900"/>
        <w:rPr>
          <w:color w:val="auto"/>
          <w:kern w:val="0"/>
          <w:szCs w:val="20"/>
        </w:rPr>
      </w:pPr>
      <w:r>
        <w:rPr>
          <w:color w:val="auto"/>
          <w:kern w:val="0"/>
          <w:szCs w:val="20"/>
        </w:rPr>
        <w:t>小潮大潮</w:t>
      </w:r>
    </w:p>
    <w:p w14:paraId="4550DAD4">
      <w:pPr>
        <w:pStyle w:val="14"/>
        <w:rPr>
          <w:b w:val="0"/>
          <w:color w:val="auto"/>
        </w:rPr>
      </w:pPr>
      <w:r>
        <w:rPr>
          <w:rFonts w:hint="eastAsia"/>
          <w:color w:val="auto"/>
        </w:rPr>
        <w:t>图</w:t>
      </w:r>
      <w:r>
        <w:rPr>
          <w:color w:val="auto"/>
        </w:rPr>
        <w:t>3.7</w:t>
      </w:r>
      <w:r>
        <w:rPr>
          <w:color w:val="auto"/>
        </w:rPr>
        <w:noBreakHyphen/>
      </w:r>
      <w:r>
        <w:rPr>
          <w:color w:val="auto"/>
        </w:rPr>
        <w:t>7各潮流站垂线平均余流矢量图</w:t>
      </w:r>
    </w:p>
    <w:p w14:paraId="49E7D55A">
      <w:pPr>
        <w:ind w:firstLine="480"/>
        <w:rPr>
          <w:snapToGrid w:val="0"/>
          <w:color w:val="auto"/>
        </w:rPr>
        <w:sectPr>
          <w:headerReference r:id="rId31" w:type="default"/>
          <w:pgSz w:w="11906" w:h="16838"/>
          <w:pgMar w:top="1440" w:right="1134" w:bottom="1440" w:left="1418" w:header="851" w:footer="680" w:gutter="0"/>
          <w:cols w:space="720" w:num="1"/>
          <w:docGrid w:type="lines" w:linePitch="312" w:charSpace="0"/>
        </w:sectPr>
      </w:pPr>
    </w:p>
    <w:p w14:paraId="5DF0AB78">
      <w:pPr>
        <w:pStyle w:val="3"/>
        <w:rPr>
          <w:color w:val="auto"/>
        </w:rPr>
      </w:pPr>
      <w:bookmarkStart w:id="482" w:name="_Toc223595770"/>
      <w:bookmarkStart w:id="483" w:name="_Toc223258479"/>
      <w:r>
        <w:rPr>
          <w:color w:val="auto"/>
        </w:rPr>
        <w:t>环境影响预测与评价</w:t>
      </w:r>
      <w:bookmarkEnd w:id="482"/>
      <w:bookmarkEnd w:id="483"/>
    </w:p>
    <w:p w14:paraId="74EF0943">
      <w:pPr>
        <w:ind w:firstLine="480"/>
        <w:rPr>
          <w:color w:val="auto"/>
        </w:rPr>
      </w:pPr>
      <w:r>
        <w:rPr>
          <w:rFonts w:hint="eastAsia"/>
          <w:color w:val="auto"/>
        </w:rPr>
        <w:t>本次</w:t>
      </w:r>
      <w:r>
        <w:rPr>
          <w:color w:val="auto"/>
        </w:rPr>
        <w:t>扩建项目为码头及库区新增货种，</w:t>
      </w:r>
      <w:r>
        <w:rPr>
          <w:rFonts w:hint="eastAsia"/>
          <w:color w:val="auto"/>
        </w:rPr>
        <w:t>主要</w:t>
      </w:r>
      <w:r>
        <w:rPr>
          <w:color w:val="auto"/>
        </w:rPr>
        <w:t>新增的设施为</w:t>
      </w:r>
      <w:r>
        <w:rPr>
          <w:rFonts w:hint="eastAsia"/>
          <w:color w:val="auto"/>
        </w:rPr>
        <w:t>1条长约56</w:t>
      </w:r>
      <w:r>
        <w:rPr>
          <w:color w:val="auto"/>
        </w:rPr>
        <w:t>m的管道</w:t>
      </w:r>
      <w:r>
        <w:rPr>
          <w:rFonts w:hint="eastAsia"/>
          <w:color w:val="auto"/>
        </w:rPr>
        <w:t>，</w:t>
      </w:r>
      <w:r>
        <w:rPr>
          <w:color w:val="auto"/>
        </w:rPr>
        <w:t>从</w:t>
      </w:r>
      <w:r>
        <w:rPr>
          <w:rFonts w:hint="eastAsia"/>
          <w:color w:val="auto"/>
        </w:rPr>
        <w:t>库区汽油泵棚输送泵P301/1、2泵出口处新增一条DN150管道跨接至柴油长输线（DN150），该管道已经施工完成，且施工工程量较小</w:t>
      </w:r>
      <w:r>
        <w:rPr>
          <w:color w:val="auto"/>
        </w:rPr>
        <w:t>，施工</w:t>
      </w:r>
      <w:r>
        <w:rPr>
          <w:rFonts w:hint="eastAsia"/>
          <w:color w:val="auto"/>
        </w:rPr>
        <w:t>结束</w:t>
      </w:r>
      <w:r>
        <w:rPr>
          <w:color w:val="auto"/>
        </w:rPr>
        <w:t>后影响</w:t>
      </w:r>
      <w:r>
        <w:rPr>
          <w:rFonts w:hint="eastAsia"/>
          <w:color w:val="auto"/>
        </w:rPr>
        <w:t>随之消失。因此，本次</w:t>
      </w:r>
      <w:r>
        <w:rPr>
          <w:color w:val="auto"/>
        </w:rPr>
        <w:t>评价</w:t>
      </w:r>
      <w:r>
        <w:rPr>
          <w:rFonts w:hint="eastAsia"/>
          <w:color w:val="auto"/>
        </w:rPr>
        <w:t>主要针对</w:t>
      </w:r>
      <w:r>
        <w:rPr>
          <w:color w:val="auto"/>
        </w:rPr>
        <w:t>运营期</w:t>
      </w:r>
      <w:r>
        <w:rPr>
          <w:rFonts w:hint="eastAsia"/>
          <w:color w:val="auto"/>
        </w:rPr>
        <w:t>产生</w:t>
      </w:r>
      <w:r>
        <w:rPr>
          <w:color w:val="auto"/>
        </w:rPr>
        <w:t>的影响</w:t>
      </w:r>
      <w:r>
        <w:rPr>
          <w:rFonts w:hint="eastAsia"/>
          <w:color w:val="auto"/>
        </w:rPr>
        <w:t>进行</w:t>
      </w:r>
      <w:r>
        <w:rPr>
          <w:color w:val="auto"/>
        </w:rPr>
        <w:t>分析</w:t>
      </w:r>
      <w:r>
        <w:rPr>
          <w:rFonts w:hint="eastAsia"/>
          <w:color w:val="auto"/>
        </w:rPr>
        <w:t>。</w:t>
      </w:r>
    </w:p>
    <w:p w14:paraId="57F6C206">
      <w:pPr>
        <w:pStyle w:val="5"/>
        <w:rPr>
          <w:color w:val="auto"/>
        </w:rPr>
      </w:pPr>
      <w:bookmarkStart w:id="484" w:name="_Toc25436987"/>
      <w:bookmarkEnd w:id="484"/>
      <w:bookmarkStart w:id="485" w:name="_Toc223595771"/>
      <w:bookmarkStart w:id="486" w:name="_Toc29131850"/>
      <w:bookmarkStart w:id="487" w:name="_Toc136878514"/>
      <w:bookmarkStart w:id="488" w:name="_Toc216620578"/>
      <w:bookmarkStart w:id="489" w:name="_Toc223258481"/>
      <w:bookmarkStart w:id="490" w:name="_Toc135090248"/>
      <w:bookmarkStart w:id="491" w:name="_Toc216103419"/>
      <w:r>
        <w:rPr>
          <w:color w:val="auto"/>
        </w:rPr>
        <w:t>运营期大气影响分析</w:t>
      </w:r>
      <w:bookmarkEnd w:id="485"/>
      <w:bookmarkEnd w:id="486"/>
      <w:bookmarkEnd w:id="487"/>
      <w:bookmarkEnd w:id="488"/>
      <w:bookmarkEnd w:id="489"/>
      <w:bookmarkEnd w:id="490"/>
      <w:bookmarkEnd w:id="491"/>
    </w:p>
    <w:p w14:paraId="307E4423">
      <w:pPr>
        <w:ind w:firstLine="480"/>
        <w:rPr>
          <w:color w:val="auto"/>
        </w:rPr>
      </w:pPr>
      <w:r>
        <w:rPr>
          <w:rFonts w:hint="eastAsia"/>
          <w:color w:val="auto"/>
        </w:rPr>
        <w:t>本扩建项目主要是新增甲基叔丁基醚（MTBE）、石脑油、蜡油、渣油、异辛烷（烷基化油）的装卸和储存。均利用现有的装卸臂和储罐，货种卸船后经管道至泊位后方库区的储罐中储存。</w:t>
      </w:r>
    </w:p>
    <w:p w14:paraId="7708B207">
      <w:pPr>
        <w:ind w:firstLine="480"/>
        <w:rPr>
          <w:color w:val="auto"/>
        </w:rPr>
      </w:pPr>
      <w:r>
        <w:rPr>
          <w:rFonts w:hint="eastAsia"/>
          <w:color w:val="auto"/>
        </w:rPr>
        <w:t>项目主要产生废气来自管线密封点溢出废气、储罐损失废气，以非甲烷总烃进行表征综合统计。</w:t>
      </w:r>
    </w:p>
    <w:p w14:paraId="23A2A30B">
      <w:pPr>
        <w:pStyle w:val="6"/>
        <w:rPr>
          <w:color w:val="auto"/>
        </w:rPr>
      </w:pPr>
      <w:r>
        <w:rPr>
          <w:rFonts w:hint="eastAsia"/>
          <w:color w:val="auto"/>
        </w:rPr>
        <w:t>区域多年气象统计分析</w:t>
      </w:r>
    </w:p>
    <w:p w14:paraId="31559113">
      <w:pPr>
        <w:ind w:firstLine="480"/>
        <w:rPr>
          <w:color w:val="auto"/>
        </w:rPr>
      </w:pPr>
      <w:r>
        <w:rPr>
          <w:color w:val="auto"/>
        </w:rPr>
        <w:t>本次环评采用的气象资料为钦州气象站（编号59632）的资料；该气象站近20年的常规气象项目统计详见表</w:t>
      </w:r>
      <w:r>
        <w:rPr>
          <w:rFonts w:hint="eastAsia"/>
          <w:color w:val="auto"/>
        </w:rPr>
        <w:t>4.</w:t>
      </w:r>
      <w:r>
        <w:rPr>
          <w:color w:val="auto"/>
        </w:rPr>
        <w:t>1-1。</w:t>
      </w:r>
    </w:p>
    <w:p w14:paraId="3AAB4298">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4.1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rFonts w:hint="eastAsia"/>
          <w:color w:val="auto"/>
        </w:rPr>
        <w:t>钦州市气象站近20年常规气象数据统计一览表</w:t>
      </w:r>
    </w:p>
    <w:tbl>
      <w:tblPr>
        <w:tblStyle w:val="4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73"/>
        <w:gridCol w:w="1876"/>
        <w:gridCol w:w="2218"/>
        <w:gridCol w:w="2023"/>
        <w:gridCol w:w="2392"/>
      </w:tblGrid>
      <w:tr w14:paraId="56165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blHeader/>
          <w:jc w:val="center"/>
        </w:trPr>
        <w:tc>
          <w:tcPr>
            <w:tcW w:w="465" w:type="pct"/>
            <w:tcBorders>
              <w:top w:val="single" w:color="auto" w:sz="12" w:space="0"/>
              <w:left w:val="single" w:color="auto" w:sz="12" w:space="0"/>
            </w:tcBorders>
            <w:vAlign w:val="center"/>
          </w:tcPr>
          <w:p w14:paraId="5726A000">
            <w:pPr>
              <w:pStyle w:val="77"/>
              <w:keepNext w:val="0"/>
              <w:keepLines w:val="0"/>
              <w:suppressLineNumbers w:val="0"/>
              <w:autoSpaceDE w:val="0"/>
              <w:autoSpaceDN w:val="0"/>
              <w:spacing w:before="0" w:beforeAutospacing="0" w:after="0" w:afterAutospacing="0"/>
              <w:ind w:left="0" w:right="0"/>
              <w:rPr>
                <w:rFonts w:hint="default"/>
                <w:b/>
                <w:bCs/>
                <w:color w:val="auto"/>
              </w:rPr>
            </w:pPr>
            <w:r>
              <w:rPr>
                <w:rFonts w:hint="default"/>
                <w:b/>
                <w:bCs/>
                <w:color w:val="auto"/>
              </w:rPr>
              <w:t>序号</w:t>
            </w:r>
          </w:p>
        </w:tc>
        <w:tc>
          <w:tcPr>
            <w:tcW w:w="2182" w:type="pct"/>
            <w:gridSpan w:val="2"/>
            <w:tcBorders>
              <w:top w:val="single" w:color="auto" w:sz="12" w:space="0"/>
            </w:tcBorders>
            <w:vAlign w:val="center"/>
          </w:tcPr>
          <w:p w14:paraId="7FD51795">
            <w:pPr>
              <w:pStyle w:val="77"/>
              <w:keepNext w:val="0"/>
              <w:keepLines w:val="0"/>
              <w:suppressLineNumbers w:val="0"/>
              <w:autoSpaceDE w:val="0"/>
              <w:autoSpaceDN w:val="0"/>
              <w:spacing w:before="0" w:beforeAutospacing="0" w:after="0" w:afterAutospacing="0"/>
              <w:ind w:left="0" w:right="0"/>
              <w:rPr>
                <w:rFonts w:hint="default"/>
                <w:b/>
                <w:bCs/>
                <w:color w:val="auto"/>
              </w:rPr>
            </w:pPr>
            <w:r>
              <w:rPr>
                <w:rFonts w:hint="default"/>
                <w:b/>
                <w:bCs/>
                <w:color w:val="auto"/>
              </w:rPr>
              <w:t>统计项目</w:t>
            </w:r>
          </w:p>
        </w:tc>
        <w:tc>
          <w:tcPr>
            <w:tcW w:w="1078" w:type="pct"/>
            <w:tcBorders>
              <w:top w:val="single" w:color="auto" w:sz="12" w:space="0"/>
            </w:tcBorders>
            <w:vAlign w:val="center"/>
          </w:tcPr>
          <w:p w14:paraId="2CF6AB70">
            <w:pPr>
              <w:pStyle w:val="77"/>
              <w:keepNext w:val="0"/>
              <w:keepLines w:val="0"/>
              <w:suppressLineNumbers w:val="0"/>
              <w:autoSpaceDE w:val="0"/>
              <w:autoSpaceDN w:val="0"/>
              <w:spacing w:before="0" w:beforeAutospacing="0" w:after="0" w:afterAutospacing="0"/>
              <w:ind w:left="0" w:right="0"/>
              <w:rPr>
                <w:rFonts w:hint="default"/>
                <w:b/>
                <w:bCs/>
                <w:color w:val="auto"/>
              </w:rPr>
            </w:pPr>
            <w:r>
              <w:rPr>
                <w:rFonts w:hint="default"/>
                <w:b/>
                <w:bCs/>
                <w:color w:val="auto"/>
              </w:rPr>
              <w:t>统计值</w:t>
            </w:r>
          </w:p>
        </w:tc>
        <w:tc>
          <w:tcPr>
            <w:tcW w:w="1275" w:type="pct"/>
            <w:tcBorders>
              <w:top w:val="single" w:color="auto" w:sz="12" w:space="0"/>
              <w:right w:val="single" w:color="auto" w:sz="12" w:space="0"/>
            </w:tcBorders>
            <w:vAlign w:val="center"/>
          </w:tcPr>
          <w:p w14:paraId="0E1BA85B">
            <w:pPr>
              <w:pStyle w:val="77"/>
              <w:keepNext w:val="0"/>
              <w:keepLines w:val="0"/>
              <w:suppressLineNumbers w:val="0"/>
              <w:autoSpaceDE w:val="0"/>
              <w:autoSpaceDN w:val="0"/>
              <w:spacing w:before="0" w:beforeAutospacing="0" w:after="0" w:afterAutospacing="0"/>
              <w:ind w:left="0" w:right="0"/>
              <w:rPr>
                <w:rFonts w:hint="default"/>
                <w:b/>
                <w:bCs/>
                <w:color w:val="auto"/>
              </w:rPr>
            </w:pPr>
            <w:r>
              <w:rPr>
                <w:rFonts w:hint="default"/>
                <w:b/>
                <w:bCs/>
                <w:color w:val="auto"/>
              </w:rPr>
              <w:t>出现时间</w:t>
            </w:r>
          </w:p>
        </w:tc>
      </w:tr>
      <w:tr w14:paraId="2DAD6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vAlign w:val="center"/>
          </w:tcPr>
          <w:p w14:paraId="31CE2F9C">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1</w:t>
            </w:r>
          </w:p>
        </w:tc>
        <w:tc>
          <w:tcPr>
            <w:tcW w:w="2182" w:type="pct"/>
            <w:gridSpan w:val="2"/>
            <w:vAlign w:val="center"/>
          </w:tcPr>
          <w:p w14:paraId="4E05371B">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多年平均气温（</w:t>
            </w:r>
            <w:r>
              <w:rPr>
                <w:rFonts w:hint="eastAsia" w:ascii="宋体" w:hAnsi="宋体" w:cs="宋体"/>
                <w:color w:val="auto"/>
                <w:lang w:eastAsia="ja-JP"/>
              </w:rPr>
              <w:t>℃</w:t>
            </w:r>
            <w:r>
              <w:rPr>
                <w:rFonts w:hint="default"/>
                <w:color w:val="auto"/>
              </w:rPr>
              <w:t>）</w:t>
            </w:r>
          </w:p>
        </w:tc>
        <w:tc>
          <w:tcPr>
            <w:tcW w:w="1078" w:type="pct"/>
            <w:vAlign w:val="center"/>
          </w:tcPr>
          <w:p w14:paraId="391FF2EE">
            <w:pPr>
              <w:pStyle w:val="77"/>
              <w:keepNext w:val="0"/>
              <w:keepLines w:val="0"/>
              <w:suppressLineNumbers w:val="0"/>
              <w:autoSpaceDE w:val="0"/>
              <w:autoSpaceDN w:val="0"/>
              <w:spacing w:before="0" w:beforeAutospacing="0" w:after="0" w:afterAutospacing="0"/>
              <w:ind w:left="0" w:right="0"/>
              <w:rPr>
                <w:rFonts w:hint="default"/>
                <w:color w:val="auto"/>
              </w:rPr>
            </w:pPr>
          </w:p>
        </w:tc>
        <w:tc>
          <w:tcPr>
            <w:tcW w:w="1275" w:type="pct"/>
            <w:tcBorders>
              <w:right w:val="single" w:color="auto" w:sz="12" w:space="0"/>
            </w:tcBorders>
            <w:vAlign w:val="center"/>
          </w:tcPr>
          <w:p w14:paraId="19B7726C">
            <w:pPr>
              <w:pStyle w:val="77"/>
              <w:keepNext w:val="0"/>
              <w:keepLines w:val="0"/>
              <w:suppressLineNumbers w:val="0"/>
              <w:autoSpaceDE w:val="0"/>
              <w:autoSpaceDN w:val="0"/>
              <w:spacing w:before="0" w:beforeAutospacing="0" w:after="0" w:afterAutospacing="0"/>
              <w:ind w:left="0" w:right="0"/>
              <w:rPr>
                <w:rFonts w:hint="default"/>
                <w:color w:val="auto"/>
              </w:rPr>
            </w:pPr>
          </w:p>
        </w:tc>
      </w:tr>
      <w:tr w14:paraId="42181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vAlign w:val="center"/>
          </w:tcPr>
          <w:p w14:paraId="70DCC051">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2</w:t>
            </w:r>
          </w:p>
        </w:tc>
        <w:tc>
          <w:tcPr>
            <w:tcW w:w="2182" w:type="pct"/>
            <w:gridSpan w:val="2"/>
          </w:tcPr>
          <w:p w14:paraId="5FCAC641">
            <w:pPr>
              <w:pStyle w:val="167"/>
              <w:keepNext w:val="0"/>
              <w:keepLines w:val="0"/>
              <w:suppressLineNumbers w:val="0"/>
              <w:spacing w:before="0" w:beforeAutospacing="0" w:after="0" w:afterAutospacing="0"/>
              <w:ind w:right="0"/>
              <w:rPr>
                <w:rFonts w:hint="default"/>
                <w:color w:val="auto"/>
              </w:rPr>
            </w:pPr>
            <w:r>
              <w:rPr>
                <w:rFonts w:hint="eastAsia"/>
                <w:color w:val="auto"/>
              </w:rPr>
              <w:t>多年平均最高温</w:t>
            </w:r>
            <w:r>
              <w:rPr>
                <w:rFonts w:hint="default"/>
                <w:color w:val="auto"/>
              </w:rPr>
              <w:t>（</w:t>
            </w:r>
            <w:r>
              <w:rPr>
                <w:rFonts w:hint="eastAsia" w:ascii="宋体" w:hAnsi="宋体" w:cs="宋体"/>
                <w:color w:val="auto"/>
                <w:lang w:eastAsia="ja-JP"/>
              </w:rPr>
              <w:t>℃</w:t>
            </w:r>
            <w:r>
              <w:rPr>
                <w:rFonts w:hint="default"/>
                <w:color w:val="auto"/>
              </w:rPr>
              <w:t>）</w:t>
            </w:r>
          </w:p>
        </w:tc>
        <w:tc>
          <w:tcPr>
            <w:tcW w:w="1078" w:type="pct"/>
          </w:tcPr>
          <w:p w14:paraId="01249BEF">
            <w:pPr>
              <w:pStyle w:val="167"/>
              <w:keepNext w:val="0"/>
              <w:keepLines w:val="0"/>
              <w:suppressLineNumbers w:val="0"/>
              <w:spacing w:before="0" w:beforeAutospacing="0" w:after="0" w:afterAutospacing="0"/>
              <w:ind w:right="0"/>
              <w:rPr>
                <w:rFonts w:hint="default"/>
                <w:color w:val="auto"/>
              </w:rPr>
            </w:pPr>
          </w:p>
        </w:tc>
        <w:tc>
          <w:tcPr>
            <w:tcW w:w="1275" w:type="pct"/>
            <w:tcBorders>
              <w:right w:val="single" w:color="auto" w:sz="12" w:space="0"/>
            </w:tcBorders>
            <w:vAlign w:val="center"/>
          </w:tcPr>
          <w:p w14:paraId="747EDE03">
            <w:pPr>
              <w:pStyle w:val="167"/>
              <w:keepNext w:val="0"/>
              <w:keepLines w:val="0"/>
              <w:suppressLineNumbers w:val="0"/>
              <w:spacing w:before="0" w:beforeAutospacing="0" w:after="0" w:afterAutospacing="0"/>
              <w:ind w:right="0"/>
              <w:rPr>
                <w:rFonts w:hint="default"/>
                <w:color w:val="auto"/>
              </w:rPr>
            </w:pPr>
          </w:p>
        </w:tc>
      </w:tr>
      <w:tr w14:paraId="7EDEF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vAlign w:val="center"/>
          </w:tcPr>
          <w:p w14:paraId="30307F50">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3</w:t>
            </w:r>
          </w:p>
        </w:tc>
        <w:tc>
          <w:tcPr>
            <w:tcW w:w="2182" w:type="pct"/>
            <w:gridSpan w:val="2"/>
          </w:tcPr>
          <w:p w14:paraId="4F90DD0E">
            <w:pPr>
              <w:pStyle w:val="167"/>
              <w:keepNext w:val="0"/>
              <w:keepLines w:val="0"/>
              <w:suppressLineNumbers w:val="0"/>
              <w:spacing w:before="0" w:beforeAutospacing="0" w:after="0" w:afterAutospacing="0"/>
              <w:ind w:right="0"/>
              <w:rPr>
                <w:rFonts w:hint="default"/>
                <w:color w:val="auto"/>
              </w:rPr>
            </w:pPr>
            <w:r>
              <w:rPr>
                <w:rFonts w:hint="eastAsia"/>
                <w:color w:val="auto"/>
              </w:rPr>
              <w:t>多年平均最低温</w:t>
            </w:r>
            <w:r>
              <w:rPr>
                <w:rFonts w:hint="default"/>
                <w:color w:val="auto"/>
              </w:rPr>
              <w:t>（</w:t>
            </w:r>
            <w:r>
              <w:rPr>
                <w:rFonts w:hint="eastAsia" w:ascii="宋体" w:hAnsi="宋体" w:cs="宋体"/>
                <w:color w:val="auto"/>
                <w:lang w:eastAsia="ja-JP"/>
              </w:rPr>
              <w:t>℃</w:t>
            </w:r>
            <w:r>
              <w:rPr>
                <w:rFonts w:hint="default"/>
                <w:color w:val="auto"/>
              </w:rPr>
              <w:t>）</w:t>
            </w:r>
          </w:p>
        </w:tc>
        <w:tc>
          <w:tcPr>
            <w:tcW w:w="1078" w:type="pct"/>
          </w:tcPr>
          <w:p w14:paraId="037D3662">
            <w:pPr>
              <w:pStyle w:val="167"/>
              <w:keepNext w:val="0"/>
              <w:keepLines w:val="0"/>
              <w:suppressLineNumbers w:val="0"/>
              <w:spacing w:before="0" w:beforeAutospacing="0" w:after="0" w:afterAutospacing="0"/>
              <w:ind w:right="0"/>
              <w:rPr>
                <w:rFonts w:hint="default"/>
                <w:color w:val="auto"/>
              </w:rPr>
            </w:pPr>
          </w:p>
        </w:tc>
        <w:tc>
          <w:tcPr>
            <w:tcW w:w="1275" w:type="pct"/>
            <w:tcBorders>
              <w:right w:val="single" w:color="auto" w:sz="12" w:space="0"/>
            </w:tcBorders>
            <w:vAlign w:val="center"/>
          </w:tcPr>
          <w:p w14:paraId="759C0E56">
            <w:pPr>
              <w:pStyle w:val="167"/>
              <w:keepNext w:val="0"/>
              <w:keepLines w:val="0"/>
              <w:suppressLineNumbers w:val="0"/>
              <w:spacing w:before="0" w:beforeAutospacing="0" w:after="0" w:afterAutospacing="0"/>
              <w:ind w:right="0"/>
              <w:rPr>
                <w:rFonts w:hint="default"/>
                <w:color w:val="auto"/>
              </w:rPr>
            </w:pPr>
          </w:p>
        </w:tc>
      </w:tr>
      <w:tr w14:paraId="0B996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vAlign w:val="center"/>
          </w:tcPr>
          <w:p w14:paraId="4AB8604D">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4</w:t>
            </w:r>
          </w:p>
        </w:tc>
        <w:tc>
          <w:tcPr>
            <w:tcW w:w="2182" w:type="pct"/>
            <w:gridSpan w:val="2"/>
          </w:tcPr>
          <w:p w14:paraId="1E5334D4">
            <w:pPr>
              <w:pStyle w:val="167"/>
              <w:keepNext w:val="0"/>
              <w:keepLines w:val="0"/>
              <w:suppressLineNumbers w:val="0"/>
              <w:spacing w:before="0" w:beforeAutospacing="0" w:after="0" w:afterAutospacing="0"/>
              <w:ind w:right="0"/>
              <w:rPr>
                <w:rFonts w:hint="default"/>
                <w:color w:val="auto"/>
              </w:rPr>
            </w:pPr>
            <w:r>
              <w:rPr>
                <w:rFonts w:hint="eastAsia"/>
                <w:color w:val="auto"/>
              </w:rPr>
              <w:t>最高</w:t>
            </w:r>
            <w:r>
              <w:rPr>
                <w:rFonts w:hint="default"/>
                <w:color w:val="auto"/>
              </w:rPr>
              <w:t>气温（</w:t>
            </w:r>
            <w:r>
              <w:rPr>
                <w:rFonts w:hint="eastAsia" w:ascii="宋体" w:hAnsi="宋体" w:cs="宋体"/>
                <w:color w:val="auto"/>
                <w:lang w:eastAsia="ja-JP"/>
              </w:rPr>
              <w:t>℃</w:t>
            </w:r>
            <w:r>
              <w:rPr>
                <w:rFonts w:hint="default"/>
                <w:color w:val="auto"/>
              </w:rPr>
              <w:t>）</w:t>
            </w:r>
          </w:p>
        </w:tc>
        <w:tc>
          <w:tcPr>
            <w:tcW w:w="1078" w:type="pct"/>
          </w:tcPr>
          <w:p w14:paraId="791E6E19">
            <w:pPr>
              <w:pStyle w:val="167"/>
              <w:keepNext w:val="0"/>
              <w:keepLines w:val="0"/>
              <w:suppressLineNumbers w:val="0"/>
              <w:spacing w:before="0" w:beforeAutospacing="0" w:after="0" w:afterAutospacing="0"/>
              <w:ind w:right="0"/>
              <w:rPr>
                <w:rFonts w:hint="default"/>
                <w:color w:val="auto"/>
              </w:rPr>
            </w:pPr>
          </w:p>
        </w:tc>
        <w:tc>
          <w:tcPr>
            <w:tcW w:w="1275" w:type="pct"/>
            <w:tcBorders>
              <w:right w:val="single" w:color="auto" w:sz="12" w:space="0"/>
            </w:tcBorders>
            <w:vAlign w:val="center"/>
          </w:tcPr>
          <w:p w14:paraId="1F72A10E">
            <w:pPr>
              <w:pStyle w:val="167"/>
              <w:keepNext w:val="0"/>
              <w:keepLines w:val="0"/>
              <w:suppressLineNumbers w:val="0"/>
              <w:spacing w:before="0" w:beforeAutospacing="0" w:after="0" w:afterAutospacing="0"/>
              <w:ind w:right="0"/>
              <w:rPr>
                <w:rFonts w:hint="default"/>
                <w:color w:val="auto"/>
              </w:rPr>
            </w:pPr>
          </w:p>
        </w:tc>
      </w:tr>
      <w:tr w14:paraId="44C2A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vAlign w:val="center"/>
          </w:tcPr>
          <w:p w14:paraId="16F1F996">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5</w:t>
            </w:r>
          </w:p>
        </w:tc>
        <w:tc>
          <w:tcPr>
            <w:tcW w:w="2182" w:type="pct"/>
            <w:gridSpan w:val="2"/>
          </w:tcPr>
          <w:p w14:paraId="5C00A12B">
            <w:pPr>
              <w:pStyle w:val="167"/>
              <w:keepNext w:val="0"/>
              <w:keepLines w:val="0"/>
              <w:suppressLineNumbers w:val="0"/>
              <w:spacing w:before="0" w:beforeAutospacing="0" w:after="0" w:afterAutospacing="0"/>
              <w:ind w:right="0"/>
              <w:rPr>
                <w:rFonts w:hint="default"/>
                <w:color w:val="auto"/>
              </w:rPr>
            </w:pPr>
            <w:r>
              <w:rPr>
                <w:rFonts w:hint="eastAsia"/>
                <w:color w:val="auto"/>
              </w:rPr>
              <w:t>最低</w:t>
            </w:r>
            <w:r>
              <w:rPr>
                <w:rFonts w:hint="default"/>
                <w:color w:val="auto"/>
              </w:rPr>
              <w:t>气温（</w:t>
            </w:r>
            <w:r>
              <w:rPr>
                <w:rFonts w:hint="eastAsia" w:ascii="宋体" w:hAnsi="宋体" w:cs="宋体"/>
                <w:color w:val="auto"/>
                <w:lang w:eastAsia="ja-JP"/>
              </w:rPr>
              <w:t>℃</w:t>
            </w:r>
            <w:r>
              <w:rPr>
                <w:rFonts w:hint="default"/>
                <w:color w:val="auto"/>
              </w:rPr>
              <w:t>）</w:t>
            </w:r>
          </w:p>
        </w:tc>
        <w:tc>
          <w:tcPr>
            <w:tcW w:w="1078" w:type="pct"/>
          </w:tcPr>
          <w:p w14:paraId="1F33D8DF">
            <w:pPr>
              <w:pStyle w:val="167"/>
              <w:keepNext w:val="0"/>
              <w:keepLines w:val="0"/>
              <w:suppressLineNumbers w:val="0"/>
              <w:spacing w:before="0" w:beforeAutospacing="0" w:after="0" w:afterAutospacing="0"/>
              <w:ind w:right="0"/>
              <w:rPr>
                <w:rFonts w:hint="default"/>
                <w:color w:val="auto"/>
              </w:rPr>
            </w:pPr>
          </w:p>
        </w:tc>
        <w:tc>
          <w:tcPr>
            <w:tcW w:w="1275" w:type="pct"/>
            <w:tcBorders>
              <w:right w:val="single" w:color="auto" w:sz="12" w:space="0"/>
            </w:tcBorders>
            <w:vAlign w:val="center"/>
          </w:tcPr>
          <w:p w14:paraId="2313AC38">
            <w:pPr>
              <w:pStyle w:val="167"/>
              <w:keepNext w:val="0"/>
              <w:keepLines w:val="0"/>
              <w:suppressLineNumbers w:val="0"/>
              <w:spacing w:before="0" w:beforeAutospacing="0" w:after="0" w:afterAutospacing="0"/>
              <w:ind w:right="0"/>
              <w:rPr>
                <w:rFonts w:hint="default"/>
                <w:color w:val="auto"/>
              </w:rPr>
            </w:pPr>
          </w:p>
        </w:tc>
      </w:tr>
      <w:tr w14:paraId="1804A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vAlign w:val="center"/>
          </w:tcPr>
          <w:p w14:paraId="7A56F24F">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6</w:t>
            </w:r>
          </w:p>
        </w:tc>
        <w:tc>
          <w:tcPr>
            <w:tcW w:w="2182" w:type="pct"/>
            <w:gridSpan w:val="2"/>
            <w:vAlign w:val="center"/>
          </w:tcPr>
          <w:p w14:paraId="749AAED7">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多年平均气压（hpa）</w:t>
            </w:r>
          </w:p>
        </w:tc>
        <w:tc>
          <w:tcPr>
            <w:tcW w:w="1078" w:type="pct"/>
            <w:vAlign w:val="center"/>
          </w:tcPr>
          <w:p w14:paraId="6D326EE8">
            <w:pPr>
              <w:pStyle w:val="77"/>
              <w:keepNext w:val="0"/>
              <w:keepLines w:val="0"/>
              <w:suppressLineNumbers w:val="0"/>
              <w:autoSpaceDE w:val="0"/>
              <w:autoSpaceDN w:val="0"/>
              <w:spacing w:before="0" w:beforeAutospacing="0" w:after="0" w:afterAutospacing="0"/>
              <w:ind w:left="0" w:right="0"/>
              <w:rPr>
                <w:rFonts w:hint="default"/>
                <w:color w:val="auto"/>
              </w:rPr>
            </w:pPr>
          </w:p>
        </w:tc>
        <w:tc>
          <w:tcPr>
            <w:tcW w:w="1275" w:type="pct"/>
            <w:tcBorders>
              <w:right w:val="single" w:color="auto" w:sz="12" w:space="0"/>
            </w:tcBorders>
            <w:vAlign w:val="center"/>
          </w:tcPr>
          <w:p w14:paraId="42D59D69">
            <w:pPr>
              <w:pStyle w:val="77"/>
              <w:keepNext w:val="0"/>
              <w:keepLines w:val="0"/>
              <w:suppressLineNumbers w:val="0"/>
              <w:autoSpaceDE w:val="0"/>
              <w:autoSpaceDN w:val="0"/>
              <w:spacing w:before="0" w:beforeAutospacing="0" w:after="0" w:afterAutospacing="0"/>
              <w:ind w:left="0" w:right="0"/>
              <w:rPr>
                <w:rFonts w:hint="default"/>
                <w:color w:val="auto"/>
              </w:rPr>
            </w:pPr>
          </w:p>
        </w:tc>
      </w:tr>
      <w:tr w14:paraId="49960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vAlign w:val="center"/>
          </w:tcPr>
          <w:p w14:paraId="061FE688">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7</w:t>
            </w:r>
          </w:p>
        </w:tc>
        <w:tc>
          <w:tcPr>
            <w:tcW w:w="2182" w:type="pct"/>
            <w:gridSpan w:val="2"/>
            <w:vAlign w:val="center"/>
          </w:tcPr>
          <w:p w14:paraId="10DB9B3E">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多年平均相对湿度（%）</w:t>
            </w:r>
          </w:p>
        </w:tc>
        <w:tc>
          <w:tcPr>
            <w:tcW w:w="1078" w:type="pct"/>
            <w:vAlign w:val="center"/>
          </w:tcPr>
          <w:p w14:paraId="53DF56F7">
            <w:pPr>
              <w:pStyle w:val="77"/>
              <w:keepNext w:val="0"/>
              <w:keepLines w:val="0"/>
              <w:suppressLineNumbers w:val="0"/>
              <w:autoSpaceDE w:val="0"/>
              <w:autoSpaceDN w:val="0"/>
              <w:spacing w:before="0" w:beforeAutospacing="0" w:after="0" w:afterAutospacing="0"/>
              <w:ind w:left="0" w:right="0"/>
              <w:rPr>
                <w:rFonts w:hint="default"/>
                <w:color w:val="auto"/>
              </w:rPr>
            </w:pPr>
          </w:p>
        </w:tc>
        <w:tc>
          <w:tcPr>
            <w:tcW w:w="1275" w:type="pct"/>
            <w:tcBorders>
              <w:right w:val="single" w:color="auto" w:sz="12" w:space="0"/>
            </w:tcBorders>
            <w:vAlign w:val="center"/>
          </w:tcPr>
          <w:p w14:paraId="3A181979">
            <w:pPr>
              <w:pStyle w:val="77"/>
              <w:keepNext w:val="0"/>
              <w:keepLines w:val="0"/>
              <w:suppressLineNumbers w:val="0"/>
              <w:autoSpaceDE w:val="0"/>
              <w:autoSpaceDN w:val="0"/>
              <w:spacing w:before="0" w:beforeAutospacing="0" w:after="0" w:afterAutospacing="0"/>
              <w:ind w:left="0" w:right="0"/>
              <w:rPr>
                <w:rFonts w:hint="default"/>
                <w:color w:val="auto"/>
              </w:rPr>
            </w:pPr>
          </w:p>
        </w:tc>
      </w:tr>
      <w:tr w14:paraId="23296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vAlign w:val="center"/>
          </w:tcPr>
          <w:p w14:paraId="1B576792">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8</w:t>
            </w:r>
          </w:p>
        </w:tc>
        <w:tc>
          <w:tcPr>
            <w:tcW w:w="2182" w:type="pct"/>
            <w:gridSpan w:val="2"/>
            <w:vAlign w:val="center"/>
          </w:tcPr>
          <w:p w14:paraId="032D0FC7">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多年平均降雨量（mm）</w:t>
            </w:r>
          </w:p>
        </w:tc>
        <w:tc>
          <w:tcPr>
            <w:tcW w:w="1078" w:type="pct"/>
            <w:vAlign w:val="center"/>
          </w:tcPr>
          <w:p w14:paraId="72C3008F">
            <w:pPr>
              <w:pStyle w:val="77"/>
              <w:keepNext w:val="0"/>
              <w:keepLines w:val="0"/>
              <w:suppressLineNumbers w:val="0"/>
              <w:autoSpaceDE w:val="0"/>
              <w:autoSpaceDN w:val="0"/>
              <w:spacing w:before="0" w:beforeAutospacing="0" w:after="0" w:afterAutospacing="0"/>
              <w:ind w:left="0" w:right="0"/>
              <w:rPr>
                <w:rFonts w:hint="default"/>
                <w:color w:val="auto"/>
              </w:rPr>
            </w:pPr>
          </w:p>
        </w:tc>
        <w:tc>
          <w:tcPr>
            <w:tcW w:w="1275" w:type="pct"/>
            <w:tcBorders>
              <w:right w:val="single" w:color="auto" w:sz="12" w:space="0"/>
            </w:tcBorders>
            <w:vAlign w:val="center"/>
          </w:tcPr>
          <w:p w14:paraId="3DF961CB">
            <w:pPr>
              <w:pStyle w:val="77"/>
              <w:keepNext w:val="0"/>
              <w:keepLines w:val="0"/>
              <w:suppressLineNumbers w:val="0"/>
              <w:autoSpaceDE w:val="0"/>
              <w:autoSpaceDN w:val="0"/>
              <w:spacing w:before="0" w:beforeAutospacing="0" w:after="0" w:afterAutospacing="0"/>
              <w:ind w:left="0" w:right="0"/>
              <w:rPr>
                <w:rFonts w:hint="default"/>
                <w:color w:val="auto"/>
              </w:rPr>
            </w:pPr>
          </w:p>
        </w:tc>
      </w:tr>
      <w:tr w14:paraId="779A1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vAlign w:val="center"/>
          </w:tcPr>
          <w:p w14:paraId="072AECB5">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9</w:t>
            </w:r>
          </w:p>
        </w:tc>
        <w:tc>
          <w:tcPr>
            <w:tcW w:w="2182" w:type="pct"/>
            <w:gridSpan w:val="2"/>
            <w:vAlign w:val="center"/>
          </w:tcPr>
          <w:p w14:paraId="14C78F3C">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最大日降水量（mm）</w:t>
            </w:r>
          </w:p>
        </w:tc>
        <w:tc>
          <w:tcPr>
            <w:tcW w:w="1078" w:type="pct"/>
            <w:vAlign w:val="center"/>
          </w:tcPr>
          <w:p w14:paraId="46CE9C1B">
            <w:pPr>
              <w:pStyle w:val="77"/>
              <w:keepNext w:val="0"/>
              <w:keepLines w:val="0"/>
              <w:suppressLineNumbers w:val="0"/>
              <w:autoSpaceDE w:val="0"/>
              <w:autoSpaceDN w:val="0"/>
              <w:spacing w:before="0" w:beforeAutospacing="0" w:after="0" w:afterAutospacing="0"/>
              <w:ind w:left="0" w:right="0"/>
              <w:rPr>
                <w:rFonts w:hint="default"/>
                <w:color w:val="auto"/>
              </w:rPr>
            </w:pPr>
          </w:p>
        </w:tc>
        <w:tc>
          <w:tcPr>
            <w:tcW w:w="1275" w:type="pct"/>
            <w:tcBorders>
              <w:right w:val="single" w:color="auto" w:sz="12" w:space="0"/>
            </w:tcBorders>
            <w:vAlign w:val="center"/>
          </w:tcPr>
          <w:p w14:paraId="7F479132">
            <w:pPr>
              <w:pStyle w:val="77"/>
              <w:keepNext w:val="0"/>
              <w:keepLines w:val="0"/>
              <w:suppressLineNumbers w:val="0"/>
              <w:autoSpaceDE w:val="0"/>
              <w:autoSpaceDN w:val="0"/>
              <w:spacing w:before="0" w:beforeAutospacing="0" w:after="0" w:afterAutospacing="0"/>
              <w:ind w:left="0" w:right="0"/>
              <w:rPr>
                <w:rFonts w:hint="default"/>
                <w:color w:val="auto"/>
              </w:rPr>
            </w:pPr>
          </w:p>
        </w:tc>
      </w:tr>
      <w:tr w14:paraId="427E3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vAlign w:val="center"/>
          </w:tcPr>
          <w:p w14:paraId="6EC0FADD">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10</w:t>
            </w:r>
          </w:p>
        </w:tc>
        <w:tc>
          <w:tcPr>
            <w:tcW w:w="2182" w:type="pct"/>
            <w:gridSpan w:val="2"/>
            <w:vAlign w:val="center"/>
          </w:tcPr>
          <w:p w14:paraId="7C64E2B3">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最小年降水量（mm）</w:t>
            </w:r>
          </w:p>
        </w:tc>
        <w:tc>
          <w:tcPr>
            <w:tcW w:w="1078" w:type="pct"/>
            <w:vAlign w:val="center"/>
          </w:tcPr>
          <w:p w14:paraId="4559D4F4">
            <w:pPr>
              <w:pStyle w:val="77"/>
              <w:keepNext w:val="0"/>
              <w:keepLines w:val="0"/>
              <w:suppressLineNumbers w:val="0"/>
              <w:autoSpaceDE w:val="0"/>
              <w:autoSpaceDN w:val="0"/>
              <w:spacing w:before="0" w:beforeAutospacing="0" w:after="0" w:afterAutospacing="0"/>
              <w:ind w:left="0" w:right="0"/>
              <w:rPr>
                <w:rFonts w:hint="default"/>
                <w:color w:val="auto"/>
              </w:rPr>
            </w:pPr>
          </w:p>
        </w:tc>
        <w:tc>
          <w:tcPr>
            <w:tcW w:w="1275" w:type="pct"/>
            <w:tcBorders>
              <w:right w:val="single" w:color="auto" w:sz="12" w:space="0"/>
            </w:tcBorders>
            <w:vAlign w:val="center"/>
          </w:tcPr>
          <w:p w14:paraId="224B6C16">
            <w:pPr>
              <w:pStyle w:val="77"/>
              <w:keepNext w:val="0"/>
              <w:keepLines w:val="0"/>
              <w:suppressLineNumbers w:val="0"/>
              <w:autoSpaceDE w:val="0"/>
              <w:autoSpaceDN w:val="0"/>
              <w:spacing w:before="0" w:beforeAutospacing="0" w:after="0" w:afterAutospacing="0"/>
              <w:ind w:left="0" w:right="0"/>
              <w:rPr>
                <w:rFonts w:hint="default"/>
                <w:color w:val="auto"/>
              </w:rPr>
            </w:pPr>
          </w:p>
        </w:tc>
      </w:tr>
      <w:tr w14:paraId="7FC29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vAlign w:val="center"/>
          </w:tcPr>
          <w:p w14:paraId="7F96DDF1">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11</w:t>
            </w:r>
          </w:p>
        </w:tc>
        <w:tc>
          <w:tcPr>
            <w:tcW w:w="1000" w:type="pct"/>
            <w:vMerge w:val="restart"/>
            <w:vAlign w:val="center"/>
          </w:tcPr>
          <w:p w14:paraId="59CD7583">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灾害天气统计</w:t>
            </w:r>
          </w:p>
        </w:tc>
        <w:tc>
          <w:tcPr>
            <w:tcW w:w="1182" w:type="pct"/>
            <w:vAlign w:val="center"/>
          </w:tcPr>
          <w:p w14:paraId="3A22124F">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雷暴日数</w:t>
            </w:r>
          </w:p>
        </w:tc>
        <w:tc>
          <w:tcPr>
            <w:tcW w:w="1078" w:type="pct"/>
            <w:vAlign w:val="center"/>
          </w:tcPr>
          <w:p w14:paraId="482533DF">
            <w:pPr>
              <w:pStyle w:val="77"/>
              <w:keepNext w:val="0"/>
              <w:keepLines w:val="0"/>
              <w:suppressLineNumbers w:val="0"/>
              <w:autoSpaceDE w:val="0"/>
              <w:autoSpaceDN w:val="0"/>
              <w:spacing w:before="0" w:beforeAutospacing="0" w:after="0" w:afterAutospacing="0"/>
              <w:ind w:left="0" w:right="0"/>
              <w:rPr>
                <w:rFonts w:hint="default"/>
                <w:color w:val="auto"/>
              </w:rPr>
            </w:pPr>
          </w:p>
        </w:tc>
        <w:tc>
          <w:tcPr>
            <w:tcW w:w="1275" w:type="pct"/>
            <w:tcBorders>
              <w:right w:val="single" w:color="auto" w:sz="12" w:space="0"/>
            </w:tcBorders>
            <w:vAlign w:val="center"/>
          </w:tcPr>
          <w:p w14:paraId="5643BD50">
            <w:pPr>
              <w:pStyle w:val="77"/>
              <w:keepNext w:val="0"/>
              <w:keepLines w:val="0"/>
              <w:suppressLineNumbers w:val="0"/>
              <w:autoSpaceDE w:val="0"/>
              <w:autoSpaceDN w:val="0"/>
              <w:spacing w:before="0" w:beforeAutospacing="0" w:after="0" w:afterAutospacing="0"/>
              <w:ind w:left="0" w:right="0"/>
              <w:rPr>
                <w:rFonts w:hint="default"/>
                <w:color w:val="auto"/>
              </w:rPr>
            </w:pPr>
          </w:p>
        </w:tc>
      </w:tr>
      <w:tr w14:paraId="5527F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vAlign w:val="center"/>
          </w:tcPr>
          <w:p w14:paraId="66D94E3F">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12</w:t>
            </w:r>
          </w:p>
        </w:tc>
        <w:tc>
          <w:tcPr>
            <w:tcW w:w="1000" w:type="pct"/>
            <w:vMerge w:val="continue"/>
            <w:vAlign w:val="center"/>
          </w:tcPr>
          <w:p w14:paraId="399BBF99">
            <w:pPr>
              <w:pStyle w:val="77"/>
              <w:keepNext w:val="0"/>
              <w:keepLines w:val="0"/>
              <w:suppressLineNumbers w:val="0"/>
              <w:autoSpaceDE w:val="0"/>
              <w:autoSpaceDN w:val="0"/>
              <w:spacing w:before="0" w:beforeAutospacing="0" w:after="0" w:afterAutospacing="0"/>
              <w:ind w:left="0" w:right="0"/>
              <w:rPr>
                <w:rFonts w:hint="default"/>
                <w:color w:val="auto"/>
              </w:rPr>
            </w:pPr>
          </w:p>
        </w:tc>
        <w:tc>
          <w:tcPr>
            <w:tcW w:w="1182" w:type="pct"/>
            <w:vAlign w:val="center"/>
          </w:tcPr>
          <w:p w14:paraId="27121BF6">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大风日数</w:t>
            </w:r>
          </w:p>
        </w:tc>
        <w:tc>
          <w:tcPr>
            <w:tcW w:w="1078" w:type="pct"/>
            <w:vAlign w:val="center"/>
          </w:tcPr>
          <w:p w14:paraId="7CC77BDD">
            <w:pPr>
              <w:pStyle w:val="77"/>
              <w:keepNext w:val="0"/>
              <w:keepLines w:val="0"/>
              <w:suppressLineNumbers w:val="0"/>
              <w:autoSpaceDE w:val="0"/>
              <w:autoSpaceDN w:val="0"/>
              <w:spacing w:before="0" w:beforeAutospacing="0" w:after="0" w:afterAutospacing="0"/>
              <w:ind w:left="0" w:right="0"/>
              <w:rPr>
                <w:rFonts w:hint="default"/>
                <w:color w:val="auto"/>
              </w:rPr>
            </w:pPr>
          </w:p>
        </w:tc>
        <w:tc>
          <w:tcPr>
            <w:tcW w:w="1275" w:type="pct"/>
            <w:tcBorders>
              <w:right w:val="single" w:color="auto" w:sz="12" w:space="0"/>
            </w:tcBorders>
            <w:vAlign w:val="center"/>
          </w:tcPr>
          <w:p w14:paraId="0BE7C2C7">
            <w:pPr>
              <w:pStyle w:val="77"/>
              <w:keepNext w:val="0"/>
              <w:keepLines w:val="0"/>
              <w:suppressLineNumbers w:val="0"/>
              <w:autoSpaceDE w:val="0"/>
              <w:autoSpaceDN w:val="0"/>
              <w:spacing w:before="0" w:beforeAutospacing="0" w:after="0" w:afterAutospacing="0"/>
              <w:ind w:left="0" w:right="0"/>
              <w:rPr>
                <w:rFonts w:hint="default"/>
                <w:color w:val="auto"/>
              </w:rPr>
            </w:pPr>
          </w:p>
        </w:tc>
      </w:tr>
      <w:tr w14:paraId="35685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vAlign w:val="center"/>
          </w:tcPr>
          <w:p w14:paraId="797806A6">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13</w:t>
            </w:r>
          </w:p>
        </w:tc>
        <w:tc>
          <w:tcPr>
            <w:tcW w:w="1000" w:type="pct"/>
            <w:vMerge w:val="continue"/>
            <w:vAlign w:val="center"/>
          </w:tcPr>
          <w:p w14:paraId="0CA41A0D">
            <w:pPr>
              <w:pStyle w:val="77"/>
              <w:keepNext w:val="0"/>
              <w:keepLines w:val="0"/>
              <w:suppressLineNumbers w:val="0"/>
              <w:autoSpaceDE w:val="0"/>
              <w:autoSpaceDN w:val="0"/>
              <w:spacing w:before="0" w:beforeAutospacing="0" w:after="0" w:afterAutospacing="0"/>
              <w:ind w:left="0" w:right="0"/>
              <w:rPr>
                <w:rFonts w:hint="default"/>
                <w:color w:val="auto"/>
              </w:rPr>
            </w:pPr>
          </w:p>
        </w:tc>
        <w:tc>
          <w:tcPr>
            <w:tcW w:w="1182" w:type="pct"/>
            <w:vAlign w:val="center"/>
          </w:tcPr>
          <w:p w14:paraId="0E880F0F">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冰雹日数</w:t>
            </w:r>
          </w:p>
        </w:tc>
        <w:tc>
          <w:tcPr>
            <w:tcW w:w="1078" w:type="pct"/>
            <w:vAlign w:val="center"/>
          </w:tcPr>
          <w:p w14:paraId="14B67DFB">
            <w:pPr>
              <w:pStyle w:val="77"/>
              <w:keepNext w:val="0"/>
              <w:keepLines w:val="0"/>
              <w:suppressLineNumbers w:val="0"/>
              <w:autoSpaceDE w:val="0"/>
              <w:autoSpaceDN w:val="0"/>
              <w:spacing w:before="0" w:beforeAutospacing="0" w:after="0" w:afterAutospacing="0"/>
              <w:ind w:left="0" w:right="0"/>
              <w:rPr>
                <w:rFonts w:hint="default"/>
                <w:color w:val="auto"/>
              </w:rPr>
            </w:pPr>
          </w:p>
        </w:tc>
        <w:tc>
          <w:tcPr>
            <w:tcW w:w="1275" w:type="pct"/>
            <w:tcBorders>
              <w:right w:val="single" w:color="auto" w:sz="12" w:space="0"/>
            </w:tcBorders>
            <w:vAlign w:val="center"/>
          </w:tcPr>
          <w:p w14:paraId="380BBD42">
            <w:pPr>
              <w:pStyle w:val="77"/>
              <w:keepNext w:val="0"/>
              <w:keepLines w:val="0"/>
              <w:suppressLineNumbers w:val="0"/>
              <w:autoSpaceDE w:val="0"/>
              <w:autoSpaceDN w:val="0"/>
              <w:spacing w:before="0" w:beforeAutospacing="0" w:after="0" w:afterAutospacing="0"/>
              <w:ind w:left="0" w:right="0"/>
              <w:rPr>
                <w:rFonts w:hint="default"/>
                <w:color w:val="auto"/>
              </w:rPr>
            </w:pPr>
          </w:p>
        </w:tc>
      </w:tr>
      <w:tr w14:paraId="60828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vAlign w:val="center"/>
          </w:tcPr>
          <w:p w14:paraId="7E65F250">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14</w:t>
            </w:r>
          </w:p>
        </w:tc>
        <w:tc>
          <w:tcPr>
            <w:tcW w:w="2182" w:type="pct"/>
            <w:gridSpan w:val="2"/>
            <w:vAlign w:val="center"/>
          </w:tcPr>
          <w:p w14:paraId="280DEDA3">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静风频率（%）</w:t>
            </w:r>
          </w:p>
        </w:tc>
        <w:tc>
          <w:tcPr>
            <w:tcW w:w="1078" w:type="pct"/>
            <w:vAlign w:val="center"/>
          </w:tcPr>
          <w:p w14:paraId="39624262">
            <w:pPr>
              <w:pStyle w:val="77"/>
              <w:keepNext w:val="0"/>
              <w:keepLines w:val="0"/>
              <w:suppressLineNumbers w:val="0"/>
              <w:autoSpaceDE w:val="0"/>
              <w:autoSpaceDN w:val="0"/>
              <w:spacing w:before="0" w:beforeAutospacing="0" w:after="0" w:afterAutospacing="0"/>
              <w:ind w:left="0" w:right="0"/>
              <w:rPr>
                <w:rFonts w:hint="default"/>
                <w:color w:val="auto"/>
              </w:rPr>
            </w:pPr>
          </w:p>
        </w:tc>
        <w:tc>
          <w:tcPr>
            <w:tcW w:w="1275" w:type="pct"/>
            <w:tcBorders>
              <w:right w:val="single" w:color="auto" w:sz="12" w:space="0"/>
            </w:tcBorders>
            <w:vAlign w:val="center"/>
          </w:tcPr>
          <w:p w14:paraId="09997DF9">
            <w:pPr>
              <w:pStyle w:val="77"/>
              <w:keepNext w:val="0"/>
              <w:keepLines w:val="0"/>
              <w:suppressLineNumbers w:val="0"/>
              <w:autoSpaceDE w:val="0"/>
              <w:autoSpaceDN w:val="0"/>
              <w:spacing w:before="0" w:beforeAutospacing="0" w:after="0" w:afterAutospacing="0"/>
              <w:ind w:left="0" w:right="0"/>
              <w:rPr>
                <w:rFonts w:hint="default"/>
                <w:color w:val="auto"/>
              </w:rPr>
            </w:pPr>
          </w:p>
        </w:tc>
      </w:tr>
      <w:tr w14:paraId="1366E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vAlign w:val="center"/>
          </w:tcPr>
          <w:p w14:paraId="09A1FB95">
            <w:pPr>
              <w:pStyle w:val="77"/>
              <w:keepNext w:val="0"/>
              <w:keepLines w:val="0"/>
              <w:suppressLineNumbers w:val="0"/>
              <w:autoSpaceDE w:val="0"/>
              <w:autoSpaceDN w:val="0"/>
              <w:spacing w:before="0" w:beforeAutospacing="0" w:after="0" w:afterAutospacing="0"/>
              <w:ind w:left="0" w:right="0"/>
              <w:rPr>
                <w:rFonts w:hint="default"/>
                <w:color w:val="auto"/>
              </w:rPr>
            </w:pPr>
            <w:r>
              <w:rPr>
                <w:rFonts w:hint="eastAsia"/>
                <w:color w:val="auto"/>
              </w:rPr>
              <w:t>15</w:t>
            </w:r>
          </w:p>
        </w:tc>
        <w:tc>
          <w:tcPr>
            <w:tcW w:w="2182" w:type="pct"/>
            <w:gridSpan w:val="2"/>
            <w:vAlign w:val="center"/>
          </w:tcPr>
          <w:p w14:paraId="263D3602">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多年实测极大风速（m/s）、</w:t>
            </w:r>
            <w:r>
              <w:rPr>
                <w:rFonts w:hint="eastAsia"/>
                <w:color w:val="auto"/>
              </w:rPr>
              <w:t>对</w:t>
            </w:r>
            <w:r>
              <w:rPr>
                <w:rFonts w:hint="default"/>
                <w:color w:val="auto"/>
              </w:rPr>
              <w:t>应风向</w:t>
            </w:r>
          </w:p>
        </w:tc>
        <w:tc>
          <w:tcPr>
            <w:tcW w:w="1078" w:type="pct"/>
            <w:vAlign w:val="center"/>
          </w:tcPr>
          <w:p w14:paraId="154DAB05">
            <w:pPr>
              <w:pStyle w:val="77"/>
              <w:keepNext w:val="0"/>
              <w:keepLines w:val="0"/>
              <w:suppressLineNumbers w:val="0"/>
              <w:autoSpaceDE w:val="0"/>
              <w:autoSpaceDN w:val="0"/>
              <w:spacing w:before="0" w:beforeAutospacing="0" w:after="0" w:afterAutospacing="0"/>
              <w:ind w:left="0" w:right="0"/>
              <w:rPr>
                <w:rFonts w:hint="default"/>
                <w:color w:val="auto"/>
              </w:rPr>
            </w:pPr>
          </w:p>
        </w:tc>
        <w:tc>
          <w:tcPr>
            <w:tcW w:w="1275" w:type="pct"/>
            <w:tcBorders>
              <w:right w:val="single" w:color="auto" w:sz="12" w:space="0"/>
            </w:tcBorders>
            <w:vAlign w:val="center"/>
          </w:tcPr>
          <w:p w14:paraId="5FA68C72">
            <w:pPr>
              <w:pStyle w:val="77"/>
              <w:keepNext w:val="0"/>
              <w:keepLines w:val="0"/>
              <w:suppressLineNumbers w:val="0"/>
              <w:autoSpaceDE w:val="0"/>
              <w:autoSpaceDN w:val="0"/>
              <w:spacing w:before="0" w:beforeAutospacing="0" w:after="0" w:afterAutospacing="0"/>
              <w:ind w:left="0" w:right="0"/>
              <w:rPr>
                <w:rFonts w:hint="default"/>
                <w:color w:val="auto"/>
              </w:rPr>
            </w:pPr>
          </w:p>
        </w:tc>
      </w:tr>
      <w:tr w14:paraId="7B286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bottom w:val="single" w:color="auto" w:sz="12" w:space="0"/>
            </w:tcBorders>
            <w:vAlign w:val="center"/>
          </w:tcPr>
          <w:p w14:paraId="6D1F8549">
            <w:pPr>
              <w:pStyle w:val="77"/>
              <w:keepNext w:val="0"/>
              <w:keepLines w:val="0"/>
              <w:suppressLineNumbers w:val="0"/>
              <w:autoSpaceDE w:val="0"/>
              <w:autoSpaceDN w:val="0"/>
              <w:spacing w:before="0" w:beforeAutospacing="0" w:after="0" w:afterAutospacing="0"/>
              <w:ind w:left="0" w:right="0"/>
              <w:rPr>
                <w:rFonts w:hint="default"/>
                <w:color w:val="auto"/>
              </w:rPr>
            </w:pPr>
            <w:r>
              <w:rPr>
                <w:rFonts w:hint="eastAsia"/>
                <w:color w:val="auto"/>
              </w:rPr>
              <w:t>16</w:t>
            </w:r>
          </w:p>
        </w:tc>
        <w:tc>
          <w:tcPr>
            <w:tcW w:w="2182" w:type="pct"/>
            <w:gridSpan w:val="2"/>
            <w:tcBorders>
              <w:bottom w:val="single" w:color="auto" w:sz="12" w:space="0"/>
            </w:tcBorders>
            <w:vAlign w:val="center"/>
          </w:tcPr>
          <w:p w14:paraId="6D493F3F">
            <w:pPr>
              <w:pStyle w:val="77"/>
              <w:keepNext w:val="0"/>
              <w:keepLines w:val="0"/>
              <w:suppressLineNumbers w:val="0"/>
              <w:autoSpaceDE w:val="0"/>
              <w:autoSpaceDN w:val="0"/>
              <w:spacing w:before="0" w:beforeAutospacing="0" w:after="0" w:afterAutospacing="0"/>
              <w:ind w:left="0" w:right="0"/>
              <w:rPr>
                <w:rFonts w:hint="default"/>
                <w:color w:val="auto"/>
              </w:rPr>
            </w:pPr>
            <w:r>
              <w:rPr>
                <w:rFonts w:hint="default"/>
                <w:color w:val="auto"/>
              </w:rPr>
              <w:t>多年平均风速（m/s）</w:t>
            </w:r>
          </w:p>
        </w:tc>
        <w:tc>
          <w:tcPr>
            <w:tcW w:w="1078" w:type="pct"/>
            <w:tcBorders>
              <w:bottom w:val="single" w:color="auto" w:sz="12" w:space="0"/>
            </w:tcBorders>
            <w:vAlign w:val="center"/>
          </w:tcPr>
          <w:p w14:paraId="2E0C4C4C">
            <w:pPr>
              <w:pStyle w:val="77"/>
              <w:keepNext w:val="0"/>
              <w:keepLines w:val="0"/>
              <w:suppressLineNumbers w:val="0"/>
              <w:autoSpaceDE w:val="0"/>
              <w:autoSpaceDN w:val="0"/>
              <w:spacing w:before="0" w:beforeAutospacing="0" w:after="0" w:afterAutospacing="0"/>
              <w:ind w:left="0" w:right="0"/>
              <w:rPr>
                <w:rFonts w:hint="default"/>
                <w:color w:val="auto"/>
              </w:rPr>
            </w:pPr>
          </w:p>
        </w:tc>
        <w:tc>
          <w:tcPr>
            <w:tcW w:w="1275" w:type="pct"/>
            <w:tcBorders>
              <w:bottom w:val="single" w:color="auto" w:sz="12" w:space="0"/>
              <w:right w:val="single" w:color="auto" w:sz="12" w:space="0"/>
            </w:tcBorders>
            <w:vAlign w:val="center"/>
          </w:tcPr>
          <w:p w14:paraId="28D7D58E">
            <w:pPr>
              <w:pStyle w:val="77"/>
              <w:keepNext w:val="0"/>
              <w:keepLines w:val="0"/>
              <w:suppressLineNumbers w:val="0"/>
              <w:autoSpaceDE w:val="0"/>
              <w:autoSpaceDN w:val="0"/>
              <w:spacing w:before="0" w:beforeAutospacing="0" w:after="0" w:afterAutospacing="0"/>
              <w:ind w:left="0" w:right="0"/>
              <w:rPr>
                <w:rFonts w:hint="default"/>
                <w:color w:val="auto"/>
              </w:rPr>
            </w:pPr>
          </w:p>
        </w:tc>
      </w:tr>
    </w:tbl>
    <w:p w14:paraId="5857ACDA">
      <w:pPr>
        <w:ind w:firstLine="480"/>
        <w:rPr>
          <w:color w:val="auto"/>
        </w:rPr>
      </w:pPr>
      <w:r>
        <w:rPr>
          <w:color w:val="auto"/>
        </w:rPr>
        <w:t>（1）多年月平均气温与极端气温</w:t>
      </w:r>
    </w:p>
    <w:p w14:paraId="368F0861">
      <w:pPr>
        <w:ind w:firstLine="480"/>
        <w:rPr>
          <w:color w:val="auto"/>
        </w:rPr>
      </w:pPr>
      <w:r>
        <w:rPr>
          <w:color w:val="auto"/>
        </w:rPr>
        <w:t>钦州气象站多年月平均气温统计中7月气温最高（29</w:t>
      </w:r>
      <w:r>
        <w:rPr>
          <w:rFonts w:hint="eastAsia" w:ascii="宋体" w:hAnsi="宋体" w:cs="宋体"/>
          <w:color w:val="auto"/>
          <w:lang w:eastAsia="ja-JP"/>
        </w:rPr>
        <w:t>℃</w:t>
      </w:r>
      <w:r>
        <w:rPr>
          <w:color w:val="auto"/>
        </w:rPr>
        <w:t>），1月气温最低（14</w:t>
      </w:r>
      <w:r>
        <w:rPr>
          <w:rFonts w:hint="eastAsia" w:ascii="宋体" w:hAnsi="宋体" w:cs="宋体"/>
          <w:color w:val="auto"/>
          <w:lang w:eastAsia="ja-JP"/>
        </w:rPr>
        <w:t>℃</w:t>
      </w:r>
      <w:r>
        <w:rPr>
          <w:color w:val="auto"/>
        </w:rPr>
        <w:t>），近20年极端最高气温出现在2005</w:t>
      </w:r>
      <w:r>
        <w:rPr>
          <w:rFonts w:hint="eastAsia"/>
          <w:color w:val="auto"/>
        </w:rPr>
        <w:t>年7月19日</w:t>
      </w:r>
      <w:r>
        <w:rPr>
          <w:color w:val="auto"/>
        </w:rPr>
        <w:t>（37.9</w:t>
      </w:r>
      <w:r>
        <w:rPr>
          <w:rFonts w:hint="eastAsia" w:ascii="宋体" w:hAnsi="宋体" w:cs="宋体"/>
          <w:color w:val="auto"/>
          <w:lang w:eastAsia="ja-JP"/>
        </w:rPr>
        <w:t>℃</w:t>
      </w:r>
      <w:r>
        <w:rPr>
          <w:color w:val="auto"/>
        </w:rPr>
        <w:t>），近20年极端最低气温出现在2016</w:t>
      </w:r>
      <w:r>
        <w:rPr>
          <w:rFonts w:hint="eastAsia"/>
          <w:color w:val="auto"/>
        </w:rPr>
        <w:t>年</w:t>
      </w:r>
      <w:r>
        <w:rPr>
          <w:color w:val="auto"/>
        </w:rPr>
        <w:t>1</w:t>
      </w:r>
      <w:r>
        <w:rPr>
          <w:rFonts w:hint="eastAsia"/>
          <w:color w:val="auto"/>
        </w:rPr>
        <w:t>月</w:t>
      </w:r>
      <w:r>
        <w:rPr>
          <w:color w:val="auto"/>
        </w:rPr>
        <w:t>24</w:t>
      </w:r>
      <w:r>
        <w:rPr>
          <w:rFonts w:hint="eastAsia"/>
          <w:color w:val="auto"/>
        </w:rPr>
        <w:t>日</w:t>
      </w:r>
      <w:r>
        <w:rPr>
          <w:color w:val="auto"/>
        </w:rPr>
        <w:t>（1.6</w:t>
      </w:r>
      <w:r>
        <w:rPr>
          <w:rFonts w:hint="eastAsia" w:ascii="宋体" w:hAnsi="宋体" w:cs="宋体"/>
          <w:color w:val="auto"/>
          <w:lang w:eastAsia="ja-JP"/>
        </w:rPr>
        <w:t>℃</w:t>
      </w:r>
      <w:r>
        <w:rPr>
          <w:color w:val="auto"/>
        </w:rPr>
        <w:t>），其变化趋势详见图</w:t>
      </w:r>
      <w:r>
        <w:rPr>
          <w:rFonts w:hint="eastAsia"/>
          <w:color w:val="auto"/>
        </w:rPr>
        <w:t>4</w:t>
      </w:r>
      <w:r>
        <w:rPr>
          <w:color w:val="auto"/>
        </w:rPr>
        <w:t>.</w:t>
      </w:r>
      <w:r>
        <w:rPr>
          <w:rFonts w:hint="eastAsia"/>
          <w:color w:val="auto"/>
        </w:rPr>
        <w:t>3</w:t>
      </w:r>
      <w:r>
        <w:rPr>
          <w:color w:val="auto"/>
        </w:rPr>
        <w:t>-1。</w:t>
      </w:r>
    </w:p>
    <w:p w14:paraId="28413B45">
      <w:pPr>
        <w:adjustRightInd w:val="0"/>
        <w:ind w:firstLine="0" w:firstLineChars="0"/>
        <w:jc w:val="center"/>
        <w:rPr>
          <w:rFonts w:hint="default" w:eastAsia="宋体"/>
          <w:color w:val="auto"/>
          <w:lang w:val="en-US" w:eastAsia="zh-CN"/>
        </w:rPr>
      </w:pPr>
      <w:r>
        <w:rPr>
          <w:rFonts w:hint="eastAsia"/>
          <w:color w:val="auto"/>
          <w:lang w:val="en-US" w:eastAsia="zh-CN"/>
        </w:rPr>
        <w:t>***</w:t>
      </w:r>
    </w:p>
    <w:p w14:paraId="698B8B39">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4.1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rFonts w:hint="eastAsia"/>
          <w:color w:val="auto"/>
        </w:rPr>
        <w:t>钦州市多年月平均气温变化情况（200</w:t>
      </w:r>
      <w:r>
        <w:rPr>
          <w:color w:val="auto"/>
        </w:rPr>
        <w:t>4</w:t>
      </w:r>
      <w:r>
        <w:rPr>
          <w:rFonts w:hint="eastAsia"/>
          <w:color w:val="auto"/>
        </w:rPr>
        <w:t>~202</w:t>
      </w:r>
      <w:r>
        <w:rPr>
          <w:color w:val="auto"/>
        </w:rPr>
        <w:t>3</w:t>
      </w:r>
      <w:r>
        <w:rPr>
          <w:rFonts w:hint="eastAsia"/>
          <w:color w:val="auto"/>
        </w:rPr>
        <w:t>，单位：℃）</w:t>
      </w:r>
    </w:p>
    <w:p w14:paraId="2968FCA6">
      <w:pPr>
        <w:ind w:firstLine="480"/>
        <w:jc w:val="left"/>
        <w:rPr>
          <w:color w:val="auto"/>
        </w:rPr>
      </w:pPr>
      <w:r>
        <w:rPr>
          <w:color w:val="auto"/>
        </w:rPr>
        <w:t>（2）温度年际变化趋势与周期分析</w:t>
      </w:r>
    </w:p>
    <w:p w14:paraId="3BB13835">
      <w:pPr>
        <w:ind w:firstLine="480"/>
        <w:rPr>
          <w:color w:val="auto"/>
        </w:rPr>
      </w:pPr>
      <w:r>
        <w:rPr>
          <w:color w:val="auto"/>
        </w:rPr>
        <w:t>钦州市气象站近20年气温无明显变化趋势，2015年年平均气温最高（23.8</w:t>
      </w:r>
      <w:r>
        <w:rPr>
          <w:rFonts w:hint="eastAsia" w:ascii="宋体" w:hAnsi="宋体" w:cs="宋体"/>
          <w:color w:val="auto"/>
          <w:lang w:eastAsia="ja-JP"/>
        </w:rPr>
        <w:t>℃</w:t>
      </w:r>
      <w:r>
        <w:rPr>
          <w:color w:val="auto"/>
        </w:rPr>
        <w:t>），2011年</w:t>
      </w:r>
      <w:r>
        <w:rPr>
          <w:rFonts w:hint="eastAsia"/>
          <w:color w:val="auto"/>
        </w:rPr>
        <w:t>及2022年</w:t>
      </w:r>
      <w:r>
        <w:rPr>
          <w:color w:val="auto"/>
        </w:rPr>
        <w:t>的年平均气温最低（22.2</w:t>
      </w:r>
      <w:r>
        <w:rPr>
          <w:rFonts w:hint="eastAsia" w:ascii="宋体" w:hAnsi="宋体" w:cs="宋体"/>
          <w:color w:val="auto"/>
          <w:lang w:eastAsia="ja-JP"/>
        </w:rPr>
        <w:t>℃</w:t>
      </w:r>
      <w:r>
        <w:rPr>
          <w:color w:val="auto"/>
        </w:rPr>
        <w:t>），其变化趋势详见图</w:t>
      </w:r>
      <w:r>
        <w:rPr>
          <w:rFonts w:hint="eastAsia"/>
          <w:color w:val="auto"/>
        </w:rPr>
        <w:t>4</w:t>
      </w:r>
      <w:r>
        <w:rPr>
          <w:color w:val="auto"/>
        </w:rPr>
        <w:t>.</w:t>
      </w:r>
      <w:r>
        <w:rPr>
          <w:rFonts w:hint="eastAsia"/>
          <w:color w:val="auto"/>
        </w:rPr>
        <w:t>3</w:t>
      </w:r>
      <w:r>
        <w:rPr>
          <w:color w:val="auto"/>
        </w:rPr>
        <w:t>-2。</w:t>
      </w:r>
    </w:p>
    <w:p w14:paraId="2719F704">
      <w:pPr>
        <w:adjustRightInd w:val="0"/>
        <w:ind w:firstLine="0" w:firstLineChars="0"/>
        <w:jc w:val="center"/>
        <w:rPr>
          <w:rFonts w:hint="default" w:eastAsia="宋体"/>
          <w:color w:val="auto"/>
          <w:lang w:val="en-US" w:eastAsia="zh-CN"/>
        </w:rPr>
      </w:pPr>
      <w:r>
        <w:rPr>
          <w:rFonts w:hint="eastAsia"/>
          <w:color w:val="auto"/>
          <w:lang w:val="en-US" w:eastAsia="zh-CN"/>
        </w:rPr>
        <w:t>***</w:t>
      </w:r>
    </w:p>
    <w:p w14:paraId="400B9E10">
      <w:pPr>
        <w:ind w:firstLine="0" w:firstLineChars="0"/>
        <w:jc w:val="center"/>
        <w:rPr>
          <w:color w:val="auto"/>
        </w:rPr>
      </w:pPr>
    </w:p>
    <w:p w14:paraId="04400144">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4.1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2</w:t>
      </w:r>
      <w:r>
        <w:rPr>
          <w:color w:val="auto"/>
        </w:rPr>
        <w:fldChar w:fldCharType="end"/>
      </w:r>
      <w:r>
        <w:rPr>
          <w:rFonts w:hint="eastAsia"/>
          <w:color w:val="auto"/>
        </w:rPr>
        <w:t>钦州市多年年平均气温变化情况（200</w:t>
      </w:r>
      <w:r>
        <w:rPr>
          <w:color w:val="auto"/>
        </w:rPr>
        <w:t>4</w:t>
      </w:r>
      <w:r>
        <w:rPr>
          <w:rFonts w:hint="eastAsia"/>
          <w:color w:val="auto"/>
        </w:rPr>
        <w:t>~202</w:t>
      </w:r>
      <w:r>
        <w:rPr>
          <w:color w:val="auto"/>
        </w:rPr>
        <w:t>3</w:t>
      </w:r>
      <w:r>
        <w:rPr>
          <w:rFonts w:hint="eastAsia"/>
          <w:color w:val="auto"/>
        </w:rPr>
        <w:t>，单位：℃）</w:t>
      </w:r>
    </w:p>
    <w:p w14:paraId="267D3C9C">
      <w:pPr>
        <w:ind w:firstLine="480"/>
        <w:rPr>
          <w:color w:val="auto"/>
        </w:rPr>
      </w:pPr>
      <w:r>
        <w:rPr>
          <w:color w:val="auto"/>
        </w:rPr>
        <w:t>（3）多年月平均风速</w:t>
      </w:r>
    </w:p>
    <w:p w14:paraId="2D8AFB46">
      <w:pPr>
        <w:ind w:firstLine="480"/>
        <w:rPr>
          <w:color w:val="auto"/>
        </w:rPr>
      </w:pPr>
      <w:r>
        <w:rPr>
          <w:color w:val="auto"/>
        </w:rPr>
        <w:t>钦州市多年月平均风速如表5.3-2所示；从表中可知多年来钦州12月平均风速最大（2.6米/秒），8月风速最小（2米/秒）</w:t>
      </w:r>
      <w:r>
        <w:rPr>
          <w:rFonts w:hint="eastAsia"/>
          <w:color w:val="auto"/>
        </w:rPr>
        <w:t>。</w:t>
      </w:r>
    </w:p>
    <w:p w14:paraId="47D674A9">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4.1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2</w:t>
      </w:r>
      <w:r>
        <w:rPr>
          <w:color w:val="auto"/>
        </w:rPr>
        <w:fldChar w:fldCharType="end"/>
      </w:r>
      <w:r>
        <w:rPr>
          <w:rFonts w:hint="eastAsia"/>
          <w:color w:val="auto"/>
        </w:rPr>
        <w:t>钦州市多年月平均风速一览（单位：m/s）</w:t>
      </w:r>
    </w:p>
    <w:tbl>
      <w:tblPr>
        <w:tblStyle w:val="43"/>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5"/>
        <w:gridCol w:w="692"/>
        <w:gridCol w:w="692"/>
        <w:gridCol w:w="696"/>
        <w:gridCol w:w="696"/>
        <w:gridCol w:w="696"/>
        <w:gridCol w:w="696"/>
        <w:gridCol w:w="696"/>
        <w:gridCol w:w="696"/>
        <w:gridCol w:w="696"/>
        <w:gridCol w:w="696"/>
        <w:gridCol w:w="696"/>
        <w:gridCol w:w="686"/>
      </w:tblGrid>
      <w:tr w14:paraId="27B73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41" w:type="pct"/>
            <w:tcBorders>
              <w:top w:val="single" w:color="auto" w:sz="12" w:space="0"/>
              <w:left w:val="single" w:color="auto" w:sz="12" w:space="0"/>
            </w:tcBorders>
            <w:vAlign w:val="center"/>
          </w:tcPr>
          <w:p w14:paraId="09465522">
            <w:pPr>
              <w:pStyle w:val="77"/>
              <w:keepNext w:val="0"/>
              <w:keepLines w:val="0"/>
              <w:suppressLineNumbers w:val="0"/>
              <w:autoSpaceDE w:val="0"/>
              <w:autoSpaceDN w:val="0"/>
              <w:spacing w:before="0" w:beforeAutospacing="0" w:after="0" w:afterAutospacing="0"/>
              <w:ind w:left="0" w:right="0"/>
              <w:rPr>
                <w:rFonts w:hint="default"/>
                <w:color w:val="auto"/>
              </w:rPr>
            </w:pPr>
            <w:r>
              <w:rPr>
                <w:rFonts w:hint="eastAsia"/>
                <w:color w:val="auto"/>
              </w:rPr>
              <w:t>月份</w:t>
            </w:r>
          </w:p>
        </w:tc>
        <w:tc>
          <w:tcPr>
            <w:tcW w:w="362" w:type="pct"/>
            <w:tcBorders>
              <w:top w:val="single" w:color="auto" w:sz="12" w:space="0"/>
            </w:tcBorders>
            <w:vAlign w:val="center"/>
          </w:tcPr>
          <w:p w14:paraId="6A3CB5BE">
            <w:pPr>
              <w:pStyle w:val="77"/>
              <w:keepNext w:val="0"/>
              <w:keepLines w:val="0"/>
              <w:suppressLineNumbers w:val="0"/>
              <w:autoSpaceDE w:val="0"/>
              <w:autoSpaceDN w:val="0"/>
              <w:spacing w:before="0" w:beforeAutospacing="0" w:after="0" w:afterAutospacing="0"/>
              <w:ind w:left="0" w:right="0"/>
              <w:rPr>
                <w:rFonts w:hint="default"/>
                <w:color w:val="auto"/>
              </w:rPr>
            </w:pPr>
            <w:r>
              <w:rPr>
                <w:rFonts w:hint="eastAsia"/>
                <w:color w:val="auto"/>
              </w:rPr>
              <w:t>1</w:t>
            </w:r>
          </w:p>
        </w:tc>
        <w:tc>
          <w:tcPr>
            <w:tcW w:w="362" w:type="pct"/>
            <w:tcBorders>
              <w:top w:val="single" w:color="auto" w:sz="12" w:space="0"/>
            </w:tcBorders>
            <w:vAlign w:val="center"/>
          </w:tcPr>
          <w:p w14:paraId="3615234C">
            <w:pPr>
              <w:pStyle w:val="77"/>
              <w:keepNext w:val="0"/>
              <w:keepLines w:val="0"/>
              <w:suppressLineNumbers w:val="0"/>
              <w:autoSpaceDE w:val="0"/>
              <w:autoSpaceDN w:val="0"/>
              <w:spacing w:before="0" w:beforeAutospacing="0" w:after="0" w:afterAutospacing="0"/>
              <w:ind w:left="0" w:right="0"/>
              <w:rPr>
                <w:rFonts w:hint="default"/>
                <w:color w:val="auto"/>
              </w:rPr>
            </w:pPr>
            <w:r>
              <w:rPr>
                <w:rFonts w:hint="eastAsia"/>
                <w:color w:val="auto"/>
              </w:rPr>
              <w:t>2</w:t>
            </w:r>
          </w:p>
        </w:tc>
        <w:tc>
          <w:tcPr>
            <w:tcW w:w="364" w:type="pct"/>
            <w:tcBorders>
              <w:top w:val="single" w:color="auto" w:sz="12" w:space="0"/>
            </w:tcBorders>
            <w:vAlign w:val="center"/>
          </w:tcPr>
          <w:p w14:paraId="63F7FC50">
            <w:pPr>
              <w:pStyle w:val="77"/>
              <w:keepNext w:val="0"/>
              <w:keepLines w:val="0"/>
              <w:suppressLineNumbers w:val="0"/>
              <w:autoSpaceDE w:val="0"/>
              <w:autoSpaceDN w:val="0"/>
              <w:spacing w:before="0" w:beforeAutospacing="0" w:after="0" w:afterAutospacing="0"/>
              <w:ind w:left="0" w:right="0"/>
              <w:rPr>
                <w:rFonts w:hint="default"/>
                <w:color w:val="auto"/>
              </w:rPr>
            </w:pPr>
            <w:r>
              <w:rPr>
                <w:rFonts w:hint="eastAsia"/>
                <w:color w:val="auto"/>
              </w:rPr>
              <w:t>3</w:t>
            </w:r>
          </w:p>
        </w:tc>
        <w:tc>
          <w:tcPr>
            <w:tcW w:w="364" w:type="pct"/>
            <w:tcBorders>
              <w:top w:val="single" w:color="auto" w:sz="12" w:space="0"/>
            </w:tcBorders>
            <w:vAlign w:val="center"/>
          </w:tcPr>
          <w:p w14:paraId="3B9783DF">
            <w:pPr>
              <w:pStyle w:val="77"/>
              <w:keepNext w:val="0"/>
              <w:keepLines w:val="0"/>
              <w:suppressLineNumbers w:val="0"/>
              <w:autoSpaceDE w:val="0"/>
              <w:autoSpaceDN w:val="0"/>
              <w:spacing w:before="0" w:beforeAutospacing="0" w:after="0" w:afterAutospacing="0"/>
              <w:ind w:left="0" w:right="0"/>
              <w:rPr>
                <w:rFonts w:hint="default"/>
                <w:color w:val="auto"/>
              </w:rPr>
            </w:pPr>
            <w:r>
              <w:rPr>
                <w:rFonts w:hint="eastAsia"/>
                <w:color w:val="auto"/>
              </w:rPr>
              <w:t>4</w:t>
            </w:r>
          </w:p>
        </w:tc>
        <w:tc>
          <w:tcPr>
            <w:tcW w:w="364" w:type="pct"/>
            <w:tcBorders>
              <w:top w:val="single" w:color="auto" w:sz="12" w:space="0"/>
            </w:tcBorders>
            <w:vAlign w:val="center"/>
          </w:tcPr>
          <w:p w14:paraId="3EAAD0B0">
            <w:pPr>
              <w:pStyle w:val="77"/>
              <w:keepNext w:val="0"/>
              <w:keepLines w:val="0"/>
              <w:suppressLineNumbers w:val="0"/>
              <w:autoSpaceDE w:val="0"/>
              <w:autoSpaceDN w:val="0"/>
              <w:spacing w:before="0" w:beforeAutospacing="0" w:after="0" w:afterAutospacing="0"/>
              <w:ind w:left="0" w:right="0"/>
              <w:rPr>
                <w:rFonts w:hint="default"/>
                <w:color w:val="auto"/>
              </w:rPr>
            </w:pPr>
            <w:r>
              <w:rPr>
                <w:rFonts w:hint="eastAsia"/>
                <w:color w:val="auto"/>
              </w:rPr>
              <w:t>5</w:t>
            </w:r>
          </w:p>
        </w:tc>
        <w:tc>
          <w:tcPr>
            <w:tcW w:w="364" w:type="pct"/>
            <w:tcBorders>
              <w:top w:val="single" w:color="auto" w:sz="12" w:space="0"/>
            </w:tcBorders>
            <w:vAlign w:val="center"/>
          </w:tcPr>
          <w:p w14:paraId="3A14BF23">
            <w:pPr>
              <w:pStyle w:val="77"/>
              <w:keepNext w:val="0"/>
              <w:keepLines w:val="0"/>
              <w:suppressLineNumbers w:val="0"/>
              <w:autoSpaceDE w:val="0"/>
              <w:autoSpaceDN w:val="0"/>
              <w:spacing w:before="0" w:beforeAutospacing="0" w:after="0" w:afterAutospacing="0"/>
              <w:ind w:left="0" w:right="0"/>
              <w:rPr>
                <w:rFonts w:hint="default"/>
                <w:color w:val="auto"/>
              </w:rPr>
            </w:pPr>
            <w:r>
              <w:rPr>
                <w:rFonts w:hint="eastAsia"/>
                <w:color w:val="auto"/>
              </w:rPr>
              <w:t>6</w:t>
            </w:r>
          </w:p>
        </w:tc>
        <w:tc>
          <w:tcPr>
            <w:tcW w:w="364" w:type="pct"/>
            <w:tcBorders>
              <w:top w:val="single" w:color="auto" w:sz="12" w:space="0"/>
            </w:tcBorders>
            <w:vAlign w:val="center"/>
          </w:tcPr>
          <w:p w14:paraId="48F57B54">
            <w:pPr>
              <w:pStyle w:val="77"/>
              <w:keepNext w:val="0"/>
              <w:keepLines w:val="0"/>
              <w:suppressLineNumbers w:val="0"/>
              <w:autoSpaceDE w:val="0"/>
              <w:autoSpaceDN w:val="0"/>
              <w:spacing w:before="0" w:beforeAutospacing="0" w:after="0" w:afterAutospacing="0"/>
              <w:ind w:left="0" w:right="0"/>
              <w:rPr>
                <w:rFonts w:hint="default"/>
                <w:color w:val="auto"/>
              </w:rPr>
            </w:pPr>
            <w:r>
              <w:rPr>
                <w:rFonts w:hint="eastAsia"/>
                <w:color w:val="auto"/>
              </w:rPr>
              <w:t>7</w:t>
            </w:r>
          </w:p>
        </w:tc>
        <w:tc>
          <w:tcPr>
            <w:tcW w:w="364" w:type="pct"/>
            <w:tcBorders>
              <w:top w:val="single" w:color="auto" w:sz="12" w:space="0"/>
            </w:tcBorders>
            <w:vAlign w:val="center"/>
          </w:tcPr>
          <w:p w14:paraId="0C8928A6">
            <w:pPr>
              <w:pStyle w:val="77"/>
              <w:keepNext w:val="0"/>
              <w:keepLines w:val="0"/>
              <w:suppressLineNumbers w:val="0"/>
              <w:autoSpaceDE w:val="0"/>
              <w:autoSpaceDN w:val="0"/>
              <w:spacing w:before="0" w:beforeAutospacing="0" w:after="0" w:afterAutospacing="0"/>
              <w:ind w:left="0" w:right="0"/>
              <w:rPr>
                <w:rFonts w:hint="default"/>
                <w:color w:val="auto"/>
              </w:rPr>
            </w:pPr>
            <w:r>
              <w:rPr>
                <w:rFonts w:hint="eastAsia"/>
                <w:color w:val="auto"/>
              </w:rPr>
              <w:t>8</w:t>
            </w:r>
          </w:p>
        </w:tc>
        <w:tc>
          <w:tcPr>
            <w:tcW w:w="364" w:type="pct"/>
            <w:tcBorders>
              <w:top w:val="single" w:color="auto" w:sz="12" w:space="0"/>
            </w:tcBorders>
            <w:vAlign w:val="center"/>
          </w:tcPr>
          <w:p w14:paraId="04E927B3">
            <w:pPr>
              <w:pStyle w:val="77"/>
              <w:keepNext w:val="0"/>
              <w:keepLines w:val="0"/>
              <w:suppressLineNumbers w:val="0"/>
              <w:autoSpaceDE w:val="0"/>
              <w:autoSpaceDN w:val="0"/>
              <w:spacing w:before="0" w:beforeAutospacing="0" w:after="0" w:afterAutospacing="0"/>
              <w:ind w:left="0" w:right="0"/>
              <w:rPr>
                <w:rFonts w:hint="default"/>
                <w:color w:val="auto"/>
              </w:rPr>
            </w:pPr>
            <w:r>
              <w:rPr>
                <w:rFonts w:hint="eastAsia"/>
                <w:color w:val="auto"/>
              </w:rPr>
              <w:t>9</w:t>
            </w:r>
          </w:p>
        </w:tc>
        <w:tc>
          <w:tcPr>
            <w:tcW w:w="364" w:type="pct"/>
            <w:tcBorders>
              <w:top w:val="single" w:color="auto" w:sz="12" w:space="0"/>
            </w:tcBorders>
            <w:vAlign w:val="center"/>
          </w:tcPr>
          <w:p w14:paraId="7FA4A4C3">
            <w:pPr>
              <w:pStyle w:val="77"/>
              <w:keepNext w:val="0"/>
              <w:keepLines w:val="0"/>
              <w:suppressLineNumbers w:val="0"/>
              <w:autoSpaceDE w:val="0"/>
              <w:autoSpaceDN w:val="0"/>
              <w:spacing w:before="0" w:beforeAutospacing="0" w:after="0" w:afterAutospacing="0"/>
              <w:ind w:left="0" w:right="0"/>
              <w:rPr>
                <w:rFonts w:hint="default"/>
                <w:color w:val="auto"/>
              </w:rPr>
            </w:pPr>
            <w:r>
              <w:rPr>
                <w:rFonts w:hint="eastAsia"/>
                <w:color w:val="auto"/>
              </w:rPr>
              <w:t>10</w:t>
            </w:r>
          </w:p>
        </w:tc>
        <w:tc>
          <w:tcPr>
            <w:tcW w:w="364" w:type="pct"/>
            <w:tcBorders>
              <w:top w:val="single" w:color="auto" w:sz="12" w:space="0"/>
            </w:tcBorders>
            <w:vAlign w:val="center"/>
          </w:tcPr>
          <w:p w14:paraId="6A51C985">
            <w:pPr>
              <w:pStyle w:val="77"/>
              <w:keepNext w:val="0"/>
              <w:keepLines w:val="0"/>
              <w:suppressLineNumbers w:val="0"/>
              <w:autoSpaceDE w:val="0"/>
              <w:autoSpaceDN w:val="0"/>
              <w:spacing w:before="0" w:beforeAutospacing="0" w:after="0" w:afterAutospacing="0"/>
              <w:ind w:left="0" w:right="0"/>
              <w:rPr>
                <w:rFonts w:hint="default"/>
                <w:color w:val="auto"/>
              </w:rPr>
            </w:pPr>
            <w:r>
              <w:rPr>
                <w:rFonts w:hint="eastAsia"/>
                <w:color w:val="auto"/>
              </w:rPr>
              <w:t>11</w:t>
            </w:r>
          </w:p>
        </w:tc>
        <w:tc>
          <w:tcPr>
            <w:tcW w:w="362" w:type="pct"/>
            <w:tcBorders>
              <w:top w:val="single" w:color="auto" w:sz="12" w:space="0"/>
              <w:right w:val="single" w:color="auto" w:sz="12" w:space="0"/>
            </w:tcBorders>
            <w:vAlign w:val="center"/>
          </w:tcPr>
          <w:p w14:paraId="5EACD6BF">
            <w:pPr>
              <w:pStyle w:val="77"/>
              <w:keepNext w:val="0"/>
              <w:keepLines w:val="0"/>
              <w:suppressLineNumbers w:val="0"/>
              <w:autoSpaceDE w:val="0"/>
              <w:autoSpaceDN w:val="0"/>
              <w:spacing w:before="0" w:beforeAutospacing="0" w:after="0" w:afterAutospacing="0"/>
              <w:ind w:left="0" w:right="0"/>
              <w:rPr>
                <w:rFonts w:hint="default"/>
                <w:color w:val="auto"/>
              </w:rPr>
            </w:pPr>
            <w:r>
              <w:rPr>
                <w:rFonts w:hint="eastAsia"/>
                <w:color w:val="auto"/>
              </w:rPr>
              <w:t>12</w:t>
            </w:r>
          </w:p>
        </w:tc>
      </w:tr>
      <w:tr w14:paraId="03AFB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41" w:type="pct"/>
            <w:tcBorders>
              <w:left w:val="single" w:color="auto" w:sz="12" w:space="0"/>
              <w:bottom w:val="single" w:color="auto" w:sz="12" w:space="0"/>
            </w:tcBorders>
            <w:vAlign w:val="center"/>
          </w:tcPr>
          <w:p w14:paraId="3B051B49">
            <w:pPr>
              <w:pStyle w:val="77"/>
              <w:keepNext w:val="0"/>
              <w:keepLines w:val="0"/>
              <w:suppressLineNumbers w:val="0"/>
              <w:autoSpaceDE w:val="0"/>
              <w:autoSpaceDN w:val="0"/>
              <w:spacing w:before="0" w:beforeAutospacing="0" w:after="0" w:afterAutospacing="0"/>
              <w:ind w:left="0" w:right="0"/>
              <w:rPr>
                <w:rFonts w:hint="default"/>
                <w:color w:val="auto"/>
              </w:rPr>
            </w:pPr>
            <w:r>
              <w:rPr>
                <w:rFonts w:hint="eastAsia"/>
                <w:color w:val="auto"/>
              </w:rPr>
              <w:t>平均风速</w:t>
            </w:r>
          </w:p>
        </w:tc>
        <w:tc>
          <w:tcPr>
            <w:tcW w:w="362" w:type="pct"/>
            <w:tcBorders>
              <w:bottom w:val="single" w:color="auto" w:sz="12" w:space="0"/>
            </w:tcBorders>
          </w:tcPr>
          <w:p w14:paraId="4DF49756">
            <w:pPr>
              <w:pStyle w:val="91"/>
              <w:keepNext w:val="0"/>
              <w:keepLines w:val="0"/>
              <w:suppressLineNumbers w:val="0"/>
              <w:spacing w:before="0" w:beforeAutospacing="0" w:after="0" w:afterAutospacing="0"/>
              <w:ind w:left="0" w:right="0"/>
              <w:rPr>
                <w:rFonts w:hint="default"/>
                <w:color w:val="auto"/>
              </w:rPr>
            </w:pPr>
          </w:p>
        </w:tc>
        <w:tc>
          <w:tcPr>
            <w:tcW w:w="362" w:type="pct"/>
            <w:tcBorders>
              <w:bottom w:val="single" w:color="auto" w:sz="12" w:space="0"/>
            </w:tcBorders>
          </w:tcPr>
          <w:p w14:paraId="3B5E9396">
            <w:pPr>
              <w:pStyle w:val="91"/>
              <w:keepNext w:val="0"/>
              <w:keepLines w:val="0"/>
              <w:suppressLineNumbers w:val="0"/>
              <w:spacing w:before="0" w:beforeAutospacing="0" w:after="0" w:afterAutospacing="0"/>
              <w:ind w:left="0" w:right="0"/>
              <w:rPr>
                <w:rFonts w:hint="default"/>
                <w:color w:val="auto"/>
              </w:rPr>
            </w:pPr>
          </w:p>
        </w:tc>
        <w:tc>
          <w:tcPr>
            <w:tcW w:w="364" w:type="pct"/>
            <w:tcBorders>
              <w:bottom w:val="single" w:color="auto" w:sz="12" w:space="0"/>
            </w:tcBorders>
          </w:tcPr>
          <w:p w14:paraId="3650B710">
            <w:pPr>
              <w:pStyle w:val="91"/>
              <w:keepNext w:val="0"/>
              <w:keepLines w:val="0"/>
              <w:suppressLineNumbers w:val="0"/>
              <w:spacing w:before="0" w:beforeAutospacing="0" w:after="0" w:afterAutospacing="0"/>
              <w:ind w:left="0" w:right="0"/>
              <w:rPr>
                <w:rFonts w:hint="default"/>
                <w:color w:val="auto"/>
              </w:rPr>
            </w:pPr>
          </w:p>
        </w:tc>
        <w:tc>
          <w:tcPr>
            <w:tcW w:w="364" w:type="pct"/>
            <w:tcBorders>
              <w:bottom w:val="single" w:color="auto" w:sz="12" w:space="0"/>
            </w:tcBorders>
          </w:tcPr>
          <w:p w14:paraId="518BA4EC">
            <w:pPr>
              <w:pStyle w:val="91"/>
              <w:keepNext w:val="0"/>
              <w:keepLines w:val="0"/>
              <w:suppressLineNumbers w:val="0"/>
              <w:spacing w:before="0" w:beforeAutospacing="0" w:after="0" w:afterAutospacing="0"/>
              <w:ind w:left="0" w:right="0"/>
              <w:rPr>
                <w:rFonts w:hint="default"/>
                <w:color w:val="auto"/>
              </w:rPr>
            </w:pPr>
          </w:p>
        </w:tc>
        <w:tc>
          <w:tcPr>
            <w:tcW w:w="364" w:type="pct"/>
            <w:tcBorders>
              <w:bottom w:val="single" w:color="auto" w:sz="12" w:space="0"/>
            </w:tcBorders>
          </w:tcPr>
          <w:p w14:paraId="7542CFD7">
            <w:pPr>
              <w:pStyle w:val="91"/>
              <w:keepNext w:val="0"/>
              <w:keepLines w:val="0"/>
              <w:suppressLineNumbers w:val="0"/>
              <w:spacing w:before="0" w:beforeAutospacing="0" w:after="0" w:afterAutospacing="0"/>
              <w:ind w:left="0" w:right="0"/>
              <w:rPr>
                <w:rFonts w:hint="default"/>
                <w:color w:val="auto"/>
              </w:rPr>
            </w:pPr>
          </w:p>
        </w:tc>
        <w:tc>
          <w:tcPr>
            <w:tcW w:w="364" w:type="pct"/>
            <w:tcBorders>
              <w:bottom w:val="single" w:color="auto" w:sz="12" w:space="0"/>
            </w:tcBorders>
          </w:tcPr>
          <w:p w14:paraId="1F2C70B4">
            <w:pPr>
              <w:pStyle w:val="91"/>
              <w:keepNext w:val="0"/>
              <w:keepLines w:val="0"/>
              <w:suppressLineNumbers w:val="0"/>
              <w:spacing w:before="0" w:beforeAutospacing="0" w:after="0" w:afterAutospacing="0"/>
              <w:ind w:left="0" w:right="0"/>
              <w:rPr>
                <w:rFonts w:hint="default"/>
                <w:color w:val="auto"/>
              </w:rPr>
            </w:pPr>
          </w:p>
        </w:tc>
        <w:tc>
          <w:tcPr>
            <w:tcW w:w="364" w:type="pct"/>
            <w:tcBorders>
              <w:bottom w:val="single" w:color="auto" w:sz="12" w:space="0"/>
            </w:tcBorders>
          </w:tcPr>
          <w:p w14:paraId="06EC7E23">
            <w:pPr>
              <w:pStyle w:val="91"/>
              <w:keepNext w:val="0"/>
              <w:keepLines w:val="0"/>
              <w:suppressLineNumbers w:val="0"/>
              <w:spacing w:before="0" w:beforeAutospacing="0" w:after="0" w:afterAutospacing="0"/>
              <w:ind w:left="0" w:right="0"/>
              <w:rPr>
                <w:rFonts w:hint="default"/>
                <w:color w:val="auto"/>
              </w:rPr>
            </w:pPr>
          </w:p>
        </w:tc>
        <w:tc>
          <w:tcPr>
            <w:tcW w:w="364" w:type="pct"/>
            <w:tcBorders>
              <w:bottom w:val="single" w:color="auto" w:sz="12" w:space="0"/>
            </w:tcBorders>
          </w:tcPr>
          <w:p w14:paraId="39AFC8E6">
            <w:pPr>
              <w:pStyle w:val="91"/>
              <w:keepNext w:val="0"/>
              <w:keepLines w:val="0"/>
              <w:suppressLineNumbers w:val="0"/>
              <w:spacing w:before="0" w:beforeAutospacing="0" w:after="0" w:afterAutospacing="0"/>
              <w:ind w:left="0" w:right="0"/>
              <w:rPr>
                <w:rFonts w:hint="default"/>
                <w:color w:val="auto"/>
              </w:rPr>
            </w:pPr>
          </w:p>
        </w:tc>
        <w:tc>
          <w:tcPr>
            <w:tcW w:w="364" w:type="pct"/>
            <w:tcBorders>
              <w:bottom w:val="single" w:color="auto" w:sz="12" w:space="0"/>
            </w:tcBorders>
          </w:tcPr>
          <w:p w14:paraId="27BB04A2">
            <w:pPr>
              <w:pStyle w:val="91"/>
              <w:keepNext w:val="0"/>
              <w:keepLines w:val="0"/>
              <w:suppressLineNumbers w:val="0"/>
              <w:spacing w:before="0" w:beforeAutospacing="0" w:after="0" w:afterAutospacing="0"/>
              <w:ind w:left="0" w:right="0"/>
              <w:rPr>
                <w:rFonts w:hint="default"/>
                <w:color w:val="auto"/>
              </w:rPr>
            </w:pPr>
          </w:p>
        </w:tc>
        <w:tc>
          <w:tcPr>
            <w:tcW w:w="364" w:type="pct"/>
            <w:tcBorders>
              <w:bottom w:val="single" w:color="auto" w:sz="12" w:space="0"/>
            </w:tcBorders>
          </w:tcPr>
          <w:p w14:paraId="4CAD95F7">
            <w:pPr>
              <w:pStyle w:val="91"/>
              <w:keepNext w:val="0"/>
              <w:keepLines w:val="0"/>
              <w:suppressLineNumbers w:val="0"/>
              <w:spacing w:before="0" w:beforeAutospacing="0" w:after="0" w:afterAutospacing="0"/>
              <w:ind w:left="0" w:right="0"/>
              <w:rPr>
                <w:rFonts w:hint="default"/>
                <w:color w:val="auto"/>
              </w:rPr>
            </w:pPr>
          </w:p>
        </w:tc>
        <w:tc>
          <w:tcPr>
            <w:tcW w:w="364" w:type="pct"/>
            <w:tcBorders>
              <w:bottom w:val="single" w:color="auto" w:sz="12" w:space="0"/>
            </w:tcBorders>
          </w:tcPr>
          <w:p w14:paraId="3A5EF9C6">
            <w:pPr>
              <w:pStyle w:val="91"/>
              <w:keepNext w:val="0"/>
              <w:keepLines w:val="0"/>
              <w:suppressLineNumbers w:val="0"/>
              <w:spacing w:before="0" w:beforeAutospacing="0" w:after="0" w:afterAutospacing="0"/>
              <w:ind w:left="0" w:right="0"/>
              <w:rPr>
                <w:rFonts w:hint="default"/>
                <w:color w:val="auto"/>
              </w:rPr>
            </w:pPr>
          </w:p>
        </w:tc>
        <w:tc>
          <w:tcPr>
            <w:tcW w:w="362" w:type="pct"/>
            <w:tcBorders>
              <w:bottom w:val="single" w:color="auto" w:sz="12" w:space="0"/>
              <w:right w:val="single" w:color="auto" w:sz="12" w:space="0"/>
            </w:tcBorders>
          </w:tcPr>
          <w:p w14:paraId="68A100FC">
            <w:pPr>
              <w:pStyle w:val="91"/>
              <w:keepNext w:val="0"/>
              <w:keepLines w:val="0"/>
              <w:suppressLineNumbers w:val="0"/>
              <w:spacing w:before="0" w:beforeAutospacing="0" w:after="0" w:afterAutospacing="0"/>
              <w:ind w:left="0" w:right="0"/>
              <w:rPr>
                <w:rFonts w:hint="default"/>
                <w:color w:val="auto"/>
              </w:rPr>
            </w:pPr>
          </w:p>
        </w:tc>
      </w:tr>
    </w:tbl>
    <w:p w14:paraId="082C377A">
      <w:pPr>
        <w:ind w:firstLine="480"/>
        <w:rPr>
          <w:color w:val="auto"/>
        </w:rPr>
      </w:pPr>
      <w:r>
        <w:rPr>
          <w:color w:val="auto"/>
        </w:rPr>
        <w:t>（4）多年风向特征</w:t>
      </w:r>
    </w:p>
    <w:p w14:paraId="23590A48">
      <w:pPr>
        <w:ind w:firstLine="480"/>
        <w:rPr>
          <w:color w:val="auto"/>
        </w:rPr>
      </w:pPr>
      <w:r>
        <w:rPr>
          <w:color w:val="auto"/>
        </w:rPr>
        <w:t>钦州市近20年资料分析的风向玫瑰图如图</w:t>
      </w:r>
      <w:r>
        <w:rPr>
          <w:rFonts w:hint="eastAsia"/>
          <w:color w:val="auto"/>
        </w:rPr>
        <w:t>4</w:t>
      </w:r>
      <w:r>
        <w:rPr>
          <w:color w:val="auto"/>
        </w:rPr>
        <w:t>.</w:t>
      </w:r>
      <w:r>
        <w:rPr>
          <w:rFonts w:hint="eastAsia"/>
          <w:color w:val="auto"/>
        </w:rPr>
        <w:t>7-</w:t>
      </w:r>
      <w:r>
        <w:rPr>
          <w:color w:val="auto"/>
        </w:rPr>
        <w:t>3所示，钦州市主要风向为N、S、NNW，共占38.0%；详细多年风向频率统计见表</w:t>
      </w:r>
      <w:r>
        <w:rPr>
          <w:rFonts w:hint="eastAsia"/>
          <w:color w:val="auto"/>
        </w:rPr>
        <w:t>4</w:t>
      </w:r>
      <w:r>
        <w:rPr>
          <w:color w:val="auto"/>
        </w:rPr>
        <w:t>.</w:t>
      </w:r>
      <w:r>
        <w:rPr>
          <w:rFonts w:hint="eastAsia"/>
          <w:color w:val="auto"/>
        </w:rPr>
        <w:t>3-3</w:t>
      </w:r>
      <w:r>
        <w:rPr>
          <w:color w:val="auto"/>
        </w:rPr>
        <w:t>。</w:t>
      </w:r>
    </w:p>
    <w:p w14:paraId="29EC2028">
      <w:pPr>
        <w:ind w:firstLine="0" w:firstLineChars="0"/>
        <w:jc w:val="center"/>
        <w:rPr>
          <w:b/>
          <w:color w:val="auto"/>
        </w:rPr>
      </w:pPr>
      <w:r>
        <w:rPr>
          <w:color w:val="auto"/>
        </w:rPr>
        <w:drawing>
          <wp:inline distT="0" distB="0" distL="0" distR="0">
            <wp:extent cx="2303145" cy="2168525"/>
            <wp:effectExtent l="0" t="0" r="1905" b="317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2309534" cy="2174528"/>
                    </a:xfrm>
                    <a:prstGeom prst="rect">
                      <a:avLst/>
                    </a:prstGeom>
                  </pic:spPr>
                </pic:pic>
              </a:graphicData>
            </a:graphic>
          </wp:inline>
        </w:drawing>
      </w:r>
    </w:p>
    <w:p w14:paraId="629A7A9E">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4.1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3</w:t>
      </w:r>
      <w:r>
        <w:rPr>
          <w:color w:val="auto"/>
        </w:rPr>
        <w:fldChar w:fldCharType="end"/>
      </w:r>
      <w:r>
        <w:rPr>
          <w:rFonts w:hint="eastAsia"/>
          <w:color w:val="auto"/>
        </w:rPr>
        <w:t>钦州市多年风向频率统计图（200</w:t>
      </w:r>
      <w:r>
        <w:rPr>
          <w:color w:val="auto"/>
        </w:rPr>
        <w:t>4</w:t>
      </w:r>
      <w:r>
        <w:rPr>
          <w:rFonts w:hint="eastAsia"/>
          <w:color w:val="auto"/>
        </w:rPr>
        <w:t>~202</w:t>
      </w:r>
      <w:r>
        <w:rPr>
          <w:color w:val="auto"/>
        </w:rPr>
        <w:t>3</w:t>
      </w:r>
      <w:r>
        <w:rPr>
          <w:rFonts w:hint="eastAsia"/>
          <w:color w:val="auto"/>
        </w:rPr>
        <w:t>）</w:t>
      </w:r>
    </w:p>
    <w:p w14:paraId="621C9B2F">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4.1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3</w:t>
      </w:r>
      <w:r>
        <w:rPr>
          <w:color w:val="auto"/>
        </w:rPr>
        <w:fldChar w:fldCharType="end"/>
      </w:r>
      <w:r>
        <w:rPr>
          <w:rFonts w:hint="eastAsia"/>
          <w:color w:val="auto"/>
        </w:rPr>
        <w:t>钦州市气象站多年风向频率统计一览表（单位：m/s）</w:t>
      </w:r>
    </w:p>
    <w:tbl>
      <w:tblPr>
        <w:tblStyle w:val="43"/>
        <w:tblW w:w="84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1"/>
        <w:gridCol w:w="512"/>
        <w:gridCol w:w="512"/>
        <w:gridCol w:w="420"/>
        <w:gridCol w:w="511"/>
        <w:gridCol w:w="511"/>
        <w:gridCol w:w="420"/>
        <w:gridCol w:w="420"/>
        <w:gridCol w:w="511"/>
        <w:gridCol w:w="420"/>
        <w:gridCol w:w="420"/>
        <w:gridCol w:w="511"/>
        <w:gridCol w:w="456"/>
        <w:gridCol w:w="511"/>
        <w:gridCol w:w="486"/>
        <w:gridCol w:w="420"/>
        <w:gridCol w:w="602"/>
        <w:gridCol w:w="430"/>
      </w:tblGrid>
      <w:tr w14:paraId="4381D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11" w:type="dxa"/>
            <w:tcBorders>
              <w:top w:val="single" w:color="auto" w:sz="12" w:space="0"/>
              <w:left w:val="single" w:color="auto" w:sz="12" w:space="0"/>
            </w:tcBorders>
            <w:vAlign w:val="center"/>
          </w:tcPr>
          <w:p w14:paraId="7E7A3389">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风向</w:t>
            </w:r>
          </w:p>
        </w:tc>
        <w:tc>
          <w:tcPr>
            <w:tcW w:w="512" w:type="dxa"/>
            <w:tcBorders>
              <w:top w:val="single" w:color="auto" w:sz="12" w:space="0"/>
            </w:tcBorders>
            <w:vAlign w:val="center"/>
          </w:tcPr>
          <w:p w14:paraId="31180A54">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N</w:t>
            </w:r>
          </w:p>
        </w:tc>
        <w:tc>
          <w:tcPr>
            <w:tcW w:w="512" w:type="dxa"/>
            <w:tcBorders>
              <w:top w:val="single" w:color="auto" w:sz="12" w:space="0"/>
            </w:tcBorders>
            <w:vAlign w:val="center"/>
          </w:tcPr>
          <w:p w14:paraId="0251003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NNE</w:t>
            </w:r>
          </w:p>
        </w:tc>
        <w:tc>
          <w:tcPr>
            <w:tcW w:w="420" w:type="dxa"/>
            <w:tcBorders>
              <w:top w:val="single" w:color="auto" w:sz="12" w:space="0"/>
            </w:tcBorders>
            <w:vAlign w:val="center"/>
          </w:tcPr>
          <w:p w14:paraId="78825E06">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NE</w:t>
            </w:r>
          </w:p>
        </w:tc>
        <w:tc>
          <w:tcPr>
            <w:tcW w:w="511" w:type="dxa"/>
            <w:tcBorders>
              <w:top w:val="single" w:color="auto" w:sz="12" w:space="0"/>
            </w:tcBorders>
            <w:vAlign w:val="center"/>
          </w:tcPr>
          <w:p w14:paraId="3C5E0BC9">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ENE</w:t>
            </w:r>
          </w:p>
        </w:tc>
        <w:tc>
          <w:tcPr>
            <w:tcW w:w="511" w:type="dxa"/>
            <w:tcBorders>
              <w:top w:val="single" w:color="auto" w:sz="12" w:space="0"/>
            </w:tcBorders>
            <w:vAlign w:val="center"/>
          </w:tcPr>
          <w:p w14:paraId="7EF6F54F">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E</w:t>
            </w:r>
          </w:p>
        </w:tc>
        <w:tc>
          <w:tcPr>
            <w:tcW w:w="420" w:type="dxa"/>
            <w:tcBorders>
              <w:top w:val="single" w:color="auto" w:sz="12" w:space="0"/>
            </w:tcBorders>
            <w:vAlign w:val="center"/>
          </w:tcPr>
          <w:p w14:paraId="632DC8FD">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ESE</w:t>
            </w:r>
          </w:p>
        </w:tc>
        <w:tc>
          <w:tcPr>
            <w:tcW w:w="420" w:type="dxa"/>
            <w:tcBorders>
              <w:top w:val="single" w:color="auto" w:sz="12" w:space="0"/>
            </w:tcBorders>
            <w:vAlign w:val="center"/>
          </w:tcPr>
          <w:p w14:paraId="6E848453">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SE</w:t>
            </w:r>
          </w:p>
        </w:tc>
        <w:tc>
          <w:tcPr>
            <w:tcW w:w="511" w:type="dxa"/>
            <w:tcBorders>
              <w:top w:val="single" w:color="auto" w:sz="12" w:space="0"/>
            </w:tcBorders>
            <w:vAlign w:val="center"/>
          </w:tcPr>
          <w:p w14:paraId="6CD54C00">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SSE</w:t>
            </w:r>
          </w:p>
        </w:tc>
        <w:tc>
          <w:tcPr>
            <w:tcW w:w="420" w:type="dxa"/>
            <w:tcBorders>
              <w:top w:val="single" w:color="auto" w:sz="12" w:space="0"/>
            </w:tcBorders>
            <w:vAlign w:val="center"/>
          </w:tcPr>
          <w:p w14:paraId="4DD192E9">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S</w:t>
            </w:r>
          </w:p>
        </w:tc>
        <w:tc>
          <w:tcPr>
            <w:tcW w:w="420" w:type="dxa"/>
            <w:tcBorders>
              <w:top w:val="single" w:color="auto" w:sz="12" w:space="0"/>
            </w:tcBorders>
            <w:vAlign w:val="center"/>
          </w:tcPr>
          <w:p w14:paraId="7BFDD8AC">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SSW</w:t>
            </w:r>
          </w:p>
        </w:tc>
        <w:tc>
          <w:tcPr>
            <w:tcW w:w="511" w:type="dxa"/>
            <w:tcBorders>
              <w:top w:val="single" w:color="auto" w:sz="12" w:space="0"/>
            </w:tcBorders>
            <w:vAlign w:val="center"/>
          </w:tcPr>
          <w:p w14:paraId="546E2B21">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SW</w:t>
            </w:r>
          </w:p>
        </w:tc>
        <w:tc>
          <w:tcPr>
            <w:tcW w:w="456" w:type="dxa"/>
            <w:tcBorders>
              <w:top w:val="single" w:color="auto" w:sz="12" w:space="0"/>
            </w:tcBorders>
            <w:vAlign w:val="center"/>
          </w:tcPr>
          <w:p w14:paraId="21797984">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WSW</w:t>
            </w:r>
          </w:p>
        </w:tc>
        <w:tc>
          <w:tcPr>
            <w:tcW w:w="511" w:type="dxa"/>
            <w:tcBorders>
              <w:top w:val="single" w:color="auto" w:sz="12" w:space="0"/>
            </w:tcBorders>
            <w:vAlign w:val="center"/>
          </w:tcPr>
          <w:p w14:paraId="4C377F57">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W</w:t>
            </w:r>
          </w:p>
        </w:tc>
        <w:tc>
          <w:tcPr>
            <w:tcW w:w="486" w:type="dxa"/>
            <w:tcBorders>
              <w:top w:val="single" w:color="auto" w:sz="12" w:space="0"/>
            </w:tcBorders>
            <w:vAlign w:val="center"/>
          </w:tcPr>
          <w:p w14:paraId="081D03E7">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WNW</w:t>
            </w:r>
          </w:p>
        </w:tc>
        <w:tc>
          <w:tcPr>
            <w:tcW w:w="420" w:type="dxa"/>
            <w:tcBorders>
              <w:top w:val="single" w:color="auto" w:sz="12" w:space="0"/>
            </w:tcBorders>
            <w:vAlign w:val="center"/>
          </w:tcPr>
          <w:p w14:paraId="5C2B597B">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NW</w:t>
            </w:r>
          </w:p>
        </w:tc>
        <w:tc>
          <w:tcPr>
            <w:tcW w:w="602" w:type="dxa"/>
            <w:tcBorders>
              <w:top w:val="single" w:color="auto" w:sz="12" w:space="0"/>
            </w:tcBorders>
            <w:vAlign w:val="center"/>
          </w:tcPr>
          <w:p w14:paraId="0614B61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NNW</w:t>
            </w:r>
          </w:p>
        </w:tc>
        <w:tc>
          <w:tcPr>
            <w:tcW w:w="430" w:type="dxa"/>
            <w:tcBorders>
              <w:top w:val="single" w:color="auto" w:sz="12" w:space="0"/>
              <w:right w:val="single" w:color="auto" w:sz="12" w:space="0"/>
            </w:tcBorders>
            <w:vAlign w:val="center"/>
          </w:tcPr>
          <w:p w14:paraId="639AC4EE">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C</w:t>
            </w:r>
          </w:p>
        </w:tc>
      </w:tr>
      <w:tr w14:paraId="317B2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11" w:type="dxa"/>
            <w:tcBorders>
              <w:left w:val="single" w:color="auto" w:sz="12" w:space="0"/>
              <w:bottom w:val="single" w:color="auto" w:sz="12" w:space="0"/>
            </w:tcBorders>
            <w:vAlign w:val="center"/>
          </w:tcPr>
          <w:p w14:paraId="66DDC1B9">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频率</w:t>
            </w:r>
          </w:p>
        </w:tc>
        <w:tc>
          <w:tcPr>
            <w:tcW w:w="512" w:type="dxa"/>
            <w:tcBorders>
              <w:bottom w:val="single" w:color="auto" w:sz="12" w:space="0"/>
            </w:tcBorders>
            <w:vAlign w:val="center"/>
          </w:tcPr>
          <w:p w14:paraId="645DC420">
            <w:pPr>
              <w:pStyle w:val="91"/>
              <w:keepNext w:val="0"/>
              <w:keepLines w:val="0"/>
              <w:suppressLineNumbers w:val="0"/>
              <w:spacing w:before="0" w:beforeAutospacing="0" w:after="0" w:afterAutospacing="0"/>
              <w:ind w:left="0" w:right="0"/>
              <w:jc w:val="center"/>
              <w:rPr>
                <w:rFonts w:hint="default"/>
                <w:color w:val="auto"/>
              </w:rPr>
            </w:pPr>
          </w:p>
        </w:tc>
        <w:tc>
          <w:tcPr>
            <w:tcW w:w="512" w:type="dxa"/>
            <w:tcBorders>
              <w:bottom w:val="single" w:color="auto" w:sz="12" w:space="0"/>
            </w:tcBorders>
            <w:vAlign w:val="center"/>
          </w:tcPr>
          <w:p w14:paraId="7C39EB5E">
            <w:pPr>
              <w:pStyle w:val="91"/>
              <w:keepNext w:val="0"/>
              <w:keepLines w:val="0"/>
              <w:suppressLineNumbers w:val="0"/>
              <w:spacing w:before="0" w:beforeAutospacing="0" w:after="0" w:afterAutospacing="0"/>
              <w:ind w:left="0" w:right="0"/>
              <w:jc w:val="center"/>
              <w:rPr>
                <w:rFonts w:hint="default"/>
                <w:color w:val="auto"/>
              </w:rPr>
            </w:pPr>
          </w:p>
        </w:tc>
        <w:tc>
          <w:tcPr>
            <w:tcW w:w="420" w:type="dxa"/>
            <w:tcBorders>
              <w:bottom w:val="single" w:color="auto" w:sz="12" w:space="0"/>
            </w:tcBorders>
            <w:vAlign w:val="center"/>
          </w:tcPr>
          <w:p w14:paraId="55077CFE">
            <w:pPr>
              <w:pStyle w:val="91"/>
              <w:keepNext w:val="0"/>
              <w:keepLines w:val="0"/>
              <w:suppressLineNumbers w:val="0"/>
              <w:spacing w:before="0" w:beforeAutospacing="0" w:after="0" w:afterAutospacing="0"/>
              <w:ind w:left="0" w:right="0"/>
              <w:jc w:val="center"/>
              <w:rPr>
                <w:rFonts w:hint="default"/>
                <w:color w:val="auto"/>
              </w:rPr>
            </w:pPr>
          </w:p>
        </w:tc>
        <w:tc>
          <w:tcPr>
            <w:tcW w:w="511" w:type="dxa"/>
            <w:tcBorders>
              <w:bottom w:val="single" w:color="auto" w:sz="12" w:space="0"/>
            </w:tcBorders>
            <w:vAlign w:val="center"/>
          </w:tcPr>
          <w:p w14:paraId="1B530241">
            <w:pPr>
              <w:pStyle w:val="91"/>
              <w:keepNext w:val="0"/>
              <w:keepLines w:val="0"/>
              <w:suppressLineNumbers w:val="0"/>
              <w:spacing w:before="0" w:beforeAutospacing="0" w:after="0" w:afterAutospacing="0"/>
              <w:ind w:left="0" w:right="0"/>
              <w:jc w:val="center"/>
              <w:rPr>
                <w:rFonts w:hint="default"/>
                <w:color w:val="auto"/>
              </w:rPr>
            </w:pPr>
          </w:p>
        </w:tc>
        <w:tc>
          <w:tcPr>
            <w:tcW w:w="511" w:type="dxa"/>
            <w:tcBorders>
              <w:bottom w:val="single" w:color="auto" w:sz="12" w:space="0"/>
            </w:tcBorders>
            <w:vAlign w:val="center"/>
          </w:tcPr>
          <w:p w14:paraId="5A8A3341">
            <w:pPr>
              <w:pStyle w:val="91"/>
              <w:keepNext w:val="0"/>
              <w:keepLines w:val="0"/>
              <w:suppressLineNumbers w:val="0"/>
              <w:spacing w:before="0" w:beforeAutospacing="0" w:after="0" w:afterAutospacing="0"/>
              <w:ind w:left="0" w:right="0"/>
              <w:jc w:val="center"/>
              <w:rPr>
                <w:rFonts w:hint="default"/>
                <w:color w:val="auto"/>
              </w:rPr>
            </w:pPr>
          </w:p>
        </w:tc>
        <w:tc>
          <w:tcPr>
            <w:tcW w:w="420" w:type="dxa"/>
            <w:tcBorders>
              <w:bottom w:val="single" w:color="auto" w:sz="12" w:space="0"/>
            </w:tcBorders>
            <w:vAlign w:val="center"/>
          </w:tcPr>
          <w:p w14:paraId="02DD34EF">
            <w:pPr>
              <w:pStyle w:val="91"/>
              <w:keepNext w:val="0"/>
              <w:keepLines w:val="0"/>
              <w:suppressLineNumbers w:val="0"/>
              <w:spacing w:before="0" w:beforeAutospacing="0" w:after="0" w:afterAutospacing="0"/>
              <w:ind w:left="0" w:right="0"/>
              <w:jc w:val="center"/>
              <w:rPr>
                <w:rFonts w:hint="default"/>
                <w:color w:val="auto"/>
              </w:rPr>
            </w:pPr>
          </w:p>
        </w:tc>
        <w:tc>
          <w:tcPr>
            <w:tcW w:w="420" w:type="dxa"/>
            <w:tcBorders>
              <w:bottom w:val="single" w:color="auto" w:sz="12" w:space="0"/>
            </w:tcBorders>
            <w:vAlign w:val="center"/>
          </w:tcPr>
          <w:p w14:paraId="7B447303">
            <w:pPr>
              <w:pStyle w:val="91"/>
              <w:keepNext w:val="0"/>
              <w:keepLines w:val="0"/>
              <w:suppressLineNumbers w:val="0"/>
              <w:spacing w:before="0" w:beforeAutospacing="0" w:after="0" w:afterAutospacing="0"/>
              <w:ind w:left="0" w:right="0"/>
              <w:jc w:val="center"/>
              <w:rPr>
                <w:rFonts w:hint="default"/>
                <w:color w:val="auto"/>
              </w:rPr>
            </w:pPr>
          </w:p>
        </w:tc>
        <w:tc>
          <w:tcPr>
            <w:tcW w:w="511" w:type="dxa"/>
            <w:tcBorders>
              <w:bottom w:val="single" w:color="auto" w:sz="12" w:space="0"/>
            </w:tcBorders>
            <w:vAlign w:val="center"/>
          </w:tcPr>
          <w:p w14:paraId="0BFD3128">
            <w:pPr>
              <w:pStyle w:val="91"/>
              <w:keepNext w:val="0"/>
              <w:keepLines w:val="0"/>
              <w:suppressLineNumbers w:val="0"/>
              <w:spacing w:before="0" w:beforeAutospacing="0" w:after="0" w:afterAutospacing="0"/>
              <w:ind w:left="0" w:right="0"/>
              <w:jc w:val="center"/>
              <w:rPr>
                <w:rFonts w:hint="default"/>
                <w:color w:val="auto"/>
              </w:rPr>
            </w:pPr>
          </w:p>
        </w:tc>
        <w:tc>
          <w:tcPr>
            <w:tcW w:w="420" w:type="dxa"/>
            <w:tcBorders>
              <w:bottom w:val="single" w:color="auto" w:sz="12" w:space="0"/>
            </w:tcBorders>
            <w:vAlign w:val="center"/>
          </w:tcPr>
          <w:p w14:paraId="0B5387B4">
            <w:pPr>
              <w:pStyle w:val="91"/>
              <w:keepNext w:val="0"/>
              <w:keepLines w:val="0"/>
              <w:suppressLineNumbers w:val="0"/>
              <w:spacing w:before="0" w:beforeAutospacing="0" w:after="0" w:afterAutospacing="0"/>
              <w:ind w:left="0" w:right="0"/>
              <w:jc w:val="center"/>
              <w:rPr>
                <w:rFonts w:hint="default"/>
                <w:color w:val="auto"/>
              </w:rPr>
            </w:pPr>
          </w:p>
        </w:tc>
        <w:tc>
          <w:tcPr>
            <w:tcW w:w="420" w:type="dxa"/>
            <w:tcBorders>
              <w:bottom w:val="single" w:color="auto" w:sz="12" w:space="0"/>
            </w:tcBorders>
            <w:vAlign w:val="center"/>
          </w:tcPr>
          <w:p w14:paraId="1E89B266">
            <w:pPr>
              <w:pStyle w:val="91"/>
              <w:keepNext w:val="0"/>
              <w:keepLines w:val="0"/>
              <w:suppressLineNumbers w:val="0"/>
              <w:spacing w:before="0" w:beforeAutospacing="0" w:after="0" w:afterAutospacing="0"/>
              <w:ind w:left="0" w:right="0"/>
              <w:jc w:val="center"/>
              <w:rPr>
                <w:rFonts w:hint="default"/>
                <w:color w:val="auto"/>
              </w:rPr>
            </w:pPr>
          </w:p>
        </w:tc>
        <w:tc>
          <w:tcPr>
            <w:tcW w:w="511" w:type="dxa"/>
            <w:tcBorders>
              <w:bottom w:val="single" w:color="auto" w:sz="12" w:space="0"/>
            </w:tcBorders>
            <w:vAlign w:val="center"/>
          </w:tcPr>
          <w:p w14:paraId="238DBAC3">
            <w:pPr>
              <w:pStyle w:val="91"/>
              <w:keepNext w:val="0"/>
              <w:keepLines w:val="0"/>
              <w:suppressLineNumbers w:val="0"/>
              <w:spacing w:before="0" w:beforeAutospacing="0" w:after="0" w:afterAutospacing="0"/>
              <w:ind w:left="0" w:right="0"/>
              <w:jc w:val="center"/>
              <w:rPr>
                <w:rFonts w:hint="default"/>
                <w:color w:val="auto"/>
              </w:rPr>
            </w:pPr>
          </w:p>
        </w:tc>
        <w:tc>
          <w:tcPr>
            <w:tcW w:w="456" w:type="dxa"/>
            <w:tcBorders>
              <w:bottom w:val="single" w:color="auto" w:sz="12" w:space="0"/>
            </w:tcBorders>
            <w:vAlign w:val="center"/>
          </w:tcPr>
          <w:p w14:paraId="0F429E2A">
            <w:pPr>
              <w:pStyle w:val="91"/>
              <w:keepNext w:val="0"/>
              <w:keepLines w:val="0"/>
              <w:suppressLineNumbers w:val="0"/>
              <w:spacing w:before="0" w:beforeAutospacing="0" w:after="0" w:afterAutospacing="0"/>
              <w:ind w:left="0" w:right="0"/>
              <w:jc w:val="center"/>
              <w:rPr>
                <w:rFonts w:hint="default"/>
                <w:color w:val="auto"/>
              </w:rPr>
            </w:pPr>
          </w:p>
        </w:tc>
        <w:tc>
          <w:tcPr>
            <w:tcW w:w="511" w:type="dxa"/>
            <w:tcBorders>
              <w:bottom w:val="single" w:color="auto" w:sz="12" w:space="0"/>
            </w:tcBorders>
            <w:vAlign w:val="center"/>
          </w:tcPr>
          <w:p w14:paraId="09BA6423">
            <w:pPr>
              <w:pStyle w:val="91"/>
              <w:keepNext w:val="0"/>
              <w:keepLines w:val="0"/>
              <w:suppressLineNumbers w:val="0"/>
              <w:spacing w:before="0" w:beforeAutospacing="0" w:after="0" w:afterAutospacing="0"/>
              <w:ind w:left="0" w:right="0"/>
              <w:jc w:val="center"/>
              <w:rPr>
                <w:rFonts w:hint="default"/>
                <w:color w:val="auto"/>
              </w:rPr>
            </w:pPr>
          </w:p>
        </w:tc>
        <w:tc>
          <w:tcPr>
            <w:tcW w:w="486" w:type="dxa"/>
            <w:tcBorders>
              <w:bottom w:val="single" w:color="auto" w:sz="12" w:space="0"/>
            </w:tcBorders>
            <w:vAlign w:val="center"/>
          </w:tcPr>
          <w:p w14:paraId="4EA05301">
            <w:pPr>
              <w:pStyle w:val="91"/>
              <w:keepNext w:val="0"/>
              <w:keepLines w:val="0"/>
              <w:suppressLineNumbers w:val="0"/>
              <w:spacing w:before="0" w:beforeAutospacing="0" w:after="0" w:afterAutospacing="0"/>
              <w:ind w:left="0" w:right="0"/>
              <w:jc w:val="center"/>
              <w:rPr>
                <w:rFonts w:hint="default"/>
                <w:color w:val="auto"/>
              </w:rPr>
            </w:pPr>
          </w:p>
        </w:tc>
        <w:tc>
          <w:tcPr>
            <w:tcW w:w="420" w:type="dxa"/>
            <w:tcBorders>
              <w:bottom w:val="single" w:color="auto" w:sz="12" w:space="0"/>
            </w:tcBorders>
            <w:vAlign w:val="center"/>
          </w:tcPr>
          <w:p w14:paraId="779D215B">
            <w:pPr>
              <w:pStyle w:val="91"/>
              <w:keepNext w:val="0"/>
              <w:keepLines w:val="0"/>
              <w:suppressLineNumbers w:val="0"/>
              <w:spacing w:before="0" w:beforeAutospacing="0" w:after="0" w:afterAutospacing="0"/>
              <w:ind w:left="0" w:right="0"/>
              <w:jc w:val="center"/>
              <w:rPr>
                <w:rFonts w:hint="default"/>
                <w:color w:val="auto"/>
              </w:rPr>
            </w:pPr>
          </w:p>
        </w:tc>
        <w:tc>
          <w:tcPr>
            <w:tcW w:w="602" w:type="dxa"/>
            <w:tcBorders>
              <w:bottom w:val="single" w:color="auto" w:sz="12" w:space="0"/>
            </w:tcBorders>
            <w:vAlign w:val="center"/>
          </w:tcPr>
          <w:p w14:paraId="621591A6">
            <w:pPr>
              <w:pStyle w:val="91"/>
              <w:keepNext w:val="0"/>
              <w:keepLines w:val="0"/>
              <w:suppressLineNumbers w:val="0"/>
              <w:spacing w:before="0" w:beforeAutospacing="0" w:after="0" w:afterAutospacing="0"/>
              <w:ind w:left="0" w:right="0"/>
              <w:jc w:val="center"/>
              <w:rPr>
                <w:rFonts w:hint="default"/>
                <w:color w:val="auto"/>
              </w:rPr>
            </w:pPr>
          </w:p>
        </w:tc>
        <w:tc>
          <w:tcPr>
            <w:tcW w:w="430" w:type="dxa"/>
            <w:tcBorders>
              <w:bottom w:val="single" w:color="auto" w:sz="12" w:space="0"/>
              <w:right w:val="single" w:color="auto" w:sz="12" w:space="0"/>
            </w:tcBorders>
            <w:vAlign w:val="center"/>
          </w:tcPr>
          <w:p w14:paraId="7081753A">
            <w:pPr>
              <w:pStyle w:val="91"/>
              <w:keepNext w:val="0"/>
              <w:keepLines w:val="0"/>
              <w:suppressLineNumbers w:val="0"/>
              <w:spacing w:before="0" w:beforeAutospacing="0" w:after="0" w:afterAutospacing="0"/>
              <w:ind w:left="0" w:right="0"/>
              <w:jc w:val="center"/>
              <w:rPr>
                <w:rFonts w:hint="default"/>
                <w:color w:val="auto"/>
              </w:rPr>
            </w:pPr>
          </w:p>
        </w:tc>
      </w:tr>
    </w:tbl>
    <w:p w14:paraId="5DE59D85">
      <w:pPr>
        <w:ind w:firstLine="480"/>
        <w:rPr>
          <w:color w:val="auto"/>
        </w:rPr>
      </w:pPr>
      <w:r>
        <w:rPr>
          <w:color w:val="auto"/>
        </w:rPr>
        <w:t>（5）风速年际变化特征与周期分析</w:t>
      </w:r>
    </w:p>
    <w:p w14:paraId="4CD8CD2F">
      <w:pPr>
        <w:ind w:firstLine="480"/>
        <w:rPr>
          <w:color w:val="auto"/>
        </w:rPr>
      </w:pPr>
      <w:r>
        <w:rPr>
          <w:color w:val="auto"/>
        </w:rPr>
        <w:t>根据近20年资料分析，钦州市气象站风速呈现上升趋势，2016</w:t>
      </w:r>
      <w:r>
        <w:rPr>
          <w:rFonts w:hint="eastAsia"/>
          <w:color w:val="auto"/>
        </w:rPr>
        <w:t>年</w:t>
      </w:r>
      <w:r>
        <w:rPr>
          <w:color w:val="auto"/>
        </w:rPr>
        <w:t>及2020年年平均风速最大（3.1米/秒），2014年年平均风速最小（1.8米/秒）；其变化趋势详见图</w:t>
      </w:r>
      <w:r>
        <w:rPr>
          <w:rFonts w:hint="eastAsia"/>
          <w:color w:val="auto"/>
        </w:rPr>
        <w:t>4</w:t>
      </w:r>
      <w:r>
        <w:rPr>
          <w:color w:val="auto"/>
        </w:rPr>
        <w:t>.</w:t>
      </w:r>
      <w:r>
        <w:rPr>
          <w:rFonts w:hint="eastAsia"/>
          <w:color w:val="auto"/>
        </w:rPr>
        <w:t>3</w:t>
      </w:r>
      <w:r>
        <w:rPr>
          <w:color w:val="auto"/>
        </w:rPr>
        <w:t>-4。</w:t>
      </w:r>
    </w:p>
    <w:p w14:paraId="4B827682">
      <w:pPr>
        <w:adjustRightInd w:val="0"/>
        <w:ind w:firstLine="0" w:firstLineChars="0"/>
        <w:jc w:val="center"/>
        <w:rPr>
          <w:rFonts w:hint="default" w:eastAsia="宋体"/>
          <w:color w:val="auto"/>
          <w:lang w:val="en-US" w:eastAsia="zh-CN"/>
        </w:rPr>
      </w:pPr>
      <w:r>
        <w:rPr>
          <w:rFonts w:hint="eastAsia"/>
          <w:color w:val="auto"/>
          <w:lang w:val="en-US" w:eastAsia="zh-CN"/>
        </w:rPr>
        <w:t>***</w:t>
      </w:r>
    </w:p>
    <w:p w14:paraId="3EBF6113">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4.1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4</w:t>
      </w:r>
      <w:r>
        <w:rPr>
          <w:color w:val="auto"/>
        </w:rPr>
        <w:fldChar w:fldCharType="end"/>
      </w:r>
      <w:r>
        <w:rPr>
          <w:rFonts w:hint="eastAsia"/>
          <w:color w:val="auto"/>
        </w:rPr>
        <w:t>钦州市多年年平均风速图（200</w:t>
      </w:r>
      <w:r>
        <w:rPr>
          <w:color w:val="auto"/>
        </w:rPr>
        <w:t>4</w:t>
      </w:r>
      <w:r>
        <w:rPr>
          <w:rFonts w:hint="eastAsia"/>
          <w:color w:val="auto"/>
        </w:rPr>
        <w:t>~202</w:t>
      </w:r>
      <w:r>
        <w:rPr>
          <w:color w:val="auto"/>
        </w:rPr>
        <w:t>3</w:t>
      </w:r>
      <w:r>
        <w:rPr>
          <w:rFonts w:hint="eastAsia"/>
          <w:color w:val="auto"/>
        </w:rPr>
        <w:t>，单位：m/s，虚线为趋势线）</w:t>
      </w:r>
    </w:p>
    <w:p w14:paraId="4EFBF6A2">
      <w:pPr>
        <w:pStyle w:val="81"/>
        <w:rPr>
          <w:color w:val="auto"/>
        </w:rPr>
      </w:pPr>
      <w:r>
        <w:rPr>
          <w:rFonts w:hint="eastAsia"/>
          <w:color w:val="auto"/>
        </w:rPr>
        <w:t>（6）</w:t>
      </w:r>
      <w:r>
        <w:rPr>
          <w:color w:val="auto"/>
        </w:rPr>
        <w:t>常规高空气象探测资料</w:t>
      </w:r>
    </w:p>
    <w:p w14:paraId="333191CC">
      <w:pPr>
        <w:ind w:firstLine="480"/>
        <w:rPr>
          <w:color w:val="auto"/>
        </w:rPr>
      </w:pPr>
      <w:r>
        <w:rPr>
          <w:color w:val="auto"/>
        </w:rPr>
        <w:t>高空数据是采用大气环境影响评价数值模式WRF模拟生成。模式计算过程中把全国共划分为189×159个网格，分辨率为27km×27km。模式采用的原始数据有地形高度、土地利用、陆地-水体标志、植被组成等数据，数据源主要为美国的USGS数据。模式采用美国国家环境预报中心（NCEP)的再分析数据作为模型输入场和边界场。</w:t>
      </w:r>
    </w:p>
    <w:p w14:paraId="0FB31CFF">
      <w:pPr>
        <w:pStyle w:val="81"/>
        <w:rPr>
          <w:color w:val="auto"/>
        </w:rPr>
      </w:pPr>
      <w:r>
        <w:rPr>
          <w:rFonts w:hint="eastAsia"/>
          <w:color w:val="auto"/>
        </w:rPr>
        <w:t>（7）</w:t>
      </w:r>
      <w:r>
        <w:rPr>
          <w:color w:val="auto"/>
        </w:rPr>
        <w:t>地表参数</w:t>
      </w:r>
    </w:p>
    <w:p w14:paraId="656C2CF7">
      <w:pPr>
        <w:ind w:firstLine="480"/>
        <w:rPr>
          <w:color w:val="auto"/>
        </w:rPr>
      </w:pPr>
      <w:r>
        <w:rPr>
          <w:color w:val="auto"/>
        </w:rPr>
        <w:t>地面分扇区数及度数</w:t>
      </w:r>
      <w:r>
        <w:rPr>
          <w:rFonts w:hint="eastAsia"/>
          <w:color w:val="auto"/>
        </w:rPr>
        <w:t>：</w:t>
      </w:r>
      <w:r>
        <w:rPr>
          <w:color w:val="auto"/>
        </w:rPr>
        <w:t>项目周边主要以工业区</w:t>
      </w:r>
      <w:r>
        <w:rPr>
          <w:rFonts w:hint="eastAsia"/>
          <w:color w:val="auto"/>
        </w:rPr>
        <w:t>及海域</w:t>
      </w:r>
      <w:r>
        <w:rPr>
          <w:color w:val="auto"/>
        </w:rPr>
        <w:t>为主，以</w:t>
      </w:r>
      <w:r>
        <w:rPr>
          <w:rFonts w:hint="eastAsia"/>
          <w:color w:val="auto"/>
        </w:rPr>
        <w:t>东西</w:t>
      </w:r>
      <w:r>
        <w:rPr>
          <w:color w:val="auto"/>
        </w:rPr>
        <w:t>向为轴向项目周边0°</w:t>
      </w:r>
      <w:r>
        <w:rPr>
          <w:rFonts w:hint="eastAsia"/>
          <w:color w:val="auto"/>
        </w:rPr>
        <w:t>～18</w:t>
      </w:r>
      <w:r>
        <w:rPr>
          <w:color w:val="auto"/>
        </w:rPr>
        <w:t>0°为</w:t>
      </w:r>
      <w:r>
        <w:rPr>
          <w:rFonts w:hint="eastAsia"/>
          <w:color w:val="auto"/>
        </w:rPr>
        <w:t>海域，18</w:t>
      </w:r>
      <w:r>
        <w:rPr>
          <w:color w:val="auto"/>
        </w:rPr>
        <w:t>0°</w:t>
      </w:r>
      <w:r>
        <w:rPr>
          <w:rFonts w:hint="eastAsia"/>
          <w:color w:val="auto"/>
        </w:rPr>
        <w:t>～36</w:t>
      </w:r>
      <w:r>
        <w:rPr>
          <w:color w:val="auto"/>
        </w:rPr>
        <w:t>0°。</w:t>
      </w:r>
    </w:p>
    <w:p w14:paraId="0205E0C4">
      <w:pPr>
        <w:ind w:firstLine="480"/>
        <w:rPr>
          <w:color w:val="auto"/>
        </w:rPr>
      </w:pPr>
      <w:r>
        <w:rPr>
          <w:rFonts w:hint="eastAsia"/>
          <w:color w:val="auto"/>
        </w:rPr>
        <w:t>AERMET通用地表类型：根据项目所处地理环境，项目周边主要以工业区及海域为主，评价区土地利用类型主要为城市、水面。</w:t>
      </w:r>
    </w:p>
    <w:p w14:paraId="368C7B4C">
      <w:pPr>
        <w:ind w:firstLine="480"/>
        <w:rPr>
          <w:color w:val="auto"/>
        </w:rPr>
      </w:pPr>
      <w:r>
        <w:rPr>
          <w:rFonts w:hint="eastAsia"/>
          <w:color w:val="auto"/>
        </w:rPr>
        <w:t>AERMET通用地表湿度：根据中国干湿状况划分图，钦州属于湿润区，通用地表湿度为潮湿气候。</w:t>
      </w:r>
    </w:p>
    <w:p w14:paraId="4662E003">
      <w:pPr>
        <w:ind w:firstLine="480"/>
        <w:rPr>
          <w:color w:val="auto"/>
        </w:rPr>
      </w:pPr>
      <w:r>
        <w:rPr>
          <w:rFonts w:hint="eastAsia"/>
          <w:color w:val="auto"/>
        </w:rPr>
        <w:t>地面时间周期：根据《AERMETUSERGUIDE》（EPA-454/B-03-002，2004/11）及AERMOD中地表参数推荐取值，地面时间周期按月或按季不是对应于特定的月份，而应更加对应于该地区的纬度和年植物生成周期，春季对应于植物开始出现或部分绿化时期，夏季对应于植物茂盛的时期，秋季为常出现霜冻、落叶、草已发黄但尚无雪的时期，冬季应用于雪地表面和零度以下气温，所以这些信息应由用户决定如何使用。本项目位于广西钦州市，地处低纬度、北回归线附近，属亚热带季风气候区，根据钦州市植被发育情况，春季（3、4、5月份）植物为部分绿化时期；夏季（6、7、8月份）对应于植物茂盛的时期；而秋季和冬季（8～3月份）基本相同，无雪地表面和零度以下气温，处于草已落叶、草发黄时期，本次预测对地面时间周期月或季节进行了调整。</w:t>
      </w:r>
    </w:p>
    <w:p w14:paraId="5A38B5EB">
      <w:pPr>
        <w:ind w:firstLine="480"/>
        <w:rPr>
          <w:color w:val="auto"/>
        </w:rPr>
      </w:pPr>
      <w:r>
        <w:rPr>
          <w:color w:val="auto"/>
        </w:rPr>
        <w:t>地表参数选取汇总详见表</w:t>
      </w:r>
      <w:r>
        <w:rPr>
          <w:rFonts w:hint="eastAsia"/>
          <w:color w:val="auto"/>
        </w:rPr>
        <w:t>4.</w:t>
      </w:r>
      <w:r>
        <w:rPr>
          <w:color w:val="auto"/>
        </w:rPr>
        <w:t>1-4。</w:t>
      </w:r>
    </w:p>
    <w:p w14:paraId="4CA7E89D">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4.1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4</w:t>
      </w:r>
      <w:r>
        <w:rPr>
          <w:color w:val="auto"/>
        </w:rPr>
        <w:fldChar w:fldCharType="end"/>
      </w:r>
      <w:r>
        <w:rPr>
          <w:rFonts w:hint="eastAsia"/>
          <w:color w:val="auto"/>
        </w:rPr>
        <w:t>地表参数选取汇总表</w:t>
      </w:r>
    </w:p>
    <w:tbl>
      <w:tblPr>
        <w:tblStyle w:val="43"/>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62"/>
        <w:gridCol w:w="1260"/>
        <w:gridCol w:w="1686"/>
        <w:gridCol w:w="1748"/>
        <w:gridCol w:w="1846"/>
        <w:gridCol w:w="1269"/>
      </w:tblGrid>
      <w:tr w14:paraId="59E20D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695" w:type="pct"/>
            <w:vAlign w:val="center"/>
          </w:tcPr>
          <w:p w14:paraId="6093AC9E">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b/>
                <w:bCs/>
                <w:color w:val="auto"/>
                <w:sz w:val="21"/>
                <w:szCs w:val="21"/>
              </w:rPr>
            </w:pPr>
            <w:r>
              <w:rPr>
                <w:rFonts w:hint="default" w:ascii="Times New Roman" w:hAnsi="Times New Roman"/>
                <w:b/>
                <w:bCs/>
                <w:color w:val="auto"/>
                <w:sz w:val="21"/>
                <w:szCs w:val="21"/>
              </w:rPr>
              <w:t>序号</w:t>
            </w:r>
          </w:p>
        </w:tc>
        <w:tc>
          <w:tcPr>
            <w:tcW w:w="694" w:type="pct"/>
            <w:vAlign w:val="center"/>
          </w:tcPr>
          <w:p w14:paraId="1C522495">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b/>
                <w:bCs/>
                <w:color w:val="auto"/>
                <w:sz w:val="21"/>
                <w:szCs w:val="21"/>
              </w:rPr>
            </w:pPr>
            <w:r>
              <w:rPr>
                <w:rFonts w:hint="default" w:ascii="Times New Roman" w:hAnsi="Times New Roman"/>
                <w:b/>
                <w:bCs/>
                <w:color w:val="auto"/>
                <w:sz w:val="21"/>
                <w:szCs w:val="21"/>
              </w:rPr>
              <w:t>扇区</w:t>
            </w:r>
          </w:p>
        </w:tc>
        <w:tc>
          <w:tcPr>
            <w:tcW w:w="929" w:type="pct"/>
            <w:vAlign w:val="center"/>
          </w:tcPr>
          <w:p w14:paraId="16523349">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b/>
                <w:bCs/>
                <w:color w:val="auto"/>
                <w:sz w:val="21"/>
                <w:szCs w:val="21"/>
              </w:rPr>
            </w:pPr>
            <w:r>
              <w:rPr>
                <w:rFonts w:hint="default" w:ascii="Times New Roman" w:hAnsi="Times New Roman"/>
                <w:b/>
                <w:bCs/>
                <w:color w:val="auto"/>
                <w:sz w:val="21"/>
                <w:szCs w:val="21"/>
              </w:rPr>
              <w:t>时段</w:t>
            </w:r>
          </w:p>
        </w:tc>
        <w:tc>
          <w:tcPr>
            <w:tcW w:w="963" w:type="pct"/>
            <w:vAlign w:val="center"/>
          </w:tcPr>
          <w:p w14:paraId="6A86321C">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b/>
                <w:bCs/>
                <w:color w:val="auto"/>
                <w:sz w:val="21"/>
                <w:szCs w:val="21"/>
              </w:rPr>
            </w:pPr>
            <w:r>
              <w:rPr>
                <w:rFonts w:hint="default" w:ascii="Times New Roman" w:hAnsi="Times New Roman"/>
                <w:b/>
                <w:bCs/>
                <w:color w:val="auto"/>
                <w:sz w:val="21"/>
                <w:szCs w:val="21"/>
              </w:rPr>
              <w:t>正午反照率</w:t>
            </w:r>
          </w:p>
        </w:tc>
        <w:tc>
          <w:tcPr>
            <w:tcW w:w="1017" w:type="pct"/>
            <w:vAlign w:val="center"/>
          </w:tcPr>
          <w:p w14:paraId="393D5E06">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b/>
                <w:bCs/>
                <w:color w:val="auto"/>
                <w:sz w:val="21"/>
                <w:szCs w:val="21"/>
              </w:rPr>
            </w:pPr>
            <w:r>
              <w:rPr>
                <w:rFonts w:hint="default" w:ascii="Times New Roman" w:hAnsi="Times New Roman"/>
                <w:b/>
                <w:bCs/>
                <w:color w:val="auto"/>
                <w:sz w:val="21"/>
                <w:szCs w:val="21"/>
              </w:rPr>
              <w:t>BOWEN</w:t>
            </w:r>
          </w:p>
        </w:tc>
        <w:tc>
          <w:tcPr>
            <w:tcW w:w="699" w:type="pct"/>
            <w:vAlign w:val="center"/>
          </w:tcPr>
          <w:p w14:paraId="024CDDB5">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b/>
                <w:bCs/>
                <w:color w:val="auto"/>
                <w:sz w:val="21"/>
                <w:szCs w:val="21"/>
              </w:rPr>
            </w:pPr>
            <w:r>
              <w:rPr>
                <w:rFonts w:hint="eastAsia" w:ascii="Times New Roman" w:hAnsi="Times New Roman"/>
                <w:b/>
                <w:bCs/>
                <w:color w:val="auto"/>
                <w:sz w:val="21"/>
                <w:szCs w:val="21"/>
              </w:rPr>
              <w:t>粗糙度</w:t>
            </w:r>
          </w:p>
        </w:tc>
      </w:tr>
      <w:tr w14:paraId="7512AD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5039EDF0">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1</w:t>
            </w:r>
          </w:p>
        </w:tc>
        <w:tc>
          <w:tcPr>
            <w:tcW w:w="694" w:type="pct"/>
            <w:vMerge w:val="restart"/>
            <w:vAlign w:val="center"/>
          </w:tcPr>
          <w:p w14:paraId="5969F231">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eastAsia" w:ascii="Times New Roman" w:hAnsi="Times New Roman"/>
                <w:color w:val="auto"/>
                <w:sz w:val="21"/>
                <w:szCs w:val="21"/>
              </w:rPr>
              <w:t>0</w:t>
            </w:r>
            <w:r>
              <w:rPr>
                <w:rFonts w:hint="default" w:ascii="Times New Roman" w:hAnsi="Times New Roman"/>
                <w:color w:val="auto"/>
                <w:sz w:val="21"/>
                <w:szCs w:val="21"/>
              </w:rPr>
              <w:t>°</w:t>
            </w:r>
            <w:r>
              <w:rPr>
                <w:rFonts w:hint="eastAsia" w:ascii="Times New Roman" w:hAnsi="Times New Roman"/>
                <w:color w:val="auto"/>
                <w:sz w:val="21"/>
                <w:szCs w:val="21"/>
              </w:rPr>
              <w:t>~180</w:t>
            </w:r>
            <w:r>
              <w:rPr>
                <w:rFonts w:hint="default" w:ascii="Times New Roman" w:hAnsi="Times New Roman"/>
                <w:color w:val="auto"/>
                <w:sz w:val="21"/>
                <w:szCs w:val="21"/>
              </w:rPr>
              <w:t>°</w:t>
            </w:r>
          </w:p>
          <w:p w14:paraId="507D321E">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（水面）</w:t>
            </w:r>
          </w:p>
        </w:tc>
        <w:tc>
          <w:tcPr>
            <w:tcW w:w="1726" w:type="dxa"/>
            <w:vAlign w:val="center"/>
          </w:tcPr>
          <w:p w14:paraId="6DF88D73">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一月</w:t>
            </w:r>
          </w:p>
        </w:tc>
        <w:tc>
          <w:tcPr>
            <w:tcW w:w="963" w:type="pct"/>
            <w:vAlign w:val="center"/>
          </w:tcPr>
          <w:p w14:paraId="73576BD6">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7BD0E2B4">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17961E3C">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58AAFC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689AC38F">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2</w:t>
            </w:r>
          </w:p>
        </w:tc>
        <w:tc>
          <w:tcPr>
            <w:tcW w:w="694" w:type="pct"/>
            <w:vMerge w:val="continue"/>
            <w:vAlign w:val="center"/>
          </w:tcPr>
          <w:p w14:paraId="144D4441">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73403C64">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二月</w:t>
            </w:r>
          </w:p>
        </w:tc>
        <w:tc>
          <w:tcPr>
            <w:tcW w:w="963" w:type="pct"/>
            <w:vAlign w:val="center"/>
          </w:tcPr>
          <w:p w14:paraId="0259ACD0">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45474B01">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5B153BFB">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584D7A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32973FB4">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3</w:t>
            </w:r>
          </w:p>
        </w:tc>
        <w:tc>
          <w:tcPr>
            <w:tcW w:w="694" w:type="pct"/>
            <w:vMerge w:val="continue"/>
            <w:vAlign w:val="center"/>
          </w:tcPr>
          <w:p w14:paraId="6F739B54">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411AD589">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三月</w:t>
            </w:r>
          </w:p>
        </w:tc>
        <w:tc>
          <w:tcPr>
            <w:tcW w:w="963" w:type="pct"/>
            <w:vAlign w:val="center"/>
          </w:tcPr>
          <w:p w14:paraId="3D7EB186">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406D49D5">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3BB6364A">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0F42CB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2F5E23ED">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4</w:t>
            </w:r>
          </w:p>
        </w:tc>
        <w:tc>
          <w:tcPr>
            <w:tcW w:w="694" w:type="pct"/>
            <w:vMerge w:val="continue"/>
            <w:vAlign w:val="center"/>
          </w:tcPr>
          <w:p w14:paraId="499518C2">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77E3A643">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四月</w:t>
            </w:r>
          </w:p>
        </w:tc>
        <w:tc>
          <w:tcPr>
            <w:tcW w:w="963" w:type="pct"/>
            <w:vAlign w:val="center"/>
          </w:tcPr>
          <w:p w14:paraId="736E45BB">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68761EA0">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1681DE88">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0B7E2E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107DC574">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5</w:t>
            </w:r>
          </w:p>
        </w:tc>
        <w:tc>
          <w:tcPr>
            <w:tcW w:w="694" w:type="pct"/>
            <w:vMerge w:val="continue"/>
            <w:vAlign w:val="center"/>
          </w:tcPr>
          <w:p w14:paraId="440CB860">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370A0E6C">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五月</w:t>
            </w:r>
          </w:p>
        </w:tc>
        <w:tc>
          <w:tcPr>
            <w:tcW w:w="963" w:type="pct"/>
            <w:vAlign w:val="center"/>
          </w:tcPr>
          <w:p w14:paraId="17D80D05">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56782CBE">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5B594A24">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628E86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02BB9249">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6</w:t>
            </w:r>
          </w:p>
        </w:tc>
        <w:tc>
          <w:tcPr>
            <w:tcW w:w="694" w:type="pct"/>
            <w:vMerge w:val="continue"/>
            <w:vAlign w:val="center"/>
          </w:tcPr>
          <w:p w14:paraId="70E7B124">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03839BE2">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六月</w:t>
            </w:r>
          </w:p>
        </w:tc>
        <w:tc>
          <w:tcPr>
            <w:tcW w:w="963" w:type="pct"/>
            <w:vAlign w:val="center"/>
          </w:tcPr>
          <w:p w14:paraId="6AFFE392">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75CA5A43">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6EF5B0DA">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5C8704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10C78E04">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7</w:t>
            </w:r>
          </w:p>
        </w:tc>
        <w:tc>
          <w:tcPr>
            <w:tcW w:w="694" w:type="pct"/>
            <w:vMerge w:val="continue"/>
            <w:vAlign w:val="center"/>
          </w:tcPr>
          <w:p w14:paraId="529FEC72">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5C3EA5B5">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七月</w:t>
            </w:r>
          </w:p>
        </w:tc>
        <w:tc>
          <w:tcPr>
            <w:tcW w:w="963" w:type="pct"/>
            <w:vAlign w:val="center"/>
          </w:tcPr>
          <w:p w14:paraId="6A67F7DA">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319C6400">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57B52CDD">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31B155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42C2E51B">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8</w:t>
            </w:r>
          </w:p>
        </w:tc>
        <w:tc>
          <w:tcPr>
            <w:tcW w:w="694" w:type="pct"/>
            <w:vMerge w:val="continue"/>
            <w:vAlign w:val="center"/>
          </w:tcPr>
          <w:p w14:paraId="49DC062A">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18E54C6E">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八月</w:t>
            </w:r>
          </w:p>
        </w:tc>
        <w:tc>
          <w:tcPr>
            <w:tcW w:w="963" w:type="pct"/>
            <w:vAlign w:val="center"/>
          </w:tcPr>
          <w:p w14:paraId="2FB1E344">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5668703C">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7FA6810A">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1CEB9E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7B20FC9F">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9</w:t>
            </w:r>
          </w:p>
        </w:tc>
        <w:tc>
          <w:tcPr>
            <w:tcW w:w="694" w:type="pct"/>
            <w:vMerge w:val="continue"/>
            <w:vAlign w:val="center"/>
          </w:tcPr>
          <w:p w14:paraId="3B8867AF">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7AFE6B3A">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九月</w:t>
            </w:r>
          </w:p>
        </w:tc>
        <w:tc>
          <w:tcPr>
            <w:tcW w:w="963" w:type="pct"/>
            <w:vAlign w:val="center"/>
          </w:tcPr>
          <w:p w14:paraId="0D649B4A">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67A62C3D">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6CFC0F80">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48AD5E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162E8D92">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10</w:t>
            </w:r>
          </w:p>
        </w:tc>
        <w:tc>
          <w:tcPr>
            <w:tcW w:w="694" w:type="pct"/>
            <w:vMerge w:val="continue"/>
            <w:vAlign w:val="center"/>
          </w:tcPr>
          <w:p w14:paraId="12F9E7AB">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1839457E">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十月</w:t>
            </w:r>
          </w:p>
        </w:tc>
        <w:tc>
          <w:tcPr>
            <w:tcW w:w="963" w:type="pct"/>
            <w:vAlign w:val="center"/>
          </w:tcPr>
          <w:p w14:paraId="682BB95B">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7072B5F1">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7BBACF3D">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0293A3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3E11501E">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11</w:t>
            </w:r>
          </w:p>
        </w:tc>
        <w:tc>
          <w:tcPr>
            <w:tcW w:w="694" w:type="pct"/>
            <w:vMerge w:val="continue"/>
            <w:vAlign w:val="center"/>
          </w:tcPr>
          <w:p w14:paraId="393B6345">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365C15C6">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十一月</w:t>
            </w:r>
          </w:p>
        </w:tc>
        <w:tc>
          <w:tcPr>
            <w:tcW w:w="963" w:type="pct"/>
            <w:vAlign w:val="center"/>
          </w:tcPr>
          <w:p w14:paraId="05BC2041">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1D2E107E">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0B3B7211">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480337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7500076D">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12</w:t>
            </w:r>
          </w:p>
        </w:tc>
        <w:tc>
          <w:tcPr>
            <w:tcW w:w="694" w:type="pct"/>
            <w:vMerge w:val="continue"/>
            <w:vAlign w:val="center"/>
          </w:tcPr>
          <w:p w14:paraId="1D29C887">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66FEAB0C">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十二月</w:t>
            </w:r>
          </w:p>
        </w:tc>
        <w:tc>
          <w:tcPr>
            <w:tcW w:w="963" w:type="pct"/>
            <w:vAlign w:val="center"/>
          </w:tcPr>
          <w:p w14:paraId="52F4DA8D">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16714258">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120AEBC2">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268ABA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3E709680">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13</w:t>
            </w:r>
          </w:p>
        </w:tc>
        <w:tc>
          <w:tcPr>
            <w:tcW w:w="694" w:type="pct"/>
            <w:vMerge w:val="restart"/>
            <w:vAlign w:val="center"/>
          </w:tcPr>
          <w:p w14:paraId="004A758F">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eastAsia" w:ascii="Times New Roman" w:hAnsi="Times New Roman"/>
                <w:color w:val="auto"/>
                <w:sz w:val="21"/>
                <w:szCs w:val="21"/>
              </w:rPr>
              <w:t>180</w:t>
            </w:r>
            <w:r>
              <w:rPr>
                <w:rFonts w:hint="default" w:ascii="Times New Roman" w:hAnsi="Times New Roman"/>
                <w:color w:val="auto"/>
                <w:sz w:val="21"/>
                <w:szCs w:val="21"/>
              </w:rPr>
              <w:t>°</w:t>
            </w:r>
            <w:r>
              <w:rPr>
                <w:rFonts w:hint="eastAsia" w:ascii="Times New Roman" w:hAnsi="Times New Roman"/>
                <w:color w:val="auto"/>
                <w:sz w:val="21"/>
                <w:szCs w:val="21"/>
              </w:rPr>
              <w:t>~360</w:t>
            </w:r>
            <w:r>
              <w:rPr>
                <w:rFonts w:hint="default" w:ascii="Times New Roman" w:hAnsi="Times New Roman"/>
                <w:color w:val="auto"/>
                <w:sz w:val="21"/>
                <w:szCs w:val="21"/>
              </w:rPr>
              <w:t>°</w:t>
            </w:r>
          </w:p>
          <w:p w14:paraId="438CA63F">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（城市）</w:t>
            </w:r>
          </w:p>
        </w:tc>
        <w:tc>
          <w:tcPr>
            <w:tcW w:w="1726" w:type="dxa"/>
            <w:vAlign w:val="center"/>
          </w:tcPr>
          <w:p w14:paraId="05D29AAE">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一月</w:t>
            </w:r>
          </w:p>
        </w:tc>
        <w:tc>
          <w:tcPr>
            <w:tcW w:w="963" w:type="pct"/>
            <w:vAlign w:val="center"/>
          </w:tcPr>
          <w:p w14:paraId="7B84B443">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2D04713E">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1E791797">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65F931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3332AD82">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14</w:t>
            </w:r>
          </w:p>
        </w:tc>
        <w:tc>
          <w:tcPr>
            <w:tcW w:w="694" w:type="pct"/>
            <w:vMerge w:val="continue"/>
            <w:vAlign w:val="center"/>
          </w:tcPr>
          <w:p w14:paraId="3A3714AA">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6E209FB0">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二月</w:t>
            </w:r>
          </w:p>
        </w:tc>
        <w:tc>
          <w:tcPr>
            <w:tcW w:w="963" w:type="pct"/>
            <w:vAlign w:val="center"/>
          </w:tcPr>
          <w:p w14:paraId="749B0C49">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7B333557">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76924F4D">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2AC607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23E0CDCA">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15</w:t>
            </w:r>
          </w:p>
        </w:tc>
        <w:tc>
          <w:tcPr>
            <w:tcW w:w="694" w:type="pct"/>
            <w:vMerge w:val="continue"/>
            <w:vAlign w:val="center"/>
          </w:tcPr>
          <w:p w14:paraId="02437F93">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7281DEED">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三月</w:t>
            </w:r>
          </w:p>
        </w:tc>
        <w:tc>
          <w:tcPr>
            <w:tcW w:w="963" w:type="pct"/>
            <w:vAlign w:val="center"/>
          </w:tcPr>
          <w:p w14:paraId="7B521099">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1653C116">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26231414">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4F3862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0A242B58">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16</w:t>
            </w:r>
          </w:p>
        </w:tc>
        <w:tc>
          <w:tcPr>
            <w:tcW w:w="694" w:type="pct"/>
            <w:vMerge w:val="continue"/>
            <w:vAlign w:val="center"/>
          </w:tcPr>
          <w:p w14:paraId="289F733C">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08149B58">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四月</w:t>
            </w:r>
          </w:p>
        </w:tc>
        <w:tc>
          <w:tcPr>
            <w:tcW w:w="963" w:type="pct"/>
            <w:vAlign w:val="center"/>
          </w:tcPr>
          <w:p w14:paraId="19982A94">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7DA63EA9">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6DBEE3DC">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2CA770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41290619">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17</w:t>
            </w:r>
          </w:p>
        </w:tc>
        <w:tc>
          <w:tcPr>
            <w:tcW w:w="694" w:type="pct"/>
            <w:vMerge w:val="continue"/>
            <w:vAlign w:val="center"/>
          </w:tcPr>
          <w:p w14:paraId="5DDBCF3D">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54AA2F0D">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五月</w:t>
            </w:r>
          </w:p>
        </w:tc>
        <w:tc>
          <w:tcPr>
            <w:tcW w:w="963" w:type="pct"/>
            <w:vAlign w:val="center"/>
          </w:tcPr>
          <w:p w14:paraId="1FDBE209">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517B44B7">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01080B55">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4778B4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2E848671">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18</w:t>
            </w:r>
          </w:p>
        </w:tc>
        <w:tc>
          <w:tcPr>
            <w:tcW w:w="694" w:type="pct"/>
            <w:vMerge w:val="continue"/>
            <w:vAlign w:val="center"/>
          </w:tcPr>
          <w:p w14:paraId="2D2658BC">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3326DE8E">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六月</w:t>
            </w:r>
          </w:p>
        </w:tc>
        <w:tc>
          <w:tcPr>
            <w:tcW w:w="963" w:type="pct"/>
            <w:vAlign w:val="center"/>
          </w:tcPr>
          <w:p w14:paraId="7534BCE5">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033F9472">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392E7CDB">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0550EE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7CA5124A">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19</w:t>
            </w:r>
          </w:p>
        </w:tc>
        <w:tc>
          <w:tcPr>
            <w:tcW w:w="694" w:type="pct"/>
            <w:vMerge w:val="continue"/>
            <w:vAlign w:val="center"/>
          </w:tcPr>
          <w:p w14:paraId="63BB88F5">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2C820462">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七月</w:t>
            </w:r>
          </w:p>
        </w:tc>
        <w:tc>
          <w:tcPr>
            <w:tcW w:w="963" w:type="pct"/>
            <w:vAlign w:val="center"/>
          </w:tcPr>
          <w:p w14:paraId="12EEF43A">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741C19A0">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7510170B">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7C2827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0CC7F463">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20</w:t>
            </w:r>
          </w:p>
        </w:tc>
        <w:tc>
          <w:tcPr>
            <w:tcW w:w="694" w:type="pct"/>
            <w:vMerge w:val="continue"/>
            <w:vAlign w:val="center"/>
          </w:tcPr>
          <w:p w14:paraId="6DF720C6">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3CB14F94">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八月</w:t>
            </w:r>
          </w:p>
        </w:tc>
        <w:tc>
          <w:tcPr>
            <w:tcW w:w="963" w:type="pct"/>
            <w:vAlign w:val="center"/>
          </w:tcPr>
          <w:p w14:paraId="7946C025">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2A465469">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67211B7B">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740CF2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2B85458C">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21</w:t>
            </w:r>
          </w:p>
        </w:tc>
        <w:tc>
          <w:tcPr>
            <w:tcW w:w="694" w:type="pct"/>
            <w:vMerge w:val="continue"/>
            <w:vAlign w:val="center"/>
          </w:tcPr>
          <w:p w14:paraId="32C9E1A7">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05E29CB0">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九月</w:t>
            </w:r>
          </w:p>
        </w:tc>
        <w:tc>
          <w:tcPr>
            <w:tcW w:w="963" w:type="pct"/>
            <w:vAlign w:val="center"/>
          </w:tcPr>
          <w:p w14:paraId="61A1B752">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1402A526">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44866CE9">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3B902F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2FCA5E63">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22</w:t>
            </w:r>
          </w:p>
        </w:tc>
        <w:tc>
          <w:tcPr>
            <w:tcW w:w="694" w:type="pct"/>
            <w:vMerge w:val="continue"/>
            <w:vAlign w:val="center"/>
          </w:tcPr>
          <w:p w14:paraId="0193C852">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1D78A8CA">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十月</w:t>
            </w:r>
          </w:p>
        </w:tc>
        <w:tc>
          <w:tcPr>
            <w:tcW w:w="963" w:type="pct"/>
            <w:vAlign w:val="center"/>
          </w:tcPr>
          <w:p w14:paraId="38F00D4C">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6C3AFFA0">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2E6D8B92">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040C32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258DCF7C">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23</w:t>
            </w:r>
          </w:p>
        </w:tc>
        <w:tc>
          <w:tcPr>
            <w:tcW w:w="694" w:type="pct"/>
            <w:vMerge w:val="continue"/>
            <w:vAlign w:val="center"/>
          </w:tcPr>
          <w:p w14:paraId="4C5D81F7">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3A4FCA3B">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十一月</w:t>
            </w:r>
          </w:p>
        </w:tc>
        <w:tc>
          <w:tcPr>
            <w:tcW w:w="963" w:type="pct"/>
            <w:vAlign w:val="center"/>
          </w:tcPr>
          <w:p w14:paraId="220E09AF">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0F9646A9">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13216AD5">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r w14:paraId="129823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62E7859D">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24</w:t>
            </w:r>
          </w:p>
        </w:tc>
        <w:tc>
          <w:tcPr>
            <w:tcW w:w="694" w:type="pct"/>
            <w:vMerge w:val="continue"/>
            <w:vAlign w:val="center"/>
          </w:tcPr>
          <w:p w14:paraId="66FDC0C8">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726" w:type="dxa"/>
            <w:vAlign w:val="center"/>
          </w:tcPr>
          <w:p w14:paraId="2FD9B650">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r>
              <w:rPr>
                <w:rFonts w:hint="default" w:ascii="Times New Roman" w:hAnsi="Times New Roman"/>
                <w:color w:val="auto"/>
                <w:sz w:val="21"/>
                <w:szCs w:val="21"/>
              </w:rPr>
              <w:t>十二月</w:t>
            </w:r>
          </w:p>
        </w:tc>
        <w:tc>
          <w:tcPr>
            <w:tcW w:w="963" w:type="pct"/>
            <w:vAlign w:val="center"/>
          </w:tcPr>
          <w:p w14:paraId="4E33E5FE">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1017" w:type="pct"/>
            <w:vAlign w:val="center"/>
          </w:tcPr>
          <w:p w14:paraId="380B0D54">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c>
          <w:tcPr>
            <w:tcW w:w="699" w:type="pct"/>
            <w:vAlign w:val="center"/>
          </w:tcPr>
          <w:p w14:paraId="1B0B1101">
            <w:pPr>
              <w:pStyle w:val="128"/>
              <w:keepNext w:val="0"/>
              <w:keepLines w:val="0"/>
              <w:suppressLineNumbers w:val="0"/>
              <w:spacing w:before="0" w:beforeAutospacing="0" w:after="0" w:afterAutospacing="0" w:line="240" w:lineRule="auto"/>
              <w:ind w:left="0" w:leftChars="0" w:right="0" w:rightChars="0"/>
              <w:rPr>
                <w:rFonts w:hint="default" w:ascii="Times New Roman" w:hAnsi="Times New Roman"/>
                <w:color w:val="auto"/>
                <w:sz w:val="21"/>
                <w:szCs w:val="21"/>
              </w:rPr>
            </w:pPr>
          </w:p>
        </w:tc>
      </w:tr>
    </w:tbl>
    <w:p w14:paraId="71A0C5DB">
      <w:pPr>
        <w:pStyle w:val="6"/>
        <w:rPr>
          <w:color w:val="auto"/>
        </w:rPr>
      </w:pPr>
      <w:r>
        <w:rPr>
          <w:color w:val="auto"/>
        </w:rPr>
        <w:t>地形数据</w:t>
      </w:r>
    </w:p>
    <w:p w14:paraId="3FD3507B">
      <w:pPr>
        <w:ind w:firstLine="480"/>
        <w:rPr>
          <w:color w:val="auto"/>
        </w:rPr>
      </w:pPr>
      <w:r>
        <w:rPr>
          <w:color w:val="auto"/>
        </w:rPr>
        <w:t>评价范围内的地形数据采用外部DEM文件，并采用AERMAP运行计算得出评价范围内各网格及敏感点的地形数据。构建评价范围的预测网格时，采用直角坐标的方式，即坐标形式为（x，y）。采取等间距设置预测网格，间距按50m进行设置。</w:t>
      </w:r>
    </w:p>
    <w:p w14:paraId="28C34425">
      <w:pPr>
        <w:ind w:firstLine="480"/>
        <w:jc w:val="center"/>
        <w:rPr>
          <w:color w:val="auto"/>
        </w:rPr>
      </w:pPr>
      <w:r>
        <w:rPr>
          <w:color w:val="auto"/>
        </w:rPr>
        <mc:AlternateContent>
          <mc:Choice Requires="wps">
            <w:drawing>
              <wp:anchor distT="0" distB="0" distL="114300" distR="114300" simplePos="0" relativeHeight="251667456" behindDoc="0" locked="0" layoutInCell="1" allowOverlap="1">
                <wp:simplePos x="0" y="0"/>
                <wp:positionH relativeFrom="column">
                  <wp:posOffset>2454910</wp:posOffset>
                </wp:positionH>
                <wp:positionV relativeFrom="paragraph">
                  <wp:posOffset>1236980</wp:posOffset>
                </wp:positionV>
                <wp:extent cx="762635" cy="290830"/>
                <wp:effectExtent l="0" t="323850" r="18415" b="13970"/>
                <wp:wrapNone/>
                <wp:docPr id="142" name="矩形标注 142"/>
                <wp:cNvGraphicFramePr/>
                <a:graphic xmlns:a="http://schemas.openxmlformats.org/drawingml/2006/main">
                  <a:graphicData uri="http://schemas.microsoft.com/office/word/2010/wordprocessingShape">
                    <wps:wsp>
                      <wps:cNvSpPr/>
                      <wps:spPr>
                        <a:xfrm>
                          <a:off x="0" y="0"/>
                          <a:ext cx="762635" cy="290830"/>
                        </a:xfrm>
                        <a:prstGeom prst="wedgeRectCallout">
                          <a:avLst>
                            <a:gd name="adj1" fmla="val -37281"/>
                            <a:gd name="adj2" fmla="val -150444"/>
                          </a:avLst>
                        </a:prstGeom>
                        <a:solidFill>
                          <a:srgbClr val="C7EDCC"/>
                        </a:solidFill>
                        <a:ln w="12700" cap="flat" cmpd="sng" algn="ctr">
                          <a:gradFill>
                            <a:gsLst>
                              <a:gs pos="50410">
                                <a:srgbClr val="1F1F1F"/>
                              </a:gs>
                              <a:gs pos="0">
                                <a:srgbClr val="020202"/>
                              </a:gs>
                              <a:gs pos="100000">
                                <a:srgbClr val="424242"/>
                              </a:gs>
                            </a:gsLst>
                            <a:lin ang="5400000" scaled="0"/>
                          </a:gradFill>
                          <a:prstDash val="solid"/>
                          <a:miter lim="800000"/>
                        </a:ln>
                      </wps:spPr>
                      <wps:txbx>
                        <w:txbxContent>
                          <w:p w14:paraId="31AF3DCF">
                            <w:pPr>
                              <w:spacing w:line="300" w:lineRule="exact"/>
                              <w:ind w:firstLine="0" w:firstLineChars="0"/>
                              <w:jc w:val="center"/>
                              <w:rPr>
                                <w:color w:val="000000"/>
                                <w:sz w:val="18"/>
                                <w:szCs w:val="18"/>
                              </w:rPr>
                            </w:pPr>
                            <w:r>
                              <w:rPr>
                                <w:rFonts w:hint="eastAsia"/>
                                <w:color w:val="000000"/>
                                <w:sz w:val="18"/>
                                <w:szCs w:val="18"/>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3.3pt;margin-top:97.4pt;height:22.9pt;width:60.05pt;z-index:251667456;v-text-anchor:middle;mso-width-relative:page;mso-height-relative:page;" fillcolor="#C7EDCC" filled="t" stroked="t" coordsize="21600,21600" o:gfxdata="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" adj="2747,-21696">
                <v:fill on="t" focussize="0,0"/>
                <v:stroke weight="1pt" color="#000000" miterlimit="8" joinstyle="miter"/>
                <v:imagedata o:title=""/>
                <o:lock v:ext="edit" aspectratio="f"/>
                <v:textbox>
                  <w:txbxContent>
                    <w:p w14:paraId="31AF3DCF">
                      <w:pPr>
                        <w:spacing w:line="300" w:lineRule="exact"/>
                        <w:ind w:firstLine="0" w:firstLineChars="0"/>
                        <w:jc w:val="center"/>
                        <w:rPr>
                          <w:color w:val="000000"/>
                          <w:sz w:val="18"/>
                          <w:szCs w:val="18"/>
                        </w:rPr>
                      </w:pPr>
                      <w:r>
                        <w:rPr>
                          <w:rFonts w:hint="eastAsia"/>
                          <w:color w:val="000000"/>
                          <w:sz w:val="18"/>
                          <w:szCs w:val="18"/>
                        </w:rPr>
                        <w:t>本项目</w:t>
                      </w:r>
                    </w:p>
                  </w:txbxContent>
                </v:textbox>
              </v:shape>
            </w:pict>
          </mc:Fallback>
        </mc:AlternateContent>
      </w:r>
      <w:r>
        <w:rPr>
          <w:color w:val="auto"/>
        </w:rPr>
        <mc:AlternateContent>
          <mc:Choice Requires="wps">
            <w:drawing>
              <wp:anchor distT="0" distB="0" distL="114300" distR="114300" simplePos="0" relativeHeight="251666432" behindDoc="0" locked="0" layoutInCell="1" allowOverlap="1">
                <wp:simplePos x="0" y="0"/>
                <wp:positionH relativeFrom="column">
                  <wp:posOffset>2360295</wp:posOffset>
                </wp:positionH>
                <wp:positionV relativeFrom="paragraph">
                  <wp:posOffset>714375</wp:posOffset>
                </wp:positionV>
                <wp:extent cx="315595" cy="311785"/>
                <wp:effectExtent l="38100" t="38100" r="0" b="50165"/>
                <wp:wrapNone/>
                <wp:docPr id="141" name="十字星 141"/>
                <wp:cNvGraphicFramePr/>
                <a:graphic xmlns:a="http://schemas.openxmlformats.org/drawingml/2006/main">
                  <a:graphicData uri="http://schemas.microsoft.com/office/word/2010/wordprocessingShape">
                    <wps:wsp>
                      <wps:cNvSpPr/>
                      <wps:spPr>
                        <a:xfrm>
                          <a:off x="0" y="0"/>
                          <a:ext cx="315595" cy="311785"/>
                        </a:xfrm>
                        <a:prstGeom prst="star4">
                          <a:avLst/>
                        </a:prstGeom>
                        <a:solidFill>
                          <a:srgbClr val="FF0000"/>
                        </a:solid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85.85pt;margin-top:56.25pt;height:24.55pt;width:24.85pt;z-index:251666432;v-text-anchor:middle;mso-width-relative:page;mso-height-relative:page;" fillcolor="#FF0000" filled="t" stroked="t" coordsize="21600,21600" o:gfxdata="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IzBTE2gAAAAsBAAAPAAAAAAAAAAEAIAAAACIAAABkcnMv&#10;ZG93bnJldi54bWxQSwECFAAUAAAACACHTuJAqMtUwXMCAAD7BAAADgAAAAAAAAABACAAAAApAQAA&#10;ZHJzL2Uyb0RvYy54bWxQSwUGAAAAAAYABgBZAQAADgYAAAAA&#10;" adj="8100">
                <v:fill on="t" focussize="0,0"/>
                <v:stroke weight="1pt" color="#FF0000" miterlimit="8" joinstyle="miter"/>
                <v:imagedata o:title=""/>
                <o:lock v:ext="edit" aspectratio="f"/>
              </v:shape>
            </w:pict>
          </mc:Fallback>
        </mc:AlternateContent>
      </w:r>
      <w:r>
        <w:rPr>
          <w:color w:val="auto"/>
        </w:rPr>
        <w:drawing>
          <wp:inline distT="0" distB="0" distL="0" distR="0">
            <wp:extent cx="4029075" cy="2843530"/>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4049606" cy="2858153"/>
                    </a:xfrm>
                    <a:prstGeom prst="rect">
                      <a:avLst/>
                    </a:prstGeom>
                    <a:noFill/>
                    <a:ln>
                      <a:noFill/>
                    </a:ln>
                    <a:effectLst/>
                  </pic:spPr>
                </pic:pic>
              </a:graphicData>
            </a:graphic>
          </wp:inline>
        </w:drawing>
      </w:r>
    </w:p>
    <w:p w14:paraId="661A0187">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4.1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5</w:t>
      </w:r>
      <w:r>
        <w:rPr>
          <w:color w:val="auto"/>
        </w:rPr>
        <w:fldChar w:fldCharType="end"/>
      </w:r>
      <w:r>
        <w:rPr>
          <w:rFonts w:hint="eastAsia"/>
          <w:color w:val="auto"/>
        </w:rPr>
        <w:t>预测地形高程图</w:t>
      </w:r>
    </w:p>
    <w:p w14:paraId="0EB979D4">
      <w:pPr>
        <w:pStyle w:val="6"/>
        <w:rPr>
          <w:color w:val="auto"/>
        </w:rPr>
      </w:pPr>
      <w:r>
        <w:rPr>
          <w:color w:val="auto"/>
        </w:rPr>
        <w:t>预测模型</w:t>
      </w:r>
    </w:p>
    <w:p w14:paraId="7C836F10">
      <w:pPr>
        <w:ind w:firstLine="480"/>
        <w:rPr>
          <w:color w:val="auto"/>
        </w:rPr>
      </w:pPr>
      <w:r>
        <w:rPr>
          <w:rFonts w:hint="eastAsia"/>
          <w:color w:val="auto"/>
        </w:rPr>
        <w:t>本项目按国家标准《环境影响评价技术导则大气环境》（HJ2.2-2018）中环境保护部环境工程评估中心环境质量模拟重点实验室网站推荐的大气估算模式进行，采用AERSCREEN软件进行预测计算。</w:t>
      </w:r>
    </w:p>
    <w:p w14:paraId="5948A9BA">
      <w:pPr>
        <w:pStyle w:val="6"/>
        <w:rPr>
          <w:color w:val="auto"/>
        </w:rPr>
      </w:pPr>
      <w:r>
        <w:rPr>
          <w:rFonts w:hint="eastAsia"/>
          <w:color w:val="auto"/>
        </w:rPr>
        <w:t>大气</w:t>
      </w:r>
      <w:r>
        <w:rPr>
          <w:color w:val="auto"/>
        </w:rPr>
        <w:t>预测及结果分析</w:t>
      </w:r>
    </w:p>
    <w:p w14:paraId="53A43A95">
      <w:pPr>
        <w:ind w:firstLine="480"/>
        <w:rPr>
          <w:color w:val="auto"/>
        </w:rPr>
      </w:pPr>
      <w:r>
        <w:rPr>
          <w:rFonts w:hint="eastAsia"/>
          <w:color w:val="auto"/>
        </w:rPr>
        <w:t>（1）正常工况下废气</w:t>
      </w:r>
    </w:p>
    <w:p w14:paraId="5E684330">
      <w:pPr>
        <w:ind w:firstLine="480"/>
        <w:rPr>
          <w:color w:val="auto"/>
        </w:rPr>
      </w:pPr>
      <w:r>
        <w:rPr>
          <w:rFonts w:hint="eastAsia"/>
          <w:color w:val="auto"/>
        </w:rPr>
        <w:t>设备动静密封点泄漏涉及非甲烷总烃流经或接触的设备或管道，主要包括泵、压缩机、阀门、泄压设备、取样连接系统、开口阀或开口管线、法兰、连接件和其他等十大类。</w:t>
      </w:r>
    </w:p>
    <w:p w14:paraId="60E67934">
      <w:pPr>
        <w:ind w:firstLine="480"/>
        <w:rPr>
          <w:color w:val="auto"/>
        </w:rPr>
      </w:pPr>
      <w:r>
        <w:rPr>
          <w:rFonts w:hint="eastAsia"/>
          <w:color w:val="auto"/>
        </w:rPr>
        <w:t>扩建</w:t>
      </w:r>
      <w:r>
        <w:rPr>
          <w:color w:val="auto"/>
        </w:rPr>
        <w:t>项目甲基叔丁基醚装船废气依托现有工程的</w:t>
      </w:r>
      <w:r>
        <w:rPr>
          <w:rFonts w:hint="eastAsia"/>
          <w:color w:val="auto"/>
        </w:rPr>
        <w:t>码头</w:t>
      </w:r>
      <w:r>
        <w:rPr>
          <w:color w:val="auto"/>
        </w:rPr>
        <w:t>装船油气回收设施</w:t>
      </w:r>
      <w:r>
        <w:rPr>
          <w:rFonts w:hint="eastAsia"/>
          <w:color w:val="auto"/>
        </w:rPr>
        <w:t>进行处理</w:t>
      </w:r>
      <w:r>
        <w:rPr>
          <w:color w:val="auto"/>
        </w:rPr>
        <w:t>，</w:t>
      </w:r>
      <w:r>
        <w:rPr>
          <w:rFonts w:hint="eastAsia"/>
          <w:color w:val="auto"/>
        </w:rPr>
        <w:t>6#泊位</w:t>
      </w:r>
      <w:r>
        <w:rPr>
          <w:color w:val="auto"/>
        </w:rPr>
        <w:t>一次能靠泊</w:t>
      </w:r>
      <w:r>
        <w:rPr>
          <w:rFonts w:hint="eastAsia"/>
          <w:color w:val="auto"/>
        </w:rPr>
        <w:t>1艘</w:t>
      </w:r>
      <w:r>
        <w:rPr>
          <w:color w:val="auto"/>
        </w:rPr>
        <w:t>货船，</w:t>
      </w:r>
      <w:r>
        <w:rPr>
          <w:rFonts w:hint="eastAsia"/>
          <w:color w:val="auto"/>
        </w:rPr>
        <w:t>汽油</w:t>
      </w:r>
      <w:r>
        <w:rPr>
          <w:color w:val="auto"/>
        </w:rPr>
        <w:t>和甲基叔丁基醚</w:t>
      </w:r>
      <w:r>
        <w:rPr>
          <w:rFonts w:hint="eastAsia"/>
          <w:color w:val="auto"/>
        </w:rPr>
        <w:t>不能</w:t>
      </w:r>
      <w:r>
        <w:rPr>
          <w:color w:val="auto"/>
        </w:rPr>
        <w:t>同时进行</w:t>
      </w:r>
      <w:r>
        <w:rPr>
          <w:rFonts w:hint="eastAsia"/>
          <w:color w:val="auto"/>
        </w:rPr>
        <w:t>装船</w:t>
      </w:r>
      <w:r>
        <w:rPr>
          <w:color w:val="auto"/>
        </w:rPr>
        <w:t>作业，</w:t>
      </w:r>
      <w:r>
        <w:rPr>
          <w:rFonts w:hint="eastAsia"/>
          <w:color w:val="auto"/>
        </w:rPr>
        <w:t>本次</w:t>
      </w:r>
      <w:r>
        <w:rPr>
          <w:color w:val="auto"/>
        </w:rPr>
        <w:t>扩建</w:t>
      </w:r>
      <w:r>
        <w:rPr>
          <w:rFonts w:hint="eastAsia"/>
          <w:color w:val="auto"/>
        </w:rPr>
        <w:t>项目</w:t>
      </w:r>
      <w:r>
        <w:rPr>
          <w:color w:val="auto"/>
        </w:rPr>
        <w:t>装船油气回收设施</w:t>
      </w:r>
      <w:r>
        <w:rPr>
          <w:rFonts w:hint="eastAsia"/>
          <w:color w:val="auto"/>
        </w:rPr>
        <w:t>有组织</w:t>
      </w:r>
      <w:r>
        <w:rPr>
          <w:color w:val="auto"/>
        </w:rPr>
        <w:t>排放量新增</w:t>
      </w:r>
      <w:r>
        <w:rPr>
          <w:rFonts w:hint="eastAsia"/>
          <w:color w:val="auto"/>
        </w:rPr>
        <w:t>1.26</w:t>
      </w:r>
      <w:r>
        <w:rPr>
          <w:color w:val="auto"/>
        </w:rPr>
        <w:t>t/a，装船油气回收设施</w:t>
      </w:r>
      <w:r>
        <w:rPr>
          <w:rFonts w:hint="eastAsia"/>
          <w:color w:val="auto"/>
        </w:rPr>
        <w:t>排放</w:t>
      </w:r>
      <w:r>
        <w:rPr>
          <w:color w:val="auto"/>
        </w:rPr>
        <w:t>的废气详见表</w:t>
      </w:r>
      <w:r>
        <w:rPr>
          <w:rFonts w:hint="eastAsia"/>
          <w:color w:val="auto"/>
        </w:rPr>
        <w:t>4.</w:t>
      </w:r>
      <w:r>
        <w:rPr>
          <w:color w:val="auto"/>
        </w:rPr>
        <w:t>2</w:t>
      </w:r>
      <w:r>
        <w:rPr>
          <w:rFonts w:hint="eastAsia"/>
          <w:color w:val="auto"/>
        </w:rPr>
        <w:t>-10。</w:t>
      </w:r>
    </w:p>
    <w:p w14:paraId="04C4A7E5">
      <w:pPr>
        <w:ind w:firstLine="480"/>
        <w:rPr>
          <w:rFonts w:hint="eastAsia"/>
          <w:color w:val="auto"/>
        </w:rPr>
      </w:pPr>
      <w:r>
        <w:rPr>
          <w:rFonts w:hint="eastAsia"/>
          <w:color w:val="auto"/>
        </w:rPr>
        <w:t>本扩建项目产生</w:t>
      </w:r>
      <w:r>
        <w:rPr>
          <w:color w:val="auto"/>
        </w:rPr>
        <w:t>的无组织废气为</w:t>
      </w:r>
      <w:r>
        <w:rPr>
          <w:rFonts w:hint="eastAsia"/>
          <w:color w:val="auto"/>
        </w:rPr>
        <w:t>装卸作业时</w:t>
      </w:r>
      <w:r>
        <w:rPr>
          <w:color w:val="auto"/>
        </w:rPr>
        <w:t>相关动静密封点以及储罐损耗无组织废气。</w:t>
      </w:r>
      <w:r>
        <w:rPr>
          <w:rFonts w:hint="eastAsia"/>
          <w:color w:val="auto"/>
        </w:rPr>
        <w:t>扩建</w:t>
      </w:r>
      <w:r>
        <w:rPr>
          <w:color w:val="auto"/>
        </w:rPr>
        <w:t>项目储罐损失</w:t>
      </w:r>
      <w:r>
        <w:rPr>
          <w:rFonts w:hint="eastAsia"/>
          <w:color w:val="auto"/>
        </w:rPr>
        <w:t>废气非甲烷总烃</w:t>
      </w:r>
      <w:r>
        <w:rPr>
          <w:color w:val="auto"/>
        </w:rPr>
        <w:t>排放量为4.23t/a，排放速率为0.51kg/h</w:t>
      </w:r>
      <w:r>
        <w:rPr>
          <w:rFonts w:hint="eastAsia"/>
          <w:color w:val="auto"/>
        </w:rPr>
        <w:t>，</w:t>
      </w:r>
      <w:r>
        <w:rPr>
          <w:color w:val="auto"/>
        </w:rPr>
        <w:t>动静密封点</w:t>
      </w:r>
      <w:r>
        <w:rPr>
          <w:rFonts w:hint="eastAsia"/>
          <w:color w:val="auto"/>
        </w:rPr>
        <w:t>产生</w:t>
      </w:r>
      <w:r>
        <w:rPr>
          <w:color w:val="auto"/>
        </w:rPr>
        <w:t>的废气排放量为0.904t/a，排放速率为0.281kg/h</w:t>
      </w:r>
      <w:r>
        <w:rPr>
          <w:rFonts w:hint="eastAsia"/>
          <w:color w:val="auto"/>
        </w:rPr>
        <w:t>。项目主要污染源估算模型计算结果详见表4.3-11。</w:t>
      </w:r>
    </w:p>
    <w:p w14:paraId="0769B42B">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4.1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5</w:t>
      </w:r>
      <w:r>
        <w:rPr>
          <w:color w:val="auto"/>
        </w:rPr>
        <w:fldChar w:fldCharType="end"/>
      </w:r>
      <w:r>
        <w:rPr>
          <w:color w:val="auto"/>
        </w:rPr>
        <w:t>扩建</w:t>
      </w:r>
      <w:r>
        <w:rPr>
          <w:rFonts w:hint="eastAsia"/>
          <w:color w:val="auto"/>
        </w:rPr>
        <w:t>项目点源</w:t>
      </w:r>
      <w:r>
        <w:rPr>
          <w:color w:val="auto"/>
        </w:rPr>
        <w:t>参数表</w:t>
      </w:r>
    </w:p>
    <w:tbl>
      <w:tblPr>
        <w:tblStyle w:val="44"/>
        <w:tblW w:w="90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88"/>
        <w:gridCol w:w="583"/>
        <w:gridCol w:w="793"/>
        <w:gridCol w:w="687"/>
        <w:gridCol w:w="690"/>
        <w:gridCol w:w="690"/>
        <w:gridCol w:w="730"/>
        <w:gridCol w:w="804"/>
        <w:gridCol w:w="687"/>
        <w:gridCol w:w="687"/>
        <w:gridCol w:w="586"/>
        <w:gridCol w:w="1418"/>
      </w:tblGrid>
      <w:tr w14:paraId="4DCD8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88" w:type="dxa"/>
            <w:vMerge w:val="restart"/>
            <w:vAlign w:val="center"/>
          </w:tcPr>
          <w:p w14:paraId="7D317D08">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编号</w:t>
            </w:r>
          </w:p>
        </w:tc>
        <w:tc>
          <w:tcPr>
            <w:tcW w:w="583" w:type="dxa"/>
            <w:vMerge w:val="restart"/>
            <w:vAlign w:val="center"/>
          </w:tcPr>
          <w:p w14:paraId="6E968A93">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名称</w:t>
            </w:r>
          </w:p>
        </w:tc>
        <w:tc>
          <w:tcPr>
            <w:tcW w:w="1480" w:type="dxa"/>
            <w:gridSpan w:val="2"/>
            <w:vAlign w:val="center"/>
          </w:tcPr>
          <w:p w14:paraId="204F0E2F">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排气筒底部中心坐标</w:t>
            </w:r>
          </w:p>
        </w:tc>
        <w:tc>
          <w:tcPr>
            <w:tcW w:w="690" w:type="dxa"/>
            <w:vMerge w:val="restart"/>
            <w:vAlign w:val="center"/>
          </w:tcPr>
          <w:p w14:paraId="13DFE064">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排气筒底部海拔高度</w:t>
            </w:r>
            <w:r>
              <w:rPr>
                <w:rFonts w:hint="eastAsia"/>
                <w:color w:val="auto"/>
              </w:rPr>
              <w:t>/</w:t>
            </w:r>
            <w:r>
              <w:rPr>
                <w:rFonts w:hint="default"/>
                <w:color w:val="auto"/>
              </w:rPr>
              <w:t>m</w:t>
            </w:r>
          </w:p>
        </w:tc>
        <w:tc>
          <w:tcPr>
            <w:tcW w:w="690" w:type="dxa"/>
            <w:vMerge w:val="restart"/>
            <w:vAlign w:val="center"/>
          </w:tcPr>
          <w:p w14:paraId="0EB0227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排气筒</w:t>
            </w:r>
            <w:r>
              <w:rPr>
                <w:rFonts w:hint="default"/>
                <w:color w:val="auto"/>
              </w:rPr>
              <w:t>高度</w:t>
            </w:r>
            <w:r>
              <w:rPr>
                <w:rFonts w:hint="eastAsia"/>
                <w:color w:val="auto"/>
              </w:rPr>
              <w:t>/</w:t>
            </w:r>
            <w:r>
              <w:rPr>
                <w:rFonts w:hint="default"/>
                <w:color w:val="auto"/>
              </w:rPr>
              <w:t>m</w:t>
            </w:r>
          </w:p>
        </w:tc>
        <w:tc>
          <w:tcPr>
            <w:tcW w:w="730" w:type="dxa"/>
            <w:vMerge w:val="restart"/>
            <w:vAlign w:val="center"/>
          </w:tcPr>
          <w:p w14:paraId="1626E34F">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排气筒出口内径</w:t>
            </w:r>
            <w:r>
              <w:rPr>
                <w:rFonts w:hint="eastAsia"/>
                <w:color w:val="auto"/>
              </w:rPr>
              <w:t>/</w:t>
            </w:r>
            <w:r>
              <w:rPr>
                <w:rFonts w:hint="default"/>
                <w:color w:val="auto"/>
              </w:rPr>
              <w:t>m</w:t>
            </w:r>
          </w:p>
        </w:tc>
        <w:tc>
          <w:tcPr>
            <w:tcW w:w="804" w:type="dxa"/>
            <w:vMerge w:val="restart"/>
            <w:vAlign w:val="center"/>
          </w:tcPr>
          <w:p w14:paraId="6CEB0A64">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烟气流速（m/s</w:t>
            </w:r>
            <w:r>
              <w:rPr>
                <w:rFonts w:hint="eastAsia"/>
                <w:color w:val="auto"/>
              </w:rPr>
              <w:t>）</w:t>
            </w:r>
          </w:p>
        </w:tc>
        <w:tc>
          <w:tcPr>
            <w:tcW w:w="687" w:type="dxa"/>
            <w:vMerge w:val="restart"/>
            <w:vAlign w:val="center"/>
          </w:tcPr>
          <w:p w14:paraId="0FFA7D1E">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烟气温度</w:t>
            </w:r>
            <w:r>
              <w:rPr>
                <w:rFonts w:hint="eastAsia"/>
                <w:color w:val="auto"/>
              </w:rPr>
              <w:t>/℃</w:t>
            </w:r>
          </w:p>
        </w:tc>
        <w:tc>
          <w:tcPr>
            <w:tcW w:w="687" w:type="dxa"/>
            <w:vMerge w:val="restart"/>
            <w:vAlign w:val="center"/>
          </w:tcPr>
          <w:p w14:paraId="179E92D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年</w:t>
            </w:r>
            <w:r>
              <w:rPr>
                <w:rFonts w:hint="default"/>
                <w:color w:val="auto"/>
              </w:rPr>
              <w:t>排放小时数</w:t>
            </w:r>
            <w:r>
              <w:rPr>
                <w:rFonts w:hint="eastAsia"/>
                <w:color w:val="auto"/>
              </w:rPr>
              <w:t>/</w:t>
            </w:r>
            <w:r>
              <w:rPr>
                <w:rFonts w:hint="default"/>
                <w:color w:val="auto"/>
              </w:rPr>
              <w:t>h</w:t>
            </w:r>
          </w:p>
        </w:tc>
        <w:tc>
          <w:tcPr>
            <w:tcW w:w="586" w:type="dxa"/>
            <w:vMerge w:val="restart"/>
            <w:vAlign w:val="center"/>
          </w:tcPr>
          <w:p w14:paraId="3973D24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排放</w:t>
            </w:r>
            <w:r>
              <w:rPr>
                <w:rFonts w:hint="default"/>
                <w:color w:val="auto"/>
              </w:rPr>
              <w:t>工况</w:t>
            </w:r>
          </w:p>
        </w:tc>
        <w:tc>
          <w:tcPr>
            <w:tcW w:w="1418" w:type="dxa"/>
            <w:vAlign w:val="center"/>
          </w:tcPr>
          <w:p w14:paraId="2B5743B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污染物</w:t>
            </w:r>
            <w:r>
              <w:rPr>
                <w:rFonts w:hint="default"/>
                <w:color w:val="auto"/>
              </w:rPr>
              <w:t>排放</w:t>
            </w:r>
            <w:r>
              <w:rPr>
                <w:rFonts w:hint="eastAsia"/>
                <w:color w:val="auto"/>
              </w:rPr>
              <w:t>速率</w:t>
            </w:r>
            <w:r>
              <w:rPr>
                <w:rFonts w:hint="default"/>
                <w:color w:val="auto"/>
              </w:rPr>
              <w:t>kg/h</w:t>
            </w:r>
          </w:p>
        </w:tc>
      </w:tr>
      <w:tr w14:paraId="531CB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88" w:type="dxa"/>
            <w:vMerge w:val="continue"/>
            <w:vAlign w:val="center"/>
          </w:tcPr>
          <w:p w14:paraId="61B4E001">
            <w:pPr>
              <w:pStyle w:val="91"/>
              <w:keepNext w:val="0"/>
              <w:keepLines w:val="0"/>
              <w:suppressLineNumbers w:val="0"/>
              <w:spacing w:before="0" w:beforeAutospacing="0" w:after="0" w:afterAutospacing="0"/>
              <w:ind w:left="0" w:right="0"/>
              <w:jc w:val="center"/>
              <w:rPr>
                <w:rFonts w:hint="default"/>
                <w:color w:val="auto"/>
              </w:rPr>
            </w:pPr>
          </w:p>
        </w:tc>
        <w:tc>
          <w:tcPr>
            <w:tcW w:w="583" w:type="dxa"/>
            <w:vMerge w:val="continue"/>
            <w:vAlign w:val="center"/>
          </w:tcPr>
          <w:p w14:paraId="7302818B">
            <w:pPr>
              <w:pStyle w:val="91"/>
              <w:keepNext w:val="0"/>
              <w:keepLines w:val="0"/>
              <w:suppressLineNumbers w:val="0"/>
              <w:spacing w:before="0" w:beforeAutospacing="0" w:after="0" w:afterAutospacing="0"/>
              <w:ind w:left="0" w:right="0"/>
              <w:jc w:val="center"/>
              <w:rPr>
                <w:rFonts w:hint="default"/>
                <w:color w:val="auto"/>
              </w:rPr>
            </w:pPr>
          </w:p>
        </w:tc>
        <w:tc>
          <w:tcPr>
            <w:tcW w:w="793" w:type="dxa"/>
            <w:vAlign w:val="center"/>
          </w:tcPr>
          <w:p w14:paraId="4230A303">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经度</w:t>
            </w:r>
          </w:p>
        </w:tc>
        <w:tc>
          <w:tcPr>
            <w:tcW w:w="687" w:type="dxa"/>
            <w:vAlign w:val="center"/>
          </w:tcPr>
          <w:p w14:paraId="5EEA8B1F">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纬度</w:t>
            </w:r>
          </w:p>
        </w:tc>
        <w:tc>
          <w:tcPr>
            <w:tcW w:w="690" w:type="dxa"/>
            <w:vMerge w:val="continue"/>
            <w:vAlign w:val="center"/>
          </w:tcPr>
          <w:p w14:paraId="66E806B7">
            <w:pPr>
              <w:pStyle w:val="91"/>
              <w:keepNext w:val="0"/>
              <w:keepLines w:val="0"/>
              <w:suppressLineNumbers w:val="0"/>
              <w:spacing w:before="0" w:beforeAutospacing="0" w:after="0" w:afterAutospacing="0"/>
              <w:ind w:left="0" w:right="0"/>
              <w:jc w:val="center"/>
              <w:rPr>
                <w:rFonts w:hint="default"/>
                <w:color w:val="auto"/>
              </w:rPr>
            </w:pPr>
          </w:p>
        </w:tc>
        <w:tc>
          <w:tcPr>
            <w:tcW w:w="690" w:type="dxa"/>
            <w:vMerge w:val="continue"/>
            <w:vAlign w:val="center"/>
          </w:tcPr>
          <w:p w14:paraId="6E568E3E">
            <w:pPr>
              <w:pStyle w:val="91"/>
              <w:keepNext w:val="0"/>
              <w:keepLines w:val="0"/>
              <w:suppressLineNumbers w:val="0"/>
              <w:spacing w:before="0" w:beforeAutospacing="0" w:after="0" w:afterAutospacing="0"/>
              <w:ind w:left="0" w:right="0"/>
              <w:jc w:val="center"/>
              <w:rPr>
                <w:rFonts w:hint="default"/>
                <w:color w:val="auto"/>
              </w:rPr>
            </w:pPr>
          </w:p>
        </w:tc>
        <w:tc>
          <w:tcPr>
            <w:tcW w:w="730" w:type="dxa"/>
            <w:vMerge w:val="continue"/>
            <w:vAlign w:val="center"/>
          </w:tcPr>
          <w:p w14:paraId="099BD2B8">
            <w:pPr>
              <w:pStyle w:val="91"/>
              <w:keepNext w:val="0"/>
              <w:keepLines w:val="0"/>
              <w:suppressLineNumbers w:val="0"/>
              <w:spacing w:before="0" w:beforeAutospacing="0" w:after="0" w:afterAutospacing="0"/>
              <w:ind w:left="0" w:right="0"/>
              <w:jc w:val="center"/>
              <w:rPr>
                <w:rFonts w:hint="default"/>
                <w:color w:val="auto"/>
              </w:rPr>
            </w:pPr>
          </w:p>
        </w:tc>
        <w:tc>
          <w:tcPr>
            <w:tcW w:w="804" w:type="dxa"/>
            <w:vMerge w:val="continue"/>
            <w:vAlign w:val="center"/>
          </w:tcPr>
          <w:p w14:paraId="39EF896D">
            <w:pPr>
              <w:pStyle w:val="91"/>
              <w:keepNext w:val="0"/>
              <w:keepLines w:val="0"/>
              <w:suppressLineNumbers w:val="0"/>
              <w:spacing w:before="0" w:beforeAutospacing="0" w:after="0" w:afterAutospacing="0"/>
              <w:ind w:left="0" w:right="0"/>
              <w:jc w:val="center"/>
              <w:rPr>
                <w:rFonts w:hint="default"/>
                <w:color w:val="auto"/>
              </w:rPr>
            </w:pPr>
          </w:p>
        </w:tc>
        <w:tc>
          <w:tcPr>
            <w:tcW w:w="687" w:type="dxa"/>
            <w:vMerge w:val="continue"/>
            <w:vAlign w:val="center"/>
          </w:tcPr>
          <w:p w14:paraId="3577F75C">
            <w:pPr>
              <w:pStyle w:val="91"/>
              <w:keepNext w:val="0"/>
              <w:keepLines w:val="0"/>
              <w:suppressLineNumbers w:val="0"/>
              <w:spacing w:before="0" w:beforeAutospacing="0" w:after="0" w:afterAutospacing="0"/>
              <w:ind w:left="0" w:right="0"/>
              <w:jc w:val="center"/>
              <w:rPr>
                <w:rFonts w:hint="default"/>
                <w:color w:val="auto"/>
              </w:rPr>
            </w:pPr>
          </w:p>
        </w:tc>
        <w:tc>
          <w:tcPr>
            <w:tcW w:w="687" w:type="dxa"/>
            <w:vMerge w:val="continue"/>
            <w:vAlign w:val="center"/>
          </w:tcPr>
          <w:p w14:paraId="56595951">
            <w:pPr>
              <w:pStyle w:val="91"/>
              <w:keepNext w:val="0"/>
              <w:keepLines w:val="0"/>
              <w:suppressLineNumbers w:val="0"/>
              <w:spacing w:before="0" w:beforeAutospacing="0" w:after="0" w:afterAutospacing="0"/>
              <w:ind w:left="0" w:right="0"/>
              <w:jc w:val="center"/>
              <w:rPr>
                <w:rFonts w:hint="default"/>
                <w:color w:val="auto"/>
              </w:rPr>
            </w:pPr>
          </w:p>
        </w:tc>
        <w:tc>
          <w:tcPr>
            <w:tcW w:w="586" w:type="dxa"/>
            <w:vMerge w:val="continue"/>
            <w:vAlign w:val="center"/>
          </w:tcPr>
          <w:p w14:paraId="3CC44A8C">
            <w:pPr>
              <w:pStyle w:val="91"/>
              <w:keepNext w:val="0"/>
              <w:keepLines w:val="0"/>
              <w:suppressLineNumbers w:val="0"/>
              <w:spacing w:before="0" w:beforeAutospacing="0" w:after="0" w:afterAutospacing="0"/>
              <w:ind w:left="0" w:right="0"/>
              <w:jc w:val="center"/>
              <w:rPr>
                <w:rFonts w:hint="default"/>
                <w:color w:val="auto"/>
              </w:rPr>
            </w:pPr>
          </w:p>
        </w:tc>
        <w:tc>
          <w:tcPr>
            <w:tcW w:w="1418" w:type="dxa"/>
            <w:vAlign w:val="center"/>
          </w:tcPr>
          <w:p w14:paraId="516CB9B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非甲烷总烃</w:t>
            </w:r>
          </w:p>
        </w:tc>
      </w:tr>
      <w:tr w14:paraId="1A656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88" w:type="dxa"/>
          </w:tcPr>
          <w:p w14:paraId="109FB20C">
            <w:pPr>
              <w:pStyle w:val="91"/>
              <w:keepNext w:val="0"/>
              <w:keepLines w:val="0"/>
              <w:suppressLineNumbers w:val="0"/>
              <w:spacing w:before="0" w:beforeAutospacing="0" w:after="0" w:afterAutospacing="0"/>
              <w:ind w:left="0" w:right="0"/>
              <w:rPr>
                <w:rFonts w:hint="default"/>
                <w:color w:val="auto"/>
              </w:rPr>
            </w:pPr>
            <w:r>
              <w:rPr>
                <w:rFonts w:hint="eastAsia"/>
                <w:color w:val="auto"/>
              </w:rPr>
              <w:t>DA003</w:t>
            </w:r>
          </w:p>
        </w:tc>
        <w:tc>
          <w:tcPr>
            <w:tcW w:w="583" w:type="dxa"/>
          </w:tcPr>
          <w:p w14:paraId="597E2D35">
            <w:pPr>
              <w:pStyle w:val="91"/>
              <w:keepNext w:val="0"/>
              <w:keepLines w:val="0"/>
              <w:suppressLineNumbers w:val="0"/>
              <w:spacing w:before="0" w:beforeAutospacing="0" w:after="0" w:afterAutospacing="0"/>
              <w:ind w:left="0" w:right="0"/>
              <w:rPr>
                <w:rFonts w:hint="default"/>
                <w:color w:val="auto"/>
              </w:rPr>
            </w:pPr>
            <w:r>
              <w:rPr>
                <w:rFonts w:hint="eastAsia"/>
                <w:color w:val="auto"/>
              </w:rPr>
              <w:t>装船</w:t>
            </w:r>
            <w:r>
              <w:rPr>
                <w:rFonts w:hint="default"/>
                <w:color w:val="auto"/>
              </w:rPr>
              <w:t>废气</w:t>
            </w:r>
          </w:p>
        </w:tc>
        <w:tc>
          <w:tcPr>
            <w:tcW w:w="793" w:type="dxa"/>
          </w:tcPr>
          <w:p w14:paraId="58992298">
            <w:pPr>
              <w:pStyle w:val="91"/>
              <w:keepNext w:val="0"/>
              <w:keepLines w:val="0"/>
              <w:suppressLineNumbers w:val="0"/>
              <w:spacing w:before="0" w:beforeAutospacing="0" w:after="0" w:afterAutospacing="0"/>
              <w:ind w:left="0" w:right="0"/>
              <w:rPr>
                <w:rFonts w:hint="default"/>
                <w:color w:val="auto"/>
              </w:rPr>
            </w:pPr>
            <w:r>
              <w:rPr>
                <w:rFonts w:hint="default"/>
                <w:color w:val="auto"/>
              </w:rPr>
              <w:t>108°37'00.79"</w:t>
            </w:r>
          </w:p>
        </w:tc>
        <w:tc>
          <w:tcPr>
            <w:tcW w:w="687" w:type="dxa"/>
          </w:tcPr>
          <w:p w14:paraId="05D100FB">
            <w:pPr>
              <w:pStyle w:val="91"/>
              <w:keepNext w:val="0"/>
              <w:keepLines w:val="0"/>
              <w:suppressLineNumbers w:val="0"/>
              <w:spacing w:before="0" w:beforeAutospacing="0" w:after="0" w:afterAutospacing="0"/>
              <w:ind w:left="0" w:right="0"/>
              <w:rPr>
                <w:rFonts w:hint="default"/>
                <w:color w:val="auto"/>
              </w:rPr>
            </w:pPr>
            <w:r>
              <w:rPr>
                <w:rFonts w:hint="default"/>
                <w:color w:val="auto"/>
              </w:rPr>
              <w:t>21°41'46.32"</w:t>
            </w:r>
          </w:p>
        </w:tc>
        <w:tc>
          <w:tcPr>
            <w:tcW w:w="690" w:type="dxa"/>
          </w:tcPr>
          <w:p w14:paraId="3E1F55E8">
            <w:pPr>
              <w:pStyle w:val="91"/>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690" w:type="dxa"/>
          </w:tcPr>
          <w:p w14:paraId="532F6C03">
            <w:pPr>
              <w:pStyle w:val="91"/>
              <w:keepNext w:val="0"/>
              <w:keepLines w:val="0"/>
              <w:suppressLineNumbers w:val="0"/>
              <w:spacing w:before="0" w:beforeAutospacing="0" w:after="0" w:afterAutospacing="0"/>
              <w:ind w:left="0" w:right="0"/>
              <w:rPr>
                <w:rFonts w:hint="default"/>
                <w:color w:val="auto"/>
              </w:rPr>
            </w:pPr>
            <w:r>
              <w:rPr>
                <w:rFonts w:hint="eastAsia"/>
                <w:color w:val="auto"/>
              </w:rPr>
              <w:t>15</w:t>
            </w:r>
          </w:p>
        </w:tc>
        <w:tc>
          <w:tcPr>
            <w:tcW w:w="730" w:type="dxa"/>
          </w:tcPr>
          <w:p w14:paraId="5D4F9AE9">
            <w:pPr>
              <w:pStyle w:val="91"/>
              <w:keepNext w:val="0"/>
              <w:keepLines w:val="0"/>
              <w:suppressLineNumbers w:val="0"/>
              <w:spacing w:before="0" w:beforeAutospacing="0" w:after="0" w:afterAutospacing="0"/>
              <w:ind w:left="0" w:right="0"/>
              <w:rPr>
                <w:rFonts w:hint="default"/>
                <w:color w:val="auto"/>
              </w:rPr>
            </w:pPr>
            <w:r>
              <w:rPr>
                <w:rFonts w:hint="eastAsia"/>
                <w:color w:val="auto"/>
              </w:rPr>
              <w:t>0.1</w:t>
            </w:r>
          </w:p>
        </w:tc>
        <w:tc>
          <w:tcPr>
            <w:tcW w:w="804" w:type="dxa"/>
          </w:tcPr>
          <w:p w14:paraId="51F6C518">
            <w:pPr>
              <w:pStyle w:val="91"/>
              <w:keepNext w:val="0"/>
              <w:keepLines w:val="0"/>
              <w:suppressLineNumbers w:val="0"/>
              <w:spacing w:before="0" w:beforeAutospacing="0" w:after="0" w:afterAutospacing="0"/>
              <w:ind w:left="0" w:right="0"/>
              <w:rPr>
                <w:rFonts w:hint="default"/>
                <w:color w:val="auto"/>
              </w:rPr>
            </w:pPr>
            <w:r>
              <w:rPr>
                <w:rFonts w:hint="default"/>
                <w:color w:val="auto"/>
              </w:rPr>
              <w:t>28.3</w:t>
            </w:r>
          </w:p>
        </w:tc>
        <w:tc>
          <w:tcPr>
            <w:tcW w:w="687" w:type="dxa"/>
          </w:tcPr>
          <w:p w14:paraId="02F40B81">
            <w:pPr>
              <w:pStyle w:val="91"/>
              <w:keepNext w:val="0"/>
              <w:keepLines w:val="0"/>
              <w:suppressLineNumbers w:val="0"/>
              <w:spacing w:before="0" w:beforeAutospacing="0" w:after="0" w:afterAutospacing="0"/>
              <w:ind w:left="0" w:right="0"/>
              <w:rPr>
                <w:rFonts w:hint="default"/>
                <w:color w:val="auto"/>
              </w:rPr>
            </w:pPr>
            <w:r>
              <w:rPr>
                <w:rFonts w:hint="eastAsia"/>
                <w:color w:val="auto"/>
              </w:rPr>
              <w:t>25</w:t>
            </w:r>
          </w:p>
        </w:tc>
        <w:tc>
          <w:tcPr>
            <w:tcW w:w="687" w:type="dxa"/>
          </w:tcPr>
          <w:p w14:paraId="676A08E9">
            <w:pPr>
              <w:pStyle w:val="91"/>
              <w:keepNext w:val="0"/>
              <w:keepLines w:val="0"/>
              <w:suppressLineNumbers w:val="0"/>
              <w:spacing w:before="0" w:beforeAutospacing="0" w:after="0" w:afterAutospacing="0"/>
              <w:ind w:left="0" w:right="0"/>
              <w:rPr>
                <w:rFonts w:hint="default"/>
                <w:color w:val="auto"/>
              </w:rPr>
            </w:pPr>
            <w:r>
              <w:rPr>
                <w:rFonts w:hint="eastAsia"/>
                <w:color w:val="auto"/>
              </w:rPr>
              <w:t>676</w:t>
            </w:r>
          </w:p>
        </w:tc>
        <w:tc>
          <w:tcPr>
            <w:tcW w:w="586" w:type="dxa"/>
          </w:tcPr>
          <w:p w14:paraId="69E4C390">
            <w:pPr>
              <w:pStyle w:val="91"/>
              <w:keepNext w:val="0"/>
              <w:keepLines w:val="0"/>
              <w:suppressLineNumbers w:val="0"/>
              <w:spacing w:before="0" w:beforeAutospacing="0" w:after="0" w:afterAutospacing="0"/>
              <w:ind w:left="0" w:right="0"/>
              <w:rPr>
                <w:rFonts w:hint="default"/>
                <w:color w:val="auto"/>
              </w:rPr>
            </w:pPr>
            <w:r>
              <w:rPr>
                <w:rFonts w:hint="eastAsia"/>
                <w:color w:val="auto"/>
              </w:rPr>
              <w:t>正常</w:t>
            </w:r>
          </w:p>
        </w:tc>
        <w:tc>
          <w:tcPr>
            <w:tcW w:w="1418" w:type="dxa"/>
          </w:tcPr>
          <w:p w14:paraId="082F51E5">
            <w:pPr>
              <w:pStyle w:val="91"/>
              <w:keepNext w:val="0"/>
              <w:keepLines w:val="0"/>
              <w:suppressLineNumbers w:val="0"/>
              <w:spacing w:before="0" w:beforeAutospacing="0" w:after="0" w:afterAutospacing="0"/>
              <w:ind w:left="0" w:right="0"/>
              <w:rPr>
                <w:rFonts w:hint="default"/>
                <w:color w:val="auto"/>
              </w:rPr>
            </w:pPr>
            <w:r>
              <w:rPr>
                <w:rFonts w:hint="eastAsia"/>
                <w:color w:val="auto"/>
              </w:rPr>
              <w:t>1.865</w:t>
            </w:r>
          </w:p>
        </w:tc>
      </w:tr>
    </w:tbl>
    <w:p w14:paraId="733A3856">
      <w:pPr>
        <w:pStyle w:val="14"/>
        <w:rPr>
          <w:rFonts w:hint="eastAsia"/>
          <w:color w:val="auto"/>
        </w:rPr>
      </w:pPr>
    </w:p>
    <w:p w14:paraId="70F24FD4">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4.1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6</w:t>
      </w:r>
      <w:r>
        <w:rPr>
          <w:color w:val="auto"/>
        </w:rPr>
        <w:fldChar w:fldCharType="end"/>
      </w:r>
      <w:r>
        <w:rPr>
          <w:rFonts w:hint="eastAsia"/>
          <w:color w:val="auto"/>
        </w:rPr>
        <w:t>项目无组织面源估算模式参数表</w:t>
      </w:r>
    </w:p>
    <w:tbl>
      <w:tblPr>
        <w:tblStyle w:val="43"/>
        <w:tblW w:w="906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6" w:type="dxa"/>
          <w:bottom w:w="0" w:type="dxa"/>
          <w:right w:w="6" w:type="dxa"/>
        </w:tblCellMar>
      </w:tblPr>
      <w:tblGrid>
        <w:gridCol w:w="411"/>
        <w:gridCol w:w="708"/>
        <w:gridCol w:w="1136"/>
        <w:gridCol w:w="1424"/>
        <w:gridCol w:w="851"/>
        <w:gridCol w:w="1134"/>
        <w:gridCol w:w="1134"/>
        <w:gridCol w:w="708"/>
        <w:gridCol w:w="1560"/>
      </w:tblGrid>
      <w:tr w14:paraId="2E3D5C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Merge w:val="restart"/>
            <w:vAlign w:val="center"/>
          </w:tcPr>
          <w:p w14:paraId="1AED794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序</w:t>
            </w:r>
          </w:p>
          <w:p w14:paraId="23520C4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号</w:t>
            </w:r>
          </w:p>
        </w:tc>
        <w:tc>
          <w:tcPr>
            <w:tcW w:w="708" w:type="dxa"/>
            <w:vMerge w:val="restart"/>
            <w:vAlign w:val="center"/>
          </w:tcPr>
          <w:p w14:paraId="1DADF32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0"/>
              </w:rPr>
            </w:pPr>
            <w:r>
              <w:rPr>
                <w:rFonts w:hint="eastAsia"/>
                <w:color w:val="auto"/>
                <w:sz w:val="21"/>
                <w:szCs w:val="21"/>
              </w:rPr>
              <w:t>名称</w:t>
            </w:r>
          </w:p>
        </w:tc>
        <w:tc>
          <w:tcPr>
            <w:tcW w:w="2560" w:type="dxa"/>
            <w:gridSpan w:val="2"/>
            <w:vAlign w:val="center"/>
          </w:tcPr>
          <w:p w14:paraId="3557216D">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lang w:val="en-US" w:eastAsia="zh-CN"/>
              </w:rPr>
            </w:pPr>
            <w:r>
              <w:rPr>
                <w:rFonts w:hint="eastAsia"/>
                <w:color w:val="auto"/>
                <w:sz w:val="21"/>
                <w:szCs w:val="21"/>
              </w:rPr>
              <w:t>面源各顶点坐标/</w:t>
            </w:r>
            <w:r>
              <w:rPr>
                <w:rFonts w:hint="eastAsia"/>
                <w:color w:val="auto"/>
                <w:sz w:val="21"/>
                <w:szCs w:val="21"/>
                <w:lang w:val="en-US" w:eastAsia="zh-CN"/>
              </w:rPr>
              <w:t>m</w:t>
            </w:r>
          </w:p>
        </w:tc>
        <w:tc>
          <w:tcPr>
            <w:tcW w:w="851" w:type="dxa"/>
            <w:vMerge w:val="restart"/>
            <w:vAlign w:val="center"/>
          </w:tcPr>
          <w:p w14:paraId="6AAA13C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面源海拔高度/m</w:t>
            </w:r>
          </w:p>
        </w:tc>
        <w:tc>
          <w:tcPr>
            <w:tcW w:w="1134" w:type="dxa"/>
            <w:vMerge w:val="restart"/>
            <w:vAlign w:val="center"/>
          </w:tcPr>
          <w:p w14:paraId="19C5E0E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面源有效排放高度/m</w:t>
            </w:r>
          </w:p>
        </w:tc>
        <w:tc>
          <w:tcPr>
            <w:tcW w:w="1134" w:type="dxa"/>
            <w:vMerge w:val="restart"/>
            <w:vAlign w:val="center"/>
          </w:tcPr>
          <w:p w14:paraId="57520AC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年排放小时数/h</w:t>
            </w:r>
          </w:p>
        </w:tc>
        <w:tc>
          <w:tcPr>
            <w:tcW w:w="708" w:type="dxa"/>
            <w:vMerge w:val="restart"/>
            <w:vAlign w:val="center"/>
          </w:tcPr>
          <w:p w14:paraId="0174871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排放工况</w:t>
            </w:r>
          </w:p>
        </w:tc>
        <w:tc>
          <w:tcPr>
            <w:tcW w:w="1560" w:type="dxa"/>
            <w:vAlign w:val="center"/>
          </w:tcPr>
          <w:p w14:paraId="6E6EDDB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污染物排放速率/（kg/h）</w:t>
            </w:r>
          </w:p>
        </w:tc>
      </w:tr>
      <w:tr w14:paraId="195A19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Merge w:val="continue"/>
            <w:vAlign w:val="center"/>
          </w:tcPr>
          <w:p w14:paraId="031177F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708" w:type="dxa"/>
            <w:vMerge w:val="continue"/>
            <w:vAlign w:val="center"/>
          </w:tcPr>
          <w:p w14:paraId="5034B2D9">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0"/>
              </w:rPr>
            </w:pPr>
          </w:p>
        </w:tc>
        <w:tc>
          <w:tcPr>
            <w:tcW w:w="1136" w:type="dxa"/>
            <w:vAlign w:val="center"/>
          </w:tcPr>
          <w:p w14:paraId="10BE006F">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val="en-US" w:eastAsia="zh-CN"/>
              </w:rPr>
              <w:t>X</w:t>
            </w:r>
          </w:p>
        </w:tc>
        <w:tc>
          <w:tcPr>
            <w:tcW w:w="1424" w:type="dxa"/>
            <w:vAlign w:val="center"/>
          </w:tcPr>
          <w:p w14:paraId="64236562">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val="en-US" w:eastAsia="zh-CN"/>
              </w:rPr>
              <w:t>Y</w:t>
            </w:r>
          </w:p>
        </w:tc>
        <w:tc>
          <w:tcPr>
            <w:tcW w:w="851" w:type="dxa"/>
            <w:vMerge w:val="continue"/>
            <w:vAlign w:val="center"/>
          </w:tcPr>
          <w:p w14:paraId="3CF5503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134" w:type="dxa"/>
            <w:vMerge w:val="continue"/>
            <w:vAlign w:val="center"/>
          </w:tcPr>
          <w:p w14:paraId="2A144D1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134" w:type="dxa"/>
            <w:vMerge w:val="continue"/>
            <w:vAlign w:val="center"/>
          </w:tcPr>
          <w:p w14:paraId="67DE3AC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708" w:type="dxa"/>
            <w:vMerge w:val="continue"/>
            <w:vAlign w:val="center"/>
          </w:tcPr>
          <w:p w14:paraId="5381D2D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1560" w:type="dxa"/>
            <w:vAlign w:val="center"/>
          </w:tcPr>
          <w:p w14:paraId="36814C5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16"/>
              </w:rPr>
              <w:t>非甲烷总烃</w:t>
            </w:r>
          </w:p>
        </w:tc>
      </w:tr>
      <w:tr w14:paraId="3B606F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Align w:val="center"/>
          </w:tcPr>
          <w:p w14:paraId="4EB9AE2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1</w:t>
            </w:r>
          </w:p>
        </w:tc>
        <w:tc>
          <w:tcPr>
            <w:tcW w:w="708" w:type="dxa"/>
            <w:vAlign w:val="center"/>
          </w:tcPr>
          <w:p w14:paraId="1F002BEA">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16"/>
                <w:lang w:eastAsia="zh-CN"/>
              </w:rPr>
            </w:pPr>
            <w:r>
              <w:rPr>
                <w:rFonts w:hint="eastAsia"/>
                <w:color w:val="auto"/>
                <w:sz w:val="21"/>
                <w:szCs w:val="16"/>
              </w:rPr>
              <w:t>扩建项目</w:t>
            </w:r>
          </w:p>
        </w:tc>
        <w:tc>
          <w:tcPr>
            <w:tcW w:w="1136" w:type="dxa"/>
            <w:vAlign w:val="center"/>
          </w:tcPr>
          <w:p w14:paraId="4742E62C">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1863</w:t>
            </w:r>
            <w:r>
              <w:rPr>
                <w:rFonts w:hint="eastAsia"/>
                <w:color w:val="auto"/>
                <w:sz w:val="21"/>
                <w:szCs w:val="21"/>
                <w:highlight w:val="none"/>
                <w:lang w:eastAsia="zh-CN"/>
              </w:rPr>
              <w:t>；</w:t>
            </w:r>
            <w:r>
              <w:rPr>
                <w:rFonts w:hint="eastAsia" w:eastAsia="宋体"/>
                <w:color w:val="auto"/>
                <w:sz w:val="21"/>
                <w:szCs w:val="21"/>
                <w:highlight w:val="none"/>
                <w:lang w:eastAsia="zh-CN"/>
              </w:rPr>
              <w:t>1878</w:t>
            </w:r>
            <w:r>
              <w:rPr>
                <w:rFonts w:hint="eastAsia"/>
                <w:color w:val="auto"/>
                <w:sz w:val="21"/>
                <w:szCs w:val="21"/>
                <w:highlight w:val="none"/>
                <w:lang w:eastAsia="zh-CN"/>
              </w:rPr>
              <w:t>；</w:t>
            </w:r>
          </w:p>
          <w:p w14:paraId="5A77B9D5">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1907</w:t>
            </w:r>
            <w:r>
              <w:rPr>
                <w:rFonts w:hint="eastAsia"/>
                <w:color w:val="auto"/>
                <w:sz w:val="21"/>
                <w:szCs w:val="21"/>
                <w:highlight w:val="none"/>
                <w:lang w:eastAsia="zh-CN"/>
              </w:rPr>
              <w:t>；</w:t>
            </w:r>
            <w:r>
              <w:rPr>
                <w:rFonts w:hint="eastAsia" w:eastAsia="宋体"/>
                <w:color w:val="auto"/>
                <w:sz w:val="21"/>
                <w:szCs w:val="21"/>
                <w:highlight w:val="none"/>
                <w:lang w:eastAsia="zh-CN"/>
              </w:rPr>
              <w:t>1945</w:t>
            </w:r>
            <w:r>
              <w:rPr>
                <w:rFonts w:hint="eastAsia"/>
                <w:color w:val="auto"/>
                <w:sz w:val="21"/>
                <w:szCs w:val="21"/>
                <w:highlight w:val="none"/>
                <w:lang w:eastAsia="zh-CN"/>
              </w:rPr>
              <w:t>；</w:t>
            </w:r>
          </w:p>
          <w:p w14:paraId="574EC444">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1699</w:t>
            </w:r>
            <w:r>
              <w:rPr>
                <w:rFonts w:hint="eastAsia"/>
                <w:color w:val="auto"/>
                <w:sz w:val="21"/>
                <w:szCs w:val="21"/>
                <w:highlight w:val="none"/>
                <w:lang w:eastAsia="zh-CN"/>
              </w:rPr>
              <w:t>；</w:t>
            </w:r>
            <w:r>
              <w:rPr>
                <w:rFonts w:hint="eastAsia" w:eastAsia="宋体"/>
                <w:color w:val="auto"/>
                <w:sz w:val="21"/>
                <w:szCs w:val="21"/>
                <w:highlight w:val="none"/>
                <w:lang w:eastAsia="zh-CN"/>
              </w:rPr>
              <w:t>1762</w:t>
            </w:r>
            <w:r>
              <w:rPr>
                <w:rFonts w:hint="eastAsia"/>
                <w:color w:val="auto"/>
                <w:sz w:val="21"/>
                <w:szCs w:val="21"/>
                <w:highlight w:val="none"/>
                <w:lang w:eastAsia="zh-CN"/>
              </w:rPr>
              <w:t>；</w:t>
            </w:r>
          </w:p>
          <w:p w14:paraId="4CB28D3B">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1902</w:t>
            </w:r>
            <w:r>
              <w:rPr>
                <w:rFonts w:hint="eastAsia"/>
                <w:color w:val="auto"/>
                <w:sz w:val="21"/>
                <w:szCs w:val="21"/>
                <w:highlight w:val="none"/>
                <w:lang w:eastAsia="zh-CN"/>
              </w:rPr>
              <w:t>；</w:t>
            </w:r>
            <w:r>
              <w:rPr>
                <w:rFonts w:hint="eastAsia" w:eastAsia="宋体"/>
                <w:color w:val="auto"/>
                <w:sz w:val="21"/>
                <w:szCs w:val="21"/>
                <w:highlight w:val="none"/>
                <w:lang w:eastAsia="zh-CN"/>
              </w:rPr>
              <w:t>1868</w:t>
            </w:r>
            <w:r>
              <w:rPr>
                <w:rFonts w:hint="eastAsia"/>
                <w:color w:val="auto"/>
                <w:sz w:val="21"/>
                <w:szCs w:val="21"/>
                <w:highlight w:val="none"/>
                <w:lang w:eastAsia="zh-CN"/>
              </w:rPr>
              <w:t>；</w:t>
            </w:r>
          </w:p>
          <w:p w14:paraId="6C138772">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2046</w:t>
            </w:r>
            <w:r>
              <w:rPr>
                <w:rFonts w:hint="eastAsia"/>
                <w:color w:val="auto"/>
                <w:sz w:val="21"/>
                <w:szCs w:val="21"/>
                <w:highlight w:val="none"/>
                <w:lang w:eastAsia="zh-CN"/>
              </w:rPr>
              <w:t>；</w:t>
            </w:r>
            <w:r>
              <w:rPr>
                <w:rFonts w:hint="eastAsia" w:eastAsia="宋体"/>
                <w:color w:val="auto"/>
                <w:sz w:val="21"/>
                <w:szCs w:val="21"/>
                <w:highlight w:val="none"/>
                <w:lang w:eastAsia="zh-CN"/>
              </w:rPr>
              <w:t>1989</w:t>
            </w:r>
            <w:r>
              <w:rPr>
                <w:rFonts w:hint="eastAsia"/>
                <w:color w:val="auto"/>
                <w:sz w:val="21"/>
                <w:szCs w:val="21"/>
                <w:highlight w:val="none"/>
                <w:lang w:eastAsia="zh-CN"/>
              </w:rPr>
              <w:t>；</w:t>
            </w:r>
          </w:p>
          <w:p w14:paraId="4FF266C1">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1931</w:t>
            </w:r>
            <w:r>
              <w:rPr>
                <w:rFonts w:hint="eastAsia"/>
                <w:color w:val="auto"/>
                <w:sz w:val="21"/>
                <w:szCs w:val="21"/>
                <w:highlight w:val="none"/>
                <w:lang w:eastAsia="zh-CN"/>
              </w:rPr>
              <w:t>；</w:t>
            </w:r>
            <w:r>
              <w:rPr>
                <w:rFonts w:hint="eastAsia" w:eastAsia="宋体"/>
                <w:color w:val="auto"/>
                <w:sz w:val="21"/>
                <w:szCs w:val="21"/>
                <w:highlight w:val="none"/>
                <w:lang w:eastAsia="zh-CN"/>
              </w:rPr>
              <w:t>1960</w:t>
            </w:r>
            <w:r>
              <w:rPr>
                <w:rFonts w:hint="eastAsia"/>
                <w:color w:val="auto"/>
                <w:sz w:val="21"/>
                <w:szCs w:val="21"/>
                <w:highlight w:val="none"/>
                <w:lang w:eastAsia="zh-CN"/>
              </w:rPr>
              <w:t>；</w:t>
            </w:r>
          </w:p>
        </w:tc>
        <w:tc>
          <w:tcPr>
            <w:tcW w:w="1424" w:type="dxa"/>
            <w:vAlign w:val="center"/>
          </w:tcPr>
          <w:p w14:paraId="2AA0CE56">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-1231</w:t>
            </w:r>
            <w:r>
              <w:rPr>
                <w:rFonts w:hint="eastAsia"/>
                <w:color w:val="auto"/>
                <w:sz w:val="21"/>
                <w:szCs w:val="21"/>
                <w:highlight w:val="none"/>
                <w:lang w:eastAsia="zh-CN"/>
              </w:rPr>
              <w:t>；</w:t>
            </w:r>
            <w:r>
              <w:rPr>
                <w:rFonts w:hint="eastAsia" w:eastAsia="宋体"/>
                <w:color w:val="auto"/>
                <w:sz w:val="21"/>
                <w:szCs w:val="21"/>
                <w:highlight w:val="none"/>
                <w:lang w:eastAsia="zh-CN"/>
              </w:rPr>
              <w:t>-1212</w:t>
            </w:r>
            <w:r>
              <w:rPr>
                <w:rFonts w:hint="eastAsia"/>
                <w:color w:val="auto"/>
                <w:sz w:val="21"/>
                <w:szCs w:val="21"/>
                <w:highlight w:val="none"/>
                <w:lang w:eastAsia="zh-CN"/>
              </w:rPr>
              <w:t>；</w:t>
            </w:r>
          </w:p>
          <w:p w14:paraId="20E19B0F">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-1227</w:t>
            </w:r>
            <w:r>
              <w:rPr>
                <w:rFonts w:hint="eastAsia"/>
                <w:color w:val="auto"/>
                <w:sz w:val="21"/>
                <w:szCs w:val="21"/>
                <w:highlight w:val="none"/>
                <w:lang w:eastAsia="zh-CN"/>
              </w:rPr>
              <w:t>；</w:t>
            </w:r>
            <w:r>
              <w:rPr>
                <w:rFonts w:hint="eastAsia" w:eastAsia="宋体"/>
                <w:color w:val="auto"/>
                <w:sz w:val="21"/>
                <w:szCs w:val="21"/>
                <w:highlight w:val="none"/>
                <w:lang w:eastAsia="zh-CN"/>
              </w:rPr>
              <w:t>-1077</w:t>
            </w:r>
            <w:r>
              <w:rPr>
                <w:rFonts w:hint="eastAsia"/>
                <w:color w:val="auto"/>
                <w:sz w:val="21"/>
                <w:szCs w:val="21"/>
                <w:highlight w:val="none"/>
                <w:lang w:eastAsia="zh-CN"/>
              </w:rPr>
              <w:t>；</w:t>
            </w:r>
          </w:p>
          <w:p w14:paraId="06B29FB4">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-981</w:t>
            </w:r>
            <w:r>
              <w:rPr>
                <w:rFonts w:hint="eastAsia"/>
                <w:color w:val="auto"/>
                <w:sz w:val="21"/>
                <w:szCs w:val="21"/>
                <w:highlight w:val="none"/>
                <w:lang w:eastAsia="zh-CN"/>
              </w:rPr>
              <w:t>；</w:t>
            </w:r>
            <w:r>
              <w:rPr>
                <w:rFonts w:hint="eastAsia" w:eastAsia="宋体"/>
                <w:color w:val="auto"/>
                <w:sz w:val="21"/>
                <w:szCs w:val="21"/>
                <w:highlight w:val="none"/>
                <w:lang w:eastAsia="zh-CN"/>
              </w:rPr>
              <w:t>-778</w:t>
            </w:r>
            <w:r>
              <w:rPr>
                <w:rFonts w:hint="eastAsia"/>
                <w:color w:val="auto"/>
                <w:sz w:val="21"/>
                <w:szCs w:val="21"/>
                <w:highlight w:val="none"/>
                <w:lang w:eastAsia="zh-CN"/>
              </w:rPr>
              <w:t>；</w:t>
            </w:r>
          </w:p>
          <w:p w14:paraId="681A1434">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-822</w:t>
            </w:r>
            <w:r>
              <w:rPr>
                <w:rFonts w:hint="eastAsia"/>
                <w:color w:val="auto"/>
                <w:sz w:val="21"/>
                <w:szCs w:val="21"/>
                <w:highlight w:val="none"/>
                <w:lang w:eastAsia="zh-CN"/>
              </w:rPr>
              <w:t>；</w:t>
            </w:r>
            <w:r>
              <w:rPr>
                <w:rFonts w:hint="eastAsia" w:eastAsia="宋体"/>
                <w:color w:val="auto"/>
                <w:sz w:val="21"/>
                <w:szCs w:val="21"/>
                <w:highlight w:val="none"/>
                <w:lang w:eastAsia="zh-CN"/>
              </w:rPr>
              <w:t>-937</w:t>
            </w:r>
            <w:r>
              <w:rPr>
                <w:rFonts w:hint="eastAsia"/>
                <w:color w:val="auto"/>
                <w:sz w:val="21"/>
                <w:szCs w:val="21"/>
                <w:highlight w:val="none"/>
                <w:lang w:eastAsia="zh-CN"/>
              </w:rPr>
              <w:t>；</w:t>
            </w:r>
          </w:p>
          <w:p w14:paraId="39748105">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-976</w:t>
            </w:r>
            <w:r>
              <w:rPr>
                <w:rFonts w:hint="eastAsia"/>
                <w:color w:val="auto"/>
                <w:sz w:val="21"/>
                <w:szCs w:val="21"/>
                <w:highlight w:val="none"/>
                <w:lang w:eastAsia="zh-CN"/>
              </w:rPr>
              <w:t>；</w:t>
            </w:r>
            <w:r>
              <w:rPr>
                <w:rFonts w:hint="eastAsia" w:eastAsia="宋体"/>
                <w:color w:val="auto"/>
                <w:sz w:val="21"/>
                <w:szCs w:val="21"/>
                <w:highlight w:val="none"/>
                <w:lang w:eastAsia="zh-CN"/>
              </w:rPr>
              <w:t>-1101</w:t>
            </w:r>
            <w:r>
              <w:rPr>
                <w:rFonts w:hint="eastAsia"/>
                <w:color w:val="auto"/>
                <w:sz w:val="21"/>
                <w:szCs w:val="21"/>
                <w:highlight w:val="none"/>
                <w:lang w:eastAsia="zh-CN"/>
              </w:rPr>
              <w:t>；</w:t>
            </w:r>
          </w:p>
          <w:p w14:paraId="033CE723">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-1236</w:t>
            </w:r>
            <w:r>
              <w:rPr>
                <w:rFonts w:hint="eastAsia"/>
                <w:color w:val="auto"/>
                <w:sz w:val="21"/>
                <w:szCs w:val="21"/>
                <w:highlight w:val="none"/>
                <w:lang w:eastAsia="zh-CN"/>
              </w:rPr>
              <w:t>；</w:t>
            </w:r>
            <w:r>
              <w:rPr>
                <w:rFonts w:hint="eastAsia" w:eastAsia="宋体"/>
                <w:color w:val="auto"/>
                <w:sz w:val="21"/>
                <w:szCs w:val="21"/>
                <w:highlight w:val="none"/>
                <w:lang w:eastAsia="zh-CN"/>
              </w:rPr>
              <w:t>-1265</w:t>
            </w:r>
            <w:r>
              <w:rPr>
                <w:rFonts w:hint="eastAsia"/>
                <w:color w:val="auto"/>
                <w:sz w:val="21"/>
                <w:szCs w:val="21"/>
                <w:highlight w:val="none"/>
                <w:lang w:eastAsia="zh-CN"/>
              </w:rPr>
              <w:t>；</w:t>
            </w:r>
          </w:p>
        </w:tc>
        <w:tc>
          <w:tcPr>
            <w:tcW w:w="851" w:type="dxa"/>
            <w:shd w:val="clear" w:color="auto" w:fill="auto"/>
            <w:vAlign w:val="center"/>
          </w:tcPr>
          <w:p w14:paraId="1774DA3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default"/>
                <w:color w:val="auto"/>
                <w:sz w:val="21"/>
                <w:szCs w:val="21"/>
              </w:rPr>
              <w:t>4</w:t>
            </w:r>
          </w:p>
        </w:tc>
        <w:tc>
          <w:tcPr>
            <w:tcW w:w="1134" w:type="dxa"/>
            <w:shd w:val="clear" w:color="auto" w:fill="auto"/>
            <w:vAlign w:val="center"/>
          </w:tcPr>
          <w:p w14:paraId="711CC04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olor w:val="auto"/>
                <w:sz w:val="21"/>
                <w:szCs w:val="21"/>
              </w:rPr>
              <w:t>1</w:t>
            </w:r>
            <w:r>
              <w:rPr>
                <w:rFonts w:hint="eastAsia"/>
                <w:color w:val="auto"/>
                <w:sz w:val="21"/>
                <w:szCs w:val="21"/>
                <w:lang w:val="en-US" w:eastAsia="zh-CN"/>
              </w:rPr>
              <w:t>3.8</w:t>
            </w:r>
          </w:p>
        </w:tc>
        <w:tc>
          <w:tcPr>
            <w:tcW w:w="1134" w:type="dxa"/>
            <w:shd w:val="clear" w:color="auto" w:fill="auto"/>
            <w:vAlign w:val="center"/>
          </w:tcPr>
          <w:p w14:paraId="53D0476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olor w:val="auto"/>
                <w:sz w:val="21"/>
                <w:szCs w:val="21"/>
              </w:rPr>
              <w:t>8400</w:t>
            </w:r>
          </w:p>
        </w:tc>
        <w:tc>
          <w:tcPr>
            <w:tcW w:w="708" w:type="dxa"/>
            <w:shd w:val="clear" w:color="auto" w:fill="auto"/>
            <w:vAlign w:val="center"/>
          </w:tcPr>
          <w:p w14:paraId="0249B86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正常排放</w:t>
            </w:r>
          </w:p>
        </w:tc>
        <w:tc>
          <w:tcPr>
            <w:tcW w:w="1560" w:type="dxa"/>
            <w:shd w:val="clear" w:color="auto" w:fill="auto"/>
            <w:vAlign w:val="center"/>
          </w:tcPr>
          <w:p w14:paraId="15C0977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olor w:val="auto"/>
                <w:sz w:val="21"/>
                <w:szCs w:val="21"/>
              </w:rPr>
              <w:t>0.791</w:t>
            </w:r>
          </w:p>
        </w:tc>
      </w:tr>
    </w:tbl>
    <w:p w14:paraId="5851E9EA">
      <w:pPr>
        <w:pStyle w:val="117"/>
        <w:rPr>
          <w:rFonts w:hint="default" w:eastAsia="宋体"/>
          <w:color w:val="auto"/>
          <w:u w:val="single"/>
          <w:lang w:val="en-US" w:eastAsia="zh-CN"/>
        </w:rPr>
      </w:pPr>
      <w:r>
        <w:rPr>
          <w:rFonts w:hint="eastAsia"/>
          <w:color w:val="auto"/>
          <w:u w:val="single"/>
          <w:lang w:eastAsia="zh-CN"/>
        </w:rPr>
        <w:t>注：面源坐标以扩建项目涉及范围确定，包括储罐、管线，已包括储罐呼吸和动静密封点范围；储罐呼吸排放高度为</w:t>
      </w:r>
      <w:r>
        <w:rPr>
          <w:rFonts w:hint="eastAsia"/>
          <w:color w:val="auto"/>
          <w:u w:val="single"/>
          <w:lang w:val="en-US" w:eastAsia="zh-CN"/>
        </w:rPr>
        <w:t>16.8m，19.55m，动静密封点废气排放高度为5m，扩建项目以均值取值。</w:t>
      </w:r>
    </w:p>
    <w:p w14:paraId="59878C66">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4.1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7</w:t>
      </w:r>
      <w:r>
        <w:rPr>
          <w:color w:val="auto"/>
        </w:rPr>
        <w:fldChar w:fldCharType="end"/>
      </w:r>
      <w:r>
        <w:rPr>
          <w:rFonts w:hint="eastAsia"/>
          <w:color w:val="auto"/>
        </w:rPr>
        <w:t>大气污染源计算结果</w:t>
      </w:r>
    </w:p>
    <w:tbl>
      <w:tblPr>
        <w:tblStyle w:val="43"/>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828"/>
        <w:gridCol w:w="1843"/>
        <w:gridCol w:w="1425"/>
        <w:gridCol w:w="2122"/>
        <w:gridCol w:w="1186"/>
      </w:tblGrid>
      <w:tr w14:paraId="519A5B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1828" w:type="dxa"/>
            <w:vMerge w:val="restart"/>
            <w:vAlign w:val="center"/>
          </w:tcPr>
          <w:p w14:paraId="40220F74">
            <w:pPr>
              <w:keepNext w:val="0"/>
              <w:keepLines w:val="0"/>
              <w:suppressLineNumbers w:val="0"/>
              <w:overflowPunct w:val="0"/>
              <w:autoSpaceDE w:val="0"/>
              <w:autoSpaceDN w:val="0"/>
              <w:spacing w:before="0" w:beforeAutospacing="0" w:after="0" w:afterAutospacing="0" w:line="240" w:lineRule="auto"/>
              <w:ind w:left="0" w:right="0" w:firstLine="0" w:firstLineChars="0"/>
              <w:jc w:val="center"/>
              <w:textAlignment w:val="bottom"/>
              <w:rPr>
                <w:rFonts w:hint="default"/>
                <w:color w:val="auto"/>
                <w:sz w:val="21"/>
                <w:szCs w:val="21"/>
              </w:rPr>
            </w:pPr>
            <w:r>
              <w:rPr>
                <w:rFonts w:hint="eastAsia"/>
                <w:color w:val="auto"/>
                <w:sz w:val="21"/>
                <w:szCs w:val="21"/>
              </w:rPr>
              <w:t>下风向距离/m</w:t>
            </w:r>
          </w:p>
        </w:tc>
        <w:tc>
          <w:tcPr>
            <w:tcW w:w="3268" w:type="dxa"/>
            <w:gridSpan w:val="2"/>
            <w:vAlign w:val="center"/>
          </w:tcPr>
          <w:p w14:paraId="75B7AC47">
            <w:pPr>
              <w:keepNext w:val="0"/>
              <w:keepLines w:val="0"/>
              <w:suppressLineNumbers w:val="0"/>
              <w:overflowPunct w:val="0"/>
              <w:autoSpaceDE w:val="0"/>
              <w:autoSpaceDN w:val="0"/>
              <w:spacing w:before="0" w:beforeAutospacing="0" w:after="0" w:afterAutospacing="0" w:line="240" w:lineRule="auto"/>
              <w:ind w:left="0" w:right="0" w:firstLine="0" w:firstLineChars="0"/>
              <w:jc w:val="center"/>
              <w:textAlignment w:val="bottom"/>
              <w:rPr>
                <w:rFonts w:hint="default"/>
                <w:color w:val="auto"/>
                <w:sz w:val="21"/>
                <w:szCs w:val="16"/>
              </w:rPr>
            </w:pPr>
            <w:r>
              <w:rPr>
                <w:rFonts w:hint="eastAsia"/>
                <w:color w:val="auto"/>
                <w:sz w:val="21"/>
                <w:szCs w:val="16"/>
              </w:rPr>
              <w:t>有组织</w:t>
            </w:r>
          </w:p>
        </w:tc>
        <w:tc>
          <w:tcPr>
            <w:tcW w:w="3308" w:type="dxa"/>
            <w:gridSpan w:val="2"/>
          </w:tcPr>
          <w:p w14:paraId="22592983">
            <w:pPr>
              <w:keepNext w:val="0"/>
              <w:keepLines w:val="0"/>
              <w:suppressLineNumbers w:val="0"/>
              <w:overflowPunct w:val="0"/>
              <w:autoSpaceDE w:val="0"/>
              <w:autoSpaceDN w:val="0"/>
              <w:spacing w:before="0" w:beforeAutospacing="0" w:after="0" w:afterAutospacing="0" w:line="240" w:lineRule="auto"/>
              <w:ind w:left="0" w:right="0" w:firstLine="0" w:firstLineChars="0"/>
              <w:jc w:val="center"/>
              <w:textAlignment w:val="bottom"/>
              <w:rPr>
                <w:rFonts w:hint="default"/>
                <w:color w:val="auto"/>
                <w:sz w:val="21"/>
                <w:szCs w:val="16"/>
              </w:rPr>
            </w:pPr>
            <w:r>
              <w:rPr>
                <w:rFonts w:hint="eastAsia"/>
                <w:color w:val="auto"/>
                <w:sz w:val="21"/>
                <w:szCs w:val="16"/>
              </w:rPr>
              <w:t>无组织</w:t>
            </w:r>
          </w:p>
        </w:tc>
      </w:tr>
      <w:tr w14:paraId="13ACB7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1828" w:type="dxa"/>
            <w:vMerge w:val="continue"/>
            <w:vAlign w:val="center"/>
          </w:tcPr>
          <w:p w14:paraId="29A336F2">
            <w:pPr>
              <w:keepNext w:val="0"/>
              <w:keepLines w:val="0"/>
              <w:suppressLineNumbers w:val="0"/>
              <w:overflowPunct w:val="0"/>
              <w:autoSpaceDE w:val="0"/>
              <w:autoSpaceDN w:val="0"/>
              <w:spacing w:before="0" w:beforeAutospacing="0" w:after="0" w:afterAutospacing="0" w:line="240" w:lineRule="auto"/>
              <w:ind w:left="0" w:right="0" w:firstLine="0" w:firstLineChars="0"/>
              <w:jc w:val="center"/>
              <w:textAlignment w:val="bottom"/>
              <w:rPr>
                <w:rFonts w:hint="default"/>
                <w:color w:val="auto"/>
                <w:sz w:val="21"/>
                <w:szCs w:val="21"/>
              </w:rPr>
            </w:pPr>
          </w:p>
        </w:tc>
        <w:tc>
          <w:tcPr>
            <w:tcW w:w="3268" w:type="dxa"/>
            <w:gridSpan w:val="2"/>
            <w:vAlign w:val="center"/>
          </w:tcPr>
          <w:p w14:paraId="757FB11C">
            <w:pPr>
              <w:keepNext w:val="0"/>
              <w:keepLines w:val="0"/>
              <w:suppressLineNumbers w:val="0"/>
              <w:overflowPunct w:val="0"/>
              <w:autoSpaceDE w:val="0"/>
              <w:autoSpaceDN w:val="0"/>
              <w:spacing w:before="0" w:beforeAutospacing="0" w:after="0" w:afterAutospacing="0" w:line="240" w:lineRule="auto"/>
              <w:ind w:left="0" w:right="0" w:firstLine="0" w:firstLineChars="0"/>
              <w:jc w:val="center"/>
              <w:textAlignment w:val="bottom"/>
              <w:rPr>
                <w:rFonts w:hint="default"/>
                <w:color w:val="auto"/>
                <w:sz w:val="21"/>
                <w:szCs w:val="21"/>
              </w:rPr>
            </w:pPr>
            <w:r>
              <w:rPr>
                <w:rFonts w:hint="eastAsia"/>
                <w:color w:val="auto"/>
                <w:sz w:val="21"/>
                <w:szCs w:val="16"/>
              </w:rPr>
              <w:t>非甲烷总烃</w:t>
            </w:r>
          </w:p>
        </w:tc>
        <w:tc>
          <w:tcPr>
            <w:tcW w:w="3308" w:type="dxa"/>
            <w:gridSpan w:val="2"/>
          </w:tcPr>
          <w:p w14:paraId="3EBA7F26">
            <w:pPr>
              <w:keepNext w:val="0"/>
              <w:keepLines w:val="0"/>
              <w:suppressLineNumbers w:val="0"/>
              <w:overflowPunct w:val="0"/>
              <w:autoSpaceDE w:val="0"/>
              <w:autoSpaceDN w:val="0"/>
              <w:spacing w:before="0" w:beforeAutospacing="0" w:after="0" w:afterAutospacing="0" w:line="240" w:lineRule="auto"/>
              <w:ind w:left="0" w:right="0" w:firstLine="0" w:firstLineChars="0"/>
              <w:jc w:val="center"/>
              <w:textAlignment w:val="bottom"/>
              <w:rPr>
                <w:rFonts w:hint="default"/>
                <w:color w:val="auto"/>
                <w:sz w:val="21"/>
                <w:szCs w:val="16"/>
              </w:rPr>
            </w:pPr>
            <w:r>
              <w:rPr>
                <w:rFonts w:hint="eastAsia"/>
                <w:color w:val="auto"/>
                <w:sz w:val="21"/>
                <w:szCs w:val="16"/>
              </w:rPr>
              <w:t>非甲烷总烃</w:t>
            </w:r>
          </w:p>
        </w:tc>
      </w:tr>
      <w:tr w14:paraId="3B5C39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1828" w:type="dxa"/>
            <w:vMerge w:val="continue"/>
            <w:vAlign w:val="center"/>
          </w:tcPr>
          <w:p w14:paraId="64193193">
            <w:pPr>
              <w:keepNext w:val="0"/>
              <w:keepLines w:val="0"/>
              <w:suppressLineNumbers w:val="0"/>
              <w:overflowPunct w:val="0"/>
              <w:autoSpaceDE w:val="0"/>
              <w:autoSpaceDN w:val="0"/>
              <w:spacing w:before="0" w:beforeAutospacing="0" w:after="0" w:afterAutospacing="0" w:line="240" w:lineRule="auto"/>
              <w:ind w:left="0" w:right="0" w:firstLine="0" w:firstLineChars="0"/>
              <w:jc w:val="center"/>
              <w:textAlignment w:val="bottom"/>
              <w:rPr>
                <w:rFonts w:hint="default"/>
                <w:color w:val="auto"/>
                <w:sz w:val="21"/>
                <w:szCs w:val="21"/>
              </w:rPr>
            </w:pPr>
          </w:p>
        </w:tc>
        <w:tc>
          <w:tcPr>
            <w:tcW w:w="1843" w:type="dxa"/>
            <w:vAlign w:val="center"/>
          </w:tcPr>
          <w:p w14:paraId="358FC7DE">
            <w:pPr>
              <w:keepNext w:val="0"/>
              <w:keepLines w:val="0"/>
              <w:suppressLineNumbers w:val="0"/>
              <w:overflowPunct w:val="0"/>
              <w:autoSpaceDE w:val="0"/>
              <w:autoSpaceDN w:val="0"/>
              <w:spacing w:before="0" w:beforeAutospacing="0" w:after="0" w:afterAutospacing="0" w:line="240" w:lineRule="auto"/>
              <w:ind w:left="0" w:right="0" w:firstLine="0" w:firstLineChars="0"/>
              <w:jc w:val="center"/>
              <w:textAlignment w:val="bottom"/>
              <w:rPr>
                <w:rFonts w:hint="default"/>
                <w:color w:val="auto"/>
                <w:sz w:val="21"/>
                <w:szCs w:val="21"/>
              </w:rPr>
            </w:pPr>
            <w:r>
              <w:rPr>
                <w:rFonts w:hint="eastAsia"/>
                <w:color w:val="auto"/>
                <w:sz w:val="21"/>
                <w:szCs w:val="21"/>
              </w:rPr>
              <w:t>预测浓度（ug/m</w:t>
            </w:r>
            <w:r>
              <w:rPr>
                <w:rFonts w:hint="eastAsia"/>
                <w:color w:val="auto"/>
                <w:sz w:val="21"/>
                <w:szCs w:val="21"/>
                <w:vertAlign w:val="superscript"/>
              </w:rPr>
              <w:t>3</w:t>
            </w:r>
            <w:r>
              <w:rPr>
                <w:rFonts w:hint="eastAsia"/>
                <w:color w:val="auto"/>
                <w:sz w:val="21"/>
                <w:szCs w:val="21"/>
              </w:rPr>
              <w:t>）</w:t>
            </w:r>
          </w:p>
        </w:tc>
        <w:tc>
          <w:tcPr>
            <w:tcW w:w="1425" w:type="dxa"/>
            <w:vAlign w:val="center"/>
          </w:tcPr>
          <w:p w14:paraId="67F365F7">
            <w:pPr>
              <w:keepNext w:val="0"/>
              <w:keepLines w:val="0"/>
              <w:suppressLineNumbers w:val="0"/>
              <w:overflowPunct w:val="0"/>
              <w:autoSpaceDE w:val="0"/>
              <w:autoSpaceDN w:val="0"/>
              <w:spacing w:before="0" w:beforeAutospacing="0" w:after="0" w:afterAutospacing="0" w:line="240" w:lineRule="auto"/>
              <w:ind w:left="0" w:right="0" w:firstLine="0" w:firstLineChars="0"/>
              <w:jc w:val="center"/>
              <w:textAlignment w:val="bottom"/>
              <w:rPr>
                <w:rFonts w:hint="default"/>
                <w:color w:val="auto"/>
                <w:sz w:val="21"/>
                <w:szCs w:val="21"/>
              </w:rPr>
            </w:pPr>
            <w:r>
              <w:rPr>
                <w:rFonts w:hint="eastAsia"/>
                <w:color w:val="auto"/>
                <w:sz w:val="21"/>
                <w:szCs w:val="21"/>
              </w:rPr>
              <w:t>占标率%</w:t>
            </w:r>
          </w:p>
        </w:tc>
        <w:tc>
          <w:tcPr>
            <w:tcW w:w="2122" w:type="dxa"/>
            <w:vAlign w:val="center"/>
          </w:tcPr>
          <w:p w14:paraId="7F9B9828">
            <w:pPr>
              <w:keepNext w:val="0"/>
              <w:keepLines w:val="0"/>
              <w:suppressLineNumbers w:val="0"/>
              <w:overflowPunct w:val="0"/>
              <w:autoSpaceDE w:val="0"/>
              <w:autoSpaceDN w:val="0"/>
              <w:spacing w:before="0" w:beforeAutospacing="0" w:after="0" w:afterAutospacing="0" w:line="240" w:lineRule="auto"/>
              <w:ind w:left="0" w:right="0" w:firstLine="0" w:firstLineChars="0"/>
              <w:jc w:val="center"/>
              <w:textAlignment w:val="bottom"/>
              <w:rPr>
                <w:rFonts w:hint="default"/>
                <w:color w:val="auto"/>
                <w:sz w:val="21"/>
                <w:szCs w:val="21"/>
              </w:rPr>
            </w:pPr>
            <w:r>
              <w:rPr>
                <w:rFonts w:hint="eastAsia"/>
                <w:color w:val="auto"/>
                <w:sz w:val="21"/>
                <w:szCs w:val="21"/>
              </w:rPr>
              <w:t>预测浓度（ug/m</w:t>
            </w:r>
            <w:r>
              <w:rPr>
                <w:rFonts w:hint="eastAsia"/>
                <w:color w:val="auto"/>
                <w:sz w:val="21"/>
                <w:szCs w:val="21"/>
                <w:vertAlign w:val="superscript"/>
              </w:rPr>
              <w:t>3</w:t>
            </w:r>
            <w:r>
              <w:rPr>
                <w:rFonts w:hint="eastAsia"/>
                <w:color w:val="auto"/>
                <w:sz w:val="21"/>
                <w:szCs w:val="21"/>
              </w:rPr>
              <w:t>）</w:t>
            </w:r>
          </w:p>
        </w:tc>
        <w:tc>
          <w:tcPr>
            <w:tcW w:w="1186" w:type="dxa"/>
            <w:vAlign w:val="center"/>
          </w:tcPr>
          <w:p w14:paraId="0F293829">
            <w:pPr>
              <w:keepNext w:val="0"/>
              <w:keepLines w:val="0"/>
              <w:suppressLineNumbers w:val="0"/>
              <w:overflowPunct w:val="0"/>
              <w:autoSpaceDE w:val="0"/>
              <w:autoSpaceDN w:val="0"/>
              <w:spacing w:before="0" w:beforeAutospacing="0" w:after="0" w:afterAutospacing="0" w:line="240" w:lineRule="auto"/>
              <w:ind w:left="0" w:right="0" w:firstLine="0" w:firstLineChars="0"/>
              <w:jc w:val="center"/>
              <w:textAlignment w:val="bottom"/>
              <w:rPr>
                <w:rFonts w:hint="default"/>
                <w:color w:val="auto"/>
                <w:sz w:val="21"/>
                <w:szCs w:val="21"/>
              </w:rPr>
            </w:pPr>
            <w:r>
              <w:rPr>
                <w:rFonts w:hint="eastAsia"/>
                <w:color w:val="auto"/>
                <w:sz w:val="21"/>
                <w:szCs w:val="21"/>
              </w:rPr>
              <w:t>占标率%</w:t>
            </w:r>
          </w:p>
        </w:tc>
      </w:tr>
      <w:tr w14:paraId="528BE4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5C1CEE25">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10</w:t>
            </w:r>
          </w:p>
        </w:tc>
        <w:tc>
          <w:tcPr>
            <w:tcW w:w="1843" w:type="dxa"/>
            <w:vAlign w:val="center"/>
          </w:tcPr>
          <w:p w14:paraId="5CE8F4E8">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0.00</w:t>
            </w:r>
          </w:p>
        </w:tc>
        <w:tc>
          <w:tcPr>
            <w:tcW w:w="1425" w:type="dxa"/>
            <w:vAlign w:val="center"/>
          </w:tcPr>
          <w:p w14:paraId="70083E99">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0</w:t>
            </w:r>
          </w:p>
        </w:tc>
        <w:tc>
          <w:tcPr>
            <w:tcW w:w="2122" w:type="dxa"/>
            <w:vAlign w:val="center"/>
          </w:tcPr>
          <w:p w14:paraId="07565704">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12.4</w:t>
            </w:r>
          </w:p>
        </w:tc>
        <w:tc>
          <w:tcPr>
            <w:tcW w:w="1186" w:type="dxa"/>
            <w:vAlign w:val="center"/>
          </w:tcPr>
          <w:p w14:paraId="1654E96E">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0.62</w:t>
            </w:r>
          </w:p>
        </w:tc>
      </w:tr>
      <w:tr w14:paraId="54B328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5BCBA28E">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25</w:t>
            </w:r>
          </w:p>
        </w:tc>
        <w:tc>
          <w:tcPr>
            <w:tcW w:w="1843" w:type="dxa"/>
            <w:vAlign w:val="center"/>
          </w:tcPr>
          <w:p w14:paraId="2E27F74E">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0.78</w:t>
            </w:r>
          </w:p>
        </w:tc>
        <w:tc>
          <w:tcPr>
            <w:tcW w:w="1425" w:type="dxa"/>
            <w:vAlign w:val="center"/>
          </w:tcPr>
          <w:p w14:paraId="4E473D62">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0.04</w:t>
            </w:r>
          </w:p>
        </w:tc>
        <w:tc>
          <w:tcPr>
            <w:tcW w:w="2122" w:type="dxa"/>
            <w:vAlign w:val="center"/>
          </w:tcPr>
          <w:p w14:paraId="1E0AAE79">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13.2</w:t>
            </w:r>
          </w:p>
        </w:tc>
        <w:tc>
          <w:tcPr>
            <w:tcW w:w="1186" w:type="dxa"/>
            <w:vAlign w:val="center"/>
          </w:tcPr>
          <w:p w14:paraId="1AD41194">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0.66</w:t>
            </w:r>
          </w:p>
        </w:tc>
      </w:tr>
      <w:tr w14:paraId="0CFA62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7821650F">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50</w:t>
            </w:r>
          </w:p>
        </w:tc>
        <w:tc>
          <w:tcPr>
            <w:tcW w:w="1843" w:type="dxa"/>
            <w:vAlign w:val="center"/>
          </w:tcPr>
          <w:p w14:paraId="342EDD65">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38.60</w:t>
            </w:r>
          </w:p>
        </w:tc>
        <w:tc>
          <w:tcPr>
            <w:tcW w:w="1425" w:type="dxa"/>
            <w:vAlign w:val="center"/>
          </w:tcPr>
          <w:p w14:paraId="04F049BB">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1.93</w:t>
            </w:r>
          </w:p>
        </w:tc>
        <w:tc>
          <w:tcPr>
            <w:tcW w:w="2122" w:type="dxa"/>
            <w:vAlign w:val="center"/>
          </w:tcPr>
          <w:p w14:paraId="11493CD7">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14.5</w:t>
            </w:r>
          </w:p>
        </w:tc>
        <w:tc>
          <w:tcPr>
            <w:tcW w:w="1186" w:type="dxa"/>
            <w:vAlign w:val="center"/>
          </w:tcPr>
          <w:p w14:paraId="41AFB688">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0.73</w:t>
            </w:r>
          </w:p>
        </w:tc>
      </w:tr>
      <w:tr w14:paraId="0A3E63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7CA5E764">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69</w:t>
            </w:r>
          </w:p>
        </w:tc>
        <w:tc>
          <w:tcPr>
            <w:tcW w:w="1843" w:type="dxa"/>
            <w:vAlign w:val="center"/>
          </w:tcPr>
          <w:p w14:paraId="03AAD6AD">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47.10</w:t>
            </w:r>
          </w:p>
        </w:tc>
        <w:tc>
          <w:tcPr>
            <w:tcW w:w="1425" w:type="dxa"/>
            <w:vAlign w:val="center"/>
          </w:tcPr>
          <w:p w14:paraId="4BFA5B53">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2.35</w:t>
            </w:r>
          </w:p>
        </w:tc>
        <w:tc>
          <w:tcPr>
            <w:tcW w:w="2122" w:type="dxa"/>
            <w:vAlign w:val="center"/>
          </w:tcPr>
          <w:p w14:paraId="5E8E6CFF">
            <w:pPr>
              <w:pStyle w:val="91"/>
              <w:keepNext w:val="0"/>
              <w:keepLines w:val="0"/>
              <w:suppressLineNumbers w:val="0"/>
              <w:bidi w:val="0"/>
              <w:spacing w:before="0" w:beforeAutospacing="0" w:after="0" w:afterAutospacing="0"/>
              <w:ind w:left="0" w:right="0"/>
              <w:jc w:val="center"/>
              <w:rPr>
                <w:rFonts w:hint="default"/>
                <w:color w:val="auto"/>
              </w:rPr>
            </w:pPr>
          </w:p>
        </w:tc>
        <w:tc>
          <w:tcPr>
            <w:tcW w:w="1186" w:type="dxa"/>
            <w:vAlign w:val="center"/>
          </w:tcPr>
          <w:p w14:paraId="18F8576B">
            <w:pPr>
              <w:pStyle w:val="91"/>
              <w:keepNext w:val="0"/>
              <w:keepLines w:val="0"/>
              <w:suppressLineNumbers w:val="0"/>
              <w:bidi w:val="0"/>
              <w:spacing w:before="0" w:beforeAutospacing="0" w:after="0" w:afterAutospacing="0"/>
              <w:ind w:left="0" w:right="0"/>
              <w:jc w:val="center"/>
              <w:rPr>
                <w:rFonts w:hint="default"/>
                <w:color w:val="auto"/>
              </w:rPr>
            </w:pPr>
          </w:p>
        </w:tc>
      </w:tr>
      <w:tr w14:paraId="0A2201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166D0EB4">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75</w:t>
            </w:r>
          </w:p>
        </w:tc>
        <w:tc>
          <w:tcPr>
            <w:tcW w:w="1843" w:type="dxa"/>
            <w:vAlign w:val="center"/>
          </w:tcPr>
          <w:p w14:paraId="70D9C796">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46.60</w:t>
            </w:r>
          </w:p>
        </w:tc>
        <w:tc>
          <w:tcPr>
            <w:tcW w:w="1425" w:type="dxa"/>
            <w:vAlign w:val="center"/>
          </w:tcPr>
          <w:p w14:paraId="6DCAA82C">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2.33</w:t>
            </w:r>
          </w:p>
        </w:tc>
        <w:tc>
          <w:tcPr>
            <w:tcW w:w="2122" w:type="dxa"/>
            <w:vAlign w:val="center"/>
          </w:tcPr>
          <w:p w14:paraId="12A2825E">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15.8</w:t>
            </w:r>
          </w:p>
        </w:tc>
        <w:tc>
          <w:tcPr>
            <w:tcW w:w="1186" w:type="dxa"/>
            <w:vAlign w:val="center"/>
          </w:tcPr>
          <w:p w14:paraId="7F7016A7">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0.79</w:t>
            </w:r>
          </w:p>
        </w:tc>
      </w:tr>
      <w:tr w14:paraId="48CC6C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55B195BA">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100</w:t>
            </w:r>
          </w:p>
        </w:tc>
        <w:tc>
          <w:tcPr>
            <w:tcW w:w="1843" w:type="dxa"/>
            <w:vAlign w:val="center"/>
          </w:tcPr>
          <w:p w14:paraId="18C9E13B">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43.00</w:t>
            </w:r>
          </w:p>
        </w:tc>
        <w:tc>
          <w:tcPr>
            <w:tcW w:w="1425" w:type="dxa"/>
            <w:vAlign w:val="center"/>
          </w:tcPr>
          <w:p w14:paraId="13D2540D">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2.15</w:t>
            </w:r>
          </w:p>
        </w:tc>
        <w:tc>
          <w:tcPr>
            <w:tcW w:w="2122" w:type="dxa"/>
            <w:vAlign w:val="center"/>
          </w:tcPr>
          <w:p w14:paraId="06EF325F">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17</w:t>
            </w:r>
          </w:p>
        </w:tc>
        <w:tc>
          <w:tcPr>
            <w:tcW w:w="1186" w:type="dxa"/>
            <w:vAlign w:val="center"/>
          </w:tcPr>
          <w:p w14:paraId="216C0A1B">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0.85</w:t>
            </w:r>
          </w:p>
        </w:tc>
      </w:tr>
      <w:tr w14:paraId="3C9E98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65580CB2">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200</w:t>
            </w:r>
          </w:p>
        </w:tc>
        <w:tc>
          <w:tcPr>
            <w:tcW w:w="1843" w:type="dxa"/>
            <w:vAlign w:val="center"/>
          </w:tcPr>
          <w:p w14:paraId="7DEBFA8D">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31.00</w:t>
            </w:r>
          </w:p>
        </w:tc>
        <w:tc>
          <w:tcPr>
            <w:tcW w:w="1425" w:type="dxa"/>
            <w:vAlign w:val="center"/>
          </w:tcPr>
          <w:p w14:paraId="60F7F705">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1.55</w:t>
            </w:r>
          </w:p>
        </w:tc>
        <w:tc>
          <w:tcPr>
            <w:tcW w:w="2122" w:type="dxa"/>
            <w:vAlign w:val="center"/>
          </w:tcPr>
          <w:p w14:paraId="23CC6824">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21.4</w:t>
            </w:r>
          </w:p>
        </w:tc>
        <w:tc>
          <w:tcPr>
            <w:tcW w:w="1186" w:type="dxa"/>
            <w:vAlign w:val="center"/>
          </w:tcPr>
          <w:p w14:paraId="73C3E113">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1.07</w:t>
            </w:r>
          </w:p>
        </w:tc>
      </w:tr>
      <w:tr w14:paraId="1467D2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2B4797AD">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300</w:t>
            </w:r>
          </w:p>
        </w:tc>
        <w:tc>
          <w:tcPr>
            <w:tcW w:w="1843" w:type="dxa"/>
            <w:vAlign w:val="center"/>
          </w:tcPr>
          <w:p w14:paraId="74929FA9">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20.70</w:t>
            </w:r>
          </w:p>
        </w:tc>
        <w:tc>
          <w:tcPr>
            <w:tcW w:w="1425" w:type="dxa"/>
            <w:vAlign w:val="center"/>
          </w:tcPr>
          <w:p w14:paraId="3804121A">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1.04</w:t>
            </w:r>
          </w:p>
        </w:tc>
        <w:tc>
          <w:tcPr>
            <w:tcW w:w="2122" w:type="dxa"/>
            <w:vAlign w:val="center"/>
          </w:tcPr>
          <w:p w14:paraId="0F374517">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24.4</w:t>
            </w:r>
          </w:p>
        </w:tc>
        <w:tc>
          <w:tcPr>
            <w:tcW w:w="1186" w:type="dxa"/>
            <w:vAlign w:val="center"/>
          </w:tcPr>
          <w:p w14:paraId="56624E6F">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1.22</w:t>
            </w:r>
          </w:p>
        </w:tc>
      </w:tr>
      <w:tr w14:paraId="7C1EDB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4F4954FB">
            <w:pPr>
              <w:pStyle w:val="91"/>
              <w:keepNext w:val="0"/>
              <w:keepLines w:val="0"/>
              <w:suppressLineNumbers w:val="0"/>
              <w:spacing w:before="0" w:beforeAutospacing="0" w:after="0" w:afterAutospacing="0"/>
              <w:ind w:left="0" w:right="0"/>
              <w:jc w:val="center"/>
              <w:rPr>
                <w:rFonts w:hint="default" w:hAnsi="Times New Roman" w:eastAsia="宋体"/>
                <w:color w:val="auto"/>
                <w:lang w:val="en-US" w:eastAsia="zh-CN"/>
              </w:rPr>
            </w:pPr>
            <w:r>
              <w:rPr>
                <w:rFonts w:hint="eastAsia" w:hAnsi="Times New Roman"/>
                <w:color w:val="auto"/>
                <w:lang w:val="en-US" w:eastAsia="zh-CN"/>
              </w:rPr>
              <w:t>325</w:t>
            </w:r>
          </w:p>
        </w:tc>
        <w:tc>
          <w:tcPr>
            <w:tcW w:w="1843" w:type="dxa"/>
            <w:vAlign w:val="center"/>
          </w:tcPr>
          <w:p w14:paraId="5DB3154F">
            <w:pPr>
              <w:pStyle w:val="91"/>
              <w:keepNext w:val="0"/>
              <w:keepLines w:val="0"/>
              <w:suppressLineNumbers w:val="0"/>
              <w:spacing w:before="0" w:beforeAutospacing="0" w:after="0" w:afterAutospacing="0"/>
              <w:ind w:left="0" w:right="0"/>
              <w:jc w:val="center"/>
              <w:rPr>
                <w:rFonts w:hint="eastAsia" w:hAnsi="Times New Roman" w:eastAsia="等线"/>
                <w:color w:val="auto"/>
                <w:sz w:val="22"/>
                <w:szCs w:val="22"/>
                <w:lang w:val="en-US" w:eastAsia="zh-CN"/>
              </w:rPr>
            </w:pPr>
            <w:r>
              <w:rPr>
                <w:rFonts w:hint="eastAsia" w:hAnsi="Times New Roman" w:eastAsia="等线"/>
                <w:color w:val="auto"/>
                <w:sz w:val="22"/>
                <w:szCs w:val="22"/>
                <w:lang w:val="en-US" w:eastAsia="zh-CN"/>
              </w:rPr>
              <w:t>/</w:t>
            </w:r>
          </w:p>
        </w:tc>
        <w:tc>
          <w:tcPr>
            <w:tcW w:w="1425" w:type="dxa"/>
            <w:vAlign w:val="center"/>
          </w:tcPr>
          <w:p w14:paraId="0E3F86E2">
            <w:pPr>
              <w:pStyle w:val="91"/>
              <w:keepNext w:val="0"/>
              <w:keepLines w:val="0"/>
              <w:suppressLineNumbers w:val="0"/>
              <w:spacing w:before="0" w:beforeAutospacing="0" w:after="0" w:afterAutospacing="0"/>
              <w:ind w:left="0" w:right="0"/>
              <w:jc w:val="center"/>
              <w:rPr>
                <w:rFonts w:hint="eastAsia" w:hAnsi="Times New Roman" w:eastAsia="等线"/>
                <w:color w:val="auto"/>
                <w:sz w:val="22"/>
                <w:szCs w:val="22"/>
                <w:lang w:val="en-US" w:eastAsia="zh-CN"/>
              </w:rPr>
            </w:pPr>
            <w:r>
              <w:rPr>
                <w:rFonts w:hint="eastAsia" w:hAnsi="Times New Roman" w:eastAsia="等线"/>
                <w:color w:val="auto"/>
                <w:sz w:val="22"/>
                <w:szCs w:val="22"/>
                <w:lang w:val="en-US" w:eastAsia="zh-CN"/>
              </w:rPr>
              <w:t>/</w:t>
            </w:r>
          </w:p>
        </w:tc>
        <w:tc>
          <w:tcPr>
            <w:tcW w:w="2122" w:type="dxa"/>
            <w:vAlign w:val="center"/>
          </w:tcPr>
          <w:p w14:paraId="13A60A01">
            <w:pPr>
              <w:pStyle w:val="91"/>
              <w:keepNext w:val="0"/>
              <w:keepLines w:val="0"/>
              <w:suppressLineNumbers w:val="0"/>
              <w:bidi w:val="0"/>
              <w:spacing w:before="0" w:beforeAutospacing="0" w:after="0" w:afterAutospacing="0"/>
              <w:ind w:left="0" w:right="0"/>
              <w:jc w:val="center"/>
              <w:rPr>
                <w:rFonts w:hint="eastAsia"/>
                <w:color w:val="auto"/>
              </w:rPr>
            </w:pPr>
            <w:r>
              <w:rPr>
                <w:rFonts w:hint="eastAsia"/>
                <w:color w:val="auto"/>
                <w:lang w:val="en-US" w:eastAsia="zh-CN"/>
              </w:rPr>
              <w:t>24.50</w:t>
            </w:r>
          </w:p>
        </w:tc>
        <w:tc>
          <w:tcPr>
            <w:tcW w:w="1186" w:type="dxa"/>
            <w:vAlign w:val="center"/>
          </w:tcPr>
          <w:p w14:paraId="26F783A0">
            <w:pPr>
              <w:pStyle w:val="91"/>
              <w:keepNext w:val="0"/>
              <w:keepLines w:val="0"/>
              <w:suppressLineNumbers w:val="0"/>
              <w:bidi w:val="0"/>
              <w:spacing w:before="0" w:beforeAutospacing="0" w:after="0" w:afterAutospacing="0"/>
              <w:ind w:left="0" w:right="0"/>
              <w:jc w:val="center"/>
              <w:rPr>
                <w:rFonts w:hint="eastAsia"/>
                <w:color w:val="auto"/>
              </w:rPr>
            </w:pPr>
            <w:r>
              <w:rPr>
                <w:rFonts w:hint="eastAsia"/>
                <w:color w:val="auto"/>
                <w:lang w:val="en-US" w:eastAsia="zh-CN"/>
              </w:rPr>
              <w:t>1.23</w:t>
            </w:r>
          </w:p>
        </w:tc>
      </w:tr>
      <w:tr w14:paraId="1446E8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6DFC26AB">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400</w:t>
            </w:r>
          </w:p>
        </w:tc>
        <w:tc>
          <w:tcPr>
            <w:tcW w:w="1843" w:type="dxa"/>
            <w:vAlign w:val="center"/>
          </w:tcPr>
          <w:p w14:paraId="7D6465A1">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14.20</w:t>
            </w:r>
          </w:p>
        </w:tc>
        <w:tc>
          <w:tcPr>
            <w:tcW w:w="1425" w:type="dxa"/>
            <w:vAlign w:val="center"/>
          </w:tcPr>
          <w:p w14:paraId="0F9BC6E7">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0.71</w:t>
            </w:r>
          </w:p>
        </w:tc>
        <w:tc>
          <w:tcPr>
            <w:tcW w:w="2122" w:type="dxa"/>
            <w:vAlign w:val="center"/>
          </w:tcPr>
          <w:p w14:paraId="662A57AB">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24.2</w:t>
            </w:r>
          </w:p>
        </w:tc>
        <w:tc>
          <w:tcPr>
            <w:tcW w:w="1186" w:type="dxa"/>
            <w:vAlign w:val="center"/>
          </w:tcPr>
          <w:p w14:paraId="01722D77">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1.21</w:t>
            </w:r>
          </w:p>
        </w:tc>
      </w:tr>
      <w:tr w14:paraId="309FC5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7F5BE244">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500</w:t>
            </w:r>
          </w:p>
        </w:tc>
        <w:tc>
          <w:tcPr>
            <w:tcW w:w="1843" w:type="dxa"/>
            <w:vAlign w:val="center"/>
          </w:tcPr>
          <w:p w14:paraId="03045237">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12.50</w:t>
            </w:r>
          </w:p>
        </w:tc>
        <w:tc>
          <w:tcPr>
            <w:tcW w:w="1425" w:type="dxa"/>
            <w:vAlign w:val="center"/>
          </w:tcPr>
          <w:p w14:paraId="57D2BB75">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0.63</w:t>
            </w:r>
          </w:p>
        </w:tc>
        <w:tc>
          <w:tcPr>
            <w:tcW w:w="2122" w:type="dxa"/>
            <w:vAlign w:val="center"/>
          </w:tcPr>
          <w:p w14:paraId="4A6E492E">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21.9</w:t>
            </w:r>
          </w:p>
        </w:tc>
        <w:tc>
          <w:tcPr>
            <w:tcW w:w="1186" w:type="dxa"/>
            <w:vAlign w:val="center"/>
          </w:tcPr>
          <w:p w14:paraId="03FA33BE">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1.09</w:t>
            </w:r>
          </w:p>
        </w:tc>
      </w:tr>
      <w:tr w14:paraId="6B588F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7C5C68A6">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700</w:t>
            </w:r>
          </w:p>
        </w:tc>
        <w:tc>
          <w:tcPr>
            <w:tcW w:w="1843" w:type="dxa"/>
            <w:vAlign w:val="center"/>
          </w:tcPr>
          <w:p w14:paraId="00279A93">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11.80</w:t>
            </w:r>
          </w:p>
        </w:tc>
        <w:tc>
          <w:tcPr>
            <w:tcW w:w="1425" w:type="dxa"/>
            <w:vAlign w:val="center"/>
          </w:tcPr>
          <w:p w14:paraId="0A61AD08">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0.59</w:t>
            </w:r>
          </w:p>
        </w:tc>
        <w:tc>
          <w:tcPr>
            <w:tcW w:w="2122" w:type="dxa"/>
            <w:vAlign w:val="center"/>
          </w:tcPr>
          <w:p w14:paraId="6037C527">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16.9</w:t>
            </w:r>
          </w:p>
        </w:tc>
        <w:tc>
          <w:tcPr>
            <w:tcW w:w="1186" w:type="dxa"/>
            <w:vAlign w:val="center"/>
          </w:tcPr>
          <w:p w14:paraId="569348B1">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0.85</w:t>
            </w:r>
          </w:p>
        </w:tc>
      </w:tr>
      <w:tr w14:paraId="2070BA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3F8831F2">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900</w:t>
            </w:r>
          </w:p>
        </w:tc>
        <w:tc>
          <w:tcPr>
            <w:tcW w:w="1843" w:type="dxa"/>
            <w:vAlign w:val="center"/>
          </w:tcPr>
          <w:p w14:paraId="66F0F863">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11.50</w:t>
            </w:r>
          </w:p>
        </w:tc>
        <w:tc>
          <w:tcPr>
            <w:tcW w:w="1425" w:type="dxa"/>
            <w:vAlign w:val="center"/>
          </w:tcPr>
          <w:p w14:paraId="4575E83F">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0.57</w:t>
            </w:r>
          </w:p>
        </w:tc>
        <w:tc>
          <w:tcPr>
            <w:tcW w:w="2122" w:type="dxa"/>
            <w:vAlign w:val="center"/>
          </w:tcPr>
          <w:p w14:paraId="575BA382">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13.3</w:t>
            </w:r>
          </w:p>
        </w:tc>
        <w:tc>
          <w:tcPr>
            <w:tcW w:w="1186" w:type="dxa"/>
            <w:vAlign w:val="center"/>
          </w:tcPr>
          <w:p w14:paraId="719C9E45">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0.66</w:t>
            </w:r>
          </w:p>
        </w:tc>
      </w:tr>
      <w:tr w14:paraId="44C851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1FAC96BB">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1000</w:t>
            </w:r>
          </w:p>
        </w:tc>
        <w:tc>
          <w:tcPr>
            <w:tcW w:w="1843" w:type="dxa"/>
            <w:vAlign w:val="center"/>
          </w:tcPr>
          <w:p w14:paraId="3B1F4113">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11.10</w:t>
            </w:r>
          </w:p>
        </w:tc>
        <w:tc>
          <w:tcPr>
            <w:tcW w:w="1425" w:type="dxa"/>
            <w:vAlign w:val="center"/>
          </w:tcPr>
          <w:p w14:paraId="39105822">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0.56</w:t>
            </w:r>
          </w:p>
        </w:tc>
        <w:tc>
          <w:tcPr>
            <w:tcW w:w="2122" w:type="dxa"/>
            <w:vAlign w:val="center"/>
          </w:tcPr>
          <w:p w14:paraId="4311EF36">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11.9</w:t>
            </w:r>
          </w:p>
        </w:tc>
        <w:tc>
          <w:tcPr>
            <w:tcW w:w="1186" w:type="dxa"/>
            <w:vAlign w:val="center"/>
          </w:tcPr>
          <w:p w14:paraId="2212C2CF">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0.59</w:t>
            </w:r>
          </w:p>
        </w:tc>
      </w:tr>
      <w:tr w14:paraId="744189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53D91424">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1500</w:t>
            </w:r>
          </w:p>
        </w:tc>
        <w:tc>
          <w:tcPr>
            <w:tcW w:w="1843" w:type="dxa"/>
            <w:vAlign w:val="center"/>
          </w:tcPr>
          <w:p w14:paraId="49E6956D">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9.23</w:t>
            </w:r>
          </w:p>
        </w:tc>
        <w:tc>
          <w:tcPr>
            <w:tcW w:w="1425" w:type="dxa"/>
            <w:vAlign w:val="center"/>
          </w:tcPr>
          <w:p w14:paraId="2DFF431A">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0.46</w:t>
            </w:r>
          </w:p>
        </w:tc>
        <w:tc>
          <w:tcPr>
            <w:tcW w:w="2122" w:type="dxa"/>
            <w:vAlign w:val="center"/>
          </w:tcPr>
          <w:p w14:paraId="34BE0161">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7.5</w:t>
            </w:r>
          </w:p>
        </w:tc>
        <w:tc>
          <w:tcPr>
            <w:tcW w:w="1186" w:type="dxa"/>
            <w:vAlign w:val="center"/>
          </w:tcPr>
          <w:p w14:paraId="7847C445">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0.38</w:t>
            </w:r>
          </w:p>
        </w:tc>
      </w:tr>
      <w:tr w14:paraId="1CF72B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114C4A9B">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2000</w:t>
            </w:r>
          </w:p>
        </w:tc>
        <w:tc>
          <w:tcPr>
            <w:tcW w:w="1843" w:type="dxa"/>
            <w:vAlign w:val="center"/>
          </w:tcPr>
          <w:p w14:paraId="36D6E72A">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7.76</w:t>
            </w:r>
          </w:p>
        </w:tc>
        <w:tc>
          <w:tcPr>
            <w:tcW w:w="1425" w:type="dxa"/>
            <w:vAlign w:val="center"/>
          </w:tcPr>
          <w:p w14:paraId="6D6EFB57">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0.39</w:t>
            </w:r>
          </w:p>
        </w:tc>
        <w:tc>
          <w:tcPr>
            <w:tcW w:w="2122" w:type="dxa"/>
            <w:vAlign w:val="center"/>
          </w:tcPr>
          <w:p w14:paraId="55AD2493">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5.28</w:t>
            </w:r>
          </w:p>
        </w:tc>
        <w:tc>
          <w:tcPr>
            <w:tcW w:w="1186" w:type="dxa"/>
            <w:vAlign w:val="center"/>
          </w:tcPr>
          <w:p w14:paraId="6E6111DD">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0.26</w:t>
            </w:r>
          </w:p>
        </w:tc>
      </w:tr>
      <w:tr w14:paraId="61F676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5157E2C9">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2500</w:t>
            </w:r>
          </w:p>
        </w:tc>
        <w:tc>
          <w:tcPr>
            <w:tcW w:w="1843" w:type="dxa"/>
            <w:vAlign w:val="center"/>
          </w:tcPr>
          <w:p w14:paraId="33A42345">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6.47</w:t>
            </w:r>
          </w:p>
        </w:tc>
        <w:tc>
          <w:tcPr>
            <w:tcW w:w="1425" w:type="dxa"/>
            <w:vAlign w:val="center"/>
          </w:tcPr>
          <w:p w14:paraId="3AE9D746">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0.32</w:t>
            </w:r>
          </w:p>
        </w:tc>
        <w:tc>
          <w:tcPr>
            <w:tcW w:w="2122" w:type="dxa"/>
            <w:vAlign w:val="center"/>
          </w:tcPr>
          <w:p w14:paraId="37F45DAA">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4.01</w:t>
            </w:r>
          </w:p>
        </w:tc>
        <w:tc>
          <w:tcPr>
            <w:tcW w:w="1186" w:type="dxa"/>
            <w:vAlign w:val="center"/>
          </w:tcPr>
          <w:p w14:paraId="34BA164E">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0.2</w:t>
            </w:r>
          </w:p>
        </w:tc>
      </w:tr>
      <w:tr w14:paraId="36A969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471E3730">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3000</w:t>
            </w:r>
          </w:p>
        </w:tc>
        <w:tc>
          <w:tcPr>
            <w:tcW w:w="1843" w:type="dxa"/>
            <w:vAlign w:val="center"/>
          </w:tcPr>
          <w:p w14:paraId="6D38018E">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5.60</w:t>
            </w:r>
          </w:p>
        </w:tc>
        <w:tc>
          <w:tcPr>
            <w:tcW w:w="1425" w:type="dxa"/>
            <w:vAlign w:val="center"/>
          </w:tcPr>
          <w:p w14:paraId="18A08B9D">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0.28</w:t>
            </w:r>
          </w:p>
        </w:tc>
        <w:tc>
          <w:tcPr>
            <w:tcW w:w="2122" w:type="dxa"/>
            <w:vAlign w:val="center"/>
          </w:tcPr>
          <w:p w14:paraId="6218D695">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3.17</w:t>
            </w:r>
          </w:p>
        </w:tc>
        <w:tc>
          <w:tcPr>
            <w:tcW w:w="1186" w:type="dxa"/>
            <w:vAlign w:val="center"/>
          </w:tcPr>
          <w:p w14:paraId="6DECF615">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0.16</w:t>
            </w:r>
          </w:p>
        </w:tc>
      </w:tr>
      <w:tr w14:paraId="7B21EE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1C39C1E9">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4000</w:t>
            </w:r>
          </w:p>
        </w:tc>
        <w:tc>
          <w:tcPr>
            <w:tcW w:w="1843" w:type="dxa"/>
            <w:vAlign w:val="center"/>
          </w:tcPr>
          <w:p w14:paraId="6ED0C2AF">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4.80</w:t>
            </w:r>
          </w:p>
        </w:tc>
        <w:tc>
          <w:tcPr>
            <w:tcW w:w="1425" w:type="dxa"/>
            <w:vAlign w:val="center"/>
          </w:tcPr>
          <w:p w14:paraId="59C9B8DF">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0.24</w:t>
            </w:r>
          </w:p>
        </w:tc>
        <w:tc>
          <w:tcPr>
            <w:tcW w:w="2122" w:type="dxa"/>
            <w:vAlign w:val="center"/>
          </w:tcPr>
          <w:p w14:paraId="2AC6223F">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2.18</w:t>
            </w:r>
          </w:p>
        </w:tc>
        <w:tc>
          <w:tcPr>
            <w:tcW w:w="1186" w:type="dxa"/>
            <w:vAlign w:val="center"/>
          </w:tcPr>
          <w:p w14:paraId="0E1C9F8F">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0.11</w:t>
            </w:r>
          </w:p>
        </w:tc>
      </w:tr>
      <w:tr w14:paraId="44E57A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5FBAAA75">
            <w:pPr>
              <w:pStyle w:val="91"/>
              <w:keepNext w:val="0"/>
              <w:keepLines w:val="0"/>
              <w:suppressLineNumbers w:val="0"/>
              <w:spacing w:before="0" w:beforeAutospacing="0" w:after="0" w:afterAutospacing="0"/>
              <w:ind w:left="0" w:right="0"/>
              <w:jc w:val="center"/>
              <w:rPr>
                <w:rFonts w:hint="default" w:hAnsi="Times New Roman"/>
                <w:color w:val="auto"/>
              </w:rPr>
            </w:pPr>
            <w:r>
              <w:rPr>
                <w:rFonts w:hint="default" w:hAnsi="Times New Roman"/>
                <w:color w:val="auto"/>
              </w:rPr>
              <w:t>5000</w:t>
            </w:r>
          </w:p>
        </w:tc>
        <w:tc>
          <w:tcPr>
            <w:tcW w:w="1843" w:type="dxa"/>
            <w:vAlign w:val="center"/>
          </w:tcPr>
          <w:p w14:paraId="172A253F">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3.61</w:t>
            </w:r>
          </w:p>
        </w:tc>
        <w:tc>
          <w:tcPr>
            <w:tcW w:w="1425" w:type="dxa"/>
            <w:vAlign w:val="center"/>
          </w:tcPr>
          <w:p w14:paraId="46E39417">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0.18</w:t>
            </w:r>
          </w:p>
        </w:tc>
        <w:tc>
          <w:tcPr>
            <w:tcW w:w="2122" w:type="dxa"/>
            <w:vAlign w:val="center"/>
          </w:tcPr>
          <w:p w14:paraId="23B504A8">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1.62</w:t>
            </w:r>
          </w:p>
        </w:tc>
        <w:tc>
          <w:tcPr>
            <w:tcW w:w="1186" w:type="dxa"/>
            <w:vAlign w:val="center"/>
          </w:tcPr>
          <w:p w14:paraId="728073C0">
            <w:pPr>
              <w:pStyle w:val="91"/>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0.08</w:t>
            </w:r>
          </w:p>
        </w:tc>
      </w:tr>
      <w:tr w14:paraId="66C373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32AB5D6D">
            <w:pPr>
              <w:keepNext w:val="0"/>
              <w:keepLines w:val="0"/>
              <w:suppressLineNumbers w:val="0"/>
              <w:overflowPunct w:val="0"/>
              <w:autoSpaceDE w:val="0"/>
              <w:autoSpaceDN w:val="0"/>
              <w:spacing w:before="0" w:beforeAutospacing="0" w:after="0" w:afterAutospacing="0" w:line="240" w:lineRule="auto"/>
              <w:ind w:left="0" w:right="0" w:firstLine="0" w:firstLineChars="0"/>
              <w:jc w:val="center"/>
              <w:textAlignment w:val="bottom"/>
              <w:rPr>
                <w:rFonts w:hint="default"/>
                <w:color w:val="auto"/>
                <w:sz w:val="21"/>
                <w:szCs w:val="21"/>
              </w:rPr>
            </w:pPr>
            <w:r>
              <w:rPr>
                <w:rFonts w:hint="eastAsia"/>
                <w:color w:val="auto"/>
                <w:sz w:val="21"/>
                <w:szCs w:val="21"/>
              </w:rPr>
              <w:t>最大浓度及占标率</w:t>
            </w:r>
          </w:p>
        </w:tc>
        <w:tc>
          <w:tcPr>
            <w:tcW w:w="1843" w:type="dxa"/>
            <w:vAlign w:val="center"/>
          </w:tcPr>
          <w:p w14:paraId="732BF690">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47.10</w:t>
            </w:r>
          </w:p>
        </w:tc>
        <w:tc>
          <w:tcPr>
            <w:tcW w:w="1425" w:type="dxa"/>
            <w:vAlign w:val="center"/>
          </w:tcPr>
          <w:p w14:paraId="789ED597">
            <w:pPr>
              <w:pStyle w:val="91"/>
              <w:keepNext w:val="0"/>
              <w:keepLines w:val="0"/>
              <w:suppressLineNumbers w:val="0"/>
              <w:spacing w:before="0" w:beforeAutospacing="0" w:after="0" w:afterAutospacing="0"/>
              <w:ind w:left="0" w:right="0"/>
              <w:jc w:val="center"/>
              <w:rPr>
                <w:rFonts w:hint="default" w:hAnsi="Times New Roman" w:eastAsia="等线"/>
                <w:color w:val="auto"/>
                <w:sz w:val="22"/>
                <w:szCs w:val="22"/>
              </w:rPr>
            </w:pPr>
            <w:r>
              <w:rPr>
                <w:rFonts w:hint="default" w:hAnsi="Times New Roman" w:eastAsia="等线"/>
                <w:color w:val="auto"/>
                <w:sz w:val="22"/>
                <w:szCs w:val="22"/>
              </w:rPr>
              <w:t>2.35</w:t>
            </w:r>
          </w:p>
        </w:tc>
        <w:tc>
          <w:tcPr>
            <w:tcW w:w="2122" w:type="dxa"/>
            <w:vAlign w:val="center"/>
          </w:tcPr>
          <w:p w14:paraId="0074F5A0">
            <w:pPr>
              <w:pStyle w:val="91"/>
              <w:keepNext w:val="0"/>
              <w:keepLines w:val="0"/>
              <w:suppressLineNumbers w:val="0"/>
              <w:bidi w:val="0"/>
              <w:spacing w:before="0" w:beforeAutospacing="0" w:after="0" w:afterAutospacing="0"/>
              <w:ind w:left="0" w:right="0" w:firstLine="0" w:firstLineChars="0"/>
              <w:jc w:val="center"/>
              <w:rPr>
                <w:rFonts w:hint="default" w:hAnsi="Times New Roman" w:eastAsia="等线"/>
                <w:color w:val="auto"/>
                <w:sz w:val="22"/>
                <w:szCs w:val="22"/>
                <w:highlight w:val="yellow"/>
              </w:rPr>
            </w:pPr>
            <w:r>
              <w:rPr>
                <w:rFonts w:hint="eastAsia"/>
                <w:color w:val="auto"/>
                <w:lang w:val="en-US" w:eastAsia="zh-CN"/>
              </w:rPr>
              <w:t>24.50</w:t>
            </w:r>
          </w:p>
        </w:tc>
        <w:tc>
          <w:tcPr>
            <w:tcW w:w="1186" w:type="dxa"/>
            <w:vAlign w:val="center"/>
          </w:tcPr>
          <w:p w14:paraId="21FFA0AB">
            <w:pPr>
              <w:pStyle w:val="91"/>
              <w:keepNext w:val="0"/>
              <w:keepLines w:val="0"/>
              <w:suppressLineNumbers w:val="0"/>
              <w:bidi w:val="0"/>
              <w:spacing w:before="0" w:beforeAutospacing="0" w:after="0" w:afterAutospacing="0"/>
              <w:ind w:left="0" w:right="0" w:firstLine="0" w:firstLineChars="0"/>
              <w:jc w:val="center"/>
              <w:rPr>
                <w:rFonts w:hint="default" w:hAnsi="Times New Roman" w:eastAsia="等线"/>
                <w:color w:val="auto"/>
                <w:sz w:val="22"/>
                <w:szCs w:val="22"/>
                <w:highlight w:val="yellow"/>
              </w:rPr>
            </w:pPr>
            <w:r>
              <w:rPr>
                <w:rFonts w:hint="eastAsia"/>
                <w:color w:val="auto"/>
                <w:lang w:val="en-US" w:eastAsia="zh-CN"/>
              </w:rPr>
              <w:t>1.23</w:t>
            </w:r>
          </w:p>
        </w:tc>
      </w:tr>
      <w:tr w14:paraId="391420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28" w:type="dxa"/>
            <w:vAlign w:val="center"/>
          </w:tcPr>
          <w:p w14:paraId="733971A0">
            <w:pPr>
              <w:keepNext w:val="0"/>
              <w:keepLines w:val="0"/>
              <w:suppressLineNumbers w:val="0"/>
              <w:overflowPunct w:val="0"/>
              <w:autoSpaceDE w:val="0"/>
              <w:autoSpaceDN w:val="0"/>
              <w:spacing w:before="0" w:beforeAutospacing="0" w:after="0" w:afterAutospacing="0" w:line="240" w:lineRule="auto"/>
              <w:ind w:left="0" w:right="0" w:firstLine="0" w:firstLineChars="0"/>
              <w:jc w:val="center"/>
              <w:textAlignment w:val="bottom"/>
              <w:rPr>
                <w:rFonts w:hint="default"/>
                <w:color w:val="auto"/>
                <w:sz w:val="21"/>
                <w:szCs w:val="21"/>
              </w:rPr>
            </w:pPr>
            <w:r>
              <w:rPr>
                <w:rFonts w:hint="eastAsia"/>
                <w:color w:val="auto"/>
                <w:sz w:val="21"/>
                <w:szCs w:val="21"/>
              </w:rPr>
              <w:t>最大落地浓度距离（m）</w:t>
            </w:r>
          </w:p>
        </w:tc>
        <w:tc>
          <w:tcPr>
            <w:tcW w:w="3268" w:type="dxa"/>
            <w:gridSpan w:val="2"/>
            <w:vAlign w:val="center"/>
          </w:tcPr>
          <w:p w14:paraId="7DC8EB13">
            <w:pPr>
              <w:keepNext w:val="0"/>
              <w:keepLines w:val="0"/>
              <w:suppressLineNumbers w:val="0"/>
              <w:overflowPunct w:val="0"/>
              <w:autoSpaceDE w:val="0"/>
              <w:autoSpaceDN w:val="0"/>
              <w:spacing w:before="0" w:beforeAutospacing="0" w:after="0" w:afterAutospacing="0" w:line="240" w:lineRule="auto"/>
              <w:ind w:left="0" w:right="0" w:firstLine="0" w:firstLineChars="0"/>
              <w:jc w:val="center"/>
              <w:textAlignment w:val="bottom"/>
              <w:rPr>
                <w:rFonts w:hint="default"/>
                <w:color w:val="auto"/>
                <w:sz w:val="21"/>
                <w:szCs w:val="21"/>
              </w:rPr>
            </w:pPr>
            <w:r>
              <w:rPr>
                <w:rFonts w:hint="default"/>
                <w:color w:val="auto"/>
                <w:sz w:val="21"/>
                <w:szCs w:val="21"/>
              </w:rPr>
              <w:t>69</w:t>
            </w:r>
          </w:p>
        </w:tc>
        <w:tc>
          <w:tcPr>
            <w:tcW w:w="3308" w:type="dxa"/>
            <w:gridSpan w:val="2"/>
            <w:vAlign w:val="center"/>
          </w:tcPr>
          <w:p w14:paraId="1FEF4418">
            <w:pPr>
              <w:keepNext w:val="0"/>
              <w:keepLines w:val="0"/>
              <w:suppressLineNumbers w:val="0"/>
              <w:overflowPunct w:val="0"/>
              <w:autoSpaceDE w:val="0"/>
              <w:autoSpaceDN w:val="0"/>
              <w:spacing w:before="0" w:beforeAutospacing="0" w:after="0" w:afterAutospacing="0" w:line="240" w:lineRule="auto"/>
              <w:ind w:left="0" w:right="0" w:firstLine="0" w:firstLineChars="0"/>
              <w:jc w:val="center"/>
              <w:textAlignment w:val="bottom"/>
              <w:rPr>
                <w:rFonts w:hint="default"/>
                <w:color w:val="auto"/>
                <w:sz w:val="21"/>
                <w:szCs w:val="21"/>
              </w:rPr>
            </w:pPr>
            <w:r>
              <w:rPr>
                <w:rFonts w:hint="eastAsia"/>
                <w:color w:val="auto"/>
                <w:sz w:val="21"/>
                <w:szCs w:val="21"/>
              </w:rPr>
              <w:t>400</w:t>
            </w:r>
          </w:p>
        </w:tc>
      </w:tr>
    </w:tbl>
    <w:p w14:paraId="543D9773">
      <w:pPr>
        <w:ind w:firstLine="480"/>
        <w:rPr>
          <w:color w:val="auto"/>
        </w:rPr>
      </w:pPr>
      <w:r>
        <w:rPr>
          <w:color w:val="auto"/>
        </w:rPr>
        <w:t>本项目</w:t>
      </w:r>
      <w:r>
        <w:rPr>
          <w:rFonts w:hint="eastAsia"/>
          <w:color w:val="auto"/>
        </w:rPr>
        <w:t>最大</w:t>
      </w:r>
      <w:r>
        <w:rPr>
          <w:color w:val="auto"/>
        </w:rPr>
        <w:t>浓度</w:t>
      </w:r>
      <w:r>
        <w:rPr>
          <w:rFonts w:hint="eastAsia"/>
          <w:color w:val="auto"/>
        </w:rPr>
        <w:t>占标率为2.35%，</w:t>
      </w:r>
      <w:r>
        <w:rPr>
          <w:color w:val="auto"/>
        </w:rPr>
        <w:t>是装船作业时油气回收设施产生，C</w:t>
      </w:r>
      <w:r>
        <w:rPr>
          <w:color w:val="auto"/>
          <w:vertAlign w:val="subscript"/>
        </w:rPr>
        <w:t>max</w:t>
      </w:r>
      <w:r>
        <w:rPr>
          <w:color w:val="auto"/>
        </w:rPr>
        <w:t>为47.1</w:t>
      </w:r>
      <w:r>
        <w:rPr>
          <w:rFonts w:hint="eastAsia"/>
          <w:color w:val="auto"/>
        </w:rPr>
        <w:t>u</w:t>
      </w:r>
      <w:r>
        <w:rPr>
          <w:color w:val="auto"/>
        </w:rPr>
        <w:t>g/m</w:t>
      </w:r>
      <w:r>
        <w:rPr>
          <w:rFonts w:hint="eastAsia"/>
          <w:color w:val="auto"/>
          <w:vertAlign w:val="superscript"/>
        </w:rPr>
        <w:t>3</w:t>
      </w:r>
      <w:r>
        <w:rPr>
          <w:color w:val="auto"/>
        </w:rPr>
        <w:t>，在1%≤P</w:t>
      </w:r>
      <w:r>
        <w:rPr>
          <w:color w:val="auto"/>
          <w:vertAlign w:val="subscript"/>
        </w:rPr>
        <w:t>max</w:t>
      </w:r>
      <w:r>
        <w:rPr>
          <w:color w:val="auto"/>
        </w:rPr>
        <w:t>&lt;10%范围内，根据《</w:t>
      </w:r>
      <w:r>
        <w:rPr>
          <w:rFonts w:hint="eastAsia"/>
          <w:color w:val="auto"/>
        </w:rPr>
        <w:t>环境影响评价技术导则大气环境</w:t>
      </w:r>
      <w:r>
        <w:rPr>
          <w:color w:val="auto"/>
        </w:rPr>
        <w:t>》（HJ2.2-2018）分级判据，确定本项目大气环境影响评价工作等级为二级。二级评价项目可不进行进一步预测与评价，只对污染物排放量进行核算。</w:t>
      </w:r>
    </w:p>
    <w:p w14:paraId="1574E1F6">
      <w:pPr>
        <w:ind w:firstLine="480"/>
        <w:rPr>
          <w:color w:val="auto"/>
        </w:rPr>
      </w:pPr>
      <w:r>
        <w:rPr>
          <w:rFonts w:hint="eastAsia" w:cs="宋体"/>
          <w:bCs/>
          <w:color w:val="auto"/>
        </w:rPr>
        <w:t>扩建项目无组织</w:t>
      </w:r>
      <w:r>
        <w:rPr>
          <w:rFonts w:cs="宋体"/>
          <w:bCs/>
          <w:color w:val="auto"/>
        </w:rPr>
        <w:t>排放的</w:t>
      </w:r>
      <w:r>
        <w:rPr>
          <w:rFonts w:hint="eastAsia" w:cs="宋体"/>
          <w:bCs/>
          <w:color w:val="auto"/>
        </w:rPr>
        <w:t>非甲烷总烃经过</w:t>
      </w:r>
      <w:r>
        <w:rPr>
          <w:rFonts w:cs="宋体"/>
          <w:bCs/>
          <w:color w:val="auto"/>
        </w:rPr>
        <w:t>场外扩散后最大落地浓度19.1μ</w:t>
      </w:r>
      <w:r>
        <w:rPr>
          <w:rFonts w:hint="eastAsia"/>
          <w:color w:val="auto"/>
        </w:rPr>
        <w:t>g/m</w:t>
      </w:r>
      <w:r>
        <w:rPr>
          <w:rFonts w:hint="eastAsia"/>
          <w:color w:val="auto"/>
          <w:vertAlign w:val="superscript"/>
        </w:rPr>
        <w:t>3</w:t>
      </w:r>
      <w:r>
        <w:rPr>
          <w:rFonts w:hint="eastAsia"/>
          <w:color w:val="auto"/>
        </w:rPr>
        <w:t>，</w:t>
      </w:r>
      <w:r>
        <w:rPr>
          <w:color w:val="auto"/>
        </w:rPr>
        <w:t>项目厂界</w:t>
      </w:r>
      <w:r>
        <w:rPr>
          <w:rFonts w:hint="eastAsia"/>
          <w:color w:val="auto"/>
        </w:rPr>
        <w:t>非甲烷总烃</w:t>
      </w:r>
      <w:r>
        <w:rPr>
          <w:color w:val="auto"/>
        </w:rPr>
        <w:t>浓度</w:t>
      </w:r>
      <w:r>
        <w:rPr>
          <w:rFonts w:hint="eastAsia" w:cs="宋体"/>
          <w:bCs/>
          <w:color w:val="auto"/>
        </w:rPr>
        <w:t>均可</w:t>
      </w:r>
      <w:r>
        <w:rPr>
          <w:rFonts w:cs="宋体"/>
          <w:bCs/>
          <w:color w:val="auto"/>
        </w:rPr>
        <w:t>达到</w:t>
      </w:r>
      <w:r>
        <w:rPr>
          <w:rFonts w:hint="eastAsia"/>
          <w:color w:val="auto"/>
        </w:rPr>
        <w:t>《石油炼制工业污染物排放标准》（GB31570-2015，含2024年修改单）表5企业</w:t>
      </w:r>
      <w:r>
        <w:rPr>
          <w:color w:val="auto"/>
        </w:rPr>
        <w:t>边界</w:t>
      </w:r>
      <w:r>
        <w:rPr>
          <w:rFonts w:hint="eastAsia"/>
          <w:color w:val="auto"/>
        </w:rPr>
        <w:t>大气污染物浓度限值要求。</w:t>
      </w:r>
    </w:p>
    <w:p w14:paraId="59E7F676">
      <w:pPr>
        <w:ind w:firstLine="480"/>
        <w:rPr>
          <w:color w:val="auto"/>
        </w:rPr>
      </w:pPr>
      <w:r>
        <w:rPr>
          <w:rFonts w:hint="eastAsia"/>
          <w:color w:val="auto"/>
        </w:rPr>
        <w:t>（2）非正常工况下产生废气</w:t>
      </w:r>
    </w:p>
    <w:p w14:paraId="32E6E4FC">
      <w:pPr>
        <w:ind w:firstLine="480"/>
        <w:rPr>
          <w:color w:val="auto"/>
        </w:rPr>
      </w:pPr>
      <w:r>
        <w:rPr>
          <w:rFonts w:hint="eastAsia"/>
          <w:color w:val="auto"/>
        </w:rPr>
        <w:t>根据《环境影响评价技术导则大气环境》(HJ2.2-2018)，本项目非正常工况下排放主要是指生产过程中开停泵、设备检修、工艺设备运转异常等非正常工况下的污染物排放，以及污染物排放控制措施达不到应有效率等情况下的排放。</w:t>
      </w:r>
    </w:p>
    <w:p w14:paraId="5EEB6266">
      <w:pPr>
        <w:widowControl/>
        <w:ind w:firstLine="480"/>
        <w:rPr>
          <w:color w:val="auto"/>
        </w:rPr>
      </w:pPr>
      <w:r>
        <w:rPr>
          <w:rFonts w:hint="eastAsia"/>
          <w:color w:val="auto"/>
        </w:rPr>
        <w:t>本次</w:t>
      </w:r>
      <w:r>
        <w:rPr>
          <w:color w:val="auto"/>
        </w:rPr>
        <w:t>扩建项目</w:t>
      </w:r>
      <w:r>
        <w:rPr>
          <w:rFonts w:hint="eastAsia"/>
          <w:color w:val="auto"/>
        </w:rPr>
        <w:t>甲基</w:t>
      </w:r>
      <w:r>
        <w:rPr>
          <w:color w:val="auto"/>
        </w:rPr>
        <w:t>叔丁基醚</w:t>
      </w:r>
      <w:r>
        <w:rPr>
          <w:rFonts w:hint="eastAsia"/>
          <w:color w:val="auto"/>
        </w:rPr>
        <w:t>装船</w:t>
      </w:r>
      <w:r>
        <w:rPr>
          <w:color w:val="auto"/>
        </w:rPr>
        <w:t>过程产生的废气经过</w:t>
      </w:r>
      <w:r>
        <w:rPr>
          <w:rFonts w:hint="eastAsia"/>
          <w:color w:val="auto"/>
        </w:rPr>
        <w:t>汽油</w:t>
      </w:r>
      <w:r>
        <w:rPr>
          <w:color w:val="auto"/>
        </w:rPr>
        <w:t>装船油气回收设施处理后经排气筒排放，扩建项目非正常工况的废气</w:t>
      </w:r>
      <w:r>
        <w:rPr>
          <w:rFonts w:hint="eastAsia"/>
          <w:color w:val="auto"/>
        </w:rPr>
        <w:t>主要考虑汽油</w:t>
      </w:r>
      <w:r>
        <w:rPr>
          <w:color w:val="auto"/>
        </w:rPr>
        <w:t>装船油气回收设施</w:t>
      </w:r>
      <w:r>
        <w:rPr>
          <w:rFonts w:hint="eastAsia"/>
          <w:color w:val="auto"/>
        </w:rPr>
        <w:t>发生故障，导致</w:t>
      </w:r>
      <w:r>
        <w:rPr>
          <w:color w:val="auto"/>
        </w:rPr>
        <w:t>装船废气直接排放的情况</w:t>
      </w:r>
      <w:r>
        <w:rPr>
          <w:rFonts w:hint="eastAsia"/>
          <w:color w:val="auto"/>
        </w:rPr>
        <w:t>。</w:t>
      </w:r>
    </w:p>
    <w:p w14:paraId="072ACE81">
      <w:pPr>
        <w:widowControl/>
        <w:ind w:firstLine="480"/>
        <w:rPr>
          <w:color w:val="auto"/>
        </w:rPr>
      </w:pPr>
      <w:r>
        <w:rPr>
          <w:rFonts w:hint="eastAsia"/>
          <w:color w:val="auto"/>
        </w:rPr>
        <w:t>针对可能出现的废气环保设施非正常排放，建设单位应加强监测和管理，采取如下防范和监控措施：①加强日常的巡检及维护管理，定期检修，发现故障，及时维修；②为预防可能出现汽油装船油气回收设施失效情况，保证装置稳定、高效</w:t>
      </w:r>
      <w:r>
        <w:rPr>
          <w:rFonts w:hint="eastAsia"/>
          <w:color w:val="auto"/>
          <w:lang w:eastAsia="zh-CN"/>
        </w:rPr>
        <w:t>地</w:t>
      </w:r>
      <w:r>
        <w:rPr>
          <w:rFonts w:hint="eastAsia"/>
          <w:color w:val="auto"/>
        </w:rPr>
        <w:t>运行，定期更换活性炭。③当汽油装船油气回收设施发生故障时，暂时停止设备的运行，立即检修，待修复完成后再启动设备。</w:t>
      </w:r>
    </w:p>
    <w:p w14:paraId="1040F07A">
      <w:pPr>
        <w:ind w:firstLine="480"/>
        <w:rPr>
          <w:color w:val="auto"/>
        </w:rPr>
      </w:pPr>
      <w:r>
        <w:rPr>
          <w:color w:val="auto"/>
        </w:rPr>
        <w:t>（</w:t>
      </w:r>
      <w:r>
        <w:rPr>
          <w:rFonts w:hint="eastAsia"/>
          <w:color w:val="auto"/>
        </w:rPr>
        <w:t>3</w:t>
      </w:r>
      <w:r>
        <w:rPr>
          <w:color w:val="auto"/>
        </w:rPr>
        <w:t>）项目大气污染物年排放量核算</w:t>
      </w:r>
    </w:p>
    <w:p w14:paraId="265621FB">
      <w:pPr>
        <w:ind w:firstLine="480"/>
        <w:rPr>
          <w:color w:val="auto"/>
        </w:rPr>
      </w:pPr>
      <w:r>
        <w:rPr>
          <w:color w:val="auto"/>
        </w:rPr>
        <w:t>项目运营期间产生的大气污染物的排放方式为</w:t>
      </w:r>
      <w:r>
        <w:rPr>
          <w:rFonts w:hint="eastAsia"/>
          <w:color w:val="auto"/>
        </w:rPr>
        <w:t>有组织</w:t>
      </w:r>
      <w:r>
        <w:rPr>
          <w:color w:val="auto"/>
        </w:rPr>
        <w:t>排放和无组织排放。参照《</w:t>
      </w:r>
      <w:r>
        <w:rPr>
          <w:rFonts w:hint="eastAsia"/>
          <w:color w:val="auto"/>
        </w:rPr>
        <w:t>环境影响评价技术导则大气环境</w:t>
      </w:r>
      <w:r>
        <w:rPr>
          <w:color w:val="auto"/>
        </w:rPr>
        <w:t>》（HJ2.2-2018）附录C中的表</w:t>
      </w:r>
      <w:r>
        <w:rPr>
          <w:rFonts w:hint="eastAsia"/>
          <w:color w:val="auto"/>
        </w:rPr>
        <w:t>C.31和</w:t>
      </w:r>
      <w:r>
        <w:rPr>
          <w:color w:val="auto"/>
        </w:rPr>
        <w:t>C.32，大气污染物排放量核算表详见表</w:t>
      </w:r>
      <w:r>
        <w:rPr>
          <w:rFonts w:hint="eastAsia"/>
          <w:color w:val="auto"/>
        </w:rPr>
        <w:t>4.</w:t>
      </w:r>
      <w:r>
        <w:rPr>
          <w:color w:val="auto"/>
        </w:rPr>
        <w:t>1-8</w:t>
      </w:r>
      <w:r>
        <w:rPr>
          <w:rFonts w:hint="eastAsia"/>
          <w:color w:val="auto"/>
        </w:rPr>
        <w:t>。</w:t>
      </w:r>
    </w:p>
    <w:p w14:paraId="516273B9">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4.1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8</w:t>
      </w:r>
      <w:r>
        <w:rPr>
          <w:color w:val="auto"/>
        </w:rPr>
        <w:fldChar w:fldCharType="end"/>
      </w:r>
      <w:r>
        <w:rPr>
          <w:rFonts w:hint="eastAsia"/>
          <w:color w:val="auto"/>
        </w:rPr>
        <w:t>大气</w:t>
      </w:r>
      <w:r>
        <w:rPr>
          <w:color w:val="auto"/>
        </w:rPr>
        <w:t>污染物</w:t>
      </w:r>
      <w:r>
        <w:rPr>
          <w:rFonts w:hint="eastAsia"/>
          <w:color w:val="auto"/>
        </w:rPr>
        <w:t>有组织</w:t>
      </w:r>
      <w:r>
        <w:rPr>
          <w:color w:val="auto"/>
        </w:rPr>
        <w:t>排放量核算表</w:t>
      </w:r>
    </w:p>
    <w:tbl>
      <w:tblPr>
        <w:tblStyle w:val="44"/>
        <w:tblW w:w="92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276"/>
        <w:gridCol w:w="1417"/>
        <w:gridCol w:w="1991"/>
        <w:gridCol w:w="1978"/>
        <w:gridCol w:w="1701"/>
      </w:tblGrid>
      <w:tr w14:paraId="3592D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48FE5C5E">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序号</w:t>
            </w:r>
          </w:p>
        </w:tc>
        <w:tc>
          <w:tcPr>
            <w:tcW w:w="1276" w:type="dxa"/>
            <w:vAlign w:val="center"/>
          </w:tcPr>
          <w:p w14:paraId="612A6C05">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排放口</w:t>
            </w:r>
            <w:r>
              <w:rPr>
                <w:rFonts w:hint="default"/>
                <w:b/>
                <w:color w:val="auto"/>
              </w:rPr>
              <w:t>编号</w:t>
            </w:r>
          </w:p>
        </w:tc>
        <w:tc>
          <w:tcPr>
            <w:tcW w:w="1417" w:type="dxa"/>
            <w:vAlign w:val="center"/>
          </w:tcPr>
          <w:p w14:paraId="337EEEE8">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污染物</w:t>
            </w:r>
          </w:p>
        </w:tc>
        <w:tc>
          <w:tcPr>
            <w:tcW w:w="1991" w:type="dxa"/>
            <w:vAlign w:val="center"/>
          </w:tcPr>
          <w:p w14:paraId="27A0141F">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核算</w:t>
            </w:r>
            <w:r>
              <w:rPr>
                <w:rFonts w:hint="default"/>
                <w:b/>
                <w:color w:val="auto"/>
              </w:rPr>
              <w:t>排放浓度（</w:t>
            </w:r>
            <w:r>
              <w:rPr>
                <w:rFonts w:hint="eastAsia"/>
                <w:b/>
                <w:color w:val="auto"/>
              </w:rPr>
              <w:t>mg/m</w:t>
            </w:r>
            <w:r>
              <w:rPr>
                <w:rFonts w:hint="default"/>
                <w:b/>
                <w:color w:val="auto"/>
                <w:vertAlign w:val="superscript"/>
              </w:rPr>
              <w:t>3</w:t>
            </w:r>
            <w:r>
              <w:rPr>
                <w:rFonts w:hint="default"/>
                <w:b/>
                <w:color w:val="auto"/>
              </w:rPr>
              <w:t>）</w:t>
            </w:r>
          </w:p>
        </w:tc>
        <w:tc>
          <w:tcPr>
            <w:tcW w:w="1978" w:type="dxa"/>
            <w:vAlign w:val="center"/>
          </w:tcPr>
          <w:p w14:paraId="4330BAEF">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核算</w:t>
            </w:r>
            <w:r>
              <w:rPr>
                <w:rFonts w:hint="default"/>
                <w:b/>
                <w:color w:val="auto"/>
              </w:rPr>
              <w:t>排放速率（</w:t>
            </w:r>
            <w:r>
              <w:rPr>
                <w:rFonts w:hint="eastAsia"/>
                <w:b/>
                <w:color w:val="auto"/>
              </w:rPr>
              <w:t>kg/h</w:t>
            </w:r>
            <w:r>
              <w:rPr>
                <w:rFonts w:hint="default"/>
                <w:b/>
                <w:color w:val="auto"/>
              </w:rPr>
              <w:t>）</w:t>
            </w:r>
          </w:p>
        </w:tc>
        <w:tc>
          <w:tcPr>
            <w:tcW w:w="1701" w:type="dxa"/>
            <w:vAlign w:val="center"/>
          </w:tcPr>
          <w:p w14:paraId="3F803C37">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核算年排放量/（t/a）</w:t>
            </w:r>
          </w:p>
        </w:tc>
      </w:tr>
      <w:tr w14:paraId="27675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9" w:type="dxa"/>
            <w:gridSpan w:val="6"/>
            <w:vAlign w:val="center"/>
          </w:tcPr>
          <w:p w14:paraId="5D7D3501">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主要</w:t>
            </w:r>
            <w:r>
              <w:rPr>
                <w:rFonts w:hint="default"/>
                <w:color w:val="auto"/>
              </w:rPr>
              <w:t>排放口</w:t>
            </w:r>
          </w:p>
        </w:tc>
      </w:tr>
      <w:tr w14:paraId="41905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42E92F4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w:t>
            </w:r>
          </w:p>
        </w:tc>
        <w:tc>
          <w:tcPr>
            <w:tcW w:w="1276" w:type="dxa"/>
            <w:vAlign w:val="center"/>
          </w:tcPr>
          <w:p w14:paraId="06C764F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DA003</w:t>
            </w:r>
          </w:p>
        </w:tc>
        <w:tc>
          <w:tcPr>
            <w:tcW w:w="1417" w:type="dxa"/>
            <w:vAlign w:val="center"/>
          </w:tcPr>
          <w:p w14:paraId="2A7893E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非甲烷总烃</w:t>
            </w:r>
          </w:p>
        </w:tc>
        <w:tc>
          <w:tcPr>
            <w:tcW w:w="1991" w:type="dxa"/>
            <w:vAlign w:val="center"/>
          </w:tcPr>
          <w:p w14:paraId="6ECF8FC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2331.76</w:t>
            </w:r>
          </w:p>
        </w:tc>
        <w:tc>
          <w:tcPr>
            <w:tcW w:w="1978" w:type="dxa"/>
            <w:vAlign w:val="center"/>
          </w:tcPr>
          <w:p w14:paraId="2BCCF88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1.865</w:t>
            </w:r>
          </w:p>
        </w:tc>
        <w:tc>
          <w:tcPr>
            <w:tcW w:w="1701" w:type="dxa"/>
            <w:vAlign w:val="center"/>
          </w:tcPr>
          <w:p w14:paraId="716818E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1.26</w:t>
            </w:r>
          </w:p>
        </w:tc>
      </w:tr>
      <w:tr w14:paraId="5CBDB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gridSpan w:val="2"/>
            <w:vAlign w:val="center"/>
          </w:tcPr>
          <w:p w14:paraId="590297E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主要</w:t>
            </w:r>
            <w:r>
              <w:rPr>
                <w:rFonts w:hint="default"/>
                <w:color w:val="auto"/>
              </w:rPr>
              <w:t>排放口合计</w:t>
            </w:r>
          </w:p>
        </w:tc>
        <w:tc>
          <w:tcPr>
            <w:tcW w:w="5386" w:type="dxa"/>
            <w:gridSpan w:val="3"/>
            <w:vAlign w:val="center"/>
          </w:tcPr>
          <w:p w14:paraId="538A8AB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非甲烷总烃</w:t>
            </w:r>
          </w:p>
        </w:tc>
        <w:tc>
          <w:tcPr>
            <w:tcW w:w="1701" w:type="dxa"/>
            <w:vAlign w:val="center"/>
          </w:tcPr>
          <w:p w14:paraId="04F8ED8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1.26</w:t>
            </w:r>
          </w:p>
        </w:tc>
      </w:tr>
      <w:tr w14:paraId="3C225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9" w:type="dxa"/>
            <w:gridSpan w:val="6"/>
            <w:vAlign w:val="center"/>
          </w:tcPr>
          <w:p w14:paraId="761C70D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一般排放口</w:t>
            </w:r>
          </w:p>
        </w:tc>
      </w:tr>
      <w:tr w14:paraId="7C51E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0D7245D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c>
          <w:tcPr>
            <w:tcW w:w="1276" w:type="dxa"/>
            <w:vAlign w:val="center"/>
          </w:tcPr>
          <w:p w14:paraId="73EF304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c>
          <w:tcPr>
            <w:tcW w:w="1417" w:type="dxa"/>
            <w:vAlign w:val="center"/>
          </w:tcPr>
          <w:p w14:paraId="3A1D3EA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c>
          <w:tcPr>
            <w:tcW w:w="1991" w:type="dxa"/>
            <w:vAlign w:val="center"/>
          </w:tcPr>
          <w:p w14:paraId="0EF9ABE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c>
          <w:tcPr>
            <w:tcW w:w="1978" w:type="dxa"/>
            <w:vAlign w:val="center"/>
          </w:tcPr>
          <w:p w14:paraId="1B442325">
            <w:pPr>
              <w:pStyle w:val="91"/>
              <w:keepNext w:val="0"/>
              <w:keepLines w:val="0"/>
              <w:suppressLineNumbers w:val="0"/>
              <w:spacing w:before="0" w:beforeAutospacing="0" w:after="0" w:afterAutospacing="0"/>
              <w:ind w:left="0" w:right="0"/>
              <w:jc w:val="center"/>
              <w:rPr>
                <w:rFonts w:hint="default"/>
                <w:color w:val="auto"/>
              </w:rPr>
            </w:pPr>
          </w:p>
        </w:tc>
        <w:tc>
          <w:tcPr>
            <w:tcW w:w="1701" w:type="dxa"/>
            <w:vAlign w:val="center"/>
          </w:tcPr>
          <w:p w14:paraId="200509B3">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r>
      <w:tr w14:paraId="0F047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gridSpan w:val="2"/>
            <w:vAlign w:val="center"/>
          </w:tcPr>
          <w:p w14:paraId="6D3A5485">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一般排放口</w:t>
            </w:r>
            <w:r>
              <w:rPr>
                <w:rFonts w:hint="default"/>
                <w:color w:val="auto"/>
              </w:rPr>
              <w:t>合计</w:t>
            </w:r>
          </w:p>
        </w:tc>
        <w:tc>
          <w:tcPr>
            <w:tcW w:w="5386" w:type="dxa"/>
            <w:gridSpan w:val="3"/>
            <w:vAlign w:val="center"/>
          </w:tcPr>
          <w:p w14:paraId="71C956CB">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非甲烷总烃</w:t>
            </w:r>
          </w:p>
        </w:tc>
        <w:tc>
          <w:tcPr>
            <w:tcW w:w="1701" w:type="dxa"/>
            <w:vAlign w:val="center"/>
          </w:tcPr>
          <w:p w14:paraId="541399E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r>
      <w:tr w14:paraId="7B19C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9" w:type="dxa"/>
            <w:gridSpan w:val="6"/>
            <w:vAlign w:val="center"/>
          </w:tcPr>
          <w:p w14:paraId="3A30BEF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有组织</w:t>
            </w:r>
            <w:r>
              <w:rPr>
                <w:rFonts w:hint="default"/>
                <w:color w:val="auto"/>
              </w:rPr>
              <w:t>排放</w:t>
            </w:r>
          </w:p>
        </w:tc>
      </w:tr>
      <w:tr w14:paraId="4E062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gridSpan w:val="2"/>
            <w:vAlign w:val="center"/>
          </w:tcPr>
          <w:p w14:paraId="267B1A53">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有组织</w:t>
            </w:r>
            <w:r>
              <w:rPr>
                <w:rFonts w:hint="default"/>
                <w:color w:val="auto"/>
              </w:rPr>
              <w:t>排放总计</w:t>
            </w:r>
          </w:p>
        </w:tc>
        <w:tc>
          <w:tcPr>
            <w:tcW w:w="5386" w:type="dxa"/>
            <w:gridSpan w:val="3"/>
            <w:vAlign w:val="center"/>
          </w:tcPr>
          <w:p w14:paraId="5BADA88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非甲烷总烃</w:t>
            </w:r>
          </w:p>
        </w:tc>
        <w:tc>
          <w:tcPr>
            <w:tcW w:w="1701" w:type="dxa"/>
            <w:vAlign w:val="center"/>
          </w:tcPr>
          <w:p w14:paraId="3026729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1.26</w:t>
            </w:r>
          </w:p>
        </w:tc>
      </w:tr>
    </w:tbl>
    <w:p w14:paraId="5C48E2D7">
      <w:pPr>
        <w:spacing w:line="240" w:lineRule="auto"/>
        <w:ind w:firstLine="0" w:firstLineChars="0"/>
        <w:rPr>
          <w:color w:val="auto"/>
        </w:rPr>
      </w:pPr>
    </w:p>
    <w:p w14:paraId="73333F20">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4.1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9</w:t>
      </w:r>
      <w:r>
        <w:rPr>
          <w:color w:val="auto"/>
        </w:rPr>
        <w:fldChar w:fldCharType="end"/>
      </w:r>
      <w:r>
        <w:rPr>
          <w:rFonts w:hint="eastAsia"/>
          <w:color w:val="auto"/>
        </w:rPr>
        <w:t>大气污染物无组织排放量核算表</w:t>
      </w:r>
    </w:p>
    <w:tbl>
      <w:tblPr>
        <w:tblStyle w:val="43"/>
        <w:tblW w:w="918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540"/>
        <w:gridCol w:w="1263"/>
        <w:gridCol w:w="1189"/>
        <w:gridCol w:w="1643"/>
        <w:gridCol w:w="2356"/>
        <w:gridCol w:w="1288"/>
        <w:gridCol w:w="907"/>
      </w:tblGrid>
      <w:tr w14:paraId="617252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Merge w:val="restart"/>
            <w:vAlign w:val="center"/>
          </w:tcPr>
          <w:p w14:paraId="1009937B">
            <w:pPr>
              <w:pStyle w:val="91"/>
              <w:keepNext w:val="0"/>
              <w:keepLines w:val="0"/>
              <w:suppressLineNumbers w:val="0"/>
              <w:spacing w:before="0" w:beforeAutospacing="0" w:after="0" w:afterAutospacing="0"/>
              <w:ind w:left="0" w:right="0"/>
              <w:rPr>
                <w:rFonts w:hint="default"/>
                <w:b/>
                <w:color w:val="auto"/>
              </w:rPr>
            </w:pPr>
            <w:r>
              <w:rPr>
                <w:rFonts w:hint="eastAsia"/>
                <w:b/>
                <w:color w:val="auto"/>
              </w:rPr>
              <w:t>序号</w:t>
            </w:r>
          </w:p>
        </w:tc>
        <w:tc>
          <w:tcPr>
            <w:tcW w:w="1263" w:type="dxa"/>
            <w:vMerge w:val="restart"/>
            <w:vAlign w:val="center"/>
          </w:tcPr>
          <w:p w14:paraId="5A6B9C0A">
            <w:pPr>
              <w:pStyle w:val="91"/>
              <w:keepNext w:val="0"/>
              <w:keepLines w:val="0"/>
              <w:suppressLineNumbers w:val="0"/>
              <w:spacing w:before="0" w:beforeAutospacing="0" w:after="0" w:afterAutospacing="0"/>
              <w:ind w:left="0" w:right="0"/>
              <w:rPr>
                <w:rFonts w:hint="default"/>
                <w:b/>
                <w:color w:val="auto"/>
              </w:rPr>
            </w:pPr>
            <w:r>
              <w:rPr>
                <w:rFonts w:hint="eastAsia"/>
                <w:b/>
                <w:color w:val="auto"/>
              </w:rPr>
              <w:t>产污环节</w:t>
            </w:r>
          </w:p>
        </w:tc>
        <w:tc>
          <w:tcPr>
            <w:tcW w:w="1189" w:type="dxa"/>
            <w:vMerge w:val="restart"/>
            <w:vAlign w:val="center"/>
          </w:tcPr>
          <w:p w14:paraId="6D4E1AF9">
            <w:pPr>
              <w:pStyle w:val="91"/>
              <w:keepNext w:val="0"/>
              <w:keepLines w:val="0"/>
              <w:suppressLineNumbers w:val="0"/>
              <w:spacing w:before="0" w:beforeAutospacing="0" w:after="0" w:afterAutospacing="0"/>
              <w:ind w:left="0" w:right="0"/>
              <w:rPr>
                <w:rFonts w:hint="default"/>
                <w:b/>
                <w:color w:val="auto"/>
              </w:rPr>
            </w:pPr>
            <w:r>
              <w:rPr>
                <w:rFonts w:hint="eastAsia"/>
                <w:b/>
                <w:color w:val="auto"/>
              </w:rPr>
              <w:t>污染物</w:t>
            </w:r>
          </w:p>
        </w:tc>
        <w:tc>
          <w:tcPr>
            <w:tcW w:w="1643" w:type="dxa"/>
            <w:vMerge w:val="restart"/>
            <w:vAlign w:val="center"/>
          </w:tcPr>
          <w:p w14:paraId="686DBF83">
            <w:pPr>
              <w:pStyle w:val="91"/>
              <w:keepNext w:val="0"/>
              <w:keepLines w:val="0"/>
              <w:suppressLineNumbers w:val="0"/>
              <w:spacing w:before="0" w:beforeAutospacing="0" w:after="0" w:afterAutospacing="0"/>
              <w:ind w:left="0" w:right="0"/>
              <w:rPr>
                <w:rFonts w:hint="default"/>
                <w:b/>
                <w:color w:val="auto"/>
              </w:rPr>
            </w:pPr>
            <w:r>
              <w:rPr>
                <w:rFonts w:hint="eastAsia"/>
                <w:b/>
                <w:color w:val="auto"/>
              </w:rPr>
              <w:t>主要污染防治措施</w:t>
            </w:r>
          </w:p>
        </w:tc>
        <w:tc>
          <w:tcPr>
            <w:tcW w:w="3644" w:type="dxa"/>
            <w:gridSpan w:val="2"/>
            <w:vAlign w:val="center"/>
          </w:tcPr>
          <w:p w14:paraId="5558E492">
            <w:pPr>
              <w:pStyle w:val="91"/>
              <w:keepNext w:val="0"/>
              <w:keepLines w:val="0"/>
              <w:suppressLineNumbers w:val="0"/>
              <w:spacing w:before="0" w:beforeAutospacing="0" w:after="0" w:afterAutospacing="0"/>
              <w:ind w:left="0" w:right="0"/>
              <w:rPr>
                <w:rFonts w:hint="default"/>
                <w:b/>
                <w:color w:val="auto"/>
              </w:rPr>
            </w:pPr>
            <w:r>
              <w:rPr>
                <w:rFonts w:hint="eastAsia"/>
                <w:b/>
                <w:color w:val="auto"/>
              </w:rPr>
              <w:t>国家或地方污染物排放标准</w:t>
            </w:r>
          </w:p>
        </w:tc>
        <w:tc>
          <w:tcPr>
            <w:tcW w:w="907" w:type="dxa"/>
            <w:vMerge w:val="restart"/>
            <w:vAlign w:val="center"/>
          </w:tcPr>
          <w:p w14:paraId="4E45A907">
            <w:pPr>
              <w:pStyle w:val="91"/>
              <w:keepNext w:val="0"/>
              <w:keepLines w:val="0"/>
              <w:suppressLineNumbers w:val="0"/>
              <w:spacing w:before="0" w:beforeAutospacing="0" w:after="0" w:afterAutospacing="0"/>
              <w:ind w:left="0" w:right="0"/>
              <w:rPr>
                <w:rFonts w:hint="default"/>
                <w:b/>
                <w:color w:val="auto"/>
              </w:rPr>
            </w:pPr>
            <w:r>
              <w:rPr>
                <w:rFonts w:hint="eastAsia"/>
                <w:b/>
                <w:color w:val="auto"/>
              </w:rPr>
              <w:t>年排放量/（t/a）</w:t>
            </w:r>
          </w:p>
        </w:tc>
      </w:tr>
      <w:tr w14:paraId="4361B5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blHeader/>
          <w:jc w:val="center"/>
        </w:trPr>
        <w:tc>
          <w:tcPr>
            <w:tcW w:w="540" w:type="dxa"/>
            <w:vMerge w:val="continue"/>
            <w:vAlign w:val="center"/>
          </w:tcPr>
          <w:p w14:paraId="79CB345F">
            <w:pPr>
              <w:pStyle w:val="91"/>
              <w:keepNext w:val="0"/>
              <w:keepLines w:val="0"/>
              <w:suppressLineNumbers w:val="0"/>
              <w:spacing w:before="0" w:beforeAutospacing="0" w:after="0" w:afterAutospacing="0"/>
              <w:ind w:left="0" w:right="0"/>
              <w:rPr>
                <w:rFonts w:hint="default"/>
                <w:color w:val="auto"/>
              </w:rPr>
            </w:pPr>
          </w:p>
        </w:tc>
        <w:tc>
          <w:tcPr>
            <w:tcW w:w="1263" w:type="dxa"/>
            <w:vMerge w:val="continue"/>
            <w:vAlign w:val="center"/>
          </w:tcPr>
          <w:p w14:paraId="03A524C4">
            <w:pPr>
              <w:pStyle w:val="91"/>
              <w:keepNext w:val="0"/>
              <w:keepLines w:val="0"/>
              <w:suppressLineNumbers w:val="0"/>
              <w:spacing w:before="0" w:beforeAutospacing="0" w:after="0" w:afterAutospacing="0"/>
              <w:ind w:left="0" w:right="0"/>
              <w:rPr>
                <w:rFonts w:hint="default"/>
                <w:color w:val="auto"/>
              </w:rPr>
            </w:pPr>
          </w:p>
        </w:tc>
        <w:tc>
          <w:tcPr>
            <w:tcW w:w="1189" w:type="dxa"/>
            <w:vMerge w:val="continue"/>
            <w:vAlign w:val="center"/>
          </w:tcPr>
          <w:p w14:paraId="7180173E">
            <w:pPr>
              <w:pStyle w:val="91"/>
              <w:keepNext w:val="0"/>
              <w:keepLines w:val="0"/>
              <w:suppressLineNumbers w:val="0"/>
              <w:spacing w:before="0" w:beforeAutospacing="0" w:after="0" w:afterAutospacing="0"/>
              <w:ind w:left="0" w:right="0"/>
              <w:rPr>
                <w:rFonts w:hint="default"/>
                <w:color w:val="auto"/>
              </w:rPr>
            </w:pPr>
          </w:p>
        </w:tc>
        <w:tc>
          <w:tcPr>
            <w:tcW w:w="1643" w:type="dxa"/>
            <w:vMerge w:val="continue"/>
            <w:vAlign w:val="center"/>
          </w:tcPr>
          <w:p w14:paraId="5A088D86">
            <w:pPr>
              <w:pStyle w:val="91"/>
              <w:keepNext w:val="0"/>
              <w:keepLines w:val="0"/>
              <w:suppressLineNumbers w:val="0"/>
              <w:spacing w:before="0" w:beforeAutospacing="0" w:after="0" w:afterAutospacing="0"/>
              <w:ind w:left="0" w:right="0"/>
              <w:rPr>
                <w:rFonts w:hint="default"/>
                <w:color w:val="auto"/>
              </w:rPr>
            </w:pPr>
          </w:p>
        </w:tc>
        <w:tc>
          <w:tcPr>
            <w:tcW w:w="2356" w:type="dxa"/>
            <w:vAlign w:val="center"/>
          </w:tcPr>
          <w:p w14:paraId="152A2C04">
            <w:pPr>
              <w:pStyle w:val="91"/>
              <w:keepNext w:val="0"/>
              <w:keepLines w:val="0"/>
              <w:suppressLineNumbers w:val="0"/>
              <w:spacing w:before="0" w:beforeAutospacing="0" w:after="0" w:afterAutospacing="0"/>
              <w:ind w:left="0" w:right="0"/>
              <w:rPr>
                <w:rFonts w:hint="default"/>
                <w:b/>
                <w:color w:val="auto"/>
              </w:rPr>
            </w:pPr>
            <w:r>
              <w:rPr>
                <w:rFonts w:hint="eastAsia"/>
                <w:b/>
                <w:color w:val="auto"/>
              </w:rPr>
              <w:t>标准名称</w:t>
            </w:r>
          </w:p>
        </w:tc>
        <w:tc>
          <w:tcPr>
            <w:tcW w:w="1288" w:type="dxa"/>
            <w:vAlign w:val="center"/>
          </w:tcPr>
          <w:p w14:paraId="0DE7633B">
            <w:pPr>
              <w:pStyle w:val="91"/>
              <w:keepNext w:val="0"/>
              <w:keepLines w:val="0"/>
              <w:suppressLineNumbers w:val="0"/>
              <w:spacing w:before="0" w:beforeAutospacing="0" w:after="0" w:afterAutospacing="0"/>
              <w:ind w:left="0" w:right="0"/>
              <w:rPr>
                <w:rFonts w:hint="default"/>
                <w:b/>
                <w:color w:val="auto"/>
              </w:rPr>
            </w:pPr>
            <w:r>
              <w:rPr>
                <w:rFonts w:hint="eastAsia"/>
                <w:b/>
                <w:color w:val="auto"/>
              </w:rPr>
              <w:t>浓度限值</w:t>
            </w:r>
          </w:p>
        </w:tc>
        <w:tc>
          <w:tcPr>
            <w:tcW w:w="907" w:type="dxa"/>
            <w:vMerge w:val="continue"/>
            <w:vAlign w:val="center"/>
          </w:tcPr>
          <w:p w14:paraId="00D696BE">
            <w:pPr>
              <w:pStyle w:val="91"/>
              <w:keepNext w:val="0"/>
              <w:keepLines w:val="0"/>
              <w:suppressLineNumbers w:val="0"/>
              <w:spacing w:before="0" w:beforeAutospacing="0" w:after="0" w:afterAutospacing="0"/>
              <w:ind w:left="0" w:right="0"/>
              <w:rPr>
                <w:rFonts w:hint="default"/>
                <w:color w:val="auto"/>
              </w:rPr>
            </w:pPr>
          </w:p>
        </w:tc>
      </w:tr>
      <w:tr w14:paraId="58D7FF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Align w:val="center"/>
          </w:tcPr>
          <w:p w14:paraId="16778F6C">
            <w:pPr>
              <w:pStyle w:val="91"/>
              <w:keepNext w:val="0"/>
              <w:keepLines w:val="0"/>
              <w:suppressLineNumbers w:val="0"/>
              <w:spacing w:before="0" w:beforeAutospacing="0" w:after="0" w:afterAutospacing="0"/>
              <w:ind w:left="0" w:right="0"/>
              <w:rPr>
                <w:rFonts w:hint="default"/>
                <w:color w:val="auto"/>
              </w:rPr>
            </w:pPr>
            <w:r>
              <w:rPr>
                <w:rFonts w:hint="eastAsia"/>
                <w:color w:val="auto"/>
              </w:rPr>
              <w:t>1</w:t>
            </w:r>
          </w:p>
        </w:tc>
        <w:tc>
          <w:tcPr>
            <w:tcW w:w="1263" w:type="dxa"/>
            <w:vAlign w:val="center"/>
          </w:tcPr>
          <w:p w14:paraId="03C5F0FD">
            <w:pPr>
              <w:pStyle w:val="91"/>
              <w:keepNext w:val="0"/>
              <w:keepLines w:val="0"/>
              <w:suppressLineNumbers w:val="0"/>
              <w:spacing w:before="0" w:beforeAutospacing="0" w:after="0" w:afterAutospacing="0"/>
              <w:ind w:left="0" w:right="0"/>
              <w:rPr>
                <w:rFonts w:hint="default"/>
                <w:color w:val="auto"/>
              </w:rPr>
            </w:pPr>
            <w:r>
              <w:rPr>
                <w:rFonts w:hint="eastAsia"/>
                <w:color w:val="auto"/>
              </w:rPr>
              <w:t>装卸过程密封点</w:t>
            </w:r>
            <w:r>
              <w:rPr>
                <w:rFonts w:hint="default"/>
                <w:color w:val="auto"/>
              </w:rPr>
              <w:t>废气</w:t>
            </w:r>
          </w:p>
        </w:tc>
        <w:tc>
          <w:tcPr>
            <w:tcW w:w="1189" w:type="dxa"/>
            <w:vAlign w:val="center"/>
          </w:tcPr>
          <w:p w14:paraId="5BBAC9B7">
            <w:pPr>
              <w:pStyle w:val="91"/>
              <w:keepNext w:val="0"/>
              <w:keepLines w:val="0"/>
              <w:suppressLineNumbers w:val="0"/>
              <w:spacing w:before="0" w:beforeAutospacing="0" w:after="0" w:afterAutospacing="0"/>
              <w:ind w:left="0" w:right="0"/>
              <w:rPr>
                <w:rFonts w:hint="default"/>
                <w:color w:val="auto"/>
              </w:rPr>
            </w:pPr>
            <w:r>
              <w:rPr>
                <w:rFonts w:hint="eastAsia"/>
                <w:color w:val="auto"/>
              </w:rPr>
              <w:t>非甲烷总烃</w:t>
            </w:r>
          </w:p>
        </w:tc>
        <w:tc>
          <w:tcPr>
            <w:tcW w:w="1643" w:type="dxa"/>
            <w:vAlign w:val="center"/>
          </w:tcPr>
          <w:p w14:paraId="27D946FA">
            <w:pPr>
              <w:pStyle w:val="91"/>
              <w:keepNext w:val="0"/>
              <w:keepLines w:val="0"/>
              <w:suppressLineNumbers w:val="0"/>
              <w:spacing w:before="0" w:beforeAutospacing="0" w:after="0" w:afterAutospacing="0"/>
              <w:ind w:left="0" w:right="0"/>
              <w:rPr>
                <w:rFonts w:hint="default"/>
                <w:color w:val="auto"/>
              </w:rPr>
            </w:pPr>
            <w:r>
              <w:rPr>
                <w:rFonts w:hint="eastAsia"/>
                <w:color w:val="auto"/>
              </w:rPr>
              <w:t>自然扩散</w:t>
            </w:r>
          </w:p>
        </w:tc>
        <w:tc>
          <w:tcPr>
            <w:tcW w:w="2356" w:type="dxa"/>
            <w:vMerge w:val="restart"/>
            <w:vAlign w:val="center"/>
          </w:tcPr>
          <w:p w14:paraId="5584A1F6">
            <w:pPr>
              <w:pStyle w:val="91"/>
              <w:keepNext w:val="0"/>
              <w:keepLines w:val="0"/>
              <w:suppressLineNumbers w:val="0"/>
              <w:spacing w:before="0" w:beforeAutospacing="0" w:after="0" w:afterAutospacing="0"/>
              <w:ind w:left="0" w:right="0"/>
              <w:rPr>
                <w:rFonts w:hint="default"/>
                <w:color w:val="auto"/>
              </w:rPr>
            </w:pPr>
            <w:r>
              <w:rPr>
                <w:rFonts w:hint="eastAsia"/>
                <w:color w:val="auto"/>
              </w:rPr>
              <w:t>《</w:t>
            </w:r>
            <w:r>
              <w:rPr>
                <w:rFonts w:hint="eastAsia"/>
                <w:color w:val="auto"/>
                <w:u w:val="single"/>
              </w:rPr>
              <w:t>储油库大气污染物排放标准》</w:t>
            </w:r>
            <w:r>
              <w:rPr>
                <w:rFonts w:hint="eastAsia"/>
                <w:color w:val="auto"/>
                <w:u w:val="single"/>
                <w:lang w:val="en-US" w:eastAsia="zh-CN"/>
              </w:rPr>
              <w:t>(</w:t>
            </w:r>
            <w:r>
              <w:rPr>
                <w:rFonts w:hint="eastAsia"/>
                <w:color w:val="auto"/>
                <w:u w:val="single"/>
              </w:rPr>
              <w:t>GB20950-2020）</w:t>
            </w:r>
          </w:p>
        </w:tc>
        <w:tc>
          <w:tcPr>
            <w:tcW w:w="1288" w:type="dxa"/>
            <w:vAlign w:val="center"/>
          </w:tcPr>
          <w:p w14:paraId="5C463C99">
            <w:pPr>
              <w:pStyle w:val="91"/>
              <w:keepNext w:val="0"/>
              <w:keepLines w:val="0"/>
              <w:suppressLineNumbers w:val="0"/>
              <w:spacing w:before="0" w:beforeAutospacing="0" w:after="0" w:afterAutospacing="0"/>
              <w:ind w:left="0" w:right="0"/>
              <w:rPr>
                <w:rFonts w:hint="default"/>
                <w:color w:val="auto"/>
              </w:rPr>
            </w:pPr>
            <w:r>
              <w:rPr>
                <w:rFonts w:hint="eastAsia"/>
                <w:color w:val="auto"/>
              </w:rPr>
              <w:t>4.0</w:t>
            </w:r>
            <w:r>
              <w:rPr>
                <w:rFonts w:hint="default"/>
                <w:color w:val="auto"/>
              </w:rPr>
              <w:t>mg/m</w:t>
            </w:r>
            <w:r>
              <w:rPr>
                <w:rFonts w:hint="default"/>
                <w:color w:val="auto"/>
                <w:vertAlign w:val="superscript"/>
              </w:rPr>
              <w:t>3</w:t>
            </w:r>
          </w:p>
        </w:tc>
        <w:tc>
          <w:tcPr>
            <w:tcW w:w="907" w:type="dxa"/>
            <w:vAlign w:val="center"/>
          </w:tcPr>
          <w:p w14:paraId="0D8F9872">
            <w:pPr>
              <w:keepNext w:val="0"/>
              <w:keepLines w:val="0"/>
              <w:suppressLineNumbers w:val="0"/>
              <w:spacing w:before="0" w:beforeAutospacing="0" w:after="0" w:afterAutospacing="0" w:line="240" w:lineRule="exact"/>
              <w:ind w:left="0" w:right="0" w:firstLine="0" w:firstLineChars="0"/>
              <w:jc w:val="center"/>
              <w:rPr>
                <w:rFonts w:hint="default"/>
                <w:color w:val="auto"/>
                <w:sz w:val="21"/>
                <w:szCs w:val="21"/>
              </w:rPr>
            </w:pPr>
            <w:r>
              <w:rPr>
                <w:rFonts w:hint="eastAsia"/>
                <w:color w:val="auto"/>
                <w:sz w:val="21"/>
                <w:szCs w:val="21"/>
              </w:rPr>
              <w:t>0.</w:t>
            </w:r>
            <w:r>
              <w:rPr>
                <w:rFonts w:hint="default"/>
                <w:color w:val="auto"/>
                <w:sz w:val="21"/>
                <w:szCs w:val="21"/>
              </w:rPr>
              <w:t>904</w:t>
            </w:r>
          </w:p>
        </w:tc>
      </w:tr>
      <w:tr w14:paraId="1F3421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Align w:val="center"/>
          </w:tcPr>
          <w:p w14:paraId="7167BF58">
            <w:pPr>
              <w:pStyle w:val="91"/>
              <w:keepNext w:val="0"/>
              <w:keepLines w:val="0"/>
              <w:suppressLineNumbers w:val="0"/>
              <w:spacing w:before="0" w:beforeAutospacing="0" w:after="0" w:afterAutospacing="0"/>
              <w:ind w:left="0" w:right="0"/>
              <w:rPr>
                <w:rFonts w:hint="default"/>
                <w:color w:val="auto"/>
              </w:rPr>
            </w:pPr>
            <w:r>
              <w:rPr>
                <w:rFonts w:hint="eastAsia"/>
                <w:color w:val="auto"/>
              </w:rPr>
              <w:t>2</w:t>
            </w:r>
          </w:p>
        </w:tc>
        <w:tc>
          <w:tcPr>
            <w:tcW w:w="1263" w:type="dxa"/>
            <w:vAlign w:val="center"/>
          </w:tcPr>
          <w:p w14:paraId="34247A4C">
            <w:pPr>
              <w:pStyle w:val="91"/>
              <w:keepNext w:val="0"/>
              <w:keepLines w:val="0"/>
              <w:suppressLineNumbers w:val="0"/>
              <w:spacing w:before="0" w:beforeAutospacing="0" w:after="0" w:afterAutospacing="0"/>
              <w:ind w:left="0" w:right="0"/>
              <w:rPr>
                <w:rFonts w:hint="default"/>
                <w:color w:val="auto"/>
              </w:rPr>
            </w:pPr>
            <w:r>
              <w:rPr>
                <w:rFonts w:hint="eastAsia"/>
                <w:color w:val="auto"/>
              </w:rPr>
              <w:t>储存</w:t>
            </w:r>
          </w:p>
        </w:tc>
        <w:tc>
          <w:tcPr>
            <w:tcW w:w="1189" w:type="dxa"/>
            <w:vAlign w:val="center"/>
          </w:tcPr>
          <w:p w14:paraId="76747BAA">
            <w:pPr>
              <w:pStyle w:val="91"/>
              <w:keepNext w:val="0"/>
              <w:keepLines w:val="0"/>
              <w:suppressLineNumbers w:val="0"/>
              <w:spacing w:before="0" w:beforeAutospacing="0" w:after="0" w:afterAutospacing="0"/>
              <w:ind w:left="0" w:right="0"/>
              <w:rPr>
                <w:rFonts w:hint="default"/>
                <w:color w:val="auto"/>
              </w:rPr>
            </w:pPr>
            <w:r>
              <w:rPr>
                <w:rFonts w:hint="eastAsia"/>
                <w:color w:val="auto"/>
              </w:rPr>
              <w:t>非甲烷总烃</w:t>
            </w:r>
          </w:p>
        </w:tc>
        <w:tc>
          <w:tcPr>
            <w:tcW w:w="1643" w:type="dxa"/>
            <w:vAlign w:val="center"/>
          </w:tcPr>
          <w:p w14:paraId="6DB92297">
            <w:pPr>
              <w:pStyle w:val="91"/>
              <w:keepNext w:val="0"/>
              <w:keepLines w:val="0"/>
              <w:suppressLineNumbers w:val="0"/>
              <w:spacing w:before="0" w:beforeAutospacing="0" w:after="0" w:afterAutospacing="0"/>
              <w:ind w:left="0" w:right="0"/>
              <w:rPr>
                <w:rFonts w:hint="default"/>
                <w:color w:val="auto"/>
              </w:rPr>
            </w:pPr>
            <w:r>
              <w:rPr>
                <w:rFonts w:hint="eastAsia"/>
                <w:color w:val="auto"/>
              </w:rPr>
              <w:t>氮封</w:t>
            </w:r>
            <w:r>
              <w:rPr>
                <w:rFonts w:hint="default"/>
                <w:color w:val="auto"/>
              </w:rPr>
              <w:t>、</w:t>
            </w:r>
            <w:r>
              <w:rPr>
                <w:rFonts w:hint="eastAsia"/>
                <w:color w:val="auto"/>
              </w:rPr>
              <w:t>自然扩散</w:t>
            </w:r>
          </w:p>
        </w:tc>
        <w:tc>
          <w:tcPr>
            <w:tcW w:w="2356" w:type="dxa"/>
            <w:vMerge w:val="continue"/>
            <w:vAlign w:val="center"/>
          </w:tcPr>
          <w:p w14:paraId="7270E22E">
            <w:pPr>
              <w:pStyle w:val="91"/>
              <w:keepNext w:val="0"/>
              <w:keepLines w:val="0"/>
              <w:suppressLineNumbers w:val="0"/>
              <w:spacing w:before="0" w:beforeAutospacing="0" w:after="0" w:afterAutospacing="0"/>
              <w:ind w:left="0" w:right="0"/>
              <w:rPr>
                <w:rFonts w:hint="default"/>
                <w:color w:val="auto"/>
              </w:rPr>
            </w:pPr>
          </w:p>
        </w:tc>
        <w:tc>
          <w:tcPr>
            <w:tcW w:w="1288" w:type="dxa"/>
            <w:vAlign w:val="center"/>
          </w:tcPr>
          <w:p w14:paraId="6FA1EB21">
            <w:pPr>
              <w:pStyle w:val="91"/>
              <w:keepNext w:val="0"/>
              <w:keepLines w:val="0"/>
              <w:suppressLineNumbers w:val="0"/>
              <w:spacing w:before="0" w:beforeAutospacing="0" w:after="0" w:afterAutospacing="0"/>
              <w:ind w:left="0" w:right="0"/>
              <w:rPr>
                <w:rFonts w:hint="default"/>
                <w:color w:val="auto"/>
              </w:rPr>
            </w:pPr>
            <w:r>
              <w:rPr>
                <w:rFonts w:hint="default"/>
                <w:color w:val="auto"/>
              </w:rPr>
              <w:t>4mg/m</w:t>
            </w:r>
            <w:r>
              <w:rPr>
                <w:rFonts w:hint="default"/>
                <w:color w:val="auto"/>
                <w:vertAlign w:val="superscript"/>
              </w:rPr>
              <w:t>3</w:t>
            </w:r>
          </w:p>
        </w:tc>
        <w:tc>
          <w:tcPr>
            <w:tcW w:w="907" w:type="dxa"/>
            <w:vAlign w:val="center"/>
          </w:tcPr>
          <w:p w14:paraId="31C64AE6">
            <w:pPr>
              <w:keepNext w:val="0"/>
              <w:keepLines w:val="0"/>
              <w:suppressLineNumbers w:val="0"/>
              <w:spacing w:before="0" w:beforeAutospacing="0" w:after="0" w:afterAutospacing="0" w:line="240" w:lineRule="exact"/>
              <w:ind w:left="0" w:right="0" w:firstLine="0" w:firstLineChars="0"/>
              <w:jc w:val="center"/>
              <w:rPr>
                <w:rFonts w:hint="default" w:eastAsia="等线"/>
                <w:color w:val="auto"/>
                <w:sz w:val="21"/>
                <w:szCs w:val="21"/>
              </w:rPr>
            </w:pPr>
            <w:r>
              <w:rPr>
                <w:rFonts w:hint="default" w:eastAsia="等线"/>
                <w:color w:val="auto"/>
                <w:sz w:val="21"/>
                <w:szCs w:val="21"/>
              </w:rPr>
              <w:t>4.23</w:t>
            </w:r>
          </w:p>
        </w:tc>
      </w:tr>
      <w:tr w14:paraId="37CEB3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Merge w:val="restart"/>
            <w:vAlign w:val="center"/>
          </w:tcPr>
          <w:p w14:paraId="2DF29A67">
            <w:pPr>
              <w:pStyle w:val="91"/>
              <w:keepNext w:val="0"/>
              <w:keepLines w:val="0"/>
              <w:suppressLineNumbers w:val="0"/>
              <w:spacing w:before="0" w:beforeAutospacing="0" w:after="0" w:afterAutospacing="0"/>
              <w:ind w:left="0" w:right="0"/>
              <w:rPr>
                <w:rFonts w:hint="default"/>
                <w:color w:val="auto"/>
              </w:rPr>
            </w:pPr>
            <w:r>
              <w:rPr>
                <w:rFonts w:hint="eastAsia"/>
                <w:color w:val="auto"/>
              </w:rPr>
              <w:t>3</w:t>
            </w:r>
          </w:p>
        </w:tc>
        <w:tc>
          <w:tcPr>
            <w:tcW w:w="1263" w:type="dxa"/>
            <w:vMerge w:val="restart"/>
            <w:vAlign w:val="center"/>
          </w:tcPr>
          <w:p w14:paraId="4F1A326A">
            <w:pPr>
              <w:pStyle w:val="91"/>
              <w:keepNext w:val="0"/>
              <w:keepLines w:val="0"/>
              <w:suppressLineNumbers w:val="0"/>
              <w:spacing w:before="0" w:beforeAutospacing="0" w:after="0" w:afterAutospacing="0"/>
              <w:ind w:left="0" w:right="0"/>
              <w:rPr>
                <w:rFonts w:hint="default"/>
                <w:color w:val="auto"/>
              </w:rPr>
            </w:pPr>
            <w:r>
              <w:rPr>
                <w:rFonts w:hint="eastAsia"/>
                <w:color w:val="auto"/>
              </w:rPr>
              <w:t>船舶废气</w:t>
            </w:r>
          </w:p>
        </w:tc>
        <w:tc>
          <w:tcPr>
            <w:tcW w:w="1189" w:type="dxa"/>
            <w:vAlign w:val="center"/>
          </w:tcPr>
          <w:p w14:paraId="3B0CF3E9">
            <w:pPr>
              <w:pStyle w:val="91"/>
              <w:keepNext w:val="0"/>
              <w:keepLines w:val="0"/>
              <w:suppressLineNumbers w:val="0"/>
              <w:spacing w:before="0" w:beforeAutospacing="0" w:after="0" w:afterAutospacing="0"/>
              <w:ind w:left="0" w:right="0"/>
              <w:rPr>
                <w:rFonts w:hint="default"/>
                <w:color w:val="auto"/>
              </w:rPr>
            </w:pPr>
            <w:r>
              <w:rPr>
                <w:rFonts w:hint="eastAsia"/>
                <w:color w:val="auto"/>
              </w:rPr>
              <w:t>SO</w:t>
            </w:r>
            <w:r>
              <w:rPr>
                <w:rFonts w:hint="eastAsia"/>
                <w:color w:val="auto"/>
                <w:vertAlign w:val="subscript"/>
              </w:rPr>
              <w:t>2</w:t>
            </w:r>
          </w:p>
        </w:tc>
        <w:tc>
          <w:tcPr>
            <w:tcW w:w="1643" w:type="dxa"/>
            <w:vMerge w:val="restart"/>
            <w:vAlign w:val="center"/>
          </w:tcPr>
          <w:p w14:paraId="7AF5FE98">
            <w:pPr>
              <w:pStyle w:val="91"/>
              <w:keepNext w:val="0"/>
              <w:keepLines w:val="0"/>
              <w:suppressLineNumbers w:val="0"/>
              <w:spacing w:before="0" w:beforeAutospacing="0" w:after="0" w:afterAutospacing="0"/>
              <w:ind w:left="0" w:right="0"/>
              <w:rPr>
                <w:rFonts w:hint="default"/>
                <w:color w:val="auto"/>
              </w:rPr>
            </w:pPr>
            <w:r>
              <w:rPr>
                <w:rFonts w:hint="eastAsia"/>
                <w:color w:val="auto"/>
              </w:rPr>
              <w:t>自然扩散</w:t>
            </w:r>
          </w:p>
        </w:tc>
        <w:tc>
          <w:tcPr>
            <w:tcW w:w="2356" w:type="dxa"/>
            <w:vMerge w:val="restart"/>
            <w:vAlign w:val="center"/>
          </w:tcPr>
          <w:p w14:paraId="4A34FBF6">
            <w:pPr>
              <w:pStyle w:val="91"/>
              <w:keepNext w:val="0"/>
              <w:keepLines w:val="0"/>
              <w:suppressLineNumbers w:val="0"/>
              <w:spacing w:before="0" w:beforeAutospacing="0" w:after="0" w:afterAutospacing="0"/>
              <w:ind w:left="0" w:right="0"/>
              <w:rPr>
                <w:rFonts w:hint="default"/>
                <w:color w:val="auto"/>
              </w:rPr>
            </w:pPr>
            <w:r>
              <w:rPr>
                <w:rFonts w:hint="eastAsia"/>
                <w:color w:val="auto"/>
              </w:rPr>
              <w:t>《大气污染物综合排放标准》（GB16297-1996）</w:t>
            </w:r>
          </w:p>
        </w:tc>
        <w:tc>
          <w:tcPr>
            <w:tcW w:w="1288" w:type="dxa"/>
            <w:vAlign w:val="center"/>
          </w:tcPr>
          <w:p w14:paraId="6DB2F830">
            <w:pPr>
              <w:pStyle w:val="91"/>
              <w:keepNext w:val="0"/>
              <w:keepLines w:val="0"/>
              <w:suppressLineNumbers w:val="0"/>
              <w:spacing w:before="0" w:beforeAutospacing="0" w:after="0" w:afterAutospacing="0"/>
              <w:ind w:left="0" w:right="0"/>
              <w:rPr>
                <w:rFonts w:hint="default"/>
                <w:color w:val="auto"/>
              </w:rPr>
            </w:pPr>
            <w:r>
              <w:rPr>
                <w:rFonts w:hint="eastAsia"/>
                <w:color w:val="auto"/>
              </w:rPr>
              <w:t>0.4</w:t>
            </w:r>
            <w:r>
              <w:rPr>
                <w:rFonts w:hint="default"/>
                <w:color w:val="auto"/>
              </w:rPr>
              <w:t>mg/m</w:t>
            </w:r>
            <w:r>
              <w:rPr>
                <w:rFonts w:hint="default"/>
                <w:color w:val="auto"/>
                <w:vertAlign w:val="superscript"/>
              </w:rPr>
              <w:t>3</w:t>
            </w:r>
          </w:p>
        </w:tc>
        <w:tc>
          <w:tcPr>
            <w:tcW w:w="907" w:type="dxa"/>
            <w:vAlign w:val="center"/>
          </w:tcPr>
          <w:p w14:paraId="05E831E4">
            <w:pPr>
              <w:keepNext w:val="0"/>
              <w:keepLines w:val="0"/>
              <w:suppressLineNumbers w:val="0"/>
              <w:spacing w:before="0" w:beforeAutospacing="0" w:after="0" w:afterAutospacing="0" w:line="240" w:lineRule="exact"/>
              <w:ind w:left="0" w:right="0" w:firstLine="0" w:firstLineChars="0"/>
              <w:jc w:val="center"/>
              <w:rPr>
                <w:rFonts w:hint="default" w:eastAsia="等线"/>
                <w:color w:val="auto"/>
                <w:sz w:val="21"/>
                <w:szCs w:val="21"/>
              </w:rPr>
            </w:pPr>
            <w:r>
              <w:rPr>
                <w:rFonts w:hint="eastAsia" w:eastAsia="等线"/>
                <w:color w:val="auto"/>
                <w:sz w:val="21"/>
                <w:szCs w:val="21"/>
              </w:rPr>
              <w:t>0.428</w:t>
            </w:r>
          </w:p>
        </w:tc>
      </w:tr>
      <w:tr w14:paraId="2EDD42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Merge w:val="continue"/>
            <w:vAlign w:val="center"/>
          </w:tcPr>
          <w:p w14:paraId="0FC5130B">
            <w:pPr>
              <w:pStyle w:val="91"/>
              <w:keepNext w:val="0"/>
              <w:keepLines w:val="0"/>
              <w:suppressLineNumbers w:val="0"/>
              <w:spacing w:before="0" w:beforeAutospacing="0" w:after="0" w:afterAutospacing="0"/>
              <w:ind w:left="0" w:right="0"/>
              <w:rPr>
                <w:rFonts w:hint="default"/>
                <w:color w:val="auto"/>
              </w:rPr>
            </w:pPr>
          </w:p>
        </w:tc>
        <w:tc>
          <w:tcPr>
            <w:tcW w:w="1263" w:type="dxa"/>
            <w:vMerge w:val="continue"/>
            <w:vAlign w:val="center"/>
          </w:tcPr>
          <w:p w14:paraId="16784F4F">
            <w:pPr>
              <w:pStyle w:val="91"/>
              <w:keepNext w:val="0"/>
              <w:keepLines w:val="0"/>
              <w:suppressLineNumbers w:val="0"/>
              <w:spacing w:before="0" w:beforeAutospacing="0" w:after="0" w:afterAutospacing="0"/>
              <w:ind w:left="0" w:right="0"/>
              <w:rPr>
                <w:rFonts w:hint="default"/>
                <w:color w:val="auto"/>
              </w:rPr>
            </w:pPr>
          </w:p>
        </w:tc>
        <w:tc>
          <w:tcPr>
            <w:tcW w:w="1189" w:type="dxa"/>
            <w:vAlign w:val="center"/>
          </w:tcPr>
          <w:p w14:paraId="20875A06">
            <w:pPr>
              <w:pStyle w:val="91"/>
              <w:keepNext w:val="0"/>
              <w:keepLines w:val="0"/>
              <w:suppressLineNumbers w:val="0"/>
              <w:spacing w:before="0" w:beforeAutospacing="0" w:after="0" w:afterAutospacing="0"/>
              <w:ind w:left="0" w:right="0"/>
              <w:rPr>
                <w:rFonts w:hint="default"/>
                <w:color w:val="auto"/>
              </w:rPr>
            </w:pPr>
            <w:r>
              <w:rPr>
                <w:rFonts w:hint="eastAsia"/>
                <w:color w:val="auto"/>
              </w:rPr>
              <w:t>NO</w:t>
            </w:r>
            <w:r>
              <w:rPr>
                <w:rFonts w:hint="eastAsia"/>
                <w:color w:val="auto"/>
                <w:vertAlign w:val="subscript"/>
              </w:rPr>
              <w:t>x</w:t>
            </w:r>
          </w:p>
        </w:tc>
        <w:tc>
          <w:tcPr>
            <w:tcW w:w="1643" w:type="dxa"/>
            <w:vMerge w:val="continue"/>
            <w:vAlign w:val="center"/>
          </w:tcPr>
          <w:p w14:paraId="0395673C">
            <w:pPr>
              <w:pStyle w:val="91"/>
              <w:keepNext w:val="0"/>
              <w:keepLines w:val="0"/>
              <w:suppressLineNumbers w:val="0"/>
              <w:spacing w:before="0" w:beforeAutospacing="0" w:after="0" w:afterAutospacing="0"/>
              <w:ind w:left="0" w:right="0"/>
              <w:rPr>
                <w:rFonts w:hint="default"/>
                <w:color w:val="auto"/>
              </w:rPr>
            </w:pPr>
          </w:p>
        </w:tc>
        <w:tc>
          <w:tcPr>
            <w:tcW w:w="2356" w:type="dxa"/>
            <w:vMerge w:val="continue"/>
            <w:vAlign w:val="center"/>
          </w:tcPr>
          <w:p w14:paraId="15A60E1D">
            <w:pPr>
              <w:pStyle w:val="91"/>
              <w:keepNext w:val="0"/>
              <w:keepLines w:val="0"/>
              <w:suppressLineNumbers w:val="0"/>
              <w:spacing w:before="0" w:beforeAutospacing="0" w:after="0" w:afterAutospacing="0"/>
              <w:ind w:left="0" w:right="0"/>
              <w:rPr>
                <w:rFonts w:hint="default"/>
                <w:color w:val="auto"/>
              </w:rPr>
            </w:pPr>
          </w:p>
        </w:tc>
        <w:tc>
          <w:tcPr>
            <w:tcW w:w="1288" w:type="dxa"/>
            <w:vAlign w:val="center"/>
          </w:tcPr>
          <w:p w14:paraId="1E78338C">
            <w:pPr>
              <w:pStyle w:val="91"/>
              <w:keepNext w:val="0"/>
              <w:keepLines w:val="0"/>
              <w:suppressLineNumbers w:val="0"/>
              <w:spacing w:before="0" w:beforeAutospacing="0" w:after="0" w:afterAutospacing="0"/>
              <w:ind w:left="0" w:right="0"/>
              <w:rPr>
                <w:rFonts w:hint="default"/>
                <w:color w:val="auto"/>
              </w:rPr>
            </w:pPr>
            <w:r>
              <w:rPr>
                <w:rFonts w:hint="eastAsia"/>
                <w:color w:val="auto"/>
              </w:rPr>
              <w:t>0.12</w:t>
            </w:r>
            <w:r>
              <w:rPr>
                <w:rFonts w:hint="default"/>
                <w:color w:val="auto"/>
              </w:rPr>
              <w:t>mg/m</w:t>
            </w:r>
            <w:r>
              <w:rPr>
                <w:rFonts w:hint="default"/>
                <w:color w:val="auto"/>
                <w:vertAlign w:val="superscript"/>
              </w:rPr>
              <w:t>3</w:t>
            </w:r>
          </w:p>
        </w:tc>
        <w:tc>
          <w:tcPr>
            <w:tcW w:w="907" w:type="dxa"/>
            <w:vAlign w:val="center"/>
          </w:tcPr>
          <w:p w14:paraId="045E4081">
            <w:pPr>
              <w:keepNext w:val="0"/>
              <w:keepLines w:val="0"/>
              <w:suppressLineNumbers w:val="0"/>
              <w:spacing w:before="0" w:beforeAutospacing="0" w:after="0" w:afterAutospacing="0" w:line="240" w:lineRule="exact"/>
              <w:ind w:left="0" w:right="0" w:firstLine="0" w:firstLineChars="0"/>
              <w:jc w:val="center"/>
              <w:rPr>
                <w:rFonts w:hint="default" w:eastAsia="等线"/>
                <w:color w:val="auto"/>
                <w:sz w:val="21"/>
                <w:szCs w:val="21"/>
              </w:rPr>
            </w:pPr>
            <w:r>
              <w:rPr>
                <w:rFonts w:hint="eastAsia" w:eastAsia="等线"/>
                <w:color w:val="auto"/>
                <w:sz w:val="21"/>
                <w:szCs w:val="21"/>
              </w:rPr>
              <w:t>1.41</w:t>
            </w:r>
          </w:p>
        </w:tc>
      </w:tr>
    </w:tbl>
    <w:p w14:paraId="79528D1A">
      <w:pPr>
        <w:pStyle w:val="5"/>
        <w:rPr>
          <w:color w:val="auto"/>
        </w:rPr>
      </w:pPr>
      <w:bookmarkStart w:id="492" w:name="_Toc25436991"/>
      <w:bookmarkEnd w:id="492"/>
      <w:bookmarkStart w:id="493" w:name="_Toc25436992"/>
      <w:bookmarkStart w:id="494" w:name="_Toc216620579"/>
      <w:bookmarkStart w:id="495" w:name="_Toc136878515"/>
      <w:bookmarkStart w:id="496" w:name="_Toc29131851"/>
      <w:bookmarkStart w:id="497" w:name="_Toc216103420"/>
      <w:bookmarkStart w:id="498" w:name="_Toc223258482"/>
      <w:bookmarkStart w:id="499" w:name="_Toc26910038"/>
      <w:bookmarkStart w:id="500" w:name="_Toc135090249"/>
      <w:bookmarkStart w:id="501" w:name="_Toc223595772"/>
      <w:r>
        <w:rPr>
          <w:color w:val="auto"/>
        </w:rPr>
        <w:t>运营期水环境影响分析</w:t>
      </w:r>
      <w:bookmarkEnd w:id="493"/>
      <w:bookmarkEnd w:id="494"/>
      <w:bookmarkEnd w:id="495"/>
      <w:bookmarkEnd w:id="496"/>
      <w:bookmarkEnd w:id="497"/>
      <w:bookmarkEnd w:id="498"/>
      <w:bookmarkEnd w:id="499"/>
      <w:bookmarkEnd w:id="500"/>
      <w:bookmarkEnd w:id="501"/>
    </w:p>
    <w:p w14:paraId="6EFC247D">
      <w:pPr>
        <w:ind w:firstLine="480"/>
        <w:rPr>
          <w:b/>
          <w:bCs/>
          <w:color w:val="auto"/>
        </w:rPr>
      </w:pPr>
      <w:r>
        <w:rPr>
          <w:rFonts w:hint="eastAsia"/>
          <w:color w:val="auto"/>
        </w:rPr>
        <w:t>本项目采用全密闭输送工艺，正常工况下，装卸臂和管道输送以及</w:t>
      </w:r>
      <w:r>
        <w:rPr>
          <w:color w:val="auto"/>
        </w:rPr>
        <w:t>储罐储存</w:t>
      </w:r>
      <w:r>
        <w:rPr>
          <w:rFonts w:hint="eastAsia"/>
          <w:color w:val="auto"/>
        </w:rPr>
        <w:t>不会发生</w:t>
      </w:r>
      <w:r>
        <w:rPr>
          <w:color w:val="auto"/>
        </w:rPr>
        <w:t>泄漏，</w:t>
      </w:r>
      <w:r>
        <w:rPr>
          <w:rFonts w:hint="eastAsia"/>
          <w:color w:val="auto"/>
        </w:rPr>
        <w:t>影响</w:t>
      </w:r>
      <w:r>
        <w:rPr>
          <w:color w:val="auto"/>
        </w:rPr>
        <w:t>钦州湾海水水质。</w:t>
      </w:r>
      <w:r>
        <w:rPr>
          <w:rFonts w:hint="eastAsia"/>
          <w:color w:val="auto"/>
        </w:rPr>
        <w:t>同时，扩建</w:t>
      </w:r>
      <w:r>
        <w:rPr>
          <w:color w:val="auto"/>
        </w:rPr>
        <w:t>项目涉及的</w:t>
      </w:r>
      <w:r>
        <w:rPr>
          <w:rFonts w:hint="eastAsia"/>
          <w:color w:val="auto"/>
        </w:rPr>
        <w:t>储罐</w:t>
      </w:r>
      <w:r>
        <w:rPr>
          <w:color w:val="auto"/>
        </w:rPr>
        <w:t>均为</w:t>
      </w:r>
      <w:r>
        <w:rPr>
          <w:rFonts w:hint="eastAsia"/>
          <w:color w:val="auto"/>
        </w:rPr>
        <w:t>浮顶罐，罐组</w:t>
      </w:r>
      <w:r>
        <w:rPr>
          <w:color w:val="auto"/>
        </w:rPr>
        <w:t>设置有围堰以及雨水切换阀</w:t>
      </w:r>
      <w:r>
        <w:rPr>
          <w:rFonts w:hint="eastAsia"/>
          <w:color w:val="auto"/>
        </w:rPr>
        <w:t>，</w:t>
      </w:r>
      <w:r>
        <w:rPr>
          <w:color w:val="auto"/>
        </w:rPr>
        <w:t>库区设有事故应急池，</w:t>
      </w:r>
      <w:r>
        <w:rPr>
          <w:rFonts w:hint="eastAsia"/>
          <w:color w:val="auto"/>
        </w:rPr>
        <w:t>装卸臂、管道、</w:t>
      </w:r>
      <w:r>
        <w:rPr>
          <w:color w:val="auto"/>
        </w:rPr>
        <w:t>储罐均</w:t>
      </w:r>
      <w:r>
        <w:rPr>
          <w:rFonts w:hint="eastAsia"/>
          <w:color w:val="auto"/>
        </w:rPr>
        <w:t>设置防腐层。如不发生泄漏事故，正常营运期对钦州湾水质造成的影响很小。仅在泄漏事故状态下会对钦州湾水环境造成污染，影响水质，项目事故状态下对环境的影响详见5风险预测与评价章节。</w:t>
      </w:r>
    </w:p>
    <w:p w14:paraId="5A10CDF6">
      <w:pPr>
        <w:ind w:firstLine="480"/>
        <w:rPr>
          <w:snapToGrid w:val="0"/>
          <w:color w:val="auto"/>
          <w:kern w:val="0"/>
        </w:rPr>
      </w:pPr>
      <w:r>
        <w:rPr>
          <w:snapToGrid w:val="0"/>
          <w:color w:val="auto"/>
          <w:kern w:val="0"/>
        </w:rPr>
        <w:t>本项目码头</w:t>
      </w:r>
      <w:r>
        <w:rPr>
          <w:rFonts w:hint="eastAsia"/>
          <w:snapToGrid w:val="0"/>
          <w:color w:val="auto"/>
          <w:kern w:val="0"/>
        </w:rPr>
        <w:t>及</w:t>
      </w:r>
      <w:r>
        <w:rPr>
          <w:snapToGrid w:val="0"/>
          <w:color w:val="auto"/>
          <w:kern w:val="0"/>
        </w:rPr>
        <w:t>库区不设置污水处理设施，</w:t>
      </w:r>
      <w:r>
        <w:rPr>
          <w:rFonts w:hint="eastAsia"/>
          <w:snapToGrid w:val="0"/>
          <w:color w:val="auto"/>
          <w:kern w:val="0"/>
        </w:rPr>
        <w:t>均</w:t>
      </w:r>
      <w:r>
        <w:rPr>
          <w:snapToGrid w:val="0"/>
          <w:color w:val="auto"/>
          <w:kern w:val="0"/>
        </w:rPr>
        <w:t>依托</w:t>
      </w:r>
      <w:r>
        <w:rPr>
          <w:rFonts w:hint="eastAsia"/>
          <w:snapToGrid w:val="0"/>
          <w:color w:val="auto"/>
          <w:kern w:val="0"/>
        </w:rPr>
        <w:t>现有</w:t>
      </w:r>
      <w:r>
        <w:rPr>
          <w:snapToGrid w:val="0"/>
          <w:color w:val="auto"/>
          <w:kern w:val="0"/>
        </w:rPr>
        <w:t>的</w:t>
      </w:r>
      <w:r>
        <w:rPr>
          <w:rFonts w:hint="eastAsia"/>
          <w:snapToGrid w:val="0"/>
          <w:color w:val="auto"/>
          <w:kern w:val="0"/>
        </w:rPr>
        <w:t>污水</w:t>
      </w:r>
      <w:r>
        <w:rPr>
          <w:snapToGrid w:val="0"/>
          <w:color w:val="auto"/>
          <w:kern w:val="0"/>
        </w:rPr>
        <w:t>收集管网</w:t>
      </w:r>
      <w:r>
        <w:rPr>
          <w:rFonts w:hint="eastAsia"/>
          <w:snapToGrid w:val="0"/>
          <w:color w:val="auto"/>
          <w:kern w:val="0"/>
        </w:rPr>
        <w:t>，将码头</w:t>
      </w:r>
      <w:r>
        <w:rPr>
          <w:snapToGrid w:val="0"/>
          <w:color w:val="auto"/>
          <w:kern w:val="0"/>
        </w:rPr>
        <w:t>冲洗废水、</w:t>
      </w:r>
      <w:r>
        <w:rPr>
          <w:rFonts w:hint="eastAsia"/>
          <w:snapToGrid w:val="0"/>
          <w:color w:val="auto"/>
          <w:kern w:val="0"/>
        </w:rPr>
        <w:t>初期雨水、</w:t>
      </w:r>
      <w:r>
        <w:rPr>
          <w:snapToGrid w:val="0"/>
          <w:color w:val="auto"/>
          <w:kern w:val="0"/>
        </w:rPr>
        <w:t>洗罐废水</w:t>
      </w:r>
      <w:r>
        <w:rPr>
          <w:rFonts w:hint="eastAsia"/>
          <w:snapToGrid w:val="0"/>
          <w:color w:val="auto"/>
          <w:kern w:val="0"/>
        </w:rPr>
        <w:t>等废水收集</w:t>
      </w:r>
      <w:r>
        <w:rPr>
          <w:snapToGrid w:val="0"/>
          <w:color w:val="auto"/>
          <w:kern w:val="0"/>
        </w:rPr>
        <w:t>至原有的</w:t>
      </w:r>
      <w:r>
        <w:rPr>
          <w:rFonts w:hint="eastAsia"/>
          <w:snapToGrid w:val="0"/>
          <w:color w:val="auto"/>
          <w:kern w:val="0"/>
        </w:rPr>
        <w:t>污水处理</w:t>
      </w:r>
      <w:r>
        <w:rPr>
          <w:snapToGrid w:val="0"/>
          <w:color w:val="auto"/>
          <w:kern w:val="0"/>
        </w:rPr>
        <w:t>设施</w:t>
      </w:r>
      <w:r>
        <w:rPr>
          <w:rFonts w:hint="eastAsia"/>
          <w:snapToGrid w:val="0"/>
          <w:color w:val="auto"/>
          <w:kern w:val="0"/>
        </w:rPr>
        <w:t>（不运行，仅作为储存</w:t>
      </w:r>
      <w:r>
        <w:rPr>
          <w:snapToGrid w:val="0"/>
          <w:color w:val="auto"/>
          <w:kern w:val="0"/>
        </w:rPr>
        <w:t>使用</w:t>
      </w:r>
      <w:r>
        <w:rPr>
          <w:rFonts w:hint="eastAsia"/>
          <w:snapToGrid w:val="0"/>
          <w:color w:val="auto"/>
          <w:kern w:val="0"/>
        </w:rPr>
        <w:t>），由罐车运回东油沥青厂区后统一通过管网输送至广西石化污水处理场进行处理。</w:t>
      </w:r>
    </w:p>
    <w:p w14:paraId="51BA4EA0">
      <w:pPr>
        <w:ind w:firstLine="480"/>
        <w:rPr>
          <w:color w:val="auto"/>
        </w:rPr>
      </w:pPr>
      <w:r>
        <w:rPr>
          <w:color w:val="auto"/>
        </w:rPr>
        <w:t>船舶机舱油污水、船舶生活污水委托具有相应资质单位接收处理。</w:t>
      </w:r>
    </w:p>
    <w:p w14:paraId="73673E6B">
      <w:pPr>
        <w:pStyle w:val="5"/>
        <w:rPr>
          <w:color w:val="auto"/>
        </w:rPr>
      </w:pPr>
      <w:bookmarkStart w:id="502" w:name="_Toc223258483"/>
      <w:bookmarkStart w:id="503" w:name="_Toc216620580"/>
      <w:bookmarkStart w:id="504" w:name="_Toc29131852"/>
      <w:bookmarkStart w:id="505" w:name="_Toc216103421"/>
      <w:bookmarkStart w:id="506" w:name="_Toc223595773"/>
      <w:bookmarkStart w:id="507" w:name="_Toc25436993"/>
      <w:bookmarkStart w:id="508" w:name="_Toc26910039"/>
      <w:bookmarkStart w:id="509" w:name="_Toc135090250"/>
      <w:bookmarkStart w:id="510" w:name="_Toc136878516"/>
      <w:r>
        <w:rPr>
          <w:color w:val="auto"/>
        </w:rPr>
        <w:t>运营期声环境影响分析</w:t>
      </w:r>
      <w:bookmarkEnd w:id="502"/>
      <w:bookmarkEnd w:id="503"/>
      <w:bookmarkEnd w:id="504"/>
      <w:bookmarkEnd w:id="505"/>
      <w:bookmarkEnd w:id="506"/>
      <w:bookmarkEnd w:id="507"/>
      <w:bookmarkEnd w:id="508"/>
      <w:bookmarkEnd w:id="509"/>
      <w:bookmarkEnd w:id="510"/>
    </w:p>
    <w:p w14:paraId="607E2022">
      <w:pPr>
        <w:pStyle w:val="4"/>
        <w:rPr>
          <w:color w:val="auto"/>
        </w:rPr>
      </w:pPr>
      <w:r>
        <w:rPr>
          <w:rFonts w:hint="eastAsia"/>
          <w:color w:val="auto"/>
        </w:rPr>
        <w:t>噪声</w:t>
      </w:r>
      <w:r>
        <w:rPr>
          <w:color w:val="auto"/>
        </w:rPr>
        <w:t>源强</w:t>
      </w:r>
    </w:p>
    <w:p w14:paraId="12343A65">
      <w:pPr>
        <w:ind w:firstLine="480"/>
        <w:rPr>
          <w:rFonts w:hint="eastAsia"/>
          <w:color w:val="auto"/>
        </w:rPr>
      </w:pPr>
      <w:r>
        <w:rPr>
          <w:rFonts w:hint="eastAsia"/>
          <w:color w:val="auto"/>
        </w:rPr>
        <w:t>扩建</w:t>
      </w:r>
      <w:r>
        <w:rPr>
          <w:color w:val="auto"/>
        </w:rPr>
        <w:t>项目</w:t>
      </w:r>
      <w:r>
        <w:rPr>
          <w:rFonts w:hint="eastAsia"/>
          <w:color w:val="auto"/>
        </w:rPr>
        <w:t>噪声</w:t>
      </w:r>
      <w:r>
        <w:rPr>
          <w:color w:val="auto"/>
        </w:rPr>
        <w:t>设备主要为输送泵，</w:t>
      </w:r>
      <w:r>
        <w:rPr>
          <w:rFonts w:hint="eastAsia"/>
          <w:color w:val="auto"/>
        </w:rPr>
        <w:t>机械设备声级如下表所示。</w:t>
      </w:r>
    </w:p>
    <w:p w14:paraId="6DDACF72">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4.3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color w:val="auto"/>
        </w:rPr>
        <w:t>噪声污染源源强核算汇总表</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49"/>
        <w:gridCol w:w="1147"/>
        <w:gridCol w:w="1299"/>
        <w:gridCol w:w="1151"/>
        <w:gridCol w:w="1069"/>
        <w:gridCol w:w="1059"/>
        <w:gridCol w:w="1065"/>
        <w:gridCol w:w="1061"/>
        <w:gridCol w:w="1070"/>
      </w:tblGrid>
      <w:tr w14:paraId="7DEFCD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339" w:type="pct"/>
            <w:vMerge w:val="restart"/>
            <w:vAlign w:val="center"/>
          </w:tcPr>
          <w:p w14:paraId="7E553A4D">
            <w:pPr>
              <w:pStyle w:val="77"/>
              <w:keepNext w:val="0"/>
              <w:keepLines w:val="0"/>
              <w:suppressLineNumbers w:val="0"/>
              <w:spacing w:before="0" w:beforeAutospacing="0" w:after="0" w:afterAutospacing="0"/>
              <w:ind w:left="0" w:right="0"/>
              <w:rPr>
                <w:rFonts w:hint="default"/>
                <w:b/>
                <w:color w:val="auto"/>
              </w:rPr>
            </w:pPr>
            <w:r>
              <w:rPr>
                <w:rFonts w:hint="default"/>
                <w:b/>
                <w:color w:val="auto"/>
              </w:rPr>
              <w:t>装置</w:t>
            </w:r>
          </w:p>
        </w:tc>
        <w:tc>
          <w:tcPr>
            <w:tcW w:w="599" w:type="pct"/>
            <w:vMerge w:val="restart"/>
            <w:vAlign w:val="center"/>
          </w:tcPr>
          <w:p w14:paraId="26AA9FC6">
            <w:pPr>
              <w:pStyle w:val="77"/>
              <w:keepNext w:val="0"/>
              <w:keepLines w:val="0"/>
              <w:suppressLineNumbers w:val="0"/>
              <w:spacing w:before="0" w:beforeAutospacing="0" w:after="0" w:afterAutospacing="0"/>
              <w:ind w:left="0" w:right="0"/>
              <w:rPr>
                <w:rFonts w:hint="default"/>
                <w:b/>
                <w:color w:val="auto"/>
              </w:rPr>
            </w:pPr>
            <w:r>
              <w:rPr>
                <w:rFonts w:hint="default"/>
                <w:b/>
                <w:color w:val="auto"/>
              </w:rPr>
              <w:t>噪声源</w:t>
            </w:r>
          </w:p>
        </w:tc>
        <w:tc>
          <w:tcPr>
            <w:tcW w:w="678" w:type="pct"/>
            <w:vMerge w:val="restart"/>
            <w:vAlign w:val="center"/>
          </w:tcPr>
          <w:p w14:paraId="7AC035E2">
            <w:pPr>
              <w:pStyle w:val="77"/>
              <w:keepNext w:val="0"/>
              <w:keepLines w:val="0"/>
              <w:suppressLineNumbers w:val="0"/>
              <w:spacing w:before="0" w:beforeAutospacing="0" w:after="0" w:afterAutospacing="0"/>
              <w:ind w:left="0" w:right="0"/>
              <w:rPr>
                <w:rFonts w:hint="default"/>
                <w:b/>
                <w:color w:val="auto"/>
              </w:rPr>
            </w:pPr>
            <w:r>
              <w:rPr>
                <w:rFonts w:hint="default"/>
                <w:b/>
                <w:color w:val="auto"/>
              </w:rPr>
              <w:t>声源类型（频发/偶发）</w:t>
            </w:r>
          </w:p>
        </w:tc>
        <w:tc>
          <w:tcPr>
            <w:tcW w:w="1159" w:type="pct"/>
            <w:gridSpan w:val="2"/>
            <w:vAlign w:val="center"/>
          </w:tcPr>
          <w:p w14:paraId="3AE01FD4">
            <w:pPr>
              <w:pStyle w:val="77"/>
              <w:keepNext w:val="0"/>
              <w:keepLines w:val="0"/>
              <w:suppressLineNumbers w:val="0"/>
              <w:spacing w:before="0" w:beforeAutospacing="0" w:after="0" w:afterAutospacing="0"/>
              <w:ind w:left="0" w:right="0"/>
              <w:rPr>
                <w:rFonts w:hint="default"/>
                <w:b/>
                <w:color w:val="auto"/>
              </w:rPr>
            </w:pPr>
            <w:r>
              <w:rPr>
                <w:rFonts w:hint="default"/>
                <w:b/>
                <w:color w:val="auto"/>
              </w:rPr>
              <w:t>噪声源强</w:t>
            </w:r>
          </w:p>
        </w:tc>
        <w:tc>
          <w:tcPr>
            <w:tcW w:w="1109" w:type="pct"/>
            <w:gridSpan w:val="2"/>
            <w:vAlign w:val="center"/>
          </w:tcPr>
          <w:p w14:paraId="4331E441">
            <w:pPr>
              <w:pStyle w:val="77"/>
              <w:keepNext w:val="0"/>
              <w:keepLines w:val="0"/>
              <w:suppressLineNumbers w:val="0"/>
              <w:spacing w:before="0" w:beforeAutospacing="0" w:after="0" w:afterAutospacing="0"/>
              <w:ind w:left="0" w:right="0"/>
              <w:rPr>
                <w:rFonts w:hint="default"/>
                <w:b/>
                <w:color w:val="auto"/>
              </w:rPr>
            </w:pPr>
            <w:r>
              <w:rPr>
                <w:rFonts w:hint="default"/>
                <w:b/>
                <w:color w:val="auto"/>
              </w:rPr>
              <w:t>降噪措施</w:t>
            </w:r>
          </w:p>
        </w:tc>
        <w:tc>
          <w:tcPr>
            <w:tcW w:w="1112" w:type="pct"/>
            <w:gridSpan w:val="2"/>
            <w:vAlign w:val="center"/>
          </w:tcPr>
          <w:p w14:paraId="6C0E5C17">
            <w:pPr>
              <w:pStyle w:val="77"/>
              <w:keepNext w:val="0"/>
              <w:keepLines w:val="0"/>
              <w:suppressLineNumbers w:val="0"/>
              <w:spacing w:before="0" w:beforeAutospacing="0" w:after="0" w:afterAutospacing="0"/>
              <w:ind w:left="0" w:right="0"/>
              <w:rPr>
                <w:rFonts w:hint="default"/>
                <w:b/>
                <w:color w:val="auto"/>
              </w:rPr>
            </w:pPr>
            <w:r>
              <w:rPr>
                <w:rFonts w:hint="default"/>
                <w:b/>
                <w:color w:val="auto"/>
              </w:rPr>
              <w:t>噪声排放值</w:t>
            </w:r>
          </w:p>
        </w:tc>
      </w:tr>
      <w:tr w14:paraId="74656F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9" w:hRule="atLeast"/>
          <w:jc w:val="center"/>
        </w:trPr>
        <w:tc>
          <w:tcPr>
            <w:tcW w:w="339" w:type="pct"/>
            <w:vMerge w:val="continue"/>
            <w:vAlign w:val="center"/>
          </w:tcPr>
          <w:p w14:paraId="73A4C370">
            <w:pPr>
              <w:pStyle w:val="77"/>
              <w:keepNext w:val="0"/>
              <w:keepLines w:val="0"/>
              <w:suppressLineNumbers w:val="0"/>
              <w:spacing w:before="0" w:beforeAutospacing="0" w:after="0" w:afterAutospacing="0"/>
              <w:ind w:left="0" w:right="0"/>
              <w:rPr>
                <w:rFonts w:hint="default"/>
                <w:b/>
                <w:color w:val="auto"/>
              </w:rPr>
            </w:pPr>
          </w:p>
        </w:tc>
        <w:tc>
          <w:tcPr>
            <w:tcW w:w="599" w:type="pct"/>
            <w:vMerge w:val="continue"/>
            <w:vAlign w:val="center"/>
          </w:tcPr>
          <w:p w14:paraId="12EA9B3F">
            <w:pPr>
              <w:pStyle w:val="77"/>
              <w:keepNext w:val="0"/>
              <w:keepLines w:val="0"/>
              <w:suppressLineNumbers w:val="0"/>
              <w:spacing w:before="0" w:beforeAutospacing="0" w:after="0" w:afterAutospacing="0"/>
              <w:ind w:left="0" w:right="0"/>
              <w:rPr>
                <w:rFonts w:hint="default"/>
                <w:b/>
                <w:color w:val="auto"/>
              </w:rPr>
            </w:pPr>
          </w:p>
        </w:tc>
        <w:tc>
          <w:tcPr>
            <w:tcW w:w="678" w:type="pct"/>
            <w:vMerge w:val="continue"/>
            <w:vAlign w:val="center"/>
          </w:tcPr>
          <w:p w14:paraId="4D528798">
            <w:pPr>
              <w:pStyle w:val="77"/>
              <w:keepNext w:val="0"/>
              <w:keepLines w:val="0"/>
              <w:suppressLineNumbers w:val="0"/>
              <w:spacing w:before="0" w:beforeAutospacing="0" w:after="0" w:afterAutospacing="0"/>
              <w:ind w:left="0" w:right="0"/>
              <w:rPr>
                <w:rFonts w:hint="default"/>
                <w:b/>
                <w:color w:val="auto"/>
              </w:rPr>
            </w:pPr>
          </w:p>
        </w:tc>
        <w:tc>
          <w:tcPr>
            <w:tcW w:w="601" w:type="pct"/>
            <w:vAlign w:val="center"/>
          </w:tcPr>
          <w:p w14:paraId="7228A589">
            <w:pPr>
              <w:pStyle w:val="77"/>
              <w:keepNext w:val="0"/>
              <w:keepLines w:val="0"/>
              <w:suppressLineNumbers w:val="0"/>
              <w:spacing w:before="0" w:beforeAutospacing="0" w:after="0" w:afterAutospacing="0"/>
              <w:ind w:left="0" w:right="0"/>
              <w:rPr>
                <w:rFonts w:hint="default"/>
                <w:b/>
                <w:color w:val="auto"/>
              </w:rPr>
            </w:pPr>
            <w:r>
              <w:rPr>
                <w:rFonts w:hint="default"/>
                <w:b/>
                <w:color w:val="auto"/>
              </w:rPr>
              <w:t>核算方法</w:t>
            </w:r>
          </w:p>
        </w:tc>
        <w:tc>
          <w:tcPr>
            <w:tcW w:w="557" w:type="pct"/>
            <w:vAlign w:val="center"/>
          </w:tcPr>
          <w:p w14:paraId="1C637860">
            <w:pPr>
              <w:pStyle w:val="77"/>
              <w:keepNext w:val="0"/>
              <w:keepLines w:val="0"/>
              <w:suppressLineNumbers w:val="0"/>
              <w:spacing w:before="0" w:beforeAutospacing="0" w:after="0" w:afterAutospacing="0"/>
              <w:ind w:left="0" w:right="0"/>
              <w:rPr>
                <w:rFonts w:hint="default"/>
                <w:b/>
                <w:color w:val="auto"/>
              </w:rPr>
            </w:pPr>
            <w:r>
              <w:rPr>
                <w:rFonts w:hint="default"/>
                <w:b/>
                <w:color w:val="auto"/>
              </w:rPr>
              <w:t>噪声值</w:t>
            </w:r>
          </w:p>
          <w:p w14:paraId="2F0DBB3D">
            <w:pPr>
              <w:pStyle w:val="77"/>
              <w:keepNext w:val="0"/>
              <w:keepLines w:val="0"/>
              <w:suppressLineNumbers w:val="0"/>
              <w:spacing w:before="0" w:beforeAutospacing="0" w:after="0" w:afterAutospacing="0"/>
              <w:ind w:left="0" w:right="0"/>
              <w:rPr>
                <w:rFonts w:hint="default"/>
                <w:b/>
                <w:color w:val="auto"/>
              </w:rPr>
            </w:pPr>
            <w:r>
              <w:rPr>
                <w:rFonts w:hint="default"/>
                <w:b/>
                <w:color w:val="auto"/>
              </w:rPr>
              <w:t>[dB(A)]</w:t>
            </w:r>
          </w:p>
        </w:tc>
        <w:tc>
          <w:tcPr>
            <w:tcW w:w="553" w:type="pct"/>
            <w:vAlign w:val="center"/>
          </w:tcPr>
          <w:p w14:paraId="3CD4EE20">
            <w:pPr>
              <w:pStyle w:val="77"/>
              <w:keepNext w:val="0"/>
              <w:keepLines w:val="0"/>
              <w:suppressLineNumbers w:val="0"/>
              <w:spacing w:before="0" w:beforeAutospacing="0" w:after="0" w:afterAutospacing="0"/>
              <w:ind w:left="0" w:right="0"/>
              <w:rPr>
                <w:rFonts w:hint="default"/>
                <w:b/>
                <w:color w:val="auto"/>
              </w:rPr>
            </w:pPr>
            <w:r>
              <w:rPr>
                <w:rFonts w:hint="default"/>
                <w:b/>
                <w:color w:val="auto"/>
              </w:rPr>
              <w:t>工艺</w:t>
            </w:r>
          </w:p>
        </w:tc>
        <w:tc>
          <w:tcPr>
            <w:tcW w:w="555" w:type="pct"/>
            <w:vAlign w:val="center"/>
          </w:tcPr>
          <w:p w14:paraId="4FC008BB">
            <w:pPr>
              <w:pStyle w:val="77"/>
              <w:keepNext w:val="0"/>
              <w:keepLines w:val="0"/>
              <w:suppressLineNumbers w:val="0"/>
              <w:spacing w:before="0" w:beforeAutospacing="0" w:after="0" w:afterAutospacing="0"/>
              <w:ind w:left="0" w:right="0"/>
              <w:rPr>
                <w:rFonts w:hint="default"/>
                <w:b/>
                <w:color w:val="auto"/>
              </w:rPr>
            </w:pPr>
            <w:r>
              <w:rPr>
                <w:rFonts w:hint="default"/>
                <w:b/>
                <w:color w:val="auto"/>
              </w:rPr>
              <w:t>降噪效果</w:t>
            </w:r>
          </w:p>
          <w:p w14:paraId="151BD63D">
            <w:pPr>
              <w:pStyle w:val="77"/>
              <w:keepNext w:val="0"/>
              <w:keepLines w:val="0"/>
              <w:suppressLineNumbers w:val="0"/>
              <w:spacing w:before="0" w:beforeAutospacing="0" w:after="0" w:afterAutospacing="0"/>
              <w:ind w:left="0" w:right="0"/>
              <w:rPr>
                <w:rFonts w:hint="default"/>
                <w:b/>
                <w:color w:val="auto"/>
              </w:rPr>
            </w:pPr>
            <w:r>
              <w:rPr>
                <w:rFonts w:hint="default"/>
                <w:b/>
                <w:color w:val="auto"/>
              </w:rPr>
              <w:t>[dB(A)]</w:t>
            </w:r>
          </w:p>
        </w:tc>
        <w:tc>
          <w:tcPr>
            <w:tcW w:w="554" w:type="pct"/>
            <w:vAlign w:val="center"/>
          </w:tcPr>
          <w:p w14:paraId="67F68FA4">
            <w:pPr>
              <w:pStyle w:val="77"/>
              <w:keepNext w:val="0"/>
              <w:keepLines w:val="0"/>
              <w:suppressLineNumbers w:val="0"/>
              <w:spacing w:before="0" w:beforeAutospacing="0" w:after="0" w:afterAutospacing="0"/>
              <w:ind w:left="0" w:right="0"/>
              <w:rPr>
                <w:rFonts w:hint="default"/>
                <w:b/>
                <w:color w:val="auto"/>
              </w:rPr>
            </w:pPr>
            <w:r>
              <w:rPr>
                <w:rFonts w:hint="default"/>
                <w:b/>
                <w:color w:val="auto"/>
              </w:rPr>
              <w:t>核算方法</w:t>
            </w:r>
          </w:p>
        </w:tc>
        <w:tc>
          <w:tcPr>
            <w:tcW w:w="558" w:type="pct"/>
            <w:vAlign w:val="center"/>
          </w:tcPr>
          <w:p w14:paraId="78F16A3B">
            <w:pPr>
              <w:pStyle w:val="77"/>
              <w:keepNext w:val="0"/>
              <w:keepLines w:val="0"/>
              <w:suppressLineNumbers w:val="0"/>
              <w:spacing w:before="0" w:beforeAutospacing="0" w:after="0" w:afterAutospacing="0"/>
              <w:ind w:left="0" w:right="0"/>
              <w:rPr>
                <w:rFonts w:hint="default"/>
                <w:b/>
                <w:color w:val="auto"/>
              </w:rPr>
            </w:pPr>
            <w:r>
              <w:rPr>
                <w:rFonts w:hint="default"/>
                <w:b/>
                <w:color w:val="auto"/>
              </w:rPr>
              <w:t>噪声值</w:t>
            </w:r>
          </w:p>
          <w:p w14:paraId="60854999">
            <w:pPr>
              <w:pStyle w:val="77"/>
              <w:keepNext w:val="0"/>
              <w:keepLines w:val="0"/>
              <w:suppressLineNumbers w:val="0"/>
              <w:spacing w:before="0" w:beforeAutospacing="0" w:after="0" w:afterAutospacing="0"/>
              <w:ind w:left="0" w:right="0"/>
              <w:rPr>
                <w:rFonts w:hint="default"/>
                <w:b/>
                <w:color w:val="auto"/>
              </w:rPr>
            </w:pPr>
            <w:r>
              <w:rPr>
                <w:rFonts w:hint="default"/>
                <w:b/>
                <w:color w:val="auto"/>
              </w:rPr>
              <w:t>[dB(A)]</w:t>
            </w:r>
          </w:p>
        </w:tc>
      </w:tr>
      <w:tr w14:paraId="1FD022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339" w:type="pct"/>
            <w:vAlign w:val="center"/>
          </w:tcPr>
          <w:p w14:paraId="7278A01F">
            <w:pPr>
              <w:pStyle w:val="77"/>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599" w:type="pct"/>
            <w:vAlign w:val="center"/>
          </w:tcPr>
          <w:p w14:paraId="18A3B24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输送泵1</w:t>
            </w:r>
          </w:p>
        </w:tc>
        <w:tc>
          <w:tcPr>
            <w:tcW w:w="678" w:type="pct"/>
            <w:vAlign w:val="center"/>
          </w:tcPr>
          <w:p w14:paraId="5AFB5915">
            <w:pPr>
              <w:pStyle w:val="77"/>
              <w:keepNext w:val="0"/>
              <w:keepLines w:val="0"/>
              <w:suppressLineNumbers w:val="0"/>
              <w:spacing w:before="0" w:beforeAutospacing="0" w:after="0" w:afterAutospacing="0"/>
              <w:ind w:left="0" w:right="0"/>
              <w:rPr>
                <w:rFonts w:hint="default"/>
                <w:color w:val="auto"/>
              </w:rPr>
            </w:pPr>
            <w:r>
              <w:rPr>
                <w:rFonts w:hint="default"/>
                <w:color w:val="auto"/>
              </w:rPr>
              <w:t>偶发</w:t>
            </w:r>
          </w:p>
        </w:tc>
        <w:tc>
          <w:tcPr>
            <w:tcW w:w="601" w:type="pct"/>
            <w:vAlign w:val="center"/>
          </w:tcPr>
          <w:p w14:paraId="77956E2A">
            <w:pPr>
              <w:pStyle w:val="77"/>
              <w:keepNext w:val="0"/>
              <w:keepLines w:val="0"/>
              <w:suppressLineNumbers w:val="0"/>
              <w:spacing w:before="0" w:beforeAutospacing="0" w:after="0" w:afterAutospacing="0"/>
              <w:ind w:left="0" w:right="0"/>
              <w:rPr>
                <w:rFonts w:hint="default"/>
                <w:color w:val="auto"/>
              </w:rPr>
            </w:pPr>
            <w:r>
              <w:rPr>
                <w:rFonts w:hint="default"/>
                <w:color w:val="auto"/>
              </w:rPr>
              <w:t>类比法</w:t>
            </w:r>
          </w:p>
        </w:tc>
        <w:tc>
          <w:tcPr>
            <w:tcW w:w="557" w:type="pct"/>
            <w:vAlign w:val="center"/>
          </w:tcPr>
          <w:p w14:paraId="3AB044E8">
            <w:pPr>
              <w:pStyle w:val="77"/>
              <w:keepNext w:val="0"/>
              <w:keepLines w:val="0"/>
              <w:suppressLineNumbers w:val="0"/>
              <w:spacing w:before="0" w:beforeAutospacing="0" w:after="0" w:afterAutospacing="0"/>
              <w:ind w:left="0" w:right="0"/>
              <w:rPr>
                <w:rFonts w:hint="default"/>
                <w:color w:val="auto"/>
              </w:rPr>
            </w:pPr>
            <w:r>
              <w:rPr>
                <w:rFonts w:hint="eastAsia"/>
                <w:color w:val="auto"/>
              </w:rPr>
              <w:t>90</w:t>
            </w:r>
          </w:p>
        </w:tc>
        <w:tc>
          <w:tcPr>
            <w:tcW w:w="553" w:type="pct"/>
            <w:vAlign w:val="center"/>
          </w:tcPr>
          <w:p w14:paraId="175057AB">
            <w:pPr>
              <w:pStyle w:val="77"/>
              <w:keepNext w:val="0"/>
              <w:keepLines w:val="0"/>
              <w:suppressLineNumbers w:val="0"/>
              <w:spacing w:before="0" w:beforeAutospacing="0" w:after="0" w:afterAutospacing="0"/>
              <w:ind w:left="0" w:right="0"/>
              <w:rPr>
                <w:rFonts w:hint="default"/>
                <w:color w:val="auto"/>
              </w:rPr>
            </w:pPr>
            <w:r>
              <w:rPr>
                <w:rFonts w:hint="default"/>
                <w:color w:val="auto"/>
              </w:rPr>
              <w:t>减振降噪</w:t>
            </w:r>
          </w:p>
        </w:tc>
        <w:tc>
          <w:tcPr>
            <w:tcW w:w="555" w:type="pct"/>
            <w:vAlign w:val="center"/>
          </w:tcPr>
          <w:p w14:paraId="003FF75E">
            <w:pPr>
              <w:pStyle w:val="77"/>
              <w:keepNext w:val="0"/>
              <w:keepLines w:val="0"/>
              <w:suppressLineNumbers w:val="0"/>
              <w:spacing w:before="0" w:beforeAutospacing="0" w:after="0" w:afterAutospacing="0"/>
              <w:ind w:left="0" w:right="0"/>
              <w:rPr>
                <w:rFonts w:hint="default"/>
                <w:color w:val="auto"/>
              </w:rPr>
            </w:pPr>
            <w:r>
              <w:rPr>
                <w:rFonts w:hint="eastAsia"/>
                <w:color w:val="auto"/>
              </w:rPr>
              <w:t>15</w:t>
            </w:r>
          </w:p>
        </w:tc>
        <w:tc>
          <w:tcPr>
            <w:tcW w:w="554" w:type="pct"/>
            <w:vAlign w:val="center"/>
          </w:tcPr>
          <w:p w14:paraId="31018620">
            <w:pPr>
              <w:pStyle w:val="77"/>
              <w:keepNext w:val="0"/>
              <w:keepLines w:val="0"/>
              <w:suppressLineNumbers w:val="0"/>
              <w:spacing w:before="0" w:beforeAutospacing="0" w:after="0" w:afterAutospacing="0"/>
              <w:ind w:left="0" w:right="0"/>
              <w:rPr>
                <w:rFonts w:hint="default"/>
                <w:color w:val="auto"/>
              </w:rPr>
            </w:pPr>
            <w:r>
              <w:rPr>
                <w:rFonts w:hint="default"/>
                <w:color w:val="auto"/>
              </w:rPr>
              <w:t>类比法</w:t>
            </w:r>
          </w:p>
        </w:tc>
        <w:tc>
          <w:tcPr>
            <w:tcW w:w="558" w:type="pct"/>
            <w:vAlign w:val="center"/>
          </w:tcPr>
          <w:p w14:paraId="22833D37">
            <w:pPr>
              <w:pStyle w:val="77"/>
              <w:keepNext w:val="0"/>
              <w:keepLines w:val="0"/>
              <w:suppressLineNumbers w:val="0"/>
              <w:spacing w:before="0" w:beforeAutospacing="0" w:after="0" w:afterAutospacing="0"/>
              <w:ind w:left="0" w:right="0"/>
              <w:rPr>
                <w:rFonts w:hint="default"/>
                <w:color w:val="auto"/>
              </w:rPr>
            </w:pPr>
            <w:r>
              <w:rPr>
                <w:rFonts w:hint="default"/>
                <w:color w:val="auto"/>
              </w:rPr>
              <w:t>75</w:t>
            </w:r>
          </w:p>
        </w:tc>
      </w:tr>
      <w:tr w14:paraId="25EFC2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339" w:type="pct"/>
            <w:vAlign w:val="center"/>
          </w:tcPr>
          <w:p w14:paraId="0ECFFDF4">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599" w:type="pct"/>
            <w:vAlign w:val="center"/>
          </w:tcPr>
          <w:p w14:paraId="5C4E33B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输送泵2</w:t>
            </w:r>
          </w:p>
        </w:tc>
        <w:tc>
          <w:tcPr>
            <w:tcW w:w="678" w:type="pct"/>
            <w:vAlign w:val="center"/>
          </w:tcPr>
          <w:p w14:paraId="3F229E31">
            <w:pPr>
              <w:pStyle w:val="77"/>
              <w:keepNext w:val="0"/>
              <w:keepLines w:val="0"/>
              <w:suppressLineNumbers w:val="0"/>
              <w:spacing w:before="0" w:beforeAutospacing="0" w:after="0" w:afterAutospacing="0"/>
              <w:ind w:left="0" w:right="0"/>
              <w:rPr>
                <w:rFonts w:hint="default"/>
                <w:color w:val="auto"/>
              </w:rPr>
            </w:pPr>
            <w:r>
              <w:rPr>
                <w:rFonts w:hint="default"/>
                <w:color w:val="auto"/>
              </w:rPr>
              <w:t>偶发</w:t>
            </w:r>
          </w:p>
        </w:tc>
        <w:tc>
          <w:tcPr>
            <w:tcW w:w="601" w:type="pct"/>
            <w:vAlign w:val="center"/>
          </w:tcPr>
          <w:p w14:paraId="2E1B85CF">
            <w:pPr>
              <w:pStyle w:val="77"/>
              <w:keepNext w:val="0"/>
              <w:keepLines w:val="0"/>
              <w:suppressLineNumbers w:val="0"/>
              <w:spacing w:before="0" w:beforeAutospacing="0" w:after="0" w:afterAutospacing="0"/>
              <w:ind w:left="0" w:right="0"/>
              <w:rPr>
                <w:rFonts w:hint="default"/>
                <w:color w:val="auto"/>
              </w:rPr>
            </w:pPr>
            <w:r>
              <w:rPr>
                <w:rFonts w:hint="default"/>
                <w:color w:val="auto"/>
              </w:rPr>
              <w:t>类比法</w:t>
            </w:r>
          </w:p>
        </w:tc>
        <w:tc>
          <w:tcPr>
            <w:tcW w:w="557" w:type="pct"/>
            <w:vAlign w:val="center"/>
          </w:tcPr>
          <w:p w14:paraId="70E91F07">
            <w:pPr>
              <w:pStyle w:val="77"/>
              <w:keepNext w:val="0"/>
              <w:keepLines w:val="0"/>
              <w:suppressLineNumbers w:val="0"/>
              <w:spacing w:before="0" w:beforeAutospacing="0" w:after="0" w:afterAutospacing="0"/>
              <w:ind w:left="0" w:right="0"/>
              <w:rPr>
                <w:rFonts w:hint="default"/>
                <w:color w:val="auto"/>
              </w:rPr>
            </w:pPr>
            <w:r>
              <w:rPr>
                <w:rFonts w:hint="eastAsia"/>
                <w:color w:val="auto"/>
              </w:rPr>
              <w:t>90</w:t>
            </w:r>
          </w:p>
        </w:tc>
        <w:tc>
          <w:tcPr>
            <w:tcW w:w="553" w:type="pct"/>
            <w:vAlign w:val="center"/>
          </w:tcPr>
          <w:p w14:paraId="3A583EAA">
            <w:pPr>
              <w:pStyle w:val="77"/>
              <w:keepNext w:val="0"/>
              <w:keepLines w:val="0"/>
              <w:suppressLineNumbers w:val="0"/>
              <w:spacing w:before="0" w:beforeAutospacing="0" w:after="0" w:afterAutospacing="0"/>
              <w:ind w:left="0" w:right="0"/>
              <w:rPr>
                <w:rFonts w:hint="default"/>
                <w:color w:val="auto"/>
              </w:rPr>
            </w:pPr>
            <w:r>
              <w:rPr>
                <w:rFonts w:hint="default"/>
                <w:color w:val="auto"/>
              </w:rPr>
              <w:t>减振降噪</w:t>
            </w:r>
          </w:p>
        </w:tc>
        <w:tc>
          <w:tcPr>
            <w:tcW w:w="555" w:type="pct"/>
            <w:vAlign w:val="center"/>
          </w:tcPr>
          <w:p w14:paraId="6668C19E">
            <w:pPr>
              <w:pStyle w:val="77"/>
              <w:keepNext w:val="0"/>
              <w:keepLines w:val="0"/>
              <w:suppressLineNumbers w:val="0"/>
              <w:spacing w:before="0" w:beforeAutospacing="0" w:after="0" w:afterAutospacing="0"/>
              <w:ind w:left="0" w:right="0"/>
              <w:rPr>
                <w:rFonts w:hint="default"/>
                <w:color w:val="auto"/>
              </w:rPr>
            </w:pPr>
            <w:r>
              <w:rPr>
                <w:rFonts w:hint="eastAsia"/>
                <w:color w:val="auto"/>
              </w:rPr>
              <w:t>15</w:t>
            </w:r>
          </w:p>
        </w:tc>
        <w:tc>
          <w:tcPr>
            <w:tcW w:w="554" w:type="pct"/>
            <w:vAlign w:val="center"/>
          </w:tcPr>
          <w:p w14:paraId="5BD8BDA3">
            <w:pPr>
              <w:pStyle w:val="77"/>
              <w:keepNext w:val="0"/>
              <w:keepLines w:val="0"/>
              <w:suppressLineNumbers w:val="0"/>
              <w:spacing w:before="0" w:beforeAutospacing="0" w:after="0" w:afterAutospacing="0"/>
              <w:ind w:left="0" w:right="0"/>
              <w:rPr>
                <w:rFonts w:hint="default"/>
                <w:color w:val="auto"/>
              </w:rPr>
            </w:pPr>
            <w:r>
              <w:rPr>
                <w:rFonts w:hint="default"/>
                <w:color w:val="auto"/>
              </w:rPr>
              <w:t>类比法</w:t>
            </w:r>
          </w:p>
        </w:tc>
        <w:tc>
          <w:tcPr>
            <w:tcW w:w="558" w:type="pct"/>
            <w:vAlign w:val="center"/>
          </w:tcPr>
          <w:p w14:paraId="24EFFDFE">
            <w:pPr>
              <w:pStyle w:val="77"/>
              <w:keepNext w:val="0"/>
              <w:keepLines w:val="0"/>
              <w:suppressLineNumbers w:val="0"/>
              <w:spacing w:before="0" w:beforeAutospacing="0" w:after="0" w:afterAutospacing="0"/>
              <w:ind w:left="0" w:right="0"/>
              <w:rPr>
                <w:rFonts w:hint="default"/>
                <w:color w:val="auto"/>
              </w:rPr>
            </w:pPr>
            <w:r>
              <w:rPr>
                <w:rFonts w:hint="default"/>
                <w:color w:val="auto"/>
              </w:rPr>
              <w:t>75</w:t>
            </w:r>
          </w:p>
        </w:tc>
      </w:tr>
    </w:tbl>
    <w:p w14:paraId="5AD27718">
      <w:pPr>
        <w:pStyle w:val="4"/>
        <w:rPr>
          <w:color w:val="auto"/>
        </w:rPr>
      </w:pPr>
      <w:r>
        <w:rPr>
          <w:color w:val="auto"/>
        </w:rPr>
        <w:t>预测模式</w:t>
      </w:r>
    </w:p>
    <w:p w14:paraId="572FC708">
      <w:pPr>
        <w:ind w:firstLine="480"/>
        <w:rPr>
          <w:color w:val="auto"/>
        </w:rPr>
      </w:pPr>
      <w:r>
        <w:rPr>
          <w:color w:val="auto"/>
        </w:rPr>
        <w:t>（1）单机噪声预测模式</w:t>
      </w:r>
    </w:p>
    <w:p w14:paraId="5EF36CA6">
      <w:pPr>
        <w:ind w:firstLine="480"/>
        <w:rPr>
          <w:color w:val="auto"/>
        </w:rPr>
      </w:pPr>
      <w:r>
        <w:rPr>
          <w:color w:val="auto"/>
        </w:rPr>
        <w:t>根据噪声源的特性，采用以下噪声影响计算模式：</w:t>
      </w:r>
    </w:p>
    <w:p w14:paraId="3B9C07FA">
      <w:pPr>
        <w:ind w:firstLine="643"/>
        <w:jc w:val="center"/>
        <w:rPr>
          <w:color w:val="auto"/>
        </w:rPr>
      </w:pPr>
      <w:r>
        <w:rPr>
          <w:rFonts w:eastAsia="黑体"/>
          <w:b/>
          <w:bCs/>
          <w:color w:val="auto"/>
          <w:sz w:val="32"/>
          <w:szCs w:val="32"/>
        </w:rPr>
        <w:drawing>
          <wp:inline distT="0" distB="0" distL="0" distR="0">
            <wp:extent cx="2065020" cy="350520"/>
            <wp:effectExtent l="0" t="0" r="0" b="0"/>
            <wp:docPr id="6" name="图片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065020" cy="350520"/>
                    </a:xfrm>
                    <a:prstGeom prst="rect">
                      <a:avLst/>
                    </a:prstGeom>
                    <a:noFill/>
                    <a:ln>
                      <a:noFill/>
                    </a:ln>
                  </pic:spPr>
                </pic:pic>
              </a:graphicData>
            </a:graphic>
          </wp:inline>
        </w:drawing>
      </w:r>
    </w:p>
    <w:p w14:paraId="6BEADC55">
      <w:pPr>
        <w:ind w:firstLine="480"/>
        <w:rPr>
          <w:color w:val="auto"/>
        </w:rPr>
      </w:pPr>
      <w:r>
        <w:rPr>
          <w:color w:val="auto"/>
        </w:rPr>
        <w:t>式中：</w:t>
      </w:r>
      <w:r>
        <w:rPr>
          <w:i/>
          <w:color w:val="auto"/>
        </w:rPr>
        <w:t>L</w:t>
      </w:r>
      <w:r>
        <w:rPr>
          <w:color w:val="auto"/>
          <w:vertAlign w:val="subscript"/>
        </w:rPr>
        <w:t>i</w:t>
      </w:r>
      <w:r>
        <w:rPr>
          <w:color w:val="auto"/>
        </w:rPr>
        <w:t>——距声源r</w:t>
      </w:r>
      <w:r>
        <w:rPr>
          <w:color w:val="auto"/>
          <w:vertAlign w:val="subscript"/>
        </w:rPr>
        <w:t>i</w:t>
      </w:r>
      <w:r>
        <w:rPr>
          <w:color w:val="auto"/>
        </w:rPr>
        <w:t>处的声级[dB(A)]。</w:t>
      </w:r>
    </w:p>
    <w:p w14:paraId="2C1392E7">
      <w:pPr>
        <w:ind w:firstLine="1200" w:firstLineChars="500"/>
        <w:rPr>
          <w:color w:val="auto"/>
        </w:rPr>
      </w:pPr>
      <w:r>
        <w:rPr>
          <w:i/>
          <w:color w:val="auto"/>
        </w:rPr>
        <w:t>L</w:t>
      </w:r>
      <w:r>
        <w:rPr>
          <w:color w:val="auto"/>
          <w:vertAlign w:val="subscript"/>
        </w:rPr>
        <w:t>0</w:t>
      </w:r>
      <w:r>
        <w:rPr>
          <w:color w:val="auto"/>
        </w:rPr>
        <w:t>——距声源r</w:t>
      </w:r>
      <w:r>
        <w:rPr>
          <w:color w:val="auto"/>
          <w:vertAlign w:val="subscript"/>
        </w:rPr>
        <w:t>0</w:t>
      </w:r>
      <w:r>
        <w:rPr>
          <w:color w:val="auto"/>
        </w:rPr>
        <w:t>处的声级[dB(A)]。</w:t>
      </w:r>
    </w:p>
    <w:p w14:paraId="05F782A9">
      <w:pPr>
        <w:ind w:firstLine="1200" w:firstLineChars="500"/>
        <w:rPr>
          <w:color w:val="auto"/>
        </w:rPr>
      </w:pPr>
      <w:r>
        <w:rPr>
          <w:color w:val="auto"/>
        </w:rPr>
        <w:t>Δ</w:t>
      </w:r>
      <w:r>
        <w:rPr>
          <w:i/>
          <w:color w:val="auto"/>
        </w:rPr>
        <w:t>L</w:t>
      </w:r>
      <w:r>
        <w:rPr>
          <w:color w:val="auto"/>
        </w:rPr>
        <w:t>——其它因素引起的噪声衰减量，保守取0。</w:t>
      </w:r>
    </w:p>
    <w:p w14:paraId="035C3F9A">
      <w:pPr>
        <w:ind w:firstLine="480"/>
        <w:rPr>
          <w:color w:val="auto"/>
        </w:rPr>
      </w:pPr>
      <w:r>
        <w:rPr>
          <w:color w:val="auto"/>
        </w:rPr>
        <w:t>工程营运期作业机械高噪声源为输送泵以及船舶发动机，根据同类工程现场实测资料，确定本工程主要装卸作业机械噪声源强见表2.3-8。</w:t>
      </w:r>
    </w:p>
    <w:p w14:paraId="05009EE3">
      <w:pPr>
        <w:ind w:firstLine="480"/>
        <w:rPr>
          <w:color w:val="auto"/>
        </w:rPr>
      </w:pPr>
      <w:r>
        <w:rPr>
          <w:color w:val="auto"/>
        </w:rPr>
        <w:t>（2）各声源在预测点产生的合成声级采用以下计算模式：</w:t>
      </w:r>
    </w:p>
    <w:p w14:paraId="03DC16D4">
      <w:pPr>
        <w:keepNext w:val="0"/>
        <w:keepLines w:val="0"/>
        <w:pageBreakBefore w:val="0"/>
        <w:widowControl w:val="0"/>
        <w:kinsoku/>
        <w:wordWrap/>
        <w:overflowPunct/>
        <w:topLinePunct w:val="0"/>
        <w:autoSpaceDE/>
        <w:autoSpaceDN/>
        <w:bidi w:val="0"/>
        <w:adjustRightInd/>
        <w:snapToGrid/>
        <w:spacing w:line="240" w:lineRule="auto"/>
        <w:ind w:firstLine="643"/>
        <w:jc w:val="center"/>
        <w:textAlignment w:val="auto"/>
        <w:rPr>
          <w:color w:val="auto"/>
        </w:rPr>
      </w:pPr>
      <w:r>
        <w:rPr>
          <w:rFonts w:eastAsia="黑体"/>
          <w:b/>
          <w:bCs/>
          <w:color w:val="auto"/>
          <w:sz w:val="32"/>
          <w:szCs w:val="32"/>
        </w:rPr>
        <w:drawing>
          <wp:inline distT="0" distB="0" distL="0" distR="0">
            <wp:extent cx="1628140" cy="611505"/>
            <wp:effectExtent l="0" t="0" r="7620" b="10795"/>
            <wp:docPr id="7" name="图片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1628140" cy="611505"/>
                    </a:xfrm>
                    <a:prstGeom prst="rect">
                      <a:avLst/>
                    </a:prstGeom>
                    <a:noFill/>
                    <a:ln>
                      <a:noFill/>
                    </a:ln>
                  </pic:spPr>
                </pic:pic>
              </a:graphicData>
            </a:graphic>
          </wp:inline>
        </w:drawing>
      </w:r>
    </w:p>
    <w:p w14:paraId="2D646483">
      <w:pPr>
        <w:keepNext w:val="0"/>
        <w:keepLines w:val="0"/>
        <w:pageBreakBefore w:val="0"/>
        <w:widowControl w:val="0"/>
        <w:kinsoku/>
        <w:wordWrap/>
        <w:overflowPunct/>
        <w:topLinePunct w:val="0"/>
        <w:autoSpaceDE/>
        <w:autoSpaceDN/>
        <w:bidi w:val="0"/>
        <w:adjustRightInd/>
        <w:snapToGrid/>
        <w:spacing w:line="240" w:lineRule="auto"/>
        <w:ind w:firstLine="480"/>
        <w:textAlignment w:val="auto"/>
        <w:rPr>
          <w:color w:val="auto"/>
        </w:rPr>
      </w:pPr>
      <w:r>
        <w:rPr>
          <w:color w:val="auto"/>
        </w:rPr>
        <w:t>（3）计算预测点昼间或夜间的环境噪声预测值(LAeq)预计算式为：</w:t>
      </w:r>
    </w:p>
    <w:p w14:paraId="7F70B07B">
      <w:pPr>
        <w:ind w:firstLine="480"/>
        <w:jc w:val="center"/>
        <w:rPr>
          <w:snapToGrid w:val="0"/>
          <w:color w:val="auto"/>
          <w:kern w:val="0"/>
        </w:rPr>
      </w:pPr>
      <w:r>
        <w:rPr>
          <w:snapToGrid w:val="0"/>
          <w:color w:val="auto"/>
          <w:kern w:val="0"/>
        </w:rPr>
        <w:t>（L</w:t>
      </w:r>
      <w:r>
        <w:rPr>
          <w:snapToGrid w:val="0"/>
          <w:color w:val="auto"/>
          <w:kern w:val="0"/>
          <w:vertAlign w:val="subscript"/>
        </w:rPr>
        <w:t>Aeq</w:t>
      </w:r>
      <w:r>
        <w:rPr>
          <w:snapToGrid w:val="0"/>
          <w:color w:val="auto"/>
          <w:kern w:val="0"/>
        </w:rPr>
        <w:t>）</w:t>
      </w:r>
      <w:r>
        <w:rPr>
          <w:snapToGrid w:val="0"/>
          <w:color w:val="auto"/>
          <w:kern w:val="0"/>
          <w:vertAlign w:val="subscript"/>
        </w:rPr>
        <w:t>预</w:t>
      </w:r>
      <w:r>
        <w:rPr>
          <w:snapToGrid w:val="0"/>
          <w:color w:val="auto"/>
          <w:kern w:val="0"/>
        </w:rPr>
        <w:t>＝10lg[10</w:t>
      </w:r>
      <w:r>
        <w:rPr>
          <w:snapToGrid w:val="0"/>
          <w:color w:val="auto"/>
          <w:kern w:val="0"/>
          <w:vertAlign w:val="superscript"/>
        </w:rPr>
        <w:t>0.1(LAeq)TP</w:t>
      </w:r>
      <w:r>
        <w:rPr>
          <w:snapToGrid w:val="0"/>
          <w:color w:val="auto"/>
          <w:kern w:val="0"/>
        </w:rPr>
        <w:t>+10</w:t>
      </w:r>
      <w:r>
        <w:rPr>
          <w:snapToGrid w:val="0"/>
          <w:color w:val="auto"/>
          <w:kern w:val="0"/>
          <w:vertAlign w:val="superscript"/>
        </w:rPr>
        <w:t>0.1(LAeq)背</w:t>
      </w:r>
      <w:r>
        <w:rPr>
          <w:snapToGrid w:val="0"/>
          <w:color w:val="auto"/>
          <w:kern w:val="0"/>
        </w:rPr>
        <w:t>]</w:t>
      </w:r>
    </w:p>
    <w:p w14:paraId="212F560C">
      <w:pPr>
        <w:ind w:firstLine="480"/>
        <w:rPr>
          <w:color w:val="auto"/>
        </w:rPr>
      </w:pPr>
      <w:r>
        <w:rPr>
          <w:color w:val="auto"/>
        </w:rPr>
        <w:t>式中：</w:t>
      </w:r>
      <w:r>
        <w:rPr>
          <w:snapToGrid w:val="0"/>
          <w:color w:val="auto"/>
          <w:kern w:val="0"/>
        </w:rPr>
        <w:t>（L</w:t>
      </w:r>
      <w:r>
        <w:rPr>
          <w:snapToGrid w:val="0"/>
          <w:color w:val="auto"/>
          <w:kern w:val="0"/>
          <w:vertAlign w:val="subscript"/>
        </w:rPr>
        <w:t>Aeq</w:t>
      </w:r>
      <w:r>
        <w:rPr>
          <w:snapToGrid w:val="0"/>
          <w:color w:val="auto"/>
          <w:kern w:val="0"/>
        </w:rPr>
        <w:t>）</w:t>
      </w:r>
      <w:r>
        <w:rPr>
          <w:snapToGrid w:val="0"/>
          <w:color w:val="auto"/>
          <w:kern w:val="0"/>
          <w:vertAlign w:val="subscript"/>
        </w:rPr>
        <w:t>背</w:t>
      </w:r>
      <w:r>
        <w:rPr>
          <w:snapToGrid w:val="0"/>
          <w:color w:val="auto"/>
          <w:kern w:val="0"/>
        </w:rPr>
        <w:t>——环境噪声现状值，</w:t>
      </w:r>
      <w:r>
        <w:rPr>
          <w:color w:val="auto"/>
        </w:rPr>
        <w:t>[dB(A)]。</w:t>
      </w:r>
    </w:p>
    <w:p w14:paraId="3004CB79">
      <w:pPr>
        <w:pStyle w:val="6"/>
        <w:rPr>
          <w:color w:val="auto"/>
        </w:rPr>
      </w:pPr>
      <w:r>
        <w:rPr>
          <w:color w:val="auto"/>
        </w:rPr>
        <w:t>评价标准</w:t>
      </w:r>
    </w:p>
    <w:p w14:paraId="42FEB4E0">
      <w:pPr>
        <w:ind w:firstLine="480"/>
        <w:rPr>
          <w:color w:val="auto"/>
        </w:rPr>
      </w:pPr>
      <w:r>
        <w:rPr>
          <w:color w:val="auto"/>
        </w:rPr>
        <w:t>厂界噪声执行《工业企业厂界环境噪声排放标准》（GB12348-2008）中的3类标准。</w:t>
      </w:r>
    </w:p>
    <w:p w14:paraId="40439B84">
      <w:pPr>
        <w:pStyle w:val="6"/>
        <w:rPr>
          <w:color w:val="auto"/>
        </w:rPr>
      </w:pPr>
      <w:r>
        <w:rPr>
          <w:color w:val="auto"/>
        </w:rPr>
        <w:t>预测结果及分析</w:t>
      </w:r>
    </w:p>
    <w:p w14:paraId="7CB1ECF8">
      <w:pPr>
        <w:ind w:firstLine="480"/>
        <w:rPr>
          <w:color w:val="auto"/>
        </w:rPr>
      </w:pPr>
      <w:r>
        <w:rPr>
          <w:color w:val="auto"/>
        </w:rPr>
        <w:t>采用模式可模拟预测拟建项目噪声源同时产生噪声对建设项目厂界的影响，以拟建项目工程的噪声贡献值作为评价量。</w:t>
      </w:r>
    </w:p>
    <w:p w14:paraId="50DCD403">
      <w:pPr>
        <w:pStyle w:val="14"/>
        <w:rPr>
          <w:color w:val="auto"/>
        </w:rPr>
      </w:pPr>
      <w:r>
        <w:rPr>
          <w:rFonts w:hint="eastAsia"/>
          <w:color w:val="auto"/>
        </w:rPr>
        <w:t>表</w:t>
      </w:r>
      <w:r>
        <w:rPr>
          <w:color w:val="auto"/>
        </w:rPr>
        <w:t>4.4</w:t>
      </w:r>
      <w:r>
        <w:rPr>
          <w:color w:val="auto"/>
        </w:rPr>
        <w:noBreakHyphen/>
      </w:r>
      <w:r>
        <w:rPr>
          <w:color w:val="auto"/>
        </w:rPr>
        <w:t>2厂界噪声预测结果单位：dB(A)</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5"/>
        <w:gridCol w:w="1569"/>
        <w:gridCol w:w="1010"/>
        <w:gridCol w:w="1126"/>
        <w:gridCol w:w="897"/>
        <w:gridCol w:w="1223"/>
        <w:gridCol w:w="927"/>
        <w:gridCol w:w="849"/>
      </w:tblGrid>
      <w:tr w14:paraId="4BCE0B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8" w:hRule="atLeast"/>
          <w:tblHeader/>
          <w:jc w:val="center"/>
        </w:trPr>
        <w:tc>
          <w:tcPr>
            <w:tcW w:w="675" w:type="dxa"/>
            <w:vMerge w:val="restart"/>
            <w:vAlign w:val="center"/>
          </w:tcPr>
          <w:p w14:paraId="42BE62E9">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序号</w:t>
            </w:r>
          </w:p>
        </w:tc>
        <w:tc>
          <w:tcPr>
            <w:tcW w:w="1569" w:type="dxa"/>
            <w:vMerge w:val="restart"/>
            <w:vAlign w:val="center"/>
          </w:tcPr>
          <w:p w14:paraId="1CE56D19">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预测点及名称</w:t>
            </w:r>
          </w:p>
        </w:tc>
        <w:tc>
          <w:tcPr>
            <w:tcW w:w="4256" w:type="dxa"/>
            <w:gridSpan w:val="4"/>
            <w:vAlign w:val="center"/>
          </w:tcPr>
          <w:p w14:paraId="28971380">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贡献值</w:t>
            </w:r>
          </w:p>
        </w:tc>
        <w:tc>
          <w:tcPr>
            <w:tcW w:w="1776" w:type="dxa"/>
            <w:gridSpan w:val="2"/>
            <w:vAlign w:val="center"/>
          </w:tcPr>
          <w:p w14:paraId="46D3F0EA">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标准限值</w:t>
            </w:r>
          </w:p>
        </w:tc>
      </w:tr>
      <w:tr w14:paraId="0E2285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8" w:hRule="atLeast"/>
          <w:tblHeader/>
          <w:jc w:val="center"/>
        </w:trPr>
        <w:tc>
          <w:tcPr>
            <w:tcW w:w="675" w:type="dxa"/>
            <w:vMerge w:val="continue"/>
            <w:vAlign w:val="center"/>
          </w:tcPr>
          <w:p w14:paraId="3A9E62E3">
            <w:pPr>
              <w:pStyle w:val="77"/>
              <w:keepNext w:val="0"/>
              <w:keepLines w:val="0"/>
              <w:suppressLineNumbers w:val="0"/>
              <w:spacing w:before="0" w:beforeAutospacing="0" w:after="0" w:afterAutospacing="0"/>
              <w:ind w:left="0" w:right="0"/>
              <w:rPr>
                <w:rFonts w:hint="default"/>
                <w:b/>
                <w:bCs/>
                <w:color w:val="auto"/>
              </w:rPr>
            </w:pPr>
          </w:p>
        </w:tc>
        <w:tc>
          <w:tcPr>
            <w:tcW w:w="1569" w:type="dxa"/>
            <w:vMerge w:val="continue"/>
            <w:vAlign w:val="center"/>
          </w:tcPr>
          <w:p w14:paraId="6944748E">
            <w:pPr>
              <w:pStyle w:val="77"/>
              <w:keepNext w:val="0"/>
              <w:keepLines w:val="0"/>
              <w:suppressLineNumbers w:val="0"/>
              <w:spacing w:before="0" w:beforeAutospacing="0" w:after="0" w:afterAutospacing="0"/>
              <w:ind w:left="0" w:right="0"/>
              <w:rPr>
                <w:rFonts w:hint="default"/>
                <w:b/>
                <w:bCs/>
                <w:color w:val="auto"/>
              </w:rPr>
            </w:pPr>
          </w:p>
        </w:tc>
        <w:tc>
          <w:tcPr>
            <w:tcW w:w="1010" w:type="dxa"/>
            <w:vAlign w:val="center"/>
          </w:tcPr>
          <w:p w14:paraId="0238607A">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昼间</w:t>
            </w:r>
          </w:p>
        </w:tc>
        <w:tc>
          <w:tcPr>
            <w:tcW w:w="1126" w:type="dxa"/>
            <w:vAlign w:val="center"/>
          </w:tcPr>
          <w:p w14:paraId="47D9E995">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达标情况</w:t>
            </w:r>
          </w:p>
        </w:tc>
        <w:tc>
          <w:tcPr>
            <w:tcW w:w="897" w:type="dxa"/>
            <w:vAlign w:val="center"/>
          </w:tcPr>
          <w:p w14:paraId="0DE2DAFE">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夜间</w:t>
            </w:r>
          </w:p>
        </w:tc>
        <w:tc>
          <w:tcPr>
            <w:tcW w:w="1223" w:type="dxa"/>
            <w:vAlign w:val="center"/>
          </w:tcPr>
          <w:p w14:paraId="52F7EEEE">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达标情况</w:t>
            </w:r>
          </w:p>
        </w:tc>
        <w:tc>
          <w:tcPr>
            <w:tcW w:w="927" w:type="dxa"/>
            <w:vAlign w:val="center"/>
          </w:tcPr>
          <w:p w14:paraId="0C960432">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昼间</w:t>
            </w:r>
          </w:p>
        </w:tc>
        <w:tc>
          <w:tcPr>
            <w:tcW w:w="849" w:type="dxa"/>
            <w:vAlign w:val="center"/>
          </w:tcPr>
          <w:p w14:paraId="722B9C92">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夜间</w:t>
            </w:r>
          </w:p>
        </w:tc>
      </w:tr>
      <w:tr w14:paraId="453CBB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8" w:hRule="atLeast"/>
          <w:jc w:val="center"/>
        </w:trPr>
        <w:tc>
          <w:tcPr>
            <w:tcW w:w="675" w:type="dxa"/>
            <w:vAlign w:val="center"/>
          </w:tcPr>
          <w:p w14:paraId="5D77A1F1">
            <w:pPr>
              <w:pStyle w:val="77"/>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1569" w:type="dxa"/>
            <w:vAlign w:val="center"/>
          </w:tcPr>
          <w:p w14:paraId="518C8F23">
            <w:pPr>
              <w:pStyle w:val="77"/>
              <w:keepNext w:val="0"/>
              <w:keepLines w:val="0"/>
              <w:suppressLineNumbers w:val="0"/>
              <w:spacing w:before="0" w:beforeAutospacing="0" w:after="0" w:afterAutospacing="0"/>
              <w:ind w:left="0" w:right="0"/>
              <w:rPr>
                <w:rFonts w:hint="default"/>
                <w:color w:val="auto"/>
              </w:rPr>
            </w:pPr>
            <w:r>
              <w:rPr>
                <w:rFonts w:hint="default"/>
                <w:color w:val="auto"/>
              </w:rPr>
              <w:t>厂界东</w:t>
            </w:r>
          </w:p>
        </w:tc>
        <w:tc>
          <w:tcPr>
            <w:tcW w:w="1010" w:type="dxa"/>
          </w:tcPr>
          <w:p w14:paraId="185C23D5">
            <w:pPr>
              <w:pStyle w:val="77"/>
              <w:keepNext w:val="0"/>
              <w:keepLines w:val="0"/>
              <w:suppressLineNumbers w:val="0"/>
              <w:spacing w:before="0" w:beforeAutospacing="0" w:after="0" w:afterAutospacing="0"/>
              <w:ind w:left="0" w:right="0"/>
              <w:rPr>
                <w:rFonts w:hint="default"/>
                <w:color w:val="auto"/>
              </w:rPr>
            </w:pPr>
            <w:r>
              <w:rPr>
                <w:rFonts w:hint="default"/>
                <w:color w:val="auto"/>
              </w:rPr>
              <w:t>21.7</w:t>
            </w:r>
          </w:p>
        </w:tc>
        <w:tc>
          <w:tcPr>
            <w:tcW w:w="1126" w:type="dxa"/>
            <w:vAlign w:val="center"/>
          </w:tcPr>
          <w:p w14:paraId="21D76E5C">
            <w:pPr>
              <w:pStyle w:val="77"/>
              <w:keepNext w:val="0"/>
              <w:keepLines w:val="0"/>
              <w:suppressLineNumbers w:val="0"/>
              <w:spacing w:before="0" w:beforeAutospacing="0" w:after="0" w:afterAutospacing="0"/>
              <w:ind w:left="0" w:right="0"/>
              <w:rPr>
                <w:rFonts w:hint="default"/>
                <w:color w:val="auto"/>
              </w:rPr>
            </w:pPr>
            <w:r>
              <w:rPr>
                <w:rFonts w:hint="default"/>
                <w:color w:val="auto"/>
              </w:rPr>
              <w:t>达标</w:t>
            </w:r>
          </w:p>
        </w:tc>
        <w:tc>
          <w:tcPr>
            <w:tcW w:w="897" w:type="dxa"/>
          </w:tcPr>
          <w:p w14:paraId="60B179F0">
            <w:pPr>
              <w:pStyle w:val="77"/>
              <w:keepNext w:val="0"/>
              <w:keepLines w:val="0"/>
              <w:suppressLineNumbers w:val="0"/>
              <w:spacing w:before="0" w:beforeAutospacing="0" w:after="0" w:afterAutospacing="0"/>
              <w:ind w:left="0" w:right="0"/>
              <w:rPr>
                <w:rFonts w:hint="default"/>
                <w:color w:val="auto"/>
              </w:rPr>
            </w:pPr>
            <w:r>
              <w:rPr>
                <w:rFonts w:hint="default"/>
                <w:color w:val="auto"/>
              </w:rPr>
              <w:t>21.7</w:t>
            </w:r>
          </w:p>
        </w:tc>
        <w:tc>
          <w:tcPr>
            <w:tcW w:w="1223" w:type="dxa"/>
            <w:vAlign w:val="center"/>
          </w:tcPr>
          <w:p w14:paraId="139FE713">
            <w:pPr>
              <w:pStyle w:val="77"/>
              <w:keepNext w:val="0"/>
              <w:keepLines w:val="0"/>
              <w:suppressLineNumbers w:val="0"/>
              <w:spacing w:before="0" w:beforeAutospacing="0" w:after="0" w:afterAutospacing="0"/>
              <w:ind w:left="0" w:right="0"/>
              <w:rPr>
                <w:rFonts w:hint="default"/>
                <w:color w:val="auto"/>
              </w:rPr>
            </w:pPr>
            <w:r>
              <w:rPr>
                <w:rFonts w:hint="default"/>
                <w:color w:val="auto"/>
              </w:rPr>
              <w:t>达标</w:t>
            </w:r>
          </w:p>
        </w:tc>
        <w:tc>
          <w:tcPr>
            <w:tcW w:w="927" w:type="dxa"/>
            <w:vAlign w:val="center"/>
          </w:tcPr>
          <w:p w14:paraId="7870732E">
            <w:pPr>
              <w:pStyle w:val="77"/>
              <w:keepNext w:val="0"/>
              <w:keepLines w:val="0"/>
              <w:suppressLineNumbers w:val="0"/>
              <w:spacing w:before="0" w:beforeAutospacing="0" w:after="0" w:afterAutospacing="0"/>
              <w:ind w:left="0" w:right="0"/>
              <w:rPr>
                <w:rFonts w:hint="default"/>
                <w:color w:val="auto"/>
              </w:rPr>
            </w:pPr>
            <w:r>
              <w:rPr>
                <w:rFonts w:hint="default"/>
                <w:color w:val="auto"/>
              </w:rPr>
              <w:t>65</w:t>
            </w:r>
          </w:p>
        </w:tc>
        <w:tc>
          <w:tcPr>
            <w:tcW w:w="849" w:type="dxa"/>
            <w:vAlign w:val="center"/>
          </w:tcPr>
          <w:p w14:paraId="0CFF9D28">
            <w:pPr>
              <w:pStyle w:val="77"/>
              <w:keepNext w:val="0"/>
              <w:keepLines w:val="0"/>
              <w:suppressLineNumbers w:val="0"/>
              <w:spacing w:before="0" w:beforeAutospacing="0" w:after="0" w:afterAutospacing="0"/>
              <w:ind w:left="0" w:right="0"/>
              <w:rPr>
                <w:rFonts w:hint="default"/>
                <w:color w:val="auto"/>
              </w:rPr>
            </w:pPr>
            <w:r>
              <w:rPr>
                <w:rFonts w:hint="default"/>
                <w:color w:val="auto"/>
              </w:rPr>
              <w:t>55</w:t>
            </w:r>
          </w:p>
        </w:tc>
      </w:tr>
      <w:tr w14:paraId="57D406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7" w:hRule="atLeast"/>
          <w:jc w:val="center"/>
        </w:trPr>
        <w:tc>
          <w:tcPr>
            <w:tcW w:w="675" w:type="dxa"/>
            <w:vAlign w:val="center"/>
          </w:tcPr>
          <w:p w14:paraId="45EA8CE2">
            <w:pPr>
              <w:pStyle w:val="77"/>
              <w:keepNext w:val="0"/>
              <w:keepLines w:val="0"/>
              <w:suppressLineNumbers w:val="0"/>
              <w:spacing w:before="0" w:beforeAutospacing="0" w:after="0" w:afterAutospacing="0"/>
              <w:ind w:left="0" w:right="0"/>
              <w:rPr>
                <w:rFonts w:hint="default"/>
                <w:color w:val="auto"/>
              </w:rPr>
            </w:pPr>
            <w:r>
              <w:rPr>
                <w:rFonts w:hint="default"/>
                <w:color w:val="auto"/>
              </w:rPr>
              <w:t>2</w:t>
            </w:r>
          </w:p>
        </w:tc>
        <w:tc>
          <w:tcPr>
            <w:tcW w:w="1569" w:type="dxa"/>
            <w:vAlign w:val="center"/>
          </w:tcPr>
          <w:p w14:paraId="522B8302">
            <w:pPr>
              <w:pStyle w:val="77"/>
              <w:keepNext w:val="0"/>
              <w:keepLines w:val="0"/>
              <w:suppressLineNumbers w:val="0"/>
              <w:spacing w:before="0" w:beforeAutospacing="0" w:after="0" w:afterAutospacing="0"/>
              <w:ind w:left="0" w:right="0"/>
              <w:rPr>
                <w:rFonts w:hint="default"/>
                <w:color w:val="auto"/>
              </w:rPr>
            </w:pPr>
            <w:r>
              <w:rPr>
                <w:rFonts w:hint="default"/>
                <w:color w:val="auto"/>
              </w:rPr>
              <w:t>厂界南</w:t>
            </w:r>
          </w:p>
        </w:tc>
        <w:tc>
          <w:tcPr>
            <w:tcW w:w="1010" w:type="dxa"/>
          </w:tcPr>
          <w:p w14:paraId="6A4DB373">
            <w:pPr>
              <w:pStyle w:val="77"/>
              <w:keepNext w:val="0"/>
              <w:keepLines w:val="0"/>
              <w:suppressLineNumbers w:val="0"/>
              <w:spacing w:before="0" w:beforeAutospacing="0" w:after="0" w:afterAutospacing="0"/>
              <w:ind w:left="0" w:right="0"/>
              <w:rPr>
                <w:rFonts w:hint="default"/>
                <w:color w:val="auto"/>
              </w:rPr>
            </w:pPr>
            <w:r>
              <w:rPr>
                <w:rFonts w:hint="default"/>
                <w:color w:val="auto"/>
              </w:rPr>
              <w:t>22.2</w:t>
            </w:r>
          </w:p>
        </w:tc>
        <w:tc>
          <w:tcPr>
            <w:tcW w:w="1126" w:type="dxa"/>
            <w:vAlign w:val="center"/>
          </w:tcPr>
          <w:p w14:paraId="41EA26CF">
            <w:pPr>
              <w:pStyle w:val="77"/>
              <w:keepNext w:val="0"/>
              <w:keepLines w:val="0"/>
              <w:suppressLineNumbers w:val="0"/>
              <w:spacing w:before="0" w:beforeAutospacing="0" w:after="0" w:afterAutospacing="0"/>
              <w:ind w:left="0" w:right="0"/>
              <w:rPr>
                <w:rFonts w:hint="default"/>
                <w:color w:val="auto"/>
              </w:rPr>
            </w:pPr>
            <w:r>
              <w:rPr>
                <w:rFonts w:hint="default"/>
                <w:color w:val="auto"/>
              </w:rPr>
              <w:t>达标</w:t>
            </w:r>
          </w:p>
        </w:tc>
        <w:tc>
          <w:tcPr>
            <w:tcW w:w="897" w:type="dxa"/>
          </w:tcPr>
          <w:p w14:paraId="4EDF997B">
            <w:pPr>
              <w:pStyle w:val="77"/>
              <w:keepNext w:val="0"/>
              <w:keepLines w:val="0"/>
              <w:suppressLineNumbers w:val="0"/>
              <w:spacing w:before="0" w:beforeAutospacing="0" w:after="0" w:afterAutospacing="0"/>
              <w:ind w:left="0" w:right="0"/>
              <w:rPr>
                <w:rFonts w:hint="default"/>
                <w:color w:val="auto"/>
              </w:rPr>
            </w:pPr>
            <w:r>
              <w:rPr>
                <w:rFonts w:hint="default"/>
                <w:color w:val="auto"/>
              </w:rPr>
              <w:t>22.2</w:t>
            </w:r>
          </w:p>
        </w:tc>
        <w:tc>
          <w:tcPr>
            <w:tcW w:w="1223" w:type="dxa"/>
            <w:vAlign w:val="center"/>
          </w:tcPr>
          <w:p w14:paraId="730FEC0E">
            <w:pPr>
              <w:pStyle w:val="77"/>
              <w:keepNext w:val="0"/>
              <w:keepLines w:val="0"/>
              <w:suppressLineNumbers w:val="0"/>
              <w:spacing w:before="0" w:beforeAutospacing="0" w:after="0" w:afterAutospacing="0"/>
              <w:ind w:left="0" w:right="0"/>
              <w:rPr>
                <w:rFonts w:hint="default"/>
                <w:color w:val="auto"/>
              </w:rPr>
            </w:pPr>
            <w:r>
              <w:rPr>
                <w:rFonts w:hint="default"/>
                <w:color w:val="auto"/>
              </w:rPr>
              <w:t>达标</w:t>
            </w:r>
          </w:p>
        </w:tc>
        <w:tc>
          <w:tcPr>
            <w:tcW w:w="927" w:type="dxa"/>
            <w:vAlign w:val="center"/>
          </w:tcPr>
          <w:p w14:paraId="44DFD643">
            <w:pPr>
              <w:pStyle w:val="77"/>
              <w:keepNext w:val="0"/>
              <w:keepLines w:val="0"/>
              <w:suppressLineNumbers w:val="0"/>
              <w:spacing w:before="0" w:beforeAutospacing="0" w:after="0" w:afterAutospacing="0"/>
              <w:ind w:left="0" w:right="0"/>
              <w:rPr>
                <w:rFonts w:hint="default"/>
                <w:color w:val="auto"/>
              </w:rPr>
            </w:pPr>
            <w:r>
              <w:rPr>
                <w:rFonts w:hint="default"/>
                <w:color w:val="auto"/>
              </w:rPr>
              <w:t>65</w:t>
            </w:r>
          </w:p>
        </w:tc>
        <w:tc>
          <w:tcPr>
            <w:tcW w:w="849" w:type="dxa"/>
            <w:vAlign w:val="center"/>
          </w:tcPr>
          <w:p w14:paraId="5A2BA7DF">
            <w:pPr>
              <w:pStyle w:val="77"/>
              <w:keepNext w:val="0"/>
              <w:keepLines w:val="0"/>
              <w:suppressLineNumbers w:val="0"/>
              <w:spacing w:before="0" w:beforeAutospacing="0" w:after="0" w:afterAutospacing="0"/>
              <w:ind w:left="0" w:right="0"/>
              <w:rPr>
                <w:rFonts w:hint="default"/>
                <w:color w:val="auto"/>
              </w:rPr>
            </w:pPr>
            <w:r>
              <w:rPr>
                <w:rFonts w:hint="default"/>
                <w:color w:val="auto"/>
              </w:rPr>
              <w:t>55</w:t>
            </w:r>
          </w:p>
        </w:tc>
      </w:tr>
      <w:tr w14:paraId="631000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6" w:hRule="atLeast"/>
          <w:jc w:val="center"/>
        </w:trPr>
        <w:tc>
          <w:tcPr>
            <w:tcW w:w="675" w:type="dxa"/>
            <w:vAlign w:val="center"/>
          </w:tcPr>
          <w:p w14:paraId="7C0C48AE">
            <w:pPr>
              <w:pStyle w:val="77"/>
              <w:keepNext w:val="0"/>
              <w:keepLines w:val="0"/>
              <w:suppressLineNumbers w:val="0"/>
              <w:spacing w:before="0" w:beforeAutospacing="0" w:after="0" w:afterAutospacing="0"/>
              <w:ind w:left="0" w:right="0"/>
              <w:rPr>
                <w:rFonts w:hint="default"/>
                <w:color w:val="auto"/>
              </w:rPr>
            </w:pPr>
            <w:r>
              <w:rPr>
                <w:rFonts w:hint="default"/>
                <w:color w:val="auto"/>
              </w:rPr>
              <w:t>3</w:t>
            </w:r>
          </w:p>
        </w:tc>
        <w:tc>
          <w:tcPr>
            <w:tcW w:w="1569" w:type="dxa"/>
            <w:vAlign w:val="center"/>
          </w:tcPr>
          <w:p w14:paraId="7E4D25E8">
            <w:pPr>
              <w:pStyle w:val="77"/>
              <w:keepNext w:val="0"/>
              <w:keepLines w:val="0"/>
              <w:suppressLineNumbers w:val="0"/>
              <w:spacing w:before="0" w:beforeAutospacing="0" w:after="0" w:afterAutospacing="0"/>
              <w:ind w:left="0" w:right="0"/>
              <w:rPr>
                <w:rFonts w:hint="default"/>
                <w:color w:val="auto"/>
              </w:rPr>
            </w:pPr>
            <w:r>
              <w:rPr>
                <w:rFonts w:hint="default"/>
                <w:color w:val="auto"/>
              </w:rPr>
              <w:t>厂界西</w:t>
            </w:r>
          </w:p>
        </w:tc>
        <w:tc>
          <w:tcPr>
            <w:tcW w:w="1010" w:type="dxa"/>
          </w:tcPr>
          <w:p w14:paraId="70B4284B">
            <w:pPr>
              <w:pStyle w:val="77"/>
              <w:keepNext w:val="0"/>
              <w:keepLines w:val="0"/>
              <w:suppressLineNumbers w:val="0"/>
              <w:spacing w:before="0" w:beforeAutospacing="0" w:after="0" w:afterAutospacing="0"/>
              <w:ind w:left="0" w:right="0"/>
              <w:rPr>
                <w:rFonts w:hint="default"/>
                <w:color w:val="auto"/>
              </w:rPr>
            </w:pPr>
            <w:r>
              <w:rPr>
                <w:rFonts w:hint="default"/>
                <w:color w:val="auto"/>
              </w:rPr>
              <w:t>21.8</w:t>
            </w:r>
          </w:p>
        </w:tc>
        <w:tc>
          <w:tcPr>
            <w:tcW w:w="1126" w:type="dxa"/>
            <w:vAlign w:val="center"/>
          </w:tcPr>
          <w:p w14:paraId="4A7ABE8E">
            <w:pPr>
              <w:pStyle w:val="77"/>
              <w:keepNext w:val="0"/>
              <w:keepLines w:val="0"/>
              <w:suppressLineNumbers w:val="0"/>
              <w:spacing w:before="0" w:beforeAutospacing="0" w:after="0" w:afterAutospacing="0"/>
              <w:ind w:left="0" w:right="0"/>
              <w:rPr>
                <w:rFonts w:hint="default"/>
                <w:color w:val="auto"/>
              </w:rPr>
            </w:pPr>
            <w:r>
              <w:rPr>
                <w:rFonts w:hint="default"/>
                <w:color w:val="auto"/>
              </w:rPr>
              <w:t>达标</w:t>
            </w:r>
          </w:p>
        </w:tc>
        <w:tc>
          <w:tcPr>
            <w:tcW w:w="897" w:type="dxa"/>
          </w:tcPr>
          <w:p w14:paraId="61ED2A6C">
            <w:pPr>
              <w:pStyle w:val="77"/>
              <w:keepNext w:val="0"/>
              <w:keepLines w:val="0"/>
              <w:suppressLineNumbers w:val="0"/>
              <w:spacing w:before="0" w:beforeAutospacing="0" w:after="0" w:afterAutospacing="0"/>
              <w:ind w:left="0" w:right="0"/>
              <w:rPr>
                <w:rFonts w:hint="default"/>
                <w:color w:val="auto"/>
              </w:rPr>
            </w:pPr>
            <w:r>
              <w:rPr>
                <w:rFonts w:hint="default"/>
                <w:color w:val="auto"/>
              </w:rPr>
              <w:t>21.8</w:t>
            </w:r>
          </w:p>
        </w:tc>
        <w:tc>
          <w:tcPr>
            <w:tcW w:w="1223" w:type="dxa"/>
            <w:vAlign w:val="center"/>
          </w:tcPr>
          <w:p w14:paraId="62814D18">
            <w:pPr>
              <w:pStyle w:val="77"/>
              <w:keepNext w:val="0"/>
              <w:keepLines w:val="0"/>
              <w:suppressLineNumbers w:val="0"/>
              <w:spacing w:before="0" w:beforeAutospacing="0" w:after="0" w:afterAutospacing="0"/>
              <w:ind w:left="0" w:right="0"/>
              <w:rPr>
                <w:rFonts w:hint="default"/>
                <w:color w:val="auto"/>
              </w:rPr>
            </w:pPr>
            <w:r>
              <w:rPr>
                <w:rFonts w:hint="default"/>
                <w:color w:val="auto"/>
              </w:rPr>
              <w:t>达标</w:t>
            </w:r>
          </w:p>
        </w:tc>
        <w:tc>
          <w:tcPr>
            <w:tcW w:w="927" w:type="dxa"/>
            <w:vAlign w:val="center"/>
          </w:tcPr>
          <w:p w14:paraId="15778616">
            <w:pPr>
              <w:pStyle w:val="77"/>
              <w:keepNext w:val="0"/>
              <w:keepLines w:val="0"/>
              <w:suppressLineNumbers w:val="0"/>
              <w:spacing w:before="0" w:beforeAutospacing="0" w:after="0" w:afterAutospacing="0"/>
              <w:ind w:left="0" w:right="0"/>
              <w:rPr>
                <w:rFonts w:hint="default"/>
                <w:color w:val="auto"/>
              </w:rPr>
            </w:pPr>
            <w:r>
              <w:rPr>
                <w:rFonts w:hint="default"/>
                <w:color w:val="auto"/>
              </w:rPr>
              <w:t>65</w:t>
            </w:r>
          </w:p>
        </w:tc>
        <w:tc>
          <w:tcPr>
            <w:tcW w:w="849" w:type="dxa"/>
            <w:vAlign w:val="center"/>
          </w:tcPr>
          <w:p w14:paraId="255FB0D7">
            <w:pPr>
              <w:pStyle w:val="77"/>
              <w:keepNext w:val="0"/>
              <w:keepLines w:val="0"/>
              <w:suppressLineNumbers w:val="0"/>
              <w:spacing w:before="0" w:beforeAutospacing="0" w:after="0" w:afterAutospacing="0"/>
              <w:ind w:left="0" w:right="0"/>
              <w:rPr>
                <w:rFonts w:hint="default"/>
                <w:color w:val="auto"/>
              </w:rPr>
            </w:pPr>
            <w:r>
              <w:rPr>
                <w:rFonts w:hint="default"/>
                <w:color w:val="auto"/>
              </w:rPr>
              <w:t>55</w:t>
            </w:r>
          </w:p>
        </w:tc>
      </w:tr>
      <w:tr w14:paraId="77ECD8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9" w:hRule="atLeast"/>
          <w:jc w:val="center"/>
        </w:trPr>
        <w:tc>
          <w:tcPr>
            <w:tcW w:w="675" w:type="dxa"/>
            <w:vAlign w:val="center"/>
          </w:tcPr>
          <w:p w14:paraId="77EDF52B">
            <w:pPr>
              <w:pStyle w:val="77"/>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1569" w:type="dxa"/>
            <w:vAlign w:val="center"/>
          </w:tcPr>
          <w:p w14:paraId="7EE37811">
            <w:pPr>
              <w:pStyle w:val="77"/>
              <w:keepNext w:val="0"/>
              <w:keepLines w:val="0"/>
              <w:suppressLineNumbers w:val="0"/>
              <w:spacing w:before="0" w:beforeAutospacing="0" w:after="0" w:afterAutospacing="0"/>
              <w:ind w:left="0" w:right="0"/>
              <w:rPr>
                <w:rFonts w:hint="default"/>
                <w:color w:val="auto"/>
              </w:rPr>
            </w:pPr>
            <w:r>
              <w:rPr>
                <w:rFonts w:hint="default"/>
                <w:color w:val="auto"/>
              </w:rPr>
              <w:t>厂界北</w:t>
            </w:r>
          </w:p>
        </w:tc>
        <w:tc>
          <w:tcPr>
            <w:tcW w:w="1010" w:type="dxa"/>
          </w:tcPr>
          <w:p w14:paraId="77821158">
            <w:pPr>
              <w:pStyle w:val="77"/>
              <w:keepNext w:val="0"/>
              <w:keepLines w:val="0"/>
              <w:suppressLineNumbers w:val="0"/>
              <w:spacing w:before="0" w:beforeAutospacing="0" w:after="0" w:afterAutospacing="0"/>
              <w:ind w:left="0" w:right="0"/>
              <w:rPr>
                <w:rFonts w:hint="default"/>
                <w:color w:val="auto"/>
              </w:rPr>
            </w:pPr>
            <w:r>
              <w:rPr>
                <w:rFonts w:hint="default"/>
                <w:color w:val="auto"/>
              </w:rPr>
              <w:t>21.1</w:t>
            </w:r>
          </w:p>
        </w:tc>
        <w:tc>
          <w:tcPr>
            <w:tcW w:w="1126" w:type="dxa"/>
            <w:vAlign w:val="center"/>
          </w:tcPr>
          <w:p w14:paraId="53E04FD5">
            <w:pPr>
              <w:pStyle w:val="77"/>
              <w:keepNext w:val="0"/>
              <w:keepLines w:val="0"/>
              <w:suppressLineNumbers w:val="0"/>
              <w:spacing w:before="0" w:beforeAutospacing="0" w:after="0" w:afterAutospacing="0"/>
              <w:ind w:left="0" w:right="0"/>
              <w:rPr>
                <w:rFonts w:hint="default"/>
                <w:color w:val="auto"/>
              </w:rPr>
            </w:pPr>
            <w:r>
              <w:rPr>
                <w:rFonts w:hint="default"/>
                <w:color w:val="auto"/>
              </w:rPr>
              <w:t>达标</w:t>
            </w:r>
          </w:p>
        </w:tc>
        <w:tc>
          <w:tcPr>
            <w:tcW w:w="897" w:type="dxa"/>
          </w:tcPr>
          <w:p w14:paraId="5F6389C0">
            <w:pPr>
              <w:pStyle w:val="77"/>
              <w:keepNext w:val="0"/>
              <w:keepLines w:val="0"/>
              <w:suppressLineNumbers w:val="0"/>
              <w:spacing w:before="0" w:beforeAutospacing="0" w:after="0" w:afterAutospacing="0"/>
              <w:ind w:left="0" w:right="0"/>
              <w:rPr>
                <w:rFonts w:hint="default"/>
                <w:color w:val="auto"/>
              </w:rPr>
            </w:pPr>
            <w:r>
              <w:rPr>
                <w:rFonts w:hint="default"/>
                <w:color w:val="auto"/>
              </w:rPr>
              <w:t>21.1</w:t>
            </w:r>
          </w:p>
        </w:tc>
        <w:tc>
          <w:tcPr>
            <w:tcW w:w="1223" w:type="dxa"/>
            <w:vAlign w:val="center"/>
          </w:tcPr>
          <w:p w14:paraId="08A86FC2">
            <w:pPr>
              <w:pStyle w:val="77"/>
              <w:keepNext w:val="0"/>
              <w:keepLines w:val="0"/>
              <w:suppressLineNumbers w:val="0"/>
              <w:spacing w:before="0" w:beforeAutospacing="0" w:after="0" w:afterAutospacing="0"/>
              <w:ind w:left="0" w:right="0"/>
              <w:rPr>
                <w:rFonts w:hint="default"/>
                <w:color w:val="auto"/>
              </w:rPr>
            </w:pPr>
            <w:r>
              <w:rPr>
                <w:rFonts w:hint="default"/>
                <w:color w:val="auto"/>
              </w:rPr>
              <w:t>达标</w:t>
            </w:r>
          </w:p>
        </w:tc>
        <w:tc>
          <w:tcPr>
            <w:tcW w:w="927" w:type="dxa"/>
            <w:vAlign w:val="center"/>
          </w:tcPr>
          <w:p w14:paraId="40D41342">
            <w:pPr>
              <w:pStyle w:val="77"/>
              <w:keepNext w:val="0"/>
              <w:keepLines w:val="0"/>
              <w:suppressLineNumbers w:val="0"/>
              <w:spacing w:before="0" w:beforeAutospacing="0" w:after="0" w:afterAutospacing="0"/>
              <w:ind w:left="0" w:right="0"/>
              <w:rPr>
                <w:rFonts w:hint="default"/>
                <w:color w:val="auto"/>
              </w:rPr>
            </w:pPr>
            <w:r>
              <w:rPr>
                <w:rFonts w:hint="default"/>
                <w:color w:val="auto"/>
              </w:rPr>
              <w:t>65</w:t>
            </w:r>
          </w:p>
        </w:tc>
        <w:tc>
          <w:tcPr>
            <w:tcW w:w="849" w:type="dxa"/>
            <w:vAlign w:val="center"/>
          </w:tcPr>
          <w:p w14:paraId="22F3A425">
            <w:pPr>
              <w:pStyle w:val="77"/>
              <w:keepNext w:val="0"/>
              <w:keepLines w:val="0"/>
              <w:suppressLineNumbers w:val="0"/>
              <w:spacing w:before="0" w:beforeAutospacing="0" w:after="0" w:afterAutospacing="0"/>
              <w:ind w:left="0" w:right="0"/>
              <w:rPr>
                <w:rFonts w:hint="default"/>
                <w:color w:val="auto"/>
              </w:rPr>
            </w:pPr>
            <w:r>
              <w:rPr>
                <w:rFonts w:hint="default"/>
                <w:color w:val="auto"/>
              </w:rPr>
              <w:t>55</w:t>
            </w:r>
          </w:p>
        </w:tc>
      </w:tr>
    </w:tbl>
    <w:p w14:paraId="544488F4">
      <w:pPr>
        <w:ind w:firstLine="480"/>
        <w:rPr>
          <w:color w:val="auto"/>
        </w:rPr>
      </w:pPr>
      <w:r>
        <w:rPr>
          <w:color w:val="auto"/>
        </w:rPr>
        <w:t>本项目运营期厂界噪声贡献值可以达到《工业企业厂界环境噪声排放标准》（GB12348-2008）3类噪声排放限值要求，噪声评价范围内已无敏感点，噪声排放对周围环境影响不大。</w:t>
      </w:r>
    </w:p>
    <w:p w14:paraId="6446E9DB">
      <w:pPr>
        <w:pStyle w:val="5"/>
        <w:rPr>
          <w:color w:val="auto"/>
        </w:rPr>
      </w:pPr>
      <w:bookmarkStart w:id="511" w:name="_Toc216103422"/>
      <w:bookmarkStart w:id="512" w:name="_Toc26910040"/>
      <w:bookmarkStart w:id="513" w:name="_Toc216620581"/>
      <w:bookmarkStart w:id="514" w:name="_Toc29131853"/>
      <w:bookmarkStart w:id="515" w:name="_Toc136878517"/>
      <w:bookmarkStart w:id="516" w:name="_Toc223258484"/>
      <w:bookmarkStart w:id="517" w:name="_Toc223595774"/>
      <w:bookmarkStart w:id="518" w:name="_Toc25436994"/>
      <w:bookmarkStart w:id="519" w:name="_Toc135090251"/>
      <w:r>
        <w:rPr>
          <w:rFonts w:hint="eastAsia"/>
          <w:color w:val="auto"/>
        </w:rPr>
        <w:t>运营期</w:t>
      </w:r>
      <w:r>
        <w:rPr>
          <w:color w:val="auto"/>
        </w:rPr>
        <w:t>固体废物影响分析</w:t>
      </w:r>
      <w:bookmarkEnd w:id="511"/>
      <w:bookmarkEnd w:id="512"/>
      <w:bookmarkEnd w:id="513"/>
      <w:bookmarkEnd w:id="514"/>
      <w:bookmarkEnd w:id="515"/>
      <w:bookmarkEnd w:id="516"/>
      <w:bookmarkEnd w:id="517"/>
      <w:bookmarkEnd w:id="518"/>
      <w:bookmarkEnd w:id="519"/>
    </w:p>
    <w:p w14:paraId="0F866202">
      <w:pPr>
        <w:ind w:left="480" w:firstLine="0" w:firstLineChars="0"/>
        <w:rPr>
          <w:color w:val="auto"/>
        </w:rPr>
      </w:pPr>
      <w:r>
        <w:rPr>
          <w:rFonts w:hint="eastAsia"/>
          <w:color w:val="auto"/>
        </w:rPr>
        <w:t>（1）陆域</w:t>
      </w:r>
      <w:r>
        <w:rPr>
          <w:color w:val="auto"/>
        </w:rPr>
        <w:t>生活垃圾</w:t>
      </w:r>
    </w:p>
    <w:p w14:paraId="64622F44">
      <w:pPr>
        <w:ind w:firstLine="480"/>
        <w:rPr>
          <w:color w:val="auto"/>
        </w:rPr>
      </w:pPr>
      <w:r>
        <w:rPr>
          <w:color w:val="auto"/>
        </w:rPr>
        <w:t>本</w:t>
      </w:r>
      <w:r>
        <w:rPr>
          <w:rFonts w:hint="eastAsia"/>
          <w:color w:val="auto"/>
        </w:rPr>
        <w:t>扩建</w:t>
      </w:r>
      <w:r>
        <w:rPr>
          <w:color w:val="auto"/>
        </w:rPr>
        <w:t>项目无新增劳动定员，无新增生活垃圾。</w:t>
      </w:r>
    </w:p>
    <w:p w14:paraId="25BC1D3F">
      <w:pPr>
        <w:ind w:firstLine="480"/>
        <w:rPr>
          <w:color w:val="auto"/>
        </w:rPr>
      </w:pPr>
      <w:r>
        <w:rPr>
          <w:rFonts w:hint="eastAsia"/>
          <w:color w:val="auto"/>
        </w:rPr>
        <w:t>（2）</w:t>
      </w:r>
      <w:r>
        <w:rPr>
          <w:color w:val="auto"/>
        </w:rPr>
        <w:t>船舶固废</w:t>
      </w:r>
    </w:p>
    <w:p w14:paraId="3CBAAFB0">
      <w:pPr>
        <w:ind w:firstLine="480"/>
        <w:rPr>
          <w:color w:val="auto"/>
        </w:rPr>
      </w:pPr>
      <w:r>
        <w:rPr>
          <w:color w:val="auto"/>
        </w:rPr>
        <w:t>根据设计代表船型，船员生活垃圾发生量按1.5kg/天•人计算，到港船舶生活垃圾</w:t>
      </w:r>
      <w:r>
        <w:rPr>
          <w:rFonts w:hint="eastAsia"/>
          <w:color w:val="auto"/>
        </w:rPr>
        <w:t>产生</w:t>
      </w:r>
      <w:r>
        <w:rPr>
          <w:color w:val="auto"/>
        </w:rPr>
        <w:t>量为3.15t/a。船舶垃圾</w:t>
      </w:r>
      <w:r>
        <w:rPr>
          <w:rFonts w:hint="eastAsia"/>
          <w:color w:val="auto"/>
        </w:rPr>
        <w:t>统一收集上岸交由环卫部门清运</w:t>
      </w:r>
      <w:r>
        <w:rPr>
          <w:color w:val="auto"/>
        </w:rPr>
        <w:t>。</w:t>
      </w:r>
    </w:p>
    <w:p w14:paraId="5A4E2681">
      <w:pPr>
        <w:ind w:firstLine="480"/>
        <w:rPr>
          <w:color w:val="auto"/>
        </w:rPr>
      </w:pPr>
      <w:r>
        <w:rPr>
          <w:rFonts w:hint="eastAsia"/>
          <w:color w:val="auto"/>
        </w:rPr>
        <w:t>本项目到港船舶不在本项目码头维修，故不产生船舶检修废物。</w:t>
      </w:r>
    </w:p>
    <w:p w14:paraId="0327FCB5">
      <w:pPr>
        <w:ind w:left="480" w:firstLine="0" w:firstLineChars="0"/>
        <w:rPr>
          <w:color w:val="auto"/>
        </w:rPr>
      </w:pPr>
      <w:r>
        <w:rPr>
          <w:rFonts w:hint="eastAsia"/>
          <w:color w:val="auto"/>
        </w:rPr>
        <w:t>（3）</w:t>
      </w:r>
      <w:r>
        <w:rPr>
          <w:color w:val="auto"/>
        </w:rPr>
        <w:t>危险废物环境影响分析</w:t>
      </w:r>
    </w:p>
    <w:p w14:paraId="30165710">
      <w:pPr>
        <w:ind w:firstLine="470" w:firstLineChars="196"/>
        <w:rPr>
          <w:color w:val="auto"/>
        </w:rPr>
      </w:pPr>
      <w:r>
        <w:rPr>
          <w:rFonts w:hint="eastAsia"/>
          <w:color w:val="auto"/>
          <w:lang w:val="en-US" w:eastAsia="zh-CN"/>
        </w:rPr>
        <w:t>扩建</w:t>
      </w:r>
      <w:r>
        <w:rPr>
          <w:rFonts w:hint="eastAsia"/>
          <w:color w:val="auto"/>
        </w:rPr>
        <w:t>运营期产生的危险废物主要包括含油废布及棉纱（0.05t/a）</w:t>
      </w:r>
      <w:r>
        <w:rPr>
          <w:rFonts w:hint="eastAsia"/>
          <w:color w:val="auto"/>
          <w:lang w:eastAsia="zh-CN"/>
        </w:rPr>
        <w:t>、油气回收装置冷凝的有机物</w:t>
      </w:r>
      <w:r>
        <w:rPr>
          <w:rFonts w:hint="eastAsia"/>
          <w:color w:val="auto"/>
          <w:lang w:val="en-US" w:eastAsia="zh-CN"/>
        </w:rPr>
        <w:t>20t、废活性炭、含油废滤芯21.74t/a。</w:t>
      </w:r>
      <w:r>
        <w:rPr>
          <w:rFonts w:hint="eastAsia"/>
          <w:color w:val="auto"/>
          <w:u w:val="single"/>
          <w:lang w:val="en-US" w:eastAsia="zh-CN"/>
        </w:rPr>
        <w:t>油气回收装置冷凝的有机物经油气回收装置的油罐收集后，送入物料储罐中，与储罐中储存的物料一起输送利用，不作为危废处理；含油废布及棉纱、废活性炭、含油废滤芯</w:t>
      </w:r>
      <w:r>
        <w:rPr>
          <w:rFonts w:hint="eastAsia"/>
          <w:color w:val="auto"/>
          <w:u w:val="single"/>
        </w:rPr>
        <w:t>依托现有危废暂存库暂存，定期交由有资质的单位接收处理。扩建项目新增货种依托现有储罐进行储存，储罐更换储存货种不进行清罐，储罐按原有的清罐频次进行清罐，本次扩建项目不新增储罐含油污泥。</w:t>
      </w:r>
    </w:p>
    <w:p w14:paraId="5BBDE21E">
      <w:pPr>
        <w:spacing w:line="35" w:lineRule="exact"/>
        <w:ind w:firstLine="480"/>
        <w:rPr>
          <w:color w:val="auto"/>
        </w:rPr>
      </w:pPr>
      <w:bookmarkStart w:id="520" w:name="_Toc135090252"/>
      <w:bookmarkStart w:id="521" w:name="_Toc216103423"/>
      <w:bookmarkStart w:id="522" w:name="_Toc216620582"/>
      <w:bookmarkStart w:id="523" w:name="_Toc136878518"/>
    </w:p>
    <w:p w14:paraId="6A39D274">
      <w:pPr>
        <w:pStyle w:val="5"/>
        <w:rPr>
          <w:color w:val="auto"/>
        </w:rPr>
      </w:pPr>
      <w:bookmarkStart w:id="524" w:name="_Toc223595775"/>
      <w:bookmarkStart w:id="525" w:name="_Toc223258485"/>
      <w:r>
        <w:rPr>
          <w:color w:val="auto"/>
        </w:rPr>
        <w:t>地下水环境影响分析</w:t>
      </w:r>
      <w:bookmarkEnd w:id="520"/>
      <w:bookmarkEnd w:id="521"/>
      <w:bookmarkEnd w:id="522"/>
      <w:bookmarkEnd w:id="523"/>
      <w:bookmarkEnd w:id="524"/>
      <w:bookmarkEnd w:id="525"/>
    </w:p>
    <w:p w14:paraId="474B8EF9">
      <w:pPr>
        <w:ind w:firstLine="480"/>
        <w:rPr>
          <w:color w:val="auto"/>
        </w:rPr>
      </w:pPr>
      <w:r>
        <w:rPr>
          <w:rFonts w:hint="eastAsia"/>
          <w:color w:val="auto"/>
        </w:rPr>
        <w:t>根据《环境影响评价技术导则地下水环境》（HJ610-2016），本扩建项目为三级评价，地下水影响评价应采取解析法预测或类比分析法进行预测；本次</w:t>
      </w:r>
      <w:r>
        <w:rPr>
          <w:color w:val="auto"/>
        </w:rPr>
        <w:t>扩建项目主要依托现有工程</w:t>
      </w:r>
      <w:r>
        <w:rPr>
          <w:rFonts w:hint="eastAsia"/>
          <w:color w:val="auto"/>
        </w:rPr>
        <w:t>建设</w:t>
      </w:r>
      <w:r>
        <w:rPr>
          <w:color w:val="auto"/>
        </w:rPr>
        <w:t>的码头以及后方库区新增</w:t>
      </w:r>
      <w:r>
        <w:rPr>
          <w:rFonts w:hint="eastAsia"/>
          <w:color w:val="auto"/>
        </w:rPr>
        <w:t>甲基叔丁基醚（MTBE）、石脑油、蜡油、渣油、异辛烷（烷基化油）的装卸和储存。</w:t>
      </w:r>
      <w:r>
        <w:rPr>
          <w:color w:val="auto"/>
        </w:rPr>
        <w:t>现有</w:t>
      </w:r>
      <w:r>
        <w:rPr>
          <w:rFonts w:hint="eastAsia"/>
          <w:color w:val="auto"/>
        </w:rPr>
        <w:t>工程</w:t>
      </w:r>
      <w:r>
        <w:rPr>
          <w:color w:val="auto"/>
        </w:rPr>
        <w:t>码头</w:t>
      </w:r>
      <w:r>
        <w:rPr>
          <w:rFonts w:hint="eastAsia"/>
          <w:color w:val="auto"/>
        </w:rPr>
        <w:t>及</w:t>
      </w:r>
      <w:r>
        <w:rPr>
          <w:color w:val="auto"/>
        </w:rPr>
        <w:t>栈桥已硬底化，</w:t>
      </w:r>
      <w:r>
        <w:rPr>
          <w:rFonts w:hint="eastAsia"/>
          <w:color w:val="auto"/>
        </w:rPr>
        <w:t>前沿码头只涉及海域不涉及陆域，即使发生管道泄漏事故，也是直接渗透到海域，影响分析见5风险预测与评价章节。</w:t>
      </w:r>
      <w:r>
        <w:rPr>
          <w:color w:val="auto"/>
        </w:rPr>
        <w:t>根据</w:t>
      </w:r>
      <w:r>
        <w:rPr>
          <w:rFonts w:hint="eastAsia"/>
          <w:color w:val="auto"/>
        </w:rPr>
        <w:t>建设</w:t>
      </w:r>
      <w:r>
        <w:rPr>
          <w:color w:val="auto"/>
        </w:rPr>
        <w:t>单位提供的资料，现有工程罐区采用的防渗措施</w:t>
      </w:r>
      <w:r>
        <w:rPr>
          <w:rFonts w:hint="eastAsia"/>
          <w:color w:val="auto"/>
        </w:rPr>
        <w:t>为“混凝土</w:t>
      </w:r>
      <w:r>
        <w:rPr>
          <w:color w:val="auto"/>
        </w:rPr>
        <w:t>垫层</w:t>
      </w:r>
      <w:r>
        <w:rPr>
          <w:rFonts w:hint="eastAsia"/>
          <w:color w:val="auto"/>
        </w:rPr>
        <w:t>100</w:t>
      </w:r>
      <w:r>
        <w:rPr>
          <w:color w:val="auto"/>
        </w:rPr>
        <w:t>mm+</w:t>
      </w:r>
      <w:r>
        <w:rPr>
          <w:rFonts w:hint="eastAsia"/>
          <w:color w:val="auto"/>
        </w:rPr>
        <w:t>钢筋混凝土承台板+沥青涂层+中粗砂垫层+沥青砂绝缘层+耐热砂浆抹面”，罐区环墙采用C35的抗渗混凝土，表面做≥300μm厚度的环氧沥青涂层。罐区</w:t>
      </w:r>
      <w:r>
        <w:rPr>
          <w:color w:val="auto"/>
        </w:rPr>
        <w:t>的防渗满足</w:t>
      </w:r>
      <w:r>
        <w:rPr>
          <w:rFonts w:hint="eastAsia"/>
          <w:color w:val="auto"/>
        </w:rPr>
        <w:t>《石油化工工程防渗技术规范》（GB/T50934-2013）的</w:t>
      </w:r>
      <w:r>
        <w:rPr>
          <w:color w:val="auto"/>
        </w:rPr>
        <w:t>防渗要求。</w:t>
      </w:r>
      <w:r>
        <w:rPr>
          <w:rFonts w:hint="eastAsia"/>
          <w:color w:val="auto"/>
        </w:rPr>
        <w:t>本项目区域所在地下水流向为西北向东南，项目位于区域地下水流向下游，</w:t>
      </w:r>
      <w:r>
        <w:rPr>
          <w:color w:val="auto"/>
        </w:rPr>
        <w:t>根据</w:t>
      </w:r>
      <w:r>
        <w:rPr>
          <w:rFonts w:hint="eastAsia"/>
          <w:color w:val="auto"/>
        </w:rPr>
        <w:t>公司</w:t>
      </w:r>
      <w:r>
        <w:rPr>
          <w:color w:val="auto"/>
        </w:rPr>
        <w:t>的</w:t>
      </w:r>
      <w:r>
        <w:rPr>
          <w:rFonts w:hint="eastAsia"/>
          <w:color w:val="auto"/>
        </w:rPr>
        <w:t>地下水</w:t>
      </w:r>
      <w:r>
        <w:rPr>
          <w:color w:val="auto"/>
        </w:rPr>
        <w:t>常规检测报告《</w:t>
      </w:r>
      <w:r>
        <w:rPr>
          <w:rFonts w:hint="eastAsia"/>
          <w:color w:val="auto"/>
        </w:rPr>
        <w:t>广西</w:t>
      </w:r>
      <w:r>
        <w:rPr>
          <w:color w:val="auto"/>
        </w:rPr>
        <w:t>东油沥青有限公司</w:t>
      </w:r>
      <w:r>
        <w:rPr>
          <w:rFonts w:hint="eastAsia"/>
          <w:color w:val="auto"/>
        </w:rPr>
        <w:t>2025年</w:t>
      </w:r>
      <w:r>
        <w:rPr>
          <w:color w:val="auto"/>
        </w:rPr>
        <w:t>环境监测服务</w:t>
      </w:r>
      <w:r>
        <w:rPr>
          <w:rFonts w:hint="eastAsia"/>
          <w:color w:val="auto"/>
        </w:rPr>
        <w:t>—地下水检测</w:t>
      </w:r>
      <w:r>
        <w:rPr>
          <w:color w:val="auto"/>
        </w:rPr>
        <w:t>报告》</w:t>
      </w:r>
      <w:r>
        <w:rPr>
          <w:rFonts w:hint="eastAsia"/>
          <w:color w:val="auto"/>
        </w:rPr>
        <w:t>，采样</w:t>
      </w:r>
      <w:r>
        <w:rPr>
          <w:color w:val="auto"/>
        </w:rPr>
        <w:t>时间</w:t>
      </w:r>
      <w:r>
        <w:rPr>
          <w:rFonts w:hint="eastAsia"/>
          <w:color w:val="auto"/>
        </w:rPr>
        <w:t>2025年7月9日，石油类的</w:t>
      </w:r>
      <w:r>
        <w:rPr>
          <w:color w:val="auto"/>
        </w:rPr>
        <w:t>检测结果低于检出限</w:t>
      </w:r>
      <w:r>
        <w:rPr>
          <w:rFonts w:hint="eastAsia"/>
          <w:color w:val="auto"/>
        </w:rPr>
        <w:t>0.01</w:t>
      </w:r>
      <w:r>
        <w:rPr>
          <w:color w:val="auto"/>
        </w:rPr>
        <w:t>mg/L</w:t>
      </w:r>
      <w:r>
        <w:rPr>
          <w:rFonts w:hint="eastAsia"/>
          <w:color w:val="auto"/>
        </w:rPr>
        <w:t>，</w:t>
      </w:r>
      <w:r>
        <w:rPr>
          <w:color w:val="auto"/>
        </w:rPr>
        <w:t>以及以往的常规检测报告</w:t>
      </w:r>
      <w:r>
        <w:rPr>
          <w:rFonts w:hint="eastAsia"/>
          <w:color w:val="auto"/>
        </w:rPr>
        <w:t>，</w:t>
      </w:r>
      <w:r>
        <w:rPr>
          <w:color w:val="auto"/>
        </w:rPr>
        <w:t>地下水</w:t>
      </w:r>
      <w:r>
        <w:rPr>
          <w:rFonts w:hint="eastAsia"/>
          <w:color w:val="auto"/>
          <w:lang w:eastAsia="zh-CN"/>
        </w:rPr>
        <w:t>特征</w:t>
      </w:r>
      <w:r>
        <w:rPr>
          <w:color w:val="auto"/>
        </w:rPr>
        <w:t>因子未出现超标情况</w:t>
      </w:r>
      <w:r>
        <w:rPr>
          <w:rFonts w:hint="eastAsia"/>
          <w:color w:val="auto"/>
        </w:rPr>
        <w:t>。</w:t>
      </w:r>
      <w:r>
        <w:rPr>
          <w:rFonts w:hint="eastAsia"/>
          <w:color w:val="auto"/>
          <w:u w:val="single"/>
          <w:lang w:eastAsia="zh-CN"/>
        </w:rPr>
        <w:t>根据2026年1月28日~29日对场内地下水井的监测结果，4#监测点除Cl-、总硬度、溶解性总固体外，3#监测点与4#监测点其余监测指标均能满足《地下水质量标准》（GB/T14848-2017）Ⅲ类标准要求，</w:t>
      </w:r>
      <w:r>
        <w:rPr>
          <w:color w:val="auto"/>
          <w:u w:val="single"/>
        </w:rPr>
        <w:t>Cl</w:t>
      </w:r>
      <w:r>
        <w:rPr>
          <w:color w:val="auto"/>
          <w:vertAlign w:val="superscript"/>
        </w:rPr>
        <w:t>-</w:t>
      </w:r>
      <w:r>
        <w:rPr>
          <w:rFonts w:hint="eastAsia"/>
          <w:color w:val="auto"/>
          <w:u w:val="single"/>
        </w:rPr>
        <w:t>、总硬度</w:t>
      </w:r>
      <w:r>
        <w:rPr>
          <w:color w:val="auto"/>
          <w:u w:val="single"/>
        </w:rPr>
        <w:t>、溶解性总固体</w:t>
      </w:r>
      <w:r>
        <w:rPr>
          <w:rFonts w:hint="eastAsia"/>
          <w:color w:val="auto"/>
          <w:u w:val="single"/>
          <w:lang w:eastAsia="zh-CN"/>
        </w:rPr>
        <w:t>超标原因可能是海水渗透引起，现有工程主要为汽油、柴油、原油、甲醇等的装卸，超标因子不属于现有工程特征污染物。</w:t>
      </w:r>
      <w:r>
        <w:rPr>
          <w:rFonts w:hint="eastAsia"/>
          <w:color w:val="auto"/>
        </w:rPr>
        <w:t>现有</w:t>
      </w:r>
      <w:r>
        <w:rPr>
          <w:color w:val="auto"/>
        </w:rPr>
        <w:t>工程建设的储罐、管道、防渗措施等</w:t>
      </w:r>
      <w:r>
        <w:rPr>
          <w:rFonts w:hint="eastAsia"/>
          <w:color w:val="auto"/>
        </w:rPr>
        <w:t>措施</w:t>
      </w:r>
      <w:r>
        <w:rPr>
          <w:color w:val="auto"/>
        </w:rPr>
        <w:t>较为完善，项目</w:t>
      </w:r>
      <w:r>
        <w:rPr>
          <w:rFonts w:hint="eastAsia"/>
          <w:color w:val="auto"/>
        </w:rPr>
        <w:t>依托</w:t>
      </w:r>
      <w:r>
        <w:rPr>
          <w:color w:val="auto"/>
        </w:rPr>
        <w:t>现有工程储罐及装卸管道进行装卸</w:t>
      </w:r>
      <w:r>
        <w:rPr>
          <w:rFonts w:hint="eastAsia"/>
          <w:color w:val="auto"/>
        </w:rPr>
        <w:t>和</w:t>
      </w:r>
      <w:r>
        <w:rPr>
          <w:color w:val="auto"/>
        </w:rPr>
        <w:t>储存</w:t>
      </w:r>
      <w:r>
        <w:rPr>
          <w:rFonts w:hint="eastAsia"/>
          <w:color w:val="auto"/>
        </w:rPr>
        <w:t>对</w:t>
      </w:r>
      <w:r>
        <w:rPr>
          <w:color w:val="auto"/>
        </w:rPr>
        <w:t>地下水的影响较小</w:t>
      </w:r>
      <w:r>
        <w:rPr>
          <w:rFonts w:hint="eastAsia"/>
          <w:color w:val="auto"/>
          <w:lang w:eastAsia="zh-CN"/>
        </w:rPr>
        <w:t>，托现有设施新增货种对地下水环境的影响可接受</w:t>
      </w:r>
      <w:r>
        <w:rPr>
          <w:color w:val="auto"/>
        </w:rPr>
        <w:t>。</w:t>
      </w:r>
    </w:p>
    <w:p w14:paraId="5033002A">
      <w:pPr>
        <w:pStyle w:val="5"/>
        <w:rPr>
          <w:color w:val="auto"/>
        </w:rPr>
      </w:pPr>
      <w:bookmarkStart w:id="526" w:name="_Toc136878519"/>
      <w:bookmarkStart w:id="527" w:name="_Toc135090253"/>
      <w:bookmarkStart w:id="528" w:name="_Toc216103424"/>
      <w:bookmarkStart w:id="529" w:name="_Toc223258486"/>
      <w:bookmarkStart w:id="530" w:name="_Toc223595776"/>
      <w:bookmarkStart w:id="531" w:name="_Toc216620583"/>
      <w:r>
        <w:rPr>
          <w:color w:val="auto"/>
        </w:rPr>
        <w:t>土壤环境影响分析</w:t>
      </w:r>
      <w:bookmarkEnd w:id="526"/>
      <w:bookmarkEnd w:id="527"/>
      <w:bookmarkEnd w:id="528"/>
      <w:bookmarkEnd w:id="529"/>
      <w:bookmarkEnd w:id="530"/>
      <w:bookmarkEnd w:id="531"/>
    </w:p>
    <w:p w14:paraId="4F9A18A8">
      <w:pPr>
        <w:ind w:firstLine="480"/>
        <w:rPr>
          <w:b/>
          <w:bCs/>
          <w:color w:val="auto"/>
        </w:rPr>
      </w:pPr>
      <w:r>
        <w:rPr>
          <w:rFonts w:hint="eastAsia"/>
          <w:color w:val="auto"/>
        </w:rPr>
        <w:t>本扩建项目不涉及</w:t>
      </w:r>
      <w:r>
        <w:rPr>
          <w:color w:val="auto"/>
        </w:rPr>
        <w:t>土建施工，仅在码头和后方库区依托现有设施新增货种</w:t>
      </w:r>
      <w:r>
        <w:rPr>
          <w:rFonts w:hint="eastAsia"/>
          <w:color w:val="auto"/>
        </w:rPr>
        <w:t>输送</w:t>
      </w:r>
      <w:r>
        <w:rPr>
          <w:color w:val="auto"/>
        </w:rPr>
        <w:t>和储存，</w:t>
      </w:r>
      <w:r>
        <w:rPr>
          <w:rFonts w:hint="eastAsia"/>
          <w:color w:val="auto"/>
        </w:rPr>
        <w:t>项目</w:t>
      </w:r>
      <w:r>
        <w:rPr>
          <w:color w:val="auto"/>
        </w:rPr>
        <w:t>对土壤产生的影响途径主要为</w:t>
      </w:r>
      <w:r>
        <w:rPr>
          <w:rFonts w:hint="eastAsia"/>
          <w:color w:val="auto"/>
        </w:rPr>
        <w:t>贮存的液态危险废物泄漏后通过下渗、地面裂缝等方式进入土壤，</w:t>
      </w:r>
      <w:r>
        <w:rPr>
          <w:color w:val="auto"/>
        </w:rPr>
        <w:t>以及非甲烷总烃通过大气沉降进入土壤，从而污染土壤环境</w:t>
      </w:r>
      <w:r>
        <w:rPr>
          <w:rFonts w:hint="eastAsia"/>
          <w:color w:val="auto"/>
        </w:rPr>
        <w:t>。根据</w:t>
      </w:r>
      <w:r>
        <w:rPr>
          <w:color w:val="auto"/>
        </w:rPr>
        <w:t>建设单位提供的资料及现场踏勘，现有工程库区及码头均已进行硬底化，罐区的</w:t>
      </w:r>
      <w:r>
        <w:rPr>
          <w:rFonts w:hint="eastAsia"/>
          <w:color w:val="auto"/>
        </w:rPr>
        <w:t>防渗</w:t>
      </w:r>
      <w:r>
        <w:rPr>
          <w:color w:val="auto"/>
        </w:rPr>
        <w:t>措施满足</w:t>
      </w:r>
      <w:r>
        <w:rPr>
          <w:rFonts w:hint="eastAsia"/>
          <w:color w:val="auto"/>
        </w:rPr>
        <w:t>《石油化工工程防渗技术规范》（GB/T50934-2013）的</w:t>
      </w:r>
      <w:r>
        <w:rPr>
          <w:color w:val="auto"/>
        </w:rPr>
        <w:t>要求，</w:t>
      </w:r>
      <w:r>
        <w:rPr>
          <w:rFonts w:hint="eastAsia"/>
          <w:color w:val="auto"/>
        </w:rPr>
        <w:t>输送</w:t>
      </w:r>
      <w:r>
        <w:rPr>
          <w:color w:val="auto"/>
        </w:rPr>
        <w:t>管线均</w:t>
      </w:r>
      <w:r>
        <w:rPr>
          <w:rFonts w:hint="eastAsia"/>
          <w:color w:val="auto"/>
        </w:rPr>
        <w:t>为</w:t>
      </w:r>
      <w:r>
        <w:rPr>
          <w:color w:val="auto"/>
        </w:rPr>
        <w:t>密闭</w:t>
      </w:r>
      <w:r>
        <w:rPr>
          <w:rFonts w:hint="eastAsia"/>
          <w:color w:val="auto"/>
        </w:rPr>
        <w:t>，且管线为架空布设，并做好了防腐防渗措施，</w:t>
      </w:r>
      <w:r>
        <w:rPr>
          <w:color w:val="auto"/>
        </w:rPr>
        <w:t>渗透系数较小，且</w:t>
      </w:r>
      <w:r>
        <w:rPr>
          <w:rFonts w:hint="eastAsia"/>
          <w:color w:val="auto"/>
        </w:rPr>
        <w:t>一般</w:t>
      </w:r>
      <w:r>
        <w:rPr>
          <w:color w:val="auto"/>
        </w:rPr>
        <w:t>情况下，</w:t>
      </w:r>
      <w:r>
        <w:rPr>
          <w:rFonts w:hint="eastAsia"/>
          <w:color w:val="auto"/>
        </w:rPr>
        <w:t>危险</w:t>
      </w:r>
      <w:r>
        <w:rPr>
          <w:color w:val="auto"/>
        </w:rPr>
        <w:t>化学品</w:t>
      </w:r>
      <w:r>
        <w:rPr>
          <w:rFonts w:hint="eastAsia"/>
          <w:color w:val="auto"/>
        </w:rPr>
        <w:t>渗漏的</w:t>
      </w:r>
      <w:r>
        <w:rPr>
          <w:color w:val="auto"/>
        </w:rPr>
        <w:t>可能性较小</w:t>
      </w:r>
      <w:r>
        <w:rPr>
          <w:rFonts w:hint="eastAsia"/>
          <w:color w:val="auto"/>
        </w:rPr>
        <w:t>，本项目运营期对土壤产生的影响很小</w:t>
      </w:r>
      <w:r>
        <w:rPr>
          <w:rFonts w:hint="eastAsia"/>
          <w:color w:val="auto"/>
          <w:lang w:eastAsia="zh-CN"/>
        </w:rPr>
        <w:t>，托现有设施新增货种对土壤环境的影响可接受</w:t>
      </w:r>
      <w:r>
        <w:rPr>
          <w:rFonts w:hint="eastAsia"/>
          <w:b/>
          <w:bCs/>
          <w:color w:val="auto"/>
        </w:rPr>
        <w:t>。</w:t>
      </w:r>
    </w:p>
    <w:p w14:paraId="65B0D738">
      <w:pPr>
        <w:pStyle w:val="5"/>
        <w:rPr>
          <w:color w:val="auto"/>
        </w:rPr>
      </w:pPr>
      <w:bookmarkStart w:id="532" w:name="_Toc223595777"/>
      <w:bookmarkStart w:id="533" w:name="_Toc25436995"/>
      <w:bookmarkStart w:id="534" w:name="_Toc26910041"/>
      <w:bookmarkStart w:id="535" w:name="_Toc136878520"/>
      <w:bookmarkStart w:id="536" w:name="_Toc135090254"/>
      <w:bookmarkStart w:id="537" w:name="_Toc216620584"/>
      <w:bookmarkStart w:id="538" w:name="_Toc216103425"/>
      <w:bookmarkStart w:id="539" w:name="_Toc29131854"/>
      <w:bookmarkStart w:id="540" w:name="_Toc223258487"/>
      <w:r>
        <w:rPr>
          <w:color w:val="auto"/>
        </w:rPr>
        <w:t>生态影响分析</w:t>
      </w:r>
      <w:bookmarkEnd w:id="532"/>
      <w:bookmarkEnd w:id="533"/>
      <w:bookmarkEnd w:id="534"/>
      <w:bookmarkEnd w:id="535"/>
      <w:bookmarkEnd w:id="536"/>
      <w:bookmarkEnd w:id="537"/>
      <w:bookmarkEnd w:id="538"/>
      <w:bookmarkEnd w:id="539"/>
      <w:bookmarkEnd w:id="540"/>
    </w:p>
    <w:p w14:paraId="4C3D78A7">
      <w:pPr>
        <w:ind w:firstLine="480"/>
        <w:rPr>
          <w:color w:val="auto"/>
        </w:rPr>
      </w:pPr>
      <w:r>
        <w:rPr>
          <w:color w:val="auto"/>
        </w:rPr>
        <w:t>项目运营后，码头作业、船舶运行密度增加会产生噪声污染和对作业区水体产生扰动，易受人类活动影响和易受噪声惊扰的物种会远离码头水域，可能会导致码头水域的生物多样性降低。库区储存作业</w:t>
      </w:r>
      <w:r>
        <w:rPr>
          <w:rFonts w:hint="eastAsia"/>
          <w:color w:val="auto"/>
        </w:rPr>
        <w:t>会</w:t>
      </w:r>
      <w:r>
        <w:rPr>
          <w:color w:val="auto"/>
        </w:rPr>
        <w:t>产生噪声及废气污染，易受人类活动影响和噪声惊扰的</w:t>
      </w:r>
      <w:r>
        <w:rPr>
          <w:rFonts w:hint="eastAsia"/>
          <w:color w:val="auto"/>
        </w:rPr>
        <w:t>生物</w:t>
      </w:r>
      <w:r>
        <w:rPr>
          <w:color w:val="auto"/>
        </w:rPr>
        <w:t>会</w:t>
      </w:r>
      <w:r>
        <w:rPr>
          <w:rFonts w:hint="eastAsia"/>
          <w:color w:val="auto"/>
        </w:rPr>
        <w:t>远离</w:t>
      </w:r>
      <w:r>
        <w:rPr>
          <w:color w:val="auto"/>
        </w:rPr>
        <w:t>项目区域，项目周边植物</w:t>
      </w:r>
      <w:r>
        <w:rPr>
          <w:rFonts w:hint="eastAsia"/>
          <w:color w:val="auto"/>
        </w:rPr>
        <w:t>受到</w:t>
      </w:r>
      <w:r>
        <w:rPr>
          <w:color w:val="auto"/>
        </w:rPr>
        <w:t>废气的影响，</w:t>
      </w:r>
      <w:r>
        <w:rPr>
          <w:rFonts w:hint="eastAsia"/>
          <w:color w:val="auto"/>
        </w:rPr>
        <w:t>可能</w:t>
      </w:r>
      <w:r>
        <w:rPr>
          <w:color w:val="auto"/>
        </w:rPr>
        <w:t>会导致生长发育缓慢等问题。</w:t>
      </w:r>
    </w:p>
    <w:p w14:paraId="6D4A7B6D">
      <w:pPr>
        <w:ind w:firstLine="480"/>
        <w:rPr>
          <w:color w:val="auto"/>
        </w:rPr>
      </w:pPr>
      <w:r>
        <w:rPr>
          <w:rFonts w:hint="eastAsia"/>
          <w:color w:val="auto"/>
        </w:rPr>
        <w:t>项目</w:t>
      </w:r>
      <w:r>
        <w:rPr>
          <w:color w:val="auto"/>
        </w:rPr>
        <w:t>所在位置处于</w:t>
      </w:r>
      <w:r>
        <w:rPr>
          <w:rFonts w:hint="eastAsia"/>
          <w:color w:val="auto"/>
        </w:rPr>
        <w:t>工业区</w:t>
      </w:r>
      <w:r>
        <w:rPr>
          <w:color w:val="auto"/>
        </w:rPr>
        <w:t>，</w:t>
      </w:r>
      <w:r>
        <w:rPr>
          <w:rFonts w:hint="eastAsia"/>
          <w:color w:val="auto"/>
        </w:rPr>
        <w:t>植被及</w:t>
      </w:r>
      <w:r>
        <w:rPr>
          <w:color w:val="auto"/>
        </w:rPr>
        <w:t>动物较少，</w:t>
      </w:r>
      <w:r>
        <w:rPr>
          <w:rFonts w:hint="eastAsia"/>
          <w:color w:val="auto"/>
        </w:rPr>
        <w:t>植物一般</w:t>
      </w:r>
      <w:r>
        <w:rPr>
          <w:color w:val="auto"/>
        </w:rPr>
        <w:t>为道路两旁的绿化植物</w:t>
      </w:r>
      <w:r>
        <w:rPr>
          <w:rFonts w:hint="eastAsia"/>
          <w:color w:val="auto"/>
        </w:rPr>
        <w:t>，</w:t>
      </w:r>
      <w:r>
        <w:rPr>
          <w:color w:val="auto"/>
        </w:rPr>
        <w:t>为人工种植</w:t>
      </w:r>
      <w:r>
        <w:rPr>
          <w:rFonts w:hint="eastAsia"/>
          <w:color w:val="auto"/>
        </w:rPr>
        <w:t>。</w:t>
      </w:r>
      <w:r>
        <w:rPr>
          <w:color w:val="auto"/>
        </w:rPr>
        <w:t>码头</w:t>
      </w:r>
      <w:r>
        <w:rPr>
          <w:rFonts w:hint="eastAsia"/>
          <w:color w:val="auto"/>
        </w:rPr>
        <w:t>冲洗</w:t>
      </w:r>
      <w:r>
        <w:rPr>
          <w:color w:val="auto"/>
        </w:rPr>
        <w:t>废水</w:t>
      </w:r>
      <w:r>
        <w:rPr>
          <w:rFonts w:hint="eastAsia"/>
          <w:color w:val="auto"/>
        </w:rPr>
        <w:t>、</w:t>
      </w:r>
      <w:r>
        <w:rPr>
          <w:color w:val="auto"/>
        </w:rPr>
        <w:t>后方库区的生活污水、</w:t>
      </w:r>
      <w:r>
        <w:rPr>
          <w:rFonts w:hint="eastAsia"/>
          <w:color w:val="auto"/>
        </w:rPr>
        <w:t>初期</w:t>
      </w:r>
      <w:r>
        <w:rPr>
          <w:color w:val="auto"/>
        </w:rPr>
        <w:t>雨水</w:t>
      </w:r>
      <w:r>
        <w:rPr>
          <w:rFonts w:hint="eastAsia"/>
          <w:color w:val="auto"/>
        </w:rPr>
        <w:t>经</w:t>
      </w:r>
      <w:r>
        <w:rPr>
          <w:color w:val="auto"/>
        </w:rPr>
        <w:t>收集后</w:t>
      </w:r>
      <w:r>
        <w:rPr>
          <w:rFonts w:hint="eastAsia"/>
          <w:color w:val="auto"/>
        </w:rPr>
        <w:t>由罐车运回东油沥青厂区后统一通过管网输送至广西石化污水处理场进行处理。</w:t>
      </w:r>
      <w:r>
        <w:rPr>
          <w:color w:val="auto"/>
        </w:rPr>
        <w:t>固体废物经有关部门收集、集中处理，不会对</w:t>
      </w:r>
      <w:r>
        <w:rPr>
          <w:rFonts w:hint="eastAsia"/>
          <w:color w:val="auto"/>
        </w:rPr>
        <w:t>海域水</w:t>
      </w:r>
      <w:r>
        <w:rPr>
          <w:color w:val="auto"/>
        </w:rPr>
        <w:t>环境</w:t>
      </w:r>
      <w:r>
        <w:rPr>
          <w:rFonts w:hint="eastAsia"/>
          <w:color w:val="auto"/>
        </w:rPr>
        <w:t>、</w:t>
      </w:r>
      <w:r>
        <w:rPr>
          <w:color w:val="auto"/>
        </w:rPr>
        <w:t>陆域环境造成污染。本次扩建项目新增货种的装卸和储存，</w:t>
      </w:r>
      <w:r>
        <w:rPr>
          <w:rFonts w:hint="eastAsia"/>
          <w:color w:val="auto"/>
        </w:rPr>
        <w:t>扩建</w:t>
      </w:r>
      <w:r>
        <w:rPr>
          <w:color w:val="auto"/>
        </w:rPr>
        <w:t>后装卸量与现有</w:t>
      </w:r>
      <w:r>
        <w:rPr>
          <w:rFonts w:hint="eastAsia"/>
          <w:color w:val="auto"/>
        </w:rPr>
        <w:t>工程</w:t>
      </w:r>
      <w:r>
        <w:rPr>
          <w:color w:val="auto"/>
        </w:rPr>
        <w:t>的装卸</w:t>
      </w:r>
      <w:r>
        <w:rPr>
          <w:rFonts w:hint="eastAsia"/>
          <w:color w:val="auto"/>
        </w:rPr>
        <w:t>量</w:t>
      </w:r>
      <w:r>
        <w:rPr>
          <w:color w:val="auto"/>
        </w:rPr>
        <w:t>差别不大，在相应环保措施落实的情况下，项目运营对</w:t>
      </w:r>
      <w:r>
        <w:rPr>
          <w:rFonts w:hint="eastAsia"/>
          <w:color w:val="auto"/>
        </w:rPr>
        <w:t>海域</w:t>
      </w:r>
      <w:r>
        <w:rPr>
          <w:color w:val="auto"/>
        </w:rPr>
        <w:t>水环境</w:t>
      </w:r>
      <w:r>
        <w:rPr>
          <w:rFonts w:hint="eastAsia"/>
          <w:color w:val="auto"/>
        </w:rPr>
        <w:t>、</w:t>
      </w:r>
      <w:r>
        <w:rPr>
          <w:color w:val="auto"/>
        </w:rPr>
        <w:t>陆域生态环境的影响甚微，对水生生物</w:t>
      </w:r>
      <w:r>
        <w:rPr>
          <w:rFonts w:hint="eastAsia"/>
          <w:color w:val="auto"/>
        </w:rPr>
        <w:t>以及</w:t>
      </w:r>
      <w:r>
        <w:rPr>
          <w:color w:val="auto"/>
        </w:rPr>
        <w:t>陆生生物的不利影响很小。</w:t>
      </w:r>
    </w:p>
    <w:p w14:paraId="5D6DFFDA">
      <w:pPr>
        <w:ind w:firstLine="480"/>
        <w:rPr>
          <w:color w:val="auto"/>
        </w:rPr>
      </w:pPr>
      <w:r>
        <w:rPr>
          <w:color w:val="auto"/>
        </w:rPr>
        <w:t>本项目营运期各项污水经妥善处理后，对周边生态敏感保护目标基本不造成不利影响。其主要影响发生在风险事故时化学品泄漏或燃料油泄露，在潮流作用下扩散至周边敏感区，其影响分析详见风险章节。</w:t>
      </w:r>
    </w:p>
    <w:p w14:paraId="5FFD46C1">
      <w:pPr>
        <w:ind w:firstLine="480"/>
        <w:rPr>
          <w:color w:val="auto"/>
        </w:rPr>
        <w:sectPr>
          <w:headerReference r:id="rId32" w:type="default"/>
          <w:pgSz w:w="11906" w:h="16838"/>
          <w:pgMar w:top="1440" w:right="1134" w:bottom="1440" w:left="1418" w:header="851" w:footer="992" w:gutter="0"/>
          <w:cols w:space="720" w:num="1"/>
          <w:docGrid w:type="lines" w:linePitch="326" w:charSpace="0"/>
        </w:sectPr>
      </w:pPr>
    </w:p>
    <w:p w14:paraId="12903DEC">
      <w:pPr>
        <w:pStyle w:val="3"/>
        <w:jc w:val="left"/>
        <w:rPr>
          <w:color w:val="auto"/>
        </w:rPr>
      </w:pPr>
      <w:bookmarkStart w:id="541" w:name="_Toc223258488"/>
      <w:bookmarkStart w:id="542" w:name="_Toc223595778"/>
      <w:r>
        <w:rPr>
          <w:color w:val="auto"/>
        </w:rPr>
        <w:t>环境风险评价</w:t>
      </w:r>
      <w:bookmarkEnd w:id="541"/>
      <w:bookmarkEnd w:id="542"/>
    </w:p>
    <w:p w14:paraId="42A4381D">
      <w:pPr>
        <w:ind w:firstLine="480"/>
        <w:rPr>
          <w:color w:val="auto"/>
        </w:rPr>
      </w:pPr>
      <w:r>
        <w:rPr>
          <w:color w:val="auto"/>
        </w:rPr>
        <w:t>按照《建设项目环境风险评价技术导则》(HJ169-2018)的要求，环境风险评价的目的是分析和预测本项目存在的潜在危险、有害因素，项目建设和运行期间可能发生的突发性事件或事故（一般不包括人为破坏及自然灾害），引起有毒有害和易燃易爆等物质泄漏，所造成的人身安全与环境影响和损害程度，提出合理可行的防范、应急与减缓措施，以使项目事故率、损失和环境影响达到可接受水平。环境风险评价应把事故引起厂（场）界外人群的伤害、环境质量的恶化及对生态系统影响的预测和防护作为评价工作重点。本环评通过风险识别、风险源项分析和环境风险后果预测分析，了解项目的环境风险可接受程度，并提出环境风险防范措施及应急预案，以使项目的环境风险降至最低。</w:t>
      </w:r>
    </w:p>
    <w:p w14:paraId="31097EE9">
      <w:pPr>
        <w:pStyle w:val="5"/>
        <w:rPr>
          <w:color w:val="auto"/>
        </w:rPr>
      </w:pPr>
      <w:bookmarkStart w:id="543" w:name="_Toc223595779"/>
      <w:bookmarkStart w:id="544" w:name="_Toc223258489"/>
      <w:r>
        <w:rPr>
          <w:color w:val="auto"/>
        </w:rPr>
        <w:t>风险调查</w:t>
      </w:r>
      <w:bookmarkEnd w:id="543"/>
      <w:bookmarkEnd w:id="544"/>
    </w:p>
    <w:p w14:paraId="54568A55">
      <w:pPr>
        <w:pStyle w:val="4"/>
        <w:rPr>
          <w:color w:val="auto"/>
        </w:rPr>
      </w:pPr>
      <w:r>
        <w:rPr>
          <w:color w:val="auto"/>
        </w:rPr>
        <w:t>项目风险源调查</w:t>
      </w:r>
    </w:p>
    <w:p w14:paraId="1705C8FB">
      <w:pPr>
        <w:ind w:firstLine="480"/>
        <w:rPr>
          <w:color w:val="auto"/>
        </w:rPr>
      </w:pPr>
      <w:r>
        <w:rPr>
          <w:color w:val="auto"/>
        </w:rPr>
        <w:t>（1）危险物质</w:t>
      </w:r>
      <w:r>
        <w:rPr>
          <w:rFonts w:hint="eastAsia"/>
          <w:color w:val="auto"/>
        </w:rPr>
        <w:t>识别</w:t>
      </w:r>
    </w:p>
    <w:p w14:paraId="53FC0073">
      <w:pPr>
        <w:ind w:firstLine="480"/>
        <w:rPr>
          <w:color w:val="auto"/>
        </w:rPr>
      </w:pPr>
      <w:r>
        <w:rPr>
          <w:rFonts w:hint="eastAsia"/>
          <w:color w:val="auto"/>
        </w:rPr>
        <w:t>本扩建项目涉及装卸、</w:t>
      </w:r>
      <w:r>
        <w:rPr>
          <w:color w:val="auto"/>
        </w:rPr>
        <w:t>储存</w:t>
      </w:r>
      <w:r>
        <w:rPr>
          <w:rFonts w:hint="eastAsia"/>
          <w:color w:val="auto"/>
        </w:rPr>
        <w:t>货种为新增甲基叔丁基醚（MTBE）、异辛烷（烷基化油）、石脑油、蜡油、渣油5种</w:t>
      </w:r>
      <w:r>
        <w:rPr>
          <w:color w:val="auto"/>
        </w:rPr>
        <w:t>货种</w:t>
      </w:r>
      <w:r>
        <w:rPr>
          <w:rFonts w:hint="eastAsia"/>
          <w:color w:val="auto"/>
        </w:rPr>
        <w:t>，这些货种的管道输送形态、常温下形态均为液体。一旦发生泄漏、火灾、爆炸事故，会对环境和人体健康造成危害。</w:t>
      </w:r>
    </w:p>
    <w:p w14:paraId="05AA2F9F">
      <w:pPr>
        <w:ind w:firstLine="480"/>
        <w:rPr>
          <w:color w:val="auto"/>
        </w:rPr>
      </w:pPr>
      <w:r>
        <w:rPr>
          <w:color w:val="auto"/>
        </w:rPr>
        <w:t>本</w:t>
      </w:r>
      <w:r>
        <w:rPr>
          <w:rFonts w:hint="eastAsia"/>
          <w:color w:val="auto"/>
        </w:rPr>
        <w:t>次</w:t>
      </w:r>
      <w:r>
        <w:rPr>
          <w:color w:val="auto"/>
        </w:rPr>
        <w:t>扩建项目所涉及的风险物质主要为码头</w:t>
      </w:r>
      <w:r>
        <w:rPr>
          <w:rFonts w:hint="eastAsia"/>
          <w:color w:val="auto"/>
        </w:rPr>
        <w:t>装卸</w:t>
      </w:r>
      <w:r>
        <w:rPr>
          <w:color w:val="auto"/>
        </w:rPr>
        <w:t>及码头停靠船舶所使用</w:t>
      </w:r>
      <w:r>
        <w:rPr>
          <w:rFonts w:hint="eastAsia"/>
          <w:color w:val="auto"/>
          <w:lang w:eastAsia="zh-CN"/>
        </w:rPr>
        <w:t>的</w:t>
      </w:r>
      <w:r>
        <w:rPr>
          <w:color w:val="auto"/>
        </w:rPr>
        <w:t>燃料油</w:t>
      </w:r>
      <w:r>
        <w:rPr>
          <w:rFonts w:hint="eastAsia"/>
          <w:color w:val="auto"/>
        </w:rPr>
        <w:t>、</w:t>
      </w:r>
      <w:r>
        <w:rPr>
          <w:color w:val="auto"/>
        </w:rPr>
        <w:t>库区</w:t>
      </w:r>
      <w:r>
        <w:rPr>
          <w:rFonts w:hint="eastAsia"/>
          <w:color w:val="auto"/>
        </w:rPr>
        <w:t>储罐</w:t>
      </w:r>
      <w:r>
        <w:rPr>
          <w:color w:val="auto"/>
        </w:rPr>
        <w:t>储存的油品。根据《建设项目环境风险评价技术导则》（HJ169-2018）附录B对项目所涉及的危险物质进行调查和识别，筛选出工程重点关注危险物质的数量和分布情况见下表。</w:t>
      </w:r>
    </w:p>
    <w:p w14:paraId="6CF19331">
      <w:pPr>
        <w:ind w:firstLine="480"/>
        <w:rPr>
          <w:color w:val="auto"/>
        </w:rPr>
      </w:pPr>
    </w:p>
    <w:p w14:paraId="0AA8B3FE">
      <w:pPr>
        <w:ind w:firstLine="480"/>
        <w:rPr>
          <w:color w:val="auto"/>
        </w:rPr>
        <w:sectPr>
          <w:headerReference r:id="rId33" w:type="default"/>
          <w:pgSz w:w="11906" w:h="16838"/>
          <w:pgMar w:top="1440" w:right="1418" w:bottom="1440" w:left="1418" w:header="851" w:footer="680" w:gutter="0"/>
          <w:cols w:space="720" w:num="1"/>
          <w:docGrid w:type="lines" w:linePitch="326" w:charSpace="0"/>
        </w:sectPr>
      </w:pPr>
    </w:p>
    <w:p w14:paraId="050DCE0D">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color w:val="auto"/>
        </w:rPr>
        <w:t>项目危险源识别表</w:t>
      </w:r>
    </w:p>
    <w:tbl>
      <w:tblPr>
        <w:tblStyle w:val="43"/>
        <w:tblW w:w="521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3" w:type="dxa"/>
          <w:bottom w:w="0" w:type="dxa"/>
          <w:right w:w="23" w:type="dxa"/>
        </w:tblCellMar>
      </w:tblPr>
      <w:tblGrid>
        <w:gridCol w:w="519"/>
        <w:gridCol w:w="1328"/>
        <w:gridCol w:w="873"/>
        <w:gridCol w:w="1117"/>
        <w:gridCol w:w="1248"/>
        <w:gridCol w:w="1248"/>
        <w:gridCol w:w="1391"/>
        <w:gridCol w:w="1248"/>
        <w:gridCol w:w="1391"/>
        <w:gridCol w:w="1391"/>
        <w:gridCol w:w="1043"/>
        <w:gridCol w:w="1815"/>
      </w:tblGrid>
      <w:tr w14:paraId="5AF675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tblHeader/>
          <w:jc w:val="center"/>
        </w:trPr>
        <w:tc>
          <w:tcPr>
            <w:tcW w:w="177" w:type="pct"/>
            <w:vAlign w:val="center"/>
          </w:tcPr>
          <w:p w14:paraId="7DA673B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sz w:val="21"/>
                <w:szCs w:val="21"/>
              </w:rPr>
            </w:pPr>
            <w:r>
              <w:rPr>
                <w:rFonts w:hint="default"/>
                <w:b/>
                <w:bCs/>
                <w:color w:val="auto"/>
                <w:sz w:val="21"/>
                <w:szCs w:val="21"/>
              </w:rPr>
              <w:t>序号</w:t>
            </w:r>
          </w:p>
        </w:tc>
        <w:tc>
          <w:tcPr>
            <w:tcW w:w="454" w:type="pct"/>
            <w:vAlign w:val="center"/>
          </w:tcPr>
          <w:p w14:paraId="75B2B0C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sz w:val="21"/>
                <w:szCs w:val="21"/>
              </w:rPr>
            </w:pPr>
            <w:r>
              <w:rPr>
                <w:rFonts w:hint="default"/>
                <w:b/>
                <w:bCs/>
                <w:color w:val="auto"/>
                <w:sz w:val="21"/>
                <w:szCs w:val="21"/>
              </w:rPr>
              <w:t>危险物质</w:t>
            </w:r>
          </w:p>
        </w:tc>
        <w:tc>
          <w:tcPr>
            <w:tcW w:w="298" w:type="pct"/>
            <w:vAlign w:val="center"/>
          </w:tcPr>
          <w:p w14:paraId="6335FA58">
            <w:pPr>
              <w:keepNext w:val="0"/>
              <w:keepLines w:val="0"/>
              <w:suppressLineNumbers w:val="0"/>
              <w:adjustRightInd w:val="0"/>
              <w:snapToGrid w:val="0"/>
              <w:spacing w:before="0" w:beforeAutospacing="0" w:after="0" w:afterAutospacing="0" w:line="240" w:lineRule="auto"/>
              <w:ind w:left="0" w:right="0" w:firstLine="198" w:firstLineChars="94"/>
              <w:jc w:val="center"/>
              <w:rPr>
                <w:rFonts w:hint="default"/>
                <w:b/>
                <w:bCs/>
                <w:color w:val="auto"/>
                <w:sz w:val="21"/>
                <w:szCs w:val="21"/>
              </w:rPr>
            </w:pPr>
            <w:r>
              <w:rPr>
                <w:rFonts w:hint="default"/>
                <w:b/>
                <w:bCs/>
                <w:color w:val="auto"/>
                <w:sz w:val="21"/>
                <w:szCs w:val="21"/>
              </w:rPr>
              <w:t>CAS号</w:t>
            </w:r>
          </w:p>
        </w:tc>
        <w:tc>
          <w:tcPr>
            <w:tcW w:w="382" w:type="pct"/>
            <w:vAlign w:val="center"/>
          </w:tcPr>
          <w:p w14:paraId="28D1F9A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sz w:val="21"/>
                <w:szCs w:val="21"/>
              </w:rPr>
            </w:pPr>
            <w:r>
              <w:rPr>
                <w:rFonts w:hint="default"/>
                <w:b/>
                <w:bCs/>
                <w:color w:val="auto"/>
                <w:sz w:val="21"/>
                <w:szCs w:val="21"/>
              </w:rPr>
              <w:t>密度kg/m</w:t>
            </w:r>
            <w:r>
              <w:rPr>
                <w:rFonts w:hint="default"/>
                <w:b/>
                <w:bCs/>
                <w:color w:val="auto"/>
                <w:sz w:val="21"/>
                <w:szCs w:val="21"/>
                <w:vertAlign w:val="superscript"/>
              </w:rPr>
              <w:t>3</w:t>
            </w:r>
          </w:p>
        </w:tc>
        <w:tc>
          <w:tcPr>
            <w:tcW w:w="427" w:type="pct"/>
            <w:vAlign w:val="center"/>
          </w:tcPr>
          <w:p w14:paraId="1A62726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sz w:val="21"/>
                <w:szCs w:val="21"/>
              </w:rPr>
            </w:pPr>
            <w:r>
              <w:rPr>
                <w:rFonts w:hint="default"/>
                <w:b/>
                <w:bCs/>
                <w:color w:val="auto"/>
                <w:sz w:val="21"/>
                <w:szCs w:val="21"/>
              </w:rPr>
              <w:t>公称直径（</w:t>
            </w:r>
            <w:r>
              <w:rPr>
                <w:rFonts w:hint="eastAsia"/>
                <w:b/>
                <w:bCs/>
                <w:color w:val="auto"/>
                <w:sz w:val="21"/>
                <w:szCs w:val="21"/>
              </w:rPr>
              <w:t>m</w:t>
            </w:r>
            <w:r>
              <w:rPr>
                <w:rFonts w:hint="default"/>
                <w:b/>
                <w:bCs/>
                <w:color w:val="auto"/>
                <w:sz w:val="21"/>
                <w:szCs w:val="21"/>
              </w:rPr>
              <w:t>m）</w:t>
            </w:r>
          </w:p>
        </w:tc>
        <w:tc>
          <w:tcPr>
            <w:tcW w:w="427" w:type="pct"/>
            <w:vAlign w:val="center"/>
          </w:tcPr>
          <w:p w14:paraId="4DCB95E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sz w:val="21"/>
                <w:szCs w:val="21"/>
              </w:rPr>
            </w:pPr>
            <w:r>
              <w:rPr>
                <w:rFonts w:hint="default"/>
                <w:b/>
                <w:bCs/>
                <w:color w:val="auto"/>
                <w:sz w:val="21"/>
                <w:szCs w:val="21"/>
              </w:rPr>
              <w:t>长度（m）</w:t>
            </w:r>
          </w:p>
        </w:tc>
        <w:tc>
          <w:tcPr>
            <w:tcW w:w="475" w:type="pct"/>
            <w:vAlign w:val="center"/>
          </w:tcPr>
          <w:p w14:paraId="1641EF5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sz w:val="21"/>
                <w:szCs w:val="21"/>
              </w:rPr>
            </w:pPr>
            <w:r>
              <w:rPr>
                <w:rFonts w:hint="default"/>
                <w:b/>
                <w:bCs/>
                <w:color w:val="auto"/>
                <w:sz w:val="21"/>
                <w:szCs w:val="21"/>
              </w:rPr>
              <w:t>在线量/存在量（t）</w:t>
            </w:r>
          </w:p>
        </w:tc>
        <w:tc>
          <w:tcPr>
            <w:tcW w:w="427" w:type="pct"/>
            <w:vAlign w:val="center"/>
          </w:tcPr>
          <w:p w14:paraId="7A87E08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sz w:val="21"/>
                <w:szCs w:val="21"/>
              </w:rPr>
            </w:pPr>
            <w:r>
              <w:rPr>
                <w:rFonts w:hint="default"/>
                <w:b/>
                <w:bCs/>
                <w:color w:val="auto"/>
                <w:sz w:val="21"/>
                <w:szCs w:val="21"/>
              </w:rPr>
              <w:t>是否属于风险物质</w:t>
            </w:r>
          </w:p>
        </w:tc>
        <w:tc>
          <w:tcPr>
            <w:tcW w:w="475" w:type="pct"/>
            <w:vAlign w:val="center"/>
          </w:tcPr>
          <w:p w14:paraId="2E7183B2">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eastAsia="宋体"/>
                <w:b/>
                <w:bCs/>
                <w:color w:val="auto"/>
                <w:sz w:val="21"/>
                <w:szCs w:val="21"/>
                <w:u w:val="single"/>
                <w:lang w:val="en-US" w:eastAsia="zh-CN"/>
              </w:rPr>
            </w:pPr>
            <w:r>
              <w:rPr>
                <w:rFonts w:hint="eastAsia"/>
                <w:b/>
                <w:bCs/>
                <w:color w:val="auto"/>
                <w:sz w:val="21"/>
                <w:szCs w:val="21"/>
                <w:u w:val="single"/>
                <w:lang w:val="en-US" w:eastAsia="zh-CN"/>
              </w:rPr>
              <w:t>危险性</w:t>
            </w:r>
          </w:p>
        </w:tc>
        <w:tc>
          <w:tcPr>
            <w:tcW w:w="475" w:type="pct"/>
            <w:vAlign w:val="center"/>
          </w:tcPr>
          <w:p w14:paraId="49BE7C6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sz w:val="21"/>
                <w:szCs w:val="21"/>
              </w:rPr>
            </w:pPr>
            <w:r>
              <w:rPr>
                <w:rFonts w:hint="default"/>
                <w:b/>
                <w:bCs/>
                <w:color w:val="auto"/>
                <w:sz w:val="21"/>
                <w:szCs w:val="21"/>
              </w:rPr>
              <w:t>HJ169-2018附录B序号</w:t>
            </w:r>
          </w:p>
        </w:tc>
        <w:tc>
          <w:tcPr>
            <w:tcW w:w="356" w:type="pct"/>
            <w:vAlign w:val="center"/>
          </w:tcPr>
          <w:p w14:paraId="2BB76CF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sz w:val="21"/>
                <w:szCs w:val="21"/>
              </w:rPr>
            </w:pPr>
            <w:r>
              <w:rPr>
                <w:rFonts w:hint="default"/>
                <w:b/>
                <w:bCs/>
                <w:color w:val="auto"/>
                <w:sz w:val="21"/>
                <w:szCs w:val="21"/>
              </w:rPr>
              <w:t>临界量</w:t>
            </w:r>
          </w:p>
          <w:p w14:paraId="36DAEDC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sz w:val="21"/>
                <w:szCs w:val="21"/>
              </w:rPr>
            </w:pPr>
            <w:r>
              <w:rPr>
                <w:rFonts w:hint="default"/>
                <w:b/>
                <w:bCs/>
                <w:color w:val="auto"/>
                <w:sz w:val="21"/>
                <w:szCs w:val="21"/>
              </w:rPr>
              <w:t>（t）</w:t>
            </w:r>
          </w:p>
        </w:tc>
        <w:tc>
          <w:tcPr>
            <w:tcW w:w="621" w:type="pct"/>
            <w:vAlign w:val="center"/>
          </w:tcPr>
          <w:p w14:paraId="07E0ED2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sz w:val="21"/>
                <w:szCs w:val="21"/>
              </w:rPr>
            </w:pPr>
            <w:r>
              <w:rPr>
                <w:rFonts w:hint="default"/>
                <w:b/>
                <w:bCs/>
                <w:color w:val="auto"/>
                <w:sz w:val="21"/>
                <w:szCs w:val="21"/>
              </w:rPr>
              <w:t>备注</w:t>
            </w:r>
          </w:p>
        </w:tc>
      </w:tr>
      <w:tr w14:paraId="654C8D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77" w:type="pct"/>
            <w:vMerge w:val="restart"/>
            <w:vAlign w:val="center"/>
          </w:tcPr>
          <w:p w14:paraId="3C18502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p>
        </w:tc>
        <w:tc>
          <w:tcPr>
            <w:tcW w:w="454" w:type="pct"/>
            <w:vMerge w:val="restart"/>
            <w:vAlign w:val="center"/>
          </w:tcPr>
          <w:p w14:paraId="0BC8F18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甲基叔丁基醚（MTBE）</w:t>
            </w:r>
          </w:p>
        </w:tc>
        <w:tc>
          <w:tcPr>
            <w:tcW w:w="298" w:type="pct"/>
            <w:vMerge w:val="restart"/>
            <w:vAlign w:val="center"/>
          </w:tcPr>
          <w:p w14:paraId="36E72C8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1634-04-4</w:t>
            </w:r>
          </w:p>
        </w:tc>
        <w:tc>
          <w:tcPr>
            <w:tcW w:w="382" w:type="pct"/>
            <w:vMerge w:val="restart"/>
            <w:vAlign w:val="center"/>
          </w:tcPr>
          <w:p w14:paraId="5DA2FD8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740</w:t>
            </w:r>
          </w:p>
        </w:tc>
        <w:tc>
          <w:tcPr>
            <w:tcW w:w="427" w:type="pct"/>
            <w:vAlign w:val="center"/>
          </w:tcPr>
          <w:p w14:paraId="50E4BB0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350</w:t>
            </w:r>
          </w:p>
        </w:tc>
        <w:tc>
          <w:tcPr>
            <w:tcW w:w="427" w:type="pct"/>
            <w:vAlign w:val="center"/>
          </w:tcPr>
          <w:p w14:paraId="71E88C2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15530</w:t>
            </w:r>
          </w:p>
        </w:tc>
        <w:tc>
          <w:tcPr>
            <w:tcW w:w="475" w:type="pct"/>
            <w:vAlign w:val="center"/>
          </w:tcPr>
          <w:p w14:paraId="0154C6D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eastAsia="等线"/>
                <w:color w:val="auto"/>
                <w:sz w:val="21"/>
                <w:szCs w:val="21"/>
              </w:rPr>
              <w:t>108.875</w:t>
            </w:r>
          </w:p>
        </w:tc>
        <w:tc>
          <w:tcPr>
            <w:tcW w:w="427" w:type="pct"/>
            <w:vAlign w:val="center"/>
          </w:tcPr>
          <w:p w14:paraId="2C5D4C3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是</w:t>
            </w:r>
          </w:p>
        </w:tc>
        <w:tc>
          <w:tcPr>
            <w:tcW w:w="475" w:type="pct"/>
            <w:vMerge w:val="restart"/>
            <w:vAlign w:val="center"/>
          </w:tcPr>
          <w:p w14:paraId="6CFB851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易燃，有毒</w:t>
            </w:r>
          </w:p>
        </w:tc>
        <w:tc>
          <w:tcPr>
            <w:tcW w:w="475" w:type="pct"/>
            <w:vMerge w:val="restart"/>
            <w:vAlign w:val="center"/>
          </w:tcPr>
          <w:p w14:paraId="1241F4F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b/>
                <w:bCs/>
                <w:color w:val="auto"/>
                <w:sz w:val="21"/>
                <w:szCs w:val="21"/>
              </w:rPr>
              <w:t>表B.1</w:t>
            </w:r>
            <w:r>
              <w:rPr>
                <w:rFonts w:hint="eastAsia"/>
                <w:b/>
                <w:bCs/>
                <w:color w:val="auto"/>
                <w:sz w:val="21"/>
                <w:szCs w:val="21"/>
              </w:rPr>
              <w:t>，</w:t>
            </w:r>
            <w:r>
              <w:rPr>
                <w:rFonts w:hint="default"/>
                <w:color w:val="auto"/>
                <w:sz w:val="21"/>
                <w:szCs w:val="21"/>
              </w:rPr>
              <w:t>177</w:t>
            </w:r>
            <w:r>
              <w:rPr>
                <w:rFonts w:hint="eastAsia"/>
                <w:color w:val="auto"/>
                <w:sz w:val="21"/>
                <w:szCs w:val="21"/>
              </w:rPr>
              <w:t>号</w:t>
            </w:r>
          </w:p>
        </w:tc>
        <w:tc>
          <w:tcPr>
            <w:tcW w:w="356" w:type="pct"/>
            <w:vAlign w:val="center"/>
          </w:tcPr>
          <w:p w14:paraId="075E4C1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10</w:t>
            </w:r>
          </w:p>
        </w:tc>
        <w:tc>
          <w:tcPr>
            <w:tcW w:w="621" w:type="pct"/>
            <w:vAlign w:val="center"/>
          </w:tcPr>
          <w:p w14:paraId="479975E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18"/>
                <w:szCs w:val="18"/>
              </w:rPr>
            </w:pPr>
            <w:r>
              <w:rPr>
                <w:rFonts w:hint="default"/>
                <w:color w:val="auto"/>
                <w:sz w:val="18"/>
                <w:szCs w:val="18"/>
              </w:rPr>
              <w:t>管线内</w:t>
            </w:r>
          </w:p>
        </w:tc>
      </w:tr>
      <w:tr w14:paraId="64F76F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77" w:type="pct"/>
            <w:vMerge w:val="continue"/>
            <w:vAlign w:val="center"/>
          </w:tcPr>
          <w:p w14:paraId="44CEC5F6">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c>
          <w:tcPr>
            <w:tcW w:w="454" w:type="pct"/>
            <w:vMerge w:val="continue"/>
            <w:vAlign w:val="center"/>
          </w:tcPr>
          <w:p w14:paraId="4B8D573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298" w:type="pct"/>
            <w:vMerge w:val="continue"/>
            <w:vAlign w:val="center"/>
          </w:tcPr>
          <w:p w14:paraId="0856D11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82" w:type="pct"/>
            <w:vMerge w:val="continue"/>
            <w:vAlign w:val="center"/>
          </w:tcPr>
          <w:p w14:paraId="059F19A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427" w:type="pct"/>
            <w:vAlign w:val="center"/>
          </w:tcPr>
          <w:p w14:paraId="43A6B53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27" w:type="pct"/>
            <w:vAlign w:val="center"/>
          </w:tcPr>
          <w:p w14:paraId="6D81D6C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75" w:type="pct"/>
            <w:vAlign w:val="center"/>
          </w:tcPr>
          <w:p w14:paraId="2918FF5C">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37000</w:t>
            </w:r>
          </w:p>
        </w:tc>
        <w:tc>
          <w:tcPr>
            <w:tcW w:w="427" w:type="pct"/>
            <w:vAlign w:val="center"/>
          </w:tcPr>
          <w:p w14:paraId="3F09447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是</w:t>
            </w:r>
          </w:p>
        </w:tc>
        <w:tc>
          <w:tcPr>
            <w:tcW w:w="475" w:type="pct"/>
            <w:vMerge w:val="continue"/>
            <w:vAlign w:val="center"/>
          </w:tcPr>
          <w:p w14:paraId="21EF8A0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u w:val="single"/>
              </w:rPr>
            </w:pPr>
          </w:p>
        </w:tc>
        <w:tc>
          <w:tcPr>
            <w:tcW w:w="475" w:type="pct"/>
            <w:vMerge w:val="continue"/>
            <w:vAlign w:val="center"/>
          </w:tcPr>
          <w:p w14:paraId="1F58669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56" w:type="pct"/>
            <w:vAlign w:val="center"/>
          </w:tcPr>
          <w:p w14:paraId="115F411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10</w:t>
            </w:r>
          </w:p>
        </w:tc>
        <w:tc>
          <w:tcPr>
            <w:tcW w:w="621" w:type="pct"/>
            <w:vAlign w:val="center"/>
          </w:tcPr>
          <w:p w14:paraId="0E516E0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18"/>
                <w:szCs w:val="18"/>
              </w:rPr>
            </w:pPr>
            <w:r>
              <w:rPr>
                <w:rFonts w:hint="default"/>
                <w:color w:val="auto"/>
                <w:sz w:val="18"/>
                <w:szCs w:val="18"/>
              </w:rPr>
              <w:t>船舱内，5</w:t>
            </w:r>
            <w:r>
              <w:rPr>
                <w:rFonts w:hint="eastAsia"/>
                <w:color w:val="auto"/>
                <w:sz w:val="18"/>
                <w:szCs w:val="18"/>
              </w:rPr>
              <w:t>0000吨船</w:t>
            </w:r>
          </w:p>
        </w:tc>
      </w:tr>
      <w:tr w14:paraId="431039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77" w:type="pct"/>
            <w:vMerge w:val="continue"/>
            <w:vAlign w:val="center"/>
          </w:tcPr>
          <w:p w14:paraId="037EEF48">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c>
          <w:tcPr>
            <w:tcW w:w="454" w:type="pct"/>
            <w:vMerge w:val="continue"/>
            <w:vAlign w:val="center"/>
          </w:tcPr>
          <w:p w14:paraId="37AE511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298" w:type="pct"/>
            <w:vMerge w:val="continue"/>
            <w:vAlign w:val="center"/>
          </w:tcPr>
          <w:p w14:paraId="356967C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82" w:type="pct"/>
            <w:vMerge w:val="continue"/>
            <w:vAlign w:val="center"/>
          </w:tcPr>
          <w:p w14:paraId="27BDF16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427" w:type="pct"/>
            <w:vAlign w:val="center"/>
          </w:tcPr>
          <w:p w14:paraId="3CE33FF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27" w:type="pct"/>
            <w:vAlign w:val="center"/>
          </w:tcPr>
          <w:p w14:paraId="751A5D2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75" w:type="pct"/>
            <w:vAlign w:val="center"/>
          </w:tcPr>
          <w:p w14:paraId="0F75246C">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7400</w:t>
            </w:r>
          </w:p>
        </w:tc>
        <w:tc>
          <w:tcPr>
            <w:tcW w:w="427" w:type="pct"/>
            <w:vAlign w:val="center"/>
          </w:tcPr>
          <w:p w14:paraId="1C0308FF">
            <w:pPr>
              <w:pStyle w:val="167"/>
              <w:keepNext w:val="0"/>
              <w:keepLines w:val="0"/>
              <w:suppressLineNumbers w:val="0"/>
              <w:spacing w:before="0" w:beforeAutospacing="0" w:after="0" w:afterAutospacing="0"/>
              <w:ind w:right="0"/>
              <w:rPr>
                <w:rFonts w:hint="default"/>
                <w:color w:val="auto"/>
              </w:rPr>
            </w:pPr>
            <w:r>
              <w:rPr>
                <w:rFonts w:hint="default"/>
                <w:color w:val="auto"/>
              </w:rPr>
              <w:t>是</w:t>
            </w:r>
          </w:p>
        </w:tc>
        <w:tc>
          <w:tcPr>
            <w:tcW w:w="475" w:type="pct"/>
            <w:vMerge w:val="continue"/>
            <w:vAlign w:val="center"/>
          </w:tcPr>
          <w:p w14:paraId="22504ECF">
            <w:pPr>
              <w:pStyle w:val="167"/>
              <w:keepNext w:val="0"/>
              <w:keepLines w:val="0"/>
              <w:suppressLineNumbers w:val="0"/>
              <w:spacing w:before="0" w:beforeAutospacing="0" w:after="0" w:afterAutospacing="0"/>
              <w:ind w:right="0"/>
              <w:rPr>
                <w:rFonts w:hint="default"/>
                <w:color w:val="auto"/>
                <w:u w:val="single"/>
              </w:rPr>
            </w:pPr>
          </w:p>
        </w:tc>
        <w:tc>
          <w:tcPr>
            <w:tcW w:w="475" w:type="pct"/>
            <w:vMerge w:val="continue"/>
            <w:vAlign w:val="center"/>
          </w:tcPr>
          <w:p w14:paraId="3E0527D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56" w:type="pct"/>
            <w:vAlign w:val="center"/>
          </w:tcPr>
          <w:p w14:paraId="3F338D1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10</w:t>
            </w:r>
          </w:p>
        </w:tc>
        <w:tc>
          <w:tcPr>
            <w:tcW w:w="621" w:type="pct"/>
            <w:vAlign w:val="center"/>
          </w:tcPr>
          <w:p w14:paraId="37B8AEA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18"/>
                <w:szCs w:val="18"/>
              </w:rPr>
            </w:pPr>
            <w:r>
              <w:rPr>
                <w:rFonts w:hint="eastAsia"/>
                <w:color w:val="auto"/>
                <w:sz w:val="18"/>
                <w:szCs w:val="18"/>
              </w:rPr>
              <w:t>库区，10000</w:t>
            </w:r>
            <w:r>
              <w:rPr>
                <w:rFonts w:hint="default"/>
                <w:color w:val="auto"/>
                <w:sz w:val="18"/>
                <w:szCs w:val="18"/>
              </w:rPr>
              <w:t>m</w:t>
            </w:r>
            <w:r>
              <w:rPr>
                <w:rFonts w:hint="default"/>
                <w:color w:val="auto"/>
                <w:sz w:val="18"/>
                <w:szCs w:val="18"/>
                <w:vertAlign w:val="superscript"/>
              </w:rPr>
              <w:t>3</w:t>
            </w:r>
            <w:r>
              <w:rPr>
                <w:rFonts w:hint="default"/>
                <w:color w:val="auto"/>
                <w:sz w:val="18"/>
                <w:szCs w:val="18"/>
              </w:rPr>
              <w:t>储罐</w:t>
            </w:r>
            <w:r>
              <w:rPr>
                <w:rFonts w:hint="eastAsia"/>
                <w:color w:val="auto"/>
                <w:sz w:val="18"/>
                <w:szCs w:val="18"/>
              </w:rPr>
              <w:t>内</w:t>
            </w:r>
          </w:p>
        </w:tc>
      </w:tr>
      <w:tr w14:paraId="15C15F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77" w:type="pct"/>
            <w:vMerge w:val="restart"/>
            <w:vAlign w:val="center"/>
          </w:tcPr>
          <w:p w14:paraId="6073C8A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2</w:t>
            </w:r>
          </w:p>
        </w:tc>
        <w:tc>
          <w:tcPr>
            <w:tcW w:w="454" w:type="pct"/>
            <w:vMerge w:val="restart"/>
            <w:vAlign w:val="center"/>
          </w:tcPr>
          <w:p w14:paraId="54E625B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异辛烷（烷基化油）</w:t>
            </w:r>
          </w:p>
        </w:tc>
        <w:tc>
          <w:tcPr>
            <w:tcW w:w="298" w:type="pct"/>
            <w:vMerge w:val="restart"/>
            <w:vAlign w:val="center"/>
          </w:tcPr>
          <w:p w14:paraId="1C41659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382" w:type="pct"/>
            <w:vMerge w:val="restart"/>
            <w:vAlign w:val="center"/>
          </w:tcPr>
          <w:p w14:paraId="13E2838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690</w:t>
            </w:r>
          </w:p>
        </w:tc>
        <w:tc>
          <w:tcPr>
            <w:tcW w:w="427" w:type="pct"/>
            <w:vAlign w:val="center"/>
          </w:tcPr>
          <w:p w14:paraId="73DDBF8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350</w:t>
            </w:r>
          </w:p>
        </w:tc>
        <w:tc>
          <w:tcPr>
            <w:tcW w:w="427" w:type="pct"/>
            <w:vAlign w:val="center"/>
          </w:tcPr>
          <w:p w14:paraId="1D0A12F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1300</w:t>
            </w:r>
          </w:p>
        </w:tc>
        <w:tc>
          <w:tcPr>
            <w:tcW w:w="475" w:type="pct"/>
            <w:vAlign w:val="center"/>
          </w:tcPr>
          <w:p w14:paraId="26871F25">
            <w:pPr>
              <w:pStyle w:val="91"/>
              <w:keepNext w:val="0"/>
              <w:keepLines w:val="0"/>
              <w:suppressLineNumbers w:val="0"/>
              <w:spacing w:before="0" w:beforeAutospacing="0" w:after="0" w:afterAutospacing="0"/>
              <w:ind w:left="0" w:right="0"/>
              <w:jc w:val="center"/>
              <w:rPr>
                <w:rFonts w:hint="default"/>
                <w:color w:val="auto"/>
              </w:rPr>
            </w:pPr>
            <w:r>
              <w:rPr>
                <w:rFonts w:hint="default" w:eastAsia="等线"/>
                <w:color w:val="auto"/>
              </w:rPr>
              <w:t>86.258</w:t>
            </w:r>
          </w:p>
        </w:tc>
        <w:tc>
          <w:tcPr>
            <w:tcW w:w="427" w:type="pct"/>
            <w:vAlign w:val="center"/>
          </w:tcPr>
          <w:p w14:paraId="28C2A0DD">
            <w:pPr>
              <w:pStyle w:val="167"/>
              <w:keepNext w:val="0"/>
              <w:keepLines w:val="0"/>
              <w:suppressLineNumbers w:val="0"/>
              <w:spacing w:before="0" w:beforeAutospacing="0" w:after="0" w:afterAutospacing="0"/>
              <w:ind w:right="0"/>
              <w:rPr>
                <w:rFonts w:hint="default"/>
                <w:color w:val="auto"/>
              </w:rPr>
            </w:pPr>
            <w:r>
              <w:rPr>
                <w:rFonts w:hint="default"/>
                <w:color w:val="auto"/>
              </w:rPr>
              <w:t>是</w:t>
            </w:r>
          </w:p>
        </w:tc>
        <w:tc>
          <w:tcPr>
            <w:tcW w:w="475" w:type="pct"/>
            <w:vMerge w:val="restart"/>
            <w:vAlign w:val="center"/>
          </w:tcPr>
          <w:p w14:paraId="7674875E">
            <w:pPr>
              <w:pStyle w:val="167"/>
              <w:keepNext w:val="0"/>
              <w:keepLines w:val="0"/>
              <w:suppressLineNumbers w:val="0"/>
              <w:spacing w:before="0" w:beforeAutospacing="0" w:after="0" w:afterAutospacing="0"/>
              <w:ind w:right="0"/>
              <w:rPr>
                <w:rFonts w:hint="default"/>
                <w:color w:val="auto"/>
                <w:u w:val="single"/>
              </w:rPr>
            </w:pPr>
            <w:r>
              <w:rPr>
                <w:rFonts w:hint="eastAsia"/>
                <w:color w:val="auto"/>
                <w:sz w:val="21"/>
                <w:szCs w:val="21"/>
                <w:u w:val="single"/>
                <w:lang w:val="en-US" w:eastAsia="zh-CN"/>
              </w:rPr>
              <w:t>易燃，有毒</w:t>
            </w:r>
          </w:p>
        </w:tc>
        <w:tc>
          <w:tcPr>
            <w:tcW w:w="475" w:type="pct"/>
            <w:vMerge w:val="restart"/>
            <w:vAlign w:val="center"/>
          </w:tcPr>
          <w:p w14:paraId="4DA210A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表B.2（类别2）</w:t>
            </w:r>
          </w:p>
        </w:tc>
        <w:tc>
          <w:tcPr>
            <w:tcW w:w="356" w:type="pct"/>
            <w:vAlign w:val="center"/>
          </w:tcPr>
          <w:p w14:paraId="5D64E23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50</w:t>
            </w:r>
          </w:p>
        </w:tc>
        <w:tc>
          <w:tcPr>
            <w:tcW w:w="621" w:type="pct"/>
            <w:vAlign w:val="center"/>
          </w:tcPr>
          <w:p w14:paraId="0247C0F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18"/>
                <w:szCs w:val="18"/>
              </w:rPr>
            </w:pPr>
            <w:r>
              <w:rPr>
                <w:rFonts w:hint="default"/>
                <w:color w:val="auto"/>
                <w:sz w:val="18"/>
                <w:szCs w:val="18"/>
              </w:rPr>
              <w:t>管线内</w:t>
            </w:r>
          </w:p>
        </w:tc>
      </w:tr>
      <w:tr w14:paraId="518E49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77" w:type="pct"/>
            <w:vMerge w:val="continue"/>
            <w:vAlign w:val="center"/>
          </w:tcPr>
          <w:p w14:paraId="368ABFED">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c>
          <w:tcPr>
            <w:tcW w:w="454" w:type="pct"/>
            <w:vMerge w:val="continue"/>
            <w:vAlign w:val="center"/>
          </w:tcPr>
          <w:p w14:paraId="03F1BEF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298" w:type="pct"/>
            <w:vMerge w:val="continue"/>
            <w:vAlign w:val="center"/>
          </w:tcPr>
          <w:p w14:paraId="6C38CC3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82" w:type="pct"/>
            <w:vMerge w:val="continue"/>
            <w:vAlign w:val="center"/>
          </w:tcPr>
          <w:p w14:paraId="59FF782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427" w:type="pct"/>
            <w:vAlign w:val="center"/>
          </w:tcPr>
          <w:p w14:paraId="38B15B1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27" w:type="pct"/>
            <w:vAlign w:val="center"/>
          </w:tcPr>
          <w:p w14:paraId="070062E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75" w:type="pct"/>
            <w:vAlign w:val="center"/>
          </w:tcPr>
          <w:p w14:paraId="34DF7184">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34500</w:t>
            </w:r>
          </w:p>
        </w:tc>
        <w:tc>
          <w:tcPr>
            <w:tcW w:w="427" w:type="pct"/>
            <w:vAlign w:val="center"/>
          </w:tcPr>
          <w:p w14:paraId="7B12ABDE">
            <w:pPr>
              <w:pStyle w:val="167"/>
              <w:keepNext w:val="0"/>
              <w:keepLines w:val="0"/>
              <w:suppressLineNumbers w:val="0"/>
              <w:spacing w:before="0" w:beforeAutospacing="0" w:after="0" w:afterAutospacing="0"/>
              <w:ind w:right="0"/>
              <w:rPr>
                <w:rFonts w:hint="default"/>
                <w:color w:val="auto"/>
              </w:rPr>
            </w:pPr>
            <w:r>
              <w:rPr>
                <w:rFonts w:hint="default"/>
                <w:color w:val="auto"/>
              </w:rPr>
              <w:t>是</w:t>
            </w:r>
          </w:p>
        </w:tc>
        <w:tc>
          <w:tcPr>
            <w:tcW w:w="475" w:type="pct"/>
            <w:vMerge w:val="continue"/>
            <w:vAlign w:val="center"/>
          </w:tcPr>
          <w:p w14:paraId="1B3029C7">
            <w:pPr>
              <w:pStyle w:val="167"/>
              <w:keepNext w:val="0"/>
              <w:keepLines w:val="0"/>
              <w:suppressLineNumbers w:val="0"/>
              <w:spacing w:before="0" w:beforeAutospacing="0" w:after="0" w:afterAutospacing="0"/>
              <w:ind w:right="0"/>
              <w:rPr>
                <w:rFonts w:hint="default"/>
                <w:color w:val="auto"/>
                <w:u w:val="single"/>
              </w:rPr>
            </w:pPr>
          </w:p>
        </w:tc>
        <w:tc>
          <w:tcPr>
            <w:tcW w:w="475" w:type="pct"/>
            <w:vMerge w:val="continue"/>
            <w:vAlign w:val="center"/>
          </w:tcPr>
          <w:p w14:paraId="1CA24FF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56" w:type="pct"/>
            <w:vAlign w:val="center"/>
          </w:tcPr>
          <w:p w14:paraId="5646879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50</w:t>
            </w:r>
          </w:p>
        </w:tc>
        <w:tc>
          <w:tcPr>
            <w:tcW w:w="621" w:type="pct"/>
            <w:vAlign w:val="center"/>
          </w:tcPr>
          <w:p w14:paraId="6ACCE58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18"/>
                <w:szCs w:val="18"/>
              </w:rPr>
            </w:pPr>
            <w:r>
              <w:rPr>
                <w:rFonts w:hint="default"/>
                <w:color w:val="auto"/>
                <w:sz w:val="18"/>
                <w:szCs w:val="18"/>
              </w:rPr>
              <w:t>船舱内，5</w:t>
            </w:r>
            <w:r>
              <w:rPr>
                <w:rFonts w:hint="eastAsia"/>
                <w:color w:val="auto"/>
                <w:sz w:val="18"/>
                <w:szCs w:val="18"/>
              </w:rPr>
              <w:t>0000吨船</w:t>
            </w:r>
          </w:p>
        </w:tc>
      </w:tr>
      <w:tr w14:paraId="2C4A23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77" w:type="pct"/>
            <w:vMerge w:val="continue"/>
            <w:vAlign w:val="center"/>
          </w:tcPr>
          <w:p w14:paraId="5AB6F9DD">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c>
          <w:tcPr>
            <w:tcW w:w="454" w:type="pct"/>
            <w:vMerge w:val="continue"/>
            <w:vAlign w:val="center"/>
          </w:tcPr>
          <w:p w14:paraId="389C7B4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298" w:type="pct"/>
            <w:vMerge w:val="continue"/>
            <w:vAlign w:val="center"/>
          </w:tcPr>
          <w:p w14:paraId="66327DD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82" w:type="pct"/>
            <w:vMerge w:val="continue"/>
            <w:vAlign w:val="center"/>
          </w:tcPr>
          <w:p w14:paraId="3A13085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427" w:type="pct"/>
            <w:vAlign w:val="center"/>
          </w:tcPr>
          <w:p w14:paraId="0733938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27" w:type="pct"/>
            <w:vAlign w:val="center"/>
          </w:tcPr>
          <w:p w14:paraId="60B0469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75" w:type="pct"/>
            <w:vAlign w:val="center"/>
          </w:tcPr>
          <w:p w14:paraId="658FE0F2">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6900</w:t>
            </w:r>
          </w:p>
        </w:tc>
        <w:tc>
          <w:tcPr>
            <w:tcW w:w="427" w:type="pct"/>
            <w:vAlign w:val="center"/>
          </w:tcPr>
          <w:p w14:paraId="5BB58D90">
            <w:pPr>
              <w:pStyle w:val="167"/>
              <w:keepNext w:val="0"/>
              <w:keepLines w:val="0"/>
              <w:suppressLineNumbers w:val="0"/>
              <w:spacing w:before="0" w:beforeAutospacing="0" w:after="0" w:afterAutospacing="0"/>
              <w:ind w:right="0"/>
              <w:rPr>
                <w:rFonts w:hint="default"/>
                <w:color w:val="auto"/>
              </w:rPr>
            </w:pPr>
            <w:r>
              <w:rPr>
                <w:rFonts w:hint="default"/>
                <w:color w:val="auto"/>
              </w:rPr>
              <w:t>是</w:t>
            </w:r>
          </w:p>
        </w:tc>
        <w:tc>
          <w:tcPr>
            <w:tcW w:w="475" w:type="pct"/>
            <w:vMerge w:val="continue"/>
            <w:vAlign w:val="center"/>
          </w:tcPr>
          <w:p w14:paraId="60BC0941">
            <w:pPr>
              <w:pStyle w:val="167"/>
              <w:keepNext w:val="0"/>
              <w:keepLines w:val="0"/>
              <w:suppressLineNumbers w:val="0"/>
              <w:spacing w:before="0" w:beforeAutospacing="0" w:after="0" w:afterAutospacing="0"/>
              <w:ind w:right="0"/>
              <w:rPr>
                <w:rFonts w:hint="default"/>
                <w:color w:val="auto"/>
                <w:u w:val="single"/>
              </w:rPr>
            </w:pPr>
          </w:p>
        </w:tc>
        <w:tc>
          <w:tcPr>
            <w:tcW w:w="475" w:type="pct"/>
            <w:vMerge w:val="continue"/>
            <w:vAlign w:val="center"/>
          </w:tcPr>
          <w:p w14:paraId="48B559A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56" w:type="pct"/>
            <w:vAlign w:val="center"/>
          </w:tcPr>
          <w:p w14:paraId="51340D5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50</w:t>
            </w:r>
          </w:p>
        </w:tc>
        <w:tc>
          <w:tcPr>
            <w:tcW w:w="621" w:type="pct"/>
            <w:vAlign w:val="center"/>
          </w:tcPr>
          <w:p w14:paraId="54F0932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18"/>
                <w:szCs w:val="18"/>
              </w:rPr>
            </w:pPr>
            <w:r>
              <w:rPr>
                <w:rFonts w:hint="eastAsia"/>
                <w:color w:val="auto"/>
                <w:sz w:val="18"/>
                <w:szCs w:val="18"/>
              </w:rPr>
              <w:t>库区，10000</w:t>
            </w:r>
            <w:r>
              <w:rPr>
                <w:rFonts w:hint="default"/>
                <w:color w:val="auto"/>
                <w:sz w:val="18"/>
                <w:szCs w:val="18"/>
              </w:rPr>
              <w:t>m</w:t>
            </w:r>
            <w:r>
              <w:rPr>
                <w:rFonts w:hint="default"/>
                <w:color w:val="auto"/>
                <w:sz w:val="18"/>
                <w:szCs w:val="18"/>
                <w:vertAlign w:val="superscript"/>
              </w:rPr>
              <w:t>3</w:t>
            </w:r>
            <w:r>
              <w:rPr>
                <w:rFonts w:hint="default"/>
                <w:color w:val="auto"/>
                <w:sz w:val="18"/>
                <w:szCs w:val="18"/>
              </w:rPr>
              <w:t>储罐</w:t>
            </w:r>
            <w:r>
              <w:rPr>
                <w:rFonts w:hint="eastAsia"/>
                <w:color w:val="auto"/>
                <w:sz w:val="18"/>
                <w:szCs w:val="18"/>
              </w:rPr>
              <w:t>内</w:t>
            </w:r>
          </w:p>
        </w:tc>
      </w:tr>
      <w:tr w14:paraId="4732A3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77" w:type="pct"/>
            <w:vMerge w:val="restart"/>
            <w:vAlign w:val="center"/>
          </w:tcPr>
          <w:p w14:paraId="333241F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3</w:t>
            </w:r>
          </w:p>
        </w:tc>
        <w:tc>
          <w:tcPr>
            <w:tcW w:w="454" w:type="pct"/>
            <w:vMerge w:val="restart"/>
            <w:vAlign w:val="center"/>
          </w:tcPr>
          <w:p w14:paraId="2A1880A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石脑油</w:t>
            </w:r>
          </w:p>
        </w:tc>
        <w:tc>
          <w:tcPr>
            <w:tcW w:w="298" w:type="pct"/>
            <w:vMerge w:val="restart"/>
            <w:vAlign w:val="center"/>
          </w:tcPr>
          <w:p w14:paraId="090D940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8030-30-6</w:t>
            </w:r>
          </w:p>
        </w:tc>
        <w:tc>
          <w:tcPr>
            <w:tcW w:w="382" w:type="pct"/>
            <w:vMerge w:val="restart"/>
            <w:vAlign w:val="center"/>
          </w:tcPr>
          <w:p w14:paraId="68F41A2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667</w:t>
            </w:r>
          </w:p>
        </w:tc>
        <w:tc>
          <w:tcPr>
            <w:tcW w:w="427" w:type="pct"/>
            <w:vAlign w:val="center"/>
          </w:tcPr>
          <w:p w14:paraId="779BDC3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350</w:t>
            </w:r>
          </w:p>
        </w:tc>
        <w:tc>
          <w:tcPr>
            <w:tcW w:w="427" w:type="pct"/>
            <w:vAlign w:val="center"/>
          </w:tcPr>
          <w:p w14:paraId="315C6E4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1207</w:t>
            </w:r>
          </w:p>
        </w:tc>
        <w:tc>
          <w:tcPr>
            <w:tcW w:w="475" w:type="pct"/>
            <w:vAlign w:val="center"/>
          </w:tcPr>
          <w:p w14:paraId="42000930">
            <w:pPr>
              <w:pStyle w:val="91"/>
              <w:keepNext w:val="0"/>
              <w:keepLines w:val="0"/>
              <w:suppressLineNumbers w:val="0"/>
              <w:spacing w:before="0" w:beforeAutospacing="0" w:after="0" w:afterAutospacing="0"/>
              <w:ind w:left="0" w:right="0"/>
              <w:jc w:val="center"/>
              <w:rPr>
                <w:rFonts w:hint="default"/>
                <w:color w:val="auto"/>
              </w:rPr>
            </w:pPr>
            <w:r>
              <w:rPr>
                <w:rFonts w:hint="default" w:eastAsia="等线"/>
                <w:color w:val="auto"/>
              </w:rPr>
              <w:t>77.417</w:t>
            </w:r>
          </w:p>
        </w:tc>
        <w:tc>
          <w:tcPr>
            <w:tcW w:w="427" w:type="pct"/>
            <w:vAlign w:val="center"/>
          </w:tcPr>
          <w:p w14:paraId="166D5D64">
            <w:pPr>
              <w:pStyle w:val="167"/>
              <w:keepNext w:val="0"/>
              <w:keepLines w:val="0"/>
              <w:suppressLineNumbers w:val="0"/>
              <w:spacing w:before="0" w:beforeAutospacing="0" w:after="0" w:afterAutospacing="0"/>
              <w:ind w:right="0"/>
              <w:rPr>
                <w:rFonts w:hint="default"/>
                <w:color w:val="auto"/>
              </w:rPr>
            </w:pPr>
            <w:r>
              <w:rPr>
                <w:rFonts w:hint="default"/>
                <w:color w:val="auto"/>
              </w:rPr>
              <w:t>是</w:t>
            </w:r>
          </w:p>
        </w:tc>
        <w:tc>
          <w:tcPr>
            <w:tcW w:w="475" w:type="pct"/>
            <w:vMerge w:val="restart"/>
            <w:vAlign w:val="center"/>
          </w:tcPr>
          <w:p w14:paraId="1871C20E">
            <w:pPr>
              <w:pStyle w:val="167"/>
              <w:keepNext w:val="0"/>
              <w:keepLines w:val="0"/>
              <w:suppressLineNumbers w:val="0"/>
              <w:spacing w:before="0" w:beforeAutospacing="0" w:after="0" w:afterAutospacing="0"/>
              <w:ind w:right="0"/>
              <w:rPr>
                <w:rFonts w:hint="default"/>
                <w:color w:val="auto"/>
                <w:u w:val="single"/>
              </w:rPr>
            </w:pPr>
            <w:r>
              <w:rPr>
                <w:rFonts w:hint="eastAsia"/>
                <w:color w:val="auto"/>
                <w:sz w:val="21"/>
                <w:szCs w:val="21"/>
                <w:u w:val="single"/>
                <w:lang w:val="en-US" w:eastAsia="zh-CN"/>
              </w:rPr>
              <w:t>易燃，有毒</w:t>
            </w:r>
          </w:p>
        </w:tc>
        <w:tc>
          <w:tcPr>
            <w:tcW w:w="475" w:type="pct"/>
            <w:vMerge w:val="restart"/>
            <w:vAlign w:val="center"/>
          </w:tcPr>
          <w:p w14:paraId="7CA48ED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表B.1，381</w:t>
            </w:r>
          </w:p>
        </w:tc>
        <w:tc>
          <w:tcPr>
            <w:tcW w:w="356" w:type="pct"/>
            <w:vAlign w:val="center"/>
          </w:tcPr>
          <w:p w14:paraId="5008627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2500</w:t>
            </w:r>
          </w:p>
        </w:tc>
        <w:tc>
          <w:tcPr>
            <w:tcW w:w="621" w:type="pct"/>
            <w:vAlign w:val="center"/>
          </w:tcPr>
          <w:p w14:paraId="6CB7187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18"/>
                <w:szCs w:val="18"/>
              </w:rPr>
            </w:pPr>
            <w:r>
              <w:rPr>
                <w:rFonts w:hint="default"/>
                <w:color w:val="auto"/>
                <w:sz w:val="18"/>
                <w:szCs w:val="18"/>
              </w:rPr>
              <w:t>管线内</w:t>
            </w:r>
          </w:p>
        </w:tc>
      </w:tr>
      <w:tr w14:paraId="258AEB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77" w:type="pct"/>
            <w:vMerge w:val="continue"/>
            <w:vAlign w:val="center"/>
          </w:tcPr>
          <w:p w14:paraId="7CAD2782">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c>
          <w:tcPr>
            <w:tcW w:w="454" w:type="pct"/>
            <w:vMerge w:val="continue"/>
            <w:vAlign w:val="center"/>
          </w:tcPr>
          <w:p w14:paraId="19D1A9F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298" w:type="pct"/>
            <w:vMerge w:val="continue"/>
            <w:vAlign w:val="center"/>
          </w:tcPr>
          <w:p w14:paraId="1B71B5B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82" w:type="pct"/>
            <w:vMerge w:val="continue"/>
            <w:vAlign w:val="center"/>
          </w:tcPr>
          <w:p w14:paraId="74549FD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427" w:type="pct"/>
            <w:vAlign w:val="center"/>
          </w:tcPr>
          <w:p w14:paraId="6D84F90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27" w:type="pct"/>
            <w:vAlign w:val="center"/>
          </w:tcPr>
          <w:p w14:paraId="21539B5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75" w:type="pct"/>
            <w:vAlign w:val="center"/>
          </w:tcPr>
          <w:p w14:paraId="1F7AA821">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33350</w:t>
            </w:r>
          </w:p>
        </w:tc>
        <w:tc>
          <w:tcPr>
            <w:tcW w:w="427" w:type="pct"/>
            <w:vAlign w:val="center"/>
          </w:tcPr>
          <w:p w14:paraId="3F90BFD2">
            <w:pPr>
              <w:pStyle w:val="167"/>
              <w:keepNext w:val="0"/>
              <w:keepLines w:val="0"/>
              <w:suppressLineNumbers w:val="0"/>
              <w:spacing w:before="0" w:beforeAutospacing="0" w:after="0" w:afterAutospacing="0"/>
              <w:ind w:right="0"/>
              <w:rPr>
                <w:rFonts w:hint="default"/>
                <w:color w:val="auto"/>
              </w:rPr>
            </w:pPr>
            <w:r>
              <w:rPr>
                <w:rFonts w:hint="default"/>
                <w:color w:val="auto"/>
              </w:rPr>
              <w:t>是</w:t>
            </w:r>
          </w:p>
        </w:tc>
        <w:tc>
          <w:tcPr>
            <w:tcW w:w="475" w:type="pct"/>
            <w:vMerge w:val="continue"/>
            <w:vAlign w:val="center"/>
          </w:tcPr>
          <w:p w14:paraId="1F447AB8">
            <w:pPr>
              <w:pStyle w:val="167"/>
              <w:keepNext w:val="0"/>
              <w:keepLines w:val="0"/>
              <w:suppressLineNumbers w:val="0"/>
              <w:spacing w:before="0" w:beforeAutospacing="0" w:after="0" w:afterAutospacing="0"/>
              <w:ind w:right="0"/>
              <w:rPr>
                <w:rFonts w:hint="default"/>
                <w:color w:val="auto"/>
                <w:u w:val="single"/>
              </w:rPr>
            </w:pPr>
          </w:p>
        </w:tc>
        <w:tc>
          <w:tcPr>
            <w:tcW w:w="475" w:type="pct"/>
            <w:vMerge w:val="continue"/>
            <w:vAlign w:val="center"/>
          </w:tcPr>
          <w:p w14:paraId="5BD02F2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56" w:type="pct"/>
          </w:tcPr>
          <w:p w14:paraId="56A9F18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2500</w:t>
            </w:r>
          </w:p>
        </w:tc>
        <w:tc>
          <w:tcPr>
            <w:tcW w:w="621" w:type="pct"/>
            <w:vAlign w:val="center"/>
          </w:tcPr>
          <w:p w14:paraId="50A3589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18"/>
                <w:szCs w:val="18"/>
              </w:rPr>
            </w:pPr>
            <w:r>
              <w:rPr>
                <w:rFonts w:hint="default"/>
                <w:color w:val="auto"/>
                <w:sz w:val="18"/>
                <w:szCs w:val="18"/>
              </w:rPr>
              <w:t>船舱内，</w:t>
            </w:r>
            <w:r>
              <w:rPr>
                <w:rFonts w:hint="eastAsia"/>
                <w:color w:val="auto"/>
                <w:sz w:val="18"/>
                <w:szCs w:val="18"/>
              </w:rPr>
              <w:t>50000吨船</w:t>
            </w:r>
          </w:p>
        </w:tc>
      </w:tr>
      <w:tr w14:paraId="234956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77" w:type="pct"/>
            <w:vMerge w:val="continue"/>
            <w:vAlign w:val="center"/>
          </w:tcPr>
          <w:p w14:paraId="5D6FF840">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c>
          <w:tcPr>
            <w:tcW w:w="454" w:type="pct"/>
            <w:vMerge w:val="continue"/>
            <w:vAlign w:val="center"/>
          </w:tcPr>
          <w:p w14:paraId="2B938EB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298" w:type="pct"/>
            <w:vMerge w:val="continue"/>
            <w:vAlign w:val="center"/>
          </w:tcPr>
          <w:p w14:paraId="56D69F5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82" w:type="pct"/>
            <w:vMerge w:val="continue"/>
            <w:vAlign w:val="center"/>
          </w:tcPr>
          <w:p w14:paraId="02AB30B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427" w:type="pct"/>
            <w:vAlign w:val="center"/>
          </w:tcPr>
          <w:p w14:paraId="7C79604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27" w:type="pct"/>
            <w:vAlign w:val="center"/>
          </w:tcPr>
          <w:p w14:paraId="576E942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75" w:type="pct"/>
            <w:vAlign w:val="center"/>
          </w:tcPr>
          <w:p w14:paraId="4836745C">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6670</w:t>
            </w:r>
          </w:p>
        </w:tc>
        <w:tc>
          <w:tcPr>
            <w:tcW w:w="427" w:type="pct"/>
            <w:vAlign w:val="center"/>
          </w:tcPr>
          <w:p w14:paraId="6C1ABF3E">
            <w:pPr>
              <w:pStyle w:val="167"/>
              <w:keepNext w:val="0"/>
              <w:keepLines w:val="0"/>
              <w:suppressLineNumbers w:val="0"/>
              <w:spacing w:before="0" w:beforeAutospacing="0" w:after="0" w:afterAutospacing="0"/>
              <w:ind w:right="0"/>
              <w:rPr>
                <w:rFonts w:hint="default"/>
                <w:color w:val="auto"/>
              </w:rPr>
            </w:pPr>
            <w:r>
              <w:rPr>
                <w:rFonts w:hint="default"/>
                <w:color w:val="auto"/>
              </w:rPr>
              <w:t>是</w:t>
            </w:r>
          </w:p>
        </w:tc>
        <w:tc>
          <w:tcPr>
            <w:tcW w:w="475" w:type="pct"/>
            <w:vMerge w:val="continue"/>
            <w:vAlign w:val="center"/>
          </w:tcPr>
          <w:p w14:paraId="1241BEB3">
            <w:pPr>
              <w:pStyle w:val="167"/>
              <w:keepNext w:val="0"/>
              <w:keepLines w:val="0"/>
              <w:suppressLineNumbers w:val="0"/>
              <w:spacing w:before="0" w:beforeAutospacing="0" w:after="0" w:afterAutospacing="0"/>
              <w:ind w:right="0"/>
              <w:rPr>
                <w:rFonts w:hint="default"/>
                <w:color w:val="auto"/>
                <w:u w:val="single"/>
              </w:rPr>
            </w:pPr>
          </w:p>
        </w:tc>
        <w:tc>
          <w:tcPr>
            <w:tcW w:w="475" w:type="pct"/>
            <w:vMerge w:val="continue"/>
            <w:vAlign w:val="center"/>
          </w:tcPr>
          <w:p w14:paraId="174FC98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56" w:type="pct"/>
          </w:tcPr>
          <w:p w14:paraId="5E86354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2500</w:t>
            </w:r>
          </w:p>
        </w:tc>
        <w:tc>
          <w:tcPr>
            <w:tcW w:w="621" w:type="pct"/>
            <w:vAlign w:val="center"/>
          </w:tcPr>
          <w:p w14:paraId="5DB5D21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18"/>
                <w:szCs w:val="18"/>
              </w:rPr>
            </w:pPr>
            <w:r>
              <w:rPr>
                <w:rFonts w:hint="eastAsia"/>
                <w:color w:val="auto"/>
                <w:sz w:val="18"/>
                <w:szCs w:val="18"/>
              </w:rPr>
              <w:t>库区，10000</w:t>
            </w:r>
            <w:r>
              <w:rPr>
                <w:rFonts w:hint="default"/>
                <w:color w:val="auto"/>
                <w:sz w:val="18"/>
                <w:szCs w:val="18"/>
              </w:rPr>
              <w:t>m</w:t>
            </w:r>
            <w:r>
              <w:rPr>
                <w:rFonts w:hint="default"/>
                <w:color w:val="auto"/>
                <w:sz w:val="18"/>
                <w:szCs w:val="18"/>
                <w:vertAlign w:val="superscript"/>
              </w:rPr>
              <w:t>3</w:t>
            </w:r>
            <w:r>
              <w:rPr>
                <w:rFonts w:hint="default"/>
                <w:color w:val="auto"/>
                <w:sz w:val="18"/>
                <w:szCs w:val="18"/>
              </w:rPr>
              <w:t>储罐</w:t>
            </w:r>
            <w:r>
              <w:rPr>
                <w:rFonts w:hint="eastAsia"/>
                <w:color w:val="auto"/>
                <w:sz w:val="18"/>
                <w:szCs w:val="18"/>
              </w:rPr>
              <w:t>内</w:t>
            </w:r>
          </w:p>
        </w:tc>
      </w:tr>
      <w:tr w14:paraId="7F90ED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77" w:type="pct"/>
            <w:vMerge w:val="restart"/>
            <w:vAlign w:val="center"/>
          </w:tcPr>
          <w:p w14:paraId="4F93FB3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4</w:t>
            </w:r>
          </w:p>
        </w:tc>
        <w:tc>
          <w:tcPr>
            <w:tcW w:w="454" w:type="pct"/>
            <w:vMerge w:val="restart"/>
            <w:vAlign w:val="center"/>
          </w:tcPr>
          <w:p w14:paraId="7B1A74A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蜡油</w:t>
            </w:r>
          </w:p>
        </w:tc>
        <w:tc>
          <w:tcPr>
            <w:tcW w:w="298" w:type="pct"/>
            <w:vMerge w:val="restart"/>
            <w:vAlign w:val="center"/>
          </w:tcPr>
          <w:p w14:paraId="40F92F0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382" w:type="pct"/>
            <w:vMerge w:val="restart"/>
            <w:vAlign w:val="center"/>
          </w:tcPr>
          <w:p w14:paraId="328E518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930</w:t>
            </w:r>
          </w:p>
        </w:tc>
        <w:tc>
          <w:tcPr>
            <w:tcW w:w="427" w:type="pct"/>
            <w:vAlign w:val="center"/>
          </w:tcPr>
          <w:p w14:paraId="18D95E3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400</w:t>
            </w:r>
          </w:p>
        </w:tc>
        <w:tc>
          <w:tcPr>
            <w:tcW w:w="427" w:type="pct"/>
            <w:vAlign w:val="center"/>
          </w:tcPr>
          <w:p w14:paraId="65FF243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951</w:t>
            </w:r>
          </w:p>
        </w:tc>
        <w:tc>
          <w:tcPr>
            <w:tcW w:w="475" w:type="pct"/>
            <w:vAlign w:val="center"/>
          </w:tcPr>
          <w:p w14:paraId="081E18F9">
            <w:pPr>
              <w:pStyle w:val="91"/>
              <w:keepNext w:val="0"/>
              <w:keepLines w:val="0"/>
              <w:suppressLineNumbers w:val="0"/>
              <w:spacing w:before="0" w:beforeAutospacing="0" w:after="0" w:afterAutospacing="0"/>
              <w:ind w:left="0" w:right="0"/>
              <w:jc w:val="center"/>
              <w:rPr>
                <w:rFonts w:hint="default"/>
                <w:color w:val="auto"/>
              </w:rPr>
            </w:pPr>
            <w:r>
              <w:rPr>
                <w:rFonts w:hint="default" w:eastAsia="等线"/>
                <w:color w:val="auto"/>
              </w:rPr>
              <w:t>111.084</w:t>
            </w:r>
          </w:p>
        </w:tc>
        <w:tc>
          <w:tcPr>
            <w:tcW w:w="427" w:type="pct"/>
            <w:vAlign w:val="center"/>
          </w:tcPr>
          <w:p w14:paraId="05B0AFA6">
            <w:pPr>
              <w:pStyle w:val="167"/>
              <w:keepNext w:val="0"/>
              <w:keepLines w:val="0"/>
              <w:suppressLineNumbers w:val="0"/>
              <w:spacing w:before="0" w:beforeAutospacing="0" w:after="0" w:afterAutospacing="0"/>
              <w:ind w:right="0"/>
              <w:rPr>
                <w:rFonts w:hint="default"/>
                <w:color w:val="auto"/>
              </w:rPr>
            </w:pPr>
            <w:r>
              <w:rPr>
                <w:rFonts w:hint="default"/>
                <w:color w:val="auto"/>
              </w:rPr>
              <w:t>是</w:t>
            </w:r>
          </w:p>
        </w:tc>
        <w:tc>
          <w:tcPr>
            <w:tcW w:w="475" w:type="pct"/>
            <w:vMerge w:val="restart"/>
            <w:vAlign w:val="center"/>
          </w:tcPr>
          <w:p w14:paraId="096CE8E5">
            <w:pPr>
              <w:pStyle w:val="167"/>
              <w:keepNext w:val="0"/>
              <w:keepLines w:val="0"/>
              <w:suppressLineNumbers w:val="0"/>
              <w:spacing w:before="0" w:beforeAutospacing="0" w:after="0" w:afterAutospacing="0"/>
              <w:ind w:right="0"/>
              <w:rPr>
                <w:rFonts w:hint="default"/>
                <w:color w:val="auto"/>
                <w:u w:val="single"/>
              </w:rPr>
            </w:pPr>
            <w:r>
              <w:rPr>
                <w:rFonts w:hint="eastAsia"/>
                <w:color w:val="auto"/>
                <w:sz w:val="21"/>
                <w:szCs w:val="21"/>
                <w:u w:val="single"/>
                <w:lang w:val="en-US" w:eastAsia="zh-CN"/>
              </w:rPr>
              <w:t>易燃，有毒</w:t>
            </w:r>
          </w:p>
        </w:tc>
        <w:tc>
          <w:tcPr>
            <w:tcW w:w="475" w:type="pct"/>
            <w:vMerge w:val="restart"/>
            <w:vAlign w:val="center"/>
          </w:tcPr>
          <w:p w14:paraId="664F26B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表B.2（（类别3）</w:t>
            </w:r>
          </w:p>
        </w:tc>
        <w:tc>
          <w:tcPr>
            <w:tcW w:w="356" w:type="pct"/>
          </w:tcPr>
          <w:p w14:paraId="058CB87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2500</w:t>
            </w:r>
          </w:p>
        </w:tc>
        <w:tc>
          <w:tcPr>
            <w:tcW w:w="621" w:type="pct"/>
            <w:vAlign w:val="center"/>
          </w:tcPr>
          <w:p w14:paraId="028D3E0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18"/>
                <w:szCs w:val="18"/>
              </w:rPr>
            </w:pPr>
            <w:r>
              <w:rPr>
                <w:rFonts w:hint="default"/>
                <w:color w:val="auto"/>
                <w:sz w:val="18"/>
                <w:szCs w:val="18"/>
              </w:rPr>
              <w:t>管线内</w:t>
            </w:r>
          </w:p>
        </w:tc>
      </w:tr>
      <w:tr w14:paraId="59DCD8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77" w:type="pct"/>
            <w:vMerge w:val="continue"/>
            <w:vAlign w:val="center"/>
          </w:tcPr>
          <w:p w14:paraId="75EC989C">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c>
          <w:tcPr>
            <w:tcW w:w="454" w:type="pct"/>
            <w:vMerge w:val="continue"/>
            <w:vAlign w:val="center"/>
          </w:tcPr>
          <w:p w14:paraId="10A7905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298" w:type="pct"/>
            <w:vMerge w:val="continue"/>
            <w:vAlign w:val="center"/>
          </w:tcPr>
          <w:p w14:paraId="0758E9D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82" w:type="pct"/>
            <w:vMerge w:val="continue"/>
            <w:vAlign w:val="center"/>
          </w:tcPr>
          <w:p w14:paraId="7910AD1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427" w:type="pct"/>
            <w:vAlign w:val="center"/>
          </w:tcPr>
          <w:p w14:paraId="0FCCEAC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27" w:type="pct"/>
            <w:vAlign w:val="center"/>
          </w:tcPr>
          <w:p w14:paraId="4356A5C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75" w:type="pct"/>
            <w:vAlign w:val="center"/>
          </w:tcPr>
          <w:p w14:paraId="6E22E848">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46500</w:t>
            </w:r>
          </w:p>
        </w:tc>
        <w:tc>
          <w:tcPr>
            <w:tcW w:w="427" w:type="pct"/>
            <w:vAlign w:val="center"/>
          </w:tcPr>
          <w:p w14:paraId="4C36114F">
            <w:pPr>
              <w:pStyle w:val="167"/>
              <w:keepNext w:val="0"/>
              <w:keepLines w:val="0"/>
              <w:suppressLineNumbers w:val="0"/>
              <w:spacing w:before="0" w:beforeAutospacing="0" w:after="0" w:afterAutospacing="0"/>
              <w:ind w:right="0"/>
              <w:rPr>
                <w:rFonts w:hint="default"/>
                <w:color w:val="auto"/>
              </w:rPr>
            </w:pPr>
            <w:r>
              <w:rPr>
                <w:rFonts w:hint="default"/>
                <w:color w:val="auto"/>
              </w:rPr>
              <w:t>是</w:t>
            </w:r>
          </w:p>
        </w:tc>
        <w:tc>
          <w:tcPr>
            <w:tcW w:w="475" w:type="pct"/>
            <w:vMerge w:val="continue"/>
            <w:vAlign w:val="center"/>
          </w:tcPr>
          <w:p w14:paraId="46C3F863">
            <w:pPr>
              <w:pStyle w:val="167"/>
              <w:keepNext w:val="0"/>
              <w:keepLines w:val="0"/>
              <w:suppressLineNumbers w:val="0"/>
              <w:spacing w:before="0" w:beforeAutospacing="0" w:after="0" w:afterAutospacing="0"/>
              <w:ind w:right="0"/>
              <w:rPr>
                <w:rFonts w:hint="default"/>
                <w:color w:val="auto"/>
                <w:u w:val="single"/>
              </w:rPr>
            </w:pPr>
          </w:p>
        </w:tc>
        <w:tc>
          <w:tcPr>
            <w:tcW w:w="475" w:type="pct"/>
            <w:vMerge w:val="continue"/>
            <w:vAlign w:val="center"/>
          </w:tcPr>
          <w:p w14:paraId="7CC53BF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56" w:type="pct"/>
          </w:tcPr>
          <w:p w14:paraId="0EA3F88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2500</w:t>
            </w:r>
          </w:p>
        </w:tc>
        <w:tc>
          <w:tcPr>
            <w:tcW w:w="621" w:type="pct"/>
            <w:vAlign w:val="center"/>
          </w:tcPr>
          <w:p w14:paraId="43817E7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18"/>
                <w:szCs w:val="18"/>
              </w:rPr>
            </w:pPr>
            <w:r>
              <w:rPr>
                <w:rFonts w:hint="default"/>
                <w:color w:val="auto"/>
                <w:sz w:val="18"/>
                <w:szCs w:val="18"/>
              </w:rPr>
              <w:t>船舱内，</w:t>
            </w:r>
            <w:r>
              <w:rPr>
                <w:rFonts w:hint="eastAsia"/>
                <w:color w:val="auto"/>
                <w:sz w:val="18"/>
                <w:szCs w:val="18"/>
              </w:rPr>
              <w:t>50000吨船</w:t>
            </w:r>
          </w:p>
        </w:tc>
      </w:tr>
      <w:tr w14:paraId="14B9EE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77" w:type="pct"/>
            <w:vMerge w:val="continue"/>
            <w:vAlign w:val="center"/>
          </w:tcPr>
          <w:p w14:paraId="0877B2DC">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c>
          <w:tcPr>
            <w:tcW w:w="454" w:type="pct"/>
            <w:vMerge w:val="continue"/>
            <w:vAlign w:val="center"/>
          </w:tcPr>
          <w:p w14:paraId="731553F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298" w:type="pct"/>
            <w:vMerge w:val="continue"/>
            <w:vAlign w:val="center"/>
          </w:tcPr>
          <w:p w14:paraId="14435E3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82" w:type="pct"/>
            <w:vMerge w:val="continue"/>
            <w:vAlign w:val="center"/>
          </w:tcPr>
          <w:p w14:paraId="77810C1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427" w:type="pct"/>
            <w:vAlign w:val="center"/>
          </w:tcPr>
          <w:p w14:paraId="2CBA829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27" w:type="pct"/>
            <w:vAlign w:val="center"/>
          </w:tcPr>
          <w:p w14:paraId="0A317F0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75" w:type="pct"/>
            <w:vAlign w:val="center"/>
          </w:tcPr>
          <w:p w14:paraId="27E20528">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37200</w:t>
            </w:r>
          </w:p>
        </w:tc>
        <w:tc>
          <w:tcPr>
            <w:tcW w:w="427" w:type="pct"/>
            <w:vAlign w:val="center"/>
          </w:tcPr>
          <w:p w14:paraId="24ECA76D">
            <w:pPr>
              <w:pStyle w:val="167"/>
              <w:keepNext w:val="0"/>
              <w:keepLines w:val="0"/>
              <w:suppressLineNumbers w:val="0"/>
              <w:spacing w:before="0" w:beforeAutospacing="0" w:after="0" w:afterAutospacing="0"/>
              <w:ind w:right="0"/>
              <w:rPr>
                <w:rFonts w:hint="default"/>
                <w:color w:val="auto"/>
              </w:rPr>
            </w:pPr>
            <w:r>
              <w:rPr>
                <w:rFonts w:hint="default"/>
                <w:color w:val="auto"/>
              </w:rPr>
              <w:t>是</w:t>
            </w:r>
          </w:p>
        </w:tc>
        <w:tc>
          <w:tcPr>
            <w:tcW w:w="475" w:type="pct"/>
            <w:vMerge w:val="continue"/>
            <w:vAlign w:val="center"/>
          </w:tcPr>
          <w:p w14:paraId="37737190">
            <w:pPr>
              <w:pStyle w:val="167"/>
              <w:keepNext w:val="0"/>
              <w:keepLines w:val="0"/>
              <w:suppressLineNumbers w:val="0"/>
              <w:spacing w:before="0" w:beforeAutospacing="0" w:after="0" w:afterAutospacing="0"/>
              <w:ind w:right="0"/>
              <w:rPr>
                <w:rFonts w:hint="default"/>
                <w:color w:val="auto"/>
                <w:u w:val="single"/>
              </w:rPr>
            </w:pPr>
          </w:p>
        </w:tc>
        <w:tc>
          <w:tcPr>
            <w:tcW w:w="475" w:type="pct"/>
            <w:vMerge w:val="continue"/>
            <w:vAlign w:val="center"/>
          </w:tcPr>
          <w:p w14:paraId="7864327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56" w:type="pct"/>
          </w:tcPr>
          <w:p w14:paraId="126AEA4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2500</w:t>
            </w:r>
          </w:p>
        </w:tc>
        <w:tc>
          <w:tcPr>
            <w:tcW w:w="621" w:type="pct"/>
            <w:vAlign w:val="center"/>
          </w:tcPr>
          <w:p w14:paraId="2AAB9D2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18"/>
                <w:szCs w:val="18"/>
              </w:rPr>
            </w:pPr>
            <w:r>
              <w:rPr>
                <w:rFonts w:hint="eastAsia"/>
                <w:color w:val="auto"/>
                <w:sz w:val="18"/>
                <w:szCs w:val="18"/>
              </w:rPr>
              <w:t>库区，</w:t>
            </w:r>
            <w:r>
              <w:rPr>
                <w:rFonts w:hint="default"/>
                <w:color w:val="auto"/>
                <w:sz w:val="18"/>
                <w:szCs w:val="18"/>
              </w:rPr>
              <w:t>4</w:t>
            </w:r>
            <w:r>
              <w:rPr>
                <w:rFonts w:hint="eastAsia"/>
                <w:color w:val="auto"/>
                <w:sz w:val="18"/>
                <w:szCs w:val="18"/>
              </w:rPr>
              <w:t>0000</w:t>
            </w:r>
            <w:r>
              <w:rPr>
                <w:rFonts w:hint="default"/>
                <w:color w:val="auto"/>
                <w:sz w:val="18"/>
                <w:szCs w:val="18"/>
              </w:rPr>
              <w:t>m</w:t>
            </w:r>
            <w:r>
              <w:rPr>
                <w:rFonts w:hint="default"/>
                <w:color w:val="auto"/>
                <w:sz w:val="18"/>
                <w:szCs w:val="18"/>
                <w:vertAlign w:val="superscript"/>
              </w:rPr>
              <w:t>3</w:t>
            </w:r>
            <w:r>
              <w:rPr>
                <w:rFonts w:hint="default"/>
                <w:color w:val="auto"/>
                <w:sz w:val="18"/>
                <w:szCs w:val="18"/>
              </w:rPr>
              <w:t>储罐</w:t>
            </w:r>
            <w:r>
              <w:rPr>
                <w:rFonts w:hint="eastAsia"/>
                <w:color w:val="auto"/>
                <w:sz w:val="18"/>
                <w:szCs w:val="18"/>
              </w:rPr>
              <w:t>内</w:t>
            </w:r>
          </w:p>
        </w:tc>
      </w:tr>
      <w:tr w14:paraId="3C5D86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77" w:type="pct"/>
            <w:vMerge w:val="restart"/>
            <w:vAlign w:val="center"/>
          </w:tcPr>
          <w:p w14:paraId="3C05BA6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5</w:t>
            </w:r>
          </w:p>
        </w:tc>
        <w:tc>
          <w:tcPr>
            <w:tcW w:w="454" w:type="pct"/>
            <w:vMerge w:val="restart"/>
            <w:vAlign w:val="center"/>
          </w:tcPr>
          <w:p w14:paraId="42CC3E8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渣油</w:t>
            </w:r>
          </w:p>
        </w:tc>
        <w:tc>
          <w:tcPr>
            <w:tcW w:w="298" w:type="pct"/>
            <w:vMerge w:val="restart"/>
            <w:vAlign w:val="center"/>
          </w:tcPr>
          <w:p w14:paraId="3086D33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382" w:type="pct"/>
            <w:vMerge w:val="restart"/>
            <w:vAlign w:val="center"/>
          </w:tcPr>
          <w:p w14:paraId="3F611A6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940</w:t>
            </w:r>
          </w:p>
        </w:tc>
        <w:tc>
          <w:tcPr>
            <w:tcW w:w="427" w:type="pct"/>
            <w:vAlign w:val="center"/>
          </w:tcPr>
          <w:p w14:paraId="0B3FABB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400</w:t>
            </w:r>
          </w:p>
        </w:tc>
        <w:tc>
          <w:tcPr>
            <w:tcW w:w="427" w:type="pct"/>
            <w:vAlign w:val="center"/>
          </w:tcPr>
          <w:p w14:paraId="24AAE5A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951</w:t>
            </w:r>
          </w:p>
        </w:tc>
        <w:tc>
          <w:tcPr>
            <w:tcW w:w="475" w:type="pct"/>
            <w:vAlign w:val="center"/>
          </w:tcPr>
          <w:p w14:paraId="4B38A8D5">
            <w:pPr>
              <w:pStyle w:val="91"/>
              <w:keepNext w:val="0"/>
              <w:keepLines w:val="0"/>
              <w:suppressLineNumbers w:val="0"/>
              <w:spacing w:before="0" w:beforeAutospacing="0" w:after="0" w:afterAutospacing="0"/>
              <w:ind w:left="0" w:right="0"/>
              <w:jc w:val="center"/>
              <w:rPr>
                <w:rFonts w:hint="default"/>
                <w:color w:val="auto"/>
              </w:rPr>
            </w:pPr>
            <w:r>
              <w:rPr>
                <w:rFonts w:hint="default" w:eastAsia="等线"/>
                <w:color w:val="auto"/>
              </w:rPr>
              <w:t>112.279</w:t>
            </w:r>
          </w:p>
        </w:tc>
        <w:tc>
          <w:tcPr>
            <w:tcW w:w="427" w:type="pct"/>
            <w:vAlign w:val="center"/>
          </w:tcPr>
          <w:p w14:paraId="57B1CE91">
            <w:pPr>
              <w:pStyle w:val="167"/>
              <w:keepNext w:val="0"/>
              <w:keepLines w:val="0"/>
              <w:suppressLineNumbers w:val="0"/>
              <w:spacing w:before="0" w:beforeAutospacing="0" w:after="0" w:afterAutospacing="0"/>
              <w:ind w:right="0"/>
              <w:rPr>
                <w:rFonts w:hint="default"/>
                <w:color w:val="auto"/>
              </w:rPr>
            </w:pPr>
            <w:r>
              <w:rPr>
                <w:rFonts w:hint="default"/>
                <w:color w:val="auto"/>
              </w:rPr>
              <w:t>是</w:t>
            </w:r>
          </w:p>
        </w:tc>
        <w:tc>
          <w:tcPr>
            <w:tcW w:w="475" w:type="pct"/>
            <w:vMerge w:val="restart"/>
            <w:vAlign w:val="center"/>
          </w:tcPr>
          <w:p w14:paraId="5DBDD49E">
            <w:pPr>
              <w:pStyle w:val="167"/>
              <w:keepNext w:val="0"/>
              <w:keepLines w:val="0"/>
              <w:suppressLineNumbers w:val="0"/>
              <w:spacing w:before="0" w:beforeAutospacing="0" w:after="0" w:afterAutospacing="0"/>
              <w:ind w:right="0"/>
              <w:rPr>
                <w:rFonts w:hint="default"/>
                <w:color w:val="auto"/>
                <w:u w:val="single"/>
              </w:rPr>
            </w:pPr>
            <w:r>
              <w:rPr>
                <w:rFonts w:hint="eastAsia"/>
                <w:color w:val="auto"/>
                <w:sz w:val="21"/>
                <w:szCs w:val="21"/>
                <w:u w:val="single"/>
                <w:lang w:val="en-US" w:eastAsia="zh-CN"/>
              </w:rPr>
              <w:t>易燃，有毒</w:t>
            </w:r>
          </w:p>
        </w:tc>
        <w:tc>
          <w:tcPr>
            <w:tcW w:w="475" w:type="pct"/>
            <w:vMerge w:val="restart"/>
            <w:vAlign w:val="center"/>
          </w:tcPr>
          <w:p w14:paraId="5B4E6CB0">
            <w:pPr>
              <w:keepNext w:val="0"/>
              <w:keepLines w:val="0"/>
              <w:suppressLineNumbers w:val="0"/>
              <w:adjustRightInd w:val="0"/>
              <w:snapToGrid w:val="0"/>
              <w:spacing w:before="0" w:beforeAutospacing="0" w:after="0" w:afterAutospacing="0" w:line="240" w:lineRule="auto"/>
              <w:ind w:left="0" w:right="0" w:firstLine="0" w:firstLineChars="0"/>
              <w:rPr>
                <w:rFonts w:hint="default"/>
                <w:color w:val="auto"/>
                <w:sz w:val="21"/>
                <w:szCs w:val="21"/>
              </w:rPr>
            </w:pPr>
            <w:r>
              <w:rPr>
                <w:rFonts w:hint="eastAsia"/>
                <w:color w:val="auto"/>
                <w:sz w:val="21"/>
                <w:szCs w:val="21"/>
              </w:rPr>
              <w:t>表B.1，381</w:t>
            </w:r>
          </w:p>
        </w:tc>
        <w:tc>
          <w:tcPr>
            <w:tcW w:w="356" w:type="pct"/>
          </w:tcPr>
          <w:p w14:paraId="6AAC77D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2500</w:t>
            </w:r>
          </w:p>
        </w:tc>
        <w:tc>
          <w:tcPr>
            <w:tcW w:w="621" w:type="pct"/>
            <w:vAlign w:val="center"/>
          </w:tcPr>
          <w:p w14:paraId="757FA15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18"/>
                <w:szCs w:val="18"/>
              </w:rPr>
            </w:pPr>
            <w:r>
              <w:rPr>
                <w:rFonts w:hint="default"/>
                <w:color w:val="auto"/>
                <w:sz w:val="18"/>
                <w:szCs w:val="18"/>
              </w:rPr>
              <w:t>管线内</w:t>
            </w:r>
          </w:p>
        </w:tc>
      </w:tr>
      <w:tr w14:paraId="31E6C5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77" w:type="pct"/>
            <w:vMerge w:val="continue"/>
            <w:vAlign w:val="center"/>
          </w:tcPr>
          <w:p w14:paraId="6AECC63D">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c>
          <w:tcPr>
            <w:tcW w:w="454" w:type="pct"/>
            <w:vMerge w:val="continue"/>
            <w:vAlign w:val="center"/>
          </w:tcPr>
          <w:p w14:paraId="187DF55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298" w:type="pct"/>
            <w:vMerge w:val="continue"/>
            <w:vAlign w:val="center"/>
          </w:tcPr>
          <w:p w14:paraId="333ADD8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82" w:type="pct"/>
            <w:vMerge w:val="continue"/>
            <w:vAlign w:val="center"/>
          </w:tcPr>
          <w:p w14:paraId="74508D3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427" w:type="pct"/>
            <w:vAlign w:val="center"/>
          </w:tcPr>
          <w:p w14:paraId="514600F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27" w:type="pct"/>
            <w:vAlign w:val="center"/>
          </w:tcPr>
          <w:p w14:paraId="059F23E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75" w:type="pct"/>
            <w:vAlign w:val="center"/>
          </w:tcPr>
          <w:p w14:paraId="4530FC2E">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47000</w:t>
            </w:r>
          </w:p>
        </w:tc>
        <w:tc>
          <w:tcPr>
            <w:tcW w:w="427" w:type="pct"/>
            <w:vAlign w:val="center"/>
          </w:tcPr>
          <w:p w14:paraId="03475173">
            <w:pPr>
              <w:pStyle w:val="167"/>
              <w:keepNext w:val="0"/>
              <w:keepLines w:val="0"/>
              <w:suppressLineNumbers w:val="0"/>
              <w:spacing w:before="0" w:beforeAutospacing="0" w:after="0" w:afterAutospacing="0"/>
              <w:ind w:right="0"/>
              <w:rPr>
                <w:rFonts w:hint="default"/>
                <w:color w:val="auto"/>
              </w:rPr>
            </w:pPr>
            <w:r>
              <w:rPr>
                <w:rFonts w:hint="default"/>
                <w:color w:val="auto"/>
              </w:rPr>
              <w:t>是</w:t>
            </w:r>
          </w:p>
        </w:tc>
        <w:tc>
          <w:tcPr>
            <w:tcW w:w="475" w:type="pct"/>
            <w:vMerge w:val="continue"/>
            <w:vAlign w:val="center"/>
          </w:tcPr>
          <w:p w14:paraId="1DCE1285">
            <w:pPr>
              <w:pStyle w:val="167"/>
              <w:keepNext w:val="0"/>
              <w:keepLines w:val="0"/>
              <w:suppressLineNumbers w:val="0"/>
              <w:spacing w:before="0" w:beforeAutospacing="0" w:after="0" w:afterAutospacing="0"/>
              <w:ind w:right="0"/>
              <w:rPr>
                <w:rFonts w:hint="default"/>
                <w:color w:val="auto"/>
                <w:u w:val="single"/>
              </w:rPr>
            </w:pPr>
          </w:p>
        </w:tc>
        <w:tc>
          <w:tcPr>
            <w:tcW w:w="475" w:type="pct"/>
            <w:vMerge w:val="continue"/>
            <w:vAlign w:val="center"/>
          </w:tcPr>
          <w:p w14:paraId="66DAD1A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56" w:type="pct"/>
          </w:tcPr>
          <w:p w14:paraId="0C593C8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2500</w:t>
            </w:r>
          </w:p>
        </w:tc>
        <w:tc>
          <w:tcPr>
            <w:tcW w:w="621" w:type="pct"/>
            <w:vAlign w:val="center"/>
          </w:tcPr>
          <w:p w14:paraId="5673C20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18"/>
                <w:szCs w:val="18"/>
              </w:rPr>
            </w:pPr>
            <w:r>
              <w:rPr>
                <w:rFonts w:hint="default"/>
                <w:color w:val="auto"/>
                <w:sz w:val="18"/>
                <w:szCs w:val="18"/>
              </w:rPr>
              <w:t>船舱内，</w:t>
            </w:r>
            <w:r>
              <w:rPr>
                <w:rFonts w:hint="eastAsia"/>
                <w:color w:val="auto"/>
                <w:sz w:val="18"/>
                <w:szCs w:val="18"/>
              </w:rPr>
              <w:t>50000吨船</w:t>
            </w:r>
          </w:p>
        </w:tc>
      </w:tr>
      <w:tr w14:paraId="5ADB31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77" w:type="pct"/>
            <w:vMerge w:val="continue"/>
            <w:vAlign w:val="center"/>
          </w:tcPr>
          <w:p w14:paraId="7D228D5D">
            <w:pPr>
              <w:keepNext w:val="0"/>
              <w:keepLines w:val="0"/>
              <w:suppressLineNumbers w:val="0"/>
              <w:adjustRightInd w:val="0"/>
              <w:snapToGrid w:val="0"/>
              <w:spacing w:before="0" w:beforeAutospacing="0" w:after="0" w:afterAutospacing="0" w:line="240" w:lineRule="auto"/>
              <w:ind w:left="0" w:right="0" w:firstLine="420"/>
              <w:jc w:val="center"/>
              <w:rPr>
                <w:rFonts w:hint="default"/>
                <w:color w:val="auto"/>
                <w:sz w:val="21"/>
                <w:szCs w:val="21"/>
              </w:rPr>
            </w:pPr>
          </w:p>
        </w:tc>
        <w:tc>
          <w:tcPr>
            <w:tcW w:w="454" w:type="pct"/>
            <w:vMerge w:val="continue"/>
            <w:vAlign w:val="center"/>
          </w:tcPr>
          <w:p w14:paraId="31961C7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298" w:type="pct"/>
            <w:vMerge w:val="continue"/>
            <w:vAlign w:val="center"/>
          </w:tcPr>
          <w:p w14:paraId="66CF392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82" w:type="pct"/>
            <w:vMerge w:val="continue"/>
            <w:vAlign w:val="center"/>
          </w:tcPr>
          <w:p w14:paraId="36D170C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427" w:type="pct"/>
            <w:vAlign w:val="center"/>
          </w:tcPr>
          <w:p w14:paraId="1BE05EA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27" w:type="pct"/>
            <w:vAlign w:val="center"/>
          </w:tcPr>
          <w:p w14:paraId="099D11A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75" w:type="pct"/>
            <w:vAlign w:val="center"/>
          </w:tcPr>
          <w:p w14:paraId="69BA0DD9">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37600</w:t>
            </w:r>
          </w:p>
        </w:tc>
        <w:tc>
          <w:tcPr>
            <w:tcW w:w="427" w:type="pct"/>
            <w:vAlign w:val="center"/>
          </w:tcPr>
          <w:p w14:paraId="21B23F29">
            <w:pPr>
              <w:pStyle w:val="167"/>
              <w:keepNext w:val="0"/>
              <w:keepLines w:val="0"/>
              <w:suppressLineNumbers w:val="0"/>
              <w:spacing w:before="0" w:beforeAutospacing="0" w:after="0" w:afterAutospacing="0"/>
              <w:ind w:right="0"/>
              <w:rPr>
                <w:rFonts w:hint="default"/>
                <w:color w:val="auto"/>
              </w:rPr>
            </w:pPr>
            <w:r>
              <w:rPr>
                <w:rFonts w:hint="default"/>
                <w:color w:val="auto"/>
              </w:rPr>
              <w:t>是</w:t>
            </w:r>
          </w:p>
        </w:tc>
        <w:tc>
          <w:tcPr>
            <w:tcW w:w="475" w:type="pct"/>
            <w:vMerge w:val="continue"/>
            <w:vAlign w:val="center"/>
          </w:tcPr>
          <w:p w14:paraId="28E5E80A">
            <w:pPr>
              <w:pStyle w:val="167"/>
              <w:keepNext w:val="0"/>
              <w:keepLines w:val="0"/>
              <w:suppressLineNumbers w:val="0"/>
              <w:spacing w:before="0" w:beforeAutospacing="0" w:after="0" w:afterAutospacing="0"/>
              <w:ind w:right="0"/>
              <w:rPr>
                <w:rFonts w:hint="default"/>
                <w:color w:val="auto"/>
                <w:u w:val="single"/>
              </w:rPr>
            </w:pPr>
          </w:p>
        </w:tc>
        <w:tc>
          <w:tcPr>
            <w:tcW w:w="475" w:type="pct"/>
            <w:vMerge w:val="continue"/>
            <w:vAlign w:val="center"/>
          </w:tcPr>
          <w:p w14:paraId="022DB8C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p>
        </w:tc>
        <w:tc>
          <w:tcPr>
            <w:tcW w:w="356" w:type="pct"/>
          </w:tcPr>
          <w:p w14:paraId="4E6B1B4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2500</w:t>
            </w:r>
          </w:p>
        </w:tc>
        <w:tc>
          <w:tcPr>
            <w:tcW w:w="621" w:type="pct"/>
            <w:vAlign w:val="center"/>
          </w:tcPr>
          <w:p w14:paraId="7E032CD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18"/>
                <w:szCs w:val="18"/>
              </w:rPr>
            </w:pPr>
            <w:r>
              <w:rPr>
                <w:rFonts w:hint="eastAsia"/>
                <w:color w:val="auto"/>
                <w:sz w:val="18"/>
                <w:szCs w:val="18"/>
              </w:rPr>
              <w:t>库区，</w:t>
            </w:r>
            <w:r>
              <w:rPr>
                <w:rFonts w:hint="default"/>
                <w:color w:val="auto"/>
                <w:sz w:val="18"/>
                <w:szCs w:val="18"/>
              </w:rPr>
              <w:t>4</w:t>
            </w:r>
            <w:r>
              <w:rPr>
                <w:rFonts w:hint="eastAsia"/>
                <w:color w:val="auto"/>
                <w:sz w:val="18"/>
                <w:szCs w:val="18"/>
              </w:rPr>
              <w:t>0000</w:t>
            </w:r>
            <w:r>
              <w:rPr>
                <w:rFonts w:hint="default"/>
                <w:color w:val="auto"/>
                <w:sz w:val="18"/>
                <w:szCs w:val="18"/>
              </w:rPr>
              <w:t>m</w:t>
            </w:r>
            <w:r>
              <w:rPr>
                <w:rFonts w:hint="default"/>
                <w:color w:val="auto"/>
                <w:sz w:val="18"/>
                <w:szCs w:val="18"/>
                <w:vertAlign w:val="superscript"/>
              </w:rPr>
              <w:t>3</w:t>
            </w:r>
            <w:r>
              <w:rPr>
                <w:rFonts w:hint="default"/>
                <w:color w:val="auto"/>
                <w:sz w:val="18"/>
                <w:szCs w:val="18"/>
              </w:rPr>
              <w:t>储罐</w:t>
            </w:r>
            <w:r>
              <w:rPr>
                <w:rFonts w:hint="eastAsia"/>
                <w:color w:val="auto"/>
                <w:sz w:val="18"/>
                <w:szCs w:val="18"/>
              </w:rPr>
              <w:t>内</w:t>
            </w:r>
          </w:p>
        </w:tc>
      </w:tr>
      <w:tr w14:paraId="401151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77" w:type="pct"/>
            <w:vAlign w:val="center"/>
          </w:tcPr>
          <w:p w14:paraId="2609EB16">
            <w:pPr>
              <w:pStyle w:val="167"/>
              <w:keepNext w:val="0"/>
              <w:keepLines w:val="0"/>
              <w:suppressLineNumbers w:val="0"/>
              <w:spacing w:before="0" w:beforeAutospacing="0" w:after="0" w:afterAutospacing="0"/>
              <w:ind w:right="0"/>
              <w:rPr>
                <w:rFonts w:hint="default"/>
                <w:color w:val="auto"/>
              </w:rPr>
            </w:pPr>
            <w:r>
              <w:rPr>
                <w:rFonts w:hint="eastAsia"/>
                <w:color w:val="auto"/>
              </w:rPr>
              <w:t>6</w:t>
            </w:r>
          </w:p>
        </w:tc>
        <w:tc>
          <w:tcPr>
            <w:tcW w:w="454" w:type="pct"/>
            <w:vAlign w:val="center"/>
          </w:tcPr>
          <w:p w14:paraId="658C692E">
            <w:pPr>
              <w:pStyle w:val="167"/>
              <w:keepNext w:val="0"/>
              <w:keepLines w:val="0"/>
              <w:suppressLineNumbers w:val="0"/>
              <w:spacing w:before="0" w:beforeAutospacing="0" w:after="0" w:afterAutospacing="0"/>
              <w:ind w:right="0"/>
              <w:rPr>
                <w:rFonts w:hint="default"/>
                <w:color w:val="auto"/>
              </w:rPr>
            </w:pPr>
            <w:r>
              <w:rPr>
                <w:rFonts w:hint="eastAsia"/>
                <w:color w:val="auto"/>
              </w:rPr>
              <w:t>燃料</w:t>
            </w:r>
            <w:r>
              <w:rPr>
                <w:rFonts w:hint="default"/>
                <w:color w:val="auto"/>
              </w:rPr>
              <w:t>油（</w:t>
            </w:r>
            <w:r>
              <w:rPr>
                <w:rFonts w:hint="eastAsia"/>
                <w:color w:val="auto"/>
                <w:szCs w:val="21"/>
              </w:rPr>
              <w:t>50</w:t>
            </w:r>
            <w:r>
              <w:rPr>
                <w:rFonts w:hint="default"/>
                <w:color w:val="auto"/>
                <w:szCs w:val="21"/>
              </w:rPr>
              <w:t>0</w:t>
            </w:r>
            <w:r>
              <w:rPr>
                <w:rFonts w:hint="eastAsia"/>
                <w:color w:val="auto"/>
                <w:szCs w:val="21"/>
              </w:rPr>
              <w:t>00吨级船舶</w:t>
            </w:r>
            <w:r>
              <w:rPr>
                <w:rFonts w:hint="default"/>
                <w:color w:val="auto"/>
              </w:rPr>
              <w:t>）</w:t>
            </w:r>
          </w:p>
        </w:tc>
        <w:tc>
          <w:tcPr>
            <w:tcW w:w="298" w:type="pct"/>
            <w:vAlign w:val="center"/>
          </w:tcPr>
          <w:p w14:paraId="56AC00C5">
            <w:pPr>
              <w:pStyle w:val="167"/>
              <w:keepNext w:val="0"/>
              <w:keepLines w:val="0"/>
              <w:suppressLineNumbers w:val="0"/>
              <w:spacing w:before="0" w:beforeAutospacing="0" w:after="0" w:afterAutospacing="0"/>
              <w:ind w:right="0"/>
              <w:rPr>
                <w:rFonts w:hint="default"/>
                <w:color w:val="auto"/>
              </w:rPr>
            </w:pPr>
            <w:r>
              <w:rPr>
                <w:rFonts w:hint="eastAsia"/>
                <w:color w:val="auto"/>
              </w:rPr>
              <w:t>/</w:t>
            </w:r>
          </w:p>
        </w:tc>
        <w:tc>
          <w:tcPr>
            <w:tcW w:w="382" w:type="pct"/>
            <w:vAlign w:val="center"/>
          </w:tcPr>
          <w:p w14:paraId="1FA67776">
            <w:pPr>
              <w:pStyle w:val="167"/>
              <w:keepNext w:val="0"/>
              <w:keepLines w:val="0"/>
              <w:suppressLineNumbers w:val="0"/>
              <w:spacing w:before="0" w:beforeAutospacing="0" w:after="0" w:afterAutospacing="0"/>
              <w:ind w:right="0"/>
              <w:rPr>
                <w:rFonts w:hint="default"/>
                <w:color w:val="auto"/>
              </w:rPr>
            </w:pPr>
            <w:r>
              <w:rPr>
                <w:rFonts w:hint="default"/>
                <w:color w:val="auto"/>
              </w:rPr>
              <w:t>960</w:t>
            </w:r>
          </w:p>
        </w:tc>
        <w:tc>
          <w:tcPr>
            <w:tcW w:w="427" w:type="pct"/>
            <w:vAlign w:val="center"/>
          </w:tcPr>
          <w:p w14:paraId="5041A0F0">
            <w:pPr>
              <w:pStyle w:val="167"/>
              <w:keepNext w:val="0"/>
              <w:keepLines w:val="0"/>
              <w:suppressLineNumbers w:val="0"/>
              <w:spacing w:before="0" w:beforeAutospacing="0" w:after="0" w:afterAutospacing="0"/>
              <w:ind w:right="0"/>
              <w:rPr>
                <w:rFonts w:hint="default"/>
                <w:color w:val="auto"/>
              </w:rPr>
            </w:pPr>
            <w:r>
              <w:rPr>
                <w:rFonts w:hint="eastAsia"/>
                <w:color w:val="auto"/>
              </w:rPr>
              <w:t>/</w:t>
            </w:r>
          </w:p>
        </w:tc>
        <w:tc>
          <w:tcPr>
            <w:tcW w:w="427" w:type="pct"/>
            <w:vAlign w:val="center"/>
          </w:tcPr>
          <w:p w14:paraId="00C80470">
            <w:pPr>
              <w:pStyle w:val="167"/>
              <w:keepNext w:val="0"/>
              <w:keepLines w:val="0"/>
              <w:suppressLineNumbers w:val="0"/>
              <w:spacing w:before="0" w:beforeAutospacing="0" w:after="0" w:afterAutospacing="0"/>
              <w:ind w:right="0"/>
              <w:rPr>
                <w:rFonts w:hint="default"/>
                <w:color w:val="auto"/>
              </w:rPr>
            </w:pPr>
            <w:r>
              <w:rPr>
                <w:rFonts w:hint="eastAsia"/>
                <w:color w:val="auto"/>
              </w:rPr>
              <w:t>/</w:t>
            </w:r>
          </w:p>
        </w:tc>
        <w:tc>
          <w:tcPr>
            <w:tcW w:w="475" w:type="pct"/>
            <w:vAlign w:val="center"/>
          </w:tcPr>
          <w:p w14:paraId="145EE9B9">
            <w:pPr>
              <w:pStyle w:val="167"/>
              <w:keepNext w:val="0"/>
              <w:keepLines w:val="0"/>
              <w:suppressLineNumbers w:val="0"/>
              <w:spacing w:before="0" w:beforeAutospacing="0" w:after="0" w:afterAutospacing="0"/>
              <w:ind w:right="0"/>
              <w:rPr>
                <w:rFonts w:hint="default" w:eastAsia="等线"/>
                <w:color w:val="auto"/>
              </w:rPr>
            </w:pPr>
            <w:r>
              <w:rPr>
                <w:rFonts w:hint="eastAsia" w:eastAsia="等线"/>
                <w:color w:val="auto"/>
              </w:rPr>
              <w:t>3780</w:t>
            </w:r>
          </w:p>
        </w:tc>
        <w:tc>
          <w:tcPr>
            <w:tcW w:w="427" w:type="pct"/>
            <w:vAlign w:val="center"/>
          </w:tcPr>
          <w:p w14:paraId="1839180E">
            <w:pPr>
              <w:pStyle w:val="167"/>
              <w:keepNext w:val="0"/>
              <w:keepLines w:val="0"/>
              <w:suppressLineNumbers w:val="0"/>
              <w:spacing w:before="0" w:beforeAutospacing="0" w:after="0" w:afterAutospacing="0"/>
              <w:ind w:right="0"/>
              <w:rPr>
                <w:rFonts w:hint="default"/>
                <w:color w:val="auto"/>
              </w:rPr>
            </w:pPr>
            <w:r>
              <w:rPr>
                <w:rFonts w:hint="default"/>
                <w:color w:val="auto"/>
              </w:rPr>
              <w:t>是</w:t>
            </w:r>
          </w:p>
        </w:tc>
        <w:tc>
          <w:tcPr>
            <w:tcW w:w="475" w:type="pct"/>
            <w:vAlign w:val="center"/>
          </w:tcPr>
          <w:p w14:paraId="659E8AF9">
            <w:pPr>
              <w:pStyle w:val="167"/>
              <w:keepNext w:val="0"/>
              <w:keepLines w:val="0"/>
              <w:suppressLineNumbers w:val="0"/>
              <w:spacing w:before="0" w:beforeAutospacing="0" w:after="0" w:afterAutospacing="0"/>
              <w:ind w:right="0"/>
              <w:rPr>
                <w:rFonts w:hint="default"/>
                <w:color w:val="auto"/>
                <w:u w:val="single"/>
              </w:rPr>
            </w:pPr>
            <w:r>
              <w:rPr>
                <w:rFonts w:hint="eastAsia"/>
                <w:color w:val="auto"/>
                <w:sz w:val="21"/>
                <w:szCs w:val="21"/>
                <w:u w:val="single"/>
                <w:lang w:val="en-US" w:eastAsia="zh-CN"/>
              </w:rPr>
              <w:t>易燃，有毒</w:t>
            </w:r>
          </w:p>
        </w:tc>
        <w:tc>
          <w:tcPr>
            <w:tcW w:w="475" w:type="pct"/>
            <w:vAlign w:val="center"/>
          </w:tcPr>
          <w:p w14:paraId="615C98C1">
            <w:pPr>
              <w:pStyle w:val="167"/>
              <w:keepNext w:val="0"/>
              <w:keepLines w:val="0"/>
              <w:suppressLineNumbers w:val="0"/>
              <w:spacing w:before="0" w:beforeAutospacing="0" w:after="0" w:afterAutospacing="0"/>
              <w:ind w:right="0"/>
              <w:rPr>
                <w:rFonts w:hint="default"/>
                <w:color w:val="auto"/>
              </w:rPr>
            </w:pPr>
            <w:r>
              <w:rPr>
                <w:rFonts w:hint="eastAsia"/>
                <w:color w:val="auto"/>
                <w:szCs w:val="21"/>
              </w:rPr>
              <w:t>表B.1，381</w:t>
            </w:r>
          </w:p>
        </w:tc>
        <w:tc>
          <w:tcPr>
            <w:tcW w:w="356" w:type="pct"/>
            <w:vAlign w:val="center"/>
          </w:tcPr>
          <w:p w14:paraId="385D0722">
            <w:pPr>
              <w:pStyle w:val="167"/>
              <w:keepNext w:val="0"/>
              <w:keepLines w:val="0"/>
              <w:suppressLineNumbers w:val="0"/>
              <w:spacing w:before="0" w:beforeAutospacing="0" w:after="0" w:afterAutospacing="0"/>
              <w:ind w:right="0"/>
              <w:rPr>
                <w:rFonts w:hint="default"/>
                <w:color w:val="auto"/>
              </w:rPr>
            </w:pPr>
            <w:r>
              <w:rPr>
                <w:rFonts w:hint="default"/>
                <w:color w:val="auto"/>
              </w:rPr>
              <w:t>100</w:t>
            </w:r>
          </w:p>
        </w:tc>
        <w:tc>
          <w:tcPr>
            <w:tcW w:w="621" w:type="pct"/>
            <w:vAlign w:val="center"/>
          </w:tcPr>
          <w:p w14:paraId="63E76B6E">
            <w:pPr>
              <w:pStyle w:val="167"/>
              <w:keepNext w:val="0"/>
              <w:keepLines w:val="0"/>
              <w:suppressLineNumbers w:val="0"/>
              <w:spacing w:before="0" w:beforeAutospacing="0" w:after="0" w:afterAutospacing="0"/>
              <w:ind w:right="0"/>
              <w:rPr>
                <w:rFonts w:hint="default"/>
                <w:color w:val="auto"/>
                <w:sz w:val="18"/>
                <w:szCs w:val="18"/>
              </w:rPr>
            </w:pPr>
            <w:r>
              <w:rPr>
                <w:rFonts w:hint="eastAsia"/>
                <w:color w:val="auto"/>
                <w:sz w:val="18"/>
                <w:szCs w:val="18"/>
              </w:rPr>
              <w:t>船舶</w:t>
            </w:r>
            <w:r>
              <w:rPr>
                <w:rFonts w:hint="default"/>
                <w:color w:val="auto"/>
                <w:sz w:val="18"/>
                <w:szCs w:val="18"/>
              </w:rPr>
              <w:t>燃油舱内</w:t>
            </w:r>
          </w:p>
        </w:tc>
      </w:tr>
    </w:tbl>
    <w:p w14:paraId="7361FD42">
      <w:pPr>
        <w:ind w:firstLine="420"/>
        <w:rPr>
          <w:color w:val="auto"/>
          <w:sz w:val="21"/>
          <w:szCs w:val="21"/>
        </w:rPr>
      </w:pPr>
      <w:r>
        <w:rPr>
          <w:rFonts w:hint="eastAsia"/>
          <w:color w:val="auto"/>
          <w:sz w:val="21"/>
          <w:szCs w:val="21"/>
        </w:rPr>
        <w:t>备注：石脑油、蜡油、渣油临界量</w:t>
      </w:r>
      <w:r>
        <w:rPr>
          <w:color w:val="auto"/>
          <w:sz w:val="21"/>
          <w:szCs w:val="21"/>
        </w:rPr>
        <w:t>参照</w:t>
      </w:r>
      <w:r>
        <w:rPr>
          <w:rFonts w:hint="eastAsia"/>
          <w:color w:val="auto"/>
          <w:sz w:val="21"/>
          <w:szCs w:val="21"/>
        </w:rPr>
        <w:t>HJ1409-2025；参考《水上溢油环境风险评估技术导则》（JT/T114-2017）表C.4中30000～50000吨级总舱容为</w:t>
      </w:r>
      <w:r>
        <w:rPr>
          <w:color w:val="auto"/>
          <w:sz w:val="21"/>
          <w:szCs w:val="21"/>
        </w:rPr>
        <w:t>1510</w:t>
      </w:r>
      <w:r>
        <w:rPr>
          <w:rFonts w:hint="eastAsia"/>
          <w:color w:val="auto"/>
          <w:sz w:val="21"/>
          <w:szCs w:val="21"/>
        </w:rPr>
        <w:t>~</w:t>
      </w:r>
      <w:r>
        <w:rPr>
          <w:color w:val="auto"/>
          <w:sz w:val="21"/>
          <w:szCs w:val="21"/>
        </w:rPr>
        <w:t>3780</w:t>
      </w:r>
      <w:r>
        <w:rPr>
          <w:rFonts w:hint="eastAsia"/>
          <w:color w:val="auto"/>
          <w:sz w:val="21"/>
          <w:szCs w:val="21"/>
        </w:rPr>
        <w:t>m</w:t>
      </w:r>
      <w:r>
        <w:rPr>
          <w:rFonts w:hint="eastAsia"/>
          <w:color w:val="auto"/>
          <w:sz w:val="21"/>
          <w:szCs w:val="21"/>
          <w:vertAlign w:val="superscript"/>
        </w:rPr>
        <w:t>3</w:t>
      </w:r>
      <w:r>
        <w:rPr>
          <w:rFonts w:hint="eastAsia"/>
          <w:color w:val="auto"/>
          <w:sz w:val="21"/>
          <w:szCs w:val="21"/>
        </w:rPr>
        <w:t>，最大可信水上泄漏量为代表船型</w:t>
      </w:r>
      <w:r>
        <w:rPr>
          <w:color w:val="auto"/>
          <w:sz w:val="21"/>
          <w:szCs w:val="21"/>
        </w:rPr>
        <w:t>所载</w:t>
      </w:r>
      <w:r>
        <w:rPr>
          <w:rFonts w:hint="eastAsia"/>
          <w:color w:val="auto"/>
          <w:sz w:val="21"/>
          <w:szCs w:val="21"/>
        </w:rPr>
        <w:t>货油</w:t>
      </w:r>
      <w:r>
        <w:rPr>
          <w:color w:val="auto"/>
          <w:sz w:val="21"/>
          <w:szCs w:val="21"/>
        </w:rPr>
        <w:t>或船用燃料油</w:t>
      </w:r>
      <w:r>
        <w:rPr>
          <w:rFonts w:hint="eastAsia"/>
          <w:color w:val="auto"/>
          <w:sz w:val="21"/>
          <w:szCs w:val="21"/>
        </w:rPr>
        <w:t>全部泄漏。</w:t>
      </w:r>
    </w:p>
    <w:p w14:paraId="76412007">
      <w:pPr>
        <w:ind w:firstLine="480"/>
        <w:rPr>
          <w:color w:val="auto"/>
        </w:rPr>
        <w:sectPr>
          <w:headerReference r:id="rId34" w:type="default"/>
          <w:pgSz w:w="16838" w:h="11906" w:orient="landscape"/>
          <w:pgMar w:top="1797" w:right="1440" w:bottom="1797" w:left="1440" w:header="851" w:footer="680" w:gutter="0"/>
          <w:cols w:space="720" w:num="1"/>
          <w:docGrid w:type="lines" w:linePitch="312" w:charSpace="0"/>
        </w:sectPr>
      </w:pPr>
    </w:p>
    <w:p w14:paraId="1C18D897">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2</w:t>
      </w:r>
      <w:r>
        <w:rPr>
          <w:color w:val="auto"/>
        </w:rPr>
        <w:fldChar w:fldCharType="end"/>
      </w:r>
      <w:r>
        <w:rPr>
          <w:rFonts w:hint="eastAsia"/>
          <w:color w:val="auto"/>
        </w:rPr>
        <w:t>甲基叔丁基醚理化性质</w:t>
      </w:r>
      <w:r>
        <w:rPr>
          <w:color w:val="auto"/>
        </w:rPr>
        <w:t>及</w:t>
      </w:r>
      <w:r>
        <w:rPr>
          <w:rFonts w:hint="eastAsia"/>
          <w:color w:val="auto"/>
        </w:rPr>
        <w:t>危险</w:t>
      </w:r>
      <w:r>
        <w:rPr>
          <w:color w:val="auto"/>
        </w:rPr>
        <w:t>特性表</w:t>
      </w:r>
    </w:p>
    <w:tbl>
      <w:tblPr>
        <w:tblStyle w:val="43"/>
        <w:tblW w:w="5053"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550"/>
        <w:gridCol w:w="2584"/>
        <w:gridCol w:w="2086"/>
        <w:gridCol w:w="4003"/>
      </w:tblGrid>
      <w:tr w14:paraId="1404AD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72" w:hRule="atLeast"/>
          <w:jc w:val="center"/>
        </w:trPr>
        <w:tc>
          <w:tcPr>
            <w:tcW w:w="298" w:type="pct"/>
            <w:vMerge w:val="restart"/>
            <w:vAlign w:val="center"/>
          </w:tcPr>
          <w:p w14:paraId="033005A4">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标识</w:t>
            </w:r>
          </w:p>
        </w:tc>
        <w:tc>
          <w:tcPr>
            <w:tcW w:w="2532" w:type="pct"/>
            <w:gridSpan w:val="2"/>
            <w:vAlign w:val="center"/>
          </w:tcPr>
          <w:p w14:paraId="3193CB39">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中文名：</w:t>
            </w:r>
            <w:r>
              <w:rPr>
                <w:rFonts w:hint="eastAsia"/>
                <w:color w:val="auto"/>
                <w:kern w:val="0"/>
                <w:sz w:val="21"/>
                <w:szCs w:val="21"/>
              </w:rPr>
              <w:t>甲基叔丁基醚</w:t>
            </w:r>
          </w:p>
        </w:tc>
        <w:tc>
          <w:tcPr>
            <w:tcW w:w="2170" w:type="pct"/>
            <w:vAlign w:val="center"/>
          </w:tcPr>
          <w:p w14:paraId="1DDF2114">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CAS号：1634-04-4</w:t>
            </w:r>
          </w:p>
        </w:tc>
      </w:tr>
      <w:tr w14:paraId="1E3C63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90" w:hRule="atLeast"/>
          <w:jc w:val="center"/>
        </w:trPr>
        <w:tc>
          <w:tcPr>
            <w:tcW w:w="298" w:type="pct"/>
            <w:vMerge w:val="continue"/>
            <w:vAlign w:val="center"/>
          </w:tcPr>
          <w:p w14:paraId="29984DA2">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1401" w:type="pct"/>
            <w:vAlign w:val="center"/>
          </w:tcPr>
          <w:p w14:paraId="52E6FD11">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危险化学品目录编号：/</w:t>
            </w:r>
          </w:p>
        </w:tc>
        <w:tc>
          <w:tcPr>
            <w:tcW w:w="3301" w:type="pct"/>
            <w:gridSpan w:val="2"/>
            <w:vAlign w:val="center"/>
          </w:tcPr>
          <w:p w14:paraId="02875E61">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危险性类别：易燃液体，类别3。</w:t>
            </w:r>
          </w:p>
        </w:tc>
      </w:tr>
      <w:tr w14:paraId="03B39B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298" w:type="pct"/>
            <w:vMerge w:val="restart"/>
            <w:vAlign w:val="center"/>
          </w:tcPr>
          <w:p w14:paraId="0DC6569B">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理化</w:t>
            </w:r>
          </w:p>
          <w:p w14:paraId="0CF53740">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性质</w:t>
            </w:r>
          </w:p>
        </w:tc>
        <w:tc>
          <w:tcPr>
            <w:tcW w:w="4702" w:type="pct"/>
            <w:gridSpan w:val="3"/>
            <w:vAlign w:val="center"/>
          </w:tcPr>
          <w:p w14:paraId="36555BE8">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无色液体</w:t>
            </w:r>
            <w:r>
              <w:rPr>
                <w:rFonts w:hint="default"/>
                <w:color w:val="auto"/>
                <w:kern w:val="0"/>
                <w:sz w:val="21"/>
                <w:szCs w:val="21"/>
              </w:rPr>
              <w:t>，具有醚样气味</w:t>
            </w:r>
          </w:p>
        </w:tc>
      </w:tr>
      <w:tr w14:paraId="1E2B76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0" w:hRule="atLeast"/>
          <w:jc w:val="center"/>
        </w:trPr>
        <w:tc>
          <w:tcPr>
            <w:tcW w:w="298" w:type="pct"/>
            <w:vMerge w:val="continue"/>
            <w:vAlign w:val="center"/>
          </w:tcPr>
          <w:p w14:paraId="1C730D8D">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1401" w:type="pct"/>
            <w:vAlign w:val="center"/>
          </w:tcPr>
          <w:p w14:paraId="04DBA441">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熔点/</w:t>
            </w:r>
            <w:r>
              <w:rPr>
                <w:rFonts w:hint="eastAsia" w:ascii="宋体" w:hAnsi="宋体" w:cs="宋体"/>
                <w:color w:val="auto"/>
                <w:kern w:val="0"/>
                <w:sz w:val="21"/>
                <w:szCs w:val="21"/>
              </w:rPr>
              <w:t>℃</w:t>
            </w:r>
            <w:r>
              <w:rPr>
                <w:rFonts w:hint="default"/>
                <w:color w:val="auto"/>
                <w:kern w:val="0"/>
                <w:sz w:val="21"/>
                <w:szCs w:val="21"/>
              </w:rPr>
              <w:t>：</w:t>
            </w:r>
            <w:r>
              <w:rPr>
                <w:rFonts w:hint="eastAsia"/>
                <w:color w:val="auto"/>
                <w:kern w:val="0"/>
                <w:sz w:val="21"/>
                <w:szCs w:val="21"/>
              </w:rPr>
              <w:t>-</w:t>
            </w:r>
            <w:r>
              <w:rPr>
                <w:rFonts w:hint="default"/>
                <w:color w:val="auto"/>
                <w:kern w:val="0"/>
                <w:sz w:val="21"/>
                <w:szCs w:val="21"/>
              </w:rPr>
              <w:t>108.6</w:t>
            </w:r>
          </w:p>
        </w:tc>
        <w:tc>
          <w:tcPr>
            <w:tcW w:w="3301" w:type="pct"/>
            <w:gridSpan w:val="2"/>
            <w:vAlign w:val="center"/>
          </w:tcPr>
          <w:p w14:paraId="793916C5">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溶解性：</w:t>
            </w:r>
            <w:r>
              <w:rPr>
                <w:rFonts w:hint="eastAsia"/>
                <w:color w:val="auto"/>
                <w:kern w:val="0"/>
                <w:sz w:val="21"/>
                <w:szCs w:val="21"/>
              </w:rPr>
              <w:t>不溶于水</w:t>
            </w:r>
          </w:p>
        </w:tc>
      </w:tr>
      <w:tr w14:paraId="0862DD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78" w:hRule="atLeast"/>
          <w:jc w:val="center"/>
        </w:trPr>
        <w:tc>
          <w:tcPr>
            <w:tcW w:w="298" w:type="pct"/>
            <w:vMerge w:val="continue"/>
            <w:vAlign w:val="center"/>
          </w:tcPr>
          <w:p w14:paraId="046E2548">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532" w:type="pct"/>
            <w:gridSpan w:val="2"/>
            <w:vAlign w:val="center"/>
          </w:tcPr>
          <w:p w14:paraId="1098FCA6">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沸点/</w:t>
            </w:r>
            <w:r>
              <w:rPr>
                <w:rFonts w:hint="eastAsia" w:ascii="宋体" w:hAnsi="宋体" w:cs="宋体"/>
                <w:color w:val="auto"/>
                <w:kern w:val="0"/>
                <w:sz w:val="21"/>
                <w:szCs w:val="21"/>
              </w:rPr>
              <w:t>℃</w:t>
            </w:r>
            <w:r>
              <w:rPr>
                <w:rFonts w:hint="default"/>
                <w:color w:val="auto"/>
                <w:kern w:val="0"/>
                <w:sz w:val="21"/>
                <w:szCs w:val="21"/>
              </w:rPr>
              <w:t>：</w:t>
            </w:r>
            <w:r>
              <w:rPr>
                <w:rFonts w:hint="eastAsia"/>
                <w:color w:val="auto"/>
                <w:kern w:val="0"/>
                <w:sz w:val="21"/>
                <w:szCs w:val="21"/>
              </w:rPr>
              <w:t>5</w:t>
            </w:r>
            <w:r>
              <w:rPr>
                <w:rFonts w:hint="default"/>
                <w:color w:val="auto"/>
                <w:kern w:val="0"/>
                <w:sz w:val="21"/>
                <w:szCs w:val="21"/>
              </w:rPr>
              <w:t>5.2</w:t>
            </w:r>
          </w:p>
        </w:tc>
        <w:tc>
          <w:tcPr>
            <w:tcW w:w="2170" w:type="pct"/>
            <w:vAlign w:val="center"/>
          </w:tcPr>
          <w:p w14:paraId="58211657">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相对密度（水=1）：0.74</w:t>
            </w:r>
          </w:p>
        </w:tc>
      </w:tr>
      <w:tr w14:paraId="06F852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8" w:hRule="atLeast"/>
          <w:jc w:val="center"/>
        </w:trPr>
        <w:tc>
          <w:tcPr>
            <w:tcW w:w="298" w:type="pct"/>
            <w:vMerge w:val="continue"/>
            <w:vAlign w:val="center"/>
          </w:tcPr>
          <w:p w14:paraId="53DD0AAE">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532" w:type="pct"/>
            <w:gridSpan w:val="2"/>
            <w:vAlign w:val="center"/>
          </w:tcPr>
          <w:p w14:paraId="61EFA0F5">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饱和蒸气压/kPa：</w:t>
            </w:r>
            <w:r>
              <w:rPr>
                <w:rFonts w:hint="eastAsia"/>
                <w:color w:val="auto"/>
                <w:kern w:val="0"/>
                <w:sz w:val="21"/>
                <w:szCs w:val="21"/>
              </w:rPr>
              <w:t>2</w:t>
            </w:r>
            <w:r>
              <w:rPr>
                <w:rFonts w:hint="default"/>
                <w:color w:val="auto"/>
                <w:kern w:val="0"/>
                <w:sz w:val="21"/>
                <w:szCs w:val="21"/>
              </w:rPr>
              <w:t>7</w:t>
            </w:r>
            <w:r>
              <w:rPr>
                <w:rFonts w:hint="eastAsia"/>
                <w:color w:val="auto"/>
                <w:kern w:val="0"/>
                <w:sz w:val="21"/>
                <w:szCs w:val="21"/>
              </w:rPr>
              <w:t>（20℃）</w:t>
            </w:r>
          </w:p>
        </w:tc>
        <w:tc>
          <w:tcPr>
            <w:tcW w:w="2170" w:type="pct"/>
            <w:vAlign w:val="center"/>
          </w:tcPr>
          <w:p w14:paraId="40FEB87C">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相对蒸汽密度</w:t>
            </w:r>
            <w:r>
              <w:rPr>
                <w:rFonts w:hint="eastAsia"/>
                <w:color w:val="auto"/>
                <w:kern w:val="0"/>
                <w:sz w:val="21"/>
                <w:szCs w:val="21"/>
              </w:rPr>
              <w:t>（</w:t>
            </w:r>
            <w:r>
              <w:rPr>
                <w:rFonts w:hint="default"/>
                <w:color w:val="auto"/>
                <w:kern w:val="0"/>
                <w:sz w:val="21"/>
                <w:szCs w:val="21"/>
              </w:rPr>
              <w:t>空气=1</w:t>
            </w:r>
            <w:r>
              <w:rPr>
                <w:rFonts w:hint="eastAsia"/>
                <w:color w:val="auto"/>
                <w:kern w:val="0"/>
                <w:sz w:val="21"/>
                <w:szCs w:val="21"/>
              </w:rPr>
              <w:t>）</w:t>
            </w:r>
            <w:r>
              <w:rPr>
                <w:rFonts w:hint="default"/>
                <w:color w:val="auto"/>
                <w:kern w:val="0"/>
                <w:sz w:val="21"/>
                <w:szCs w:val="21"/>
              </w:rPr>
              <w:t>：3.1</w:t>
            </w:r>
          </w:p>
        </w:tc>
      </w:tr>
      <w:tr w14:paraId="7698B5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0" w:hRule="atLeast"/>
          <w:jc w:val="center"/>
        </w:trPr>
        <w:tc>
          <w:tcPr>
            <w:tcW w:w="298" w:type="pct"/>
            <w:vMerge w:val="continue"/>
            <w:vAlign w:val="center"/>
          </w:tcPr>
          <w:p w14:paraId="7F930F50">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532" w:type="pct"/>
            <w:gridSpan w:val="2"/>
            <w:vAlign w:val="center"/>
          </w:tcPr>
          <w:p w14:paraId="47BF6480">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临界温度/℃</w:t>
            </w:r>
            <w:r>
              <w:rPr>
                <w:rFonts w:hint="eastAsia"/>
                <w:color w:val="auto"/>
                <w:kern w:val="0"/>
                <w:sz w:val="21"/>
                <w:szCs w:val="21"/>
              </w:rPr>
              <w:t>：</w:t>
            </w:r>
            <w:r>
              <w:rPr>
                <w:rFonts w:hint="default"/>
                <w:color w:val="auto"/>
                <w:kern w:val="0"/>
                <w:sz w:val="21"/>
                <w:szCs w:val="21"/>
              </w:rPr>
              <w:t>无资料</w:t>
            </w:r>
          </w:p>
        </w:tc>
        <w:tc>
          <w:tcPr>
            <w:tcW w:w="2170" w:type="pct"/>
            <w:vAlign w:val="center"/>
          </w:tcPr>
          <w:p w14:paraId="147F66D5">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燃烧热（kJ·mol）：</w:t>
            </w:r>
            <w:r>
              <w:rPr>
                <w:rFonts w:hint="eastAsia"/>
                <w:color w:val="auto"/>
                <w:kern w:val="0"/>
                <w:sz w:val="21"/>
                <w:szCs w:val="21"/>
              </w:rPr>
              <w:t>3</w:t>
            </w:r>
            <w:r>
              <w:rPr>
                <w:rFonts w:hint="default"/>
                <w:color w:val="auto"/>
                <w:kern w:val="0"/>
                <w:sz w:val="21"/>
                <w:szCs w:val="21"/>
              </w:rPr>
              <w:t>360.7</w:t>
            </w:r>
          </w:p>
        </w:tc>
      </w:tr>
      <w:tr w14:paraId="3F6956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0" w:hRule="atLeast"/>
          <w:jc w:val="center"/>
        </w:trPr>
        <w:tc>
          <w:tcPr>
            <w:tcW w:w="298" w:type="pct"/>
            <w:vMerge w:val="continue"/>
            <w:vAlign w:val="center"/>
          </w:tcPr>
          <w:p w14:paraId="5B6B30E0">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532" w:type="pct"/>
            <w:gridSpan w:val="2"/>
            <w:vAlign w:val="center"/>
          </w:tcPr>
          <w:p w14:paraId="3A3EDDC3">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临界压力/MPa</w:t>
            </w:r>
            <w:r>
              <w:rPr>
                <w:rFonts w:hint="eastAsia"/>
                <w:color w:val="auto"/>
                <w:kern w:val="0"/>
                <w:sz w:val="21"/>
                <w:szCs w:val="21"/>
              </w:rPr>
              <w:t>：3.37</w:t>
            </w:r>
          </w:p>
        </w:tc>
        <w:tc>
          <w:tcPr>
            <w:tcW w:w="2170" w:type="pct"/>
            <w:vAlign w:val="center"/>
          </w:tcPr>
          <w:p w14:paraId="18CE5A42">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引燃温度</w:t>
            </w:r>
            <w:r>
              <w:rPr>
                <w:rFonts w:hint="default"/>
                <w:color w:val="auto"/>
                <w:kern w:val="0"/>
                <w:sz w:val="21"/>
                <w:szCs w:val="21"/>
              </w:rPr>
              <w:t>/</w:t>
            </w:r>
            <w:r>
              <w:rPr>
                <w:rFonts w:hint="eastAsia" w:ascii="宋体" w:hAnsi="宋体" w:cs="宋体"/>
                <w:color w:val="auto"/>
                <w:kern w:val="0"/>
                <w:sz w:val="21"/>
                <w:szCs w:val="21"/>
              </w:rPr>
              <w:t>℃</w:t>
            </w:r>
            <w:r>
              <w:rPr>
                <w:rFonts w:hint="default"/>
                <w:color w:val="auto"/>
                <w:kern w:val="0"/>
                <w:sz w:val="21"/>
                <w:szCs w:val="21"/>
              </w:rPr>
              <w:t>：</w:t>
            </w:r>
            <w:r>
              <w:rPr>
                <w:rFonts w:hint="eastAsia"/>
                <w:color w:val="auto"/>
                <w:kern w:val="0"/>
                <w:sz w:val="21"/>
                <w:szCs w:val="21"/>
              </w:rPr>
              <w:t>3</w:t>
            </w:r>
            <w:r>
              <w:rPr>
                <w:rFonts w:hint="default"/>
                <w:color w:val="auto"/>
                <w:kern w:val="0"/>
                <w:sz w:val="21"/>
                <w:szCs w:val="21"/>
              </w:rPr>
              <w:t>75</w:t>
            </w:r>
          </w:p>
        </w:tc>
      </w:tr>
      <w:tr w14:paraId="4B2728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0" w:hRule="atLeast"/>
          <w:jc w:val="center"/>
        </w:trPr>
        <w:tc>
          <w:tcPr>
            <w:tcW w:w="298" w:type="pct"/>
            <w:vMerge w:val="continue"/>
            <w:vAlign w:val="center"/>
          </w:tcPr>
          <w:p w14:paraId="62282879">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532" w:type="pct"/>
            <w:gridSpan w:val="2"/>
            <w:vAlign w:val="center"/>
          </w:tcPr>
          <w:p w14:paraId="39A593D5">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燃烧性：易燃</w:t>
            </w:r>
          </w:p>
        </w:tc>
        <w:tc>
          <w:tcPr>
            <w:tcW w:w="2170" w:type="pct"/>
            <w:vAlign w:val="center"/>
          </w:tcPr>
          <w:p w14:paraId="20251F1C">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闪点/</w:t>
            </w:r>
            <w:r>
              <w:rPr>
                <w:rFonts w:hint="eastAsia" w:ascii="宋体" w:hAnsi="宋体" w:cs="宋体"/>
                <w:color w:val="auto"/>
                <w:kern w:val="0"/>
                <w:sz w:val="21"/>
                <w:szCs w:val="21"/>
              </w:rPr>
              <w:t>℃</w:t>
            </w:r>
            <w:r>
              <w:rPr>
                <w:rFonts w:hint="default"/>
                <w:color w:val="auto"/>
                <w:kern w:val="0"/>
                <w:sz w:val="21"/>
                <w:szCs w:val="21"/>
              </w:rPr>
              <w:t>：-28</w:t>
            </w:r>
          </w:p>
        </w:tc>
      </w:tr>
      <w:tr w14:paraId="5DA52D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0" w:hRule="atLeast"/>
          <w:jc w:val="center"/>
        </w:trPr>
        <w:tc>
          <w:tcPr>
            <w:tcW w:w="298" w:type="pct"/>
            <w:vMerge w:val="continue"/>
            <w:vAlign w:val="center"/>
          </w:tcPr>
          <w:p w14:paraId="21F7E2AC">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532" w:type="pct"/>
            <w:gridSpan w:val="2"/>
            <w:vAlign w:val="center"/>
          </w:tcPr>
          <w:p w14:paraId="3DBFB0BC">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爆炸极限（体积分数）/%：</w:t>
            </w:r>
            <w:r>
              <w:rPr>
                <w:rFonts w:hint="eastAsia"/>
                <w:color w:val="auto"/>
                <w:kern w:val="0"/>
                <w:sz w:val="21"/>
                <w:szCs w:val="21"/>
              </w:rPr>
              <w:t>1</w:t>
            </w:r>
            <w:r>
              <w:rPr>
                <w:rFonts w:hint="default"/>
                <w:color w:val="auto"/>
                <w:kern w:val="0"/>
                <w:sz w:val="21"/>
                <w:szCs w:val="21"/>
              </w:rPr>
              <w:t>.6~15.1</w:t>
            </w:r>
          </w:p>
        </w:tc>
        <w:tc>
          <w:tcPr>
            <w:tcW w:w="2170" w:type="pct"/>
            <w:vAlign w:val="center"/>
          </w:tcPr>
          <w:p w14:paraId="7DEBE460">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n-辛醇/水分配系数：0.94-1.24</w:t>
            </w:r>
          </w:p>
        </w:tc>
      </w:tr>
      <w:tr w14:paraId="7E67A5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0" w:hRule="atLeast"/>
          <w:jc w:val="center"/>
        </w:trPr>
        <w:tc>
          <w:tcPr>
            <w:tcW w:w="298" w:type="pct"/>
            <w:vMerge w:val="restart"/>
            <w:vAlign w:val="center"/>
          </w:tcPr>
          <w:p w14:paraId="47222291">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稳定性和</w:t>
            </w:r>
            <w:r>
              <w:rPr>
                <w:rFonts w:hint="default"/>
                <w:color w:val="auto"/>
                <w:kern w:val="0"/>
                <w:sz w:val="21"/>
                <w:szCs w:val="21"/>
              </w:rPr>
              <w:t>反应性</w:t>
            </w:r>
          </w:p>
        </w:tc>
        <w:tc>
          <w:tcPr>
            <w:tcW w:w="2532" w:type="pct"/>
            <w:gridSpan w:val="2"/>
            <w:vAlign w:val="center"/>
          </w:tcPr>
          <w:p w14:paraId="03950226">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稳定性：稳定</w:t>
            </w:r>
          </w:p>
        </w:tc>
        <w:tc>
          <w:tcPr>
            <w:tcW w:w="2170" w:type="pct"/>
            <w:vAlign w:val="center"/>
          </w:tcPr>
          <w:p w14:paraId="06802DBF">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燃烧分解产物：一氧化碳、二氧化碳。</w:t>
            </w:r>
          </w:p>
        </w:tc>
      </w:tr>
      <w:tr w14:paraId="75870F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0" w:hRule="atLeast"/>
          <w:jc w:val="center"/>
        </w:trPr>
        <w:tc>
          <w:tcPr>
            <w:tcW w:w="298" w:type="pct"/>
            <w:vMerge w:val="continue"/>
            <w:vAlign w:val="center"/>
          </w:tcPr>
          <w:p w14:paraId="6953194D">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532" w:type="pct"/>
            <w:gridSpan w:val="2"/>
            <w:vAlign w:val="center"/>
          </w:tcPr>
          <w:p w14:paraId="33FE8F4B">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禁忌物：氧化剂</w:t>
            </w:r>
          </w:p>
        </w:tc>
        <w:tc>
          <w:tcPr>
            <w:tcW w:w="2170" w:type="pct"/>
            <w:vAlign w:val="center"/>
          </w:tcPr>
          <w:p w14:paraId="47CBEE70">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危险</w:t>
            </w:r>
            <w:r>
              <w:rPr>
                <w:rFonts w:hint="default"/>
                <w:color w:val="auto"/>
                <w:kern w:val="0"/>
                <w:sz w:val="21"/>
                <w:szCs w:val="21"/>
              </w:rPr>
              <w:t>反应：与氧化剂接触猛烈反应</w:t>
            </w:r>
          </w:p>
        </w:tc>
      </w:tr>
      <w:tr w14:paraId="2C9A60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732" w:hRule="atLeast"/>
          <w:jc w:val="center"/>
        </w:trPr>
        <w:tc>
          <w:tcPr>
            <w:tcW w:w="298" w:type="pct"/>
            <w:vMerge w:val="continue"/>
            <w:vAlign w:val="center"/>
          </w:tcPr>
          <w:p w14:paraId="1B92D987">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4702" w:type="pct"/>
            <w:gridSpan w:val="3"/>
            <w:vAlign w:val="center"/>
          </w:tcPr>
          <w:p w14:paraId="547BCDFE">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default"/>
                <w:color w:val="auto"/>
                <w:kern w:val="0"/>
                <w:sz w:val="21"/>
                <w:szCs w:val="21"/>
              </w:rPr>
              <w:t>灭火注意事项及措施：消防人员必须穿戴全身防火防毒服。灭火剂：</w:t>
            </w:r>
            <w:r>
              <w:rPr>
                <w:rFonts w:hint="eastAsia"/>
                <w:color w:val="auto"/>
                <w:kern w:val="0"/>
                <w:sz w:val="21"/>
                <w:szCs w:val="21"/>
              </w:rPr>
              <w:t>用抗溶性泡沫、干粉、二氧化碳、砂土灭火。</w:t>
            </w:r>
          </w:p>
        </w:tc>
      </w:tr>
      <w:tr w14:paraId="2EEA21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13" w:hRule="atLeast"/>
          <w:jc w:val="center"/>
        </w:trPr>
        <w:tc>
          <w:tcPr>
            <w:tcW w:w="298" w:type="pct"/>
            <w:vAlign w:val="center"/>
          </w:tcPr>
          <w:p w14:paraId="397D2559">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毒性</w:t>
            </w:r>
          </w:p>
        </w:tc>
        <w:tc>
          <w:tcPr>
            <w:tcW w:w="4702" w:type="pct"/>
            <w:gridSpan w:val="3"/>
            <w:vAlign w:val="center"/>
          </w:tcPr>
          <w:p w14:paraId="110E8B25">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default"/>
                <w:color w:val="auto"/>
                <w:kern w:val="0"/>
                <w:sz w:val="21"/>
                <w:szCs w:val="21"/>
              </w:rPr>
              <w:t>侵入途径：吸入、食入、经皮吸收</w:t>
            </w:r>
          </w:p>
          <w:p w14:paraId="3700A5EC">
            <w:pPr>
              <w:pStyle w:val="130"/>
              <w:keepNext w:val="0"/>
              <w:keepLines w:val="0"/>
              <w:suppressLineNumbers w:val="0"/>
              <w:wordWrap w:val="0"/>
              <w:adjustRightInd w:val="0"/>
              <w:snapToGrid w:val="0"/>
              <w:spacing w:before="0" w:beforeAutospacing="0" w:after="0" w:afterAutospacing="0"/>
              <w:ind w:left="0" w:right="0"/>
              <w:jc w:val="both"/>
              <w:rPr>
                <w:rFonts w:hint="default"/>
                <w:color w:val="auto"/>
                <w:kern w:val="0"/>
              </w:rPr>
            </w:pPr>
            <w:r>
              <w:rPr>
                <w:rFonts w:hint="default"/>
                <w:b w:val="0"/>
                <w:color w:val="auto"/>
                <w:kern w:val="0"/>
              </w:rPr>
              <w:t>急性毒性：</w:t>
            </w:r>
            <w:r>
              <w:rPr>
                <w:rFonts w:hint="eastAsia"/>
                <w:b w:val="0"/>
                <w:color w:val="auto"/>
                <w:kern w:val="0"/>
              </w:rPr>
              <w:t>兔经皮</w:t>
            </w:r>
            <w:r>
              <w:rPr>
                <w:rFonts w:hint="eastAsia"/>
                <w:b w:val="0"/>
                <w:color w:val="auto"/>
              </w:rPr>
              <w:t>LD</w:t>
            </w:r>
            <w:r>
              <w:rPr>
                <w:rFonts w:hint="default"/>
                <w:b w:val="0"/>
                <w:color w:val="auto"/>
                <w:vertAlign w:val="subscript"/>
              </w:rPr>
              <w:t>50</w:t>
            </w:r>
            <w:r>
              <w:rPr>
                <w:rFonts w:hint="eastAsia"/>
                <w:b w:val="0"/>
                <w:color w:val="auto"/>
              </w:rPr>
              <w:t>(mg/kg)：7400；大鼠</w:t>
            </w:r>
            <w:r>
              <w:rPr>
                <w:rFonts w:hint="default"/>
                <w:b w:val="0"/>
                <w:color w:val="auto"/>
              </w:rPr>
              <w:t>吸入</w:t>
            </w:r>
            <w:r>
              <w:rPr>
                <w:rFonts w:hint="eastAsia"/>
                <w:b w:val="0"/>
                <w:color w:val="auto"/>
              </w:rPr>
              <w:t>LC</w:t>
            </w:r>
            <w:r>
              <w:rPr>
                <w:rFonts w:hint="default"/>
                <w:b w:val="0"/>
                <w:color w:val="auto"/>
                <w:vertAlign w:val="subscript"/>
              </w:rPr>
              <w:t>50</w:t>
            </w:r>
            <w:r>
              <w:rPr>
                <w:rFonts w:hint="eastAsia"/>
                <w:b w:val="0"/>
                <w:color w:val="auto"/>
              </w:rPr>
              <w:t>(mg/m</w:t>
            </w:r>
            <w:r>
              <w:rPr>
                <w:rFonts w:hint="eastAsia"/>
                <w:b w:val="0"/>
                <w:color w:val="auto"/>
                <w:vertAlign w:val="superscript"/>
              </w:rPr>
              <w:t>3</w:t>
            </w:r>
            <w:r>
              <w:rPr>
                <w:rFonts w:hint="eastAsia"/>
                <w:b w:val="0"/>
                <w:color w:val="auto"/>
              </w:rPr>
              <w:t>)：41000mg/m</w:t>
            </w:r>
            <w:r>
              <w:rPr>
                <w:rFonts w:hint="eastAsia"/>
                <w:b w:val="0"/>
                <w:color w:val="auto"/>
                <w:vertAlign w:val="superscript"/>
              </w:rPr>
              <w:t>3</w:t>
            </w:r>
            <w:r>
              <w:rPr>
                <w:rFonts w:hint="eastAsia"/>
                <w:b w:val="0"/>
                <w:color w:val="auto"/>
              </w:rPr>
              <w:t>/4H，23576ppm/4h。</w:t>
            </w:r>
          </w:p>
        </w:tc>
      </w:tr>
      <w:tr w14:paraId="30DE72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738" w:hRule="atLeast"/>
          <w:jc w:val="center"/>
        </w:trPr>
        <w:tc>
          <w:tcPr>
            <w:tcW w:w="298" w:type="pct"/>
            <w:vAlign w:val="center"/>
          </w:tcPr>
          <w:p w14:paraId="6703EE01">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健康</w:t>
            </w:r>
          </w:p>
          <w:p w14:paraId="1CCE923A">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危害</w:t>
            </w:r>
          </w:p>
        </w:tc>
        <w:tc>
          <w:tcPr>
            <w:tcW w:w="4702" w:type="pct"/>
            <w:gridSpan w:val="3"/>
            <w:vAlign w:val="center"/>
          </w:tcPr>
          <w:p w14:paraId="3BCC8A32">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default"/>
                <w:color w:val="auto"/>
                <w:kern w:val="0"/>
                <w:sz w:val="21"/>
                <w:szCs w:val="21"/>
              </w:rPr>
              <w:t>纯</w:t>
            </w:r>
            <w:r>
              <w:rPr>
                <w:rFonts w:hint="eastAsia"/>
                <w:color w:val="auto"/>
                <w:kern w:val="0"/>
                <w:sz w:val="21"/>
                <w:szCs w:val="21"/>
              </w:rPr>
              <w:t>本品对中枢神经系统有抑制作用和麻醉作用，对眼和呼吸道有轻度刺激性。国外曾有报道用其作为溶石剂治疗胆石症，患者出现意识浑浊、嗜睡、昏迷和无尿等。</w:t>
            </w:r>
          </w:p>
        </w:tc>
      </w:tr>
      <w:tr w14:paraId="780B52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208" w:hRule="atLeast"/>
          <w:jc w:val="center"/>
        </w:trPr>
        <w:tc>
          <w:tcPr>
            <w:tcW w:w="298" w:type="pct"/>
            <w:vAlign w:val="center"/>
          </w:tcPr>
          <w:p w14:paraId="60E75673">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急救</w:t>
            </w:r>
          </w:p>
        </w:tc>
        <w:tc>
          <w:tcPr>
            <w:tcW w:w="4702" w:type="pct"/>
            <w:gridSpan w:val="3"/>
            <w:vAlign w:val="center"/>
          </w:tcPr>
          <w:p w14:paraId="25EC5F28">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eastAsia"/>
                <w:color w:val="auto"/>
                <w:kern w:val="0"/>
                <w:sz w:val="21"/>
                <w:szCs w:val="21"/>
              </w:rPr>
              <w:t>皮肤接触:用大量肥皂水和水清洗。立即脱去所有被污染的衣服。脱去被污染的衣服，洗净后方可重新使用。如发生皮肤刺激，就医。眼睛接触:提起眼睑，用流动清水或生理盐水冲洗。吸入：迅速脱离现场至空气新鲜处。保持呼吸道通畅。如呼吸困难，给输氧。呼吸、心跳停止，立即进行心肺复苏术。就医。食入：饮水，禁止催吐。就医。</w:t>
            </w:r>
          </w:p>
        </w:tc>
      </w:tr>
      <w:tr w14:paraId="526F2A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713" w:hRule="atLeast"/>
          <w:jc w:val="center"/>
        </w:trPr>
        <w:tc>
          <w:tcPr>
            <w:tcW w:w="298" w:type="pct"/>
            <w:vAlign w:val="center"/>
          </w:tcPr>
          <w:p w14:paraId="75BC0FC2">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泄漏</w:t>
            </w:r>
          </w:p>
          <w:p w14:paraId="4AB57AAA">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处理</w:t>
            </w:r>
          </w:p>
        </w:tc>
        <w:tc>
          <w:tcPr>
            <w:tcW w:w="4702" w:type="pct"/>
            <w:gridSpan w:val="3"/>
            <w:vAlign w:val="center"/>
          </w:tcPr>
          <w:p w14:paraId="20640963">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eastAsia"/>
                <w:b/>
                <w:color w:val="auto"/>
                <w:kern w:val="0"/>
                <w:sz w:val="21"/>
                <w:szCs w:val="21"/>
              </w:rPr>
              <w:t>作业人员防护措施、防护装备和应急处置程序</w:t>
            </w:r>
            <w:r>
              <w:rPr>
                <w:rFonts w:hint="eastAsia"/>
                <w:color w:val="auto"/>
                <w:kern w:val="0"/>
                <w:sz w:val="21"/>
                <w:szCs w:val="21"/>
              </w:rPr>
              <w:t>：消除所有点火源。根据液体流动和蒸气扩散的影响区域划定警戒区，无关人员从侧风、上风向撤离至安全区。建议应急处理人员戴正压自给式呼吸器，穿防静电服。作业时使用的所有设备应接地。禁止接触或跨越泄漏物。尽可能切断泄漏源。</w:t>
            </w:r>
          </w:p>
          <w:p w14:paraId="38C8E059">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eastAsia"/>
                <w:b/>
                <w:color w:val="auto"/>
                <w:kern w:val="0"/>
                <w:sz w:val="21"/>
                <w:szCs w:val="21"/>
              </w:rPr>
              <w:t>环境保护措施</w:t>
            </w:r>
            <w:r>
              <w:rPr>
                <w:rFonts w:hint="eastAsia"/>
                <w:color w:val="auto"/>
                <w:kern w:val="0"/>
                <w:sz w:val="21"/>
                <w:szCs w:val="21"/>
              </w:rPr>
              <w:t>：防止泄漏物进入水体、下水道、地下室或密闭性空间。</w:t>
            </w:r>
          </w:p>
          <w:p w14:paraId="2F2FA8E5">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eastAsia"/>
                <w:b/>
                <w:color w:val="auto"/>
                <w:kern w:val="0"/>
                <w:sz w:val="21"/>
                <w:szCs w:val="21"/>
              </w:rPr>
              <w:t>泄漏化学品的收容、清除方法及所使用的处置材料</w:t>
            </w:r>
            <w:r>
              <w:rPr>
                <w:rFonts w:hint="eastAsia"/>
                <w:color w:val="auto"/>
                <w:kern w:val="0"/>
                <w:sz w:val="21"/>
                <w:szCs w:val="21"/>
              </w:rPr>
              <w:t>：小量泄漏:用砂土或</w:t>
            </w:r>
            <w:r>
              <w:rPr>
                <w:rFonts w:hint="eastAsia"/>
                <w:color w:val="auto"/>
                <w:kern w:val="0"/>
                <w:sz w:val="21"/>
                <w:szCs w:val="21"/>
                <w:lang w:eastAsia="zh-CN"/>
              </w:rPr>
              <w:t>其他不</w:t>
            </w:r>
            <w:r>
              <w:rPr>
                <w:rFonts w:hint="eastAsia"/>
                <w:color w:val="auto"/>
                <w:kern w:val="0"/>
                <w:sz w:val="21"/>
                <w:szCs w:val="21"/>
              </w:rPr>
              <w:t>燃材料吸收。使用洁净的无火花工具收集吸收材料。大量泄漏:构筑围堤或挖坑收容。用泡沫覆盖，减少蒸发。喷水雾能减少蒸发，但不能降低泄漏物在受限制空间内的易燃性。用防爆泵转移至槽车或专用收集器内。</w:t>
            </w:r>
          </w:p>
        </w:tc>
      </w:tr>
    </w:tbl>
    <w:p w14:paraId="5ACC3618">
      <w:pPr>
        <w:pStyle w:val="14"/>
        <w:rPr>
          <w:color w:val="auto"/>
        </w:rPr>
      </w:pPr>
    </w:p>
    <w:p w14:paraId="148D012C">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3</w:t>
      </w:r>
      <w:r>
        <w:rPr>
          <w:color w:val="auto"/>
        </w:rPr>
        <w:fldChar w:fldCharType="end"/>
      </w:r>
      <w:r>
        <w:rPr>
          <w:rFonts w:hint="eastAsia"/>
          <w:color w:val="auto"/>
        </w:rPr>
        <w:t>异辛烷理化性质</w:t>
      </w:r>
      <w:r>
        <w:rPr>
          <w:color w:val="auto"/>
        </w:rPr>
        <w:t>及</w:t>
      </w:r>
      <w:r>
        <w:rPr>
          <w:rFonts w:hint="eastAsia"/>
          <w:color w:val="auto"/>
        </w:rPr>
        <w:t>危险</w:t>
      </w:r>
      <w:r>
        <w:rPr>
          <w:color w:val="auto"/>
        </w:rPr>
        <w:t>特性表</w:t>
      </w:r>
    </w:p>
    <w:tbl>
      <w:tblPr>
        <w:tblStyle w:val="43"/>
        <w:tblW w:w="5053"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701"/>
        <w:gridCol w:w="2289"/>
        <w:gridCol w:w="2230"/>
        <w:gridCol w:w="4003"/>
      </w:tblGrid>
      <w:tr w14:paraId="7F61AC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34" w:hRule="atLeast"/>
          <w:jc w:val="center"/>
        </w:trPr>
        <w:tc>
          <w:tcPr>
            <w:tcW w:w="380" w:type="pct"/>
            <w:vMerge w:val="restart"/>
            <w:vAlign w:val="center"/>
          </w:tcPr>
          <w:p w14:paraId="0072AC83">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标识</w:t>
            </w:r>
          </w:p>
        </w:tc>
        <w:tc>
          <w:tcPr>
            <w:tcW w:w="2450" w:type="pct"/>
            <w:gridSpan w:val="2"/>
            <w:vAlign w:val="center"/>
          </w:tcPr>
          <w:p w14:paraId="4A50C18E">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中文名：</w:t>
            </w:r>
            <w:r>
              <w:rPr>
                <w:rFonts w:hint="eastAsia"/>
                <w:color w:val="auto"/>
                <w:kern w:val="0"/>
                <w:sz w:val="21"/>
                <w:szCs w:val="21"/>
              </w:rPr>
              <w:t>异辛烷</w:t>
            </w:r>
          </w:p>
        </w:tc>
        <w:tc>
          <w:tcPr>
            <w:tcW w:w="2170" w:type="pct"/>
            <w:vAlign w:val="center"/>
          </w:tcPr>
          <w:p w14:paraId="171E459F">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CAS号：540-84-1</w:t>
            </w:r>
            <w:r>
              <w:rPr>
                <w:rFonts w:hint="eastAsia"/>
                <w:color w:val="auto"/>
                <w:kern w:val="0"/>
                <w:sz w:val="21"/>
                <w:szCs w:val="21"/>
              </w:rPr>
              <w:t>；</w:t>
            </w:r>
            <w:r>
              <w:rPr>
                <w:rFonts w:hint="default"/>
                <w:color w:val="auto"/>
                <w:kern w:val="0"/>
                <w:sz w:val="21"/>
                <w:szCs w:val="21"/>
              </w:rPr>
              <w:t>564-02-3</w:t>
            </w:r>
            <w:r>
              <w:rPr>
                <w:rFonts w:hint="eastAsia"/>
                <w:color w:val="auto"/>
                <w:kern w:val="0"/>
                <w:sz w:val="21"/>
                <w:szCs w:val="21"/>
              </w:rPr>
              <w:t>；</w:t>
            </w:r>
            <w:r>
              <w:rPr>
                <w:rFonts w:hint="default"/>
                <w:color w:val="auto"/>
                <w:kern w:val="0"/>
                <w:sz w:val="21"/>
                <w:szCs w:val="21"/>
              </w:rPr>
              <w:t>565-75-3</w:t>
            </w:r>
          </w:p>
        </w:tc>
      </w:tr>
      <w:tr w14:paraId="0E506E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90" w:hRule="atLeast"/>
          <w:jc w:val="center"/>
        </w:trPr>
        <w:tc>
          <w:tcPr>
            <w:tcW w:w="380" w:type="pct"/>
            <w:vMerge w:val="continue"/>
            <w:vAlign w:val="center"/>
          </w:tcPr>
          <w:p w14:paraId="611C8B2C">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1241" w:type="pct"/>
            <w:vAlign w:val="center"/>
          </w:tcPr>
          <w:p w14:paraId="1F13F89E">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危险化学品目录编号：/</w:t>
            </w:r>
          </w:p>
        </w:tc>
        <w:tc>
          <w:tcPr>
            <w:tcW w:w="3379" w:type="pct"/>
            <w:gridSpan w:val="2"/>
            <w:vAlign w:val="center"/>
          </w:tcPr>
          <w:p w14:paraId="5C3592DF">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危险性类别：易燃液体，类别3。</w:t>
            </w:r>
          </w:p>
        </w:tc>
      </w:tr>
      <w:tr w14:paraId="24516F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90" w:hRule="atLeast"/>
          <w:jc w:val="center"/>
        </w:trPr>
        <w:tc>
          <w:tcPr>
            <w:tcW w:w="380" w:type="pct"/>
            <w:vAlign w:val="center"/>
          </w:tcPr>
          <w:p w14:paraId="60AF3318">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危险</w:t>
            </w:r>
            <w:r>
              <w:rPr>
                <w:rFonts w:hint="default"/>
                <w:color w:val="auto"/>
                <w:kern w:val="0"/>
                <w:sz w:val="21"/>
                <w:szCs w:val="21"/>
              </w:rPr>
              <w:t>组分</w:t>
            </w:r>
          </w:p>
        </w:tc>
        <w:tc>
          <w:tcPr>
            <w:tcW w:w="4620" w:type="pct"/>
            <w:gridSpan w:val="3"/>
            <w:vAlign w:val="center"/>
          </w:tcPr>
          <w:p w14:paraId="33822EFD">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2,2,4-三甲基戊烷、2,2,3-三甲基戊烷、2,3,4-三甲基戊烷</w:t>
            </w:r>
          </w:p>
        </w:tc>
      </w:tr>
      <w:tr w14:paraId="2A7E0C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380" w:type="pct"/>
            <w:vMerge w:val="restart"/>
            <w:vAlign w:val="center"/>
          </w:tcPr>
          <w:p w14:paraId="3E9F5CCF">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理化</w:t>
            </w:r>
          </w:p>
          <w:p w14:paraId="02B84E57">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性质</w:t>
            </w:r>
          </w:p>
        </w:tc>
        <w:tc>
          <w:tcPr>
            <w:tcW w:w="4620" w:type="pct"/>
            <w:gridSpan w:val="3"/>
            <w:vAlign w:val="center"/>
          </w:tcPr>
          <w:p w14:paraId="73A20A9D">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无色、</w:t>
            </w:r>
            <w:r>
              <w:rPr>
                <w:rFonts w:hint="default"/>
                <w:color w:val="auto"/>
                <w:kern w:val="0"/>
                <w:sz w:val="21"/>
                <w:szCs w:val="21"/>
              </w:rPr>
              <w:t>透明</w:t>
            </w:r>
            <w:r>
              <w:rPr>
                <w:rFonts w:hint="eastAsia"/>
                <w:color w:val="auto"/>
                <w:kern w:val="0"/>
                <w:sz w:val="21"/>
                <w:szCs w:val="21"/>
              </w:rPr>
              <w:t>液体</w:t>
            </w:r>
          </w:p>
        </w:tc>
      </w:tr>
      <w:tr w14:paraId="3D11B1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0" w:hRule="atLeast"/>
          <w:jc w:val="center"/>
        </w:trPr>
        <w:tc>
          <w:tcPr>
            <w:tcW w:w="380" w:type="pct"/>
            <w:vMerge w:val="continue"/>
            <w:vAlign w:val="center"/>
          </w:tcPr>
          <w:p w14:paraId="40C262B8">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1241" w:type="pct"/>
            <w:vAlign w:val="center"/>
          </w:tcPr>
          <w:p w14:paraId="7C521464">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熔点/</w:t>
            </w:r>
            <w:r>
              <w:rPr>
                <w:rFonts w:hint="eastAsia" w:ascii="宋体" w:hAnsi="宋体" w:cs="宋体"/>
                <w:color w:val="auto"/>
                <w:kern w:val="0"/>
                <w:sz w:val="21"/>
                <w:szCs w:val="21"/>
              </w:rPr>
              <w:t>℃</w:t>
            </w:r>
            <w:r>
              <w:rPr>
                <w:rFonts w:hint="default"/>
                <w:color w:val="auto"/>
                <w:kern w:val="0"/>
                <w:sz w:val="21"/>
                <w:szCs w:val="21"/>
              </w:rPr>
              <w:t>：</w:t>
            </w:r>
            <w:r>
              <w:rPr>
                <w:rFonts w:hint="eastAsia"/>
                <w:color w:val="auto"/>
                <w:kern w:val="0"/>
                <w:sz w:val="21"/>
                <w:szCs w:val="21"/>
              </w:rPr>
              <w:t>-</w:t>
            </w:r>
            <w:r>
              <w:rPr>
                <w:rFonts w:hint="default"/>
                <w:color w:val="auto"/>
                <w:kern w:val="0"/>
                <w:sz w:val="21"/>
                <w:szCs w:val="21"/>
              </w:rPr>
              <w:t>107.4</w:t>
            </w:r>
          </w:p>
        </w:tc>
        <w:tc>
          <w:tcPr>
            <w:tcW w:w="3379" w:type="pct"/>
            <w:gridSpan w:val="2"/>
            <w:vAlign w:val="center"/>
          </w:tcPr>
          <w:p w14:paraId="73E54194">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溶解性：</w:t>
            </w:r>
            <w:r>
              <w:rPr>
                <w:rFonts w:hint="eastAsia"/>
                <w:color w:val="auto"/>
                <w:kern w:val="0"/>
                <w:sz w:val="21"/>
                <w:szCs w:val="21"/>
              </w:rPr>
              <w:t>不溶于水，混溶于庚烷、丙酮，溶于乙醚、苯、甲苯、二甲苯、氯仿、二硫化碳、四氯化碳等</w:t>
            </w:r>
          </w:p>
        </w:tc>
      </w:tr>
      <w:tr w14:paraId="67F163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78" w:hRule="atLeast"/>
          <w:jc w:val="center"/>
        </w:trPr>
        <w:tc>
          <w:tcPr>
            <w:tcW w:w="380" w:type="pct"/>
            <w:vMerge w:val="continue"/>
            <w:vAlign w:val="center"/>
          </w:tcPr>
          <w:p w14:paraId="6ACD4A11">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450" w:type="pct"/>
            <w:gridSpan w:val="2"/>
            <w:vAlign w:val="center"/>
          </w:tcPr>
          <w:p w14:paraId="609F6ADB">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沸点/</w:t>
            </w:r>
            <w:r>
              <w:rPr>
                <w:rFonts w:hint="eastAsia" w:ascii="宋体" w:hAnsi="宋体" w:cs="宋体"/>
                <w:color w:val="auto"/>
                <w:kern w:val="0"/>
                <w:sz w:val="21"/>
                <w:szCs w:val="21"/>
              </w:rPr>
              <w:t>℃</w:t>
            </w:r>
            <w:r>
              <w:rPr>
                <w:rFonts w:hint="default"/>
                <w:color w:val="auto"/>
                <w:kern w:val="0"/>
                <w:sz w:val="21"/>
                <w:szCs w:val="21"/>
              </w:rPr>
              <w:t>：99.2</w:t>
            </w:r>
          </w:p>
        </w:tc>
        <w:tc>
          <w:tcPr>
            <w:tcW w:w="2170" w:type="pct"/>
            <w:vAlign w:val="center"/>
          </w:tcPr>
          <w:p w14:paraId="5ED336FD">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相对密度（水=1）：0.69</w:t>
            </w:r>
          </w:p>
        </w:tc>
      </w:tr>
      <w:tr w14:paraId="30A958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8" w:hRule="atLeast"/>
          <w:jc w:val="center"/>
        </w:trPr>
        <w:tc>
          <w:tcPr>
            <w:tcW w:w="380" w:type="pct"/>
            <w:vMerge w:val="continue"/>
            <w:vAlign w:val="center"/>
          </w:tcPr>
          <w:p w14:paraId="327671F7">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450" w:type="pct"/>
            <w:gridSpan w:val="2"/>
            <w:vAlign w:val="center"/>
          </w:tcPr>
          <w:p w14:paraId="04FEE88D">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饱和蒸气压/kPa：5.1</w:t>
            </w:r>
            <w:r>
              <w:rPr>
                <w:rFonts w:hint="eastAsia"/>
                <w:color w:val="auto"/>
                <w:kern w:val="0"/>
                <w:sz w:val="21"/>
                <w:szCs w:val="21"/>
              </w:rPr>
              <w:t>（20℃）</w:t>
            </w:r>
          </w:p>
        </w:tc>
        <w:tc>
          <w:tcPr>
            <w:tcW w:w="2170" w:type="pct"/>
            <w:vAlign w:val="center"/>
          </w:tcPr>
          <w:p w14:paraId="422C1834">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相对蒸汽密度</w:t>
            </w:r>
            <w:r>
              <w:rPr>
                <w:rFonts w:hint="eastAsia"/>
                <w:color w:val="auto"/>
                <w:kern w:val="0"/>
                <w:sz w:val="21"/>
                <w:szCs w:val="21"/>
              </w:rPr>
              <w:t>（</w:t>
            </w:r>
            <w:r>
              <w:rPr>
                <w:rFonts w:hint="default"/>
                <w:color w:val="auto"/>
                <w:kern w:val="0"/>
                <w:sz w:val="21"/>
                <w:szCs w:val="21"/>
              </w:rPr>
              <w:t>空气=1</w:t>
            </w:r>
            <w:r>
              <w:rPr>
                <w:rFonts w:hint="eastAsia"/>
                <w:color w:val="auto"/>
                <w:kern w:val="0"/>
                <w:sz w:val="21"/>
                <w:szCs w:val="21"/>
              </w:rPr>
              <w:t>）</w:t>
            </w:r>
            <w:r>
              <w:rPr>
                <w:rFonts w:hint="default"/>
                <w:color w:val="auto"/>
                <w:kern w:val="0"/>
                <w:sz w:val="21"/>
                <w:szCs w:val="21"/>
              </w:rPr>
              <w:t>：3.9</w:t>
            </w:r>
          </w:p>
        </w:tc>
      </w:tr>
      <w:tr w14:paraId="01F84C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0" w:hRule="atLeast"/>
          <w:jc w:val="center"/>
        </w:trPr>
        <w:tc>
          <w:tcPr>
            <w:tcW w:w="380" w:type="pct"/>
            <w:vMerge w:val="continue"/>
            <w:vAlign w:val="center"/>
          </w:tcPr>
          <w:p w14:paraId="6BB36AFA">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450" w:type="pct"/>
            <w:gridSpan w:val="2"/>
            <w:vAlign w:val="center"/>
          </w:tcPr>
          <w:p w14:paraId="5D1BD6EE">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临界温度/℃</w:t>
            </w:r>
            <w:r>
              <w:rPr>
                <w:rFonts w:hint="eastAsia"/>
                <w:color w:val="auto"/>
                <w:kern w:val="0"/>
                <w:sz w:val="21"/>
                <w:szCs w:val="21"/>
              </w:rPr>
              <w:t>：</w:t>
            </w:r>
            <w:r>
              <w:rPr>
                <w:rFonts w:hint="default"/>
                <w:color w:val="auto"/>
                <w:kern w:val="0"/>
                <w:sz w:val="21"/>
                <w:szCs w:val="21"/>
              </w:rPr>
              <w:t>无资料</w:t>
            </w:r>
          </w:p>
        </w:tc>
        <w:tc>
          <w:tcPr>
            <w:tcW w:w="2170" w:type="pct"/>
            <w:vAlign w:val="center"/>
          </w:tcPr>
          <w:p w14:paraId="101147B3">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燃烧热（kJ·mol）：</w:t>
            </w:r>
            <w:r>
              <w:rPr>
                <w:rFonts w:hint="eastAsia"/>
                <w:color w:val="auto"/>
                <w:kern w:val="0"/>
                <w:sz w:val="21"/>
                <w:szCs w:val="21"/>
              </w:rPr>
              <w:t>3</w:t>
            </w:r>
            <w:r>
              <w:rPr>
                <w:rFonts w:hint="default"/>
                <w:color w:val="auto"/>
                <w:kern w:val="0"/>
                <w:sz w:val="21"/>
                <w:szCs w:val="21"/>
              </w:rPr>
              <w:t>360.7</w:t>
            </w:r>
          </w:p>
        </w:tc>
      </w:tr>
      <w:tr w14:paraId="67922B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0" w:hRule="atLeast"/>
          <w:jc w:val="center"/>
        </w:trPr>
        <w:tc>
          <w:tcPr>
            <w:tcW w:w="380" w:type="pct"/>
            <w:vMerge w:val="continue"/>
            <w:vAlign w:val="center"/>
          </w:tcPr>
          <w:p w14:paraId="2D953C76">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450" w:type="pct"/>
            <w:gridSpan w:val="2"/>
            <w:vAlign w:val="center"/>
          </w:tcPr>
          <w:p w14:paraId="513D3DB4">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临界压力/MPa</w:t>
            </w:r>
            <w:r>
              <w:rPr>
                <w:rFonts w:hint="eastAsia"/>
                <w:color w:val="auto"/>
                <w:kern w:val="0"/>
                <w:sz w:val="21"/>
                <w:szCs w:val="21"/>
              </w:rPr>
              <w:t>：</w:t>
            </w:r>
            <w:r>
              <w:rPr>
                <w:rFonts w:hint="default"/>
                <w:color w:val="auto"/>
                <w:kern w:val="0"/>
                <w:sz w:val="21"/>
                <w:szCs w:val="21"/>
              </w:rPr>
              <w:t>2.57</w:t>
            </w:r>
          </w:p>
        </w:tc>
        <w:tc>
          <w:tcPr>
            <w:tcW w:w="2170" w:type="pct"/>
            <w:vAlign w:val="center"/>
          </w:tcPr>
          <w:p w14:paraId="35751422">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引燃温度</w:t>
            </w:r>
            <w:r>
              <w:rPr>
                <w:rFonts w:hint="default"/>
                <w:color w:val="auto"/>
                <w:kern w:val="0"/>
                <w:sz w:val="21"/>
                <w:szCs w:val="21"/>
              </w:rPr>
              <w:t>/</w:t>
            </w:r>
            <w:r>
              <w:rPr>
                <w:rFonts w:hint="eastAsia" w:ascii="宋体" w:hAnsi="宋体" w:cs="宋体"/>
                <w:color w:val="auto"/>
                <w:kern w:val="0"/>
                <w:sz w:val="21"/>
                <w:szCs w:val="21"/>
              </w:rPr>
              <w:t>℃</w:t>
            </w:r>
            <w:r>
              <w:rPr>
                <w:rFonts w:hint="default"/>
                <w:color w:val="auto"/>
                <w:kern w:val="0"/>
                <w:sz w:val="21"/>
                <w:szCs w:val="21"/>
              </w:rPr>
              <w:t>：417</w:t>
            </w:r>
          </w:p>
        </w:tc>
      </w:tr>
      <w:tr w14:paraId="666F0A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0" w:hRule="atLeast"/>
          <w:jc w:val="center"/>
        </w:trPr>
        <w:tc>
          <w:tcPr>
            <w:tcW w:w="380" w:type="pct"/>
            <w:vMerge w:val="continue"/>
            <w:vAlign w:val="center"/>
          </w:tcPr>
          <w:p w14:paraId="6DA91951">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450" w:type="pct"/>
            <w:gridSpan w:val="2"/>
            <w:vAlign w:val="center"/>
          </w:tcPr>
          <w:p w14:paraId="0B3D3170">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燃烧性：易燃</w:t>
            </w:r>
          </w:p>
        </w:tc>
        <w:tc>
          <w:tcPr>
            <w:tcW w:w="2170" w:type="pct"/>
            <w:vAlign w:val="center"/>
          </w:tcPr>
          <w:p w14:paraId="459E56A6">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闪点/</w:t>
            </w:r>
            <w:r>
              <w:rPr>
                <w:rFonts w:hint="eastAsia" w:ascii="宋体" w:hAnsi="宋体" w:cs="宋体"/>
                <w:color w:val="auto"/>
                <w:kern w:val="0"/>
                <w:sz w:val="21"/>
                <w:szCs w:val="21"/>
              </w:rPr>
              <w:t>℃</w:t>
            </w:r>
            <w:r>
              <w:rPr>
                <w:rFonts w:hint="default"/>
                <w:color w:val="auto"/>
                <w:kern w:val="0"/>
                <w:sz w:val="21"/>
                <w:szCs w:val="21"/>
              </w:rPr>
              <w:t>：4.5</w:t>
            </w:r>
          </w:p>
        </w:tc>
      </w:tr>
      <w:tr w14:paraId="5B1394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0" w:hRule="atLeast"/>
          <w:jc w:val="center"/>
        </w:trPr>
        <w:tc>
          <w:tcPr>
            <w:tcW w:w="380" w:type="pct"/>
            <w:vMerge w:val="continue"/>
            <w:vAlign w:val="center"/>
          </w:tcPr>
          <w:p w14:paraId="4CF8752B">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450" w:type="pct"/>
            <w:gridSpan w:val="2"/>
            <w:vAlign w:val="center"/>
          </w:tcPr>
          <w:p w14:paraId="72B3DDEA">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爆炸极限（体积分数）/%：</w:t>
            </w:r>
            <w:r>
              <w:rPr>
                <w:rFonts w:hint="eastAsia"/>
                <w:color w:val="auto"/>
                <w:kern w:val="0"/>
                <w:sz w:val="21"/>
                <w:szCs w:val="21"/>
              </w:rPr>
              <w:t>1</w:t>
            </w:r>
            <w:r>
              <w:rPr>
                <w:rFonts w:hint="default"/>
                <w:color w:val="auto"/>
                <w:kern w:val="0"/>
                <w:sz w:val="21"/>
                <w:szCs w:val="21"/>
              </w:rPr>
              <w:t>.1~6</w:t>
            </w:r>
          </w:p>
        </w:tc>
        <w:tc>
          <w:tcPr>
            <w:tcW w:w="2170" w:type="pct"/>
            <w:vAlign w:val="center"/>
          </w:tcPr>
          <w:p w14:paraId="79555E67">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n-辛醇/水分配系数：</w:t>
            </w:r>
            <w:r>
              <w:rPr>
                <w:rFonts w:hint="default"/>
                <w:color w:val="auto"/>
                <w:kern w:val="0"/>
                <w:sz w:val="21"/>
                <w:szCs w:val="21"/>
              </w:rPr>
              <w:t>4.09</w:t>
            </w:r>
          </w:p>
        </w:tc>
      </w:tr>
      <w:tr w14:paraId="469FEB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0" w:hRule="atLeast"/>
          <w:jc w:val="center"/>
        </w:trPr>
        <w:tc>
          <w:tcPr>
            <w:tcW w:w="380" w:type="pct"/>
            <w:vMerge w:val="restart"/>
            <w:vAlign w:val="center"/>
          </w:tcPr>
          <w:p w14:paraId="19264919">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稳定性和</w:t>
            </w:r>
            <w:r>
              <w:rPr>
                <w:rFonts w:hint="default"/>
                <w:color w:val="auto"/>
                <w:kern w:val="0"/>
                <w:sz w:val="21"/>
                <w:szCs w:val="21"/>
              </w:rPr>
              <w:t>反应性</w:t>
            </w:r>
          </w:p>
        </w:tc>
        <w:tc>
          <w:tcPr>
            <w:tcW w:w="2450" w:type="pct"/>
            <w:gridSpan w:val="2"/>
            <w:vAlign w:val="center"/>
          </w:tcPr>
          <w:p w14:paraId="6CCF03C5">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稳定性：稳定</w:t>
            </w:r>
          </w:p>
        </w:tc>
        <w:tc>
          <w:tcPr>
            <w:tcW w:w="2170" w:type="pct"/>
            <w:vAlign w:val="center"/>
          </w:tcPr>
          <w:p w14:paraId="5CD0858A">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燃烧分解产物：一氧化碳。</w:t>
            </w:r>
          </w:p>
        </w:tc>
      </w:tr>
      <w:tr w14:paraId="6B4FA3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0" w:hRule="atLeast"/>
          <w:jc w:val="center"/>
        </w:trPr>
        <w:tc>
          <w:tcPr>
            <w:tcW w:w="380" w:type="pct"/>
            <w:vMerge w:val="continue"/>
            <w:vAlign w:val="center"/>
          </w:tcPr>
          <w:p w14:paraId="0016BA52">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450" w:type="pct"/>
            <w:gridSpan w:val="2"/>
            <w:vAlign w:val="center"/>
          </w:tcPr>
          <w:p w14:paraId="02F67E7C">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禁忌物：氧化剂</w:t>
            </w:r>
            <w:r>
              <w:rPr>
                <w:rFonts w:hint="eastAsia"/>
                <w:color w:val="auto"/>
                <w:kern w:val="0"/>
                <w:sz w:val="21"/>
                <w:szCs w:val="21"/>
              </w:rPr>
              <w:t>、</w:t>
            </w:r>
            <w:r>
              <w:rPr>
                <w:rFonts w:hint="default"/>
                <w:color w:val="auto"/>
                <w:kern w:val="0"/>
                <w:sz w:val="21"/>
                <w:szCs w:val="21"/>
              </w:rPr>
              <w:t>强酸、强碱、卤素</w:t>
            </w:r>
          </w:p>
        </w:tc>
        <w:tc>
          <w:tcPr>
            <w:tcW w:w="2170" w:type="pct"/>
            <w:vAlign w:val="center"/>
          </w:tcPr>
          <w:p w14:paraId="455F1258">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危险</w:t>
            </w:r>
            <w:r>
              <w:rPr>
                <w:rFonts w:hint="default"/>
                <w:color w:val="auto"/>
                <w:kern w:val="0"/>
                <w:sz w:val="21"/>
                <w:szCs w:val="21"/>
              </w:rPr>
              <w:t>反应：</w:t>
            </w:r>
            <w:r>
              <w:rPr>
                <w:rFonts w:hint="eastAsia"/>
                <w:color w:val="auto"/>
                <w:kern w:val="0"/>
                <w:sz w:val="21"/>
                <w:szCs w:val="21"/>
              </w:rPr>
              <w:t>遇高热、明火及强氧化剂易引起燃烧并放出有毒气体</w:t>
            </w:r>
          </w:p>
        </w:tc>
      </w:tr>
      <w:tr w14:paraId="55175A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732" w:hRule="atLeast"/>
          <w:jc w:val="center"/>
        </w:trPr>
        <w:tc>
          <w:tcPr>
            <w:tcW w:w="380" w:type="pct"/>
            <w:vMerge w:val="continue"/>
            <w:vAlign w:val="center"/>
          </w:tcPr>
          <w:p w14:paraId="693CDAEB">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4620" w:type="pct"/>
            <w:gridSpan w:val="3"/>
            <w:vAlign w:val="center"/>
          </w:tcPr>
          <w:p w14:paraId="5EA7593D">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default"/>
                <w:color w:val="auto"/>
                <w:kern w:val="0"/>
                <w:sz w:val="21"/>
                <w:szCs w:val="21"/>
              </w:rPr>
              <w:t>灭火注意事项及措施：消防人员必须穿戴全身防火防毒服。灭火剂：</w:t>
            </w:r>
            <w:r>
              <w:rPr>
                <w:rFonts w:hint="eastAsia"/>
                <w:color w:val="auto"/>
                <w:kern w:val="0"/>
                <w:sz w:val="21"/>
                <w:szCs w:val="21"/>
              </w:rPr>
              <w:t>干粉、二氧化碳、砂土灭火。</w:t>
            </w:r>
          </w:p>
        </w:tc>
      </w:tr>
      <w:tr w14:paraId="5DBB6C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13" w:hRule="atLeast"/>
          <w:jc w:val="center"/>
        </w:trPr>
        <w:tc>
          <w:tcPr>
            <w:tcW w:w="380" w:type="pct"/>
            <w:vAlign w:val="center"/>
          </w:tcPr>
          <w:p w14:paraId="7BEECC20">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毒性</w:t>
            </w:r>
          </w:p>
        </w:tc>
        <w:tc>
          <w:tcPr>
            <w:tcW w:w="4620" w:type="pct"/>
            <w:gridSpan w:val="3"/>
            <w:vAlign w:val="center"/>
          </w:tcPr>
          <w:p w14:paraId="1319D745">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default"/>
                <w:color w:val="auto"/>
                <w:kern w:val="0"/>
                <w:sz w:val="21"/>
                <w:szCs w:val="21"/>
              </w:rPr>
              <w:t>侵入途径：</w:t>
            </w:r>
            <w:r>
              <w:rPr>
                <w:rFonts w:hint="eastAsia"/>
                <w:color w:val="auto"/>
                <w:kern w:val="0"/>
                <w:sz w:val="21"/>
                <w:szCs w:val="21"/>
                <w:lang w:eastAsia="zh-CN"/>
              </w:rPr>
              <w:t>皮肤</w:t>
            </w:r>
            <w:r>
              <w:rPr>
                <w:rFonts w:hint="default"/>
                <w:color w:val="auto"/>
                <w:kern w:val="0"/>
                <w:sz w:val="21"/>
                <w:szCs w:val="21"/>
              </w:rPr>
              <w:t>接触、眼睛接触、吸入、食入</w:t>
            </w:r>
          </w:p>
          <w:p w14:paraId="61643E6B">
            <w:pPr>
              <w:pStyle w:val="130"/>
              <w:keepNext w:val="0"/>
              <w:keepLines w:val="0"/>
              <w:suppressLineNumbers w:val="0"/>
              <w:wordWrap w:val="0"/>
              <w:adjustRightInd w:val="0"/>
              <w:snapToGrid w:val="0"/>
              <w:spacing w:before="0" w:beforeAutospacing="0" w:after="0" w:afterAutospacing="0"/>
              <w:ind w:left="0" w:right="0"/>
              <w:jc w:val="both"/>
              <w:rPr>
                <w:rFonts w:hint="default"/>
                <w:color w:val="auto"/>
                <w:kern w:val="0"/>
              </w:rPr>
            </w:pPr>
            <w:r>
              <w:rPr>
                <w:rFonts w:hint="default"/>
                <w:b w:val="0"/>
                <w:color w:val="auto"/>
                <w:kern w:val="0"/>
              </w:rPr>
              <w:t>急性毒性：</w:t>
            </w:r>
            <w:r>
              <w:rPr>
                <w:rFonts w:hint="eastAsia"/>
                <w:b w:val="0"/>
                <w:color w:val="auto"/>
                <w:kern w:val="0"/>
              </w:rPr>
              <w:t>兔经皮</w:t>
            </w:r>
            <w:r>
              <w:rPr>
                <w:rFonts w:hint="eastAsia"/>
                <w:b w:val="0"/>
                <w:color w:val="auto"/>
              </w:rPr>
              <w:t>LD</w:t>
            </w:r>
            <w:r>
              <w:rPr>
                <w:rFonts w:hint="default"/>
                <w:b w:val="0"/>
                <w:color w:val="auto"/>
                <w:vertAlign w:val="subscript"/>
              </w:rPr>
              <w:t>50</w:t>
            </w:r>
            <w:r>
              <w:rPr>
                <w:rFonts w:hint="eastAsia"/>
                <w:b w:val="0"/>
                <w:color w:val="auto"/>
              </w:rPr>
              <w:t>(mg/kg)：7400；大鼠</w:t>
            </w:r>
            <w:r>
              <w:rPr>
                <w:rFonts w:hint="default"/>
                <w:b w:val="0"/>
                <w:color w:val="auto"/>
              </w:rPr>
              <w:t>吸入</w:t>
            </w:r>
            <w:r>
              <w:rPr>
                <w:rFonts w:hint="eastAsia"/>
                <w:b w:val="0"/>
                <w:color w:val="auto"/>
              </w:rPr>
              <w:t>LC</w:t>
            </w:r>
            <w:r>
              <w:rPr>
                <w:rFonts w:hint="default"/>
                <w:b w:val="0"/>
                <w:color w:val="auto"/>
                <w:vertAlign w:val="subscript"/>
              </w:rPr>
              <w:t>50</w:t>
            </w:r>
            <w:r>
              <w:rPr>
                <w:rFonts w:hint="eastAsia"/>
                <w:b w:val="0"/>
                <w:color w:val="auto"/>
              </w:rPr>
              <w:t>(mg/m</w:t>
            </w:r>
            <w:r>
              <w:rPr>
                <w:rFonts w:hint="eastAsia"/>
                <w:b w:val="0"/>
                <w:color w:val="auto"/>
                <w:vertAlign w:val="superscript"/>
              </w:rPr>
              <w:t>3</w:t>
            </w:r>
            <w:r>
              <w:rPr>
                <w:rFonts w:hint="eastAsia"/>
                <w:b w:val="0"/>
                <w:color w:val="auto"/>
              </w:rPr>
              <w:t>)：41000mg/m</w:t>
            </w:r>
            <w:r>
              <w:rPr>
                <w:rFonts w:hint="eastAsia"/>
                <w:b w:val="0"/>
                <w:color w:val="auto"/>
                <w:vertAlign w:val="superscript"/>
              </w:rPr>
              <w:t>3</w:t>
            </w:r>
            <w:r>
              <w:rPr>
                <w:rFonts w:hint="eastAsia"/>
                <w:b w:val="0"/>
                <w:color w:val="auto"/>
              </w:rPr>
              <w:t>/4H，23576ppm/4h。</w:t>
            </w:r>
          </w:p>
        </w:tc>
      </w:tr>
      <w:tr w14:paraId="46BD8F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738" w:hRule="atLeast"/>
          <w:jc w:val="center"/>
        </w:trPr>
        <w:tc>
          <w:tcPr>
            <w:tcW w:w="380" w:type="pct"/>
            <w:vAlign w:val="center"/>
          </w:tcPr>
          <w:p w14:paraId="7A33F9B5">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健康</w:t>
            </w:r>
          </w:p>
          <w:p w14:paraId="36FF92A2">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危害</w:t>
            </w:r>
          </w:p>
        </w:tc>
        <w:tc>
          <w:tcPr>
            <w:tcW w:w="4620" w:type="pct"/>
            <w:gridSpan w:val="3"/>
            <w:vAlign w:val="center"/>
          </w:tcPr>
          <w:p w14:paraId="05A930B0">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eastAsia"/>
                <w:color w:val="auto"/>
                <w:kern w:val="0"/>
                <w:sz w:val="21"/>
                <w:szCs w:val="21"/>
              </w:rPr>
              <w:t>本品有刺激性,可能有麻醉作用。</w:t>
            </w:r>
          </w:p>
        </w:tc>
      </w:tr>
      <w:tr w14:paraId="2880AD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208" w:hRule="atLeast"/>
          <w:jc w:val="center"/>
        </w:trPr>
        <w:tc>
          <w:tcPr>
            <w:tcW w:w="380" w:type="pct"/>
            <w:vAlign w:val="center"/>
          </w:tcPr>
          <w:p w14:paraId="713BD619">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急救</w:t>
            </w:r>
          </w:p>
        </w:tc>
        <w:tc>
          <w:tcPr>
            <w:tcW w:w="4620" w:type="pct"/>
            <w:gridSpan w:val="3"/>
            <w:vAlign w:val="center"/>
          </w:tcPr>
          <w:p w14:paraId="1F916948">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eastAsia"/>
                <w:color w:val="auto"/>
                <w:kern w:val="0"/>
                <w:sz w:val="21"/>
                <w:szCs w:val="21"/>
              </w:rPr>
              <w:t>皮肤接触：立即脱去所有被污染的衣服。用水冲洗皮肤/淋浴。脱去被污染的衣服，洗净后方可重新使用。如发生皮肤刺激，就医。眼睛接触：提起</w:t>
            </w:r>
            <w:r>
              <w:rPr>
                <w:rFonts w:hint="eastAsia"/>
                <w:color w:val="auto"/>
                <w:kern w:val="0"/>
                <w:sz w:val="21"/>
                <w:szCs w:val="21"/>
                <w:lang w:eastAsia="zh-CN"/>
              </w:rPr>
              <w:t>眼睑</w:t>
            </w:r>
            <w:r>
              <w:rPr>
                <w:rFonts w:hint="eastAsia"/>
                <w:color w:val="auto"/>
                <w:kern w:val="0"/>
                <w:sz w:val="21"/>
                <w:szCs w:val="21"/>
              </w:rPr>
              <w:t>，用流动清水或生理盐水冲洗。如有不适感，就医。吸入：将患者转移到空气新鲜处，休息，保持利于呼吸的体位。如感觉不适，呼叫中毒控制中心或就医。食入：立即呼叫中毒控制中心或就医。不要催吐。</w:t>
            </w:r>
          </w:p>
        </w:tc>
      </w:tr>
      <w:tr w14:paraId="65FBF1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713" w:hRule="atLeast"/>
          <w:jc w:val="center"/>
        </w:trPr>
        <w:tc>
          <w:tcPr>
            <w:tcW w:w="380" w:type="pct"/>
            <w:vAlign w:val="center"/>
          </w:tcPr>
          <w:p w14:paraId="6B955F61">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泄漏</w:t>
            </w:r>
          </w:p>
          <w:p w14:paraId="5C790FE3">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处理</w:t>
            </w:r>
          </w:p>
        </w:tc>
        <w:tc>
          <w:tcPr>
            <w:tcW w:w="4620" w:type="pct"/>
            <w:gridSpan w:val="3"/>
            <w:vAlign w:val="center"/>
          </w:tcPr>
          <w:p w14:paraId="2B6356DA">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eastAsia"/>
                <w:b/>
                <w:color w:val="auto"/>
                <w:kern w:val="0"/>
                <w:sz w:val="21"/>
                <w:szCs w:val="21"/>
              </w:rPr>
              <w:t>作业人员防护措施、防护装备和应急处置程序</w:t>
            </w:r>
            <w:r>
              <w:rPr>
                <w:rFonts w:hint="eastAsia"/>
                <w:color w:val="auto"/>
                <w:kern w:val="0"/>
                <w:sz w:val="21"/>
                <w:szCs w:val="21"/>
              </w:rPr>
              <w:t>：消除所有点火源。根据液体流动和蒸气扩散的影响区域划定警戒区，无关人员从侧风、上风向撤离至安全区。建议应急处理人员戴正压自给式呼吸器，穿防静电服。作业时使用的所有设备应接地。禁止接触或跨越泄漏物。尽可能切断泄漏源。</w:t>
            </w:r>
          </w:p>
          <w:p w14:paraId="1D07A571">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eastAsia"/>
                <w:b/>
                <w:color w:val="auto"/>
                <w:kern w:val="0"/>
                <w:sz w:val="21"/>
                <w:szCs w:val="21"/>
              </w:rPr>
              <w:t>环境保护措施</w:t>
            </w:r>
            <w:r>
              <w:rPr>
                <w:rFonts w:hint="eastAsia"/>
                <w:color w:val="auto"/>
                <w:kern w:val="0"/>
                <w:sz w:val="21"/>
                <w:szCs w:val="21"/>
              </w:rPr>
              <w:t>：防止泄漏物进入水体、下水道、地下室或密闭性空间。</w:t>
            </w:r>
          </w:p>
          <w:p w14:paraId="49629506">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eastAsia"/>
                <w:b/>
                <w:color w:val="auto"/>
                <w:kern w:val="0"/>
                <w:sz w:val="21"/>
                <w:szCs w:val="21"/>
              </w:rPr>
              <w:t>泄漏化学品的收容、清除方法及所使用的处置材料</w:t>
            </w:r>
            <w:r>
              <w:rPr>
                <w:rFonts w:hint="eastAsia"/>
                <w:color w:val="auto"/>
                <w:kern w:val="0"/>
                <w:sz w:val="21"/>
                <w:szCs w:val="21"/>
              </w:rPr>
              <w:t>：小量泄漏：用砂土或</w:t>
            </w:r>
            <w:r>
              <w:rPr>
                <w:rFonts w:hint="eastAsia"/>
                <w:color w:val="auto"/>
                <w:kern w:val="0"/>
                <w:sz w:val="21"/>
                <w:szCs w:val="21"/>
                <w:lang w:eastAsia="zh-CN"/>
              </w:rPr>
              <w:t>其他不</w:t>
            </w:r>
            <w:r>
              <w:rPr>
                <w:rFonts w:hint="eastAsia"/>
                <w:color w:val="auto"/>
                <w:kern w:val="0"/>
                <w:sz w:val="21"/>
                <w:szCs w:val="21"/>
              </w:rPr>
              <w:t>燃材料吸收。使用洁净的无火花工具收集吸收材料。大量泄漏:构筑围堤或挖坑收容。用泡沫覆盖，减少蒸发。喷水雾能减少蒸发，但不能降低泄漏物在受限制空间内的易燃性。用防爆泵转移至槽车或专用收集器内。</w:t>
            </w:r>
          </w:p>
        </w:tc>
      </w:tr>
    </w:tbl>
    <w:p w14:paraId="4BD141EF">
      <w:pPr>
        <w:pStyle w:val="117"/>
        <w:rPr>
          <w:color w:val="auto"/>
        </w:rPr>
      </w:pPr>
    </w:p>
    <w:p w14:paraId="0E99B1A8">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4</w:t>
      </w:r>
      <w:r>
        <w:rPr>
          <w:color w:val="auto"/>
        </w:rPr>
        <w:fldChar w:fldCharType="end"/>
      </w:r>
      <w:r>
        <w:rPr>
          <w:rFonts w:hint="eastAsia"/>
          <w:color w:val="auto"/>
        </w:rPr>
        <w:t>石脑油理化性质</w:t>
      </w:r>
      <w:r>
        <w:rPr>
          <w:color w:val="auto"/>
        </w:rPr>
        <w:t>及</w:t>
      </w:r>
      <w:r>
        <w:rPr>
          <w:rFonts w:hint="eastAsia"/>
          <w:color w:val="auto"/>
        </w:rPr>
        <w:t>危险</w:t>
      </w:r>
      <w:r>
        <w:rPr>
          <w:color w:val="auto"/>
        </w:rPr>
        <w:t>特性表</w:t>
      </w:r>
    </w:p>
    <w:tbl>
      <w:tblPr>
        <w:tblStyle w:val="43"/>
        <w:tblW w:w="9179" w:type="dxa"/>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fixed"/>
        <w:tblCellMar>
          <w:top w:w="0" w:type="dxa"/>
          <w:left w:w="28" w:type="dxa"/>
          <w:bottom w:w="0" w:type="dxa"/>
          <w:right w:w="28" w:type="dxa"/>
        </w:tblCellMar>
      </w:tblPr>
      <w:tblGrid>
        <w:gridCol w:w="476"/>
        <w:gridCol w:w="1643"/>
        <w:gridCol w:w="1117"/>
        <w:gridCol w:w="255"/>
        <w:gridCol w:w="360"/>
        <w:gridCol w:w="536"/>
        <w:gridCol w:w="507"/>
        <w:gridCol w:w="485"/>
        <w:gridCol w:w="558"/>
        <w:gridCol w:w="292"/>
        <w:gridCol w:w="1329"/>
        <w:gridCol w:w="1621"/>
      </w:tblGrid>
      <w:tr w14:paraId="5FF22F02">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284"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14:paraId="268C5B53">
            <w:pPr>
              <w:pStyle w:val="91"/>
              <w:keepNext w:val="0"/>
              <w:keepLines w:val="0"/>
              <w:suppressLineNumbers w:val="0"/>
              <w:spacing w:before="0" w:beforeAutospacing="0" w:after="0" w:afterAutospacing="0"/>
              <w:ind w:left="0" w:right="0"/>
              <w:rPr>
                <w:rFonts w:hint="default"/>
                <w:color w:val="auto"/>
              </w:rPr>
            </w:pPr>
            <w:r>
              <w:rPr>
                <w:rFonts w:hint="default"/>
                <w:color w:val="auto"/>
              </w:rPr>
              <w:t>标识</w:t>
            </w:r>
          </w:p>
        </w:tc>
        <w:tc>
          <w:tcPr>
            <w:tcW w:w="4903" w:type="dxa"/>
            <w:gridSpan w:val="7"/>
            <w:tcBorders>
              <w:top w:val="single" w:color="auto" w:sz="6" w:space="0"/>
              <w:left w:val="single" w:color="auto" w:sz="6" w:space="0"/>
              <w:bottom w:val="single" w:color="auto" w:sz="6" w:space="0"/>
              <w:right w:val="single" w:color="auto" w:sz="6" w:space="0"/>
            </w:tcBorders>
            <w:vAlign w:val="center"/>
          </w:tcPr>
          <w:p w14:paraId="71984AE7">
            <w:pPr>
              <w:pStyle w:val="91"/>
              <w:keepNext w:val="0"/>
              <w:keepLines w:val="0"/>
              <w:suppressLineNumbers w:val="0"/>
              <w:spacing w:before="0" w:beforeAutospacing="0" w:after="0" w:afterAutospacing="0"/>
              <w:ind w:left="0" w:right="0"/>
              <w:rPr>
                <w:rFonts w:hint="default"/>
                <w:color w:val="auto"/>
              </w:rPr>
            </w:pPr>
            <w:r>
              <w:rPr>
                <w:rFonts w:hint="default"/>
                <w:color w:val="auto"/>
              </w:rPr>
              <w:t>中文名：石脑油；溶剂油</w:t>
            </w:r>
          </w:p>
        </w:tc>
        <w:tc>
          <w:tcPr>
            <w:tcW w:w="3800" w:type="dxa"/>
            <w:gridSpan w:val="4"/>
            <w:tcBorders>
              <w:top w:val="single" w:color="auto" w:sz="6" w:space="0"/>
              <w:left w:val="single" w:color="auto" w:sz="6" w:space="0"/>
              <w:bottom w:val="single" w:color="auto" w:sz="6" w:space="0"/>
              <w:right w:val="single" w:color="auto" w:sz="6" w:space="0"/>
            </w:tcBorders>
            <w:vAlign w:val="center"/>
          </w:tcPr>
          <w:p w14:paraId="7A7E7241">
            <w:pPr>
              <w:pStyle w:val="91"/>
              <w:keepNext w:val="0"/>
              <w:keepLines w:val="0"/>
              <w:suppressLineNumbers w:val="0"/>
              <w:spacing w:before="0" w:beforeAutospacing="0" w:after="0" w:afterAutospacing="0"/>
              <w:ind w:left="0" w:right="0"/>
              <w:rPr>
                <w:rFonts w:hint="default"/>
                <w:color w:val="auto"/>
              </w:rPr>
            </w:pPr>
            <w:r>
              <w:rPr>
                <w:rFonts w:hint="default"/>
                <w:color w:val="auto"/>
              </w:rPr>
              <w:t>危险货物编号：32004</w:t>
            </w:r>
          </w:p>
        </w:tc>
      </w:tr>
      <w:tr w14:paraId="5D48FAF4">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284"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14:paraId="69024241">
            <w:pPr>
              <w:pStyle w:val="91"/>
              <w:keepNext w:val="0"/>
              <w:keepLines w:val="0"/>
              <w:suppressLineNumbers w:val="0"/>
              <w:spacing w:before="0" w:beforeAutospacing="0" w:after="0" w:afterAutospacing="0"/>
              <w:ind w:left="0" w:right="0"/>
              <w:rPr>
                <w:rFonts w:hint="default"/>
                <w:color w:val="auto"/>
              </w:rPr>
            </w:pPr>
          </w:p>
        </w:tc>
        <w:tc>
          <w:tcPr>
            <w:tcW w:w="4903" w:type="dxa"/>
            <w:gridSpan w:val="7"/>
            <w:tcBorders>
              <w:top w:val="single" w:color="auto" w:sz="6" w:space="0"/>
              <w:left w:val="single" w:color="auto" w:sz="6" w:space="0"/>
              <w:bottom w:val="single" w:color="auto" w:sz="6" w:space="0"/>
              <w:right w:val="single" w:color="auto" w:sz="6" w:space="0"/>
            </w:tcBorders>
            <w:vAlign w:val="center"/>
          </w:tcPr>
          <w:p w14:paraId="16B4B259">
            <w:pPr>
              <w:pStyle w:val="91"/>
              <w:keepNext w:val="0"/>
              <w:keepLines w:val="0"/>
              <w:suppressLineNumbers w:val="0"/>
              <w:spacing w:before="0" w:beforeAutospacing="0" w:after="0" w:afterAutospacing="0"/>
              <w:ind w:left="0" w:right="0"/>
              <w:rPr>
                <w:rFonts w:hint="default"/>
                <w:color w:val="auto"/>
              </w:rPr>
            </w:pPr>
            <w:r>
              <w:rPr>
                <w:rFonts w:hint="default"/>
                <w:color w:val="auto"/>
              </w:rPr>
              <w:t>英文名：Grudeoil；Naphtha；NaphthaSolvent</w:t>
            </w:r>
          </w:p>
        </w:tc>
        <w:tc>
          <w:tcPr>
            <w:tcW w:w="3800" w:type="dxa"/>
            <w:gridSpan w:val="4"/>
            <w:tcBorders>
              <w:top w:val="single" w:color="auto" w:sz="6" w:space="0"/>
              <w:left w:val="single" w:color="auto" w:sz="6" w:space="0"/>
              <w:bottom w:val="single" w:color="auto" w:sz="6" w:space="0"/>
              <w:right w:val="single" w:color="auto" w:sz="6" w:space="0"/>
            </w:tcBorders>
            <w:vAlign w:val="center"/>
          </w:tcPr>
          <w:p w14:paraId="2D2AC80A">
            <w:pPr>
              <w:pStyle w:val="91"/>
              <w:keepNext w:val="0"/>
              <w:keepLines w:val="0"/>
              <w:suppressLineNumbers w:val="0"/>
              <w:spacing w:before="0" w:beforeAutospacing="0" w:after="0" w:afterAutospacing="0"/>
              <w:ind w:left="0" w:right="0"/>
              <w:rPr>
                <w:rFonts w:hint="default"/>
                <w:color w:val="auto"/>
              </w:rPr>
            </w:pPr>
            <w:r>
              <w:rPr>
                <w:rFonts w:hint="default"/>
                <w:color w:val="auto"/>
              </w:rPr>
              <w:t>UN编号：1256，2553</w:t>
            </w:r>
          </w:p>
        </w:tc>
      </w:tr>
      <w:tr w14:paraId="7587511B">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284"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14:paraId="53D03BE1">
            <w:pPr>
              <w:pStyle w:val="91"/>
              <w:keepNext w:val="0"/>
              <w:keepLines w:val="0"/>
              <w:suppressLineNumbers w:val="0"/>
              <w:spacing w:before="0" w:beforeAutospacing="0" w:after="0" w:afterAutospacing="0"/>
              <w:ind w:left="0" w:right="0"/>
              <w:rPr>
                <w:rFonts w:hint="default"/>
                <w:color w:val="auto"/>
              </w:rPr>
            </w:pPr>
          </w:p>
        </w:tc>
        <w:tc>
          <w:tcPr>
            <w:tcW w:w="3015" w:type="dxa"/>
            <w:gridSpan w:val="3"/>
            <w:tcBorders>
              <w:top w:val="single" w:color="auto" w:sz="6" w:space="0"/>
              <w:left w:val="single" w:color="auto" w:sz="6" w:space="0"/>
              <w:bottom w:val="single" w:color="auto" w:sz="6" w:space="0"/>
              <w:right w:val="single" w:color="auto" w:sz="6" w:space="0"/>
            </w:tcBorders>
            <w:vAlign w:val="center"/>
          </w:tcPr>
          <w:p w14:paraId="76960D63">
            <w:pPr>
              <w:pStyle w:val="91"/>
              <w:keepNext w:val="0"/>
              <w:keepLines w:val="0"/>
              <w:suppressLineNumbers w:val="0"/>
              <w:spacing w:before="0" w:beforeAutospacing="0" w:after="0" w:afterAutospacing="0"/>
              <w:ind w:left="0" w:right="0"/>
              <w:rPr>
                <w:rFonts w:hint="default"/>
                <w:color w:val="auto"/>
              </w:rPr>
            </w:pPr>
            <w:r>
              <w:rPr>
                <w:rFonts w:hint="default"/>
                <w:color w:val="auto"/>
              </w:rPr>
              <w:t>分子式：/</w:t>
            </w:r>
          </w:p>
        </w:tc>
        <w:tc>
          <w:tcPr>
            <w:tcW w:w="1888" w:type="dxa"/>
            <w:gridSpan w:val="4"/>
            <w:tcBorders>
              <w:top w:val="single" w:color="auto" w:sz="6" w:space="0"/>
              <w:left w:val="single" w:color="auto" w:sz="6" w:space="0"/>
              <w:bottom w:val="single" w:color="auto" w:sz="6" w:space="0"/>
              <w:right w:val="single" w:color="auto" w:sz="6" w:space="0"/>
            </w:tcBorders>
            <w:vAlign w:val="center"/>
          </w:tcPr>
          <w:p w14:paraId="758C8952">
            <w:pPr>
              <w:pStyle w:val="91"/>
              <w:keepNext w:val="0"/>
              <w:keepLines w:val="0"/>
              <w:suppressLineNumbers w:val="0"/>
              <w:spacing w:before="0" w:beforeAutospacing="0" w:after="0" w:afterAutospacing="0"/>
              <w:ind w:left="0" w:right="0"/>
              <w:rPr>
                <w:rFonts w:hint="default"/>
                <w:color w:val="auto"/>
              </w:rPr>
            </w:pPr>
            <w:r>
              <w:rPr>
                <w:rFonts w:hint="default"/>
                <w:color w:val="auto"/>
              </w:rPr>
              <w:t>分子量：/</w:t>
            </w:r>
          </w:p>
        </w:tc>
        <w:tc>
          <w:tcPr>
            <w:tcW w:w="3800" w:type="dxa"/>
            <w:gridSpan w:val="4"/>
            <w:tcBorders>
              <w:top w:val="single" w:color="auto" w:sz="6" w:space="0"/>
              <w:left w:val="single" w:color="auto" w:sz="6" w:space="0"/>
              <w:bottom w:val="single" w:color="auto" w:sz="6" w:space="0"/>
              <w:right w:val="single" w:color="auto" w:sz="6" w:space="0"/>
            </w:tcBorders>
            <w:vAlign w:val="center"/>
          </w:tcPr>
          <w:p w14:paraId="2B7D0075">
            <w:pPr>
              <w:pStyle w:val="91"/>
              <w:keepNext w:val="0"/>
              <w:keepLines w:val="0"/>
              <w:suppressLineNumbers w:val="0"/>
              <w:spacing w:before="0" w:beforeAutospacing="0" w:after="0" w:afterAutospacing="0"/>
              <w:ind w:left="0" w:right="0"/>
              <w:rPr>
                <w:rFonts w:hint="default"/>
                <w:color w:val="auto"/>
              </w:rPr>
            </w:pPr>
            <w:r>
              <w:rPr>
                <w:rFonts w:hint="default"/>
                <w:color w:val="auto"/>
              </w:rPr>
              <w:t>CAS号：8030-30-6</w:t>
            </w:r>
          </w:p>
        </w:tc>
      </w:tr>
      <w:tr w14:paraId="4EEB81AC">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284"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14:paraId="633F7962">
            <w:pPr>
              <w:pStyle w:val="91"/>
              <w:keepNext w:val="0"/>
              <w:keepLines w:val="0"/>
              <w:suppressLineNumbers w:val="0"/>
              <w:spacing w:before="0" w:beforeAutospacing="0" w:after="0" w:afterAutospacing="0"/>
              <w:ind w:left="0" w:right="0"/>
              <w:rPr>
                <w:rFonts w:hint="default"/>
                <w:color w:val="auto"/>
              </w:rPr>
            </w:pPr>
            <w:r>
              <w:rPr>
                <w:rFonts w:hint="default"/>
                <w:color w:val="auto"/>
              </w:rPr>
              <w:t>理化性质</w:t>
            </w:r>
          </w:p>
        </w:tc>
        <w:tc>
          <w:tcPr>
            <w:tcW w:w="1643" w:type="dxa"/>
            <w:tcBorders>
              <w:top w:val="single" w:color="auto" w:sz="6" w:space="0"/>
              <w:left w:val="single" w:color="auto" w:sz="6" w:space="0"/>
              <w:bottom w:val="single" w:color="auto" w:sz="6" w:space="0"/>
              <w:right w:val="single" w:color="auto" w:sz="6" w:space="0"/>
            </w:tcBorders>
            <w:vAlign w:val="center"/>
          </w:tcPr>
          <w:p w14:paraId="1520991E">
            <w:pPr>
              <w:pStyle w:val="91"/>
              <w:keepNext w:val="0"/>
              <w:keepLines w:val="0"/>
              <w:suppressLineNumbers w:val="0"/>
              <w:spacing w:before="0" w:beforeAutospacing="0" w:after="0" w:afterAutospacing="0"/>
              <w:ind w:left="0" w:right="0"/>
              <w:rPr>
                <w:rFonts w:hint="default"/>
                <w:color w:val="auto"/>
              </w:rPr>
            </w:pPr>
            <w:r>
              <w:rPr>
                <w:rFonts w:hint="default"/>
                <w:color w:val="auto"/>
              </w:rPr>
              <w:t>外观与性状</w:t>
            </w:r>
          </w:p>
        </w:tc>
        <w:tc>
          <w:tcPr>
            <w:tcW w:w="7060" w:type="dxa"/>
            <w:gridSpan w:val="10"/>
            <w:tcBorders>
              <w:top w:val="single" w:color="auto" w:sz="6" w:space="0"/>
              <w:left w:val="single" w:color="auto" w:sz="6" w:space="0"/>
              <w:bottom w:val="single" w:color="auto" w:sz="6" w:space="0"/>
              <w:right w:val="single" w:color="auto" w:sz="6" w:space="0"/>
            </w:tcBorders>
            <w:vAlign w:val="center"/>
          </w:tcPr>
          <w:p w14:paraId="1E9ED8AF">
            <w:pPr>
              <w:pStyle w:val="91"/>
              <w:keepNext w:val="0"/>
              <w:keepLines w:val="0"/>
              <w:suppressLineNumbers w:val="0"/>
              <w:spacing w:before="0" w:beforeAutospacing="0" w:after="0" w:afterAutospacing="0"/>
              <w:ind w:left="0" w:right="0"/>
              <w:rPr>
                <w:rFonts w:hint="default"/>
                <w:color w:val="auto"/>
              </w:rPr>
            </w:pPr>
            <w:r>
              <w:rPr>
                <w:rFonts w:hint="default"/>
                <w:color w:val="auto"/>
              </w:rPr>
              <w:t>无色或浅黄色液体。</w:t>
            </w:r>
          </w:p>
        </w:tc>
      </w:tr>
      <w:tr w14:paraId="3C7C305F">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284"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14:paraId="3BDA83FE">
            <w:pPr>
              <w:pStyle w:val="91"/>
              <w:keepNext w:val="0"/>
              <w:keepLines w:val="0"/>
              <w:suppressLineNumbers w:val="0"/>
              <w:spacing w:before="0" w:beforeAutospacing="0" w:after="0" w:afterAutospacing="0"/>
              <w:ind w:left="0" w:right="0"/>
              <w:rPr>
                <w:rFonts w:hint="default"/>
                <w:color w:val="auto"/>
              </w:rPr>
            </w:pPr>
          </w:p>
        </w:tc>
        <w:tc>
          <w:tcPr>
            <w:tcW w:w="1643" w:type="dxa"/>
            <w:tcBorders>
              <w:top w:val="single" w:color="auto" w:sz="6" w:space="0"/>
              <w:left w:val="single" w:color="auto" w:sz="6" w:space="0"/>
              <w:bottom w:val="single" w:color="auto" w:sz="6" w:space="0"/>
              <w:right w:val="single" w:color="auto" w:sz="6" w:space="0"/>
            </w:tcBorders>
            <w:vAlign w:val="center"/>
          </w:tcPr>
          <w:p w14:paraId="49067F50">
            <w:pPr>
              <w:pStyle w:val="91"/>
              <w:keepNext w:val="0"/>
              <w:keepLines w:val="0"/>
              <w:suppressLineNumbers w:val="0"/>
              <w:spacing w:before="0" w:beforeAutospacing="0" w:after="0" w:afterAutospacing="0"/>
              <w:ind w:left="0" w:right="0"/>
              <w:rPr>
                <w:rFonts w:hint="default"/>
                <w:color w:val="auto"/>
              </w:rPr>
            </w:pPr>
            <w:r>
              <w:rPr>
                <w:rFonts w:hint="default"/>
                <w:color w:val="auto"/>
              </w:rPr>
              <w:t>相对密度(水=1)</w:t>
            </w:r>
          </w:p>
        </w:tc>
        <w:tc>
          <w:tcPr>
            <w:tcW w:w="1117" w:type="dxa"/>
            <w:tcBorders>
              <w:top w:val="single" w:color="auto" w:sz="6" w:space="0"/>
              <w:left w:val="single" w:color="auto" w:sz="6" w:space="0"/>
              <w:bottom w:val="single" w:color="auto" w:sz="6" w:space="0"/>
              <w:right w:val="single" w:color="auto" w:sz="6" w:space="0"/>
            </w:tcBorders>
            <w:vAlign w:val="center"/>
          </w:tcPr>
          <w:p w14:paraId="194F0A50">
            <w:pPr>
              <w:pStyle w:val="91"/>
              <w:keepNext w:val="0"/>
              <w:keepLines w:val="0"/>
              <w:suppressLineNumbers w:val="0"/>
              <w:spacing w:before="0" w:beforeAutospacing="0" w:after="0" w:afterAutospacing="0"/>
              <w:ind w:left="0" w:right="0"/>
              <w:rPr>
                <w:rFonts w:hint="default"/>
                <w:color w:val="auto"/>
              </w:rPr>
            </w:pPr>
            <w:r>
              <w:rPr>
                <w:rFonts w:hint="default"/>
                <w:color w:val="auto"/>
              </w:rPr>
              <w:t>0.667</w:t>
            </w:r>
          </w:p>
        </w:tc>
        <w:tc>
          <w:tcPr>
            <w:tcW w:w="1151" w:type="dxa"/>
            <w:gridSpan w:val="3"/>
            <w:tcBorders>
              <w:top w:val="single" w:color="auto" w:sz="6" w:space="0"/>
              <w:left w:val="single" w:color="auto" w:sz="6" w:space="0"/>
              <w:bottom w:val="single" w:color="auto" w:sz="6" w:space="0"/>
              <w:right w:val="single" w:color="auto" w:sz="6" w:space="0"/>
            </w:tcBorders>
            <w:vAlign w:val="center"/>
          </w:tcPr>
          <w:p w14:paraId="084B6845">
            <w:pPr>
              <w:pStyle w:val="91"/>
              <w:keepNext w:val="0"/>
              <w:keepLines w:val="0"/>
              <w:suppressLineNumbers w:val="0"/>
              <w:spacing w:before="0" w:beforeAutospacing="0" w:after="0" w:afterAutospacing="0"/>
              <w:ind w:left="0" w:right="0"/>
              <w:rPr>
                <w:rFonts w:hint="default"/>
                <w:color w:val="auto"/>
              </w:rPr>
            </w:pPr>
            <w:r>
              <w:rPr>
                <w:rFonts w:hint="default"/>
                <w:color w:val="auto"/>
              </w:rPr>
              <w:t>沸点（</w:t>
            </w:r>
            <w:r>
              <w:rPr>
                <w:rFonts w:hint="default" w:ascii="宋体"/>
                <w:color w:val="auto"/>
              </w:rPr>
              <w:t>℃</w:t>
            </w:r>
            <w:r>
              <w:rPr>
                <w:rFonts w:hint="default"/>
                <w:color w:val="auto"/>
              </w:rPr>
              <w:t>）</w:t>
            </w:r>
          </w:p>
        </w:tc>
        <w:tc>
          <w:tcPr>
            <w:tcW w:w="992" w:type="dxa"/>
            <w:gridSpan w:val="2"/>
            <w:tcBorders>
              <w:top w:val="single" w:color="auto" w:sz="6" w:space="0"/>
              <w:left w:val="single" w:color="auto" w:sz="6" w:space="0"/>
              <w:bottom w:val="single" w:color="auto" w:sz="6" w:space="0"/>
              <w:right w:val="single" w:color="auto" w:sz="6" w:space="0"/>
            </w:tcBorders>
            <w:vAlign w:val="center"/>
          </w:tcPr>
          <w:p w14:paraId="4FEBE44D">
            <w:pPr>
              <w:pStyle w:val="91"/>
              <w:keepNext w:val="0"/>
              <w:keepLines w:val="0"/>
              <w:suppressLineNumbers w:val="0"/>
              <w:spacing w:before="0" w:beforeAutospacing="0" w:after="0" w:afterAutospacing="0"/>
              <w:ind w:left="0" w:right="0"/>
              <w:rPr>
                <w:rFonts w:hint="default"/>
                <w:color w:val="auto"/>
              </w:rPr>
            </w:pPr>
            <w:r>
              <w:rPr>
                <w:rFonts w:hint="default"/>
                <w:color w:val="auto"/>
              </w:rPr>
              <w:t>20～160</w:t>
            </w:r>
          </w:p>
        </w:tc>
        <w:tc>
          <w:tcPr>
            <w:tcW w:w="850" w:type="dxa"/>
            <w:gridSpan w:val="2"/>
            <w:tcBorders>
              <w:top w:val="single" w:color="auto" w:sz="6" w:space="0"/>
              <w:left w:val="single" w:color="auto" w:sz="6" w:space="0"/>
              <w:bottom w:val="single" w:color="auto" w:sz="6" w:space="0"/>
              <w:right w:val="single" w:color="auto" w:sz="6" w:space="0"/>
            </w:tcBorders>
            <w:vAlign w:val="center"/>
          </w:tcPr>
          <w:p w14:paraId="27A23185">
            <w:pPr>
              <w:pStyle w:val="91"/>
              <w:keepNext w:val="0"/>
              <w:keepLines w:val="0"/>
              <w:suppressLineNumbers w:val="0"/>
              <w:spacing w:before="0" w:beforeAutospacing="0" w:after="0" w:afterAutospacing="0"/>
              <w:ind w:left="0" w:right="0"/>
              <w:rPr>
                <w:rFonts w:hint="default"/>
                <w:color w:val="auto"/>
              </w:rPr>
            </w:pPr>
            <w:r>
              <w:rPr>
                <w:rFonts w:hint="default"/>
                <w:color w:val="auto"/>
              </w:rPr>
              <w:t>溶解性</w:t>
            </w:r>
          </w:p>
        </w:tc>
        <w:tc>
          <w:tcPr>
            <w:tcW w:w="2950" w:type="dxa"/>
            <w:gridSpan w:val="2"/>
            <w:tcBorders>
              <w:top w:val="single" w:color="auto" w:sz="6" w:space="0"/>
              <w:left w:val="single" w:color="auto" w:sz="6" w:space="0"/>
              <w:bottom w:val="single" w:color="auto" w:sz="6" w:space="0"/>
              <w:right w:val="single" w:color="auto" w:sz="6" w:space="0"/>
            </w:tcBorders>
            <w:vAlign w:val="center"/>
          </w:tcPr>
          <w:p w14:paraId="1452831A">
            <w:pPr>
              <w:pStyle w:val="91"/>
              <w:keepNext w:val="0"/>
              <w:keepLines w:val="0"/>
              <w:suppressLineNumbers w:val="0"/>
              <w:spacing w:before="0" w:beforeAutospacing="0" w:after="0" w:afterAutospacing="0"/>
              <w:ind w:left="0" w:right="0"/>
              <w:rPr>
                <w:rFonts w:hint="default"/>
                <w:color w:val="auto"/>
              </w:rPr>
            </w:pPr>
            <w:r>
              <w:rPr>
                <w:rFonts w:hint="default"/>
                <w:color w:val="auto"/>
              </w:rPr>
              <w:t>不溶于水，溶于多数有机溶剂</w:t>
            </w:r>
          </w:p>
        </w:tc>
      </w:tr>
      <w:tr w14:paraId="5601F80B">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284"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14:paraId="4F664636">
            <w:pPr>
              <w:pStyle w:val="91"/>
              <w:keepNext w:val="0"/>
              <w:keepLines w:val="0"/>
              <w:suppressLineNumbers w:val="0"/>
              <w:spacing w:before="0" w:beforeAutospacing="0" w:after="0" w:afterAutospacing="0"/>
              <w:ind w:left="0" w:right="0"/>
              <w:rPr>
                <w:rFonts w:hint="default"/>
                <w:color w:val="auto"/>
              </w:rPr>
            </w:pPr>
            <w:r>
              <w:rPr>
                <w:rFonts w:hint="default"/>
                <w:color w:val="auto"/>
              </w:rPr>
              <w:t>毒性及健康危害</w:t>
            </w:r>
          </w:p>
        </w:tc>
        <w:tc>
          <w:tcPr>
            <w:tcW w:w="1643" w:type="dxa"/>
            <w:tcBorders>
              <w:top w:val="single" w:color="auto" w:sz="6" w:space="0"/>
              <w:left w:val="single" w:color="auto" w:sz="6" w:space="0"/>
              <w:bottom w:val="single" w:color="auto" w:sz="6" w:space="0"/>
              <w:right w:val="single" w:color="auto" w:sz="6" w:space="0"/>
            </w:tcBorders>
            <w:vAlign w:val="center"/>
          </w:tcPr>
          <w:p w14:paraId="21A054F8">
            <w:pPr>
              <w:pStyle w:val="91"/>
              <w:keepNext w:val="0"/>
              <w:keepLines w:val="0"/>
              <w:suppressLineNumbers w:val="0"/>
              <w:spacing w:before="0" w:beforeAutospacing="0" w:after="0" w:afterAutospacing="0"/>
              <w:ind w:left="0" w:right="0"/>
              <w:rPr>
                <w:rFonts w:hint="default"/>
                <w:color w:val="auto"/>
              </w:rPr>
            </w:pPr>
            <w:r>
              <w:rPr>
                <w:rFonts w:hint="default"/>
                <w:color w:val="auto"/>
              </w:rPr>
              <w:t>侵入途径</w:t>
            </w:r>
          </w:p>
        </w:tc>
        <w:tc>
          <w:tcPr>
            <w:tcW w:w="7060" w:type="dxa"/>
            <w:gridSpan w:val="10"/>
            <w:tcBorders>
              <w:top w:val="single" w:color="auto" w:sz="6" w:space="0"/>
              <w:left w:val="single" w:color="auto" w:sz="6" w:space="0"/>
              <w:bottom w:val="single" w:color="auto" w:sz="6" w:space="0"/>
              <w:right w:val="single" w:color="auto" w:sz="4" w:space="0"/>
            </w:tcBorders>
            <w:vAlign w:val="center"/>
          </w:tcPr>
          <w:p w14:paraId="1EE86F49">
            <w:pPr>
              <w:pStyle w:val="91"/>
              <w:keepNext w:val="0"/>
              <w:keepLines w:val="0"/>
              <w:suppressLineNumbers w:val="0"/>
              <w:spacing w:before="0" w:beforeAutospacing="0" w:after="0" w:afterAutospacing="0"/>
              <w:ind w:left="0" w:right="0"/>
              <w:rPr>
                <w:rFonts w:hint="default"/>
                <w:color w:val="auto"/>
              </w:rPr>
            </w:pPr>
            <w:r>
              <w:rPr>
                <w:rFonts w:hint="default"/>
                <w:color w:val="auto"/>
              </w:rPr>
              <w:t>吸入、食入</w:t>
            </w:r>
            <w:r>
              <w:rPr>
                <w:rFonts w:hint="eastAsia"/>
                <w:color w:val="auto"/>
              </w:rPr>
              <w:t>、</w:t>
            </w:r>
            <w:r>
              <w:rPr>
                <w:rFonts w:hint="eastAsia" w:ascii="宋体"/>
                <w:color w:val="auto"/>
              </w:rPr>
              <w:t>经皮吸收</w:t>
            </w:r>
            <w:r>
              <w:rPr>
                <w:rFonts w:hint="default"/>
                <w:color w:val="auto"/>
              </w:rPr>
              <w:t>。</w:t>
            </w:r>
          </w:p>
        </w:tc>
      </w:tr>
      <w:tr w14:paraId="467B550C">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284"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14:paraId="2495A480">
            <w:pPr>
              <w:pStyle w:val="91"/>
              <w:keepNext w:val="0"/>
              <w:keepLines w:val="0"/>
              <w:suppressLineNumbers w:val="0"/>
              <w:spacing w:before="0" w:beforeAutospacing="0" w:after="0" w:afterAutospacing="0"/>
              <w:ind w:left="0" w:right="0"/>
              <w:rPr>
                <w:rFonts w:hint="default"/>
                <w:color w:val="auto"/>
              </w:rPr>
            </w:pPr>
          </w:p>
        </w:tc>
        <w:tc>
          <w:tcPr>
            <w:tcW w:w="1643" w:type="dxa"/>
            <w:tcBorders>
              <w:top w:val="single" w:color="auto" w:sz="6" w:space="0"/>
              <w:left w:val="single" w:color="auto" w:sz="6" w:space="0"/>
              <w:bottom w:val="single" w:color="auto" w:sz="6" w:space="0"/>
              <w:right w:val="single" w:color="auto" w:sz="6" w:space="0"/>
            </w:tcBorders>
            <w:vAlign w:val="center"/>
          </w:tcPr>
          <w:p w14:paraId="1BD4888F">
            <w:pPr>
              <w:pStyle w:val="91"/>
              <w:keepNext w:val="0"/>
              <w:keepLines w:val="0"/>
              <w:suppressLineNumbers w:val="0"/>
              <w:spacing w:before="0" w:beforeAutospacing="0" w:after="0" w:afterAutospacing="0"/>
              <w:ind w:left="0" w:right="0"/>
              <w:rPr>
                <w:rFonts w:hint="default"/>
                <w:color w:val="auto"/>
              </w:rPr>
            </w:pPr>
            <w:r>
              <w:rPr>
                <w:rFonts w:hint="default"/>
                <w:color w:val="auto"/>
              </w:rPr>
              <w:t>毒性</w:t>
            </w:r>
          </w:p>
        </w:tc>
        <w:tc>
          <w:tcPr>
            <w:tcW w:w="7060" w:type="dxa"/>
            <w:gridSpan w:val="10"/>
            <w:tcBorders>
              <w:top w:val="single" w:color="auto" w:sz="6" w:space="0"/>
              <w:left w:val="single" w:color="auto" w:sz="6" w:space="0"/>
              <w:bottom w:val="single" w:color="auto" w:sz="6" w:space="0"/>
              <w:right w:val="single" w:color="auto" w:sz="6" w:space="0"/>
            </w:tcBorders>
            <w:vAlign w:val="center"/>
          </w:tcPr>
          <w:p w14:paraId="4387A96B">
            <w:pPr>
              <w:pStyle w:val="91"/>
              <w:keepNext w:val="0"/>
              <w:keepLines w:val="0"/>
              <w:suppressLineNumbers w:val="0"/>
              <w:spacing w:before="0" w:beforeAutospacing="0" w:after="0" w:afterAutospacing="0"/>
              <w:ind w:left="0" w:right="0"/>
              <w:rPr>
                <w:rFonts w:hint="default"/>
                <w:color w:val="auto"/>
              </w:rPr>
            </w:pPr>
            <w:r>
              <w:rPr>
                <w:rFonts w:hint="default"/>
                <w:color w:val="auto"/>
              </w:rPr>
              <w:t>LC</w:t>
            </w:r>
            <w:r>
              <w:rPr>
                <w:rFonts w:hint="default"/>
                <w:color w:val="auto"/>
                <w:vertAlign w:val="subscript"/>
              </w:rPr>
              <w:t>50</w:t>
            </w:r>
            <w:r>
              <w:rPr>
                <w:rFonts w:hint="default"/>
                <w:color w:val="auto"/>
              </w:rPr>
              <w:t>：16000mg/m</w:t>
            </w:r>
            <w:r>
              <w:rPr>
                <w:rFonts w:hint="default"/>
                <w:color w:val="auto"/>
                <w:vertAlign w:val="superscript"/>
              </w:rPr>
              <w:t>3</w:t>
            </w:r>
            <w:r>
              <w:rPr>
                <w:rFonts w:hint="default"/>
                <w:color w:val="auto"/>
              </w:rPr>
              <w:t>，4小时(大鼠吸入)。</w:t>
            </w:r>
          </w:p>
        </w:tc>
      </w:tr>
      <w:tr w14:paraId="4269D41D">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641"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14:paraId="047A8BC6">
            <w:pPr>
              <w:pStyle w:val="91"/>
              <w:keepNext w:val="0"/>
              <w:keepLines w:val="0"/>
              <w:suppressLineNumbers w:val="0"/>
              <w:spacing w:before="0" w:beforeAutospacing="0" w:after="0" w:afterAutospacing="0"/>
              <w:ind w:left="0" w:right="0"/>
              <w:rPr>
                <w:rFonts w:hint="default"/>
                <w:color w:val="auto"/>
              </w:rPr>
            </w:pPr>
          </w:p>
        </w:tc>
        <w:tc>
          <w:tcPr>
            <w:tcW w:w="1643" w:type="dxa"/>
            <w:tcBorders>
              <w:top w:val="single" w:color="auto" w:sz="6" w:space="0"/>
              <w:left w:val="single" w:color="auto" w:sz="6" w:space="0"/>
              <w:bottom w:val="single" w:color="auto" w:sz="4" w:space="0"/>
              <w:right w:val="single" w:color="auto" w:sz="6" w:space="0"/>
            </w:tcBorders>
            <w:vAlign w:val="center"/>
          </w:tcPr>
          <w:p w14:paraId="6C50D94F">
            <w:pPr>
              <w:pStyle w:val="91"/>
              <w:keepNext w:val="0"/>
              <w:keepLines w:val="0"/>
              <w:suppressLineNumbers w:val="0"/>
              <w:spacing w:before="0" w:beforeAutospacing="0" w:after="0" w:afterAutospacing="0"/>
              <w:ind w:left="0" w:right="0"/>
              <w:rPr>
                <w:rFonts w:hint="default"/>
                <w:color w:val="auto"/>
              </w:rPr>
            </w:pPr>
            <w:r>
              <w:rPr>
                <w:rFonts w:hint="default"/>
                <w:color w:val="auto"/>
              </w:rPr>
              <w:t>健康危害</w:t>
            </w:r>
          </w:p>
        </w:tc>
        <w:tc>
          <w:tcPr>
            <w:tcW w:w="7060" w:type="dxa"/>
            <w:gridSpan w:val="10"/>
            <w:tcBorders>
              <w:top w:val="single" w:color="auto" w:sz="6" w:space="0"/>
              <w:left w:val="single" w:color="auto" w:sz="6" w:space="0"/>
              <w:bottom w:val="single" w:color="auto" w:sz="4" w:space="0"/>
              <w:right w:val="single" w:color="auto" w:sz="6" w:space="0"/>
            </w:tcBorders>
            <w:vAlign w:val="center"/>
          </w:tcPr>
          <w:p w14:paraId="74AD963F">
            <w:pPr>
              <w:pStyle w:val="91"/>
              <w:keepNext w:val="0"/>
              <w:keepLines w:val="0"/>
              <w:suppressLineNumbers w:val="0"/>
              <w:spacing w:before="0" w:beforeAutospacing="0" w:after="0" w:afterAutospacing="0"/>
              <w:ind w:left="0" w:right="0"/>
              <w:rPr>
                <w:rFonts w:hint="default"/>
                <w:color w:val="auto"/>
              </w:rPr>
            </w:pPr>
            <w:r>
              <w:rPr>
                <w:rFonts w:hint="default"/>
                <w:color w:val="auto"/>
              </w:rPr>
              <w:t>蒸气可引起眼及上呼吸道刺激症状，如浓度过高，几分钟即可引起呼吸困难、紫绀等缺氧症状。</w:t>
            </w:r>
          </w:p>
        </w:tc>
      </w:tr>
      <w:tr w14:paraId="35807612">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318"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14:paraId="70FB45A8">
            <w:pPr>
              <w:pStyle w:val="91"/>
              <w:keepNext w:val="0"/>
              <w:keepLines w:val="0"/>
              <w:suppressLineNumbers w:val="0"/>
              <w:spacing w:before="0" w:beforeAutospacing="0" w:after="0" w:afterAutospacing="0"/>
              <w:ind w:left="0" w:right="0"/>
              <w:rPr>
                <w:rFonts w:hint="default"/>
                <w:color w:val="auto"/>
              </w:rPr>
            </w:pPr>
          </w:p>
        </w:tc>
        <w:tc>
          <w:tcPr>
            <w:tcW w:w="1643" w:type="dxa"/>
            <w:tcBorders>
              <w:top w:val="single" w:color="auto" w:sz="4" w:space="0"/>
              <w:left w:val="single" w:color="auto" w:sz="6" w:space="0"/>
              <w:bottom w:val="single" w:color="auto" w:sz="6" w:space="0"/>
              <w:right w:val="single" w:color="auto" w:sz="6" w:space="0"/>
            </w:tcBorders>
            <w:vAlign w:val="center"/>
          </w:tcPr>
          <w:p w14:paraId="72AC3829">
            <w:pPr>
              <w:pStyle w:val="91"/>
              <w:keepNext w:val="0"/>
              <w:keepLines w:val="0"/>
              <w:suppressLineNumbers w:val="0"/>
              <w:spacing w:before="0" w:beforeAutospacing="0" w:after="0" w:afterAutospacing="0"/>
              <w:ind w:left="0" w:right="0"/>
              <w:rPr>
                <w:rFonts w:hint="default"/>
                <w:color w:val="auto"/>
              </w:rPr>
            </w:pPr>
            <w:r>
              <w:rPr>
                <w:rFonts w:hint="default"/>
                <w:color w:val="auto"/>
              </w:rPr>
              <w:t>急救方法</w:t>
            </w:r>
          </w:p>
        </w:tc>
        <w:tc>
          <w:tcPr>
            <w:tcW w:w="7060" w:type="dxa"/>
            <w:gridSpan w:val="10"/>
            <w:tcBorders>
              <w:top w:val="single" w:color="auto" w:sz="4" w:space="0"/>
              <w:left w:val="single" w:color="auto" w:sz="6" w:space="0"/>
              <w:bottom w:val="single" w:color="auto" w:sz="6" w:space="0"/>
              <w:right w:val="single" w:color="auto" w:sz="6" w:space="0"/>
            </w:tcBorders>
            <w:vAlign w:val="center"/>
          </w:tcPr>
          <w:p w14:paraId="53F38018">
            <w:pPr>
              <w:pStyle w:val="91"/>
              <w:keepNext w:val="0"/>
              <w:keepLines w:val="0"/>
              <w:suppressLineNumbers w:val="0"/>
              <w:spacing w:before="0" w:beforeAutospacing="0" w:after="0" w:afterAutospacing="0"/>
              <w:ind w:left="0" w:right="0"/>
              <w:rPr>
                <w:rFonts w:hint="default"/>
                <w:color w:val="auto"/>
              </w:rPr>
            </w:pPr>
            <w:r>
              <w:rPr>
                <w:rFonts w:hint="default"/>
                <w:color w:val="auto"/>
              </w:rPr>
              <w:t>皮肤接触：脱去被污染的衣着，用肥皂水和清水彻底冲洗皮肤。</w:t>
            </w:r>
          </w:p>
          <w:p w14:paraId="3F85F4A8">
            <w:pPr>
              <w:pStyle w:val="91"/>
              <w:keepNext w:val="0"/>
              <w:keepLines w:val="0"/>
              <w:suppressLineNumbers w:val="0"/>
              <w:spacing w:before="0" w:beforeAutospacing="0" w:after="0" w:afterAutospacing="0"/>
              <w:ind w:left="0" w:right="0"/>
              <w:rPr>
                <w:rFonts w:hint="default"/>
                <w:color w:val="auto"/>
              </w:rPr>
            </w:pPr>
            <w:r>
              <w:rPr>
                <w:rFonts w:hint="default"/>
                <w:color w:val="auto"/>
              </w:rPr>
              <w:t>眼睛接触：提起眼睑，用流动清水或生理盐水冲洗。就医。</w:t>
            </w:r>
          </w:p>
          <w:p w14:paraId="1107A601">
            <w:pPr>
              <w:pStyle w:val="91"/>
              <w:keepNext w:val="0"/>
              <w:keepLines w:val="0"/>
              <w:suppressLineNumbers w:val="0"/>
              <w:spacing w:before="0" w:beforeAutospacing="0" w:after="0" w:afterAutospacing="0"/>
              <w:ind w:left="0" w:right="0"/>
              <w:rPr>
                <w:rFonts w:hint="default"/>
                <w:color w:val="auto"/>
              </w:rPr>
            </w:pPr>
            <w:r>
              <w:rPr>
                <w:rFonts w:hint="default"/>
                <w:color w:val="auto"/>
              </w:rPr>
              <w:t>吸入：迅速脱离现场至空气新鲜处。保持呼吸道通畅。如呼吸困难，给输氧。如呼吸停止，立即进行人工呼吸。就医。</w:t>
            </w:r>
          </w:p>
          <w:p w14:paraId="6D782716">
            <w:pPr>
              <w:pStyle w:val="91"/>
              <w:keepNext w:val="0"/>
              <w:keepLines w:val="0"/>
              <w:suppressLineNumbers w:val="0"/>
              <w:spacing w:before="0" w:beforeAutospacing="0" w:after="0" w:afterAutospacing="0"/>
              <w:ind w:left="0" w:right="0"/>
              <w:rPr>
                <w:rFonts w:hint="default"/>
                <w:color w:val="auto"/>
              </w:rPr>
            </w:pPr>
            <w:r>
              <w:rPr>
                <w:rFonts w:hint="default"/>
                <w:color w:val="auto"/>
              </w:rPr>
              <w:t>食入：误服者用水漱口，给饮牛奶或蛋清。就医。</w:t>
            </w:r>
          </w:p>
        </w:tc>
      </w:tr>
      <w:tr w14:paraId="54FA09D0">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366"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14:paraId="1C3E6CC7">
            <w:pPr>
              <w:pStyle w:val="91"/>
              <w:keepNext w:val="0"/>
              <w:keepLines w:val="0"/>
              <w:suppressLineNumbers w:val="0"/>
              <w:spacing w:before="0" w:beforeAutospacing="0" w:after="0" w:afterAutospacing="0"/>
              <w:ind w:left="0" w:right="0"/>
              <w:rPr>
                <w:rFonts w:hint="default"/>
                <w:color w:val="auto"/>
              </w:rPr>
            </w:pPr>
            <w:r>
              <w:rPr>
                <w:rFonts w:hint="default"/>
                <w:color w:val="auto"/>
              </w:rPr>
              <w:t>燃烧爆炸危险性</w:t>
            </w:r>
          </w:p>
        </w:tc>
        <w:tc>
          <w:tcPr>
            <w:tcW w:w="1643" w:type="dxa"/>
            <w:tcBorders>
              <w:top w:val="single" w:color="auto" w:sz="6" w:space="0"/>
              <w:left w:val="single" w:color="auto" w:sz="6" w:space="0"/>
              <w:bottom w:val="single" w:color="auto" w:sz="6" w:space="0"/>
              <w:right w:val="single" w:color="auto" w:sz="6" w:space="0"/>
            </w:tcBorders>
            <w:vAlign w:val="center"/>
          </w:tcPr>
          <w:p w14:paraId="21DFD8C6">
            <w:pPr>
              <w:pStyle w:val="91"/>
              <w:keepNext w:val="0"/>
              <w:keepLines w:val="0"/>
              <w:suppressLineNumbers w:val="0"/>
              <w:spacing w:before="0" w:beforeAutospacing="0" w:after="0" w:afterAutospacing="0"/>
              <w:ind w:left="0" w:right="0"/>
              <w:rPr>
                <w:rFonts w:hint="default" w:ascii="宋体"/>
                <w:color w:val="auto"/>
              </w:rPr>
            </w:pPr>
            <w:r>
              <w:rPr>
                <w:rFonts w:hint="eastAsia" w:ascii="宋体"/>
                <w:color w:val="auto"/>
              </w:rPr>
              <w:t>燃烧性</w:t>
            </w:r>
          </w:p>
        </w:tc>
        <w:tc>
          <w:tcPr>
            <w:tcW w:w="1732" w:type="dxa"/>
            <w:gridSpan w:val="3"/>
            <w:tcBorders>
              <w:top w:val="single" w:color="auto" w:sz="6" w:space="0"/>
              <w:left w:val="single" w:color="auto" w:sz="6" w:space="0"/>
              <w:bottom w:val="single" w:color="auto" w:sz="6" w:space="0"/>
              <w:right w:val="single" w:color="auto" w:sz="6" w:space="0"/>
            </w:tcBorders>
            <w:vAlign w:val="center"/>
          </w:tcPr>
          <w:p w14:paraId="238BEC8A">
            <w:pPr>
              <w:pStyle w:val="91"/>
              <w:keepNext w:val="0"/>
              <w:keepLines w:val="0"/>
              <w:suppressLineNumbers w:val="0"/>
              <w:spacing w:before="0" w:beforeAutospacing="0" w:after="0" w:afterAutospacing="0"/>
              <w:ind w:left="0" w:right="0"/>
              <w:rPr>
                <w:rFonts w:hint="default" w:ascii="宋体"/>
                <w:color w:val="auto"/>
              </w:rPr>
            </w:pPr>
            <w:r>
              <w:rPr>
                <w:rFonts w:hint="eastAsia" w:ascii="宋体"/>
                <w:color w:val="auto"/>
              </w:rPr>
              <w:t>易燃</w:t>
            </w:r>
          </w:p>
        </w:tc>
        <w:tc>
          <w:tcPr>
            <w:tcW w:w="2086" w:type="dxa"/>
            <w:gridSpan w:val="4"/>
            <w:tcBorders>
              <w:top w:val="single" w:color="auto" w:sz="6" w:space="0"/>
              <w:left w:val="single" w:color="auto" w:sz="6" w:space="0"/>
              <w:bottom w:val="single" w:color="auto" w:sz="6" w:space="0"/>
              <w:right w:val="single" w:color="auto" w:sz="6" w:space="0"/>
            </w:tcBorders>
            <w:vAlign w:val="center"/>
          </w:tcPr>
          <w:p w14:paraId="49FE1DFC">
            <w:pPr>
              <w:pStyle w:val="91"/>
              <w:keepNext w:val="0"/>
              <w:keepLines w:val="0"/>
              <w:suppressLineNumbers w:val="0"/>
              <w:spacing w:before="0" w:beforeAutospacing="0" w:after="0" w:afterAutospacing="0"/>
              <w:ind w:left="0" w:right="0"/>
              <w:rPr>
                <w:rFonts w:hint="default" w:ascii="宋体"/>
                <w:color w:val="auto"/>
              </w:rPr>
            </w:pPr>
            <w:r>
              <w:rPr>
                <w:rFonts w:hint="eastAsia" w:ascii="宋体"/>
                <w:color w:val="auto"/>
              </w:rPr>
              <w:t>燃烧分解物</w:t>
            </w:r>
          </w:p>
        </w:tc>
        <w:tc>
          <w:tcPr>
            <w:tcW w:w="3242" w:type="dxa"/>
            <w:gridSpan w:val="3"/>
            <w:tcBorders>
              <w:top w:val="single" w:color="auto" w:sz="6" w:space="0"/>
              <w:left w:val="single" w:color="auto" w:sz="6" w:space="0"/>
              <w:bottom w:val="single" w:color="auto" w:sz="6" w:space="0"/>
              <w:right w:val="single" w:color="auto" w:sz="6" w:space="0"/>
            </w:tcBorders>
            <w:vAlign w:val="center"/>
          </w:tcPr>
          <w:p w14:paraId="34D11AB3">
            <w:pPr>
              <w:pStyle w:val="91"/>
              <w:keepNext w:val="0"/>
              <w:keepLines w:val="0"/>
              <w:suppressLineNumbers w:val="0"/>
              <w:spacing w:before="0" w:beforeAutospacing="0" w:after="0" w:afterAutospacing="0"/>
              <w:ind w:left="0" w:right="0"/>
              <w:rPr>
                <w:rFonts w:hint="default" w:ascii="宋体"/>
                <w:color w:val="auto"/>
              </w:rPr>
            </w:pPr>
            <w:r>
              <w:rPr>
                <w:rFonts w:hint="default" w:ascii="宋体"/>
                <w:color w:val="auto"/>
              </w:rPr>
              <w:t>一氧化碳、二氧化碳。</w:t>
            </w:r>
          </w:p>
        </w:tc>
      </w:tr>
      <w:tr w14:paraId="08E3809A">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286"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14:paraId="175740AA">
            <w:pPr>
              <w:pStyle w:val="91"/>
              <w:keepNext w:val="0"/>
              <w:keepLines w:val="0"/>
              <w:suppressLineNumbers w:val="0"/>
              <w:spacing w:before="0" w:beforeAutospacing="0" w:after="0" w:afterAutospacing="0"/>
              <w:ind w:left="0" w:right="0"/>
              <w:rPr>
                <w:rFonts w:hint="default"/>
                <w:color w:val="auto"/>
              </w:rPr>
            </w:pPr>
          </w:p>
        </w:tc>
        <w:tc>
          <w:tcPr>
            <w:tcW w:w="1643" w:type="dxa"/>
            <w:tcBorders>
              <w:top w:val="single" w:color="auto" w:sz="6" w:space="0"/>
              <w:left w:val="single" w:color="auto" w:sz="6" w:space="0"/>
              <w:bottom w:val="single" w:color="auto" w:sz="6" w:space="0"/>
              <w:right w:val="single" w:color="auto" w:sz="6" w:space="0"/>
            </w:tcBorders>
            <w:vAlign w:val="center"/>
          </w:tcPr>
          <w:p w14:paraId="095873E8">
            <w:pPr>
              <w:pStyle w:val="91"/>
              <w:keepNext w:val="0"/>
              <w:keepLines w:val="0"/>
              <w:suppressLineNumbers w:val="0"/>
              <w:spacing w:before="0" w:beforeAutospacing="0" w:after="0" w:afterAutospacing="0"/>
              <w:ind w:left="0" w:right="0"/>
              <w:rPr>
                <w:rFonts w:hint="default" w:ascii="宋体"/>
                <w:color w:val="auto"/>
              </w:rPr>
            </w:pPr>
            <w:r>
              <w:rPr>
                <w:rFonts w:hint="eastAsia" w:ascii="宋体"/>
                <w:color w:val="auto"/>
              </w:rPr>
              <w:t>闪点</w:t>
            </w:r>
            <w:r>
              <w:rPr>
                <w:rFonts w:hint="default" w:ascii="宋体"/>
                <w:color w:val="auto"/>
              </w:rPr>
              <w:t>(℃)</w:t>
            </w:r>
          </w:p>
        </w:tc>
        <w:tc>
          <w:tcPr>
            <w:tcW w:w="1732" w:type="dxa"/>
            <w:gridSpan w:val="3"/>
            <w:tcBorders>
              <w:top w:val="single" w:color="auto" w:sz="6" w:space="0"/>
              <w:left w:val="single" w:color="auto" w:sz="6" w:space="0"/>
              <w:bottom w:val="single" w:color="auto" w:sz="6" w:space="0"/>
              <w:right w:val="single" w:color="auto" w:sz="6" w:space="0"/>
            </w:tcBorders>
            <w:vAlign w:val="center"/>
          </w:tcPr>
          <w:p w14:paraId="21633CF6">
            <w:pPr>
              <w:pStyle w:val="91"/>
              <w:keepNext w:val="0"/>
              <w:keepLines w:val="0"/>
              <w:suppressLineNumbers w:val="0"/>
              <w:spacing w:before="0" w:beforeAutospacing="0" w:after="0" w:afterAutospacing="0"/>
              <w:ind w:left="0" w:right="0"/>
              <w:rPr>
                <w:rFonts w:hint="default" w:ascii="宋体"/>
                <w:color w:val="auto"/>
              </w:rPr>
            </w:pPr>
            <w:r>
              <w:rPr>
                <w:rFonts w:hint="default" w:ascii="宋体"/>
                <w:color w:val="auto"/>
              </w:rPr>
              <w:t>-2</w:t>
            </w:r>
          </w:p>
        </w:tc>
        <w:tc>
          <w:tcPr>
            <w:tcW w:w="2086" w:type="dxa"/>
            <w:gridSpan w:val="4"/>
            <w:tcBorders>
              <w:top w:val="single" w:color="auto" w:sz="6" w:space="0"/>
              <w:left w:val="single" w:color="auto" w:sz="6" w:space="0"/>
              <w:bottom w:val="single" w:color="auto" w:sz="6" w:space="0"/>
              <w:right w:val="single" w:color="auto" w:sz="6" w:space="0"/>
            </w:tcBorders>
            <w:vAlign w:val="center"/>
          </w:tcPr>
          <w:p w14:paraId="77266D40">
            <w:pPr>
              <w:pStyle w:val="91"/>
              <w:keepNext w:val="0"/>
              <w:keepLines w:val="0"/>
              <w:suppressLineNumbers w:val="0"/>
              <w:spacing w:before="0" w:beforeAutospacing="0" w:after="0" w:afterAutospacing="0"/>
              <w:ind w:left="0" w:right="0"/>
              <w:rPr>
                <w:rFonts w:hint="default" w:ascii="宋体"/>
                <w:color w:val="auto"/>
              </w:rPr>
            </w:pPr>
            <w:r>
              <w:rPr>
                <w:rFonts w:hint="eastAsia" w:ascii="宋体"/>
                <w:color w:val="auto"/>
              </w:rPr>
              <w:t>爆炸上限</w:t>
            </w:r>
            <w:r>
              <w:rPr>
                <w:rFonts w:hint="default" w:ascii="宋体"/>
                <w:color w:val="auto"/>
              </w:rPr>
              <w:t>%（v%）：</w:t>
            </w:r>
          </w:p>
        </w:tc>
        <w:tc>
          <w:tcPr>
            <w:tcW w:w="3242" w:type="dxa"/>
            <w:gridSpan w:val="3"/>
            <w:tcBorders>
              <w:top w:val="single" w:color="auto" w:sz="6" w:space="0"/>
              <w:left w:val="single" w:color="auto" w:sz="6" w:space="0"/>
              <w:bottom w:val="single" w:color="auto" w:sz="6" w:space="0"/>
              <w:right w:val="single" w:color="auto" w:sz="6" w:space="0"/>
            </w:tcBorders>
            <w:vAlign w:val="center"/>
          </w:tcPr>
          <w:p w14:paraId="183A1FD2">
            <w:pPr>
              <w:pStyle w:val="91"/>
              <w:keepNext w:val="0"/>
              <w:keepLines w:val="0"/>
              <w:suppressLineNumbers w:val="0"/>
              <w:spacing w:before="0" w:beforeAutospacing="0" w:after="0" w:afterAutospacing="0"/>
              <w:ind w:left="0" w:right="0"/>
              <w:rPr>
                <w:rFonts w:hint="default" w:ascii="宋体"/>
                <w:color w:val="auto"/>
              </w:rPr>
            </w:pPr>
            <w:r>
              <w:rPr>
                <w:rFonts w:hint="default" w:ascii="宋体"/>
                <w:color w:val="auto"/>
              </w:rPr>
              <w:t>8.7</w:t>
            </w:r>
          </w:p>
        </w:tc>
      </w:tr>
      <w:tr w14:paraId="7D26BE25">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276"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14:paraId="1AC94819">
            <w:pPr>
              <w:pStyle w:val="91"/>
              <w:keepNext w:val="0"/>
              <w:keepLines w:val="0"/>
              <w:suppressLineNumbers w:val="0"/>
              <w:spacing w:before="0" w:beforeAutospacing="0" w:after="0" w:afterAutospacing="0"/>
              <w:ind w:left="0" w:right="0"/>
              <w:rPr>
                <w:rFonts w:hint="default"/>
                <w:color w:val="auto"/>
              </w:rPr>
            </w:pPr>
          </w:p>
        </w:tc>
        <w:tc>
          <w:tcPr>
            <w:tcW w:w="1643" w:type="dxa"/>
            <w:tcBorders>
              <w:top w:val="single" w:color="auto" w:sz="6" w:space="0"/>
              <w:left w:val="single" w:color="auto" w:sz="6" w:space="0"/>
              <w:bottom w:val="single" w:color="auto" w:sz="6" w:space="0"/>
              <w:right w:val="single" w:color="auto" w:sz="6" w:space="0"/>
            </w:tcBorders>
            <w:vAlign w:val="center"/>
          </w:tcPr>
          <w:p w14:paraId="36DFAABE">
            <w:pPr>
              <w:pStyle w:val="91"/>
              <w:keepNext w:val="0"/>
              <w:keepLines w:val="0"/>
              <w:suppressLineNumbers w:val="0"/>
              <w:spacing w:before="0" w:beforeAutospacing="0" w:after="0" w:afterAutospacing="0"/>
              <w:ind w:left="0" w:right="0"/>
              <w:rPr>
                <w:rFonts w:hint="default" w:ascii="宋体"/>
                <w:color w:val="auto"/>
              </w:rPr>
            </w:pPr>
            <w:r>
              <w:rPr>
                <w:rFonts w:hint="eastAsia" w:ascii="宋体"/>
                <w:color w:val="auto"/>
              </w:rPr>
              <w:t>自燃温度</w:t>
            </w:r>
            <w:r>
              <w:rPr>
                <w:rFonts w:hint="default" w:ascii="宋体"/>
                <w:color w:val="auto"/>
              </w:rPr>
              <w:t>(℃)</w:t>
            </w:r>
          </w:p>
        </w:tc>
        <w:tc>
          <w:tcPr>
            <w:tcW w:w="1732" w:type="dxa"/>
            <w:gridSpan w:val="3"/>
            <w:tcBorders>
              <w:top w:val="single" w:color="auto" w:sz="6" w:space="0"/>
              <w:left w:val="single" w:color="auto" w:sz="6" w:space="0"/>
              <w:bottom w:val="single" w:color="auto" w:sz="6" w:space="0"/>
              <w:right w:val="single" w:color="auto" w:sz="6" w:space="0"/>
            </w:tcBorders>
            <w:vAlign w:val="center"/>
          </w:tcPr>
          <w:p w14:paraId="3DA615B0">
            <w:pPr>
              <w:pStyle w:val="91"/>
              <w:keepNext w:val="0"/>
              <w:keepLines w:val="0"/>
              <w:suppressLineNumbers w:val="0"/>
              <w:spacing w:before="0" w:beforeAutospacing="0" w:after="0" w:afterAutospacing="0"/>
              <w:ind w:left="0" w:right="0"/>
              <w:rPr>
                <w:rFonts w:hint="default" w:ascii="宋体"/>
                <w:color w:val="auto"/>
              </w:rPr>
            </w:pPr>
            <w:r>
              <w:rPr>
                <w:rFonts w:hint="default" w:ascii="宋体"/>
                <w:color w:val="auto"/>
              </w:rPr>
              <w:t>350</w:t>
            </w:r>
          </w:p>
        </w:tc>
        <w:tc>
          <w:tcPr>
            <w:tcW w:w="2086" w:type="dxa"/>
            <w:gridSpan w:val="4"/>
            <w:tcBorders>
              <w:top w:val="single" w:color="auto" w:sz="6" w:space="0"/>
              <w:left w:val="single" w:color="auto" w:sz="6" w:space="0"/>
              <w:bottom w:val="single" w:color="auto" w:sz="6" w:space="0"/>
              <w:right w:val="single" w:color="auto" w:sz="6" w:space="0"/>
            </w:tcBorders>
            <w:vAlign w:val="center"/>
          </w:tcPr>
          <w:p w14:paraId="279AD289">
            <w:pPr>
              <w:pStyle w:val="91"/>
              <w:keepNext w:val="0"/>
              <w:keepLines w:val="0"/>
              <w:suppressLineNumbers w:val="0"/>
              <w:spacing w:before="0" w:beforeAutospacing="0" w:after="0" w:afterAutospacing="0"/>
              <w:ind w:left="0" w:right="0"/>
              <w:rPr>
                <w:rFonts w:hint="default" w:ascii="宋体"/>
                <w:color w:val="auto"/>
              </w:rPr>
            </w:pPr>
            <w:r>
              <w:rPr>
                <w:rFonts w:hint="eastAsia" w:ascii="宋体"/>
                <w:color w:val="auto"/>
              </w:rPr>
              <w:t>爆炸下限</w:t>
            </w:r>
            <w:r>
              <w:rPr>
                <w:rFonts w:hint="default" w:ascii="宋体"/>
                <w:color w:val="auto"/>
              </w:rPr>
              <w:t>%（v%）：</w:t>
            </w:r>
          </w:p>
        </w:tc>
        <w:tc>
          <w:tcPr>
            <w:tcW w:w="3242" w:type="dxa"/>
            <w:gridSpan w:val="3"/>
            <w:tcBorders>
              <w:top w:val="single" w:color="auto" w:sz="6" w:space="0"/>
              <w:left w:val="single" w:color="auto" w:sz="6" w:space="0"/>
              <w:bottom w:val="single" w:color="auto" w:sz="6" w:space="0"/>
              <w:right w:val="single" w:color="auto" w:sz="6" w:space="0"/>
            </w:tcBorders>
            <w:vAlign w:val="center"/>
          </w:tcPr>
          <w:p w14:paraId="798BA430">
            <w:pPr>
              <w:pStyle w:val="91"/>
              <w:keepNext w:val="0"/>
              <w:keepLines w:val="0"/>
              <w:suppressLineNumbers w:val="0"/>
              <w:spacing w:before="0" w:beforeAutospacing="0" w:after="0" w:afterAutospacing="0"/>
              <w:ind w:left="0" w:right="0"/>
              <w:rPr>
                <w:rFonts w:hint="default" w:ascii="宋体"/>
                <w:color w:val="auto"/>
              </w:rPr>
            </w:pPr>
            <w:r>
              <w:rPr>
                <w:rFonts w:hint="default" w:ascii="宋体"/>
                <w:color w:val="auto"/>
              </w:rPr>
              <w:t>1.1</w:t>
            </w:r>
          </w:p>
        </w:tc>
      </w:tr>
      <w:tr w14:paraId="2E10F9CE">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276"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14:paraId="52598342">
            <w:pPr>
              <w:pStyle w:val="91"/>
              <w:keepNext w:val="0"/>
              <w:keepLines w:val="0"/>
              <w:suppressLineNumbers w:val="0"/>
              <w:spacing w:before="0" w:beforeAutospacing="0" w:after="0" w:afterAutospacing="0"/>
              <w:ind w:left="0" w:right="0"/>
              <w:rPr>
                <w:rFonts w:hint="default"/>
                <w:color w:val="auto"/>
              </w:rPr>
            </w:pPr>
          </w:p>
        </w:tc>
        <w:tc>
          <w:tcPr>
            <w:tcW w:w="1643" w:type="dxa"/>
            <w:tcBorders>
              <w:top w:val="single" w:color="auto" w:sz="6" w:space="0"/>
              <w:left w:val="single" w:color="auto" w:sz="6" w:space="0"/>
              <w:bottom w:val="single" w:color="auto" w:sz="6" w:space="0"/>
              <w:right w:val="single" w:color="auto" w:sz="6" w:space="0"/>
            </w:tcBorders>
            <w:vAlign w:val="center"/>
          </w:tcPr>
          <w:p w14:paraId="4F0D5185">
            <w:pPr>
              <w:pStyle w:val="91"/>
              <w:keepNext w:val="0"/>
              <w:keepLines w:val="0"/>
              <w:suppressLineNumbers w:val="0"/>
              <w:spacing w:before="0" w:beforeAutospacing="0" w:after="0" w:afterAutospacing="0"/>
              <w:ind w:left="0" w:right="0"/>
              <w:rPr>
                <w:rFonts w:hint="default" w:ascii="宋体"/>
                <w:color w:val="auto"/>
              </w:rPr>
            </w:pPr>
            <w:r>
              <w:rPr>
                <w:rFonts w:hint="eastAsia" w:ascii="宋体"/>
                <w:color w:val="auto"/>
              </w:rPr>
              <w:t>建规火险分级</w:t>
            </w:r>
          </w:p>
        </w:tc>
        <w:tc>
          <w:tcPr>
            <w:tcW w:w="1732" w:type="dxa"/>
            <w:gridSpan w:val="3"/>
            <w:tcBorders>
              <w:top w:val="single" w:color="auto" w:sz="6" w:space="0"/>
              <w:left w:val="single" w:color="auto" w:sz="6" w:space="0"/>
              <w:bottom w:val="single" w:color="auto" w:sz="6" w:space="0"/>
              <w:right w:val="single" w:color="auto" w:sz="6" w:space="0"/>
            </w:tcBorders>
            <w:vAlign w:val="center"/>
          </w:tcPr>
          <w:p w14:paraId="4CFD2D4A">
            <w:pPr>
              <w:pStyle w:val="91"/>
              <w:keepNext w:val="0"/>
              <w:keepLines w:val="0"/>
              <w:suppressLineNumbers w:val="0"/>
              <w:spacing w:before="0" w:beforeAutospacing="0" w:after="0" w:afterAutospacing="0"/>
              <w:ind w:left="0" w:right="0"/>
              <w:rPr>
                <w:rFonts w:hint="default" w:ascii="宋体"/>
                <w:color w:val="auto"/>
              </w:rPr>
            </w:pPr>
            <w:r>
              <w:rPr>
                <w:rFonts w:hint="eastAsia" w:ascii="宋体"/>
                <w:color w:val="auto"/>
              </w:rPr>
              <w:t>甲</w:t>
            </w:r>
          </w:p>
        </w:tc>
        <w:tc>
          <w:tcPr>
            <w:tcW w:w="1043" w:type="dxa"/>
            <w:gridSpan w:val="2"/>
            <w:tcBorders>
              <w:top w:val="single" w:color="auto" w:sz="6" w:space="0"/>
              <w:left w:val="single" w:color="auto" w:sz="6" w:space="0"/>
              <w:bottom w:val="single" w:color="auto" w:sz="6" w:space="0"/>
              <w:right w:val="single" w:color="auto" w:sz="6" w:space="0"/>
            </w:tcBorders>
            <w:vAlign w:val="center"/>
          </w:tcPr>
          <w:p w14:paraId="27BF3EC9">
            <w:pPr>
              <w:pStyle w:val="91"/>
              <w:keepNext w:val="0"/>
              <w:keepLines w:val="0"/>
              <w:suppressLineNumbers w:val="0"/>
              <w:spacing w:before="0" w:beforeAutospacing="0" w:after="0" w:afterAutospacing="0"/>
              <w:ind w:left="0" w:right="0"/>
              <w:rPr>
                <w:rFonts w:hint="default" w:ascii="宋体"/>
                <w:color w:val="auto"/>
              </w:rPr>
            </w:pPr>
            <w:r>
              <w:rPr>
                <w:rFonts w:hint="eastAsia" w:ascii="宋体"/>
                <w:color w:val="auto"/>
              </w:rPr>
              <w:t>稳定性</w:t>
            </w:r>
          </w:p>
        </w:tc>
        <w:tc>
          <w:tcPr>
            <w:tcW w:w="1043" w:type="dxa"/>
            <w:gridSpan w:val="2"/>
            <w:tcBorders>
              <w:top w:val="single" w:color="auto" w:sz="6" w:space="0"/>
              <w:left w:val="single" w:color="auto" w:sz="6" w:space="0"/>
              <w:bottom w:val="single" w:color="auto" w:sz="6" w:space="0"/>
              <w:right w:val="single" w:color="auto" w:sz="6" w:space="0"/>
            </w:tcBorders>
            <w:vAlign w:val="center"/>
          </w:tcPr>
          <w:p w14:paraId="6ED862C2">
            <w:pPr>
              <w:pStyle w:val="91"/>
              <w:keepNext w:val="0"/>
              <w:keepLines w:val="0"/>
              <w:suppressLineNumbers w:val="0"/>
              <w:spacing w:before="0" w:beforeAutospacing="0" w:after="0" w:afterAutospacing="0"/>
              <w:ind w:left="0" w:right="0"/>
              <w:rPr>
                <w:rFonts w:hint="default" w:ascii="宋体"/>
                <w:color w:val="auto"/>
              </w:rPr>
            </w:pPr>
            <w:r>
              <w:rPr>
                <w:rFonts w:hint="eastAsia" w:ascii="宋体"/>
                <w:color w:val="auto"/>
              </w:rPr>
              <w:t>稳定</w:t>
            </w:r>
          </w:p>
        </w:tc>
        <w:tc>
          <w:tcPr>
            <w:tcW w:w="1621" w:type="dxa"/>
            <w:gridSpan w:val="2"/>
            <w:tcBorders>
              <w:top w:val="single" w:color="auto" w:sz="6" w:space="0"/>
              <w:left w:val="single" w:color="auto" w:sz="6" w:space="0"/>
              <w:bottom w:val="single" w:color="auto" w:sz="6" w:space="0"/>
              <w:right w:val="single" w:color="auto" w:sz="6" w:space="0"/>
            </w:tcBorders>
            <w:vAlign w:val="center"/>
          </w:tcPr>
          <w:p w14:paraId="7E51A016">
            <w:pPr>
              <w:pStyle w:val="91"/>
              <w:keepNext w:val="0"/>
              <w:keepLines w:val="0"/>
              <w:suppressLineNumbers w:val="0"/>
              <w:spacing w:before="0" w:beforeAutospacing="0" w:after="0" w:afterAutospacing="0"/>
              <w:ind w:left="0" w:right="0"/>
              <w:rPr>
                <w:rFonts w:hint="default" w:ascii="宋体"/>
                <w:color w:val="auto"/>
              </w:rPr>
            </w:pPr>
            <w:r>
              <w:rPr>
                <w:rFonts w:hint="eastAsia" w:ascii="宋体"/>
                <w:color w:val="auto"/>
              </w:rPr>
              <w:t>聚合危害</w:t>
            </w:r>
          </w:p>
        </w:tc>
        <w:tc>
          <w:tcPr>
            <w:tcW w:w="1621" w:type="dxa"/>
            <w:tcBorders>
              <w:top w:val="single" w:color="auto" w:sz="6" w:space="0"/>
              <w:left w:val="single" w:color="auto" w:sz="6" w:space="0"/>
              <w:bottom w:val="single" w:color="auto" w:sz="6" w:space="0"/>
              <w:right w:val="single" w:color="auto" w:sz="6" w:space="0"/>
            </w:tcBorders>
            <w:vAlign w:val="center"/>
          </w:tcPr>
          <w:p w14:paraId="1C7776B0">
            <w:pPr>
              <w:pStyle w:val="91"/>
              <w:keepNext w:val="0"/>
              <w:keepLines w:val="0"/>
              <w:suppressLineNumbers w:val="0"/>
              <w:spacing w:before="0" w:beforeAutospacing="0" w:after="0" w:afterAutospacing="0"/>
              <w:ind w:left="0" w:right="0"/>
              <w:rPr>
                <w:rFonts w:hint="default" w:ascii="宋体"/>
                <w:color w:val="auto"/>
              </w:rPr>
            </w:pPr>
            <w:r>
              <w:rPr>
                <w:rFonts w:hint="eastAsia" w:ascii="宋体"/>
                <w:color w:val="auto"/>
              </w:rPr>
              <w:t>不聚合</w:t>
            </w:r>
          </w:p>
        </w:tc>
      </w:tr>
      <w:tr w14:paraId="45E94590">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276"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14:paraId="5C4C32B2">
            <w:pPr>
              <w:pStyle w:val="91"/>
              <w:keepNext w:val="0"/>
              <w:keepLines w:val="0"/>
              <w:suppressLineNumbers w:val="0"/>
              <w:spacing w:before="0" w:beforeAutospacing="0" w:after="0" w:afterAutospacing="0"/>
              <w:ind w:left="0" w:right="0"/>
              <w:rPr>
                <w:rFonts w:hint="default"/>
                <w:color w:val="auto"/>
              </w:rPr>
            </w:pPr>
          </w:p>
        </w:tc>
        <w:tc>
          <w:tcPr>
            <w:tcW w:w="1643" w:type="dxa"/>
            <w:tcBorders>
              <w:top w:val="single" w:color="auto" w:sz="6" w:space="0"/>
              <w:left w:val="single" w:color="auto" w:sz="6" w:space="0"/>
              <w:bottom w:val="single" w:color="auto" w:sz="6" w:space="0"/>
              <w:right w:val="single" w:color="auto" w:sz="6" w:space="0"/>
            </w:tcBorders>
            <w:vAlign w:val="center"/>
          </w:tcPr>
          <w:p w14:paraId="7241AEDA">
            <w:pPr>
              <w:pStyle w:val="91"/>
              <w:keepNext w:val="0"/>
              <w:keepLines w:val="0"/>
              <w:suppressLineNumbers w:val="0"/>
              <w:spacing w:before="0" w:beforeAutospacing="0" w:after="0" w:afterAutospacing="0"/>
              <w:ind w:left="0" w:right="0"/>
              <w:rPr>
                <w:rFonts w:hint="default" w:ascii="宋体"/>
                <w:color w:val="auto"/>
              </w:rPr>
            </w:pPr>
            <w:r>
              <w:rPr>
                <w:rFonts w:hint="eastAsia" w:ascii="宋体"/>
                <w:color w:val="auto"/>
              </w:rPr>
              <w:t>禁忌物</w:t>
            </w:r>
          </w:p>
        </w:tc>
        <w:tc>
          <w:tcPr>
            <w:tcW w:w="7060" w:type="dxa"/>
            <w:gridSpan w:val="10"/>
            <w:tcBorders>
              <w:top w:val="single" w:color="auto" w:sz="6" w:space="0"/>
              <w:left w:val="single" w:color="auto" w:sz="6" w:space="0"/>
              <w:bottom w:val="single" w:color="auto" w:sz="6" w:space="0"/>
              <w:right w:val="single" w:color="auto" w:sz="6" w:space="0"/>
            </w:tcBorders>
            <w:vAlign w:val="center"/>
          </w:tcPr>
          <w:p w14:paraId="5CDDD961">
            <w:pPr>
              <w:pStyle w:val="91"/>
              <w:keepNext w:val="0"/>
              <w:keepLines w:val="0"/>
              <w:suppressLineNumbers w:val="0"/>
              <w:spacing w:before="0" w:beforeAutospacing="0" w:after="0" w:afterAutospacing="0"/>
              <w:ind w:left="0" w:right="0"/>
              <w:rPr>
                <w:rFonts w:hint="default" w:ascii="宋体"/>
                <w:color w:val="auto"/>
              </w:rPr>
            </w:pPr>
            <w:r>
              <w:rPr>
                <w:rFonts w:hint="default" w:ascii="宋体"/>
                <w:color w:val="auto"/>
              </w:rPr>
              <w:t>强氧化剂。</w:t>
            </w:r>
          </w:p>
        </w:tc>
      </w:tr>
      <w:tr w14:paraId="1EE29173">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967"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14:paraId="211E91A9">
            <w:pPr>
              <w:pStyle w:val="91"/>
              <w:keepNext w:val="0"/>
              <w:keepLines w:val="0"/>
              <w:suppressLineNumbers w:val="0"/>
              <w:spacing w:before="0" w:beforeAutospacing="0" w:after="0" w:afterAutospacing="0"/>
              <w:ind w:left="0" w:right="0"/>
              <w:rPr>
                <w:rFonts w:hint="default"/>
                <w:color w:val="auto"/>
              </w:rPr>
            </w:pPr>
          </w:p>
        </w:tc>
        <w:tc>
          <w:tcPr>
            <w:tcW w:w="1643" w:type="dxa"/>
            <w:tcBorders>
              <w:top w:val="single" w:color="auto" w:sz="6" w:space="0"/>
              <w:left w:val="single" w:color="auto" w:sz="6" w:space="0"/>
              <w:bottom w:val="single" w:color="auto" w:sz="6" w:space="0"/>
              <w:right w:val="single" w:color="auto" w:sz="6" w:space="0"/>
            </w:tcBorders>
            <w:vAlign w:val="center"/>
          </w:tcPr>
          <w:p w14:paraId="2CC6CCE6">
            <w:pPr>
              <w:pStyle w:val="91"/>
              <w:keepNext w:val="0"/>
              <w:keepLines w:val="0"/>
              <w:suppressLineNumbers w:val="0"/>
              <w:spacing w:before="0" w:beforeAutospacing="0" w:after="0" w:afterAutospacing="0"/>
              <w:ind w:left="0" w:right="0"/>
              <w:rPr>
                <w:rFonts w:hint="default"/>
                <w:color w:val="auto"/>
              </w:rPr>
            </w:pPr>
            <w:r>
              <w:rPr>
                <w:rFonts w:hint="default"/>
                <w:color w:val="auto"/>
              </w:rPr>
              <w:t>危险特性</w:t>
            </w:r>
          </w:p>
        </w:tc>
        <w:tc>
          <w:tcPr>
            <w:tcW w:w="7060" w:type="dxa"/>
            <w:gridSpan w:val="10"/>
            <w:tcBorders>
              <w:top w:val="single" w:color="auto" w:sz="6" w:space="0"/>
              <w:left w:val="single" w:color="auto" w:sz="6" w:space="0"/>
              <w:bottom w:val="single" w:color="auto" w:sz="6" w:space="0"/>
              <w:right w:val="single" w:color="auto" w:sz="6" w:space="0"/>
            </w:tcBorders>
            <w:vAlign w:val="center"/>
          </w:tcPr>
          <w:p w14:paraId="61AF587D">
            <w:pPr>
              <w:pStyle w:val="91"/>
              <w:keepNext w:val="0"/>
              <w:keepLines w:val="0"/>
              <w:suppressLineNumbers w:val="0"/>
              <w:spacing w:before="0" w:beforeAutospacing="0" w:after="0" w:afterAutospacing="0"/>
              <w:ind w:left="0" w:right="0"/>
              <w:rPr>
                <w:rFonts w:hint="default"/>
                <w:color w:val="auto"/>
              </w:rPr>
            </w:pPr>
            <w:r>
              <w:rPr>
                <w:rFonts w:hint="default"/>
                <w:color w:val="auto"/>
              </w:rPr>
              <w:t>其蒸气与空气可形成爆炸性混合物。遇明火、高热能引起燃烧爆炸。与氧化剂能发生强烈反应。其蒸气比空气重，能在较低处扩散到相当远的地方，遇明火会引着回燃。</w:t>
            </w:r>
          </w:p>
        </w:tc>
      </w:tr>
      <w:tr w14:paraId="14CD2C5A">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422"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14:paraId="74F29AAD">
            <w:pPr>
              <w:pStyle w:val="91"/>
              <w:keepNext w:val="0"/>
              <w:keepLines w:val="0"/>
              <w:suppressLineNumbers w:val="0"/>
              <w:spacing w:before="0" w:beforeAutospacing="0" w:after="0" w:afterAutospacing="0"/>
              <w:ind w:left="0" w:right="0"/>
              <w:rPr>
                <w:rFonts w:hint="default"/>
                <w:color w:val="auto"/>
              </w:rPr>
            </w:pPr>
          </w:p>
        </w:tc>
        <w:tc>
          <w:tcPr>
            <w:tcW w:w="1643" w:type="dxa"/>
            <w:tcBorders>
              <w:top w:val="single" w:color="auto" w:sz="6" w:space="0"/>
              <w:left w:val="single" w:color="auto" w:sz="6" w:space="0"/>
              <w:bottom w:val="single" w:color="auto" w:sz="6" w:space="0"/>
              <w:right w:val="single" w:color="auto" w:sz="6" w:space="0"/>
            </w:tcBorders>
            <w:vAlign w:val="center"/>
          </w:tcPr>
          <w:p w14:paraId="13658948">
            <w:pPr>
              <w:pStyle w:val="91"/>
              <w:keepNext w:val="0"/>
              <w:keepLines w:val="0"/>
              <w:suppressLineNumbers w:val="0"/>
              <w:spacing w:before="0" w:beforeAutospacing="0" w:after="0" w:afterAutospacing="0"/>
              <w:ind w:left="0" w:right="0"/>
              <w:rPr>
                <w:rFonts w:hint="default"/>
                <w:color w:val="auto"/>
              </w:rPr>
            </w:pPr>
            <w:r>
              <w:rPr>
                <w:rFonts w:hint="default"/>
                <w:color w:val="auto"/>
              </w:rPr>
              <w:t>泄漏处理</w:t>
            </w:r>
          </w:p>
        </w:tc>
        <w:tc>
          <w:tcPr>
            <w:tcW w:w="7060" w:type="dxa"/>
            <w:gridSpan w:val="10"/>
            <w:tcBorders>
              <w:top w:val="single" w:color="auto" w:sz="6" w:space="0"/>
              <w:left w:val="single" w:color="auto" w:sz="6" w:space="0"/>
              <w:bottom w:val="single" w:color="auto" w:sz="6" w:space="0"/>
              <w:right w:val="single" w:color="auto" w:sz="6" w:space="0"/>
            </w:tcBorders>
            <w:vAlign w:val="center"/>
          </w:tcPr>
          <w:p w14:paraId="5AF8C5E8">
            <w:pPr>
              <w:pStyle w:val="91"/>
              <w:keepNext w:val="0"/>
              <w:keepLines w:val="0"/>
              <w:suppressLineNumbers w:val="0"/>
              <w:spacing w:before="0" w:beforeAutospacing="0" w:after="0" w:afterAutospacing="0"/>
              <w:ind w:left="0" w:right="0"/>
              <w:rPr>
                <w:rFonts w:hint="default"/>
                <w:color w:val="auto"/>
              </w:rPr>
            </w:pPr>
            <w:r>
              <w:rPr>
                <w:rFonts w:hint="default"/>
                <w:b/>
                <w:color w:val="auto"/>
              </w:rPr>
              <w:t>泄漏处理</w:t>
            </w:r>
            <w:r>
              <w:rPr>
                <w:rFonts w:hint="default"/>
                <w:color w:val="auto"/>
              </w:rPr>
              <w:t>：迅速撤离泄漏污染区人员至安全区，并进行隔离，严格限制出入。切断火源。建议应急处理人员戴自给正压式呼吸器，穿消防防护服。尽可能切断泄漏源。防止进入下水道、排洪沟等限制性空间。小量泄漏：用砂土、蛭石或</w:t>
            </w:r>
            <w:r>
              <w:rPr>
                <w:rFonts w:hint="eastAsia"/>
                <w:color w:val="auto"/>
                <w:lang w:eastAsia="zh-CN"/>
              </w:rPr>
              <w:t>其他</w:t>
            </w:r>
            <w:r>
              <w:rPr>
                <w:rFonts w:hint="default"/>
                <w:color w:val="auto"/>
              </w:rPr>
              <w:t>惰性材料吸收。大量泄漏：构筑围堤或挖坑收容；用泡沫覆盖，降低蒸气灾害。用防爆泵转移至槽车或专用收集器内，回收或运至废物处理场所处置。</w:t>
            </w:r>
          </w:p>
        </w:tc>
      </w:tr>
      <w:tr w14:paraId="0FEE1F6F">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28" w:type="dxa"/>
            <w:bottom w:w="0" w:type="dxa"/>
            <w:right w:w="28" w:type="dxa"/>
          </w:tblCellMar>
        </w:tblPrEx>
        <w:trPr>
          <w:cantSplit/>
          <w:trHeight w:val="421"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14:paraId="1E2B2EB9">
            <w:pPr>
              <w:pStyle w:val="91"/>
              <w:keepNext w:val="0"/>
              <w:keepLines w:val="0"/>
              <w:suppressLineNumbers w:val="0"/>
              <w:spacing w:before="0" w:beforeAutospacing="0" w:after="0" w:afterAutospacing="0"/>
              <w:ind w:left="0" w:right="0"/>
              <w:rPr>
                <w:rFonts w:hint="default"/>
                <w:color w:val="auto"/>
              </w:rPr>
            </w:pPr>
          </w:p>
        </w:tc>
        <w:tc>
          <w:tcPr>
            <w:tcW w:w="1643" w:type="dxa"/>
            <w:tcBorders>
              <w:top w:val="single" w:color="auto" w:sz="6" w:space="0"/>
              <w:left w:val="single" w:color="auto" w:sz="6" w:space="0"/>
              <w:bottom w:val="single" w:color="auto" w:sz="6" w:space="0"/>
              <w:right w:val="single" w:color="auto" w:sz="6" w:space="0"/>
            </w:tcBorders>
            <w:vAlign w:val="center"/>
          </w:tcPr>
          <w:p w14:paraId="79AC2142">
            <w:pPr>
              <w:pStyle w:val="91"/>
              <w:keepNext w:val="0"/>
              <w:keepLines w:val="0"/>
              <w:suppressLineNumbers w:val="0"/>
              <w:spacing w:before="0" w:beforeAutospacing="0" w:after="0" w:afterAutospacing="0"/>
              <w:ind w:left="0" w:right="0"/>
              <w:rPr>
                <w:rFonts w:hint="default"/>
                <w:color w:val="auto"/>
              </w:rPr>
            </w:pPr>
            <w:r>
              <w:rPr>
                <w:rFonts w:hint="default"/>
                <w:color w:val="auto"/>
              </w:rPr>
              <w:t>灭火方法</w:t>
            </w:r>
          </w:p>
        </w:tc>
        <w:tc>
          <w:tcPr>
            <w:tcW w:w="7060" w:type="dxa"/>
            <w:gridSpan w:val="10"/>
            <w:tcBorders>
              <w:top w:val="single" w:color="auto" w:sz="6" w:space="0"/>
              <w:left w:val="single" w:color="auto" w:sz="6" w:space="0"/>
              <w:bottom w:val="single" w:color="auto" w:sz="6" w:space="0"/>
              <w:right w:val="single" w:color="auto" w:sz="6" w:space="0"/>
            </w:tcBorders>
            <w:vAlign w:val="center"/>
          </w:tcPr>
          <w:p w14:paraId="5B84C7B4">
            <w:pPr>
              <w:pStyle w:val="91"/>
              <w:keepNext w:val="0"/>
              <w:keepLines w:val="0"/>
              <w:suppressLineNumbers w:val="0"/>
              <w:spacing w:before="0" w:beforeAutospacing="0" w:after="0" w:afterAutospacing="0"/>
              <w:ind w:left="0" w:right="0"/>
              <w:rPr>
                <w:rFonts w:hint="default"/>
                <w:color w:val="auto"/>
              </w:rPr>
            </w:pPr>
            <w:r>
              <w:rPr>
                <w:rFonts w:hint="default"/>
                <w:color w:val="auto"/>
              </w:rPr>
              <w:t>喷水冷却容器，可能的话将容器从火场移至空旷处。处在火场中的容器若已变色或从安全泄压装置中产生声音，必须马上撤离。灭火剂：泡沫、干粉、二氧化碳、砂土。用水灭火无效。</w:t>
            </w:r>
          </w:p>
        </w:tc>
      </w:tr>
    </w:tbl>
    <w:p w14:paraId="553BFCD2">
      <w:pPr>
        <w:pStyle w:val="117"/>
        <w:rPr>
          <w:color w:val="auto"/>
        </w:rPr>
      </w:pPr>
    </w:p>
    <w:p w14:paraId="3B76B284">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5</w:t>
      </w:r>
      <w:r>
        <w:rPr>
          <w:color w:val="auto"/>
        </w:rPr>
        <w:fldChar w:fldCharType="end"/>
      </w:r>
      <w:r>
        <w:rPr>
          <w:color w:val="auto"/>
        </w:rPr>
        <w:t>船舶燃料油（重油）</w:t>
      </w:r>
      <w:r>
        <w:rPr>
          <w:rFonts w:hint="eastAsia"/>
          <w:color w:val="auto"/>
        </w:rPr>
        <w:t>、渣油</w:t>
      </w:r>
      <w:r>
        <w:rPr>
          <w:color w:val="auto"/>
        </w:rPr>
        <w:t>安全技术说明书</w:t>
      </w:r>
    </w:p>
    <w:tbl>
      <w:tblPr>
        <w:tblStyle w:val="43"/>
        <w:tblW w:w="5053"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10"/>
        <w:gridCol w:w="2224"/>
        <w:gridCol w:w="595"/>
        <w:gridCol w:w="2082"/>
        <w:gridCol w:w="2001"/>
        <w:gridCol w:w="1972"/>
      </w:tblGrid>
      <w:tr w14:paraId="4D844C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9" w:hRule="atLeast"/>
          <w:jc w:val="center"/>
        </w:trPr>
        <w:tc>
          <w:tcPr>
            <w:tcW w:w="299" w:type="pct"/>
            <w:vMerge w:val="restart"/>
            <w:vAlign w:val="center"/>
          </w:tcPr>
          <w:p w14:paraId="53AB4319">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标识</w:t>
            </w:r>
          </w:p>
        </w:tc>
        <w:tc>
          <w:tcPr>
            <w:tcW w:w="1556" w:type="pct"/>
            <w:gridSpan w:val="2"/>
            <w:vAlign w:val="center"/>
          </w:tcPr>
          <w:p w14:paraId="6C3A0B6B">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中文名：焦化重油</w:t>
            </w:r>
          </w:p>
        </w:tc>
        <w:tc>
          <w:tcPr>
            <w:tcW w:w="974" w:type="pct"/>
            <w:vAlign w:val="center"/>
          </w:tcPr>
          <w:p w14:paraId="09D4F2F2">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英文名：DelayedcokeHeavyoil</w:t>
            </w:r>
          </w:p>
        </w:tc>
        <w:tc>
          <w:tcPr>
            <w:tcW w:w="1093" w:type="pct"/>
            <w:vAlign w:val="center"/>
          </w:tcPr>
          <w:p w14:paraId="4978F71E">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分子式：/</w:t>
            </w:r>
          </w:p>
        </w:tc>
        <w:tc>
          <w:tcPr>
            <w:tcW w:w="1076" w:type="pct"/>
            <w:vAlign w:val="center"/>
          </w:tcPr>
          <w:p w14:paraId="40AD257F">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分子量：/</w:t>
            </w:r>
          </w:p>
        </w:tc>
      </w:tr>
      <w:tr w14:paraId="6C2A6A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6" w:hRule="atLeast"/>
          <w:jc w:val="center"/>
        </w:trPr>
        <w:tc>
          <w:tcPr>
            <w:tcW w:w="299" w:type="pct"/>
            <w:vMerge w:val="continue"/>
            <w:vAlign w:val="center"/>
          </w:tcPr>
          <w:p w14:paraId="677E9D5A">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1556" w:type="pct"/>
            <w:gridSpan w:val="2"/>
            <w:vAlign w:val="center"/>
          </w:tcPr>
          <w:p w14:paraId="7F678658">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UN编号：/</w:t>
            </w:r>
          </w:p>
        </w:tc>
        <w:tc>
          <w:tcPr>
            <w:tcW w:w="974" w:type="pct"/>
            <w:vAlign w:val="center"/>
          </w:tcPr>
          <w:p w14:paraId="4199D973">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CAS号：/</w:t>
            </w:r>
          </w:p>
        </w:tc>
        <w:tc>
          <w:tcPr>
            <w:tcW w:w="2169" w:type="pct"/>
            <w:gridSpan w:val="2"/>
            <w:vAlign w:val="center"/>
          </w:tcPr>
          <w:p w14:paraId="4637F7CE">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危险特性：第3类：易燃液体</w:t>
            </w:r>
          </w:p>
        </w:tc>
      </w:tr>
      <w:tr w14:paraId="39649A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jc w:val="center"/>
        </w:trPr>
        <w:tc>
          <w:tcPr>
            <w:tcW w:w="299" w:type="pct"/>
            <w:vMerge w:val="continue"/>
            <w:vAlign w:val="center"/>
          </w:tcPr>
          <w:p w14:paraId="323D35B0">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1556" w:type="pct"/>
            <w:gridSpan w:val="2"/>
            <w:vAlign w:val="center"/>
          </w:tcPr>
          <w:p w14:paraId="71416472">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危险化学品目录编号：/</w:t>
            </w:r>
          </w:p>
        </w:tc>
        <w:tc>
          <w:tcPr>
            <w:tcW w:w="3143" w:type="pct"/>
            <w:gridSpan w:val="3"/>
            <w:vAlign w:val="center"/>
          </w:tcPr>
          <w:p w14:paraId="74B75C80">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危险性类别：易燃液体，类别3。</w:t>
            </w:r>
          </w:p>
        </w:tc>
      </w:tr>
      <w:tr w14:paraId="098157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299" w:type="pct"/>
            <w:vMerge w:val="restart"/>
            <w:vAlign w:val="center"/>
          </w:tcPr>
          <w:p w14:paraId="638FBD23">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理化</w:t>
            </w:r>
          </w:p>
          <w:p w14:paraId="1C57C813">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性质</w:t>
            </w:r>
          </w:p>
        </w:tc>
        <w:tc>
          <w:tcPr>
            <w:tcW w:w="4700" w:type="pct"/>
            <w:gridSpan w:val="5"/>
            <w:vAlign w:val="center"/>
          </w:tcPr>
          <w:p w14:paraId="6EA34B01">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棕色油状液体。</w:t>
            </w:r>
          </w:p>
        </w:tc>
      </w:tr>
      <w:tr w14:paraId="487B9C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299" w:type="pct"/>
            <w:vMerge w:val="continue"/>
            <w:vAlign w:val="center"/>
          </w:tcPr>
          <w:p w14:paraId="42143504">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1212" w:type="pct"/>
            <w:vAlign w:val="center"/>
          </w:tcPr>
          <w:p w14:paraId="1C42A6BC">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熔点/℃：无资料</w:t>
            </w:r>
          </w:p>
        </w:tc>
        <w:tc>
          <w:tcPr>
            <w:tcW w:w="3488" w:type="pct"/>
            <w:gridSpan w:val="4"/>
            <w:vAlign w:val="center"/>
          </w:tcPr>
          <w:p w14:paraId="44032A53">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溶解性：/</w:t>
            </w:r>
          </w:p>
        </w:tc>
      </w:tr>
      <w:tr w14:paraId="0A1EB7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8" w:hRule="atLeast"/>
          <w:jc w:val="center"/>
        </w:trPr>
        <w:tc>
          <w:tcPr>
            <w:tcW w:w="299" w:type="pct"/>
            <w:vMerge w:val="continue"/>
            <w:vAlign w:val="center"/>
          </w:tcPr>
          <w:p w14:paraId="4931A45D">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530" w:type="pct"/>
            <w:gridSpan w:val="3"/>
            <w:vAlign w:val="center"/>
          </w:tcPr>
          <w:p w14:paraId="107B6725">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沸点/℃：无资料</w:t>
            </w:r>
          </w:p>
        </w:tc>
        <w:tc>
          <w:tcPr>
            <w:tcW w:w="2169" w:type="pct"/>
            <w:gridSpan w:val="2"/>
            <w:vAlign w:val="center"/>
          </w:tcPr>
          <w:p w14:paraId="6930A45F">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相对密度（水=1）：0.96</w:t>
            </w:r>
          </w:p>
        </w:tc>
      </w:tr>
      <w:tr w14:paraId="375C80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8" w:hRule="atLeast"/>
          <w:jc w:val="center"/>
        </w:trPr>
        <w:tc>
          <w:tcPr>
            <w:tcW w:w="299" w:type="pct"/>
            <w:vMerge w:val="continue"/>
            <w:vAlign w:val="center"/>
          </w:tcPr>
          <w:p w14:paraId="5776D97A">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530" w:type="pct"/>
            <w:gridSpan w:val="3"/>
            <w:vAlign w:val="center"/>
          </w:tcPr>
          <w:p w14:paraId="0581F630">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饱和蒸气压/kPa：无资料</w:t>
            </w:r>
          </w:p>
        </w:tc>
        <w:tc>
          <w:tcPr>
            <w:tcW w:w="2169" w:type="pct"/>
            <w:gridSpan w:val="2"/>
            <w:vAlign w:val="center"/>
          </w:tcPr>
          <w:p w14:paraId="65CE533F">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相对蒸汽密度</w:t>
            </w:r>
            <w:r>
              <w:rPr>
                <w:rFonts w:hint="eastAsia"/>
                <w:color w:val="auto"/>
                <w:kern w:val="0"/>
                <w:sz w:val="21"/>
                <w:szCs w:val="21"/>
              </w:rPr>
              <w:t>（</w:t>
            </w:r>
            <w:r>
              <w:rPr>
                <w:rFonts w:hint="default"/>
                <w:color w:val="auto"/>
                <w:kern w:val="0"/>
                <w:sz w:val="21"/>
                <w:szCs w:val="21"/>
              </w:rPr>
              <w:t>空气=1</w:t>
            </w:r>
            <w:r>
              <w:rPr>
                <w:rFonts w:hint="eastAsia"/>
                <w:color w:val="auto"/>
                <w:kern w:val="0"/>
                <w:sz w:val="21"/>
                <w:szCs w:val="21"/>
              </w:rPr>
              <w:t>）</w:t>
            </w:r>
            <w:r>
              <w:rPr>
                <w:rFonts w:hint="default"/>
                <w:color w:val="auto"/>
                <w:kern w:val="0"/>
                <w:sz w:val="21"/>
                <w:szCs w:val="21"/>
              </w:rPr>
              <w:t>：无资料</w:t>
            </w:r>
          </w:p>
        </w:tc>
      </w:tr>
      <w:tr w14:paraId="229A78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299" w:type="pct"/>
            <w:vMerge w:val="continue"/>
            <w:vAlign w:val="center"/>
          </w:tcPr>
          <w:p w14:paraId="72BA04C3">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530" w:type="pct"/>
            <w:gridSpan w:val="3"/>
            <w:vAlign w:val="center"/>
          </w:tcPr>
          <w:p w14:paraId="6555A65F">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临界温度/℃无资料</w:t>
            </w:r>
          </w:p>
        </w:tc>
        <w:tc>
          <w:tcPr>
            <w:tcW w:w="2169" w:type="pct"/>
            <w:gridSpan w:val="2"/>
            <w:vAlign w:val="center"/>
          </w:tcPr>
          <w:p w14:paraId="21DC7C54">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燃烧热（kJ·mol）：无资料</w:t>
            </w:r>
          </w:p>
        </w:tc>
      </w:tr>
      <w:tr w14:paraId="1F1696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299" w:type="pct"/>
            <w:vMerge w:val="continue"/>
            <w:vAlign w:val="center"/>
          </w:tcPr>
          <w:p w14:paraId="1B20268D">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530" w:type="pct"/>
            <w:gridSpan w:val="3"/>
            <w:vAlign w:val="center"/>
          </w:tcPr>
          <w:p w14:paraId="3B73C23E">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临界压力/MPa无资料</w:t>
            </w:r>
          </w:p>
        </w:tc>
        <w:tc>
          <w:tcPr>
            <w:tcW w:w="2169" w:type="pct"/>
            <w:gridSpan w:val="2"/>
            <w:vAlign w:val="center"/>
          </w:tcPr>
          <w:p w14:paraId="62EFA840">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自燃点/℃：无资料</w:t>
            </w:r>
          </w:p>
        </w:tc>
      </w:tr>
      <w:tr w14:paraId="026E5C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299" w:type="pct"/>
            <w:vMerge w:val="restart"/>
            <w:vAlign w:val="center"/>
          </w:tcPr>
          <w:p w14:paraId="40942676">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燃烧爆炸危险性</w:t>
            </w:r>
          </w:p>
        </w:tc>
        <w:tc>
          <w:tcPr>
            <w:tcW w:w="2530" w:type="pct"/>
            <w:gridSpan w:val="3"/>
            <w:vAlign w:val="center"/>
          </w:tcPr>
          <w:p w14:paraId="0E94562F">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燃烧性：易燃</w:t>
            </w:r>
          </w:p>
        </w:tc>
        <w:tc>
          <w:tcPr>
            <w:tcW w:w="2169" w:type="pct"/>
            <w:gridSpan w:val="2"/>
            <w:vAlign w:val="center"/>
          </w:tcPr>
          <w:p w14:paraId="6BBB1054">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燃烧分解产物：一氧化碳、二氧化碳。</w:t>
            </w:r>
          </w:p>
        </w:tc>
      </w:tr>
      <w:tr w14:paraId="134567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299" w:type="pct"/>
            <w:vMerge w:val="continue"/>
            <w:vAlign w:val="center"/>
          </w:tcPr>
          <w:p w14:paraId="5EE923DD">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530" w:type="pct"/>
            <w:gridSpan w:val="3"/>
            <w:vAlign w:val="center"/>
          </w:tcPr>
          <w:p w14:paraId="3111C7A1">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闪点/℃：152</w:t>
            </w:r>
          </w:p>
        </w:tc>
        <w:tc>
          <w:tcPr>
            <w:tcW w:w="2169" w:type="pct"/>
            <w:gridSpan w:val="2"/>
            <w:vAlign w:val="center"/>
          </w:tcPr>
          <w:p w14:paraId="12243D03">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聚合危害：不聚合</w:t>
            </w:r>
          </w:p>
        </w:tc>
      </w:tr>
      <w:tr w14:paraId="5A9AD1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299" w:type="pct"/>
            <w:vMerge w:val="continue"/>
            <w:vAlign w:val="center"/>
          </w:tcPr>
          <w:p w14:paraId="68A215F6">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530" w:type="pct"/>
            <w:gridSpan w:val="3"/>
            <w:vAlign w:val="center"/>
          </w:tcPr>
          <w:p w14:paraId="2D316FBC">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爆炸极限（体积分数）/%：无资料</w:t>
            </w:r>
          </w:p>
        </w:tc>
        <w:tc>
          <w:tcPr>
            <w:tcW w:w="2169" w:type="pct"/>
            <w:gridSpan w:val="2"/>
            <w:vAlign w:val="center"/>
          </w:tcPr>
          <w:p w14:paraId="5C985251">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稳定性：稳定</w:t>
            </w:r>
          </w:p>
        </w:tc>
      </w:tr>
      <w:tr w14:paraId="344C74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299" w:type="pct"/>
            <w:vMerge w:val="continue"/>
            <w:vAlign w:val="center"/>
          </w:tcPr>
          <w:p w14:paraId="0056BC4F">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2530" w:type="pct"/>
            <w:gridSpan w:val="3"/>
            <w:vAlign w:val="center"/>
          </w:tcPr>
          <w:p w14:paraId="1A82CED6">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引燃温度/℃：无资料</w:t>
            </w:r>
          </w:p>
        </w:tc>
        <w:tc>
          <w:tcPr>
            <w:tcW w:w="2169" w:type="pct"/>
            <w:gridSpan w:val="2"/>
            <w:vAlign w:val="center"/>
          </w:tcPr>
          <w:p w14:paraId="27459AB2">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禁忌物：强氧化剂</w:t>
            </w:r>
          </w:p>
        </w:tc>
      </w:tr>
      <w:tr w14:paraId="3A3059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jc w:val="center"/>
        </w:trPr>
        <w:tc>
          <w:tcPr>
            <w:tcW w:w="299" w:type="pct"/>
            <w:vMerge w:val="continue"/>
            <w:vAlign w:val="center"/>
          </w:tcPr>
          <w:p w14:paraId="74160DD3">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4700" w:type="pct"/>
            <w:gridSpan w:val="5"/>
            <w:vAlign w:val="center"/>
          </w:tcPr>
          <w:p w14:paraId="0D1D5AC8">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危险特性：遇明火、高热可燃。与强氧化剂接触产生化学反应。</w:t>
            </w:r>
          </w:p>
        </w:tc>
      </w:tr>
      <w:tr w14:paraId="74BDDE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2" w:hRule="atLeast"/>
          <w:jc w:val="center"/>
        </w:trPr>
        <w:tc>
          <w:tcPr>
            <w:tcW w:w="299" w:type="pct"/>
            <w:vMerge w:val="continue"/>
            <w:vAlign w:val="center"/>
          </w:tcPr>
          <w:p w14:paraId="6BE0184C">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p>
        </w:tc>
        <w:tc>
          <w:tcPr>
            <w:tcW w:w="4700" w:type="pct"/>
            <w:gridSpan w:val="5"/>
            <w:vAlign w:val="center"/>
          </w:tcPr>
          <w:p w14:paraId="0F111692">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default"/>
                <w:color w:val="auto"/>
                <w:kern w:val="0"/>
                <w:sz w:val="21"/>
                <w:szCs w:val="21"/>
              </w:rPr>
              <w:t>灭火注意事项及措施：消防人员必须穿戴全身防火防毒服。灭火剂：干粉、二氧化碳、砂土。</w:t>
            </w:r>
          </w:p>
          <w:p w14:paraId="1D9B955D">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default"/>
                <w:color w:val="auto"/>
                <w:kern w:val="0"/>
                <w:sz w:val="21"/>
                <w:szCs w:val="21"/>
              </w:rPr>
              <w:t>用直流水可引起沸溅。</w:t>
            </w:r>
          </w:p>
        </w:tc>
      </w:tr>
      <w:tr w14:paraId="5ADE70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21" w:hRule="atLeast"/>
          <w:jc w:val="center"/>
        </w:trPr>
        <w:tc>
          <w:tcPr>
            <w:tcW w:w="299" w:type="pct"/>
            <w:vAlign w:val="center"/>
          </w:tcPr>
          <w:p w14:paraId="3315C25C">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毒性</w:t>
            </w:r>
          </w:p>
        </w:tc>
        <w:tc>
          <w:tcPr>
            <w:tcW w:w="4700" w:type="pct"/>
            <w:gridSpan w:val="5"/>
            <w:vAlign w:val="center"/>
          </w:tcPr>
          <w:p w14:paraId="64CE1FF5">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default"/>
                <w:color w:val="auto"/>
                <w:kern w:val="0"/>
                <w:sz w:val="21"/>
                <w:szCs w:val="21"/>
              </w:rPr>
              <w:t>侵入途径：吸入、食入、经皮吸收</w:t>
            </w:r>
          </w:p>
          <w:p w14:paraId="52ACE05B">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default"/>
                <w:color w:val="auto"/>
                <w:kern w:val="0"/>
                <w:sz w:val="21"/>
                <w:szCs w:val="21"/>
              </w:rPr>
              <w:t>急性毒性：蒽（120-12-7）小鼠经口LD：＞17gm/kg；静脉LD50：430mg/kg</w:t>
            </w:r>
          </w:p>
          <w:p w14:paraId="4D27E18B">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default"/>
                <w:color w:val="auto"/>
                <w:kern w:val="0"/>
                <w:sz w:val="21"/>
                <w:szCs w:val="21"/>
              </w:rPr>
              <w:t>苊（83-32-9）大鼠非肠道LD50：600mg/kg</w:t>
            </w:r>
          </w:p>
          <w:p w14:paraId="0E046D36">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default"/>
                <w:color w:val="auto"/>
                <w:kern w:val="0"/>
                <w:sz w:val="21"/>
                <w:szCs w:val="21"/>
              </w:rPr>
              <w:t>芴（86-73-7）小鼠腹腔LD50：＞2mg/kg</w:t>
            </w:r>
          </w:p>
        </w:tc>
      </w:tr>
      <w:tr w14:paraId="72B704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8" w:hRule="atLeast"/>
          <w:jc w:val="center"/>
        </w:trPr>
        <w:tc>
          <w:tcPr>
            <w:tcW w:w="299" w:type="pct"/>
            <w:vAlign w:val="center"/>
          </w:tcPr>
          <w:p w14:paraId="2295A8AA">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健康</w:t>
            </w:r>
          </w:p>
          <w:p w14:paraId="62745959">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危害</w:t>
            </w:r>
          </w:p>
        </w:tc>
        <w:tc>
          <w:tcPr>
            <w:tcW w:w="4700" w:type="pct"/>
            <w:gridSpan w:val="5"/>
            <w:vAlign w:val="center"/>
          </w:tcPr>
          <w:p w14:paraId="24949223">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default"/>
                <w:color w:val="auto"/>
                <w:kern w:val="0"/>
                <w:sz w:val="21"/>
                <w:szCs w:val="21"/>
              </w:rPr>
              <w:t>纯品基本无毒。工业品因含有菲、咔挫等杂质，毒性明显增大。由于本品蒸汽压很低，故经吸入中毒可能性很小。对皮肤、粘膜有刺激性；易引起光感性皮炎。</w:t>
            </w:r>
          </w:p>
        </w:tc>
      </w:tr>
      <w:tr w14:paraId="156106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8" w:hRule="atLeast"/>
          <w:jc w:val="center"/>
        </w:trPr>
        <w:tc>
          <w:tcPr>
            <w:tcW w:w="299" w:type="pct"/>
            <w:vMerge w:val="restart"/>
            <w:vAlign w:val="center"/>
          </w:tcPr>
          <w:p w14:paraId="722C2781">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急救</w:t>
            </w:r>
          </w:p>
        </w:tc>
        <w:tc>
          <w:tcPr>
            <w:tcW w:w="4700" w:type="pct"/>
            <w:gridSpan w:val="5"/>
            <w:vAlign w:val="center"/>
          </w:tcPr>
          <w:p w14:paraId="22F468B1">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default"/>
                <w:color w:val="auto"/>
                <w:kern w:val="0"/>
                <w:sz w:val="21"/>
                <w:szCs w:val="21"/>
              </w:rPr>
              <w:t>皮肤接触：立即脱去污染的衣着，用肥皂水和清水彻底冲洗皮肤。就医。吸入：迅速脱离现场至空气新鲜处。保持呼吸道通畅。如呼吸困难，给输氧。如呼吸停止，立即进行人工呼吸。就医。眼睛接触：提起眼睑，用流动清水或生理盐水冲洗。就医。食入：</w:t>
            </w:r>
            <w:r>
              <w:rPr>
                <w:rFonts w:hint="eastAsia"/>
                <w:color w:val="auto"/>
                <w:kern w:val="0"/>
                <w:sz w:val="21"/>
                <w:szCs w:val="21"/>
              </w:rPr>
              <w:t>饮用</w:t>
            </w:r>
            <w:r>
              <w:rPr>
                <w:rFonts w:hint="default"/>
                <w:color w:val="auto"/>
                <w:kern w:val="0"/>
                <w:sz w:val="21"/>
                <w:szCs w:val="21"/>
              </w:rPr>
              <w:t>足量温水，催吐。就医。</w:t>
            </w:r>
          </w:p>
        </w:tc>
      </w:tr>
      <w:tr w14:paraId="1B5D88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8" w:hRule="atLeast"/>
          <w:jc w:val="center"/>
        </w:trPr>
        <w:tc>
          <w:tcPr>
            <w:tcW w:w="299" w:type="pct"/>
            <w:vAlign w:val="center"/>
          </w:tcPr>
          <w:p w14:paraId="463A7935">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防护</w:t>
            </w:r>
          </w:p>
        </w:tc>
        <w:tc>
          <w:tcPr>
            <w:tcW w:w="4700" w:type="pct"/>
            <w:gridSpan w:val="5"/>
            <w:vAlign w:val="center"/>
          </w:tcPr>
          <w:p w14:paraId="4C48AE8F">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default"/>
                <w:color w:val="auto"/>
                <w:kern w:val="0"/>
                <w:sz w:val="21"/>
                <w:szCs w:val="21"/>
              </w:rPr>
              <w:t>工程控制：密闭操作，注意通风。呼吸系统防护：一般情况下无特殊要求，必要时建议佩戴自给式呼吸器。眼睛防护：一般不需要特殊防护，但建议特殊情况下，戴化学安全防护眼镜。身体防护：穿一般作业防护服，尽可能减少直接接触。手防护：戴橡胶耐油手套。其他防护：工作现场严禁吸烟。</w:t>
            </w:r>
          </w:p>
        </w:tc>
      </w:tr>
      <w:tr w14:paraId="64A402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13" w:hRule="atLeast"/>
          <w:jc w:val="center"/>
        </w:trPr>
        <w:tc>
          <w:tcPr>
            <w:tcW w:w="299" w:type="pct"/>
            <w:vMerge w:val="restart"/>
            <w:vAlign w:val="center"/>
          </w:tcPr>
          <w:p w14:paraId="6E504D4D">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泄漏</w:t>
            </w:r>
          </w:p>
          <w:p w14:paraId="19B26CA0">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处理</w:t>
            </w:r>
          </w:p>
        </w:tc>
        <w:tc>
          <w:tcPr>
            <w:tcW w:w="4700" w:type="pct"/>
            <w:gridSpan w:val="5"/>
            <w:vAlign w:val="center"/>
          </w:tcPr>
          <w:p w14:paraId="6CFDEE18">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default"/>
                <w:color w:val="auto"/>
                <w:kern w:val="0"/>
                <w:sz w:val="21"/>
                <w:szCs w:val="21"/>
              </w:rPr>
              <w:t>隔离泄漏污染区，限制出入。切断火源，穿一般作业工作服。不要直接接触泄漏物。少量泄漏：用干砂土吸收，小心扫起，置于容器转移至安全场所。大量泄漏：围堤收容。</w:t>
            </w:r>
          </w:p>
        </w:tc>
      </w:tr>
      <w:tr w14:paraId="1F1C49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4" w:hRule="atLeast"/>
          <w:jc w:val="center"/>
        </w:trPr>
        <w:tc>
          <w:tcPr>
            <w:tcW w:w="299" w:type="pct"/>
            <w:vAlign w:val="center"/>
          </w:tcPr>
          <w:p w14:paraId="030E7A62">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储运</w:t>
            </w:r>
          </w:p>
        </w:tc>
        <w:tc>
          <w:tcPr>
            <w:tcW w:w="4700" w:type="pct"/>
            <w:gridSpan w:val="5"/>
            <w:vAlign w:val="center"/>
          </w:tcPr>
          <w:p w14:paraId="5D79A784">
            <w:pPr>
              <w:keepNext w:val="0"/>
              <w:keepLines w:val="0"/>
              <w:suppressLineNumbers w:val="0"/>
              <w:spacing w:before="0" w:beforeAutospacing="0" w:after="0" w:afterAutospacing="0" w:line="240" w:lineRule="auto"/>
              <w:ind w:left="0" w:right="0" w:firstLine="0" w:firstLineChars="0"/>
              <w:rPr>
                <w:rFonts w:hint="default"/>
                <w:color w:val="auto"/>
                <w:kern w:val="0"/>
                <w:sz w:val="21"/>
                <w:szCs w:val="21"/>
              </w:rPr>
            </w:pPr>
            <w:r>
              <w:rPr>
                <w:rFonts w:hint="default"/>
                <w:color w:val="auto"/>
                <w:kern w:val="0"/>
                <w:sz w:val="21"/>
                <w:szCs w:val="21"/>
              </w:rPr>
              <w:t>储存于阴凉、通风的库房。远离火种、热源。保持容器密封。应</w:t>
            </w:r>
            <w:r>
              <w:rPr>
                <w:rFonts w:hint="eastAsia"/>
                <w:color w:val="auto"/>
                <w:kern w:val="0"/>
                <w:sz w:val="21"/>
                <w:szCs w:val="21"/>
              </w:rPr>
              <w:t>与</w:t>
            </w:r>
            <w:r>
              <w:rPr>
                <w:rFonts w:hint="default"/>
                <w:color w:val="auto"/>
                <w:kern w:val="0"/>
                <w:sz w:val="21"/>
                <w:szCs w:val="21"/>
              </w:rPr>
              <w:t>氧化剂分开存放。分装和搬运作业要注意个人防护。搬运时要轻装轻卸，防止包装及容器损坏。</w:t>
            </w:r>
          </w:p>
        </w:tc>
      </w:tr>
    </w:tbl>
    <w:p w14:paraId="1B36B65F">
      <w:pPr>
        <w:ind w:firstLine="480"/>
        <w:rPr>
          <w:color w:val="auto"/>
        </w:rPr>
      </w:pPr>
      <w:r>
        <w:rPr>
          <w:color w:val="auto"/>
        </w:rPr>
        <w:t>（2）生产工艺</w:t>
      </w:r>
    </w:p>
    <w:p w14:paraId="1CFF2897">
      <w:pPr>
        <w:ind w:firstLine="480"/>
        <w:rPr>
          <w:color w:val="auto"/>
        </w:rPr>
      </w:pPr>
      <w:r>
        <w:rPr>
          <w:color w:val="auto"/>
        </w:rPr>
        <w:t>本项目为液化烃码头，属于《建设项目环境风险评价技术导则》（HJ169-2018）附录C中表C.1中的“管道、港口/码头等”</w:t>
      </w:r>
      <w:r>
        <w:rPr>
          <w:rFonts w:hint="eastAsia"/>
          <w:color w:val="auto"/>
        </w:rPr>
        <w:t>、“危险物质贮存罐区”</w:t>
      </w:r>
      <w:r>
        <w:rPr>
          <w:color w:val="auto"/>
        </w:rPr>
        <w:t>行业。</w:t>
      </w:r>
    </w:p>
    <w:p w14:paraId="634F3B09">
      <w:pPr>
        <w:ind w:firstLine="480"/>
        <w:rPr>
          <w:color w:val="auto"/>
        </w:rPr>
      </w:pPr>
      <w:r>
        <w:rPr>
          <w:rFonts w:hint="eastAsia"/>
          <w:color w:val="auto"/>
        </w:rPr>
        <w:t>扩建</w:t>
      </w:r>
      <w:r>
        <w:rPr>
          <w:color w:val="auto"/>
        </w:rPr>
        <w:t>项目</w:t>
      </w:r>
      <w:r>
        <w:rPr>
          <w:rFonts w:hint="eastAsia"/>
          <w:color w:val="auto"/>
        </w:rPr>
        <w:t>新增的石脑油、异辛烷（烷基化油）、蜡油、渣油这4个货种进行卸船作业，从6#泊位卸船至储罐，再</w:t>
      </w:r>
      <w:r>
        <w:rPr>
          <w:color w:val="auto"/>
        </w:rPr>
        <w:t>经过长输管线输送至</w:t>
      </w:r>
      <w:r>
        <w:rPr>
          <w:rFonts w:hint="eastAsia"/>
          <w:color w:val="auto"/>
        </w:rPr>
        <w:t>广西石化罐区（库区</w:t>
      </w:r>
      <w:r>
        <w:rPr>
          <w:color w:val="auto"/>
        </w:rPr>
        <w:t>为长输管线不在</w:t>
      </w:r>
      <w:r>
        <w:rPr>
          <w:rFonts w:hint="eastAsia"/>
          <w:color w:val="auto"/>
        </w:rPr>
        <w:t>项目</w:t>
      </w:r>
      <w:r>
        <w:rPr>
          <w:color w:val="auto"/>
        </w:rPr>
        <w:t>评价范围内</w:t>
      </w:r>
      <w:r>
        <w:rPr>
          <w:rFonts w:hint="eastAsia"/>
          <w:color w:val="auto"/>
        </w:rPr>
        <w:t>）；甲基叔丁基醚（MTBE）从广西石化罐区输送至本项目罐区储存（广西石化罐区至项目库区外管线不在项目评价范围内），通过汽油出口线、装卸臂等进行装船作业。码头单次</w:t>
      </w:r>
      <w:r>
        <w:rPr>
          <w:color w:val="auto"/>
        </w:rPr>
        <w:t>仅停靠</w:t>
      </w:r>
      <w:r>
        <w:rPr>
          <w:rFonts w:hint="eastAsia"/>
          <w:color w:val="auto"/>
        </w:rPr>
        <w:t>1艘</w:t>
      </w:r>
      <w:r>
        <w:rPr>
          <w:color w:val="auto"/>
        </w:rPr>
        <w:t>船舶进行装卸作业。</w:t>
      </w:r>
    </w:p>
    <w:p w14:paraId="03C4E6AD">
      <w:pPr>
        <w:pStyle w:val="4"/>
        <w:rPr>
          <w:color w:val="auto"/>
        </w:rPr>
      </w:pPr>
      <w:r>
        <w:rPr>
          <w:color w:val="auto"/>
        </w:rPr>
        <w:t>环境敏感目标调查</w:t>
      </w:r>
    </w:p>
    <w:p w14:paraId="33D228B4">
      <w:pPr>
        <w:ind w:firstLine="480"/>
        <w:rPr>
          <w:color w:val="auto"/>
        </w:rPr>
      </w:pPr>
      <w:r>
        <w:rPr>
          <w:color w:val="auto"/>
        </w:rPr>
        <w:t>根据《建设项目环境风险评价技术导则》（HJ169-2018）相关要求，通过对评价范围内大气环境、地表水环境、地下水环境可能受影响的环境敏感目标进行调查，项目主要环境敏感目标见</w:t>
      </w:r>
      <w:r>
        <w:rPr>
          <w:rFonts w:hint="eastAsia"/>
          <w:color w:val="auto"/>
        </w:rPr>
        <w:t>下</w:t>
      </w:r>
      <w:r>
        <w:rPr>
          <w:color w:val="auto"/>
        </w:rPr>
        <w:t>表。</w:t>
      </w:r>
    </w:p>
    <w:p w14:paraId="20706187">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5.1</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6</w:t>
      </w:r>
      <w:r>
        <w:rPr>
          <w:color w:val="auto"/>
        </w:rPr>
        <w:fldChar w:fldCharType="end"/>
      </w:r>
      <w:r>
        <w:rPr>
          <w:color w:val="auto"/>
        </w:rPr>
        <w:t>项目风险评价环境敏感特征表</w:t>
      </w:r>
    </w:p>
    <w:tbl>
      <w:tblPr>
        <w:tblStyle w:val="43"/>
        <w:tblW w:w="919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978"/>
        <w:gridCol w:w="470"/>
        <w:gridCol w:w="1004"/>
        <w:gridCol w:w="1097"/>
        <w:gridCol w:w="377"/>
        <w:gridCol w:w="595"/>
        <w:gridCol w:w="879"/>
        <w:gridCol w:w="681"/>
        <w:gridCol w:w="215"/>
        <w:gridCol w:w="578"/>
        <w:gridCol w:w="341"/>
        <w:gridCol w:w="567"/>
        <w:gridCol w:w="1417"/>
      </w:tblGrid>
      <w:tr w14:paraId="4A506C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Align w:val="center"/>
          </w:tcPr>
          <w:p w14:paraId="125A2D3F">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类别</w:t>
            </w:r>
          </w:p>
        </w:tc>
        <w:tc>
          <w:tcPr>
            <w:tcW w:w="8221" w:type="dxa"/>
            <w:gridSpan w:val="12"/>
            <w:vAlign w:val="center"/>
          </w:tcPr>
          <w:p w14:paraId="28867C04">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环境敏感特征</w:t>
            </w:r>
          </w:p>
        </w:tc>
      </w:tr>
      <w:tr w14:paraId="6D61ED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restart"/>
            <w:vAlign w:val="center"/>
          </w:tcPr>
          <w:p w14:paraId="0A6A31DD">
            <w:pPr>
              <w:pStyle w:val="77"/>
              <w:keepNext w:val="0"/>
              <w:keepLines w:val="0"/>
              <w:suppressLineNumbers w:val="0"/>
              <w:spacing w:before="0" w:beforeAutospacing="0" w:after="0" w:afterAutospacing="0"/>
              <w:ind w:left="0" w:right="0"/>
              <w:rPr>
                <w:rFonts w:hint="default"/>
                <w:color w:val="auto"/>
              </w:rPr>
            </w:pPr>
            <w:r>
              <w:rPr>
                <w:rFonts w:hint="default"/>
                <w:color w:val="auto"/>
              </w:rPr>
              <w:t>环境空气</w:t>
            </w:r>
          </w:p>
        </w:tc>
        <w:tc>
          <w:tcPr>
            <w:tcW w:w="8221" w:type="dxa"/>
            <w:gridSpan w:val="12"/>
            <w:vAlign w:val="center"/>
          </w:tcPr>
          <w:p w14:paraId="2707B2C5">
            <w:pPr>
              <w:pStyle w:val="77"/>
              <w:keepNext w:val="0"/>
              <w:keepLines w:val="0"/>
              <w:suppressLineNumbers w:val="0"/>
              <w:spacing w:before="0" w:beforeAutospacing="0" w:after="0" w:afterAutospacing="0"/>
              <w:ind w:left="0" w:right="0"/>
              <w:rPr>
                <w:rFonts w:hint="default"/>
                <w:color w:val="auto"/>
              </w:rPr>
            </w:pPr>
            <w:r>
              <w:rPr>
                <w:rFonts w:hint="default"/>
                <w:color w:val="auto"/>
              </w:rPr>
              <w:t>厂址周边5km范围内</w:t>
            </w:r>
          </w:p>
        </w:tc>
      </w:tr>
      <w:tr w14:paraId="0987E3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60F39BC9">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7CAC538B">
            <w:pPr>
              <w:pStyle w:val="77"/>
              <w:keepNext w:val="0"/>
              <w:keepLines w:val="0"/>
              <w:suppressLineNumbers w:val="0"/>
              <w:spacing w:before="0" w:beforeAutospacing="0" w:after="0" w:afterAutospacing="0"/>
              <w:ind w:left="0" w:right="0"/>
              <w:rPr>
                <w:rFonts w:hint="default"/>
                <w:color w:val="auto"/>
              </w:rPr>
            </w:pPr>
            <w:r>
              <w:rPr>
                <w:rFonts w:hint="default"/>
                <w:color w:val="auto"/>
              </w:rPr>
              <w:t>序号</w:t>
            </w:r>
          </w:p>
        </w:tc>
        <w:tc>
          <w:tcPr>
            <w:tcW w:w="2101" w:type="dxa"/>
            <w:gridSpan w:val="2"/>
            <w:vAlign w:val="center"/>
          </w:tcPr>
          <w:p w14:paraId="7A0E006A">
            <w:pPr>
              <w:pStyle w:val="77"/>
              <w:keepNext w:val="0"/>
              <w:keepLines w:val="0"/>
              <w:suppressLineNumbers w:val="0"/>
              <w:spacing w:before="0" w:beforeAutospacing="0" w:after="0" w:afterAutospacing="0"/>
              <w:ind w:left="0" w:right="0"/>
              <w:rPr>
                <w:rFonts w:hint="default"/>
                <w:color w:val="auto"/>
              </w:rPr>
            </w:pPr>
            <w:r>
              <w:rPr>
                <w:rFonts w:hint="default"/>
                <w:color w:val="auto"/>
              </w:rPr>
              <w:t>敏感目标名称</w:t>
            </w:r>
          </w:p>
        </w:tc>
        <w:tc>
          <w:tcPr>
            <w:tcW w:w="972" w:type="dxa"/>
            <w:gridSpan w:val="2"/>
            <w:vAlign w:val="center"/>
          </w:tcPr>
          <w:p w14:paraId="0632EBB5">
            <w:pPr>
              <w:pStyle w:val="77"/>
              <w:keepNext w:val="0"/>
              <w:keepLines w:val="0"/>
              <w:suppressLineNumbers w:val="0"/>
              <w:spacing w:before="0" w:beforeAutospacing="0" w:after="0" w:afterAutospacing="0"/>
              <w:ind w:left="0" w:right="0"/>
              <w:rPr>
                <w:rFonts w:hint="default"/>
                <w:color w:val="auto"/>
              </w:rPr>
            </w:pPr>
            <w:r>
              <w:rPr>
                <w:rFonts w:hint="default"/>
                <w:color w:val="auto"/>
              </w:rPr>
              <w:t>相对方位</w:t>
            </w:r>
          </w:p>
        </w:tc>
        <w:tc>
          <w:tcPr>
            <w:tcW w:w="1775" w:type="dxa"/>
            <w:gridSpan w:val="3"/>
            <w:vAlign w:val="center"/>
          </w:tcPr>
          <w:p w14:paraId="6A892258">
            <w:pPr>
              <w:pStyle w:val="77"/>
              <w:keepNext w:val="0"/>
              <w:keepLines w:val="0"/>
              <w:suppressLineNumbers w:val="0"/>
              <w:spacing w:before="0" w:beforeAutospacing="0" w:after="0" w:afterAutospacing="0"/>
              <w:ind w:left="0" w:right="0"/>
              <w:rPr>
                <w:rFonts w:hint="default"/>
                <w:color w:val="auto"/>
              </w:rPr>
            </w:pPr>
            <w:r>
              <w:rPr>
                <w:rFonts w:hint="default"/>
                <w:color w:val="auto"/>
              </w:rPr>
              <w:t>距离km</w:t>
            </w:r>
          </w:p>
        </w:tc>
        <w:tc>
          <w:tcPr>
            <w:tcW w:w="1486" w:type="dxa"/>
            <w:gridSpan w:val="3"/>
            <w:vAlign w:val="center"/>
          </w:tcPr>
          <w:p w14:paraId="29F76E86">
            <w:pPr>
              <w:pStyle w:val="77"/>
              <w:keepNext w:val="0"/>
              <w:keepLines w:val="0"/>
              <w:suppressLineNumbers w:val="0"/>
              <w:spacing w:before="0" w:beforeAutospacing="0" w:after="0" w:afterAutospacing="0"/>
              <w:ind w:left="0" w:right="0"/>
              <w:rPr>
                <w:rFonts w:hint="default"/>
                <w:color w:val="auto"/>
              </w:rPr>
            </w:pPr>
            <w:r>
              <w:rPr>
                <w:rFonts w:hint="default"/>
                <w:color w:val="auto"/>
              </w:rPr>
              <w:t>属性</w:t>
            </w:r>
          </w:p>
        </w:tc>
        <w:tc>
          <w:tcPr>
            <w:tcW w:w="1417" w:type="dxa"/>
            <w:vAlign w:val="center"/>
          </w:tcPr>
          <w:p w14:paraId="1457DB61">
            <w:pPr>
              <w:pStyle w:val="77"/>
              <w:keepNext w:val="0"/>
              <w:keepLines w:val="0"/>
              <w:suppressLineNumbers w:val="0"/>
              <w:spacing w:before="0" w:beforeAutospacing="0" w:after="0" w:afterAutospacing="0"/>
              <w:ind w:left="0" w:right="0"/>
              <w:rPr>
                <w:rFonts w:hint="default"/>
                <w:color w:val="auto"/>
              </w:rPr>
            </w:pPr>
            <w:r>
              <w:rPr>
                <w:rFonts w:hint="default"/>
                <w:color w:val="auto"/>
              </w:rPr>
              <w:t>人口数</w:t>
            </w:r>
          </w:p>
        </w:tc>
      </w:tr>
      <w:tr w14:paraId="086F6F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7" w:hRule="atLeast"/>
          <w:jc w:val="center"/>
        </w:trPr>
        <w:tc>
          <w:tcPr>
            <w:tcW w:w="978" w:type="dxa"/>
            <w:vMerge w:val="continue"/>
            <w:vAlign w:val="center"/>
          </w:tcPr>
          <w:p w14:paraId="3D39B3A4">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69AD6175">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3B80BF43">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color w:val="auto"/>
                <w:u w:val="single"/>
              </w:rPr>
              <w:t>果子山村</w:t>
            </w:r>
          </w:p>
        </w:tc>
        <w:tc>
          <w:tcPr>
            <w:tcW w:w="972" w:type="dxa"/>
            <w:gridSpan w:val="2"/>
            <w:vAlign w:val="center"/>
          </w:tcPr>
          <w:p w14:paraId="55364D8C">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西北</w:t>
            </w:r>
          </w:p>
        </w:tc>
        <w:tc>
          <w:tcPr>
            <w:tcW w:w="1775" w:type="dxa"/>
            <w:gridSpan w:val="3"/>
            <w:vAlign w:val="center"/>
          </w:tcPr>
          <w:p w14:paraId="1F49D664">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color w:val="auto"/>
                <w:u w:val="single"/>
              </w:rPr>
              <w:t>2.208</w:t>
            </w:r>
          </w:p>
        </w:tc>
        <w:tc>
          <w:tcPr>
            <w:tcW w:w="1486" w:type="dxa"/>
            <w:gridSpan w:val="3"/>
            <w:vAlign w:val="center"/>
          </w:tcPr>
          <w:p w14:paraId="6EB28EB2">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color w:val="auto"/>
                <w:u w:val="single"/>
              </w:rPr>
              <w:t>居住区</w:t>
            </w:r>
          </w:p>
        </w:tc>
        <w:tc>
          <w:tcPr>
            <w:tcW w:w="1417" w:type="dxa"/>
            <w:vAlign w:val="center"/>
          </w:tcPr>
          <w:p w14:paraId="531930BC">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约</w:t>
            </w:r>
            <w:r>
              <w:rPr>
                <w:rFonts w:hint="default"/>
                <w:color w:val="auto"/>
                <w:u w:val="single"/>
              </w:rPr>
              <w:t>1300</w:t>
            </w:r>
          </w:p>
        </w:tc>
      </w:tr>
      <w:tr w14:paraId="6B13B6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361CB982">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070592C3">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bottom"/>
          </w:tcPr>
          <w:p w14:paraId="7BDBF0D8">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钦州港经济技术开发区第四小学</w:t>
            </w:r>
          </w:p>
        </w:tc>
        <w:tc>
          <w:tcPr>
            <w:tcW w:w="972" w:type="dxa"/>
            <w:gridSpan w:val="2"/>
            <w:vAlign w:val="top"/>
          </w:tcPr>
          <w:p w14:paraId="3FB37C8A">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西北</w:t>
            </w:r>
          </w:p>
        </w:tc>
        <w:tc>
          <w:tcPr>
            <w:tcW w:w="1775" w:type="dxa"/>
            <w:gridSpan w:val="3"/>
            <w:vAlign w:val="bottom"/>
          </w:tcPr>
          <w:p w14:paraId="63BD8D87">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2.3</w:t>
            </w:r>
          </w:p>
        </w:tc>
        <w:tc>
          <w:tcPr>
            <w:tcW w:w="1486" w:type="dxa"/>
            <w:gridSpan w:val="3"/>
            <w:vAlign w:val="center"/>
          </w:tcPr>
          <w:p w14:paraId="79EB543F">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学校</w:t>
            </w:r>
          </w:p>
        </w:tc>
        <w:tc>
          <w:tcPr>
            <w:tcW w:w="1417" w:type="dxa"/>
            <w:vAlign w:val="center"/>
          </w:tcPr>
          <w:p w14:paraId="540BFDC8">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400</w:t>
            </w:r>
          </w:p>
        </w:tc>
      </w:tr>
      <w:tr w14:paraId="603CF9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6E3DD21E">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54B2BE9C">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bottom"/>
          </w:tcPr>
          <w:p w14:paraId="68474E4C">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color w:val="auto"/>
                <w:u w:val="single"/>
              </w:rPr>
              <w:t>竹笼</w:t>
            </w:r>
          </w:p>
        </w:tc>
        <w:tc>
          <w:tcPr>
            <w:tcW w:w="972" w:type="dxa"/>
            <w:gridSpan w:val="2"/>
            <w:vAlign w:val="top"/>
          </w:tcPr>
          <w:p w14:paraId="12939B78">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西北</w:t>
            </w:r>
          </w:p>
        </w:tc>
        <w:tc>
          <w:tcPr>
            <w:tcW w:w="1775" w:type="dxa"/>
            <w:gridSpan w:val="3"/>
            <w:vAlign w:val="bottom"/>
          </w:tcPr>
          <w:p w14:paraId="43C0069D">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color w:val="auto"/>
                <w:u w:val="single"/>
              </w:rPr>
              <w:t>2.797</w:t>
            </w:r>
          </w:p>
        </w:tc>
        <w:tc>
          <w:tcPr>
            <w:tcW w:w="1486" w:type="dxa"/>
            <w:gridSpan w:val="3"/>
            <w:vAlign w:val="center"/>
          </w:tcPr>
          <w:p w14:paraId="38CA7B78">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居住区</w:t>
            </w:r>
          </w:p>
        </w:tc>
        <w:tc>
          <w:tcPr>
            <w:tcW w:w="1417" w:type="dxa"/>
            <w:vAlign w:val="center"/>
          </w:tcPr>
          <w:p w14:paraId="4AEF7A8B">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color w:val="auto"/>
                <w:u w:val="single"/>
              </w:rPr>
              <w:t>270</w:t>
            </w:r>
          </w:p>
        </w:tc>
      </w:tr>
      <w:tr w14:paraId="420740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1E2BE176">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14752F02">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6E99099C">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color w:val="auto"/>
                <w:u w:val="single"/>
              </w:rPr>
              <w:t>滨海社区</w:t>
            </w:r>
          </w:p>
        </w:tc>
        <w:tc>
          <w:tcPr>
            <w:tcW w:w="972" w:type="dxa"/>
            <w:gridSpan w:val="2"/>
            <w:vAlign w:val="top"/>
          </w:tcPr>
          <w:p w14:paraId="0012941F">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西北</w:t>
            </w:r>
          </w:p>
        </w:tc>
        <w:tc>
          <w:tcPr>
            <w:tcW w:w="1775" w:type="dxa"/>
            <w:gridSpan w:val="3"/>
            <w:vAlign w:val="center"/>
          </w:tcPr>
          <w:p w14:paraId="63C912D8">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color w:val="auto"/>
                <w:u w:val="single"/>
              </w:rPr>
              <w:t>3.321</w:t>
            </w:r>
          </w:p>
        </w:tc>
        <w:tc>
          <w:tcPr>
            <w:tcW w:w="1486" w:type="dxa"/>
            <w:gridSpan w:val="3"/>
            <w:vAlign w:val="center"/>
          </w:tcPr>
          <w:p w14:paraId="33E4E168">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color w:val="auto"/>
                <w:u w:val="single"/>
              </w:rPr>
              <w:t>居住区</w:t>
            </w:r>
          </w:p>
        </w:tc>
        <w:tc>
          <w:tcPr>
            <w:tcW w:w="1417" w:type="dxa"/>
            <w:vAlign w:val="center"/>
          </w:tcPr>
          <w:p w14:paraId="6EA81A56">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color w:val="auto"/>
                <w:u w:val="single"/>
              </w:rPr>
              <w:t>18000</w:t>
            </w:r>
          </w:p>
        </w:tc>
      </w:tr>
      <w:tr w14:paraId="4622B1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49CE31D8">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24B6F7DB">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48250DC5">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金港花园</w:t>
            </w:r>
          </w:p>
        </w:tc>
        <w:tc>
          <w:tcPr>
            <w:tcW w:w="972" w:type="dxa"/>
            <w:gridSpan w:val="2"/>
            <w:vAlign w:val="center"/>
          </w:tcPr>
          <w:p w14:paraId="10540BD3">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西北</w:t>
            </w:r>
          </w:p>
        </w:tc>
        <w:tc>
          <w:tcPr>
            <w:tcW w:w="1775" w:type="dxa"/>
            <w:gridSpan w:val="3"/>
            <w:vAlign w:val="center"/>
          </w:tcPr>
          <w:p w14:paraId="12BDD92F">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3.74</w:t>
            </w:r>
          </w:p>
        </w:tc>
        <w:tc>
          <w:tcPr>
            <w:tcW w:w="1486" w:type="dxa"/>
            <w:gridSpan w:val="3"/>
            <w:vAlign w:val="center"/>
          </w:tcPr>
          <w:p w14:paraId="38331E13">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52387620">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约200人</w:t>
            </w:r>
          </w:p>
        </w:tc>
      </w:tr>
      <w:tr w14:paraId="755ADC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670569A6">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768CBA3F">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482C5FB6">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hAnsi="Times New Roman"/>
                <w:color w:val="auto"/>
                <w:u w:val="single"/>
              </w:rPr>
              <w:t>钦州海事局</w:t>
            </w:r>
            <w:r>
              <w:rPr>
                <w:rFonts w:hint="default" w:hAnsi="Times New Roman"/>
                <w:color w:val="auto"/>
                <w:u w:val="single"/>
              </w:rPr>
              <w:t>指挥中心</w:t>
            </w:r>
          </w:p>
        </w:tc>
        <w:tc>
          <w:tcPr>
            <w:tcW w:w="972" w:type="dxa"/>
            <w:gridSpan w:val="2"/>
            <w:vAlign w:val="center"/>
          </w:tcPr>
          <w:p w14:paraId="321F2189">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西北</w:t>
            </w:r>
          </w:p>
        </w:tc>
        <w:tc>
          <w:tcPr>
            <w:tcW w:w="1775" w:type="dxa"/>
            <w:gridSpan w:val="3"/>
            <w:vAlign w:val="center"/>
          </w:tcPr>
          <w:p w14:paraId="48847D62">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3.36</w:t>
            </w:r>
          </w:p>
        </w:tc>
        <w:tc>
          <w:tcPr>
            <w:tcW w:w="1486" w:type="dxa"/>
            <w:gridSpan w:val="3"/>
            <w:vAlign w:val="center"/>
          </w:tcPr>
          <w:p w14:paraId="69339E66">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行政机关</w:t>
            </w:r>
          </w:p>
        </w:tc>
        <w:tc>
          <w:tcPr>
            <w:tcW w:w="1417" w:type="dxa"/>
            <w:vAlign w:val="center"/>
          </w:tcPr>
          <w:p w14:paraId="0CF444BB">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约50人</w:t>
            </w:r>
          </w:p>
        </w:tc>
      </w:tr>
      <w:tr w14:paraId="0E76A2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44CAAF49">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4D60E0F0">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49D96A7C">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hAnsi="Times New Roman"/>
                <w:color w:val="auto"/>
                <w:u w:val="single"/>
              </w:rPr>
              <w:t>三块田</w:t>
            </w:r>
            <w:r>
              <w:rPr>
                <w:rFonts w:hint="default" w:hAnsi="Times New Roman"/>
                <w:color w:val="auto"/>
                <w:u w:val="single"/>
              </w:rPr>
              <w:t>村</w:t>
            </w:r>
          </w:p>
        </w:tc>
        <w:tc>
          <w:tcPr>
            <w:tcW w:w="972" w:type="dxa"/>
            <w:gridSpan w:val="2"/>
            <w:vAlign w:val="center"/>
          </w:tcPr>
          <w:p w14:paraId="141B61C7">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西北</w:t>
            </w:r>
          </w:p>
        </w:tc>
        <w:tc>
          <w:tcPr>
            <w:tcW w:w="1775" w:type="dxa"/>
            <w:gridSpan w:val="3"/>
            <w:vAlign w:val="center"/>
          </w:tcPr>
          <w:p w14:paraId="6E76CD12">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3.6</w:t>
            </w:r>
          </w:p>
        </w:tc>
        <w:tc>
          <w:tcPr>
            <w:tcW w:w="1486" w:type="dxa"/>
            <w:gridSpan w:val="3"/>
            <w:vAlign w:val="center"/>
          </w:tcPr>
          <w:p w14:paraId="24720C38">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7E24417D">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约200人</w:t>
            </w:r>
          </w:p>
        </w:tc>
      </w:tr>
      <w:tr w14:paraId="1E02D9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76EC08B9">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6A1AE114">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68C66C10">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佛子坳村</w:t>
            </w:r>
          </w:p>
        </w:tc>
        <w:tc>
          <w:tcPr>
            <w:tcW w:w="972" w:type="dxa"/>
            <w:gridSpan w:val="2"/>
            <w:vAlign w:val="center"/>
          </w:tcPr>
          <w:p w14:paraId="1D9525EE">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hAnsi="Times New Roman"/>
                <w:color w:val="auto"/>
                <w:u w:val="single"/>
              </w:rPr>
              <w:t>西</w:t>
            </w:r>
            <w:r>
              <w:rPr>
                <w:rFonts w:hint="default" w:hAnsi="Times New Roman"/>
                <w:color w:val="auto"/>
                <w:u w:val="single"/>
              </w:rPr>
              <w:t>北</w:t>
            </w:r>
          </w:p>
        </w:tc>
        <w:tc>
          <w:tcPr>
            <w:tcW w:w="1775" w:type="dxa"/>
            <w:gridSpan w:val="3"/>
            <w:vAlign w:val="center"/>
          </w:tcPr>
          <w:p w14:paraId="01169B4B">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4.14</w:t>
            </w:r>
          </w:p>
        </w:tc>
        <w:tc>
          <w:tcPr>
            <w:tcW w:w="1486" w:type="dxa"/>
            <w:gridSpan w:val="3"/>
            <w:vAlign w:val="center"/>
          </w:tcPr>
          <w:p w14:paraId="4D64A5C8">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4D3898B3">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约1000人</w:t>
            </w:r>
          </w:p>
        </w:tc>
      </w:tr>
      <w:tr w14:paraId="45C57C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5906FFFC">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0038CD6C">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63DE5F88">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亚路江社区</w:t>
            </w:r>
          </w:p>
        </w:tc>
        <w:tc>
          <w:tcPr>
            <w:tcW w:w="972" w:type="dxa"/>
            <w:gridSpan w:val="2"/>
            <w:vAlign w:val="center"/>
          </w:tcPr>
          <w:p w14:paraId="6E093A6B">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北</w:t>
            </w:r>
          </w:p>
        </w:tc>
        <w:tc>
          <w:tcPr>
            <w:tcW w:w="1775" w:type="dxa"/>
            <w:gridSpan w:val="3"/>
            <w:vAlign w:val="center"/>
          </w:tcPr>
          <w:p w14:paraId="04B6312A">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4.67</w:t>
            </w:r>
          </w:p>
        </w:tc>
        <w:tc>
          <w:tcPr>
            <w:tcW w:w="1486" w:type="dxa"/>
            <w:gridSpan w:val="3"/>
            <w:vAlign w:val="center"/>
          </w:tcPr>
          <w:p w14:paraId="53843021">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0981E746">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约1200人</w:t>
            </w:r>
          </w:p>
        </w:tc>
      </w:tr>
      <w:tr w14:paraId="388046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0AFAFD31">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38F6A540">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23F07EFC">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旧村</w:t>
            </w:r>
          </w:p>
        </w:tc>
        <w:tc>
          <w:tcPr>
            <w:tcW w:w="972" w:type="dxa"/>
            <w:gridSpan w:val="2"/>
            <w:vAlign w:val="center"/>
          </w:tcPr>
          <w:p w14:paraId="000AD4C1">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东北</w:t>
            </w:r>
          </w:p>
        </w:tc>
        <w:tc>
          <w:tcPr>
            <w:tcW w:w="1775" w:type="dxa"/>
            <w:gridSpan w:val="3"/>
            <w:vAlign w:val="center"/>
          </w:tcPr>
          <w:p w14:paraId="66EE36AE">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4.75</w:t>
            </w:r>
          </w:p>
        </w:tc>
        <w:tc>
          <w:tcPr>
            <w:tcW w:w="1486" w:type="dxa"/>
            <w:gridSpan w:val="3"/>
            <w:vAlign w:val="center"/>
          </w:tcPr>
          <w:p w14:paraId="6E6ED51E">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0E3EC59F">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约459人</w:t>
            </w:r>
          </w:p>
        </w:tc>
      </w:tr>
      <w:tr w14:paraId="5AA7A1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34C7B496">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6CEACDCA">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53ADC769">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沙岗头村</w:t>
            </w:r>
          </w:p>
        </w:tc>
        <w:tc>
          <w:tcPr>
            <w:tcW w:w="972" w:type="dxa"/>
            <w:gridSpan w:val="2"/>
            <w:vAlign w:val="center"/>
          </w:tcPr>
          <w:p w14:paraId="74B19AC9">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东北</w:t>
            </w:r>
          </w:p>
        </w:tc>
        <w:tc>
          <w:tcPr>
            <w:tcW w:w="1775" w:type="dxa"/>
            <w:gridSpan w:val="3"/>
            <w:vAlign w:val="center"/>
          </w:tcPr>
          <w:p w14:paraId="0CF8499A">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4.43</w:t>
            </w:r>
          </w:p>
        </w:tc>
        <w:tc>
          <w:tcPr>
            <w:tcW w:w="1486" w:type="dxa"/>
            <w:gridSpan w:val="3"/>
            <w:vAlign w:val="center"/>
          </w:tcPr>
          <w:p w14:paraId="2A75771F">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65989D34">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约300人</w:t>
            </w:r>
          </w:p>
        </w:tc>
      </w:tr>
      <w:tr w14:paraId="33FA98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772DDF96">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3DE73023">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26CF8F83">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hAnsi="Times New Roman"/>
                <w:color w:val="auto"/>
                <w:u w:val="single"/>
              </w:rPr>
              <w:t>金鼓村</w:t>
            </w:r>
          </w:p>
        </w:tc>
        <w:tc>
          <w:tcPr>
            <w:tcW w:w="972" w:type="dxa"/>
            <w:gridSpan w:val="2"/>
            <w:vAlign w:val="center"/>
          </w:tcPr>
          <w:p w14:paraId="569BDCE3">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东北</w:t>
            </w:r>
          </w:p>
        </w:tc>
        <w:tc>
          <w:tcPr>
            <w:tcW w:w="1775" w:type="dxa"/>
            <w:gridSpan w:val="3"/>
            <w:vAlign w:val="center"/>
          </w:tcPr>
          <w:p w14:paraId="28153C06">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4.8</w:t>
            </w:r>
          </w:p>
        </w:tc>
        <w:tc>
          <w:tcPr>
            <w:tcW w:w="1486" w:type="dxa"/>
            <w:gridSpan w:val="3"/>
            <w:vAlign w:val="center"/>
          </w:tcPr>
          <w:p w14:paraId="7B073382">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5DEDA760">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hAnsi="Times New Roman"/>
                <w:color w:val="auto"/>
                <w:u w:val="single"/>
              </w:rPr>
              <w:t>1300</w:t>
            </w:r>
          </w:p>
        </w:tc>
      </w:tr>
      <w:tr w14:paraId="0DBC4F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53945197">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3DCBD20B">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0D1D4E16">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hAnsi="Times New Roman"/>
                <w:color w:val="auto"/>
                <w:u w:val="single"/>
              </w:rPr>
              <w:t>淡水湾</w:t>
            </w:r>
            <w:r>
              <w:rPr>
                <w:rFonts w:hint="default" w:hAnsi="Times New Roman"/>
                <w:color w:val="auto"/>
                <w:u w:val="single"/>
              </w:rPr>
              <w:t>村</w:t>
            </w:r>
          </w:p>
        </w:tc>
        <w:tc>
          <w:tcPr>
            <w:tcW w:w="972" w:type="dxa"/>
            <w:gridSpan w:val="2"/>
            <w:vAlign w:val="center"/>
          </w:tcPr>
          <w:p w14:paraId="2961119A">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东北</w:t>
            </w:r>
          </w:p>
        </w:tc>
        <w:tc>
          <w:tcPr>
            <w:tcW w:w="1775" w:type="dxa"/>
            <w:gridSpan w:val="3"/>
            <w:vAlign w:val="center"/>
          </w:tcPr>
          <w:p w14:paraId="59B19FE0">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4.27</w:t>
            </w:r>
          </w:p>
        </w:tc>
        <w:tc>
          <w:tcPr>
            <w:tcW w:w="1486" w:type="dxa"/>
            <w:gridSpan w:val="3"/>
            <w:vAlign w:val="center"/>
          </w:tcPr>
          <w:p w14:paraId="5D3113EC">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5524C4A3">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约</w:t>
            </w:r>
            <w:r>
              <w:rPr>
                <w:rFonts w:hint="eastAsia" w:hAnsi="Times New Roman"/>
                <w:color w:val="auto"/>
                <w:u w:val="single"/>
              </w:rPr>
              <w:t>2</w:t>
            </w:r>
            <w:r>
              <w:rPr>
                <w:rFonts w:hint="default" w:hAnsi="Times New Roman"/>
                <w:color w:val="auto"/>
                <w:u w:val="single"/>
              </w:rPr>
              <w:t>00人</w:t>
            </w:r>
          </w:p>
        </w:tc>
      </w:tr>
      <w:tr w14:paraId="3A02DF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548EDFA0">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322E793D">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2EE9A76E">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hAnsi="Times New Roman"/>
                <w:color w:val="auto"/>
                <w:u w:val="single"/>
              </w:rPr>
              <w:t>过山路村</w:t>
            </w:r>
          </w:p>
        </w:tc>
        <w:tc>
          <w:tcPr>
            <w:tcW w:w="972" w:type="dxa"/>
            <w:gridSpan w:val="2"/>
            <w:vAlign w:val="center"/>
          </w:tcPr>
          <w:p w14:paraId="1998EF5C">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东北</w:t>
            </w:r>
          </w:p>
        </w:tc>
        <w:tc>
          <w:tcPr>
            <w:tcW w:w="1775" w:type="dxa"/>
            <w:gridSpan w:val="3"/>
            <w:vAlign w:val="center"/>
          </w:tcPr>
          <w:p w14:paraId="1E5D9680">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4.61</w:t>
            </w:r>
          </w:p>
        </w:tc>
        <w:tc>
          <w:tcPr>
            <w:tcW w:w="1486" w:type="dxa"/>
            <w:gridSpan w:val="3"/>
            <w:vAlign w:val="center"/>
          </w:tcPr>
          <w:p w14:paraId="21EB0A57">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2A15A2AB">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hAnsi="Times New Roman"/>
                <w:color w:val="auto"/>
                <w:u w:val="single"/>
              </w:rPr>
              <w:t>400</w:t>
            </w:r>
          </w:p>
        </w:tc>
      </w:tr>
      <w:tr w14:paraId="21D070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5A796DAB">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0F1F6D01">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405745B1">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北泊位生活小区</w:t>
            </w:r>
          </w:p>
        </w:tc>
        <w:tc>
          <w:tcPr>
            <w:tcW w:w="972" w:type="dxa"/>
            <w:gridSpan w:val="2"/>
            <w:vAlign w:val="center"/>
          </w:tcPr>
          <w:p w14:paraId="77765C8F">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东北</w:t>
            </w:r>
          </w:p>
        </w:tc>
        <w:tc>
          <w:tcPr>
            <w:tcW w:w="1775" w:type="dxa"/>
            <w:gridSpan w:val="3"/>
            <w:vAlign w:val="center"/>
          </w:tcPr>
          <w:p w14:paraId="4DC039FD">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3.21</w:t>
            </w:r>
          </w:p>
        </w:tc>
        <w:tc>
          <w:tcPr>
            <w:tcW w:w="1486" w:type="dxa"/>
            <w:gridSpan w:val="3"/>
            <w:vAlign w:val="center"/>
          </w:tcPr>
          <w:p w14:paraId="447EA9B3">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086DC871">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约80人</w:t>
            </w:r>
          </w:p>
        </w:tc>
      </w:tr>
      <w:tr w14:paraId="440F90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3A628F78">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326029F9">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405C903B">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hAnsi="Times New Roman"/>
                <w:color w:val="auto"/>
                <w:u w:val="single"/>
              </w:rPr>
              <w:t>钦州</w:t>
            </w:r>
            <w:r>
              <w:rPr>
                <w:rFonts w:hint="default" w:hAnsi="Times New Roman"/>
                <w:color w:val="auto"/>
                <w:u w:val="single"/>
              </w:rPr>
              <w:t>保税港区管委会</w:t>
            </w:r>
          </w:p>
        </w:tc>
        <w:tc>
          <w:tcPr>
            <w:tcW w:w="972" w:type="dxa"/>
            <w:gridSpan w:val="2"/>
            <w:vAlign w:val="center"/>
          </w:tcPr>
          <w:p w14:paraId="35154BD0">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hAnsi="Times New Roman"/>
                <w:color w:val="auto"/>
                <w:u w:val="single"/>
              </w:rPr>
              <w:t>东</w:t>
            </w:r>
          </w:p>
        </w:tc>
        <w:tc>
          <w:tcPr>
            <w:tcW w:w="1775" w:type="dxa"/>
            <w:gridSpan w:val="3"/>
            <w:vAlign w:val="center"/>
          </w:tcPr>
          <w:p w14:paraId="211B0C5E">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3.53</w:t>
            </w:r>
          </w:p>
        </w:tc>
        <w:tc>
          <w:tcPr>
            <w:tcW w:w="1486" w:type="dxa"/>
            <w:gridSpan w:val="3"/>
            <w:vAlign w:val="center"/>
          </w:tcPr>
          <w:p w14:paraId="2F5F3021">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hAnsi="Times New Roman"/>
                <w:color w:val="auto"/>
                <w:u w:val="single"/>
              </w:rPr>
              <w:t>办公区</w:t>
            </w:r>
          </w:p>
        </w:tc>
        <w:tc>
          <w:tcPr>
            <w:tcW w:w="1417" w:type="dxa"/>
            <w:vAlign w:val="center"/>
          </w:tcPr>
          <w:p w14:paraId="02BED6FD">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hAnsi="Times New Roman"/>
                <w:color w:val="auto"/>
                <w:u w:val="single"/>
              </w:rPr>
              <w:t>200</w:t>
            </w:r>
          </w:p>
        </w:tc>
      </w:tr>
      <w:tr w14:paraId="06155A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3FF8FBD9">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323A9386">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518B3966">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红沙村</w:t>
            </w:r>
          </w:p>
        </w:tc>
        <w:tc>
          <w:tcPr>
            <w:tcW w:w="972" w:type="dxa"/>
            <w:gridSpan w:val="2"/>
            <w:vAlign w:val="center"/>
          </w:tcPr>
          <w:p w14:paraId="536C67A9">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西南</w:t>
            </w:r>
          </w:p>
        </w:tc>
        <w:tc>
          <w:tcPr>
            <w:tcW w:w="1775" w:type="dxa"/>
            <w:gridSpan w:val="3"/>
            <w:vAlign w:val="center"/>
          </w:tcPr>
          <w:p w14:paraId="41B288D4">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4.28</w:t>
            </w:r>
          </w:p>
        </w:tc>
        <w:tc>
          <w:tcPr>
            <w:tcW w:w="1486" w:type="dxa"/>
            <w:gridSpan w:val="3"/>
            <w:vAlign w:val="center"/>
          </w:tcPr>
          <w:p w14:paraId="4341AEA0">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3EAB19CD">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约50人</w:t>
            </w:r>
          </w:p>
        </w:tc>
      </w:tr>
      <w:tr w14:paraId="546A10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75CB829C">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3208A622">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111242F4">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盐田港村</w:t>
            </w:r>
          </w:p>
        </w:tc>
        <w:tc>
          <w:tcPr>
            <w:tcW w:w="972" w:type="dxa"/>
            <w:gridSpan w:val="2"/>
            <w:vAlign w:val="center"/>
          </w:tcPr>
          <w:p w14:paraId="665537F9">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西南</w:t>
            </w:r>
          </w:p>
        </w:tc>
        <w:tc>
          <w:tcPr>
            <w:tcW w:w="1775" w:type="dxa"/>
            <w:gridSpan w:val="3"/>
            <w:vAlign w:val="center"/>
          </w:tcPr>
          <w:p w14:paraId="0D7FA721">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4.67</w:t>
            </w:r>
          </w:p>
        </w:tc>
        <w:tc>
          <w:tcPr>
            <w:tcW w:w="1486" w:type="dxa"/>
            <w:gridSpan w:val="3"/>
            <w:vAlign w:val="center"/>
          </w:tcPr>
          <w:p w14:paraId="49F07B07">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1B7D0EEF">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约30人</w:t>
            </w:r>
          </w:p>
        </w:tc>
      </w:tr>
      <w:tr w14:paraId="107161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346F84A3">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53242B75">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28222A58">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虾场中间村</w:t>
            </w:r>
          </w:p>
        </w:tc>
        <w:tc>
          <w:tcPr>
            <w:tcW w:w="972" w:type="dxa"/>
            <w:gridSpan w:val="2"/>
            <w:vAlign w:val="center"/>
          </w:tcPr>
          <w:p w14:paraId="70C00CB6">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西南</w:t>
            </w:r>
          </w:p>
        </w:tc>
        <w:tc>
          <w:tcPr>
            <w:tcW w:w="1775" w:type="dxa"/>
            <w:gridSpan w:val="3"/>
            <w:vAlign w:val="center"/>
          </w:tcPr>
          <w:p w14:paraId="556C355F">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4.76</w:t>
            </w:r>
          </w:p>
        </w:tc>
        <w:tc>
          <w:tcPr>
            <w:tcW w:w="1486" w:type="dxa"/>
            <w:gridSpan w:val="3"/>
            <w:vAlign w:val="center"/>
          </w:tcPr>
          <w:p w14:paraId="7B713758">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079AB4C3">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约50人</w:t>
            </w:r>
          </w:p>
        </w:tc>
      </w:tr>
      <w:tr w14:paraId="51ACC7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127CA9B3">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0F06D1A1">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71DE0717">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老虎墩</w:t>
            </w:r>
          </w:p>
        </w:tc>
        <w:tc>
          <w:tcPr>
            <w:tcW w:w="972" w:type="dxa"/>
            <w:gridSpan w:val="2"/>
            <w:vAlign w:val="center"/>
          </w:tcPr>
          <w:p w14:paraId="48641317">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西</w:t>
            </w:r>
          </w:p>
        </w:tc>
        <w:tc>
          <w:tcPr>
            <w:tcW w:w="1775" w:type="dxa"/>
            <w:gridSpan w:val="3"/>
            <w:vAlign w:val="center"/>
          </w:tcPr>
          <w:p w14:paraId="0D0B6AE6">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5</w:t>
            </w:r>
          </w:p>
        </w:tc>
        <w:tc>
          <w:tcPr>
            <w:tcW w:w="1486" w:type="dxa"/>
            <w:gridSpan w:val="3"/>
            <w:vAlign w:val="center"/>
          </w:tcPr>
          <w:p w14:paraId="0422B65E">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2116A08A">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约60人</w:t>
            </w:r>
          </w:p>
        </w:tc>
      </w:tr>
      <w:tr w14:paraId="3A8101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2D671D0A">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4944A46F">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5410B80F">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稔子</w:t>
            </w:r>
            <w:r>
              <w:rPr>
                <w:rFonts w:hint="eastAsia" w:hAnsi="Times New Roman"/>
                <w:color w:val="auto"/>
                <w:u w:val="single"/>
              </w:rPr>
              <w:t>山</w:t>
            </w:r>
            <w:r>
              <w:rPr>
                <w:rFonts w:hint="default" w:hAnsi="Times New Roman"/>
                <w:color w:val="auto"/>
                <w:u w:val="single"/>
              </w:rPr>
              <w:t>村</w:t>
            </w:r>
          </w:p>
        </w:tc>
        <w:tc>
          <w:tcPr>
            <w:tcW w:w="972" w:type="dxa"/>
            <w:gridSpan w:val="2"/>
            <w:vAlign w:val="center"/>
          </w:tcPr>
          <w:p w14:paraId="2F8791EB">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西南</w:t>
            </w:r>
          </w:p>
        </w:tc>
        <w:tc>
          <w:tcPr>
            <w:tcW w:w="1775" w:type="dxa"/>
            <w:gridSpan w:val="3"/>
            <w:vAlign w:val="center"/>
          </w:tcPr>
          <w:p w14:paraId="681E58DC">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4.53</w:t>
            </w:r>
          </w:p>
        </w:tc>
        <w:tc>
          <w:tcPr>
            <w:tcW w:w="1486" w:type="dxa"/>
            <w:gridSpan w:val="3"/>
            <w:vAlign w:val="center"/>
          </w:tcPr>
          <w:p w14:paraId="46620BDF">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6AB8BCAF">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约50人</w:t>
            </w:r>
          </w:p>
        </w:tc>
      </w:tr>
      <w:tr w14:paraId="27E2B5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40084E53">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366B5D45">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0BED9E8F">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大</w:t>
            </w:r>
            <w:r>
              <w:rPr>
                <w:rFonts w:hint="eastAsia" w:ascii="宋体" w:cs="宋体"/>
                <w:color w:val="auto"/>
                <w:u w:val="single"/>
              </w:rPr>
              <w:t>𬇕</w:t>
            </w:r>
            <w:r>
              <w:rPr>
                <w:rFonts w:hint="default" w:hAnsi="Times New Roman"/>
                <w:color w:val="auto"/>
                <w:u w:val="single"/>
              </w:rPr>
              <w:t>村</w:t>
            </w:r>
          </w:p>
        </w:tc>
        <w:tc>
          <w:tcPr>
            <w:tcW w:w="972" w:type="dxa"/>
            <w:gridSpan w:val="2"/>
            <w:vAlign w:val="center"/>
          </w:tcPr>
          <w:p w14:paraId="42C3914D">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西南</w:t>
            </w:r>
          </w:p>
        </w:tc>
        <w:tc>
          <w:tcPr>
            <w:tcW w:w="1775" w:type="dxa"/>
            <w:gridSpan w:val="3"/>
            <w:vAlign w:val="center"/>
          </w:tcPr>
          <w:p w14:paraId="308E2FA8">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4.48</w:t>
            </w:r>
          </w:p>
        </w:tc>
        <w:tc>
          <w:tcPr>
            <w:tcW w:w="1486" w:type="dxa"/>
            <w:gridSpan w:val="3"/>
            <w:vAlign w:val="center"/>
          </w:tcPr>
          <w:p w14:paraId="03B12223">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200EE998">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约30人</w:t>
            </w:r>
          </w:p>
        </w:tc>
      </w:tr>
      <w:tr w14:paraId="136033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26FC576B">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2DFC0650">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0C44E74C">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湾潭村</w:t>
            </w:r>
          </w:p>
        </w:tc>
        <w:tc>
          <w:tcPr>
            <w:tcW w:w="972" w:type="dxa"/>
            <w:gridSpan w:val="2"/>
            <w:vAlign w:val="center"/>
          </w:tcPr>
          <w:p w14:paraId="34D783B9">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西南</w:t>
            </w:r>
          </w:p>
        </w:tc>
        <w:tc>
          <w:tcPr>
            <w:tcW w:w="1775" w:type="dxa"/>
            <w:gridSpan w:val="3"/>
            <w:vAlign w:val="center"/>
          </w:tcPr>
          <w:p w14:paraId="629B4BC5">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5</w:t>
            </w:r>
          </w:p>
        </w:tc>
        <w:tc>
          <w:tcPr>
            <w:tcW w:w="1486" w:type="dxa"/>
            <w:gridSpan w:val="3"/>
            <w:vAlign w:val="center"/>
          </w:tcPr>
          <w:p w14:paraId="4725802A">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54237D04">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约40人</w:t>
            </w:r>
          </w:p>
        </w:tc>
      </w:tr>
      <w:tr w14:paraId="2B7536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27AB225D">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3CA25D27">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2AAB6FA3">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亚婆田村</w:t>
            </w:r>
          </w:p>
        </w:tc>
        <w:tc>
          <w:tcPr>
            <w:tcW w:w="972" w:type="dxa"/>
            <w:gridSpan w:val="2"/>
            <w:vAlign w:val="center"/>
          </w:tcPr>
          <w:p w14:paraId="6E04AF1A">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西南</w:t>
            </w:r>
          </w:p>
        </w:tc>
        <w:tc>
          <w:tcPr>
            <w:tcW w:w="1775" w:type="dxa"/>
            <w:gridSpan w:val="3"/>
            <w:vAlign w:val="center"/>
          </w:tcPr>
          <w:p w14:paraId="762B0FB1">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5.11</w:t>
            </w:r>
          </w:p>
        </w:tc>
        <w:tc>
          <w:tcPr>
            <w:tcW w:w="1486" w:type="dxa"/>
            <w:gridSpan w:val="3"/>
            <w:vAlign w:val="center"/>
          </w:tcPr>
          <w:p w14:paraId="6DDD67FE">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居民点</w:t>
            </w:r>
          </w:p>
        </w:tc>
        <w:tc>
          <w:tcPr>
            <w:tcW w:w="1417" w:type="dxa"/>
            <w:vAlign w:val="center"/>
          </w:tcPr>
          <w:p w14:paraId="6F45BB47">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约800人</w:t>
            </w:r>
          </w:p>
        </w:tc>
      </w:tr>
      <w:tr w14:paraId="3A1B1A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6925533A">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05A1531B">
            <w:pPr>
              <w:pStyle w:val="77"/>
              <w:keepNext w:val="0"/>
              <w:keepLines w:val="0"/>
              <w:numPr>
                <w:ilvl w:val="0"/>
                <w:numId w:val="24"/>
              </w:numPr>
              <w:suppressLineNumbers w:val="0"/>
              <w:spacing w:before="0" w:beforeAutospacing="0" w:after="0" w:afterAutospacing="0"/>
              <w:ind w:right="0"/>
              <w:rPr>
                <w:rFonts w:hint="default"/>
                <w:color w:val="auto"/>
              </w:rPr>
            </w:pPr>
          </w:p>
        </w:tc>
        <w:tc>
          <w:tcPr>
            <w:tcW w:w="2101" w:type="dxa"/>
            <w:gridSpan w:val="2"/>
            <w:vAlign w:val="center"/>
          </w:tcPr>
          <w:p w14:paraId="11166E8C">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钦州港滨海医院</w:t>
            </w:r>
          </w:p>
        </w:tc>
        <w:tc>
          <w:tcPr>
            <w:tcW w:w="972" w:type="dxa"/>
            <w:gridSpan w:val="2"/>
            <w:vAlign w:val="center"/>
          </w:tcPr>
          <w:p w14:paraId="778A3FD0">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西南</w:t>
            </w:r>
          </w:p>
        </w:tc>
        <w:tc>
          <w:tcPr>
            <w:tcW w:w="1775" w:type="dxa"/>
            <w:gridSpan w:val="3"/>
            <w:vAlign w:val="center"/>
          </w:tcPr>
          <w:p w14:paraId="03EAA47C">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eastAsia"/>
                <w:color w:val="auto"/>
                <w:u w:val="single"/>
              </w:rPr>
              <w:t>3.94</w:t>
            </w:r>
          </w:p>
        </w:tc>
        <w:tc>
          <w:tcPr>
            <w:tcW w:w="1486" w:type="dxa"/>
            <w:gridSpan w:val="3"/>
            <w:vAlign w:val="center"/>
          </w:tcPr>
          <w:p w14:paraId="7E0D8342">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医院</w:t>
            </w:r>
          </w:p>
        </w:tc>
        <w:tc>
          <w:tcPr>
            <w:tcW w:w="1417" w:type="dxa"/>
            <w:vAlign w:val="center"/>
          </w:tcPr>
          <w:p w14:paraId="3699449F">
            <w:pPr>
              <w:pStyle w:val="91"/>
              <w:keepNext w:val="0"/>
              <w:keepLines w:val="0"/>
              <w:suppressLineNumbers w:val="0"/>
              <w:spacing w:before="0" w:beforeAutospacing="0" w:after="0" w:afterAutospacing="0"/>
              <w:ind w:left="0" w:right="0" w:firstLine="0" w:firstLineChars="0"/>
              <w:rPr>
                <w:rFonts w:hint="default"/>
                <w:color w:val="auto"/>
                <w:u w:val="single"/>
              </w:rPr>
            </w:pPr>
            <w:r>
              <w:rPr>
                <w:rFonts w:hint="default" w:hAnsi="Times New Roman"/>
                <w:color w:val="auto"/>
                <w:u w:val="single"/>
              </w:rPr>
              <w:t>100~500人</w:t>
            </w:r>
          </w:p>
        </w:tc>
      </w:tr>
      <w:tr w14:paraId="0804E3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18A322D5">
            <w:pPr>
              <w:pStyle w:val="77"/>
              <w:keepNext w:val="0"/>
              <w:keepLines w:val="0"/>
              <w:suppressLineNumbers w:val="0"/>
              <w:spacing w:before="0" w:beforeAutospacing="0" w:after="0" w:afterAutospacing="0"/>
              <w:ind w:left="0" w:right="0"/>
              <w:rPr>
                <w:rFonts w:hint="default"/>
                <w:color w:val="auto"/>
              </w:rPr>
            </w:pPr>
          </w:p>
        </w:tc>
        <w:tc>
          <w:tcPr>
            <w:tcW w:w="6804" w:type="dxa"/>
            <w:gridSpan w:val="11"/>
            <w:vAlign w:val="center"/>
          </w:tcPr>
          <w:p w14:paraId="78A8A0F8">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厂址周边500m范围内人口数小计</w:t>
            </w:r>
          </w:p>
        </w:tc>
        <w:tc>
          <w:tcPr>
            <w:tcW w:w="1417" w:type="dxa"/>
            <w:vAlign w:val="center"/>
          </w:tcPr>
          <w:p w14:paraId="78344340">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0</w:t>
            </w:r>
          </w:p>
        </w:tc>
      </w:tr>
      <w:tr w14:paraId="4C5D23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3E98FCC5">
            <w:pPr>
              <w:pStyle w:val="77"/>
              <w:keepNext w:val="0"/>
              <w:keepLines w:val="0"/>
              <w:suppressLineNumbers w:val="0"/>
              <w:spacing w:before="0" w:beforeAutospacing="0" w:after="0" w:afterAutospacing="0"/>
              <w:ind w:left="0" w:right="0"/>
              <w:rPr>
                <w:rFonts w:hint="default"/>
                <w:color w:val="auto"/>
              </w:rPr>
            </w:pPr>
          </w:p>
        </w:tc>
        <w:tc>
          <w:tcPr>
            <w:tcW w:w="6804" w:type="dxa"/>
            <w:gridSpan w:val="11"/>
            <w:vAlign w:val="center"/>
          </w:tcPr>
          <w:p w14:paraId="0E25E5CA">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厂址周边5km范围内人口数小计</w:t>
            </w:r>
          </w:p>
        </w:tc>
        <w:tc>
          <w:tcPr>
            <w:tcW w:w="1417" w:type="dxa"/>
            <w:vAlign w:val="center"/>
          </w:tcPr>
          <w:p w14:paraId="5EED3027">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27169</w:t>
            </w:r>
          </w:p>
        </w:tc>
      </w:tr>
      <w:tr w14:paraId="7ABF39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2C30956D">
            <w:pPr>
              <w:pStyle w:val="77"/>
              <w:keepNext w:val="0"/>
              <w:keepLines w:val="0"/>
              <w:suppressLineNumbers w:val="0"/>
              <w:spacing w:before="0" w:beforeAutospacing="0" w:after="0" w:afterAutospacing="0"/>
              <w:ind w:left="0" w:right="0"/>
              <w:rPr>
                <w:rFonts w:hint="default"/>
                <w:color w:val="auto"/>
              </w:rPr>
            </w:pPr>
          </w:p>
        </w:tc>
        <w:tc>
          <w:tcPr>
            <w:tcW w:w="6804" w:type="dxa"/>
            <w:gridSpan w:val="11"/>
            <w:vAlign w:val="center"/>
          </w:tcPr>
          <w:p w14:paraId="5EE13DEE">
            <w:pPr>
              <w:pStyle w:val="77"/>
              <w:keepNext w:val="0"/>
              <w:keepLines w:val="0"/>
              <w:suppressLineNumbers w:val="0"/>
              <w:spacing w:before="0" w:beforeAutospacing="0" w:after="0" w:afterAutospacing="0"/>
              <w:ind w:left="0" w:right="0"/>
              <w:rPr>
                <w:rFonts w:hint="default"/>
                <w:color w:val="auto"/>
              </w:rPr>
            </w:pPr>
            <w:r>
              <w:rPr>
                <w:rFonts w:hint="default"/>
                <w:color w:val="auto"/>
              </w:rPr>
              <w:t>大气环境敏感程度E值</w:t>
            </w:r>
          </w:p>
        </w:tc>
        <w:tc>
          <w:tcPr>
            <w:tcW w:w="1417" w:type="dxa"/>
            <w:vAlign w:val="center"/>
          </w:tcPr>
          <w:p w14:paraId="0211AA4F">
            <w:pPr>
              <w:pStyle w:val="77"/>
              <w:keepNext w:val="0"/>
              <w:keepLines w:val="0"/>
              <w:suppressLineNumbers w:val="0"/>
              <w:spacing w:before="0" w:beforeAutospacing="0" w:after="0" w:afterAutospacing="0"/>
              <w:ind w:left="0" w:right="0"/>
              <w:rPr>
                <w:rFonts w:hint="default"/>
                <w:color w:val="auto"/>
              </w:rPr>
            </w:pPr>
            <w:r>
              <w:rPr>
                <w:rFonts w:hint="default"/>
                <w:color w:val="auto"/>
              </w:rPr>
              <w:t>E2</w:t>
            </w:r>
          </w:p>
        </w:tc>
      </w:tr>
      <w:tr w14:paraId="6FED97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restart"/>
            <w:vAlign w:val="center"/>
          </w:tcPr>
          <w:p w14:paraId="1519EBB6">
            <w:pPr>
              <w:pStyle w:val="77"/>
              <w:keepNext w:val="0"/>
              <w:keepLines w:val="0"/>
              <w:suppressLineNumbers w:val="0"/>
              <w:spacing w:before="0" w:beforeAutospacing="0" w:after="0" w:afterAutospacing="0"/>
              <w:ind w:left="0" w:right="0"/>
              <w:rPr>
                <w:rFonts w:hint="default"/>
                <w:color w:val="auto"/>
              </w:rPr>
            </w:pPr>
            <w:r>
              <w:rPr>
                <w:rFonts w:hint="default"/>
                <w:color w:val="auto"/>
              </w:rPr>
              <w:t>地表水</w:t>
            </w:r>
          </w:p>
        </w:tc>
        <w:tc>
          <w:tcPr>
            <w:tcW w:w="8221" w:type="dxa"/>
            <w:gridSpan w:val="12"/>
            <w:vAlign w:val="center"/>
          </w:tcPr>
          <w:p w14:paraId="1E745500">
            <w:pPr>
              <w:pStyle w:val="77"/>
              <w:keepNext w:val="0"/>
              <w:keepLines w:val="0"/>
              <w:suppressLineNumbers w:val="0"/>
              <w:spacing w:before="0" w:beforeAutospacing="0" w:after="0" w:afterAutospacing="0"/>
              <w:ind w:left="0" w:right="0"/>
              <w:rPr>
                <w:rFonts w:hint="default"/>
                <w:color w:val="auto"/>
              </w:rPr>
            </w:pPr>
            <w:r>
              <w:rPr>
                <w:rFonts w:hint="default"/>
                <w:color w:val="auto"/>
              </w:rPr>
              <w:t>受纳水体</w:t>
            </w:r>
          </w:p>
        </w:tc>
      </w:tr>
      <w:tr w14:paraId="5882C4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08CA7978">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5AA2ACE9">
            <w:pPr>
              <w:pStyle w:val="77"/>
              <w:keepNext w:val="0"/>
              <w:keepLines w:val="0"/>
              <w:suppressLineNumbers w:val="0"/>
              <w:spacing w:before="0" w:beforeAutospacing="0" w:after="0" w:afterAutospacing="0"/>
              <w:ind w:left="0" w:right="0"/>
              <w:rPr>
                <w:rFonts w:hint="default"/>
                <w:color w:val="auto"/>
              </w:rPr>
            </w:pPr>
            <w:r>
              <w:rPr>
                <w:rFonts w:hint="default"/>
                <w:color w:val="auto"/>
              </w:rPr>
              <w:t>序号</w:t>
            </w:r>
          </w:p>
        </w:tc>
        <w:tc>
          <w:tcPr>
            <w:tcW w:w="3073" w:type="dxa"/>
            <w:gridSpan w:val="4"/>
            <w:vAlign w:val="center"/>
          </w:tcPr>
          <w:p w14:paraId="2DD048F4">
            <w:pPr>
              <w:pStyle w:val="77"/>
              <w:keepNext w:val="0"/>
              <w:keepLines w:val="0"/>
              <w:suppressLineNumbers w:val="0"/>
              <w:spacing w:before="0" w:beforeAutospacing="0" w:after="0" w:afterAutospacing="0"/>
              <w:ind w:left="0" w:right="0"/>
              <w:rPr>
                <w:rFonts w:hint="default"/>
                <w:color w:val="auto"/>
              </w:rPr>
            </w:pPr>
            <w:r>
              <w:rPr>
                <w:rFonts w:hint="default"/>
                <w:color w:val="auto"/>
              </w:rPr>
              <w:t>受纳水体名称</w:t>
            </w:r>
          </w:p>
        </w:tc>
        <w:tc>
          <w:tcPr>
            <w:tcW w:w="3261" w:type="dxa"/>
            <w:gridSpan w:val="6"/>
            <w:vAlign w:val="center"/>
          </w:tcPr>
          <w:p w14:paraId="2A8B781B">
            <w:pPr>
              <w:pStyle w:val="77"/>
              <w:keepNext w:val="0"/>
              <w:keepLines w:val="0"/>
              <w:suppressLineNumbers w:val="0"/>
              <w:spacing w:before="0" w:beforeAutospacing="0" w:after="0" w:afterAutospacing="0"/>
              <w:ind w:left="0" w:right="0"/>
              <w:rPr>
                <w:rFonts w:hint="default"/>
                <w:color w:val="auto"/>
              </w:rPr>
            </w:pPr>
            <w:r>
              <w:rPr>
                <w:rFonts w:hint="default"/>
                <w:color w:val="auto"/>
              </w:rPr>
              <w:t>排放点水域环境功能</w:t>
            </w:r>
          </w:p>
        </w:tc>
        <w:tc>
          <w:tcPr>
            <w:tcW w:w="1417" w:type="dxa"/>
            <w:vAlign w:val="center"/>
          </w:tcPr>
          <w:p w14:paraId="438B77E1">
            <w:pPr>
              <w:pStyle w:val="77"/>
              <w:keepNext w:val="0"/>
              <w:keepLines w:val="0"/>
              <w:suppressLineNumbers w:val="0"/>
              <w:spacing w:before="0" w:beforeAutospacing="0" w:after="0" w:afterAutospacing="0"/>
              <w:ind w:left="0" w:right="0"/>
              <w:rPr>
                <w:rFonts w:hint="default"/>
                <w:color w:val="auto"/>
              </w:rPr>
            </w:pPr>
            <w:r>
              <w:rPr>
                <w:rFonts w:hint="default"/>
                <w:color w:val="auto"/>
              </w:rPr>
              <w:t>24h内流经范围km</w:t>
            </w:r>
          </w:p>
        </w:tc>
      </w:tr>
      <w:tr w14:paraId="220066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2BC9E8A1">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7BEE403A">
            <w:pPr>
              <w:pStyle w:val="77"/>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3073" w:type="dxa"/>
            <w:gridSpan w:val="4"/>
            <w:vAlign w:val="center"/>
          </w:tcPr>
          <w:p w14:paraId="7E22E5CE">
            <w:pPr>
              <w:pStyle w:val="77"/>
              <w:keepNext w:val="0"/>
              <w:keepLines w:val="0"/>
              <w:suppressLineNumbers w:val="0"/>
              <w:spacing w:before="0" w:beforeAutospacing="0" w:after="0" w:afterAutospacing="0"/>
              <w:ind w:left="0" w:right="0"/>
              <w:rPr>
                <w:rFonts w:hint="default"/>
                <w:color w:val="auto"/>
              </w:rPr>
            </w:pPr>
            <w:r>
              <w:rPr>
                <w:rFonts w:hint="default"/>
                <w:color w:val="auto"/>
              </w:rPr>
              <w:t>钦州湾</w:t>
            </w:r>
            <w:r>
              <w:rPr>
                <w:rFonts w:hint="eastAsia"/>
                <w:color w:val="auto"/>
              </w:rPr>
              <w:t>海域</w:t>
            </w:r>
          </w:p>
        </w:tc>
        <w:tc>
          <w:tcPr>
            <w:tcW w:w="3261" w:type="dxa"/>
            <w:gridSpan w:val="6"/>
            <w:vAlign w:val="center"/>
          </w:tcPr>
          <w:p w14:paraId="1BD7100A">
            <w:pPr>
              <w:pStyle w:val="77"/>
              <w:keepNext w:val="0"/>
              <w:keepLines w:val="0"/>
              <w:suppressLineNumbers w:val="0"/>
              <w:spacing w:before="0" w:beforeAutospacing="0" w:after="0" w:afterAutospacing="0"/>
              <w:ind w:left="0" w:right="0"/>
              <w:rPr>
                <w:rFonts w:hint="default"/>
                <w:color w:val="auto"/>
              </w:rPr>
            </w:pPr>
            <w:r>
              <w:rPr>
                <w:rFonts w:hint="eastAsia"/>
                <w:color w:val="auto"/>
              </w:rPr>
              <w:t>港口、</w:t>
            </w:r>
            <w:r>
              <w:rPr>
                <w:rFonts w:hint="default"/>
                <w:color w:val="auto"/>
              </w:rPr>
              <w:t>工业用海</w:t>
            </w:r>
          </w:p>
        </w:tc>
        <w:tc>
          <w:tcPr>
            <w:tcW w:w="1417" w:type="dxa"/>
            <w:vAlign w:val="center"/>
          </w:tcPr>
          <w:p w14:paraId="248F2162">
            <w:pPr>
              <w:pStyle w:val="77"/>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0AA9FD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046CC5B1">
            <w:pPr>
              <w:pStyle w:val="77"/>
              <w:keepNext w:val="0"/>
              <w:keepLines w:val="0"/>
              <w:suppressLineNumbers w:val="0"/>
              <w:spacing w:before="0" w:beforeAutospacing="0" w:after="0" w:afterAutospacing="0"/>
              <w:ind w:left="0" w:right="0"/>
              <w:rPr>
                <w:rFonts w:hint="default"/>
                <w:color w:val="auto"/>
              </w:rPr>
            </w:pPr>
          </w:p>
        </w:tc>
        <w:tc>
          <w:tcPr>
            <w:tcW w:w="8221" w:type="dxa"/>
            <w:gridSpan w:val="12"/>
            <w:vAlign w:val="center"/>
          </w:tcPr>
          <w:p w14:paraId="5BE8BD10">
            <w:pPr>
              <w:pStyle w:val="77"/>
              <w:keepNext w:val="0"/>
              <w:keepLines w:val="0"/>
              <w:suppressLineNumbers w:val="0"/>
              <w:spacing w:before="0" w:beforeAutospacing="0" w:after="0" w:afterAutospacing="0"/>
              <w:ind w:left="0" w:right="0"/>
              <w:rPr>
                <w:rFonts w:hint="default"/>
                <w:color w:val="auto"/>
              </w:rPr>
            </w:pPr>
            <w:r>
              <w:rPr>
                <w:rFonts w:hint="default"/>
                <w:color w:val="auto"/>
              </w:rPr>
              <w:t>范围内敏感目标</w:t>
            </w:r>
          </w:p>
        </w:tc>
      </w:tr>
      <w:tr w14:paraId="469C1D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3673FC21">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1A9C5462">
            <w:pPr>
              <w:pStyle w:val="77"/>
              <w:keepNext w:val="0"/>
              <w:keepLines w:val="0"/>
              <w:suppressLineNumbers w:val="0"/>
              <w:spacing w:before="0" w:beforeAutospacing="0" w:after="0" w:afterAutospacing="0"/>
              <w:ind w:left="0" w:right="0"/>
              <w:rPr>
                <w:rFonts w:hint="default"/>
                <w:color w:val="auto"/>
              </w:rPr>
            </w:pPr>
            <w:r>
              <w:rPr>
                <w:rFonts w:hint="default"/>
                <w:color w:val="auto"/>
              </w:rPr>
              <w:t>序号</w:t>
            </w:r>
          </w:p>
        </w:tc>
        <w:tc>
          <w:tcPr>
            <w:tcW w:w="3073" w:type="dxa"/>
            <w:gridSpan w:val="4"/>
            <w:vAlign w:val="center"/>
          </w:tcPr>
          <w:p w14:paraId="7A5DF7A2">
            <w:pPr>
              <w:pStyle w:val="77"/>
              <w:keepNext w:val="0"/>
              <w:keepLines w:val="0"/>
              <w:suppressLineNumbers w:val="0"/>
              <w:spacing w:before="0" w:beforeAutospacing="0" w:after="0" w:afterAutospacing="0"/>
              <w:ind w:left="0" w:right="0"/>
              <w:rPr>
                <w:rFonts w:hint="default"/>
                <w:color w:val="auto"/>
              </w:rPr>
            </w:pPr>
            <w:r>
              <w:rPr>
                <w:rFonts w:hint="default"/>
                <w:color w:val="auto"/>
              </w:rPr>
              <w:t>敏感目标名称</w:t>
            </w:r>
          </w:p>
        </w:tc>
        <w:tc>
          <w:tcPr>
            <w:tcW w:w="1560" w:type="dxa"/>
            <w:gridSpan w:val="2"/>
            <w:vAlign w:val="center"/>
          </w:tcPr>
          <w:p w14:paraId="01F1FF5C">
            <w:pPr>
              <w:pStyle w:val="77"/>
              <w:keepNext w:val="0"/>
              <w:keepLines w:val="0"/>
              <w:suppressLineNumbers w:val="0"/>
              <w:spacing w:before="0" w:beforeAutospacing="0" w:after="0" w:afterAutospacing="0"/>
              <w:ind w:left="0" w:right="0"/>
              <w:rPr>
                <w:rFonts w:hint="default"/>
                <w:color w:val="auto"/>
              </w:rPr>
            </w:pPr>
            <w:r>
              <w:rPr>
                <w:rFonts w:hint="eastAsia"/>
                <w:color w:val="auto"/>
              </w:rPr>
              <w:t>环境</w:t>
            </w:r>
            <w:r>
              <w:rPr>
                <w:rFonts w:hint="default"/>
                <w:color w:val="auto"/>
              </w:rPr>
              <w:t>敏感特征</w:t>
            </w:r>
          </w:p>
        </w:tc>
        <w:tc>
          <w:tcPr>
            <w:tcW w:w="1134" w:type="dxa"/>
            <w:gridSpan w:val="3"/>
            <w:vAlign w:val="center"/>
          </w:tcPr>
          <w:p w14:paraId="3BDE297D">
            <w:pPr>
              <w:pStyle w:val="77"/>
              <w:keepNext w:val="0"/>
              <w:keepLines w:val="0"/>
              <w:suppressLineNumbers w:val="0"/>
              <w:spacing w:before="0" w:beforeAutospacing="0" w:after="0" w:afterAutospacing="0"/>
              <w:ind w:left="0" w:right="0"/>
              <w:rPr>
                <w:rFonts w:hint="default"/>
                <w:color w:val="auto"/>
              </w:rPr>
            </w:pPr>
            <w:r>
              <w:rPr>
                <w:rFonts w:hint="eastAsia"/>
                <w:color w:val="auto"/>
              </w:rPr>
              <w:t>水质</w:t>
            </w:r>
            <w:r>
              <w:rPr>
                <w:rFonts w:hint="default"/>
                <w:color w:val="auto"/>
              </w:rPr>
              <w:t>目标</w:t>
            </w:r>
          </w:p>
        </w:tc>
        <w:tc>
          <w:tcPr>
            <w:tcW w:w="567" w:type="dxa"/>
            <w:vAlign w:val="center"/>
          </w:tcPr>
          <w:p w14:paraId="54EA7BAD">
            <w:pPr>
              <w:pStyle w:val="77"/>
              <w:keepNext w:val="0"/>
              <w:keepLines w:val="0"/>
              <w:suppressLineNumbers w:val="0"/>
              <w:spacing w:before="0" w:beforeAutospacing="0" w:after="0" w:afterAutospacing="0"/>
              <w:ind w:left="0" w:right="0"/>
              <w:rPr>
                <w:rFonts w:hint="default"/>
                <w:color w:val="auto"/>
              </w:rPr>
            </w:pPr>
            <w:r>
              <w:rPr>
                <w:rFonts w:hint="eastAsia"/>
                <w:color w:val="auto"/>
              </w:rPr>
              <w:t>方位</w:t>
            </w:r>
          </w:p>
        </w:tc>
        <w:tc>
          <w:tcPr>
            <w:tcW w:w="1417" w:type="dxa"/>
            <w:vAlign w:val="center"/>
          </w:tcPr>
          <w:p w14:paraId="42976F78">
            <w:pPr>
              <w:pStyle w:val="77"/>
              <w:keepNext w:val="0"/>
              <w:keepLines w:val="0"/>
              <w:suppressLineNumbers w:val="0"/>
              <w:spacing w:before="0" w:beforeAutospacing="0" w:after="0" w:afterAutospacing="0"/>
              <w:ind w:left="0" w:right="0"/>
              <w:rPr>
                <w:rFonts w:hint="default"/>
                <w:color w:val="auto"/>
              </w:rPr>
            </w:pPr>
            <w:r>
              <w:rPr>
                <w:rFonts w:hint="default"/>
                <w:color w:val="auto"/>
              </w:rPr>
              <w:t>与排放点</w:t>
            </w:r>
            <w:r>
              <w:rPr>
                <w:rFonts w:hint="eastAsia"/>
                <w:color w:val="auto"/>
              </w:rPr>
              <w:t>最近</w:t>
            </w:r>
            <w:r>
              <w:rPr>
                <w:rFonts w:hint="default"/>
                <w:color w:val="auto"/>
              </w:rPr>
              <w:t>距离/</w:t>
            </w:r>
            <w:r>
              <w:rPr>
                <w:rFonts w:hint="eastAsia"/>
                <w:color w:val="auto"/>
              </w:rPr>
              <w:t>k</w:t>
            </w:r>
            <w:r>
              <w:rPr>
                <w:rFonts w:hint="default"/>
                <w:color w:val="auto"/>
              </w:rPr>
              <w:t>m</w:t>
            </w:r>
          </w:p>
        </w:tc>
      </w:tr>
      <w:tr w14:paraId="38ECAC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6E1E8F22">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25660736">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562F5FD5">
            <w:pPr>
              <w:pStyle w:val="77"/>
              <w:keepNext w:val="0"/>
              <w:keepLines w:val="0"/>
              <w:suppressLineNumbers w:val="0"/>
              <w:spacing w:before="0" w:beforeAutospacing="0" w:after="0" w:afterAutospacing="0"/>
              <w:ind w:left="0" w:right="0"/>
              <w:rPr>
                <w:rFonts w:hint="default"/>
                <w:color w:val="auto"/>
              </w:rPr>
            </w:pPr>
            <w:r>
              <w:rPr>
                <w:rFonts w:hint="eastAsia"/>
                <w:color w:val="auto"/>
              </w:rPr>
              <w:t>广西茅尾海红树林自治区级自然保护区生态保护红线</w:t>
            </w:r>
          </w:p>
        </w:tc>
        <w:tc>
          <w:tcPr>
            <w:tcW w:w="1560" w:type="dxa"/>
            <w:gridSpan w:val="2"/>
            <w:vMerge w:val="restart"/>
            <w:vAlign w:val="center"/>
          </w:tcPr>
          <w:p w14:paraId="727C5793">
            <w:pPr>
              <w:pStyle w:val="77"/>
              <w:keepNext w:val="0"/>
              <w:keepLines w:val="0"/>
              <w:suppressLineNumbers w:val="0"/>
              <w:spacing w:before="0" w:beforeAutospacing="0" w:after="0" w:afterAutospacing="0"/>
              <w:ind w:left="0" w:right="0"/>
              <w:rPr>
                <w:rFonts w:hint="default"/>
                <w:color w:val="auto"/>
              </w:rPr>
            </w:pPr>
            <w:r>
              <w:rPr>
                <w:rFonts w:hint="eastAsia"/>
                <w:color w:val="auto"/>
              </w:rPr>
              <w:t>红树林</w:t>
            </w:r>
            <w:r>
              <w:rPr>
                <w:rFonts w:hint="default"/>
                <w:color w:val="auto"/>
              </w:rPr>
              <w:t>生态系统</w:t>
            </w:r>
          </w:p>
        </w:tc>
        <w:tc>
          <w:tcPr>
            <w:tcW w:w="1134" w:type="dxa"/>
            <w:gridSpan w:val="3"/>
            <w:vAlign w:val="center"/>
          </w:tcPr>
          <w:p w14:paraId="2738A381">
            <w:pPr>
              <w:pStyle w:val="77"/>
              <w:keepNext w:val="0"/>
              <w:keepLines w:val="0"/>
              <w:suppressLineNumbers w:val="0"/>
              <w:spacing w:before="0" w:beforeAutospacing="0" w:after="0" w:afterAutospacing="0"/>
              <w:ind w:left="0" w:right="0"/>
              <w:rPr>
                <w:rFonts w:hint="default"/>
                <w:color w:val="auto"/>
              </w:rPr>
            </w:pPr>
            <w:r>
              <w:rPr>
                <w:rFonts w:hint="eastAsia"/>
                <w:color w:val="auto"/>
              </w:rPr>
              <w:t>第一类</w:t>
            </w:r>
          </w:p>
        </w:tc>
        <w:tc>
          <w:tcPr>
            <w:tcW w:w="567" w:type="dxa"/>
            <w:vAlign w:val="center"/>
          </w:tcPr>
          <w:p w14:paraId="42E56481">
            <w:pPr>
              <w:pStyle w:val="77"/>
              <w:keepNext w:val="0"/>
              <w:keepLines w:val="0"/>
              <w:suppressLineNumbers w:val="0"/>
              <w:spacing w:before="0" w:beforeAutospacing="0" w:after="0" w:afterAutospacing="0"/>
              <w:ind w:left="0" w:right="0"/>
              <w:rPr>
                <w:rFonts w:hint="default"/>
                <w:color w:val="auto"/>
              </w:rPr>
            </w:pPr>
            <w:r>
              <w:rPr>
                <w:rFonts w:hint="eastAsia"/>
                <w:color w:val="auto"/>
              </w:rPr>
              <w:t>NW</w:t>
            </w:r>
          </w:p>
        </w:tc>
        <w:tc>
          <w:tcPr>
            <w:tcW w:w="1417" w:type="dxa"/>
            <w:vAlign w:val="center"/>
          </w:tcPr>
          <w:p w14:paraId="754D7E21">
            <w:pPr>
              <w:pStyle w:val="77"/>
              <w:keepNext w:val="0"/>
              <w:keepLines w:val="0"/>
              <w:suppressLineNumbers w:val="0"/>
              <w:spacing w:before="0" w:beforeAutospacing="0" w:after="0" w:afterAutospacing="0"/>
              <w:ind w:left="0" w:right="0"/>
              <w:rPr>
                <w:rFonts w:hint="default"/>
                <w:color w:val="auto"/>
              </w:rPr>
            </w:pPr>
            <w:r>
              <w:rPr>
                <w:rFonts w:hint="eastAsia"/>
                <w:color w:val="auto"/>
              </w:rPr>
              <w:t>3.98</w:t>
            </w:r>
          </w:p>
        </w:tc>
      </w:tr>
      <w:tr w14:paraId="79969A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6AB3D4F2">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0FFD2C9F">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7EA58808">
            <w:pPr>
              <w:pStyle w:val="77"/>
              <w:keepNext w:val="0"/>
              <w:keepLines w:val="0"/>
              <w:suppressLineNumbers w:val="0"/>
              <w:spacing w:before="0" w:beforeAutospacing="0" w:after="0" w:afterAutospacing="0"/>
              <w:ind w:left="0" w:right="0"/>
              <w:rPr>
                <w:rFonts w:hint="default"/>
                <w:color w:val="auto"/>
              </w:rPr>
            </w:pPr>
            <w:r>
              <w:rPr>
                <w:rFonts w:hint="eastAsia"/>
                <w:color w:val="auto"/>
              </w:rPr>
              <w:t>广西钦州茅尾海国家级海洋自然公园生态保护红线</w:t>
            </w:r>
          </w:p>
        </w:tc>
        <w:tc>
          <w:tcPr>
            <w:tcW w:w="1560" w:type="dxa"/>
            <w:gridSpan w:val="2"/>
            <w:vMerge w:val="continue"/>
            <w:vAlign w:val="center"/>
          </w:tcPr>
          <w:p w14:paraId="2F60848E">
            <w:pPr>
              <w:pStyle w:val="77"/>
              <w:keepNext w:val="0"/>
              <w:keepLines w:val="0"/>
              <w:suppressLineNumbers w:val="0"/>
              <w:spacing w:before="0" w:beforeAutospacing="0" w:after="0" w:afterAutospacing="0"/>
              <w:ind w:left="0" w:right="0"/>
              <w:rPr>
                <w:rFonts w:hint="default"/>
                <w:color w:val="auto"/>
              </w:rPr>
            </w:pPr>
          </w:p>
        </w:tc>
        <w:tc>
          <w:tcPr>
            <w:tcW w:w="1134" w:type="dxa"/>
            <w:gridSpan w:val="3"/>
            <w:vAlign w:val="center"/>
          </w:tcPr>
          <w:p w14:paraId="24CA19EC">
            <w:pPr>
              <w:pStyle w:val="77"/>
              <w:keepNext w:val="0"/>
              <w:keepLines w:val="0"/>
              <w:suppressLineNumbers w:val="0"/>
              <w:spacing w:before="0" w:beforeAutospacing="0" w:after="0" w:afterAutospacing="0"/>
              <w:ind w:left="0" w:right="0"/>
              <w:rPr>
                <w:rFonts w:hint="default"/>
                <w:color w:val="auto"/>
              </w:rPr>
            </w:pPr>
            <w:r>
              <w:rPr>
                <w:rFonts w:hint="eastAsia"/>
                <w:color w:val="auto"/>
              </w:rPr>
              <w:t>第</w:t>
            </w:r>
            <w:r>
              <w:rPr>
                <w:rFonts w:hint="eastAsia"/>
                <w:color w:val="auto"/>
                <w:lang w:eastAsia="zh-CN"/>
              </w:rPr>
              <w:t>二</w:t>
            </w:r>
            <w:r>
              <w:rPr>
                <w:rFonts w:hint="eastAsia"/>
                <w:color w:val="auto"/>
              </w:rPr>
              <w:t>类</w:t>
            </w:r>
          </w:p>
        </w:tc>
        <w:tc>
          <w:tcPr>
            <w:tcW w:w="567" w:type="dxa"/>
            <w:vAlign w:val="center"/>
          </w:tcPr>
          <w:p w14:paraId="78514082">
            <w:pPr>
              <w:pStyle w:val="77"/>
              <w:keepNext w:val="0"/>
              <w:keepLines w:val="0"/>
              <w:suppressLineNumbers w:val="0"/>
              <w:spacing w:before="0" w:beforeAutospacing="0" w:after="0" w:afterAutospacing="0"/>
              <w:ind w:left="0" w:right="0"/>
              <w:rPr>
                <w:rFonts w:hint="default"/>
                <w:color w:val="auto"/>
              </w:rPr>
            </w:pPr>
            <w:r>
              <w:rPr>
                <w:rFonts w:hint="default"/>
                <w:color w:val="auto"/>
              </w:rPr>
              <w:t>NW</w:t>
            </w:r>
          </w:p>
        </w:tc>
        <w:tc>
          <w:tcPr>
            <w:tcW w:w="1417" w:type="dxa"/>
            <w:vAlign w:val="center"/>
          </w:tcPr>
          <w:p w14:paraId="6024A9E5">
            <w:pPr>
              <w:pStyle w:val="77"/>
              <w:keepNext w:val="0"/>
              <w:keepLines w:val="0"/>
              <w:suppressLineNumbers w:val="0"/>
              <w:spacing w:before="0" w:beforeAutospacing="0" w:after="0" w:afterAutospacing="0"/>
              <w:ind w:left="0" w:right="0"/>
              <w:rPr>
                <w:rFonts w:hint="default"/>
                <w:color w:val="auto"/>
              </w:rPr>
            </w:pPr>
            <w:r>
              <w:rPr>
                <w:rFonts w:hint="default"/>
                <w:color w:val="auto"/>
              </w:rPr>
              <w:t>12</w:t>
            </w:r>
          </w:p>
        </w:tc>
      </w:tr>
      <w:tr w14:paraId="6C46D6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21C401B3">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7781EF30">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4EC2095C">
            <w:pPr>
              <w:pStyle w:val="77"/>
              <w:keepNext w:val="0"/>
              <w:keepLines w:val="0"/>
              <w:suppressLineNumbers w:val="0"/>
              <w:spacing w:before="0" w:beforeAutospacing="0" w:after="0" w:afterAutospacing="0"/>
              <w:ind w:left="0" w:right="0"/>
              <w:rPr>
                <w:rFonts w:hint="default"/>
                <w:color w:val="auto"/>
              </w:rPr>
            </w:pPr>
            <w:r>
              <w:rPr>
                <w:rFonts w:hint="eastAsia"/>
                <w:color w:val="auto"/>
              </w:rPr>
              <w:t>广西钦州红树湾自治区级湿地自然公园生态保护红线</w:t>
            </w:r>
          </w:p>
        </w:tc>
        <w:tc>
          <w:tcPr>
            <w:tcW w:w="1560" w:type="dxa"/>
            <w:gridSpan w:val="2"/>
            <w:vMerge w:val="continue"/>
            <w:vAlign w:val="center"/>
          </w:tcPr>
          <w:p w14:paraId="04EDF142">
            <w:pPr>
              <w:pStyle w:val="77"/>
              <w:keepNext w:val="0"/>
              <w:keepLines w:val="0"/>
              <w:suppressLineNumbers w:val="0"/>
              <w:spacing w:before="0" w:beforeAutospacing="0" w:after="0" w:afterAutospacing="0"/>
              <w:ind w:left="0" w:right="0"/>
              <w:rPr>
                <w:rFonts w:hint="default"/>
                <w:color w:val="auto"/>
              </w:rPr>
            </w:pPr>
          </w:p>
        </w:tc>
        <w:tc>
          <w:tcPr>
            <w:tcW w:w="1134" w:type="dxa"/>
            <w:gridSpan w:val="3"/>
            <w:vAlign w:val="center"/>
          </w:tcPr>
          <w:p w14:paraId="374D147E">
            <w:pPr>
              <w:pStyle w:val="77"/>
              <w:keepNext w:val="0"/>
              <w:keepLines w:val="0"/>
              <w:suppressLineNumbers w:val="0"/>
              <w:spacing w:before="0" w:beforeAutospacing="0" w:after="0" w:afterAutospacing="0"/>
              <w:ind w:left="0" w:right="0"/>
              <w:rPr>
                <w:rFonts w:hint="default"/>
                <w:color w:val="auto"/>
              </w:rPr>
            </w:pPr>
            <w:r>
              <w:rPr>
                <w:rFonts w:hint="eastAsia"/>
                <w:color w:val="auto"/>
              </w:rPr>
              <w:t>第二类</w:t>
            </w:r>
          </w:p>
        </w:tc>
        <w:tc>
          <w:tcPr>
            <w:tcW w:w="567" w:type="dxa"/>
            <w:vAlign w:val="center"/>
          </w:tcPr>
          <w:p w14:paraId="2318035C">
            <w:pPr>
              <w:pStyle w:val="77"/>
              <w:keepNext w:val="0"/>
              <w:keepLines w:val="0"/>
              <w:suppressLineNumbers w:val="0"/>
              <w:spacing w:before="0" w:beforeAutospacing="0" w:after="0" w:afterAutospacing="0"/>
              <w:ind w:left="0" w:right="0"/>
              <w:rPr>
                <w:rFonts w:hint="default"/>
                <w:color w:val="auto"/>
              </w:rPr>
            </w:pPr>
            <w:r>
              <w:rPr>
                <w:rFonts w:hint="default"/>
                <w:color w:val="auto"/>
              </w:rPr>
              <w:t>NNW</w:t>
            </w:r>
          </w:p>
        </w:tc>
        <w:tc>
          <w:tcPr>
            <w:tcW w:w="1417" w:type="dxa"/>
            <w:vAlign w:val="center"/>
          </w:tcPr>
          <w:p w14:paraId="6B45B53D">
            <w:pPr>
              <w:pStyle w:val="77"/>
              <w:keepNext w:val="0"/>
              <w:keepLines w:val="0"/>
              <w:suppressLineNumbers w:val="0"/>
              <w:spacing w:before="0" w:beforeAutospacing="0" w:after="0" w:afterAutospacing="0"/>
              <w:ind w:left="0" w:right="0"/>
              <w:rPr>
                <w:rFonts w:hint="default"/>
                <w:color w:val="auto"/>
              </w:rPr>
            </w:pPr>
            <w:r>
              <w:rPr>
                <w:rFonts w:hint="default"/>
                <w:color w:val="auto"/>
              </w:rPr>
              <w:t>15.3</w:t>
            </w:r>
          </w:p>
        </w:tc>
      </w:tr>
      <w:tr w14:paraId="2E2DA5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74A68BE0">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34511945">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26434083">
            <w:pPr>
              <w:pStyle w:val="77"/>
              <w:keepNext w:val="0"/>
              <w:keepLines w:val="0"/>
              <w:suppressLineNumbers w:val="0"/>
              <w:spacing w:before="0" w:beforeAutospacing="0" w:after="0" w:afterAutospacing="0"/>
              <w:ind w:left="0" w:right="0"/>
              <w:rPr>
                <w:rFonts w:hint="default"/>
                <w:color w:val="auto"/>
              </w:rPr>
            </w:pPr>
            <w:r>
              <w:rPr>
                <w:rFonts w:hint="eastAsia"/>
                <w:color w:val="auto"/>
              </w:rPr>
              <w:t>防城港茅尾海西侧红树林生态保护红线</w:t>
            </w:r>
          </w:p>
        </w:tc>
        <w:tc>
          <w:tcPr>
            <w:tcW w:w="1560" w:type="dxa"/>
            <w:gridSpan w:val="2"/>
            <w:vMerge w:val="continue"/>
            <w:vAlign w:val="center"/>
          </w:tcPr>
          <w:p w14:paraId="7D0EB043">
            <w:pPr>
              <w:pStyle w:val="77"/>
              <w:keepNext w:val="0"/>
              <w:keepLines w:val="0"/>
              <w:suppressLineNumbers w:val="0"/>
              <w:spacing w:before="0" w:beforeAutospacing="0" w:after="0" w:afterAutospacing="0"/>
              <w:ind w:left="0" w:right="0"/>
              <w:rPr>
                <w:rFonts w:hint="default"/>
                <w:color w:val="auto"/>
              </w:rPr>
            </w:pPr>
          </w:p>
        </w:tc>
        <w:tc>
          <w:tcPr>
            <w:tcW w:w="1134" w:type="dxa"/>
            <w:gridSpan w:val="3"/>
            <w:vAlign w:val="center"/>
          </w:tcPr>
          <w:p w14:paraId="378CEFE7">
            <w:pPr>
              <w:pStyle w:val="77"/>
              <w:keepNext w:val="0"/>
              <w:keepLines w:val="0"/>
              <w:suppressLineNumbers w:val="0"/>
              <w:spacing w:before="0" w:beforeAutospacing="0" w:after="0" w:afterAutospacing="0"/>
              <w:ind w:left="0" w:right="0"/>
              <w:rPr>
                <w:rFonts w:hint="default"/>
                <w:color w:val="auto"/>
              </w:rPr>
            </w:pPr>
            <w:r>
              <w:rPr>
                <w:rFonts w:hint="eastAsia"/>
                <w:color w:val="auto"/>
              </w:rPr>
              <w:t>第三类</w:t>
            </w:r>
          </w:p>
        </w:tc>
        <w:tc>
          <w:tcPr>
            <w:tcW w:w="567" w:type="dxa"/>
            <w:vAlign w:val="center"/>
          </w:tcPr>
          <w:p w14:paraId="34DC4A9C">
            <w:pPr>
              <w:pStyle w:val="77"/>
              <w:keepNext w:val="0"/>
              <w:keepLines w:val="0"/>
              <w:suppressLineNumbers w:val="0"/>
              <w:spacing w:before="0" w:beforeAutospacing="0" w:after="0" w:afterAutospacing="0"/>
              <w:ind w:left="0" w:right="0"/>
              <w:rPr>
                <w:rFonts w:hint="default"/>
                <w:color w:val="auto"/>
              </w:rPr>
            </w:pPr>
            <w:r>
              <w:rPr>
                <w:rFonts w:hint="eastAsia"/>
                <w:color w:val="auto"/>
              </w:rPr>
              <w:t>SW</w:t>
            </w:r>
          </w:p>
        </w:tc>
        <w:tc>
          <w:tcPr>
            <w:tcW w:w="1417" w:type="dxa"/>
            <w:vAlign w:val="center"/>
          </w:tcPr>
          <w:p w14:paraId="02270669">
            <w:pPr>
              <w:pStyle w:val="77"/>
              <w:keepNext w:val="0"/>
              <w:keepLines w:val="0"/>
              <w:suppressLineNumbers w:val="0"/>
              <w:spacing w:before="0" w:beforeAutospacing="0" w:after="0" w:afterAutospacing="0"/>
              <w:ind w:left="0" w:right="0"/>
              <w:rPr>
                <w:rFonts w:hint="default"/>
                <w:color w:val="auto"/>
              </w:rPr>
            </w:pPr>
            <w:r>
              <w:rPr>
                <w:rFonts w:hint="eastAsia"/>
                <w:color w:val="auto"/>
              </w:rPr>
              <w:t>3.78</w:t>
            </w:r>
          </w:p>
        </w:tc>
      </w:tr>
      <w:tr w14:paraId="029FD7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282FA0FD">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463FCD58">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18B59518">
            <w:pPr>
              <w:pStyle w:val="77"/>
              <w:keepNext w:val="0"/>
              <w:keepLines w:val="0"/>
              <w:suppressLineNumbers w:val="0"/>
              <w:spacing w:before="0" w:beforeAutospacing="0" w:after="0" w:afterAutospacing="0"/>
              <w:ind w:left="0" w:right="0"/>
              <w:rPr>
                <w:rFonts w:hint="default"/>
                <w:color w:val="auto"/>
              </w:rPr>
            </w:pPr>
            <w:r>
              <w:rPr>
                <w:rFonts w:hint="eastAsia"/>
                <w:color w:val="auto"/>
              </w:rPr>
              <w:t>广西茅尾海红树林自治区级自然保护区（七十二泾片）</w:t>
            </w:r>
          </w:p>
        </w:tc>
        <w:tc>
          <w:tcPr>
            <w:tcW w:w="1560" w:type="dxa"/>
            <w:gridSpan w:val="2"/>
            <w:vMerge w:val="restart"/>
            <w:vAlign w:val="center"/>
          </w:tcPr>
          <w:p w14:paraId="09257152">
            <w:pPr>
              <w:pStyle w:val="77"/>
              <w:keepNext w:val="0"/>
              <w:keepLines w:val="0"/>
              <w:suppressLineNumbers w:val="0"/>
              <w:spacing w:before="0" w:beforeAutospacing="0" w:after="0" w:afterAutospacing="0"/>
              <w:ind w:left="0" w:right="0"/>
              <w:rPr>
                <w:rFonts w:hint="default"/>
                <w:color w:val="auto"/>
              </w:rPr>
            </w:pPr>
            <w:r>
              <w:rPr>
                <w:rFonts w:hint="eastAsia"/>
                <w:color w:val="auto"/>
              </w:rPr>
              <w:t>区级自然</w:t>
            </w:r>
            <w:r>
              <w:rPr>
                <w:rFonts w:hint="default"/>
                <w:color w:val="auto"/>
              </w:rPr>
              <w:t>保护区</w:t>
            </w:r>
          </w:p>
        </w:tc>
        <w:tc>
          <w:tcPr>
            <w:tcW w:w="1134" w:type="dxa"/>
            <w:gridSpan w:val="3"/>
            <w:vAlign w:val="center"/>
          </w:tcPr>
          <w:p w14:paraId="7C7901B8">
            <w:pPr>
              <w:pStyle w:val="77"/>
              <w:keepNext w:val="0"/>
              <w:keepLines w:val="0"/>
              <w:suppressLineNumbers w:val="0"/>
              <w:spacing w:before="0" w:beforeAutospacing="0" w:after="0" w:afterAutospacing="0"/>
              <w:ind w:left="0" w:right="0"/>
              <w:rPr>
                <w:rFonts w:hint="default"/>
                <w:color w:val="auto"/>
              </w:rPr>
            </w:pPr>
            <w:r>
              <w:rPr>
                <w:rFonts w:hint="eastAsia"/>
                <w:color w:val="auto"/>
              </w:rPr>
              <w:t>第一类</w:t>
            </w:r>
          </w:p>
        </w:tc>
        <w:tc>
          <w:tcPr>
            <w:tcW w:w="567" w:type="dxa"/>
            <w:vAlign w:val="center"/>
          </w:tcPr>
          <w:p w14:paraId="4943F31E">
            <w:pPr>
              <w:pStyle w:val="77"/>
              <w:keepNext w:val="0"/>
              <w:keepLines w:val="0"/>
              <w:suppressLineNumbers w:val="0"/>
              <w:spacing w:before="0" w:beforeAutospacing="0" w:after="0" w:afterAutospacing="0"/>
              <w:ind w:left="0" w:right="0"/>
              <w:rPr>
                <w:rFonts w:hint="default"/>
                <w:color w:val="auto"/>
              </w:rPr>
            </w:pPr>
            <w:r>
              <w:rPr>
                <w:rFonts w:hint="eastAsia"/>
                <w:color w:val="auto"/>
              </w:rPr>
              <w:t>NW</w:t>
            </w:r>
          </w:p>
        </w:tc>
        <w:tc>
          <w:tcPr>
            <w:tcW w:w="1417" w:type="dxa"/>
            <w:vAlign w:val="center"/>
          </w:tcPr>
          <w:p w14:paraId="4ED2A8BA">
            <w:pPr>
              <w:pStyle w:val="77"/>
              <w:keepNext w:val="0"/>
              <w:keepLines w:val="0"/>
              <w:suppressLineNumbers w:val="0"/>
              <w:spacing w:before="0" w:beforeAutospacing="0" w:after="0" w:afterAutospacing="0"/>
              <w:ind w:left="0" w:right="0"/>
              <w:rPr>
                <w:rFonts w:hint="default"/>
                <w:color w:val="auto"/>
              </w:rPr>
            </w:pPr>
            <w:r>
              <w:rPr>
                <w:rFonts w:hint="default"/>
                <w:color w:val="auto"/>
              </w:rPr>
              <w:t>3.98</w:t>
            </w:r>
          </w:p>
        </w:tc>
      </w:tr>
      <w:tr w14:paraId="289950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49272426">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7DA29A9F">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6212CE48">
            <w:pPr>
              <w:pStyle w:val="77"/>
              <w:keepNext w:val="0"/>
              <w:keepLines w:val="0"/>
              <w:suppressLineNumbers w:val="0"/>
              <w:spacing w:before="0" w:beforeAutospacing="0" w:after="0" w:afterAutospacing="0"/>
              <w:ind w:left="0" w:right="0"/>
              <w:rPr>
                <w:rFonts w:hint="default"/>
                <w:color w:val="auto"/>
              </w:rPr>
            </w:pPr>
            <w:r>
              <w:rPr>
                <w:rFonts w:hint="eastAsia"/>
                <w:color w:val="auto"/>
              </w:rPr>
              <w:t>广西茅尾海红树林自治区级自然保护区（坚心围片）</w:t>
            </w:r>
          </w:p>
        </w:tc>
        <w:tc>
          <w:tcPr>
            <w:tcW w:w="1560" w:type="dxa"/>
            <w:gridSpan w:val="2"/>
            <w:vMerge w:val="continue"/>
            <w:vAlign w:val="center"/>
          </w:tcPr>
          <w:p w14:paraId="06807833">
            <w:pPr>
              <w:pStyle w:val="77"/>
              <w:keepNext w:val="0"/>
              <w:keepLines w:val="0"/>
              <w:suppressLineNumbers w:val="0"/>
              <w:spacing w:before="0" w:beforeAutospacing="0" w:after="0" w:afterAutospacing="0"/>
              <w:ind w:left="0" w:right="0"/>
              <w:rPr>
                <w:rFonts w:hint="default"/>
                <w:color w:val="auto"/>
              </w:rPr>
            </w:pPr>
          </w:p>
        </w:tc>
        <w:tc>
          <w:tcPr>
            <w:tcW w:w="1134" w:type="dxa"/>
            <w:gridSpan w:val="3"/>
            <w:vAlign w:val="center"/>
          </w:tcPr>
          <w:p w14:paraId="0990006B">
            <w:pPr>
              <w:pStyle w:val="77"/>
              <w:keepNext w:val="0"/>
              <w:keepLines w:val="0"/>
              <w:suppressLineNumbers w:val="0"/>
              <w:spacing w:before="0" w:beforeAutospacing="0" w:after="0" w:afterAutospacing="0"/>
              <w:ind w:left="0" w:right="0"/>
              <w:rPr>
                <w:rFonts w:hint="default"/>
                <w:color w:val="auto"/>
              </w:rPr>
            </w:pPr>
            <w:r>
              <w:rPr>
                <w:rFonts w:hint="eastAsia"/>
                <w:color w:val="auto"/>
              </w:rPr>
              <w:t>第一类</w:t>
            </w:r>
          </w:p>
        </w:tc>
        <w:tc>
          <w:tcPr>
            <w:tcW w:w="567" w:type="dxa"/>
            <w:vAlign w:val="center"/>
          </w:tcPr>
          <w:p w14:paraId="746CABB6">
            <w:pPr>
              <w:pStyle w:val="77"/>
              <w:keepNext w:val="0"/>
              <w:keepLines w:val="0"/>
              <w:suppressLineNumbers w:val="0"/>
              <w:spacing w:before="0" w:beforeAutospacing="0" w:after="0" w:afterAutospacing="0"/>
              <w:ind w:left="0" w:right="0"/>
              <w:rPr>
                <w:rFonts w:hint="default"/>
                <w:color w:val="auto"/>
              </w:rPr>
            </w:pPr>
            <w:r>
              <w:rPr>
                <w:rFonts w:hint="eastAsia"/>
                <w:color w:val="auto"/>
              </w:rPr>
              <w:t>NWN</w:t>
            </w:r>
          </w:p>
        </w:tc>
        <w:tc>
          <w:tcPr>
            <w:tcW w:w="1417" w:type="dxa"/>
            <w:vAlign w:val="center"/>
          </w:tcPr>
          <w:p w14:paraId="080450B8">
            <w:pPr>
              <w:pStyle w:val="77"/>
              <w:keepNext w:val="0"/>
              <w:keepLines w:val="0"/>
              <w:suppressLineNumbers w:val="0"/>
              <w:spacing w:before="0" w:beforeAutospacing="0" w:after="0" w:afterAutospacing="0"/>
              <w:ind w:left="0" w:right="0"/>
              <w:rPr>
                <w:rFonts w:hint="default"/>
                <w:color w:val="auto"/>
              </w:rPr>
            </w:pPr>
            <w:r>
              <w:rPr>
                <w:rFonts w:hint="eastAsia"/>
                <w:color w:val="auto"/>
              </w:rPr>
              <w:t>14.</w:t>
            </w:r>
            <w:r>
              <w:rPr>
                <w:rFonts w:hint="default"/>
                <w:color w:val="auto"/>
              </w:rPr>
              <w:t>6</w:t>
            </w:r>
          </w:p>
        </w:tc>
      </w:tr>
      <w:tr w14:paraId="4E228B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0E13A23C">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22439012">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14FAC5D4">
            <w:pPr>
              <w:pStyle w:val="77"/>
              <w:keepNext w:val="0"/>
              <w:keepLines w:val="0"/>
              <w:suppressLineNumbers w:val="0"/>
              <w:spacing w:before="0" w:beforeAutospacing="0" w:after="0" w:afterAutospacing="0"/>
              <w:ind w:left="0" w:right="0"/>
              <w:rPr>
                <w:rFonts w:hint="default"/>
                <w:color w:val="auto"/>
              </w:rPr>
            </w:pPr>
            <w:r>
              <w:rPr>
                <w:rFonts w:hint="eastAsia"/>
                <w:color w:val="auto"/>
              </w:rPr>
              <w:t>广西茅尾海红树林自治区级自然保护区（康熙岭片）</w:t>
            </w:r>
          </w:p>
        </w:tc>
        <w:tc>
          <w:tcPr>
            <w:tcW w:w="1560" w:type="dxa"/>
            <w:gridSpan w:val="2"/>
            <w:vMerge w:val="continue"/>
            <w:vAlign w:val="center"/>
          </w:tcPr>
          <w:p w14:paraId="73840DD6">
            <w:pPr>
              <w:pStyle w:val="77"/>
              <w:keepNext w:val="0"/>
              <w:keepLines w:val="0"/>
              <w:suppressLineNumbers w:val="0"/>
              <w:spacing w:before="0" w:beforeAutospacing="0" w:after="0" w:afterAutospacing="0"/>
              <w:ind w:left="0" w:right="0"/>
              <w:rPr>
                <w:rFonts w:hint="default"/>
                <w:color w:val="auto"/>
              </w:rPr>
            </w:pPr>
          </w:p>
        </w:tc>
        <w:tc>
          <w:tcPr>
            <w:tcW w:w="1134" w:type="dxa"/>
            <w:gridSpan w:val="3"/>
            <w:vAlign w:val="center"/>
          </w:tcPr>
          <w:p w14:paraId="2C13B0F2">
            <w:pPr>
              <w:pStyle w:val="77"/>
              <w:keepNext w:val="0"/>
              <w:keepLines w:val="0"/>
              <w:suppressLineNumbers w:val="0"/>
              <w:spacing w:before="0" w:beforeAutospacing="0" w:after="0" w:afterAutospacing="0"/>
              <w:ind w:left="0" w:right="0"/>
              <w:rPr>
                <w:rFonts w:hint="default"/>
                <w:color w:val="auto"/>
              </w:rPr>
            </w:pPr>
            <w:r>
              <w:rPr>
                <w:rFonts w:hint="eastAsia"/>
                <w:color w:val="auto"/>
              </w:rPr>
              <w:t>第一类</w:t>
            </w:r>
          </w:p>
        </w:tc>
        <w:tc>
          <w:tcPr>
            <w:tcW w:w="567" w:type="dxa"/>
            <w:vAlign w:val="center"/>
          </w:tcPr>
          <w:p w14:paraId="0A780477">
            <w:pPr>
              <w:pStyle w:val="77"/>
              <w:keepNext w:val="0"/>
              <w:keepLines w:val="0"/>
              <w:suppressLineNumbers w:val="0"/>
              <w:spacing w:before="0" w:beforeAutospacing="0" w:after="0" w:afterAutospacing="0"/>
              <w:ind w:left="0" w:right="0"/>
              <w:rPr>
                <w:rFonts w:hint="default"/>
                <w:color w:val="auto"/>
              </w:rPr>
            </w:pPr>
            <w:r>
              <w:rPr>
                <w:rFonts w:hint="eastAsia"/>
                <w:color w:val="auto"/>
              </w:rPr>
              <w:t>NWN</w:t>
            </w:r>
          </w:p>
        </w:tc>
        <w:tc>
          <w:tcPr>
            <w:tcW w:w="1417" w:type="dxa"/>
            <w:vAlign w:val="center"/>
          </w:tcPr>
          <w:p w14:paraId="395006D2">
            <w:pPr>
              <w:pStyle w:val="77"/>
              <w:keepNext w:val="0"/>
              <w:keepLines w:val="0"/>
              <w:suppressLineNumbers w:val="0"/>
              <w:spacing w:before="0" w:beforeAutospacing="0" w:after="0" w:afterAutospacing="0"/>
              <w:ind w:left="0" w:right="0"/>
              <w:rPr>
                <w:rFonts w:hint="default"/>
                <w:color w:val="auto"/>
              </w:rPr>
            </w:pPr>
            <w:r>
              <w:rPr>
                <w:rFonts w:hint="default"/>
                <w:color w:val="auto"/>
              </w:rPr>
              <w:t>17.4</w:t>
            </w:r>
          </w:p>
        </w:tc>
      </w:tr>
      <w:tr w14:paraId="6E2232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1E606F3B">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7497DE82">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01400449">
            <w:pPr>
              <w:pStyle w:val="77"/>
              <w:keepNext w:val="0"/>
              <w:keepLines w:val="0"/>
              <w:suppressLineNumbers w:val="0"/>
              <w:spacing w:before="0" w:beforeAutospacing="0" w:after="0" w:afterAutospacing="0"/>
              <w:ind w:left="0" w:right="0"/>
              <w:rPr>
                <w:rFonts w:hint="default"/>
                <w:color w:val="auto"/>
              </w:rPr>
            </w:pPr>
            <w:r>
              <w:rPr>
                <w:rFonts w:hint="eastAsia"/>
                <w:color w:val="auto"/>
              </w:rPr>
              <w:t>广西钦州茅尾海红树林自治区级重要湿地（七十二泾片）</w:t>
            </w:r>
          </w:p>
        </w:tc>
        <w:tc>
          <w:tcPr>
            <w:tcW w:w="1560" w:type="dxa"/>
            <w:gridSpan w:val="2"/>
            <w:vMerge w:val="restart"/>
            <w:vAlign w:val="center"/>
          </w:tcPr>
          <w:p w14:paraId="0FF11D18">
            <w:pPr>
              <w:pStyle w:val="77"/>
              <w:keepNext w:val="0"/>
              <w:keepLines w:val="0"/>
              <w:suppressLineNumbers w:val="0"/>
              <w:spacing w:before="0" w:beforeAutospacing="0" w:after="0" w:afterAutospacing="0"/>
              <w:ind w:left="0" w:right="0"/>
              <w:rPr>
                <w:rFonts w:hint="default"/>
                <w:color w:val="auto"/>
              </w:rPr>
            </w:pPr>
            <w:r>
              <w:rPr>
                <w:rFonts w:hint="eastAsia"/>
                <w:color w:val="auto"/>
              </w:rPr>
              <w:t>红树林</w:t>
            </w:r>
            <w:r>
              <w:rPr>
                <w:rFonts w:hint="default"/>
                <w:color w:val="auto"/>
              </w:rPr>
              <w:t>生态系统</w:t>
            </w:r>
          </w:p>
        </w:tc>
        <w:tc>
          <w:tcPr>
            <w:tcW w:w="1134" w:type="dxa"/>
            <w:gridSpan w:val="3"/>
            <w:vAlign w:val="center"/>
          </w:tcPr>
          <w:p w14:paraId="2FF5DA84">
            <w:pPr>
              <w:pStyle w:val="77"/>
              <w:keepNext w:val="0"/>
              <w:keepLines w:val="0"/>
              <w:suppressLineNumbers w:val="0"/>
              <w:spacing w:before="0" w:beforeAutospacing="0" w:after="0" w:afterAutospacing="0"/>
              <w:ind w:left="0" w:right="0"/>
              <w:rPr>
                <w:rFonts w:hint="default"/>
                <w:color w:val="auto"/>
              </w:rPr>
            </w:pPr>
            <w:r>
              <w:rPr>
                <w:rFonts w:hint="eastAsia"/>
                <w:color w:val="auto"/>
              </w:rPr>
              <w:t>第一类</w:t>
            </w:r>
          </w:p>
        </w:tc>
        <w:tc>
          <w:tcPr>
            <w:tcW w:w="567" w:type="dxa"/>
            <w:vAlign w:val="center"/>
          </w:tcPr>
          <w:p w14:paraId="05CCD329">
            <w:pPr>
              <w:pStyle w:val="77"/>
              <w:keepNext w:val="0"/>
              <w:keepLines w:val="0"/>
              <w:suppressLineNumbers w:val="0"/>
              <w:spacing w:before="0" w:beforeAutospacing="0" w:after="0" w:afterAutospacing="0"/>
              <w:ind w:left="0" w:right="0"/>
              <w:rPr>
                <w:rFonts w:hint="default"/>
                <w:color w:val="auto"/>
              </w:rPr>
            </w:pPr>
            <w:r>
              <w:rPr>
                <w:rFonts w:hint="eastAsia"/>
                <w:color w:val="auto"/>
              </w:rPr>
              <w:t>NW</w:t>
            </w:r>
          </w:p>
        </w:tc>
        <w:tc>
          <w:tcPr>
            <w:tcW w:w="1417" w:type="dxa"/>
            <w:vAlign w:val="center"/>
          </w:tcPr>
          <w:p w14:paraId="1DCD7585">
            <w:pPr>
              <w:pStyle w:val="77"/>
              <w:keepNext w:val="0"/>
              <w:keepLines w:val="0"/>
              <w:suppressLineNumbers w:val="0"/>
              <w:spacing w:before="0" w:beforeAutospacing="0" w:after="0" w:afterAutospacing="0"/>
              <w:ind w:left="0" w:right="0"/>
              <w:rPr>
                <w:rFonts w:hint="default"/>
                <w:color w:val="auto"/>
              </w:rPr>
            </w:pPr>
            <w:r>
              <w:rPr>
                <w:rFonts w:hint="default"/>
                <w:color w:val="auto"/>
              </w:rPr>
              <w:t>3.98</w:t>
            </w:r>
          </w:p>
        </w:tc>
      </w:tr>
      <w:tr w14:paraId="05D254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30EC4CD8">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744CBDD4">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3F1B532B">
            <w:pPr>
              <w:pStyle w:val="77"/>
              <w:keepNext w:val="0"/>
              <w:keepLines w:val="0"/>
              <w:suppressLineNumbers w:val="0"/>
              <w:spacing w:before="0" w:beforeAutospacing="0" w:after="0" w:afterAutospacing="0"/>
              <w:ind w:left="0" w:right="0"/>
              <w:rPr>
                <w:rFonts w:hint="default"/>
                <w:color w:val="auto"/>
              </w:rPr>
            </w:pPr>
            <w:r>
              <w:rPr>
                <w:rFonts w:hint="eastAsia"/>
                <w:color w:val="auto"/>
              </w:rPr>
              <w:t>广西钦州茅尾海红树林自治区级重要湿地（坚心围片）</w:t>
            </w:r>
          </w:p>
        </w:tc>
        <w:tc>
          <w:tcPr>
            <w:tcW w:w="1560" w:type="dxa"/>
            <w:gridSpan w:val="2"/>
            <w:vMerge w:val="continue"/>
            <w:vAlign w:val="center"/>
          </w:tcPr>
          <w:p w14:paraId="16527ADB">
            <w:pPr>
              <w:pStyle w:val="77"/>
              <w:keepNext w:val="0"/>
              <w:keepLines w:val="0"/>
              <w:suppressLineNumbers w:val="0"/>
              <w:spacing w:before="0" w:beforeAutospacing="0" w:after="0" w:afterAutospacing="0"/>
              <w:ind w:left="0" w:right="0"/>
              <w:rPr>
                <w:rFonts w:hint="default"/>
                <w:color w:val="auto"/>
              </w:rPr>
            </w:pPr>
          </w:p>
        </w:tc>
        <w:tc>
          <w:tcPr>
            <w:tcW w:w="1134" w:type="dxa"/>
            <w:gridSpan w:val="3"/>
            <w:vAlign w:val="center"/>
          </w:tcPr>
          <w:p w14:paraId="753FDC0D">
            <w:pPr>
              <w:pStyle w:val="77"/>
              <w:keepNext w:val="0"/>
              <w:keepLines w:val="0"/>
              <w:suppressLineNumbers w:val="0"/>
              <w:spacing w:before="0" w:beforeAutospacing="0" w:after="0" w:afterAutospacing="0"/>
              <w:ind w:left="0" w:right="0"/>
              <w:rPr>
                <w:rFonts w:hint="default"/>
                <w:color w:val="auto"/>
              </w:rPr>
            </w:pPr>
            <w:r>
              <w:rPr>
                <w:rFonts w:hint="eastAsia"/>
                <w:color w:val="auto"/>
              </w:rPr>
              <w:t>第一类</w:t>
            </w:r>
          </w:p>
        </w:tc>
        <w:tc>
          <w:tcPr>
            <w:tcW w:w="567" w:type="dxa"/>
            <w:vAlign w:val="center"/>
          </w:tcPr>
          <w:p w14:paraId="2DE9DD47">
            <w:pPr>
              <w:pStyle w:val="77"/>
              <w:keepNext w:val="0"/>
              <w:keepLines w:val="0"/>
              <w:suppressLineNumbers w:val="0"/>
              <w:spacing w:before="0" w:beforeAutospacing="0" w:after="0" w:afterAutospacing="0"/>
              <w:ind w:left="0" w:right="0"/>
              <w:rPr>
                <w:rFonts w:hint="default"/>
                <w:color w:val="auto"/>
              </w:rPr>
            </w:pPr>
            <w:r>
              <w:rPr>
                <w:rFonts w:hint="eastAsia"/>
                <w:color w:val="auto"/>
              </w:rPr>
              <w:t>NWN</w:t>
            </w:r>
          </w:p>
        </w:tc>
        <w:tc>
          <w:tcPr>
            <w:tcW w:w="1417" w:type="dxa"/>
            <w:vAlign w:val="center"/>
          </w:tcPr>
          <w:p w14:paraId="7FDABEB0">
            <w:pPr>
              <w:pStyle w:val="77"/>
              <w:keepNext w:val="0"/>
              <w:keepLines w:val="0"/>
              <w:suppressLineNumbers w:val="0"/>
              <w:spacing w:before="0" w:beforeAutospacing="0" w:after="0" w:afterAutospacing="0"/>
              <w:ind w:left="0" w:right="0"/>
              <w:rPr>
                <w:rFonts w:hint="default"/>
                <w:color w:val="auto"/>
              </w:rPr>
            </w:pPr>
            <w:r>
              <w:rPr>
                <w:rFonts w:hint="eastAsia"/>
                <w:color w:val="auto"/>
              </w:rPr>
              <w:t>14.</w:t>
            </w:r>
            <w:r>
              <w:rPr>
                <w:rFonts w:hint="default"/>
                <w:color w:val="auto"/>
              </w:rPr>
              <w:t>6</w:t>
            </w:r>
          </w:p>
        </w:tc>
      </w:tr>
      <w:tr w14:paraId="4E215D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70F643A8">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328E7746">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1E8279FF">
            <w:pPr>
              <w:pStyle w:val="77"/>
              <w:keepNext w:val="0"/>
              <w:keepLines w:val="0"/>
              <w:suppressLineNumbers w:val="0"/>
              <w:spacing w:before="0" w:beforeAutospacing="0" w:after="0" w:afterAutospacing="0"/>
              <w:ind w:left="0" w:right="0"/>
              <w:rPr>
                <w:rFonts w:hint="default"/>
                <w:color w:val="auto"/>
              </w:rPr>
            </w:pPr>
            <w:r>
              <w:rPr>
                <w:rFonts w:hint="eastAsia"/>
                <w:color w:val="auto"/>
              </w:rPr>
              <w:t>广西钦州茅尾海红树林自治区重要湿地（康熙岭片）</w:t>
            </w:r>
          </w:p>
        </w:tc>
        <w:tc>
          <w:tcPr>
            <w:tcW w:w="1560" w:type="dxa"/>
            <w:gridSpan w:val="2"/>
            <w:vMerge w:val="continue"/>
            <w:vAlign w:val="center"/>
          </w:tcPr>
          <w:p w14:paraId="0E8EDCA5">
            <w:pPr>
              <w:pStyle w:val="77"/>
              <w:keepNext w:val="0"/>
              <w:keepLines w:val="0"/>
              <w:suppressLineNumbers w:val="0"/>
              <w:spacing w:before="0" w:beforeAutospacing="0" w:after="0" w:afterAutospacing="0"/>
              <w:ind w:left="0" w:right="0"/>
              <w:rPr>
                <w:rFonts w:hint="default"/>
                <w:color w:val="auto"/>
              </w:rPr>
            </w:pPr>
          </w:p>
        </w:tc>
        <w:tc>
          <w:tcPr>
            <w:tcW w:w="1134" w:type="dxa"/>
            <w:gridSpan w:val="3"/>
            <w:vAlign w:val="center"/>
          </w:tcPr>
          <w:p w14:paraId="19B3517A">
            <w:pPr>
              <w:pStyle w:val="77"/>
              <w:keepNext w:val="0"/>
              <w:keepLines w:val="0"/>
              <w:suppressLineNumbers w:val="0"/>
              <w:spacing w:before="0" w:beforeAutospacing="0" w:after="0" w:afterAutospacing="0"/>
              <w:ind w:left="0" w:right="0"/>
              <w:rPr>
                <w:rFonts w:hint="default"/>
                <w:color w:val="auto"/>
              </w:rPr>
            </w:pPr>
            <w:r>
              <w:rPr>
                <w:rFonts w:hint="eastAsia"/>
                <w:color w:val="auto"/>
              </w:rPr>
              <w:t>第一类</w:t>
            </w:r>
          </w:p>
        </w:tc>
        <w:tc>
          <w:tcPr>
            <w:tcW w:w="567" w:type="dxa"/>
            <w:vAlign w:val="center"/>
          </w:tcPr>
          <w:p w14:paraId="0F497D41">
            <w:pPr>
              <w:pStyle w:val="77"/>
              <w:keepNext w:val="0"/>
              <w:keepLines w:val="0"/>
              <w:suppressLineNumbers w:val="0"/>
              <w:spacing w:before="0" w:beforeAutospacing="0" w:after="0" w:afterAutospacing="0"/>
              <w:ind w:left="0" w:right="0"/>
              <w:rPr>
                <w:rFonts w:hint="default"/>
                <w:color w:val="auto"/>
              </w:rPr>
            </w:pPr>
            <w:r>
              <w:rPr>
                <w:rFonts w:hint="eastAsia"/>
                <w:color w:val="auto"/>
              </w:rPr>
              <w:t>NNW</w:t>
            </w:r>
          </w:p>
        </w:tc>
        <w:tc>
          <w:tcPr>
            <w:tcW w:w="1417" w:type="dxa"/>
            <w:vAlign w:val="center"/>
          </w:tcPr>
          <w:p w14:paraId="1156E87A">
            <w:pPr>
              <w:pStyle w:val="77"/>
              <w:keepNext w:val="0"/>
              <w:keepLines w:val="0"/>
              <w:suppressLineNumbers w:val="0"/>
              <w:spacing w:before="0" w:beforeAutospacing="0" w:after="0" w:afterAutospacing="0"/>
              <w:ind w:left="0" w:right="0"/>
              <w:rPr>
                <w:rFonts w:hint="default"/>
                <w:color w:val="auto"/>
              </w:rPr>
            </w:pPr>
            <w:r>
              <w:rPr>
                <w:rFonts w:hint="default"/>
                <w:color w:val="auto"/>
              </w:rPr>
              <w:t>17.4</w:t>
            </w:r>
          </w:p>
        </w:tc>
      </w:tr>
      <w:tr w14:paraId="2B1AD5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71012EF0">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55729CFB">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28FD2353">
            <w:pPr>
              <w:pStyle w:val="77"/>
              <w:keepNext w:val="0"/>
              <w:keepLines w:val="0"/>
              <w:suppressLineNumbers w:val="0"/>
              <w:spacing w:before="0" w:beforeAutospacing="0" w:after="0" w:afterAutospacing="0"/>
              <w:ind w:left="0" w:right="0"/>
              <w:rPr>
                <w:rFonts w:hint="default"/>
                <w:color w:val="auto"/>
              </w:rPr>
            </w:pPr>
            <w:r>
              <w:rPr>
                <w:rFonts w:hint="eastAsia"/>
                <w:color w:val="auto"/>
              </w:rPr>
              <w:t>广西防城港山心沙岛自治区重要湿地</w:t>
            </w:r>
          </w:p>
        </w:tc>
        <w:tc>
          <w:tcPr>
            <w:tcW w:w="1560" w:type="dxa"/>
            <w:gridSpan w:val="2"/>
            <w:vMerge w:val="continue"/>
            <w:vAlign w:val="center"/>
          </w:tcPr>
          <w:p w14:paraId="1240EE56">
            <w:pPr>
              <w:pStyle w:val="77"/>
              <w:keepNext w:val="0"/>
              <w:keepLines w:val="0"/>
              <w:suppressLineNumbers w:val="0"/>
              <w:spacing w:before="0" w:beforeAutospacing="0" w:after="0" w:afterAutospacing="0"/>
              <w:ind w:left="0" w:right="0"/>
              <w:rPr>
                <w:rFonts w:hint="default"/>
                <w:color w:val="auto"/>
              </w:rPr>
            </w:pPr>
          </w:p>
        </w:tc>
        <w:tc>
          <w:tcPr>
            <w:tcW w:w="1134" w:type="dxa"/>
            <w:gridSpan w:val="3"/>
            <w:vAlign w:val="center"/>
          </w:tcPr>
          <w:p w14:paraId="60042225">
            <w:pPr>
              <w:pStyle w:val="77"/>
              <w:keepNext w:val="0"/>
              <w:keepLines w:val="0"/>
              <w:suppressLineNumbers w:val="0"/>
              <w:spacing w:before="0" w:beforeAutospacing="0" w:after="0" w:afterAutospacing="0"/>
              <w:ind w:left="0" w:right="0"/>
              <w:rPr>
                <w:rFonts w:hint="default"/>
                <w:color w:val="auto"/>
              </w:rPr>
            </w:pPr>
            <w:r>
              <w:rPr>
                <w:rFonts w:hint="eastAsia"/>
                <w:color w:val="auto"/>
              </w:rPr>
              <w:t>第</w:t>
            </w:r>
            <w:r>
              <w:rPr>
                <w:rFonts w:hint="eastAsia"/>
                <w:color w:val="auto"/>
                <w:lang w:eastAsia="zh-CN"/>
              </w:rPr>
              <w:t>二</w:t>
            </w:r>
            <w:r>
              <w:rPr>
                <w:rFonts w:hint="eastAsia"/>
                <w:color w:val="auto"/>
              </w:rPr>
              <w:t>类</w:t>
            </w:r>
          </w:p>
        </w:tc>
        <w:tc>
          <w:tcPr>
            <w:tcW w:w="567" w:type="dxa"/>
            <w:vAlign w:val="center"/>
          </w:tcPr>
          <w:p w14:paraId="199EDB88">
            <w:pPr>
              <w:pStyle w:val="77"/>
              <w:keepNext w:val="0"/>
              <w:keepLines w:val="0"/>
              <w:suppressLineNumbers w:val="0"/>
              <w:spacing w:before="0" w:beforeAutospacing="0" w:after="0" w:afterAutospacing="0"/>
              <w:ind w:left="0" w:right="0"/>
              <w:rPr>
                <w:rFonts w:hint="default"/>
                <w:color w:val="auto"/>
              </w:rPr>
            </w:pPr>
            <w:r>
              <w:rPr>
                <w:rFonts w:hint="eastAsia"/>
                <w:color w:val="auto"/>
              </w:rPr>
              <w:t>SW</w:t>
            </w:r>
          </w:p>
        </w:tc>
        <w:tc>
          <w:tcPr>
            <w:tcW w:w="1417" w:type="dxa"/>
            <w:vAlign w:val="center"/>
          </w:tcPr>
          <w:p w14:paraId="7E58AE12">
            <w:pPr>
              <w:pStyle w:val="77"/>
              <w:keepNext w:val="0"/>
              <w:keepLines w:val="0"/>
              <w:suppressLineNumbers w:val="0"/>
              <w:spacing w:before="0" w:beforeAutospacing="0" w:after="0" w:afterAutospacing="0"/>
              <w:ind w:left="0" w:right="0"/>
              <w:rPr>
                <w:rFonts w:hint="default"/>
                <w:color w:val="auto"/>
              </w:rPr>
            </w:pPr>
            <w:r>
              <w:rPr>
                <w:rFonts w:hint="default"/>
                <w:color w:val="auto"/>
              </w:rPr>
              <w:t>13.2</w:t>
            </w:r>
          </w:p>
        </w:tc>
      </w:tr>
      <w:tr w14:paraId="73BBAC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3F715499">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79C75A54">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6FE1462B">
            <w:pPr>
              <w:pStyle w:val="77"/>
              <w:keepNext w:val="0"/>
              <w:keepLines w:val="0"/>
              <w:suppressLineNumbers w:val="0"/>
              <w:spacing w:before="0" w:beforeAutospacing="0" w:after="0" w:afterAutospacing="0"/>
              <w:ind w:left="0" w:right="0"/>
              <w:rPr>
                <w:rFonts w:hint="default"/>
                <w:color w:val="auto"/>
              </w:rPr>
            </w:pPr>
            <w:r>
              <w:rPr>
                <w:rFonts w:hint="eastAsia"/>
                <w:color w:val="auto"/>
              </w:rPr>
              <w:t>广西钦州茅尾海国家级海洋公园</w:t>
            </w:r>
          </w:p>
        </w:tc>
        <w:tc>
          <w:tcPr>
            <w:tcW w:w="1560" w:type="dxa"/>
            <w:gridSpan w:val="2"/>
            <w:vAlign w:val="center"/>
          </w:tcPr>
          <w:p w14:paraId="304DD0FD">
            <w:pPr>
              <w:pStyle w:val="77"/>
              <w:keepNext w:val="0"/>
              <w:keepLines w:val="0"/>
              <w:suppressLineNumbers w:val="0"/>
              <w:spacing w:before="0" w:beforeAutospacing="0" w:after="0" w:afterAutospacing="0"/>
              <w:ind w:left="0" w:right="0"/>
              <w:rPr>
                <w:rFonts w:hint="default"/>
                <w:color w:val="auto"/>
              </w:rPr>
            </w:pPr>
            <w:r>
              <w:rPr>
                <w:rFonts w:hint="eastAsia"/>
                <w:color w:val="auto"/>
              </w:rPr>
              <w:t>红树林</w:t>
            </w:r>
            <w:r>
              <w:rPr>
                <w:rFonts w:hint="default"/>
                <w:color w:val="auto"/>
              </w:rPr>
              <w:t>生态系统</w:t>
            </w:r>
            <w:r>
              <w:rPr>
                <w:rFonts w:hint="eastAsia"/>
                <w:color w:val="auto"/>
              </w:rPr>
              <w:t>、海洋特别保护区</w:t>
            </w:r>
          </w:p>
        </w:tc>
        <w:tc>
          <w:tcPr>
            <w:tcW w:w="1134" w:type="dxa"/>
            <w:gridSpan w:val="3"/>
            <w:vAlign w:val="center"/>
          </w:tcPr>
          <w:p w14:paraId="34574D02">
            <w:pPr>
              <w:pStyle w:val="77"/>
              <w:keepNext w:val="0"/>
              <w:keepLines w:val="0"/>
              <w:suppressLineNumbers w:val="0"/>
              <w:spacing w:before="0" w:beforeAutospacing="0" w:after="0" w:afterAutospacing="0"/>
              <w:ind w:left="0" w:right="0"/>
              <w:rPr>
                <w:rFonts w:hint="default"/>
                <w:color w:val="auto"/>
              </w:rPr>
            </w:pPr>
            <w:r>
              <w:rPr>
                <w:rFonts w:hint="eastAsia"/>
                <w:color w:val="auto"/>
              </w:rPr>
              <w:t>第</w:t>
            </w:r>
            <w:r>
              <w:rPr>
                <w:rFonts w:hint="eastAsia"/>
                <w:color w:val="auto"/>
                <w:lang w:eastAsia="zh-CN"/>
              </w:rPr>
              <w:t>二</w:t>
            </w:r>
            <w:r>
              <w:rPr>
                <w:rFonts w:hint="eastAsia"/>
                <w:color w:val="auto"/>
              </w:rPr>
              <w:t>类</w:t>
            </w:r>
          </w:p>
        </w:tc>
        <w:tc>
          <w:tcPr>
            <w:tcW w:w="567" w:type="dxa"/>
            <w:vAlign w:val="center"/>
          </w:tcPr>
          <w:p w14:paraId="14320A10">
            <w:pPr>
              <w:pStyle w:val="77"/>
              <w:keepNext w:val="0"/>
              <w:keepLines w:val="0"/>
              <w:suppressLineNumbers w:val="0"/>
              <w:spacing w:before="0" w:beforeAutospacing="0" w:after="0" w:afterAutospacing="0"/>
              <w:ind w:left="0" w:right="0"/>
              <w:rPr>
                <w:rFonts w:hint="default"/>
                <w:color w:val="auto"/>
              </w:rPr>
            </w:pPr>
            <w:r>
              <w:rPr>
                <w:rFonts w:hint="eastAsia"/>
                <w:color w:val="auto"/>
              </w:rPr>
              <w:t>NWN</w:t>
            </w:r>
          </w:p>
        </w:tc>
        <w:tc>
          <w:tcPr>
            <w:tcW w:w="1417" w:type="dxa"/>
            <w:vAlign w:val="center"/>
          </w:tcPr>
          <w:p w14:paraId="5EB8D476">
            <w:pPr>
              <w:pStyle w:val="77"/>
              <w:keepNext w:val="0"/>
              <w:keepLines w:val="0"/>
              <w:suppressLineNumbers w:val="0"/>
              <w:spacing w:before="0" w:beforeAutospacing="0" w:after="0" w:afterAutospacing="0"/>
              <w:ind w:left="0" w:right="0"/>
              <w:rPr>
                <w:rFonts w:hint="default"/>
                <w:color w:val="auto"/>
              </w:rPr>
            </w:pPr>
            <w:r>
              <w:rPr>
                <w:rFonts w:hint="eastAsia"/>
                <w:color w:val="auto"/>
              </w:rPr>
              <w:t>1</w:t>
            </w:r>
            <w:r>
              <w:rPr>
                <w:rFonts w:hint="default"/>
                <w:color w:val="auto"/>
              </w:rPr>
              <w:t>2</w:t>
            </w:r>
          </w:p>
        </w:tc>
      </w:tr>
      <w:tr w14:paraId="59FDE2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3FEF853D">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62D7396B">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75C2A9EA">
            <w:pPr>
              <w:pStyle w:val="77"/>
              <w:keepNext w:val="0"/>
              <w:keepLines w:val="0"/>
              <w:suppressLineNumbers w:val="0"/>
              <w:spacing w:before="0" w:beforeAutospacing="0" w:after="0" w:afterAutospacing="0"/>
              <w:ind w:left="0" w:right="0"/>
              <w:rPr>
                <w:rFonts w:hint="default"/>
                <w:color w:val="auto"/>
              </w:rPr>
            </w:pPr>
            <w:r>
              <w:rPr>
                <w:rFonts w:hint="eastAsia"/>
                <w:color w:val="auto"/>
              </w:rPr>
              <w:t>金鼓江红树林分布区</w:t>
            </w:r>
          </w:p>
        </w:tc>
        <w:tc>
          <w:tcPr>
            <w:tcW w:w="1560" w:type="dxa"/>
            <w:gridSpan w:val="2"/>
            <w:vMerge w:val="restart"/>
            <w:vAlign w:val="center"/>
          </w:tcPr>
          <w:p w14:paraId="47FD735D">
            <w:pPr>
              <w:pStyle w:val="77"/>
              <w:keepNext w:val="0"/>
              <w:keepLines w:val="0"/>
              <w:suppressLineNumbers w:val="0"/>
              <w:spacing w:before="0" w:beforeAutospacing="0" w:after="0" w:afterAutospacing="0"/>
              <w:ind w:left="0" w:right="0"/>
              <w:rPr>
                <w:rFonts w:hint="default"/>
                <w:color w:val="auto"/>
              </w:rPr>
            </w:pPr>
            <w:r>
              <w:rPr>
                <w:rFonts w:hint="eastAsia"/>
                <w:color w:val="auto"/>
              </w:rPr>
              <w:t>红树林</w:t>
            </w:r>
            <w:r>
              <w:rPr>
                <w:rFonts w:hint="default"/>
                <w:color w:val="auto"/>
              </w:rPr>
              <w:t>生态系统</w:t>
            </w:r>
          </w:p>
        </w:tc>
        <w:tc>
          <w:tcPr>
            <w:tcW w:w="1134" w:type="dxa"/>
            <w:gridSpan w:val="3"/>
            <w:vAlign w:val="center"/>
          </w:tcPr>
          <w:p w14:paraId="613F8C47">
            <w:pPr>
              <w:pStyle w:val="77"/>
              <w:keepNext w:val="0"/>
              <w:keepLines w:val="0"/>
              <w:suppressLineNumbers w:val="0"/>
              <w:spacing w:before="0" w:beforeAutospacing="0" w:after="0" w:afterAutospacing="0"/>
              <w:ind w:left="0" w:right="0"/>
              <w:rPr>
                <w:rFonts w:hint="default"/>
                <w:color w:val="auto"/>
              </w:rPr>
            </w:pPr>
            <w:r>
              <w:rPr>
                <w:rFonts w:hint="eastAsia"/>
                <w:color w:val="auto"/>
              </w:rPr>
              <w:t>第</w:t>
            </w:r>
            <w:r>
              <w:rPr>
                <w:rFonts w:hint="eastAsia"/>
                <w:color w:val="auto"/>
                <w:lang w:eastAsia="zh-CN"/>
              </w:rPr>
              <w:t>二</w:t>
            </w:r>
            <w:r>
              <w:rPr>
                <w:rFonts w:hint="eastAsia"/>
                <w:color w:val="auto"/>
              </w:rPr>
              <w:t>类</w:t>
            </w:r>
          </w:p>
        </w:tc>
        <w:tc>
          <w:tcPr>
            <w:tcW w:w="567" w:type="dxa"/>
            <w:vAlign w:val="center"/>
          </w:tcPr>
          <w:p w14:paraId="5DF5634C">
            <w:pPr>
              <w:pStyle w:val="77"/>
              <w:keepNext w:val="0"/>
              <w:keepLines w:val="0"/>
              <w:suppressLineNumbers w:val="0"/>
              <w:spacing w:before="0" w:beforeAutospacing="0" w:after="0" w:afterAutospacing="0"/>
              <w:ind w:left="0" w:right="0"/>
              <w:rPr>
                <w:rFonts w:hint="default"/>
                <w:color w:val="auto"/>
              </w:rPr>
            </w:pPr>
            <w:r>
              <w:rPr>
                <w:rFonts w:hint="eastAsia"/>
                <w:color w:val="auto"/>
              </w:rPr>
              <w:t>N</w:t>
            </w:r>
          </w:p>
        </w:tc>
        <w:tc>
          <w:tcPr>
            <w:tcW w:w="1417" w:type="dxa"/>
            <w:vAlign w:val="center"/>
          </w:tcPr>
          <w:p w14:paraId="29EF3CD8">
            <w:pPr>
              <w:pStyle w:val="77"/>
              <w:keepNext w:val="0"/>
              <w:keepLines w:val="0"/>
              <w:suppressLineNumbers w:val="0"/>
              <w:spacing w:before="0" w:beforeAutospacing="0" w:after="0" w:afterAutospacing="0"/>
              <w:ind w:left="0" w:right="0"/>
              <w:rPr>
                <w:rFonts w:hint="default"/>
                <w:color w:val="auto"/>
              </w:rPr>
            </w:pPr>
            <w:r>
              <w:rPr>
                <w:rFonts w:hint="eastAsia"/>
                <w:color w:val="auto"/>
              </w:rPr>
              <w:t>6.4</w:t>
            </w:r>
          </w:p>
        </w:tc>
      </w:tr>
      <w:tr w14:paraId="1169AE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7BF8F5EB">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18FF308F">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10F69EEA">
            <w:pPr>
              <w:pStyle w:val="77"/>
              <w:keepNext w:val="0"/>
              <w:keepLines w:val="0"/>
              <w:suppressLineNumbers w:val="0"/>
              <w:spacing w:before="0" w:beforeAutospacing="0" w:after="0" w:afterAutospacing="0"/>
              <w:ind w:left="0" w:right="0"/>
              <w:rPr>
                <w:rFonts w:hint="default"/>
                <w:color w:val="auto"/>
              </w:rPr>
            </w:pPr>
            <w:r>
              <w:rPr>
                <w:rFonts w:hint="eastAsia"/>
                <w:color w:val="auto"/>
              </w:rPr>
              <w:t>七十二泾红树林分布区</w:t>
            </w:r>
          </w:p>
        </w:tc>
        <w:tc>
          <w:tcPr>
            <w:tcW w:w="1560" w:type="dxa"/>
            <w:gridSpan w:val="2"/>
            <w:vMerge w:val="continue"/>
            <w:vAlign w:val="center"/>
          </w:tcPr>
          <w:p w14:paraId="603B3CFD">
            <w:pPr>
              <w:pStyle w:val="77"/>
              <w:keepNext w:val="0"/>
              <w:keepLines w:val="0"/>
              <w:suppressLineNumbers w:val="0"/>
              <w:spacing w:before="0" w:beforeAutospacing="0" w:after="0" w:afterAutospacing="0"/>
              <w:ind w:left="0" w:right="0"/>
              <w:rPr>
                <w:rFonts w:hint="default"/>
                <w:color w:val="auto"/>
              </w:rPr>
            </w:pPr>
          </w:p>
        </w:tc>
        <w:tc>
          <w:tcPr>
            <w:tcW w:w="1134" w:type="dxa"/>
            <w:gridSpan w:val="3"/>
            <w:vAlign w:val="center"/>
          </w:tcPr>
          <w:p w14:paraId="5B9FA8C6">
            <w:pPr>
              <w:pStyle w:val="77"/>
              <w:keepNext w:val="0"/>
              <w:keepLines w:val="0"/>
              <w:suppressLineNumbers w:val="0"/>
              <w:spacing w:before="0" w:beforeAutospacing="0" w:after="0" w:afterAutospacing="0"/>
              <w:ind w:left="0" w:right="0"/>
              <w:rPr>
                <w:rFonts w:hint="default"/>
                <w:color w:val="auto"/>
              </w:rPr>
            </w:pPr>
            <w:r>
              <w:rPr>
                <w:rFonts w:hint="eastAsia"/>
                <w:color w:val="auto"/>
              </w:rPr>
              <w:t>第一类</w:t>
            </w:r>
          </w:p>
        </w:tc>
        <w:tc>
          <w:tcPr>
            <w:tcW w:w="567" w:type="dxa"/>
            <w:vAlign w:val="center"/>
          </w:tcPr>
          <w:p w14:paraId="171A9F3B">
            <w:pPr>
              <w:pStyle w:val="77"/>
              <w:keepNext w:val="0"/>
              <w:keepLines w:val="0"/>
              <w:suppressLineNumbers w:val="0"/>
              <w:spacing w:before="0" w:beforeAutospacing="0" w:after="0" w:afterAutospacing="0"/>
              <w:ind w:left="0" w:right="0"/>
              <w:rPr>
                <w:rFonts w:hint="default"/>
                <w:color w:val="auto"/>
              </w:rPr>
            </w:pPr>
            <w:r>
              <w:rPr>
                <w:rFonts w:hint="eastAsia"/>
                <w:color w:val="auto"/>
              </w:rPr>
              <w:t>NW</w:t>
            </w:r>
          </w:p>
        </w:tc>
        <w:tc>
          <w:tcPr>
            <w:tcW w:w="1417" w:type="dxa"/>
            <w:vAlign w:val="center"/>
          </w:tcPr>
          <w:p w14:paraId="735B521A">
            <w:pPr>
              <w:pStyle w:val="77"/>
              <w:keepNext w:val="0"/>
              <w:keepLines w:val="0"/>
              <w:suppressLineNumbers w:val="0"/>
              <w:spacing w:before="0" w:beforeAutospacing="0" w:after="0" w:afterAutospacing="0"/>
              <w:ind w:left="0" w:right="0"/>
              <w:rPr>
                <w:rFonts w:hint="default"/>
                <w:color w:val="auto"/>
              </w:rPr>
            </w:pPr>
            <w:r>
              <w:rPr>
                <w:rFonts w:hint="default"/>
                <w:color w:val="auto"/>
              </w:rPr>
              <w:t>3.98</w:t>
            </w:r>
          </w:p>
        </w:tc>
      </w:tr>
      <w:tr w14:paraId="4EECCB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1E47E7D8">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4796143F">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6393995D">
            <w:pPr>
              <w:pStyle w:val="77"/>
              <w:keepNext w:val="0"/>
              <w:keepLines w:val="0"/>
              <w:suppressLineNumbers w:val="0"/>
              <w:spacing w:before="0" w:beforeAutospacing="0" w:after="0" w:afterAutospacing="0"/>
              <w:ind w:left="0" w:right="0"/>
              <w:rPr>
                <w:rFonts w:hint="default"/>
                <w:color w:val="auto"/>
              </w:rPr>
            </w:pPr>
            <w:r>
              <w:rPr>
                <w:rFonts w:hint="eastAsia"/>
                <w:color w:val="auto"/>
              </w:rPr>
              <w:t>防城港茅尾海西侧红树林分布区</w:t>
            </w:r>
          </w:p>
        </w:tc>
        <w:tc>
          <w:tcPr>
            <w:tcW w:w="1560" w:type="dxa"/>
            <w:gridSpan w:val="2"/>
            <w:vMerge w:val="continue"/>
            <w:vAlign w:val="center"/>
          </w:tcPr>
          <w:p w14:paraId="306F74E1">
            <w:pPr>
              <w:pStyle w:val="77"/>
              <w:keepNext w:val="0"/>
              <w:keepLines w:val="0"/>
              <w:suppressLineNumbers w:val="0"/>
              <w:spacing w:before="0" w:beforeAutospacing="0" w:after="0" w:afterAutospacing="0"/>
              <w:ind w:left="0" w:right="0"/>
              <w:rPr>
                <w:rFonts w:hint="default"/>
                <w:color w:val="auto"/>
              </w:rPr>
            </w:pPr>
          </w:p>
        </w:tc>
        <w:tc>
          <w:tcPr>
            <w:tcW w:w="1134" w:type="dxa"/>
            <w:gridSpan w:val="3"/>
            <w:vAlign w:val="center"/>
          </w:tcPr>
          <w:p w14:paraId="3EE3AB63">
            <w:pPr>
              <w:pStyle w:val="77"/>
              <w:keepNext w:val="0"/>
              <w:keepLines w:val="0"/>
              <w:suppressLineNumbers w:val="0"/>
              <w:spacing w:before="0" w:beforeAutospacing="0" w:after="0" w:afterAutospacing="0"/>
              <w:ind w:left="0" w:right="0"/>
              <w:rPr>
                <w:rFonts w:hint="default"/>
                <w:color w:val="auto"/>
              </w:rPr>
            </w:pPr>
            <w:r>
              <w:rPr>
                <w:rFonts w:hint="eastAsia"/>
                <w:color w:val="auto"/>
              </w:rPr>
              <w:t>第</w:t>
            </w:r>
            <w:r>
              <w:rPr>
                <w:rFonts w:hint="eastAsia"/>
                <w:color w:val="auto"/>
                <w:lang w:eastAsia="zh-CN"/>
              </w:rPr>
              <w:t>二</w:t>
            </w:r>
            <w:r>
              <w:rPr>
                <w:rFonts w:hint="eastAsia"/>
                <w:color w:val="auto"/>
              </w:rPr>
              <w:t>类</w:t>
            </w:r>
          </w:p>
        </w:tc>
        <w:tc>
          <w:tcPr>
            <w:tcW w:w="567" w:type="dxa"/>
            <w:vAlign w:val="center"/>
          </w:tcPr>
          <w:p w14:paraId="3F32D207">
            <w:pPr>
              <w:pStyle w:val="77"/>
              <w:keepNext w:val="0"/>
              <w:keepLines w:val="0"/>
              <w:suppressLineNumbers w:val="0"/>
              <w:spacing w:before="0" w:beforeAutospacing="0" w:after="0" w:afterAutospacing="0"/>
              <w:ind w:left="0" w:right="0"/>
              <w:rPr>
                <w:rFonts w:hint="default"/>
                <w:color w:val="auto"/>
              </w:rPr>
            </w:pPr>
            <w:r>
              <w:rPr>
                <w:rFonts w:hint="eastAsia"/>
                <w:color w:val="auto"/>
              </w:rPr>
              <w:t>SW</w:t>
            </w:r>
          </w:p>
        </w:tc>
        <w:tc>
          <w:tcPr>
            <w:tcW w:w="1417" w:type="dxa"/>
            <w:vAlign w:val="center"/>
          </w:tcPr>
          <w:p w14:paraId="1BB020F3">
            <w:pPr>
              <w:pStyle w:val="77"/>
              <w:keepNext w:val="0"/>
              <w:keepLines w:val="0"/>
              <w:suppressLineNumbers w:val="0"/>
              <w:spacing w:before="0" w:beforeAutospacing="0" w:after="0" w:afterAutospacing="0"/>
              <w:ind w:left="0" w:right="0"/>
              <w:rPr>
                <w:rFonts w:hint="default"/>
                <w:color w:val="auto"/>
              </w:rPr>
            </w:pPr>
            <w:r>
              <w:rPr>
                <w:rFonts w:hint="default"/>
                <w:color w:val="auto"/>
              </w:rPr>
              <w:t>3.78</w:t>
            </w:r>
          </w:p>
        </w:tc>
      </w:tr>
      <w:tr w14:paraId="358420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6D57AE57">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57C833BE">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3675EED8">
            <w:pPr>
              <w:pStyle w:val="77"/>
              <w:keepNext w:val="0"/>
              <w:keepLines w:val="0"/>
              <w:suppressLineNumbers w:val="0"/>
              <w:spacing w:before="0" w:beforeAutospacing="0" w:after="0" w:afterAutospacing="0"/>
              <w:ind w:left="0" w:right="0"/>
              <w:rPr>
                <w:rFonts w:hint="default"/>
                <w:color w:val="auto"/>
              </w:rPr>
            </w:pPr>
            <w:r>
              <w:rPr>
                <w:rFonts w:hint="eastAsia"/>
                <w:color w:val="auto"/>
              </w:rPr>
              <w:t>北部湾二长棘鲷长毛对虾国家级种质资源保护区（实验区）</w:t>
            </w:r>
          </w:p>
        </w:tc>
        <w:tc>
          <w:tcPr>
            <w:tcW w:w="1560" w:type="dxa"/>
            <w:gridSpan w:val="2"/>
            <w:vAlign w:val="center"/>
          </w:tcPr>
          <w:p w14:paraId="6558A0BE">
            <w:pPr>
              <w:pStyle w:val="77"/>
              <w:keepNext w:val="0"/>
              <w:keepLines w:val="0"/>
              <w:suppressLineNumbers w:val="0"/>
              <w:spacing w:before="0" w:beforeAutospacing="0" w:after="0" w:afterAutospacing="0"/>
              <w:ind w:left="0" w:right="0"/>
              <w:rPr>
                <w:rFonts w:hint="default"/>
                <w:color w:val="auto"/>
              </w:rPr>
            </w:pPr>
            <w:r>
              <w:rPr>
                <w:rFonts w:hint="eastAsia"/>
                <w:color w:val="auto"/>
              </w:rPr>
              <w:t>具有重要经济价值的海洋生物生存区域</w:t>
            </w:r>
          </w:p>
        </w:tc>
        <w:tc>
          <w:tcPr>
            <w:tcW w:w="1134" w:type="dxa"/>
            <w:gridSpan w:val="3"/>
            <w:vAlign w:val="center"/>
          </w:tcPr>
          <w:p w14:paraId="141B95C8">
            <w:pPr>
              <w:pStyle w:val="77"/>
              <w:keepNext w:val="0"/>
              <w:keepLines w:val="0"/>
              <w:suppressLineNumbers w:val="0"/>
              <w:spacing w:before="0" w:beforeAutospacing="0" w:after="0" w:afterAutospacing="0"/>
              <w:ind w:left="0" w:right="0"/>
              <w:rPr>
                <w:rFonts w:hint="default"/>
                <w:color w:val="auto"/>
              </w:rPr>
            </w:pPr>
            <w:r>
              <w:rPr>
                <w:rFonts w:hint="eastAsia"/>
                <w:color w:val="auto"/>
              </w:rPr>
              <w:t>第</w:t>
            </w:r>
            <w:r>
              <w:rPr>
                <w:rFonts w:hint="eastAsia"/>
                <w:color w:val="auto"/>
                <w:lang w:eastAsia="zh-CN"/>
              </w:rPr>
              <w:t>二</w:t>
            </w:r>
            <w:r>
              <w:rPr>
                <w:rFonts w:hint="eastAsia"/>
                <w:color w:val="auto"/>
              </w:rPr>
              <w:t>类</w:t>
            </w:r>
          </w:p>
        </w:tc>
        <w:tc>
          <w:tcPr>
            <w:tcW w:w="567" w:type="dxa"/>
            <w:vAlign w:val="center"/>
          </w:tcPr>
          <w:p w14:paraId="014DDDB2">
            <w:pPr>
              <w:pStyle w:val="77"/>
              <w:keepNext w:val="0"/>
              <w:keepLines w:val="0"/>
              <w:suppressLineNumbers w:val="0"/>
              <w:spacing w:before="0" w:beforeAutospacing="0" w:after="0" w:afterAutospacing="0"/>
              <w:ind w:left="0" w:right="0"/>
              <w:rPr>
                <w:rFonts w:hint="default"/>
                <w:color w:val="auto"/>
              </w:rPr>
            </w:pPr>
            <w:r>
              <w:rPr>
                <w:rFonts w:hint="eastAsia"/>
                <w:color w:val="auto"/>
              </w:rPr>
              <w:t>S</w:t>
            </w:r>
          </w:p>
        </w:tc>
        <w:tc>
          <w:tcPr>
            <w:tcW w:w="1417" w:type="dxa"/>
            <w:vAlign w:val="center"/>
          </w:tcPr>
          <w:p w14:paraId="233EA672">
            <w:pPr>
              <w:pStyle w:val="77"/>
              <w:keepNext w:val="0"/>
              <w:keepLines w:val="0"/>
              <w:suppressLineNumbers w:val="0"/>
              <w:spacing w:before="0" w:beforeAutospacing="0" w:after="0" w:afterAutospacing="0"/>
              <w:ind w:left="0" w:right="0"/>
              <w:rPr>
                <w:rFonts w:hint="default"/>
                <w:color w:val="auto"/>
              </w:rPr>
            </w:pPr>
            <w:r>
              <w:rPr>
                <w:rFonts w:hint="eastAsia"/>
                <w:color w:val="auto"/>
              </w:rPr>
              <w:t>20</w:t>
            </w:r>
            <w:r>
              <w:rPr>
                <w:rFonts w:hint="default"/>
                <w:color w:val="auto"/>
              </w:rPr>
              <w:t>.6</w:t>
            </w:r>
          </w:p>
        </w:tc>
      </w:tr>
      <w:tr w14:paraId="303830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28DC1594">
            <w:pPr>
              <w:pStyle w:val="77"/>
              <w:keepNext w:val="0"/>
              <w:keepLines w:val="0"/>
              <w:suppressLineNumbers w:val="0"/>
              <w:spacing w:before="0" w:beforeAutospacing="0" w:after="0" w:afterAutospacing="0"/>
              <w:ind w:left="0" w:right="0"/>
              <w:rPr>
                <w:rFonts w:hint="default"/>
                <w:color w:val="auto"/>
              </w:rPr>
            </w:pPr>
          </w:p>
        </w:tc>
        <w:tc>
          <w:tcPr>
            <w:tcW w:w="470" w:type="dxa"/>
            <w:vAlign w:val="center"/>
          </w:tcPr>
          <w:p w14:paraId="1E349E31">
            <w:pPr>
              <w:pStyle w:val="77"/>
              <w:keepNext w:val="0"/>
              <w:keepLines w:val="0"/>
              <w:numPr>
                <w:ilvl w:val="0"/>
                <w:numId w:val="25"/>
              </w:numPr>
              <w:suppressLineNumbers w:val="0"/>
              <w:spacing w:before="0" w:beforeAutospacing="0" w:after="0" w:afterAutospacing="0"/>
              <w:ind w:right="0"/>
              <w:rPr>
                <w:rFonts w:hint="default"/>
                <w:color w:val="auto"/>
              </w:rPr>
            </w:pPr>
          </w:p>
        </w:tc>
        <w:tc>
          <w:tcPr>
            <w:tcW w:w="3073" w:type="dxa"/>
            <w:gridSpan w:val="4"/>
          </w:tcPr>
          <w:p w14:paraId="63A585F4">
            <w:pPr>
              <w:pStyle w:val="77"/>
              <w:keepNext w:val="0"/>
              <w:keepLines w:val="0"/>
              <w:suppressLineNumbers w:val="0"/>
              <w:spacing w:before="0" w:beforeAutospacing="0" w:after="0" w:afterAutospacing="0"/>
              <w:ind w:left="0" w:right="0"/>
              <w:rPr>
                <w:rFonts w:hint="default"/>
                <w:color w:val="auto"/>
              </w:rPr>
            </w:pPr>
            <w:r>
              <w:rPr>
                <w:rFonts w:hint="eastAsia"/>
                <w:color w:val="auto"/>
              </w:rPr>
              <w:t>中华白海豚分布区</w:t>
            </w:r>
          </w:p>
        </w:tc>
        <w:tc>
          <w:tcPr>
            <w:tcW w:w="1560" w:type="dxa"/>
            <w:gridSpan w:val="2"/>
            <w:vAlign w:val="center"/>
          </w:tcPr>
          <w:p w14:paraId="6010DEC5">
            <w:pPr>
              <w:pStyle w:val="77"/>
              <w:keepNext w:val="0"/>
              <w:keepLines w:val="0"/>
              <w:suppressLineNumbers w:val="0"/>
              <w:spacing w:before="0" w:beforeAutospacing="0" w:after="0" w:afterAutospacing="0"/>
              <w:ind w:left="0" w:right="0"/>
              <w:rPr>
                <w:rFonts w:hint="default"/>
                <w:color w:val="auto"/>
              </w:rPr>
            </w:pPr>
            <w:r>
              <w:rPr>
                <w:rFonts w:hint="eastAsia"/>
                <w:color w:val="auto"/>
              </w:rPr>
              <w:t>重要物种栖息地</w:t>
            </w:r>
          </w:p>
        </w:tc>
        <w:tc>
          <w:tcPr>
            <w:tcW w:w="1134" w:type="dxa"/>
            <w:gridSpan w:val="3"/>
            <w:vAlign w:val="center"/>
          </w:tcPr>
          <w:p w14:paraId="023F1272">
            <w:pPr>
              <w:pStyle w:val="77"/>
              <w:keepNext w:val="0"/>
              <w:keepLines w:val="0"/>
              <w:suppressLineNumbers w:val="0"/>
              <w:spacing w:before="0" w:beforeAutospacing="0" w:after="0" w:afterAutospacing="0"/>
              <w:ind w:left="0" w:right="0"/>
              <w:rPr>
                <w:rFonts w:hint="default"/>
                <w:color w:val="auto"/>
              </w:rPr>
            </w:pPr>
            <w:r>
              <w:rPr>
                <w:rFonts w:hint="eastAsia"/>
                <w:color w:val="auto"/>
              </w:rPr>
              <w:t>第</w:t>
            </w:r>
            <w:r>
              <w:rPr>
                <w:rFonts w:hint="eastAsia"/>
                <w:color w:val="auto"/>
                <w:lang w:eastAsia="zh-CN"/>
              </w:rPr>
              <w:t>二</w:t>
            </w:r>
            <w:r>
              <w:rPr>
                <w:rFonts w:hint="eastAsia"/>
                <w:color w:val="auto"/>
              </w:rPr>
              <w:t>类</w:t>
            </w:r>
          </w:p>
        </w:tc>
        <w:tc>
          <w:tcPr>
            <w:tcW w:w="567" w:type="dxa"/>
            <w:vAlign w:val="center"/>
          </w:tcPr>
          <w:p w14:paraId="48B361F3">
            <w:pPr>
              <w:pStyle w:val="77"/>
              <w:keepNext w:val="0"/>
              <w:keepLines w:val="0"/>
              <w:suppressLineNumbers w:val="0"/>
              <w:spacing w:before="0" w:beforeAutospacing="0" w:after="0" w:afterAutospacing="0"/>
              <w:ind w:left="0" w:right="0"/>
              <w:rPr>
                <w:rFonts w:hint="default"/>
                <w:color w:val="auto"/>
              </w:rPr>
            </w:pPr>
            <w:r>
              <w:rPr>
                <w:rFonts w:hint="eastAsia"/>
                <w:color w:val="auto"/>
              </w:rPr>
              <w:t>SE</w:t>
            </w:r>
          </w:p>
        </w:tc>
        <w:tc>
          <w:tcPr>
            <w:tcW w:w="1417" w:type="dxa"/>
            <w:vAlign w:val="center"/>
          </w:tcPr>
          <w:p w14:paraId="24C18C83">
            <w:pPr>
              <w:pStyle w:val="77"/>
              <w:keepNext w:val="0"/>
              <w:keepLines w:val="0"/>
              <w:suppressLineNumbers w:val="0"/>
              <w:spacing w:before="0" w:beforeAutospacing="0" w:after="0" w:afterAutospacing="0"/>
              <w:ind w:left="0" w:right="0"/>
              <w:rPr>
                <w:rFonts w:hint="default"/>
                <w:color w:val="auto"/>
              </w:rPr>
            </w:pPr>
            <w:r>
              <w:rPr>
                <w:rFonts w:hint="eastAsia"/>
                <w:color w:val="auto"/>
              </w:rPr>
              <w:t>1</w:t>
            </w:r>
            <w:r>
              <w:rPr>
                <w:rFonts w:hint="default"/>
                <w:color w:val="auto"/>
              </w:rPr>
              <w:t>5</w:t>
            </w:r>
          </w:p>
        </w:tc>
      </w:tr>
      <w:tr w14:paraId="6DB81A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1C9FE454">
            <w:pPr>
              <w:pStyle w:val="77"/>
              <w:keepNext w:val="0"/>
              <w:keepLines w:val="0"/>
              <w:suppressLineNumbers w:val="0"/>
              <w:spacing w:before="0" w:beforeAutospacing="0" w:after="0" w:afterAutospacing="0"/>
              <w:ind w:left="0" w:right="0"/>
              <w:rPr>
                <w:rFonts w:hint="default"/>
                <w:color w:val="auto"/>
              </w:rPr>
            </w:pPr>
          </w:p>
        </w:tc>
        <w:tc>
          <w:tcPr>
            <w:tcW w:w="6804" w:type="dxa"/>
            <w:gridSpan w:val="11"/>
            <w:vAlign w:val="center"/>
          </w:tcPr>
          <w:p w14:paraId="3D071E71">
            <w:pPr>
              <w:pStyle w:val="77"/>
              <w:keepNext w:val="0"/>
              <w:keepLines w:val="0"/>
              <w:suppressLineNumbers w:val="0"/>
              <w:spacing w:before="0" w:beforeAutospacing="0" w:after="0" w:afterAutospacing="0"/>
              <w:ind w:left="0" w:right="0"/>
              <w:rPr>
                <w:rFonts w:hint="default"/>
                <w:color w:val="auto"/>
              </w:rPr>
            </w:pPr>
            <w:r>
              <w:rPr>
                <w:rFonts w:hint="default"/>
                <w:color w:val="auto"/>
              </w:rPr>
              <w:t>地表水环境敏感程度E值</w:t>
            </w:r>
          </w:p>
        </w:tc>
        <w:tc>
          <w:tcPr>
            <w:tcW w:w="1417" w:type="dxa"/>
            <w:vAlign w:val="center"/>
          </w:tcPr>
          <w:p w14:paraId="5527AA2B">
            <w:pPr>
              <w:pStyle w:val="77"/>
              <w:keepNext w:val="0"/>
              <w:keepLines w:val="0"/>
              <w:suppressLineNumbers w:val="0"/>
              <w:spacing w:before="0" w:beforeAutospacing="0" w:after="0" w:afterAutospacing="0"/>
              <w:ind w:left="0" w:right="0"/>
              <w:rPr>
                <w:rFonts w:hint="eastAsia" w:eastAsia="宋体"/>
                <w:color w:val="auto"/>
                <w:lang w:val="en-US" w:eastAsia="zh-CN"/>
              </w:rPr>
            </w:pPr>
            <w:r>
              <w:rPr>
                <w:rFonts w:hint="default"/>
                <w:color w:val="auto"/>
              </w:rPr>
              <w:t>E</w:t>
            </w:r>
            <w:r>
              <w:rPr>
                <w:rFonts w:hint="eastAsia"/>
                <w:color w:val="auto"/>
                <w:lang w:val="en-US" w:eastAsia="zh-CN"/>
              </w:rPr>
              <w:t>3</w:t>
            </w:r>
          </w:p>
        </w:tc>
      </w:tr>
      <w:tr w14:paraId="229D99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restart"/>
            <w:vAlign w:val="center"/>
          </w:tcPr>
          <w:p w14:paraId="2884704F">
            <w:pPr>
              <w:pStyle w:val="77"/>
              <w:keepNext w:val="0"/>
              <w:keepLines w:val="0"/>
              <w:suppressLineNumbers w:val="0"/>
              <w:spacing w:before="0" w:beforeAutospacing="0" w:after="0" w:afterAutospacing="0"/>
              <w:ind w:left="0" w:right="0"/>
              <w:rPr>
                <w:rFonts w:hint="default"/>
                <w:color w:val="auto"/>
              </w:rPr>
            </w:pPr>
            <w:r>
              <w:rPr>
                <w:rFonts w:hint="eastAsia"/>
                <w:color w:val="auto"/>
              </w:rPr>
              <w:t>地下水</w:t>
            </w:r>
          </w:p>
        </w:tc>
        <w:tc>
          <w:tcPr>
            <w:tcW w:w="1474" w:type="dxa"/>
            <w:gridSpan w:val="2"/>
            <w:vAlign w:val="center"/>
          </w:tcPr>
          <w:p w14:paraId="4A9C50DA">
            <w:pPr>
              <w:pStyle w:val="77"/>
              <w:keepNext w:val="0"/>
              <w:keepLines w:val="0"/>
              <w:suppressLineNumbers w:val="0"/>
              <w:spacing w:before="0" w:beforeAutospacing="0" w:after="0" w:afterAutospacing="0"/>
              <w:ind w:left="0" w:right="0"/>
              <w:rPr>
                <w:rFonts w:hint="default"/>
                <w:color w:val="auto"/>
              </w:rPr>
            </w:pPr>
            <w:r>
              <w:rPr>
                <w:rFonts w:hint="eastAsia"/>
                <w:color w:val="auto"/>
              </w:rPr>
              <w:t>序号</w:t>
            </w:r>
          </w:p>
        </w:tc>
        <w:tc>
          <w:tcPr>
            <w:tcW w:w="1474" w:type="dxa"/>
            <w:gridSpan w:val="2"/>
            <w:vAlign w:val="center"/>
          </w:tcPr>
          <w:p w14:paraId="69D6A0B9">
            <w:pPr>
              <w:pStyle w:val="77"/>
              <w:keepNext w:val="0"/>
              <w:keepLines w:val="0"/>
              <w:suppressLineNumbers w:val="0"/>
              <w:spacing w:before="0" w:beforeAutospacing="0" w:after="0" w:afterAutospacing="0"/>
              <w:ind w:left="0" w:right="0"/>
              <w:rPr>
                <w:rFonts w:hint="default"/>
                <w:color w:val="auto"/>
              </w:rPr>
            </w:pPr>
            <w:r>
              <w:rPr>
                <w:rFonts w:hint="eastAsia"/>
                <w:color w:val="auto"/>
              </w:rPr>
              <w:t>环境</w:t>
            </w:r>
            <w:r>
              <w:rPr>
                <w:rFonts w:hint="default"/>
                <w:color w:val="auto"/>
              </w:rPr>
              <w:t>敏感区名称</w:t>
            </w:r>
          </w:p>
        </w:tc>
        <w:tc>
          <w:tcPr>
            <w:tcW w:w="1474" w:type="dxa"/>
            <w:gridSpan w:val="2"/>
            <w:vAlign w:val="center"/>
          </w:tcPr>
          <w:p w14:paraId="69E0B7C4">
            <w:pPr>
              <w:pStyle w:val="77"/>
              <w:keepNext w:val="0"/>
              <w:keepLines w:val="0"/>
              <w:suppressLineNumbers w:val="0"/>
              <w:spacing w:before="0" w:beforeAutospacing="0" w:after="0" w:afterAutospacing="0"/>
              <w:ind w:left="0" w:right="0"/>
              <w:rPr>
                <w:rFonts w:hint="default"/>
                <w:color w:val="auto"/>
              </w:rPr>
            </w:pPr>
            <w:r>
              <w:rPr>
                <w:rFonts w:hint="eastAsia"/>
                <w:color w:val="auto"/>
              </w:rPr>
              <w:t>环境</w:t>
            </w:r>
            <w:r>
              <w:rPr>
                <w:rFonts w:hint="default"/>
                <w:color w:val="auto"/>
              </w:rPr>
              <w:t>敏感特征</w:t>
            </w:r>
          </w:p>
        </w:tc>
        <w:tc>
          <w:tcPr>
            <w:tcW w:w="1474" w:type="dxa"/>
            <w:gridSpan w:val="3"/>
            <w:vAlign w:val="center"/>
          </w:tcPr>
          <w:p w14:paraId="6CF6BCE2">
            <w:pPr>
              <w:pStyle w:val="77"/>
              <w:keepNext w:val="0"/>
              <w:keepLines w:val="0"/>
              <w:suppressLineNumbers w:val="0"/>
              <w:spacing w:before="0" w:beforeAutospacing="0" w:after="0" w:afterAutospacing="0"/>
              <w:ind w:left="0" w:right="0"/>
              <w:rPr>
                <w:rFonts w:hint="default"/>
                <w:color w:val="auto"/>
              </w:rPr>
            </w:pPr>
            <w:r>
              <w:rPr>
                <w:rFonts w:hint="eastAsia"/>
                <w:color w:val="auto"/>
              </w:rPr>
              <w:t>水质</w:t>
            </w:r>
            <w:r>
              <w:rPr>
                <w:rFonts w:hint="default"/>
                <w:color w:val="auto"/>
              </w:rPr>
              <w:t>目标</w:t>
            </w:r>
          </w:p>
        </w:tc>
        <w:tc>
          <w:tcPr>
            <w:tcW w:w="908" w:type="dxa"/>
            <w:gridSpan w:val="2"/>
            <w:vAlign w:val="center"/>
          </w:tcPr>
          <w:p w14:paraId="7BD5555F">
            <w:pPr>
              <w:pStyle w:val="77"/>
              <w:keepNext w:val="0"/>
              <w:keepLines w:val="0"/>
              <w:suppressLineNumbers w:val="0"/>
              <w:spacing w:before="0" w:beforeAutospacing="0" w:after="0" w:afterAutospacing="0"/>
              <w:ind w:left="0" w:right="0"/>
              <w:rPr>
                <w:rFonts w:hint="default"/>
                <w:color w:val="auto"/>
              </w:rPr>
            </w:pPr>
            <w:r>
              <w:rPr>
                <w:rFonts w:hint="eastAsia"/>
                <w:color w:val="auto"/>
              </w:rPr>
              <w:t>包气带</w:t>
            </w:r>
            <w:r>
              <w:rPr>
                <w:rFonts w:hint="default"/>
                <w:color w:val="auto"/>
              </w:rPr>
              <w:t>防污性能</w:t>
            </w:r>
          </w:p>
        </w:tc>
        <w:tc>
          <w:tcPr>
            <w:tcW w:w="1417" w:type="dxa"/>
            <w:vAlign w:val="center"/>
          </w:tcPr>
          <w:p w14:paraId="42391313">
            <w:pPr>
              <w:pStyle w:val="77"/>
              <w:keepNext w:val="0"/>
              <w:keepLines w:val="0"/>
              <w:suppressLineNumbers w:val="0"/>
              <w:spacing w:before="0" w:beforeAutospacing="0" w:after="0" w:afterAutospacing="0"/>
              <w:ind w:left="0" w:right="0"/>
              <w:rPr>
                <w:rFonts w:hint="default"/>
                <w:color w:val="auto"/>
              </w:rPr>
            </w:pPr>
            <w:r>
              <w:rPr>
                <w:rFonts w:hint="eastAsia"/>
                <w:color w:val="auto"/>
              </w:rPr>
              <w:t>与</w:t>
            </w:r>
            <w:r>
              <w:rPr>
                <w:rFonts w:hint="default"/>
                <w:color w:val="auto"/>
              </w:rPr>
              <w:t>下游厂界距离</w:t>
            </w:r>
            <w:r>
              <w:rPr>
                <w:rFonts w:hint="eastAsia"/>
                <w:color w:val="auto"/>
              </w:rPr>
              <w:t>/</w:t>
            </w:r>
            <w:r>
              <w:rPr>
                <w:rFonts w:hint="default"/>
                <w:color w:val="auto"/>
              </w:rPr>
              <w:t>m</w:t>
            </w:r>
          </w:p>
        </w:tc>
      </w:tr>
      <w:tr w14:paraId="2CF3AB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6E14F000">
            <w:pPr>
              <w:pStyle w:val="77"/>
              <w:keepNext w:val="0"/>
              <w:keepLines w:val="0"/>
              <w:suppressLineNumbers w:val="0"/>
              <w:spacing w:before="0" w:beforeAutospacing="0" w:after="0" w:afterAutospacing="0"/>
              <w:ind w:left="0" w:right="0"/>
              <w:rPr>
                <w:rFonts w:hint="default"/>
                <w:color w:val="auto"/>
              </w:rPr>
            </w:pPr>
          </w:p>
        </w:tc>
        <w:tc>
          <w:tcPr>
            <w:tcW w:w="1474" w:type="dxa"/>
            <w:gridSpan w:val="2"/>
            <w:vAlign w:val="center"/>
          </w:tcPr>
          <w:p w14:paraId="1F157439">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474" w:type="dxa"/>
            <w:gridSpan w:val="2"/>
            <w:vAlign w:val="center"/>
          </w:tcPr>
          <w:p w14:paraId="1518760B">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474" w:type="dxa"/>
            <w:gridSpan w:val="2"/>
            <w:vAlign w:val="center"/>
          </w:tcPr>
          <w:p w14:paraId="66753479">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474" w:type="dxa"/>
            <w:gridSpan w:val="3"/>
            <w:vAlign w:val="center"/>
          </w:tcPr>
          <w:p w14:paraId="396AF3CD">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908" w:type="dxa"/>
            <w:gridSpan w:val="2"/>
            <w:vAlign w:val="center"/>
          </w:tcPr>
          <w:p w14:paraId="34482BDC">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417" w:type="dxa"/>
            <w:vAlign w:val="center"/>
          </w:tcPr>
          <w:p w14:paraId="4FC75423">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0BC0C2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78" w:type="dxa"/>
            <w:vMerge w:val="continue"/>
            <w:vAlign w:val="center"/>
          </w:tcPr>
          <w:p w14:paraId="461025A4">
            <w:pPr>
              <w:pStyle w:val="77"/>
              <w:keepNext w:val="0"/>
              <w:keepLines w:val="0"/>
              <w:suppressLineNumbers w:val="0"/>
              <w:spacing w:before="0" w:beforeAutospacing="0" w:after="0" w:afterAutospacing="0"/>
              <w:ind w:left="0" w:right="0"/>
              <w:rPr>
                <w:rFonts w:hint="default"/>
                <w:color w:val="auto"/>
              </w:rPr>
            </w:pPr>
          </w:p>
        </w:tc>
        <w:tc>
          <w:tcPr>
            <w:tcW w:w="6804" w:type="dxa"/>
            <w:gridSpan w:val="11"/>
            <w:vAlign w:val="center"/>
          </w:tcPr>
          <w:p w14:paraId="7480E083">
            <w:pPr>
              <w:pStyle w:val="77"/>
              <w:keepNext w:val="0"/>
              <w:keepLines w:val="0"/>
              <w:suppressLineNumbers w:val="0"/>
              <w:spacing w:before="0" w:beforeAutospacing="0" w:after="0" w:afterAutospacing="0"/>
              <w:ind w:left="0" w:right="0"/>
              <w:rPr>
                <w:rFonts w:hint="default"/>
                <w:color w:val="auto"/>
              </w:rPr>
            </w:pPr>
            <w:r>
              <w:rPr>
                <w:rFonts w:hint="eastAsia"/>
                <w:color w:val="auto"/>
              </w:rPr>
              <w:t>地下水环境敏感程度E值</w:t>
            </w:r>
          </w:p>
        </w:tc>
        <w:tc>
          <w:tcPr>
            <w:tcW w:w="1417" w:type="dxa"/>
            <w:vAlign w:val="center"/>
          </w:tcPr>
          <w:p w14:paraId="0F31FCED">
            <w:pPr>
              <w:pStyle w:val="77"/>
              <w:keepNext w:val="0"/>
              <w:keepLines w:val="0"/>
              <w:suppressLineNumbers w:val="0"/>
              <w:spacing w:before="0" w:beforeAutospacing="0" w:after="0" w:afterAutospacing="0"/>
              <w:ind w:left="0" w:right="0"/>
              <w:rPr>
                <w:rFonts w:hint="default"/>
                <w:color w:val="auto"/>
              </w:rPr>
            </w:pPr>
            <w:r>
              <w:rPr>
                <w:rFonts w:hint="default"/>
                <w:color w:val="auto"/>
              </w:rPr>
              <w:t>E3</w:t>
            </w:r>
          </w:p>
        </w:tc>
      </w:tr>
    </w:tbl>
    <w:p w14:paraId="06BA096F">
      <w:pPr>
        <w:pStyle w:val="5"/>
        <w:rPr>
          <w:color w:val="auto"/>
        </w:rPr>
      </w:pPr>
      <w:bookmarkStart w:id="545" w:name="_Toc223595780"/>
      <w:bookmarkStart w:id="546" w:name="_Toc223258490"/>
      <w:r>
        <w:rPr>
          <w:color w:val="auto"/>
        </w:rPr>
        <w:t>环境风险潜势初判</w:t>
      </w:r>
      <w:bookmarkEnd w:id="545"/>
      <w:bookmarkEnd w:id="546"/>
    </w:p>
    <w:p w14:paraId="25E2AAC3">
      <w:pPr>
        <w:pStyle w:val="4"/>
        <w:rPr>
          <w:color w:val="auto"/>
        </w:rPr>
      </w:pPr>
      <w:r>
        <w:rPr>
          <w:color w:val="auto"/>
        </w:rPr>
        <w:t>P的分级确定</w:t>
      </w:r>
    </w:p>
    <w:p w14:paraId="03BDB331">
      <w:pPr>
        <w:pStyle w:val="6"/>
        <w:rPr>
          <w:color w:val="auto"/>
        </w:rPr>
      </w:pPr>
      <w:r>
        <w:rPr>
          <w:color w:val="auto"/>
        </w:rPr>
        <w:t>危险物质数量与临界量比值Q</w:t>
      </w:r>
    </w:p>
    <w:p w14:paraId="1F9002B2">
      <w:pPr>
        <w:ind w:firstLine="480"/>
        <w:rPr>
          <w:color w:val="auto"/>
        </w:rPr>
      </w:pPr>
      <w:r>
        <w:rPr>
          <w:color w:val="auto"/>
        </w:rPr>
        <w:t>根据《建设项目环境风险评价技术导则》（HJ169-2018）附录B，筛选出工程重点关注危险物质的数量和分布情况见表5.2-1，项目Q&gt;100。</w:t>
      </w:r>
    </w:p>
    <w:p w14:paraId="72C41A5D">
      <w:pPr>
        <w:pStyle w:val="14"/>
        <w:rPr>
          <w:color w:val="auto"/>
        </w:rPr>
      </w:pPr>
      <w:r>
        <w:rPr>
          <w:rFonts w:hint="eastAsia"/>
          <w:color w:val="auto"/>
        </w:rPr>
        <w:t>表</w:t>
      </w:r>
      <w:r>
        <w:rPr>
          <w:color w:val="auto"/>
        </w:rPr>
        <w:t>5.2</w:t>
      </w:r>
      <w:r>
        <w:rPr>
          <w:color w:val="auto"/>
        </w:rPr>
        <w:noBreakHyphen/>
      </w:r>
      <w:r>
        <w:rPr>
          <w:color w:val="auto"/>
        </w:rPr>
        <w:t>1危险物质数量和分布情况表</w:t>
      </w:r>
    </w:p>
    <w:tbl>
      <w:tblPr>
        <w:tblStyle w:val="43"/>
        <w:tblW w:w="52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6" w:type="dxa"/>
          <w:bottom w:w="0" w:type="dxa"/>
          <w:right w:w="6" w:type="dxa"/>
        </w:tblCellMar>
      </w:tblPr>
      <w:tblGrid>
        <w:gridCol w:w="660"/>
        <w:gridCol w:w="2934"/>
        <w:gridCol w:w="1400"/>
        <w:gridCol w:w="1490"/>
        <w:gridCol w:w="1490"/>
        <w:gridCol w:w="1490"/>
      </w:tblGrid>
      <w:tr w14:paraId="47B277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349" w:type="pct"/>
            <w:noWrap/>
            <w:vAlign w:val="center"/>
          </w:tcPr>
          <w:p w14:paraId="6834485C">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b/>
                <w:color w:val="auto"/>
                <w:kern w:val="0"/>
                <w:sz w:val="21"/>
                <w:szCs w:val="21"/>
              </w:rPr>
            </w:pPr>
            <w:r>
              <w:rPr>
                <w:rFonts w:hint="default"/>
                <w:b/>
                <w:color w:val="auto"/>
                <w:kern w:val="0"/>
                <w:sz w:val="21"/>
                <w:szCs w:val="21"/>
              </w:rPr>
              <w:t>序号</w:t>
            </w:r>
          </w:p>
        </w:tc>
        <w:tc>
          <w:tcPr>
            <w:tcW w:w="1550" w:type="pct"/>
            <w:noWrap/>
            <w:vAlign w:val="center"/>
          </w:tcPr>
          <w:p w14:paraId="38C8E4E3">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b/>
                <w:color w:val="auto"/>
                <w:kern w:val="0"/>
                <w:sz w:val="21"/>
                <w:szCs w:val="21"/>
              </w:rPr>
            </w:pPr>
            <w:r>
              <w:rPr>
                <w:rFonts w:hint="default"/>
                <w:b/>
                <w:color w:val="auto"/>
                <w:kern w:val="0"/>
                <w:sz w:val="21"/>
                <w:szCs w:val="21"/>
              </w:rPr>
              <w:t>危险物质名称</w:t>
            </w:r>
          </w:p>
        </w:tc>
        <w:tc>
          <w:tcPr>
            <w:tcW w:w="740" w:type="pct"/>
            <w:noWrap/>
            <w:vAlign w:val="center"/>
          </w:tcPr>
          <w:p w14:paraId="0E01AEC9">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b/>
                <w:color w:val="auto"/>
                <w:kern w:val="0"/>
                <w:sz w:val="21"/>
                <w:szCs w:val="21"/>
              </w:rPr>
            </w:pPr>
            <w:r>
              <w:rPr>
                <w:rFonts w:hint="default"/>
                <w:b/>
                <w:color w:val="auto"/>
                <w:kern w:val="0"/>
                <w:sz w:val="21"/>
                <w:szCs w:val="21"/>
              </w:rPr>
              <w:t>CAS号</w:t>
            </w:r>
          </w:p>
        </w:tc>
        <w:tc>
          <w:tcPr>
            <w:tcW w:w="787" w:type="pct"/>
            <w:vAlign w:val="center"/>
          </w:tcPr>
          <w:p w14:paraId="719B1215">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b/>
                <w:color w:val="auto"/>
                <w:kern w:val="0"/>
                <w:sz w:val="21"/>
                <w:szCs w:val="21"/>
              </w:rPr>
            </w:pPr>
            <w:r>
              <w:rPr>
                <w:rFonts w:hint="default"/>
                <w:b/>
                <w:color w:val="auto"/>
                <w:kern w:val="0"/>
                <w:sz w:val="21"/>
                <w:szCs w:val="21"/>
              </w:rPr>
              <w:t>最大存在总量q</w:t>
            </w:r>
            <w:r>
              <w:rPr>
                <w:rFonts w:hint="default"/>
                <w:b/>
                <w:color w:val="auto"/>
                <w:kern w:val="0"/>
                <w:sz w:val="21"/>
                <w:szCs w:val="21"/>
                <w:vertAlign w:val="subscript"/>
              </w:rPr>
              <w:t>n</w:t>
            </w:r>
            <w:r>
              <w:rPr>
                <w:rFonts w:hint="default"/>
                <w:b/>
                <w:color w:val="auto"/>
                <w:kern w:val="0"/>
                <w:sz w:val="21"/>
                <w:szCs w:val="21"/>
              </w:rPr>
              <w:t>/t</w:t>
            </w:r>
          </w:p>
        </w:tc>
        <w:tc>
          <w:tcPr>
            <w:tcW w:w="787" w:type="pct"/>
            <w:vAlign w:val="center"/>
          </w:tcPr>
          <w:p w14:paraId="6511B141">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b/>
                <w:color w:val="auto"/>
                <w:kern w:val="0"/>
                <w:sz w:val="21"/>
                <w:szCs w:val="21"/>
              </w:rPr>
            </w:pPr>
            <w:r>
              <w:rPr>
                <w:rFonts w:hint="default"/>
                <w:b/>
                <w:color w:val="auto"/>
                <w:kern w:val="0"/>
                <w:sz w:val="21"/>
                <w:szCs w:val="21"/>
              </w:rPr>
              <w:t>临界量Q</w:t>
            </w:r>
            <w:r>
              <w:rPr>
                <w:rFonts w:hint="default"/>
                <w:b/>
                <w:color w:val="auto"/>
                <w:kern w:val="0"/>
                <w:sz w:val="21"/>
                <w:szCs w:val="21"/>
                <w:vertAlign w:val="subscript"/>
              </w:rPr>
              <w:t>n</w:t>
            </w:r>
            <w:r>
              <w:rPr>
                <w:rFonts w:hint="default"/>
                <w:b/>
                <w:color w:val="auto"/>
                <w:kern w:val="0"/>
                <w:sz w:val="21"/>
                <w:szCs w:val="21"/>
              </w:rPr>
              <w:t>/t</w:t>
            </w:r>
          </w:p>
        </w:tc>
        <w:tc>
          <w:tcPr>
            <w:tcW w:w="787" w:type="pct"/>
            <w:vAlign w:val="center"/>
          </w:tcPr>
          <w:p w14:paraId="72C9EDBE">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b/>
                <w:color w:val="auto"/>
                <w:kern w:val="0"/>
                <w:sz w:val="21"/>
                <w:szCs w:val="21"/>
              </w:rPr>
            </w:pPr>
            <w:r>
              <w:rPr>
                <w:rFonts w:hint="default"/>
                <w:b/>
                <w:color w:val="auto"/>
                <w:kern w:val="0"/>
                <w:sz w:val="21"/>
                <w:szCs w:val="21"/>
              </w:rPr>
              <w:t>该种危险物质Q值</w:t>
            </w:r>
          </w:p>
        </w:tc>
      </w:tr>
      <w:tr w14:paraId="334220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349" w:type="pct"/>
            <w:noWrap/>
            <w:vAlign w:val="center"/>
          </w:tcPr>
          <w:p w14:paraId="24A9DA8C">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1</w:t>
            </w:r>
          </w:p>
        </w:tc>
        <w:tc>
          <w:tcPr>
            <w:tcW w:w="1550" w:type="pct"/>
            <w:noWrap/>
            <w:vAlign w:val="center"/>
          </w:tcPr>
          <w:p w14:paraId="2331EAC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甲基叔丁基醚（MTBE）</w:t>
            </w:r>
          </w:p>
        </w:tc>
        <w:tc>
          <w:tcPr>
            <w:tcW w:w="740" w:type="pct"/>
            <w:noWrap/>
            <w:vAlign w:val="center"/>
          </w:tcPr>
          <w:p w14:paraId="4D07A2F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1634-04-4</w:t>
            </w:r>
          </w:p>
        </w:tc>
        <w:tc>
          <w:tcPr>
            <w:tcW w:w="787" w:type="pct"/>
            <w:vAlign w:val="center"/>
          </w:tcPr>
          <w:p w14:paraId="3902AD33">
            <w:pPr>
              <w:pStyle w:val="91"/>
              <w:keepNext w:val="0"/>
              <w:keepLines w:val="0"/>
              <w:suppressLineNumbers w:val="0"/>
              <w:spacing w:before="0" w:beforeAutospacing="0" w:after="0" w:afterAutospacing="0"/>
              <w:ind w:left="0" w:right="0"/>
              <w:jc w:val="center"/>
              <w:rPr>
                <w:rFonts w:hint="default" w:eastAsia="宋体"/>
                <w:color w:val="auto"/>
                <w:u w:val="single"/>
                <w:lang w:val="en-US" w:eastAsia="zh-CN"/>
              </w:rPr>
            </w:pPr>
            <w:r>
              <w:rPr>
                <w:rFonts w:hint="eastAsia"/>
                <w:color w:val="auto"/>
                <w:u w:val="single"/>
              </w:rPr>
              <w:t>7</w:t>
            </w:r>
            <w:r>
              <w:rPr>
                <w:rFonts w:hint="eastAsia"/>
                <w:color w:val="auto"/>
                <w:u w:val="single"/>
                <w:lang w:val="en-US" w:eastAsia="zh-CN"/>
              </w:rPr>
              <w:t>400</w:t>
            </w:r>
          </w:p>
        </w:tc>
        <w:tc>
          <w:tcPr>
            <w:tcW w:w="787" w:type="pct"/>
            <w:vAlign w:val="center"/>
          </w:tcPr>
          <w:p w14:paraId="36BB597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u w:val="single"/>
              </w:rPr>
            </w:pPr>
            <w:r>
              <w:rPr>
                <w:rFonts w:hint="default"/>
                <w:color w:val="auto"/>
                <w:kern w:val="0"/>
                <w:sz w:val="21"/>
                <w:szCs w:val="21"/>
                <w:u w:val="single"/>
              </w:rPr>
              <w:t>10</w:t>
            </w:r>
          </w:p>
        </w:tc>
        <w:tc>
          <w:tcPr>
            <w:tcW w:w="1490" w:type="dxa"/>
            <w:vAlign w:val="center"/>
          </w:tcPr>
          <w:p w14:paraId="4C63FF33">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740</w:t>
            </w:r>
          </w:p>
        </w:tc>
      </w:tr>
      <w:tr w14:paraId="450C2A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349" w:type="pct"/>
            <w:noWrap/>
            <w:vAlign w:val="center"/>
          </w:tcPr>
          <w:p w14:paraId="0AEA261E">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2</w:t>
            </w:r>
          </w:p>
        </w:tc>
        <w:tc>
          <w:tcPr>
            <w:tcW w:w="1550" w:type="pct"/>
            <w:noWrap/>
            <w:vAlign w:val="center"/>
          </w:tcPr>
          <w:p w14:paraId="53C502C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异辛烷（烷基化油）</w:t>
            </w:r>
          </w:p>
        </w:tc>
        <w:tc>
          <w:tcPr>
            <w:tcW w:w="740" w:type="pct"/>
            <w:noWrap/>
            <w:vAlign w:val="center"/>
          </w:tcPr>
          <w:p w14:paraId="4808306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787" w:type="pct"/>
            <w:vAlign w:val="center"/>
          </w:tcPr>
          <w:p w14:paraId="7D35F4BF">
            <w:pPr>
              <w:pStyle w:val="91"/>
              <w:keepNext w:val="0"/>
              <w:keepLines w:val="0"/>
              <w:suppressLineNumbers w:val="0"/>
              <w:spacing w:before="0" w:beforeAutospacing="0" w:after="0" w:afterAutospacing="0"/>
              <w:ind w:left="0" w:right="0"/>
              <w:jc w:val="center"/>
              <w:rPr>
                <w:rFonts w:hint="default" w:eastAsia="宋体"/>
                <w:color w:val="auto"/>
                <w:u w:val="single"/>
                <w:lang w:val="en-US" w:eastAsia="zh-CN"/>
              </w:rPr>
            </w:pPr>
            <w:r>
              <w:rPr>
                <w:rFonts w:hint="eastAsia"/>
                <w:color w:val="auto"/>
                <w:u w:val="single"/>
              </w:rPr>
              <w:t>69</w:t>
            </w:r>
            <w:r>
              <w:rPr>
                <w:rFonts w:hint="eastAsia"/>
                <w:color w:val="auto"/>
                <w:u w:val="single"/>
                <w:lang w:val="en-US" w:eastAsia="zh-CN"/>
              </w:rPr>
              <w:t>00</w:t>
            </w:r>
          </w:p>
        </w:tc>
        <w:tc>
          <w:tcPr>
            <w:tcW w:w="787" w:type="pct"/>
            <w:vAlign w:val="center"/>
          </w:tcPr>
          <w:p w14:paraId="19FB43F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u w:val="single"/>
              </w:rPr>
            </w:pPr>
            <w:r>
              <w:rPr>
                <w:rFonts w:hint="eastAsia"/>
                <w:color w:val="auto"/>
                <w:kern w:val="0"/>
                <w:sz w:val="21"/>
                <w:szCs w:val="21"/>
                <w:u w:val="single"/>
              </w:rPr>
              <w:t>50</w:t>
            </w:r>
          </w:p>
        </w:tc>
        <w:tc>
          <w:tcPr>
            <w:tcW w:w="1490" w:type="dxa"/>
            <w:vAlign w:val="center"/>
          </w:tcPr>
          <w:p w14:paraId="576B28E1">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138</w:t>
            </w:r>
          </w:p>
        </w:tc>
      </w:tr>
      <w:tr w14:paraId="7C444C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349" w:type="pct"/>
            <w:noWrap/>
            <w:vAlign w:val="center"/>
          </w:tcPr>
          <w:p w14:paraId="7ED6168F">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3</w:t>
            </w:r>
          </w:p>
        </w:tc>
        <w:tc>
          <w:tcPr>
            <w:tcW w:w="1550" w:type="pct"/>
            <w:noWrap/>
            <w:vAlign w:val="center"/>
          </w:tcPr>
          <w:p w14:paraId="762C72D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石脑油</w:t>
            </w:r>
          </w:p>
        </w:tc>
        <w:tc>
          <w:tcPr>
            <w:tcW w:w="740" w:type="pct"/>
            <w:noWrap/>
            <w:vAlign w:val="center"/>
          </w:tcPr>
          <w:p w14:paraId="223DBA5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8030-30-6</w:t>
            </w:r>
          </w:p>
        </w:tc>
        <w:tc>
          <w:tcPr>
            <w:tcW w:w="787" w:type="pct"/>
            <w:vAlign w:val="center"/>
          </w:tcPr>
          <w:p w14:paraId="352212D7">
            <w:pPr>
              <w:pStyle w:val="91"/>
              <w:keepNext w:val="0"/>
              <w:keepLines w:val="0"/>
              <w:suppressLineNumbers w:val="0"/>
              <w:spacing w:before="0" w:beforeAutospacing="0" w:after="0" w:afterAutospacing="0"/>
              <w:ind w:left="0" w:right="0"/>
              <w:jc w:val="center"/>
              <w:rPr>
                <w:rFonts w:hint="eastAsia" w:eastAsia="宋体"/>
                <w:color w:val="auto"/>
                <w:u w:val="single"/>
                <w:lang w:eastAsia="zh-CN"/>
              </w:rPr>
            </w:pPr>
            <w:r>
              <w:rPr>
                <w:rFonts w:hint="eastAsia"/>
                <w:color w:val="auto"/>
                <w:u w:val="single"/>
              </w:rPr>
              <w:t>67</w:t>
            </w:r>
            <w:r>
              <w:rPr>
                <w:rFonts w:hint="eastAsia"/>
                <w:color w:val="auto"/>
                <w:u w:val="single"/>
                <w:lang w:val="en-US" w:eastAsia="zh-CN"/>
              </w:rPr>
              <w:t>0</w:t>
            </w:r>
          </w:p>
        </w:tc>
        <w:tc>
          <w:tcPr>
            <w:tcW w:w="787" w:type="pct"/>
            <w:vAlign w:val="center"/>
          </w:tcPr>
          <w:p w14:paraId="7739924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u w:val="single"/>
              </w:rPr>
            </w:pPr>
            <w:r>
              <w:rPr>
                <w:rFonts w:hint="default"/>
                <w:color w:val="auto"/>
                <w:kern w:val="0"/>
                <w:sz w:val="21"/>
                <w:szCs w:val="21"/>
                <w:u w:val="single"/>
              </w:rPr>
              <w:t>2500</w:t>
            </w:r>
          </w:p>
        </w:tc>
        <w:tc>
          <w:tcPr>
            <w:tcW w:w="1490" w:type="dxa"/>
            <w:vAlign w:val="center"/>
          </w:tcPr>
          <w:p w14:paraId="76AD9544">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0.268</w:t>
            </w:r>
          </w:p>
        </w:tc>
      </w:tr>
      <w:tr w14:paraId="0FCF1A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349" w:type="pct"/>
            <w:noWrap/>
            <w:vAlign w:val="center"/>
          </w:tcPr>
          <w:p w14:paraId="6326CD1D">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4</w:t>
            </w:r>
          </w:p>
        </w:tc>
        <w:tc>
          <w:tcPr>
            <w:tcW w:w="1550" w:type="pct"/>
            <w:noWrap/>
            <w:vAlign w:val="center"/>
          </w:tcPr>
          <w:p w14:paraId="6297C08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蜡油</w:t>
            </w:r>
          </w:p>
        </w:tc>
        <w:tc>
          <w:tcPr>
            <w:tcW w:w="740" w:type="pct"/>
            <w:noWrap/>
            <w:vAlign w:val="center"/>
          </w:tcPr>
          <w:p w14:paraId="72C0EF1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787" w:type="pct"/>
            <w:vAlign w:val="center"/>
          </w:tcPr>
          <w:p w14:paraId="6EA0A06A">
            <w:pPr>
              <w:pStyle w:val="91"/>
              <w:keepNext w:val="0"/>
              <w:keepLines w:val="0"/>
              <w:suppressLineNumbers w:val="0"/>
              <w:spacing w:before="0" w:beforeAutospacing="0" w:after="0" w:afterAutospacing="0"/>
              <w:ind w:left="0" w:right="0"/>
              <w:jc w:val="center"/>
              <w:rPr>
                <w:rFonts w:hint="default" w:eastAsia="宋体"/>
                <w:color w:val="auto"/>
                <w:u w:val="single"/>
                <w:lang w:val="en-US" w:eastAsia="zh-CN"/>
              </w:rPr>
            </w:pPr>
            <w:r>
              <w:rPr>
                <w:rFonts w:hint="eastAsia"/>
                <w:color w:val="auto"/>
                <w:u w:val="single"/>
              </w:rPr>
              <w:t>37</w:t>
            </w:r>
            <w:r>
              <w:rPr>
                <w:rFonts w:hint="eastAsia"/>
                <w:color w:val="auto"/>
                <w:u w:val="single"/>
                <w:lang w:val="en-US" w:eastAsia="zh-CN"/>
              </w:rPr>
              <w:t>200</w:t>
            </w:r>
          </w:p>
        </w:tc>
        <w:tc>
          <w:tcPr>
            <w:tcW w:w="787" w:type="pct"/>
            <w:vAlign w:val="center"/>
          </w:tcPr>
          <w:p w14:paraId="2336EDBB">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u w:val="single"/>
              </w:rPr>
            </w:pPr>
            <w:r>
              <w:rPr>
                <w:rFonts w:hint="default"/>
                <w:color w:val="auto"/>
                <w:kern w:val="0"/>
                <w:sz w:val="21"/>
                <w:szCs w:val="21"/>
                <w:u w:val="single"/>
              </w:rPr>
              <w:t>2500</w:t>
            </w:r>
          </w:p>
        </w:tc>
        <w:tc>
          <w:tcPr>
            <w:tcW w:w="1490" w:type="dxa"/>
            <w:vAlign w:val="center"/>
          </w:tcPr>
          <w:p w14:paraId="0D4AF614">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14.88</w:t>
            </w:r>
          </w:p>
        </w:tc>
      </w:tr>
      <w:tr w14:paraId="15DDF8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349" w:type="pct"/>
            <w:noWrap/>
            <w:vAlign w:val="center"/>
          </w:tcPr>
          <w:p w14:paraId="172F2A46">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5</w:t>
            </w:r>
          </w:p>
        </w:tc>
        <w:tc>
          <w:tcPr>
            <w:tcW w:w="1550" w:type="pct"/>
            <w:noWrap/>
            <w:vAlign w:val="center"/>
          </w:tcPr>
          <w:p w14:paraId="0775802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渣油</w:t>
            </w:r>
          </w:p>
        </w:tc>
        <w:tc>
          <w:tcPr>
            <w:tcW w:w="740" w:type="pct"/>
            <w:noWrap/>
            <w:vAlign w:val="center"/>
          </w:tcPr>
          <w:p w14:paraId="41C2C91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787" w:type="pct"/>
            <w:vAlign w:val="center"/>
          </w:tcPr>
          <w:p w14:paraId="68A843AD">
            <w:pPr>
              <w:pStyle w:val="91"/>
              <w:keepNext w:val="0"/>
              <w:keepLines w:val="0"/>
              <w:suppressLineNumbers w:val="0"/>
              <w:spacing w:before="0" w:beforeAutospacing="0" w:after="0" w:afterAutospacing="0"/>
              <w:ind w:left="0" w:right="0"/>
              <w:jc w:val="center"/>
              <w:rPr>
                <w:rFonts w:hint="default" w:eastAsia="宋体"/>
                <w:color w:val="auto"/>
                <w:u w:val="single"/>
                <w:lang w:val="en-US" w:eastAsia="zh-CN"/>
              </w:rPr>
            </w:pPr>
            <w:r>
              <w:rPr>
                <w:rFonts w:hint="eastAsia"/>
                <w:color w:val="auto"/>
                <w:u w:val="single"/>
              </w:rPr>
              <w:t>37</w:t>
            </w:r>
            <w:r>
              <w:rPr>
                <w:rFonts w:hint="eastAsia"/>
                <w:color w:val="auto"/>
                <w:u w:val="single"/>
                <w:lang w:val="en-US" w:eastAsia="zh-CN"/>
              </w:rPr>
              <w:t>600</w:t>
            </w:r>
          </w:p>
        </w:tc>
        <w:tc>
          <w:tcPr>
            <w:tcW w:w="787" w:type="pct"/>
            <w:vAlign w:val="center"/>
          </w:tcPr>
          <w:p w14:paraId="1A392E06">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u w:val="single"/>
              </w:rPr>
            </w:pPr>
            <w:r>
              <w:rPr>
                <w:rFonts w:hint="default"/>
                <w:color w:val="auto"/>
                <w:kern w:val="0"/>
                <w:sz w:val="21"/>
                <w:szCs w:val="21"/>
                <w:u w:val="single"/>
              </w:rPr>
              <w:t>2500</w:t>
            </w:r>
          </w:p>
        </w:tc>
        <w:tc>
          <w:tcPr>
            <w:tcW w:w="1490" w:type="dxa"/>
            <w:vAlign w:val="center"/>
          </w:tcPr>
          <w:p w14:paraId="1EA75E6B">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15.04</w:t>
            </w:r>
          </w:p>
        </w:tc>
      </w:tr>
      <w:tr w14:paraId="2FFF4A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349" w:type="pct"/>
            <w:noWrap/>
            <w:vAlign w:val="center"/>
          </w:tcPr>
          <w:p w14:paraId="7F889C3D">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6</w:t>
            </w:r>
          </w:p>
        </w:tc>
        <w:tc>
          <w:tcPr>
            <w:tcW w:w="1550" w:type="pct"/>
            <w:noWrap/>
            <w:vAlign w:val="center"/>
          </w:tcPr>
          <w:p w14:paraId="36DEC1D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船舶</w:t>
            </w:r>
            <w:r>
              <w:rPr>
                <w:rFonts w:hint="default"/>
                <w:color w:val="auto"/>
                <w:sz w:val="21"/>
                <w:szCs w:val="21"/>
              </w:rPr>
              <w:t>燃料油</w:t>
            </w:r>
          </w:p>
        </w:tc>
        <w:tc>
          <w:tcPr>
            <w:tcW w:w="740" w:type="pct"/>
            <w:noWrap/>
            <w:vAlign w:val="center"/>
          </w:tcPr>
          <w:p w14:paraId="1ABEAAA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787" w:type="pct"/>
            <w:vAlign w:val="center"/>
          </w:tcPr>
          <w:p w14:paraId="1FA46FFA">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u w:val="single"/>
              </w:rPr>
            </w:pPr>
            <w:r>
              <w:rPr>
                <w:rFonts w:hint="eastAsia"/>
                <w:color w:val="auto"/>
                <w:kern w:val="0"/>
                <w:sz w:val="21"/>
                <w:szCs w:val="21"/>
                <w:u w:val="single"/>
              </w:rPr>
              <w:t>3780</w:t>
            </w:r>
          </w:p>
        </w:tc>
        <w:tc>
          <w:tcPr>
            <w:tcW w:w="787" w:type="pct"/>
            <w:vAlign w:val="center"/>
          </w:tcPr>
          <w:p w14:paraId="026897F9">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u w:val="single"/>
              </w:rPr>
            </w:pPr>
            <w:r>
              <w:rPr>
                <w:rFonts w:hint="default"/>
                <w:color w:val="auto"/>
                <w:kern w:val="0"/>
                <w:sz w:val="21"/>
                <w:szCs w:val="21"/>
                <w:u w:val="single"/>
              </w:rPr>
              <w:t>1</w:t>
            </w:r>
            <w:r>
              <w:rPr>
                <w:rFonts w:hint="eastAsia"/>
                <w:color w:val="auto"/>
                <w:kern w:val="0"/>
                <w:sz w:val="21"/>
                <w:szCs w:val="21"/>
                <w:u w:val="single"/>
              </w:rPr>
              <w:t>00</w:t>
            </w:r>
          </w:p>
        </w:tc>
        <w:tc>
          <w:tcPr>
            <w:tcW w:w="1490" w:type="dxa"/>
            <w:vAlign w:val="center"/>
          </w:tcPr>
          <w:p w14:paraId="019AF03F">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37.8</w:t>
            </w:r>
          </w:p>
        </w:tc>
      </w:tr>
      <w:tr w14:paraId="73FAD2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2639" w:type="pct"/>
            <w:gridSpan w:val="3"/>
            <w:noWrap/>
            <w:vAlign w:val="center"/>
          </w:tcPr>
          <w:p w14:paraId="6FDEAD4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合计</w:t>
            </w:r>
          </w:p>
        </w:tc>
        <w:tc>
          <w:tcPr>
            <w:tcW w:w="787" w:type="pct"/>
            <w:vAlign w:val="center"/>
          </w:tcPr>
          <w:p w14:paraId="4CA9EBE5">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u w:val="single"/>
              </w:rPr>
            </w:pPr>
            <w:r>
              <w:rPr>
                <w:rFonts w:hint="eastAsia"/>
                <w:color w:val="auto"/>
                <w:kern w:val="0"/>
                <w:sz w:val="21"/>
                <w:szCs w:val="21"/>
                <w:u w:val="single"/>
              </w:rPr>
              <w:t>/</w:t>
            </w:r>
          </w:p>
        </w:tc>
        <w:tc>
          <w:tcPr>
            <w:tcW w:w="787" w:type="pct"/>
            <w:vAlign w:val="center"/>
          </w:tcPr>
          <w:p w14:paraId="2DCB9EDD">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u w:val="single"/>
              </w:rPr>
            </w:pPr>
            <w:r>
              <w:rPr>
                <w:rFonts w:hint="eastAsia"/>
                <w:color w:val="auto"/>
                <w:kern w:val="0"/>
                <w:sz w:val="21"/>
                <w:szCs w:val="21"/>
                <w:u w:val="single"/>
              </w:rPr>
              <w:t>/</w:t>
            </w:r>
          </w:p>
        </w:tc>
        <w:tc>
          <w:tcPr>
            <w:tcW w:w="787" w:type="pct"/>
            <w:vAlign w:val="center"/>
          </w:tcPr>
          <w:p w14:paraId="779A429F">
            <w:pPr>
              <w:keepNext w:val="0"/>
              <w:keepLines w:val="0"/>
              <w:widowControl/>
              <w:suppressLineNumbers w:val="0"/>
              <w:spacing w:before="0" w:beforeAutospacing="0" w:after="0" w:afterAutospacing="0" w:line="240" w:lineRule="auto"/>
              <w:ind w:left="0" w:right="0" w:firstLine="0" w:firstLineChars="0"/>
              <w:jc w:val="center"/>
              <w:rPr>
                <w:rFonts w:hint="default" w:eastAsia="等线"/>
                <w:color w:val="auto"/>
                <w:kern w:val="0"/>
                <w:sz w:val="21"/>
                <w:szCs w:val="21"/>
                <w:u w:val="single"/>
                <w:lang w:val="en-US" w:eastAsia="zh-CN"/>
              </w:rPr>
            </w:pPr>
            <w:r>
              <w:rPr>
                <w:rFonts w:hint="eastAsia" w:eastAsia="等线"/>
                <w:color w:val="auto"/>
                <w:sz w:val="21"/>
                <w:szCs w:val="21"/>
                <w:u w:val="single"/>
                <w:lang w:val="en-US" w:eastAsia="zh-CN"/>
              </w:rPr>
              <w:t>945.988</w:t>
            </w:r>
          </w:p>
        </w:tc>
      </w:tr>
    </w:tbl>
    <w:p w14:paraId="78744633">
      <w:pPr>
        <w:pStyle w:val="6"/>
        <w:rPr>
          <w:color w:val="auto"/>
        </w:rPr>
      </w:pPr>
      <w:r>
        <w:rPr>
          <w:color w:val="auto"/>
        </w:rPr>
        <w:t>行业及生产工艺M</w:t>
      </w:r>
    </w:p>
    <w:p w14:paraId="1FB5F7C2">
      <w:pPr>
        <w:ind w:firstLine="480"/>
        <w:rPr>
          <w:color w:val="auto"/>
        </w:rPr>
      </w:pPr>
      <w:r>
        <w:rPr>
          <w:color w:val="auto"/>
        </w:rPr>
        <w:t>根据项目所属行业及生产工艺特点，将M划分为（1）M＞20；（2）10＜M≤20；（3）5＜M≤10；（4）M=5，分别以M1，M2，M3和M4表示。</w:t>
      </w:r>
    </w:p>
    <w:p w14:paraId="22EE903D">
      <w:pPr>
        <w:pStyle w:val="14"/>
        <w:rPr>
          <w:color w:val="auto"/>
        </w:rPr>
      </w:pPr>
      <w:r>
        <w:rPr>
          <w:rFonts w:hint="eastAsia"/>
          <w:color w:val="auto"/>
        </w:rPr>
        <w:t>表</w:t>
      </w:r>
      <w:r>
        <w:rPr>
          <w:color w:val="auto"/>
        </w:rPr>
        <w:t>5.2</w:t>
      </w:r>
      <w:r>
        <w:rPr>
          <w:color w:val="auto"/>
        </w:rPr>
        <w:noBreakHyphen/>
      </w:r>
      <w:r>
        <w:rPr>
          <w:color w:val="auto"/>
        </w:rPr>
        <w:t>2行业及生产工艺M</w:t>
      </w:r>
    </w:p>
    <w:tbl>
      <w:tblPr>
        <w:tblStyle w:val="43"/>
        <w:tblW w:w="899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124"/>
        <w:gridCol w:w="5177"/>
        <w:gridCol w:w="662"/>
        <w:gridCol w:w="1464"/>
        <w:gridCol w:w="347"/>
        <w:gridCol w:w="220"/>
      </w:tblGrid>
      <w:tr w14:paraId="6130FF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1124" w:type="dxa"/>
            <w:vAlign w:val="center"/>
          </w:tcPr>
          <w:p w14:paraId="352047EE">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行业</w:t>
            </w:r>
          </w:p>
        </w:tc>
        <w:tc>
          <w:tcPr>
            <w:tcW w:w="5177" w:type="dxa"/>
            <w:vAlign w:val="center"/>
          </w:tcPr>
          <w:p w14:paraId="32745226">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评估依据</w:t>
            </w:r>
          </w:p>
        </w:tc>
        <w:tc>
          <w:tcPr>
            <w:tcW w:w="662" w:type="dxa"/>
            <w:vAlign w:val="center"/>
          </w:tcPr>
          <w:p w14:paraId="338049BB">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分值</w:t>
            </w:r>
          </w:p>
        </w:tc>
        <w:tc>
          <w:tcPr>
            <w:tcW w:w="1464" w:type="dxa"/>
            <w:vAlign w:val="center"/>
          </w:tcPr>
          <w:p w14:paraId="5B99612D">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项目情况</w:t>
            </w:r>
          </w:p>
        </w:tc>
        <w:tc>
          <w:tcPr>
            <w:tcW w:w="567" w:type="dxa"/>
            <w:gridSpan w:val="2"/>
            <w:vAlign w:val="center"/>
          </w:tcPr>
          <w:p w14:paraId="2631D7D0">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评分</w:t>
            </w:r>
          </w:p>
        </w:tc>
      </w:tr>
      <w:tr w14:paraId="448209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 w:hRule="atLeast"/>
          <w:jc w:val="center"/>
        </w:trPr>
        <w:tc>
          <w:tcPr>
            <w:tcW w:w="1124" w:type="dxa"/>
            <w:vMerge w:val="restart"/>
            <w:vAlign w:val="center"/>
          </w:tcPr>
          <w:p w14:paraId="2FC9D9BC">
            <w:pPr>
              <w:pStyle w:val="77"/>
              <w:keepNext w:val="0"/>
              <w:keepLines w:val="0"/>
              <w:suppressLineNumbers w:val="0"/>
              <w:spacing w:before="0" w:beforeAutospacing="0" w:after="0" w:afterAutospacing="0"/>
              <w:ind w:left="0" w:right="0"/>
              <w:rPr>
                <w:rFonts w:hint="default"/>
                <w:color w:val="auto"/>
              </w:rPr>
            </w:pPr>
            <w:r>
              <w:rPr>
                <w:rFonts w:hint="default"/>
                <w:color w:val="auto"/>
              </w:rPr>
              <w:t>石化、化工、医药、轻工、化纤、有色冶炼等</w:t>
            </w:r>
          </w:p>
        </w:tc>
        <w:tc>
          <w:tcPr>
            <w:tcW w:w="5177" w:type="dxa"/>
            <w:vAlign w:val="center"/>
          </w:tcPr>
          <w:p w14:paraId="6DB2DCA2">
            <w:pPr>
              <w:pStyle w:val="77"/>
              <w:keepNext w:val="0"/>
              <w:keepLines w:val="0"/>
              <w:suppressLineNumbers w:val="0"/>
              <w:spacing w:before="0" w:beforeAutospacing="0" w:after="0" w:afterAutospacing="0"/>
              <w:ind w:left="0" w:right="0"/>
              <w:rPr>
                <w:rFonts w:hint="default"/>
                <w:color w:val="auto"/>
              </w:rPr>
            </w:pPr>
            <w:r>
              <w:rPr>
                <w:rFonts w:hint="default"/>
                <w:color w:val="auto"/>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662" w:type="dxa"/>
            <w:vAlign w:val="center"/>
          </w:tcPr>
          <w:p w14:paraId="01C71CCE">
            <w:pPr>
              <w:pStyle w:val="77"/>
              <w:keepNext w:val="0"/>
              <w:keepLines w:val="0"/>
              <w:suppressLineNumbers w:val="0"/>
              <w:spacing w:before="0" w:beforeAutospacing="0" w:after="0" w:afterAutospacing="0"/>
              <w:ind w:left="0" w:right="0"/>
              <w:rPr>
                <w:rFonts w:hint="default"/>
                <w:color w:val="auto"/>
              </w:rPr>
            </w:pPr>
            <w:r>
              <w:rPr>
                <w:rFonts w:hint="default"/>
                <w:color w:val="auto"/>
              </w:rPr>
              <w:t>10/套</w:t>
            </w:r>
          </w:p>
        </w:tc>
        <w:tc>
          <w:tcPr>
            <w:tcW w:w="1464" w:type="dxa"/>
            <w:vAlign w:val="center"/>
          </w:tcPr>
          <w:p w14:paraId="4EA8B851">
            <w:pPr>
              <w:pStyle w:val="77"/>
              <w:keepNext w:val="0"/>
              <w:keepLines w:val="0"/>
              <w:suppressLineNumbers w:val="0"/>
              <w:spacing w:before="0" w:beforeAutospacing="0" w:after="0" w:afterAutospacing="0"/>
              <w:ind w:left="0" w:right="0"/>
              <w:rPr>
                <w:rFonts w:hint="default"/>
                <w:color w:val="auto"/>
              </w:rPr>
            </w:pPr>
            <w:r>
              <w:rPr>
                <w:rFonts w:hint="default"/>
                <w:color w:val="auto"/>
              </w:rPr>
              <w:t>项目不涉及相关行业</w:t>
            </w:r>
          </w:p>
        </w:tc>
        <w:tc>
          <w:tcPr>
            <w:tcW w:w="567" w:type="dxa"/>
            <w:gridSpan w:val="2"/>
            <w:vAlign w:val="center"/>
          </w:tcPr>
          <w:p w14:paraId="39B3DF15">
            <w:pPr>
              <w:pStyle w:val="77"/>
              <w:keepNext w:val="0"/>
              <w:keepLines w:val="0"/>
              <w:suppressLineNumbers w:val="0"/>
              <w:spacing w:before="0" w:beforeAutospacing="0" w:after="0" w:afterAutospacing="0"/>
              <w:ind w:left="0" w:right="0"/>
              <w:rPr>
                <w:rFonts w:hint="default"/>
                <w:color w:val="auto"/>
              </w:rPr>
            </w:pPr>
            <w:r>
              <w:rPr>
                <w:rFonts w:hint="default"/>
                <w:color w:val="auto"/>
              </w:rPr>
              <w:t>0</w:t>
            </w:r>
          </w:p>
        </w:tc>
      </w:tr>
      <w:tr w14:paraId="1D6894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5" w:hRule="atLeast"/>
          <w:jc w:val="center"/>
        </w:trPr>
        <w:tc>
          <w:tcPr>
            <w:tcW w:w="1124" w:type="dxa"/>
            <w:vMerge w:val="continue"/>
            <w:vAlign w:val="center"/>
          </w:tcPr>
          <w:p w14:paraId="4BB0DB3D">
            <w:pPr>
              <w:pStyle w:val="77"/>
              <w:keepNext w:val="0"/>
              <w:keepLines w:val="0"/>
              <w:suppressLineNumbers w:val="0"/>
              <w:spacing w:before="0" w:beforeAutospacing="0" w:after="0" w:afterAutospacing="0"/>
              <w:ind w:left="0" w:right="0"/>
              <w:rPr>
                <w:rFonts w:hint="default"/>
                <w:color w:val="auto"/>
              </w:rPr>
            </w:pPr>
          </w:p>
        </w:tc>
        <w:tc>
          <w:tcPr>
            <w:tcW w:w="5177" w:type="dxa"/>
            <w:vAlign w:val="center"/>
          </w:tcPr>
          <w:p w14:paraId="5AD78CEC">
            <w:pPr>
              <w:pStyle w:val="77"/>
              <w:keepNext w:val="0"/>
              <w:keepLines w:val="0"/>
              <w:suppressLineNumbers w:val="0"/>
              <w:spacing w:before="0" w:beforeAutospacing="0" w:after="0" w:afterAutospacing="0"/>
              <w:ind w:left="0" w:right="0"/>
              <w:rPr>
                <w:rFonts w:hint="default"/>
                <w:color w:val="auto"/>
              </w:rPr>
            </w:pPr>
            <w:r>
              <w:rPr>
                <w:rFonts w:hint="default"/>
                <w:color w:val="auto"/>
              </w:rPr>
              <w:t>无机酸制酸工艺、焦化工艺</w:t>
            </w:r>
          </w:p>
        </w:tc>
        <w:tc>
          <w:tcPr>
            <w:tcW w:w="662" w:type="dxa"/>
            <w:vAlign w:val="center"/>
          </w:tcPr>
          <w:p w14:paraId="1A462ACE">
            <w:pPr>
              <w:pStyle w:val="77"/>
              <w:keepNext w:val="0"/>
              <w:keepLines w:val="0"/>
              <w:suppressLineNumbers w:val="0"/>
              <w:spacing w:before="0" w:beforeAutospacing="0" w:after="0" w:afterAutospacing="0"/>
              <w:ind w:left="0" w:right="0"/>
              <w:rPr>
                <w:rFonts w:hint="default"/>
                <w:color w:val="auto"/>
              </w:rPr>
            </w:pPr>
            <w:r>
              <w:rPr>
                <w:rFonts w:hint="default"/>
                <w:color w:val="auto"/>
              </w:rPr>
              <w:t>5/套</w:t>
            </w:r>
          </w:p>
        </w:tc>
        <w:tc>
          <w:tcPr>
            <w:tcW w:w="1464" w:type="dxa"/>
            <w:vAlign w:val="center"/>
          </w:tcPr>
          <w:p w14:paraId="10E4D7FD">
            <w:pPr>
              <w:pStyle w:val="77"/>
              <w:keepNext w:val="0"/>
              <w:keepLines w:val="0"/>
              <w:suppressLineNumbers w:val="0"/>
              <w:spacing w:before="0" w:beforeAutospacing="0" w:after="0" w:afterAutospacing="0"/>
              <w:ind w:left="0" w:right="0"/>
              <w:rPr>
                <w:rFonts w:hint="default"/>
                <w:color w:val="auto"/>
              </w:rPr>
            </w:pPr>
            <w:r>
              <w:rPr>
                <w:rFonts w:hint="default"/>
                <w:color w:val="auto"/>
              </w:rPr>
              <w:t>项目不涉及相关工艺</w:t>
            </w:r>
          </w:p>
        </w:tc>
        <w:tc>
          <w:tcPr>
            <w:tcW w:w="567" w:type="dxa"/>
            <w:gridSpan w:val="2"/>
            <w:vAlign w:val="center"/>
          </w:tcPr>
          <w:p w14:paraId="363EAC66">
            <w:pPr>
              <w:pStyle w:val="77"/>
              <w:keepNext w:val="0"/>
              <w:keepLines w:val="0"/>
              <w:suppressLineNumbers w:val="0"/>
              <w:spacing w:before="0" w:beforeAutospacing="0" w:after="0" w:afterAutospacing="0"/>
              <w:ind w:left="0" w:right="0"/>
              <w:rPr>
                <w:rFonts w:hint="default"/>
                <w:color w:val="auto"/>
              </w:rPr>
            </w:pPr>
            <w:r>
              <w:rPr>
                <w:rFonts w:hint="default"/>
                <w:color w:val="auto"/>
              </w:rPr>
              <w:t>0</w:t>
            </w:r>
          </w:p>
        </w:tc>
      </w:tr>
      <w:tr w14:paraId="57B7F3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1124" w:type="dxa"/>
            <w:vMerge w:val="continue"/>
            <w:vAlign w:val="center"/>
          </w:tcPr>
          <w:p w14:paraId="500F3B19">
            <w:pPr>
              <w:pStyle w:val="77"/>
              <w:keepNext w:val="0"/>
              <w:keepLines w:val="0"/>
              <w:suppressLineNumbers w:val="0"/>
              <w:spacing w:before="0" w:beforeAutospacing="0" w:after="0" w:afterAutospacing="0"/>
              <w:ind w:left="0" w:right="0"/>
              <w:rPr>
                <w:rFonts w:hint="default"/>
                <w:color w:val="auto"/>
              </w:rPr>
            </w:pPr>
          </w:p>
        </w:tc>
        <w:tc>
          <w:tcPr>
            <w:tcW w:w="5177" w:type="dxa"/>
            <w:vAlign w:val="center"/>
          </w:tcPr>
          <w:p w14:paraId="735B0D17">
            <w:pPr>
              <w:pStyle w:val="77"/>
              <w:keepNext w:val="0"/>
              <w:keepLines w:val="0"/>
              <w:suppressLineNumbers w:val="0"/>
              <w:spacing w:before="0" w:beforeAutospacing="0" w:after="0" w:afterAutospacing="0"/>
              <w:ind w:left="0" w:right="0"/>
              <w:rPr>
                <w:rFonts w:hint="default"/>
                <w:color w:val="auto"/>
              </w:rPr>
            </w:pPr>
            <w:r>
              <w:rPr>
                <w:rFonts w:hint="default"/>
                <w:color w:val="auto"/>
              </w:rPr>
              <w:t>其他高温或高压，且涉及危险物质的工艺过程</w:t>
            </w:r>
            <w:r>
              <w:rPr>
                <w:rFonts w:hint="default"/>
                <w:color w:val="auto"/>
                <w:vertAlign w:val="superscript"/>
              </w:rPr>
              <w:t>a</w:t>
            </w:r>
            <w:r>
              <w:rPr>
                <w:rFonts w:hint="default"/>
                <w:color w:val="auto"/>
              </w:rPr>
              <w:t>、危险物质贮存罐区</w:t>
            </w:r>
          </w:p>
        </w:tc>
        <w:tc>
          <w:tcPr>
            <w:tcW w:w="662" w:type="dxa"/>
            <w:vAlign w:val="center"/>
          </w:tcPr>
          <w:p w14:paraId="0712117D">
            <w:pPr>
              <w:pStyle w:val="77"/>
              <w:keepNext w:val="0"/>
              <w:keepLines w:val="0"/>
              <w:suppressLineNumbers w:val="0"/>
              <w:spacing w:before="0" w:beforeAutospacing="0" w:after="0" w:afterAutospacing="0"/>
              <w:ind w:left="0" w:right="0"/>
              <w:rPr>
                <w:rFonts w:hint="default"/>
                <w:color w:val="auto"/>
              </w:rPr>
            </w:pPr>
            <w:r>
              <w:rPr>
                <w:rFonts w:hint="default"/>
                <w:color w:val="auto"/>
              </w:rPr>
              <w:t>5/套</w:t>
            </w:r>
          </w:p>
          <w:p w14:paraId="5B358BB3">
            <w:pPr>
              <w:pStyle w:val="77"/>
              <w:keepNext w:val="0"/>
              <w:keepLines w:val="0"/>
              <w:suppressLineNumbers w:val="0"/>
              <w:spacing w:before="0" w:beforeAutospacing="0" w:after="0" w:afterAutospacing="0"/>
              <w:ind w:left="0" w:right="0"/>
              <w:rPr>
                <w:rFonts w:hint="default"/>
                <w:color w:val="auto"/>
              </w:rPr>
            </w:pPr>
            <w:r>
              <w:rPr>
                <w:rFonts w:hint="default"/>
                <w:color w:val="auto"/>
              </w:rPr>
              <w:t>（罐区）</w:t>
            </w:r>
          </w:p>
        </w:tc>
        <w:tc>
          <w:tcPr>
            <w:tcW w:w="1464" w:type="dxa"/>
            <w:vAlign w:val="center"/>
          </w:tcPr>
          <w:p w14:paraId="303D4113">
            <w:pPr>
              <w:pStyle w:val="77"/>
              <w:keepNext w:val="0"/>
              <w:keepLines w:val="0"/>
              <w:suppressLineNumbers w:val="0"/>
              <w:spacing w:before="0" w:beforeAutospacing="0" w:after="0" w:afterAutospacing="0"/>
              <w:ind w:left="0" w:right="0"/>
              <w:rPr>
                <w:rFonts w:hint="default"/>
                <w:color w:val="auto"/>
              </w:rPr>
            </w:pPr>
            <w:r>
              <w:rPr>
                <w:rFonts w:hint="default"/>
                <w:color w:val="auto"/>
              </w:rPr>
              <w:t>项目不涉及相关行业</w:t>
            </w:r>
          </w:p>
        </w:tc>
        <w:tc>
          <w:tcPr>
            <w:tcW w:w="567" w:type="dxa"/>
            <w:gridSpan w:val="2"/>
            <w:vAlign w:val="center"/>
          </w:tcPr>
          <w:p w14:paraId="38F630B9">
            <w:pPr>
              <w:pStyle w:val="77"/>
              <w:keepNext w:val="0"/>
              <w:keepLines w:val="0"/>
              <w:suppressLineNumbers w:val="0"/>
              <w:spacing w:before="0" w:beforeAutospacing="0" w:after="0" w:afterAutospacing="0"/>
              <w:ind w:left="0" w:right="0"/>
              <w:rPr>
                <w:rFonts w:hint="default"/>
                <w:color w:val="auto"/>
              </w:rPr>
            </w:pPr>
            <w:r>
              <w:rPr>
                <w:rFonts w:hint="default"/>
                <w:color w:val="auto"/>
              </w:rPr>
              <w:t>0</w:t>
            </w:r>
          </w:p>
        </w:tc>
      </w:tr>
      <w:tr w14:paraId="7266B3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1124" w:type="dxa"/>
            <w:vAlign w:val="center"/>
          </w:tcPr>
          <w:p w14:paraId="46FB3052">
            <w:pPr>
              <w:pStyle w:val="77"/>
              <w:keepNext w:val="0"/>
              <w:keepLines w:val="0"/>
              <w:suppressLineNumbers w:val="0"/>
              <w:spacing w:before="0" w:beforeAutospacing="0" w:after="0" w:afterAutospacing="0"/>
              <w:ind w:left="0" w:right="0"/>
              <w:rPr>
                <w:rFonts w:hint="default"/>
                <w:color w:val="auto"/>
              </w:rPr>
            </w:pPr>
            <w:r>
              <w:rPr>
                <w:rFonts w:hint="default"/>
                <w:color w:val="auto"/>
              </w:rPr>
              <w:t>管道、港口/码头等</w:t>
            </w:r>
          </w:p>
        </w:tc>
        <w:tc>
          <w:tcPr>
            <w:tcW w:w="5177" w:type="dxa"/>
            <w:vAlign w:val="center"/>
          </w:tcPr>
          <w:p w14:paraId="2D79865E">
            <w:pPr>
              <w:pStyle w:val="77"/>
              <w:keepNext w:val="0"/>
              <w:keepLines w:val="0"/>
              <w:suppressLineNumbers w:val="0"/>
              <w:spacing w:before="0" w:beforeAutospacing="0" w:after="0" w:afterAutospacing="0"/>
              <w:ind w:left="0" w:right="0"/>
              <w:rPr>
                <w:rFonts w:hint="default"/>
                <w:color w:val="auto"/>
              </w:rPr>
            </w:pPr>
            <w:r>
              <w:rPr>
                <w:rFonts w:hint="default"/>
                <w:color w:val="auto"/>
              </w:rPr>
              <w:t>涉及危险物质管道运输项目、港口/码头等</w:t>
            </w:r>
          </w:p>
        </w:tc>
        <w:tc>
          <w:tcPr>
            <w:tcW w:w="662" w:type="dxa"/>
            <w:vAlign w:val="center"/>
          </w:tcPr>
          <w:p w14:paraId="2A24900D">
            <w:pPr>
              <w:pStyle w:val="77"/>
              <w:keepNext w:val="0"/>
              <w:keepLines w:val="0"/>
              <w:suppressLineNumbers w:val="0"/>
              <w:spacing w:before="0" w:beforeAutospacing="0" w:after="0" w:afterAutospacing="0"/>
              <w:ind w:left="0" w:right="0"/>
              <w:rPr>
                <w:rFonts w:hint="default"/>
                <w:color w:val="auto"/>
              </w:rPr>
            </w:pPr>
            <w:r>
              <w:rPr>
                <w:rFonts w:hint="default"/>
                <w:color w:val="auto"/>
              </w:rPr>
              <w:t>10</w:t>
            </w:r>
          </w:p>
        </w:tc>
        <w:tc>
          <w:tcPr>
            <w:tcW w:w="1464" w:type="dxa"/>
            <w:vAlign w:val="center"/>
          </w:tcPr>
          <w:p w14:paraId="57B71CA3">
            <w:pPr>
              <w:pStyle w:val="77"/>
              <w:keepNext w:val="0"/>
              <w:keepLines w:val="0"/>
              <w:suppressLineNumbers w:val="0"/>
              <w:spacing w:before="0" w:beforeAutospacing="0" w:after="0" w:afterAutospacing="0"/>
              <w:ind w:left="0" w:right="0"/>
              <w:rPr>
                <w:rFonts w:hint="default"/>
                <w:color w:val="auto"/>
              </w:rPr>
            </w:pPr>
            <w:r>
              <w:rPr>
                <w:rFonts w:hint="default"/>
                <w:color w:val="auto"/>
              </w:rPr>
              <w:t>项目属于液体化工码头</w:t>
            </w:r>
          </w:p>
        </w:tc>
        <w:tc>
          <w:tcPr>
            <w:tcW w:w="567" w:type="dxa"/>
            <w:gridSpan w:val="2"/>
            <w:vAlign w:val="center"/>
          </w:tcPr>
          <w:p w14:paraId="26D271DB">
            <w:pPr>
              <w:pStyle w:val="77"/>
              <w:keepNext w:val="0"/>
              <w:keepLines w:val="0"/>
              <w:suppressLineNumbers w:val="0"/>
              <w:spacing w:before="0" w:beforeAutospacing="0" w:after="0" w:afterAutospacing="0"/>
              <w:ind w:left="0" w:right="0"/>
              <w:rPr>
                <w:rFonts w:hint="default"/>
                <w:color w:val="auto"/>
              </w:rPr>
            </w:pPr>
            <w:r>
              <w:rPr>
                <w:rFonts w:hint="default"/>
                <w:color w:val="auto"/>
              </w:rPr>
              <w:t>10</w:t>
            </w:r>
          </w:p>
        </w:tc>
      </w:tr>
      <w:tr w14:paraId="155AF8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1124" w:type="dxa"/>
            <w:vAlign w:val="center"/>
          </w:tcPr>
          <w:p w14:paraId="690D9A9D">
            <w:pPr>
              <w:pStyle w:val="77"/>
              <w:keepNext w:val="0"/>
              <w:keepLines w:val="0"/>
              <w:suppressLineNumbers w:val="0"/>
              <w:spacing w:before="0" w:beforeAutospacing="0" w:after="0" w:afterAutospacing="0"/>
              <w:ind w:left="0" w:right="0"/>
              <w:rPr>
                <w:rFonts w:hint="default"/>
                <w:color w:val="auto"/>
              </w:rPr>
            </w:pPr>
            <w:r>
              <w:rPr>
                <w:rFonts w:hint="default"/>
                <w:color w:val="auto"/>
              </w:rPr>
              <w:t>石油天然气</w:t>
            </w:r>
          </w:p>
        </w:tc>
        <w:tc>
          <w:tcPr>
            <w:tcW w:w="5177" w:type="dxa"/>
            <w:vAlign w:val="center"/>
          </w:tcPr>
          <w:p w14:paraId="49F167B4">
            <w:pPr>
              <w:pStyle w:val="77"/>
              <w:keepNext w:val="0"/>
              <w:keepLines w:val="0"/>
              <w:suppressLineNumbers w:val="0"/>
              <w:spacing w:before="0" w:beforeAutospacing="0" w:after="0" w:afterAutospacing="0"/>
              <w:ind w:left="0" w:right="0"/>
              <w:rPr>
                <w:rFonts w:hint="default"/>
                <w:color w:val="auto"/>
              </w:rPr>
            </w:pPr>
            <w:r>
              <w:rPr>
                <w:rFonts w:hint="default"/>
                <w:color w:val="auto"/>
              </w:rPr>
              <w:t>石油、天然气、页岩气开采（含净化），气库（不含加气站的气库），油库（不含加气站的油库）、油气管线</w:t>
            </w:r>
            <w:r>
              <w:rPr>
                <w:rFonts w:hint="default"/>
                <w:color w:val="auto"/>
                <w:vertAlign w:val="superscript"/>
              </w:rPr>
              <w:t>b</w:t>
            </w:r>
            <w:r>
              <w:rPr>
                <w:rFonts w:hint="default"/>
                <w:color w:val="auto"/>
              </w:rPr>
              <w:t>（不含城镇燃气管线）</w:t>
            </w:r>
          </w:p>
        </w:tc>
        <w:tc>
          <w:tcPr>
            <w:tcW w:w="662" w:type="dxa"/>
            <w:vAlign w:val="center"/>
          </w:tcPr>
          <w:p w14:paraId="4D244918">
            <w:pPr>
              <w:pStyle w:val="77"/>
              <w:keepNext w:val="0"/>
              <w:keepLines w:val="0"/>
              <w:suppressLineNumbers w:val="0"/>
              <w:spacing w:before="0" w:beforeAutospacing="0" w:after="0" w:afterAutospacing="0"/>
              <w:ind w:left="0" w:right="0"/>
              <w:rPr>
                <w:rFonts w:hint="default"/>
                <w:color w:val="auto"/>
              </w:rPr>
            </w:pPr>
            <w:r>
              <w:rPr>
                <w:rFonts w:hint="default"/>
                <w:color w:val="auto"/>
              </w:rPr>
              <w:t>10</w:t>
            </w:r>
          </w:p>
        </w:tc>
        <w:tc>
          <w:tcPr>
            <w:tcW w:w="1464" w:type="dxa"/>
            <w:vAlign w:val="center"/>
          </w:tcPr>
          <w:p w14:paraId="0414FC5B">
            <w:pPr>
              <w:pStyle w:val="77"/>
              <w:keepNext w:val="0"/>
              <w:keepLines w:val="0"/>
              <w:suppressLineNumbers w:val="0"/>
              <w:spacing w:before="0" w:beforeAutospacing="0" w:after="0" w:afterAutospacing="0"/>
              <w:ind w:left="0" w:right="0"/>
              <w:rPr>
                <w:rFonts w:hint="default"/>
                <w:color w:val="auto"/>
              </w:rPr>
            </w:pPr>
            <w:r>
              <w:rPr>
                <w:rFonts w:hint="default"/>
                <w:color w:val="auto"/>
              </w:rPr>
              <w:t>项目不涉及相关行业</w:t>
            </w:r>
          </w:p>
        </w:tc>
        <w:tc>
          <w:tcPr>
            <w:tcW w:w="567" w:type="dxa"/>
            <w:gridSpan w:val="2"/>
            <w:vAlign w:val="center"/>
          </w:tcPr>
          <w:p w14:paraId="3421F258">
            <w:pPr>
              <w:pStyle w:val="77"/>
              <w:keepNext w:val="0"/>
              <w:keepLines w:val="0"/>
              <w:suppressLineNumbers w:val="0"/>
              <w:spacing w:before="0" w:beforeAutospacing="0" w:after="0" w:afterAutospacing="0"/>
              <w:ind w:left="0" w:right="0"/>
              <w:rPr>
                <w:rFonts w:hint="default"/>
                <w:color w:val="auto"/>
              </w:rPr>
            </w:pPr>
            <w:r>
              <w:rPr>
                <w:rFonts w:hint="default"/>
                <w:color w:val="auto"/>
              </w:rPr>
              <w:t>0</w:t>
            </w:r>
          </w:p>
        </w:tc>
      </w:tr>
      <w:tr w14:paraId="290B90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1124" w:type="dxa"/>
            <w:vAlign w:val="center"/>
          </w:tcPr>
          <w:p w14:paraId="5DEED65E">
            <w:pPr>
              <w:pStyle w:val="77"/>
              <w:keepNext w:val="0"/>
              <w:keepLines w:val="0"/>
              <w:suppressLineNumbers w:val="0"/>
              <w:spacing w:before="0" w:beforeAutospacing="0" w:after="0" w:afterAutospacing="0"/>
              <w:ind w:left="0" w:right="0"/>
              <w:rPr>
                <w:rFonts w:hint="default"/>
                <w:color w:val="auto"/>
              </w:rPr>
            </w:pPr>
            <w:r>
              <w:rPr>
                <w:rFonts w:hint="default"/>
                <w:color w:val="auto"/>
              </w:rPr>
              <w:t>其他</w:t>
            </w:r>
          </w:p>
        </w:tc>
        <w:tc>
          <w:tcPr>
            <w:tcW w:w="5177" w:type="dxa"/>
            <w:vAlign w:val="center"/>
          </w:tcPr>
          <w:p w14:paraId="2EA2CB10">
            <w:pPr>
              <w:pStyle w:val="77"/>
              <w:keepNext w:val="0"/>
              <w:keepLines w:val="0"/>
              <w:suppressLineNumbers w:val="0"/>
              <w:spacing w:before="0" w:beforeAutospacing="0" w:after="0" w:afterAutospacing="0"/>
              <w:ind w:left="0" w:right="0"/>
              <w:rPr>
                <w:rFonts w:hint="default"/>
                <w:color w:val="auto"/>
              </w:rPr>
            </w:pPr>
            <w:r>
              <w:rPr>
                <w:rFonts w:hint="default"/>
                <w:color w:val="auto"/>
              </w:rPr>
              <w:t>涉及危险物质使用、贮存的项目</w:t>
            </w:r>
          </w:p>
        </w:tc>
        <w:tc>
          <w:tcPr>
            <w:tcW w:w="662" w:type="dxa"/>
            <w:vAlign w:val="center"/>
          </w:tcPr>
          <w:p w14:paraId="3654E268">
            <w:pPr>
              <w:pStyle w:val="77"/>
              <w:keepNext w:val="0"/>
              <w:keepLines w:val="0"/>
              <w:suppressLineNumbers w:val="0"/>
              <w:spacing w:before="0" w:beforeAutospacing="0" w:after="0" w:afterAutospacing="0"/>
              <w:ind w:left="0" w:right="0"/>
              <w:rPr>
                <w:rFonts w:hint="default"/>
                <w:color w:val="auto"/>
              </w:rPr>
            </w:pPr>
            <w:r>
              <w:rPr>
                <w:rFonts w:hint="default"/>
                <w:color w:val="auto"/>
              </w:rPr>
              <w:t>5</w:t>
            </w:r>
          </w:p>
        </w:tc>
        <w:tc>
          <w:tcPr>
            <w:tcW w:w="1464" w:type="dxa"/>
            <w:vAlign w:val="center"/>
          </w:tcPr>
          <w:p w14:paraId="717E6F18">
            <w:pPr>
              <w:pStyle w:val="77"/>
              <w:keepNext w:val="0"/>
              <w:keepLines w:val="0"/>
              <w:suppressLineNumbers w:val="0"/>
              <w:spacing w:before="0" w:beforeAutospacing="0" w:after="0" w:afterAutospacing="0"/>
              <w:ind w:left="0" w:right="0"/>
              <w:rPr>
                <w:rFonts w:hint="eastAsia"/>
                <w:color w:val="auto"/>
                <w:u w:val="single"/>
              </w:rPr>
            </w:pPr>
            <w:r>
              <w:rPr>
                <w:rFonts w:hint="default"/>
                <w:color w:val="auto"/>
                <w:u w:val="single"/>
              </w:rPr>
              <w:t>项目涉及</w:t>
            </w:r>
            <w:r>
              <w:rPr>
                <w:rFonts w:hint="eastAsia"/>
                <w:color w:val="auto"/>
                <w:u w:val="single"/>
              </w:rPr>
              <w:t>危险物质</w:t>
            </w:r>
            <w:r>
              <w:rPr>
                <w:rFonts w:hint="default"/>
                <w:color w:val="auto"/>
                <w:u w:val="single"/>
              </w:rPr>
              <w:t>贮存</w:t>
            </w:r>
          </w:p>
        </w:tc>
        <w:tc>
          <w:tcPr>
            <w:tcW w:w="567" w:type="dxa"/>
            <w:gridSpan w:val="2"/>
            <w:vAlign w:val="center"/>
          </w:tcPr>
          <w:p w14:paraId="1A78D838">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5</w:t>
            </w:r>
          </w:p>
        </w:tc>
      </w:tr>
      <w:tr w14:paraId="283B9C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gridAfter w:val="1"/>
          <w:wAfter w:w="220" w:type="dxa"/>
          <w:trHeight w:val="425" w:hRule="atLeast"/>
          <w:jc w:val="center"/>
        </w:trPr>
        <w:tc>
          <w:tcPr>
            <w:tcW w:w="8774" w:type="dxa"/>
            <w:gridSpan w:val="5"/>
            <w:vAlign w:val="center"/>
          </w:tcPr>
          <w:p w14:paraId="72F7D1E1">
            <w:pPr>
              <w:pStyle w:val="77"/>
              <w:keepNext w:val="0"/>
              <w:keepLines w:val="0"/>
              <w:suppressLineNumbers w:val="0"/>
              <w:spacing w:before="0" w:beforeAutospacing="0" w:after="0" w:afterAutospacing="0"/>
              <w:ind w:left="0" w:right="0"/>
              <w:rPr>
                <w:rFonts w:hint="default"/>
                <w:color w:val="auto"/>
              </w:rPr>
            </w:pPr>
            <w:r>
              <w:rPr>
                <w:rFonts w:hint="default"/>
                <w:color w:val="auto"/>
                <w:vertAlign w:val="superscript"/>
              </w:rPr>
              <w:t>a</w:t>
            </w:r>
            <w:r>
              <w:rPr>
                <w:rFonts w:hint="default"/>
                <w:color w:val="auto"/>
              </w:rPr>
              <w:t>：高温指工艺温度≥300℃，高压指压力容器的设计压力（p）≥10.0MPa；</w:t>
            </w:r>
            <w:r>
              <w:rPr>
                <w:rFonts w:hint="default"/>
                <w:color w:val="auto"/>
                <w:vertAlign w:val="superscript"/>
              </w:rPr>
              <w:t>b</w:t>
            </w:r>
            <w:r>
              <w:rPr>
                <w:rFonts w:hint="default"/>
                <w:color w:val="auto"/>
              </w:rPr>
              <w:t>：长输管道运输项目应按站场、管线分段进行评价。</w:t>
            </w:r>
          </w:p>
        </w:tc>
      </w:tr>
    </w:tbl>
    <w:p w14:paraId="11E8F219">
      <w:pPr>
        <w:ind w:left="480" w:firstLine="0" w:firstLineChars="0"/>
        <w:rPr>
          <w:color w:val="auto"/>
        </w:rPr>
      </w:pPr>
      <w:r>
        <w:rPr>
          <w:rFonts w:hint="eastAsia"/>
          <w:color w:val="auto"/>
        </w:rPr>
        <w:t>根据</w:t>
      </w:r>
      <w:r>
        <w:rPr>
          <w:color w:val="auto"/>
        </w:rPr>
        <w:t>上表可知，本项目总分值为</w:t>
      </w:r>
      <w:r>
        <w:rPr>
          <w:rFonts w:hint="eastAsia"/>
          <w:color w:val="auto"/>
        </w:rPr>
        <w:t>1</w:t>
      </w:r>
      <w:r>
        <w:rPr>
          <w:color w:val="auto"/>
        </w:rPr>
        <w:t>5</w:t>
      </w:r>
      <w:r>
        <w:rPr>
          <w:rFonts w:hint="eastAsia"/>
          <w:color w:val="auto"/>
        </w:rPr>
        <w:t>分</w:t>
      </w:r>
      <w:r>
        <w:rPr>
          <w:color w:val="auto"/>
        </w:rPr>
        <w:t>，</w:t>
      </w:r>
      <w:r>
        <w:rPr>
          <w:rFonts w:hint="eastAsia"/>
          <w:color w:val="auto"/>
        </w:rPr>
        <w:t>则本项目行业及生产工艺为M</w:t>
      </w:r>
      <w:r>
        <w:rPr>
          <w:color w:val="auto"/>
        </w:rPr>
        <w:t>2</w:t>
      </w:r>
      <w:r>
        <w:rPr>
          <w:rFonts w:hint="eastAsia"/>
          <w:color w:val="auto"/>
        </w:rPr>
        <w:t>。</w:t>
      </w:r>
    </w:p>
    <w:p w14:paraId="309C69AC">
      <w:pPr>
        <w:pStyle w:val="6"/>
        <w:rPr>
          <w:color w:val="auto"/>
        </w:rPr>
      </w:pPr>
      <w:r>
        <w:rPr>
          <w:color w:val="auto"/>
        </w:rPr>
        <w:t>危险物质及工艺系统危险性P分级</w:t>
      </w:r>
    </w:p>
    <w:p w14:paraId="7B8EB4FC">
      <w:pPr>
        <w:ind w:firstLine="480"/>
        <w:rPr>
          <w:color w:val="auto"/>
        </w:rPr>
      </w:pPr>
      <w:r>
        <w:rPr>
          <w:rFonts w:hint="eastAsia"/>
          <w:color w:val="auto"/>
        </w:rPr>
        <w:t>根据危险物质数量与临界量比值（Q）和行业及生产工艺（M），按照下表确定危险物质及工艺系统危险性等级（P），分别以P1、P2、P3、P4表示。根据分析可知，本项目危险物质数量与临界量比</w:t>
      </w:r>
      <w:r>
        <w:rPr>
          <w:rFonts w:hint="eastAsia"/>
          <w:color w:val="auto"/>
          <w:u w:val="single"/>
        </w:rPr>
        <w:t>值</w:t>
      </w:r>
      <w:r>
        <w:rPr>
          <w:color w:val="auto"/>
          <w:u w:val="single"/>
        </w:rPr>
        <w:t>Q</w:t>
      </w:r>
      <w:r>
        <w:rPr>
          <w:rFonts w:hint="eastAsia"/>
          <w:color w:val="auto"/>
          <w:u w:val="single"/>
        </w:rPr>
        <w:t>＞</w:t>
      </w:r>
      <w:r>
        <w:rPr>
          <w:color w:val="auto"/>
          <w:u w:val="single"/>
        </w:rPr>
        <w:t>100</w:t>
      </w:r>
      <w:r>
        <w:rPr>
          <w:rFonts w:hint="eastAsia"/>
          <w:color w:val="auto"/>
          <w:u w:val="single"/>
        </w:rPr>
        <w:t>、行业及生产工艺为M</w:t>
      </w:r>
      <w:r>
        <w:rPr>
          <w:color w:val="auto"/>
          <w:u w:val="single"/>
        </w:rPr>
        <w:t>2</w:t>
      </w:r>
      <w:r>
        <w:rPr>
          <w:rFonts w:hint="eastAsia"/>
          <w:color w:val="auto"/>
          <w:u w:val="single"/>
        </w:rPr>
        <w:t>，则本项目危险物质及工艺系统危险性等级为P</w:t>
      </w:r>
      <w:r>
        <w:rPr>
          <w:color w:val="auto"/>
          <w:u w:val="single"/>
        </w:rPr>
        <w:t>1</w:t>
      </w:r>
      <w:r>
        <w:rPr>
          <w:rFonts w:hint="eastAsia"/>
          <w:color w:val="auto"/>
          <w:u w:val="single"/>
        </w:rPr>
        <w:t>。</w:t>
      </w:r>
    </w:p>
    <w:p w14:paraId="2CC22F05">
      <w:pPr>
        <w:pStyle w:val="14"/>
        <w:rPr>
          <w:color w:val="auto"/>
        </w:rPr>
      </w:pPr>
      <w:r>
        <w:rPr>
          <w:rFonts w:hint="eastAsia"/>
          <w:color w:val="auto"/>
        </w:rPr>
        <w:t>表</w:t>
      </w:r>
      <w:r>
        <w:rPr>
          <w:color w:val="auto"/>
        </w:rPr>
        <w:t>5.2</w:t>
      </w:r>
      <w:r>
        <w:rPr>
          <w:color w:val="auto"/>
        </w:rPr>
        <w:noBreakHyphen/>
      </w:r>
      <w:r>
        <w:rPr>
          <w:color w:val="auto"/>
        </w:rPr>
        <w:t>3危险物质及工艺系统危险性等级判断（P）</w:t>
      </w:r>
    </w:p>
    <w:tbl>
      <w:tblPr>
        <w:tblStyle w:val="43"/>
        <w:tblW w:w="8806" w:type="dxa"/>
        <w:tblInd w:w="127"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68"/>
        <w:gridCol w:w="1571"/>
        <w:gridCol w:w="1655"/>
        <w:gridCol w:w="1655"/>
        <w:gridCol w:w="1657"/>
      </w:tblGrid>
      <w:tr w14:paraId="683066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2268" w:type="dxa"/>
            <w:vMerge w:val="restart"/>
            <w:vAlign w:val="center"/>
          </w:tcPr>
          <w:p w14:paraId="309295E1">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危险物质数量与临界量比值（Q）</w:t>
            </w:r>
          </w:p>
        </w:tc>
        <w:tc>
          <w:tcPr>
            <w:tcW w:w="6538" w:type="dxa"/>
            <w:gridSpan w:val="4"/>
            <w:vAlign w:val="center"/>
          </w:tcPr>
          <w:p w14:paraId="028CA206">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行业及生产工艺（M）</w:t>
            </w:r>
          </w:p>
        </w:tc>
      </w:tr>
      <w:tr w14:paraId="1EF07D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2268" w:type="dxa"/>
            <w:vMerge w:val="continue"/>
            <w:vAlign w:val="center"/>
          </w:tcPr>
          <w:p w14:paraId="23C69D3F">
            <w:pPr>
              <w:pStyle w:val="77"/>
              <w:keepNext w:val="0"/>
              <w:keepLines w:val="0"/>
              <w:suppressLineNumbers w:val="0"/>
              <w:spacing w:before="0" w:beforeAutospacing="0" w:after="0" w:afterAutospacing="0"/>
              <w:ind w:left="0" w:right="0"/>
              <w:rPr>
                <w:rFonts w:hint="default"/>
                <w:b/>
                <w:bCs/>
                <w:color w:val="auto"/>
              </w:rPr>
            </w:pPr>
          </w:p>
        </w:tc>
        <w:tc>
          <w:tcPr>
            <w:tcW w:w="1571" w:type="dxa"/>
            <w:vAlign w:val="center"/>
          </w:tcPr>
          <w:p w14:paraId="158B32AF">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M1</w:t>
            </w:r>
          </w:p>
        </w:tc>
        <w:tc>
          <w:tcPr>
            <w:tcW w:w="1655" w:type="dxa"/>
            <w:vAlign w:val="center"/>
          </w:tcPr>
          <w:p w14:paraId="18243147">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M2</w:t>
            </w:r>
          </w:p>
        </w:tc>
        <w:tc>
          <w:tcPr>
            <w:tcW w:w="1655" w:type="dxa"/>
            <w:vAlign w:val="center"/>
          </w:tcPr>
          <w:p w14:paraId="3F833221">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M3</w:t>
            </w:r>
          </w:p>
        </w:tc>
        <w:tc>
          <w:tcPr>
            <w:tcW w:w="1657" w:type="dxa"/>
            <w:vAlign w:val="center"/>
          </w:tcPr>
          <w:p w14:paraId="272704D1">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M4</w:t>
            </w:r>
          </w:p>
        </w:tc>
      </w:tr>
      <w:tr w14:paraId="18439C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2268" w:type="dxa"/>
            <w:vAlign w:val="center"/>
          </w:tcPr>
          <w:p w14:paraId="0B17CE77">
            <w:pPr>
              <w:pStyle w:val="77"/>
              <w:keepNext w:val="0"/>
              <w:keepLines w:val="0"/>
              <w:suppressLineNumbers w:val="0"/>
              <w:spacing w:before="0" w:beforeAutospacing="0" w:after="0" w:afterAutospacing="0"/>
              <w:ind w:left="0" w:right="0"/>
              <w:rPr>
                <w:rFonts w:hint="default"/>
                <w:color w:val="auto"/>
              </w:rPr>
            </w:pPr>
            <w:r>
              <w:rPr>
                <w:rFonts w:hint="default"/>
                <w:color w:val="auto"/>
              </w:rPr>
              <w:t>Q≥100</w:t>
            </w:r>
          </w:p>
        </w:tc>
        <w:tc>
          <w:tcPr>
            <w:tcW w:w="1571" w:type="dxa"/>
            <w:vAlign w:val="center"/>
          </w:tcPr>
          <w:p w14:paraId="2B58514C">
            <w:pPr>
              <w:pStyle w:val="77"/>
              <w:keepNext w:val="0"/>
              <w:keepLines w:val="0"/>
              <w:suppressLineNumbers w:val="0"/>
              <w:spacing w:before="0" w:beforeAutospacing="0" w:after="0" w:afterAutospacing="0"/>
              <w:ind w:left="0" w:right="0"/>
              <w:rPr>
                <w:rFonts w:hint="default"/>
                <w:color w:val="auto"/>
              </w:rPr>
            </w:pPr>
            <w:r>
              <w:rPr>
                <w:rFonts w:hint="default"/>
                <w:color w:val="auto"/>
              </w:rPr>
              <w:t>P1</w:t>
            </w:r>
          </w:p>
        </w:tc>
        <w:tc>
          <w:tcPr>
            <w:tcW w:w="1655" w:type="dxa"/>
            <w:vAlign w:val="center"/>
          </w:tcPr>
          <w:p w14:paraId="76338E92">
            <w:pPr>
              <w:pStyle w:val="77"/>
              <w:keepNext w:val="0"/>
              <w:keepLines w:val="0"/>
              <w:suppressLineNumbers w:val="0"/>
              <w:spacing w:before="0" w:beforeAutospacing="0" w:after="0" w:afterAutospacing="0"/>
              <w:ind w:left="0" w:right="0"/>
              <w:rPr>
                <w:rFonts w:hint="default"/>
                <w:color w:val="auto"/>
              </w:rPr>
            </w:pPr>
            <w:r>
              <w:rPr>
                <w:rFonts w:hint="default"/>
                <w:color w:val="auto"/>
              </w:rPr>
              <w:t>P1</w:t>
            </w:r>
          </w:p>
        </w:tc>
        <w:tc>
          <w:tcPr>
            <w:tcW w:w="1655" w:type="dxa"/>
            <w:vAlign w:val="center"/>
          </w:tcPr>
          <w:p w14:paraId="32F17F8F">
            <w:pPr>
              <w:pStyle w:val="77"/>
              <w:keepNext w:val="0"/>
              <w:keepLines w:val="0"/>
              <w:suppressLineNumbers w:val="0"/>
              <w:spacing w:before="0" w:beforeAutospacing="0" w:after="0" w:afterAutospacing="0"/>
              <w:ind w:left="0" w:right="0"/>
              <w:rPr>
                <w:rFonts w:hint="default"/>
                <w:color w:val="auto"/>
              </w:rPr>
            </w:pPr>
            <w:r>
              <w:rPr>
                <w:rFonts w:hint="default"/>
                <w:color w:val="auto"/>
              </w:rPr>
              <w:t>P2</w:t>
            </w:r>
          </w:p>
        </w:tc>
        <w:tc>
          <w:tcPr>
            <w:tcW w:w="1657" w:type="dxa"/>
            <w:vAlign w:val="center"/>
          </w:tcPr>
          <w:p w14:paraId="75B768FD">
            <w:pPr>
              <w:pStyle w:val="77"/>
              <w:keepNext w:val="0"/>
              <w:keepLines w:val="0"/>
              <w:suppressLineNumbers w:val="0"/>
              <w:spacing w:before="0" w:beforeAutospacing="0" w:after="0" w:afterAutospacing="0"/>
              <w:ind w:left="0" w:right="0"/>
              <w:rPr>
                <w:rFonts w:hint="default"/>
                <w:color w:val="auto"/>
              </w:rPr>
            </w:pPr>
            <w:r>
              <w:rPr>
                <w:rFonts w:hint="default"/>
                <w:color w:val="auto"/>
              </w:rPr>
              <w:t>P3</w:t>
            </w:r>
          </w:p>
        </w:tc>
      </w:tr>
      <w:tr w14:paraId="68E2F5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2268" w:type="dxa"/>
            <w:vAlign w:val="center"/>
          </w:tcPr>
          <w:p w14:paraId="74CA9A3F">
            <w:pPr>
              <w:pStyle w:val="77"/>
              <w:keepNext w:val="0"/>
              <w:keepLines w:val="0"/>
              <w:suppressLineNumbers w:val="0"/>
              <w:spacing w:before="0" w:beforeAutospacing="0" w:after="0" w:afterAutospacing="0"/>
              <w:ind w:left="0" w:right="0"/>
              <w:rPr>
                <w:rFonts w:hint="default"/>
                <w:color w:val="auto"/>
              </w:rPr>
            </w:pPr>
            <w:r>
              <w:rPr>
                <w:rFonts w:hint="default"/>
                <w:color w:val="auto"/>
              </w:rPr>
              <w:t>10≤Q＜100</w:t>
            </w:r>
          </w:p>
        </w:tc>
        <w:tc>
          <w:tcPr>
            <w:tcW w:w="1571" w:type="dxa"/>
            <w:vAlign w:val="center"/>
          </w:tcPr>
          <w:p w14:paraId="1B8C5C6C">
            <w:pPr>
              <w:pStyle w:val="77"/>
              <w:keepNext w:val="0"/>
              <w:keepLines w:val="0"/>
              <w:suppressLineNumbers w:val="0"/>
              <w:spacing w:before="0" w:beforeAutospacing="0" w:after="0" w:afterAutospacing="0"/>
              <w:ind w:left="0" w:right="0"/>
              <w:rPr>
                <w:rFonts w:hint="default"/>
                <w:color w:val="auto"/>
              </w:rPr>
            </w:pPr>
            <w:r>
              <w:rPr>
                <w:rFonts w:hint="default"/>
                <w:color w:val="auto"/>
              </w:rPr>
              <w:t>P1</w:t>
            </w:r>
          </w:p>
        </w:tc>
        <w:tc>
          <w:tcPr>
            <w:tcW w:w="1655" w:type="dxa"/>
            <w:vAlign w:val="center"/>
          </w:tcPr>
          <w:p w14:paraId="72C266AF">
            <w:pPr>
              <w:pStyle w:val="77"/>
              <w:keepNext w:val="0"/>
              <w:keepLines w:val="0"/>
              <w:suppressLineNumbers w:val="0"/>
              <w:spacing w:before="0" w:beforeAutospacing="0" w:after="0" w:afterAutospacing="0"/>
              <w:ind w:left="0" w:right="0"/>
              <w:rPr>
                <w:rFonts w:hint="default"/>
                <w:color w:val="auto"/>
              </w:rPr>
            </w:pPr>
            <w:r>
              <w:rPr>
                <w:rFonts w:hint="default"/>
                <w:color w:val="auto"/>
              </w:rPr>
              <w:t>P2</w:t>
            </w:r>
          </w:p>
        </w:tc>
        <w:tc>
          <w:tcPr>
            <w:tcW w:w="1655" w:type="dxa"/>
            <w:vAlign w:val="center"/>
          </w:tcPr>
          <w:p w14:paraId="26EA4468">
            <w:pPr>
              <w:pStyle w:val="77"/>
              <w:keepNext w:val="0"/>
              <w:keepLines w:val="0"/>
              <w:suppressLineNumbers w:val="0"/>
              <w:spacing w:before="0" w:beforeAutospacing="0" w:after="0" w:afterAutospacing="0"/>
              <w:ind w:left="0" w:right="0"/>
              <w:rPr>
                <w:rFonts w:hint="default"/>
                <w:color w:val="auto"/>
              </w:rPr>
            </w:pPr>
            <w:r>
              <w:rPr>
                <w:rFonts w:hint="default"/>
                <w:color w:val="auto"/>
              </w:rPr>
              <w:t>P3</w:t>
            </w:r>
          </w:p>
        </w:tc>
        <w:tc>
          <w:tcPr>
            <w:tcW w:w="1657" w:type="dxa"/>
            <w:vAlign w:val="center"/>
          </w:tcPr>
          <w:p w14:paraId="044F14F0">
            <w:pPr>
              <w:pStyle w:val="77"/>
              <w:keepNext w:val="0"/>
              <w:keepLines w:val="0"/>
              <w:suppressLineNumbers w:val="0"/>
              <w:spacing w:before="0" w:beforeAutospacing="0" w:after="0" w:afterAutospacing="0"/>
              <w:ind w:left="0" w:right="0"/>
              <w:rPr>
                <w:rFonts w:hint="default"/>
                <w:color w:val="auto"/>
              </w:rPr>
            </w:pPr>
            <w:r>
              <w:rPr>
                <w:rFonts w:hint="default"/>
                <w:color w:val="auto"/>
              </w:rPr>
              <w:t>P4</w:t>
            </w:r>
          </w:p>
        </w:tc>
      </w:tr>
      <w:tr w14:paraId="6EEBC5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2268" w:type="dxa"/>
            <w:vAlign w:val="center"/>
          </w:tcPr>
          <w:p w14:paraId="65FBD524">
            <w:pPr>
              <w:pStyle w:val="77"/>
              <w:keepNext w:val="0"/>
              <w:keepLines w:val="0"/>
              <w:suppressLineNumbers w:val="0"/>
              <w:spacing w:before="0" w:beforeAutospacing="0" w:after="0" w:afterAutospacing="0"/>
              <w:ind w:left="0" w:right="0"/>
              <w:rPr>
                <w:rFonts w:hint="default"/>
                <w:color w:val="auto"/>
              </w:rPr>
            </w:pPr>
            <w:r>
              <w:rPr>
                <w:rFonts w:hint="default"/>
                <w:color w:val="auto"/>
              </w:rPr>
              <w:t>1≤Q＜10</w:t>
            </w:r>
          </w:p>
        </w:tc>
        <w:tc>
          <w:tcPr>
            <w:tcW w:w="1571" w:type="dxa"/>
            <w:vAlign w:val="center"/>
          </w:tcPr>
          <w:p w14:paraId="092CBDF8">
            <w:pPr>
              <w:pStyle w:val="77"/>
              <w:keepNext w:val="0"/>
              <w:keepLines w:val="0"/>
              <w:suppressLineNumbers w:val="0"/>
              <w:spacing w:before="0" w:beforeAutospacing="0" w:after="0" w:afterAutospacing="0"/>
              <w:ind w:left="0" w:right="0"/>
              <w:rPr>
                <w:rFonts w:hint="default"/>
                <w:color w:val="auto"/>
              </w:rPr>
            </w:pPr>
            <w:r>
              <w:rPr>
                <w:rFonts w:hint="default"/>
                <w:color w:val="auto"/>
              </w:rPr>
              <w:t>P2</w:t>
            </w:r>
          </w:p>
        </w:tc>
        <w:tc>
          <w:tcPr>
            <w:tcW w:w="1655" w:type="dxa"/>
            <w:vAlign w:val="center"/>
          </w:tcPr>
          <w:p w14:paraId="14807830">
            <w:pPr>
              <w:pStyle w:val="77"/>
              <w:keepNext w:val="0"/>
              <w:keepLines w:val="0"/>
              <w:suppressLineNumbers w:val="0"/>
              <w:spacing w:before="0" w:beforeAutospacing="0" w:after="0" w:afterAutospacing="0"/>
              <w:ind w:left="0" w:right="0"/>
              <w:rPr>
                <w:rFonts w:hint="default"/>
                <w:color w:val="auto"/>
              </w:rPr>
            </w:pPr>
            <w:r>
              <w:rPr>
                <w:rFonts w:hint="default"/>
                <w:color w:val="auto"/>
              </w:rPr>
              <w:t>P3</w:t>
            </w:r>
          </w:p>
        </w:tc>
        <w:tc>
          <w:tcPr>
            <w:tcW w:w="1655" w:type="dxa"/>
            <w:vAlign w:val="center"/>
          </w:tcPr>
          <w:p w14:paraId="1F8F798B">
            <w:pPr>
              <w:pStyle w:val="77"/>
              <w:keepNext w:val="0"/>
              <w:keepLines w:val="0"/>
              <w:suppressLineNumbers w:val="0"/>
              <w:spacing w:before="0" w:beforeAutospacing="0" w:after="0" w:afterAutospacing="0"/>
              <w:ind w:left="0" w:right="0"/>
              <w:rPr>
                <w:rFonts w:hint="default"/>
                <w:color w:val="auto"/>
              </w:rPr>
            </w:pPr>
            <w:r>
              <w:rPr>
                <w:rFonts w:hint="default"/>
                <w:color w:val="auto"/>
              </w:rPr>
              <w:t>P4</w:t>
            </w:r>
          </w:p>
        </w:tc>
        <w:tc>
          <w:tcPr>
            <w:tcW w:w="1657" w:type="dxa"/>
            <w:vAlign w:val="center"/>
          </w:tcPr>
          <w:p w14:paraId="5E36947F">
            <w:pPr>
              <w:pStyle w:val="77"/>
              <w:keepNext w:val="0"/>
              <w:keepLines w:val="0"/>
              <w:suppressLineNumbers w:val="0"/>
              <w:spacing w:before="0" w:beforeAutospacing="0" w:after="0" w:afterAutospacing="0"/>
              <w:ind w:left="0" w:right="0"/>
              <w:rPr>
                <w:rFonts w:hint="default"/>
                <w:color w:val="auto"/>
              </w:rPr>
            </w:pPr>
            <w:r>
              <w:rPr>
                <w:rFonts w:hint="default"/>
                <w:color w:val="auto"/>
              </w:rPr>
              <w:t>P4</w:t>
            </w:r>
          </w:p>
        </w:tc>
      </w:tr>
    </w:tbl>
    <w:p w14:paraId="6605630B">
      <w:pPr>
        <w:pStyle w:val="4"/>
        <w:rPr>
          <w:color w:val="auto"/>
        </w:rPr>
      </w:pPr>
      <w:r>
        <w:rPr>
          <w:color w:val="auto"/>
        </w:rPr>
        <w:t>环境敏感程度E的分级确定</w:t>
      </w:r>
    </w:p>
    <w:p w14:paraId="77B59434">
      <w:pPr>
        <w:ind w:firstLine="480"/>
        <w:rPr>
          <w:color w:val="auto"/>
        </w:rPr>
      </w:pPr>
      <w:r>
        <w:rPr>
          <w:color w:val="auto"/>
        </w:rPr>
        <w:t>（1）大气环境</w:t>
      </w:r>
    </w:p>
    <w:p w14:paraId="0C038EB9">
      <w:pPr>
        <w:ind w:firstLine="480"/>
        <w:rPr>
          <w:rFonts w:hint="eastAsia"/>
          <w:color w:val="auto"/>
        </w:rPr>
      </w:pPr>
      <w:r>
        <w:rPr>
          <w:rFonts w:hint="eastAsia"/>
          <w:color w:val="auto"/>
        </w:rPr>
        <w:t>依据环境敏感目标环境敏感性及人口密度划分环境风险受体的敏感性，共分为三种类型，E1为环境高度敏感区，E2为环境中度敏感区，E3为环境低度敏感区，分级原则见下表。</w:t>
      </w:r>
    </w:p>
    <w:p w14:paraId="596AFE47">
      <w:pPr>
        <w:ind w:firstLine="480"/>
        <w:rPr>
          <w:rFonts w:hint="eastAsia"/>
          <w:color w:val="auto"/>
        </w:rPr>
      </w:pPr>
    </w:p>
    <w:p w14:paraId="7F2BA40A">
      <w:pPr>
        <w:ind w:firstLine="480"/>
        <w:rPr>
          <w:rFonts w:hint="eastAsia"/>
          <w:color w:val="auto"/>
        </w:rPr>
      </w:pPr>
    </w:p>
    <w:p w14:paraId="7F86FE2F">
      <w:pPr>
        <w:pStyle w:val="14"/>
        <w:rPr>
          <w:color w:val="auto"/>
        </w:rPr>
      </w:pPr>
      <w:r>
        <w:rPr>
          <w:rFonts w:hint="eastAsia"/>
          <w:color w:val="auto"/>
        </w:rPr>
        <w:t>表</w:t>
      </w:r>
      <w:r>
        <w:rPr>
          <w:color w:val="auto"/>
        </w:rPr>
        <w:t>5.2</w:t>
      </w:r>
      <w:r>
        <w:rPr>
          <w:color w:val="auto"/>
        </w:rPr>
        <w:noBreakHyphen/>
      </w:r>
      <w:r>
        <w:rPr>
          <w:color w:val="auto"/>
        </w:rPr>
        <w:t>4</w:t>
      </w:r>
      <w:r>
        <w:rPr>
          <w:rFonts w:hint="eastAsia"/>
          <w:color w:val="auto"/>
        </w:rPr>
        <w:t>大气环境敏感程度分级</w:t>
      </w:r>
    </w:p>
    <w:tbl>
      <w:tblPr>
        <w:tblStyle w:val="43"/>
        <w:tblW w:w="87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9"/>
        <w:gridCol w:w="7895"/>
      </w:tblGrid>
      <w:tr w14:paraId="7248F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Align w:val="center"/>
          </w:tcPr>
          <w:p w14:paraId="78D24D01">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分级</w:t>
            </w:r>
          </w:p>
        </w:tc>
        <w:tc>
          <w:tcPr>
            <w:tcW w:w="7895" w:type="dxa"/>
            <w:vAlign w:val="center"/>
          </w:tcPr>
          <w:p w14:paraId="36E109FD">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大气环境敏感性</w:t>
            </w:r>
          </w:p>
        </w:tc>
      </w:tr>
      <w:tr w14:paraId="62D23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889" w:type="dxa"/>
            <w:shd w:val="clear" w:color="auto" w:fill="FFFFFF" w:themeFill="background1"/>
            <w:vAlign w:val="center"/>
          </w:tcPr>
          <w:p w14:paraId="73DF2214">
            <w:pPr>
              <w:pStyle w:val="91"/>
              <w:keepNext w:val="0"/>
              <w:keepLines w:val="0"/>
              <w:suppressLineNumbers w:val="0"/>
              <w:spacing w:before="0" w:beforeAutospacing="0" w:after="0" w:afterAutospacing="0"/>
              <w:ind w:left="0" w:right="0"/>
              <w:rPr>
                <w:rFonts w:hint="default"/>
                <w:color w:val="auto"/>
              </w:rPr>
            </w:pPr>
            <w:r>
              <w:rPr>
                <w:rFonts w:hint="default"/>
                <w:color w:val="auto"/>
              </w:rPr>
              <w:t>E1</w:t>
            </w:r>
          </w:p>
        </w:tc>
        <w:tc>
          <w:tcPr>
            <w:tcW w:w="7895" w:type="dxa"/>
            <w:vAlign w:val="center"/>
          </w:tcPr>
          <w:p w14:paraId="522B5113">
            <w:pPr>
              <w:pStyle w:val="91"/>
              <w:keepNext w:val="0"/>
              <w:keepLines w:val="0"/>
              <w:suppressLineNumbers w:val="0"/>
              <w:spacing w:before="0" w:beforeAutospacing="0" w:after="0" w:afterAutospacing="0"/>
              <w:ind w:left="0" w:right="0"/>
              <w:rPr>
                <w:rFonts w:hint="default"/>
                <w:color w:val="auto"/>
              </w:rPr>
            </w:pPr>
            <w:r>
              <w:rPr>
                <w:rFonts w:hint="default"/>
                <w:color w:val="auto"/>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14:paraId="6EA5B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0" w:hRule="atLeast"/>
          <w:jc w:val="center"/>
        </w:trPr>
        <w:tc>
          <w:tcPr>
            <w:tcW w:w="889" w:type="dxa"/>
            <w:shd w:val="clear" w:color="auto" w:fill="D8D8D8" w:themeFill="background1" w:themeFillShade="D9"/>
            <w:vAlign w:val="center"/>
          </w:tcPr>
          <w:p w14:paraId="34A7F036">
            <w:pPr>
              <w:pStyle w:val="91"/>
              <w:keepNext w:val="0"/>
              <w:keepLines w:val="0"/>
              <w:suppressLineNumbers w:val="0"/>
              <w:spacing w:before="0" w:beforeAutospacing="0" w:after="0" w:afterAutospacing="0"/>
              <w:ind w:left="0" w:right="0"/>
              <w:rPr>
                <w:rFonts w:hint="default"/>
                <w:color w:val="auto"/>
              </w:rPr>
            </w:pPr>
            <w:r>
              <w:rPr>
                <w:rFonts w:hint="default"/>
                <w:color w:val="auto"/>
              </w:rPr>
              <w:t>E2</w:t>
            </w:r>
          </w:p>
        </w:tc>
        <w:tc>
          <w:tcPr>
            <w:tcW w:w="7895" w:type="dxa"/>
            <w:shd w:val="clear" w:color="auto" w:fill="D8D8D8" w:themeFill="background1" w:themeFillShade="D9"/>
            <w:vAlign w:val="center"/>
          </w:tcPr>
          <w:p w14:paraId="29B70E20">
            <w:pPr>
              <w:pStyle w:val="91"/>
              <w:keepNext w:val="0"/>
              <w:keepLines w:val="0"/>
              <w:suppressLineNumbers w:val="0"/>
              <w:spacing w:before="0" w:beforeAutospacing="0" w:after="0" w:afterAutospacing="0"/>
              <w:ind w:left="0" w:right="0"/>
              <w:rPr>
                <w:rFonts w:hint="default"/>
                <w:color w:val="auto"/>
              </w:rPr>
            </w:pPr>
            <w:r>
              <w:rPr>
                <w:rFonts w:hint="default"/>
                <w:color w:val="auto"/>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14:paraId="10568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889" w:type="dxa"/>
            <w:vAlign w:val="center"/>
          </w:tcPr>
          <w:p w14:paraId="66A57AF2">
            <w:pPr>
              <w:pStyle w:val="91"/>
              <w:keepNext w:val="0"/>
              <w:keepLines w:val="0"/>
              <w:suppressLineNumbers w:val="0"/>
              <w:spacing w:before="0" w:beforeAutospacing="0" w:after="0" w:afterAutospacing="0"/>
              <w:ind w:left="0" w:right="0"/>
              <w:rPr>
                <w:rFonts w:hint="default"/>
                <w:color w:val="auto"/>
              </w:rPr>
            </w:pPr>
            <w:r>
              <w:rPr>
                <w:rFonts w:hint="default"/>
                <w:color w:val="auto"/>
              </w:rPr>
              <w:t>E3</w:t>
            </w:r>
          </w:p>
        </w:tc>
        <w:tc>
          <w:tcPr>
            <w:tcW w:w="7895" w:type="dxa"/>
            <w:vAlign w:val="center"/>
          </w:tcPr>
          <w:p w14:paraId="756A76A5">
            <w:pPr>
              <w:pStyle w:val="91"/>
              <w:keepNext w:val="0"/>
              <w:keepLines w:val="0"/>
              <w:suppressLineNumbers w:val="0"/>
              <w:spacing w:before="0" w:beforeAutospacing="0" w:after="0" w:afterAutospacing="0"/>
              <w:ind w:left="0" w:right="0"/>
              <w:rPr>
                <w:rFonts w:hint="default"/>
                <w:color w:val="auto"/>
              </w:rPr>
            </w:pPr>
            <w:r>
              <w:rPr>
                <w:rFonts w:hint="default"/>
                <w:color w:val="auto"/>
              </w:rPr>
              <w:t>周边5km范围内居住区、医疗卫生、文化教育、科研、行政办公等机构人口总数小于1万人；或周边500m范围内人口总数小于500人；油气、化学品输送管线管段周边200m范围内，每千米管段人口数小于100人</w:t>
            </w:r>
          </w:p>
        </w:tc>
      </w:tr>
    </w:tbl>
    <w:p w14:paraId="6234D680">
      <w:pPr>
        <w:ind w:firstLine="480"/>
        <w:rPr>
          <w:color w:val="auto"/>
        </w:rPr>
      </w:pPr>
      <w:r>
        <w:rPr>
          <w:rFonts w:hint="eastAsia"/>
          <w:color w:val="auto"/>
        </w:rPr>
        <w:t>根据调查，本项目厂界外5km范围内居住区、医疗卫生、文化教育、科研、行政办公等机构人口总数约为</w:t>
      </w:r>
      <w:r>
        <w:rPr>
          <w:color w:val="auto"/>
        </w:rPr>
        <w:t>19860</w:t>
      </w:r>
      <w:r>
        <w:rPr>
          <w:rFonts w:hint="eastAsia"/>
          <w:color w:val="auto"/>
        </w:rPr>
        <w:t>人，500m范围内均为工业区，无居住区、医疗卫生、文化教育、科研、行政办公等机构，故本项目大气环境敏感程度等级为E2。</w:t>
      </w:r>
    </w:p>
    <w:p w14:paraId="2015C4C5">
      <w:pPr>
        <w:ind w:firstLine="480"/>
        <w:rPr>
          <w:color w:val="auto"/>
        </w:rPr>
      </w:pPr>
      <w:r>
        <w:rPr>
          <w:color w:val="auto"/>
        </w:rPr>
        <w:t>（2）地表水环境</w:t>
      </w:r>
    </w:p>
    <w:p w14:paraId="6A1A4A88">
      <w:pPr>
        <w:ind w:firstLine="480"/>
        <w:rPr>
          <w:color w:val="auto"/>
          <w:u w:val="single"/>
        </w:rPr>
      </w:pPr>
      <w:r>
        <w:rPr>
          <w:rFonts w:hint="eastAsia"/>
          <w:color w:val="auto"/>
          <w:u w:val="single"/>
        </w:rPr>
        <w:t>由于</w:t>
      </w:r>
      <w:r>
        <w:rPr>
          <w:color w:val="auto"/>
          <w:u w:val="single"/>
        </w:rPr>
        <w:t>本项目风险受纳水体为海洋，</w:t>
      </w:r>
      <w:r>
        <w:rPr>
          <w:rFonts w:hint="eastAsia"/>
          <w:color w:val="auto"/>
          <w:u w:val="single"/>
        </w:rPr>
        <w:t>参考</w:t>
      </w:r>
      <w:r>
        <w:rPr>
          <w:color w:val="auto"/>
          <w:u w:val="single"/>
        </w:rPr>
        <w:t>《</w:t>
      </w:r>
      <w:r>
        <w:rPr>
          <w:rFonts w:hint="eastAsia"/>
          <w:color w:val="auto"/>
          <w:u w:val="single"/>
        </w:rPr>
        <w:t>环境</w:t>
      </w:r>
      <w:r>
        <w:rPr>
          <w:color w:val="auto"/>
          <w:u w:val="single"/>
        </w:rPr>
        <w:t>影响评价技术导则</w:t>
      </w:r>
      <w:r>
        <w:rPr>
          <w:rFonts w:hint="eastAsia"/>
          <w:color w:val="auto"/>
          <w:u w:val="single"/>
        </w:rPr>
        <w:t>海洋生态</w:t>
      </w:r>
      <w:r>
        <w:rPr>
          <w:color w:val="auto"/>
          <w:u w:val="single"/>
        </w:rPr>
        <w:t>环境》</w:t>
      </w:r>
      <w:r>
        <w:rPr>
          <w:rFonts w:hint="eastAsia"/>
          <w:color w:val="auto"/>
          <w:u w:val="single"/>
        </w:rPr>
        <w:t>（HJ1409-2025）8.3评价</w:t>
      </w:r>
      <w:r>
        <w:rPr>
          <w:color w:val="auto"/>
          <w:u w:val="single"/>
        </w:rPr>
        <w:t>等级判定</w:t>
      </w:r>
      <w:r>
        <w:rPr>
          <w:rFonts w:hint="eastAsia"/>
          <w:color w:val="auto"/>
          <w:u w:val="single"/>
        </w:rPr>
        <w:t>：</w:t>
      </w:r>
      <w:r>
        <w:rPr>
          <w:color w:val="auto"/>
          <w:u w:val="single"/>
        </w:rPr>
        <w:t>采用</w:t>
      </w:r>
      <w:r>
        <w:rPr>
          <w:rFonts w:hint="eastAsia"/>
          <w:color w:val="auto"/>
          <w:u w:val="single"/>
        </w:rPr>
        <w:t>HJ169的</w:t>
      </w:r>
      <w:r>
        <w:rPr>
          <w:color w:val="auto"/>
          <w:u w:val="single"/>
        </w:rPr>
        <w:t>判定方法，分析建设项目环境</w:t>
      </w:r>
      <w:r>
        <w:rPr>
          <w:rFonts w:hint="eastAsia"/>
          <w:color w:val="auto"/>
          <w:u w:val="single"/>
        </w:rPr>
        <w:t>风险</w:t>
      </w:r>
      <w:r>
        <w:rPr>
          <w:color w:val="auto"/>
          <w:u w:val="single"/>
        </w:rPr>
        <w:t>潜势，判定风险评价等级。</w:t>
      </w:r>
    </w:p>
    <w:p w14:paraId="1F01C5E6">
      <w:pPr>
        <w:ind w:firstLine="480"/>
        <w:rPr>
          <w:rFonts w:hint="eastAsia"/>
          <w:color w:val="auto"/>
          <w:u w:val="single"/>
        </w:rPr>
      </w:pPr>
      <w:r>
        <w:rPr>
          <w:rFonts w:hint="eastAsia"/>
          <w:color w:val="auto"/>
          <w:u w:val="single"/>
        </w:rPr>
        <w:t>依据事故</w:t>
      </w:r>
      <w:r>
        <w:rPr>
          <w:color w:val="auto"/>
          <w:u w:val="single"/>
        </w:rPr>
        <w:t>情况下危险物质泄漏可能影响生态敏感区的情况，分为三种类型，</w:t>
      </w:r>
      <w:r>
        <w:rPr>
          <w:rFonts w:hint="eastAsia"/>
          <w:color w:val="auto"/>
          <w:u w:val="single"/>
        </w:rPr>
        <w:t>E1为</w:t>
      </w:r>
      <w:r>
        <w:rPr>
          <w:color w:val="auto"/>
          <w:u w:val="single"/>
        </w:rPr>
        <w:t>环境高度</w:t>
      </w:r>
      <w:r>
        <w:rPr>
          <w:rFonts w:hint="eastAsia"/>
          <w:color w:val="auto"/>
          <w:u w:val="single"/>
        </w:rPr>
        <w:t>敏感区</w:t>
      </w:r>
      <w:r>
        <w:rPr>
          <w:color w:val="auto"/>
          <w:u w:val="single"/>
        </w:rPr>
        <w:t>，</w:t>
      </w:r>
      <w:r>
        <w:rPr>
          <w:rFonts w:hint="eastAsia"/>
          <w:color w:val="auto"/>
          <w:u w:val="single"/>
        </w:rPr>
        <w:t>E2为</w:t>
      </w:r>
      <w:r>
        <w:rPr>
          <w:color w:val="auto"/>
          <w:u w:val="single"/>
        </w:rPr>
        <w:t>环境中度敏感区，</w:t>
      </w:r>
      <w:r>
        <w:rPr>
          <w:rFonts w:hint="eastAsia"/>
          <w:color w:val="auto"/>
          <w:u w:val="single"/>
        </w:rPr>
        <w:t>E3为</w:t>
      </w:r>
      <w:r>
        <w:rPr>
          <w:color w:val="auto"/>
          <w:u w:val="single"/>
        </w:rPr>
        <w:t>环境低度敏感区。</w:t>
      </w:r>
      <w:r>
        <w:rPr>
          <w:rFonts w:hint="eastAsia"/>
          <w:color w:val="auto"/>
          <w:u w:val="single"/>
        </w:rPr>
        <w:t>根据HJ1409-2025海洋</w:t>
      </w:r>
      <w:r>
        <w:rPr>
          <w:color w:val="auto"/>
          <w:u w:val="single"/>
        </w:rPr>
        <w:t>环境敏感程度见下表。</w:t>
      </w:r>
    </w:p>
    <w:p w14:paraId="3C7DD27B">
      <w:pPr>
        <w:pStyle w:val="14"/>
        <w:rPr>
          <w:color w:val="auto"/>
        </w:rPr>
      </w:pPr>
      <w:r>
        <w:rPr>
          <w:rFonts w:hint="eastAsia"/>
          <w:color w:val="auto"/>
        </w:rPr>
        <w:t>表</w:t>
      </w:r>
      <w:r>
        <w:rPr>
          <w:color w:val="auto"/>
        </w:rPr>
        <w:t>5.2</w:t>
      </w:r>
      <w:r>
        <w:rPr>
          <w:color w:val="auto"/>
        </w:rPr>
        <w:noBreakHyphen/>
      </w:r>
      <w:r>
        <w:rPr>
          <w:color w:val="auto"/>
        </w:rPr>
        <w:t>5</w:t>
      </w:r>
      <w:r>
        <w:rPr>
          <w:rFonts w:hint="eastAsia"/>
          <w:color w:val="auto"/>
        </w:rPr>
        <w:t>海洋</w:t>
      </w:r>
      <w:r>
        <w:rPr>
          <w:color w:val="auto"/>
        </w:rPr>
        <w:t>环境敏感程度分级</w:t>
      </w:r>
    </w:p>
    <w:tbl>
      <w:tblPr>
        <w:tblStyle w:val="43"/>
        <w:tblW w:w="857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76"/>
        <w:gridCol w:w="7294"/>
      </w:tblGrid>
      <w:tr w14:paraId="0C83BC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76" w:type="dxa"/>
            <w:vAlign w:val="center"/>
          </w:tcPr>
          <w:p w14:paraId="0211C9C9">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敏感性</w:t>
            </w:r>
          </w:p>
        </w:tc>
        <w:tc>
          <w:tcPr>
            <w:tcW w:w="7294" w:type="dxa"/>
            <w:vAlign w:val="center"/>
          </w:tcPr>
          <w:p w14:paraId="7F76D2D9">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地表水环境敏感特征</w:t>
            </w:r>
          </w:p>
        </w:tc>
      </w:tr>
      <w:tr w14:paraId="2A3193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76" w:type="dxa"/>
            <w:vAlign w:val="center"/>
          </w:tcPr>
          <w:p w14:paraId="34EFF472">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E</w:t>
            </w:r>
            <w:r>
              <w:rPr>
                <w:rFonts w:hint="default"/>
                <w:color w:val="auto"/>
                <w:u w:val="single"/>
              </w:rPr>
              <w:t>1</w:t>
            </w:r>
          </w:p>
        </w:tc>
        <w:tc>
          <w:tcPr>
            <w:tcW w:w="7294" w:type="dxa"/>
            <w:vAlign w:val="center"/>
          </w:tcPr>
          <w:p w14:paraId="748194AD">
            <w:pPr>
              <w:pStyle w:val="77"/>
              <w:keepNext w:val="0"/>
              <w:keepLines w:val="0"/>
              <w:suppressLineNumbers w:val="0"/>
              <w:spacing w:before="0" w:beforeAutospacing="0" w:after="0" w:afterAutospacing="0"/>
              <w:ind w:left="0" w:right="0"/>
              <w:rPr>
                <w:rFonts w:hint="eastAsia"/>
                <w:color w:val="auto"/>
                <w:u w:val="single"/>
              </w:rPr>
            </w:pPr>
            <w:r>
              <w:rPr>
                <w:rFonts w:hint="eastAsia"/>
                <w:color w:val="auto"/>
                <w:u w:val="single"/>
              </w:rPr>
              <w:t>危险</w:t>
            </w:r>
            <w:r>
              <w:rPr>
                <w:rFonts w:hint="default"/>
                <w:color w:val="auto"/>
                <w:u w:val="single"/>
              </w:rPr>
              <w:t>物质泄漏到海洋的</w:t>
            </w:r>
            <w:r>
              <w:rPr>
                <w:rFonts w:hint="eastAsia"/>
                <w:color w:val="auto"/>
                <w:u w:val="single"/>
              </w:rPr>
              <w:t>排放点</w:t>
            </w:r>
            <w:r>
              <w:rPr>
                <w:rFonts w:hint="default"/>
                <w:color w:val="auto"/>
                <w:u w:val="single"/>
              </w:rPr>
              <w:t>位于海水水质分类第一类</w:t>
            </w:r>
            <w:r>
              <w:rPr>
                <w:rFonts w:hint="eastAsia"/>
                <w:color w:val="auto"/>
                <w:u w:val="single"/>
              </w:rPr>
              <w:t>区域</w:t>
            </w:r>
            <w:r>
              <w:rPr>
                <w:rFonts w:hint="default"/>
                <w:color w:val="auto"/>
                <w:u w:val="single"/>
              </w:rPr>
              <w:t>或重要敏感区</w:t>
            </w:r>
          </w:p>
        </w:tc>
      </w:tr>
      <w:tr w14:paraId="6D3313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76" w:type="dxa"/>
            <w:vAlign w:val="center"/>
          </w:tcPr>
          <w:p w14:paraId="4B0103E8">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E2</w:t>
            </w:r>
          </w:p>
        </w:tc>
        <w:tc>
          <w:tcPr>
            <w:tcW w:w="7294" w:type="dxa"/>
            <w:vAlign w:val="center"/>
          </w:tcPr>
          <w:p w14:paraId="00FFB799">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危险</w:t>
            </w:r>
            <w:r>
              <w:rPr>
                <w:rFonts w:hint="default"/>
                <w:color w:val="auto"/>
                <w:u w:val="single"/>
              </w:rPr>
              <w:t>物质泄漏到海洋的</w:t>
            </w:r>
            <w:r>
              <w:rPr>
                <w:rFonts w:hint="eastAsia"/>
                <w:color w:val="auto"/>
                <w:u w:val="single"/>
              </w:rPr>
              <w:t>排放点</w:t>
            </w:r>
            <w:r>
              <w:rPr>
                <w:rFonts w:hint="default"/>
                <w:color w:val="auto"/>
                <w:u w:val="single"/>
              </w:rPr>
              <w:t>位于海水水质分类第</w:t>
            </w:r>
            <w:r>
              <w:rPr>
                <w:rFonts w:hint="eastAsia"/>
                <w:color w:val="auto"/>
                <w:u w:val="single"/>
              </w:rPr>
              <w:t>二</w:t>
            </w:r>
            <w:r>
              <w:rPr>
                <w:rFonts w:hint="default"/>
                <w:color w:val="auto"/>
                <w:u w:val="single"/>
              </w:rPr>
              <w:t>类</w:t>
            </w:r>
            <w:r>
              <w:rPr>
                <w:rFonts w:hint="eastAsia"/>
                <w:color w:val="auto"/>
                <w:u w:val="single"/>
              </w:rPr>
              <w:t>区域</w:t>
            </w:r>
            <w:r>
              <w:rPr>
                <w:rFonts w:hint="default"/>
                <w:color w:val="auto"/>
                <w:u w:val="single"/>
              </w:rPr>
              <w:t>或</w:t>
            </w:r>
            <w:r>
              <w:rPr>
                <w:rFonts w:hint="eastAsia"/>
                <w:color w:val="auto"/>
                <w:u w:val="single"/>
              </w:rPr>
              <w:t>一般</w:t>
            </w:r>
            <w:r>
              <w:rPr>
                <w:rFonts w:hint="default"/>
                <w:color w:val="auto"/>
                <w:u w:val="single"/>
              </w:rPr>
              <w:t>敏感区</w:t>
            </w:r>
          </w:p>
        </w:tc>
      </w:tr>
      <w:tr w14:paraId="4ACD15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76" w:type="dxa"/>
            <w:shd w:val="clear" w:color="auto" w:fill="D8D8D8" w:themeFill="background1" w:themeFillShade="D9"/>
            <w:vAlign w:val="center"/>
          </w:tcPr>
          <w:p w14:paraId="5B864B9B">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E</w:t>
            </w:r>
            <w:r>
              <w:rPr>
                <w:rFonts w:hint="default"/>
                <w:color w:val="auto"/>
                <w:u w:val="single"/>
              </w:rPr>
              <w:t>3</w:t>
            </w:r>
          </w:p>
        </w:tc>
        <w:tc>
          <w:tcPr>
            <w:tcW w:w="7294" w:type="dxa"/>
            <w:shd w:val="clear" w:color="auto" w:fill="D8D8D8" w:themeFill="background1" w:themeFillShade="D9"/>
            <w:vAlign w:val="center"/>
          </w:tcPr>
          <w:p w14:paraId="4A0F5F70">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上述地区之外的其他地区</w:t>
            </w:r>
          </w:p>
        </w:tc>
      </w:tr>
    </w:tbl>
    <w:p w14:paraId="1FAD4EB3">
      <w:pPr>
        <w:ind w:firstLine="480"/>
        <w:rPr>
          <w:color w:val="auto"/>
          <w:u w:val="single"/>
        </w:rPr>
      </w:pPr>
      <w:r>
        <w:rPr>
          <w:color w:val="auto"/>
          <w:u w:val="single"/>
        </w:rPr>
        <w:t>项目无外排废水，码头前沿水域海水水质为第四类，项目地表水环境敏感程度为E3。</w:t>
      </w:r>
    </w:p>
    <w:p w14:paraId="56B0E57E">
      <w:pPr>
        <w:ind w:firstLine="480"/>
        <w:rPr>
          <w:color w:val="auto"/>
        </w:rPr>
      </w:pPr>
      <w:r>
        <w:rPr>
          <w:color w:val="auto"/>
        </w:rPr>
        <w:t>（3）地下水环境</w:t>
      </w:r>
    </w:p>
    <w:p w14:paraId="5B610304">
      <w:pPr>
        <w:ind w:firstLine="480"/>
        <w:rPr>
          <w:rFonts w:hint="eastAsia"/>
          <w:color w:val="auto"/>
        </w:rPr>
      </w:pPr>
      <w:r>
        <w:rPr>
          <w:rFonts w:hint="eastAsia"/>
          <w:color w:val="auto"/>
        </w:rPr>
        <w:t>依据地下水功能敏感性与包气带防污性能，共分为三种类型，E1为环境高度敏感区，E2为环境中度敏感区，E3为环境低度敏感区，分级原则见表。其中地下水功能敏感性分区和包气带防污性能分级分别见表</w:t>
      </w:r>
      <w:r>
        <w:rPr>
          <w:color w:val="auto"/>
        </w:rPr>
        <w:t>5.2-8</w:t>
      </w:r>
      <w:r>
        <w:rPr>
          <w:rFonts w:hint="eastAsia"/>
          <w:color w:val="auto"/>
        </w:rPr>
        <w:t>和表</w:t>
      </w:r>
      <w:r>
        <w:rPr>
          <w:color w:val="auto"/>
        </w:rPr>
        <w:t>5.2-9</w:t>
      </w:r>
      <w:r>
        <w:rPr>
          <w:rFonts w:hint="eastAsia"/>
          <w:color w:val="auto"/>
        </w:rPr>
        <w:t>。当同一建设项目涉及两个G分区或D分级及以上时，取相对高值。</w:t>
      </w:r>
    </w:p>
    <w:p w14:paraId="527483A3">
      <w:pPr>
        <w:ind w:firstLine="480"/>
        <w:rPr>
          <w:rFonts w:hint="eastAsia"/>
          <w:color w:val="auto"/>
        </w:rPr>
      </w:pPr>
    </w:p>
    <w:p w14:paraId="2AE11371">
      <w:pPr>
        <w:ind w:firstLine="480"/>
        <w:rPr>
          <w:rFonts w:hint="eastAsia"/>
          <w:color w:val="auto"/>
        </w:rPr>
      </w:pPr>
    </w:p>
    <w:p w14:paraId="33BD8E0A">
      <w:pPr>
        <w:pStyle w:val="14"/>
        <w:rPr>
          <w:color w:val="auto"/>
        </w:rPr>
      </w:pPr>
      <w:r>
        <w:rPr>
          <w:rFonts w:hint="eastAsia"/>
          <w:color w:val="auto"/>
        </w:rPr>
        <w:t>表</w:t>
      </w:r>
      <w:r>
        <w:rPr>
          <w:color w:val="auto"/>
        </w:rPr>
        <w:t>5.2</w:t>
      </w:r>
      <w:r>
        <w:rPr>
          <w:color w:val="auto"/>
        </w:rPr>
        <w:noBreakHyphen/>
      </w:r>
      <w:r>
        <w:rPr>
          <w:color w:val="auto"/>
        </w:rPr>
        <w:t>8</w:t>
      </w:r>
      <w:r>
        <w:rPr>
          <w:rFonts w:hint="eastAsia"/>
          <w:color w:val="auto"/>
        </w:rPr>
        <w:t>地下水环境敏感程度分级</w:t>
      </w:r>
    </w:p>
    <w:tbl>
      <w:tblPr>
        <w:tblStyle w:val="43"/>
        <w:tblW w:w="83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8"/>
        <w:gridCol w:w="2175"/>
        <w:gridCol w:w="2175"/>
        <w:gridCol w:w="2179"/>
      </w:tblGrid>
      <w:tr w14:paraId="11A43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838" w:type="dxa"/>
            <w:vMerge w:val="restart"/>
            <w:vAlign w:val="center"/>
          </w:tcPr>
          <w:p w14:paraId="09FEEA75">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包气带防污性能</w:t>
            </w:r>
          </w:p>
        </w:tc>
        <w:tc>
          <w:tcPr>
            <w:tcW w:w="6529" w:type="dxa"/>
            <w:gridSpan w:val="3"/>
            <w:vAlign w:val="center"/>
          </w:tcPr>
          <w:p w14:paraId="13752F4C">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地下水功能敏感性</w:t>
            </w:r>
          </w:p>
        </w:tc>
      </w:tr>
      <w:tr w14:paraId="5025E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838" w:type="dxa"/>
            <w:vMerge w:val="continue"/>
            <w:vAlign w:val="center"/>
          </w:tcPr>
          <w:p w14:paraId="63007360">
            <w:pPr>
              <w:pStyle w:val="91"/>
              <w:keepNext w:val="0"/>
              <w:keepLines w:val="0"/>
              <w:suppressLineNumbers w:val="0"/>
              <w:spacing w:before="0" w:beforeAutospacing="0" w:after="0" w:afterAutospacing="0"/>
              <w:ind w:left="0" w:right="0"/>
              <w:jc w:val="center"/>
              <w:rPr>
                <w:rFonts w:hint="default"/>
                <w:color w:val="auto"/>
              </w:rPr>
            </w:pPr>
          </w:p>
        </w:tc>
        <w:tc>
          <w:tcPr>
            <w:tcW w:w="2175" w:type="dxa"/>
            <w:vAlign w:val="center"/>
          </w:tcPr>
          <w:p w14:paraId="235721C3">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G1</w:t>
            </w:r>
          </w:p>
        </w:tc>
        <w:tc>
          <w:tcPr>
            <w:tcW w:w="2175" w:type="dxa"/>
            <w:vAlign w:val="center"/>
          </w:tcPr>
          <w:p w14:paraId="60B7014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G2</w:t>
            </w:r>
          </w:p>
        </w:tc>
        <w:tc>
          <w:tcPr>
            <w:tcW w:w="2179" w:type="dxa"/>
            <w:vAlign w:val="center"/>
          </w:tcPr>
          <w:p w14:paraId="67B970B6">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G3</w:t>
            </w:r>
          </w:p>
        </w:tc>
      </w:tr>
      <w:tr w14:paraId="30097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8" w:type="dxa"/>
            <w:vAlign w:val="center"/>
          </w:tcPr>
          <w:p w14:paraId="592E5311">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D1</w:t>
            </w:r>
          </w:p>
        </w:tc>
        <w:tc>
          <w:tcPr>
            <w:tcW w:w="2175" w:type="dxa"/>
            <w:vAlign w:val="center"/>
          </w:tcPr>
          <w:p w14:paraId="613596E7">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E1</w:t>
            </w:r>
          </w:p>
        </w:tc>
        <w:tc>
          <w:tcPr>
            <w:tcW w:w="2175" w:type="dxa"/>
            <w:vAlign w:val="center"/>
          </w:tcPr>
          <w:p w14:paraId="5FEB130D">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E1</w:t>
            </w:r>
          </w:p>
        </w:tc>
        <w:tc>
          <w:tcPr>
            <w:tcW w:w="2179" w:type="dxa"/>
            <w:vAlign w:val="center"/>
          </w:tcPr>
          <w:p w14:paraId="5846D295">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E2</w:t>
            </w:r>
          </w:p>
        </w:tc>
      </w:tr>
      <w:tr w14:paraId="2E8B2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8" w:type="dxa"/>
            <w:vAlign w:val="center"/>
          </w:tcPr>
          <w:p w14:paraId="763817AB">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D2</w:t>
            </w:r>
          </w:p>
        </w:tc>
        <w:tc>
          <w:tcPr>
            <w:tcW w:w="2175" w:type="dxa"/>
            <w:vAlign w:val="center"/>
          </w:tcPr>
          <w:p w14:paraId="60F0F15B">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E1</w:t>
            </w:r>
          </w:p>
        </w:tc>
        <w:tc>
          <w:tcPr>
            <w:tcW w:w="2175" w:type="dxa"/>
            <w:vAlign w:val="center"/>
          </w:tcPr>
          <w:p w14:paraId="1668222D">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E2</w:t>
            </w:r>
          </w:p>
        </w:tc>
        <w:tc>
          <w:tcPr>
            <w:tcW w:w="2179" w:type="dxa"/>
            <w:shd w:val="clear" w:color="auto" w:fill="D8D8D8" w:themeFill="background1" w:themeFillShade="D9"/>
            <w:vAlign w:val="center"/>
          </w:tcPr>
          <w:p w14:paraId="33F3E453">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E3</w:t>
            </w:r>
          </w:p>
        </w:tc>
      </w:tr>
      <w:tr w14:paraId="145DD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8" w:type="dxa"/>
            <w:vAlign w:val="center"/>
          </w:tcPr>
          <w:p w14:paraId="2B189EC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D3</w:t>
            </w:r>
          </w:p>
        </w:tc>
        <w:tc>
          <w:tcPr>
            <w:tcW w:w="2175" w:type="dxa"/>
            <w:vAlign w:val="center"/>
          </w:tcPr>
          <w:p w14:paraId="6A908106">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E2</w:t>
            </w:r>
          </w:p>
        </w:tc>
        <w:tc>
          <w:tcPr>
            <w:tcW w:w="2175" w:type="dxa"/>
            <w:vAlign w:val="center"/>
          </w:tcPr>
          <w:p w14:paraId="44B2B49F">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E3</w:t>
            </w:r>
          </w:p>
        </w:tc>
        <w:tc>
          <w:tcPr>
            <w:tcW w:w="2179" w:type="dxa"/>
            <w:vAlign w:val="center"/>
          </w:tcPr>
          <w:p w14:paraId="16C811C1">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E3</w:t>
            </w:r>
          </w:p>
        </w:tc>
      </w:tr>
    </w:tbl>
    <w:p w14:paraId="6E5BE491">
      <w:pPr>
        <w:pStyle w:val="201"/>
        <w:rPr>
          <w:color w:val="auto"/>
        </w:rPr>
      </w:pPr>
    </w:p>
    <w:p w14:paraId="565C8403">
      <w:pPr>
        <w:pStyle w:val="14"/>
        <w:rPr>
          <w:color w:val="auto"/>
        </w:rPr>
      </w:pPr>
      <w:r>
        <w:rPr>
          <w:rFonts w:hint="eastAsia"/>
          <w:color w:val="auto"/>
        </w:rPr>
        <w:t>表</w:t>
      </w:r>
      <w:r>
        <w:rPr>
          <w:color w:val="auto"/>
        </w:rPr>
        <w:t>5.2</w:t>
      </w:r>
      <w:r>
        <w:rPr>
          <w:color w:val="auto"/>
        </w:rPr>
        <w:noBreakHyphen/>
      </w:r>
      <w:r>
        <w:rPr>
          <w:color w:val="auto"/>
        </w:rPr>
        <w:t>9</w:t>
      </w:r>
      <w:r>
        <w:rPr>
          <w:rFonts w:hint="eastAsia"/>
          <w:color w:val="auto"/>
        </w:rPr>
        <w:t>地下水功能敏感性分区</w:t>
      </w:r>
    </w:p>
    <w:tbl>
      <w:tblPr>
        <w:tblStyle w:val="43"/>
        <w:tblW w:w="89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7"/>
        <w:gridCol w:w="7634"/>
      </w:tblGrid>
      <w:tr w14:paraId="23623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27" w:type="dxa"/>
            <w:vAlign w:val="center"/>
          </w:tcPr>
          <w:p w14:paraId="36415250">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敏感性</w:t>
            </w:r>
          </w:p>
        </w:tc>
        <w:tc>
          <w:tcPr>
            <w:tcW w:w="7634" w:type="dxa"/>
            <w:vAlign w:val="center"/>
          </w:tcPr>
          <w:p w14:paraId="02FF9E22">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地下水环境敏感特征</w:t>
            </w:r>
          </w:p>
        </w:tc>
      </w:tr>
      <w:tr w14:paraId="3356F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1" w:hRule="atLeast"/>
          <w:jc w:val="center"/>
        </w:trPr>
        <w:tc>
          <w:tcPr>
            <w:tcW w:w="1327" w:type="dxa"/>
            <w:vAlign w:val="center"/>
          </w:tcPr>
          <w:p w14:paraId="09801F4C">
            <w:pPr>
              <w:pStyle w:val="91"/>
              <w:keepNext w:val="0"/>
              <w:keepLines w:val="0"/>
              <w:suppressLineNumbers w:val="0"/>
              <w:spacing w:before="0" w:beforeAutospacing="0" w:after="0" w:afterAutospacing="0"/>
              <w:ind w:left="0" w:right="0"/>
              <w:rPr>
                <w:rFonts w:hint="default"/>
                <w:color w:val="auto"/>
              </w:rPr>
            </w:pPr>
            <w:r>
              <w:rPr>
                <w:rFonts w:hint="default"/>
                <w:color w:val="auto"/>
              </w:rPr>
              <w:t>敏感G1</w:t>
            </w:r>
          </w:p>
        </w:tc>
        <w:tc>
          <w:tcPr>
            <w:tcW w:w="7634" w:type="dxa"/>
            <w:vAlign w:val="center"/>
          </w:tcPr>
          <w:p w14:paraId="133D579E">
            <w:pPr>
              <w:pStyle w:val="91"/>
              <w:keepNext w:val="0"/>
              <w:keepLines w:val="0"/>
              <w:suppressLineNumbers w:val="0"/>
              <w:spacing w:before="0" w:beforeAutospacing="0" w:after="0" w:afterAutospacing="0"/>
              <w:ind w:left="0" w:right="0"/>
              <w:rPr>
                <w:rFonts w:hint="default"/>
                <w:color w:val="auto"/>
              </w:rPr>
            </w:pPr>
            <w:r>
              <w:rPr>
                <w:rFonts w:hint="default"/>
                <w:color w:val="auto"/>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07ADF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3" w:hRule="atLeast"/>
          <w:jc w:val="center"/>
        </w:trPr>
        <w:tc>
          <w:tcPr>
            <w:tcW w:w="1327" w:type="dxa"/>
            <w:vAlign w:val="center"/>
          </w:tcPr>
          <w:p w14:paraId="29D8DFC2">
            <w:pPr>
              <w:pStyle w:val="91"/>
              <w:keepNext w:val="0"/>
              <w:keepLines w:val="0"/>
              <w:suppressLineNumbers w:val="0"/>
              <w:spacing w:before="0" w:beforeAutospacing="0" w:after="0" w:afterAutospacing="0"/>
              <w:ind w:left="0" w:right="0"/>
              <w:rPr>
                <w:rFonts w:hint="default"/>
                <w:color w:val="auto"/>
              </w:rPr>
            </w:pPr>
            <w:r>
              <w:rPr>
                <w:rFonts w:hint="default"/>
                <w:color w:val="auto"/>
              </w:rPr>
              <w:t>较敏感G2</w:t>
            </w:r>
          </w:p>
        </w:tc>
        <w:tc>
          <w:tcPr>
            <w:tcW w:w="7634" w:type="dxa"/>
            <w:vAlign w:val="center"/>
          </w:tcPr>
          <w:p w14:paraId="000CD758">
            <w:pPr>
              <w:pStyle w:val="91"/>
              <w:keepNext w:val="0"/>
              <w:keepLines w:val="0"/>
              <w:suppressLineNumbers w:val="0"/>
              <w:spacing w:before="0" w:beforeAutospacing="0" w:after="0" w:afterAutospacing="0"/>
              <w:ind w:left="0" w:right="0"/>
              <w:rPr>
                <w:rFonts w:hint="default"/>
                <w:color w:val="auto"/>
              </w:rPr>
            </w:pPr>
            <w:r>
              <w:rPr>
                <w:rFonts w:hint="default"/>
                <w:color w:val="auto"/>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r>
              <w:rPr>
                <w:rFonts w:hint="default"/>
                <w:color w:val="auto"/>
                <w:vertAlign w:val="superscript"/>
              </w:rPr>
              <w:t>a</w:t>
            </w:r>
          </w:p>
        </w:tc>
      </w:tr>
      <w:tr w14:paraId="42CBF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7" w:type="dxa"/>
            <w:shd w:val="clear" w:color="auto" w:fill="D8D8D8" w:themeFill="background1" w:themeFillShade="D9"/>
            <w:vAlign w:val="center"/>
          </w:tcPr>
          <w:p w14:paraId="3715E376">
            <w:pPr>
              <w:pStyle w:val="91"/>
              <w:keepNext w:val="0"/>
              <w:keepLines w:val="0"/>
              <w:suppressLineNumbers w:val="0"/>
              <w:spacing w:before="0" w:beforeAutospacing="0" w:after="0" w:afterAutospacing="0"/>
              <w:ind w:left="0" w:right="0"/>
              <w:rPr>
                <w:rFonts w:hint="default"/>
                <w:color w:val="auto"/>
              </w:rPr>
            </w:pPr>
            <w:r>
              <w:rPr>
                <w:rFonts w:hint="default"/>
                <w:color w:val="auto"/>
              </w:rPr>
              <w:t>不敏感G3</w:t>
            </w:r>
          </w:p>
        </w:tc>
        <w:tc>
          <w:tcPr>
            <w:tcW w:w="7634" w:type="dxa"/>
            <w:shd w:val="clear" w:color="auto" w:fill="D8D8D8" w:themeFill="background1" w:themeFillShade="D9"/>
            <w:vAlign w:val="center"/>
          </w:tcPr>
          <w:p w14:paraId="5DC3FCF3">
            <w:pPr>
              <w:pStyle w:val="91"/>
              <w:keepNext w:val="0"/>
              <w:keepLines w:val="0"/>
              <w:suppressLineNumbers w:val="0"/>
              <w:spacing w:before="0" w:beforeAutospacing="0" w:after="0" w:afterAutospacing="0"/>
              <w:ind w:left="0" w:right="0"/>
              <w:rPr>
                <w:rFonts w:hint="default"/>
                <w:color w:val="auto"/>
              </w:rPr>
            </w:pPr>
            <w:r>
              <w:rPr>
                <w:rFonts w:hint="default"/>
                <w:color w:val="auto"/>
              </w:rPr>
              <w:t>上述地区之外的其他地区</w:t>
            </w:r>
          </w:p>
        </w:tc>
      </w:tr>
      <w:tr w14:paraId="142F8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61" w:type="dxa"/>
            <w:gridSpan w:val="2"/>
            <w:vAlign w:val="center"/>
          </w:tcPr>
          <w:p w14:paraId="24EF878A">
            <w:pPr>
              <w:pStyle w:val="91"/>
              <w:keepNext w:val="0"/>
              <w:keepLines w:val="0"/>
              <w:suppressLineNumbers w:val="0"/>
              <w:spacing w:before="0" w:beforeAutospacing="0" w:after="0" w:afterAutospacing="0"/>
              <w:ind w:left="0" w:right="0"/>
              <w:rPr>
                <w:rFonts w:hint="default"/>
                <w:color w:val="auto"/>
              </w:rPr>
            </w:pPr>
            <w:r>
              <w:rPr>
                <w:rFonts w:hint="default"/>
                <w:color w:val="auto"/>
                <w:vertAlign w:val="superscript"/>
              </w:rPr>
              <w:t>a</w:t>
            </w:r>
            <w:r>
              <w:rPr>
                <w:rFonts w:hint="default"/>
                <w:color w:val="auto"/>
              </w:rPr>
              <w:t>“环境敏感区”是指《建设项目环境影响评价分类管理名录》中所界定的涉及地下水的环境敏感区</w:t>
            </w:r>
          </w:p>
        </w:tc>
      </w:tr>
    </w:tbl>
    <w:p w14:paraId="7DEFE59A">
      <w:pPr>
        <w:pStyle w:val="201"/>
        <w:rPr>
          <w:color w:val="auto"/>
        </w:rPr>
      </w:pPr>
    </w:p>
    <w:p w14:paraId="77484AEA">
      <w:pPr>
        <w:pStyle w:val="14"/>
        <w:rPr>
          <w:color w:val="auto"/>
        </w:rPr>
      </w:pPr>
      <w:r>
        <w:rPr>
          <w:rFonts w:hint="eastAsia"/>
          <w:color w:val="auto"/>
        </w:rPr>
        <w:t>表</w:t>
      </w:r>
      <w:r>
        <w:rPr>
          <w:color w:val="auto"/>
        </w:rPr>
        <w:t>5.2</w:t>
      </w:r>
      <w:r>
        <w:rPr>
          <w:color w:val="auto"/>
        </w:rPr>
        <w:noBreakHyphen/>
      </w:r>
      <w:r>
        <w:rPr>
          <w:color w:val="auto"/>
        </w:rPr>
        <w:t>10</w:t>
      </w:r>
      <w:r>
        <w:rPr>
          <w:rFonts w:hint="eastAsia"/>
          <w:color w:val="auto"/>
        </w:rPr>
        <w:t>包气带防污性能分级</w:t>
      </w:r>
    </w:p>
    <w:tbl>
      <w:tblPr>
        <w:tblStyle w:val="43"/>
        <w:tblW w:w="86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7"/>
        <w:gridCol w:w="7316"/>
      </w:tblGrid>
      <w:tr w14:paraId="64E54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7" w:type="dxa"/>
            <w:vAlign w:val="center"/>
          </w:tcPr>
          <w:p w14:paraId="2B6EEA85">
            <w:pPr>
              <w:pStyle w:val="167"/>
              <w:keepNext w:val="0"/>
              <w:keepLines w:val="0"/>
              <w:suppressLineNumbers w:val="0"/>
              <w:spacing w:before="0" w:beforeAutospacing="0" w:after="0" w:afterAutospacing="0"/>
              <w:ind w:right="0"/>
              <w:rPr>
                <w:rFonts w:hint="default"/>
                <w:color w:val="auto"/>
              </w:rPr>
            </w:pPr>
            <w:r>
              <w:rPr>
                <w:rFonts w:hint="default"/>
                <w:color w:val="auto"/>
              </w:rPr>
              <w:t>分级</w:t>
            </w:r>
          </w:p>
        </w:tc>
        <w:tc>
          <w:tcPr>
            <w:tcW w:w="7316" w:type="dxa"/>
            <w:vAlign w:val="center"/>
          </w:tcPr>
          <w:p w14:paraId="5927BF5D">
            <w:pPr>
              <w:pStyle w:val="167"/>
              <w:keepNext w:val="0"/>
              <w:keepLines w:val="0"/>
              <w:suppressLineNumbers w:val="0"/>
              <w:spacing w:before="0" w:beforeAutospacing="0" w:after="0" w:afterAutospacing="0"/>
              <w:ind w:right="0"/>
              <w:rPr>
                <w:rFonts w:hint="default"/>
                <w:color w:val="auto"/>
              </w:rPr>
            </w:pPr>
            <w:r>
              <w:rPr>
                <w:rFonts w:hint="default"/>
                <w:color w:val="auto"/>
              </w:rPr>
              <w:t>包气带岩土的渗透性能</w:t>
            </w:r>
          </w:p>
        </w:tc>
      </w:tr>
      <w:tr w14:paraId="4AAD4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7" w:type="dxa"/>
            <w:vAlign w:val="center"/>
          </w:tcPr>
          <w:p w14:paraId="4A8E3E06">
            <w:pPr>
              <w:pStyle w:val="167"/>
              <w:keepNext w:val="0"/>
              <w:keepLines w:val="0"/>
              <w:suppressLineNumbers w:val="0"/>
              <w:spacing w:before="0" w:beforeAutospacing="0" w:after="0" w:afterAutospacing="0"/>
              <w:ind w:right="0"/>
              <w:rPr>
                <w:rFonts w:hint="default"/>
                <w:color w:val="auto"/>
              </w:rPr>
            </w:pPr>
            <w:r>
              <w:rPr>
                <w:rFonts w:hint="default"/>
                <w:color w:val="auto"/>
              </w:rPr>
              <w:t>D3</w:t>
            </w:r>
          </w:p>
        </w:tc>
        <w:tc>
          <w:tcPr>
            <w:tcW w:w="7316" w:type="dxa"/>
            <w:vAlign w:val="center"/>
          </w:tcPr>
          <w:p w14:paraId="4DEE512F">
            <w:pPr>
              <w:pStyle w:val="167"/>
              <w:keepNext w:val="0"/>
              <w:keepLines w:val="0"/>
              <w:suppressLineNumbers w:val="0"/>
              <w:spacing w:before="0" w:beforeAutospacing="0" w:after="0" w:afterAutospacing="0"/>
              <w:ind w:right="0"/>
              <w:rPr>
                <w:rFonts w:hint="default"/>
                <w:color w:val="auto"/>
              </w:rPr>
            </w:pPr>
            <w:r>
              <w:rPr>
                <w:rFonts w:hint="default"/>
                <w:color w:val="auto"/>
              </w:rPr>
              <w:t>Mb≥1.0m，</w:t>
            </w:r>
            <w:r>
              <w:rPr>
                <w:rFonts w:hint="default"/>
                <w:i/>
                <w:iCs/>
                <w:color w:val="auto"/>
              </w:rPr>
              <w:t>K</w:t>
            </w:r>
            <w:r>
              <w:rPr>
                <w:rFonts w:hint="default"/>
                <w:color w:val="auto"/>
              </w:rPr>
              <w:t>≤1.0×10</w:t>
            </w:r>
            <w:r>
              <w:rPr>
                <w:rFonts w:hint="default"/>
                <w:color w:val="auto"/>
                <w:vertAlign w:val="superscript"/>
              </w:rPr>
              <w:t>-6</w:t>
            </w:r>
            <w:r>
              <w:rPr>
                <w:rFonts w:hint="default"/>
                <w:color w:val="auto"/>
              </w:rPr>
              <w:t>cm/s，且分布连续、稳定</w:t>
            </w:r>
          </w:p>
        </w:tc>
      </w:tr>
      <w:tr w14:paraId="7E4C4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7" w:type="dxa"/>
            <w:shd w:val="clear" w:color="auto" w:fill="D8D8D8" w:themeFill="background1" w:themeFillShade="D9"/>
            <w:vAlign w:val="center"/>
          </w:tcPr>
          <w:p w14:paraId="7551D981">
            <w:pPr>
              <w:pStyle w:val="167"/>
              <w:keepNext w:val="0"/>
              <w:keepLines w:val="0"/>
              <w:suppressLineNumbers w:val="0"/>
              <w:spacing w:before="0" w:beforeAutospacing="0" w:after="0" w:afterAutospacing="0"/>
              <w:ind w:right="0"/>
              <w:rPr>
                <w:rFonts w:hint="default"/>
                <w:color w:val="auto"/>
              </w:rPr>
            </w:pPr>
            <w:r>
              <w:rPr>
                <w:rFonts w:hint="default"/>
                <w:color w:val="auto"/>
              </w:rPr>
              <w:t>D2</w:t>
            </w:r>
          </w:p>
        </w:tc>
        <w:tc>
          <w:tcPr>
            <w:tcW w:w="7316" w:type="dxa"/>
            <w:shd w:val="clear" w:color="auto" w:fill="D8D8D8" w:themeFill="background1" w:themeFillShade="D9"/>
            <w:vAlign w:val="center"/>
          </w:tcPr>
          <w:p w14:paraId="60122FE9">
            <w:pPr>
              <w:pStyle w:val="167"/>
              <w:keepNext w:val="0"/>
              <w:keepLines w:val="0"/>
              <w:suppressLineNumbers w:val="0"/>
              <w:spacing w:before="0" w:beforeAutospacing="0" w:after="0" w:afterAutospacing="0"/>
              <w:ind w:right="0"/>
              <w:rPr>
                <w:rFonts w:hint="default"/>
                <w:color w:val="auto"/>
              </w:rPr>
            </w:pPr>
            <w:r>
              <w:rPr>
                <w:rFonts w:hint="default"/>
                <w:color w:val="auto"/>
              </w:rPr>
              <w:t>0.5m≤Mb&lt;1.0m，</w:t>
            </w:r>
            <w:r>
              <w:rPr>
                <w:rFonts w:hint="default"/>
                <w:i/>
                <w:iCs/>
                <w:color w:val="auto"/>
              </w:rPr>
              <w:t>K</w:t>
            </w:r>
            <w:r>
              <w:rPr>
                <w:rFonts w:hint="default"/>
                <w:color w:val="auto"/>
              </w:rPr>
              <w:t>≤1.0×10</w:t>
            </w:r>
            <w:r>
              <w:rPr>
                <w:rFonts w:hint="default"/>
                <w:color w:val="auto"/>
                <w:vertAlign w:val="superscript"/>
              </w:rPr>
              <w:t>-6</w:t>
            </w:r>
            <w:r>
              <w:rPr>
                <w:rFonts w:hint="default"/>
                <w:color w:val="auto"/>
              </w:rPr>
              <w:t>cm/s，且分布连续、稳定</w:t>
            </w:r>
          </w:p>
          <w:p w14:paraId="34C4D5D6">
            <w:pPr>
              <w:pStyle w:val="167"/>
              <w:keepNext w:val="0"/>
              <w:keepLines w:val="0"/>
              <w:suppressLineNumbers w:val="0"/>
              <w:spacing w:before="0" w:beforeAutospacing="0" w:after="0" w:afterAutospacing="0"/>
              <w:ind w:right="0"/>
              <w:rPr>
                <w:rFonts w:hint="default"/>
                <w:color w:val="auto"/>
              </w:rPr>
            </w:pPr>
            <w:r>
              <w:rPr>
                <w:rFonts w:hint="default"/>
                <w:color w:val="auto"/>
              </w:rPr>
              <w:t>Mb≥1.0m，1.0×10</w:t>
            </w:r>
            <w:r>
              <w:rPr>
                <w:rFonts w:hint="default"/>
                <w:color w:val="auto"/>
                <w:vertAlign w:val="superscript"/>
              </w:rPr>
              <w:t>-6</w:t>
            </w:r>
            <w:r>
              <w:rPr>
                <w:rFonts w:hint="default"/>
                <w:color w:val="auto"/>
              </w:rPr>
              <w:t>cm/s＜</w:t>
            </w:r>
            <w:r>
              <w:rPr>
                <w:rFonts w:hint="default"/>
                <w:i/>
                <w:iCs/>
                <w:color w:val="auto"/>
              </w:rPr>
              <w:t>K</w:t>
            </w:r>
            <w:r>
              <w:rPr>
                <w:rFonts w:hint="default"/>
                <w:color w:val="auto"/>
              </w:rPr>
              <w:t>≤1.0×10</w:t>
            </w:r>
            <w:r>
              <w:rPr>
                <w:rFonts w:hint="default"/>
                <w:color w:val="auto"/>
                <w:vertAlign w:val="superscript"/>
              </w:rPr>
              <w:t>-4</w:t>
            </w:r>
            <w:r>
              <w:rPr>
                <w:rFonts w:hint="default"/>
                <w:color w:val="auto"/>
              </w:rPr>
              <w:t>cm/s，且分布连续、稳定</w:t>
            </w:r>
          </w:p>
        </w:tc>
      </w:tr>
      <w:tr w14:paraId="236B7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7" w:type="dxa"/>
            <w:vAlign w:val="center"/>
          </w:tcPr>
          <w:p w14:paraId="4EEF2FA3">
            <w:pPr>
              <w:pStyle w:val="167"/>
              <w:keepNext w:val="0"/>
              <w:keepLines w:val="0"/>
              <w:suppressLineNumbers w:val="0"/>
              <w:spacing w:before="0" w:beforeAutospacing="0" w:after="0" w:afterAutospacing="0"/>
              <w:ind w:right="0"/>
              <w:rPr>
                <w:rFonts w:hint="default"/>
                <w:color w:val="auto"/>
              </w:rPr>
            </w:pPr>
            <w:r>
              <w:rPr>
                <w:rFonts w:hint="default"/>
                <w:color w:val="auto"/>
              </w:rPr>
              <w:t>D1</w:t>
            </w:r>
          </w:p>
        </w:tc>
        <w:tc>
          <w:tcPr>
            <w:tcW w:w="7316" w:type="dxa"/>
            <w:vAlign w:val="center"/>
          </w:tcPr>
          <w:p w14:paraId="49036CA3">
            <w:pPr>
              <w:pStyle w:val="167"/>
              <w:keepNext w:val="0"/>
              <w:keepLines w:val="0"/>
              <w:suppressLineNumbers w:val="0"/>
              <w:spacing w:before="0" w:beforeAutospacing="0" w:after="0" w:afterAutospacing="0"/>
              <w:ind w:right="0"/>
              <w:rPr>
                <w:rFonts w:hint="default"/>
                <w:color w:val="auto"/>
              </w:rPr>
            </w:pPr>
            <w:r>
              <w:rPr>
                <w:rFonts w:hint="default"/>
                <w:color w:val="auto"/>
              </w:rPr>
              <w:t>岩（土）层不满足上述“D2”和“D3”条件</w:t>
            </w:r>
          </w:p>
        </w:tc>
      </w:tr>
      <w:tr w14:paraId="7510A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3" w:type="dxa"/>
            <w:gridSpan w:val="2"/>
            <w:vAlign w:val="center"/>
          </w:tcPr>
          <w:p w14:paraId="6D9B2CBF">
            <w:pPr>
              <w:pStyle w:val="167"/>
              <w:keepNext w:val="0"/>
              <w:keepLines w:val="0"/>
              <w:suppressLineNumbers w:val="0"/>
              <w:spacing w:before="0" w:beforeAutospacing="0" w:after="0" w:afterAutospacing="0"/>
              <w:ind w:right="0"/>
              <w:rPr>
                <w:rFonts w:hint="default"/>
                <w:color w:val="auto"/>
              </w:rPr>
            </w:pPr>
            <w:r>
              <w:rPr>
                <w:rFonts w:hint="default"/>
                <w:color w:val="auto"/>
              </w:rPr>
              <w:t>Mb：岩土层单层厚度。</w:t>
            </w:r>
            <w:r>
              <w:rPr>
                <w:rFonts w:hint="default"/>
                <w:i/>
                <w:iCs/>
                <w:color w:val="auto"/>
              </w:rPr>
              <w:t>K</w:t>
            </w:r>
            <w:r>
              <w:rPr>
                <w:rFonts w:hint="default"/>
                <w:color w:val="auto"/>
              </w:rPr>
              <w:t>：渗透系数。</w:t>
            </w:r>
          </w:p>
        </w:tc>
      </w:tr>
    </w:tbl>
    <w:p w14:paraId="19DD19A4">
      <w:pPr>
        <w:ind w:firstLine="480"/>
        <w:rPr>
          <w:color w:val="auto"/>
        </w:rPr>
      </w:pPr>
      <w:r>
        <w:rPr>
          <w:rFonts w:hint="eastAsia"/>
          <w:color w:val="auto"/>
        </w:rPr>
        <w:t>本项目所在区域不涉及G1、G2所列的集中式饮用水源准保护区、特殊地下水资源保护区等环境敏感区，地下水环境敏感性分区为不敏感G3。项目所在区域为填海造地，现状地面标高约为</w:t>
      </w:r>
      <w:r>
        <w:rPr>
          <w:color w:val="auto"/>
        </w:rPr>
        <w:t>2</w:t>
      </w:r>
      <w:r>
        <w:rPr>
          <w:rFonts w:hint="eastAsia"/>
          <w:color w:val="auto"/>
        </w:rPr>
        <w:t>～</w:t>
      </w:r>
      <w:r>
        <w:rPr>
          <w:color w:val="auto"/>
        </w:rPr>
        <w:t>3</w:t>
      </w:r>
      <w:r>
        <w:rPr>
          <w:rFonts w:hint="eastAsia"/>
          <w:color w:val="auto"/>
        </w:rPr>
        <w:t>m。场区主要接收场地及附近地表水、海水、大气降水下渗补给，向附近海域呈渗流排泄或蒸发，水位及水量随季节及周边地表水变化而变化。该层水位埋深</w:t>
      </w:r>
      <w:r>
        <w:rPr>
          <w:color w:val="auto"/>
        </w:rPr>
        <w:t>2</w:t>
      </w:r>
      <w:r>
        <w:rPr>
          <w:rFonts w:hint="eastAsia"/>
          <w:color w:val="auto"/>
        </w:rPr>
        <w:t>～</w:t>
      </w:r>
      <w:r>
        <w:rPr>
          <w:color w:val="auto"/>
        </w:rPr>
        <w:t>4</w:t>
      </w:r>
      <w:r>
        <w:rPr>
          <w:rFonts w:hint="eastAsia"/>
          <w:color w:val="auto"/>
        </w:rPr>
        <w:t>m，该层水量较大，受季节影响明显。项目岩土层单层厚度均大于1m，包气带岩层渗透系数为6.0×10</w:t>
      </w:r>
      <w:r>
        <w:rPr>
          <w:rFonts w:hint="eastAsia"/>
          <w:color w:val="auto"/>
          <w:vertAlign w:val="superscript"/>
        </w:rPr>
        <w:t>-5</w:t>
      </w:r>
      <w:r>
        <w:rPr>
          <w:rFonts w:hint="eastAsia"/>
          <w:color w:val="auto"/>
        </w:rPr>
        <w:t>cm/s，故包气带防污性能分级为D2。地下水环境敏感程度分级为环境低度敏感区E3。</w:t>
      </w:r>
    </w:p>
    <w:p w14:paraId="522D6CD6">
      <w:pPr>
        <w:pStyle w:val="4"/>
        <w:rPr>
          <w:color w:val="auto"/>
        </w:rPr>
      </w:pPr>
      <w:r>
        <w:rPr>
          <w:color w:val="auto"/>
        </w:rPr>
        <w:t>环境风险潜势判断</w:t>
      </w:r>
    </w:p>
    <w:p w14:paraId="33B539CA">
      <w:pPr>
        <w:pStyle w:val="226"/>
        <w:adjustRightInd w:val="0"/>
        <w:ind w:firstLine="480" w:firstLineChars="200"/>
        <w:textAlignment w:val="baseline"/>
        <w:rPr>
          <w:rFonts w:ascii="Times New Roman" w:hAnsi="Times New Roman"/>
          <w:bCs/>
          <w:color w:val="auto"/>
          <w:szCs w:val="21"/>
        </w:rPr>
      </w:pPr>
      <w:r>
        <w:rPr>
          <w:rFonts w:ascii="Times New Roman" w:hAnsi="Times New Roman"/>
          <w:bCs/>
          <w:color w:val="auto"/>
          <w:szCs w:val="21"/>
        </w:rPr>
        <w:t>根据《建设项目环境风险评价技术导则》(HJ169-2018)，建设项目环境风险潜势划分为</w:t>
      </w:r>
      <w:r>
        <w:rPr>
          <w:rFonts w:hint="eastAsia" w:cs="宋体"/>
          <w:bCs/>
          <w:color w:val="auto"/>
          <w:szCs w:val="21"/>
        </w:rPr>
        <w:t>Ⅰ</w:t>
      </w:r>
      <w:r>
        <w:rPr>
          <w:rFonts w:ascii="Times New Roman" w:hAnsi="Times New Roman"/>
          <w:bCs/>
          <w:color w:val="auto"/>
          <w:szCs w:val="21"/>
        </w:rPr>
        <w:t>、</w:t>
      </w:r>
      <w:r>
        <w:rPr>
          <w:rFonts w:hint="eastAsia" w:cs="宋体"/>
          <w:bCs/>
          <w:color w:val="auto"/>
          <w:szCs w:val="21"/>
        </w:rPr>
        <w:t>Ⅱ</w:t>
      </w:r>
      <w:r>
        <w:rPr>
          <w:rFonts w:ascii="Times New Roman" w:hAnsi="Times New Roman"/>
          <w:bCs/>
          <w:color w:val="auto"/>
          <w:szCs w:val="21"/>
        </w:rPr>
        <w:t>、</w:t>
      </w:r>
      <w:r>
        <w:rPr>
          <w:rFonts w:hint="eastAsia" w:cs="宋体"/>
          <w:bCs/>
          <w:color w:val="auto"/>
          <w:szCs w:val="21"/>
        </w:rPr>
        <w:t>Ⅲ</w:t>
      </w:r>
      <w:r>
        <w:rPr>
          <w:rFonts w:ascii="Times New Roman" w:hAnsi="Times New Roman"/>
          <w:bCs/>
          <w:color w:val="auto"/>
          <w:szCs w:val="21"/>
        </w:rPr>
        <w:t>、</w:t>
      </w:r>
      <w:r>
        <w:rPr>
          <w:rFonts w:hint="eastAsia" w:cs="宋体"/>
          <w:bCs/>
          <w:color w:val="auto"/>
          <w:szCs w:val="21"/>
        </w:rPr>
        <w:t>Ⅳ</w:t>
      </w:r>
      <w:r>
        <w:rPr>
          <w:rFonts w:ascii="Times New Roman" w:hAnsi="Times New Roman"/>
          <w:bCs/>
          <w:color w:val="auto"/>
          <w:szCs w:val="21"/>
        </w:rPr>
        <w:t>/</w:t>
      </w:r>
      <w:r>
        <w:rPr>
          <w:rFonts w:hint="eastAsia" w:cs="宋体"/>
          <w:bCs/>
          <w:color w:val="auto"/>
          <w:szCs w:val="21"/>
        </w:rPr>
        <w:t>Ⅳ</w:t>
      </w:r>
      <w:r>
        <w:rPr>
          <w:rFonts w:ascii="Times New Roman" w:hAnsi="Times New Roman"/>
          <w:bCs/>
          <w:color w:val="auto"/>
          <w:szCs w:val="21"/>
          <w:vertAlign w:val="superscript"/>
        </w:rPr>
        <w:t>+</w:t>
      </w:r>
      <w:r>
        <w:rPr>
          <w:rFonts w:ascii="Times New Roman" w:hAnsi="Times New Roman"/>
          <w:bCs/>
          <w:color w:val="auto"/>
          <w:szCs w:val="21"/>
        </w:rPr>
        <w:t>级。</w:t>
      </w:r>
    </w:p>
    <w:p w14:paraId="4A76D160">
      <w:pPr>
        <w:pStyle w:val="226"/>
        <w:adjustRightInd w:val="0"/>
        <w:ind w:firstLine="480" w:firstLineChars="200"/>
        <w:textAlignment w:val="baseline"/>
        <w:rPr>
          <w:rFonts w:ascii="Times New Roman" w:hAnsi="Times New Roman"/>
          <w:bCs/>
          <w:color w:val="auto"/>
          <w:szCs w:val="21"/>
        </w:rPr>
      </w:pPr>
      <w:r>
        <w:rPr>
          <w:rFonts w:ascii="Times New Roman" w:hAnsi="Times New Roman"/>
          <w:bCs/>
          <w:color w:val="auto"/>
          <w:szCs w:val="21"/>
        </w:rPr>
        <w:t>根据建设项目涉及的物质和工艺系统的危险性及其所在地的环境敏感程度，结合事故情形下环境影响途径，对建设项目潜在环境危害程度进行概化分析，按照下表确定环境风险潜势。</w:t>
      </w:r>
    </w:p>
    <w:p w14:paraId="4B4B254B">
      <w:pPr>
        <w:ind w:firstLine="480"/>
        <w:jc w:val="center"/>
        <w:rPr>
          <w:bCs/>
          <w:color w:val="auto"/>
          <w:szCs w:val="21"/>
        </w:rPr>
      </w:pPr>
      <w:bookmarkStart w:id="547" w:name="_Ref6145253"/>
      <w:r>
        <w:rPr>
          <w:bCs/>
          <w:color w:val="auto"/>
          <w:szCs w:val="21"/>
        </w:rPr>
        <w:t>表</w:t>
      </w:r>
      <w:bookmarkEnd w:id="547"/>
      <w:r>
        <w:rPr>
          <w:bCs/>
          <w:color w:val="auto"/>
          <w:szCs w:val="21"/>
        </w:rPr>
        <w:t>6-1建设项目环境风险潜势划分</w:t>
      </w:r>
    </w:p>
    <w:tbl>
      <w:tblPr>
        <w:tblStyle w:val="43"/>
        <w:tblW w:w="8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3"/>
        <w:gridCol w:w="1637"/>
        <w:gridCol w:w="1572"/>
        <w:gridCol w:w="1701"/>
        <w:gridCol w:w="1692"/>
      </w:tblGrid>
      <w:tr w14:paraId="3A7A8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173" w:type="dxa"/>
            <w:vMerge w:val="restart"/>
            <w:vAlign w:val="center"/>
          </w:tcPr>
          <w:p w14:paraId="1CE28AC9">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环境敏感程度(E)</w:t>
            </w:r>
          </w:p>
        </w:tc>
        <w:tc>
          <w:tcPr>
            <w:tcW w:w="6602" w:type="dxa"/>
            <w:gridSpan w:val="4"/>
            <w:vAlign w:val="center"/>
          </w:tcPr>
          <w:p w14:paraId="39F30102">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危险物质及工艺系统危险性(P)</w:t>
            </w:r>
          </w:p>
        </w:tc>
      </w:tr>
      <w:tr w14:paraId="220B3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173" w:type="dxa"/>
            <w:vMerge w:val="continue"/>
            <w:vAlign w:val="center"/>
          </w:tcPr>
          <w:p w14:paraId="09C85B55">
            <w:pPr>
              <w:pStyle w:val="91"/>
              <w:keepNext w:val="0"/>
              <w:keepLines w:val="0"/>
              <w:suppressLineNumbers w:val="0"/>
              <w:spacing w:before="0" w:beforeAutospacing="0" w:after="0" w:afterAutospacing="0"/>
              <w:ind w:left="0" w:right="0"/>
              <w:jc w:val="center"/>
              <w:rPr>
                <w:rFonts w:hint="default"/>
                <w:b/>
                <w:color w:val="auto"/>
              </w:rPr>
            </w:pPr>
          </w:p>
        </w:tc>
        <w:tc>
          <w:tcPr>
            <w:tcW w:w="1637" w:type="dxa"/>
            <w:vAlign w:val="center"/>
          </w:tcPr>
          <w:p w14:paraId="66648BF1">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极高危害(P1)</w:t>
            </w:r>
          </w:p>
        </w:tc>
        <w:tc>
          <w:tcPr>
            <w:tcW w:w="1572" w:type="dxa"/>
            <w:vAlign w:val="center"/>
          </w:tcPr>
          <w:p w14:paraId="3A598201">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高度危害(P2)</w:t>
            </w:r>
          </w:p>
        </w:tc>
        <w:tc>
          <w:tcPr>
            <w:tcW w:w="1701" w:type="dxa"/>
            <w:vAlign w:val="center"/>
          </w:tcPr>
          <w:p w14:paraId="16DD37F5">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中度危害(P3)</w:t>
            </w:r>
          </w:p>
        </w:tc>
        <w:tc>
          <w:tcPr>
            <w:tcW w:w="1688" w:type="dxa"/>
            <w:vAlign w:val="center"/>
          </w:tcPr>
          <w:p w14:paraId="3FB87271">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轻度危害(P4)</w:t>
            </w:r>
          </w:p>
        </w:tc>
      </w:tr>
      <w:tr w14:paraId="25795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3" w:type="dxa"/>
            <w:vAlign w:val="center"/>
          </w:tcPr>
          <w:p w14:paraId="23E29889">
            <w:pPr>
              <w:pStyle w:val="91"/>
              <w:keepNext w:val="0"/>
              <w:keepLines w:val="0"/>
              <w:suppressLineNumbers w:val="0"/>
              <w:spacing w:before="0" w:beforeAutospacing="0" w:after="0" w:afterAutospacing="0"/>
              <w:ind w:left="0" w:right="0"/>
              <w:rPr>
                <w:rFonts w:hint="default"/>
                <w:color w:val="auto"/>
              </w:rPr>
            </w:pPr>
            <w:r>
              <w:rPr>
                <w:rFonts w:hint="default"/>
                <w:color w:val="auto"/>
              </w:rPr>
              <w:t>环境高度敏感区(E1)</w:t>
            </w:r>
          </w:p>
        </w:tc>
        <w:tc>
          <w:tcPr>
            <w:tcW w:w="1637" w:type="dxa"/>
            <w:vAlign w:val="center"/>
          </w:tcPr>
          <w:p w14:paraId="47028215">
            <w:pPr>
              <w:pStyle w:val="91"/>
              <w:keepNext w:val="0"/>
              <w:keepLines w:val="0"/>
              <w:suppressLineNumbers w:val="0"/>
              <w:spacing w:before="0" w:beforeAutospacing="0" w:after="0" w:afterAutospacing="0"/>
              <w:ind w:left="0" w:right="0"/>
              <w:rPr>
                <w:rFonts w:hint="default"/>
                <w:color w:val="auto"/>
              </w:rPr>
            </w:pPr>
            <w:r>
              <w:rPr>
                <w:rFonts w:hint="eastAsia"/>
                <w:color w:val="auto"/>
              </w:rPr>
              <w:t>Ⅳ</w:t>
            </w:r>
            <w:r>
              <w:rPr>
                <w:rFonts w:hint="default"/>
                <w:color w:val="auto"/>
                <w:vertAlign w:val="superscript"/>
              </w:rPr>
              <w:t>+</w:t>
            </w:r>
          </w:p>
        </w:tc>
        <w:tc>
          <w:tcPr>
            <w:tcW w:w="1572" w:type="dxa"/>
            <w:vAlign w:val="center"/>
          </w:tcPr>
          <w:p w14:paraId="46452FF4">
            <w:pPr>
              <w:pStyle w:val="91"/>
              <w:keepNext w:val="0"/>
              <w:keepLines w:val="0"/>
              <w:suppressLineNumbers w:val="0"/>
              <w:spacing w:before="0" w:beforeAutospacing="0" w:after="0" w:afterAutospacing="0"/>
              <w:ind w:left="0" w:right="0"/>
              <w:rPr>
                <w:rFonts w:hint="default"/>
                <w:color w:val="auto"/>
              </w:rPr>
            </w:pPr>
            <w:r>
              <w:rPr>
                <w:rFonts w:hint="eastAsia"/>
                <w:color w:val="auto"/>
              </w:rPr>
              <w:t>Ⅳ</w:t>
            </w:r>
          </w:p>
        </w:tc>
        <w:tc>
          <w:tcPr>
            <w:tcW w:w="1701" w:type="dxa"/>
            <w:vAlign w:val="center"/>
          </w:tcPr>
          <w:p w14:paraId="674D72B0">
            <w:pPr>
              <w:pStyle w:val="91"/>
              <w:keepNext w:val="0"/>
              <w:keepLines w:val="0"/>
              <w:suppressLineNumbers w:val="0"/>
              <w:spacing w:before="0" w:beforeAutospacing="0" w:after="0" w:afterAutospacing="0"/>
              <w:ind w:left="0" w:right="0"/>
              <w:rPr>
                <w:rFonts w:hint="default"/>
                <w:color w:val="auto"/>
              </w:rPr>
            </w:pPr>
            <w:r>
              <w:rPr>
                <w:rFonts w:hint="eastAsia"/>
                <w:color w:val="auto"/>
              </w:rPr>
              <w:t>Ⅲ</w:t>
            </w:r>
          </w:p>
        </w:tc>
        <w:tc>
          <w:tcPr>
            <w:tcW w:w="1688" w:type="dxa"/>
            <w:vAlign w:val="center"/>
          </w:tcPr>
          <w:p w14:paraId="2135BBFB">
            <w:pPr>
              <w:pStyle w:val="91"/>
              <w:keepNext w:val="0"/>
              <w:keepLines w:val="0"/>
              <w:suppressLineNumbers w:val="0"/>
              <w:spacing w:before="0" w:beforeAutospacing="0" w:after="0" w:afterAutospacing="0"/>
              <w:ind w:left="0" w:right="0"/>
              <w:rPr>
                <w:rFonts w:hint="default"/>
                <w:color w:val="auto"/>
              </w:rPr>
            </w:pPr>
            <w:r>
              <w:rPr>
                <w:rFonts w:hint="eastAsia"/>
                <w:color w:val="auto"/>
              </w:rPr>
              <w:t>Ⅲ</w:t>
            </w:r>
          </w:p>
        </w:tc>
      </w:tr>
      <w:tr w14:paraId="18283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3" w:type="dxa"/>
            <w:vAlign w:val="center"/>
          </w:tcPr>
          <w:p w14:paraId="3A2CA9CE">
            <w:pPr>
              <w:pStyle w:val="91"/>
              <w:keepNext w:val="0"/>
              <w:keepLines w:val="0"/>
              <w:suppressLineNumbers w:val="0"/>
              <w:spacing w:before="0" w:beforeAutospacing="0" w:after="0" w:afterAutospacing="0"/>
              <w:ind w:left="0" w:right="0"/>
              <w:rPr>
                <w:rFonts w:hint="default"/>
                <w:color w:val="auto"/>
              </w:rPr>
            </w:pPr>
            <w:r>
              <w:rPr>
                <w:rFonts w:hint="default"/>
                <w:color w:val="auto"/>
              </w:rPr>
              <w:t>环境中度敏感区(E2)</w:t>
            </w:r>
          </w:p>
        </w:tc>
        <w:tc>
          <w:tcPr>
            <w:tcW w:w="1637" w:type="dxa"/>
            <w:vAlign w:val="center"/>
          </w:tcPr>
          <w:p w14:paraId="5E7B17FB">
            <w:pPr>
              <w:pStyle w:val="91"/>
              <w:keepNext w:val="0"/>
              <w:keepLines w:val="0"/>
              <w:suppressLineNumbers w:val="0"/>
              <w:spacing w:before="0" w:beforeAutospacing="0" w:after="0" w:afterAutospacing="0"/>
              <w:ind w:left="0" w:right="0"/>
              <w:rPr>
                <w:rFonts w:hint="default"/>
                <w:color w:val="auto"/>
              </w:rPr>
            </w:pPr>
            <w:r>
              <w:rPr>
                <w:rFonts w:hint="eastAsia"/>
                <w:color w:val="auto"/>
              </w:rPr>
              <w:t>Ⅳ</w:t>
            </w:r>
          </w:p>
        </w:tc>
        <w:tc>
          <w:tcPr>
            <w:tcW w:w="1572" w:type="dxa"/>
            <w:vAlign w:val="center"/>
          </w:tcPr>
          <w:p w14:paraId="3353D159">
            <w:pPr>
              <w:pStyle w:val="91"/>
              <w:keepNext w:val="0"/>
              <w:keepLines w:val="0"/>
              <w:suppressLineNumbers w:val="0"/>
              <w:spacing w:before="0" w:beforeAutospacing="0" w:after="0" w:afterAutospacing="0"/>
              <w:ind w:left="0" w:right="0"/>
              <w:rPr>
                <w:rFonts w:hint="default"/>
                <w:color w:val="auto"/>
              </w:rPr>
            </w:pPr>
            <w:r>
              <w:rPr>
                <w:rFonts w:hint="eastAsia"/>
                <w:color w:val="auto"/>
              </w:rPr>
              <w:t>Ⅲ</w:t>
            </w:r>
          </w:p>
        </w:tc>
        <w:tc>
          <w:tcPr>
            <w:tcW w:w="1701" w:type="dxa"/>
            <w:vAlign w:val="center"/>
          </w:tcPr>
          <w:p w14:paraId="31932304">
            <w:pPr>
              <w:pStyle w:val="91"/>
              <w:keepNext w:val="0"/>
              <w:keepLines w:val="0"/>
              <w:suppressLineNumbers w:val="0"/>
              <w:spacing w:before="0" w:beforeAutospacing="0" w:after="0" w:afterAutospacing="0"/>
              <w:ind w:left="0" w:right="0"/>
              <w:rPr>
                <w:rFonts w:hint="default"/>
                <w:color w:val="auto"/>
              </w:rPr>
            </w:pPr>
            <w:r>
              <w:rPr>
                <w:rFonts w:hint="eastAsia"/>
                <w:color w:val="auto"/>
              </w:rPr>
              <w:t>Ⅲ</w:t>
            </w:r>
          </w:p>
        </w:tc>
        <w:tc>
          <w:tcPr>
            <w:tcW w:w="1688" w:type="dxa"/>
            <w:vAlign w:val="center"/>
          </w:tcPr>
          <w:p w14:paraId="74B32891">
            <w:pPr>
              <w:pStyle w:val="91"/>
              <w:keepNext w:val="0"/>
              <w:keepLines w:val="0"/>
              <w:suppressLineNumbers w:val="0"/>
              <w:spacing w:before="0" w:beforeAutospacing="0" w:after="0" w:afterAutospacing="0"/>
              <w:ind w:left="0" w:right="0"/>
              <w:rPr>
                <w:rFonts w:hint="default"/>
                <w:color w:val="auto"/>
              </w:rPr>
            </w:pPr>
            <w:r>
              <w:rPr>
                <w:rFonts w:hint="eastAsia"/>
                <w:color w:val="auto"/>
              </w:rPr>
              <w:t>Ⅱ</w:t>
            </w:r>
          </w:p>
        </w:tc>
      </w:tr>
      <w:tr w14:paraId="692D8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3" w:type="dxa"/>
            <w:vAlign w:val="center"/>
          </w:tcPr>
          <w:p w14:paraId="595B9D59">
            <w:pPr>
              <w:pStyle w:val="91"/>
              <w:keepNext w:val="0"/>
              <w:keepLines w:val="0"/>
              <w:suppressLineNumbers w:val="0"/>
              <w:spacing w:before="0" w:beforeAutospacing="0" w:after="0" w:afterAutospacing="0"/>
              <w:ind w:left="0" w:right="0"/>
              <w:rPr>
                <w:rFonts w:hint="default"/>
                <w:color w:val="auto"/>
              </w:rPr>
            </w:pPr>
            <w:r>
              <w:rPr>
                <w:rFonts w:hint="default"/>
                <w:color w:val="auto"/>
              </w:rPr>
              <w:t>环境低度敏感区(E3)</w:t>
            </w:r>
          </w:p>
        </w:tc>
        <w:tc>
          <w:tcPr>
            <w:tcW w:w="1637" w:type="dxa"/>
            <w:vAlign w:val="center"/>
          </w:tcPr>
          <w:p w14:paraId="2AB05246">
            <w:pPr>
              <w:pStyle w:val="91"/>
              <w:keepNext w:val="0"/>
              <w:keepLines w:val="0"/>
              <w:suppressLineNumbers w:val="0"/>
              <w:spacing w:before="0" w:beforeAutospacing="0" w:after="0" w:afterAutospacing="0"/>
              <w:ind w:left="0" w:right="0"/>
              <w:rPr>
                <w:rFonts w:hint="default"/>
                <w:color w:val="auto"/>
              </w:rPr>
            </w:pPr>
            <w:r>
              <w:rPr>
                <w:rFonts w:hint="eastAsia"/>
                <w:color w:val="auto"/>
              </w:rPr>
              <w:t>Ⅲ</w:t>
            </w:r>
          </w:p>
        </w:tc>
        <w:tc>
          <w:tcPr>
            <w:tcW w:w="1572" w:type="dxa"/>
            <w:vAlign w:val="center"/>
          </w:tcPr>
          <w:p w14:paraId="49511355">
            <w:pPr>
              <w:pStyle w:val="91"/>
              <w:keepNext w:val="0"/>
              <w:keepLines w:val="0"/>
              <w:suppressLineNumbers w:val="0"/>
              <w:spacing w:before="0" w:beforeAutospacing="0" w:after="0" w:afterAutospacing="0"/>
              <w:ind w:left="0" w:right="0"/>
              <w:rPr>
                <w:rFonts w:hint="default"/>
                <w:color w:val="auto"/>
              </w:rPr>
            </w:pPr>
            <w:r>
              <w:rPr>
                <w:rFonts w:hint="eastAsia"/>
                <w:color w:val="auto"/>
              </w:rPr>
              <w:t>Ⅲ</w:t>
            </w:r>
          </w:p>
        </w:tc>
        <w:tc>
          <w:tcPr>
            <w:tcW w:w="1701" w:type="dxa"/>
            <w:vAlign w:val="center"/>
          </w:tcPr>
          <w:p w14:paraId="465F7DCB">
            <w:pPr>
              <w:pStyle w:val="91"/>
              <w:keepNext w:val="0"/>
              <w:keepLines w:val="0"/>
              <w:suppressLineNumbers w:val="0"/>
              <w:spacing w:before="0" w:beforeAutospacing="0" w:after="0" w:afterAutospacing="0"/>
              <w:ind w:left="0" w:right="0"/>
              <w:rPr>
                <w:rFonts w:hint="default"/>
                <w:color w:val="auto"/>
              </w:rPr>
            </w:pPr>
            <w:r>
              <w:rPr>
                <w:rFonts w:hint="eastAsia"/>
                <w:color w:val="auto"/>
              </w:rPr>
              <w:t>Ⅱ</w:t>
            </w:r>
          </w:p>
        </w:tc>
        <w:tc>
          <w:tcPr>
            <w:tcW w:w="1688" w:type="dxa"/>
            <w:vAlign w:val="center"/>
          </w:tcPr>
          <w:p w14:paraId="5869AD63">
            <w:pPr>
              <w:pStyle w:val="91"/>
              <w:keepNext w:val="0"/>
              <w:keepLines w:val="0"/>
              <w:suppressLineNumbers w:val="0"/>
              <w:spacing w:before="0" w:beforeAutospacing="0" w:after="0" w:afterAutospacing="0"/>
              <w:ind w:left="0" w:right="0"/>
              <w:rPr>
                <w:rFonts w:hint="default"/>
                <w:color w:val="auto"/>
              </w:rPr>
            </w:pPr>
            <w:r>
              <w:rPr>
                <w:rFonts w:hint="eastAsia"/>
                <w:color w:val="auto"/>
              </w:rPr>
              <w:t>Ⅰ</w:t>
            </w:r>
          </w:p>
        </w:tc>
      </w:tr>
    </w:tbl>
    <w:p w14:paraId="1236C066">
      <w:pPr>
        <w:ind w:firstLine="480"/>
        <w:rPr>
          <w:color w:val="auto"/>
        </w:rPr>
      </w:pPr>
      <w:r>
        <w:rPr>
          <w:color w:val="auto"/>
        </w:rPr>
        <w:t>环境风险潜势综合等级选择大气、地表水等各要素等级的相对高值进行判断，按照下表确定本项目环境风险潜势综合等级为III。</w:t>
      </w:r>
    </w:p>
    <w:p w14:paraId="597FD149">
      <w:pPr>
        <w:pStyle w:val="14"/>
        <w:rPr>
          <w:color w:val="auto"/>
        </w:rPr>
      </w:pPr>
      <w:r>
        <w:rPr>
          <w:rFonts w:hint="eastAsia"/>
          <w:color w:val="auto"/>
        </w:rPr>
        <w:t>表</w:t>
      </w:r>
      <w:r>
        <w:rPr>
          <w:color w:val="auto"/>
        </w:rPr>
        <w:t>5.2</w:t>
      </w:r>
      <w:r>
        <w:rPr>
          <w:color w:val="auto"/>
        </w:rPr>
        <w:noBreakHyphen/>
      </w:r>
      <w:r>
        <w:rPr>
          <w:color w:val="auto"/>
        </w:rPr>
        <w:t>11项目环境风险潜势判断结果</w:t>
      </w:r>
    </w:p>
    <w:tbl>
      <w:tblPr>
        <w:tblStyle w:val="43"/>
        <w:tblW w:w="4931"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727"/>
        <w:gridCol w:w="2186"/>
        <w:gridCol w:w="2184"/>
        <w:gridCol w:w="2061"/>
      </w:tblGrid>
      <w:tr w14:paraId="0A27C4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5" w:hRule="atLeast"/>
          <w:jc w:val="center"/>
        </w:trPr>
        <w:tc>
          <w:tcPr>
            <w:tcW w:w="1489" w:type="pct"/>
            <w:vAlign w:val="center"/>
          </w:tcPr>
          <w:p w14:paraId="178CBB42">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环境风险因素</w:t>
            </w:r>
          </w:p>
        </w:tc>
        <w:tc>
          <w:tcPr>
            <w:tcW w:w="1193" w:type="pct"/>
            <w:vAlign w:val="center"/>
          </w:tcPr>
          <w:p w14:paraId="0CF88F5F">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环境敏感度（E）</w:t>
            </w:r>
          </w:p>
        </w:tc>
        <w:tc>
          <w:tcPr>
            <w:tcW w:w="1192" w:type="pct"/>
            <w:vAlign w:val="center"/>
          </w:tcPr>
          <w:p w14:paraId="36A0F26C">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危险物质及工艺系统危险性（P）</w:t>
            </w:r>
          </w:p>
        </w:tc>
        <w:tc>
          <w:tcPr>
            <w:tcW w:w="1125" w:type="pct"/>
            <w:vAlign w:val="center"/>
          </w:tcPr>
          <w:p w14:paraId="5780FAF1">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风险潜势</w:t>
            </w:r>
          </w:p>
        </w:tc>
      </w:tr>
      <w:tr w14:paraId="654C05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489" w:type="pct"/>
            <w:vAlign w:val="center"/>
          </w:tcPr>
          <w:p w14:paraId="3296DC50">
            <w:pPr>
              <w:pStyle w:val="91"/>
              <w:keepNext w:val="0"/>
              <w:keepLines w:val="0"/>
              <w:suppressLineNumbers w:val="0"/>
              <w:spacing w:before="0" w:beforeAutospacing="0" w:after="0" w:afterAutospacing="0"/>
              <w:ind w:left="0" w:right="0"/>
              <w:rPr>
                <w:rFonts w:hint="default"/>
                <w:color w:val="auto"/>
              </w:rPr>
            </w:pPr>
            <w:r>
              <w:rPr>
                <w:rFonts w:hint="default"/>
                <w:color w:val="auto"/>
              </w:rPr>
              <w:t>大气环境</w:t>
            </w:r>
          </w:p>
        </w:tc>
        <w:tc>
          <w:tcPr>
            <w:tcW w:w="1193" w:type="pct"/>
            <w:vAlign w:val="center"/>
          </w:tcPr>
          <w:p w14:paraId="608EB843">
            <w:pPr>
              <w:pStyle w:val="91"/>
              <w:keepNext w:val="0"/>
              <w:keepLines w:val="0"/>
              <w:suppressLineNumbers w:val="0"/>
              <w:spacing w:before="0" w:beforeAutospacing="0" w:after="0" w:afterAutospacing="0"/>
              <w:ind w:left="0" w:right="0"/>
              <w:rPr>
                <w:rFonts w:hint="default"/>
                <w:color w:val="auto"/>
              </w:rPr>
            </w:pPr>
            <w:r>
              <w:rPr>
                <w:rFonts w:hint="default"/>
                <w:color w:val="auto"/>
              </w:rPr>
              <w:t>E2</w:t>
            </w:r>
          </w:p>
        </w:tc>
        <w:tc>
          <w:tcPr>
            <w:tcW w:w="1192" w:type="pct"/>
            <w:vMerge w:val="restart"/>
            <w:vAlign w:val="center"/>
          </w:tcPr>
          <w:p w14:paraId="5E3FBBF4">
            <w:pPr>
              <w:pStyle w:val="91"/>
              <w:keepNext w:val="0"/>
              <w:keepLines w:val="0"/>
              <w:suppressLineNumbers w:val="0"/>
              <w:spacing w:before="0" w:beforeAutospacing="0" w:after="0" w:afterAutospacing="0"/>
              <w:ind w:left="0" w:right="0"/>
              <w:rPr>
                <w:rFonts w:hint="default"/>
                <w:color w:val="auto"/>
              </w:rPr>
            </w:pPr>
            <w:r>
              <w:rPr>
                <w:rFonts w:hint="default"/>
                <w:color w:val="auto"/>
              </w:rPr>
              <w:t>P1</w:t>
            </w:r>
          </w:p>
        </w:tc>
        <w:tc>
          <w:tcPr>
            <w:tcW w:w="1125" w:type="pct"/>
            <w:vAlign w:val="center"/>
          </w:tcPr>
          <w:p w14:paraId="4E1A62C5">
            <w:pPr>
              <w:pStyle w:val="91"/>
              <w:keepNext w:val="0"/>
              <w:keepLines w:val="0"/>
              <w:suppressLineNumbers w:val="0"/>
              <w:spacing w:before="0" w:beforeAutospacing="0" w:after="0" w:afterAutospacing="0"/>
              <w:ind w:left="0" w:right="0"/>
              <w:rPr>
                <w:rFonts w:hint="default"/>
                <w:color w:val="auto"/>
              </w:rPr>
            </w:pPr>
            <w:r>
              <w:rPr>
                <w:rFonts w:hint="eastAsia"/>
                <w:color w:val="auto"/>
              </w:rPr>
              <w:t>Ⅳ</w:t>
            </w:r>
            <w:r>
              <w:rPr>
                <w:rFonts w:hint="default"/>
                <w:color w:val="auto"/>
              </w:rPr>
              <w:t>级</w:t>
            </w:r>
          </w:p>
        </w:tc>
      </w:tr>
      <w:tr w14:paraId="540DC8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7" w:hRule="atLeast"/>
          <w:jc w:val="center"/>
        </w:trPr>
        <w:tc>
          <w:tcPr>
            <w:tcW w:w="1489" w:type="pct"/>
            <w:vAlign w:val="center"/>
          </w:tcPr>
          <w:p w14:paraId="3074E7E4">
            <w:pPr>
              <w:pStyle w:val="91"/>
              <w:keepNext w:val="0"/>
              <w:keepLines w:val="0"/>
              <w:suppressLineNumbers w:val="0"/>
              <w:spacing w:before="0" w:beforeAutospacing="0" w:after="0" w:afterAutospacing="0"/>
              <w:ind w:left="0" w:right="0"/>
              <w:rPr>
                <w:rFonts w:hint="default"/>
                <w:color w:val="auto"/>
              </w:rPr>
            </w:pPr>
            <w:r>
              <w:rPr>
                <w:rFonts w:hint="default"/>
                <w:color w:val="auto"/>
              </w:rPr>
              <w:t>地表水环境</w:t>
            </w:r>
          </w:p>
        </w:tc>
        <w:tc>
          <w:tcPr>
            <w:tcW w:w="1193" w:type="pct"/>
            <w:vAlign w:val="center"/>
          </w:tcPr>
          <w:p w14:paraId="0FF0EC26">
            <w:pPr>
              <w:pStyle w:val="91"/>
              <w:keepNext w:val="0"/>
              <w:keepLines w:val="0"/>
              <w:suppressLineNumbers w:val="0"/>
              <w:spacing w:before="0" w:beforeAutospacing="0" w:after="0" w:afterAutospacing="0"/>
              <w:ind w:left="0" w:right="0"/>
              <w:rPr>
                <w:rFonts w:hint="default"/>
                <w:color w:val="auto"/>
              </w:rPr>
            </w:pPr>
            <w:r>
              <w:rPr>
                <w:rFonts w:hint="eastAsia"/>
                <w:color w:val="auto"/>
              </w:rPr>
              <w:t>E</w:t>
            </w:r>
            <w:r>
              <w:rPr>
                <w:rFonts w:hint="default"/>
                <w:color w:val="auto"/>
              </w:rPr>
              <w:t>3</w:t>
            </w:r>
          </w:p>
        </w:tc>
        <w:tc>
          <w:tcPr>
            <w:tcW w:w="1192" w:type="pct"/>
            <w:vMerge w:val="continue"/>
            <w:vAlign w:val="center"/>
          </w:tcPr>
          <w:p w14:paraId="28A02ADF">
            <w:pPr>
              <w:pStyle w:val="91"/>
              <w:keepNext w:val="0"/>
              <w:keepLines w:val="0"/>
              <w:suppressLineNumbers w:val="0"/>
              <w:spacing w:before="0" w:beforeAutospacing="0" w:after="0" w:afterAutospacing="0"/>
              <w:ind w:left="0" w:right="0"/>
              <w:rPr>
                <w:rFonts w:hint="default"/>
                <w:color w:val="auto"/>
              </w:rPr>
            </w:pPr>
          </w:p>
        </w:tc>
        <w:tc>
          <w:tcPr>
            <w:tcW w:w="1125" w:type="pct"/>
            <w:vAlign w:val="center"/>
          </w:tcPr>
          <w:p w14:paraId="23998847">
            <w:pPr>
              <w:pStyle w:val="91"/>
              <w:keepNext w:val="0"/>
              <w:keepLines w:val="0"/>
              <w:suppressLineNumbers w:val="0"/>
              <w:spacing w:before="0" w:beforeAutospacing="0" w:after="0" w:afterAutospacing="0"/>
              <w:ind w:left="0" w:right="0"/>
              <w:rPr>
                <w:rFonts w:hint="default"/>
                <w:color w:val="auto"/>
              </w:rPr>
            </w:pPr>
            <w:r>
              <w:rPr>
                <w:rFonts w:hint="default"/>
                <w:color w:val="auto"/>
              </w:rPr>
              <w:t>Ⅲ级</w:t>
            </w:r>
          </w:p>
        </w:tc>
      </w:tr>
      <w:tr w14:paraId="4D2E96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0" w:hRule="atLeast"/>
          <w:jc w:val="center"/>
        </w:trPr>
        <w:tc>
          <w:tcPr>
            <w:tcW w:w="1489" w:type="pct"/>
            <w:vAlign w:val="center"/>
          </w:tcPr>
          <w:p w14:paraId="2FCE3BF6">
            <w:pPr>
              <w:pStyle w:val="91"/>
              <w:keepNext w:val="0"/>
              <w:keepLines w:val="0"/>
              <w:suppressLineNumbers w:val="0"/>
              <w:spacing w:before="0" w:beforeAutospacing="0" w:after="0" w:afterAutospacing="0"/>
              <w:ind w:left="0" w:right="0"/>
              <w:rPr>
                <w:rFonts w:hint="default"/>
                <w:color w:val="auto"/>
              </w:rPr>
            </w:pPr>
            <w:r>
              <w:rPr>
                <w:rFonts w:hint="default"/>
                <w:color w:val="auto"/>
              </w:rPr>
              <w:t>地下水环境</w:t>
            </w:r>
          </w:p>
        </w:tc>
        <w:tc>
          <w:tcPr>
            <w:tcW w:w="1193" w:type="pct"/>
            <w:vAlign w:val="center"/>
          </w:tcPr>
          <w:p w14:paraId="15DF21B7">
            <w:pPr>
              <w:pStyle w:val="91"/>
              <w:keepNext w:val="0"/>
              <w:keepLines w:val="0"/>
              <w:suppressLineNumbers w:val="0"/>
              <w:spacing w:before="0" w:beforeAutospacing="0" w:after="0" w:afterAutospacing="0"/>
              <w:ind w:left="0" w:right="0"/>
              <w:rPr>
                <w:rFonts w:hint="default"/>
                <w:color w:val="auto"/>
              </w:rPr>
            </w:pPr>
            <w:r>
              <w:rPr>
                <w:rFonts w:hint="default"/>
                <w:color w:val="auto"/>
              </w:rPr>
              <w:t>E3</w:t>
            </w:r>
          </w:p>
        </w:tc>
        <w:tc>
          <w:tcPr>
            <w:tcW w:w="1192" w:type="pct"/>
            <w:vMerge w:val="continue"/>
            <w:vAlign w:val="center"/>
          </w:tcPr>
          <w:p w14:paraId="2C1D18B0">
            <w:pPr>
              <w:pStyle w:val="91"/>
              <w:keepNext w:val="0"/>
              <w:keepLines w:val="0"/>
              <w:suppressLineNumbers w:val="0"/>
              <w:spacing w:before="0" w:beforeAutospacing="0" w:after="0" w:afterAutospacing="0"/>
              <w:ind w:left="0" w:right="0"/>
              <w:rPr>
                <w:rFonts w:hint="default"/>
                <w:color w:val="auto"/>
              </w:rPr>
            </w:pPr>
          </w:p>
        </w:tc>
        <w:tc>
          <w:tcPr>
            <w:tcW w:w="1125" w:type="pct"/>
            <w:vAlign w:val="center"/>
          </w:tcPr>
          <w:p w14:paraId="7348DC0B">
            <w:pPr>
              <w:pStyle w:val="91"/>
              <w:keepNext w:val="0"/>
              <w:keepLines w:val="0"/>
              <w:suppressLineNumbers w:val="0"/>
              <w:spacing w:before="0" w:beforeAutospacing="0" w:after="0" w:afterAutospacing="0"/>
              <w:ind w:left="0" w:right="0"/>
              <w:rPr>
                <w:rFonts w:hint="default"/>
                <w:color w:val="auto"/>
              </w:rPr>
            </w:pPr>
            <w:r>
              <w:rPr>
                <w:rFonts w:hint="eastAsia"/>
                <w:color w:val="auto"/>
              </w:rPr>
              <w:t>Ⅲ级</w:t>
            </w:r>
          </w:p>
        </w:tc>
      </w:tr>
    </w:tbl>
    <w:p w14:paraId="0F4F58D5">
      <w:pPr>
        <w:pStyle w:val="4"/>
        <w:rPr>
          <w:color w:val="auto"/>
        </w:rPr>
      </w:pPr>
      <w:r>
        <w:rPr>
          <w:rFonts w:hint="eastAsia"/>
          <w:color w:val="auto"/>
        </w:rPr>
        <w:t>评价工作等级和评价范围</w:t>
      </w:r>
    </w:p>
    <w:p w14:paraId="720F91AF">
      <w:pPr>
        <w:ind w:firstLine="480"/>
        <w:rPr>
          <w:color w:val="auto"/>
          <w:kern w:val="0"/>
          <w:szCs w:val="20"/>
        </w:rPr>
      </w:pPr>
      <w:r>
        <w:rPr>
          <w:rFonts w:hint="eastAsia"/>
          <w:color w:val="auto"/>
          <w:kern w:val="0"/>
          <w:szCs w:val="20"/>
        </w:rPr>
        <w:t>（1）评价</w:t>
      </w:r>
      <w:r>
        <w:rPr>
          <w:color w:val="auto"/>
          <w:kern w:val="0"/>
          <w:szCs w:val="20"/>
        </w:rPr>
        <w:t>等级</w:t>
      </w:r>
    </w:p>
    <w:p w14:paraId="5A54CA27">
      <w:pPr>
        <w:ind w:firstLine="480"/>
        <w:rPr>
          <w:color w:val="auto"/>
          <w:kern w:val="0"/>
          <w:szCs w:val="20"/>
        </w:rPr>
      </w:pPr>
      <w:r>
        <w:rPr>
          <w:color w:val="auto"/>
          <w:kern w:val="0"/>
          <w:szCs w:val="20"/>
        </w:rPr>
        <w:t>根据《建设项目环境风险评价技术导则》（HJ/T169-2018），环境风险评价工作等级划分为一级、二级、三级。根据建设项目涉及的物质及工艺系统和危险性和所在地的环境敏感性确定环境风险潜势，按表5.</w:t>
      </w:r>
      <w:r>
        <w:rPr>
          <w:rFonts w:hint="eastAsia"/>
          <w:color w:val="auto"/>
          <w:kern w:val="0"/>
          <w:szCs w:val="20"/>
        </w:rPr>
        <w:t>2-1</w:t>
      </w:r>
      <w:r>
        <w:rPr>
          <w:color w:val="auto"/>
          <w:kern w:val="0"/>
          <w:szCs w:val="20"/>
        </w:rPr>
        <w:t>2确定工作等级。</w:t>
      </w:r>
    </w:p>
    <w:p w14:paraId="01DC2372">
      <w:pPr>
        <w:pStyle w:val="14"/>
        <w:rPr>
          <w:color w:val="auto"/>
        </w:rPr>
      </w:pPr>
      <w:r>
        <w:rPr>
          <w:rFonts w:hint="eastAsia"/>
          <w:color w:val="auto"/>
        </w:rPr>
        <w:t>表</w:t>
      </w:r>
      <w:r>
        <w:rPr>
          <w:color w:val="auto"/>
        </w:rPr>
        <w:t>5.2</w:t>
      </w:r>
      <w:r>
        <w:rPr>
          <w:color w:val="auto"/>
        </w:rPr>
        <w:noBreakHyphen/>
      </w:r>
      <w:r>
        <w:rPr>
          <w:color w:val="auto"/>
        </w:rPr>
        <w:t>12环境风险评价工作等级划分表</w:t>
      </w:r>
    </w:p>
    <w:tbl>
      <w:tblPr>
        <w:tblStyle w:val="125"/>
        <w:tblW w:w="8508" w:type="dxa"/>
        <w:tblInd w:w="12"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635"/>
        <w:gridCol w:w="1661"/>
        <w:gridCol w:w="2052"/>
        <w:gridCol w:w="1554"/>
        <w:gridCol w:w="1606"/>
      </w:tblGrid>
      <w:tr w14:paraId="1519D4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2" w:hRule="atLeast"/>
        </w:trPr>
        <w:tc>
          <w:tcPr>
            <w:tcW w:w="1635" w:type="dxa"/>
            <w:vAlign w:val="center"/>
          </w:tcPr>
          <w:p w14:paraId="754887C1">
            <w:pPr>
              <w:spacing w:line="240" w:lineRule="auto"/>
              <w:ind w:firstLine="0" w:firstLineChars="0"/>
              <w:jc w:val="center"/>
              <w:rPr>
                <w:color w:val="auto"/>
                <w:kern w:val="0"/>
                <w:sz w:val="21"/>
                <w:szCs w:val="21"/>
              </w:rPr>
            </w:pPr>
            <w:r>
              <w:rPr>
                <w:color w:val="auto"/>
                <w:kern w:val="0"/>
                <w:sz w:val="21"/>
                <w:szCs w:val="21"/>
              </w:rPr>
              <w:t>环境风险潜势</w:t>
            </w:r>
          </w:p>
        </w:tc>
        <w:tc>
          <w:tcPr>
            <w:tcW w:w="1661" w:type="dxa"/>
            <w:vAlign w:val="center"/>
          </w:tcPr>
          <w:p w14:paraId="7A8CF1EB">
            <w:pPr>
              <w:spacing w:line="240" w:lineRule="auto"/>
              <w:ind w:firstLine="0" w:firstLineChars="0"/>
              <w:jc w:val="center"/>
              <w:rPr>
                <w:color w:val="auto"/>
                <w:kern w:val="0"/>
                <w:sz w:val="21"/>
                <w:szCs w:val="21"/>
              </w:rPr>
            </w:pPr>
            <w:r>
              <w:rPr>
                <w:color w:val="auto"/>
                <w:kern w:val="0"/>
                <w:sz w:val="21"/>
                <w:szCs w:val="21"/>
              </w:rPr>
              <w:t>Ⅳ、Ⅳ+</w:t>
            </w:r>
          </w:p>
        </w:tc>
        <w:tc>
          <w:tcPr>
            <w:tcW w:w="2052" w:type="dxa"/>
            <w:vAlign w:val="center"/>
          </w:tcPr>
          <w:p w14:paraId="0C29D06A">
            <w:pPr>
              <w:spacing w:line="240" w:lineRule="auto"/>
              <w:ind w:firstLine="0" w:firstLineChars="0"/>
              <w:jc w:val="center"/>
              <w:rPr>
                <w:color w:val="auto"/>
                <w:kern w:val="0"/>
                <w:sz w:val="21"/>
                <w:szCs w:val="21"/>
              </w:rPr>
            </w:pPr>
            <w:r>
              <w:rPr>
                <w:color w:val="auto"/>
                <w:kern w:val="0"/>
                <w:sz w:val="21"/>
                <w:szCs w:val="21"/>
              </w:rPr>
              <w:t>Ⅲ</w:t>
            </w:r>
          </w:p>
        </w:tc>
        <w:tc>
          <w:tcPr>
            <w:tcW w:w="1554" w:type="dxa"/>
            <w:vAlign w:val="center"/>
          </w:tcPr>
          <w:p w14:paraId="3B2D38B7">
            <w:pPr>
              <w:spacing w:line="240" w:lineRule="auto"/>
              <w:ind w:firstLine="0" w:firstLineChars="0"/>
              <w:jc w:val="center"/>
              <w:rPr>
                <w:color w:val="auto"/>
                <w:kern w:val="0"/>
                <w:sz w:val="21"/>
                <w:szCs w:val="21"/>
              </w:rPr>
            </w:pPr>
            <w:r>
              <w:rPr>
                <w:color w:val="auto"/>
                <w:kern w:val="0"/>
                <w:sz w:val="21"/>
                <w:szCs w:val="21"/>
              </w:rPr>
              <w:t>Ⅱ</w:t>
            </w:r>
          </w:p>
        </w:tc>
        <w:tc>
          <w:tcPr>
            <w:tcW w:w="1606" w:type="dxa"/>
            <w:vAlign w:val="center"/>
          </w:tcPr>
          <w:p w14:paraId="50E5A5E3">
            <w:pPr>
              <w:spacing w:line="240" w:lineRule="auto"/>
              <w:ind w:firstLine="0" w:firstLineChars="0"/>
              <w:jc w:val="center"/>
              <w:rPr>
                <w:color w:val="auto"/>
                <w:kern w:val="0"/>
                <w:sz w:val="21"/>
                <w:szCs w:val="21"/>
              </w:rPr>
            </w:pPr>
            <w:r>
              <w:rPr>
                <w:color w:val="auto"/>
                <w:kern w:val="0"/>
                <w:sz w:val="21"/>
                <w:szCs w:val="21"/>
              </w:rPr>
              <w:t>Ⅰ</w:t>
            </w:r>
          </w:p>
        </w:tc>
      </w:tr>
      <w:tr w14:paraId="40D0B1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53" w:hRule="atLeast"/>
        </w:trPr>
        <w:tc>
          <w:tcPr>
            <w:tcW w:w="1635" w:type="dxa"/>
            <w:vAlign w:val="center"/>
          </w:tcPr>
          <w:p w14:paraId="1AF62C37">
            <w:pPr>
              <w:spacing w:line="240" w:lineRule="auto"/>
              <w:ind w:firstLine="0" w:firstLineChars="0"/>
              <w:jc w:val="center"/>
              <w:rPr>
                <w:color w:val="auto"/>
                <w:kern w:val="0"/>
                <w:sz w:val="21"/>
                <w:szCs w:val="21"/>
              </w:rPr>
            </w:pPr>
            <w:r>
              <w:rPr>
                <w:color w:val="auto"/>
                <w:kern w:val="0"/>
                <w:sz w:val="21"/>
                <w:szCs w:val="21"/>
              </w:rPr>
              <w:t>评价工作等级</w:t>
            </w:r>
          </w:p>
        </w:tc>
        <w:tc>
          <w:tcPr>
            <w:tcW w:w="1661" w:type="dxa"/>
            <w:vAlign w:val="center"/>
          </w:tcPr>
          <w:p w14:paraId="710B07AE">
            <w:pPr>
              <w:spacing w:line="240" w:lineRule="auto"/>
              <w:ind w:firstLine="0" w:firstLineChars="0"/>
              <w:jc w:val="center"/>
              <w:rPr>
                <w:color w:val="auto"/>
                <w:kern w:val="0"/>
                <w:sz w:val="21"/>
                <w:szCs w:val="21"/>
              </w:rPr>
            </w:pPr>
            <w:r>
              <w:rPr>
                <w:color w:val="auto"/>
                <w:kern w:val="0"/>
                <w:sz w:val="21"/>
                <w:szCs w:val="21"/>
              </w:rPr>
              <w:t>一</w:t>
            </w:r>
          </w:p>
        </w:tc>
        <w:tc>
          <w:tcPr>
            <w:tcW w:w="2052" w:type="dxa"/>
            <w:vAlign w:val="center"/>
          </w:tcPr>
          <w:p w14:paraId="4F3285E9">
            <w:pPr>
              <w:spacing w:line="240" w:lineRule="auto"/>
              <w:ind w:firstLine="0" w:firstLineChars="0"/>
              <w:jc w:val="center"/>
              <w:rPr>
                <w:color w:val="auto"/>
                <w:kern w:val="0"/>
                <w:sz w:val="21"/>
                <w:szCs w:val="21"/>
              </w:rPr>
            </w:pPr>
            <w:r>
              <w:rPr>
                <w:color w:val="auto"/>
                <w:kern w:val="0"/>
                <w:sz w:val="21"/>
                <w:szCs w:val="21"/>
              </w:rPr>
              <w:t>二</w:t>
            </w:r>
          </w:p>
        </w:tc>
        <w:tc>
          <w:tcPr>
            <w:tcW w:w="1554" w:type="dxa"/>
            <w:vAlign w:val="center"/>
          </w:tcPr>
          <w:p w14:paraId="60482478">
            <w:pPr>
              <w:spacing w:line="240" w:lineRule="auto"/>
              <w:ind w:firstLine="0" w:firstLineChars="0"/>
              <w:jc w:val="center"/>
              <w:rPr>
                <w:color w:val="auto"/>
                <w:kern w:val="0"/>
                <w:sz w:val="21"/>
                <w:szCs w:val="21"/>
              </w:rPr>
            </w:pPr>
            <w:r>
              <w:rPr>
                <w:color w:val="auto"/>
                <w:kern w:val="0"/>
                <w:sz w:val="21"/>
                <w:szCs w:val="21"/>
              </w:rPr>
              <w:t>三</w:t>
            </w:r>
          </w:p>
        </w:tc>
        <w:tc>
          <w:tcPr>
            <w:tcW w:w="1606" w:type="dxa"/>
            <w:vAlign w:val="center"/>
          </w:tcPr>
          <w:p w14:paraId="4AABEDDA">
            <w:pPr>
              <w:spacing w:line="240" w:lineRule="auto"/>
              <w:ind w:firstLine="0" w:firstLineChars="0"/>
              <w:jc w:val="center"/>
              <w:rPr>
                <w:color w:val="auto"/>
                <w:kern w:val="0"/>
                <w:sz w:val="21"/>
                <w:szCs w:val="21"/>
              </w:rPr>
            </w:pPr>
            <w:r>
              <w:rPr>
                <w:color w:val="auto"/>
                <w:kern w:val="0"/>
                <w:sz w:val="21"/>
                <w:szCs w:val="21"/>
              </w:rPr>
              <w:t>简单分析</w:t>
            </w:r>
          </w:p>
        </w:tc>
      </w:tr>
    </w:tbl>
    <w:p w14:paraId="21312F94">
      <w:pPr>
        <w:ind w:firstLine="480"/>
        <w:rPr>
          <w:color w:val="auto"/>
          <w:kern w:val="0"/>
          <w:szCs w:val="20"/>
        </w:rPr>
      </w:pPr>
      <w:r>
        <w:rPr>
          <w:rFonts w:hint="eastAsia"/>
          <w:color w:val="auto"/>
          <w:kern w:val="0"/>
          <w:szCs w:val="20"/>
        </w:rPr>
        <w:t>根据环境风险潜势初判，可知各环境要素环境风险潜势，则本项目各要素评价工作等级判定如下：</w:t>
      </w:r>
    </w:p>
    <w:p w14:paraId="76FAFEBA">
      <w:pPr>
        <w:ind w:firstLine="480"/>
        <w:rPr>
          <w:color w:val="auto"/>
          <w:kern w:val="0"/>
          <w:szCs w:val="20"/>
        </w:rPr>
      </w:pPr>
      <w:r>
        <w:rPr>
          <w:rFonts w:hint="eastAsia"/>
          <w:color w:val="auto"/>
          <w:kern w:val="0"/>
          <w:szCs w:val="20"/>
        </w:rPr>
        <w:t>①大气环境风险潜势为Ⅳ，</w:t>
      </w:r>
      <w:r>
        <w:rPr>
          <w:rFonts w:hint="eastAsia"/>
          <w:color w:val="auto"/>
          <w:kern w:val="0"/>
          <w:szCs w:val="20"/>
          <w:u w:val="single"/>
        </w:rPr>
        <w:t>大气环境风险评价工作等级为一级。</w:t>
      </w:r>
    </w:p>
    <w:p w14:paraId="160B2E18">
      <w:pPr>
        <w:ind w:firstLine="480"/>
        <w:rPr>
          <w:color w:val="auto"/>
          <w:kern w:val="0"/>
          <w:szCs w:val="20"/>
        </w:rPr>
      </w:pPr>
      <w:r>
        <w:rPr>
          <w:rFonts w:hint="eastAsia"/>
          <w:color w:val="auto"/>
          <w:kern w:val="0"/>
          <w:szCs w:val="20"/>
        </w:rPr>
        <w:t>②地表水环境风险潜势为Ⅲ，</w:t>
      </w:r>
      <w:r>
        <w:rPr>
          <w:rFonts w:hint="eastAsia"/>
          <w:color w:val="auto"/>
          <w:kern w:val="0"/>
          <w:szCs w:val="20"/>
          <w:u w:val="single"/>
        </w:rPr>
        <w:t>地表水环境风险评价工作等级为二级</w:t>
      </w:r>
      <w:r>
        <w:rPr>
          <w:rFonts w:hint="eastAsia"/>
          <w:color w:val="auto"/>
          <w:kern w:val="0"/>
        </w:rPr>
        <w:t>。</w:t>
      </w:r>
    </w:p>
    <w:p w14:paraId="45F40065">
      <w:pPr>
        <w:ind w:firstLine="480"/>
        <w:rPr>
          <w:color w:val="auto"/>
          <w:kern w:val="0"/>
          <w:szCs w:val="20"/>
        </w:rPr>
      </w:pPr>
      <w:r>
        <w:rPr>
          <w:rFonts w:hint="eastAsia"/>
          <w:color w:val="auto"/>
          <w:kern w:val="0"/>
          <w:szCs w:val="20"/>
        </w:rPr>
        <w:t>③地下水环境风险潜势为Ⅲ，地下水环境风险评价工作等级为</w:t>
      </w:r>
      <w:r>
        <w:rPr>
          <w:color w:val="auto"/>
          <w:kern w:val="0"/>
          <w:szCs w:val="20"/>
        </w:rPr>
        <w:t>二</w:t>
      </w:r>
      <w:r>
        <w:rPr>
          <w:rFonts w:hint="eastAsia"/>
          <w:color w:val="auto"/>
          <w:kern w:val="0"/>
          <w:szCs w:val="20"/>
        </w:rPr>
        <w:t>级。</w:t>
      </w:r>
    </w:p>
    <w:p w14:paraId="3CC00CF1">
      <w:pPr>
        <w:ind w:firstLine="482"/>
        <w:rPr>
          <w:b/>
          <w:color w:val="auto"/>
          <w:kern w:val="0"/>
          <w:szCs w:val="20"/>
        </w:rPr>
      </w:pPr>
      <w:r>
        <w:rPr>
          <w:rFonts w:hint="eastAsia"/>
          <w:b/>
          <w:color w:val="auto"/>
          <w:kern w:val="0"/>
          <w:szCs w:val="20"/>
        </w:rPr>
        <w:t>（2）评价</w:t>
      </w:r>
      <w:r>
        <w:rPr>
          <w:b/>
          <w:color w:val="auto"/>
          <w:kern w:val="0"/>
          <w:szCs w:val="20"/>
        </w:rPr>
        <w:t>范围</w:t>
      </w:r>
    </w:p>
    <w:p w14:paraId="2EBD42C2">
      <w:pPr>
        <w:ind w:firstLine="480"/>
        <w:rPr>
          <w:color w:val="auto"/>
          <w:kern w:val="0"/>
          <w:szCs w:val="20"/>
        </w:rPr>
      </w:pPr>
      <w:r>
        <w:rPr>
          <w:color w:val="auto"/>
          <w:kern w:val="0"/>
          <w:szCs w:val="20"/>
        </w:rPr>
        <w:t>根据《建设项目环境风险评价技术导则》（HJ/T169-2018），大气环境、地表水环境风险评价范围分别为：</w:t>
      </w:r>
    </w:p>
    <w:p w14:paraId="2DB6D1B6">
      <w:pPr>
        <w:ind w:firstLine="480"/>
        <w:rPr>
          <w:color w:val="auto"/>
          <w:kern w:val="0"/>
          <w:szCs w:val="20"/>
        </w:rPr>
      </w:pPr>
      <w:r>
        <w:rPr>
          <w:rFonts w:hint="eastAsia" w:ascii="宋体" w:hAnsi="宋体" w:cs="宋体"/>
          <w:color w:val="auto"/>
          <w:kern w:val="0"/>
          <w:szCs w:val="20"/>
        </w:rPr>
        <w:t>①</w:t>
      </w:r>
      <w:r>
        <w:rPr>
          <w:color w:val="auto"/>
          <w:kern w:val="0"/>
          <w:szCs w:val="20"/>
        </w:rPr>
        <w:t>大气环境风险评价范围：确定项目大气评价范围为二级评价，距离项目边界5km范围</w:t>
      </w:r>
      <w:r>
        <w:rPr>
          <w:rFonts w:hint="eastAsia"/>
          <w:color w:val="auto"/>
          <w:kern w:val="0"/>
          <w:szCs w:val="20"/>
        </w:rPr>
        <w:t>。</w:t>
      </w:r>
    </w:p>
    <w:p w14:paraId="3D9EE9C5">
      <w:pPr>
        <w:ind w:firstLine="480"/>
        <w:rPr>
          <w:color w:val="auto"/>
          <w:vertAlign w:val="superscript"/>
        </w:rPr>
      </w:pPr>
      <w:r>
        <w:rPr>
          <w:rFonts w:hint="eastAsia" w:ascii="宋体" w:hAnsi="宋体" w:cs="宋体"/>
          <w:color w:val="auto"/>
          <w:kern w:val="0"/>
          <w:szCs w:val="20"/>
        </w:rPr>
        <w:t>②</w:t>
      </w:r>
      <w:r>
        <w:rPr>
          <w:color w:val="auto"/>
          <w:kern w:val="0"/>
          <w:szCs w:val="20"/>
        </w:rPr>
        <w:t>地表水环境风险评价范围：</w:t>
      </w:r>
      <w:r>
        <w:rPr>
          <w:rFonts w:hint="eastAsia"/>
          <w:color w:val="auto"/>
          <w:szCs w:val="28"/>
        </w:rPr>
        <w:t>根据</w:t>
      </w:r>
      <w:r>
        <w:rPr>
          <w:color w:val="auto"/>
          <w:kern w:val="0"/>
          <w:szCs w:val="20"/>
        </w:rPr>
        <w:t>HJ1409-2025</w:t>
      </w:r>
      <w:r>
        <w:rPr>
          <w:rFonts w:hint="eastAsia"/>
          <w:color w:val="auto"/>
          <w:kern w:val="0"/>
          <w:szCs w:val="20"/>
        </w:rPr>
        <w:t>，</w:t>
      </w:r>
      <w:r>
        <w:rPr>
          <w:rFonts w:hint="eastAsia"/>
          <w:color w:val="auto"/>
        </w:rPr>
        <w:t>地表水</w:t>
      </w:r>
      <w:r>
        <w:rPr>
          <w:color w:val="auto"/>
        </w:rPr>
        <w:t>风险评价范围四至坐标为108°29'~108°40'，21°29'~21°53'，海域面积约为900km</w:t>
      </w:r>
      <w:r>
        <w:rPr>
          <w:color w:val="auto"/>
          <w:vertAlign w:val="superscript"/>
        </w:rPr>
        <w:t>2</w:t>
      </w:r>
      <w:r>
        <w:rPr>
          <w:rFonts w:hint="eastAsia"/>
          <w:color w:val="auto"/>
        </w:rPr>
        <w:t>。</w:t>
      </w:r>
    </w:p>
    <w:p w14:paraId="38446F8A">
      <w:pPr>
        <w:ind w:firstLine="480"/>
        <w:rPr>
          <w:color w:val="auto"/>
          <w:szCs w:val="28"/>
        </w:rPr>
      </w:pPr>
      <w:r>
        <w:rPr>
          <w:rFonts w:hint="eastAsia"/>
          <w:color w:val="auto"/>
          <w:szCs w:val="28"/>
        </w:rPr>
        <w:t>③</w:t>
      </w:r>
      <w:r>
        <w:rPr>
          <w:color w:val="auto"/>
          <w:szCs w:val="28"/>
        </w:rPr>
        <w:t>地下水环境风险评价范围：根据</w:t>
      </w:r>
      <w:r>
        <w:rPr>
          <w:color w:val="auto"/>
          <w:kern w:val="0"/>
          <w:szCs w:val="20"/>
        </w:rPr>
        <w:t>HJ610-2016</w:t>
      </w:r>
      <w:r>
        <w:rPr>
          <w:rFonts w:hint="eastAsia"/>
          <w:color w:val="auto"/>
          <w:kern w:val="0"/>
          <w:szCs w:val="20"/>
        </w:rPr>
        <w:t>，</w:t>
      </w:r>
      <w:r>
        <w:rPr>
          <w:color w:val="auto"/>
        </w:rPr>
        <w:t>评价</w:t>
      </w:r>
      <w:r>
        <w:rPr>
          <w:rFonts w:hint="eastAsia"/>
          <w:color w:val="auto"/>
        </w:rPr>
        <w:t>范围</w:t>
      </w:r>
      <w:r>
        <w:rPr>
          <w:color w:val="auto"/>
        </w:rPr>
        <w:t>面积为</w:t>
      </w:r>
      <w:r>
        <w:rPr>
          <w:rFonts w:hint="eastAsia"/>
          <w:color w:val="auto"/>
        </w:rPr>
        <w:t>6</w:t>
      </w:r>
      <w:r>
        <w:rPr>
          <w:color w:val="auto"/>
        </w:rPr>
        <w:t>km</w:t>
      </w:r>
      <w:r>
        <w:rPr>
          <w:color w:val="auto"/>
          <w:vertAlign w:val="superscript"/>
        </w:rPr>
        <w:t>2</w:t>
      </w:r>
      <w:r>
        <w:rPr>
          <w:rFonts w:hint="eastAsia"/>
          <w:color w:val="auto"/>
          <w:kern w:val="0"/>
          <w:szCs w:val="20"/>
        </w:rPr>
        <w:t>，东面</w:t>
      </w:r>
      <w:r>
        <w:rPr>
          <w:color w:val="auto"/>
          <w:kern w:val="0"/>
          <w:szCs w:val="20"/>
        </w:rPr>
        <w:t>至金鼓江、南面</w:t>
      </w:r>
      <w:r>
        <w:rPr>
          <w:rFonts w:hint="eastAsia"/>
          <w:color w:val="auto"/>
          <w:kern w:val="0"/>
          <w:szCs w:val="20"/>
        </w:rPr>
        <w:t>和</w:t>
      </w:r>
      <w:r>
        <w:rPr>
          <w:color w:val="auto"/>
          <w:kern w:val="0"/>
          <w:szCs w:val="20"/>
        </w:rPr>
        <w:t>西面至</w:t>
      </w:r>
      <w:r>
        <w:rPr>
          <w:rFonts w:hint="eastAsia"/>
          <w:color w:val="auto"/>
          <w:kern w:val="0"/>
          <w:szCs w:val="20"/>
        </w:rPr>
        <w:t>海陆分界线范围、北</w:t>
      </w:r>
      <w:r>
        <w:rPr>
          <w:color w:val="auto"/>
          <w:kern w:val="0"/>
          <w:szCs w:val="20"/>
        </w:rPr>
        <w:t>面至</w:t>
      </w:r>
      <w:r>
        <w:rPr>
          <w:rFonts w:hint="eastAsia"/>
          <w:color w:val="auto"/>
          <w:kern w:val="0"/>
          <w:szCs w:val="20"/>
        </w:rPr>
        <w:t>距离</w:t>
      </w:r>
      <w:r>
        <w:rPr>
          <w:color w:val="auto"/>
          <w:kern w:val="0"/>
          <w:szCs w:val="20"/>
        </w:rPr>
        <w:t>库区</w:t>
      </w:r>
      <w:r>
        <w:rPr>
          <w:rFonts w:hint="eastAsia"/>
          <w:color w:val="auto"/>
          <w:kern w:val="0"/>
          <w:szCs w:val="20"/>
        </w:rPr>
        <w:t>约1.3</w:t>
      </w:r>
      <w:r>
        <w:rPr>
          <w:color w:val="auto"/>
          <w:kern w:val="0"/>
          <w:szCs w:val="20"/>
        </w:rPr>
        <w:t>km</w:t>
      </w:r>
      <w:r>
        <w:rPr>
          <w:rFonts w:hint="eastAsia"/>
          <w:color w:val="auto"/>
          <w:kern w:val="0"/>
          <w:szCs w:val="20"/>
        </w:rPr>
        <w:t>。</w:t>
      </w:r>
    </w:p>
    <w:p w14:paraId="3477DB6C">
      <w:pPr>
        <w:pStyle w:val="5"/>
        <w:rPr>
          <w:color w:val="auto"/>
        </w:rPr>
      </w:pPr>
      <w:bookmarkStart w:id="548" w:name="_Toc223258491"/>
      <w:bookmarkStart w:id="549" w:name="_Toc223595781"/>
      <w:r>
        <w:rPr>
          <w:color w:val="auto"/>
        </w:rPr>
        <w:t>风险识别</w:t>
      </w:r>
      <w:bookmarkEnd w:id="548"/>
      <w:bookmarkEnd w:id="549"/>
    </w:p>
    <w:p w14:paraId="7529935A">
      <w:pPr>
        <w:pStyle w:val="4"/>
        <w:rPr>
          <w:color w:val="auto"/>
        </w:rPr>
      </w:pPr>
      <w:r>
        <w:rPr>
          <w:color w:val="auto"/>
        </w:rPr>
        <w:t>事故资料统计</w:t>
      </w:r>
    </w:p>
    <w:p w14:paraId="5706CAB8">
      <w:pPr>
        <w:ind w:firstLine="480"/>
        <w:rPr>
          <w:color w:val="auto"/>
        </w:rPr>
      </w:pPr>
      <w:r>
        <w:rPr>
          <w:color w:val="auto"/>
        </w:rPr>
        <w:t>风险评价以概率论为理论基础，将受体特征（如水体、大气环境特征或生物群种特征）和影响物特征（数量、持续时间、转归途径及形式等）视为在一定范围内随机变动的变量，即随机变量，从而进行环境风险评价。因此工业系统及其各个行业系统，历史的事故统计及其概率是预测本项目的重要依据。本评价对码头系统有关的事故资料进行归纳统计。</w:t>
      </w:r>
    </w:p>
    <w:p w14:paraId="3A9BEBC1">
      <w:pPr>
        <w:pStyle w:val="6"/>
        <w:rPr>
          <w:color w:val="auto"/>
        </w:rPr>
      </w:pPr>
      <w:r>
        <w:rPr>
          <w:color w:val="auto"/>
        </w:rPr>
        <w:t>码头风险事故统计分析</w:t>
      </w:r>
    </w:p>
    <w:p w14:paraId="0AB02F12">
      <w:pPr>
        <w:ind w:firstLine="482"/>
        <w:rPr>
          <w:b/>
          <w:color w:val="auto"/>
        </w:rPr>
      </w:pPr>
      <w:r>
        <w:rPr>
          <w:b/>
          <w:color w:val="auto"/>
        </w:rPr>
        <w:t>一、国内船舶溢油事故统计</w:t>
      </w:r>
    </w:p>
    <w:p w14:paraId="240A84DB">
      <w:pPr>
        <w:ind w:firstLine="480"/>
        <w:rPr>
          <w:color w:val="auto"/>
        </w:rPr>
      </w:pPr>
      <w:r>
        <w:rPr>
          <w:color w:val="auto"/>
        </w:rPr>
        <w:t>（1）50吨以上事故统计</w:t>
      </w:r>
    </w:p>
    <w:p w14:paraId="42978BB1">
      <w:pPr>
        <w:ind w:firstLine="480"/>
        <w:rPr>
          <w:color w:val="auto"/>
        </w:rPr>
      </w:pPr>
      <w:r>
        <w:rPr>
          <w:color w:val="auto"/>
        </w:rPr>
        <w:t>根据我国沿海50吨以上溢油事故统计资料，1973-2002年共发生50吨以上溢油事故76起，总溢油量39415吨，平均518吨/起，单次最大溢油量为8000吨。泄漏油品中原油14起，泄漏量19472吨，平均1391吨/起；燃油28起，泄漏量6707吨，平均240吨/起；其他货油34起，泄漏量13236吨，平均389吨/起。</w:t>
      </w:r>
    </w:p>
    <w:p w14:paraId="4AD6DFBD">
      <w:pPr>
        <w:ind w:firstLine="480"/>
        <w:rPr>
          <w:color w:val="auto"/>
        </w:rPr>
      </w:pPr>
      <w:r>
        <w:rPr>
          <w:color w:val="auto"/>
        </w:rPr>
        <w:t>（2）1997-2002年事故统计</w:t>
      </w:r>
    </w:p>
    <w:p w14:paraId="305238B7">
      <w:pPr>
        <w:ind w:firstLine="480"/>
        <w:rPr>
          <w:color w:val="auto"/>
        </w:rPr>
      </w:pPr>
      <w:r>
        <w:rPr>
          <w:color w:val="auto"/>
        </w:rPr>
        <w:t>根据我国沿海1997-2002年统计资料，统计期间发生453起溢油事故中，碰撞和搁浅造成的事故占总事故的55.3%，相应的溢油量占总溢油量的43.6%。</w:t>
      </w:r>
    </w:p>
    <w:p w14:paraId="5D56A343">
      <w:pPr>
        <w:ind w:firstLine="480"/>
        <w:rPr>
          <w:color w:val="auto"/>
        </w:rPr>
      </w:pPr>
      <w:r>
        <w:rPr>
          <w:color w:val="auto"/>
        </w:rPr>
        <w:t>溢油规模在1吨以上的溢油事件178起，其中操作性事故145其，事故性事故33起，分别占总溢油事故的82%、18%。按溢油量计算，145起操作性事故的溢油量为648吨，平均每起溢油量4.47吨；33起事故性溢油量7735吨，平均每起溢油量为234吨。</w:t>
      </w:r>
    </w:p>
    <w:p w14:paraId="5FC238EC">
      <w:pPr>
        <w:ind w:firstLine="482"/>
        <w:rPr>
          <w:b/>
          <w:color w:val="auto"/>
        </w:rPr>
      </w:pPr>
      <w:r>
        <w:rPr>
          <w:b/>
          <w:color w:val="auto"/>
        </w:rPr>
        <w:t>三、钦州港船舶事故统计分析</w:t>
      </w:r>
    </w:p>
    <w:p w14:paraId="390EB20B">
      <w:pPr>
        <w:ind w:firstLine="480"/>
        <w:rPr>
          <w:color w:val="auto"/>
        </w:rPr>
      </w:pPr>
      <w:r>
        <w:rPr>
          <w:color w:val="auto"/>
        </w:rPr>
        <w:t>（1）船舶交通事故</w:t>
      </w:r>
    </w:p>
    <w:p w14:paraId="03D11097">
      <w:pPr>
        <w:ind w:firstLine="480"/>
        <w:rPr>
          <w:color w:val="auto"/>
        </w:rPr>
      </w:pPr>
      <w:r>
        <w:rPr>
          <w:color w:val="auto"/>
        </w:rPr>
        <w:t>2002~2020年，钦州港及其附近海域共发生船舶交通事故157起，主要以小事故为主，事故原因主要包括碰撞、搁浅、触损和自沉等。钦州港及其附近海域发生的各种船舶交通事故统计分析详见表</w:t>
      </w:r>
      <w:r>
        <w:rPr>
          <w:rFonts w:hint="eastAsia"/>
          <w:color w:val="auto"/>
        </w:rPr>
        <w:t>5.3-2</w:t>
      </w:r>
      <w:r>
        <w:rPr>
          <w:color w:val="auto"/>
        </w:rPr>
        <w:t>。</w:t>
      </w:r>
    </w:p>
    <w:p w14:paraId="06761400">
      <w:pPr>
        <w:pStyle w:val="14"/>
        <w:rPr>
          <w:color w:val="auto"/>
        </w:rPr>
      </w:pPr>
      <w:r>
        <w:rPr>
          <w:rFonts w:hint="eastAsia"/>
          <w:color w:val="auto"/>
        </w:rPr>
        <w:t>表</w:t>
      </w:r>
      <w:r>
        <w:rPr>
          <w:color w:val="auto"/>
        </w:rPr>
        <w:t>5.3</w:t>
      </w:r>
      <w:r>
        <w:rPr>
          <w:color w:val="auto"/>
        </w:rPr>
        <w:noBreakHyphen/>
      </w:r>
      <w:r>
        <w:rPr>
          <w:color w:val="auto"/>
        </w:rPr>
        <w:t>12002~2020年钦州港及其附近海域船舶交通事故原因统计分析</w:t>
      </w:r>
    </w:p>
    <w:tbl>
      <w:tblPr>
        <w:tblStyle w:val="43"/>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911"/>
        <w:gridCol w:w="917"/>
        <w:gridCol w:w="917"/>
        <w:gridCol w:w="918"/>
        <w:gridCol w:w="918"/>
        <w:gridCol w:w="918"/>
        <w:gridCol w:w="918"/>
        <w:gridCol w:w="918"/>
        <w:gridCol w:w="919"/>
        <w:gridCol w:w="921"/>
      </w:tblGrid>
      <w:tr w14:paraId="51A06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496" w:type="pct"/>
            <w:vAlign w:val="center"/>
          </w:tcPr>
          <w:p w14:paraId="7AE9FEB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kern w:val="0"/>
                <w:sz w:val="21"/>
                <w:szCs w:val="21"/>
              </w:rPr>
            </w:pPr>
            <w:r>
              <w:rPr>
                <w:rFonts w:hint="default"/>
                <w:b/>
                <w:bCs/>
                <w:color w:val="auto"/>
                <w:kern w:val="0"/>
                <w:sz w:val="21"/>
                <w:szCs w:val="21"/>
              </w:rPr>
              <w:t>年份</w:t>
            </w:r>
          </w:p>
        </w:tc>
        <w:tc>
          <w:tcPr>
            <w:tcW w:w="499" w:type="pct"/>
            <w:vAlign w:val="center"/>
          </w:tcPr>
          <w:p w14:paraId="7DDEA87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kern w:val="0"/>
                <w:sz w:val="21"/>
                <w:szCs w:val="21"/>
              </w:rPr>
            </w:pPr>
            <w:r>
              <w:rPr>
                <w:rFonts w:hint="default"/>
                <w:b/>
                <w:bCs/>
                <w:color w:val="auto"/>
                <w:kern w:val="0"/>
                <w:sz w:val="21"/>
                <w:szCs w:val="21"/>
              </w:rPr>
              <w:t>碰撞</w:t>
            </w:r>
          </w:p>
        </w:tc>
        <w:tc>
          <w:tcPr>
            <w:tcW w:w="499" w:type="pct"/>
            <w:vAlign w:val="center"/>
          </w:tcPr>
          <w:p w14:paraId="61F10D2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kern w:val="0"/>
                <w:sz w:val="21"/>
                <w:szCs w:val="21"/>
              </w:rPr>
            </w:pPr>
            <w:r>
              <w:rPr>
                <w:rFonts w:hint="default"/>
                <w:b/>
                <w:bCs/>
                <w:color w:val="auto"/>
                <w:kern w:val="0"/>
                <w:sz w:val="21"/>
                <w:szCs w:val="21"/>
              </w:rPr>
              <w:t>触损</w:t>
            </w:r>
          </w:p>
        </w:tc>
        <w:tc>
          <w:tcPr>
            <w:tcW w:w="500" w:type="pct"/>
            <w:vAlign w:val="center"/>
          </w:tcPr>
          <w:p w14:paraId="7791A49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kern w:val="0"/>
                <w:sz w:val="21"/>
                <w:szCs w:val="21"/>
              </w:rPr>
            </w:pPr>
            <w:r>
              <w:rPr>
                <w:rFonts w:hint="default"/>
                <w:b/>
                <w:bCs/>
                <w:color w:val="auto"/>
                <w:kern w:val="0"/>
                <w:sz w:val="21"/>
                <w:szCs w:val="21"/>
              </w:rPr>
              <w:t>搁浅</w:t>
            </w:r>
          </w:p>
        </w:tc>
        <w:tc>
          <w:tcPr>
            <w:tcW w:w="500" w:type="pct"/>
            <w:vAlign w:val="center"/>
          </w:tcPr>
          <w:p w14:paraId="296453D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kern w:val="0"/>
                <w:sz w:val="21"/>
                <w:szCs w:val="21"/>
              </w:rPr>
            </w:pPr>
            <w:r>
              <w:rPr>
                <w:rFonts w:hint="default"/>
                <w:b/>
                <w:bCs/>
                <w:color w:val="auto"/>
                <w:kern w:val="0"/>
                <w:sz w:val="21"/>
                <w:szCs w:val="21"/>
              </w:rPr>
              <w:t>自沉</w:t>
            </w:r>
          </w:p>
        </w:tc>
        <w:tc>
          <w:tcPr>
            <w:tcW w:w="500" w:type="pct"/>
            <w:vAlign w:val="center"/>
          </w:tcPr>
          <w:p w14:paraId="08F1BD1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kern w:val="0"/>
                <w:sz w:val="21"/>
                <w:szCs w:val="21"/>
              </w:rPr>
            </w:pPr>
            <w:r>
              <w:rPr>
                <w:rFonts w:hint="default"/>
                <w:b/>
                <w:bCs/>
                <w:color w:val="auto"/>
                <w:kern w:val="0"/>
                <w:sz w:val="21"/>
                <w:szCs w:val="21"/>
              </w:rPr>
              <w:t>火灾</w:t>
            </w:r>
          </w:p>
        </w:tc>
        <w:tc>
          <w:tcPr>
            <w:tcW w:w="500" w:type="pct"/>
            <w:vAlign w:val="center"/>
          </w:tcPr>
          <w:p w14:paraId="3CF1097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kern w:val="0"/>
                <w:sz w:val="21"/>
                <w:szCs w:val="21"/>
              </w:rPr>
            </w:pPr>
            <w:r>
              <w:rPr>
                <w:rFonts w:hint="default"/>
                <w:b/>
                <w:bCs/>
                <w:color w:val="auto"/>
                <w:kern w:val="0"/>
                <w:sz w:val="21"/>
                <w:szCs w:val="21"/>
              </w:rPr>
              <w:t>风灾</w:t>
            </w:r>
          </w:p>
        </w:tc>
        <w:tc>
          <w:tcPr>
            <w:tcW w:w="500" w:type="pct"/>
            <w:vAlign w:val="center"/>
          </w:tcPr>
          <w:p w14:paraId="0604940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kern w:val="0"/>
                <w:sz w:val="21"/>
                <w:szCs w:val="21"/>
              </w:rPr>
            </w:pPr>
            <w:r>
              <w:rPr>
                <w:rFonts w:hint="default"/>
                <w:b/>
                <w:bCs/>
                <w:color w:val="auto"/>
                <w:kern w:val="0"/>
                <w:sz w:val="21"/>
                <w:szCs w:val="21"/>
              </w:rPr>
              <w:t>触礁</w:t>
            </w:r>
          </w:p>
        </w:tc>
        <w:tc>
          <w:tcPr>
            <w:tcW w:w="500" w:type="pct"/>
            <w:vAlign w:val="center"/>
          </w:tcPr>
          <w:p w14:paraId="78AF0E0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kern w:val="0"/>
                <w:sz w:val="21"/>
                <w:szCs w:val="21"/>
              </w:rPr>
            </w:pPr>
            <w:r>
              <w:rPr>
                <w:rFonts w:hint="default"/>
                <w:b/>
                <w:bCs/>
                <w:color w:val="auto"/>
                <w:kern w:val="0"/>
                <w:sz w:val="21"/>
                <w:szCs w:val="21"/>
              </w:rPr>
              <w:t>其他</w:t>
            </w:r>
          </w:p>
        </w:tc>
        <w:tc>
          <w:tcPr>
            <w:tcW w:w="501" w:type="pct"/>
            <w:vAlign w:val="center"/>
          </w:tcPr>
          <w:p w14:paraId="6EB9312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kern w:val="0"/>
                <w:sz w:val="21"/>
                <w:szCs w:val="21"/>
              </w:rPr>
            </w:pPr>
            <w:r>
              <w:rPr>
                <w:rFonts w:hint="default"/>
                <w:b/>
                <w:bCs/>
                <w:color w:val="auto"/>
                <w:kern w:val="0"/>
                <w:sz w:val="21"/>
                <w:szCs w:val="21"/>
              </w:rPr>
              <w:t>小计</w:t>
            </w:r>
          </w:p>
        </w:tc>
      </w:tr>
      <w:tr w14:paraId="04F71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125F284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2002</w:t>
            </w:r>
          </w:p>
        </w:tc>
        <w:tc>
          <w:tcPr>
            <w:tcW w:w="499" w:type="pct"/>
            <w:vAlign w:val="center"/>
          </w:tcPr>
          <w:p w14:paraId="67995D5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499" w:type="pct"/>
            <w:vAlign w:val="center"/>
          </w:tcPr>
          <w:p w14:paraId="019FF21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016F10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3B29C53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4C7F46A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49C6BB6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680F46F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2D232E1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1" w:type="pct"/>
            <w:vAlign w:val="center"/>
          </w:tcPr>
          <w:p w14:paraId="39AB8AC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5</w:t>
            </w:r>
          </w:p>
        </w:tc>
      </w:tr>
      <w:tr w14:paraId="5BA92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165FDA6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2003</w:t>
            </w:r>
          </w:p>
        </w:tc>
        <w:tc>
          <w:tcPr>
            <w:tcW w:w="499" w:type="pct"/>
            <w:vAlign w:val="center"/>
          </w:tcPr>
          <w:p w14:paraId="764AF35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3</w:t>
            </w:r>
          </w:p>
        </w:tc>
        <w:tc>
          <w:tcPr>
            <w:tcW w:w="499" w:type="pct"/>
            <w:vAlign w:val="center"/>
          </w:tcPr>
          <w:p w14:paraId="3467355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76761C8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2C3048C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53657BF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7751CC5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1818C0A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08A3B68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1" w:type="pct"/>
            <w:vAlign w:val="center"/>
          </w:tcPr>
          <w:p w14:paraId="0B9E86E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9</w:t>
            </w:r>
          </w:p>
        </w:tc>
      </w:tr>
      <w:tr w14:paraId="0EC47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038F09C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2004</w:t>
            </w:r>
          </w:p>
        </w:tc>
        <w:tc>
          <w:tcPr>
            <w:tcW w:w="499" w:type="pct"/>
            <w:vAlign w:val="center"/>
          </w:tcPr>
          <w:p w14:paraId="2175FD5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499" w:type="pct"/>
            <w:vAlign w:val="center"/>
          </w:tcPr>
          <w:p w14:paraId="4683DBD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4B96025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54E50D7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2424EB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4D3B7E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943BDF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36DB6F7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1" w:type="pct"/>
            <w:vAlign w:val="center"/>
          </w:tcPr>
          <w:p w14:paraId="1B51089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7</w:t>
            </w:r>
          </w:p>
        </w:tc>
      </w:tr>
      <w:tr w14:paraId="7787A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2264D7E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2005</w:t>
            </w:r>
          </w:p>
        </w:tc>
        <w:tc>
          <w:tcPr>
            <w:tcW w:w="499" w:type="pct"/>
            <w:vAlign w:val="center"/>
          </w:tcPr>
          <w:p w14:paraId="11BB1C7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499" w:type="pct"/>
            <w:vAlign w:val="center"/>
          </w:tcPr>
          <w:p w14:paraId="523F1A5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59E2DFD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6FB1F93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19B2C97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AE69D5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C2EC94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29ED7FE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1" w:type="pct"/>
            <w:vAlign w:val="center"/>
          </w:tcPr>
          <w:p w14:paraId="17501D7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6</w:t>
            </w:r>
          </w:p>
        </w:tc>
      </w:tr>
      <w:tr w14:paraId="72AD4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2B39B00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2006</w:t>
            </w:r>
          </w:p>
        </w:tc>
        <w:tc>
          <w:tcPr>
            <w:tcW w:w="499" w:type="pct"/>
            <w:vAlign w:val="center"/>
          </w:tcPr>
          <w:p w14:paraId="5F21FE7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499" w:type="pct"/>
            <w:vAlign w:val="center"/>
          </w:tcPr>
          <w:p w14:paraId="362AF3F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28DF20E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12FF132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5E8E2D4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0F6B2D5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1DB85AA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447B451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1" w:type="pct"/>
            <w:vAlign w:val="center"/>
          </w:tcPr>
          <w:p w14:paraId="481542B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6</w:t>
            </w:r>
          </w:p>
        </w:tc>
      </w:tr>
      <w:tr w14:paraId="18605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7B8C3B5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2007</w:t>
            </w:r>
          </w:p>
        </w:tc>
        <w:tc>
          <w:tcPr>
            <w:tcW w:w="499" w:type="pct"/>
            <w:vAlign w:val="center"/>
          </w:tcPr>
          <w:p w14:paraId="4DCD013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499" w:type="pct"/>
            <w:vAlign w:val="center"/>
          </w:tcPr>
          <w:p w14:paraId="4CB4BD5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4CD0F0C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06B1B5E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6A9CD7F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1E16895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619F50D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37EDA64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1" w:type="pct"/>
            <w:vAlign w:val="center"/>
          </w:tcPr>
          <w:p w14:paraId="33106E3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5</w:t>
            </w:r>
          </w:p>
        </w:tc>
      </w:tr>
      <w:tr w14:paraId="73ED2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433B3B6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2008</w:t>
            </w:r>
          </w:p>
        </w:tc>
        <w:tc>
          <w:tcPr>
            <w:tcW w:w="499" w:type="pct"/>
            <w:vAlign w:val="center"/>
          </w:tcPr>
          <w:p w14:paraId="526318E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3</w:t>
            </w:r>
          </w:p>
        </w:tc>
        <w:tc>
          <w:tcPr>
            <w:tcW w:w="499" w:type="pct"/>
            <w:vAlign w:val="center"/>
          </w:tcPr>
          <w:p w14:paraId="3EBFA6D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596F89A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27008A7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5ACC8C9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43A276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606EDF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02E307B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3</w:t>
            </w:r>
          </w:p>
        </w:tc>
        <w:tc>
          <w:tcPr>
            <w:tcW w:w="501" w:type="pct"/>
            <w:vAlign w:val="center"/>
          </w:tcPr>
          <w:p w14:paraId="5AAB2D1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9</w:t>
            </w:r>
          </w:p>
        </w:tc>
      </w:tr>
      <w:tr w14:paraId="77912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6B88D6E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2009</w:t>
            </w:r>
          </w:p>
        </w:tc>
        <w:tc>
          <w:tcPr>
            <w:tcW w:w="499" w:type="pct"/>
            <w:vAlign w:val="center"/>
          </w:tcPr>
          <w:p w14:paraId="7BAA1E0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3</w:t>
            </w:r>
          </w:p>
        </w:tc>
        <w:tc>
          <w:tcPr>
            <w:tcW w:w="499" w:type="pct"/>
            <w:vAlign w:val="center"/>
          </w:tcPr>
          <w:p w14:paraId="484F145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1CCB213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37C556B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3</w:t>
            </w:r>
          </w:p>
        </w:tc>
        <w:tc>
          <w:tcPr>
            <w:tcW w:w="500" w:type="pct"/>
            <w:vAlign w:val="center"/>
          </w:tcPr>
          <w:p w14:paraId="289CF61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28988B2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F1EE14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5EB5750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1" w:type="pct"/>
            <w:vAlign w:val="center"/>
          </w:tcPr>
          <w:p w14:paraId="725665E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8</w:t>
            </w:r>
          </w:p>
        </w:tc>
      </w:tr>
      <w:tr w14:paraId="5C9EF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16D0D2A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2010</w:t>
            </w:r>
          </w:p>
        </w:tc>
        <w:tc>
          <w:tcPr>
            <w:tcW w:w="499" w:type="pct"/>
            <w:vAlign w:val="center"/>
          </w:tcPr>
          <w:p w14:paraId="642E17A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499" w:type="pct"/>
            <w:vAlign w:val="center"/>
          </w:tcPr>
          <w:p w14:paraId="574D2F7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4723AA7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3E50AD0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380B4FD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2502EAE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BFBA80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00698F7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1" w:type="pct"/>
            <w:vAlign w:val="center"/>
          </w:tcPr>
          <w:p w14:paraId="6CB0FB2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3</w:t>
            </w:r>
          </w:p>
        </w:tc>
      </w:tr>
      <w:tr w14:paraId="55441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5A9090F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2011</w:t>
            </w:r>
          </w:p>
        </w:tc>
        <w:tc>
          <w:tcPr>
            <w:tcW w:w="499" w:type="pct"/>
            <w:vAlign w:val="center"/>
          </w:tcPr>
          <w:p w14:paraId="7717595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6</w:t>
            </w:r>
          </w:p>
        </w:tc>
        <w:tc>
          <w:tcPr>
            <w:tcW w:w="499" w:type="pct"/>
            <w:vAlign w:val="center"/>
          </w:tcPr>
          <w:p w14:paraId="55CBE64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0A4E132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70408A9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7711A62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B1F5A1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CD0FCC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87F1E7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1" w:type="pct"/>
            <w:vAlign w:val="center"/>
          </w:tcPr>
          <w:p w14:paraId="3FC0748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8</w:t>
            </w:r>
          </w:p>
        </w:tc>
      </w:tr>
      <w:tr w14:paraId="20387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31293D5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2012</w:t>
            </w:r>
          </w:p>
        </w:tc>
        <w:tc>
          <w:tcPr>
            <w:tcW w:w="499" w:type="pct"/>
            <w:vAlign w:val="center"/>
          </w:tcPr>
          <w:p w14:paraId="1622A6D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499" w:type="pct"/>
            <w:vAlign w:val="center"/>
          </w:tcPr>
          <w:p w14:paraId="4A67727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7D9E98A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3</w:t>
            </w:r>
          </w:p>
        </w:tc>
        <w:tc>
          <w:tcPr>
            <w:tcW w:w="500" w:type="pct"/>
            <w:vAlign w:val="center"/>
          </w:tcPr>
          <w:p w14:paraId="4852B6E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283E8D6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02C3CD6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2CAC0DF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5F9F6D0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1" w:type="pct"/>
            <w:vAlign w:val="center"/>
          </w:tcPr>
          <w:p w14:paraId="0226A94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5</w:t>
            </w:r>
          </w:p>
        </w:tc>
      </w:tr>
      <w:tr w14:paraId="3086B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31F923B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2013</w:t>
            </w:r>
          </w:p>
        </w:tc>
        <w:tc>
          <w:tcPr>
            <w:tcW w:w="499" w:type="pct"/>
            <w:vAlign w:val="center"/>
          </w:tcPr>
          <w:p w14:paraId="3DDB80D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499" w:type="pct"/>
            <w:vAlign w:val="center"/>
          </w:tcPr>
          <w:p w14:paraId="28EB7B4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6CE4EFD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25D2DD6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2584BCD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04C763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405F0E9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19BF9A2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1" w:type="pct"/>
            <w:vAlign w:val="center"/>
          </w:tcPr>
          <w:p w14:paraId="6688FE0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9</w:t>
            </w:r>
          </w:p>
        </w:tc>
      </w:tr>
      <w:tr w14:paraId="68888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3A3B98A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2014</w:t>
            </w:r>
          </w:p>
        </w:tc>
        <w:tc>
          <w:tcPr>
            <w:tcW w:w="499" w:type="pct"/>
            <w:vAlign w:val="center"/>
          </w:tcPr>
          <w:p w14:paraId="1B5B0E8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5</w:t>
            </w:r>
          </w:p>
        </w:tc>
        <w:tc>
          <w:tcPr>
            <w:tcW w:w="499" w:type="pct"/>
            <w:vAlign w:val="center"/>
          </w:tcPr>
          <w:p w14:paraId="0F48900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6DC95D1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4</w:t>
            </w:r>
          </w:p>
        </w:tc>
        <w:tc>
          <w:tcPr>
            <w:tcW w:w="500" w:type="pct"/>
            <w:vAlign w:val="center"/>
          </w:tcPr>
          <w:p w14:paraId="6105165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1B360F0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03EC0F3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12113C6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3A46F97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1" w:type="pct"/>
            <w:vAlign w:val="center"/>
          </w:tcPr>
          <w:p w14:paraId="4FDCE6A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11</w:t>
            </w:r>
          </w:p>
        </w:tc>
      </w:tr>
      <w:tr w14:paraId="71A95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57F9FAA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2015</w:t>
            </w:r>
          </w:p>
        </w:tc>
        <w:tc>
          <w:tcPr>
            <w:tcW w:w="499" w:type="pct"/>
            <w:vAlign w:val="center"/>
          </w:tcPr>
          <w:p w14:paraId="2C1219A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499" w:type="pct"/>
            <w:vAlign w:val="center"/>
          </w:tcPr>
          <w:p w14:paraId="4D7024D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6241426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7C9CAF5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21FFCBF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6D3F918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3ABEABA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3FCB135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1" w:type="pct"/>
            <w:vAlign w:val="center"/>
          </w:tcPr>
          <w:p w14:paraId="6CB1878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7</w:t>
            </w:r>
          </w:p>
        </w:tc>
      </w:tr>
      <w:tr w14:paraId="09A8D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09514A1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2016</w:t>
            </w:r>
          </w:p>
        </w:tc>
        <w:tc>
          <w:tcPr>
            <w:tcW w:w="499" w:type="pct"/>
            <w:vAlign w:val="center"/>
          </w:tcPr>
          <w:p w14:paraId="0E945AB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3</w:t>
            </w:r>
          </w:p>
        </w:tc>
        <w:tc>
          <w:tcPr>
            <w:tcW w:w="499" w:type="pct"/>
            <w:vAlign w:val="center"/>
          </w:tcPr>
          <w:p w14:paraId="6C68790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3</w:t>
            </w:r>
          </w:p>
        </w:tc>
        <w:tc>
          <w:tcPr>
            <w:tcW w:w="500" w:type="pct"/>
            <w:vAlign w:val="center"/>
          </w:tcPr>
          <w:p w14:paraId="7EF76F2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75714B1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165ABCA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3203F98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5D89A0D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03EC334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1" w:type="pct"/>
            <w:vAlign w:val="center"/>
          </w:tcPr>
          <w:p w14:paraId="1778A04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12</w:t>
            </w:r>
          </w:p>
        </w:tc>
      </w:tr>
      <w:tr w14:paraId="041EF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2EA2E8F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2017</w:t>
            </w:r>
          </w:p>
        </w:tc>
        <w:tc>
          <w:tcPr>
            <w:tcW w:w="499" w:type="pct"/>
            <w:vAlign w:val="center"/>
          </w:tcPr>
          <w:p w14:paraId="3AD097E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6</w:t>
            </w:r>
          </w:p>
        </w:tc>
        <w:tc>
          <w:tcPr>
            <w:tcW w:w="499" w:type="pct"/>
            <w:vAlign w:val="center"/>
          </w:tcPr>
          <w:p w14:paraId="6F609E5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68A80BA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11D41CF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5</w:t>
            </w:r>
          </w:p>
        </w:tc>
        <w:tc>
          <w:tcPr>
            <w:tcW w:w="500" w:type="pct"/>
            <w:vAlign w:val="center"/>
          </w:tcPr>
          <w:p w14:paraId="116765D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46BB324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16850F6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09ACF06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1" w:type="pct"/>
            <w:vAlign w:val="center"/>
          </w:tcPr>
          <w:p w14:paraId="4A8FA7A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13</w:t>
            </w:r>
          </w:p>
        </w:tc>
      </w:tr>
      <w:tr w14:paraId="260FB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3380860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2018</w:t>
            </w:r>
          </w:p>
        </w:tc>
        <w:tc>
          <w:tcPr>
            <w:tcW w:w="499" w:type="pct"/>
            <w:vAlign w:val="center"/>
          </w:tcPr>
          <w:p w14:paraId="64A2176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499" w:type="pct"/>
            <w:vAlign w:val="center"/>
          </w:tcPr>
          <w:p w14:paraId="39689CF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7D5B763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38D21F4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70079D3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6F275BC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53F9245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17F3A38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1" w:type="pct"/>
            <w:vAlign w:val="center"/>
          </w:tcPr>
          <w:p w14:paraId="78D532E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7</w:t>
            </w:r>
          </w:p>
        </w:tc>
      </w:tr>
      <w:tr w14:paraId="6F606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44593DC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2019</w:t>
            </w:r>
          </w:p>
        </w:tc>
        <w:tc>
          <w:tcPr>
            <w:tcW w:w="499" w:type="pct"/>
            <w:vAlign w:val="center"/>
          </w:tcPr>
          <w:p w14:paraId="2EA4D35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499" w:type="pct"/>
            <w:vAlign w:val="center"/>
          </w:tcPr>
          <w:p w14:paraId="044D743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3</w:t>
            </w:r>
          </w:p>
        </w:tc>
        <w:tc>
          <w:tcPr>
            <w:tcW w:w="500" w:type="pct"/>
            <w:vAlign w:val="center"/>
          </w:tcPr>
          <w:p w14:paraId="2A70759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6</w:t>
            </w:r>
          </w:p>
        </w:tc>
        <w:tc>
          <w:tcPr>
            <w:tcW w:w="500" w:type="pct"/>
            <w:vAlign w:val="center"/>
          </w:tcPr>
          <w:p w14:paraId="375BF54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5DDC787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0" w:type="pct"/>
            <w:vAlign w:val="center"/>
          </w:tcPr>
          <w:p w14:paraId="6E06030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7AF44A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19E90F7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1" w:type="pct"/>
            <w:vAlign w:val="center"/>
          </w:tcPr>
          <w:p w14:paraId="1D01F6A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13</w:t>
            </w:r>
          </w:p>
        </w:tc>
      </w:tr>
      <w:tr w14:paraId="48E45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5FC2B3E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2020</w:t>
            </w:r>
          </w:p>
        </w:tc>
        <w:tc>
          <w:tcPr>
            <w:tcW w:w="499" w:type="pct"/>
            <w:vAlign w:val="center"/>
          </w:tcPr>
          <w:p w14:paraId="4B7D0BC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499" w:type="pct"/>
            <w:vAlign w:val="center"/>
          </w:tcPr>
          <w:p w14:paraId="173976C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128DC36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8</w:t>
            </w:r>
          </w:p>
        </w:tc>
        <w:tc>
          <w:tcPr>
            <w:tcW w:w="500" w:type="pct"/>
            <w:vAlign w:val="center"/>
          </w:tcPr>
          <w:p w14:paraId="638EE2F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BA7258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5657A48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7B4FABE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0</w:t>
            </w:r>
          </w:p>
        </w:tc>
        <w:tc>
          <w:tcPr>
            <w:tcW w:w="500" w:type="pct"/>
            <w:vAlign w:val="center"/>
          </w:tcPr>
          <w:p w14:paraId="3A81B29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501" w:type="pct"/>
            <w:vAlign w:val="center"/>
          </w:tcPr>
          <w:p w14:paraId="1CAD8C1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14</w:t>
            </w:r>
          </w:p>
        </w:tc>
      </w:tr>
      <w:tr w14:paraId="632DF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vAlign w:val="center"/>
          </w:tcPr>
          <w:p w14:paraId="7C3E97B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合计</w:t>
            </w:r>
          </w:p>
        </w:tc>
        <w:tc>
          <w:tcPr>
            <w:tcW w:w="499" w:type="pct"/>
            <w:vAlign w:val="center"/>
          </w:tcPr>
          <w:p w14:paraId="08505AE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47</w:t>
            </w:r>
          </w:p>
        </w:tc>
        <w:tc>
          <w:tcPr>
            <w:tcW w:w="499" w:type="pct"/>
            <w:vAlign w:val="center"/>
          </w:tcPr>
          <w:p w14:paraId="0DBBDB3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22</w:t>
            </w:r>
          </w:p>
        </w:tc>
        <w:tc>
          <w:tcPr>
            <w:tcW w:w="500" w:type="pct"/>
            <w:vAlign w:val="center"/>
          </w:tcPr>
          <w:p w14:paraId="7AD650A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41</w:t>
            </w:r>
          </w:p>
        </w:tc>
        <w:tc>
          <w:tcPr>
            <w:tcW w:w="500" w:type="pct"/>
            <w:vAlign w:val="center"/>
          </w:tcPr>
          <w:p w14:paraId="0AE212C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19</w:t>
            </w:r>
          </w:p>
        </w:tc>
        <w:tc>
          <w:tcPr>
            <w:tcW w:w="500" w:type="pct"/>
            <w:vAlign w:val="center"/>
          </w:tcPr>
          <w:p w14:paraId="1DF747F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9</w:t>
            </w:r>
          </w:p>
        </w:tc>
        <w:tc>
          <w:tcPr>
            <w:tcW w:w="500" w:type="pct"/>
            <w:vAlign w:val="center"/>
          </w:tcPr>
          <w:p w14:paraId="3290A93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500" w:type="pct"/>
            <w:vAlign w:val="center"/>
          </w:tcPr>
          <w:p w14:paraId="72B9998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3</w:t>
            </w:r>
          </w:p>
        </w:tc>
        <w:tc>
          <w:tcPr>
            <w:tcW w:w="500" w:type="pct"/>
            <w:vAlign w:val="center"/>
          </w:tcPr>
          <w:p w14:paraId="55446A8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14</w:t>
            </w:r>
          </w:p>
        </w:tc>
        <w:tc>
          <w:tcPr>
            <w:tcW w:w="501" w:type="pct"/>
            <w:vAlign w:val="center"/>
          </w:tcPr>
          <w:p w14:paraId="3CB7686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157</w:t>
            </w:r>
          </w:p>
        </w:tc>
      </w:tr>
    </w:tbl>
    <w:p w14:paraId="76746A1B">
      <w:pPr>
        <w:ind w:firstLine="480"/>
        <w:rPr>
          <w:color w:val="auto"/>
        </w:rPr>
      </w:pPr>
      <w:r>
        <w:rPr>
          <w:color w:val="auto"/>
        </w:rPr>
        <w:t>发生事故的船种有大中型散货船、杂货船、中小型集装箱船、渔船、油轮和化学品船，其中以中小型杂散货船、渔船为主。</w:t>
      </w:r>
    </w:p>
    <w:p w14:paraId="6B17804C">
      <w:pPr>
        <w:ind w:firstLine="480"/>
        <w:rPr>
          <w:color w:val="auto"/>
        </w:rPr>
      </w:pPr>
      <w:r>
        <w:rPr>
          <w:color w:val="auto"/>
        </w:rPr>
        <w:t>根据对钦州港辖区2002~2020年157起事故的致因分析，大致可以将事故的致因归纳为以下因素：</w:t>
      </w:r>
    </w:p>
    <w:p w14:paraId="7FA1D26D">
      <w:pPr>
        <w:ind w:firstLine="480"/>
        <w:rPr>
          <w:color w:val="auto"/>
        </w:rPr>
      </w:pPr>
      <w:r>
        <w:rPr>
          <w:color w:val="auto"/>
        </w:rPr>
        <w:t>一是人为因素：船员素质差，工作责任心不强，不按照规定航速行驶，不按照规定进行避让，存在违章航行现象；安全观念淡薄，风险意识、安全意识较差，在恶劣的气象海况下仍冒险航行，</w:t>
      </w:r>
      <w:r>
        <w:rPr>
          <w:rFonts w:hint="eastAsia"/>
          <w:color w:val="auto"/>
        </w:rPr>
        <w:t>以致</w:t>
      </w:r>
      <w:r>
        <w:rPr>
          <w:color w:val="auto"/>
        </w:rPr>
        <w:t>造成事故的发生；二是环境因素：受西南风浪及台风等恶劣天气海况的影响，船舶躲避不及时或应急反应能力较差，没有做好相应的防范措施；三是船舶因素：一些小公司的老旧船舶船龄长、船状差、技术缺陷多，但仍在承担着繁重的运输任务；四是船公司管理。安全管理体系的职责没有落实到位，对船员的培训、教育缺失，重眼前利益，轻安全的思想依然存在。</w:t>
      </w:r>
    </w:p>
    <w:p w14:paraId="7E12924F">
      <w:pPr>
        <w:ind w:firstLine="480"/>
        <w:rPr>
          <w:color w:val="auto"/>
        </w:rPr>
      </w:pPr>
      <w:r>
        <w:rPr>
          <w:color w:val="auto"/>
        </w:rPr>
        <w:t>（2）船舶污染事故</w:t>
      </w:r>
    </w:p>
    <w:p w14:paraId="2983E480">
      <w:pPr>
        <w:ind w:firstLine="480"/>
        <w:rPr>
          <w:color w:val="auto"/>
        </w:rPr>
        <w:sectPr>
          <w:headerReference r:id="rId35" w:type="default"/>
          <w:pgSz w:w="11906" w:h="16838"/>
          <w:pgMar w:top="1440" w:right="1418" w:bottom="1440" w:left="1418" w:header="851" w:footer="680" w:gutter="0"/>
          <w:cols w:space="720" w:num="1"/>
          <w:docGrid w:type="lines" w:linePitch="312" w:charSpace="0"/>
        </w:sectPr>
      </w:pPr>
      <w:r>
        <w:rPr>
          <w:color w:val="auto"/>
        </w:rPr>
        <w:t>根据广西海事局提供资料，2002年至2020年间，钦州辖区共发生17起船舶污染事故（其中2010~2020年未发生过船舶污染事故），平均发生船舶污染事故0.89起/年；其中14起污染事故的泄漏量都没有详细统计，只有2004年12月18日、2008年8月12日和2009年3月12日的污染事故对泄漏量有统计，有污染量统计数据的船舶污染事故发生概率为0.16起/年。具体事故统计情况见表</w:t>
      </w:r>
      <w:r>
        <w:rPr>
          <w:rFonts w:hint="eastAsia"/>
          <w:color w:val="auto"/>
        </w:rPr>
        <w:t>5.3-3</w:t>
      </w:r>
      <w:r>
        <w:rPr>
          <w:color w:val="auto"/>
        </w:rPr>
        <w:t>。</w:t>
      </w:r>
    </w:p>
    <w:p w14:paraId="43E1C975">
      <w:pPr>
        <w:pStyle w:val="14"/>
        <w:rPr>
          <w:color w:val="auto"/>
        </w:rPr>
      </w:pPr>
      <w:r>
        <w:rPr>
          <w:rFonts w:hint="eastAsia"/>
          <w:color w:val="auto"/>
        </w:rPr>
        <w:t>表</w:t>
      </w:r>
      <w:r>
        <w:rPr>
          <w:color w:val="auto"/>
        </w:rPr>
        <w:t>5.3</w:t>
      </w:r>
      <w:r>
        <w:rPr>
          <w:color w:val="auto"/>
        </w:rPr>
        <w:noBreakHyphen/>
      </w:r>
      <w:r>
        <w:rPr>
          <w:color w:val="auto"/>
        </w:rPr>
        <w:t>2钦州辖区近年来的污染事故统计</w:t>
      </w:r>
    </w:p>
    <w:tbl>
      <w:tblPr>
        <w:tblStyle w:val="43"/>
        <w:tblW w:w="139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26"/>
        <w:gridCol w:w="1161"/>
        <w:gridCol w:w="2372"/>
        <w:gridCol w:w="1043"/>
        <w:gridCol w:w="837"/>
        <w:gridCol w:w="3726"/>
        <w:gridCol w:w="3349"/>
        <w:gridCol w:w="1014"/>
      </w:tblGrid>
      <w:tr w14:paraId="39DA4B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426" w:type="dxa"/>
            <w:tcMar>
              <w:left w:w="0" w:type="dxa"/>
              <w:right w:w="0" w:type="dxa"/>
            </w:tcMar>
            <w:vAlign w:val="center"/>
          </w:tcPr>
          <w:p w14:paraId="47FA67DE">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序号</w:t>
            </w:r>
          </w:p>
        </w:tc>
        <w:tc>
          <w:tcPr>
            <w:tcW w:w="1161" w:type="dxa"/>
            <w:tcMar>
              <w:left w:w="0" w:type="dxa"/>
              <w:right w:w="0" w:type="dxa"/>
            </w:tcMar>
            <w:vAlign w:val="center"/>
          </w:tcPr>
          <w:p w14:paraId="6C6F8BBC">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事故事件</w:t>
            </w:r>
          </w:p>
        </w:tc>
        <w:tc>
          <w:tcPr>
            <w:tcW w:w="2372" w:type="dxa"/>
            <w:tcMar>
              <w:left w:w="0" w:type="dxa"/>
              <w:right w:w="0" w:type="dxa"/>
            </w:tcMar>
            <w:vAlign w:val="center"/>
          </w:tcPr>
          <w:p w14:paraId="0E508E35">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事故名称</w:t>
            </w:r>
          </w:p>
        </w:tc>
        <w:tc>
          <w:tcPr>
            <w:tcW w:w="1043" w:type="dxa"/>
            <w:tcMar>
              <w:left w:w="0" w:type="dxa"/>
              <w:right w:w="0" w:type="dxa"/>
            </w:tcMar>
            <w:vAlign w:val="center"/>
          </w:tcPr>
          <w:p w14:paraId="436C31BD">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事故等级</w:t>
            </w:r>
          </w:p>
        </w:tc>
        <w:tc>
          <w:tcPr>
            <w:tcW w:w="837" w:type="dxa"/>
            <w:tcMar>
              <w:left w:w="0" w:type="dxa"/>
              <w:right w:w="0" w:type="dxa"/>
            </w:tcMar>
            <w:vAlign w:val="center"/>
          </w:tcPr>
          <w:p w14:paraId="28BCF920">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事故类型</w:t>
            </w:r>
          </w:p>
        </w:tc>
        <w:tc>
          <w:tcPr>
            <w:tcW w:w="3726" w:type="dxa"/>
            <w:tcMar>
              <w:left w:w="0" w:type="dxa"/>
              <w:right w:w="0" w:type="dxa"/>
            </w:tcMar>
            <w:vAlign w:val="center"/>
          </w:tcPr>
          <w:p w14:paraId="74AE15D1">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事故原因</w:t>
            </w:r>
          </w:p>
        </w:tc>
        <w:tc>
          <w:tcPr>
            <w:tcW w:w="3349" w:type="dxa"/>
            <w:tcMar>
              <w:left w:w="0" w:type="dxa"/>
              <w:right w:w="0" w:type="dxa"/>
            </w:tcMar>
            <w:vAlign w:val="center"/>
          </w:tcPr>
          <w:p w14:paraId="5587E0EB">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发生地点（经纬度）</w:t>
            </w:r>
          </w:p>
        </w:tc>
        <w:tc>
          <w:tcPr>
            <w:tcW w:w="1014" w:type="dxa"/>
            <w:tcMar>
              <w:left w:w="0" w:type="dxa"/>
              <w:right w:w="0" w:type="dxa"/>
            </w:tcMar>
            <w:vAlign w:val="center"/>
          </w:tcPr>
          <w:p w14:paraId="58CC8A16">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溢油吨数（t）</w:t>
            </w:r>
          </w:p>
        </w:tc>
      </w:tr>
      <w:tr w14:paraId="009B6A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0689A1FA">
            <w:pPr>
              <w:pStyle w:val="77"/>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1161" w:type="dxa"/>
            <w:tcMar>
              <w:left w:w="0" w:type="dxa"/>
              <w:right w:w="0" w:type="dxa"/>
            </w:tcMar>
            <w:vAlign w:val="center"/>
          </w:tcPr>
          <w:p w14:paraId="6917A4F9">
            <w:pPr>
              <w:pStyle w:val="77"/>
              <w:keepNext w:val="0"/>
              <w:keepLines w:val="0"/>
              <w:suppressLineNumbers w:val="0"/>
              <w:spacing w:before="0" w:beforeAutospacing="0" w:after="0" w:afterAutospacing="0"/>
              <w:ind w:left="0" w:right="0"/>
              <w:rPr>
                <w:rFonts w:hint="default"/>
                <w:color w:val="auto"/>
              </w:rPr>
            </w:pPr>
            <w:r>
              <w:rPr>
                <w:rFonts w:hint="default"/>
                <w:color w:val="auto"/>
              </w:rPr>
              <w:t>2002.9.3</w:t>
            </w:r>
          </w:p>
        </w:tc>
        <w:tc>
          <w:tcPr>
            <w:tcW w:w="2372" w:type="dxa"/>
            <w:tcMar>
              <w:left w:w="0" w:type="dxa"/>
              <w:right w:w="0" w:type="dxa"/>
            </w:tcMar>
            <w:vAlign w:val="center"/>
          </w:tcPr>
          <w:p w14:paraId="4B20C44A">
            <w:pPr>
              <w:pStyle w:val="77"/>
              <w:keepNext w:val="0"/>
              <w:keepLines w:val="0"/>
              <w:suppressLineNumbers w:val="0"/>
              <w:spacing w:before="0" w:beforeAutospacing="0" w:after="0" w:afterAutospacing="0"/>
              <w:ind w:left="0" w:right="0"/>
              <w:rPr>
                <w:rFonts w:hint="default"/>
                <w:color w:val="auto"/>
              </w:rPr>
            </w:pPr>
            <w:r>
              <w:rPr>
                <w:rFonts w:hint="default"/>
                <w:color w:val="auto"/>
              </w:rPr>
              <w:t>浙兴1</w:t>
            </w:r>
          </w:p>
        </w:tc>
        <w:tc>
          <w:tcPr>
            <w:tcW w:w="1043" w:type="dxa"/>
            <w:tcMar>
              <w:left w:w="0" w:type="dxa"/>
              <w:right w:w="0" w:type="dxa"/>
            </w:tcMar>
            <w:vAlign w:val="center"/>
          </w:tcPr>
          <w:p w14:paraId="431730EF">
            <w:pPr>
              <w:pStyle w:val="77"/>
              <w:keepNext w:val="0"/>
              <w:keepLines w:val="0"/>
              <w:suppressLineNumbers w:val="0"/>
              <w:spacing w:before="0" w:beforeAutospacing="0" w:after="0" w:afterAutospacing="0"/>
              <w:ind w:left="0" w:right="0"/>
              <w:rPr>
                <w:rFonts w:hint="default"/>
                <w:color w:val="auto"/>
              </w:rPr>
            </w:pPr>
            <w:r>
              <w:rPr>
                <w:rFonts w:hint="default"/>
                <w:color w:val="auto"/>
              </w:rPr>
              <w:t>小事故</w:t>
            </w:r>
          </w:p>
        </w:tc>
        <w:tc>
          <w:tcPr>
            <w:tcW w:w="837" w:type="dxa"/>
            <w:tcMar>
              <w:left w:w="0" w:type="dxa"/>
              <w:right w:w="0" w:type="dxa"/>
            </w:tcMar>
            <w:vAlign w:val="center"/>
          </w:tcPr>
          <w:p w14:paraId="6BBD29CC">
            <w:pPr>
              <w:pStyle w:val="77"/>
              <w:keepNext w:val="0"/>
              <w:keepLines w:val="0"/>
              <w:suppressLineNumbers w:val="0"/>
              <w:spacing w:before="0" w:beforeAutospacing="0" w:after="0" w:afterAutospacing="0"/>
              <w:ind w:left="0" w:right="0"/>
              <w:rPr>
                <w:rFonts w:hint="default"/>
                <w:color w:val="auto"/>
              </w:rPr>
            </w:pPr>
            <w:r>
              <w:rPr>
                <w:rFonts w:hint="default"/>
                <w:color w:val="auto"/>
              </w:rPr>
              <w:t>操作</w:t>
            </w:r>
          </w:p>
        </w:tc>
        <w:tc>
          <w:tcPr>
            <w:tcW w:w="3726" w:type="dxa"/>
            <w:tcMar>
              <w:left w:w="0" w:type="dxa"/>
              <w:right w:w="0" w:type="dxa"/>
            </w:tcMar>
            <w:vAlign w:val="center"/>
          </w:tcPr>
          <w:p w14:paraId="52F9634E">
            <w:pPr>
              <w:pStyle w:val="77"/>
              <w:keepNext w:val="0"/>
              <w:keepLines w:val="0"/>
              <w:suppressLineNumbers w:val="0"/>
              <w:spacing w:before="0" w:beforeAutospacing="0" w:after="0" w:afterAutospacing="0"/>
              <w:ind w:left="0" w:right="0"/>
              <w:rPr>
                <w:rFonts w:hint="default"/>
                <w:color w:val="auto"/>
              </w:rPr>
            </w:pPr>
            <w:r>
              <w:rPr>
                <w:rFonts w:hint="default"/>
                <w:color w:val="auto"/>
              </w:rPr>
              <w:t>在港内冲洗油船甲板</w:t>
            </w:r>
          </w:p>
        </w:tc>
        <w:tc>
          <w:tcPr>
            <w:tcW w:w="3349" w:type="dxa"/>
            <w:tcMar>
              <w:left w:w="0" w:type="dxa"/>
              <w:right w:w="0" w:type="dxa"/>
            </w:tcMar>
            <w:vAlign w:val="center"/>
          </w:tcPr>
          <w:p w14:paraId="44638C44">
            <w:pPr>
              <w:pStyle w:val="77"/>
              <w:keepNext w:val="0"/>
              <w:keepLines w:val="0"/>
              <w:suppressLineNumbers w:val="0"/>
              <w:spacing w:before="0" w:beforeAutospacing="0" w:after="0" w:afterAutospacing="0"/>
              <w:ind w:left="0" w:right="0"/>
              <w:rPr>
                <w:rFonts w:hint="default"/>
                <w:color w:val="auto"/>
              </w:rPr>
            </w:pPr>
            <w:r>
              <w:rPr>
                <w:rFonts w:hint="default"/>
                <w:color w:val="auto"/>
              </w:rPr>
              <w:t>钦州中石化码头</w:t>
            </w:r>
          </w:p>
        </w:tc>
        <w:tc>
          <w:tcPr>
            <w:tcW w:w="1014" w:type="dxa"/>
            <w:tcMar>
              <w:left w:w="0" w:type="dxa"/>
              <w:right w:w="0" w:type="dxa"/>
            </w:tcMar>
            <w:vAlign w:val="center"/>
          </w:tcPr>
          <w:p w14:paraId="3A08D9E1">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r>
      <w:tr w14:paraId="0B28E0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653F477D">
            <w:pPr>
              <w:pStyle w:val="77"/>
              <w:keepNext w:val="0"/>
              <w:keepLines w:val="0"/>
              <w:suppressLineNumbers w:val="0"/>
              <w:spacing w:before="0" w:beforeAutospacing="0" w:after="0" w:afterAutospacing="0"/>
              <w:ind w:left="0" w:right="0"/>
              <w:rPr>
                <w:rFonts w:hint="default"/>
                <w:color w:val="auto"/>
              </w:rPr>
            </w:pPr>
            <w:r>
              <w:rPr>
                <w:rFonts w:hint="default"/>
                <w:color w:val="auto"/>
              </w:rPr>
              <w:t>2</w:t>
            </w:r>
          </w:p>
        </w:tc>
        <w:tc>
          <w:tcPr>
            <w:tcW w:w="1161" w:type="dxa"/>
            <w:tcMar>
              <w:left w:w="0" w:type="dxa"/>
              <w:right w:w="0" w:type="dxa"/>
            </w:tcMar>
            <w:vAlign w:val="center"/>
          </w:tcPr>
          <w:p w14:paraId="47A6620C">
            <w:pPr>
              <w:pStyle w:val="77"/>
              <w:keepNext w:val="0"/>
              <w:keepLines w:val="0"/>
              <w:suppressLineNumbers w:val="0"/>
              <w:spacing w:before="0" w:beforeAutospacing="0" w:after="0" w:afterAutospacing="0"/>
              <w:ind w:left="0" w:right="0"/>
              <w:rPr>
                <w:rFonts w:hint="default"/>
                <w:color w:val="auto"/>
              </w:rPr>
            </w:pPr>
            <w:r>
              <w:rPr>
                <w:rFonts w:hint="default"/>
                <w:color w:val="auto"/>
              </w:rPr>
              <w:t>2003.12.9</w:t>
            </w:r>
          </w:p>
        </w:tc>
        <w:tc>
          <w:tcPr>
            <w:tcW w:w="2372" w:type="dxa"/>
            <w:tcMar>
              <w:left w:w="0" w:type="dxa"/>
              <w:right w:w="0" w:type="dxa"/>
            </w:tcMar>
            <w:vAlign w:val="center"/>
          </w:tcPr>
          <w:p w14:paraId="550C5148">
            <w:pPr>
              <w:pStyle w:val="77"/>
              <w:keepNext w:val="0"/>
              <w:keepLines w:val="0"/>
              <w:suppressLineNumbers w:val="0"/>
              <w:spacing w:before="0" w:beforeAutospacing="0" w:after="0" w:afterAutospacing="0"/>
              <w:ind w:left="0" w:right="0"/>
              <w:rPr>
                <w:rFonts w:hint="default"/>
                <w:color w:val="auto"/>
              </w:rPr>
            </w:pPr>
            <w:r>
              <w:rPr>
                <w:rFonts w:hint="default"/>
                <w:color w:val="auto"/>
              </w:rPr>
              <w:t>恒盛兴177</w:t>
            </w:r>
          </w:p>
        </w:tc>
        <w:tc>
          <w:tcPr>
            <w:tcW w:w="1043" w:type="dxa"/>
            <w:tcMar>
              <w:left w:w="0" w:type="dxa"/>
              <w:right w:w="0" w:type="dxa"/>
            </w:tcMar>
            <w:vAlign w:val="center"/>
          </w:tcPr>
          <w:p w14:paraId="549718B6">
            <w:pPr>
              <w:pStyle w:val="77"/>
              <w:keepNext w:val="0"/>
              <w:keepLines w:val="0"/>
              <w:suppressLineNumbers w:val="0"/>
              <w:spacing w:before="0" w:beforeAutospacing="0" w:after="0" w:afterAutospacing="0"/>
              <w:ind w:left="0" w:right="0"/>
              <w:rPr>
                <w:rFonts w:hint="default"/>
                <w:color w:val="auto"/>
              </w:rPr>
            </w:pPr>
            <w:r>
              <w:rPr>
                <w:rFonts w:hint="default"/>
                <w:color w:val="auto"/>
              </w:rPr>
              <w:t>小事故</w:t>
            </w:r>
          </w:p>
        </w:tc>
        <w:tc>
          <w:tcPr>
            <w:tcW w:w="837" w:type="dxa"/>
            <w:tcMar>
              <w:left w:w="0" w:type="dxa"/>
              <w:right w:w="0" w:type="dxa"/>
            </w:tcMar>
            <w:vAlign w:val="center"/>
          </w:tcPr>
          <w:p w14:paraId="439BEAFD">
            <w:pPr>
              <w:pStyle w:val="77"/>
              <w:keepNext w:val="0"/>
              <w:keepLines w:val="0"/>
              <w:suppressLineNumbers w:val="0"/>
              <w:spacing w:before="0" w:beforeAutospacing="0" w:after="0" w:afterAutospacing="0"/>
              <w:ind w:left="0" w:right="0"/>
              <w:rPr>
                <w:rFonts w:hint="default"/>
                <w:color w:val="auto"/>
              </w:rPr>
            </w:pPr>
            <w:r>
              <w:rPr>
                <w:rFonts w:hint="default"/>
                <w:color w:val="auto"/>
              </w:rPr>
              <w:t>操作</w:t>
            </w:r>
          </w:p>
        </w:tc>
        <w:tc>
          <w:tcPr>
            <w:tcW w:w="3726" w:type="dxa"/>
            <w:tcMar>
              <w:left w:w="0" w:type="dxa"/>
              <w:right w:w="0" w:type="dxa"/>
            </w:tcMar>
            <w:vAlign w:val="center"/>
          </w:tcPr>
          <w:p w14:paraId="4F92C2D4">
            <w:pPr>
              <w:pStyle w:val="77"/>
              <w:keepNext w:val="0"/>
              <w:keepLines w:val="0"/>
              <w:suppressLineNumbers w:val="0"/>
              <w:spacing w:before="0" w:beforeAutospacing="0" w:after="0" w:afterAutospacing="0"/>
              <w:ind w:left="0" w:right="0"/>
              <w:rPr>
                <w:rFonts w:hint="default"/>
                <w:color w:val="auto"/>
              </w:rPr>
            </w:pPr>
            <w:r>
              <w:rPr>
                <w:rFonts w:hint="default"/>
                <w:color w:val="auto"/>
              </w:rPr>
              <w:t>排放污油</w:t>
            </w:r>
          </w:p>
        </w:tc>
        <w:tc>
          <w:tcPr>
            <w:tcW w:w="3349" w:type="dxa"/>
            <w:tcMar>
              <w:left w:w="0" w:type="dxa"/>
              <w:right w:w="0" w:type="dxa"/>
            </w:tcMar>
            <w:vAlign w:val="center"/>
          </w:tcPr>
          <w:p w14:paraId="4C490D77">
            <w:pPr>
              <w:pStyle w:val="77"/>
              <w:keepNext w:val="0"/>
              <w:keepLines w:val="0"/>
              <w:suppressLineNumbers w:val="0"/>
              <w:spacing w:before="0" w:beforeAutospacing="0" w:after="0" w:afterAutospacing="0"/>
              <w:ind w:left="0" w:right="0"/>
              <w:rPr>
                <w:rFonts w:hint="default"/>
                <w:color w:val="auto"/>
              </w:rPr>
            </w:pPr>
            <w:r>
              <w:rPr>
                <w:rFonts w:hint="default"/>
                <w:color w:val="auto"/>
              </w:rPr>
              <w:t>钦州水产码头</w:t>
            </w:r>
          </w:p>
        </w:tc>
        <w:tc>
          <w:tcPr>
            <w:tcW w:w="1014" w:type="dxa"/>
            <w:tcMar>
              <w:left w:w="0" w:type="dxa"/>
              <w:right w:w="0" w:type="dxa"/>
            </w:tcMar>
            <w:vAlign w:val="center"/>
          </w:tcPr>
          <w:p w14:paraId="29966EE4">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r>
      <w:tr w14:paraId="58DA39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3A37310F">
            <w:pPr>
              <w:pStyle w:val="77"/>
              <w:keepNext w:val="0"/>
              <w:keepLines w:val="0"/>
              <w:suppressLineNumbers w:val="0"/>
              <w:spacing w:before="0" w:beforeAutospacing="0" w:after="0" w:afterAutospacing="0"/>
              <w:ind w:left="0" w:right="0"/>
              <w:rPr>
                <w:rFonts w:hint="default"/>
                <w:color w:val="auto"/>
              </w:rPr>
            </w:pPr>
            <w:r>
              <w:rPr>
                <w:rFonts w:hint="default"/>
                <w:color w:val="auto"/>
              </w:rPr>
              <w:t>3</w:t>
            </w:r>
          </w:p>
        </w:tc>
        <w:tc>
          <w:tcPr>
            <w:tcW w:w="1161" w:type="dxa"/>
            <w:tcMar>
              <w:left w:w="0" w:type="dxa"/>
              <w:right w:w="0" w:type="dxa"/>
            </w:tcMar>
            <w:vAlign w:val="center"/>
          </w:tcPr>
          <w:p w14:paraId="7261D667">
            <w:pPr>
              <w:pStyle w:val="77"/>
              <w:keepNext w:val="0"/>
              <w:keepLines w:val="0"/>
              <w:suppressLineNumbers w:val="0"/>
              <w:spacing w:before="0" w:beforeAutospacing="0" w:after="0" w:afterAutospacing="0"/>
              <w:ind w:left="0" w:right="0"/>
              <w:rPr>
                <w:rFonts w:hint="default"/>
                <w:color w:val="auto"/>
              </w:rPr>
            </w:pPr>
            <w:r>
              <w:rPr>
                <w:rFonts w:hint="default"/>
                <w:color w:val="auto"/>
              </w:rPr>
              <w:t>2004.4.11</w:t>
            </w:r>
          </w:p>
        </w:tc>
        <w:tc>
          <w:tcPr>
            <w:tcW w:w="2372" w:type="dxa"/>
            <w:tcMar>
              <w:left w:w="0" w:type="dxa"/>
              <w:right w:w="0" w:type="dxa"/>
            </w:tcMar>
            <w:vAlign w:val="center"/>
          </w:tcPr>
          <w:p w14:paraId="2E6B11F9">
            <w:pPr>
              <w:pStyle w:val="77"/>
              <w:keepNext w:val="0"/>
              <w:keepLines w:val="0"/>
              <w:suppressLineNumbers w:val="0"/>
              <w:spacing w:before="0" w:beforeAutospacing="0" w:after="0" w:afterAutospacing="0"/>
              <w:ind w:left="0" w:right="0"/>
              <w:rPr>
                <w:rFonts w:hint="default"/>
                <w:color w:val="auto"/>
              </w:rPr>
            </w:pPr>
            <w:r>
              <w:rPr>
                <w:rFonts w:hint="default"/>
                <w:color w:val="auto"/>
              </w:rPr>
              <w:t>湛南128与桂钦15808碰撞</w:t>
            </w:r>
          </w:p>
        </w:tc>
        <w:tc>
          <w:tcPr>
            <w:tcW w:w="1043" w:type="dxa"/>
            <w:tcMar>
              <w:left w:w="0" w:type="dxa"/>
              <w:right w:w="0" w:type="dxa"/>
            </w:tcMar>
            <w:vAlign w:val="center"/>
          </w:tcPr>
          <w:p w14:paraId="5C9D4E4E">
            <w:pPr>
              <w:pStyle w:val="77"/>
              <w:keepNext w:val="0"/>
              <w:keepLines w:val="0"/>
              <w:suppressLineNumbers w:val="0"/>
              <w:spacing w:before="0" w:beforeAutospacing="0" w:after="0" w:afterAutospacing="0"/>
              <w:ind w:left="0" w:right="0"/>
              <w:rPr>
                <w:rFonts w:hint="default"/>
                <w:color w:val="auto"/>
              </w:rPr>
            </w:pPr>
            <w:r>
              <w:rPr>
                <w:rFonts w:hint="default"/>
                <w:color w:val="auto"/>
              </w:rPr>
              <w:t>小事故</w:t>
            </w:r>
          </w:p>
        </w:tc>
        <w:tc>
          <w:tcPr>
            <w:tcW w:w="837" w:type="dxa"/>
            <w:tcMar>
              <w:left w:w="0" w:type="dxa"/>
              <w:right w:w="0" w:type="dxa"/>
            </w:tcMar>
            <w:vAlign w:val="center"/>
          </w:tcPr>
          <w:p w14:paraId="19D1DFCE">
            <w:pPr>
              <w:pStyle w:val="77"/>
              <w:keepNext w:val="0"/>
              <w:keepLines w:val="0"/>
              <w:suppressLineNumbers w:val="0"/>
              <w:spacing w:before="0" w:beforeAutospacing="0" w:after="0" w:afterAutospacing="0"/>
              <w:ind w:left="0" w:right="0"/>
              <w:rPr>
                <w:rFonts w:hint="default"/>
                <w:color w:val="auto"/>
              </w:rPr>
            </w:pPr>
            <w:r>
              <w:rPr>
                <w:rFonts w:hint="default"/>
                <w:color w:val="auto"/>
              </w:rPr>
              <w:t>碰撞</w:t>
            </w:r>
          </w:p>
        </w:tc>
        <w:tc>
          <w:tcPr>
            <w:tcW w:w="3726" w:type="dxa"/>
            <w:tcMar>
              <w:left w:w="0" w:type="dxa"/>
              <w:right w:w="0" w:type="dxa"/>
            </w:tcMar>
            <w:vAlign w:val="center"/>
          </w:tcPr>
          <w:p w14:paraId="238390AB">
            <w:pPr>
              <w:pStyle w:val="77"/>
              <w:keepNext w:val="0"/>
              <w:keepLines w:val="0"/>
              <w:suppressLineNumbers w:val="0"/>
              <w:spacing w:before="0" w:beforeAutospacing="0" w:after="0" w:afterAutospacing="0"/>
              <w:ind w:left="0" w:right="0"/>
              <w:rPr>
                <w:rFonts w:hint="default"/>
                <w:color w:val="auto"/>
              </w:rPr>
            </w:pPr>
            <w:r>
              <w:rPr>
                <w:rFonts w:hint="default"/>
                <w:color w:val="auto"/>
              </w:rPr>
              <w:t>不明</w:t>
            </w:r>
          </w:p>
        </w:tc>
        <w:tc>
          <w:tcPr>
            <w:tcW w:w="3349" w:type="dxa"/>
            <w:tcMar>
              <w:left w:w="0" w:type="dxa"/>
              <w:right w:w="0" w:type="dxa"/>
            </w:tcMar>
            <w:vAlign w:val="center"/>
          </w:tcPr>
          <w:p w14:paraId="0951B7C2">
            <w:pPr>
              <w:pStyle w:val="77"/>
              <w:keepNext w:val="0"/>
              <w:keepLines w:val="0"/>
              <w:suppressLineNumbers w:val="0"/>
              <w:spacing w:before="0" w:beforeAutospacing="0" w:after="0" w:afterAutospacing="0"/>
              <w:ind w:left="0" w:right="0"/>
              <w:rPr>
                <w:rFonts w:hint="default"/>
                <w:color w:val="auto"/>
              </w:rPr>
            </w:pPr>
            <w:r>
              <w:rPr>
                <w:rFonts w:hint="default"/>
                <w:color w:val="auto"/>
              </w:rPr>
              <w:t>21</w:t>
            </w:r>
            <w:r>
              <w:rPr>
                <w:rFonts w:hint="eastAsia" w:ascii="宋体" w:hAnsi="宋体" w:cs="宋体"/>
                <w:color w:val="auto"/>
              </w:rPr>
              <w:t>︒</w:t>
            </w:r>
            <w:r>
              <w:rPr>
                <w:rFonts w:hint="default"/>
                <w:color w:val="auto"/>
              </w:rPr>
              <w:t>40＇818N/108</w:t>
            </w:r>
            <w:r>
              <w:rPr>
                <w:rFonts w:hint="eastAsia" w:ascii="宋体" w:hAnsi="宋体" w:cs="宋体"/>
                <w:color w:val="auto"/>
              </w:rPr>
              <w:t>︒</w:t>
            </w:r>
            <w:r>
              <w:rPr>
                <w:rFonts w:hint="default"/>
                <w:color w:val="auto"/>
              </w:rPr>
              <w:t>36＇058E</w:t>
            </w:r>
          </w:p>
        </w:tc>
        <w:tc>
          <w:tcPr>
            <w:tcW w:w="1014" w:type="dxa"/>
            <w:tcMar>
              <w:left w:w="0" w:type="dxa"/>
              <w:right w:w="0" w:type="dxa"/>
            </w:tcMar>
            <w:vAlign w:val="center"/>
          </w:tcPr>
          <w:p w14:paraId="1F033378">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r>
      <w:tr w14:paraId="1865F5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46E03C22">
            <w:pPr>
              <w:pStyle w:val="77"/>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1161" w:type="dxa"/>
            <w:tcMar>
              <w:left w:w="0" w:type="dxa"/>
              <w:right w:w="0" w:type="dxa"/>
            </w:tcMar>
            <w:vAlign w:val="center"/>
          </w:tcPr>
          <w:p w14:paraId="236FBBDF">
            <w:pPr>
              <w:pStyle w:val="77"/>
              <w:keepNext w:val="0"/>
              <w:keepLines w:val="0"/>
              <w:suppressLineNumbers w:val="0"/>
              <w:spacing w:before="0" w:beforeAutospacing="0" w:after="0" w:afterAutospacing="0"/>
              <w:ind w:left="0" w:right="0"/>
              <w:rPr>
                <w:rFonts w:hint="default"/>
                <w:color w:val="auto"/>
              </w:rPr>
            </w:pPr>
            <w:r>
              <w:rPr>
                <w:rFonts w:hint="default"/>
                <w:color w:val="auto"/>
              </w:rPr>
              <w:t>2004.12.18</w:t>
            </w:r>
          </w:p>
        </w:tc>
        <w:tc>
          <w:tcPr>
            <w:tcW w:w="2372" w:type="dxa"/>
            <w:tcMar>
              <w:left w:w="0" w:type="dxa"/>
              <w:right w:w="0" w:type="dxa"/>
            </w:tcMar>
            <w:vAlign w:val="center"/>
          </w:tcPr>
          <w:p w14:paraId="1087137C">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c>
          <w:tcPr>
            <w:tcW w:w="1043" w:type="dxa"/>
            <w:tcMar>
              <w:left w:w="0" w:type="dxa"/>
              <w:right w:w="0" w:type="dxa"/>
            </w:tcMar>
            <w:vAlign w:val="center"/>
          </w:tcPr>
          <w:p w14:paraId="29033BBD">
            <w:pPr>
              <w:pStyle w:val="77"/>
              <w:keepNext w:val="0"/>
              <w:keepLines w:val="0"/>
              <w:suppressLineNumbers w:val="0"/>
              <w:spacing w:before="0" w:beforeAutospacing="0" w:after="0" w:afterAutospacing="0"/>
              <w:ind w:left="0" w:right="0"/>
              <w:rPr>
                <w:rFonts w:hint="default"/>
                <w:color w:val="auto"/>
              </w:rPr>
            </w:pPr>
            <w:r>
              <w:rPr>
                <w:rFonts w:hint="default"/>
                <w:color w:val="auto"/>
              </w:rPr>
              <w:t>一般事故</w:t>
            </w:r>
          </w:p>
        </w:tc>
        <w:tc>
          <w:tcPr>
            <w:tcW w:w="837" w:type="dxa"/>
            <w:tcMar>
              <w:left w:w="0" w:type="dxa"/>
              <w:right w:w="0" w:type="dxa"/>
            </w:tcMar>
            <w:vAlign w:val="center"/>
          </w:tcPr>
          <w:p w14:paraId="7C178445">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c>
          <w:tcPr>
            <w:tcW w:w="3726" w:type="dxa"/>
            <w:tcMar>
              <w:left w:w="0" w:type="dxa"/>
              <w:right w:w="0" w:type="dxa"/>
            </w:tcMar>
            <w:vAlign w:val="center"/>
          </w:tcPr>
          <w:p w14:paraId="2D3A3744">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c>
          <w:tcPr>
            <w:tcW w:w="3349" w:type="dxa"/>
            <w:tcMar>
              <w:left w:w="0" w:type="dxa"/>
              <w:right w:w="0" w:type="dxa"/>
            </w:tcMar>
            <w:vAlign w:val="center"/>
          </w:tcPr>
          <w:p w14:paraId="2D66EA45">
            <w:pPr>
              <w:pStyle w:val="77"/>
              <w:keepNext w:val="0"/>
              <w:keepLines w:val="0"/>
              <w:suppressLineNumbers w:val="0"/>
              <w:spacing w:before="0" w:beforeAutospacing="0" w:after="0" w:afterAutospacing="0"/>
              <w:ind w:left="0" w:right="0"/>
              <w:rPr>
                <w:rFonts w:hint="default"/>
                <w:color w:val="auto"/>
              </w:rPr>
            </w:pPr>
            <w:r>
              <w:rPr>
                <w:rFonts w:hint="default"/>
                <w:color w:val="auto"/>
              </w:rPr>
              <w:t>钦州港宏基码头附近水域</w:t>
            </w:r>
          </w:p>
        </w:tc>
        <w:tc>
          <w:tcPr>
            <w:tcW w:w="1014" w:type="dxa"/>
            <w:tcMar>
              <w:left w:w="0" w:type="dxa"/>
              <w:right w:w="0" w:type="dxa"/>
            </w:tcMar>
            <w:vAlign w:val="center"/>
          </w:tcPr>
          <w:p w14:paraId="6036263E">
            <w:pPr>
              <w:pStyle w:val="77"/>
              <w:keepNext w:val="0"/>
              <w:keepLines w:val="0"/>
              <w:suppressLineNumbers w:val="0"/>
              <w:spacing w:before="0" w:beforeAutospacing="0" w:after="0" w:afterAutospacing="0"/>
              <w:ind w:left="0" w:right="0"/>
              <w:rPr>
                <w:rFonts w:hint="default"/>
                <w:color w:val="auto"/>
              </w:rPr>
            </w:pPr>
            <w:r>
              <w:rPr>
                <w:rFonts w:hint="default"/>
                <w:color w:val="auto"/>
              </w:rPr>
              <w:t>0#柴油，约1t</w:t>
            </w:r>
          </w:p>
        </w:tc>
      </w:tr>
      <w:tr w14:paraId="760AA1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1A93E583">
            <w:pPr>
              <w:pStyle w:val="77"/>
              <w:keepNext w:val="0"/>
              <w:keepLines w:val="0"/>
              <w:suppressLineNumbers w:val="0"/>
              <w:spacing w:before="0" w:beforeAutospacing="0" w:after="0" w:afterAutospacing="0"/>
              <w:ind w:left="0" w:right="0"/>
              <w:rPr>
                <w:rFonts w:hint="default"/>
                <w:color w:val="auto"/>
              </w:rPr>
            </w:pPr>
            <w:r>
              <w:rPr>
                <w:rFonts w:hint="default"/>
                <w:color w:val="auto"/>
              </w:rPr>
              <w:t>5</w:t>
            </w:r>
          </w:p>
        </w:tc>
        <w:tc>
          <w:tcPr>
            <w:tcW w:w="1161" w:type="dxa"/>
            <w:tcMar>
              <w:left w:w="0" w:type="dxa"/>
              <w:right w:w="0" w:type="dxa"/>
            </w:tcMar>
            <w:vAlign w:val="center"/>
          </w:tcPr>
          <w:p w14:paraId="36D887DD">
            <w:pPr>
              <w:pStyle w:val="77"/>
              <w:keepNext w:val="0"/>
              <w:keepLines w:val="0"/>
              <w:suppressLineNumbers w:val="0"/>
              <w:spacing w:before="0" w:beforeAutospacing="0" w:after="0" w:afterAutospacing="0"/>
              <w:ind w:left="0" w:right="0"/>
              <w:rPr>
                <w:rFonts w:hint="default"/>
                <w:color w:val="auto"/>
              </w:rPr>
            </w:pPr>
            <w:r>
              <w:rPr>
                <w:rFonts w:hint="default"/>
                <w:color w:val="auto"/>
              </w:rPr>
              <w:t>2005.1.19</w:t>
            </w:r>
          </w:p>
        </w:tc>
        <w:tc>
          <w:tcPr>
            <w:tcW w:w="2372" w:type="dxa"/>
            <w:tcMar>
              <w:left w:w="0" w:type="dxa"/>
              <w:right w:w="0" w:type="dxa"/>
            </w:tcMar>
            <w:vAlign w:val="center"/>
          </w:tcPr>
          <w:p w14:paraId="2BE108BF">
            <w:pPr>
              <w:pStyle w:val="77"/>
              <w:keepNext w:val="0"/>
              <w:keepLines w:val="0"/>
              <w:suppressLineNumbers w:val="0"/>
              <w:spacing w:before="0" w:beforeAutospacing="0" w:after="0" w:afterAutospacing="0"/>
              <w:ind w:left="0" w:right="0"/>
              <w:rPr>
                <w:rFonts w:hint="default"/>
                <w:color w:val="auto"/>
              </w:rPr>
            </w:pPr>
            <w:r>
              <w:rPr>
                <w:rFonts w:hint="default"/>
                <w:color w:val="auto"/>
              </w:rPr>
              <w:t>永德胜689碰撞桂钦渔11632</w:t>
            </w:r>
          </w:p>
        </w:tc>
        <w:tc>
          <w:tcPr>
            <w:tcW w:w="1043" w:type="dxa"/>
            <w:tcMar>
              <w:left w:w="0" w:type="dxa"/>
              <w:right w:w="0" w:type="dxa"/>
            </w:tcMar>
            <w:vAlign w:val="center"/>
          </w:tcPr>
          <w:p w14:paraId="73194A98">
            <w:pPr>
              <w:pStyle w:val="77"/>
              <w:keepNext w:val="0"/>
              <w:keepLines w:val="0"/>
              <w:suppressLineNumbers w:val="0"/>
              <w:spacing w:before="0" w:beforeAutospacing="0" w:after="0" w:afterAutospacing="0"/>
              <w:ind w:left="0" w:right="0"/>
              <w:rPr>
                <w:rFonts w:hint="default"/>
                <w:color w:val="auto"/>
              </w:rPr>
            </w:pPr>
            <w:r>
              <w:rPr>
                <w:rFonts w:hint="default"/>
                <w:color w:val="auto"/>
              </w:rPr>
              <w:t>一般事故</w:t>
            </w:r>
          </w:p>
        </w:tc>
        <w:tc>
          <w:tcPr>
            <w:tcW w:w="837" w:type="dxa"/>
            <w:tcMar>
              <w:left w:w="0" w:type="dxa"/>
              <w:right w:w="0" w:type="dxa"/>
            </w:tcMar>
            <w:vAlign w:val="center"/>
          </w:tcPr>
          <w:p w14:paraId="2C4FA6CD">
            <w:pPr>
              <w:pStyle w:val="77"/>
              <w:keepNext w:val="0"/>
              <w:keepLines w:val="0"/>
              <w:suppressLineNumbers w:val="0"/>
              <w:spacing w:before="0" w:beforeAutospacing="0" w:after="0" w:afterAutospacing="0"/>
              <w:ind w:left="0" w:right="0"/>
              <w:rPr>
                <w:rFonts w:hint="default"/>
                <w:color w:val="auto"/>
              </w:rPr>
            </w:pPr>
            <w:r>
              <w:rPr>
                <w:rFonts w:hint="default"/>
                <w:color w:val="auto"/>
              </w:rPr>
              <w:t>碰撞</w:t>
            </w:r>
          </w:p>
        </w:tc>
        <w:tc>
          <w:tcPr>
            <w:tcW w:w="3726" w:type="dxa"/>
            <w:tcMar>
              <w:left w:w="0" w:type="dxa"/>
              <w:right w:w="0" w:type="dxa"/>
            </w:tcMar>
            <w:vAlign w:val="center"/>
          </w:tcPr>
          <w:p w14:paraId="06BECA70">
            <w:pPr>
              <w:pStyle w:val="77"/>
              <w:keepNext w:val="0"/>
              <w:keepLines w:val="0"/>
              <w:suppressLineNumbers w:val="0"/>
              <w:spacing w:before="0" w:beforeAutospacing="0" w:after="0" w:afterAutospacing="0"/>
              <w:ind w:left="0" w:right="0"/>
              <w:rPr>
                <w:rFonts w:hint="default"/>
                <w:color w:val="auto"/>
              </w:rPr>
            </w:pPr>
            <w:r>
              <w:rPr>
                <w:rFonts w:hint="default"/>
                <w:color w:val="auto"/>
              </w:rPr>
              <w:t>未采用安全航速，为保持正规瞭望，避开措施错误</w:t>
            </w:r>
          </w:p>
        </w:tc>
        <w:tc>
          <w:tcPr>
            <w:tcW w:w="3349" w:type="dxa"/>
            <w:tcMar>
              <w:left w:w="0" w:type="dxa"/>
              <w:right w:w="0" w:type="dxa"/>
            </w:tcMar>
            <w:vAlign w:val="center"/>
          </w:tcPr>
          <w:p w14:paraId="6068D47F">
            <w:pPr>
              <w:pStyle w:val="77"/>
              <w:keepNext w:val="0"/>
              <w:keepLines w:val="0"/>
              <w:suppressLineNumbers w:val="0"/>
              <w:spacing w:before="0" w:beforeAutospacing="0" w:after="0" w:afterAutospacing="0"/>
              <w:ind w:left="0" w:right="0"/>
              <w:rPr>
                <w:rFonts w:hint="default"/>
                <w:color w:val="auto"/>
              </w:rPr>
            </w:pPr>
            <w:r>
              <w:rPr>
                <w:rFonts w:hint="default"/>
                <w:color w:val="auto"/>
              </w:rPr>
              <w:t>21</w:t>
            </w:r>
            <w:r>
              <w:rPr>
                <w:rFonts w:hint="eastAsia" w:ascii="宋体" w:hAnsi="宋体" w:cs="宋体"/>
                <w:color w:val="auto"/>
              </w:rPr>
              <w:t>︒</w:t>
            </w:r>
            <w:r>
              <w:rPr>
                <w:rFonts w:hint="default"/>
                <w:color w:val="auto"/>
              </w:rPr>
              <w:t>41＇027N/108</w:t>
            </w:r>
            <w:r>
              <w:rPr>
                <w:rFonts w:hint="eastAsia" w:ascii="宋体" w:hAnsi="宋体" w:cs="宋体"/>
                <w:color w:val="auto"/>
              </w:rPr>
              <w:t>︒</w:t>
            </w:r>
            <w:r>
              <w:rPr>
                <w:rFonts w:hint="default"/>
                <w:color w:val="auto"/>
              </w:rPr>
              <w:t>35＇171E</w:t>
            </w:r>
          </w:p>
        </w:tc>
        <w:tc>
          <w:tcPr>
            <w:tcW w:w="1014" w:type="dxa"/>
            <w:tcMar>
              <w:left w:w="0" w:type="dxa"/>
              <w:right w:w="0" w:type="dxa"/>
            </w:tcMar>
            <w:vAlign w:val="center"/>
          </w:tcPr>
          <w:p w14:paraId="30ACF39D">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r>
      <w:tr w14:paraId="6EA766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10F3F844">
            <w:pPr>
              <w:pStyle w:val="77"/>
              <w:keepNext w:val="0"/>
              <w:keepLines w:val="0"/>
              <w:suppressLineNumbers w:val="0"/>
              <w:spacing w:before="0" w:beforeAutospacing="0" w:after="0" w:afterAutospacing="0"/>
              <w:ind w:left="0" w:right="0"/>
              <w:rPr>
                <w:rFonts w:hint="default"/>
                <w:color w:val="auto"/>
              </w:rPr>
            </w:pPr>
            <w:r>
              <w:rPr>
                <w:rFonts w:hint="default"/>
                <w:color w:val="auto"/>
              </w:rPr>
              <w:t>6</w:t>
            </w:r>
          </w:p>
        </w:tc>
        <w:tc>
          <w:tcPr>
            <w:tcW w:w="1161" w:type="dxa"/>
            <w:tcMar>
              <w:left w:w="0" w:type="dxa"/>
              <w:right w:w="0" w:type="dxa"/>
            </w:tcMar>
            <w:vAlign w:val="center"/>
          </w:tcPr>
          <w:p w14:paraId="7A880E75">
            <w:pPr>
              <w:pStyle w:val="77"/>
              <w:keepNext w:val="0"/>
              <w:keepLines w:val="0"/>
              <w:suppressLineNumbers w:val="0"/>
              <w:spacing w:before="0" w:beforeAutospacing="0" w:after="0" w:afterAutospacing="0"/>
              <w:ind w:left="0" w:right="0"/>
              <w:rPr>
                <w:rFonts w:hint="default"/>
                <w:color w:val="auto"/>
              </w:rPr>
            </w:pPr>
            <w:r>
              <w:rPr>
                <w:rFonts w:hint="default"/>
                <w:color w:val="auto"/>
              </w:rPr>
              <w:t>2005.1.25</w:t>
            </w:r>
          </w:p>
        </w:tc>
        <w:tc>
          <w:tcPr>
            <w:tcW w:w="2372" w:type="dxa"/>
            <w:tcMar>
              <w:left w:w="0" w:type="dxa"/>
              <w:right w:w="0" w:type="dxa"/>
            </w:tcMar>
            <w:vAlign w:val="center"/>
          </w:tcPr>
          <w:p w14:paraId="509FA2D4">
            <w:pPr>
              <w:pStyle w:val="77"/>
              <w:keepNext w:val="0"/>
              <w:keepLines w:val="0"/>
              <w:suppressLineNumbers w:val="0"/>
              <w:spacing w:before="0" w:beforeAutospacing="0" w:after="0" w:afterAutospacing="0"/>
              <w:ind w:left="0" w:right="0"/>
              <w:rPr>
                <w:rFonts w:hint="default"/>
                <w:color w:val="auto"/>
              </w:rPr>
            </w:pPr>
            <w:r>
              <w:rPr>
                <w:rFonts w:hint="default"/>
                <w:color w:val="auto"/>
              </w:rPr>
              <w:t>徐和108自沉事故</w:t>
            </w:r>
          </w:p>
        </w:tc>
        <w:tc>
          <w:tcPr>
            <w:tcW w:w="1043" w:type="dxa"/>
            <w:tcMar>
              <w:left w:w="0" w:type="dxa"/>
              <w:right w:w="0" w:type="dxa"/>
            </w:tcMar>
            <w:vAlign w:val="center"/>
          </w:tcPr>
          <w:p w14:paraId="17367077">
            <w:pPr>
              <w:pStyle w:val="77"/>
              <w:keepNext w:val="0"/>
              <w:keepLines w:val="0"/>
              <w:suppressLineNumbers w:val="0"/>
              <w:spacing w:before="0" w:beforeAutospacing="0" w:after="0" w:afterAutospacing="0"/>
              <w:ind w:left="0" w:right="0"/>
              <w:rPr>
                <w:rFonts w:hint="default"/>
                <w:color w:val="auto"/>
              </w:rPr>
            </w:pPr>
            <w:r>
              <w:rPr>
                <w:rFonts w:hint="default"/>
                <w:color w:val="auto"/>
              </w:rPr>
              <w:t>一般事故</w:t>
            </w:r>
          </w:p>
        </w:tc>
        <w:tc>
          <w:tcPr>
            <w:tcW w:w="837" w:type="dxa"/>
            <w:tcMar>
              <w:left w:w="0" w:type="dxa"/>
              <w:right w:w="0" w:type="dxa"/>
            </w:tcMar>
            <w:vAlign w:val="center"/>
          </w:tcPr>
          <w:p w14:paraId="1E8549B8">
            <w:pPr>
              <w:pStyle w:val="77"/>
              <w:keepNext w:val="0"/>
              <w:keepLines w:val="0"/>
              <w:suppressLineNumbers w:val="0"/>
              <w:spacing w:before="0" w:beforeAutospacing="0" w:after="0" w:afterAutospacing="0"/>
              <w:ind w:left="0" w:right="0"/>
              <w:rPr>
                <w:rFonts w:hint="default"/>
                <w:color w:val="auto"/>
              </w:rPr>
            </w:pPr>
            <w:r>
              <w:rPr>
                <w:rFonts w:hint="default"/>
                <w:color w:val="auto"/>
              </w:rPr>
              <w:t>自沉</w:t>
            </w:r>
          </w:p>
        </w:tc>
        <w:tc>
          <w:tcPr>
            <w:tcW w:w="3726" w:type="dxa"/>
            <w:tcMar>
              <w:left w:w="0" w:type="dxa"/>
              <w:right w:w="0" w:type="dxa"/>
            </w:tcMar>
            <w:vAlign w:val="center"/>
          </w:tcPr>
          <w:p w14:paraId="7A69CC11">
            <w:pPr>
              <w:pStyle w:val="77"/>
              <w:keepNext w:val="0"/>
              <w:keepLines w:val="0"/>
              <w:suppressLineNumbers w:val="0"/>
              <w:spacing w:before="0" w:beforeAutospacing="0" w:after="0" w:afterAutospacing="0"/>
              <w:ind w:left="0" w:right="0"/>
              <w:rPr>
                <w:rFonts w:hint="default"/>
                <w:color w:val="auto"/>
              </w:rPr>
            </w:pPr>
            <w:r>
              <w:rPr>
                <w:rFonts w:hint="default"/>
                <w:color w:val="auto"/>
              </w:rPr>
              <w:t>不明</w:t>
            </w:r>
          </w:p>
        </w:tc>
        <w:tc>
          <w:tcPr>
            <w:tcW w:w="3349" w:type="dxa"/>
            <w:tcMar>
              <w:left w:w="0" w:type="dxa"/>
              <w:right w:w="0" w:type="dxa"/>
            </w:tcMar>
            <w:vAlign w:val="center"/>
          </w:tcPr>
          <w:p w14:paraId="47C6992B">
            <w:pPr>
              <w:pStyle w:val="77"/>
              <w:keepNext w:val="0"/>
              <w:keepLines w:val="0"/>
              <w:suppressLineNumbers w:val="0"/>
              <w:spacing w:before="0" w:beforeAutospacing="0" w:after="0" w:afterAutospacing="0"/>
              <w:ind w:left="0" w:right="0"/>
              <w:rPr>
                <w:rFonts w:hint="default"/>
                <w:color w:val="auto"/>
              </w:rPr>
            </w:pPr>
            <w:r>
              <w:rPr>
                <w:rFonts w:hint="default"/>
                <w:color w:val="auto"/>
              </w:rPr>
              <w:t>21</w:t>
            </w:r>
            <w:r>
              <w:rPr>
                <w:rFonts w:hint="eastAsia" w:ascii="宋体" w:hAnsi="宋体" w:cs="宋体"/>
                <w:color w:val="auto"/>
              </w:rPr>
              <w:t>︒</w:t>
            </w:r>
            <w:r>
              <w:rPr>
                <w:rFonts w:hint="default"/>
                <w:color w:val="auto"/>
              </w:rPr>
              <w:t>41＇027N/108</w:t>
            </w:r>
            <w:r>
              <w:rPr>
                <w:rFonts w:hint="eastAsia" w:ascii="宋体" w:hAnsi="宋体" w:cs="宋体"/>
                <w:color w:val="auto"/>
              </w:rPr>
              <w:t>︒</w:t>
            </w:r>
            <w:r>
              <w:rPr>
                <w:rFonts w:hint="default"/>
                <w:color w:val="auto"/>
              </w:rPr>
              <w:t>35＇171E</w:t>
            </w:r>
          </w:p>
        </w:tc>
        <w:tc>
          <w:tcPr>
            <w:tcW w:w="1014" w:type="dxa"/>
            <w:tcMar>
              <w:left w:w="0" w:type="dxa"/>
              <w:right w:w="0" w:type="dxa"/>
            </w:tcMar>
            <w:vAlign w:val="center"/>
          </w:tcPr>
          <w:p w14:paraId="28EEDD2A">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r>
      <w:tr w14:paraId="13F9BD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2709B456">
            <w:pPr>
              <w:pStyle w:val="77"/>
              <w:keepNext w:val="0"/>
              <w:keepLines w:val="0"/>
              <w:suppressLineNumbers w:val="0"/>
              <w:spacing w:before="0" w:beforeAutospacing="0" w:after="0" w:afterAutospacing="0"/>
              <w:ind w:left="0" w:right="0"/>
              <w:rPr>
                <w:rFonts w:hint="default"/>
                <w:color w:val="auto"/>
              </w:rPr>
            </w:pPr>
            <w:r>
              <w:rPr>
                <w:rFonts w:hint="default"/>
                <w:color w:val="auto"/>
              </w:rPr>
              <w:t>7</w:t>
            </w:r>
          </w:p>
        </w:tc>
        <w:tc>
          <w:tcPr>
            <w:tcW w:w="1161" w:type="dxa"/>
            <w:tcMar>
              <w:left w:w="0" w:type="dxa"/>
              <w:right w:w="0" w:type="dxa"/>
            </w:tcMar>
            <w:vAlign w:val="center"/>
          </w:tcPr>
          <w:p w14:paraId="3A58050F">
            <w:pPr>
              <w:pStyle w:val="77"/>
              <w:keepNext w:val="0"/>
              <w:keepLines w:val="0"/>
              <w:suppressLineNumbers w:val="0"/>
              <w:spacing w:before="0" w:beforeAutospacing="0" w:after="0" w:afterAutospacing="0"/>
              <w:ind w:left="0" w:right="0"/>
              <w:rPr>
                <w:rFonts w:hint="default"/>
                <w:color w:val="auto"/>
              </w:rPr>
            </w:pPr>
            <w:r>
              <w:rPr>
                <w:rFonts w:hint="default"/>
                <w:color w:val="auto"/>
              </w:rPr>
              <w:t>2005.2.19</w:t>
            </w:r>
          </w:p>
        </w:tc>
        <w:tc>
          <w:tcPr>
            <w:tcW w:w="2372" w:type="dxa"/>
            <w:tcMar>
              <w:left w:w="0" w:type="dxa"/>
              <w:right w:w="0" w:type="dxa"/>
            </w:tcMar>
            <w:vAlign w:val="center"/>
          </w:tcPr>
          <w:p w14:paraId="5DC6E4AB">
            <w:pPr>
              <w:pStyle w:val="77"/>
              <w:keepNext w:val="0"/>
              <w:keepLines w:val="0"/>
              <w:suppressLineNumbers w:val="0"/>
              <w:spacing w:before="0" w:beforeAutospacing="0" w:after="0" w:afterAutospacing="0"/>
              <w:ind w:left="0" w:right="0"/>
              <w:rPr>
                <w:rFonts w:hint="default"/>
                <w:color w:val="auto"/>
              </w:rPr>
            </w:pPr>
            <w:r>
              <w:rPr>
                <w:rFonts w:hint="default"/>
                <w:color w:val="auto"/>
              </w:rPr>
              <w:t>浙海308大风浪中翻沉</w:t>
            </w:r>
          </w:p>
        </w:tc>
        <w:tc>
          <w:tcPr>
            <w:tcW w:w="1043" w:type="dxa"/>
            <w:tcMar>
              <w:left w:w="0" w:type="dxa"/>
              <w:right w:w="0" w:type="dxa"/>
            </w:tcMar>
            <w:vAlign w:val="center"/>
          </w:tcPr>
          <w:p w14:paraId="323F5441">
            <w:pPr>
              <w:pStyle w:val="77"/>
              <w:keepNext w:val="0"/>
              <w:keepLines w:val="0"/>
              <w:suppressLineNumbers w:val="0"/>
              <w:spacing w:before="0" w:beforeAutospacing="0" w:after="0" w:afterAutospacing="0"/>
              <w:ind w:left="0" w:right="0"/>
              <w:rPr>
                <w:rFonts w:hint="default"/>
                <w:color w:val="auto"/>
              </w:rPr>
            </w:pPr>
            <w:r>
              <w:rPr>
                <w:rFonts w:hint="default"/>
                <w:color w:val="auto"/>
              </w:rPr>
              <w:t>重大</w:t>
            </w:r>
          </w:p>
        </w:tc>
        <w:tc>
          <w:tcPr>
            <w:tcW w:w="837" w:type="dxa"/>
            <w:tcMar>
              <w:left w:w="0" w:type="dxa"/>
              <w:right w:w="0" w:type="dxa"/>
            </w:tcMar>
            <w:vAlign w:val="center"/>
          </w:tcPr>
          <w:p w14:paraId="42901D2D">
            <w:pPr>
              <w:pStyle w:val="77"/>
              <w:keepNext w:val="0"/>
              <w:keepLines w:val="0"/>
              <w:suppressLineNumbers w:val="0"/>
              <w:spacing w:before="0" w:beforeAutospacing="0" w:after="0" w:afterAutospacing="0"/>
              <w:ind w:left="0" w:right="0"/>
              <w:rPr>
                <w:rFonts w:hint="default"/>
                <w:color w:val="auto"/>
              </w:rPr>
            </w:pPr>
            <w:r>
              <w:rPr>
                <w:rFonts w:hint="default"/>
                <w:color w:val="auto"/>
              </w:rPr>
              <w:t>风灾</w:t>
            </w:r>
          </w:p>
        </w:tc>
        <w:tc>
          <w:tcPr>
            <w:tcW w:w="3726" w:type="dxa"/>
            <w:tcMar>
              <w:left w:w="0" w:type="dxa"/>
              <w:right w:w="0" w:type="dxa"/>
            </w:tcMar>
            <w:vAlign w:val="center"/>
          </w:tcPr>
          <w:p w14:paraId="2DBC1FD7">
            <w:pPr>
              <w:pStyle w:val="77"/>
              <w:keepNext w:val="0"/>
              <w:keepLines w:val="0"/>
              <w:suppressLineNumbers w:val="0"/>
              <w:spacing w:before="0" w:beforeAutospacing="0" w:after="0" w:afterAutospacing="0"/>
              <w:ind w:left="0" w:right="0"/>
              <w:rPr>
                <w:rFonts w:hint="default"/>
                <w:color w:val="auto"/>
              </w:rPr>
            </w:pPr>
            <w:r>
              <w:rPr>
                <w:rFonts w:hint="default"/>
                <w:color w:val="auto"/>
              </w:rPr>
              <w:t>不明</w:t>
            </w:r>
          </w:p>
        </w:tc>
        <w:tc>
          <w:tcPr>
            <w:tcW w:w="3349" w:type="dxa"/>
            <w:tcMar>
              <w:left w:w="0" w:type="dxa"/>
              <w:right w:w="0" w:type="dxa"/>
            </w:tcMar>
            <w:vAlign w:val="center"/>
          </w:tcPr>
          <w:p w14:paraId="251E4270">
            <w:pPr>
              <w:pStyle w:val="77"/>
              <w:keepNext w:val="0"/>
              <w:keepLines w:val="0"/>
              <w:suppressLineNumbers w:val="0"/>
              <w:spacing w:before="0" w:beforeAutospacing="0" w:after="0" w:afterAutospacing="0"/>
              <w:ind w:left="0" w:right="0"/>
              <w:rPr>
                <w:rFonts w:hint="default"/>
                <w:color w:val="auto"/>
              </w:rPr>
            </w:pPr>
            <w:r>
              <w:rPr>
                <w:rFonts w:hint="default"/>
                <w:color w:val="auto"/>
              </w:rPr>
              <w:t>具体遇险位置不详</w:t>
            </w:r>
          </w:p>
        </w:tc>
        <w:tc>
          <w:tcPr>
            <w:tcW w:w="1014" w:type="dxa"/>
            <w:tcMar>
              <w:left w:w="0" w:type="dxa"/>
              <w:right w:w="0" w:type="dxa"/>
            </w:tcMar>
            <w:vAlign w:val="center"/>
          </w:tcPr>
          <w:p w14:paraId="14E79988">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r>
      <w:tr w14:paraId="1A58BB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6EF6923E">
            <w:pPr>
              <w:pStyle w:val="77"/>
              <w:keepNext w:val="0"/>
              <w:keepLines w:val="0"/>
              <w:suppressLineNumbers w:val="0"/>
              <w:spacing w:before="0" w:beforeAutospacing="0" w:after="0" w:afterAutospacing="0"/>
              <w:ind w:left="0" w:right="0"/>
              <w:rPr>
                <w:rFonts w:hint="default"/>
                <w:color w:val="auto"/>
              </w:rPr>
            </w:pPr>
            <w:r>
              <w:rPr>
                <w:rFonts w:hint="default"/>
                <w:color w:val="auto"/>
              </w:rPr>
              <w:t>8</w:t>
            </w:r>
          </w:p>
        </w:tc>
        <w:tc>
          <w:tcPr>
            <w:tcW w:w="1161" w:type="dxa"/>
            <w:tcMar>
              <w:left w:w="0" w:type="dxa"/>
              <w:right w:w="0" w:type="dxa"/>
            </w:tcMar>
            <w:vAlign w:val="center"/>
          </w:tcPr>
          <w:p w14:paraId="04553A21">
            <w:pPr>
              <w:pStyle w:val="77"/>
              <w:keepNext w:val="0"/>
              <w:keepLines w:val="0"/>
              <w:suppressLineNumbers w:val="0"/>
              <w:spacing w:before="0" w:beforeAutospacing="0" w:after="0" w:afterAutospacing="0"/>
              <w:ind w:left="0" w:right="0"/>
              <w:rPr>
                <w:rFonts w:hint="default"/>
                <w:color w:val="auto"/>
              </w:rPr>
            </w:pPr>
            <w:r>
              <w:rPr>
                <w:rFonts w:hint="default"/>
                <w:color w:val="auto"/>
              </w:rPr>
              <w:t>2006.5.29</w:t>
            </w:r>
          </w:p>
        </w:tc>
        <w:tc>
          <w:tcPr>
            <w:tcW w:w="2372" w:type="dxa"/>
            <w:tcMar>
              <w:left w:w="0" w:type="dxa"/>
              <w:right w:w="0" w:type="dxa"/>
            </w:tcMar>
            <w:vAlign w:val="center"/>
          </w:tcPr>
          <w:p w14:paraId="54A3C327">
            <w:pPr>
              <w:pStyle w:val="77"/>
              <w:keepNext w:val="0"/>
              <w:keepLines w:val="0"/>
              <w:suppressLineNumbers w:val="0"/>
              <w:spacing w:before="0" w:beforeAutospacing="0" w:after="0" w:afterAutospacing="0"/>
              <w:ind w:left="0" w:right="0"/>
              <w:rPr>
                <w:rFonts w:hint="default"/>
                <w:color w:val="auto"/>
              </w:rPr>
            </w:pPr>
            <w:r>
              <w:rPr>
                <w:rFonts w:hint="default"/>
                <w:color w:val="auto"/>
              </w:rPr>
              <w:t>云麟轮与桂北渔20045碰撞</w:t>
            </w:r>
          </w:p>
        </w:tc>
        <w:tc>
          <w:tcPr>
            <w:tcW w:w="1043" w:type="dxa"/>
            <w:tcMar>
              <w:left w:w="0" w:type="dxa"/>
              <w:right w:w="0" w:type="dxa"/>
            </w:tcMar>
            <w:vAlign w:val="center"/>
          </w:tcPr>
          <w:p w14:paraId="29828DBB">
            <w:pPr>
              <w:pStyle w:val="77"/>
              <w:keepNext w:val="0"/>
              <w:keepLines w:val="0"/>
              <w:suppressLineNumbers w:val="0"/>
              <w:spacing w:before="0" w:beforeAutospacing="0" w:after="0" w:afterAutospacing="0"/>
              <w:ind w:left="0" w:right="0"/>
              <w:rPr>
                <w:rFonts w:hint="default"/>
                <w:color w:val="auto"/>
              </w:rPr>
            </w:pPr>
            <w:r>
              <w:rPr>
                <w:rFonts w:hint="default"/>
                <w:color w:val="auto"/>
              </w:rPr>
              <w:t>小事故</w:t>
            </w:r>
          </w:p>
        </w:tc>
        <w:tc>
          <w:tcPr>
            <w:tcW w:w="837" w:type="dxa"/>
            <w:tcMar>
              <w:left w:w="0" w:type="dxa"/>
              <w:right w:w="0" w:type="dxa"/>
            </w:tcMar>
            <w:vAlign w:val="center"/>
          </w:tcPr>
          <w:p w14:paraId="1083FB41">
            <w:pPr>
              <w:pStyle w:val="77"/>
              <w:keepNext w:val="0"/>
              <w:keepLines w:val="0"/>
              <w:suppressLineNumbers w:val="0"/>
              <w:spacing w:before="0" w:beforeAutospacing="0" w:after="0" w:afterAutospacing="0"/>
              <w:ind w:left="0" w:right="0"/>
              <w:rPr>
                <w:rFonts w:hint="default"/>
                <w:color w:val="auto"/>
              </w:rPr>
            </w:pPr>
            <w:r>
              <w:rPr>
                <w:rFonts w:hint="default"/>
                <w:color w:val="auto"/>
              </w:rPr>
              <w:t>碰撞</w:t>
            </w:r>
          </w:p>
        </w:tc>
        <w:tc>
          <w:tcPr>
            <w:tcW w:w="3726" w:type="dxa"/>
            <w:tcMar>
              <w:left w:w="0" w:type="dxa"/>
              <w:right w:w="0" w:type="dxa"/>
            </w:tcMar>
            <w:vAlign w:val="center"/>
          </w:tcPr>
          <w:p w14:paraId="324AA88F">
            <w:pPr>
              <w:pStyle w:val="77"/>
              <w:keepNext w:val="0"/>
              <w:keepLines w:val="0"/>
              <w:suppressLineNumbers w:val="0"/>
              <w:spacing w:before="0" w:beforeAutospacing="0" w:after="0" w:afterAutospacing="0"/>
              <w:ind w:left="0" w:right="0"/>
              <w:rPr>
                <w:rFonts w:hint="default"/>
                <w:color w:val="auto"/>
              </w:rPr>
            </w:pPr>
            <w:r>
              <w:rPr>
                <w:rFonts w:hint="default"/>
                <w:color w:val="auto"/>
              </w:rPr>
              <w:t>判断错误、未保持正规瞭望</w:t>
            </w:r>
          </w:p>
        </w:tc>
        <w:tc>
          <w:tcPr>
            <w:tcW w:w="3349" w:type="dxa"/>
            <w:tcMar>
              <w:left w:w="0" w:type="dxa"/>
              <w:right w:w="0" w:type="dxa"/>
            </w:tcMar>
            <w:vAlign w:val="center"/>
          </w:tcPr>
          <w:p w14:paraId="75313569">
            <w:pPr>
              <w:pStyle w:val="77"/>
              <w:keepNext w:val="0"/>
              <w:keepLines w:val="0"/>
              <w:suppressLineNumbers w:val="0"/>
              <w:spacing w:before="0" w:beforeAutospacing="0" w:after="0" w:afterAutospacing="0"/>
              <w:ind w:left="0" w:right="0"/>
              <w:rPr>
                <w:rFonts w:hint="default"/>
                <w:color w:val="auto"/>
              </w:rPr>
            </w:pPr>
            <w:r>
              <w:rPr>
                <w:rFonts w:hint="default"/>
                <w:color w:val="auto"/>
              </w:rPr>
              <w:t>21</w:t>
            </w:r>
            <w:r>
              <w:rPr>
                <w:rFonts w:hint="eastAsia" w:ascii="宋体" w:hAnsi="宋体" w:cs="宋体"/>
                <w:color w:val="auto"/>
              </w:rPr>
              <w:t>︒</w:t>
            </w:r>
            <w:r>
              <w:rPr>
                <w:rFonts w:hint="default"/>
                <w:color w:val="auto"/>
              </w:rPr>
              <w:t>15＇10N/108</w:t>
            </w:r>
            <w:r>
              <w:rPr>
                <w:rFonts w:hint="eastAsia" w:ascii="宋体" w:hAnsi="宋体" w:cs="宋体"/>
                <w:color w:val="auto"/>
              </w:rPr>
              <w:t>︒</w:t>
            </w:r>
            <w:r>
              <w:rPr>
                <w:rFonts w:hint="default"/>
                <w:color w:val="auto"/>
              </w:rPr>
              <w:t>46＇50E</w:t>
            </w:r>
          </w:p>
        </w:tc>
        <w:tc>
          <w:tcPr>
            <w:tcW w:w="1014" w:type="dxa"/>
            <w:tcMar>
              <w:left w:w="0" w:type="dxa"/>
              <w:right w:w="0" w:type="dxa"/>
            </w:tcMar>
            <w:vAlign w:val="center"/>
          </w:tcPr>
          <w:p w14:paraId="7BDAF793">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r>
      <w:tr w14:paraId="25F3DF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590F12FD">
            <w:pPr>
              <w:pStyle w:val="77"/>
              <w:keepNext w:val="0"/>
              <w:keepLines w:val="0"/>
              <w:suppressLineNumbers w:val="0"/>
              <w:spacing w:before="0" w:beforeAutospacing="0" w:after="0" w:afterAutospacing="0"/>
              <w:ind w:left="0" w:right="0"/>
              <w:rPr>
                <w:rFonts w:hint="default"/>
                <w:color w:val="auto"/>
              </w:rPr>
            </w:pPr>
            <w:r>
              <w:rPr>
                <w:rFonts w:hint="default"/>
                <w:color w:val="auto"/>
              </w:rPr>
              <w:t>9</w:t>
            </w:r>
          </w:p>
        </w:tc>
        <w:tc>
          <w:tcPr>
            <w:tcW w:w="1161" w:type="dxa"/>
            <w:tcMar>
              <w:left w:w="0" w:type="dxa"/>
              <w:right w:w="0" w:type="dxa"/>
            </w:tcMar>
            <w:vAlign w:val="center"/>
          </w:tcPr>
          <w:p w14:paraId="32584A61">
            <w:pPr>
              <w:pStyle w:val="77"/>
              <w:keepNext w:val="0"/>
              <w:keepLines w:val="0"/>
              <w:suppressLineNumbers w:val="0"/>
              <w:spacing w:before="0" w:beforeAutospacing="0" w:after="0" w:afterAutospacing="0"/>
              <w:ind w:left="0" w:right="0"/>
              <w:rPr>
                <w:rFonts w:hint="default"/>
                <w:color w:val="auto"/>
              </w:rPr>
            </w:pPr>
            <w:r>
              <w:rPr>
                <w:rFonts w:hint="default"/>
                <w:color w:val="auto"/>
              </w:rPr>
              <w:t>2006.6.7</w:t>
            </w:r>
          </w:p>
        </w:tc>
        <w:tc>
          <w:tcPr>
            <w:tcW w:w="2372" w:type="dxa"/>
            <w:tcMar>
              <w:left w:w="0" w:type="dxa"/>
              <w:right w:w="0" w:type="dxa"/>
            </w:tcMar>
            <w:vAlign w:val="center"/>
          </w:tcPr>
          <w:p w14:paraId="002A363F">
            <w:pPr>
              <w:pStyle w:val="77"/>
              <w:keepNext w:val="0"/>
              <w:keepLines w:val="0"/>
              <w:suppressLineNumbers w:val="0"/>
              <w:spacing w:before="0" w:beforeAutospacing="0" w:after="0" w:afterAutospacing="0"/>
              <w:ind w:left="0" w:right="0"/>
              <w:rPr>
                <w:rFonts w:hint="default"/>
                <w:color w:val="auto"/>
              </w:rPr>
            </w:pPr>
            <w:r>
              <w:rPr>
                <w:rFonts w:hint="default"/>
                <w:color w:val="auto"/>
              </w:rPr>
              <w:t>越南船NO.1654沉没</w:t>
            </w:r>
          </w:p>
        </w:tc>
        <w:tc>
          <w:tcPr>
            <w:tcW w:w="1043" w:type="dxa"/>
            <w:tcMar>
              <w:left w:w="0" w:type="dxa"/>
              <w:right w:w="0" w:type="dxa"/>
            </w:tcMar>
            <w:vAlign w:val="center"/>
          </w:tcPr>
          <w:p w14:paraId="6E6FBB8B">
            <w:pPr>
              <w:pStyle w:val="77"/>
              <w:keepNext w:val="0"/>
              <w:keepLines w:val="0"/>
              <w:suppressLineNumbers w:val="0"/>
              <w:spacing w:before="0" w:beforeAutospacing="0" w:after="0" w:afterAutospacing="0"/>
              <w:ind w:left="0" w:right="0"/>
              <w:rPr>
                <w:rFonts w:hint="default"/>
                <w:color w:val="auto"/>
              </w:rPr>
            </w:pPr>
            <w:r>
              <w:rPr>
                <w:rFonts w:hint="default"/>
                <w:color w:val="auto"/>
              </w:rPr>
              <w:t>小事故</w:t>
            </w:r>
          </w:p>
        </w:tc>
        <w:tc>
          <w:tcPr>
            <w:tcW w:w="837" w:type="dxa"/>
            <w:tcMar>
              <w:left w:w="0" w:type="dxa"/>
              <w:right w:w="0" w:type="dxa"/>
            </w:tcMar>
            <w:vAlign w:val="center"/>
          </w:tcPr>
          <w:p w14:paraId="4F7AA73A">
            <w:pPr>
              <w:pStyle w:val="77"/>
              <w:keepNext w:val="0"/>
              <w:keepLines w:val="0"/>
              <w:suppressLineNumbers w:val="0"/>
              <w:spacing w:before="0" w:beforeAutospacing="0" w:after="0" w:afterAutospacing="0"/>
              <w:ind w:left="0" w:right="0"/>
              <w:rPr>
                <w:rFonts w:hint="default"/>
                <w:color w:val="auto"/>
              </w:rPr>
            </w:pPr>
            <w:r>
              <w:rPr>
                <w:rFonts w:hint="default"/>
                <w:color w:val="auto"/>
              </w:rPr>
              <w:t>自沉</w:t>
            </w:r>
          </w:p>
        </w:tc>
        <w:tc>
          <w:tcPr>
            <w:tcW w:w="3726" w:type="dxa"/>
            <w:tcMar>
              <w:left w:w="0" w:type="dxa"/>
              <w:right w:w="0" w:type="dxa"/>
            </w:tcMar>
            <w:vAlign w:val="center"/>
          </w:tcPr>
          <w:p w14:paraId="2F6E3B4E">
            <w:pPr>
              <w:pStyle w:val="77"/>
              <w:keepNext w:val="0"/>
              <w:keepLines w:val="0"/>
              <w:suppressLineNumbers w:val="0"/>
              <w:spacing w:before="0" w:beforeAutospacing="0" w:after="0" w:afterAutospacing="0"/>
              <w:ind w:left="0" w:right="0"/>
              <w:rPr>
                <w:rFonts w:hint="default"/>
                <w:color w:val="auto"/>
              </w:rPr>
            </w:pPr>
            <w:r>
              <w:rPr>
                <w:rFonts w:hint="default"/>
                <w:color w:val="auto"/>
              </w:rPr>
              <w:t>不明</w:t>
            </w:r>
          </w:p>
        </w:tc>
        <w:tc>
          <w:tcPr>
            <w:tcW w:w="3349" w:type="dxa"/>
            <w:tcMar>
              <w:left w:w="0" w:type="dxa"/>
              <w:right w:w="0" w:type="dxa"/>
            </w:tcMar>
            <w:vAlign w:val="center"/>
          </w:tcPr>
          <w:p w14:paraId="32E5F402">
            <w:pPr>
              <w:pStyle w:val="77"/>
              <w:keepNext w:val="0"/>
              <w:keepLines w:val="0"/>
              <w:suppressLineNumbers w:val="0"/>
              <w:spacing w:before="0" w:beforeAutospacing="0" w:after="0" w:afterAutospacing="0"/>
              <w:ind w:left="0" w:right="0"/>
              <w:rPr>
                <w:rFonts w:hint="default"/>
                <w:color w:val="auto"/>
              </w:rPr>
            </w:pPr>
            <w:r>
              <w:rPr>
                <w:rFonts w:hint="default"/>
                <w:color w:val="auto"/>
              </w:rPr>
              <w:t>钦州港区绿水鼓</w:t>
            </w:r>
          </w:p>
        </w:tc>
        <w:tc>
          <w:tcPr>
            <w:tcW w:w="1014" w:type="dxa"/>
            <w:tcMar>
              <w:left w:w="0" w:type="dxa"/>
              <w:right w:w="0" w:type="dxa"/>
            </w:tcMar>
            <w:vAlign w:val="center"/>
          </w:tcPr>
          <w:p w14:paraId="3ACEADF2">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r>
      <w:tr w14:paraId="343812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17DBA37E">
            <w:pPr>
              <w:pStyle w:val="77"/>
              <w:keepNext w:val="0"/>
              <w:keepLines w:val="0"/>
              <w:suppressLineNumbers w:val="0"/>
              <w:spacing w:before="0" w:beforeAutospacing="0" w:after="0" w:afterAutospacing="0"/>
              <w:ind w:left="0" w:right="0"/>
              <w:rPr>
                <w:rFonts w:hint="default"/>
                <w:color w:val="auto"/>
              </w:rPr>
            </w:pPr>
            <w:r>
              <w:rPr>
                <w:rFonts w:hint="default"/>
                <w:color w:val="auto"/>
              </w:rPr>
              <w:t>10</w:t>
            </w:r>
          </w:p>
        </w:tc>
        <w:tc>
          <w:tcPr>
            <w:tcW w:w="1161" w:type="dxa"/>
            <w:tcMar>
              <w:left w:w="0" w:type="dxa"/>
              <w:right w:w="0" w:type="dxa"/>
            </w:tcMar>
            <w:vAlign w:val="center"/>
          </w:tcPr>
          <w:p w14:paraId="601BCAF9">
            <w:pPr>
              <w:pStyle w:val="77"/>
              <w:keepNext w:val="0"/>
              <w:keepLines w:val="0"/>
              <w:suppressLineNumbers w:val="0"/>
              <w:spacing w:before="0" w:beforeAutospacing="0" w:after="0" w:afterAutospacing="0"/>
              <w:ind w:left="0" w:right="0"/>
              <w:rPr>
                <w:rFonts w:hint="default"/>
                <w:color w:val="auto"/>
              </w:rPr>
            </w:pPr>
            <w:r>
              <w:rPr>
                <w:rFonts w:hint="default"/>
                <w:color w:val="auto"/>
              </w:rPr>
              <w:t>2006.7.25</w:t>
            </w:r>
          </w:p>
        </w:tc>
        <w:tc>
          <w:tcPr>
            <w:tcW w:w="2372" w:type="dxa"/>
            <w:tcMar>
              <w:left w:w="0" w:type="dxa"/>
              <w:right w:w="0" w:type="dxa"/>
            </w:tcMar>
            <w:vAlign w:val="center"/>
          </w:tcPr>
          <w:p w14:paraId="2546A71F">
            <w:pPr>
              <w:pStyle w:val="77"/>
              <w:keepNext w:val="0"/>
              <w:keepLines w:val="0"/>
              <w:suppressLineNumbers w:val="0"/>
              <w:spacing w:before="0" w:beforeAutospacing="0" w:after="0" w:afterAutospacing="0"/>
              <w:ind w:left="0" w:right="0"/>
              <w:rPr>
                <w:rFonts w:hint="default"/>
                <w:color w:val="auto"/>
              </w:rPr>
            </w:pPr>
            <w:r>
              <w:rPr>
                <w:rFonts w:hint="default"/>
                <w:color w:val="auto"/>
              </w:rPr>
              <w:t>新购蚝柱运输船沉没</w:t>
            </w:r>
          </w:p>
        </w:tc>
        <w:tc>
          <w:tcPr>
            <w:tcW w:w="1043" w:type="dxa"/>
            <w:tcMar>
              <w:left w:w="0" w:type="dxa"/>
              <w:right w:w="0" w:type="dxa"/>
            </w:tcMar>
            <w:vAlign w:val="center"/>
          </w:tcPr>
          <w:p w14:paraId="228622FC">
            <w:pPr>
              <w:pStyle w:val="77"/>
              <w:keepNext w:val="0"/>
              <w:keepLines w:val="0"/>
              <w:suppressLineNumbers w:val="0"/>
              <w:spacing w:before="0" w:beforeAutospacing="0" w:after="0" w:afterAutospacing="0"/>
              <w:ind w:left="0" w:right="0"/>
              <w:rPr>
                <w:rFonts w:hint="default"/>
                <w:color w:val="auto"/>
              </w:rPr>
            </w:pPr>
            <w:r>
              <w:rPr>
                <w:rFonts w:hint="default"/>
                <w:color w:val="auto"/>
              </w:rPr>
              <w:t>小事故</w:t>
            </w:r>
          </w:p>
        </w:tc>
        <w:tc>
          <w:tcPr>
            <w:tcW w:w="837" w:type="dxa"/>
            <w:tcMar>
              <w:left w:w="0" w:type="dxa"/>
              <w:right w:w="0" w:type="dxa"/>
            </w:tcMar>
            <w:vAlign w:val="center"/>
          </w:tcPr>
          <w:p w14:paraId="0EF8E568">
            <w:pPr>
              <w:pStyle w:val="77"/>
              <w:keepNext w:val="0"/>
              <w:keepLines w:val="0"/>
              <w:suppressLineNumbers w:val="0"/>
              <w:spacing w:before="0" w:beforeAutospacing="0" w:after="0" w:afterAutospacing="0"/>
              <w:ind w:left="0" w:right="0"/>
              <w:rPr>
                <w:rFonts w:hint="default"/>
                <w:color w:val="auto"/>
              </w:rPr>
            </w:pPr>
            <w:r>
              <w:rPr>
                <w:rFonts w:hint="default"/>
                <w:color w:val="auto"/>
              </w:rPr>
              <w:t>自沉</w:t>
            </w:r>
          </w:p>
        </w:tc>
        <w:tc>
          <w:tcPr>
            <w:tcW w:w="3726" w:type="dxa"/>
            <w:tcMar>
              <w:left w:w="0" w:type="dxa"/>
              <w:right w:w="0" w:type="dxa"/>
            </w:tcMar>
            <w:vAlign w:val="center"/>
          </w:tcPr>
          <w:p w14:paraId="7D8581AC">
            <w:pPr>
              <w:pStyle w:val="77"/>
              <w:keepNext w:val="0"/>
              <w:keepLines w:val="0"/>
              <w:suppressLineNumbers w:val="0"/>
              <w:spacing w:before="0" w:beforeAutospacing="0" w:after="0" w:afterAutospacing="0"/>
              <w:ind w:left="0" w:right="0"/>
              <w:rPr>
                <w:rFonts w:hint="default"/>
                <w:color w:val="auto"/>
              </w:rPr>
            </w:pPr>
            <w:r>
              <w:rPr>
                <w:rFonts w:hint="default"/>
                <w:color w:val="auto"/>
              </w:rPr>
              <w:t>不明</w:t>
            </w:r>
          </w:p>
        </w:tc>
        <w:tc>
          <w:tcPr>
            <w:tcW w:w="3349" w:type="dxa"/>
            <w:tcMar>
              <w:left w:w="0" w:type="dxa"/>
              <w:right w:w="0" w:type="dxa"/>
            </w:tcMar>
            <w:vAlign w:val="center"/>
          </w:tcPr>
          <w:p w14:paraId="05CC9AD9">
            <w:pPr>
              <w:pStyle w:val="77"/>
              <w:keepNext w:val="0"/>
              <w:keepLines w:val="0"/>
              <w:suppressLineNumbers w:val="0"/>
              <w:spacing w:before="0" w:beforeAutospacing="0" w:after="0" w:afterAutospacing="0"/>
              <w:ind w:left="0" w:right="0"/>
              <w:rPr>
                <w:rFonts w:hint="default"/>
                <w:color w:val="auto"/>
              </w:rPr>
            </w:pPr>
            <w:r>
              <w:rPr>
                <w:rFonts w:hint="default"/>
                <w:color w:val="auto"/>
              </w:rPr>
              <w:t>21</w:t>
            </w:r>
            <w:r>
              <w:rPr>
                <w:rFonts w:hint="eastAsia" w:ascii="宋体" w:hAnsi="宋体" w:cs="宋体"/>
                <w:color w:val="auto"/>
              </w:rPr>
              <w:t>︒</w:t>
            </w:r>
            <w:r>
              <w:rPr>
                <w:rFonts w:hint="default"/>
                <w:color w:val="auto"/>
              </w:rPr>
              <w:t>42＇56N/108</w:t>
            </w:r>
            <w:r>
              <w:rPr>
                <w:rFonts w:hint="eastAsia" w:ascii="宋体" w:hAnsi="宋体" w:cs="宋体"/>
                <w:color w:val="auto"/>
              </w:rPr>
              <w:t>︒</w:t>
            </w:r>
            <w:r>
              <w:rPr>
                <w:rFonts w:hint="default"/>
                <w:color w:val="auto"/>
              </w:rPr>
              <w:t>34＇598E</w:t>
            </w:r>
          </w:p>
        </w:tc>
        <w:tc>
          <w:tcPr>
            <w:tcW w:w="1014" w:type="dxa"/>
            <w:tcMar>
              <w:left w:w="0" w:type="dxa"/>
              <w:right w:w="0" w:type="dxa"/>
            </w:tcMar>
            <w:vAlign w:val="center"/>
          </w:tcPr>
          <w:p w14:paraId="155D37F3">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r>
      <w:tr w14:paraId="4DD7EC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66376000">
            <w:pPr>
              <w:pStyle w:val="77"/>
              <w:keepNext w:val="0"/>
              <w:keepLines w:val="0"/>
              <w:suppressLineNumbers w:val="0"/>
              <w:spacing w:before="0" w:beforeAutospacing="0" w:after="0" w:afterAutospacing="0"/>
              <w:ind w:left="0" w:right="0"/>
              <w:rPr>
                <w:rFonts w:hint="default"/>
                <w:color w:val="auto"/>
              </w:rPr>
            </w:pPr>
            <w:r>
              <w:rPr>
                <w:rFonts w:hint="default"/>
                <w:color w:val="auto"/>
              </w:rPr>
              <w:t>11</w:t>
            </w:r>
          </w:p>
        </w:tc>
        <w:tc>
          <w:tcPr>
            <w:tcW w:w="1161" w:type="dxa"/>
            <w:tcMar>
              <w:left w:w="0" w:type="dxa"/>
              <w:right w:w="0" w:type="dxa"/>
            </w:tcMar>
            <w:vAlign w:val="center"/>
          </w:tcPr>
          <w:p w14:paraId="756ACC0B">
            <w:pPr>
              <w:pStyle w:val="77"/>
              <w:keepNext w:val="0"/>
              <w:keepLines w:val="0"/>
              <w:suppressLineNumbers w:val="0"/>
              <w:spacing w:before="0" w:beforeAutospacing="0" w:after="0" w:afterAutospacing="0"/>
              <w:ind w:left="0" w:right="0"/>
              <w:rPr>
                <w:rFonts w:hint="default"/>
                <w:color w:val="auto"/>
              </w:rPr>
            </w:pPr>
            <w:r>
              <w:rPr>
                <w:rFonts w:hint="default"/>
                <w:color w:val="auto"/>
              </w:rPr>
              <w:t>2006.9.20</w:t>
            </w:r>
          </w:p>
        </w:tc>
        <w:tc>
          <w:tcPr>
            <w:tcW w:w="2372" w:type="dxa"/>
            <w:tcMar>
              <w:left w:w="0" w:type="dxa"/>
              <w:right w:w="0" w:type="dxa"/>
            </w:tcMar>
            <w:vAlign w:val="center"/>
          </w:tcPr>
          <w:p w14:paraId="1D22BF5B">
            <w:pPr>
              <w:pStyle w:val="77"/>
              <w:keepNext w:val="0"/>
              <w:keepLines w:val="0"/>
              <w:suppressLineNumbers w:val="0"/>
              <w:spacing w:before="0" w:beforeAutospacing="0" w:after="0" w:afterAutospacing="0"/>
              <w:ind w:left="0" w:right="0"/>
              <w:rPr>
                <w:rFonts w:hint="default"/>
                <w:color w:val="auto"/>
              </w:rPr>
            </w:pPr>
            <w:r>
              <w:rPr>
                <w:rFonts w:hint="default"/>
                <w:color w:val="auto"/>
              </w:rPr>
              <w:t>越南货船北方01撞沉桂钦渔27088</w:t>
            </w:r>
          </w:p>
        </w:tc>
        <w:tc>
          <w:tcPr>
            <w:tcW w:w="1043" w:type="dxa"/>
            <w:tcMar>
              <w:left w:w="0" w:type="dxa"/>
              <w:right w:w="0" w:type="dxa"/>
            </w:tcMar>
            <w:vAlign w:val="center"/>
          </w:tcPr>
          <w:p w14:paraId="5913B530">
            <w:pPr>
              <w:pStyle w:val="77"/>
              <w:keepNext w:val="0"/>
              <w:keepLines w:val="0"/>
              <w:suppressLineNumbers w:val="0"/>
              <w:spacing w:before="0" w:beforeAutospacing="0" w:after="0" w:afterAutospacing="0"/>
              <w:ind w:left="0" w:right="0"/>
              <w:rPr>
                <w:rFonts w:hint="default"/>
                <w:color w:val="auto"/>
              </w:rPr>
            </w:pPr>
            <w:r>
              <w:rPr>
                <w:rFonts w:hint="default"/>
                <w:color w:val="auto"/>
              </w:rPr>
              <w:t>一般事故</w:t>
            </w:r>
          </w:p>
        </w:tc>
        <w:tc>
          <w:tcPr>
            <w:tcW w:w="837" w:type="dxa"/>
            <w:tcMar>
              <w:left w:w="0" w:type="dxa"/>
              <w:right w:w="0" w:type="dxa"/>
            </w:tcMar>
            <w:vAlign w:val="center"/>
          </w:tcPr>
          <w:p w14:paraId="641AD5F1">
            <w:pPr>
              <w:pStyle w:val="77"/>
              <w:keepNext w:val="0"/>
              <w:keepLines w:val="0"/>
              <w:suppressLineNumbers w:val="0"/>
              <w:spacing w:before="0" w:beforeAutospacing="0" w:after="0" w:afterAutospacing="0"/>
              <w:ind w:left="0" w:right="0"/>
              <w:rPr>
                <w:rFonts w:hint="default"/>
                <w:color w:val="auto"/>
              </w:rPr>
            </w:pPr>
            <w:r>
              <w:rPr>
                <w:rFonts w:hint="default"/>
                <w:color w:val="auto"/>
              </w:rPr>
              <w:t>碰撞</w:t>
            </w:r>
          </w:p>
        </w:tc>
        <w:tc>
          <w:tcPr>
            <w:tcW w:w="3726" w:type="dxa"/>
            <w:tcMar>
              <w:left w:w="0" w:type="dxa"/>
              <w:right w:w="0" w:type="dxa"/>
            </w:tcMar>
            <w:vAlign w:val="center"/>
          </w:tcPr>
          <w:p w14:paraId="748E60C7">
            <w:pPr>
              <w:pStyle w:val="77"/>
              <w:keepNext w:val="0"/>
              <w:keepLines w:val="0"/>
              <w:suppressLineNumbers w:val="0"/>
              <w:spacing w:before="0" w:beforeAutospacing="0" w:after="0" w:afterAutospacing="0"/>
              <w:ind w:left="0" w:right="0"/>
              <w:rPr>
                <w:rFonts w:hint="default"/>
                <w:color w:val="auto"/>
              </w:rPr>
            </w:pPr>
            <w:r>
              <w:rPr>
                <w:rFonts w:hint="default"/>
                <w:color w:val="auto"/>
              </w:rPr>
              <w:t>货船没有宽让他船，麻痹大意，舵机失灵</w:t>
            </w:r>
          </w:p>
        </w:tc>
        <w:tc>
          <w:tcPr>
            <w:tcW w:w="3349" w:type="dxa"/>
            <w:tcMar>
              <w:left w:w="0" w:type="dxa"/>
              <w:right w:w="0" w:type="dxa"/>
            </w:tcMar>
            <w:vAlign w:val="center"/>
          </w:tcPr>
          <w:p w14:paraId="1523B785">
            <w:pPr>
              <w:pStyle w:val="77"/>
              <w:keepNext w:val="0"/>
              <w:keepLines w:val="0"/>
              <w:suppressLineNumbers w:val="0"/>
              <w:spacing w:before="0" w:beforeAutospacing="0" w:after="0" w:afterAutospacing="0"/>
              <w:ind w:left="0" w:right="0"/>
              <w:rPr>
                <w:rFonts w:hint="default"/>
                <w:color w:val="auto"/>
              </w:rPr>
            </w:pPr>
            <w:r>
              <w:rPr>
                <w:rFonts w:hint="default"/>
                <w:color w:val="auto"/>
              </w:rPr>
              <w:t>21</w:t>
            </w:r>
            <w:r>
              <w:rPr>
                <w:rFonts w:hint="eastAsia" w:ascii="宋体" w:hAnsi="宋体" w:cs="宋体"/>
                <w:color w:val="auto"/>
              </w:rPr>
              <w:t>︒</w:t>
            </w:r>
            <w:r>
              <w:rPr>
                <w:rFonts w:hint="default"/>
                <w:color w:val="auto"/>
              </w:rPr>
              <w:t>10＇N/108</w:t>
            </w:r>
            <w:r>
              <w:rPr>
                <w:rFonts w:hint="eastAsia" w:ascii="宋体" w:hAnsi="宋体" w:cs="宋体"/>
                <w:color w:val="auto"/>
              </w:rPr>
              <w:t>︒</w:t>
            </w:r>
            <w:r>
              <w:rPr>
                <w:rFonts w:hint="default"/>
                <w:color w:val="auto"/>
              </w:rPr>
              <w:t>42＇5E</w:t>
            </w:r>
          </w:p>
        </w:tc>
        <w:tc>
          <w:tcPr>
            <w:tcW w:w="1014" w:type="dxa"/>
            <w:tcMar>
              <w:left w:w="0" w:type="dxa"/>
              <w:right w:w="0" w:type="dxa"/>
            </w:tcMar>
            <w:vAlign w:val="center"/>
          </w:tcPr>
          <w:p w14:paraId="16441B4C">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r>
      <w:tr w14:paraId="1A6BBA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6F85C172">
            <w:pPr>
              <w:pStyle w:val="77"/>
              <w:keepNext w:val="0"/>
              <w:keepLines w:val="0"/>
              <w:suppressLineNumbers w:val="0"/>
              <w:spacing w:before="0" w:beforeAutospacing="0" w:after="0" w:afterAutospacing="0"/>
              <w:ind w:left="0" w:right="0"/>
              <w:rPr>
                <w:rFonts w:hint="default"/>
                <w:color w:val="auto"/>
              </w:rPr>
            </w:pPr>
            <w:r>
              <w:rPr>
                <w:rFonts w:hint="default"/>
                <w:color w:val="auto"/>
              </w:rPr>
              <w:t>12</w:t>
            </w:r>
          </w:p>
        </w:tc>
        <w:tc>
          <w:tcPr>
            <w:tcW w:w="1161" w:type="dxa"/>
            <w:tcMar>
              <w:left w:w="0" w:type="dxa"/>
              <w:right w:w="0" w:type="dxa"/>
            </w:tcMar>
            <w:vAlign w:val="center"/>
          </w:tcPr>
          <w:p w14:paraId="795B1F82">
            <w:pPr>
              <w:pStyle w:val="77"/>
              <w:keepNext w:val="0"/>
              <w:keepLines w:val="0"/>
              <w:suppressLineNumbers w:val="0"/>
              <w:spacing w:before="0" w:beforeAutospacing="0" w:after="0" w:afterAutospacing="0"/>
              <w:ind w:left="0" w:right="0"/>
              <w:rPr>
                <w:rFonts w:hint="default"/>
                <w:color w:val="auto"/>
              </w:rPr>
            </w:pPr>
            <w:r>
              <w:rPr>
                <w:rFonts w:hint="default"/>
                <w:color w:val="auto"/>
              </w:rPr>
              <w:t>2007.3.26</w:t>
            </w:r>
          </w:p>
        </w:tc>
        <w:tc>
          <w:tcPr>
            <w:tcW w:w="2372" w:type="dxa"/>
            <w:tcMar>
              <w:left w:w="0" w:type="dxa"/>
              <w:right w:w="0" w:type="dxa"/>
            </w:tcMar>
            <w:vAlign w:val="center"/>
          </w:tcPr>
          <w:p w14:paraId="37D4AA0D">
            <w:pPr>
              <w:pStyle w:val="77"/>
              <w:keepNext w:val="0"/>
              <w:keepLines w:val="0"/>
              <w:suppressLineNumbers w:val="0"/>
              <w:spacing w:before="0" w:beforeAutospacing="0" w:after="0" w:afterAutospacing="0"/>
              <w:ind w:left="0" w:right="0"/>
              <w:rPr>
                <w:rFonts w:hint="default"/>
                <w:color w:val="auto"/>
              </w:rPr>
            </w:pPr>
            <w:r>
              <w:rPr>
                <w:rFonts w:hint="default"/>
                <w:color w:val="auto"/>
              </w:rPr>
              <w:t>越南船QN368与ND1691碰撞</w:t>
            </w:r>
          </w:p>
        </w:tc>
        <w:tc>
          <w:tcPr>
            <w:tcW w:w="1043" w:type="dxa"/>
            <w:tcMar>
              <w:left w:w="0" w:type="dxa"/>
              <w:right w:w="0" w:type="dxa"/>
            </w:tcMar>
            <w:vAlign w:val="center"/>
          </w:tcPr>
          <w:p w14:paraId="748C76E2">
            <w:pPr>
              <w:pStyle w:val="77"/>
              <w:keepNext w:val="0"/>
              <w:keepLines w:val="0"/>
              <w:suppressLineNumbers w:val="0"/>
              <w:spacing w:before="0" w:beforeAutospacing="0" w:after="0" w:afterAutospacing="0"/>
              <w:ind w:left="0" w:right="0"/>
              <w:rPr>
                <w:rFonts w:hint="default"/>
                <w:color w:val="auto"/>
              </w:rPr>
            </w:pPr>
            <w:r>
              <w:rPr>
                <w:rFonts w:hint="default"/>
                <w:color w:val="auto"/>
              </w:rPr>
              <w:t>小事故</w:t>
            </w:r>
          </w:p>
        </w:tc>
        <w:tc>
          <w:tcPr>
            <w:tcW w:w="837" w:type="dxa"/>
            <w:tcMar>
              <w:left w:w="0" w:type="dxa"/>
              <w:right w:w="0" w:type="dxa"/>
            </w:tcMar>
            <w:vAlign w:val="center"/>
          </w:tcPr>
          <w:p w14:paraId="4BB9A4DA">
            <w:pPr>
              <w:pStyle w:val="77"/>
              <w:keepNext w:val="0"/>
              <w:keepLines w:val="0"/>
              <w:suppressLineNumbers w:val="0"/>
              <w:spacing w:before="0" w:beforeAutospacing="0" w:after="0" w:afterAutospacing="0"/>
              <w:ind w:left="0" w:right="0"/>
              <w:rPr>
                <w:rFonts w:hint="default"/>
                <w:color w:val="auto"/>
              </w:rPr>
            </w:pPr>
            <w:r>
              <w:rPr>
                <w:rFonts w:hint="default"/>
                <w:color w:val="auto"/>
              </w:rPr>
              <w:t>碰撞</w:t>
            </w:r>
          </w:p>
        </w:tc>
        <w:tc>
          <w:tcPr>
            <w:tcW w:w="3726" w:type="dxa"/>
            <w:tcMar>
              <w:left w:w="0" w:type="dxa"/>
              <w:right w:w="0" w:type="dxa"/>
            </w:tcMar>
            <w:vAlign w:val="center"/>
          </w:tcPr>
          <w:p w14:paraId="2BF616A3">
            <w:pPr>
              <w:pStyle w:val="77"/>
              <w:keepNext w:val="0"/>
              <w:keepLines w:val="0"/>
              <w:suppressLineNumbers w:val="0"/>
              <w:spacing w:before="0" w:beforeAutospacing="0" w:after="0" w:afterAutospacing="0"/>
              <w:ind w:left="0" w:right="0"/>
              <w:rPr>
                <w:rFonts w:hint="default"/>
                <w:color w:val="auto"/>
              </w:rPr>
            </w:pPr>
            <w:r>
              <w:rPr>
                <w:rFonts w:hint="default"/>
                <w:color w:val="auto"/>
              </w:rPr>
              <w:t>未保持正规瞭望，未及时采取避让措施，未配备导航设备，配员不符合要求</w:t>
            </w:r>
          </w:p>
        </w:tc>
        <w:tc>
          <w:tcPr>
            <w:tcW w:w="3349" w:type="dxa"/>
            <w:tcMar>
              <w:left w:w="0" w:type="dxa"/>
              <w:right w:w="0" w:type="dxa"/>
            </w:tcMar>
            <w:vAlign w:val="center"/>
          </w:tcPr>
          <w:p w14:paraId="1ACF4415">
            <w:pPr>
              <w:pStyle w:val="77"/>
              <w:keepNext w:val="0"/>
              <w:keepLines w:val="0"/>
              <w:suppressLineNumbers w:val="0"/>
              <w:spacing w:before="0" w:beforeAutospacing="0" w:after="0" w:afterAutospacing="0"/>
              <w:ind w:left="0" w:right="0"/>
              <w:rPr>
                <w:rFonts w:hint="default"/>
                <w:color w:val="auto"/>
              </w:rPr>
            </w:pPr>
            <w:r>
              <w:rPr>
                <w:rFonts w:hint="default"/>
                <w:color w:val="auto"/>
              </w:rPr>
              <w:t>21</w:t>
            </w:r>
            <w:r>
              <w:rPr>
                <w:rFonts w:hint="eastAsia" w:ascii="宋体" w:hAnsi="宋体" w:cs="宋体"/>
                <w:color w:val="auto"/>
              </w:rPr>
              <w:t>︒</w:t>
            </w:r>
            <w:r>
              <w:rPr>
                <w:rFonts w:hint="default"/>
                <w:color w:val="auto"/>
              </w:rPr>
              <w:t>33＇548N/108</w:t>
            </w:r>
            <w:r>
              <w:rPr>
                <w:rFonts w:hint="eastAsia" w:ascii="宋体" w:hAnsi="宋体" w:cs="宋体"/>
                <w:color w:val="auto"/>
              </w:rPr>
              <w:t>︒</w:t>
            </w:r>
            <w:r>
              <w:rPr>
                <w:rFonts w:hint="default"/>
                <w:color w:val="auto"/>
              </w:rPr>
              <w:t>34＇431E</w:t>
            </w:r>
          </w:p>
        </w:tc>
        <w:tc>
          <w:tcPr>
            <w:tcW w:w="1014" w:type="dxa"/>
            <w:tcMar>
              <w:left w:w="0" w:type="dxa"/>
              <w:right w:w="0" w:type="dxa"/>
            </w:tcMar>
            <w:vAlign w:val="center"/>
          </w:tcPr>
          <w:p w14:paraId="1C739D71">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r>
      <w:tr w14:paraId="1F4D51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31D6723D">
            <w:pPr>
              <w:pStyle w:val="77"/>
              <w:keepNext w:val="0"/>
              <w:keepLines w:val="0"/>
              <w:suppressLineNumbers w:val="0"/>
              <w:spacing w:before="0" w:beforeAutospacing="0" w:after="0" w:afterAutospacing="0"/>
              <w:ind w:left="0" w:right="0"/>
              <w:rPr>
                <w:rFonts w:hint="default"/>
                <w:color w:val="auto"/>
              </w:rPr>
            </w:pPr>
            <w:r>
              <w:rPr>
                <w:rFonts w:hint="default"/>
                <w:color w:val="auto"/>
              </w:rPr>
              <w:t>13</w:t>
            </w:r>
          </w:p>
        </w:tc>
        <w:tc>
          <w:tcPr>
            <w:tcW w:w="1161" w:type="dxa"/>
            <w:tcMar>
              <w:left w:w="0" w:type="dxa"/>
              <w:right w:w="0" w:type="dxa"/>
            </w:tcMar>
            <w:vAlign w:val="center"/>
          </w:tcPr>
          <w:p w14:paraId="0AE96156">
            <w:pPr>
              <w:pStyle w:val="77"/>
              <w:keepNext w:val="0"/>
              <w:keepLines w:val="0"/>
              <w:suppressLineNumbers w:val="0"/>
              <w:spacing w:before="0" w:beforeAutospacing="0" w:after="0" w:afterAutospacing="0"/>
              <w:ind w:left="0" w:right="0"/>
              <w:rPr>
                <w:rFonts w:hint="default"/>
                <w:color w:val="auto"/>
              </w:rPr>
            </w:pPr>
            <w:r>
              <w:rPr>
                <w:rFonts w:hint="default"/>
                <w:color w:val="auto"/>
              </w:rPr>
              <w:t>2007.7.11</w:t>
            </w:r>
          </w:p>
        </w:tc>
        <w:tc>
          <w:tcPr>
            <w:tcW w:w="2372" w:type="dxa"/>
            <w:tcMar>
              <w:left w:w="0" w:type="dxa"/>
              <w:right w:w="0" w:type="dxa"/>
            </w:tcMar>
            <w:vAlign w:val="center"/>
          </w:tcPr>
          <w:p w14:paraId="3647C52F">
            <w:pPr>
              <w:pStyle w:val="77"/>
              <w:keepNext w:val="0"/>
              <w:keepLines w:val="0"/>
              <w:suppressLineNumbers w:val="0"/>
              <w:spacing w:before="0" w:beforeAutospacing="0" w:after="0" w:afterAutospacing="0"/>
              <w:ind w:left="0" w:right="0"/>
              <w:rPr>
                <w:rFonts w:hint="default"/>
                <w:color w:val="auto"/>
              </w:rPr>
            </w:pPr>
            <w:r>
              <w:rPr>
                <w:rFonts w:hint="default"/>
                <w:color w:val="auto"/>
              </w:rPr>
              <w:t>粤湛江04035渔船事故</w:t>
            </w:r>
          </w:p>
        </w:tc>
        <w:tc>
          <w:tcPr>
            <w:tcW w:w="1043" w:type="dxa"/>
            <w:tcMar>
              <w:left w:w="0" w:type="dxa"/>
              <w:right w:w="0" w:type="dxa"/>
            </w:tcMar>
            <w:vAlign w:val="center"/>
          </w:tcPr>
          <w:p w14:paraId="7A64649A">
            <w:pPr>
              <w:pStyle w:val="77"/>
              <w:keepNext w:val="0"/>
              <w:keepLines w:val="0"/>
              <w:suppressLineNumbers w:val="0"/>
              <w:spacing w:before="0" w:beforeAutospacing="0" w:after="0" w:afterAutospacing="0"/>
              <w:ind w:left="0" w:right="0"/>
              <w:rPr>
                <w:rFonts w:hint="default"/>
                <w:color w:val="auto"/>
              </w:rPr>
            </w:pPr>
            <w:r>
              <w:rPr>
                <w:rFonts w:hint="default"/>
                <w:color w:val="auto"/>
              </w:rPr>
              <w:t>重大事故</w:t>
            </w:r>
          </w:p>
        </w:tc>
        <w:tc>
          <w:tcPr>
            <w:tcW w:w="837" w:type="dxa"/>
            <w:tcMar>
              <w:left w:w="0" w:type="dxa"/>
              <w:right w:w="0" w:type="dxa"/>
            </w:tcMar>
            <w:vAlign w:val="center"/>
          </w:tcPr>
          <w:p w14:paraId="7874618D">
            <w:pPr>
              <w:pStyle w:val="77"/>
              <w:keepNext w:val="0"/>
              <w:keepLines w:val="0"/>
              <w:suppressLineNumbers w:val="0"/>
              <w:spacing w:before="0" w:beforeAutospacing="0" w:after="0" w:afterAutospacing="0"/>
              <w:ind w:left="0" w:right="0"/>
              <w:rPr>
                <w:rFonts w:hint="default"/>
                <w:color w:val="auto"/>
              </w:rPr>
            </w:pPr>
            <w:r>
              <w:rPr>
                <w:rFonts w:hint="default"/>
                <w:color w:val="auto"/>
              </w:rPr>
              <w:t>碰撞</w:t>
            </w:r>
          </w:p>
        </w:tc>
        <w:tc>
          <w:tcPr>
            <w:tcW w:w="3726" w:type="dxa"/>
            <w:tcMar>
              <w:left w:w="0" w:type="dxa"/>
              <w:right w:w="0" w:type="dxa"/>
            </w:tcMar>
            <w:vAlign w:val="center"/>
          </w:tcPr>
          <w:p w14:paraId="23CF56EF">
            <w:pPr>
              <w:pStyle w:val="77"/>
              <w:keepNext w:val="0"/>
              <w:keepLines w:val="0"/>
              <w:suppressLineNumbers w:val="0"/>
              <w:spacing w:before="0" w:beforeAutospacing="0" w:after="0" w:afterAutospacing="0"/>
              <w:ind w:left="0" w:right="0"/>
              <w:rPr>
                <w:rFonts w:hint="default"/>
                <w:color w:val="auto"/>
              </w:rPr>
            </w:pPr>
            <w:r>
              <w:rPr>
                <w:rFonts w:hint="default"/>
                <w:color w:val="auto"/>
              </w:rPr>
              <w:t>不明</w:t>
            </w:r>
          </w:p>
        </w:tc>
        <w:tc>
          <w:tcPr>
            <w:tcW w:w="3349" w:type="dxa"/>
            <w:tcMar>
              <w:left w:w="0" w:type="dxa"/>
              <w:right w:w="0" w:type="dxa"/>
            </w:tcMar>
            <w:vAlign w:val="center"/>
          </w:tcPr>
          <w:p w14:paraId="6446DA46">
            <w:pPr>
              <w:pStyle w:val="77"/>
              <w:keepNext w:val="0"/>
              <w:keepLines w:val="0"/>
              <w:suppressLineNumbers w:val="0"/>
              <w:spacing w:before="0" w:beforeAutospacing="0" w:after="0" w:afterAutospacing="0"/>
              <w:ind w:left="0" w:right="0"/>
              <w:rPr>
                <w:rFonts w:hint="default"/>
                <w:color w:val="auto"/>
              </w:rPr>
            </w:pPr>
            <w:r>
              <w:rPr>
                <w:rFonts w:hint="default"/>
                <w:color w:val="auto"/>
              </w:rPr>
              <w:t>21</w:t>
            </w:r>
            <w:r>
              <w:rPr>
                <w:rFonts w:hint="eastAsia" w:ascii="宋体" w:hAnsi="宋体" w:cs="宋体"/>
                <w:color w:val="auto"/>
              </w:rPr>
              <w:t>︒</w:t>
            </w:r>
            <w:r>
              <w:rPr>
                <w:rFonts w:hint="default"/>
                <w:color w:val="auto"/>
              </w:rPr>
              <w:t>14＇550N/108</w:t>
            </w:r>
            <w:r>
              <w:rPr>
                <w:rFonts w:hint="eastAsia" w:ascii="宋体" w:hAnsi="宋体" w:cs="宋体"/>
                <w:color w:val="auto"/>
              </w:rPr>
              <w:t>︒</w:t>
            </w:r>
            <w:r>
              <w:rPr>
                <w:rFonts w:hint="default"/>
                <w:color w:val="auto"/>
              </w:rPr>
              <w:t>44＇440E</w:t>
            </w:r>
          </w:p>
        </w:tc>
        <w:tc>
          <w:tcPr>
            <w:tcW w:w="1014" w:type="dxa"/>
            <w:tcMar>
              <w:left w:w="0" w:type="dxa"/>
              <w:right w:w="0" w:type="dxa"/>
            </w:tcMar>
            <w:vAlign w:val="center"/>
          </w:tcPr>
          <w:p w14:paraId="0D30AC43">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r>
      <w:tr w14:paraId="299035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74366FFD">
            <w:pPr>
              <w:pStyle w:val="77"/>
              <w:keepNext w:val="0"/>
              <w:keepLines w:val="0"/>
              <w:suppressLineNumbers w:val="0"/>
              <w:spacing w:before="0" w:beforeAutospacing="0" w:after="0" w:afterAutospacing="0"/>
              <w:ind w:left="0" w:right="0"/>
              <w:rPr>
                <w:rFonts w:hint="default"/>
                <w:color w:val="auto"/>
              </w:rPr>
            </w:pPr>
            <w:r>
              <w:rPr>
                <w:rFonts w:hint="default"/>
                <w:color w:val="auto"/>
              </w:rPr>
              <w:t>14</w:t>
            </w:r>
          </w:p>
        </w:tc>
        <w:tc>
          <w:tcPr>
            <w:tcW w:w="1161" w:type="dxa"/>
            <w:tcMar>
              <w:left w:w="0" w:type="dxa"/>
              <w:right w:w="0" w:type="dxa"/>
            </w:tcMar>
            <w:vAlign w:val="center"/>
          </w:tcPr>
          <w:p w14:paraId="677320A3">
            <w:pPr>
              <w:pStyle w:val="77"/>
              <w:keepNext w:val="0"/>
              <w:keepLines w:val="0"/>
              <w:suppressLineNumbers w:val="0"/>
              <w:spacing w:before="0" w:beforeAutospacing="0" w:after="0" w:afterAutospacing="0"/>
              <w:ind w:left="0" w:right="0"/>
              <w:rPr>
                <w:rFonts w:hint="default"/>
                <w:color w:val="auto"/>
              </w:rPr>
            </w:pPr>
            <w:r>
              <w:rPr>
                <w:rFonts w:hint="default"/>
                <w:color w:val="auto"/>
              </w:rPr>
              <w:t>2008.5.3</w:t>
            </w:r>
          </w:p>
        </w:tc>
        <w:tc>
          <w:tcPr>
            <w:tcW w:w="2372" w:type="dxa"/>
            <w:tcMar>
              <w:left w:w="0" w:type="dxa"/>
              <w:right w:w="0" w:type="dxa"/>
            </w:tcMar>
            <w:vAlign w:val="center"/>
          </w:tcPr>
          <w:p w14:paraId="46B8046D">
            <w:pPr>
              <w:pStyle w:val="77"/>
              <w:keepNext w:val="0"/>
              <w:keepLines w:val="0"/>
              <w:suppressLineNumbers w:val="0"/>
              <w:spacing w:before="0" w:beforeAutospacing="0" w:after="0" w:afterAutospacing="0"/>
              <w:ind w:left="0" w:right="0"/>
              <w:rPr>
                <w:rFonts w:hint="default"/>
                <w:color w:val="auto"/>
              </w:rPr>
            </w:pPr>
            <w:r>
              <w:rPr>
                <w:rFonts w:hint="default"/>
                <w:color w:val="auto"/>
              </w:rPr>
              <w:t>宁通10轮触礁事故</w:t>
            </w:r>
          </w:p>
        </w:tc>
        <w:tc>
          <w:tcPr>
            <w:tcW w:w="1043" w:type="dxa"/>
            <w:tcMar>
              <w:left w:w="0" w:type="dxa"/>
              <w:right w:w="0" w:type="dxa"/>
            </w:tcMar>
            <w:vAlign w:val="center"/>
          </w:tcPr>
          <w:p w14:paraId="1C8EA311">
            <w:pPr>
              <w:pStyle w:val="77"/>
              <w:keepNext w:val="0"/>
              <w:keepLines w:val="0"/>
              <w:suppressLineNumbers w:val="0"/>
              <w:spacing w:before="0" w:beforeAutospacing="0" w:after="0" w:afterAutospacing="0"/>
              <w:ind w:left="0" w:right="0"/>
              <w:rPr>
                <w:rFonts w:hint="default"/>
                <w:color w:val="auto"/>
              </w:rPr>
            </w:pPr>
            <w:r>
              <w:rPr>
                <w:rFonts w:hint="default"/>
                <w:color w:val="auto"/>
              </w:rPr>
              <w:t>大事故</w:t>
            </w:r>
          </w:p>
        </w:tc>
        <w:tc>
          <w:tcPr>
            <w:tcW w:w="837" w:type="dxa"/>
            <w:tcMar>
              <w:left w:w="0" w:type="dxa"/>
              <w:right w:w="0" w:type="dxa"/>
            </w:tcMar>
            <w:vAlign w:val="center"/>
          </w:tcPr>
          <w:p w14:paraId="27127202">
            <w:pPr>
              <w:pStyle w:val="77"/>
              <w:keepNext w:val="0"/>
              <w:keepLines w:val="0"/>
              <w:suppressLineNumbers w:val="0"/>
              <w:spacing w:before="0" w:beforeAutospacing="0" w:after="0" w:afterAutospacing="0"/>
              <w:ind w:left="0" w:right="0"/>
              <w:rPr>
                <w:rFonts w:hint="default"/>
                <w:color w:val="auto"/>
              </w:rPr>
            </w:pPr>
            <w:r>
              <w:rPr>
                <w:rFonts w:hint="default"/>
                <w:color w:val="auto"/>
              </w:rPr>
              <w:t>触礁</w:t>
            </w:r>
          </w:p>
        </w:tc>
        <w:tc>
          <w:tcPr>
            <w:tcW w:w="3726" w:type="dxa"/>
            <w:tcMar>
              <w:left w:w="0" w:type="dxa"/>
              <w:right w:w="0" w:type="dxa"/>
            </w:tcMar>
            <w:vAlign w:val="center"/>
          </w:tcPr>
          <w:p w14:paraId="09AC7E5D">
            <w:pPr>
              <w:pStyle w:val="77"/>
              <w:keepNext w:val="0"/>
              <w:keepLines w:val="0"/>
              <w:suppressLineNumbers w:val="0"/>
              <w:spacing w:before="0" w:beforeAutospacing="0" w:after="0" w:afterAutospacing="0"/>
              <w:ind w:left="0" w:right="0"/>
              <w:rPr>
                <w:rFonts w:hint="default"/>
                <w:color w:val="auto"/>
              </w:rPr>
            </w:pPr>
            <w:r>
              <w:rPr>
                <w:rFonts w:hint="default"/>
                <w:color w:val="auto"/>
              </w:rPr>
              <w:t>避让小渔船偏离航道</w:t>
            </w:r>
          </w:p>
        </w:tc>
        <w:tc>
          <w:tcPr>
            <w:tcW w:w="3349" w:type="dxa"/>
            <w:tcMar>
              <w:left w:w="0" w:type="dxa"/>
              <w:right w:w="0" w:type="dxa"/>
            </w:tcMar>
            <w:vAlign w:val="center"/>
          </w:tcPr>
          <w:p w14:paraId="39785BC6">
            <w:pPr>
              <w:pStyle w:val="77"/>
              <w:keepNext w:val="0"/>
              <w:keepLines w:val="0"/>
              <w:suppressLineNumbers w:val="0"/>
              <w:spacing w:before="0" w:beforeAutospacing="0" w:after="0" w:afterAutospacing="0"/>
              <w:ind w:left="0" w:right="0"/>
              <w:rPr>
                <w:rFonts w:hint="default"/>
                <w:color w:val="auto"/>
              </w:rPr>
            </w:pPr>
            <w:r>
              <w:rPr>
                <w:rFonts w:hint="default"/>
                <w:color w:val="auto"/>
              </w:rPr>
              <w:t>21</w:t>
            </w:r>
            <w:r>
              <w:rPr>
                <w:rFonts w:hint="eastAsia" w:ascii="宋体" w:hAnsi="宋体" w:cs="宋体"/>
                <w:color w:val="auto"/>
              </w:rPr>
              <w:t>︒</w:t>
            </w:r>
            <w:r>
              <w:rPr>
                <w:rFonts w:hint="default"/>
                <w:color w:val="auto"/>
              </w:rPr>
              <w:t>38＇8N/108</w:t>
            </w:r>
            <w:r>
              <w:rPr>
                <w:rFonts w:hint="eastAsia" w:ascii="宋体" w:hAnsi="宋体" w:cs="宋体"/>
                <w:color w:val="auto"/>
              </w:rPr>
              <w:t>︒</w:t>
            </w:r>
            <w:r>
              <w:rPr>
                <w:rFonts w:hint="default"/>
                <w:color w:val="auto"/>
              </w:rPr>
              <w:t>35＇1E</w:t>
            </w:r>
          </w:p>
        </w:tc>
        <w:tc>
          <w:tcPr>
            <w:tcW w:w="1014" w:type="dxa"/>
            <w:tcMar>
              <w:left w:w="0" w:type="dxa"/>
              <w:right w:w="0" w:type="dxa"/>
            </w:tcMar>
            <w:vAlign w:val="center"/>
          </w:tcPr>
          <w:p w14:paraId="5965984A">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r>
      <w:tr w14:paraId="4DE9A5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1C543D6A">
            <w:pPr>
              <w:pStyle w:val="77"/>
              <w:keepNext w:val="0"/>
              <w:keepLines w:val="0"/>
              <w:suppressLineNumbers w:val="0"/>
              <w:spacing w:before="0" w:beforeAutospacing="0" w:after="0" w:afterAutospacing="0"/>
              <w:ind w:left="0" w:right="0"/>
              <w:rPr>
                <w:rFonts w:hint="default"/>
                <w:color w:val="auto"/>
              </w:rPr>
            </w:pPr>
            <w:r>
              <w:rPr>
                <w:rFonts w:hint="default"/>
                <w:color w:val="auto"/>
              </w:rPr>
              <w:t>15</w:t>
            </w:r>
          </w:p>
        </w:tc>
        <w:tc>
          <w:tcPr>
            <w:tcW w:w="1161" w:type="dxa"/>
            <w:tcMar>
              <w:left w:w="0" w:type="dxa"/>
              <w:right w:w="0" w:type="dxa"/>
            </w:tcMar>
            <w:vAlign w:val="center"/>
          </w:tcPr>
          <w:p w14:paraId="66C4C4FA">
            <w:pPr>
              <w:pStyle w:val="77"/>
              <w:keepNext w:val="0"/>
              <w:keepLines w:val="0"/>
              <w:suppressLineNumbers w:val="0"/>
              <w:spacing w:before="0" w:beforeAutospacing="0" w:after="0" w:afterAutospacing="0"/>
              <w:ind w:left="0" w:right="0"/>
              <w:rPr>
                <w:rFonts w:hint="default"/>
                <w:color w:val="auto"/>
              </w:rPr>
            </w:pPr>
            <w:r>
              <w:rPr>
                <w:rFonts w:hint="default"/>
                <w:color w:val="auto"/>
              </w:rPr>
              <w:t>2008.8.12</w:t>
            </w:r>
          </w:p>
        </w:tc>
        <w:tc>
          <w:tcPr>
            <w:tcW w:w="2372" w:type="dxa"/>
            <w:tcMar>
              <w:left w:w="0" w:type="dxa"/>
              <w:right w:w="0" w:type="dxa"/>
            </w:tcMar>
            <w:vAlign w:val="center"/>
          </w:tcPr>
          <w:p w14:paraId="25C590E0">
            <w:pPr>
              <w:pStyle w:val="77"/>
              <w:keepNext w:val="0"/>
              <w:keepLines w:val="0"/>
              <w:suppressLineNumbers w:val="0"/>
              <w:spacing w:before="0" w:beforeAutospacing="0" w:after="0" w:afterAutospacing="0"/>
              <w:ind w:left="0" w:right="0"/>
              <w:rPr>
                <w:rFonts w:hint="default"/>
                <w:color w:val="auto"/>
              </w:rPr>
            </w:pPr>
            <w:r>
              <w:rPr>
                <w:rFonts w:hint="default"/>
                <w:color w:val="auto"/>
              </w:rPr>
              <w:t>顺强1自沉</w:t>
            </w:r>
          </w:p>
        </w:tc>
        <w:tc>
          <w:tcPr>
            <w:tcW w:w="1043" w:type="dxa"/>
            <w:tcMar>
              <w:left w:w="0" w:type="dxa"/>
              <w:right w:w="0" w:type="dxa"/>
            </w:tcMar>
            <w:vAlign w:val="center"/>
          </w:tcPr>
          <w:p w14:paraId="2753A3FD">
            <w:pPr>
              <w:pStyle w:val="77"/>
              <w:keepNext w:val="0"/>
              <w:keepLines w:val="0"/>
              <w:suppressLineNumbers w:val="0"/>
              <w:spacing w:before="0" w:beforeAutospacing="0" w:after="0" w:afterAutospacing="0"/>
              <w:ind w:left="0" w:right="0"/>
              <w:rPr>
                <w:rFonts w:hint="default"/>
                <w:color w:val="auto"/>
              </w:rPr>
            </w:pPr>
            <w:r>
              <w:rPr>
                <w:rFonts w:hint="default"/>
                <w:color w:val="auto"/>
              </w:rPr>
              <w:t>重大事故</w:t>
            </w:r>
          </w:p>
        </w:tc>
        <w:tc>
          <w:tcPr>
            <w:tcW w:w="837" w:type="dxa"/>
            <w:tcMar>
              <w:left w:w="0" w:type="dxa"/>
              <w:right w:w="0" w:type="dxa"/>
            </w:tcMar>
            <w:vAlign w:val="center"/>
          </w:tcPr>
          <w:p w14:paraId="4EC6E6BE">
            <w:pPr>
              <w:pStyle w:val="77"/>
              <w:keepNext w:val="0"/>
              <w:keepLines w:val="0"/>
              <w:suppressLineNumbers w:val="0"/>
              <w:spacing w:before="0" w:beforeAutospacing="0" w:after="0" w:afterAutospacing="0"/>
              <w:ind w:left="0" w:right="0"/>
              <w:rPr>
                <w:rFonts w:hint="default"/>
                <w:color w:val="auto"/>
              </w:rPr>
            </w:pPr>
            <w:r>
              <w:rPr>
                <w:rFonts w:hint="default"/>
                <w:color w:val="auto"/>
              </w:rPr>
              <w:t>自沉</w:t>
            </w:r>
          </w:p>
        </w:tc>
        <w:tc>
          <w:tcPr>
            <w:tcW w:w="3726" w:type="dxa"/>
            <w:tcMar>
              <w:left w:w="0" w:type="dxa"/>
              <w:right w:w="0" w:type="dxa"/>
            </w:tcMar>
            <w:vAlign w:val="center"/>
          </w:tcPr>
          <w:p w14:paraId="3F8EEBF4">
            <w:pPr>
              <w:pStyle w:val="77"/>
              <w:keepNext w:val="0"/>
              <w:keepLines w:val="0"/>
              <w:suppressLineNumbers w:val="0"/>
              <w:spacing w:before="0" w:beforeAutospacing="0" w:after="0" w:afterAutospacing="0"/>
              <w:ind w:left="0" w:right="0"/>
              <w:rPr>
                <w:rFonts w:hint="default"/>
                <w:color w:val="auto"/>
              </w:rPr>
            </w:pPr>
            <w:r>
              <w:rPr>
                <w:rFonts w:hint="default"/>
                <w:color w:val="auto"/>
              </w:rPr>
              <w:t>积攒不当</w:t>
            </w:r>
          </w:p>
        </w:tc>
        <w:tc>
          <w:tcPr>
            <w:tcW w:w="3349" w:type="dxa"/>
            <w:tcMar>
              <w:left w:w="0" w:type="dxa"/>
              <w:right w:w="0" w:type="dxa"/>
            </w:tcMar>
            <w:vAlign w:val="center"/>
          </w:tcPr>
          <w:p w14:paraId="68FEBCD1">
            <w:pPr>
              <w:pStyle w:val="77"/>
              <w:keepNext w:val="0"/>
              <w:keepLines w:val="0"/>
              <w:suppressLineNumbers w:val="0"/>
              <w:spacing w:before="0" w:beforeAutospacing="0" w:after="0" w:afterAutospacing="0"/>
              <w:ind w:left="0" w:right="0"/>
              <w:rPr>
                <w:rFonts w:hint="default"/>
                <w:color w:val="auto"/>
              </w:rPr>
            </w:pPr>
            <w:r>
              <w:rPr>
                <w:rFonts w:hint="default"/>
                <w:color w:val="auto"/>
              </w:rPr>
              <w:t>21</w:t>
            </w:r>
            <w:r>
              <w:rPr>
                <w:rFonts w:hint="eastAsia" w:ascii="宋体" w:hAnsi="宋体" w:cs="宋体"/>
                <w:color w:val="auto"/>
              </w:rPr>
              <w:t>︒</w:t>
            </w:r>
            <w:r>
              <w:rPr>
                <w:rFonts w:hint="default"/>
                <w:color w:val="auto"/>
              </w:rPr>
              <w:t>12.6＇N/108</w:t>
            </w:r>
            <w:r>
              <w:rPr>
                <w:rFonts w:hint="eastAsia" w:ascii="宋体" w:hAnsi="宋体" w:cs="宋体"/>
                <w:color w:val="auto"/>
              </w:rPr>
              <w:t>︒</w:t>
            </w:r>
            <w:r>
              <w:rPr>
                <w:rFonts w:hint="default"/>
                <w:color w:val="auto"/>
              </w:rPr>
              <w:t>37＇E</w:t>
            </w:r>
          </w:p>
        </w:tc>
        <w:tc>
          <w:tcPr>
            <w:tcW w:w="1014" w:type="dxa"/>
            <w:tcMar>
              <w:left w:w="0" w:type="dxa"/>
              <w:right w:w="0" w:type="dxa"/>
            </w:tcMar>
            <w:vAlign w:val="center"/>
          </w:tcPr>
          <w:p w14:paraId="0F9E7B37">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r>
      <w:tr w14:paraId="2A9821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178F50BD">
            <w:pPr>
              <w:pStyle w:val="77"/>
              <w:keepNext w:val="0"/>
              <w:keepLines w:val="0"/>
              <w:suppressLineNumbers w:val="0"/>
              <w:spacing w:before="0" w:beforeAutospacing="0" w:after="0" w:afterAutospacing="0"/>
              <w:ind w:left="0" w:right="0"/>
              <w:rPr>
                <w:rFonts w:hint="default"/>
                <w:color w:val="auto"/>
              </w:rPr>
            </w:pPr>
            <w:r>
              <w:rPr>
                <w:rFonts w:hint="default"/>
                <w:color w:val="auto"/>
              </w:rPr>
              <w:t>16</w:t>
            </w:r>
          </w:p>
        </w:tc>
        <w:tc>
          <w:tcPr>
            <w:tcW w:w="1161" w:type="dxa"/>
            <w:tcMar>
              <w:left w:w="0" w:type="dxa"/>
              <w:right w:w="0" w:type="dxa"/>
            </w:tcMar>
            <w:vAlign w:val="center"/>
          </w:tcPr>
          <w:p w14:paraId="70191BC1">
            <w:pPr>
              <w:pStyle w:val="77"/>
              <w:keepNext w:val="0"/>
              <w:keepLines w:val="0"/>
              <w:suppressLineNumbers w:val="0"/>
              <w:spacing w:before="0" w:beforeAutospacing="0" w:after="0" w:afterAutospacing="0"/>
              <w:ind w:left="0" w:right="0"/>
              <w:rPr>
                <w:rFonts w:hint="default"/>
                <w:color w:val="auto"/>
              </w:rPr>
            </w:pPr>
            <w:r>
              <w:rPr>
                <w:rFonts w:hint="default"/>
                <w:color w:val="auto"/>
              </w:rPr>
              <w:t>2008.11.28</w:t>
            </w:r>
          </w:p>
        </w:tc>
        <w:tc>
          <w:tcPr>
            <w:tcW w:w="2372" w:type="dxa"/>
            <w:tcMar>
              <w:left w:w="0" w:type="dxa"/>
              <w:right w:w="0" w:type="dxa"/>
            </w:tcMar>
            <w:vAlign w:val="center"/>
          </w:tcPr>
          <w:p w14:paraId="0E4AA4B1">
            <w:pPr>
              <w:pStyle w:val="77"/>
              <w:keepNext w:val="0"/>
              <w:keepLines w:val="0"/>
              <w:suppressLineNumbers w:val="0"/>
              <w:spacing w:before="0" w:beforeAutospacing="0" w:after="0" w:afterAutospacing="0"/>
              <w:ind w:left="0" w:right="0"/>
              <w:rPr>
                <w:rFonts w:hint="default"/>
                <w:color w:val="auto"/>
              </w:rPr>
            </w:pPr>
            <w:r>
              <w:rPr>
                <w:rFonts w:hint="default"/>
                <w:color w:val="auto"/>
              </w:rPr>
              <w:t>盈海288与HN5088碰撞</w:t>
            </w:r>
          </w:p>
        </w:tc>
        <w:tc>
          <w:tcPr>
            <w:tcW w:w="1043" w:type="dxa"/>
            <w:tcMar>
              <w:left w:w="0" w:type="dxa"/>
              <w:right w:w="0" w:type="dxa"/>
            </w:tcMar>
            <w:vAlign w:val="center"/>
          </w:tcPr>
          <w:p w14:paraId="609CCB3A">
            <w:pPr>
              <w:pStyle w:val="77"/>
              <w:keepNext w:val="0"/>
              <w:keepLines w:val="0"/>
              <w:suppressLineNumbers w:val="0"/>
              <w:spacing w:before="0" w:beforeAutospacing="0" w:after="0" w:afterAutospacing="0"/>
              <w:ind w:left="0" w:right="0"/>
              <w:rPr>
                <w:rFonts w:hint="default"/>
                <w:color w:val="auto"/>
              </w:rPr>
            </w:pPr>
            <w:r>
              <w:rPr>
                <w:rFonts w:hint="default"/>
                <w:color w:val="auto"/>
              </w:rPr>
              <w:t>大事故</w:t>
            </w:r>
          </w:p>
        </w:tc>
        <w:tc>
          <w:tcPr>
            <w:tcW w:w="837" w:type="dxa"/>
            <w:tcMar>
              <w:left w:w="0" w:type="dxa"/>
              <w:right w:w="0" w:type="dxa"/>
            </w:tcMar>
            <w:vAlign w:val="center"/>
          </w:tcPr>
          <w:p w14:paraId="7A2D615C">
            <w:pPr>
              <w:pStyle w:val="77"/>
              <w:keepNext w:val="0"/>
              <w:keepLines w:val="0"/>
              <w:suppressLineNumbers w:val="0"/>
              <w:spacing w:before="0" w:beforeAutospacing="0" w:after="0" w:afterAutospacing="0"/>
              <w:ind w:left="0" w:right="0"/>
              <w:rPr>
                <w:rFonts w:hint="default"/>
                <w:color w:val="auto"/>
              </w:rPr>
            </w:pPr>
            <w:r>
              <w:rPr>
                <w:rFonts w:hint="default"/>
                <w:color w:val="auto"/>
              </w:rPr>
              <w:t>碰撞</w:t>
            </w:r>
          </w:p>
        </w:tc>
        <w:tc>
          <w:tcPr>
            <w:tcW w:w="3726" w:type="dxa"/>
            <w:tcMar>
              <w:left w:w="0" w:type="dxa"/>
              <w:right w:w="0" w:type="dxa"/>
            </w:tcMar>
            <w:vAlign w:val="center"/>
          </w:tcPr>
          <w:p w14:paraId="39FCF8D7">
            <w:pPr>
              <w:pStyle w:val="77"/>
              <w:keepNext w:val="0"/>
              <w:keepLines w:val="0"/>
              <w:suppressLineNumbers w:val="0"/>
              <w:spacing w:before="0" w:beforeAutospacing="0" w:after="0" w:afterAutospacing="0"/>
              <w:ind w:left="0" w:right="0"/>
              <w:rPr>
                <w:rFonts w:hint="default"/>
                <w:color w:val="auto"/>
              </w:rPr>
            </w:pPr>
            <w:r>
              <w:rPr>
                <w:rFonts w:hint="default"/>
                <w:color w:val="auto"/>
              </w:rPr>
              <w:t>不熟悉航道，未保持正规瞭望，未使用安全航速</w:t>
            </w:r>
          </w:p>
        </w:tc>
        <w:tc>
          <w:tcPr>
            <w:tcW w:w="3349" w:type="dxa"/>
            <w:tcMar>
              <w:left w:w="0" w:type="dxa"/>
              <w:right w:w="0" w:type="dxa"/>
            </w:tcMar>
            <w:vAlign w:val="center"/>
          </w:tcPr>
          <w:p w14:paraId="38E311AB">
            <w:pPr>
              <w:pStyle w:val="77"/>
              <w:keepNext w:val="0"/>
              <w:keepLines w:val="0"/>
              <w:suppressLineNumbers w:val="0"/>
              <w:spacing w:before="0" w:beforeAutospacing="0" w:after="0" w:afterAutospacing="0"/>
              <w:ind w:left="0" w:right="0"/>
              <w:rPr>
                <w:rFonts w:hint="default"/>
                <w:color w:val="auto"/>
              </w:rPr>
            </w:pPr>
            <w:r>
              <w:rPr>
                <w:rFonts w:hint="default"/>
                <w:color w:val="auto"/>
              </w:rPr>
              <w:t>21</w:t>
            </w:r>
            <w:r>
              <w:rPr>
                <w:rFonts w:hint="eastAsia" w:ascii="宋体" w:hAnsi="宋体" w:cs="宋体"/>
                <w:color w:val="auto"/>
              </w:rPr>
              <w:t>︒</w:t>
            </w:r>
            <w:r>
              <w:rPr>
                <w:rFonts w:hint="default"/>
                <w:color w:val="auto"/>
              </w:rPr>
              <w:t>40.002＇N/108</w:t>
            </w:r>
            <w:r>
              <w:rPr>
                <w:rFonts w:hint="eastAsia" w:ascii="宋体" w:hAnsi="宋体" w:cs="宋体"/>
                <w:color w:val="auto"/>
              </w:rPr>
              <w:t>︒</w:t>
            </w:r>
            <w:r>
              <w:rPr>
                <w:rFonts w:hint="default"/>
                <w:color w:val="auto"/>
              </w:rPr>
              <w:t>35.155＇E</w:t>
            </w:r>
          </w:p>
        </w:tc>
        <w:tc>
          <w:tcPr>
            <w:tcW w:w="1014" w:type="dxa"/>
            <w:tcMar>
              <w:left w:w="0" w:type="dxa"/>
              <w:right w:w="0" w:type="dxa"/>
            </w:tcMar>
            <w:vAlign w:val="center"/>
          </w:tcPr>
          <w:p w14:paraId="7A29A47C">
            <w:pPr>
              <w:pStyle w:val="77"/>
              <w:keepNext w:val="0"/>
              <w:keepLines w:val="0"/>
              <w:suppressLineNumbers w:val="0"/>
              <w:spacing w:before="0" w:beforeAutospacing="0" w:after="0" w:afterAutospacing="0"/>
              <w:ind w:left="0" w:right="0"/>
              <w:rPr>
                <w:rFonts w:hint="default"/>
                <w:color w:val="auto"/>
              </w:rPr>
            </w:pPr>
            <w:r>
              <w:rPr>
                <w:rFonts w:hint="default"/>
                <w:color w:val="auto"/>
              </w:rPr>
              <w:t>不详</w:t>
            </w:r>
          </w:p>
        </w:tc>
      </w:tr>
      <w:tr w14:paraId="5068F7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29429BB5">
            <w:pPr>
              <w:pStyle w:val="77"/>
              <w:keepNext w:val="0"/>
              <w:keepLines w:val="0"/>
              <w:suppressLineNumbers w:val="0"/>
              <w:spacing w:before="0" w:beforeAutospacing="0" w:after="0" w:afterAutospacing="0"/>
              <w:ind w:left="0" w:right="0"/>
              <w:rPr>
                <w:rFonts w:hint="default"/>
                <w:color w:val="auto"/>
              </w:rPr>
            </w:pPr>
            <w:r>
              <w:rPr>
                <w:rFonts w:hint="default"/>
                <w:color w:val="auto"/>
              </w:rPr>
              <w:t>17</w:t>
            </w:r>
          </w:p>
        </w:tc>
        <w:tc>
          <w:tcPr>
            <w:tcW w:w="1161" w:type="dxa"/>
            <w:tcMar>
              <w:left w:w="0" w:type="dxa"/>
              <w:right w:w="0" w:type="dxa"/>
            </w:tcMar>
            <w:vAlign w:val="center"/>
          </w:tcPr>
          <w:p w14:paraId="7B5C3795">
            <w:pPr>
              <w:pStyle w:val="77"/>
              <w:keepNext w:val="0"/>
              <w:keepLines w:val="0"/>
              <w:suppressLineNumbers w:val="0"/>
              <w:spacing w:before="0" w:beforeAutospacing="0" w:after="0" w:afterAutospacing="0"/>
              <w:ind w:left="0" w:right="0"/>
              <w:rPr>
                <w:rFonts w:hint="default"/>
                <w:color w:val="auto"/>
              </w:rPr>
            </w:pPr>
            <w:r>
              <w:rPr>
                <w:rFonts w:hint="default"/>
                <w:color w:val="auto"/>
              </w:rPr>
              <w:t>2009.3.12</w:t>
            </w:r>
          </w:p>
        </w:tc>
        <w:tc>
          <w:tcPr>
            <w:tcW w:w="2372" w:type="dxa"/>
            <w:tcMar>
              <w:left w:w="0" w:type="dxa"/>
              <w:right w:w="0" w:type="dxa"/>
            </w:tcMar>
            <w:vAlign w:val="center"/>
          </w:tcPr>
          <w:p w14:paraId="1BCD3E40">
            <w:pPr>
              <w:pStyle w:val="77"/>
              <w:keepNext w:val="0"/>
              <w:keepLines w:val="0"/>
              <w:suppressLineNumbers w:val="0"/>
              <w:spacing w:before="0" w:beforeAutospacing="0" w:after="0" w:afterAutospacing="0"/>
              <w:ind w:left="0" w:right="0"/>
              <w:rPr>
                <w:rFonts w:hint="default"/>
                <w:color w:val="auto"/>
              </w:rPr>
            </w:pPr>
            <w:r>
              <w:rPr>
                <w:rFonts w:hint="default"/>
                <w:color w:val="auto"/>
              </w:rPr>
              <w:t>巴拿马籍“东方梦轮”碰撞“粤阳江货0082轮”事故</w:t>
            </w:r>
          </w:p>
        </w:tc>
        <w:tc>
          <w:tcPr>
            <w:tcW w:w="1043" w:type="dxa"/>
            <w:tcMar>
              <w:left w:w="0" w:type="dxa"/>
              <w:right w:w="0" w:type="dxa"/>
            </w:tcMar>
            <w:vAlign w:val="center"/>
          </w:tcPr>
          <w:p w14:paraId="2BD9DF1D">
            <w:pPr>
              <w:pStyle w:val="77"/>
              <w:keepNext w:val="0"/>
              <w:keepLines w:val="0"/>
              <w:suppressLineNumbers w:val="0"/>
              <w:spacing w:before="0" w:beforeAutospacing="0" w:after="0" w:afterAutospacing="0"/>
              <w:ind w:left="0" w:right="0"/>
              <w:rPr>
                <w:rFonts w:hint="default"/>
                <w:color w:val="auto"/>
              </w:rPr>
            </w:pPr>
            <w:r>
              <w:rPr>
                <w:rFonts w:hint="default"/>
                <w:color w:val="auto"/>
              </w:rPr>
              <w:t>一般事故</w:t>
            </w:r>
          </w:p>
        </w:tc>
        <w:tc>
          <w:tcPr>
            <w:tcW w:w="837" w:type="dxa"/>
            <w:tcMar>
              <w:left w:w="0" w:type="dxa"/>
              <w:right w:w="0" w:type="dxa"/>
            </w:tcMar>
            <w:vAlign w:val="center"/>
          </w:tcPr>
          <w:p w14:paraId="60512869">
            <w:pPr>
              <w:pStyle w:val="77"/>
              <w:keepNext w:val="0"/>
              <w:keepLines w:val="0"/>
              <w:suppressLineNumbers w:val="0"/>
              <w:spacing w:before="0" w:beforeAutospacing="0" w:after="0" w:afterAutospacing="0"/>
              <w:ind w:left="0" w:right="0"/>
              <w:rPr>
                <w:rFonts w:hint="default"/>
                <w:color w:val="auto"/>
              </w:rPr>
            </w:pPr>
            <w:r>
              <w:rPr>
                <w:rFonts w:hint="default"/>
                <w:color w:val="auto"/>
              </w:rPr>
              <w:t>碰撞</w:t>
            </w:r>
          </w:p>
        </w:tc>
        <w:tc>
          <w:tcPr>
            <w:tcW w:w="3726" w:type="dxa"/>
            <w:tcMar>
              <w:left w:w="0" w:type="dxa"/>
              <w:right w:w="0" w:type="dxa"/>
            </w:tcMar>
            <w:vAlign w:val="center"/>
          </w:tcPr>
          <w:p w14:paraId="24882BEC">
            <w:pPr>
              <w:pStyle w:val="77"/>
              <w:keepNext w:val="0"/>
              <w:keepLines w:val="0"/>
              <w:suppressLineNumbers w:val="0"/>
              <w:spacing w:before="0" w:beforeAutospacing="0" w:after="0" w:afterAutospacing="0"/>
              <w:ind w:left="0" w:right="0"/>
              <w:rPr>
                <w:rFonts w:hint="default"/>
                <w:color w:val="auto"/>
              </w:rPr>
            </w:pPr>
            <w:r>
              <w:rPr>
                <w:rFonts w:hint="default"/>
                <w:color w:val="auto"/>
              </w:rPr>
              <w:t>违规穿越航道；能见度不良的情况下未使用安全航速</w:t>
            </w:r>
          </w:p>
        </w:tc>
        <w:tc>
          <w:tcPr>
            <w:tcW w:w="3349" w:type="dxa"/>
            <w:tcMar>
              <w:left w:w="0" w:type="dxa"/>
              <w:right w:w="0" w:type="dxa"/>
            </w:tcMar>
            <w:vAlign w:val="center"/>
          </w:tcPr>
          <w:p w14:paraId="1709C62B">
            <w:pPr>
              <w:pStyle w:val="77"/>
              <w:keepNext w:val="0"/>
              <w:keepLines w:val="0"/>
              <w:suppressLineNumbers w:val="0"/>
              <w:spacing w:before="0" w:beforeAutospacing="0" w:after="0" w:afterAutospacing="0"/>
              <w:ind w:left="0" w:right="0"/>
              <w:rPr>
                <w:rFonts w:hint="default"/>
                <w:color w:val="auto"/>
              </w:rPr>
            </w:pPr>
            <w:r>
              <w:rPr>
                <w:rFonts w:hint="default"/>
                <w:color w:val="auto"/>
              </w:rPr>
              <w:t>21</w:t>
            </w:r>
            <w:r>
              <w:rPr>
                <w:rFonts w:hint="eastAsia" w:ascii="宋体" w:hAnsi="宋体" w:cs="宋体"/>
                <w:color w:val="auto"/>
              </w:rPr>
              <w:t>︒</w:t>
            </w:r>
            <w:r>
              <w:rPr>
                <w:rFonts w:hint="default"/>
                <w:color w:val="auto"/>
              </w:rPr>
              <w:t>37.873＇N/108</w:t>
            </w:r>
            <w:r>
              <w:rPr>
                <w:rFonts w:hint="eastAsia" w:ascii="宋体" w:hAnsi="宋体" w:cs="宋体"/>
                <w:color w:val="auto"/>
              </w:rPr>
              <w:t>︒</w:t>
            </w:r>
            <w:r>
              <w:rPr>
                <w:rFonts w:hint="default"/>
                <w:color w:val="auto"/>
              </w:rPr>
              <w:t>41.101＇E</w:t>
            </w:r>
          </w:p>
        </w:tc>
        <w:tc>
          <w:tcPr>
            <w:tcW w:w="1014" w:type="dxa"/>
            <w:tcMar>
              <w:left w:w="0" w:type="dxa"/>
              <w:right w:w="0" w:type="dxa"/>
            </w:tcMar>
            <w:vAlign w:val="center"/>
          </w:tcPr>
          <w:p w14:paraId="6D041365">
            <w:pPr>
              <w:pStyle w:val="77"/>
              <w:keepNext w:val="0"/>
              <w:keepLines w:val="0"/>
              <w:suppressLineNumbers w:val="0"/>
              <w:spacing w:before="0" w:beforeAutospacing="0" w:after="0" w:afterAutospacing="0"/>
              <w:ind w:left="0" w:right="0"/>
              <w:rPr>
                <w:rFonts w:hint="default"/>
                <w:color w:val="auto"/>
              </w:rPr>
            </w:pPr>
            <w:r>
              <w:rPr>
                <w:rFonts w:hint="default"/>
                <w:color w:val="auto"/>
              </w:rPr>
              <w:t>0.5</w:t>
            </w:r>
          </w:p>
        </w:tc>
      </w:tr>
    </w:tbl>
    <w:p w14:paraId="65E1A837">
      <w:pPr>
        <w:ind w:firstLine="199" w:firstLineChars="83"/>
        <w:rPr>
          <w:color w:val="auto"/>
        </w:rPr>
        <w:sectPr>
          <w:headerReference r:id="rId36" w:type="default"/>
          <w:pgSz w:w="16838" w:h="11906" w:orient="landscape"/>
          <w:pgMar w:top="1800" w:right="1440" w:bottom="1800" w:left="1440" w:header="851" w:footer="992" w:gutter="0"/>
          <w:cols w:space="720" w:num="1"/>
          <w:docGrid w:type="lines" w:linePitch="326" w:charSpace="0"/>
        </w:sectPr>
      </w:pPr>
    </w:p>
    <w:p w14:paraId="1CFF23A5">
      <w:pPr>
        <w:pStyle w:val="14"/>
        <w:rPr>
          <w:color w:val="auto"/>
        </w:rPr>
      </w:pPr>
      <w:r>
        <w:rPr>
          <w:rFonts w:hint="eastAsia"/>
          <w:color w:val="auto"/>
        </w:rPr>
        <w:t>表</w:t>
      </w:r>
      <w:r>
        <w:rPr>
          <w:color w:val="auto"/>
        </w:rPr>
        <w:t>5.3</w:t>
      </w:r>
      <w:r>
        <w:rPr>
          <w:color w:val="auto"/>
        </w:rPr>
        <w:noBreakHyphen/>
      </w:r>
      <w:r>
        <w:rPr>
          <w:color w:val="auto"/>
        </w:rPr>
        <w:t>3事故原因统计表</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755"/>
        <w:gridCol w:w="2756"/>
        <w:gridCol w:w="2765"/>
      </w:tblGrid>
      <w:tr w14:paraId="57B5C5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0307265F">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事故原因</w:t>
            </w:r>
          </w:p>
        </w:tc>
        <w:tc>
          <w:tcPr>
            <w:tcW w:w="2756" w:type="dxa"/>
          </w:tcPr>
          <w:p w14:paraId="4457AB2E">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10年事故总次数</w:t>
            </w:r>
          </w:p>
        </w:tc>
        <w:tc>
          <w:tcPr>
            <w:tcW w:w="2765" w:type="dxa"/>
          </w:tcPr>
          <w:p w14:paraId="724EE50B">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所占百分比%</w:t>
            </w:r>
          </w:p>
        </w:tc>
      </w:tr>
      <w:tr w14:paraId="3C0955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73786F04">
            <w:pPr>
              <w:pStyle w:val="77"/>
              <w:keepNext w:val="0"/>
              <w:keepLines w:val="0"/>
              <w:suppressLineNumbers w:val="0"/>
              <w:spacing w:before="0" w:beforeAutospacing="0" w:after="0" w:afterAutospacing="0"/>
              <w:ind w:left="0" w:right="0"/>
              <w:rPr>
                <w:rFonts w:hint="default"/>
                <w:color w:val="auto"/>
              </w:rPr>
            </w:pPr>
            <w:r>
              <w:rPr>
                <w:rFonts w:hint="default"/>
                <w:color w:val="auto"/>
              </w:rPr>
              <w:t>操作不当</w:t>
            </w:r>
          </w:p>
        </w:tc>
        <w:tc>
          <w:tcPr>
            <w:tcW w:w="2756" w:type="dxa"/>
          </w:tcPr>
          <w:p w14:paraId="6E47E7EF">
            <w:pPr>
              <w:pStyle w:val="77"/>
              <w:keepNext w:val="0"/>
              <w:keepLines w:val="0"/>
              <w:suppressLineNumbers w:val="0"/>
              <w:spacing w:before="0" w:beforeAutospacing="0" w:after="0" w:afterAutospacing="0"/>
              <w:ind w:left="0" w:right="0"/>
              <w:rPr>
                <w:rFonts w:hint="default"/>
                <w:color w:val="auto"/>
              </w:rPr>
            </w:pPr>
            <w:r>
              <w:rPr>
                <w:rFonts w:hint="default"/>
                <w:color w:val="auto"/>
              </w:rPr>
              <w:t>2</w:t>
            </w:r>
          </w:p>
        </w:tc>
        <w:tc>
          <w:tcPr>
            <w:tcW w:w="2765" w:type="dxa"/>
          </w:tcPr>
          <w:p w14:paraId="5799A2D9">
            <w:pPr>
              <w:pStyle w:val="77"/>
              <w:keepNext w:val="0"/>
              <w:keepLines w:val="0"/>
              <w:suppressLineNumbers w:val="0"/>
              <w:spacing w:before="0" w:beforeAutospacing="0" w:after="0" w:afterAutospacing="0"/>
              <w:ind w:left="0" w:right="0"/>
              <w:rPr>
                <w:rFonts w:hint="default"/>
                <w:color w:val="auto"/>
              </w:rPr>
            </w:pPr>
            <w:r>
              <w:rPr>
                <w:rFonts w:hint="default"/>
                <w:color w:val="auto"/>
              </w:rPr>
              <w:t>11.76</w:t>
            </w:r>
          </w:p>
        </w:tc>
      </w:tr>
      <w:tr w14:paraId="70EF32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4D2B3DFA">
            <w:pPr>
              <w:pStyle w:val="77"/>
              <w:keepNext w:val="0"/>
              <w:keepLines w:val="0"/>
              <w:suppressLineNumbers w:val="0"/>
              <w:spacing w:before="0" w:beforeAutospacing="0" w:after="0" w:afterAutospacing="0"/>
              <w:ind w:left="0" w:right="0"/>
              <w:rPr>
                <w:rFonts w:hint="default"/>
                <w:color w:val="auto"/>
              </w:rPr>
            </w:pPr>
            <w:r>
              <w:rPr>
                <w:rFonts w:hint="default"/>
                <w:color w:val="auto"/>
              </w:rPr>
              <w:t>碰撞</w:t>
            </w:r>
          </w:p>
        </w:tc>
        <w:tc>
          <w:tcPr>
            <w:tcW w:w="2756" w:type="dxa"/>
          </w:tcPr>
          <w:p w14:paraId="0EF58580">
            <w:pPr>
              <w:pStyle w:val="77"/>
              <w:keepNext w:val="0"/>
              <w:keepLines w:val="0"/>
              <w:suppressLineNumbers w:val="0"/>
              <w:spacing w:before="0" w:beforeAutospacing="0" w:after="0" w:afterAutospacing="0"/>
              <w:ind w:left="0" w:right="0"/>
              <w:rPr>
                <w:rFonts w:hint="default"/>
                <w:color w:val="auto"/>
              </w:rPr>
            </w:pPr>
            <w:r>
              <w:rPr>
                <w:rFonts w:hint="default"/>
                <w:color w:val="auto"/>
              </w:rPr>
              <w:t>8</w:t>
            </w:r>
          </w:p>
        </w:tc>
        <w:tc>
          <w:tcPr>
            <w:tcW w:w="2765" w:type="dxa"/>
          </w:tcPr>
          <w:p w14:paraId="7C0F45A1">
            <w:pPr>
              <w:pStyle w:val="77"/>
              <w:keepNext w:val="0"/>
              <w:keepLines w:val="0"/>
              <w:suppressLineNumbers w:val="0"/>
              <w:spacing w:before="0" w:beforeAutospacing="0" w:after="0" w:afterAutospacing="0"/>
              <w:ind w:left="0" w:right="0"/>
              <w:rPr>
                <w:rFonts w:hint="default"/>
                <w:color w:val="auto"/>
              </w:rPr>
            </w:pPr>
            <w:r>
              <w:rPr>
                <w:rFonts w:hint="default"/>
                <w:color w:val="auto"/>
              </w:rPr>
              <w:t>47.07</w:t>
            </w:r>
          </w:p>
        </w:tc>
      </w:tr>
      <w:tr w14:paraId="5DD38C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23692404">
            <w:pPr>
              <w:pStyle w:val="77"/>
              <w:keepNext w:val="0"/>
              <w:keepLines w:val="0"/>
              <w:suppressLineNumbers w:val="0"/>
              <w:spacing w:before="0" w:beforeAutospacing="0" w:after="0" w:afterAutospacing="0"/>
              <w:ind w:left="0" w:right="0"/>
              <w:rPr>
                <w:rFonts w:hint="default"/>
                <w:color w:val="auto"/>
              </w:rPr>
            </w:pPr>
            <w:r>
              <w:rPr>
                <w:rFonts w:hint="default"/>
                <w:color w:val="auto"/>
              </w:rPr>
              <w:t>自沉</w:t>
            </w:r>
          </w:p>
        </w:tc>
        <w:tc>
          <w:tcPr>
            <w:tcW w:w="2756" w:type="dxa"/>
          </w:tcPr>
          <w:p w14:paraId="13976CEC">
            <w:pPr>
              <w:pStyle w:val="77"/>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2765" w:type="dxa"/>
          </w:tcPr>
          <w:p w14:paraId="333A4771">
            <w:pPr>
              <w:pStyle w:val="77"/>
              <w:keepNext w:val="0"/>
              <w:keepLines w:val="0"/>
              <w:suppressLineNumbers w:val="0"/>
              <w:spacing w:before="0" w:beforeAutospacing="0" w:after="0" w:afterAutospacing="0"/>
              <w:ind w:left="0" w:right="0"/>
              <w:rPr>
                <w:rFonts w:hint="default"/>
                <w:color w:val="auto"/>
              </w:rPr>
            </w:pPr>
            <w:r>
              <w:rPr>
                <w:rFonts w:hint="default"/>
                <w:color w:val="auto"/>
              </w:rPr>
              <w:t>23.53</w:t>
            </w:r>
          </w:p>
        </w:tc>
      </w:tr>
      <w:tr w14:paraId="04FAF8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17B830B2">
            <w:pPr>
              <w:pStyle w:val="77"/>
              <w:keepNext w:val="0"/>
              <w:keepLines w:val="0"/>
              <w:suppressLineNumbers w:val="0"/>
              <w:spacing w:before="0" w:beforeAutospacing="0" w:after="0" w:afterAutospacing="0"/>
              <w:ind w:left="0" w:right="0"/>
              <w:rPr>
                <w:rFonts w:hint="default"/>
                <w:color w:val="auto"/>
              </w:rPr>
            </w:pPr>
            <w:r>
              <w:rPr>
                <w:rFonts w:hint="default"/>
                <w:color w:val="auto"/>
              </w:rPr>
              <w:t>风灾</w:t>
            </w:r>
          </w:p>
        </w:tc>
        <w:tc>
          <w:tcPr>
            <w:tcW w:w="2756" w:type="dxa"/>
          </w:tcPr>
          <w:p w14:paraId="1030CE0C">
            <w:pPr>
              <w:pStyle w:val="77"/>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2765" w:type="dxa"/>
          </w:tcPr>
          <w:p w14:paraId="3B5D4A5F">
            <w:pPr>
              <w:pStyle w:val="77"/>
              <w:keepNext w:val="0"/>
              <w:keepLines w:val="0"/>
              <w:suppressLineNumbers w:val="0"/>
              <w:spacing w:before="0" w:beforeAutospacing="0" w:after="0" w:afterAutospacing="0"/>
              <w:ind w:left="0" w:right="0"/>
              <w:rPr>
                <w:rFonts w:hint="default"/>
                <w:color w:val="auto"/>
              </w:rPr>
            </w:pPr>
            <w:r>
              <w:rPr>
                <w:rFonts w:hint="default"/>
                <w:color w:val="auto"/>
              </w:rPr>
              <w:t>5.88</w:t>
            </w:r>
          </w:p>
        </w:tc>
      </w:tr>
      <w:tr w14:paraId="462397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2B10A6A1">
            <w:pPr>
              <w:pStyle w:val="77"/>
              <w:keepNext w:val="0"/>
              <w:keepLines w:val="0"/>
              <w:suppressLineNumbers w:val="0"/>
              <w:spacing w:before="0" w:beforeAutospacing="0" w:after="0" w:afterAutospacing="0"/>
              <w:ind w:left="0" w:right="0"/>
              <w:rPr>
                <w:rFonts w:hint="default"/>
                <w:color w:val="auto"/>
              </w:rPr>
            </w:pPr>
            <w:r>
              <w:rPr>
                <w:rFonts w:hint="default"/>
                <w:color w:val="auto"/>
              </w:rPr>
              <w:t>触礁</w:t>
            </w:r>
          </w:p>
        </w:tc>
        <w:tc>
          <w:tcPr>
            <w:tcW w:w="2756" w:type="dxa"/>
          </w:tcPr>
          <w:p w14:paraId="38D529C2">
            <w:pPr>
              <w:pStyle w:val="77"/>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2765" w:type="dxa"/>
          </w:tcPr>
          <w:p w14:paraId="64AFC4F3">
            <w:pPr>
              <w:pStyle w:val="77"/>
              <w:keepNext w:val="0"/>
              <w:keepLines w:val="0"/>
              <w:suppressLineNumbers w:val="0"/>
              <w:spacing w:before="0" w:beforeAutospacing="0" w:after="0" w:afterAutospacing="0"/>
              <w:ind w:left="0" w:right="0"/>
              <w:rPr>
                <w:rFonts w:hint="default"/>
                <w:color w:val="auto"/>
              </w:rPr>
            </w:pPr>
            <w:r>
              <w:rPr>
                <w:rFonts w:hint="default"/>
                <w:color w:val="auto"/>
              </w:rPr>
              <w:t>5.88</w:t>
            </w:r>
          </w:p>
        </w:tc>
      </w:tr>
      <w:tr w14:paraId="5DFD19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5E757283">
            <w:pPr>
              <w:pStyle w:val="77"/>
              <w:keepNext w:val="0"/>
              <w:keepLines w:val="0"/>
              <w:suppressLineNumbers w:val="0"/>
              <w:spacing w:before="0" w:beforeAutospacing="0" w:after="0" w:afterAutospacing="0"/>
              <w:ind w:left="0" w:right="0"/>
              <w:rPr>
                <w:rFonts w:hint="default"/>
                <w:color w:val="auto"/>
              </w:rPr>
            </w:pPr>
            <w:r>
              <w:rPr>
                <w:rFonts w:hint="default"/>
                <w:color w:val="auto"/>
              </w:rPr>
              <w:t>其他</w:t>
            </w:r>
          </w:p>
        </w:tc>
        <w:tc>
          <w:tcPr>
            <w:tcW w:w="2756" w:type="dxa"/>
          </w:tcPr>
          <w:p w14:paraId="5AB6E8B9">
            <w:pPr>
              <w:pStyle w:val="77"/>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2765" w:type="dxa"/>
          </w:tcPr>
          <w:p w14:paraId="360AF8F2">
            <w:pPr>
              <w:pStyle w:val="77"/>
              <w:keepNext w:val="0"/>
              <w:keepLines w:val="0"/>
              <w:suppressLineNumbers w:val="0"/>
              <w:spacing w:before="0" w:beforeAutospacing="0" w:after="0" w:afterAutospacing="0"/>
              <w:ind w:left="0" w:right="0"/>
              <w:rPr>
                <w:rFonts w:hint="default"/>
                <w:color w:val="auto"/>
              </w:rPr>
            </w:pPr>
            <w:r>
              <w:rPr>
                <w:rFonts w:hint="default"/>
                <w:color w:val="auto"/>
              </w:rPr>
              <w:t>5.88</w:t>
            </w:r>
          </w:p>
        </w:tc>
      </w:tr>
      <w:tr w14:paraId="23CFD6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51C56FAB">
            <w:pPr>
              <w:pStyle w:val="77"/>
              <w:keepNext w:val="0"/>
              <w:keepLines w:val="0"/>
              <w:suppressLineNumbers w:val="0"/>
              <w:spacing w:before="0" w:beforeAutospacing="0" w:after="0" w:afterAutospacing="0"/>
              <w:ind w:left="0" w:right="0"/>
              <w:rPr>
                <w:rFonts w:hint="default"/>
                <w:color w:val="auto"/>
              </w:rPr>
            </w:pPr>
            <w:r>
              <w:rPr>
                <w:rFonts w:hint="default"/>
                <w:color w:val="auto"/>
              </w:rPr>
              <w:t>合计</w:t>
            </w:r>
          </w:p>
        </w:tc>
        <w:tc>
          <w:tcPr>
            <w:tcW w:w="2756" w:type="dxa"/>
          </w:tcPr>
          <w:p w14:paraId="1E59E3BE">
            <w:pPr>
              <w:pStyle w:val="77"/>
              <w:keepNext w:val="0"/>
              <w:keepLines w:val="0"/>
              <w:suppressLineNumbers w:val="0"/>
              <w:spacing w:before="0" w:beforeAutospacing="0" w:after="0" w:afterAutospacing="0"/>
              <w:ind w:left="0" w:right="0"/>
              <w:rPr>
                <w:rFonts w:hint="default"/>
                <w:color w:val="auto"/>
              </w:rPr>
            </w:pPr>
            <w:r>
              <w:rPr>
                <w:rFonts w:hint="default"/>
                <w:color w:val="auto"/>
              </w:rPr>
              <w:t>17</w:t>
            </w:r>
          </w:p>
        </w:tc>
        <w:tc>
          <w:tcPr>
            <w:tcW w:w="2765" w:type="dxa"/>
          </w:tcPr>
          <w:p w14:paraId="7982A3B9">
            <w:pPr>
              <w:pStyle w:val="77"/>
              <w:keepNext w:val="0"/>
              <w:keepLines w:val="0"/>
              <w:suppressLineNumbers w:val="0"/>
              <w:spacing w:before="0" w:beforeAutospacing="0" w:after="0" w:afterAutospacing="0"/>
              <w:ind w:left="0" w:right="0"/>
              <w:rPr>
                <w:rFonts w:hint="default"/>
                <w:color w:val="auto"/>
              </w:rPr>
            </w:pPr>
            <w:r>
              <w:rPr>
                <w:rFonts w:hint="default"/>
                <w:color w:val="auto"/>
              </w:rPr>
              <w:t>100</w:t>
            </w:r>
          </w:p>
        </w:tc>
      </w:tr>
    </w:tbl>
    <w:p w14:paraId="776FAA1E">
      <w:pPr>
        <w:pStyle w:val="6"/>
        <w:rPr>
          <w:color w:val="auto"/>
        </w:rPr>
      </w:pPr>
      <w:r>
        <w:rPr>
          <w:color w:val="auto"/>
        </w:rPr>
        <w:t>陆域污染事故概率分析</w:t>
      </w:r>
    </w:p>
    <w:p w14:paraId="11DE3D95">
      <w:pPr>
        <w:ind w:firstLine="480"/>
        <w:rPr>
          <w:color w:val="auto"/>
        </w:rPr>
      </w:pPr>
      <w:r>
        <w:rPr>
          <w:rFonts w:hint="eastAsia"/>
          <w:color w:val="auto"/>
        </w:rPr>
        <w:t>（1）事故</w:t>
      </w:r>
      <w:r>
        <w:rPr>
          <w:color w:val="auto"/>
        </w:rPr>
        <w:t>资料统计</w:t>
      </w:r>
    </w:p>
    <w:p w14:paraId="15ED3A33">
      <w:pPr>
        <w:ind w:firstLine="480"/>
        <w:rPr>
          <w:color w:val="auto"/>
        </w:rPr>
      </w:pPr>
      <w:r>
        <w:rPr>
          <w:rFonts w:hint="eastAsia"/>
          <w:color w:val="auto"/>
        </w:rPr>
        <w:t>根据《我国危险化学品事故统计分析及对策研究》，2005年8月—2008年7月，我国危险化学品在生产、存储、使用、运输、销售及废弃处置六大环节。危险化学品事故生产环节事故为332起，所占比例为22.2%，共造成6025人受伤，是各环节中事故死亡人数最多、受伤人数最多的环节。生产环节事故原因主要集中在设备问题和违规操作两个方面。由于设备问题导致的生产设备没按工艺条件进行设计和制造、设备选型不合理、选材不当、强度不够、密封不严、设备陈旧老化、疏于检修、超期服役等。由于违规操作导致生产事故110起，占生产环节事故总数33%。违章指挥、违章操作、违反劳动纪律的“三违”现象是违规操作的主要表现。</w:t>
      </w:r>
    </w:p>
    <w:p w14:paraId="48DE6B6D">
      <w:pPr>
        <w:ind w:firstLine="480"/>
        <w:rPr>
          <w:color w:val="auto"/>
        </w:rPr>
      </w:pPr>
      <w:r>
        <w:rPr>
          <w:rFonts w:hint="eastAsia"/>
          <w:color w:val="auto"/>
        </w:rPr>
        <w:t>根据《近8年我国化工事故统计与分析》，2001—2008年我国化工企业共发生较大及其以上级别事故119起。在生产环节事故中，工艺34.45%，施工作业18.49%，检修12.61%，储存8.40%，清理7.56%，试生产或调试4.20%，运输装卸1.68%，气体充装1.68%，未知10.92%。</w:t>
      </w:r>
    </w:p>
    <w:p w14:paraId="17CC1795">
      <w:pPr>
        <w:ind w:firstLine="480"/>
        <w:rPr>
          <w:color w:val="auto"/>
        </w:rPr>
      </w:pPr>
      <w:r>
        <w:rPr>
          <w:rFonts w:hint="eastAsia"/>
          <w:color w:val="auto"/>
        </w:rPr>
        <w:t>（2）事故概率</w:t>
      </w:r>
      <w:r>
        <w:rPr>
          <w:color w:val="auto"/>
        </w:rPr>
        <w:t>分析</w:t>
      </w:r>
    </w:p>
    <w:p w14:paraId="0BB16096">
      <w:pPr>
        <w:ind w:firstLine="480"/>
        <w:rPr>
          <w:color w:val="auto"/>
        </w:rPr>
      </w:pPr>
      <w:r>
        <w:rPr>
          <w:color w:val="auto"/>
        </w:rPr>
        <w:t>根据《建设项目环境风险评价技术导则》（HJ/T169-2018）附录E事故概率，确定本项目的事故发生概率和最大可信度发生概率，详见下表。</w:t>
      </w:r>
    </w:p>
    <w:p w14:paraId="2ED30979">
      <w:pPr>
        <w:pStyle w:val="14"/>
        <w:rPr>
          <w:color w:val="auto"/>
        </w:rPr>
      </w:pPr>
      <w:r>
        <w:rPr>
          <w:rFonts w:hint="eastAsia"/>
          <w:color w:val="auto"/>
        </w:rPr>
        <w:t>表</w:t>
      </w:r>
      <w:r>
        <w:rPr>
          <w:color w:val="auto"/>
        </w:rPr>
        <w:t>5.3</w:t>
      </w:r>
      <w:r>
        <w:rPr>
          <w:color w:val="auto"/>
        </w:rPr>
        <w:noBreakHyphen/>
      </w:r>
      <w:r>
        <w:rPr>
          <w:color w:val="auto"/>
        </w:rPr>
        <w:t>4环境风险概率</w:t>
      </w:r>
    </w:p>
    <w:tbl>
      <w:tblPr>
        <w:tblStyle w:val="43"/>
        <w:tblW w:w="9155" w:type="dxa"/>
        <w:tblInd w:w="19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809"/>
        <w:gridCol w:w="5389"/>
        <w:gridCol w:w="1957"/>
      </w:tblGrid>
      <w:tr w14:paraId="3291E3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Align w:val="center"/>
          </w:tcPr>
          <w:p w14:paraId="711F3C86">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部件类型</w:t>
            </w:r>
          </w:p>
        </w:tc>
        <w:tc>
          <w:tcPr>
            <w:tcW w:w="5389" w:type="dxa"/>
            <w:vAlign w:val="center"/>
          </w:tcPr>
          <w:p w14:paraId="5661CB27">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泄漏模式</w:t>
            </w:r>
          </w:p>
        </w:tc>
        <w:tc>
          <w:tcPr>
            <w:tcW w:w="1957" w:type="dxa"/>
            <w:vAlign w:val="center"/>
          </w:tcPr>
          <w:p w14:paraId="00BB755B">
            <w:pPr>
              <w:pStyle w:val="91"/>
              <w:keepNext w:val="0"/>
              <w:keepLines w:val="0"/>
              <w:suppressLineNumbers w:val="0"/>
              <w:spacing w:before="0" w:beforeAutospacing="0" w:after="0" w:afterAutospacing="0"/>
              <w:ind w:left="0" w:right="0"/>
              <w:jc w:val="center"/>
              <w:rPr>
                <w:rFonts w:hint="default"/>
                <w:b/>
                <w:color w:val="auto"/>
              </w:rPr>
            </w:pPr>
            <w:r>
              <w:rPr>
                <w:rFonts w:hint="default"/>
                <w:b/>
                <w:color w:val="auto"/>
              </w:rPr>
              <w:t>泄漏频率</w:t>
            </w:r>
          </w:p>
        </w:tc>
      </w:tr>
      <w:tr w14:paraId="09A0B2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restart"/>
            <w:vAlign w:val="center"/>
          </w:tcPr>
          <w:p w14:paraId="21E0BF1B">
            <w:pPr>
              <w:pStyle w:val="91"/>
              <w:keepNext w:val="0"/>
              <w:keepLines w:val="0"/>
              <w:suppressLineNumbers w:val="0"/>
              <w:spacing w:before="0" w:beforeAutospacing="0" w:after="0" w:afterAutospacing="0"/>
              <w:ind w:left="0" w:right="0"/>
              <w:rPr>
                <w:rFonts w:hint="default"/>
                <w:color w:val="auto"/>
              </w:rPr>
            </w:pPr>
            <w:r>
              <w:rPr>
                <w:rFonts w:hint="default"/>
                <w:color w:val="auto"/>
              </w:rPr>
              <w:t>反应器/工艺储罐/气体储罐/塔器</w:t>
            </w:r>
          </w:p>
        </w:tc>
        <w:tc>
          <w:tcPr>
            <w:tcW w:w="5389" w:type="dxa"/>
            <w:vAlign w:val="center"/>
          </w:tcPr>
          <w:p w14:paraId="461037E7">
            <w:pPr>
              <w:pStyle w:val="91"/>
              <w:keepNext w:val="0"/>
              <w:keepLines w:val="0"/>
              <w:suppressLineNumbers w:val="0"/>
              <w:spacing w:before="0" w:beforeAutospacing="0" w:after="0" w:afterAutospacing="0"/>
              <w:ind w:left="0" w:right="0"/>
              <w:rPr>
                <w:rFonts w:hint="default"/>
                <w:color w:val="auto"/>
              </w:rPr>
            </w:pPr>
            <w:r>
              <w:rPr>
                <w:rFonts w:hint="default"/>
                <w:color w:val="auto"/>
              </w:rPr>
              <w:t>泄漏孔径为10mm孔径</w:t>
            </w:r>
          </w:p>
        </w:tc>
        <w:tc>
          <w:tcPr>
            <w:tcW w:w="1957" w:type="dxa"/>
            <w:vAlign w:val="center"/>
          </w:tcPr>
          <w:p w14:paraId="773D66E1">
            <w:pPr>
              <w:pStyle w:val="91"/>
              <w:keepNext w:val="0"/>
              <w:keepLines w:val="0"/>
              <w:suppressLineNumbers w:val="0"/>
              <w:spacing w:before="0" w:beforeAutospacing="0" w:after="0" w:afterAutospacing="0"/>
              <w:ind w:left="0" w:right="0"/>
              <w:rPr>
                <w:rFonts w:hint="default"/>
                <w:color w:val="auto"/>
              </w:rPr>
            </w:pPr>
            <w:r>
              <w:rPr>
                <w:rFonts w:hint="default"/>
                <w:color w:val="auto"/>
              </w:rPr>
              <w:t>1.00×10</w:t>
            </w:r>
            <w:r>
              <w:rPr>
                <w:rFonts w:hint="default"/>
                <w:color w:val="auto"/>
                <w:position w:val="7"/>
                <w:sz w:val="13"/>
              </w:rPr>
              <w:t>-4</w:t>
            </w:r>
            <w:r>
              <w:rPr>
                <w:rFonts w:hint="default"/>
                <w:color w:val="auto"/>
              </w:rPr>
              <w:t>/a</w:t>
            </w:r>
          </w:p>
        </w:tc>
      </w:tr>
      <w:tr w14:paraId="5A0009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continue"/>
            <w:vAlign w:val="center"/>
          </w:tcPr>
          <w:p w14:paraId="74F3C19B">
            <w:pPr>
              <w:pStyle w:val="91"/>
              <w:keepNext w:val="0"/>
              <w:keepLines w:val="0"/>
              <w:suppressLineNumbers w:val="0"/>
              <w:spacing w:before="0" w:beforeAutospacing="0" w:after="0" w:afterAutospacing="0"/>
              <w:ind w:left="0" w:right="0"/>
              <w:rPr>
                <w:rFonts w:hint="default"/>
                <w:color w:val="auto"/>
                <w:sz w:val="2"/>
                <w:szCs w:val="2"/>
              </w:rPr>
            </w:pPr>
          </w:p>
        </w:tc>
        <w:tc>
          <w:tcPr>
            <w:tcW w:w="5389" w:type="dxa"/>
            <w:vAlign w:val="center"/>
          </w:tcPr>
          <w:p w14:paraId="465755F0">
            <w:pPr>
              <w:pStyle w:val="91"/>
              <w:keepNext w:val="0"/>
              <w:keepLines w:val="0"/>
              <w:suppressLineNumbers w:val="0"/>
              <w:spacing w:before="0" w:beforeAutospacing="0" w:after="0" w:afterAutospacing="0"/>
              <w:ind w:left="0" w:right="0"/>
              <w:rPr>
                <w:rFonts w:hint="default"/>
                <w:color w:val="auto"/>
              </w:rPr>
            </w:pPr>
            <w:r>
              <w:rPr>
                <w:rFonts w:hint="default"/>
                <w:color w:val="auto"/>
              </w:rPr>
              <w:t>10min内储罐泄漏完</w:t>
            </w:r>
          </w:p>
        </w:tc>
        <w:tc>
          <w:tcPr>
            <w:tcW w:w="1957" w:type="dxa"/>
            <w:vAlign w:val="center"/>
          </w:tcPr>
          <w:p w14:paraId="1F88B121">
            <w:pPr>
              <w:pStyle w:val="91"/>
              <w:keepNext w:val="0"/>
              <w:keepLines w:val="0"/>
              <w:suppressLineNumbers w:val="0"/>
              <w:spacing w:before="0" w:beforeAutospacing="0" w:after="0" w:afterAutospacing="0"/>
              <w:ind w:left="0" w:right="0"/>
              <w:rPr>
                <w:rFonts w:hint="default"/>
                <w:color w:val="auto"/>
              </w:rPr>
            </w:pPr>
            <w:r>
              <w:rPr>
                <w:rFonts w:hint="default"/>
                <w:color w:val="auto"/>
              </w:rPr>
              <w:t>5.00×10</w:t>
            </w:r>
            <w:r>
              <w:rPr>
                <w:rFonts w:hint="default"/>
                <w:color w:val="auto"/>
                <w:position w:val="7"/>
                <w:sz w:val="13"/>
              </w:rPr>
              <w:t>-6</w:t>
            </w:r>
            <w:r>
              <w:rPr>
                <w:rFonts w:hint="default"/>
                <w:color w:val="auto"/>
              </w:rPr>
              <w:t>/a</w:t>
            </w:r>
          </w:p>
        </w:tc>
      </w:tr>
      <w:tr w14:paraId="549CC6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continue"/>
            <w:vAlign w:val="center"/>
          </w:tcPr>
          <w:p w14:paraId="4E8388AE">
            <w:pPr>
              <w:pStyle w:val="91"/>
              <w:keepNext w:val="0"/>
              <w:keepLines w:val="0"/>
              <w:suppressLineNumbers w:val="0"/>
              <w:spacing w:before="0" w:beforeAutospacing="0" w:after="0" w:afterAutospacing="0"/>
              <w:ind w:left="0" w:right="0"/>
              <w:rPr>
                <w:rFonts w:hint="default"/>
                <w:color w:val="auto"/>
                <w:sz w:val="2"/>
                <w:szCs w:val="2"/>
              </w:rPr>
            </w:pPr>
          </w:p>
        </w:tc>
        <w:tc>
          <w:tcPr>
            <w:tcW w:w="5389" w:type="dxa"/>
            <w:vAlign w:val="center"/>
          </w:tcPr>
          <w:p w14:paraId="271F6B4E">
            <w:pPr>
              <w:pStyle w:val="91"/>
              <w:keepNext w:val="0"/>
              <w:keepLines w:val="0"/>
              <w:suppressLineNumbers w:val="0"/>
              <w:spacing w:before="0" w:beforeAutospacing="0" w:after="0" w:afterAutospacing="0"/>
              <w:ind w:left="0" w:right="0"/>
              <w:rPr>
                <w:rFonts w:hint="default"/>
                <w:color w:val="auto"/>
              </w:rPr>
            </w:pPr>
            <w:r>
              <w:rPr>
                <w:rFonts w:hint="default"/>
                <w:color w:val="auto"/>
              </w:rPr>
              <w:t>储罐全破裂</w:t>
            </w:r>
          </w:p>
        </w:tc>
        <w:tc>
          <w:tcPr>
            <w:tcW w:w="1957" w:type="dxa"/>
            <w:vAlign w:val="center"/>
          </w:tcPr>
          <w:p w14:paraId="7B645EFB">
            <w:pPr>
              <w:pStyle w:val="91"/>
              <w:keepNext w:val="0"/>
              <w:keepLines w:val="0"/>
              <w:suppressLineNumbers w:val="0"/>
              <w:spacing w:before="0" w:beforeAutospacing="0" w:after="0" w:afterAutospacing="0"/>
              <w:ind w:left="0" w:right="0"/>
              <w:rPr>
                <w:rFonts w:hint="default"/>
                <w:color w:val="auto"/>
              </w:rPr>
            </w:pPr>
            <w:r>
              <w:rPr>
                <w:rFonts w:hint="default"/>
                <w:color w:val="auto"/>
              </w:rPr>
              <w:t>5.00×10</w:t>
            </w:r>
            <w:r>
              <w:rPr>
                <w:rFonts w:hint="default"/>
                <w:color w:val="auto"/>
                <w:position w:val="7"/>
                <w:sz w:val="13"/>
              </w:rPr>
              <w:t>-6</w:t>
            </w:r>
            <w:r>
              <w:rPr>
                <w:rFonts w:hint="default"/>
                <w:color w:val="auto"/>
              </w:rPr>
              <w:t>/a</w:t>
            </w:r>
          </w:p>
        </w:tc>
      </w:tr>
      <w:tr w14:paraId="506974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restart"/>
            <w:vAlign w:val="center"/>
          </w:tcPr>
          <w:p w14:paraId="1D7C193A">
            <w:pPr>
              <w:pStyle w:val="91"/>
              <w:keepNext w:val="0"/>
              <w:keepLines w:val="0"/>
              <w:suppressLineNumbers w:val="0"/>
              <w:spacing w:before="0" w:beforeAutospacing="0" w:after="0" w:afterAutospacing="0"/>
              <w:ind w:left="0" w:right="0"/>
              <w:rPr>
                <w:rFonts w:hint="default"/>
                <w:color w:val="auto"/>
              </w:rPr>
            </w:pPr>
            <w:r>
              <w:rPr>
                <w:rFonts w:hint="default"/>
                <w:color w:val="auto"/>
              </w:rPr>
              <w:t>常压单包容储罐</w:t>
            </w:r>
          </w:p>
        </w:tc>
        <w:tc>
          <w:tcPr>
            <w:tcW w:w="5389" w:type="dxa"/>
            <w:vAlign w:val="center"/>
          </w:tcPr>
          <w:p w14:paraId="3CE095A5">
            <w:pPr>
              <w:pStyle w:val="91"/>
              <w:keepNext w:val="0"/>
              <w:keepLines w:val="0"/>
              <w:suppressLineNumbers w:val="0"/>
              <w:spacing w:before="0" w:beforeAutospacing="0" w:after="0" w:afterAutospacing="0"/>
              <w:ind w:left="0" w:right="0"/>
              <w:rPr>
                <w:rFonts w:hint="default"/>
                <w:color w:val="auto"/>
              </w:rPr>
            </w:pPr>
            <w:r>
              <w:rPr>
                <w:rFonts w:hint="default"/>
                <w:color w:val="auto"/>
              </w:rPr>
              <w:t>泄漏孔径为10mm孔径</w:t>
            </w:r>
          </w:p>
        </w:tc>
        <w:tc>
          <w:tcPr>
            <w:tcW w:w="1957" w:type="dxa"/>
            <w:vAlign w:val="center"/>
          </w:tcPr>
          <w:p w14:paraId="0ED9B10A">
            <w:pPr>
              <w:pStyle w:val="91"/>
              <w:keepNext w:val="0"/>
              <w:keepLines w:val="0"/>
              <w:suppressLineNumbers w:val="0"/>
              <w:spacing w:before="0" w:beforeAutospacing="0" w:after="0" w:afterAutospacing="0"/>
              <w:ind w:left="0" w:right="0"/>
              <w:rPr>
                <w:rFonts w:hint="default"/>
                <w:color w:val="auto"/>
              </w:rPr>
            </w:pPr>
            <w:r>
              <w:rPr>
                <w:rFonts w:hint="default"/>
                <w:color w:val="auto"/>
              </w:rPr>
              <w:t>1.00×10</w:t>
            </w:r>
            <w:r>
              <w:rPr>
                <w:rFonts w:hint="default"/>
                <w:color w:val="auto"/>
                <w:position w:val="7"/>
                <w:sz w:val="13"/>
              </w:rPr>
              <w:t>-4</w:t>
            </w:r>
            <w:r>
              <w:rPr>
                <w:rFonts w:hint="default"/>
                <w:color w:val="auto"/>
              </w:rPr>
              <w:t>/a</w:t>
            </w:r>
          </w:p>
        </w:tc>
      </w:tr>
      <w:tr w14:paraId="01A7E0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continue"/>
            <w:vAlign w:val="center"/>
          </w:tcPr>
          <w:p w14:paraId="78B2775E">
            <w:pPr>
              <w:pStyle w:val="91"/>
              <w:keepNext w:val="0"/>
              <w:keepLines w:val="0"/>
              <w:suppressLineNumbers w:val="0"/>
              <w:spacing w:before="0" w:beforeAutospacing="0" w:after="0" w:afterAutospacing="0"/>
              <w:ind w:left="0" w:right="0"/>
              <w:rPr>
                <w:rFonts w:hint="default"/>
                <w:color w:val="auto"/>
                <w:sz w:val="2"/>
                <w:szCs w:val="2"/>
              </w:rPr>
            </w:pPr>
          </w:p>
        </w:tc>
        <w:tc>
          <w:tcPr>
            <w:tcW w:w="5389" w:type="dxa"/>
            <w:vAlign w:val="center"/>
          </w:tcPr>
          <w:p w14:paraId="719A595E">
            <w:pPr>
              <w:pStyle w:val="91"/>
              <w:keepNext w:val="0"/>
              <w:keepLines w:val="0"/>
              <w:suppressLineNumbers w:val="0"/>
              <w:spacing w:before="0" w:beforeAutospacing="0" w:after="0" w:afterAutospacing="0"/>
              <w:ind w:left="0" w:right="0"/>
              <w:rPr>
                <w:rFonts w:hint="default"/>
                <w:color w:val="auto"/>
              </w:rPr>
            </w:pPr>
            <w:r>
              <w:rPr>
                <w:rFonts w:hint="default"/>
                <w:color w:val="auto"/>
              </w:rPr>
              <w:t>10min内储罐泄漏完</w:t>
            </w:r>
          </w:p>
        </w:tc>
        <w:tc>
          <w:tcPr>
            <w:tcW w:w="1957" w:type="dxa"/>
            <w:vAlign w:val="center"/>
          </w:tcPr>
          <w:p w14:paraId="49634DAE">
            <w:pPr>
              <w:pStyle w:val="91"/>
              <w:keepNext w:val="0"/>
              <w:keepLines w:val="0"/>
              <w:suppressLineNumbers w:val="0"/>
              <w:spacing w:before="0" w:beforeAutospacing="0" w:after="0" w:afterAutospacing="0"/>
              <w:ind w:left="0" w:right="0"/>
              <w:rPr>
                <w:rFonts w:hint="default"/>
                <w:color w:val="auto"/>
              </w:rPr>
            </w:pPr>
            <w:r>
              <w:rPr>
                <w:rFonts w:hint="default"/>
                <w:color w:val="auto"/>
              </w:rPr>
              <w:t>5.00×10</w:t>
            </w:r>
            <w:r>
              <w:rPr>
                <w:rFonts w:hint="default"/>
                <w:color w:val="auto"/>
                <w:position w:val="7"/>
                <w:sz w:val="13"/>
              </w:rPr>
              <w:t>-6</w:t>
            </w:r>
            <w:r>
              <w:rPr>
                <w:rFonts w:hint="default"/>
                <w:color w:val="auto"/>
              </w:rPr>
              <w:t>/a</w:t>
            </w:r>
          </w:p>
        </w:tc>
      </w:tr>
      <w:tr w14:paraId="2C9303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continue"/>
            <w:vAlign w:val="center"/>
          </w:tcPr>
          <w:p w14:paraId="20625BB5">
            <w:pPr>
              <w:pStyle w:val="91"/>
              <w:keepNext w:val="0"/>
              <w:keepLines w:val="0"/>
              <w:suppressLineNumbers w:val="0"/>
              <w:spacing w:before="0" w:beforeAutospacing="0" w:after="0" w:afterAutospacing="0"/>
              <w:ind w:left="0" w:right="0"/>
              <w:rPr>
                <w:rFonts w:hint="default"/>
                <w:color w:val="auto"/>
                <w:sz w:val="2"/>
                <w:szCs w:val="2"/>
              </w:rPr>
            </w:pPr>
          </w:p>
        </w:tc>
        <w:tc>
          <w:tcPr>
            <w:tcW w:w="5389" w:type="dxa"/>
            <w:vAlign w:val="center"/>
          </w:tcPr>
          <w:p w14:paraId="7864FDF3">
            <w:pPr>
              <w:pStyle w:val="91"/>
              <w:keepNext w:val="0"/>
              <w:keepLines w:val="0"/>
              <w:suppressLineNumbers w:val="0"/>
              <w:spacing w:before="0" w:beforeAutospacing="0" w:after="0" w:afterAutospacing="0"/>
              <w:ind w:left="0" w:right="0"/>
              <w:rPr>
                <w:rFonts w:hint="default"/>
                <w:color w:val="auto"/>
              </w:rPr>
            </w:pPr>
            <w:r>
              <w:rPr>
                <w:rFonts w:hint="default"/>
                <w:color w:val="auto"/>
              </w:rPr>
              <w:t>储罐全破裂</w:t>
            </w:r>
          </w:p>
        </w:tc>
        <w:tc>
          <w:tcPr>
            <w:tcW w:w="1957" w:type="dxa"/>
            <w:vAlign w:val="center"/>
          </w:tcPr>
          <w:p w14:paraId="556F5EC1">
            <w:pPr>
              <w:pStyle w:val="91"/>
              <w:keepNext w:val="0"/>
              <w:keepLines w:val="0"/>
              <w:suppressLineNumbers w:val="0"/>
              <w:spacing w:before="0" w:beforeAutospacing="0" w:after="0" w:afterAutospacing="0"/>
              <w:ind w:left="0" w:right="0"/>
              <w:rPr>
                <w:rFonts w:hint="default"/>
                <w:color w:val="auto"/>
              </w:rPr>
            </w:pPr>
            <w:r>
              <w:rPr>
                <w:rFonts w:hint="default"/>
                <w:color w:val="auto"/>
              </w:rPr>
              <w:t>5.00×10</w:t>
            </w:r>
            <w:r>
              <w:rPr>
                <w:rFonts w:hint="default"/>
                <w:color w:val="auto"/>
                <w:position w:val="7"/>
                <w:sz w:val="13"/>
              </w:rPr>
              <w:t>-6</w:t>
            </w:r>
            <w:r>
              <w:rPr>
                <w:rFonts w:hint="default"/>
                <w:color w:val="auto"/>
              </w:rPr>
              <w:t>/a</w:t>
            </w:r>
          </w:p>
        </w:tc>
      </w:tr>
      <w:tr w14:paraId="42C352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restart"/>
            <w:vAlign w:val="center"/>
          </w:tcPr>
          <w:p w14:paraId="1F0A97EE">
            <w:pPr>
              <w:pStyle w:val="91"/>
              <w:keepNext w:val="0"/>
              <w:keepLines w:val="0"/>
              <w:suppressLineNumbers w:val="0"/>
              <w:spacing w:before="0" w:beforeAutospacing="0" w:after="0" w:afterAutospacing="0"/>
              <w:ind w:left="0" w:right="0"/>
              <w:rPr>
                <w:rFonts w:hint="default"/>
                <w:color w:val="auto"/>
              </w:rPr>
            </w:pPr>
            <w:r>
              <w:rPr>
                <w:rFonts w:hint="default"/>
                <w:color w:val="auto"/>
              </w:rPr>
              <w:t>常压双包容储罐</w:t>
            </w:r>
          </w:p>
        </w:tc>
        <w:tc>
          <w:tcPr>
            <w:tcW w:w="5389" w:type="dxa"/>
            <w:vAlign w:val="center"/>
          </w:tcPr>
          <w:p w14:paraId="74735076">
            <w:pPr>
              <w:pStyle w:val="91"/>
              <w:keepNext w:val="0"/>
              <w:keepLines w:val="0"/>
              <w:suppressLineNumbers w:val="0"/>
              <w:spacing w:before="0" w:beforeAutospacing="0" w:after="0" w:afterAutospacing="0"/>
              <w:ind w:left="0" w:right="0"/>
              <w:rPr>
                <w:rFonts w:hint="default"/>
                <w:color w:val="auto"/>
              </w:rPr>
            </w:pPr>
            <w:r>
              <w:rPr>
                <w:rFonts w:hint="default"/>
                <w:color w:val="auto"/>
              </w:rPr>
              <w:t>泄漏孔径为10mm孔径</w:t>
            </w:r>
          </w:p>
        </w:tc>
        <w:tc>
          <w:tcPr>
            <w:tcW w:w="1957" w:type="dxa"/>
            <w:vAlign w:val="center"/>
          </w:tcPr>
          <w:p w14:paraId="06E2B841">
            <w:pPr>
              <w:pStyle w:val="91"/>
              <w:keepNext w:val="0"/>
              <w:keepLines w:val="0"/>
              <w:suppressLineNumbers w:val="0"/>
              <w:spacing w:before="0" w:beforeAutospacing="0" w:after="0" w:afterAutospacing="0"/>
              <w:ind w:left="0" w:right="0"/>
              <w:rPr>
                <w:rFonts w:hint="default"/>
                <w:color w:val="auto"/>
              </w:rPr>
            </w:pPr>
            <w:r>
              <w:rPr>
                <w:rFonts w:hint="default"/>
                <w:color w:val="auto"/>
              </w:rPr>
              <w:t>1.00×10</w:t>
            </w:r>
            <w:r>
              <w:rPr>
                <w:rFonts w:hint="default"/>
                <w:color w:val="auto"/>
                <w:position w:val="7"/>
                <w:sz w:val="13"/>
              </w:rPr>
              <w:t>-4</w:t>
            </w:r>
            <w:r>
              <w:rPr>
                <w:rFonts w:hint="default"/>
                <w:color w:val="auto"/>
              </w:rPr>
              <w:t>/a</w:t>
            </w:r>
          </w:p>
        </w:tc>
      </w:tr>
      <w:tr w14:paraId="757A48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continue"/>
            <w:vAlign w:val="center"/>
          </w:tcPr>
          <w:p w14:paraId="5A5337F4">
            <w:pPr>
              <w:pStyle w:val="91"/>
              <w:keepNext w:val="0"/>
              <w:keepLines w:val="0"/>
              <w:suppressLineNumbers w:val="0"/>
              <w:spacing w:before="0" w:beforeAutospacing="0" w:after="0" w:afterAutospacing="0"/>
              <w:ind w:left="0" w:right="0"/>
              <w:rPr>
                <w:rFonts w:hint="default"/>
                <w:color w:val="auto"/>
                <w:sz w:val="2"/>
                <w:szCs w:val="2"/>
              </w:rPr>
            </w:pPr>
          </w:p>
        </w:tc>
        <w:tc>
          <w:tcPr>
            <w:tcW w:w="5389" w:type="dxa"/>
            <w:vAlign w:val="center"/>
          </w:tcPr>
          <w:p w14:paraId="45968480">
            <w:pPr>
              <w:pStyle w:val="91"/>
              <w:keepNext w:val="0"/>
              <w:keepLines w:val="0"/>
              <w:suppressLineNumbers w:val="0"/>
              <w:spacing w:before="0" w:beforeAutospacing="0" w:after="0" w:afterAutospacing="0"/>
              <w:ind w:left="0" w:right="0"/>
              <w:rPr>
                <w:rFonts w:hint="default"/>
                <w:color w:val="auto"/>
              </w:rPr>
            </w:pPr>
            <w:r>
              <w:rPr>
                <w:rFonts w:hint="default"/>
                <w:color w:val="auto"/>
              </w:rPr>
              <w:t>10min内储罐泄漏完</w:t>
            </w:r>
          </w:p>
        </w:tc>
        <w:tc>
          <w:tcPr>
            <w:tcW w:w="1957" w:type="dxa"/>
            <w:vAlign w:val="center"/>
          </w:tcPr>
          <w:p w14:paraId="3A65FBD1">
            <w:pPr>
              <w:pStyle w:val="91"/>
              <w:keepNext w:val="0"/>
              <w:keepLines w:val="0"/>
              <w:suppressLineNumbers w:val="0"/>
              <w:spacing w:before="0" w:beforeAutospacing="0" w:after="0" w:afterAutospacing="0"/>
              <w:ind w:left="0" w:right="0"/>
              <w:rPr>
                <w:rFonts w:hint="default"/>
                <w:color w:val="auto"/>
              </w:rPr>
            </w:pPr>
            <w:r>
              <w:rPr>
                <w:rFonts w:hint="default"/>
                <w:color w:val="auto"/>
              </w:rPr>
              <w:t>1.25×10</w:t>
            </w:r>
            <w:r>
              <w:rPr>
                <w:rFonts w:hint="default"/>
                <w:color w:val="auto"/>
                <w:position w:val="7"/>
                <w:sz w:val="13"/>
              </w:rPr>
              <w:t>-8</w:t>
            </w:r>
            <w:r>
              <w:rPr>
                <w:rFonts w:hint="default"/>
                <w:color w:val="auto"/>
              </w:rPr>
              <w:t>/a</w:t>
            </w:r>
          </w:p>
        </w:tc>
      </w:tr>
      <w:tr w14:paraId="4EFC54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continue"/>
            <w:vAlign w:val="center"/>
          </w:tcPr>
          <w:p w14:paraId="6F3002F2">
            <w:pPr>
              <w:pStyle w:val="91"/>
              <w:keepNext w:val="0"/>
              <w:keepLines w:val="0"/>
              <w:suppressLineNumbers w:val="0"/>
              <w:spacing w:before="0" w:beforeAutospacing="0" w:after="0" w:afterAutospacing="0"/>
              <w:ind w:left="0" w:right="0"/>
              <w:rPr>
                <w:rFonts w:hint="default"/>
                <w:color w:val="auto"/>
                <w:sz w:val="2"/>
                <w:szCs w:val="2"/>
              </w:rPr>
            </w:pPr>
          </w:p>
        </w:tc>
        <w:tc>
          <w:tcPr>
            <w:tcW w:w="5389" w:type="dxa"/>
            <w:vAlign w:val="center"/>
          </w:tcPr>
          <w:p w14:paraId="1FEDF008">
            <w:pPr>
              <w:pStyle w:val="91"/>
              <w:keepNext w:val="0"/>
              <w:keepLines w:val="0"/>
              <w:suppressLineNumbers w:val="0"/>
              <w:spacing w:before="0" w:beforeAutospacing="0" w:after="0" w:afterAutospacing="0"/>
              <w:ind w:left="0" w:right="0"/>
              <w:rPr>
                <w:rFonts w:hint="default"/>
                <w:color w:val="auto"/>
              </w:rPr>
            </w:pPr>
            <w:r>
              <w:rPr>
                <w:rFonts w:hint="default"/>
                <w:color w:val="auto"/>
              </w:rPr>
              <w:t>储罐全破裂</w:t>
            </w:r>
          </w:p>
        </w:tc>
        <w:tc>
          <w:tcPr>
            <w:tcW w:w="1957" w:type="dxa"/>
            <w:vAlign w:val="center"/>
          </w:tcPr>
          <w:p w14:paraId="061E2EF6">
            <w:pPr>
              <w:pStyle w:val="91"/>
              <w:keepNext w:val="0"/>
              <w:keepLines w:val="0"/>
              <w:suppressLineNumbers w:val="0"/>
              <w:spacing w:before="0" w:beforeAutospacing="0" w:after="0" w:afterAutospacing="0"/>
              <w:ind w:left="0" w:right="0"/>
              <w:rPr>
                <w:rFonts w:hint="default"/>
                <w:color w:val="auto"/>
              </w:rPr>
            </w:pPr>
            <w:r>
              <w:rPr>
                <w:rFonts w:hint="default"/>
                <w:color w:val="auto"/>
              </w:rPr>
              <w:t>1.25×10</w:t>
            </w:r>
            <w:r>
              <w:rPr>
                <w:rFonts w:hint="default"/>
                <w:color w:val="auto"/>
                <w:position w:val="7"/>
                <w:sz w:val="13"/>
              </w:rPr>
              <w:t>-8</w:t>
            </w:r>
            <w:r>
              <w:rPr>
                <w:rFonts w:hint="default"/>
                <w:color w:val="auto"/>
              </w:rPr>
              <w:t>/a</w:t>
            </w:r>
          </w:p>
        </w:tc>
      </w:tr>
      <w:tr w14:paraId="7B485F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Align w:val="center"/>
          </w:tcPr>
          <w:p w14:paraId="415025F5">
            <w:pPr>
              <w:pStyle w:val="91"/>
              <w:keepNext w:val="0"/>
              <w:keepLines w:val="0"/>
              <w:suppressLineNumbers w:val="0"/>
              <w:spacing w:before="0" w:beforeAutospacing="0" w:after="0" w:afterAutospacing="0"/>
              <w:ind w:left="0" w:right="0"/>
              <w:rPr>
                <w:rFonts w:hint="default"/>
                <w:color w:val="auto"/>
              </w:rPr>
            </w:pPr>
            <w:r>
              <w:rPr>
                <w:rFonts w:hint="default"/>
                <w:color w:val="auto"/>
              </w:rPr>
              <w:t>常压全包容储罐</w:t>
            </w:r>
          </w:p>
        </w:tc>
        <w:tc>
          <w:tcPr>
            <w:tcW w:w="5389" w:type="dxa"/>
            <w:vAlign w:val="center"/>
          </w:tcPr>
          <w:p w14:paraId="3ACCFE06">
            <w:pPr>
              <w:pStyle w:val="91"/>
              <w:keepNext w:val="0"/>
              <w:keepLines w:val="0"/>
              <w:suppressLineNumbers w:val="0"/>
              <w:spacing w:before="0" w:beforeAutospacing="0" w:after="0" w:afterAutospacing="0"/>
              <w:ind w:left="0" w:right="0"/>
              <w:rPr>
                <w:rFonts w:hint="default"/>
                <w:color w:val="auto"/>
              </w:rPr>
            </w:pPr>
            <w:r>
              <w:rPr>
                <w:rFonts w:hint="default"/>
                <w:color w:val="auto"/>
              </w:rPr>
              <w:t>储罐全破裂</w:t>
            </w:r>
          </w:p>
        </w:tc>
        <w:tc>
          <w:tcPr>
            <w:tcW w:w="1957" w:type="dxa"/>
            <w:vAlign w:val="center"/>
          </w:tcPr>
          <w:p w14:paraId="6539F3BC">
            <w:pPr>
              <w:pStyle w:val="91"/>
              <w:keepNext w:val="0"/>
              <w:keepLines w:val="0"/>
              <w:suppressLineNumbers w:val="0"/>
              <w:spacing w:before="0" w:beforeAutospacing="0" w:after="0" w:afterAutospacing="0"/>
              <w:ind w:left="0" w:right="0"/>
              <w:rPr>
                <w:rFonts w:hint="default"/>
                <w:color w:val="auto"/>
              </w:rPr>
            </w:pPr>
            <w:r>
              <w:rPr>
                <w:rFonts w:hint="default"/>
                <w:color w:val="auto"/>
              </w:rPr>
              <w:t>1.00×10</w:t>
            </w:r>
            <w:r>
              <w:rPr>
                <w:rFonts w:hint="default"/>
                <w:color w:val="auto"/>
                <w:position w:val="7"/>
                <w:sz w:val="13"/>
              </w:rPr>
              <w:t>-8</w:t>
            </w:r>
            <w:r>
              <w:rPr>
                <w:rFonts w:hint="default"/>
                <w:color w:val="auto"/>
              </w:rPr>
              <w:t>/a</w:t>
            </w:r>
          </w:p>
        </w:tc>
      </w:tr>
      <w:tr w14:paraId="79B3D8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restart"/>
            <w:vAlign w:val="center"/>
          </w:tcPr>
          <w:p w14:paraId="22730A7B">
            <w:pPr>
              <w:pStyle w:val="91"/>
              <w:keepNext w:val="0"/>
              <w:keepLines w:val="0"/>
              <w:suppressLineNumbers w:val="0"/>
              <w:spacing w:before="0" w:beforeAutospacing="0" w:after="0" w:afterAutospacing="0"/>
              <w:ind w:left="0" w:right="0"/>
              <w:rPr>
                <w:rFonts w:hint="default"/>
                <w:color w:val="auto"/>
              </w:rPr>
            </w:pPr>
            <w:r>
              <w:rPr>
                <w:rFonts w:hint="default"/>
                <w:color w:val="auto"/>
              </w:rPr>
              <w:t>内径≤75mm的管道</w:t>
            </w:r>
          </w:p>
        </w:tc>
        <w:tc>
          <w:tcPr>
            <w:tcW w:w="5389" w:type="dxa"/>
            <w:vAlign w:val="center"/>
          </w:tcPr>
          <w:p w14:paraId="3265D04D">
            <w:pPr>
              <w:pStyle w:val="91"/>
              <w:keepNext w:val="0"/>
              <w:keepLines w:val="0"/>
              <w:suppressLineNumbers w:val="0"/>
              <w:spacing w:before="0" w:beforeAutospacing="0" w:after="0" w:afterAutospacing="0"/>
              <w:ind w:left="0" w:right="0"/>
              <w:rPr>
                <w:rFonts w:hint="default"/>
                <w:color w:val="auto"/>
              </w:rPr>
            </w:pPr>
            <w:r>
              <w:rPr>
                <w:rFonts w:hint="default"/>
                <w:color w:val="auto"/>
              </w:rPr>
              <w:t>泄漏孔径为10%孔径</w:t>
            </w:r>
          </w:p>
        </w:tc>
        <w:tc>
          <w:tcPr>
            <w:tcW w:w="1957" w:type="dxa"/>
            <w:vAlign w:val="center"/>
          </w:tcPr>
          <w:p w14:paraId="06F4D59F">
            <w:pPr>
              <w:pStyle w:val="91"/>
              <w:keepNext w:val="0"/>
              <w:keepLines w:val="0"/>
              <w:suppressLineNumbers w:val="0"/>
              <w:spacing w:before="0" w:beforeAutospacing="0" w:after="0" w:afterAutospacing="0"/>
              <w:ind w:left="0" w:right="0"/>
              <w:rPr>
                <w:rFonts w:hint="default"/>
                <w:color w:val="auto"/>
              </w:rPr>
            </w:pPr>
            <w:r>
              <w:rPr>
                <w:rFonts w:hint="default"/>
                <w:color w:val="auto"/>
              </w:rPr>
              <w:t>5.00×10</w:t>
            </w:r>
            <w:r>
              <w:rPr>
                <w:rFonts w:hint="default"/>
                <w:color w:val="auto"/>
                <w:position w:val="7"/>
                <w:sz w:val="13"/>
              </w:rPr>
              <w:t>-6</w:t>
            </w:r>
            <w:r>
              <w:rPr>
                <w:rFonts w:hint="default"/>
                <w:color w:val="auto"/>
              </w:rPr>
              <w:t>/（m·a）</w:t>
            </w:r>
          </w:p>
        </w:tc>
      </w:tr>
      <w:tr w14:paraId="1C1FED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continue"/>
            <w:vAlign w:val="center"/>
          </w:tcPr>
          <w:p w14:paraId="037FD941">
            <w:pPr>
              <w:pStyle w:val="91"/>
              <w:keepNext w:val="0"/>
              <w:keepLines w:val="0"/>
              <w:suppressLineNumbers w:val="0"/>
              <w:spacing w:before="0" w:beforeAutospacing="0" w:after="0" w:afterAutospacing="0"/>
              <w:ind w:left="0" w:right="0"/>
              <w:rPr>
                <w:rFonts w:hint="default"/>
                <w:color w:val="auto"/>
                <w:sz w:val="2"/>
                <w:szCs w:val="2"/>
              </w:rPr>
            </w:pPr>
          </w:p>
        </w:tc>
        <w:tc>
          <w:tcPr>
            <w:tcW w:w="5389" w:type="dxa"/>
            <w:vAlign w:val="center"/>
          </w:tcPr>
          <w:p w14:paraId="5ABE3D19">
            <w:pPr>
              <w:pStyle w:val="91"/>
              <w:keepNext w:val="0"/>
              <w:keepLines w:val="0"/>
              <w:suppressLineNumbers w:val="0"/>
              <w:spacing w:before="0" w:beforeAutospacing="0" w:after="0" w:afterAutospacing="0"/>
              <w:ind w:left="0" w:right="0"/>
              <w:rPr>
                <w:rFonts w:hint="default"/>
                <w:color w:val="auto"/>
              </w:rPr>
            </w:pPr>
            <w:r>
              <w:rPr>
                <w:rFonts w:hint="default"/>
                <w:color w:val="auto"/>
              </w:rPr>
              <w:t>全管径泄漏</w:t>
            </w:r>
          </w:p>
        </w:tc>
        <w:tc>
          <w:tcPr>
            <w:tcW w:w="1957" w:type="dxa"/>
            <w:vAlign w:val="center"/>
          </w:tcPr>
          <w:p w14:paraId="4F3AC18C">
            <w:pPr>
              <w:pStyle w:val="91"/>
              <w:keepNext w:val="0"/>
              <w:keepLines w:val="0"/>
              <w:suppressLineNumbers w:val="0"/>
              <w:spacing w:before="0" w:beforeAutospacing="0" w:after="0" w:afterAutospacing="0"/>
              <w:ind w:left="0" w:right="0"/>
              <w:rPr>
                <w:rFonts w:hint="default"/>
                <w:color w:val="auto"/>
              </w:rPr>
            </w:pPr>
            <w:r>
              <w:rPr>
                <w:rFonts w:hint="default"/>
                <w:color w:val="auto"/>
              </w:rPr>
              <w:t>1.00×10</w:t>
            </w:r>
            <w:r>
              <w:rPr>
                <w:rFonts w:hint="default"/>
                <w:color w:val="auto"/>
                <w:position w:val="7"/>
                <w:sz w:val="13"/>
              </w:rPr>
              <w:t>-6</w:t>
            </w:r>
            <w:r>
              <w:rPr>
                <w:rFonts w:hint="default"/>
                <w:color w:val="auto"/>
              </w:rPr>
              <w:t>/（m·a）</w:t>
            </w:r>
          </w:p>
        </w:tc>
      </w:tr>
      <w:tr w14:paraId="2D937D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restart"/>
            <w:vAlign w:val="center"/>
          </w:tcPr>
          <w:p w14:paraId="0FD5F9B8">
            <w:pPr>
              <w:pStyle w:val="91"/>
              <w:keepNext w:val="0"/>
              <w:keepLines w:val="0"/>
              <w:suppressLineNumbers w:val="0"/>
              <w:spacing w:before="0" w:beforeAutospacing="0" w:after="0" w:afterAutospacing="0"/>
              <w:ind w:left="0" w:right="0"/>
              <w:rPr>
                <w:rFonts w:hint="default"/>
                <w:color w:val="auto"/>
              </w:rPr>
            </w:pPr>
            <w:r>
              <w:rPr>
                <w:rFonts w:hint="default"/>
                <w:color w:val="auto"/>
              </w:rPr>
              <w:t>75mm＜内径≤150mm</w:t>
            </w:r>
            <w:r>
              <w:rPr>
                <w:rFonts w:hint="default"/>
                <w:color w:val="auto"/>
                <w:spacing w:val="-14"/>
              </w:rPr>
              <w:t>的</w:t>
            </w:r>
            <w:r>
              <w:rPr>
                <w:rFonts w:hint="default"/>
                <w:color w:val="auto"/>
              </w:rPr>
              <w:t>管道</w:t>
            </w:r>
          </w:p>
        </w:tc>
        <w:tc>
          <w:tcPr>
            <w:tcW w:w="5389" w:type="dxa"/>
            <w:vAlign w:val="center"/>
          </w:tcPr>
          <w:p w14:paraId="1ED9D433">
            <w:pPr>
              <w:pStyle w:val="91"/>
              <w:keepNext w:val="0"/>
              <w:keepLines w:val="0"/>
              <w:suppressLineNumbers w:val="0"/>
              <w:spacing w:before="0" w:beforeAutospacing="0" w:after="0" w:afterAutospacing="0"/>
              <w:ind w:left="0" w:right="0"/>
              <w:rPr>
                <w:rFonts w:hint="default"/>
                <w:color w:val="auto"/>
              </w:rPr>
            </w:pPr>
            <w:r>
              <w:rPr>
                <w:rFonts w:hint="default"/>
                <w:color w:val="auto"/>
              </w:rPr>
              <w:t>泄漏孔径为10%孔径</w:t>
            </w:r>
          </w:p>
        </w:tc>
        <w:tc>
          <w:tcPr>
            <w:tcW w:w="1957" w:type="dxa"/>
            <w:vAlign w:val="center"/>
          </w:tcPr>
          <w:p w14:paraId="25AE5F87">
            <w:pPr>
              <w:pStyle w:val="91"/>
              <w:keepNext w:val="0"/>
              <w:keepLines w:val="0"/>
              <w:suppressLineNumbers w:val="0"/>
              <w:spacing w:before="0" w:beforeAutospacing="0" w:after="0" w:afterAutospacing="0"/>
              <w:ind w:left="0" w:right="0"/>
              <w:rPr>
                <w:rFonts w:hint="default"/>
                <w:color w:val="auto"/>
              </w:rPr>
            </w:pPr>
            <w:r>
              <w:rPr>
                <w:rFonts w:hint="default"/>
                <w:color w:val="auto"/>
              </w:rPr>
              <w:t>2.00×10</w:t>
            </w:r>
            <w:r>
              <w:rPr>
                <w:rFonts w:hint="default"/>
                <w:color w:val="auto"/>
                <w:position w:val="7"/>
                <w:sz w:val="13"/>
              </w:rPr>
              <w:t>-6</w:t>
            </w:r>
            <w:r>
              <w:rPr>
                <w:rFonts w:hint="default"/>
                <w:color w:val="auto"/>
              </w:rPr>
              <w:t>/（m·a）</w:t>
            </w:r>
          </w:p>
        </w:tc>
      </w:tr>
      <w:tr w14:paraId="5FCC26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continue"/>
            <w:vAlign w:val="center"/>
          </w:tcPr>
          <w:p w14:paraId="0E53F786">
            <w:pPr>
              <w:pStyle w:val="91"/>
              <w:keepNext w:val="0"/>
              <w:keepLines w:val="0"/>
              <w:suppressLineNumbers w:val="0"/>
              <w:spacing w:before="0" w:beforeAutospacing="0" w:after="0" w:afterAutospacing="0"/>
              <w:ind w:left="0" w:right="0"/>
              <w:rPr>
                <w:rFonts w:hint="default"/>
                <w:color w:val="auto"/>
                <w:sz w:val="2"/>
                <w:szCs w:val="2"/>
              </w:rPr>
            </w:pPr>
          </w:p>
        </w:tc>
        <w:tc>
          <w:tcPr>
            <w:tcW w:w="5389" w:type="dxa"/>
            <w:vAlign w:val="center"/>
          </w:tcPr>
          <w:p w14:paraId="464B8926">
            <w:pPr>
              <w:pStyle w:val="91"/>
              <w:keepNext w:val="0"/>
              <w:keepLines w:val="0"/>
              <w:suppressLineNumbers w:val="0"/>
              <w:spacing w:before="0" w:beforeAutospacing="0" w:after="0" w:afterAutospacing="0"/>
              <w:ind w:left="0" w:right="0"/>
              <w:rPr>
                <w:rFonts w:hint="default"/>
                <w:color w:val="auto"/>
              </w:rPr>
            </w:pPr>
            <w:r>
              <w:rPr>
                <w:rFonts w:hint="default"/>
                <w:color w:val="auto"/>
              </w:rPr>
              <w:t>全管径泄漏</w:t>
            </w:r>
          </w:p>
        </w:tc>
        <w:tc>
          <w:tcPr>
            <w:tcW w:w="1957" w:type="dxa"/>
            <w:vAlign w:val="center"/>
          </w:tcPr>
          <w:p w14:paraId="5AD95CDB">
            <w:pPr>
              <w:pStyle w:val="91"/>
              <w:keepNext w:val="0"/>
              <w:keepLines w:val="0"/>
              <w:suppressLineNumbers w:val="0"/>
              <w:spacing w:before="0" w:beforeAutospacing="0" w:after="0" w:afterAutospacing="0"/>
              <w:ind w:left="0" w:right="0"/>
              <w:rPr>
                <w:rFonts w:hint="default"/>
                <w:color w:val="auto"/>
              </w:rPr>
            </w:pPr>
            <w:r>
              <w:rPr>
                <w:rFonts w:hint="default"/>
                <w:color w:val="auto"/>
              </w:rPr>
              <w:t>3.00×10</w:t>
            </w:r>
            <w:r>
              <w:rPr>
                <w:rFonts w:hint="default"/>
                <w:color w:val="auto"/>
                <w:position w:val="7"/>
                <w:sz w:val="13"/>
              </w:rPr>
              <w:t>-7</w:t>
            </w:r>
            <w:r>
              <w:rPr>
                <w:rFonts w:hint="default"/>
                <w:color w:val="auto"/>
              </w:rPr>
              <w:t>/（m·a）</w:t>
            </w:r>
          </w:p>
        </w:tc>
      </w:tr>
      <w:tr w14:paraId="5E0763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restart"/>
            <w:vAlign w:val="center"/>
          </w:tcPr>
          <w:p w14:paraId="35EF1B9B">
            <w:pPr>
              <w:pStyle w:val="91"/>
              <w:keepNext w:val="0"/>
              <w:keepLines w:val="0"/>
              <w:suppressLineNumbers w:val="0"/>
              <w:spacing w:before="0" w:beforeAutospacing="0" w:after="0" w:afterAutospacing="0"/>
              <w:ind w:left="0" w:right="0"/>
              <w:rPr>
                <w:rFonts w:hint="default"/>
                <w:color w:val="auto"/>
              </w:rPr>
            </w:pPr>
            <w:r>
              <w:rPr>
                <w:rFonts w:hint="default"/>
                <w:color w:val="auto"/>
              </w:rPr>
              <w:t>内径＞150mm的管道</w:t>
            </w:r>
          </w:p>
        </w:tc>
        <w:tc>
          <w:tcPr>
            <w:tcW w:w="5389" w:type="dxa"/>
            <w:vAlign w:val="center"/>
          </w:tcPr>
          <w:p w14:paraId="3102C7E0">
            <w:pPr>
              <w:pStyle w:val="91"/>
              <w:keepNext w:val="0"/>
              <w:keepLines w:val="0"/>
              <w:suppressLineNumbers w:val="0"/>
              <w:spacing w:before="0" w:beforeAutospacing="0" w:after="0" w:afterAutospacing="0"/>
              <w:ind w:left="0" w:right="0"/>
              <w:rPr>
                <w:rFonts w:hint="default"/>
                <w:color w:val="auto"/>
              </w:rPr>
            </w:pPr>
            <w:r>
              <w:rPr>
                <w:rFonts w:hint="default"/>
                <w:color w:val="auto"/>
              </w:rPr>
              <w:t>泄漏孔径为10%孔径（最大0mm）</w:t>
            </w:r>
          </w:p>
        </w:tc>
        <w:tc>
          <w:tcPr>
            <w:tcW w:w="1957" w:type="dxa"/>
            <w:vAlign w:val="center"/>
          </w:tcPr>
          <w:p w14:paraId="52BAA98D">
            <w:pPr>
              <w:pStyle w:val="91"/>
              <w:keepNext w:val="0"/>
              <w:keepLines w:val="0"/>
              <w:suppressLineNumbers w:val="0"/>
              <w:spacing w:before="0" w:beforeAutospacing="0" w:after="0" w:afterAutospacing="0"/>
              <w:ind w:left="0" w:right="0"/>
              <w:rPr>
                <w:rFonts w:hint="default"/>
                <w:color w:val="auto"/>
              </w:rPr>
            </w:pPr>
            <w:r>
              <w:rPr>
                <w:rFonts w:hint="default"/>
                <w:color w:val="auto"/>
              </w:rPr>
              <w:t>2.40×10</w:t>
            </w:r>
            <w:r>
              <w:rPr>
                <w:rFonts w:hint="default"/>
                <w:color w:val="auto"/>
                <w:position w:val="7"/>
                <w:sz w:val="13"/>
              </w:rPr>
              <w:t>-6</w:t>
            </w:r>
            <w:r>
              <w:rPr>
                <w:rFonts w:hint="default"/>
                <w:color w:val="auto"/>
              </w:rPr>
              <w:t>/（m·a）*</w:t>
            </w:r>
          </w:p>
        </w:tc>
      </w:tr>
      <w:tr w14:paraId="16E6DE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continue"/>
            <w:vAlign w:val="center"/>
          </w:tcPr>
          <w:p w14:paraId="5C815189">
            <w:pPr>
              <w:pStyle w:val="91"/>
              <w:keepNext w:val="0"/>
              <w:keepLines w:val="0"/>
              <w:suppressLineNumbers w:val="0"/>
              <w:spacing w:before="0" w:beforeAutospacing="0" w:after="0" w:afterAutospacing="0"/>
              <w:ind w:left="0" w:right="0"/>
              <w:rPr>
                <w:rFonts w:hint="default"/>
                <w:color w:val="auto"/>
                <w:sz w:val="2"/>
                <w:szCs w:val="2"/>
              </w:rPr>
            </w:pPr>
          </w:p>
        </w:tc>
        <w:tc>
          <w:tcPr>
            <w:tcW w:w="5389" w:type="dxa"/>
            <w:vAlign w:val="center"/>
          </w:tcPr>
          <w:p w14:paraId="6821D068">
            <w:pPr>
              <w:pStyle w:val="91"/>
              <w:keepNext w:val="0"/>
              <w:keepLines w:val="0"/>
              <w:suppressLineNumbers w:val="0"/>
              <w:spacing w:before="0" w:beforeAutospacing="0" w:after="0" w:afterAutospacing="0"/>
              <w:ind w:left="0" w:right="0"/>
              <w:rPr>
                <w:rFonts w:hint="default"/>
                <w:color w:val="auto"/>
              </w:rPr>
            </w:pPr>
            <w:r>
              <w:rPr>
                <w:rFonts w:hint="default"/>
                <w:color w:val="auto"/>
              </w:rPr>
              <w:t>全管径泄漏</w:t>
            </w:r>
          </w:p>
        </w:tc>
        <w:tc>
          <w:tcPr>
            <w:tcW w:w="1957" w:type="dxa"/>
            <w:vAlign w:val="center"/>
          </w:tcPr>
          <w:p w14:paraId="7445053D">
            <w:pPr>
              <w:pStyle w:val="91"/>
              <w:keepNext w:val="0"/>
              <w:keepLines w:val="0"/>
              <w:suppressLineNumbers w:val="0"/>
              <w:spacing w:before="0" w:beforeAutospacing="0" w:after="0" w:afterAutospacing="0"/>
              <w:ind w:left="0" w:right="0"/>
              <w:rPr>
                <w:rFonts w:hint="default"/>
                <w:color w:val="auto"/>
              </w:rPr>
            </w:pPr>
            <w:r>
              <w:rPr>
                <w:rFonts w:hint="default"/>
                <w:color w:val="auto"/>
              </w:rPr>
              <w:t>1.00×10</w:t>
            </w:r>
            <w:r>
              <w:rPr>
                <w:rFonts w:hint="default"/>
                <w:color w:val="auto"/>
                <w:position w:val="7"/>
                <w:sz w:val="13"/>
              </w:rPr>
              <w:t>-7</w:t>
            </w:r>
            <w:r>
              <w:rPr>
                <w:rFonts w:hint="default"/>
                <w:color w:val="auto"/>
              </w:rPr>
              <w:t>/（m·a）</w:t>
            </w:r>
          </w:p>
        </w:tc>
      </w:tr>
      <w:tr w14:paraId="034949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restart"/>
            <w:vAlign w:val="center"/>
          </w:tcPr>
          <w:p w14:paraId="31FBA997">
            <w:pPr>
              <w:pStyle w:val="91"/>
              <w:keepNext w:val="0"/>
              <w:keepLines w:val="0"/>
              <w:suppressLineNumbers w:val="0"/>
              <w:spacing w:before="0" w:beforeAutospacing="0" w:after="0" w:afterAutospacing="0"/>
              <w:ind w:left="0" w:right="0"/>
              <w:rPr>
                <w:rFonts w:hint="default"/>
                <w:color w:val="auto"/>
              </w:rPr>
            </w:pPr>
            <w:r>
              <w:rPr>
                <w:rFonts w:hint="default"/>
                <w:color w:val="auto"/>
              </w:rPr>
              <w:t>泵体和压缩机</w:t>
            </w:r>
          </w:p>
        </w:tc>
        <w:tc>
          <w:tcPr>
            <w:tcW w:w="5389" w:type="dxa"/>
            <w:vAlign w:val="center"/>
          </w:tcPr>
          <w:p w14:paraId="1EA5D0C9">
            <w:pPr>
              <w:pStyle w:val="91"/>
              <w:keepNext w:val="0"/>
              <w:keepLines w:val="0"/>
              <w:suppressLineNumbers w:val="0"/>
              <w:spacing w:before="0" w:beforeAutospacing="0" w:after="0" w:afterAutospacing="0"/>
              <w:ind w:left="0" w:right="0"/>
              <w:rPr>
                <w:rFonts w:hint="default"/>
                <w:color w:val="auto"/>
              </w:rPr>
            </w:pPr>
            <w:r>
              <w:rPr>
                <w:rFonts w:hint="default"/>
                <w:color w:val="auto"/>
              </w:rPr>
              <w:t>泵体和压缩机最大连接管泄漏孔径为10%孔径（最大50mm）</w:t>
            </w:r>
          </w:p>
        </w:tc>
        <w:tc>
          <w:tcPr>
            <w:tcW w:w="1957" w:type="dxa"/>
            <w:vAlign w:val="center"/>
          </w:tcPr>
          <w:p w14:paraId="5A477B12">
            <w:pPr>
              <w:pStyle w:val="91"/>
              <w:keepNext w:val="0"/>
              <w:keepLines w:val="0"/>
              <w:suppressLineNumbers w:val="0"/>
              <w:spacing w:before="0" w:beforeAutospacing="0" w:after="0" w:afterAutospacing="0"/>
              <w:ind w:left="0" w:right="0"/>
              <w:rPr>
                <w:rFonts w:hint="default"/>
                <w:color w:val="auto"/>
              </w:rPr>
            </w:pPr>
            <w:r>
              <w:rPr>
                <w:rFonts w:hint="default"/>
                <w:color w:val="auto"/>
              </w:rPr>
              <w:t>5.00×10</w:t>
            </w:r>
            <w:r>
              <w:rPr>
                <w:rFonts w:hint="default"/>
                <w:color w:val="auto"/>
                <w:position w:val="7"/>
                <w:sz w:val="13"/>
              </w:rPr>
              <w:t>-4</w:t>
            </w:r>
            <w:r>
              <w:rPr>
                <w:rFonts w:hint="default"/>
                <w:color w:val="auto"/>
              </w:rPr>
              <w:t>/a</w:t>
            </w:r>
          </w:p>
        </w:tc>
      </w:tr>
      <w:tr w14:paraId="55919A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continue"/>
            <w:vAlign w:val="center"/>
          </w:tcPr>
          <w:p w14:paraId="2D9151BA">
            <w:pPr>
              <w:pStyle w:val="91"/>
              <w:keepNext w:val="0"/>
              <w:keepLines w:val="0"/>
              <w:suppressLineNumbers w:val="0"/>
              <w:spacing w:before="0" w:beforeAutospacing="0" w:after="0" w:afterAutospacing="0"/>
              <w:ind w:left="0" w:right="0"/>
              <w:rPr>
                <w:rFonts w:hint="default"/>
                <w:color w:val="auto"/>
                <w:sz w:val="2"/>
                <w:szCs w:val="2"/>
              </w:rPr>
            </w:pPr>
          </w:p>
        </w:tc>
        <w:tc>
          <w:tcPr>
            <w:tcW w:w="5389" w:type="dxa"/>
            <w:vAlign w:val="center"/>
          </w:tcPr>
          <w:p w14:paraId="3AF92297">
            <w:pPr>
              <w:pStyle w:val="91"/>
              <w:keepNext w:val="0"/>
              <w:keepLines w:val="0"/>
              <w:suppressLineNumbers w:val="0"/>
              <w:spacing w:before="0" w:beforeAutospacing="0" w:after="0" w:afterAutospacing="0"/>
              <w:ind w:left="0" w:right="0"/>
              <w:rPr>
                <w:rFonts w:hint="default"/>
                <w:color w:val="auto"/>
              </w:rPr>
            </w:pPr>
            <w:r>
              <w:rPr>
                <w:rFonts w:hint="default"/>
                <w:color w:val="auto"/>
              </w:rPr>
              <w:t>泵体和压缩机最大连接管全管径泄漏</w:t>
            </w:r>
          </w:p>
        </w:tc>
        <w:tc>
          <w:tcPr>
            <w:tcW w:w="1957" w:type="dxa"/>
            <w:vAlign w:val="center"/>
          </w:tcPr>
          <w:p w14:paraId="02B0D96B">
            <w:pPr>
              <w:pStyle w:val="91"/>
              <w:keepNext w:val="0"/>
              <w:keepLines w:val="0"/>
              <w:suppressLineNumbers w:val="0"/>
              <w:spacing w:before="0" w:beforeAutospacing="0" w:after="0" w:afterAutospacing="0"/>
              <w:ind w:left="0" w:right="0"/>
              <w:rPr>
                <w:rFonts w:hint="default"/>
                <w:color w:val="auto"/>
              </w:rPr>
            </w:pPr>
            <w:r>
              <w:rPr>
                <w:rFonts w:hint="default"/>
                <w:color w:val="auto"/>
              </w:rPr>
              <w:t>1.00×10</w:t>
            </w:r>
            <w:r>
              <w:rPr>
                <w:rFonts w:hint="default"/>
                <w:color w:val="auto"/>
                <w:position w:val="7"/>
                <w:sz w:val="13"/>
              </w:rPr>
              <w:t>-4</w:t>
            </w:r>
            <w:r>
              <w:rPr>
                <w:rFonts w:hint="default"/>
                <w:color w:val="auto"/>
              </w:rPr>
              <w:t>/a</w:t>
            </w:r>
          </w:p>
        </w:tc>
      </w:tr>
      <w:tr w14:paraId="09DB09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restart"/>
            <w:vAlign w:val="center"/>
          </w:tcPr>
          <w:p w14:paraId="4DD505BF">
            <w:pPr>
              <w:pStyle w:val="91"/>
              <w:keepNext w:val="0"/>
              <w:keepLines w:val="0"/>
              <w:suppressLineNumbers w:val="0"/>
              <w:spacing w:before="0" w:beforeAutospacing="0" w:after="0" w:afterAutospacing="0"/>
              <w:ind w:left="0" w:right="0"/>
              <w:rPr>
                <w:rFonts w:hint="default"/>
                <w:color w:val="auto"/>
              </w:rPr>
            </w:pPr>
            <w:r>
              <w:rPr>
                <w:rFonts w:hint="default"/>
                <w:color w:val="auto"/>
              </w:rPr>
              <w:t>装卸臂</w:t>
            </w:r>
          </w:p>
        </w:tc>
        <w:tc>
          <w:tcPr>
            <w:tcW w:w="5389" w:type="dxa"/>
            <w:vAlign w:val="center"/>
          </w:tcPr>
          <w:p w14:paraId="004A46DC">
            <w:pPr>
              <w:pStyle w:val="91"/>
              <w:keepNext w:val="0"/>
              <w:keepLines w:val="0"/>
              <w:suppressLineNumbers w:val="0"/>
              <w:spacing w:before="0" w:beforeAutospacing="0" w:after="0" w:afterAutospacing="0"/>
              <w:ind w:left="0" w:right="0"/>
              <w:rPr>
                <w:rFonts w:hint="default"/>
                <w:color w:val="auto"/>
              </w:rPr>
            </w:pPr>
            <w:r>
              <w:rPr>
                <w:rFonts w:hint="default"/>
                <w:color w:val="auto"/>
              </w:rPr>
              <w:t>装卸臂连接管泄漏孔径为10%孔径（最大50mm）</w:t>
            </w:r>
          </w:p>
        </w:tc>
        <w:tc>
          <w:tcPr>
            <w:tcW w:w="1957" w:type="dxa"/>
            <w:vAlign w:val="center"/>
          </w:tcPr>
          <w:p w14:paraId="3C8D0A90">
            <w:pPr>
              <w:pStyle w:val="91"/>
              <w:keepNext w:val="0"/>
              <w:keepLines w:val="0"/>
              <w:suppressLineNumbers w:val="0"/>
              <w:spacing w:before="0" w:beforeAutospacing="0" w:after="0" w:afterAutospacing="0"/>
              <w:ind w:left="0" w:right="0"/>
              <w:rPr>
                <w:rFonts w:hint="default"/>
                <w:color w:val="auto"/>
              </w:rPr>
            </w:pPr>
            <w:r>
              <w:rPr>
                <w:rFonts w:hint="default"/>
                <w:color w:val="auto"/>
              </w:rPr>
              <w:t>3.00×10</w:t>
            </w:r>
            <w:r>
              <w:rPr>
                <w:rFonts w:hint="default"/>
                <w:color w:val="auto"/>
                <w:position w:val="7"/>
                <w:sz w:val="13"/>
              </w:rPr>
              <w:t>-7</w:t>
            </w:r>
            <w:r>
              <w:rPr>
                <w:rFonts w:hint="default"/>
                <w:color w:val="auto"/>
              </w:rPr>
              <w:t>/h</w:t>
            </w:r>
          </w:p>
        </w:tc>
      </w:tr>
      <w:tr w14:paraId="2E1BC7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continue"/>
            <w:vAlign w:val="center"/>
          </w:tcPr>
          <w:p w14:paraId="3301F3FF">
            <w:pPr>
              <w:pStyle w:val="91"/>
              <w:keepNext w:val="0"/>
              <w:keepLines w:val="0"/>
              <w:suppressLineNumbers w:val="0"/>
              <w:spacing w:before="0" w:beforeAutospacing="0" w:after="0" w:afterAutospacing="0"/>
              <w:ind w:left="0" w:right="0"/>
              <w:rPr>
                <w:rFonts w:hint="default"/>
                <w:color w:val="auto"/>
                <w:sz w:val="2"/>
                <w:szCs w:val="2"/>
              </w:rPr>
            </w:pPr>
          </w:p>
        </w:tc>
        <w:tc>
          <w:tcPr>
            <w:tcW w:w="5389" w:type="dxa"/>
            <w:vAlign w:val="center"/>
          </w:tcPr>
          <w:p w14:paraId="6CFA499D">
            <w:pPr>
              <w:pStyle w:val="91"/>
              <w:keepNext w:val="0"/>
              <w:keepLines w:val="0"/>
              <w:suppressLineNumbers w:val="0"/>
              <w:spacing w:before="0" w:beforeAutospacing="0" w:after="0" w:afterAutospacing="0"/>
              <w:ind w:left="0" w:right="0"/>
              <w:rPr>
                <w:rFonts w:hint="default"/>
                <w:color w:val="auto"/>
              </w:rPr>
            </w:pPr>
            <w:r>
              <w:rPr>
                <w:rFonts w:hint="default"/>
                <w:color w:val="auto"/>
              </w:rPr>
              <w:t>装卸臂全管径泄漏</w:t>
            </w:r>
          </w:p>
        </w:tc>
        <w:tc>
          <w:tcPr>
            <w:tcW w:w="1957" w:type="dxa"/>
            <w:vAlign w:val="center"/>
          </w:tcPr>
          <w:p w14:paraId="58E6ECEB">
            <w:pPr>
              <w:pStyle w:val="91"/>
              <w:keepNext w:val="0"/>
              <w:keepLines w:val="0"/>
              <w:suppressLineNumbers w:val="0"/>
              <w:spacing w:before="0" w:beforeAutospacing="0" w:after="0" w:afterAutospacing="0"/>
              <w:ind w:left="0" w:right="0"/>
              <w:rPr>
                <w:rFonts w:hint="default"/>
                <w:color w:val="auto"/>
              </w:rPr>
            </w:pPr>
            <w:r>
              <w:rPr>
                <w:rFonts w:hint="default"/>
                <w:color w:val="auto"/>
              </w:rPr>
              <w:t>3.00×10</w:t>
            </w:r>
            <w:r>
              <w:rPr>
                <w:rFonts w:hint="default"/>
                <w:color w:val="auto"/>
                <w:position w:val="7"/>
                <w:sz w:val="13"/>
              </w:rPr>
              <w:t>-8</w:t>
            </w:r>
            <w:r>
              <w:rPr>
                <w:rFonts w:hint="default"/>
                <w:color w:val="auto"/>
              </w:rPr>
              <w:t>/h</w:t>
            </w:r>
          </w:p>
        </w:tc>
      </w:tr>
      <w:tr w14:paraId="765F8D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restart"/>
            <w:vAlign w:val="center"/>
          </w:tcPr>
          <w:p w14:paraId="7AD32B57">
            <w:pPr>
              <w:pStyle w:val="91"/>
              <w:keepNext w:val="0"/>
              <w:keepLines w:val="0"/>
              <w:suppressLineNumbers w:val="0"/>
              <w:spacing w:before="0" w:beforeAutospacing="0" w:after="0" w:afterAutospacing="0"/>
              <w:ind w:left="0" w:right="0"/>
              <w:rPr>
                <w:rFonts w:hint="default"/>
                <w:color w:val="auto"/>
              </w:rPr>
            </w:pPr>
            <w:r>
              <w:rPr>
                <w:rFonts w:hint="default"/>
                <w:color w:val="auto"/>
              </w:rPr>
              <w:t>装卸软管</w:t>
            </w:r>
          </w:p>
        </w:tc>
        <w:tc>
          <w:tcPr>
            <w:tcW w:w="5389" w:type="dxa"/>
            <w:vAlign w:val="center"/>
          </w:tcPr>
          <w:p w14:paraId="123295EE">
            <w:pPr>
              <w:pStyle w:val="91"/>
              <w:keepNext w:val="0"/>
              <w:keepLines w:val="0"/>
              <w:suppressLineNumbers w:val="0"/>
              <w:spacing w:before="0" w:beforeAutospacing="0" w:after="0" w:afterAutospacing="0"/>
              <w:ind w:left="0" w:right="0"/>
              <w:rPr>
                <w:rFonts w:hint="default"/>
                <w:color w:val="auto"/>
              </w:rPr>
            </w:pPr>
            <w:r>
              <w:rPr>
                <w:rFonts w:hint="default"/>
                <w:color w:val="auto"/>
              </w:rPr>
              <w:t>装卸软管连接管泄漏孔径为10%孔径（最大50mm）</w:t>
            </w:r>
          </w:p>
        </w:tc>
        <w:tc>
          <w:tcPr>
            <w:tcW w:w="1957" w:type="dxa"/>
            <w:vAlign w:val="center"/>
          </w:tcPr>
          <w:p w14:paraId="39AE7F89">
            <w:pPr>
              <w:pStyle w:val="91"/>
              <w:keepNext w:val="0"/>
              <w:keepLines w:val="0"/>
              <w:suppressLineNumbers w:val="0"/>
              <w:spacing w:before="0" w:beforeAutospacing="0" w:after="0" w:afterAutospacing="0"/>
              <w:ind w:left="0" w:right="0"/>
              <w:rPr>
                <w:rFonts w:hint="default"/>
                <w:color w:val="auto"/>
              </w:rPr>
            </w:pPr>
            <w:r>
              <w:rPr>
                <w:rFonts w:hint="default"/>
                <w:color w:val="auto"/>
              </w:rPr>
              <w:t>4.00×10</w:t>
            </w:r>
            <w:r>
              <w:rPr>
                <w:rFonts w:hint="default"/>
                <w:color w:val="auto"/>
                <w:position w:val="7"/>
                <w:sz w:val="13"/>
              </w:rPr>
              <w:t>-5</w:t>
            </w:r>
            <w:r>
              <w:rPr>
                <w:rFonts w:hint="default"/>
                <w:color w:val="auto"/>
              </w:rPr>
              <w:t>/h</w:t>
            </w:r>
          </w:p>
        </w:tc>
      </w:tr>
      <w:tr w14:paraId="51B83A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809" w:type="dxa"/>
            <w:vMerge w:val="continue"/>
            <w:vAlign w:val="center"/>
          </w:tcPr>
          <w:p w14:paraId="4AD0B670">
            <w:pPr>
              <w:pStyle w:val="91"/>
              <w:keepNext w:val="0"/>
              <w:keepLines w:val="0"/>
              <w:suppressLineNumbers w:val="0"/>
              <w:spacing w:before="0" w:beforeAutospacing="0" w:after="0" w:afterAutospacing="0"/>
              <w:ind w:left="0" w:right="0"/>
              <w:rPr>
                <w:rFonts w:hint="default"/>
                <w:color w:val="auto"/>
                <w:sz w:val="2"/>
                <w:szCs w:val="2"/>
              </w:rPr>
            </w:pPr>
          </w:p>
        </w:tc>
        <w:tc>
          <w:tcPr>
            <w:tcW w:w="5389" w:type="dxa"/>
            <w:vAlign w:val="center"/>
          </w:tcPr>
          <w:p w14:paraId="43F3B7FC">
            <w:pPr>
              <w:pStyle w:val="91"/>
              <w:keepNext w:val="0"/>
              <w:keepLines w:val="0"/>
              <w:suppressLineNumbers w:val="0"/>
              <w:spacing w:before="0" w:beforeAutospacing="0" w:after="0" w:afterAutospacing="0"/>
              <w:ind w:left="0" w:right="0"/>
              <w:rPr>
                <w:rFonts w:hint="default"/>
                <w:color w:val="auto"/>
              </w:rPr>
            </w:pPr>
            <w:r>
              <w:rPr>
                <w:rFonts w:hint="default"/>
                <w:color w:val="auto"/>
              </w:rPr>
              <w:t>装卸软管全管径泄漏</w:t>
            </w:r>
          </w:p>
        </w:tc>
        <w:tc>
          <w:tcPr>
            <w:tcW w:w="1957" w:type="dxa"/>
            <w:vAlign w:val="center"/>
          </w:tcPr>
          <w:p w14:paraId="77E61B74">
            <w:pPr>
              <w:pStyle w:val="91"/>
              <w:keepNext w:val="0"/>
              <w:keepLines w:val="0"/>
              <w:suppressLineNumbers w:val="0"/>
              <w:spacing w:before="0" w:beforeAutospacing="0" w:after="0" w:afterAutospacing="0"/>
              <w:ind w:left="0" w:right="0"/>
              <w:rPr>
                <w:rFonts w:hint="default"/>
                <w:color w:val="auto"/>
              </w:rPr>
            </w:pPr>
            <w:r>
              <w:rPr>
                <w:rFonts w:hint="default"/>
                <w:color w:val="auto"/>
              </w:rPr>
              <w:t>4.00×10</w:t>
            </w:r>
            <w:r>
              <w:rPr>
                <w:rFonts w:hint="default"/>
                <w:color w:val="auto"/>
                <w:position w:val="7"/>
                <w:sz w:val="13"/>
              </w:rPr>
              <w:t>-6</w:t>
            </w:r>
            <w:r>
              <w:rPr>
                <w:rFonts w:hint="default"/>
                <w:color w:val="auto"/>
              </w:rPr>
              <w:t>/h</w:t>
            </w:r>
          </w:p>
        </w:tc>
      </w:tr>
    </w:tbl>
    <w:p w14:paraId="23A2BF33">
      <w:pPr>
        <w:pStyle w:val="4"/>
        <w:rPr>
          <w:color w:val="auto"/>
        </w:rPr>
      </w:pPr>
      <w:r>
        <w:rPr>
          <w:color w:val="auto"/>
        </w:rPr>
        <w:t>物质危险性识别</w:t>
      </w:r>
    </w:p>
    <w:p w14:paraId="358DC5B8">
      <w:pPr>
        <w:pStyle w:val="81"/>
        <w:rPr>
          <w:color w:val="auto"/>
        </w:rPr>
      </w:pPr>
      <w:r>
        <w:rPr>
          <w:color w:val="auto"/>
        </w:rPr>
        <w:t>本项目船舶污染事故是指船舶在航行过程、码头靠泊和装卸过程，以及其他作业过程</w:t>
      </w:r>
      <w:r>
        <w:rPr>
          <w:rFonts w:eastAsia="Times New Roman"/>
          <w:color w:val="auto"/>
        </w:rPr>
        <w:t>(</w:t>
      </w:r>
      <w:r>
        <w:rPr>
          <w:color w:val="auto"/>
        </w:rPr>
        <w:t>如油料供受、污染清除等</w:t>
      </w:r>
      <w:r>
        <w:rPr>
          <w:rFonts w:eastAsia="Times New Roman"/>
          <w:color w:val="auto"/>
        </w:rPr>
        <w:t>)</w:t>
      </w:r>
      <w:r>
        <w:rPr>
          <w:color w:val="auto"/>
        </w:rPr>
        <w:t>中发生燃料油泄漏造成的环境污染事故，可分为操作性污染事故和海难性污染事故。操作性船舶污染事故多发生于港口船舶装卸货物及加装船舶燃油环节，发生的原因多为人为因素、机械和设备故障等，尽管每次产生的泄漏量不大，但事故频率较高，污染物总量也较大。海难性船舶污染事故主要是海上交通事故导致，事故发生率较低，但一旦发生污染损害很大。</w:t>
      </w:r>
    </w:p>
    <w:p w14:paraId="1AE6F48B">
      <w:pPr>
        <w:pStyle w:val="81"/>
        <w:rPr>
          <w:color w:val="auto"/>
        </w:rPr>
      </w:pPr>
      <w:r>
        <w:rPr>
          <w:rFonts w:hint="eastAsia"/>
          <w:color w:val="auto"/>
        </w:rPr>
        <w:t>码头</w:t>
      </w:r>
      <w:r>
        <w:rPr>
          <w:color w:val="auto"/>
        </w:rPr>
        <w:t>后方库区储存</w:t>
      </w:r>
      <w:r>
        <w:rPr>
          <w:rFonts w:hint="eastAsia"/>
          <w:color w:val="auto"/>
        </w:rPr>
        <w:t>设置</w:t>
      </w:r>
      <w:r>
        <w:rPr>
          <w:color w:val="auto"/>
        </w:rPr>
        <w:t>有储罐储存物料</w:t>
      </w:r>
      <w:r>
        <w:rPr>
          <w:rFonts w:hint="eastAsia"/>
          <w:color w:val="auto"/>
        </w:rPr>
        <w:t>，根据</w:t>
      </w:r>
      <w:r>
        <w:rPr>
          <w:color w:val="auto"/>
        </w:rPr>
        <w:t>调查资料</w:t>
      </w:r>
      <w:r>
        <w:rPr>
          <w:rFonts w:hint="eastAsia"/>
          <w:color w:val="auto"/>
        </w:rPr>
        <w:t>，储罐储存</w:t>
      </w:r>
      <w:r>
        <w:rPr>
          <w:color w:val="auto"/>
        </w:rPr>
        <w:t>和装卸</w:t>
      </w:r>
      <w:r>
        <w:rPr>
          <w:rFonts w:hint="eastAsia"/>
          <w:color w:val="auto"/>
        </w:rPr>
        <w:t>发生事故的概率均在1</w:t>
      </w:r>
      <w:r>
        <w:rPr>
          <w:color w:val="auto"/>
        </w:rPr>
        <w:t>0%</w:t>
      </w:r>
      <w:r>
        <w:rPr>
          <w:rFonts w:hint="eastAsia"/>
          <w:color w:val="auto"/>
        </w:rPr>
        <w:t>以下，储罐发生事故的概率不大，</w:t>
      </w:r>
      <w:r>
        <w:rPr>
          <w:color w:val="auto"/>
        </w:rPr>
        <w:t>但发生</w:t>
      </w:r>
      <w:r>
        <w:rPr>
          <w:rFonts w:hint="eastAsia"/>
          <w:color w:val="auto"/>
        </w:rPr>
        <w:t>泄漏</w:t>
      </w:r>
      <w:r>
        <w:rPr>
          <w:color w:val="auto"/>
        </w:rPr>
        <w:t>或</w:t>
      </w:r>
      <w:r>
        <w:rPr>
          <w:rFonts w:hint="eastAsia"/>
          <w:color w:val="auto"/>
        </w:rPr>
        <w:t>泄漏物质</w:t>
      </w:r>
      <w:r>
        <w:rPr>
          <w:color w:val="auto"/>
        </w:rPr>
        <w:t>燃烧事故</w:t>
      </w:r>
      <w:r>
        <w:rPr>
          <w:rFonts w:hint="eastAsia"/>
          <w:color w:val="auto"/>
        </w:rPr>
        <w:t>时，产生</w:t>
      </w:r>
      <w:r>
        <w:rPr>
          <w:color w:val="auto"/>
        </w:rPr>
        <w:t>的</w:t>
      </w:r>
      <w:r>
        <w:rPr>
          <w:rFonts w:hint="eastAsia"/>
          <w:color w:val="auto"/>
        </w:rPr>
        <w:t>污染物总量较大</w:t>
      </w:r>
      <w:r>
        <w:rPr>
          <w:color w:val="auto"/>
        </w:rPr>
        <w:t>。</w:t>
      </w:r>
    </w:p>
    <w:p w14:paraId="29404407">
      <w:pPr>
        <w:pStyle w:val="81"/>
        <w:rPr>
          <w:color w:val="auto"/>
        </w:rPr>
      </w:pPr>
      <w:r>
        <w:rPr>
          <w:color w:val="auto"/>
        </w:rPr>
        <w:t>当码头装卸作业</w:t>
      </w:r>
      <w:r>
        <w:rPr>
          <w:rFonts w:hint="eastAsia"/>
          <w:color w:val="auto"/>
        </w:rPr>
        <w:t>和</w:t>
      </w:r>
      <w:r>
        <w:rPr>
          <w:color w:val="auto"/>
        </w:rPr>
        <w:t>储存过程中发生泄漏污染事故和发生泄漏导致火灾爆炸事故时，化工品会挥发出大量有毒有害气体，同时由于码头</w:t>
      </w:r>
      <w:r>
        <w:rPr>
          <w:rFonts w:hint="eastAsia"/>
          <w:color w:val="auto"/>
        </w:rPr>
        <w:t>、</w:t>
      </w:r>
      <w:r>
        <w:rPr>
          <w:color w:val="auto"/>
        </w:rPr>
        <w:t>管线</w:t>
      </w:r>
      <w:r>
        <w:rPr>
          <w:rFonts w:hint="eastAsia"/>
          <w:color w:val="auto"/>
        </w:rPr>
        <w:t>或</w:t>
      </w:r>
      <w:r>
        <w:rPr>
          <w:color w:val="auto"/>
        </w:rPr>
        <w:t>储罐发生火灾后，油品的急剧燃烧所需的供氧量不足，属于典型的不完全燃烧，因此燃烧过程中还将产生大量CO。此外，由于泄漏事故还将伴生大量事故和消防等废水，这些泄漏油品、化工品、液化烃、燃料油以及伴生污染物均会对周围环境产生影响。</w:t>
      </w:r>
    </w:p>
    <w:p w14:paraId="217E779E">
      <w:pPr>
        <w:pStyle w:val="81"/>
        <w:rPr>
          <w:color w:val="auto"/>
        </w:rPr>
      </w:pPr>
      <w:r>
        <w:rPr>
          <w:color w:val="auto"/>
        </w:rPr>
        <w:t>本</w:t>
      </w:r>
      <w:r>
        <w:rPr>
          <w:rFonts w:hint="eastAsia"/>
          <w:color w:val="auto"/>
        </w:rPr>
        <w:t>次</w:t>
      </w:r>
      <w:r>
        <w:rPr>
          <w:color w:val="auto"/>
        </w:rPr>
        <w:t>扩建项目码头施工期</w:t>
      </w:r>
      <w:r>
        <w:rPr>
          <w:rFonts w:hint="eastAsia"/>
          <w:color w:val="auto"/>
        </w:rPr>
        <w:t>无施工期</w:t>
      </w:r>
      <w:r>
        <w:rPr>
          <w:color w:val="auto"/>
        </w:rPr>
        <w:t>，营运期涉及风险因子为大型船舶燃料油以及运输的油品、化工品、液化烃，以上均属于易燃易爆品，在贮存和输送过程中具有发生火灾和爆炸的危险性，同时油品和化工品还具有一定的毒性。</w:t>
      </w:r>
    </w:p>
    <w:p w14:paraId="0BBFAF49">
      <w:pPr>
        <w:pStyle w:val="81"/>
        <w:rPr>
          <w:color w:val="auto"/>
        </w:rPr>
      </w:pPr>
      <w:r>
        <w:rPr>
          <w:color w:val="auto"/>
        </w:rPr>
        <w:t>根据《建设项目环境风险评价技术导则</w:t>
      </w:r>
      <w:r>
        <w:rPr>
          <w:color w:val="auto"/>
          <w:spacing w:val="9"/>
        </w:rPr>
        <w:t>（</w:t>
      </w:r>
      <w:r>
        <w:rPr>
          <w:rFonts w:eastAsia="Times New Roman"/>
          <w:color w:val="auto"/>
          <w:spacing w:val="-1"/>
        </w:rPr>
        <w:t>H</w:t>
      </w:r>
      <w:r>
        <w:rPr>
          <w:rFonts w:eastAsia="Times New Roman"/>
          <w:color w:val="auto"/>
        </w:rPr>
        <w:t>J169</w:t>
      </w:r>
      <w:r>
        <w:rPr>
          <w:rFonts w:eastAsia="Times New Roman"/>
          <w:color w:val="auto"/>
          <w:spacing w:val="-1"/>
        </w:rPr>
        <w:t>-</w:t>
      </w:r>
      <w:r>
        <w:rPr>
          <w:rFonts w:eastAsia="Times New Roman"/>
          <w:color w:val="auto"/>
        </w:rPr>
        <w:t>201</w:t>
      </w:r>
      <w:r>
        <w:rPr>
          <w:rFonts w:eastAsia="Times New Roman"/>
          <w:color w:val="auto"/>
          <w:spacing w:val="9"/>
        </w:rPr>
        <w:t>8</w:t>
      </w:r>
      <w:r>
        <w:rPr>
          <w:color w:val="auto"/>
          <w:spacing w:val="-113"/>
        </w:rPr>
        <w:t>）</w:t>
      </w:r>
      <w:r>
        <w:rPr>
          <w:color w:val="auto"/>
          <w:spacing w:val="6"/>
        </w:rPr>
        <w:t>》中给出的“危险物质标准”和</w:t>
      </w:r>
      <w:r>
        <w:rPr>
          <w:color w:val="auto"/>
        </w:rPr>
        <w:t>《危险化学品重大危险源辨识》（</w:t>
      </w:r>
      <w:r>
        <w:rPr>
          <w:rFonts w:eastAsia="Times New Roman"/>
          <w:color w:val="auto"/>
        </w:rPr>
        <w:t>GB18218-2018</w:t>
      </w:r>
      <w:r>
        <w:rPr>
          <w:color w:val="auto"/>
        </w:rPr>
        <w:t>）中各种危险品的最低临界量，确定本项目储运化工品以及船舶燃料油作为本项目风险评价的风险因子。本工程储运货类理化性质及毒性见</w:t>
      </w:r>
      <w:r>
        <w:rPr>
          <w:rFonts w:hint="eastAsia"/>
          <w:color w:val="auto"/>
        </w:rPr>
        <w:t>下</w:t>
      </w:r>
      <w:r>
        <w:rPr>
          <w:color w:val="auto"/>
        </w:rPr>
        <w:t>表。</w:t>
      </w:r>
    </w:p>
    <w:p w14:paraId="640B2023">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color w:val="auto"/>
        </w:rPr>
        <w:t>物质危险性识别表</w:t>
      </w:r>
    </w:p>
    <w:tbl>
      <w:tblPr>
        <w:tblStyle w:val="43"/>
        <w:tblW w:w="544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6" w:type="dxa"/>
          <w:bottom w:w="0" w:type="dxa"/>
          <w:right w:w="6" w:type="dxa"/>
        </w:tblCellMar>
      </w:tblPr>
      <w:tblGrid>
        <w:gridCol w:w="335"/>
        <w:gridCol w:w="768"/>
        <w:gridCol w:w="603"/>
        <w:gridCol w:w="698"/>
        <w:gridCol w:w="897"/>
        <w:gridCol w:w="574"/>
        <w:gridCol w:w="480"/>
        <w:gridCol w:w="385"/>
        <w:gridCol w:w="480"/>
        <w:gridCol w:w="478"/>
        <w:gridCol w:w="478"/>
        <w:gridCol w:w="483"/>
        <w:gridCol w:w="513"/>
        <w:gridCol w:w="1039"/>
        <w:gridCol w:w="474"/>
        <w:gridCol w:w="406"/>
        <w:gridCol w:w="1130"/>
      </w:tblGrid>
      <w:tr w14:paraId="1219E3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tblHeader/>
          <w:jc w:val="center"/>
        </w:trPr>
        <w:tc>
          <w:tcPr>
            <w:tcW w:w="163" w:type="pct"/>
            <w:vMerge w:val="restart"/>
            <w:vAlign w:val="center"/>
          </w:tcPr>
          <w:p w14:paraId="19DCDBEC">
            <w:pPr>
              <w:pStyle w:val="77"/>
              <w:keepNext w:val="0"/>
              <w:keepLines w:val="0"/>
              <w:suppressLineNumbers w:val="0"/>
              <w:spacing w:before="0" w:beforeAutospacing="0" w:after="0" w:afterAutospacing="0"/>
              <w:ind w:left="0" w:right="0"/>
              <w:rPr>
                <w:rFonts w:hint="default"/>
                <w:b/>
                <w:color w:val="auto"/>
              </w:rPr>
            </w:pPr>
            <w:r>
              <w:rPr>
                <w:rFonts w:hint="eastAsia"/>
                <w:b/>
                <w:color w:val="auto"/>
              </w:rPr>
              <w:t>序号</w:t>
            </w:r>
          </w:p>
        </w:tc>
        <w:tc>
          <w:tcPr>
            <w:tcW w:w="376" w:type="pct"/>
            <w:vMerge w:val="restart"/>
            <w:vAlign w:val="center"/>
          </w:tcPr>
          <w:p w14:paraId="48EDB437">
            <w:pPr>
              <w:pStyle w:val="77"/>
              <w:keepNext w:val="0"/>
              <w:keepLines w:val="0"/>
              <w:suppressLineNumbers w:val="0"/>
              <w:spacing w:before="0" w:beforeAutospacing="0" w:after="0" w:afterAutospacing="0"/>
              <w:ind w:left="0" w:right="0"/>
              <w:rPr>
                <w:rFonts w:hint="default"/>
                <w:b/>
                <w:color w:val="auto"/>
              </w:rPr>
            </w:pPr>
            <w:r>
              <w:rPr>
                <w:rFonts w:hint="default"/>
                <w:b/>
                <w:color w:val="auto"/>
              </w:rPr>
              <w:t>名称</w:t>
            </w:r>
          </w:p>
        </w:tc>
        <w:tc>
          <w:tcPr>
            <w:tcW w:w="295" w:type="pct"/>
            <w:vMerge w:val="restart"/>
            <w:vAlign w:val="center"/>
          </w:tcPr>
          <w:p w14:paraId="622786C2">
            <w:pPr>
              <w:pStyle w:val="77"/>
              <w:keepNext w:val="0"/>
              <w:keepLines w:val="0"/>
              <w:suppressLineNumbers w:val="0"/>
              <w:spacing w:before="0" w:beforeAutospacing="0" w:after="0" w:afterAutospacing="0"/>
              <w:ind w:left="0" w:right="0"/>
              <w:rPr>
                <w:rFonts w:hint="default"/>
                <w:b/>
                <w:color w:val="auto"/>
              </w:rPr>
            </w:pPr>
            <w:r>
              <w:rPr>
                <w:rFonts w:hint="eastAsia"/>
                <w:b/>
                <w:color w:val="auto"/>
              </w:rPr>
              <w:t>UN编号</w:t>
            </w:r>
          </w:p>
        </w:tc>
        <w:tc>
          <w:tcPr>
            <w:tcW w:w="341" w:type="pct"/>
            <w:vMerge w:val="restart"/>
            <w:vAlign w:val="center"/>
          </w:tcPr>
          <w:p w14:paraId="2169A615">
            <w:pPr>
              <w:pStyle w:val="77"/>
              <w:keepNext w:val="0"/>
              <w:keepLines w:val="0"/>
              <w:suppressLineNumbers w:val="0"/>
              <w:spacing w:before="0" w:beforeAutospacing="0" w:after="0" w:afterAutospacing="0"/>
              <w:ind w:left="0" w:right="0"/>
              <w:rPr>
                <w:rFonts w:hint="default"/>
                <w:b/>
                <w:color w:val="auto"/>
              </w:rPr>
            </w:pPr>
            <w:r>
              <w:rPr>
                <w:rFonts w:hint="default"/>
                <w:b/>
                <w:color w:val="auto"/>
              </w:rPr>
              <w:t>CAS号</w:t>
            </w:r>
          </w:p>
        </w:tc>
        <w:tc>
          <w:tcPr>
            <w:tcW w:w="438" w:type="pct"/>
            <w:vMerge w:val="restart"/>
            <w:vAlign w:val="center"/>
          </w:tcPr>
          <w:p w14:paraId="6D1532CB">
            <w:pPr>
              <w:pStyle w:val="77"/>
              <w:keepNext w:val="0"/>
              <w:keepLines w:val="0"/>
              <w:suppressLineNumbers w:val="0"/>
              <w:spacing w:before="0" w:beforeAutospacing="0" w:after="0" w:afterAutospacing="0"/>
              <w:ind w:left="0" w:right="0"/>
              <w:rPr>
                <w:rFonts w:hint="default"/>
                <w:b/>
                <w:color w:val="auto"/>
              </w:rPr>
            </w:pPr>
            <w:r>
              <w:rPr>
                <w:rFonts w:hint="default"/>
                <w:b/>
                <w:color w:val="auto"/>
              </w:rPr>
              <w:t>产品特性</w:t>
            </w:r>
          </w:p>
        </w:tc>
        <w:tc>
          <w:tcPr>
            <w:tcW w:w="281" w:type="pct"/>
            <w:vMerge w:val="restart"/>
            <w:vAlign w:val="center"/>
          </w:tcPr>
          <w:p w14:paraId="614A744E">
            <w:pPr>
              <w:pStyle w:val="77"/>
              <w:keepNext w:val="0"/>
              <w:keepLines w:val="0"/>
              <w:suppressLineNumbers w:val="0"/>
              <w:spacing w:before="0" w:beforeAutospacing="0" w:after="0" w:afterAutospacing="0"/>
              <w:ind w:left="0" w:right="0"/>
              <w:rPr>
                <w:rFonts w:hint="default"/>
                <w:b/>
                <w:color w:val="auto"/>
              </w:rPr>
            </w:pPr>
            <w:r>
              <w:rPr>
                <w:rFonts w:hint="eastAsia"/>
                <w:b/>
                <w:color w:val="auto"/>
              </w:rPr>
              <w:t>相对</w:t>
            </w:r>
          </w:p>
          <w:p w14:paraId="005CB72C">
            <w:pPr>
              <w:pStyle w:val="77"/>
              <w:keepNext w:val="0"/>
              <w:keepLines w:val="0"/>
              <w:suppressLineNumbers w:val="0"/>
              <w:spacing w:before="0" w:beforeAutospacing="0" w:after="0" w:afterAutospacing="0"/>
              <w:ind w:left="0" w:right="0"/>
              <w:rPr>
                <w:rFonts w:hint="default"/>
                <w:b/>
                <w:color w:val="auto"/>
              </w:rPr>
            </w:pPr>
            <w:r>
              <w:rPr>
                <w:rFonts w:hint="eastAsia"/>
                <w:b/>
                <w:color w:val="auto"/>
              </w:rPr>
              <w:t>水密度g/cm</w:t>
            </w:r>
            <w:r>
              <w:rPr>
                <w:rFonts w:hint="default"/>
                <w:b/>
                <w:color w:val="auto"/>
                <w:vertAlign w:val="superscript"/>
              </w:rPr>
              <w:t>3</w:t>
            </w:r>
          </w:p>
        </w:tc>
        <w:tc>
          <w:tcPr>
            <w:tcW w:w="234" w:type="pct"/>
            <w:vMerge w:val="restart"/>
            <w:vAlign w:val="center"/>
          </w:tcPr>
          <w:p w14:paraId="7FEBB67F">
            <w:pPr>
              <w:pStyle w:val="77"/>
              <w:keepNext w:val="0"/>
              <w:keepLines w:val="0"/>
              <w:suppressLineNumbers w:val="0"/>
              <w:spacing w:before="0" w:beforeAutospacing="0" w:after="0" w:afterAutospacing="0"/>
              <w:ind w:left="0" w:right="0"/>
              <w:rPr>
                <w:rFonts w:hint="default"/>
                <w:b/>
                <w:color w:val="auto"/>
              </w:rPr>
            </w:pPr>
            <w:r>
              <w:rPr>
                <w:rFonts w:hint="default"/>
                <w:b/>
                <w:color w:val="auto"/>
              </w:rPr>
              <w:t>闪点（</w:t>
            </w:r>
            <w:r>
              <w:rPr>
                <w:rFonts w:hint="eastAsia" w:ascii="宋体" w:hAnsi="宋体" w:cs="宋体"/>
                <w:b/>
                <w:color w:val="auto"/>
                <w:lang w:eastAsia="ja-JP"/>
              </w:rPr>
              <w:t>℃</w:t>
            </w:r>
            <w:r>
              <w:rPr>
                <w:rFonts w:hint="default"/>
                <w:b/>
                <w:color w:val="auto"/>
              </w:rPr>
              <w:t>）</w:t>
            </w:r>
          </w:p>
        </w:tc>
        <w:tc>
          <w:tcPr>
            <w:tcW w:w="188" w:type="pct"/>
            <w:vMerge w:val="restart"/>
            <w:vAlign w:val="center"/>
          </w:tcPr>
          <w:p w14:paraId="10C52A17">
            <w:pPr>
              <w:pStyle w:val="77"/>
              <w:keepNext w:val="0"/>
              <w:keepLines w:val="0"/>
              <w:suppressLineNumbers w:val="0"/>
              <w:spacing w:before="0" w:beforeAutospacing="0" w:after="0" w:afterAutospacing="0"/>
              <w:ind w:left="0" w:right="0"/>
              <w:rPr>
                <w:rFonts w:hint="default"/>
                <w:b/>
                <w:color w:val="auto"/>
              </w:rPr>
            </w:pPr>
            <w:r>
              <w:rPr>
                <w:rFonts w:hint="default"/>
                <w:b/>
                <w:color w:val="auto"/>
              </w:rPr>
              <w:t>沸点（</w:t>
            </w:r>
            <w:r>
              <w:rPr>
                <w:rFonts w:hint="eastAsia" w:ascii="宋体" w:hAnsi="宋体" w:cs="宋体"/>
                <w:b/>
                <w:color w:val="auto"/>
                <w:lang w:eastAsia="ja-JP"/>
              </w:rPr>
              <w:t>℃</w:t>
            </w:r>
            <w:r>
              <w:rPr>
                <w:rFonts w:hint="default"/>
                <w:b/>
                <w:color w:val="auto"/>
              </w:rPr>
              <w:t>）</w:t>
            </w:r>
          </w:p>
        </w:tc>
        <w:tc>
          <w:tcPr>
            <w:tcW w:w="234" w:type="pct"/>
            <w:vMerge w:val="restart"/>
            <w:vAlign w:val="center"/>
          </w:tcPr>
          <w:p w14:paraId="76EC7145">
            <w:pPr>
              <w:pStyle w:val="77"/>
              <w:keepNext w:val="0"/>
              <w:keepLines w:val="0"/>
              <w:suppressLineNumbers w:val="0"/>
              <w:spacing w:before="0" w:beforeAutospacing="0" w:after="0" w:afterAutospacing="0"/>
              <w:ind w:left="0" w:right="0"/>
              <w:rPr>
                <w:rFonts w:hint="default"/>
                <w:b/>
                <w:color w:val="auto"/>
              </w:rPr>
            </w:pPr>
            <w:r>
              <w:rPr>
                <w:rFonts w:hint="default"/>
                <w:b/>
                <w:color w:val="auto"/>
              </w:rPr>
              <w:t>熔点（</w:t>
            </w:r>
            <w:r>
              <w:rPr>
                <w:rFonts w:hint="eastAsia" w:ascii="宋体" w:hAnsi="宋体" w:cs="宋体"/>
                <w:b/>
                <w:color w:val="auto"/>
                <w:lang w:eastAsia="ja-JP"/>
              </w:rPr>
              <w:t>℃</w:t>
            </w:r>
            <w:r>
              <w:rPr>
                <w:rFonts w:hint="default"/>
                <w:b/>
                <w:color w:val="auto"/>
              </w:rPr>
              <w:t>）</w:t>
            </w:r>
          </w:p>
        </w:tc>
        <w:tc>
          <w:tcPr>
            <w:tcW w:w="233" w:type="pct"/>
            <w:vMerge w:val="restart"/>
            <w:vAlign w:val="center"/>
          </w:tcPr>
          <w:p w14:paraId="67C257C1">
            <w:pPr>
              <w:pStyle w:val="77"/>
              <w:keepNext w:val="0"/>
              <w:keepLines w:val="0"/>
              <w:suppressLineNumbers w:val="0"/>
              <w:spacing w:before="0" w:beforeAutospacing="0" w:after="0" w:afterAutospacing="0"/>
              <w:ind w:left="0" w:right="0"/>
              <w:rPr>
                <w:rFonts w:hint="default"/>
                <w:b/>
                <w:color w:val="auto"/>
              </w:rPr>
            </w:pPr>
            <w:r>
              <w:rPr>
                <w:rFonts w:hint="default"/>
                <w:b/>
                <w:color w:val="auto"/>
              </w:rPr>
              <w:t>自燃点（</w:t>
            </w:r>
            <w:r>
              <w:rPr>
                <w:rFonts w:hint="eastAsia" w:ascii="宋体" w:hAnsi="宋体" w:cs="宋体"/>
                <w:b/>
                <w:color w:val="auto"/>
                <w:lang w:eastAsia="ja-JP"/>
              </w:rPr>
              <w:t>℃</w:t>
            </w:r>
            <w:r>
              <w:rPr>
                <w:rFonts w:hint="default"/>
                <w:b/>
                <w:color w:val="auto"/>
              </w:rPr>
              <w:t>）</w:t>
            </w:r>
          </w:p>
        </w:tc>
        <w:tc>
          <w:tcPr>
            <w:tcW w:w="470" w:type="pct"/>
            <w:gridSpan w:val="2"/>
            <w:vAlign w:val="center"/>
          </w:tcPr>
          <w:p w14:paraId="25AD7256">
            <w:pPr>
              <w:pStyle w:val="77"/>
              <w:keepNext w:val="0"/>
              <w:keepLines w:val="0"/>
              <w:suppressLineNumbers w:val="0"/>
              <w:spacing w:before="0" w:beforeAutospacing="0" w:after="0" w:afterAutospacing="0"/>
              <w:ind w:left="0" w:right="0"/>
              <w:rPr>
                <w:rFonts w:hint="default"/>
                <w:b/>
                <w:color w:val="auto"/>
              </w:rPr>
            </w:pPr>
            <w:r>
              <w:rPr>
                <w:rFonts w:hint="default"/>
                <w:b/>
                <w:color w:val="auto"/>
              </w:rPr>
              <w:t>爆炸极限V%</w:t>
            </w:r>
          </w:p>
        </w:tc>
        <w:tc>
          <w:tcPr>
            <w:tcW w:w="250" w:type="pct"/>
            <w:vMerge w:val="restart"/>
            <w:vAlign w:val="center"/>
          </w:tcPr>
          <w:p w14:paraId="0A082450">
            <w:pPr>
              <w:pStyle w:val="77"/>
              <w:keepNext w:val="0"/>
              <w:keepLines w:val="0"/>
              <w:suppressLineNumbers w:val="0"/>
              <w:spacing w:before="0" w:beforeAutospacing="0" w:after="0" w:afterAutospacing="0"/>
              <w:ind w:left="0" w:right="0"/>
              <w:rPr>
                <w:rFonts w:hint="default"/>
                <w:b/>
                <w:color w:val="auto"/>
              </w:rPr>
            </w:pPr>
            <w:r>
              <w:rPr>
                <w:rFonts w:hint="default"/>
                <w:b/>
                <w:color w:val="auto"/>
              </w:rPr>
              <w:t>火灾危险分类</w:t>
            </w:r>
          </w:p>
        </w:tc>
        <w:tc>
          <w:tcPr>
            <w:tcW w:w="508" w:type="pct"/>
            <w:vMerge w:val="restart"/>
            <w:vAlign w:val="center"/>
          </w:tcPr>
          <w:p w14:paraId="7565C715">
            <w:pPr>
              <w:pStyle w:val="77"/>
              <w:keepNext w:val="0"/>
              <w:keepLines w:val="0"/>
              <w:suppressLineNumbers w:val="0"/>
              <w:spacing w:before="0" w:beforeAutospacing="0" w:after="0" w:afterAutospacing="0"/>
              <w:ind w:left="0" w:right="0"/>
              <w:rPr>
                <w:rFonts w:hint="default"/>
                <w:b/>
                <w:color w:val="auto"/>
              </w:rPr>
            </w:pPr>
            <w:r>
              <w:rPr>
                <w:rFonts w:hint="default"/>
                <w:b/>
                <w:color w:val="auto"/>
              </w:rPr>
              <w:t>毒性</w:t>
            </w:r>
          </w:p>
        </w:tc>
        <w:tc>
          <w:tcPr>
            <w:tcW w:w="231" w:type="pct"/>
            <w:vMerge w:val="restart"/>
            <w:vAlign w:val="center"/>
          </w:tcPr>
          <w:p w14:paraId="5C936F68">
            <w:pPr>
              <w:pStyle w:val="77"/>
              <w:keepNext w:val="0"/>
              <w:keepLines w:val="0"/>
              <w:suppressLineNumbers w:val="0"/>
              <w:spacing w:before="0" w:beforeAutospacing="0" w:after="0" w:afterAutospacing="0"/>
              <w:ind w:left="0" w:right="0"/>
              <w:rPr>
                <w:rFonts w:hint="default"/>
                <w:b/>
                <w:color w:val="auto"/>
              </w:rPr>
            </w:pPr>
            <w:r>
              <w:rPr>
                <w:rFonts w:hint="eastAsia"/>
                <w:b/>
                <w:color w:val="auto"/>
              </w:rPr>
              <w:t>溶解性</w:t>
            </w:r>
          </w:p>
        </w:tc>
        <w:tc>
          <w:tcPr>
            <w:tcW w:w="198" w:type="pct"/>
            <w:vMerge w:val="restart"/>
            <w:vAlign w:val="center"/>
          </w:tcPr>
          <w:p w14:paraId="1F25CF83">
            <w:pPr>
              <w:pStyle w:val="77"/>
              <w:keepNext w:val="0"/>
              <w:keepLines w:val="0"/>
              <w:suppressLineNumbers w:val="0"/>
              <w:spacing w:before="0" w:beforeAutospacing="0" w:after="0" w:afterAutospacing="0"/>
              <w:ind w:left="0" w:right="0"/>
              <w:rPr>
                <w:rFonts w:hint="default"/>
                <w:b/>
                <w:color w:val="auto"/>
              </w:rPr>
            </w:pPr>
            <w:r>
              <w:rPr>
                <w:rFonts w:hint="eastAsia"/>
                <w:b/>
                <w:color w:val="auto"/>
              </w:rPr>
              <w:t>挥发性</w:t>
            </w:r>
          </w:p>
        </w:tc>
        <w:tc>
          <w:tcPr>
            <w:tcW w:w="552" w:type="pct"/>
            <w:vMerge w:val="restart"/>
            <w:vAlign w:val="center"/>
          </w:tcPr>
          <w:p w14:paraId="08968931">
            <w:pPr>
              <w:pStyle w:val="77"/>
              <w:keepNext w:val="0"/>
              <w:keepLines w:val="0"/>
              <w:suppressLineNumbers w:val="0"/>
              <w:spacing w:before="0" w:beforeAutospacing="0" w:after="0" w:afterAutospacing="0"/>
              <w:ind w:left="0" w:right="0"/>
              <w:rPr>
                <w:rFonts w:hint="default"/>
                <w:b/>
                <w:color w:val="auto"/>
              </w:rPr>
            </w:pPr>
            <w:r>
              <w:rPr>
                <w:rFonts w:hint="eastAsia"/>
                <w:b/>
                <w:color w:val="auto"/>
              </w:rPr>
              <w:t>危险性</w:t>
            </w:r>
          </w:p>
        </w:tc>
      </w:tr>
      <w:tr w14:paraId="640247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tblHeader/>
          <w:jc w:val="center"/>
        </w:trPr>
        <w:tc>
          <w:tcPr>
            <w:tcW w:w="163" w:type="pct"/>
            <w:vMerge w:val="continue"/>
            <w:vAlign w:val="center"/>
          </w:tcPr>
          <w:p w14:paraId="06492396">
            <w:pPr>
              <w:pStyle w:val="130"/>
              <w:keepNext/>
              <w:keepLines w:val="0"/>
              <w:suppressLineNumbers w:val="0"/>
              <w:wordWrap w:val="0"/>
              <w:adjustRightInd w:val="0"/>
              <w:snapToGrid w:val="0"/>
              <w:spacing w:before="0" w:beforeAutospacing="0" w:after="0" w:afterAutospacing="0"/>
              <w:ind w:left="0" w:right="0" w:firstLine="482"/>
              <w:rPr>
                <w:rFonts w:hint="default"/>
                <w:b w:val="0"/>
                <w:color w:val="auto"/>
              </w:rPr>
            </w:pPr>
          </w:p>
        </w:tc>
        <w:tc>
          <w:tcPr>
            <w:tcW w:w="376" w:type="pct"/>
            <w:vMerge w:val="continue"/>
            <w:vAlign w:val="center"/>
          </w:tcPr>
          <w:p w14:paraId="3EE6DEF9">
            <w:pPr>
              <w:pStyle w:val="130"/>
              <w:keepNext/>
              <w:keepLines w:val="0"/>
              <w:suppressLineNumbers w:val="0"/>
              <w:wordWrap w:val="0"/>
              <w:adjustRightInd w:val="0"/>
              <w:snapToGrid w:val="0"/>
              <w:spacing w:before="0" w:beforeAutospacing="0" w:after="0" w:afterAutospacing="0"/>
              <w:ind w:left="0" w:right="0" w:firstLine="482"/>
              <w:rPr>
                <w:rFonts w:hint="default"/>
                <w:b w:val="0"/>
                <w:color w:val="auto"/>
              </w:rPr>
            </w:pPr>
          </w:p>
        </w:tc>
        <w:tc>
          <w:tcPr>
            <w:tcW w:w="295" w:type="pct"/>
            <w:vMerge w:val="continue"/>
            <w:textDirection w:val="tbRlV"/>
            <w:vAlign w:val="center"/>
          </w:tcPr>
          <w:p w14:paraId="3A04DA1D">
            <w:pPr>
              <w:pStyle w:val="130"/>
              <w:keepNext/>
              <w:keepLines w:val="0"/>
              <w:suppressLineNumbers w:val="0"/>
              <w:wordWrap w:val="0"/>
              <w:adjustRightInd w:val="0"/>
              <w:snapToGrid w:val="0"/>
              <w:spacing w:before="0" w:beforeAutospacing="0" w:after="0" w:afterAutospacing="0"/>
              <w:ind w:left="0" w:right="0" w:firstLine="482"/>
              <w:rPr>
                <w:rFonts w:hint="default"/>
                <w:b w:val="0"/>
                <w:color w:val="auto"/>
              </w:rPr>
            </w:pPr>
          </w:p>
        </w:tc>
        <w:tc>
          <w:tcPr>
            <w:tcW w:w="341" w:type="pct"/>
            <w:vMerge w:val="continue"/>
            <w:vAlign w:val="center"/>
          </w:tcPr>
          <w:p w14:paraId="67305456">
            <w:pPr>
              <w:pStyle w:val="130"/>
              <w:keepNext/>
              <w:keepLines w:val="0"/>
              <w:suppressLineNumbers w:val="0"/>
              <w:wordWrap w:val="0"/>
              <w:adjustRightInd w:val="0"/>
              <w:snapToGrid w:val="0"/>
              <w:spacing w:before="0" w:beforeAutospacing="0" w:after="0" w:afterAutospacing="0"/>
              <w:ind w:left="0" w:right="0" w:firstLine="482"/>
              <w:rPr>
                <w:rFonts w:hint="default"/>
                <w:b w:val="0"/>
                <w:color w:val="auto"/>
              </w:rPr>
            </w:pPr>
          </w:p>
        </w:tc>
        <w:tc>
          <w:tcPr>
            <w:tcW w:w="438" w:type="pct"/>
            <w:vMerge w:val="continue"/>
            <w:vAlign w:val="center"/>
          </w:tcPr>
          <w:p w14:paraId="44206439">
            <w:pPr>
              <w:pStyle w:val="130"/>
              <w:keepNext/>
              <w:keepLines w:val="0"/>
              <w:suppressLineNumbers w:val="0"/>
              <w:wordWrap w:val="0"/>
              <w:adjustRightInd w:val="0"/>
              <w:snapToGrid w:val="0"/>
              <w:spacing w:before="0" w:beforeAutospacing="0" w:after="0" w:afterAutospacing="0"/>
              <w:ind w:left="0" w:right="0" w:firstLine="482"/>
              <w:rPr>
                <w:rFonts w:hint="default"/>
                <w:b w:val="0"/>
                <w:color w:val="auto"/>
              </w:rPr>
            </w:pPr>
          </w:p>
        </w:tc>
        <w:tc>
          <w:tcPr>
            <w:tcW w:w="281" w:type="pct"/>
            <w:vMerge w:val="continue"/>
            <w:vAlign w:val="center"/>
          </w:tcPr>
          <w:p w14:paraId="29B1B7A6">
            <w:pPr>
              <w:pStyle w:val="130"/>
              <w:keepNext/>
              <w:keepLines w:val="0"/>
              <w:suppressLineNumbers w:val="0"/>
              <w:wordWrap w:val="0"/>
              <w:adjustRightInd w:val="0"/>
              <w:snapToGrid w:val="0"/>
              <w:spacing w:before="0" w:beforeAutospacing="0" w:after="0" w:afterAutospacing="0"/>
              <w:ind w:left="0" w:right="0" w:firstLine="482"/>
              <w:rPr>
                <w:rFonts w:hint="default"/>
                <w:b w:val="0"/>
                <w:color w:val="auto"/>
              </w:rPr>
            </w:pPr>
          </w:p>
        </w:tc>
        <w:tc>
          <w:tcPr>
            <w:tcW w:w="234" w:type="pct"/>
            <w:vMerge w:val="continue"/>
            <w:vAlign w:val="center"/>
          </w:tcPr>
          <w:p w14:paraId="21DF2616">
            <w:pPr>
              <w:pStyle w:val="130"/>
              <w:keepNext/>
              <w:keepLines w:val="0"/>
              <w:suppressLineNumbers w:val="0"/>
              <w:wordWrap w:val="0"/>
              <w:adjustRightInd w:val="0"/>
              <w:snapToGrid w:val="0"/>
              <w:spacing w:before="0" w:beforeAutospacing="0" w:after="0" w:afterAutospacing="0"/>
              <w:ind w:left="0" w:right="0" w:firstLine="482"/>
              <w:rPr>
                <w:rFonts w:hint="default"/>
                <w:b w:val="0"/>
                <w:color w:val="auto"/>
              </w:rPr>
            </w:pPr>
          </w:p>
        </w:tc>
        <w:tc>
          <w:tcPr>
            <w:tcW w:w="188" w:type="pct"/>
            <w:vMerge w:val="continue"/>
            <w:vAlign w:val="center"/>
          </w:tcPr>
          <w:p w14:paraId="08C4D81D">
            <w:pPr>
              <w:pStyle w:val="130"/>
              <w:keepNext/>
              <w:keepLines w:val="0"/>
              <w:suppressLineNumbers w:val="0"/>
              <w:wordWrap w:val="0"/>
              <w:adjustRightInd w:val="0"/>
              <w:snapToGrid w:val="0"/>
              <w:spacing w:before="0" w:beforeAutospacing="0" w:after="0" w:afterAutospacing="0"/>
              <w:ind w:left="0" w:right="0" w:firstLine="482"/>
              <w:rPr>
                <w:rFonts w:hint="default"/>
                <w:b w:val="0"/>
                <w:color w:val="auto"/>
              </w:rPr>
            </w:pPr>
          </w:p>
        </w:tc>
        <w:tc>
          <w:tcPr>
            <w:tcW w:w="234" w:type="pct"/>
            <w:vMerge w:val="continue"/>
            <w:vAlign w:val="center"/>
          </w:tcPr>
          <w:p w14:paraId="02A373E8">
            <w:pPr>
              <w:pStyle w:val="130"/>
              <w:keepNext/>
              <w:keepLines w:val="0"/>
              <w:suppressLineNumbers w:val="0"/>
              <w:wordWrap w:val="0"/>
              <w:adjustRightInd w:val="0"/>
              <w:snapToGrid w:val="0"/>
              <w:spacing w:before="0" w:beforeAutospacing="0" w:after="0" w:afterAutospacing="0"/>
              <w:ind w:left="0" w:right="0" w:firstLine="482"/>
              <w:rPr>
                <w:rFonts w:hint="default"/>
                <w:b w:val="0"/>
                <w:color w:val="auto"/>
              </w:rPr>
            </w:pPr>
          </w:p>
        </w:tc>
        <w:tc>
          <w:tcPr>
            <w:tcW w:w="233" w:type="pct"/>
            <w:vMerge w:val="continue"/>
            <w:vAlign w:val="center"/>
          </w:tcPr>
          <w:p w14:paraId="53A23491">
            <w:pPr>
              <w:pStyle w:val="130"/>
              <w:keepNext/>
              <w:keepLines w:val="0"/>
              <w:suppressLineNumbers w:val="0"/>
              <w:wordWrap w:val="0"/>
              <w:adjustRightInd w:val="0"/>
              <w:snapToGrid w:val="0"/>
              <w:spacing w:before="0" w:beforeAutospacing="0" w:after="0" w:afterAutospacing="0"/>
              <w:ind w:left="0" w:right="0" w:firstLine="482"/>
              <w:rPr>
                <w:rFonts w:hint="default"/>
                <w:b w:val="0"/>
                <w:color w:val="auto"/>
              </w:rPr>
            </w:pPr>
          </w:p>
        </w:tc>
        <w:tc>
          <w:tcPr>
            <w:tcW w:w="233" w:type="pct"/>
            <w:vAlign w:val="center"/>
          </w:tcPr>
          <w:p w14:paraId="10C77BBE">
            <w:pPr>
              <w:pStyle w:val="130"/>
              <w:keepNext/>
              <w:keepLines w:val="0"/>
              <w:suppressLineNumbers w:val="0"/>
              <w:wordWrap w:val="0"/>
              <w:adjustRightInd w:val="0"/>
              <w:snapToGrid w:val="0"/>
              <w:spacing w:before="0" w:beforeAutospacing="0" w:after="0" w:afterAutospacing="0"/>
              <w:ind w:left="0" w:right="0"/>
              <w:jc w:val="both"/>
              <w:rPr>
                <w:rFonts w:hint="default"/>
                <w:bCs/>
                <w:color w:val="auto"/>
              </w:rPr>
            </w:pPr>
            <w:r>
              <w:rPr>
                <w:rFonts w:hint="default"/>
                <w:bCs/>
                <w:color w:val="auto"/>
              </w:rPr>
              <w:t>上限</w:t>
            </w:r>
          </w:p>
        </w:tc>
        <w:tc>
          <w:tcPr>
            <w:tcW w:w="236" w:type="pct"/>
            <w:vAlign w:val="center"/>
          </w:tcPr>
          <w:p w14:paraId="4FE2E311">
            <w:pPr>
              <w:pStyle w:val="130"/>
              <w:keepNext/>
              <w:keepLines w:val="0"/>
              <w:suppressLineNumbers w:val="0"/>
              <w:wordWrap w:val="0"/>
              <w:adjustRightInd w:val="0"/>
              <w:snapToGrid w:val="0"/>
              <w:spacing w:before="0" w:beforeAutospacing="0" w:after="0" w:afterAutospacing="0"/>
              <w:ind w:left="0" w:right="0"/>
              <w:jc w:val="both"/>
              <w:rPr>
                <w:rFonts w:hint="default"/>
                <w:bCs/>
                <w:color w:val="auto"/>
              </w:rPr>
            </w:pPr>
            <w:r>
              <w:rPr>
                <w:rFonts w:hint="default"/>
                <w:bCs/>
                <w:color w:val="auto"/>
              </w:rPr>
              <w:t>下限</w:t>
            </w:r>
          </w:p>
        </w:tc>
        <w:tc>
          <w:tcPr>
            <w:tcW w:w="250" w:type="pct"/>
            <w:vMerge w:val="continue"/>
            <w:vAlign w:val="center"/>
          </w:tcPr>
          <w:p w14:paraId="4E2DE21C">
            <w:pPr>
              <w:pStyle w:val="130"/>
              <w:keepNext/>
              <w:keepLines w:val="0"/>
              <w:suppressLineNumbers w:val="0"/>
              <w:wordWrap w:val="0"/>
              <w:adjustRightInd w:val="0"/>
              <w:snapToGrid w:val="0"/>
              <w:spacing w:before="0" w:beforeAutospacing="0" w:after="0" w:afterAutospacing="0"/>
              <w:ind w:left="0" w:right="0" w:firstLine="482"/>
              <w:rPr>
                <w:rFonts w:hint="default"/>
                <w:b w:val="0"/>
                <w:color w:val="auto"/>
              </w:rPr>
            </w:pPr>
          </w:p>
        </w:tc>
        <w:tc>
          <w:tcPr>
            <w:tcW w:w="508" w:type="pct"/>
            <w:vMerge w:val="continue"/>
            <w:textDirection w:val="tbRlV"/>
            <w:vAlign w:val="center"/>
          </w:tcPr>
          <w:p w14:paraId="51482B54">
            <w:pPr>
              <w:pStyle w:val="130"/>
              <w:keepNext/>
              <w:keepLines w:val="0"/>
              <w:suppressLineNumbers w:val="0"/>
              <w:wordWrap w:val="0"/>
              <w:adjustRightInd w:val="0"/>
              <w:snapToGrid w:val="0"/>
              <w:spacing w:before="0" w:beforeAutospacing="0" w:after="0" w:afterAutospacing="0"/>
              <w:ind w:left="0" w:right="0" w:firstLine="482"/>
              <w:rPr>
                <w:rFonts w:hint="default"/>
                <w:b w:val="0"/>
                <w:color w:val="auto"/>
              </w:rPr>
            </w:pPr>
          </w:p>
        </w:tc>
        <w:tc>
          <w:tcPr>
            <w:tcW w:w="231" w:type="pct"/>
            <w:vMerge w:val="continue"/>
            <w:textDirection w:val="tbRlV"/>
            <w:vAlign w:val="center"/>
          </w:tcPr>
          <w:p w14:paraId="58B32994">
            <w:pPr>
              <w:pStyle w:val="130"/>
              <w:keepNext/>
              <w:keepLines w:val="0"/>
              <w:suppressLineNumbers w:val="0"/>
              <w:wordWrap w:val="0"/>
              <w:adjustRightInd w:val="0"/>
              <w:snapToGrid w:val="0"/>
              <w:spacing w:before="0" w:beforeAutospacing="0" w:after="0" w:afterAutospacing="0"/>
              <w:ind w:left="0" w:right="0" w:firstLine="482"/>
              <w:rPr>
                <w:rFonts w:hint="default"/>
                <w:b w:val="0"/>
                <w:color w:val="auto"/>
              </w:rPr>
            </w:pPr>
          </w:p>
        </w:tc>
        <w:tc>
          <w:tcPr>
            <w:tcW w:w="198" w:type="pct"/>
            <w:vMerge w:val="continue"/>
            <w:textDirection w:val="tbRlV"/>
            <w:vAlign w:val="center"/>
          </w:tcPr>
          <w:p w14:paraId="6C4EFA77">
            <w:pPr>
              <w:pStyle w:val="130"/>
              <w:keepNext/>
              <w:keepLines w:val="0"/>
              <w:suppressLineNumbers w:val="0"/>
              <w:wordWrap w:val="0"/>
              <w:adjustRightInd w:val="0"/>
              <w:snapToGrid w:val="0"/>
              <w:spacing w:before="0" w:beforeAutospacing="0" w:after="0" w:afterAutospacing="0"/>
              <w:ind w:left="0" w:right="0" w:firstLine="482"/>
              <w:rPr>
                <w:rFonts w:hint="default"/>
                <w:b w:val="0"/>
                <w:color w:val="auto"/>
              </w:rPr>
            </w:pPr>
          </w:p>
        </w:tc>
        <w:tc>
          <w:tcPr>
            <w:tcW w:w="552" w:type="pct"/>
            <w:vMerge w:val="continue"/>
            <w:textDirection w:val="tbRlV"/>
            <w:vAlign w:val="center"/>
          </w:tcPr>
          <w:p w14:paraId="2CEB900F">
            <w:pPr>
              <w:pStyle w:val="130"/>
              <w:keepNext/>
              <w:keepLines w:val="0"/>
              <w:suppressLineNumbers w:val="0"/>
              <w:wordWrap w:val="0"/>
              <w:adjustRightInd w:val="0"/>
              <w:snapToGrid w:val="0"/>
              <w:spacing w:before="0" w:beforeAutospacing="0" w:after="0" w:afterAutospacing="0"/>
              <w:ind w:left="0" w:right="0" w:firstLine="482"/>
              <w:rPr>
                <w:rFonts w:hint="default"/>
                <w:b w:val="0"/>
                <w:color w:val="auto"/>
              </w:rPr>
            </w:pPr>
          </w:p>
        </w:tc>
      </w:tr>
      <w:tr w14:paraId="43A672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3" w:type="pct"/>
            <w:vAlign w:val="center"/>
          </w:tcPr>
          <w:p w14:paraId="467AC80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p>
        </w:tc>
        <w:tc>
          <w:tcPr>
            <w:tcW w:w="376" w:type="pct"/>
            <w:vAlign w:val="center"/>
          </w:tcPr>
          <w:p w14:paraId="6F57E36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甲基叔丁基醚（MTBE）</w:t>
            </w:r>
          </w:p>
        </w:tc>
        <w:tc>
          <w:tcPr>
            <w:tcW w:w="295" w:type="pct"/>
            <w:vAlign w:val="center"/>
          </w:tcPr>
          <w:p w14:paraId="19BB7E66">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eastAsia"/>
                <w:b w:val="0"/>
                <w:color w:val="auto"/>
              </w:rPr>
              <w:t>2398</w:t>
            </w:r>
          </w:p>
        </w:tc>
        <w:tc>
          <w:tcPr>
            <w:tcW w:w="341" w:type="pct"/>
            <w:vAlign w:val="center"/>
          </w:tcPr>
          <w:p w14:paraId="48ECC75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1634-04-4</w:t>
            </w:r>
          </w:p>
        </w:tc>
        <w:tc>
          <w:tcPr>
            <w:tcW w:w="438" w:type="pct"/>
            <w:vAlign w:val="center"/>
          </w:tcPr>
          <w:p w14:paraId="3EA7A4CD">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易燃液体，类别2；皮肤腐蚀/刺激，类别2</w:t>
            </w:r>
            <w:r>
              <w:rPr>
                <w:rFonts w:hint="eastAsia"/>
                <w:b w:val="0"/>
                <w:color w:val="auto"/>
              </w:rPr>
              <w:t>；吸入危害</w:t>
            </w:r>
            <w:r>
              <w:rPr>
                <w:rFonts w:hint="default"/>
                <w:b w:val="0"/>
                <w:color w:val="auto"/>
              </w:rPr>
              <w:t>，类别</w:t>
            </w:r>
            <w:r>
              <w:rPr>
                <w:rFonts w:hint="eastAsia"/>
                <w:b w:val="0"/>
                <w:color w:val="auto"/>
              </w:rPr>
              <w:t>1</w:t>
            </w:r>
          </w:p>
        </w:tc>
        <w:tc>
          <w:tcPr>
            <w:tcW w:w="281" w:type="pct"/>
            <w:vAlign w:val="center"/>
          </w:tcPr>
          <w:p w14:paraId="406A2AA8">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0.74</w:t>
            </w:r>
          </w:p>
        </w:tc>
        <w:tc>
          <w:tcPr>
            <w:tcW w:w="234" w:type="pct"/>
            <w:vAlign w:val="center"/>
          </w:tcPr>
          <w:p w14:paraId="43F3553C">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-28</w:t>
            </w:r>
          </w:p>
        </w:tc>
        <w:tc>
          <w:tcPr>
            <w:tcW w:w="188" w:type="pct"/>
            <w:vAlign w:val="center"/>
          </w:tcPr>
          <w:p w14:paraId="6919AF58">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eastAsia"/>
                <w:b w:val="0"/>
                <w:color w:val="auto"/>
              </w:rPr>
              <w:t>55.2</w:t>
            </w:r>
          </w:p>
        </w:tc>
        <w:tc>
          <w:tcPr>
            <w:tcW w:w="234" w:type="pct"/>
            <w:vAlign w:val="center"/>
          </w:tcPr>
          <w:p w14:paraId="1968A6ED">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-108.6</w:t>
            </w:r>
          </w:p>
        </w:tc>
        <w:tc>
          <w:tcPr>
            <w:tcW w:w="233" w:type="pct"/>
            <w:vAlign w:val="center"/>
          </w:tcPr>
          <w:p w14:paraId="5ED89169">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w:t>
            </w:r>
          </w:p>
        </w:tc>
        <w:tc>
          <w:tcPr>
            <w:tcW w:w="233" w:type="pct"/>
            <w:vAlign w:val="center"/>
          </w:tcPr>
          <w:p w14:paraId="354F55A4">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15.1</w:t>
            </w:r>
          </w:p>
        </w:tc>
        <w:tc>
          <w:tcPr>
            <w:tcW w:w="236" w:type="pct"/>
            <w:vAlign w:val="center"/>
          </w:tcPr>
          <w:p w14:paraId="3F954F04">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1.6</w:t>
            </w:r>
          </w:p>
        </w:tc>
        <w:tc>
          <w:tcPr>
            <w:tcW w:w="250" w:type="pct"/>
            <w:vAlign w:val="center"/>
          </w:tcPr>
          <w:p w14:paraId="5E052F82">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甲B</w:t>
            </w:r>
          </w:p>
        </w:tc>
        <w:tc>
          <w:tcPr>
            <w:tcW w:w="508" w:type="pct"/>
            <w:vAlign w:val="center"/>
          </w:tcPr>
          <w:p w14:paraId="07FC6D04">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eastAsia"/>
                <w:b w:val="0"/>
                <w:color w:val="auto"/>
              </w:rPr>
              <w:t>低毒</w:t>
            </w:r>
            <w:r>
              <w:rPr>
                <w:rFonts w:hint="default"/>
                <w:b w:val="0"/>
                <w:color w:val="auto"/>
              </w:rPr>
              <w:t>，</w:t>
            </w:r>
            <w:r>
              <w:rPr>
                <w:rFonts w:hint="eastAsia"/>
                <w:b w:val="0"/>
                <w:color w:val="auto"/>
              </w:rPr>
              <w:t>LD</w:t>
            </w:r>
            <w:r>
              <w:rPr>
                <w:rFonts w:hint="default"/>
                <w:b w:val="0"/>
                <w:color w:val="auto"/>
                <w:vertAlign w:val="subscript"/>
              </w:rPr>
              <w:t>50</w:t>
            </w:r>
            <w:r>
              <w:rPr>
                <w:rFonts w:hint="eastAsia"/>
                <w:b w:val="0"/>
                <w:color w:val="auto"/>
              </w:rPr>
              <w:t>(mg/kg)：7400；LC</w:t>
            </w:r>
            <w:r>
              <w:rPr>
                <w:rFonts w:hint="default"/>
                <w:b w:val="0"/>
                <w:color w:val="auto"/>
                <w:vertAlign w:val="subscript"/>
              </w:rPr>
              <w:t>50</w:t>
            </w:r>
            <w:r>
              <w:rPr>
                <w:rFonts w:hint="eastAsia"/>
                <w:b w:val="0"/>
                <w:color w:val="auto"/>
              </w:rPr>
              <w:t>(mg/m</w:t>
            </w:r>
            <w:r>
              <w:rPr>
                <w:rFonts w:hint="eastAsia"/>
                <w:b w:val="0"/>
                <w:color w:val="auto"/>
                <w:vertAlign w:val="superscript"/>
              </w:rPr>
              <w:t>3</w:t>
            </w:r>
            <w:r>
              <w:rPr>
                <w:rFonts w:hint="eastAsia"/>
                <w:b w:val="0"/>
                <w:color w:val="auto"/>
              </w:rPr>
              <w:t>)：41000mg/m</w:t>
            </w:r>
            <w:r>
              <w:rPr>
                <w:rFonts w:hint="eastAsia"/>
                <w:b w:val="0"/>
                <w:color w:val="auto"/>
                <w:vertAlign w:val="superscript"/>
              </w:rPr>
              <w:t>3</w:t>
            </w:r>
            <w:r>
              <w:rPr>
                <w:rFonts w:hint="eastAsia"/>
                <w:b w:val="0"/>
                <w:color w:val="auto"/>
              </w:rPr>
              <w:t>/4H，</w:t>
            </w:r>
          </w:p>
          <w:p w14:paraId="79EEDD4F">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eastAsia"/>
                <w:b w:val="0"/>
                <w:color w:val="auto"/>
              </w:rPr>
              <w:t>23576ppm/4h。</w:t>
            </w:r>
          </w:p>
        </w:tc>
        <w:tc>
          <w:tcPr>
            <w:tcW w:w="231" w:type="pct"/>
            <w:vAlign w:val="center"/>
          </w:tcPr>
          <w:p w14:paraId="5BAD1C01">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不溶于水</w:t>
            </w:r>
          </w:p>
        </w:tc>
        <w:tc>
          <w:tcPr>
            <w:tcW w:w="198" w:type="pct"/>
            <w:vAlign w:val="center"/>
          </w:tcPr>
          <w:p w14:paraId="1B183964">
            <w:pPr>
              <w:keepNext w:val="0"/>
              <w:keepLines w:val="0"/>
              <w:widowControl/>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不</w:t>
            </w:r>
            <w:r>
              <w:rPr>
                <w:rFonts w:hint="default"/>
                <w:color w:val="auto"/>
                <w:sz w:val="21"/>
                <w:szCs w:val="21"/>
              </w:rPr>
              <w:t>易挥发</w:t>
            </w:r>
          </w:p>
        </w:tc>
        <w:tc>
          <w:tcPr>
            <w:tcW w:w="552" w:type="pct"/>
            <w:vAlign w:val="center"/>
          </w:tcPr>
          <w:p w14:paraId="0B5E81CE">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eastAsia"/>
                <w:b w:val="0"/>
                <w:color w:val="auto"/>
              </w:rPr>
              <w:t>高度</w:t>
            </w:r>
            <w:r>
              <w:rPr>
                <w:rFonts w:hint="default"/>
                <w:b w:val="0"/>
                <w:color w:val="auto"/>
              </w:rPr>
              <w:t>易燃，有爆炸风险</w:t>
            </w:r>
          </w:p>
        </w:tc>
      </w:tr>
      <w:tr w14:paraId="4134F5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3" w:type="pct"/>
            <w:vAlign w:val="center"/>
          </w:tcPr>
          <w:p w14:paraId="6381DC4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2</w:t>
            </w:r>
          </w:p>
        </w:tc>
        <w:tc>
          <w:tcPr>
            <w:tcW w:w="376" w:type="pct"/>
            <w:vAlign w:val="center"/>
          </w:tcPr>
          <w:p w14:paraId="07ED621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异辛烷（烷基化油）</w:t>
            </w:r>
          </w:p>
        </w:tc>
        <w:tc>
          <w:tcPr>
            <w:tcW w:w="295" w:type="pct"/>
            <w:vAlign w:val="center"/>
          </w:tcPr>
          <w:p w14:paraId="38D910AE">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eastAsia"/>
                <w:b w:val="0"/>
                <w:color w:val="auto"/>
              </w:rPr>
              <w:t>12</w:t>
            </w:r>
            <w:r>
              <w:rPr>
                <w:rFonts w:hint="default"/>
                <w:b w:val="0"/>
                <w:color w:val="auto"/>
              </w:rPr>
              <w:t>62</w:t>
            </w:r>
          </w:p>
        </w:tc>
        <w:tc>
          <w:tcPr>
            <w:tcW w:w="341" w:type="pct"/>
            <w:vAlign w:val="center"/>
          </w:tcPr>
          <w:p w14:paraId="7A61B48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38" w:type="pct"/>
            <w:vAlign w:val="center"/>
          </w:tcPr>
          <w:p w14:paraId="1156BC24">
            <w:pPr>
              <w:pStyle w:val="130"/>
              <w:keepNext w:val="0"/>
              <w:keepLines w:val="0"/>
              <w:suppressLineNumbers w:val="0"/>
              <w:wordWrap w:val="0"/>
              <w:adjustRightInd w:val="0"/>
              <w:snapToGrid w:val="0"/>
              <w:spacing w:before="0" w:beforeAutospacing="0" w:after="0" w:afterAutospacing="0"/>
              <w:ind w:left="0" w:right="0"/>
              <w:jc w:val="both"/>
              <w:rPr>
                <w:rFonts w:hint="eastAsia" w:eastAsia="宋体"/>
                <w:b w:val="0"/>
                <w:color w:val="auto"/>
                <w:lang w:eastAsia="zh-CN"/>
              </w:rPr>
            </w:pPr>
            <w:r>
              <w:rPr>
                <w:rFonts w:hint="default"/>
                <w:b w:val="0"/>
                <w:color w:val="auto"/>
              </w:rPr>
              <w:t>易燃液体，类别2</w:t>
            </w:r>
            <w:r>
              <w:rPr>
                <w:rFonts w:hint="eastAsia"/>
                <w:b w:val="0"/>
                <w:color w:val="auto"/>
              </w:rPr>
              <w:t>；</w:t>
            </w:r>
            <w:r>
              <w:rPr>
                <w:rFonts w:hint="default"/>
                <w:b w:val="0"/>
                <w:color w:val="auto"/>
              </w:rPr>
              <w:t>皮肤腐蚀/刺激，类别2</w:t>
            </w:r>
          </w:p>
        </w:tc>
        <w:tc>
          <w:tcPr>
            <w:tcW w:w="281" w:type="pct"/>
            <w:vAlign w:val="center"/>
          </w:tcPr>
          <w:p w14:paraId="477C6D8C">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0.69</w:t>
            </w:r>
          </w:p>
        </w:tc>
        <w:tc>
          <w:tcPr>
            <w:tcW w:w="234" w:type="pct"/>
            <w:vAlign w:val="center"/>
          </w:tcPr>
          <w:p w14:paraId="0B835DBE">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4.5</w:t>
            </w:r>
          </w:p>
        </w:tc>
        <w:tc>
          <w:tcPr>
            <w:tcW w:w="188" w:type="pct"/>
            <w:vAlign w:val="center"/>
          </w:tcPr>
          <w:p w14:paraId="49AFF93F">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99.2</w:t>
            </w:r>
          </w:p>
        </w:tc>
        <w:tc>
          <w:tcPr>
            <w:tcW w:w="234" w:type="pct"/>
            <w:vAlign w:val="center"/>
          </w:tcPr>
          <w:p w14:paraId="7EF9BAB4">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eastAsia"/>
                <w:b w:val="0"/>
                <w:color w:val="auto"/>
              </w:rPr>
              <w:t>-</w:t>
            </w:r>
            <w:r>
              <w:rPr>
                <w:rFonts w:hint="default"/>
                <w:b w:val="0"/>
                <w:color w:val="auto"/>
              </w:rPr>
              <w:t>107.4</w:t>
            </w:r>
          </w:p>
        </w:tc>
        <w:tc>
          <w:tcPr>
            <w:tcW w:w="233" w:type="pct"/>
            <w:vAlign w:val="center"/>
          </w:tcPr>
          <w:p w14:paraId="4D7C7CE8">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w:t>
            </w:r>
          </w:p>
        </w:tc>
        <w:tc>
          <w:tcPr>
            <w:tcW w:w="233" w:type="pct"/>
            <w:vAlign w:val="center"/>
          </w:tcPr>
          <w:p w14:paraId="3BD0B150">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6</w:t>
            </w:r>
          </w:p>
        </w:tc>
        <w:tc>
          <w:tcPr>
            <w:tcW w:w="236" w:type="pct"/>
            <w:vAlign w:val="center"/>
          </w:tcPr>
          <w:p w14:paraId="502F2C85">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1.1</w:t>
            </w:r>
          </w:p>
        </w:tc>
        <w:tc>
          <w:tcPr>
            <w:tcW w:w="250" w:type="pct"/>
            <w:vAlign w:val="center"/>
          </w:tcPr>
          <w:p w14:paraId="3CCBB7B8">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eastAsia"/>
                <w:b w:val="0"/>
                <w:color w:val="auto"/>
              </w:rPr>
              <w:t>乙B</w:t>
            </w:r>
          </w:p>
        </w:tc>
        <w:tc>
          <w:tcPr>
            <w:tcW w:w="508" w:type="pct"/>
            <w:vAlign w:val="center"/>
          </w:tcPr>
          <w:p w14:paraId="6E53D9AB">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eastAsia"/>
                <w:b w:val="0"/>
                <w:color w:val="auto"/>
              </w:rPr>
              <w:t>LC</w:t>
            </w:r>
            <w:r>
              <w:rPr>
                <w:rFonts w:hint="eastAsia"/>
                <w:b w:val="0"/>
                <w:color w:val="auto"/>
                <w:vertAlign w:val="subscript"/>
              </w:rPr>
              <w:t>50</w:t>
            </w:r>
            <w:r>
              <w:rPr>
                <w:rFonts w:hint="eastAsia"/>
                <w:b w:val="0"/>
                <w:color w:val="auto"/>
              </w:rPr>
              <w:t>：80mg/m</w:t>
            </w:r>
            <w:r>
              <w:rPr>
                <w:rFonts w:hint="eastAsia"/>
                <w:b w:val="0"/>
                <w:color w:val="auto"/>
                <w:vertAlign w:val="superscript"/>
              </w:rPr>
              <w:t>3</w:t>
            </w:r>
            <w:r>
              <w:rPr>
                <w:rFonts w:hint="eastAsia"/>
                <w:b w:val="0"/>
                <w:color w:val="auto"/>
              </w:rPr>
              <w:t>，</w:t>
            </w:r>
          </w:p>
        </w:tc>
        <w:tc>
          <w:tcPr>
            <w:tcW w:w="231" w:type="pct"/>
            <w:vAlign w:val="center"/>
          </w:tcPr>
          <w:p w14:paraId="21D26E6F">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不溶于水</w:t>
            </w:r>
          </w:p>
        </w:tc>
        <w:tc>
          <w:tcPr>
            <w:tcW w:w="198" w:type="pct"/>
            <w:vAlign w:val="center"/>
          </w:tcPr>
          <w:p w14:paraId="20E34ECD">
            <w:pPr>
              <w:keepNext w:val="0"/>
              <w:keepLines w:val="0"/>
              <w:widowControl/>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不易挥发</w:t>
            </w:r>
          </w:p>
        </w:tc>
        <w:tc>
          <w:tcPr>
            <w:tcW w:w="552" w:type="pct"/>
            <w:vAlign w:val="center"/>
          </w:tcPr>
          <w:p w14:paraId="4B52C3F9">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eastAsia"/>
                <w:b w:val="0"/>
                <w:color w:val="auto"/>
              </w:rPr>
              <w:t>高度易燃</w:t>
            </w:r>
            <w:r>
              <w:rPr>
                <w:rFonts w:hint="default"/>
                <w:b w:val="0"/>
                <w:color w:val="auto"/>
              </w:rPr>
              <w:t>，有爆炸风险</w:t>
            </w:r>
          </w:p>
        </w:tc>
      </w:tr>
      <w:tr w14:paraId="1F132C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3" w:type="pct"/>
            <w:vAlign w:val="center"/>
          </w:tcPr>
          <w:p w14:paraId="27B966B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3</w:t>
            </w:r>
          </w:p>
        </w:tc>
        <w:tc>
          <w:tcPr>
            <w:tcW w:w="376" w:type="pct"/>
            <w:vAlign w:val="center"/>
          </w:tcPr>
          <w:p w14:paraId="0EA652D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石脑油</w:t>
            </w:r>
          </w:p>
        </w:tc>
        <w:tc>
          <w:tcPr>
            <w:tcW w:w="295" w:type="pct"/>
            <w:vAlign w:val="center"/>
          </w:tcPr>
          <w:p w14:paraId="1DC4220D">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1268</w:t>
            </w:r>
          </w:p>
        </w:tc>
        <w:tc>
          <w:tcPr>
            <w:tcW w:w="341" w:type="pct"/>
            <w:vAlign w:val="center"/>
          </w:tcPr>
          <w:p w14:paraId="085B057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8030-30-6</w:t>
            </w:r>
          </w:p>
        </w:tc>
        <w:tc>
          <w:tcPr>
            <w:tcW w:w="438" w:type="pct"/>
            <w:vAlign w:val="center"/>
          </w:tcPr>
          <w:p w14:paraId="26ECAD26">
            <w:pPr>
              <w:pStyle w:val="130"/>
              <w:keepNext w:val="0"/>
              <w:keepLines w:val="0"/>
              <w:suppressLineNumbers w:val="0"/>
              <w:wordWrap w:val="0"/>
              <w:adjustRightInd w:val="0"/>
              <w:snapToGrid w:val="0"/>
              <w:spacing w:before="0" w:beforeAutospacing="0" w:after="0" w:afterAutospacing="0"/>
              <w:ind w:left="0" w:right="0"/>
              <w:jc w:val="both"/>
              <w:rPr>
                <w:rFonts w:hint="default"/>
                <w:b w:val="0"/>
                <w:color w:val="auto"/>
              </w:rPr>
            </w:pPr>
            <w:r>
              <w:rPr>
                <w:rFonts w:hint="default"/>
                <w:b w:val="0"/>
                <w:color w:val="auto"/>
              </w:rPr>
              <w:t>易燃液体，类别2</w:t>
            </w:r>
          </w:p>
        </w:tc>
        <w:tc>
          <w:tcPr>
            <w:tcW w:w="281" w:type="pct"/>
            <w:vAlign w:val="center"/>
          </w:tcPr>
          <w:p w14:paraId="60BB5043">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0.667</w:t>
            </w:r>
          </w:p>
        </w:tc>
        <w:tc>
          <w:tcPr>
            <w:tcW w:w="234" w:type="pct"/>
            <w:vAlign w:val="center"/>
          </w:tcPr>
          <w:p w14:paraId="0D0302CB">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-50~-20</w:t>
            </w:r>
          </w:p>
        </w:tc>
        <w:tc>
          <w:tcPr>
            <w:tcW w:w="188" w:type="pct"/>
            <w:vAlign w:val="center"/>
          </w:tcPr>
          <w:p w14:paraId="478EE12A">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20~160</w:t>
            </w:r>
          </w:p>
        </w:tc>
        <w:tc>
          <w:tcPr>
            <w:tcW w:w="234" w:type="pct"/>
            <w:vAlign w:val="center"/>
          </w:tcPr>
          <w:p w14:paraId="4F60E3AB">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w:t>
            </w:r>
          </w:p>
        </w:tc>
        <w:tc>
          <w:tcPr>
            <w:tcW w:w="233" w:type="pct"/>
            <w:vAlign w:val="center"/>
          </w:tcPr>
          <w:p w14:paraId="530B080A">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w:t>
            </w:r>
          </w:p>
        </w:tc>
        <w:tc>
          <w:tcPr>
            <w:tcW w:w="233" w:type="pct"/>
            <w:vAlign w:val="center"/>
          </w:tcPr>
          <w:p w14:paraId="69403734">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8.7</w:t>
            </w:r>
          </w:p>
        </w:tc>
        <w:tc>
          <w:tcPr>
            <w:tcW w:w="236" w:type="pct"/>
            <w:vAlign w:val="center"/>
          </w:tcPr>
          <w:p w14:paraId="5F92C258">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1.1</w:t>
            </w:r>
          </w:p>
        </w:tc>
        <w:tc>
          <w:tcPr>
            <w:tcW w:w="250" w:type="pct"/>
            <w:vAlign w:val="center"/>
          </w:tcPr>
          <w:p w14:paraId="1C369EDC">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甲B</w:t>
            </w:r>
          </w:p>
        </w:tc>
        <w:tc>
          <w:tcPr>
            <w:tcW w:w="508" w:type="pct"/>
            <w:vAlign w:val="center"/>
          </w:tcPr>
          <w:p w14:paraId="76791F2E">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bookmarkStart w:id="550" w:name="OLE_LINK5"/>
            <w:r>
              <w:rPr>
                <w:rFonts w:hint="eastAsia"/>
                <w:b w:val="0"/>
                <w:color w:val="auto"/>
              </w:rPr>
              <w:t>LD</w:t>
            </w:r>
            <w:r>
              <w:rPr>
                <w:rFonts w:hint="default"/>
                <w:b w:val="0"/>
                <w:color w:val="auto"/>
                <w:vertAlign w:val="subscript"/>
              </w:rPr>
              <w:t>50</w:t>
            </w:r>
            <w:r>
              <w:rPr>
                <w:rFonts w:hint="eastAsia"/>
                <w:b w:val="0"/>
                <w:color w:val="auto"/>
              </w:rPr>
              <w:t>(mg/kg)：</w:t>
            </w:r>
            <w:r>
              <w:rPr>
                <w:rFonts w:hint="default"/>
                <w:b w:val="0"/>
                <w:color w:val="auto"/>
              </w:rPr>
              <w:t>16000</w:t>
            </w:r>
            <w:bookmarkEnd w:id="550"/>
          </w:p>
        </w:tc>
        <w:tc>
          <w:tcPr>
            <w:tcW w:w="231" w:type="pct"/>
            <w:vAlign w:val="center"/>
          </w:tcPr>
          <w:p w14:paraId="1FAE2FEF">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不溶于水</w:t>
            </w:r>
          </w:p>
        </w:tc>
        <w:tc>
          <w:tcPr>
            <w:tcW w:w="198" w:type="pct"/>
            <w:vAlign w:val="center"/>
          </w:tcPr>
          <w:p w14:paraId="78719FFD">
            <w:pPr>
              <w:keepNext w:val="0"/>
              <w:keepLines w:val="0"/>
              <w:widowControl/>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易挥发</w:t>
            </w:r>
          </w:p>
        </w:tc>
        <w:tc>
          <w:tcPr>
            <w:tcW w:w="552" w:type="pct"/>
            <w:vAlign w:val="center"/>
          </w:tcPr>
          <w:p w14:paraId="3A13A7A5">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易燃，有爆炸风险</w:t>
            </w:r>
          </w:p>
        </w:tc>
      </w:tr>
      <w:tr w14:paraId="14B7D0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3" w:type="pct"/>
            <w:vAlign w:val="center"/>
          </w:tcPr>
          <w:p w14:paraId="3DAA6F5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4</w:t>
            </w:r>
          </w:p>
        </w:tc>
        <w:tc>
          <w:tcPr>
            <w:tcW w:w="376" w:type="pct"/>
            <w:vAlign w:val="center"/>
          </w:tcPr>
          <w:p w14:paraId="4E7F3A2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蜡油</w:t>
            </w:r>
          </w:p>
        </w:tc>
        <w:tc>
          <w:tcPr>
            <w:tcW w:w="295" w:type="pct"/>
            <w:vAlign w:val="center"/>
          </w:tcPr>
          <w:p w14:paraId="01E684D9">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default"/>
                <w:b w:val="0"/>
                <w:color w:val="auto"/>
              </w:rPr>
              <w:t>/</w:t>
            </w:r>
          </w:p>
        </w:tc>
        <w:tc>
          <w:tcPr>
            <w:tcW w:w="341" w:type="pct"/>
            <w:vAlign w:val="center"/>
          </w:tcPr>
          <w:p w14:paraId="03831F6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438" w:type="pct"/>
            <w:vAlign w:val="center"/>
          </w:tcPr>
          <w:p w14:paraId="58593A9E">
            <w:pPr>
              <w:pStyle w:val="130"/>
              <w:keepNext w:val="0"/>
              <w:keepLines w:val="0"/>
              <w:suppressLineNumbers w:val="0"/>
              <w:wordWrap w:val="0"/>
              <w:adjustRightInd w:val="0"/>
              <w:snapToGrid w:val="0"/>
              <w:spacing w:before="0" w:beforeAutospacing="0" w:after="0" w:afterAutospacing="0"/>
              <w:ind w:left="0" w:right="0"/>
              <w:jc w:val="both"/>
              <w:rPr>
                <w:rFonts w:hint="default"/>
                <w:b w:val="0"/>
                <w:color w:val="auto"/>
              </w:rPr>
            </w:pPr>
            <w:r>
              <w:rPr>
                <w:rFonts w:hint="eastAsia"/>
                <w:b w:val="0"/>
                <w:color w:val="auto"/>
              </w:rPr>
              <w:t>吸入危害</w:t>
            </w:r>
            <w:r>
              <w:rPr>
                <w:rFonts w:hint="default"/>
                <w:b w:val="0"/>
                <w:color w:val="auto"/>
              </w:rPr>
              <w:t>，类别1；</w:t>
            </w:r>
          </w:p>
        </w:tc>
        <w:tc>
          <w:tcPr>
            <w:tcW w:w="281" w:type="pct"/>
            <w:vAlign w:val="center"/>
          </w:tcPr>
          <w:p w14:paraId="722A9BB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0.93</w:t>
            </w:r>
          </w:p>
        </w:tc>
        <w:tc>
          <w:tcPr>
            <w:tcW w:w="234" w:type="pct"/>
            <w:vAlign w:val="center"/>
          </w:tcPr>
          <w:p w14:paraId="67A40A8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＞150</w:t>
            </w:r>
          </w:p>
        </w:tc>
        <w:tc>
          <w:tcPr>
            <w:tcW w:w="188" w:type="pct"/>
            <w:vAlign w:val="center"/>
          </w:tcPr>
          <w:p w14:paraId="1B35AC0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r>
              <w:rPr>
                <w:rFonts w:hint="default"/>
                <w:color w:val="auto"/>
                <w:sz w:val="21"/>
                <w:szCs w:val="21"/>
              </w:rPr>
              <w:t>105</w:t>
            </w:r>
          </w:p>
        </w:tc>
        <w:tc>
          <w:tcPr>
            <w:tcW w:w="234" w:type="pct"/>
            <w:vAlign w:val="center"/>
          </w:tcPr>
          <w:p w14:paraId="7516269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-24</w:t>
            </w:r>
          </w:p>
        </w:tc>
        <w:tc>
          <w:tcPr>
            <w:tcW w:w="233" w:type="pct"/>
            <w:vAlign w:val="center"/>
          </w:tcPr>
          <w:p w14:paraId="6DD4689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233" w:type="pct"/>
            <w:vAlign w:val="center"/>
          </w:tcPr>
          <w:p w14:paraId="08BC758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236" w:type="pct"/>
            <w:vAlign w:val="center"/>
          </w:tcPr>
          <w:p w14:paraId="40F61A8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250" w:type="pct"/>
            <w:vAlign w:val="center"/>
          </w:tcPr>
          <w:p w14:paraId="3C63ABD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丙</w:t>
            </w:r>
          </w:p>
        </w:tc>
        <w:tc>
          <w:tcPr>
            <w:tcW w:w="508" w:type="pct"/>
            <w:vAlign w:val="center"/>
          </w:tcPr>
          <w:p w14:paraId="56C537CB">
            <w:pPr>
              <w:keepNext w:val="0"/>
              <w:keepLines w:val="0"/>
              <w:suppressLineNumbers w:val="0"/>
              <w:adjustRightInd w:val="0"/>
              <w:snapToGrid w:val="0"/>
              <w:spacing w:before="0" w:beforeAutospacing="0" w:after="0" w:afterAutospacing="0" w:line="240" w:lineRule="auto"/>
              <w:ind w:left="0" w:right="0" w:firstLine="0" w:firstLineChars="0"/>
              <w:rPr>
                <w:rFonts w:hint="default"/>
                <w:color w:val="auto"/>
                <w:sz w:val="21"/>
                <w:szCs w:val="21"/>
              </w:rPr>
            </w:pPr>
            <w:r>
              <w:rPr>
                <w:rFonts w:hint="eastAsia"/>
                <w:color w:val="auto"/>
                <w:sz w:val="21"/>
                <w:szCs w:val="21"/>
              </w:rPr>
              <w:t>LD</w:t>
            </w:r>
            <w:r>
              <w:rPr>
                <w:rFonts w:hint="eastAsia"/>
                <w:color w:val="auto"/>
                <w:sz w:val="21"/>
                <w:szCs w:val="21"/>
                <w:vertAlign w:val="subscript"/>
              </w:rPr>
              <w:t>50</w:t>
            </w:r>
            <w:r>
              <w:rPr>
                <w:rFonts w:hint="eastAsia"/>
                <w:color w:val="auto"/>
                <w:sz w:val="21"/>
                <w:szCs w:val="21"/>
              </w:rPr>
              <w:t>：大鼠经口</w:t>
            </w:r>
            <w:r>
              <w:rPr>
                <w:rFonts w:hint="default"/>
                <w:color w:val="auto"/>
                <w:sz w:val="21"/>
                <w:szCs w:val="21"/>
              </w:rPr>
              <w:t>4</w:t>
            </w:r>
            <w:r>
              <w:rPr>
                <w:rFonts w:hint="eastAsia"/>
                <w:color w:val="auto"/>
                <w:sz w:val="21"/>
                <w:szCs w:val="21"/>
              </w:rPr>
              <w:t>000mg/kg；</w:t>
            </w:r>
          </w:p>
          <w:p w14:paraId="66FA3FE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L</w:t>
            </w:r>
            <w:r>
              <w:rPr>
                <w:rFonts w:hint="default"/>
                <w:color w:val="auto"/>
                <w:sz w:val="21"/>
                <w:szCs w:val="21"/>
              </w:rPr>
              <w:t>C</w:t>
            </w:r>
            <w:r>
              <w:rPr>
                <w:rFonts w:hint="eastAsia"/>
                <w:color w:val="auto"/>
                <w:sz w:val="21"/>
                <w:szCs w:val="21"/>
                <w:vertAlign w:val="subscript"/>
              </w:rPr>
              <w:t>50</w:t>
            </w:r>
            <w:r>
              <w:rPr>
                <w:rFonts w:hint="eastAsia"/>
                <w:color w:val="auto"/>
                <w:sz w:val="21"/>
                <w:szCs w:val="21"/>
              </w:rPr>
              <w:t>：9400mg/</w:t>
            </w:r>
            <w:r>
              <w:rPr>
                <w:rFonts w:hint="default"/>
                <w:color w:val="auto"/>
                <w:sz w:val="21"/>
                <w:szCs w:val="21"/>
              </w:rPr>
              <w:t>m</w:t>
            </w:r>
            <w:r>
              <w:rPr>
                <w:rFonts w:hint="default"/>
                <w:color w:val="auto"/>
                <w:sz w:val="21"/>
                <w:szCs w:val="21"/>
                <w:vertAlign w:val="superscript"/>
              </w:rPr>
              <w:t>3</w:t>
            </w:r>
            <w:r>
              <w:rPr>
                <w:rFonts w:hint="default"/>
                <w:color w:val="auto"/>
                <w:sz w:val="21"/>
                <w:szCs w:val="21"/>
              </w:rPr>
              <w:t>/</w:t>
            </w:r>
            <w:r>
              <w:rPr>
                <w:rFonts w:hint="eastAsia"/>
                <w:color w:val="auto"/>
                <w:sz w:val="21"/>
                <w:szCs w:val="21"/>
              </w:rPr>
              <w:t>小鼠</w:t>
            </w:r>
            <w:r>
              <w:rPr>
                <w:rFonts w:hint="default"/>
                <w:color w:val="auto"/>
                <w:sz w:val="21"/>
                <w:szCs w:val="21"/>
              </w:rPr>
              <w:t>吸入2h</w:t>
            </w:r>
          </w:p>
        </w:tc>
        <w:tc>
          <w:tcPr>
            <w:tcW w:w="231" w:type="pct"/>
            <w:vAlign w:val="center"/>
          </w:tcPr>
          <w:p w14:paraId="2972AD5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微</w:t>
            </w:r>
            <w:r>
              <w:rPr>
                <w:rFonts w:hint="default"/>
                <w:color w:val="auto"/>
                <w:sz w:val="21"/>
                <w:szCs w:val="21"/>
              </w:rPr>
              <w:t>溶于水</w:t>
            </w:r>
          </w:p>
        </w:tc>
        <w:tc>
          <w:tcPr>
            <w:tcW w:w="198" w:type="pct"/>
            <w:vAlign w:val="center"/>
          </w:tcPr>
          <w:p w14:paraId="2F7047A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不</w:t>
            </w:r>
            <w:r>
              <w:rPr>
                <w:rFonts w:hint="eastAsia"/>
                <w:color w:val="auto"/>
                <w:sz w:val="21"/>
                <w:szCs w:val="21"/>
              </w:rPr>
              <w:t>易</w:t>
            </w:r>
            <w:r>
              <w:rPr>
                <w:rFonts w:hint="default"/>
                <w:color w:val="auto"/>
                <w:sz w:val="21"/>
                <w:szCs w:val="21"/>
              </w:rPr>
              <w:t>挥发</w:t>
            </w:r>
          </w:p>
        </w:tc>
        <w:tc>
          <w:tcPr>
            <w:tcW w:w="552" w:type="pct"/>
            <w:vAlign w:val="center"/>
          </w:tcPr>
          <w:p w14:paraId="0178DCB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可燃</w:t>
            </w:r>
          </w:p>
        </w:tc>
      </w:tr>
      <w:tr w14:paraId="18F1E9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3" w:type="pct"/>
            <w:vAlign w:val="center"/>
          </w:tcPr>
          <w:p w14:paraId="6AD38DB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5</w:t>
            </w:r>
          </w:p>
        </w:tc>
        <w:tc>
          <w:tcPr>
            <w:tcW w:w="376" w:type="pct"/>
            <w:vAlign w:val="center"/>
          </w:tcPr>
          <w:p w14:paraId="50F0810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渣油</w:t>
            </w:r>
          </w:p>
        </w:tc>
        <w:tc>
          <w:tcPr>
            <w:tcW w:w="295" w:type="pct"/>
            <w:vAlign w:val="center"/>
          </w:tcPr>
          <w:p w14:paraId="3591EB97">
            <w:pPr>
              <w:pStyle w:val="130"/>
              <w:keepNext w:val="0"/>
              <w:keepLines w:val="0"/>
              <w:suppressLineNumbers w:val="0"/>
              <w:wordWrap w:val="0"/>
              <w:adjustRightInd w:val="0"/>
              <w:snapToGrid w:val="0"/>
              <w:spacing w:before="0" w:beforeAutospacing="0" w:after="0" w:afterAutospacing="0"/>
              <w:ind w:left="0" w:right="0"/>
              <w:rPr>
                <w:rFonts w:hint="default"/>
                <w:b w:val="0"/>
                <w:color w:val="auto"/>
              </w:rPr>
            </w:pPr>
            <w:r>
              <w:rPr>
                <w:rFonts w:hint="eastAsia"/>
                <w:b w:val="0"/>
                <w:color w:val="auto"/>
              </w:rPr>
              <w:t>/</w:t>
            </w:r>
          </w:p>
        </w:tc>
        <w:tc>
          <w:tcPr>
            <w:tcW w:w="341" w:type="pct"/>
            <w:vAlign w:val="center"/>
          </w:tcPr>
          <w:p w14:paraId="3A07CCB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438" w:type="pct"/>
            <w:vAlign w:val="center"/>
          </w:tcPr>
          <w:p w14:paraId="584609B5">
            <w:pPr>
              <w:pStyle w:val="130"/>
              <w:keepNext w:val="0"/>
              <w:keepLines w:val="0"/>
              <w:suppressLineNumbers w:val="0"/>
              <w:wordWrap w:val="0"/>
              <w:adjustRightInd w:val="0"/>
              <w:snapToGrid w:val="0"/>
              <w:spacing w:before="0" w:beforeAutospacing="0" w:after="0" w:afterAutospacing="0"/>
              <w:ind w:left="0" w:right="0"/>
              <w:jc w:val="both"/>
              <w:rPr>
                <w:rFonts w:hint="default"/>
                <w:b w:val="0"/>
                <w:color w:val="auto"/>
              </w:rPr>
            </w:pPr>
            <w:r>
              <w:rPr>
                <w:rFonts w:hint="eastAsia"/>
                <w:b w:val="0"/>
                <w:color w:val="auto"/>
              </w:rPr>
              <w:t>/</w:t>
            </w:r>
          </w:p>
        </w:tc>
        <w:tc>
          <w:tcPr>
            <w:tcW w:w="281" w:type="pct"/>
            <w:vAlign w:val="center"/>
          </w:tcPr>
          <w:p w14:paraId="11EF548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0.94</w:t>
            </w:r>
          </w:p>
        </w:tc>
        <w:tc>
          <w:tcPr>
            <w:tcW w:w="234" w:type="pct"/>
            <w:vAlign w:val="center"/>
          </w:tcPr>
          <w:p w14:paraId="258B590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＞150</w:t>
            </w:r>
          </w:p>
        </w:tc>
        <w:tc>
          <w:tcPr>
            <w:tcW w:w="188" w:type="pct"/>
            <w:vAlign w:val="center"/>
          </w:tcPr>
          <w:p w14:paraId="6DE21C2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可变</w:t>
            </w:r>
          </w:p>
        </w:tc>
        <w:tc>
          <w:tcPr>
            <w:tcW w:w="234" w:type="pct"/>
            <w:vAlign w:val="center"/>
          </w:tcPr>
          <w:p w14:paraId="165FFFF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可变</w:t>
            </w:r>
          </w:p>
        </w:tc>
        <w:tc>
          <w:tcPr>
            <w:tcW w:w="233" w:type="pct"/>
            <w:vAlign w:val="center"/>
          </w:tcPr>
          <w:p w14:paraId="7BEC0FF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233" w:type="pct"/>
            <w:vAlign w:val="center"/>
          </w:tcPr>
          <w:p w14:paraId="2A2DFB2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236" w:type="pct"/>
            <w:vAlign w:val="center"/>
          </w:tcPr>
          <w:p w14:paraId="4109FC3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250" w:type="pct"/>
            <w:vAlign w:val="center"/>
          </w:tcPr>
          <w:p w14:paraId="371E728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丙</w:t>
            </w:r>
          </w:p>
        </w:tc>
        <w:tc>
          <w:tcPr>
            <w:tcW w:w="508" w:type="pct"/>
            <w:vAlign w:val="center"/>
          </w:tcPr>
          <w:p w14:paraId="261D3C2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LD</w:t>
            </w:r>
            <w:r>
              <w:rPr>
                <w:rFonts w:hint="default"/>
                <w:b/>
                <w:color w:val="auto"/>
                <w:sz w:val="21"/>
                <w:szCs w:val="21"/>
                <w:vertAlign w:val="subscript"/>
              </w:rPr>
              <w:t>50</w:t>
            </w:r>
            <w:r>
              <w:rPr>
                <w:rFonts w:hint="eastAsia"/>
                <w:color w:val="auto"/>
                <w:sz w:val="21"/>
                <w:szCs w:val="21"/>
              </w:rPr>
              <w:t>(mg/kg)</w:t>
            </w:r>
            <w:r>
              <w:rPr>
                <w:rFonts w:hint="eastAsia"/>
                <w:b/>
                <w:color w:val="auto"/>
                <w:sz w:val="21"/>
                <w:szCs w:val="21"/>
              </w:rPr>
              <w:t>：＞</w:t>
            </w:r>
            <w:r>
              <w:rPr>
                <w:rFonts w:hint="default"/>
                <w:b/>
                <w:color w:val="auto"/>
                <w:sz w:val="21"/>
                <w:szCs w:val="21"/>
              </w:rPr>
              <w:t>2000</w:t>
            </w:r>
          </w:p>
        </w:tc>
        <w:tc>
          <w:tcPr>
            <w:tcW w:w="231" w:type="pct"/>
            <w:vAlign w:val="center"/>
          </w:tcPr>
          <w:p w14:paraId="4A996F1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不溶于水</w:t>
            </w:r>
          </w:p>
        </w:tc>
        <w:tc>
          <w:tcPr>
            <w:tcW w:w="198" w:type="pct"/>
            <w:vAlign w:val="center"/>
          </w:tcPr>
          <w:p w14:paraId="7B47DE2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不易挥发</w:t>
            </w:r>
          </w:p>
        </w:tc>
        <w:tc>
          <w:tcPr>
            <w:tcW w:w="552" w:type="pct"/>
            <w:vAlign w:val="center"/>
          </w:tcPr>
          <w:p w14:paraId="0F21A63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可燃，高热</w:t>
            </w:r>
            <w:r>
              <w:rPr>
                <w:rFonts w:hint="default"/>
                <w:color w:val="auto"/>
                <w:sz w:val="21"/>
                <w:szCs w:val="21"/>
              </w:rPr>
              <w:t>分解，放出腐蚀性、刺激性的烟雾</w:t>
            </w:r>
          </w:p>
        </w:tc>
      </w:tr>
    </w:tbl>
    <w:p w14:paraId="53B4308D">
      <w:pPr>
        <w:pStyle w:val="81"/>
        <w:rPr>
          <w:color w:val="auto"/>
        </w:rPr>
      </w:pPr>
      <w:r>
        <w:rPr>
          <w:color w:val="auto"/>
        </w:rPr>
        <w:t>船舶燃料油可分为重柴油、轻质油、中质油和重质油，国际航线大型船舶所携带的燃料油以后两者为主。其理化性质见表5.3-5。</w:t>
      </w:r>
    </w:p>
    <w:p w14:paraId="42B7716E">
      <w:pPr>
        <w:pStyle w:val="14"/>
        <w:rPr>
          <w:color w:val="auto"/>
        </w:rPr>
      </w:pPr>
      <w:r>
        <w:rPr>
          <w:rFonts w:hint="eastAsia"/>
          <w:color w:val="auto"/>
        </w:rPr>
        <w:t>表</w:t>
      </w:r>
      <w:r>
        <w:rPr>
          <w:color w:val="auto"/>
        </w:rPr>
        <w:t>5.3</w:t>
      </w:r>
      <w:r>
        <w:rPr>
          <w:color w:val="auto"/>
        </w:rPr>
        <w:noBreakHyphen/>
      </w:r>
      <w:r>
        <w:rPr>
          <w:color w:val="auto"/>
        </w:rPr>
        <w:t>5本项目涉及船舶燃油理化性质表</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994"/>
        <w:gridCol w:w="6282"/>
      </w:tblGrid>
      <w:tr w14:paraId="05ED74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7" w:hRule="atLeast"/>
          <w:jc w:val="center"/>
        </w:trPr>
        <w:tc>
          <w:tcPr>
            <w:tcW w:w="1994" w:type="dxa"/>
            <w:vMerge w:val="restart"/>
            <w:vAlign w:val="center"/>
          </w:tcPr>
          <w:p w14:paraId="12876B7F">
            <w:pPr>
              <w:pStyle w:val="77"/>
              <w:keepNext w:val="0"/>
              <w:keepLines w:val="0"/>
              <w:suppressLineNumbers w:val="0"/>
              <w:spacing w:before="0" w:beforeAutospacing="0" w:after="0" w:afterAutospacing="0"/>
              <w:ind w:left="0" w:right="0"/>
              <w:rPr>
                <w:rFonts w:hint="default" w:eastAsiaTheme="minorEastAsia"/>
                <w:b/>
                <w:bCs/>
                <w:color w:val="auto"/>
                <w:lang w:eastAsia="en-US"/>
              </w:rPr>
            </w:pPr>
            <w:r>
              <w:rPr>
                <w:rFonts w:hint="default" w:eastAsiaTheme="minorEastAsia"/>
                <w:b/>
                <w:bCs/>
                <w:color w:val="auto"/>
                <w:lang w:eastAsia="en-US"/>
              </w:rPr>
              <w:t>油品</w:t>
            </w:r>
          </w:p>
        </w:tc>
        <w:tc>
          <w:tcPr>
            <w:tcW w:w="6282" w:type="dxa"/>
            <w:vAlign w:val="center"/>
          </w:tcPr>
          <w:p w14:paraId="70339524">
            <w:pPr>
              <w:pStyle w:val="77"/>
              <w:keepNext w:val="0"/>
              <w:keepLines w:val="0"/>
              <w:suppressLineNumbers w:val="0"/>
              <w:spacing w:before="0" w:beforeAutospacing="0" w:after="0" w:afterAutospacing="0"/>
              <w:ind w:left="0" w:right="0"/>
              <w:rPr>
                <w:rFonts w:hint="default" w:eastAsiaTheme="minorEastAsia"/>
                <w:b/>
                <w:bCs/>
                <w:color w:val="auto"/>
                <w:lang w:eastAsia="en-US"/>
              </w:rPr>
            </w:pPr>
            <w:r>
              <w:rPr>
                <w:rFonts w:hint="default" w:eastAsiaTheme="minorEastAsia"/>
                <w:b/>
                <w:bCs/>
                <w:color w:val="auto"/>
                <w:lang w:eastAsia="en-US"/>
              </w:rPr>
              <w:t>燃料油</w:t>
            </w:r>
          </w:p>
        </w:tc>
      </w:tr>
      <w:tr w14:paraId="6233B3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1994" w:type="dxa"/>
            <w:vMerge w:val="continue"/>
            <w:vAlign w:val="center"/>
          </w:tcPr>
          <w:p w14:paraId="018DA934">
            <w:pPr>
              <w:pStyle w:val="77"/>
              <w:keepNext w:val="0"/>
              <w:keepLines w:val="0"/>
              <w:suppressLineNumbers w:val="0"/>
              <w:spacing w:before="0" w:beforeAutospacing="0" w:after="0" w:afterAutospacing="0"/>
              <w:ind w:left="0" w:right="0"/>
              <w:rPr>
                <w:rFonts w:hint="default" w:eastAsiaTheme="minorEastAsia"/>
                <w:b/>
                <w:bCs/>
                <w:color w:val="auto"/>
                <w:lang w:eastAsia="en-US"/>
              </w:rPr>
            </w:pPr>
          </w:p>
        </w:tc>
        <w:tc>
          <w:tcPr>
            <w:tcW w:w="6282" w:type="dxa"/>
            <w:vAlign w:val="center"/>
          </w:tcPr>
          <w:p w14:paraId="32A0E9BD">
            <w:pPr>
              <w:pStyle w:val="77"/>
              <w:keepNext w:val="0"/>
              <w:keepLines w:val="0"/>
              <w:suppressLineNumbers w:val="0"/>
              <w:spacing w:before="0" w:beforeAutospacing="0" w:after="0" w:afterAutospacing="0"/>
              <w:ind w:left="0" w:right="0"/>
              <w:rPr>
                <w:rFonts w:hint="default" w:eastAsiaTheme="minorEastAsia"/>
                <w:b/>
                <w:bCs/>
                <w:color w:val="auto"/>
                <w:lang w:eastAsia="en-US"/>
              </w:rPr>
            </w:pPr>
            <w:r>
              <w:rPr>
                <w:rFonts w:hint="default" w:eastAsiaTheme="minorEastAsia"/>
                <w:b/>
                <w:bCs/>
                <w:color w:val="auto"/>
                <w:lang w:eastAsia="en-US"/>
              </w:rPr>
              <w:t>中质油IFO180</w:t>
            </w:r>
          </w:p>
        </w:tc>
      </w:tr>
      <w:tr w14:paraId="6E8751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1994" w:type="dxa"/>
            <w:vAlign w:val="center"/>
          </w:tcPr>
          <w:p w14:paraId="7486ABE2">
            <w:pPr>
              <w:pStyle w:val="77"/>
              <w:keepNext w:val="0"/>
              <w:keepLines w:val="0"/>
              <w:suppressLineNumbers w:val="0"/>
              <w:spacing w:before="0" w:beforeAutospacing="0" w:after="0" w:afterAutospacing="0"/>
              <w:ind w:left="0" w:right="0"/>
              <w:rPr>
                <w:rFonts w:hint="default" w:eastAsiaTheme="minorEastAsia"/>
                <w:color w:val="auto"/>
                <w:lang w:eastAsia="en-US"/>
              </w:rPr>
            </w:pPr>
            <w:r>
              <w:rPr>
                <w:rFonts w:hint="default" w:eastAsiaTheme="minorEastAsia"/>
                <w:color w:val="auto"/>
                <w:lang w:eastAsia="en-US"/>
              </w:rPr>
              <w:t>比重(g/cm³，10ºC)</w:t>
            </w:r>
          </w:p>
        </w:tc>
        <w:tc>
          <w:tcPr>
            <w:tcW w:w="6282" w:type="dxa"/>
            <w:vAlign w:val="center"/>
          </w:tcPr>
          <w:p w14:paraId="6D7CF9C8">
            <w:pPr>
              <w:pStyle w:val="77"/>
              <w:keepNext w:val="0"/>
              <w:keepLines w:val="0"/>
              <w:suppressLineNumbers w:val="0"/>
              <w:spacing w:before="0" w:beforeAutospacing="0" w:after="0" w:afterAutospacing="0"/>
              <w:ind w:left="0" w:right="0"/>
              <w:rPr>
                <w:rFonts w:hint="default" w:eastAsiaTheme="minorEastAsia"/>
                <w:color w:val="auto"/>
                <w:lang w:eastAsia="en-US"/>
              </w:rPr>
            </w:pPr>
            <w:r>
              <w:rPr>
                <w:rFonts w:hint="default" w:eastAsiaTheme="minorEastAsia"/>
                <w:color w:val="auto"/>
                <w:lang w:eastAsia="en-US"/>
              </w:rPr>
              <w:t>0.96</w:t>
            </w:r>
          </w:p>
        </w:tc>
      </w:tr>
      <w:tr w14:paraId="24CB3C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2" w:hRule="atLeast"/>
          <w:jc w:val="center"/>
        </w:trPr>
        <w:tc>
          <w:tcPr>
            <w:tcW w:w="1994" w:type="dxa"/>
            <w:vAlign w:val="center"/>
          </w:tcPr>
          <w:p w14:paraId="583E9454">
            <w:pPr>
              <w:pStyle w:val="77"/>
              <w:keepNext w:val="0"/>
              <w:keepLines w:val="0"/>
              <w:suppressLineNumbers w:val="0"/>
              <w:spacing w:before="0" w:beforeAutospacing="0" w:after="0" w:afterAutospacing="0"/>
              <w:ind w:left="0" w:right="0"/>
              <w:rPr>
                <w:rFonts w:hint="default" w:eastAsiaTheme="minorEastAsia"/>
                <w:color w:val="auto"/>
                <w:lang w:eastAsia="en-US"/>
              </w:rPr>
            </w:pPr>
            <w:r>
              <w:rPr>
                <w:rFonts w:hint="default" w:eastAsiaTheme="minorEastAsia"/>
                <w:color w:val="auto"/>
                <w:lang w:eastAsia="en-US"/>
              </w:rPr>
              <w:t>运动粘度</w:t>
            </w:r>
          </w:p>
        </w:tc>
        <w:tc>
          <w:tcPr>
            <w:tcW w:w="6282" w:type="dxa"/>
            <w:vAlign w:val="center"/>
          </w:tcPr>
          <w:p w14:paraId="73CD4489">
            <w:pPr>
              <w:pStyle w:val="77"/>
              <w:keepNext w:val="0"/>
              <w:keepLines w:val="0"/>
              <w:suppressLineNumbers w:val="0"/>
              <w:spacing w:before="0" w:beforeAutospacing="0" w:after="0" w:afterAutospacing="0"/>
              <w:ind w:left="0" w:right="0"/>
              <w:rPr>
                <w:rFonts w:hint="default" w:eastAsiaTheme="minorEastAsia"/>
                <w:color w:val="auto"/>
                <w:lang w:eastAsia="en-US"/>
              </w:rPr>
            </w:pPr>
            <w:r>
              <w:rPr>
                <w:rFonts w:hint="default" w:eastAsiaTheme="minorEastAsia"/>
                <w:color w:val="auto"/>
                <w:lang w:eastAsia="en-US"/>
              </w:rPr>
              <w:t>180.0</w:t>
            </w:r>
          </w:p>
        </w:tc>
      </w:tr>
      <w:tr w14:paraId="700F35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5" w:hRule="atLeast"/>
          <w:jc w:val="center"/>
        </w:trPr>
        <w:tc>
          <w:tcPr>
            <w:tcW w:w="1994" w:type="dxa"/>
            <w:vAlign w:val="center"/>
          </w:tcPr>
          <w:p w14:paraId="23E82FDC">
            <w:pPr>
              <w:pStyle w:val="77"/>
              <w:keepNext w:val="0"/>
              <w:keepLines w:val="0"/>
              <w:suppressLineNumbers w:val="0"/>
              <w:spacing w:before="0" w:beforeAutospacing="0" w:after="0" w:afterAutospacing="0"/>
              <w:ind w:left="0" w:right="0"/>
              <w:rPr>
                <w:rFonts w:hint="default" w:eastAsiaTheme="minorEastAsia"/>
                <w:color w:val="auto"/>
                <w:lang w:eastAsia="en-US"/>
              </w:rPr>
            </w:pPr>
            <w:r>
              <w:rPr>
                <w:rFonts w:hint="default" w:eastAsiaTheme="minorEastAsia"/>
                <w:color w:val="auto"/>
                <w:lang w:eastAsia="en-US"/>
              </w:rPr>
              <w:t>(cSt)</w:t>
            </w:r>
          </w:p>
        </w:tc>
        <w:tc>
          <w:tcPr>
            <w:tcW w:w="6282" w:type="dxa"/>
            <w:vAlign w:val="center"/>
          </w:tcPr>
          <w:p w14:paraId="1D80C4EB">
            <w:pPr>
              <w:pStyle w:val="77"/>
              <w:keepNext w:val="0"/>
              <w:keepLines w:val="0"/>
              <w:suppressLineNumbers w:val="0"/>
              <w:spacing w:before="0" w:beforeAutospacing="0" w:after="0" w:afterAutospacing="0"/>
              <w:ind w:left="0" w:right="0"/>
              <w:rPr>
                <w:rFonts w:hint="default" w:eastAsiaTheme="minorEastAsia"/>
                <w:color w:val="auto"/>
                <w:lang w:eastAsia="en-US"/>
              </w:rPr>
            </w:pPr>
            <w:r>
              <w:rPr>
                <w:rFonts w:hint="default" w:eastAsiaTheme="minorEastAsia"/>
                <w:color w:val="auto"/>
                <w:lang w:eastAsia="en-US"/>
              </w:rPr>
              <w:t>(50ºC)</w:t>
            </w:r>
          </w:p>
        </w:tc>
      </w:tr>
      <w:tr w14:paraId="5373FB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1994" w:type="dxa"/>
            <w:vAlign w:val="center"/>
          </w:tcPr>
          <w:p w14:paraId="12835573">
            <w:pPr>
              <w:pStyle w:val="77"/>
              <w:keepNext w:val="0"/>
              <w:keepLines w:val="0"/>
              <w:suppressLineNumbers w:val="0"/>
              <w:spacing w:before="0" w:beforeAutospacing="0" w:after="0" w:afterAutospacing="0"/>
              <w:ind w:left="0" w:right="0"/>
              <w:rPr>
                <w:rFonts w:hint="default" w:eastAsiaTheme="minorEastAsia"/>
                <w:color w:val="auto"/>
                <w:lang w:eastAsia="en-US"/>
              </w:rPr>
            </w:pPr>
            <w:r>
              <w:rPr>
                <w:rFonts w:hint="default" w:eastAsiaTheme="minorEastAsia"/>
                <w:color w:val="auto"/>
                <w:lang w:eastAsia="en-US"/>
              </w:rPr>
              <w:t>凝点(ºC)</w:t>
            </w:r>
          </w:p>
        </w:tc>
        <w:tc>
          <w:tcPr>
            <w:tcW w:w="6282" w:type="dxa"/>
            <w:vAlign w:val="center"/>
          </w:tcPr>
          <w:p w14:paraId="5371E53B">
            <w:pPr>
              <w:pStyle w:val="77"/>
              <w:keepNext w:val="0"/>
              <w:keepLines w:val="0"/>
              <w:suppressLineNumbers w:val="0"/>
              <w:spacing w:before="0" w:beforeAutospacing="0" w:after="0" w:afterAutospacing="0"/>
              <w:ind w:left="0" w:right="0"/>
              <w:rPr>
                <w:rFonts w:hint="default" w:eastAsiaTheme="minorEastAsia"/>
                <w:color w:val="auto"/>
                <w:lang w:eastAsia="en-US"/>
              </w:rPr>
            </w:pPr>
            <w:r>
              <w:rPr>
                <w:rFonts w:hint="default" w:eastAsiaTheme="minorEastAsia"/>
                <w:color w:val="auto"/>
                <w:lang w:eastAsia="en-US"/>
              </w:rPr>
              <w:t>25</w:t>
            </w:r>
          </w:p>
        </w:tc>
      </w:tr>
      <w:tr w14:paraId="0B950A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1994" w:type="dxa"/>
            <w:vAlign w:val="center"/>
          </w:tcPr>
          <w:p w14:paraId="2373DE4C">
            <w:pPr>
              <w:pStyle w:val="77"/>
              <w:keepNext w:val="0"/>
              <w:keepLines w:val="0"/>
              <w:suppressLineNumbers w:val="0"/>
              <w:spacing w:before="0" w:beforeAutospacing="0" w:after="0" w:afterAutospacing="0"/>
              <w:ind w:left="0" w:right="0"/>
              <w:rPr>
                <w:rFonts w:hint="default" w:eastAsiaTheme="minorEastAsia"/>
                <w:color w:val="auto"/>
                <w:lang w:eastAsia="en-US"/>
              </w:rPr>
            </w:pPr>
            <w:r>
              <w:rPr>
                <w:rFonts w:hint="default" w:eastAsiaTheme="minorEastAsia"/>
                <w:color w:val="auto"/>
                <w:lang w:eastAsia="en-US"/>
              </w:rPr>
              <w:t>闪点(ºC)</w:t>
            </w:r>
          </w:p>
        </w:tc>
        <w:tc>
          <w:tcPr>
            <w:tcW w:w="6282" w:type="dxa"/>
            <w:vAlign w:val="center"/>
          </w:tcPr>
          <w:p w14:paraId="2F23CDA5">
            <w:pPr>
              <w:pStyle w:val="77"/>
              <w:keepNext w:val="0"/>
              <w:keepLines w:val="0"/>
              <w:suppressLineNumbers w:val="0"/>
              <w:spacing w:before="0" w:beforeAutospacing="0" w:after="0" w:afterAutospacing="0"/>
              <w:ind w:left="0" w:right="0"/>
              <w:rPr>
                <w:rFonts w:hint="default" w:eastAsiaTheme="minorEastAsia"/>
                <w:color w:val="auto"/>
                <w:lang w:eastAsia="en-US"/>
              </w:rPr>
            </w:pPr>
            <w:r>
              <w:rPr>
                <w:rFonts w:hint="default" w:eastAsiaTheme="minorEastAsia"/>
                <w:color w:val="auto"/>
                <w:lang w:eastAsia="en-US"/>
              </w:rPr>
              <w:t>120</w:t>
            </w:r>
          </w:p>
        </w:tc>
      </w:tr>
    </w:tbl>
    <w:p w14:paraId="6FB0AAFB">
      <w:pPr>
        <w:pStyle w:val="4"/>
        <w:rPr>
          <w:color w:val="auto"/>
        </w:rPr>
      </w:pPr>
      <w:r>
        <w:rPr>
          <w:color w:val="auto"/>
        </w:rPr>
        <w:t>生产系统危险性识别</w:t>
      </w:r>
    </w:p>
    <w:p w14:paraId="679C59D7">
      <w:pPr>
        <w:pStyle w:val="6"/>
        <w:rPr>
          <w:color w:val="auto"/>
        </w:rPr>
      </w:pPr>
      <w:r>
        <w:rPr>
          <w:rFonts w:hint="eastAsia"/>
          <w:color w:val="auto"/>
        </w:rPr>
        <w:t>风</w:t>
      </w:r>
      <w:r>
        <w:rPr>
          <w:color w:val="auto"/>
        </w:rPr>
        <w:t>险单元</w:t>
      </w:r>
    </w:p>
    <w:p w14:paraId="742F7447">
      <w:pPr>
        <w:ind w:firstLine="480"/>
        <w:rPr>
          <w:color w:val="auto"/>
        </w:rPr>
      </w:pPr>
      <w:r>
        <w:rPr>
          <w:rFonts w:hint="eastAsia"/>
          <w:color w:val="auto"/>
        </w:rPr>
        <w:t>本次</w:t>
      </w:r>
      <w:r>
        <w:rPr>
          <w:color w:val="auto"/>
        </w:rPr>
        <w:t>扩建项目为码头</w:t>
      </w:r>
      <w:r>
        <w:rPr>
          <w:rFonts w:hint="eastAsia"/>
          <w:color w:val="auto"/>
        </w:rPr>
        <w:t>新增</w:t>
      </w:r>
      <w:r>
        <w:rPr>
          <w:color w:val="auto"/>
        </w:rPr>
        <w:t>货种项目，</w:t>
      </w:r>
      <w:r>
        <w:rPr>
          <w:rFonts w:hint="eastAsia"/>
          <w:color w:val="auto"/>
        </w:rPr>
        <w:t>包含</w:t>
      </w:r>
      <w:r>
        <w:rPr>
          <w:color w:val="auto"/>
        </w:rPr>
        <w:t>货种在码头装卸以及在</w:t>
      </w:r>
      <w:r>
        <w:rPr>
          <w:rFonts w:hint="eastAsia"/>
          <w:color w:val="auto"/>
        </w:rPr>
        <w:t>后方</w:t>
      </w:r>
      <w:r>
        <w:rPr>
          <w:color w:val="auto"/>
        </w:rPr>
        <w:t>库区储存的过程</w:t>
      </w:r>
      <w:r>
        <w:rPr>
          <w:rFonts w:hint="eastAsia"/>
          <w:color w:val="auto"/>
        </w:rPr>
        <w:t>，物料</w:t>
      </w:r>
      <w:r>
        <w:rPr>
          <w:color w:val="auto"/>
        </w:rPr>
        <w:t>装卸及输送均通过管道进行，在物料储存和</w:t>
      </w:r>
      <w:r>
        <w:rPr>
          <w:rFonts w:hint="eastAsia"/>
          <w:color w:val="auto"/>
        </w:rPr>
        <w:t>装卸</w:t>
      </w:r>
      <w:r>
        <w:rPr>
          <w:color w:val="auto"/>
        </w:rPr>
        <w:t>输送过程中</w:t>
      </w:r>
      <w:r>
        <w:rPr>
          <w:rFonts w:hint="eastAsia"/>
          <w:color w:val="auto"/>
        </w:rPr>
        <w:t>均</w:t>
      </w:r>
      <w:r>
        <w:rPr>
          <w:color w:val="auto"/>
        </w:rPr>
        <w:t>有可能发生风险事故。根据</w:t>
      </w:r>
      <w:r>
        <w:rPr>
          <w:rFonts w:hint="eastAsia"/>
          <w:color w:val="auto"/>
        </w:rPr>
        <w:t>项目</w:t>
      </w:r>
      <w:r>
        <w:rPr>
          <w:color w:val="auto"/>
        </w:rPr>
        <w:t>的特点及平面布置分析，本工程危险单元为码头</w:t>
      </w:r>
      <w:r>
        <w:rPr>
          <w:rFonts w:hint="eastAsia"/>
          <w:color w:val="auto"/>
        </w:rPr>
        <w:t>装卸区</w:t>
      </w:r>
      <w:r>
        <w:rPr>
          <w:rFonts w:hint="eastAsia"/>
          <w:color w:val="auto"/>
          <w:lang w:eastAsia="zh-CN"/>
        </w:rPr>
        <w:t>、</w:t>
      </w:r>
      <w:r>
        <w:rPr>
          <w:color w:val="auto"/>
        </w:rPr>
        <w:t>罐组</w:t>
      </w:r>
      <w:r>
        <w:rPr>
          <w:rFonts w:hint="eastAsia"/>
          <w:color w:val="auto"/>
          <w:lang w:eastAsia="zh-CN"/>
        </w:rPr>
        <w:t>以及油泵</w:t>
      </w:r>
      <w:r>
        <w:rPr>
          <w:color w:val="auto"/>
        </w:rPr>
        <w:t>。</w:t>
      </w:r>
    </w:p>
    <w:p w14:paraId="5B8CCC91">
      <w:pPr>
        <w:ind w:firstLine="0" w:firstLineChars="0"/>
        <w:jc w:val="center"/>
        <w:rPr>
          <w:color w:val="auto"/>
        </w:rPr>
      </w:pPr>
      <w:r>
        <w:rPr>
          <w:color w:val="auto"/>
        </w:rPr>
        <mc:AlternateContent>
          <mc:Choice Requires="wps">
            <w:drawing>
              <wp:anchor distT="0" distB="0" distL="114300" distR="114300" simplePos="0" relativeHeight="251670528" behindDoc="0" locked="0" layoutInCell="1" allowOverlap="1">
                <wp:simplePos x="0" y="0"/>
                <wp:positionH relativeFrom="column">
                  <wp:posOffset>2773680</wp:posOffset>
                </wp:positionH>
                <wp:positionV relativeFrom="paragraph">
                  <wp:posOffset>5259705</wp:posOffset>
                </wp:positionV>
                <wp:extent cx="878840" cy="485775"/>
                <wp:effectExtent l="0" t="0" r="17145" b="28575"/>
                <wp:wrapNone/>
                <wp:docPr id="42" name="矩形 42"/>
                <wp:cNvGraphicFramePr/>
                <a:graphic xmlns:a="http://schemas.openxmlformats.org/drawingml/2006/main">
                  <a:graphicData uri="http://schemas.microsoft.com/office/word/2010/wordprocessingShape">
                    <wps:wsp>
                      <wps:cNvSpPr/>
                      <wps:spPr>
                        <a:xfrm>
                          <a:off x="0" y="0"/>
                          <a:ext cx="878559" cy="485775"/>
                        </a:xfrm>
                        <a:prstGeom prst="rect">
                          <a:avLst/>
                        </a:prstGeom>
                        <a:solidFill>
                          <a:srgbClr val="FFFF66">
                            <a:alpha val="49804"/>
                          </a:srgbClr>
                        </a:solidFill>
                        <a:ln w="12700" cmpd="sng">
                          <a:solidFill>
                            <a:srgbClr val="00B0F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8.4pt;margin-top:414.15pt;height:38.25pt;width:69.2pt;z-index:251670528;v-text-anchor:middle;mso-width-relative:page;mso-height-relative:page;" fillcolor="#FFFF66" filled="t" stroked="t" coordsize="21600,21600" o:gfxdata="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Zh8Z19oAAAALAQAADwAAAAAAAAABACAAAAAi&#10;AAAAZHJzL2Rvd25yZXYueG1sUEsBAhQAFAAAAAgAh07iQIfvhsB6AgAA/wQAAA4AAAAAAAAAAQAg&#10;AAAAKQEAAGRycy9lMm9Eb2MueG1sUEsFBgAAAAAGAAYAWQEAABUGAAAAAA==&#10;">
                <v:fill on="t" opacity="32639f" focussize="0,0"/>
                <v:stroke weight="1pt" color="#00B0F0 [3204]" joinstyle="round"/>
                <v:imagedata o:title=""/>
                <o:lock v:ext="edit" aspectratio="f"/>
              </v:rect>
            </w:pict>
          </mc:Fallback>
        </mc:AlternateContent>
      </w:r>
      <w:r>
        <w:rPr>
          <w:color w:val="auto"/>
        </w:rPr>
        <mc:AlternateContent>
          <mc:Choice Requires="wps">
            <w:drawing>
              <wp:anchor distT="0" distB="0" distL="114300" distR="114300" simplePos="0" relativeHeight="251671552" behindDoc="0" locked="0" layoutInCell="1" allowOverlap="1">
                <wp:simplePos x="0" y="0"/>
                <wp:positionH relativeFrom="column">
                  <wp:posOffset>2325370</wp:posOffset>
                </wp:positionH>
                <wp:positionV relativeFrom="paragraph">
                  <wp:posOffset>5363845</wp:posOffset>
                </wp:positionV>
                <wp:extent cx="1638300" cy="457835"/>
                <wp:effectExtent l="0" t="0" r="0" b="0"/>
                <wp:wrapNone/>
                <wp:docPr id="3" name="文本框 3"/>
                <wp:cNvGraphicFramePr/>
                <a:graphic xmlns:a="http://schemas.openxmlformats.org/drawingml/2006/main">
                  <a:graphicData uri="http://schemas.microsoft.com/office/word/2010/wordprocessingShape">
                    <wps:wsp>
                      <wps:cNvSpPr txBox="1"/>
                      <wps:spPr>
                        <a:xfrm>
                          <a:off x="0" y="0"/>
                          <a:ext cx="1638300" cy="457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EC7981">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码头装卸区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1pt;margin-top:422.35pt;height:36.05pt;width:129pt;z-index:251671552;mso-width-relative:page;mso-height-relative:page;" filled="f" stroked="f" coordsize="21600,21600" o:gfxdata="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wzjH/cAAAACwEAAA8AAAAAAAAAAQAgAAAAIgAAAGRy&#10;cy9kb3ducmV2LnhtbFBLAQIUABQAAAAIAIdO4kDVV7ggOgIAAGYEAAAOAAAAAAAAAAEAIAAAACsB&#10;AABkcnMvZTJvRG9jLnhtbFBLBQYAAAAABgAGAFkBAADXBQAAAAA=&#10;">
                <v:fill on="f" focussize="0,0"/>
                <v:stroke on="f" weight="0.5pt"/>
                <v:imagedata o:title=""/>
                <o:lock v:ext="edit" aspectratio="f"/>
                <v:textbox>
                  <w:txbxContent>
                    <w:p w14:paraId="5FEC7981">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码头装卸区</w:t>
                      </w:r>
                    </w:p>
                  </w:txbxContent>
                </v:textbox>
              </v:shape>
            </w:pict>
          </mc:Fallback>
        </mc:AlternateContent>
      </w:r>
      <w:r>
        <w:rPr>
          <w:color w:val="auto"/>
        </w:rPr>
        <mc:AlternateContent>
          <mc:Choice Requires="wps">
            <w:drawing>
              <wp:anchor distT="0" distB="0" distL="114300" distR="114300" simplePos="0" relativeHeight="251669504" behindDoc="0" locked="0" layoutInCell="1" allowOverlap="1">
                <wp:simplePos x="0" y="0"/>
                <wp:positionH relativeFrom="column">
                  <wp:posOffset>4507230</wp:posOffset>
                </wp:positionH>
                <wp:positionV relativeFrom="paragraph">
                  <wp:posOffset>3816985</wp:posOffset>
                </wp:positionV>
                <wp:extent cx="753110" cy="32512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753110" cy="3251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E8314E">
                            <w:pPr>
                              <w:spacing w:line="240" w:lineRule="exact"/>
                              <w:ind w:firstLine="0" w:firstLineChars="0"/>
                              <w:rPr>
                                <w:rFonts w:ascii="华文行楷" w:hAnsi="华文行楷" w:eastAsia="华文行楷" w:cs="华文行楷"/>
                                <w:color w:val="000000" w:themeColor="text1"/>
                                <w:sz w:val="21"/>
                                <w:szCs w:val="21"/>
                                <w14:textFill>
                                  <w14:solidFill>
                                    <w14:schemeClr w14:val="tx1"/>
                                  </w14:solidFill>
                                </w14:textFill>
                              </w:rPr>
                            </w:pPr>
                            <w:r>
                              <w:rPr>
                                <w:rFonts w:hint="eastAsia" w:ascii="华文行楷" w:hAnsi="华文行楷" w:eastAsia="华文行楷" w:cs="华文行楷"/>
                                <w:color w:val="000000" w:themeColor="text1"/>
                                <w:sz w:val="21"/>
                                <w:szCs w:val="21"/>
                                <w14:textFill>
                                  <w14:solidFill>
                                    <w14:schemeClr w14:val="tx1"/>
                                  </w14:solidFill>
                                </w14:textFill>
                              </w:rPr>
                              <w:t>疏散方向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9pt;margin-top:300.55pt;height:25.6pt;width:59.3pt;z-index:251669504;mso-width-relative:page;mso-height-relative:page;" filled="f" stroked="f" coordsize="21600,21600" o:gfxdata="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kubwbcAAAACwEAAA8AAAAAAAAAAQAgAAAAIgAA&#10;AGRycy9kb3ducmV2LnhtbFBLAQIUABQAAAAIAIdO4kAd98+EPQIAAGcEAAAOAAAAAAAAAAEAIAAA&#10;ACsBAABkcnMvZTJvRG9jLnhtbFBLBQYAAAAABgAGAFkBAADaBQAAAAA=&#10;">
                <v:fill on="f" focussize="0,0"/>
                <v:stroke on="f" weight="0.5pt"/>
                <v:imagedata o:title=""/>
                <o:lock v:ext="edit" aspectratio="f"/>
                <v:textbox>
                  <w:txbxContent>
                    <w:p w14:paraId="6DE8314E">
                      <w:pPr>
                        <w:spacing w:line="240" w:lineRule="exact"/>
                        <w:ind w:firstLine="0" w:firstLineChars="0"/>
                        <w:rPr>
                          <w:rFonts w:ascii="华文行楷" w:hAnsi="华文行楷" w:eastAsia="华文行楷" w:cs="华文行楷"/>
                          <w:color w:val="000000" w:themeColor="text1"/>
                          <w:sz w:val="21"/>
                          <w:szCs w:val="21"/>
                          <w14:textFill>
                            <w14:solidFill>
                              <w14:schemeClr w14:val="tx1"/>
                            </w14:solidFill>
                          </w14:textFill>
                        </w:rPr>
                      </w:pPr>
                      <w:r>
                        <w:rPr>
                          <w:rFonts w:hint="eastAsia" w:ascii="华文行楷" w:hAnsi="华文行楷" w:eastAsia="华文行楷" w:cs="华文行楷"/>
                          <w:color w:val="000000" w:themeColor="text1"/>
                          <w:sz w:val="21"/>
                          <w:szCs w:val="21"/>
                          <w14:textFill>
                            <w14:solidFill>
                              <w14:schemeClr w14:val="tx1"/>
                            </w14:solidFill>
                          </w14:textFill>
                        </w:rPr>
                        <w:t>疏散方向</w:t>
                      </w:r>
                    </w:p>
                  </w:txbxContent>
                </v:textbox>
              </v:shape>
            </w:pict>
          </mc:Fallback>
        </mc:AlternateContent>
      </w:r>
      <w:r>
        <w:rPr>
          <w:color w:val="auto"/>
        </w:rPr>
        <mc:AlternateContent>
          <mc:Choice Requires="wps">
            <w:drawing>
              <wp:anchor distT="0" distB="0" distL="114300" distR="114300" simplePos="0" relativeHeight="251672576" behindDoc="0" locked="0" layoutInCell="1" allowOverlap="1">
                <wp:simplePos x="0" y="0"/>
                <wp:positionH relativeFrom="column">
                  <wp:posOffset>4248785</wp:posOffset>
                </wp:positionH>
                <wp:positionV relativeFrom="paragraph">
                  <wp:posOffset>3945890</wp:posOffset>
                </wp:positionV>
                <wp:extent cx="289560" cy="2540"/>
                <wp:effectExtent l="0" t="54610" r="15240" b="57150"/>
                <wp:wrapNone/>
                <wp:docPr id="48" name="直接箭头连接符 48"/>
                <wp:cNvGraphicFramePr/>
                <a:graphic xmlns:a="http://schemas.openxmlformats.org/drawingml/2006/main">
                  <a:graphicData uri="http://schemas.microsoft.com/office/word/2010/wordprocessingShape">
                    <wps:wsp>
                      <wps:cNvCnPr/>
                      <wps:spPr>
                        <a:xfrm flipV="1">
                          <a:off x="0" y="0"/>
                          <a:ext cx="289560" cy="2540"/>
                        </a:xfrm>
                        <a:prstGeom prst="straightConnector1">
                          <a:avLst/>
                        </a:prstGeom>
                        <a:ln w="22225">
                          <a:solidFill>
                            <a:srgbClr val="FE06E9"/>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34.55pt;margin-top:310.7pt;height:0.2pt;width:22.8pt;z-index:251672576;mso-width-relative:page;mso-height-relative:page;" filled="f" stroked="t" coordsize="21600,21600" o:gfxdata="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EUOJU2AAAAAsBAAAPAAAAAAAAAAEAIAAAACIAAABk&#10;cnMvZG93bnJldi54bWxQSwECFAAUAAAACACHTuJA9yiCYgYCAADWAwAADgAAAAAAAAABACAAAAAn&#10;AQAAZHJzL2Uyb0RvYy54bWxQSwUGAAAAAAYABgBZAQAAnwUAAAAA&#10;">
                <v:fill on="f" focussize="0,0"/>
                <v:stroke weight="1.75pt" color="#FE06E9 [3204]" joinstyle="round" endarrow="open"/>
                <v:imagedata o:title=""/>
                <o:lock v:ext="edit" aspectratio="f"/>
              </v:shape>
            </w:pict>
          </mc:Fallback>
        </mc:AlternateContent>
      </w:r>
      <w:r>
        <w:rPr>
          <w:color w:val="auto"/>
        </w:rPr>
        <w:object>
          <v:shape id="_x0000_i1027" o:spt="75" type="#_x0000_t75" style="height:483pt;width:414pt;" o:ole="t" filled="f" o:preferrelative="t" stroked="f" coordsize="21600,21600">
            <v:path/>
            <v:fill on="f" focussize="0,0"/>
            <v:stroke on="f" joinstyle="miter"/>
            <v:imagedata r:id="rId74" o:title=""/>
            <o:lock v:ext="edit" aspectratio="t"/>
            <w10:wrap type="none"/>
            <w10:anchorlock/>
          </v:shape>
          <o:OLEObject Type="Embed" ProgID="Visio.Drawing.15" ShapeID="_x0000_i1027" DrawAspect="Content" ObjectID="_1468075727" r:id="rId73">
            <o:LockedField>false</o:LockedField>
          </o:OLEObject>
        </w:object>
      </w:r>
    </w:p>
    <w:p w14:paraId="4390AB6B">
      <w:pPr>
        <w:pStyle w:val="14"/>
        <w:rPr>
          <w:color w:val="auto"/>
        </w:rPr>
      </w:pPr>
      <w:r>
        <w:rPr>
          <w:rFonts w:hint="eastAsia"/>
          <w:color w:val="auto"/>
        </w:rPr>
        <w:t>表</w:t>
      </w:r>
      <w:r>
        <w:rPr>
          <w:color w:val="auto"/>
        </w:rPr>
        <w:t>5.3</w:t>
      </w:r>
      <w:r>
        <w:rPr>
          <w:color w:val="auto"/>
        </w:rPr>
        <w:noBreakHyphen/>
      </w:r>
      <w:r>
        <w:rPr>
          <w:color w:val="auto"/>
        </w:rPr>
        <w:t>6危险单元分布图及风险事故疏散图</w:t>
      </w:r>
    </w:p>
    <w:p w14:paraId="200D126C">
      <w:pPr>
        <w:pStyle w:val="6"/>
        <w:rPr>
          <w:color w:val="auto"/>
        </w:rPr>
      </w:pPr>
      <w:r>
        <w:rPr>
          <w:rFonts w:hint="eastAsia"/>
          <w:color w:val="auto"/>
        </w:rPr>
        <w:t>储运设施风</w:t>
      </w:r>
      <w:r>
        <w:rPr>
          <w:color w:val="auto"/>
        </w:rPr>
        <w:t>险性识别</w:t>
      </w:r>
    </w:p>
    <w:p w14:paraId="308877F3">
      <w:pPr>
        <w:ind w:firstLine="480"/>
        <w:rPr>
          <w:color w:val="auto"/>
        </w:rPr>
      </w:pPr>
      <w:r>
        <w:rPr>
          <w:color w:val="auto"/>
        </w:rPr>
        <w:t>根据本项目化工品装卸</w:t>
      </w:r>
      <w:r>
        <w:rPr>
          <w:rFonts w:hint="eastAsia"/>
          <w:color w:val="auto"/>
        </w:rPr>
        <w:t>及</w:t>
      </w:r>
      <w:r>
        <w:rPr>
          <w:color w:val="auto"/>
        </w:rPr>
        <w:t>储存的特点，该过程可能发生的污染事故及原因见下表。</w:t>
      </w:r>
    </w:p>
    <w:p w14:paraId="7E6E8063">
      <w:pPr>
        <w:pStyle w:val="14"/>
        <w:rPr>
          <w:color w:val="auto"/>
        </w:rPr>
      </w:pPr>
      <w:r>
        <w:rPr>
          <w:rFonts w:hint="eastAsia"/>
          <w:color w:val="auto"/>
        </w:rPr>
        <w:t>表</w:t>
      </w:r>
      <w:r>
        <w:rPr>
          <w:color w:val="auto"/>
        </w:rPr>
        <w:t>5.3</w:t>
      </w:r>
      <w:r>
        <w:rPr>
          <w:color w:val="auto"/>
        </w:rPr>
        <w:noBreakHyphen/>
      </w:r>
      <w:r>
        <w:rPr>
          <w:color w:val="auto"/>
        </w:rPr>
        <w:t>7</w:t>
      </w:r>
      <w:r>
        <w:rPr>
          <w:rFonts w:hint="eastAsia"/>
          <w:color w:val="auto"/>
        </w:rPr>
        <w:t>项目储运</w:t>
      </w:r>
      <w:r>
        <w:rPr>
          <w:color w:val="auto"/>
        </w:rPr>
        <w:t>的风险环节分析一览表</w:t>
      </w:r>
    </w:p>
    <w:tbl>
      <w:tblPr>
        <w:tblStyle w:val="43"/>
        <w:tblW w:w="891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687"/>
        <w:gridCol w:w="852"/>
        <w:gridCol w:w="5534"/>
        <w:gridCol w:w="1843"/>
      </w:tblGrid>
      <w:tr w14:paraId="53C5B7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tblHeader/>
        </w:trPr>
        <w:tc>
          <w:tcPr>
            <w:tcW w:w="687" w:type="dxa"/>
            <w:vAlign w:val="center"/>
          </w:tcPr>
          <w:p w14:paraId="7040515E">
            <w:pPr>
              <w:pStyle w:val="77"/>
              <w:keepNext w:val="0"/>
              <w:keepLines w:val="0"/>
              <w:suppressLineNumbers w:val="0"/>
              <w:spacing w:before="0" w:beforeAutospacing="0" w:after="0" w:afterAutospacing="0"/>
              <w:ind w:left="0" w:right="0"/>
              <w:rPr>
                <w:rFonts w:hint="default" w:eastAsiaTheme="minorEastAsia"/>
                <w:b/>
                <w:bCs/>
                <w:color w:val="auto"/>
                <w:lang w:eastAsia="en-US"/>
              </w:rPr>
            </w:pPr>
            <w:r>
              <w:rPr>
                <w:rFonts w:hint="default" w:eastAsiaTheme="minorEastAsia"/>
                <w:b/>
                <w:bCs/>
                <w:color w:val="auto"/>
                <w:lang w:eastAsia="en-US"/>
              </w:rPr>
              <w:t>危险单元</w:t>
            </w:r>
          </w:p>
        </w:tc>
        <w:tc>
          <w:tcPr>
            <w:tcW w:w="852" w:type="dxa"/>
            <w:vAlign w:val="center"/>
          </w:tcPr>
          <w:p w14:paraId="6E7E89A4">
            <w:pPr>
              <w:pStyle w:val="77"/>
              <w:keepNext w:val="0"/>
              <w:keepLines w:val="0"/>
              <w:suppressLineNumbers w:val="0"/>
              <w:spacing w:before="0" w:beforeAutospacing="0" w:after="0" w:afterAutospacing="0"/>
              <w:ind w:left="0" w:right="0"/>
              <w:rPr>
                <w:rFonts w:hint="default" w:eastAsiaTheme="minorEastAsia"/>
                <w:b/>
                <w:bCs/>
                <w:color w:val="auto"/>
                <w:lang w:eastAsia="en-US"/>
              </w:rPr>
            </w:pPr>
            <w:r>
              <w:rPr>
                <w:rFonts w:hint="default" w:eastAsiaTheme="minorEastAsia"/>
                <w:b/>
                <w:bCs/>
                <w:color w:val="auto"/>
                <w:lang w:eastAsia="en-US"/>
              </w:rPr>
              <w:t>风险事故类型</w:t>
            </w:r>
          </w:p>
        </w:tc>
        <w:tc>
          <w:tcPr>
            <w:tcW w:w="5534" w:type="dxa"/>
            <w:vAlign w:val="center"/>
          </w:tcPr>
          <w:p w14:paraId="07735A95">
            <w:pPr>
              <w:pStyle w:val="77"/>
              <w:keepNext w:val="0"/>
              <w:keepLines w:val="0"/>
              <w:suppressLineNumbers w:val="0"/>
              <w:spacing w:before="0" w:beforeAutospacing="0" w:after="0" w:afterAutospacing="0"/>
              <w:ind w:left="0" w:right="0"/>
              <w:rPr>
                <w:rFonts w:hint="default" w:eastAsiaTheme="minorEastAsia"/>
                <w:b/>
                <w:bCs/>
                <w:color w:val="auto"/>
                <w:u w:val="single"/>
              </w:rPr>
            </w:pPr>
            <w:r>
              <w:rPr>
                <w:rFonts w:hint="default" w:eastAsiaTheme="minorEastAsia"/>
                <w:b/>
                <w:bCs/>
                <w:color w:val="auto"/>
                <w:u w:val="single"/>
              </w:rPr>
              <w:t>转化为事故的触发因素</w:t>
            </w:r>
          </w:p>
        </w:tc>
        <w:tc>
          <w:tcPr>
            <w:tcW w:w="1843" w:type="dxa"/>
            <w:vAlign w:val="center"/>
          </w:tcPr>
          <w:p w14:paraId="6F66BF4C">
            <w:pPr>
              <w:pStyle w:val="77"/>
              <w:keepNext w:val="0"/>
              <w:keepLines w:val="0"/>
              <w:suppressLineNumbers w:val="0"/>
              <w:spacing w:before="0" w:beforeAutospacing="0" w:after="0" w:afterAutospacing="0"/>
              <w:ind w:left="0" w:right="0"/>
              <w:rPr>
                <w:rFonts w:hint="default" w:eastAsiaTheme="minorEastAsia"/>
                <w:b/>
                <w:bCs/>
                <w:color w:val="auto"/>
                <w:lang w:eastAsia="en-US"/>
              </w:rPr>
            </w:pPr>
            <w:r>
              <w:rPr>
                <w:rFonts w:hint="default" w:eastAsiaTheme="minorEastAsia"/>
                <w:b/>
                <w:bCs/>
                <w:color w:val="auto"/>
                <w:lang w:eastAsia="en-US"/>
              </w:rPr>
              <w:t>危险性</w:t>
            </w:r>
          </w:p>
        </w:tc>
      </w:tr>
      <w:tr w14:paraId="0C9DB2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trPr>
        <w:tc>
          <w:tcPr>
            <w:tcW w:w="687" w:type="dxa"/>
            <w:vMerge w:val="restart"/>
            <w:vAlign w:val="center"/>
          </w:tcPr>
          <w:p w14:paraId="63102669">
            <w:pPr>
              <w:pStyle w:val="77"/>
              <w:keepNext w:val="0"/>
              <w:keepLines w:val="0"/>
              <w:suppressLineNumbers w:val="0"/>
              <w:spacing w:before="0" w:beforeAutospacing="0" w:after="0" w:afterAutospacing="0"/>
              <w:ind w:left="0" w:right="0"/>
              <w:rPr>
                <w:rFonts w:hint="default" w:eastAsiaTheme="minorEastAsia"/>
                <w:color w:val="auto"/>
                <w:lang w:eastAsia="en-US"/>
              </w:rPr>
            </w:pPr>
            <w:r>
              <w:rPr>
                <w:rFonts w:hint="default" w:eastAsiaTheme="minorEastAsia"/>
                <w:color w:val="auto"/>
                <w:lang w:eastAsia="en-US"/>
              </w:rPr>
              <w:t>码头</w:t>
            </w:r>
          </w:p>
        </w:tc>
        <w:tc>
          <w:tcPr>
            <w:tcW w:w="852" w:type="dxa"/>
            <w:vAlign w:val="center"/>
          </w:tcPr>
          <w:p w14:paraId="7D9E82C7">
            <w:pPr>
              <w:pStyle w:val="77"/>
              <w:keepNext w:val="0"/>
              <w:keepLines w:val="0"/>
              <w:suppressLineNumbers w:val="0"/>
              <w:spacing w:before="0" w:beforeAutospacing="0" w:after="0" w:afterAutospacing="0"/>
              <w:ind w:left="0" w:right="0"/>
              <w:rPr>
                <w:rFonts w:hint="default" w:eastAsiaTheme="minorEastAsia"/>
                <w:color w:val="auto"/>
              </w:rPr>
            </w:pPr>
            <w:r>
              <w:rPr>
                <w:rFonts w:hint="default" w:eastAsiaTheme="minorEastAsia"/>
                <w:color w:val="auto"/>
              </w:rPr>
              <w:t>化工品泄漏</w:t>
            </w:r>
          </w:p>
        </w:tc>
        <w:tc>
          <w:tcPr>
            <w:tcW w:w="5534" w:type="dxa"/>
            <w:vAlign w:val="center"/>
          </w:tcPr>
          <w:p w14:paraId="450BF711">
            <w:pPr>
              <w:pStyle w:val="77"/>
              <w:keepNext w:val="0"/>
              <w:keepLines w:val="0"/>
              <w:suppressLineNumbers w:val="0"/>
              <w:spacing w:before="0" w:beforeAutospacing="0" w:after="0" w:afterAutospacing="0"/>
              <w:ind w:left="0" w:right="0"/>
              <w:rPr>
                <w:rFonts w:hint="default" w:eastAsiaTheme="minorEastAsia"/>
                <w:color w:val="auto"/>
                <w:u w:val="single"/>
              </w:rPr>
            </w:pPr>
            <w:r>
              <w:rPr>
                <w:rFonts w:hint="eastAsia" w:ascii="宋体" w:hAnsi="宋体" w:cs="宋体"/>
                <w:color w:val="auto"/>
                <w:u w:val="single"/>
              </w:rPr>
              <w:t>①</w:t>
            </w:r>
            <w:r>
              <w:rPr>
                <w:rFonts w:hint="default" w:eastAsiaTheme="minorEastAsia"/>
                <w:color w:val="auto"/>
                <w:u w:val="single"/>
              </w:rPr>
              <w:t>输油臂选型不当、质量低劣、接头变型，导致泄漏；</w:t>
            </w:r>
            <w:r>
              <w:rPr>
                <w:rFonts w:hint="eastAsia" w:ascii="宋体" w:hAnsi="宋体" w:cs="宋体"/>
                <w:color w:val="auto"/>
                <w:u w:val="single"/>
              </w:rPr>
              <w:t>②</w:t>
            </w:r>
            <w:r>
              <w:rPr>
                <w:rFonts w:hint="default" w:eastAsiaTheme="minorEastAsia"/>
                <w:color w:val="auto"/>
                <w:u w:val="single"/>
              </w:rPr>
              <w:t>法兰密封不良而出现泄漏；</w:t>
            </w:r>
            <w:r>
              <w:rPr>
                <w:rFonts w:hint="eastAsia" w:ascii="宋体" w:hAnsi="宋体" w:cs="宋体"/>
                <w:color w:val="auto"/>
                <w:u w:val="single"/>
              </w:rPr>
              <w:t>③</w:t>
            </w:r>
            <w:r>
              <w:rPr>
                <w:rFonts w:hint="default" w:eastAsiaTheme="minorEastAsia"/>
                <w:color w:val="auto"/>
                <w:u w:val="single"/>
              </w:rPr>
              <w:t>作业人员违章作业，造成管道超压破损或直接泄漏；</w:t>
            </w:r>
            <w:r>
              <w:rPr>
                <w:rFonts w:hint="eastAsia" w:ascii="宋体" w:hAnsi="宋体" w:cs="宋体"/>
                <w:color w:val="auto"/>
                <w:u w:val="single"/>
              </w:rPr>
              <w:t>④</w:t>
            </w:r>
            <w:r>
              <w:rPr>
                <w:rFonts w:hint="default" w:eastAsiaTheme="minorEastAsia"/>
                <w:color w:val="auto"/>
                <w:u w:val="single"/>
              </w:rPr>
              <w:t>船、码头、库区三方之间通信联络有误或衔接不当，导致泄漏；</w:t>
            </w:r>
            <w:r>
              <w:rPr>
                <w:rFonts w:hint="eastAsia" w:ascii="宋体" w:hAnsi="宋体" w:cs="宋体"/>
                <w:color w:val="auto"/>
                <w:u w:val="single"/>
              </w:rPr>
              <w:t>⑤</w:t>
            </w:r>
            <w:r>
              <w:rPr>
                <w:rFonts w:hint="default" w:eastAsiaTheme="minorEastAsia"/>
                <w:color w:val="auto"/>
                <w:u w:val="single"/>
              </w:rPr>
              <w:t>码头装卸工艺控制系统发生故障，导致误运作或控制失灵，引发泄漏事故。</w:t>
            </w:r>
          </w:p>
        </w:tc>
        <w:tc>
          <w:tcPr>
            <w:tcW w:w="1843" w:type="dxa"/>
            <w:vAlign w:val="center"/>
          </w:tcPr>
          <w:p w14:paraId="77121ADE">
            <w:pPr>
              <w:pStyle w:val="77"/>
              <w:keepNext w:val="0"/>
              <w:keepLines w:val="0"/>
              <w:suppressLineNumbers w:val="0"/>
              <w:spacing w:before="0" w:beforeAutospacing="0" w:after="0" w:afterAutospacing="0"/>
              <w:ind w:left="0" w:right="0"/>
              <w:rPr>
                <w:rFonts w:hint="default" w:eastAsiaTheme="minorEastAsia"/>
                <w:color w:val="auto"/>
              </w:rPr>
            </w:pPr>
            <w:r>
              <w:rPr>
                <w:rFonts w:hint="default" w:eastAsiaTheme="minorEastAsia"/>
                <w:color w:val="auto"/>
              </w:rPr>
              <w:t>泄漏化学品从码头面排入海洋引起水体污染</w:t>
            </w:r>
          </w:p>
        </w:tc>
      </w:tr>
      <w:tr w14:paraId="71D9F4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trPr>
        <w:tc>
          <w:tcPr>
            <w:tcW w:w="687" w:type="dxa"/>
            <w:vMerge w:val="continue"/>
            <w:vAlign w:val="center"/>
          </w:tcPr>
          <w:p w14:paraId="18DE81FC">
            <w:pPr>
              <w:pStyle w:val="77"/>
              <w:keepNext w:val="0"/>
              <w:keepLines w:val="0"/>
              <w:suppressLineNumbers w:val="0"/>
              <w:spacing w:before="0" w:beforeAutospacing="0" w:after="0" w:afterAutospacing="0"/>
              <w:ind w:left="0" w:right="0"/>
              <w:rPr>
                <w:rFonts w:hint="default" w:eastAsiaTheme="minorEastAsia"/>
                <w:color w:val="auto"/>
              </w:rPr>
            </w:pPr>
          </w:p>
        </w:tc>
        <w:tc>
          <w:tcPr>
            <w:tcW w:w="852" w:type="dxa"/>
            <w:vAlign w:val="center"/>
          </w:tcPr>
          <w:p w14:paraId="2B2D500E">
            <w:pPr>
              <w:pStyle w:val="77"/>
              <w:keepNext w:val="0"/>
              <w:keepLines w:val="0"/>
              <w:suppressLineNumbers w:val="0"/>
              <w:spacing w:before="0" w:beforeAutospacing="0" w:after="0" w:afterAutospacing="0"/>
              <w:ind w:left="0" w:right="0"/>
              <w:rPr>
                <w:rFonts w:hint="default" w:eastAsiaTheme="minorEastAsia"/>
                <w:color w:val="auto"/>
              </w:rPr>
            </w:pPr>
            <w:r>
              <w:rPr>
                <w:rFonts w:hint="default" w:eastAsiaTheme="minorEastAsia"/>
                <w:color w:val="auto"/>
              </w:rPr>
              <w:t>化工品火灾和爆炸</w:t>
            </w:r>
          </w:p>
        </w:tc>
        <w:tc>
          <w:tcPr>
            <w:tcW w:w="5534" w:type="dxa"/>
            <w:vAlign w:val="center"/>
          </w:tcPr>
          <w:p w14:paraId="0464E2B6">
            <w:pPr>
              <w:pStyle w:val="77"/>
              <w:keepNext w:val="0"/>
              <w:keepLines w:val="0"/>
              <w:suppressLineNumbers w:val="0"/>
              <w:spacing w:before="0" w:beforeAutospacing="0" w:after="0" w:afterAutospacing="0"/>
              <w:ind w:left="0" w:right="0"/>
              <w:rPr>
                <w:rFonts w:hint="default" w:eastAsiaTheme="minorEastAsia"/>
                <w:color w:val="auto"/>
                <w:u w:val="single"/>
              </w:rPr>
            </w:pPr>
            <w:r>
              <w:rPr>
                <w:rFonts w:hint="eastAsia" w:ascii="宋体" w:hAnsi="宋体" w:cs="宋体"/>
                <w:color w:val="auto"/>
                <w:u w:val="single"/>
              </w:rPr>
              <w:t>①</w:t>
            </w:r>
            <w:r>
              <w:rPr>
                <w:rFonts w:hint="default" w:eastAsiaTheme="minorEastAsia"/>
                <w:color w:val="auto"/>
                <w:u w:val="single"/>
              </w:rPr>
              <w:t>设备检修过程中，违章进行焊接、切割等动火作业，易引发火灾爆炸事故；</w:t>
            </w:r>
            <w:r>
              <w:rPr>
                <w:rFonts w:hint="eastAsia" w:ascii="宋体" w:hAnsi="宋体" w:cs="宋体"/>
                <w:color w:val="auto"/>
                <w:u w:val="single"/>
              </w:rPr>
              <w:t>②</w:t>
            </w:r>
            <w:r>
              <w:rPr>
                <w:rFonts w:hint="default" w:eastAsiaTheme="minorEastAsia"/>
                <w:color w:val="auto"/>
                <w:u w:val="single"/>
              </w:rPr>
              <w:t>静电放电点燃油气，导致火灾爆炸事故；</w:t>
            </w:r>
            <w:r>
              <w:rPr>
                <w:rFonts w:hint="eastAsia" w:ascii="宋体" w:hAnsi="宋体" w:cs="宋体"/>
                <w:color w:val="auto"/>
                <w:u w:val="single"/>
              </w:rPr>
              <w:t>③</w:t>
            </w:r>
            <w:r>
              <w:rPr>
                <w:rFonts w:hint="default" w:eastAsiaTheme="minorEastAsia"/>
                <w:color w:val="auto"/>
                <w:u w:val="single"/>
              </w:rPr>
              <w:t>电气设备设施存在质量缺陷或操作不当，产生电火花或电弧，可能点燃油品或其蒸气，导致火灾爆炸事故；</w:t>
            </w:r>
            <w:r>
              <w:rPr>
                <w:rFonts w:hint="eastAsia" w:ascii="宋体" w:hAnsi="宋体" w:cs="宋体"/>
                <w:color w:val="auto"/>
                <w:u w:val="single"/>
              </w:rPr>
              <w:t>④</w:t>
            </w:r>
            <w:r>
              <w:rPr>
                <w:rFonts w:hint="default" w:eastAsiaTheme="minorEastAsia"/>
                <w:color w:val="auto"/>
                <w:u w:val="single"/>
              </w:rPr>
              <w:t>船舶、码头附近出现明火，可能点燃蒸气，导致火灾爆炸事故。</w:t>
            </w:r>
          </w:p>
        </w:tc>
        <w:tc>
          <w:tcPr>
            <w:tcW w:w="1843" w:type="dxa"/>
            <w:vAlign w:val="center"/>
          </w:tcPr>
          <w:p w14:paraId="2D5A0762">
            <w:pPr>
              <w:pStyle w:val="77"/>
              <w:keepNext w:val="0"/>
              <w:keepLines w:val="0"/>
              <w:suppressLineNumbers w:val="0"/>
              <w:spacing w:before="0" w:beforeAutospacing="0" w:after="0" w:afterAutospacing="0"/>
              <w:ind w:left="0" w:right="0"/>
              <w:rPr>
                <w:rFonts w:hint="default" w:eastAsiaTheme="minorEastAsia"/>
                <w:color w:val="auto"/>
              </w:rPr>
            </w:pPr>
            <w:r>
              <w:rPr>
                <w:rFonts w:hint="default" w:eastAsiaTheme="minorEastAsia"/>
                <w:color w:val="auto"/>
              </w:rPr>
              <w:t>油气蒸发由大气扩散或火灾、爆炸产生二次污染物由大气扩散导致周围人员中毒</w:t>
            </w:r>
          </w:p>
        </w:tc>
      </w:tr>
      <w:tr w14:paraId="3FE4B9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trPr>
        <w:tc>
          <w:tcPr>
            <w:tcW w:w="687" w:type="dxa"/>
            <w:vMerge w:val="restart"/>
            <w:vAlign w:val="center"/>
          </w:tcPr>
          <w:p w14:paraId="5197BB0A">
            <w:pPr>
              <w:pStyle w:val="77"/>
              <w:keepNext w:val="0"/>
              <w:keepLines w:val="0"/>
              <w:suppressLineNumbers w:val="0"/>
              <w:spacing w:before="0" w:beforeAutospacing="0" w:after="0" w:afterAutospacing="0"/>
              <w:ind w:left="0" w:right="0"/>
              <w:rPr>
                <w:rFonts w:hint="default" w:eastAsiaTheme="minorEastAsia"/>
                <w:color w:val="auto"/>
                <w:lang w:eastAsia="en-US"/>
              </w:rPr>
            </w:pPr>
            <w:r>
              <w:rPr>
                <w:rFonts w:hint="eastAsia" w:eastAsiaTheme="minorEastAsia"/>
                <w:color w:val="auto"/>
                <w:lang w:eastAsia="zh-CN"/>
              </w:rPr>
              <w:t>油泵、</w:t>
            </w:r>
            <w:r>
              <w:rPr>
                <w:rFonts w:hint="default" w:eastAsiaTheme="minorEastAsia"/>
                <w:color w:val="auto"/>
                <w:lang w:eastAsia="en-US"/>
              </w:rPr>
              <w:t>管线</w:t>
            </w:r>
          </w:p>
        </w:tc>
        <w:tc>
          <w:tcPr>
            <w:tcW w:w="852" w:type="dxa"/>
            <w:vAlign w:val="center"/>
          </w:tcPr>
          <w:p w14:paraId="44EF4CAB">
            <w:pPr>
              <w:pStyle w:val="77"/>
              <w:keepNext w:val="0"/>
              <w:keepLines w:val="0"/>
              <w:suppressLineNumbers w:val="0"/>
              <w:spacing w:before="0" w:beforeAutospacing="0" w:after="0" w:afterAutospacing="0"/>
              <w:ind w:left="0" w:right="0"/>
              <w:rPr>
                <w:rFonts w:hint="default" w:eastAsiaTheme="minorEastAsia"/>
                <w:color w:val="auto"/>
              </w:rPr>
            </w:pPr>
            <w:r>
              <w:rPr>
                <w:rFonts w:hint="default" w:eastAsiaTheme="minorEastAsia"/>
                <w:color w:val="auto"/>
              </w:rPr>
              <w:t>化工品泄漏</w:t>
            </w:r>
          </w:p>
        </w:tc>
        <w:tc>
          <w:tcPr>
            <w:tcW w:w="5534" w:type="dxa"/>
            <w:vAlign w:val="center"/>
          </w:tcPr>
          <w:p w14:paraId="2B5D1463">
            <w:pPr>
              <w:pStyle w:val="77"/>
              <w:keepNext w:val="0"/>
              <w:keepLines w:val="0"/>
              <w:suppressLineNumbers w:val="0"/>
              <w:spacing w:before="0" w:beforeAutospacing="0" w:after="0" w:afterAutospacing="0"/>
              <w:ind w:left="0" w:right="0"/>
              <w:rPr>
                <w:rFonts w:hint="default" w:eastAsiaTheme="minorEastAsia"/>
                <w:color w:val="auto"/>
                <w:u w:val="single"/>
              </w:rPr>
            </w:pPr>
            <w:r>
              <w:rPr>
                <w:rFonts w:hint="eastAsia" w:ascii="宋体" w:hAnsi="宋体" w:cs="宋体"/>
                <w:color w:val="auto"/>
                <w:u w:val="single"/>
              </w:rPr>
              <w:t>①</w:t>
            </w:r>
            <w:r>
              <w:rPr>
                <w:rFonts w:hint="default" w:eastAsiaTheme="minorEastAsia"/>
                <w:color w:val="auto"/>
                <w:u w:val="single"/>
              </w:rPr>
              <w:t>管道选型不当、质量低劣、焊接质量差、柔性考虑不足，管线断裂导致泄漏；</w:t>
            </w:r>
            <w:r>
              <w:rPr>
                <w:rFonts w:hint="eastAsia" w:ascii="宋体" w:hAnsi="宋体" w:cs="宋体"/>
                <w:color w:val="auto"/>
                <w:u w:val="single"/>
              </w:rPr>
              <w:t>②</w:t>
            </w:r>
            <w:r>
              <w:rPr>
                <w:rFonts w:hint="default" w:eastAsiaTheme="minorEastAsia"/>
                <w:color w:val="auto"/>
                <w:u w:val="single"/>
              </w:rPr>
              <w:t>管道系统因腐蚀、磨损而造成管壁减薄穿孔，伸缩节渗漏、导致泄漏；</w:t>
            </w:r>
            <w:r>
              <w:rPr>
                <w:rFonts w:hint="eastAsia" w:ascii="宋体" w:hAnsi="宋体" w:cs="宋体"/>
                <w:color w:val="auto"/>
                <w:u w:val="single"/>
              </w:rPr>
              <w:t>③</w:t>
            </w:r>
            <w:r>
              <w:rPr>
                <w:rFonts w:hint="default" w:eastAsiaTheme="minorEastAsia"/>
                <w:color w:val="auto"/>
                <w:u w:val="single"/>
              </w:rPr>
              <w:t>疲劳失效，造成管道超压破损导致泄漏。</w:t>
            </w:r>
          </w:p>
        </w:tc>
        <w:tc>
          <w:tcPr>
            <w:tcW w:w="1843" w:type="dxa"/>
            <w:vAlign w:val="center"/>
          </w:tcPr>
          <w:p w14:paraId="2CE3F2C2">
            <w:pPr>
              <w:pStyle w:val="77"/>
              <w:keepNext w:val="0"/>
              <w:keepLines w:val="0"/>
              <w:suppressLineNumbers w:val="0"/>
              <w:spacing w:before="0" w:beforeAutospacing="0" w:after="0" w:afterAutospacing="0"/>
              <w:ind w:left="0" w:right="0"/>
              <w:rPr>
                <w:rFonts w:hint="default" w:eastAsiaTheme="minorEastAsia"/>
                <w:color w:val="auto"/>
              </w:rPr>
            </w:pPr>
            <w:r>
              <w:rPr>
                <w:rFonts w:hint="default" w:eastAsiaTheme="minorEastAsia"/>
                <w:color w:val="auto"/>
              </w:rPr>
              <w:t>泄漏油品通过地面漫流排入海洋引起水体污染</w:t>
            </w:r>
            <w:r>
              <w:rPr>
                <w:rFonts w:hint="eastAsia" w:eastAsiaTheme="minorEastAsia"/>
                <w:color w:val="auto"/>
              </w:rPr>
              <w:t>或</w:t>
            </w:r>
            <w:r>
              <w:rPr>
                <w:rFonts w:hint="default" w:eastAsiaTheme="minorEastAsia"/>
                <w:color w:val="auto"/>
              </w:rPr>
              <w:t>通过下渗造成土壤污染</w:t>
            </w:r>
          </w:p>
        </w:tc>
      </w:tr>
      <w:tr w14:paraId="5B10B5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trPr>
        <w:tc>
          <w:tcPr>
            <w:tcW w:w="687" w:type="dxa"/>
            <w:vMerge w:val="continue"/>
            <w:vAlign w:val="center"/>
          </w:tcPr>
          <w:p w14:paraId="44A64526">
            <w:pPr>
              <w:pStyle w:val="77"/>
              <w:keepNext w:val="0"/>
              <w:keepLines w:val="0"/>
              <w:suppressLineNumbers w:val="0"/>
              <w:spacing w:before="0" w:beforeAutospacing="0" w:after="0" w:afterAutospacing="0"/>
              <w:ind w:left="0" w:right="0"/>
              <w:rPr>
                <w:rFonts w:hint="default" w:eastAsiaTheme="minorEastAsia"/>
                <w:color w:val="auto"/>
              </w:rPr>
            </w:pPr>
          </w:p>
        </w:tc>
        <w:tc>
          <w:tcPr>
            <w:tcW w:w="852" w:type="dxa"/>
            <w:vAlign w:val="center"/>
          </w:tcPr>
          <w:p w14:paraId="39B78BC9">
            <w:pPr>
              <w:pStyle w:val="77"/>
              <w:keepNext w:val="0"/>
              <w:keepLines w:val="0"/>
              <w:suppressLineNumbers w:val="0"/>
              <w:spacing w:before="0" w:beforeAutospacing="0" w:after="0" w:afterAutospacing="0"/>
              <w:ind w:left="0" w:right="0"/>
              <w:rPr>
                <w:rFonts w:hint="default" w:eastAsiaTheme="minorEastAsia"/>
                <w:color w:val="auto"/>
              </w:rPr>
            </w:pPr>
            <w:r>
              <w:rPr>
                <w:rFonts w:hint="default" w:eastAsiaTheme="minorEastAsia"/>
                <w:color w:val="auto"/>
              </w:rPr>
              <w:t>化工品火灾和爆炸</w:t>
            </w:r>
          </w:p>
        </w:tc>
        <w:tc>
          <w:tcPr>
            <w:tcW w:w="5534" w:type="dxa"/>
            <w:vAlign w:val="center"/>
          </w:tcPr>
          <w:p w14:paraId="517A74B6">
            <w:pPr>
              <w:pStyle w:val="77"/>
              <w:keepNext w:val="0"/>
              <w:keepLines w:val="0"/>
              <w:suppressLineNumbers w:val="0"/>
              <w:spacing w:before="0" w:beforeAutospacing="0" w:after="0" w:afterAutospacing="0"/>
              <w:ind w:left="0" w:right="0"/>
              <w:rPr>
                <w:rFonts w:hint="default" w:eastAsiaTheme="minorEastAsia"/>
                <w:color w:val="auto"/>
                <w:u w:val="single"/>
              </w:rPr>
            </w:pPr>
            <w:r>
              <w:rPr>
                <w:rFonts w:hint="eastAsia" w:ascii="宋体" w:hAnsi="宋体" w:cs="宋体"/>
                <w:color w:val="auto"/>
                <w:u w:val="single"/>
              </w:rPr>
              <w:t>①</w:t>
            </w:r>
            <w:r>
              <w:rPr>
                <w:rFonts w:hint="default" w:eastAsiaTheme="minorEastAsia"/>
                <w:color w:val="auto"/>
                <w:u w:val="single"/>
              </w:rPr>
              <w:t>设备检修过程中，违章进行焊接、切割等动火作业，易引发火灾爆炸事故；</w:t>
            </w:r>
            <w:r>
              <w:rPr>
                <w:rFonts w:hint="eastAsia" w:ascii="宋体" w:hAnsi="宋体" w:cs="宋体"/>
                <w:color w:val="auto"/>
                <w:u w:val="single"/>
              </w:rPr>
              <w:t>②</w:t>
            </w:r>
            <w:r>
              <w:rPr>
                <w:rFonts w:hint="default" w:eastAsiaTheme="minorEastAsia"/>
                <w:color w:val="auto"/>
                <w:u w:val="single"/>
              </w:rPr>
              <w:t>静电放电点燃气态油品，导致火灾爆炸事故；</w:t>
            </w:r>
            <w:r>
              <w:rPr>
                <w:rFonts w:hint="eastAsia" w:ascii="宋体" w:hAnsi="宋体" w:cs="宋体"/>
                <w:color w:val="auto"/>
                <w:u w:val="single"/>
              </w:rPr>
              <w:t>③</w:t>
            </w:r>
            <w:r>
              <w:rPr>
                <w:rFonts w:hint="default" w:eastAsiaTheme="minorEastAsia"/>
                <w:color w:val="auto"/>
                <w:u w:val="single"/>
              </w:rPr>
              <w:t>电气设备设施存在质量缺陷或操作不当，产生电火花或电弧，可能点燃油品或其蒸气，导致火灾爆炸事故；</w:t>
            </w:r>
            <w:r>
              <w:rPr>
                <w:rFonts w:hint="eastAsia" w:ascii="宋体" w:hAnsi="宋体" w:cs="宋体"/>
                <w:color w:val="auto"/>
                <w:u w:val="single"/>
              </w:rPr>
              <w:t>④</w:t>
            </w:r>
            <w:r>
              <w:rPr>
                <w:rFonts w:hint="default" w:eastAsiaTheme="minorEastAsia"/>
                <w:color w:val="auto"/>
                <w:u w:val="single"/>
              </w:rPr>
              <w:t>管线附近出现明火，可能点燃蒸气，导致火灾爆炸事故。</w:t>
            </w:r>
          </w:p>
        </w:tc>
        <w:tc>
          <w:tcPr>
            <w:tcW w:w="1843" w:type="dxa"/>
            <w:vAlign w:val="center"/>
          </w:tcPr>
          <w:p w14:paraId="61DC4A06">
            <w:pPr>
              <w:pStyle w:val="77"/>
              <w:keepNext w:val="0"/>
              <w:keepLines w:val="0"/>
              <w:suppressLineNumbers w:val="0"/>
              <w:spacing w:before="0" w:beforeAutospacing="0" w:after="0" w:afterAutospacing="0"/>
              <w:ind w:left="0" w:right="0"/>
              <w:rPr>
                <w:rFonts w:hint="default" w:eastAsiaTheme="minorEastAsia"/>
                <w:color w:val="auto"/>
              </w:rPr>
            </w:pPr>
            <w:r>
              <w:rPr>
                <w:rFonts w:hint="default" w:eastAsiaTheme="minorEastAsia"/>
                <w:color w:val="auto"/>
              </w:rPr>
              <w:t>油气蒸发由大气扩散或火灾、爆炸产生二次污染物由大气扩散导致周围人员中毒</w:t>
            </w:r>
          </w:p>
        </w:tc>
      </w:tr>
      <w:tr w14:paraId="2D6687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trPr>
        <w:tc>
          <w:tcPr>
            <w:tcW w:w="687" w:type="dxa"/>
            <w:vMerge w:val="restart"/>
            <w:vAlign w:val="center"/>
          </w:tcPr>
          <w:p w14:paraId="2B044A62">
            <w:pPr>
              <w:pStyle w:val="77"/>
              <w:keepNext w:val="0"/>
              <w:keepLines w:val="0"/>
              <w:suppressLineNumbers w:val="0"/>
              <w:spacing w:before="0" w:beforeAutospacing="0" w:after="0" w:afterAutospacing="0"/>
              <w:ind w:left="0" w:right="0"/>
              <w:rPr>
                <w:rFonts w:hint="default" w:eastAsiaTheme="minorEastAsia"/>
                <w:color w:val="auto"/>
              </w:rPr>
            </w:pPr>
            <w:r>
              <w:rPr>
                <w:rFonts w:hint="eastAsia" w:eastAsiaTheme="minorEastAsia"/>
                <w:color w:val="auto"/>
              </w:rPr>
              <w:t>罐组</w:t>
            </w:r>
          </w:p>
        </w:tc>
        <w:tc>
          <w:tcPr>
            <w:tcW w:w="852" w:type="dxa"/>
            <w:vAlign w:val="center"/>
          </w:tcPr>
          <w:p w14:paraId="5EA657CF">
            <w:pPr>
              <w:pStyle w:val="77"/>
              <w:keepNext w:val="0"/>
              <w:keepLines w:val="0"/>
              <w:suppressLineNumbers w:val="0"/>
              <w:spacing w:before="0" w:beforeAutospacing="0" w:after="0" w:afterAutospacing="0"/>
              <w:ind w:left="0" w:right="0"/>
              <w:rPr>
                <w:rFonts w:hint="default" w:eastAsiaTheme="minorEastAsia"/>
                <w:color w:val="auto"/>
              </w:rPr>
            </w:pPr>
            <w:r>
              <w:rPr>
                <w:rFonts w:hint="default" w:eastAsiaTheme="minorEastAsia"/>
                <w:color w:val="auto"/>
              </w:rPr>
              <w:t>化工品泄漏</w:t>
            </w:r>
          </w:p>
        </w:tc>
        <w:tc>
          <w:tcPr>
            <w:tcW w:w="5534" w:type="dxa"/>
            <w:vAlign w:val="center"/>
          </w:tcPr>
          <w:p w14:paraId="2E83819B">
            <w:pPr>
              <w:pStyle w:val="77"/>
              <w:keepNext w:val="0"/>
              <w:keepLines w:val="0"/>
              <w:suppressLineNumbers w:val="0"/>
              <w:spacing w:before="0" w:beforeAutospacing="0" w:after="0" w:afterAutospacing="0"/>
              <w:ind w:left="0" w:right="0"/>
              <w:rPr>
                <w:rFonts w:hint="default" w:ascii="宋体" w:hAnsi="宋体" w:cs="宋体"/>
                <w:color w:val="auto"/>
                <w:u w:val="single"/>
              </w:rPr>
            </w:pPr>
            <w:r>
              <w:rPr>
                <w:rFonts w:hint="eastAsia" w:ascii="宋体" w:hAnsi="宋体" w:cs="宋体"/>
                <w:color w:val="auto"/>
                <w:u w:val="single"/>
              </w:rPr>
              <w:t>①储罐区底板、圈板腐蚀穿孔或焊接质量差，出现裂纹，进而引发物料泄漏。②储罐液位计等控制系统失灵或操作人员误操作引起物料冒罐。储罐收发作业频次高，可能产生较多的人员误操作。③储罐、连接管道、阀门等设备质量存在缺陷或因故障检修不及时等，致使物料泄漏。</w:t>
            </w:r>
          </w:p>
        </w:tc>
        <w:tc>
          <w:tcPr>
            <w:tcW w:w="1843" w:type="dxa"/>
            <w:vAlign w:val="center"/>
          </w:tcPr>
          <w:p w14:paraId="060FF63F">
            <w:pPr>
              <w:pStyle w:val="77"/>
              <w:keepNext w:val="0"/>
              <w:keepLines w:val="0"/>
              <w:suppressLineNumbers w:val="0"/>
              <w:spacing w:before="0" w:beforeAutospacing="0" w:after="0" w:afterAutospacing="0"/>
              <w:ind w:left="0" w:right="0"/>
              <w:rPr>
                <w:rFonts w:hint="default" w:eastAsiaTheme="minorEastAsia"/>
                <w:color w:val="auto"/>
              </w:rPr>
            </w:pPr>
            <w:r>
              <w:rPr>
                <w:rFonts w:hint="default" w:eastAsiaTheme="minorEastAsia"/>
                <w:color w:val="auto"/>
              </w:rPr>
              <w:t>泄漏油品通过地面漫流排入海洋引起水体污染</w:t>
            </w:r>
            <w:r>
              <w:rPr>
                <w:rFonts w:hint="eastAsia" w:eastAsiaTheme="minorEastAsia"/>
                <w:color w:val="auto"/>
              </w:rPr>
              <w:t>或</w:t>
            </w:r>
            <w:r>
              <w:rPr>
                <w:rFonts w:hint="default" w:eastAsiaTheme="minorEastAsia"/>
                <w:color w:val="auto"/>
              </w:rPr>
              <w:t>通过下渗造成土壤污染</w:t>
            </w:r>
          </w:p>
        </w:tc>
      </w:tr>
      <w:tr w14:paraId="79917F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trPr>
        <w:tc>
          <w:tcPr>
            <w:tcW w:w="687" w:type="dxa"/>
            <w:vMerge w:val="continue"/>
            <w:vAlign w:val="center"/>
          </w:tcPr>
          <w:p w14:paraId="51701246">
            <w:pPr>
              <w:pStyle w:val="77"/>
              <w:keepNext w:val="0"/>
              <w:keepLines w:val="0"/>
              <w:suppressLineNumbers w:val="0"/>
              <w:spacing w:before="0" w:beforeAutospacing="0" w:after="0" w:afterAutospacing="0"/>
              <w:ind w:left="0" w:right="0"/>
              <w:rPr>
                <w:rFonts w:hint="default" w:eastAsiaTheme="minorEastAsia"/>
                <w:color w:val="auto"/>
              </w:rPr>
            </w:pPr>
          </w:p>
        </w:tc>
        <w:tc>
          <w:tcPr>
            <w:tcW w:w="852" w:type="dxa"/>
            <w:vAlign w:val="center"/>
          </w:tcPr>
          <w:p w14:paraId="5379EF21">
            <w:pPr>
              <w:pStyle w:val="77"/>
              <w:keepNext w:val="0"/>
              <w:keepLines w:val="0"/>
              <w:suppressLineNumbers w:val="0"/>
              <w:spacing w:before="0" w:beforeAutospacing="0" w:after="0" w:afterAutospacing="0"/>
              <w:ind w:left="0" w:right="0"/>
              <w:rPr>
                <w:rFonts w:hint="default" w:eastAsiaTheme="minorEastAsia"/>
                <w:color w:val="auto"/>
              </w:rPr>
            </w:pPr>
            <w:r>
              <w:rPr>
                <w:rFonts w:hint="default" w:eastAsiaTheme="minorEastAsia"/>
                <w:color w:val="auto"/>
              </w:rPr>
              <w:t>化工品火灾和爆炸</w:t>
            </w:r>
          </w:p>
        </w:tc>
        <w:tc>
          <w:tcPr>
            <w:tcW w:w="5534" w:type="dxa"/>
            <w:vAlign w:val="center"/>
          </w:tcPr>
          <w:p w14:paraId="07D7ADD1">
            <w:pPr>
              <w:pStyle w:val="77"/>
              <w:keepNext w:val="0"/>
              <w:keepLines w:val="0"/>
              <w:suppressLineNumbers w:val="0"/>
              <w:spacing w:before="0" w:beforeAutospacing="0" w:after="0" w:afterAutospacing="0"/>
              <w:ind w:left="0" w:right="0"/>
              <w:rPr>
                <w:rFonts w:hint="default" w:ascii="宋体" w:hAnsi="宋体" w:cs="宋体"/>
                <w:color w:val="auto"/>
                <w:u w:val="single"/>
              </w:rPr>
            </w:pPr>
            <w:r>
              <w:rPr>
                <w:rFonts w:hint="eastAsia" w:ascii="宋体" w:hAnsi="宋体" w:cs="宋体"/>
                <w:color w:val="auto"/>
                <w:u w:val="single"/>
              </w:rPr>
              <w:t>①设备检修过程中，违章进行焊接、切割等动火作业，易引发火灾爆炸事故；②静电放电点燃气态油品，导致火灾爆炸事故；③电气设备设施存在质量缺陷或操作不当，产生电火花或电弧，可能点燃油品或其蒸气，导致火灾爆炸事故；④管线附近出现明火，可能点燃蒸气，导致火灾爆炸事故。</w:t>
            </w:r>
          </w:p>
        </w:tc>
        <w:tc>
          <w:tcPr>
            <w:tcW w:w="1843" w:type="dxa"/>
            <w:vAlign w:val="center"/>
          </w:tcPr>
          <w:p w14:paraId="7833E2D2">
            <w:pPr>
              <w:pStyle w:val="77"/>
              <w:keepNext w:val="0"/>
              <w:keepLines w:val="0"/>
              <w:suppressLineNumbers w:val="0"/>
              <w:spacing w:before="0" w:beforeAutospacing="0" w:after="0" w:afterAutospacing="0"/>
              <w:ind w:left="0" w:right="0"/>
              <w:rPr>
                <w:rFonts w:hint="default" w:eastAsiaTheme="minorEastAsia"/>
                <w:color w:val="auto"/>
              </w:rPr>
            </w:pPr>
            <w:r>
              <w:rPr>
                <w:rFonts w:hint="default" w:eastAsiaTheme="minorEastAsia"/>
                <w:color w:val="auto"/>
              </w:rPr>
              <w:t>油气蒸发由大气扩散或火灾、爆炸产生二次污染物由大气扩散导致周围人员中毒</w:t>
            </w:r>
          </w:p>
        </w:tc>
      </w:tr>
    </w:tbl>
    <w:p w14:paraId="5DD39E5E">
      <w:pPr>
        <w:pStyle w:val="6"/>
        <w:rPr>
          <w:color w:val="auto"/>
        </w:rPr>
      </w:pPr>
      <w:r>
        <w:rPr>
          <w:color w:val="auto"/>
        </w:rPr>
        <w:t>船舶运输过程中危险性识别</w:t>
      </w:r>
    </w:p>
    <w:p w14:paraId="1A6F6786">
      <w:pPr>
        <w:ind w:firstLine="480"/>
        <w:rPr>
          <w:color w:val="auto"/>
        </w:rPr>
      </w:pPr>
      <w:r>
        <w:rPr>
          <w:color w:val="auto"/>
        </w:rPr>
        <w:t>船舶在入港航道中，由于船舶因素、人为因素、天气因素等可能造成船舶相互碰撞或船舶撞击码头，导致化工品泄漏，污染周边海水环境，甚至引发火灾、爆炸，污染水体及大气环境，危害人群健康。</w:t>
      </w:r>
    </w:p>
    <w:p w14:paraId="3EE33E52">
      <w:pPr>
        <w:pStyle w:val="14"/>
        <w:rPr>
          <w:color w:val="auto"/>
        </w:rPr>
      </w:pPr>
      <w:r>
        <w:rPr>
          <w:rFonts w:hint="eastAsia"/>
          <w:color w:val="auto"/>
        </w:rPr>
        <w:t>表</w:t>
      </w:r>
      <w:r>
        <w:rPr>
          <w:color w:val="auto"/>
        </w:rPr>
        <w:t>5.3</w:t>
      </w:r>
      <w:r>
        <w:rPr>
          <w:color w:val="auto"/>
        </w:rPr>
        <w:noBreakHyphen/>
      </w:r>
      <w:r>
        <w:rPr>
          <w:color w:val="auto"/>
        </w:rPr>
        <w:t>8水上运输风险环节分析一览表</w:t>
      </w:r>
    </w:p>
    <w:tbl>
      <w:tblPr>
        <w:tblStyle w:val="43"/>
        <w:tblW w:w="855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4"/>
        <w:gridCol w:w="709"/>
        <w:gridCol w:w="1276"/>
        <w:gridCol w:w="4677"/>
        <w:gridCol w:w="1203"/>
      </w:tblGrid>
      <w:tr w14:paraId="006F5E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94" w:type="dxa"/>
            <w:vAlign w:val="center"/>
          </w:tcPr>
          <w:p w14:paraId="2EDAA3EF">
            <w:pPr>
              <w:pStyle w:val="77"/>
              <w:keepNext w:val="0"/>
              <w:keepLines w:val="0"/>
              <w:suppressLineNumbers w:val="0"/>
              <w:spacing w:before="0" w:beforeAutospacing="0" w:after="0" w:afterAutospacing="0"/>
              <w:ind w:left="0" w:right="0"/>
              <w:rPr>
                <w:rFonts w:hint="default" w:eastAsiaTheme="minorEastAsia"/>
                <w:b/>
                <w:bCs/>
                <w:color w:val="auto"/>
              </w:rPr>
            </w:pPr>
            <w:r>
              <w:rPr>
                <w:rFonts w:hint="default" w:eastAsiaTheme="minorEastAsia"/>
                <w:b/>
                <w:bCs/>
                <w:color w:val="auto"/>
              </w:rPr>
              <w:t>发生地点</w:t>
            </w:r>
          </w:p>
        </w:tc>
        <w:tc>
          <w:tcPr>
            <w:tcW w:w="709" w:type="dxa"/>
            <w:vAlign w:val="center"/>
          </w:tcPr>
          <w:p w14:paraId="14CFE0FE">
            <w:pPr>
              <w:pStyle w:val="77"/>
              <w:keepNext w:val="0"/>
              <w:keepLines w:val="0"/>
              <w:suppressLineNumbers w:val="0"/>
              <w:spacing w:before="0" w:beforeAutospacing="0" w:after="0" w:afterAutospacing="0"/>
              <w:ind w:left="0" w:right="0"/>
              <w:rPr>
                <w:rFonts w:hint="default" w:eastAsiaTheme="minorEastAsia"/>
                <w:b/>
                <w:bCs/>
                <w:color w:val="auto"/>
              </w:rPr>
            </w:pPr>
            <w:r>
              <w:rPr>
                <w:rFonts w:hint="default" w:eastAsiaTheme="minorEastAsia"/>
                <w:b/>
                <w:bCs/>
                <w:color w:val="auto"/>
              </w:rPr>
              <w:t>危险单元</w:t>
            </w:r>
          </w:p>
        </w:tc>
        <w:tc>
          <w:tcPr>
            <w:tcW w:w="1276" w:type="dxa"/>
            <w:vAlign w:val="center"/>
          </w:tcPr>
          <w:p w14:paraId="05F72999">
            <w:pPr>
              <w:pStyle w:val="77"/>
              <w:keepNext w:val="0"/>
              <w:keepLines w:val="0"/>
              <w:suppressLineNumbers w:val="0"/>
              <w:spacing w:before="0" w:beforeAutospacing="0" w:after="0" w:afterAutospacing="0"/>
              <w:ind w:left="0" w:right="0"/>
              <w:rPr>
                <w:rFonts w:hint="default" w:eastAsiaTheme="minorEastAsia"/>
                <w:b/>
                <w:bCs/>
                <w:color w:val="auto"/>
              </w:rPr>
            </w:pPr>
            <w:r>
              <w:rPr>
                <w:rFonts w:hint="default" w:eastAsiaTheme="minorEastAsia"/>
                <w:b/>
                <w:bCs/>
                <w:color w:val="auto"/>
              </w:rPr>
              <w:t>风险事故类型</w:t>
            </w:r>
          </w:p>
        </w:tc>
        <w:tc>
          <w:tcPr>
            <w:tcW w:w="4677" w:type="dxa"/>
            <w:vAlign w:val="center"/>
          </w:tcPr>
          <w:p w14:paraId="76038455">
            <w:pPr>
              <w:pStyle w:val="77"/>
              <w:keepNext w:val="0"/>
              <w:keepLines w:val="0"/>
              <w:suppressLineNumbers w:val="0"/>
              <w:spacing w:before="0" w:beforeAutospacing="0" w:after="0" w:afterAutospacing="0"/>
              <w:ind w:left="0" w:right="0"/>
              <w:rPr>
                <w:rFonts w:hint="default" w:eastAsiaTheme="minorEastAsia"/>
                <w:b/>
                <w:bCs/>
                <w:color w:val="auto"/>
                <w:u w:val="single"/>
              </w:rPr>
            </w:pPr>
            <w:r>
              <w:rPr>
                <w:rFonts w:hint="default" w:eastAsiaTheme="minorEastAsia"/>
                <w:b/>
                <w:bCs/>
                <w:color w:val="auto"/>
                <w:u w:val="single"/>
              </w:rPr>
              <w:t>转化为事故的触发因素</w:t>
            </w:r>
          </w:p>
        </w:tc>
        <w:tc>
          <w:tcPr>
            <w:tcW w:w="1203" w:type="dxa"/>
            <w:vAlign w:val="center"/>
          </w:tcPr>
          <w:p w14:paraId="7FF8A218">
            <w:pPr>
              <w:pStyle w:val="77"/>
              <w:keepNext w:val="0"/>
              <w:keepLines w:val="0"/>
              <w:suppressLineNumbers w:val="0"/>
              <w:spacing w:before="0" w:beforeAutospacing="0" w:after="0" w:afterAutospacing="0"/>
              <w:ind w:left="0" w:right="0"/>
              <w:rPr>
                <w:rFonts w:hint="default" w:eastAsiaTheme="minorEastAsia"/>
                <w:b/>
                <w:bCs/>
                <w:color w:val="auto"/>
                <w:lang w:eastAsia="en-US"/>
              </w:rPr>
            </w:pPr>
            <w:r>
              <w:rPr>
                <w:rFonts w:hint="default" w:eastAsiaTheme="minorEastAsia"/>
                <w:b/>
                <w:bCs/>
                <w:color w:val="auto"/>
                <w:lang w:eastAsia="en-US"/>
              </w:rPr>
              <w:t>危险性</w:t>
            </w:r>
          </w:p>
        </w:tc>
      </w:tr>
      <w:tr w14:paraId="73E0DC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94" w:type="dxa"/>
            <w:vAlign w:val="center"/>
          </w:tcPr>
          <w:p w14:paraId="4B7F3D2D">
            <w:pPr>
              <w:pStyle w:val="77"/>
              <w:keepNext w:val="0"/>
              <w:keepLines w:val="0"/>
              <w:suppressLineNumbers w:val="0"/>
              <w:spacing w:before="0" w:beforeAutospacing="0" w:after="0" w:afterAutospacing="0"/>
              <w:ind w:left="0" w:right="0"/>
              <w:rPr>
                <w:rFonts w:hint="default" w:eastAsiaTheme="minorEastAsia"/>
                <w:color w:val="auto"/>
                <w:sz w:val="20"/>
                <w:lang w:eastAsia="en-US"/>
              </w:rPr>
            </w:pPr>
            <w:r>
              <w:rPr>
                <w:rFonts w:hint="default" w:eastAsiaTheme="minorEastAsia"/>
                <w:color w:val="auto"/>
                <w:lang w:eastAsia="en-US"/>
              </w:rPr>
              <w:t>航道/锚地</w:t>
            </w:r>
          </w:p>
        </w:tc>
        <w:tc>
          <w:tcPr>
            <w:tcW w:w="709" w:type="dxa"/>
            <w:vAlign w:val="center"/>
          </w:tcPr>
          <w:p w14:paraId="6B5ABA38">
            <w:pPr>
              <w:pStyle w:val="77"/>
              <w:keepNext w:val="0"/>
              <w:keepLines w:val="0"/>
              <w:suppressLineNumbers w:val="0"/>
              <w:spacing w:before="0" w:beforeAutospacing="0" w:after="0" w:afterAutospacing="0"/>
              <w:ind w:left="0" w:right="0"/>
              <w:rPr>
                <w:rFonts w:hint="default" w:eastAsiaTheme="minorEastAsia"/>
                <w:color w:val="auto"/>
                <w:sz w:val="20"/>
                <w:lang w:eastAsia="en-US"/>
              </w:rPr>
            </w:pPr>
            <w:r>
              <w:rPr>
                <w:rFonts w:hint="default" w:eastAsiaTheme="minorEastAsia"/>
                <w:color w:val="auto"/>
                <w:lang w:eastAsia="en-US"/>
              </w:rPr>
              <w:t>船舶</w:t>
            </w:r>
          </w:p>
        </w:tc>
        <w:tc>
          <w:tcPr>
            <w:tcW w:w="1276" w:type="dxa"/>
            <w:vAlign w:val="center"/>
          </w:tcPr>
          <w:p w14:paraId="12A6D79B">
            <w:pPr>
              <w:pStyle w:val="77"/>
              <w:keepNext w:val="0"/>
              <w:keepLines w:val="0"/>
              <w:suppressLineNumbers w:val="0"/>
              <w:spacing w:before="0" w:beforeAutospacing="0" w:after="0" w:afterAutospacing="0"/>
              <w:ind w:left="0" w:right="0"/>
              <w:rPr>
                <w:rFonts w:hint="default" w:eastAsiaTheme="minorEastAsia"/>
                <w:color w:val="auto"/>
              </w:rPr>
            </w:pPr>
            <w:r>
              <w:rPr>
                <w:rFonts w:hint="default" w:eastAsiaTheme="minorEastAsia"/>
                <w:color w:val="auto"/>
              </w:rPr>
              <w:t>油品、化工品、燃料油泄漏</w:t>
            </w:r>
          </w:p>
        </w:tc>
        <w:tc>
          <w:tcPr>
            <w:tcW w:w="4677" w:type="dxa"/>
            <w:vAlign w:val="center"/>
          </w:tcPr>
          <w:p w14:paraId="25AA0018">
            <w:pPr>
              <w:pStyle w:val="77"/>
              <w:keepNext w:val="0"/>
              <w:keepLines w:val="0"/>
              <w:suppressLineNumbers w:val="0"/>
              <w:spacing w:before="0" w:beforeAutospacing="0" w:after="0" w:afterAutospacing="0"/>
              <w:ind w:left="0" w:right="0"/>
              <w:rPr>
                <w:rFonts w:hint="default" w:eastAsiaTheme="minorEastAsia"/>
                <w:color w:val="auto"/>
                <w:u w:val="single"/>
              </w:rPr>
            </w:pPr>
            <w:r>
              <w:rPr>
                <w:rFonts w:hint="eastAsia" w:ascii="宋体" w:hAnsi="宋体" w:cs="宋体"/>
                <w:color w:val="auto"/>
                <w:u w:val="single"/>
              </w:rPr>
              <w:t>①</w:t>
            </w:r>
            <w:r>
              <w:rPr>
                <w:rFonts w:hint="default" w:eastAsiaTheme="minorEastAsia"/>
                <w:color w:val="auto"/>
                <w:u w:val="single"/>
              </w:rPr>
              <w:t>供油作业，操作失误；</w:t>
            </w:r>
            <w:r>
              <w:rPr>
                <w:rFonts w:hint="eastAsia" w:ascii="宋体" w:hAnsi="宋体" w:cs="宋体"/>
                <w:color w:val="auto"/>
                <w:u w:val="single"/>
              </w:rPr>
              <w:t>②</w:t>
            </w:r>
            <w:r>
              <w:rPr>
                <w:rFonts w:hint="default" w:eastAsiaTheme="minorEastAsia"/>
                <w:color w:val="auto"/>
                <w:u w:val="single"/>
              </w:rPr>
              <w:t>供油软管等设备故障，造成燃油泄漏；</w:t>
            </w:r>
            <w:r>
              <w:rPr>
                <w:rFonts w:hint="eastAsia" w:ascii="宋体" w:hAnsi="宋体" w:cs="宋体"/>
                <w:color w:val="auto"/>
                <w:u w:val="single"/>
              </w:rPr>
              <w:t>③</w:t>
            </w:r>
            <w:r>
              <w:rPr>
                <w:rFonts w:hint="default" w:eastAsiaTheme="minorEastAsia"/>
                <w:color w:val="auto"/>
                <w:u w:val="single"/>
              </w:rPr>
              <w:t>船舶碰撞，造成油品、化工品、燃料油泄漏。</w:t>
            </w:r>
          </w:p>
        </w:tc>
        <w:tc>
          <w:tcPr>
            <w:tcW w:w="1203" w:type="dxa"/>
            <w:vMerge w:val="restart"/>
            <w:vAlign w:val="center"/>
          </w:tcPr>
          <w:p w14:paraId="05D267B2">
            <w:pPr>
              <w:pStyle w:val="77"/>
              <w:keepNext w:val="0"/>
              <w:keepLines w:val="0"/>
              <w:suppressLineNumbers w:val="0"/>
              <w:spacing w:before="0" w:beforeAutospacing="0" w:after="0" w:afterAutospacing="0"/>
              <w:ind w:left="0" w:right="0"/>
              <w:rPr>
                <w:rFonts w:hint="default" w:eastAsiaTheme="minorEastAsia"/>
                <w:color w:val="auto"/>
                <w:sz w:val="20"/>
              </w:rPr>
            </w:pPr>
            <w:r>
              <w:rPr>
                <w:rFonts w:hint="default" w:eastAsiaTheme="minorEastAsia"/>
                <w:color w:val="auto"/>
              </w:rPr>
              <w:t>油品、化工品、燃料油泄漏进入海洋引起水体污染</w:t>
            </w:r>
          </w:p>
        </w:tc>
      </w:tr>
      <w:tr w14:paraId="702CC2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94" w:type="dxa"/>
            <w:vAlign w:val="center"/>
          </w:tcPr>
          <w:p w14:paraId="14731802">
            <w:pPr>
              <w:pStyle w:val="77"/>
              <w:keepNext w:val="0"/>
              <w:keepLines w:val="0"/>
              <w:suppressLineNumbers w:val="0"/>
              <w:spacing w:before="0" w:beforeAutospacing="0" w:after="0" w:afterAutospacing="0"/>
              <w:ind w:left="0" w:right="0"/>
              <w:rPr>
                <w:rFonts w:hint="default" w:eastAsiaTheme="minorEastAsia"/>
                <w:color w:val="auto"/>
                <w:sz w:val="20"/>
              </w:rPr>
            </w:pPr>
            <w:r>
              <w:rPr>
                <w:rFonts w:hint="default" w:eastAsiaTheme="minorEastAsia"/>
                <w:color w:val="auto"/>
                <w:lang w:eastAsia="en-US"/>
              </w:rPr>
              <w:t>港池海域</w:t>
            </w:r>
          </w:p>
        </w:tc>
        <w:tc>
          <w:tcPr>
            <w:tcW w:w="709" w:type="dxa"/>
            <w:vAlign w:val="center"/>
          </w:tcPr>
          <w:p w14:paraId="1E6CC2FF">
            <w:pPr>
              <w:pStyle w:val="77"/>
              <w:keepNext w:val="0"/>
              <w:keepLines w:val="0"/>
              <w:suppressLineNumbers w:val="0"/>
              <w:spacing w:before="0" w:beforeAutospacing="0" w:after="0" w:afterAutospacing="0"/>
              <w:ind w:left="0" w:right="0"/>
              <w:rPr>
                <w:rFonts w:hint="default" w:eastAsiaTheme="minorEastAsia"/>
                <w:color w:val="auto"/>
                <w:sz w:val="20"/>
              </w:rPr>
            </w:pPr>
            <w:r>
              <w:rPr>
                <w:rFonts w:hint="default" w:eastAsiaTheme="minorEastAsia"/>
                <w:color w:val="auto"/>
                <w:lang w:eastAsia="en-US"/>
              </w:rPr>
              <w:t>船舶</w:t>
            </w:r>
          </w:p>
        </w:tc>
        <w:tc>
          <w:tcPr>
            <w:tcW w:w="1276" w:type="dxa"/>
            <w:vAlign w:val="center"/>
          </w:tcPr>
          <w:p w14:paraId="4D8161F0">
            <w:pPr>
              <w:pStyle w:val="77"/>
              <w:keepNext w:val="0"/>
              <w:keepLines w:val="0"/>
              <w:suppressLineNumbers w:val="0"/>
              <w:spacing w:before="0" w:beforeAutospacing="0" w:after="0" w:afterAutospacing="0"/>
              <w:ind w:left="0" w:right="0"/>
              <w:rPr>
                <w:rFonts w:hint="default" w:eastAsiaTheme="minorEastAsia"/>
                <w:color w:val="auto"/>
                <w:sz w:val="20"/>
              </w:rPr>
            </w:pPr>
            <w:r>
              <w:rPr>
                <w:rFonts w:hint="default" w:eastAsiaTheme="minorEastAsia"/>
                <w:color w:val="auto"/>
              </w:rPr>
              <w:t>油品、化工品、燃料油泄漏</w:t>
            </w:r>
          </w:p>
        </w:tc>
        <w:tc>
          <w:tcPr>
            <w:tcW w:w="4677" w:type="dxa"/>
            <w:vAlign w:val="center"/>
          </w:tcPr>
          <w:p w14:paraId="779721F4">
            <w:pPr>
              <w:pStyle w:val="77"/>
              <w:keepNext w:val="0"/>
              <w:keepLines w:val="0"/>
              <w:suppressLineNumbers w:val="0"/>
              <w:spacing w:before="0" w:beforeAutospacing="0" w:after="0" w:afterAutospacing="0"/>
              <w:ind w:left="0" w:right="0"/>
              <w:rPr>
                <w:rFonts w:hint="default" w:eastAsiaTheme="minorEastAsia"/>
                <w:color w:val="auto"/>
                <w:u w:val="single"/>
              </w:rPr>
            </w:pPr>
            <w:r>
              <w:rPr>
                <w:rFonts w:hint="eastAsia" w:eastAsiaTheme="minorEastAsia"/>
                <w:color w:val="auto"/>
                <w:u w:val="single"/>
              </w:rPr>
              <w:t>①</w:t>
            </w:r>
            <w:r>
              <w:rPr>
                <w:rFonts w:hint="default" w:eastAsiaTheme="minorEastAsia"/>
                <w:color w:val="auto"/>
                <w:u w:val="single"/>
              </w:rPr>
              <w:t>码头前沿附近海域，由于</w:t>
            </w:r>
            <w:r>
              <w:rPr>
                <w:rFonts w:hint="eastAsia" w:eastAsiaTheme="minorEastAsia"/>
                <w:color w:val="auto"/>
                <w:u w:val="single"/>
                <w:lang w:eastAsia="zh-CN"/>
              </w:rPr>
              <w:t>操作失误</w:t>
            </w:r>
            <w:r>
              <w:rPr>
                <w:rFonts w:hint="default" w:eastAsiaTheme="minorEastAsia"/>
                <w:color w:val="auto"/>
                <w:u w:val="single"/>
              </w:rPr>
              <w:t>，船与</w:t>
            </w:r>
            <w:r>
              <w:rPr>
                <w:rFonts w:hint="eastAsia" w:eastAsiaTheme="minorEastAsia"/>
                <w:color w:val="auto"/>
                <w:u w:val="single"/>
                <w:lang w:eastAsia="zh-CN"/>
              </w:rPr>
              <w:t>其他</w:t>
            </w:r>
            <w:r>
              <w:rPr>
                <w:rFonts w:hint="default" w:eastAsiaTheme="minorEastAsia"/>
                <w:color w:val="auto"/>
                <w:u w:val="single"/>
              </w:rPr>
              <w:t>船舶发生碰撞，导致油品、化工品、燃料泄漏；</w:t>
            </w:r>
            <w:r>
              <w:rPr>
                <w:rFonts w:hint="eastAsia" w:eastAsiaTheme="minorEastAsia"/>
                <w:color w:val="auto"/>
                <w:u w:val="single"/>
              </w:rPr>
              <w:t>②</w:t>
            </w:r>
            <w:r>
              <w:rPr>
                <w:rFonts w:hint="default" w:eastAsiaTheme="minorEastAsia"/>
                <w:color w:val="auto"/>
                <w:u w:val="single"/>
              </w:rPr>
              <w:t>船舶在靠、离码头过程中，因操作不当，或因水文、气象条件不良等原因，船舶与码头碰撞，导致燃油品、化工品、燃料泄漏。</w:t>
            </w:r>
          </w:p>
        </w:tc>
        <w:tc>
          <w:tcPr>
            <w:tcW w:w="1203" w:type="dxa"/>
            <w:vMerge w:val="continue"/>
            <w:vAlign w:val="center"/>
          </w:tcPr>
          <w:p w14:paraId="7BFE91D0">
            <w:pPr>
              <w:pStyle w:val="77"/>
              <w:keepNext w:val="0"/>
              <w:keepLines w:val="0"/>
              <w:suppressLineNumbers w:val="0"/>
              <w:spacing w:before="0" w:beforeAutospacing="0" w:after="0" w:afterAutospacing="0"/>
              <w:ind w:left="0" w:right="0"/>
              <w:rPr>
                <w:rFonts w:hint="default" w:eastAsiaTheme="minorEastAsia"/>
                <w:color w:val="auto"/>
              </w:rPr>
            </w:pPr>
          </w:p>
        </w:tc>
      </w:tr>
    </w:tbl>
    <w:p w14:paraId="00264FC0">
      <w:pPr>
        <w:pStyle w:val="6"/>
        <w:rPr>
          <w:color w:val="auto"/>
        </w:rPr>
      </w:pPr>
      <w:r>
        <w:rPr>
          <w:rFonts w:hint="eastAsia"/>
          <w:color w:val="auto"/>
        </w:rPr>
        <w:t>环保设施</w:t>
      </w:r>
      <w:r>
        <w:rPr>
          <w:color w:val="auto"/>
        </w:rPr>
        <w:t>风险性识别</w:t>
      </w:r>
    </w:p>
    <w:p w14:paraId="58CE3B83">
      <w:pPr>
        <w:ind w:firstLine="480"/>
        <w:rPr>
          <w:color w:val="auto"/>
        </w:rPr>
      </w:pPr>
      <w:r>
        <w:rPr>
          <w:rFonts w:hint="eastAsia"/>
          <w:color w:val="auto"/>
        </w:rPr>
        <w:t>在</w:t>
      </w:r>
      <w:r>
        <w:rPr>
          <w:color w:val="auto"/>
        </w:rPr>
        <w:t>罐组收集</w:t>
      </w:r>
      <w:r>
        <w:rPr>
          <w:rFonts w:hint="eastAsia"/>
          <w:color w:val="auto"/>
        </w:rPr>
        <w:t>初期</w:t>
      </w:r>
      <w:r>
        <w:rPr>
          <w:color w:val="auto"/>
        </w:rPr>
        <w:t>雨水</w:t>
      </w:r>
      <w:r>
        <w:rPr>
          <w:rFonts w:hint="eastAsia"/>
          <w:color w:val="auto"/>
        </w:rPr>
        <w:t>等</w:t>
      </w:r>
      <w:r>
        <w:rPr>
          <w:color w:val="auto"/>
        </w:rPr>
        <w:t>的情况下，若切换阀门</w:t>
      </w:r>
      <w:r>
        <w:rPr>
          <w:rFonts w:hint="eastAsia"/>
          <w:color w:val="auto"/>
        </w:rPr>
        <w:t>发生</w:t>
      </w:r>
      <w:r>
        <w:rPr>
          <w:color w:val="auto"/>
        </w:rPr>
        <w:t>故障，</w:t>
      </w:r>
      <w:r>
        <w:rPr>
          <w:rFonts w:hint="eastAsia"/>
          <w:color w:val="auto"/>
        </w:rPr>
        <w:t>导致罐组</w:t>
      </w:r>
      <w:r>
        <w:rPr>
          <w:color w:val="auto"/>
        </w:rPr>
        <w:t>的污水通过雨水管网进入海域中，对周边海水水质、海洋环境</w:t>
      </w:r>
      <w:r>
        <w:rPr>
          <w:rFonts w:hint="eastAsia"/>
          <w:color w:val="auto"/>
        </w:rPr>
        <w:t>造成</w:t>
      </w:r>
      <w:r>
        <w:rPr>
          <w:color w:val="auto"/>
        </w:rPr>
        <w:t>影响。</w:t>
      </w:r>
    </w:p>
    <w:p w14:paraId="7ACDE45C">
      <w:pPr>
        <w:ind w:firstLine="480"/>
        <w:rPr>
          <w:color w:val="auto"/>
        </w:rPr>
      </w:pPr>
      <w:r>
        <w:rPr>
          <w:color w:val="auto"/>
        </w:rPr>
        <w:t>在码头上发生泄漏、冲洗码头、收集初期雨水等情況下，若码头上的污水收集池或污水泵出现故障，可能导致码头面上的污水溢出码头进入周边海域中，将对周边海域海水水质、海洋环境造成较大影响。</w:t>
      </w:r>
    </w:p>
    <w:p w14:paraId="47BE887F">
      <w:pPr>
        <w:pStyle w:val="4"/>
        <w:rPr>
          <w:color w:val="auto"/>
        </w:rPr>
      </w:pPr>
      <w:r>
        <w:rPr>
          <w:rFonts w:hint="eastAsia"/>
          <w:color w:val="auto"/>
        </w:rPr>
        <w:t>风险识别</w:t>
      </w:r>
      <w:r>
        <w:rPr>
          <w:color w:val="auto"/>
        </w:rPr>
        <w:t>结果</w:t>
      </w:r>
    </w:p>
    <w:p w14:paraId="73873957">
      <w:pPr>
        <w:adjustRightInd w:val="0"/>
        <w:snapToGrid w:val="0"/>
        <w:ind w:firstLine="480"/>
        <w:rPr>
          <w:color w:val="auto"/>
        </w:rPr>
      </w:pPr>
      <w:r>
        <w:rPr>
          <w:rFonts w:hint="eastAsia"/>
          <w:color w:val="auto"/>
        </w:rPr>
        <w:t>（1）风险类型</w:t>
      </w:r>
      <w:r>
        <w:rPr>
          <w:color w:val="auto"/>
        </w:rPr>
        <w:t>和影响途径</w:t>
      </w:r>
    </w:p>
    <w:p w14:paraId="25AFAA34">
      <w:pPr>
        <w:adjustRightInd w:val="0"/>
        <w:snapToGrid w:val="0"/>
        <w:ind w:firstLine="480"/>
        <w:rPr>
          <w:color w:val="auto"/>
        </w:rPr>
      </w:pPr>
      <w:r>
        <w:rPr>
          <w:rFonts w:hint="eastAsia"/>
          <w:color w:val="auto"/>
        </w:rPr>
        <w:t>本项目发生化工品泄漏后，有毒有害物质的扩散途径主要是海水、大气和</w:t>
      </w:r>
      <w:r>
        <w:rPr>
          <w:color w:val="auto"/>
        </w:rPr>
        <w:t>土壤</w:t>
      </w:r>
      <w:r>
        <w:rPr>
          <w:rFonts w:hint="eastAsia"/>
          <w:color w:val="auto"/>
        </w:rPr>
        <w:t>。本项目</w:t>
      </w:r>
      <w:r>
        <w:rPr>
          <w:color w:val="auto"/>
        </w:rPr>
        <w:t>新增货种均不溶于水，</w:t>
      </w:r>
      <w:r>
        <w:rPr>
          <w:rFonts w:hint="eastAsia"/>
          <w:color w:val="auto"/>
        </w:rPr>
        <w:t>化工品泄漏进入海水中后，漂浮在水面上，在海流及风力的作用下随海流漂移扩散。化工品泄漏后，部分易挥发化工品挥发至大气中，在风力的作用下载空气中迁移扩散。</w:t>
      </w:r>
    </w:p>
    <w:p w14:paraId="5F21606F">
      <w:pPr>
        <w:adjustRightInd w:val="0"/>
        <w:snapToGrid w:val="0"/>
        <w:ind w:firstLine="480"/>
        <w:rPr>
          <w:color w:val="auto"/>
        </w:rPr>
      </w:pPr>
      <w:r>
        <w:rPr>
          <w:color w:val="auto"/>
        </w:rPr>
        <w:t>综上分析，危险物质向环境转移的途径及可能受影响的环境敏感目标见下表。</w:t>
      </w:r>
    </w:p>
    <w:p w14:paraId="1E7D7079">
      <w:pPr>
        <w:pStyle w:val="14"/>
        <w:rPr>
          <w:color w:val="auto"/>
        </w:rPr>
      </w:pPr>
      <w:r>
        <w:rPr>
          <w:rFonts w:hint="eastAsia"/>
          <w:color w:val="auto"/>
        </w:rPr>
        <w:t>表</w:t>
      </w:r>
      <w:r>
        <w:rPr>
          <w:color w:val="auto"/>
        </w:rPr>
        <w:t>5.3</w:t>
      </w:r>
      <w:r>
        <w:rPr>
          <w:color w:val="auto"/>
        </w:rPr>
        <w:noBreakHyphen/>
      </w:r>
      <w:r>
        <w:rPr>
          <w:color w:val="auto"/>
        </w:rPr>
        <w:t>9项目环境风险识别一览表</w:t>
      </w:r>
    </w:p>
    <w:tbl>
      <w:tblPr>
        <w:tblStyle w:val="43"/>
        <w:tblW w:w="89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4"/>
        <w:gridCol w:w="1353"/>
        <w:gridCol w:w="2041"/>
        <w:gridCol w:w="1276"/>
        <w:gridCol w:w="1559"/>
        <w:gridCol w:w="1559"/>
      </w:tblGrid>
      <w:tr w14:paraId="4E41D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4" w:type="dxa"/>
            <w:tcBorders>
              <w:top w:val="single" w:color="auto" w:sz="4" w:space="0"/>
              <w:left w:val="single" w:color="auto" w:sz="4" w:space="0"/>
              <w:bottom w:val="single" w:color="auto" w:sz="4" w:space="0"/>
              <w:right w:val="single" w:color="auto" w:sz="4" w:space="0"/>
            </w:tcBorders>
            <w:vAlign w:val="center"/>
          </w:tcPr>
          <w:p w14:paraId="4D5085E2">
            <w:pPr>
              <w:pStyle w:val="91"/>
              <w:keepNext w:val="0"/>
              <w:keepLines w:val="0"/>
              <w:suppressLineNumbers w:val="0"/>
              <w:spacing w:before="0" w:beforeAutospacing="0" w:after="0" w:afterAutospacing="0"/>
              <w:ind w:left="0" w:right="0"/>
              <w:rPr>
                <w:rFonts w:hint="default"/>
                <w:b/>
                <w:color w:val="auto"/>
              </w:rPr>
            </w:pPr>
            <w:r>
              <w:rPr>
                <w:rFonts w:hint="default"/>
                <w:b/>
                <w:color w:val="auto"/>
              </w:rPr>
              <w:t>危险单元</w:t>
            </w:r>
          </w:p>
        </w:tc>
        <w:tc>
          <w:tcPr>
            <w:tcW w:w="1353" w:type="dxa"/>
            <w:tcBorders>
              <w:top w:val="single" w:color="auto" w:sz="4" w:space="0"/>
              <w:left w:val="single" w:color="auto" w:sz="4" w:space="0"/>
              <w:bottom w:val="single" w:color="auto" w:sz="4" w:space="0"/>
              <w:right w:val="single" w:color="auto" w:sz="4" w:space="0"/>
            </w:tcBorders>
            <w:vAlign w:val="center"/>
          </w:tcPr>
          <w:p w14:paraId="252D0439">
            <w:pPr>
              <w:pStyle w:val="91"/>
              <w:keepNext w:val="0"/>
              <w:keepLines w:val="0"/>
              <w:suppressLineNumbers w:val="0"/>
              <w:spacing w:before="0" w:beforeAutospacing="0" w:after="0" w:afterAutospacing="0"/>
              <w:ind w:left="0" w:right="0"/>
              <w:rPr>
                <w:rFonts w:hint="default"/>
                <w:b/>
                <w:color w:val="auto"/>
              </w:rPr>
            </w:pPr>
            <w:r>
              <w:rPr>
                <w:rFonts w:hint="default"/>
                <w:b/>
                <w:color w:val="auto"/>
              </w:rPr>
              <w:t>风险源</w:t>
            </w:r>
          </w:p>
        </w:tc>
        <w:tc>
          <w:tcPr>
            <w:tcW w:w="2041" w:type="dxa"/>
            <w:tcBorders>
              <w:top w:val="single" w:color="auto" w:sz="4" w:space="0"/>
              <w:left w:val="single" w:color="auto" w:sz="4" w:space="0"/>
              <w:bottom w:val="single" w:color="auto" w:sz="4" w:space="0"/>
              <w:right w:val="single" w:color="auto" w:sz="4" w:space="0"/>
            </w:tcBorders>
            <w:vAlign w:val="center"/>
          </w:tcPr>
          <w:p w14:paraId="4B07BF5F">
            <w:pPr>
              <w:pStyle w:val="91"/>
              <w:keepNext w:val="0"/>
              <w:keepLines w:val="0"/>
              <w:suppressLineNumbers w:val="0"/>
              <w:spacing w:before="0" w:beforeAutospacing="0" w:after="0" w:afterAutospacing="0"/>
              <w:ind w:left="0" w:right="0"/>
              <w:rPr>
                <w:rFonts w:hint="default"/>
                <w:b/>
                <w:color w:val="auto"/>
                <w:spacing w:val="-4"/>
              </w:rPr>
            </w:pPr>
            <w:r>
              <w:rPr>
                <w:rFonts w:hint="default"/>
                <w:b/>
                <w:color w:val="auto"/>
                <w:spacing w:val="-4"/>
              </w:rPr>
              <w:t>主要危险物质</w:t>
            </w:r>
          </w:p>
        </w:tc>
        <w:tc>
          <w:tcPr>
            <w:tcW w:w="1276" w:type="dxa"/>
            <w:tcBorders>
              <w:top w:val="single" w:color="auto" w:sz="4" w:space="0"/>
              <w:left w:val="single" w:color="auto" w:sz="4" w:space="0"/>
              <w:bottom w:val="single" w:color="auto" w:sz="4" w:space="0"/>
              <w:right w:val="single" w:color="auto" w:sz="4" w:space="0"/>
            </w:tcBorders>
            <w:vAlign w:val="center"/>
          </w:tcPr>
          <w:p w14:paraId="03456FFD">
            <w:pPr>
              <w:pStyle w:val="91"/>
              <w:keepNext w:val="0"/>
              <w:keepLines w:val="0"/>
              <w:suppressLineNumbers w:val="0"/>
              <w:spacing w:before="0" w:beforeAutospacing="0" w:after="0" w:afterAutospacing="0"/>
              <w:ind w:left="0" w:right="0"/>
              <w:rPr>
                <w:rFonts w:hint="default"/>
                <w:b/>
                <w:color w:val="auto"/>
              </w:rPr>
            </w:pPr>
            <w:r>
              <w:rPr>
                <w:rFonts w:hint="default"/>
                <w:b/>
                <w:color w:val="auto"/>
              </w:rPr>
              <w:t>环境风险类型</w:t>
            </w:r>
          </w:p>
        </w:tc>
        <w:tc>
          <w:tcPr>
            <w:tcW w:w="1559" w:type="dxa"/>
            <w:tcBorders>
              <w:top w:val="single" w:color="auto" w:sz="4" w:space="0"/>
              <w:left w:val="single" w:color="auto" w:sz="4" w:space="0"/>
              <w:bottom w:val="single" w:color="auto" w:sz="4" w:space="0"/>
              <w:right w:val="single" w:color="auto" w:sz="4" w:space="0"/>
            </w:tcBorders>
            <w:vAlign w:val="center"/>
          </w:tcPr>
          <w:p w14:paraId="19E5F389">
            <w:pPr>
              <w:pStyle w:val="91"/>
              <w:keepNext w:val="0"/>
              <w:keepLines w:val="0"/>
              <w:suppressLineNumbers w:val="0"/>
              <w:spacing w:before="0" w:beforeAutospacing="0" w:after="0" w:afterAutospacing="0"/>
              <w:ind w:left="0" w:right="0"/>
              <w:rPr>
                <w:rFonts w:hint="default"/>
                <w:b/>
                <w:color w:val="auto"/>
                <w:spacing w:val="-4"/>
              </w:rPr>
            </w:pPr>
            <w:r>
              <w:rPr>
                <w:rFonts w:hint="default"/>
                <w:b/>
                <w:color w:val="auto"/>
                <w:spacing w:val="-4"/>
              </w:rPr>
              <w:t>环境影响途径</w:t>
            </w:r>
          </w:p>
        </w:tc>
        <w:tc>
          <w:tcPr>
            <w:tcW w:w="1559" w:type="dxa"/>
            <w:tcBorders>
              <w:top w:val="single" w:color="auto" w:sz="4" w:space="0"/>
              <w:left w:val="single" w:color="auto" w:sz="4" w:space="0"/>
              <w:bottom w:val="single" w:color="auto" w:sz="4" w:space="0"/>
              <w:right w:val="single" w:color="auto" w:sz="4" w:space="0"/>
            </w:tcBorders>
            <w:vAlign w:val="center"/>
          </w:tcPr>
          <w:p w14:paraId="25BC9236">
            <w:pPr>
              <w:pStyle w:val="91"/>
              <w:keepNext w:val="0"/>
              <w:keepLines w:val="0"/>
              <w:suppressLineNumbers w:val="0"/>
              <w:spacing w:before="0" w:beforeAutospacing="0" w:after="0" w:afterAutospacing="0"/>
              <w:ind w:left="0" w:right="0"/>
              <w:rPr>
                <w:rFonts w:hint="default"/>
                <w:b/>
                <w:color w:val="auto"/>
              </w:rPr>
            </w:pPr>
            <w:r>
              <w:rPr>
                <w:rFonts w:hint="default"/>
                <w:b/>
                <w:color w:val="auto"/>
              </w:rPr>
              <w:t>可能受影响的环境敏感目标</w:t>
            </w:r>
          </w:p>
        </w:tc>
      </w:tr>
      <w:tr w14:paraId="697F4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4" w:type="dxa"/>
            <w:tcBorders>
              <w:top w:val="single" w:color="auto" w:sz="4" w:space="0"/>
              <w:left w:val="single" w:color="auto" w:sz="4" w:space="0"/>
              <w:bottom w:val="single" w:color="auto" w:sz="4" w:space="0"/>
              <w:right w:val="single" w:color="auto" w:sz="4" w:space="0"/>
            </w:tcBorders>
            <w:vAlign w:val="center"/>
          </w:tcPr>
          <w:p w14:paraId="4F08E659">
            <w:pPr>
              <w:pStyle w:val="91"/>
              <w:keepNext w:val="0"/>
              <w:keepLines w:val="0"/>
              <w:suppressLineNumbers w:val="0"/>
              <w:spacing w:before="0" w:beforeAutospacing="0" w:after="0" w:afterAutospacing="0"/>
              <w:ind w:left="0" w:right="0"/>
              <w:rPr>
                <w:rFonts w:hint="default"/>
                <w:bCs/>
                <w:color w:val="auto"/>
              </w:rPr>
            </w:pPr>
            <w:r>
              <w:rPr>
                <w:rFonts w:hint="eastAsia"/>
                <w:color w:val="auto"/>
              </w:rPr>
              <w:t>罐组</w:t>
            </w:r>
          </w:p>
        </w:tc>
        <w:tc>
          <w:tcPr>
            <w:tcW w:w="1353" w:type="dxa"/>
            <w:tcBorders>
              <w:top w:val="single" w:color="auto" w:sz="4" w:space="0"/>
              <w:left w:val="single" w:color="auto" w:sz="4" w:space="0"/>
              <w:bottom w:val="single" w:color="auto" w:sz="4" w:space="0"/>
              <w:right w:val="single" w:color="auto" w:sz="4" w:space="0"/>
            </w:tcBorders>
            <w:vAlign w:val="center"/>
          </w:tcPr>
          <w:p w14:paraId="2379B675">
            <w:pPr>
              <w:pStyle w:val="91"/>
              <w:keepNext w:val="0"/>
              <w:keepLines w:val="0"/>
              <w:suppressLineNumbers w:val="0"/>
              <w:spacing w:before="0" w:beforeAutospacing="0" w:after="0" w:afterAutospacing="0"/>
              <w:ind w:left="0" w:right="0"/>
              <w:rPr>
                <w:rFonts w:hint="default"/>
                <w:bCs/>
                <w:color w:val="auto"/>
              </w:rPr>
            </w:pPr>
            <w:r>
              <w:rPr>
                <w:rFonts w:hint="eastAsia"/>
                <w:color w:val="auto"/>
              </w:rPr>
              <w:t>储罐</w:t>
            </w:r>
            <w:r>
              <w:rPr>
                <w:rFonts w:hint="default"/>
                <w:color w:val="auto"/>
              </w:rPr>
              <w:t>泄漏</w:t>
            </w:r>
            <w:r>
              <w:rPr>
                <w:rFonts w:hint="default"/>
                <w:bCs/>
                <w:color w:val="auto"/>
              </w:rPr>
              <w:t>、火灾</w:t>
            </w:r>
            <w:r>
              <w:rPr>
                <w:rFonts w:hint="default"/>
                <w:color w:val="auto"/>
              </w:rPr>
              <w:t>等</w:t>
            </w:r>
          </w:p>
        </w:tc>
        <w:tc>
          <w:tcPr>
            <w:tcW w:w="2041" w:type="dxa"/>
            <w:vMerge w:val="restart"/>
            <w:tcBorders>
              <w:top w:val="single" w:color="auto" w:sz="4" w:space="0"/>
              <w:left w:val="single" w:color="auto" w:sz="4" w:space="0"/>
              <w:right w:val="single" w:color="auto" w:sz="4" w:space="0"/>
            </w:tcBorders>
            <w:vAlign w:val="center"/>
          </w:tcPr>
          <w:p w14:paraId="0F595CFB">
            <w:pPr>
              <w:pStyle w:val="91"/>
              <w:keepNext w:val="0"/>
              <w:keepLines w:val="0"/>
              <w:suppressLineNumbers w:val="0"/>
              <w:spacing w:before="0" w:beforeAutospacing="0" w:after="0" w:afterAutospacing="0"/>
              <w:ind w:left="0" w:right="0"/>
              <w:rPr>
                <w:rFonts w:hint="default"/>
                <w:bCs/>
                <w:color w:val="auto"/>
              </w:rPr>
            </w:pPr>
            <w:r>
              <w:rPr>
                <w:rFonts w:hint="eastAsia"/>
                <w:bCs/>
                <w:color w:val="auto"/>
              </w:rPr>
              <w:t>甲基叔丁基醚（MTBE）、异辛烷（烷基化油）、石脑油、蜡油、渣油</w:t>
            </w:r>
            <w:r>
              <w:rPr>
                <w:rFonts w:hint="default"/>
                <w:color w:val="auto"/>
              </w:rPr>
              <w:t>，</w:t>
            </w:r>
            <w:r>
              <w:rPr>
                <w:rFonts w:hint="default"/>
                <w:bCs/>
                <w:color w:val="auto"/>
              </w:rPr>
              <w:t>CO等</w:t>
            </w:r>
          </w:p>
        </w:tc>
        <w:tc>
          <w:tcPr>
            <w:tcW w:w="1276" w:type="dxa"/>
            <w:tcBorders>
              <w:top w:val="single" w:color="auto" w:sz="4" w:space="0"/>
              <w:left w:val="single" w:color="auto" w:sz="4" w:space="0"/>
              <w:bottom w:val="single" w:color="auto" w:sz="4" w:space="0"/>
              <w:right w:val="single" w:color="auto" w:sz="4" w:space="0"/>
            </w:tcBorders>
            <w:vAlign w:val="center"/>
          </w:tcPr>
          <w:p w14:paraId="7250BEAE">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物料泄漏、火灾/爆炸</w:t>
            </w:r>
          </w:p>
        </w:tc>
        <w:tc>
          <w:tcPr>
            <w:tcW w:w="1559" w:type="dxa"/>
            <w:tcBorders>
              <w:top w:val="single" w:color="auto" w:sz="4" w:space="0"/>
              <w:left w:val="single" w:color="auto" w:sz="4" w:space="0"/>
              <w:bottom w:val="single" w:color="auto" w:sz="4" w:space="0"/>
              <w:right w:val="single" w:color="auto" w:sz="4" w:space="0"/>
            </w:tcBorders>
            <w:vAlign w:val="center"/>
          </w:tcPr>
          <w:p w14:paraId="1EB00D94">
            <w:pPr>
              <w:pStyle w:val="91"/>
              <w:keepNext w:val="0"/>
              <w:keepLines w:val="0"/>
              <w:suppressLineNumbers w:val="0"/>
              <w:spacing w:before="0" w:beforeAutospacing="0" w:after="0" w:afterAutospacing="0"/>
              <w:ind w:left="0" w:right="0"/>
              <w:rPr>
                <w:rFonts w:hint="default"/>
                <w:bCs/>
                <w:color w:val="auto"/>
                <w:spacing w:val="-10"/>
              </w:rPr>
            </w:pPr>
            <w:r>
              <w:rPr>
                <w:rFonts w:hint="default"/>
                <w:bCs/>
                <w:color w:val="auto"/>
                <w:spacing w:val="-10"/>
              </w:rPr>
              <w:t>漫流、垂直下渗、</w:t>
            </w:r>
            <w:r>
              <w:rPr>
                <w:rFonts w:hint="default"/>
                <w:bCs/>
                <w:color w:val="auto"/>
              </w:rPr>
              <w:t>大气扩散</w:t>
            </w:r>
          </w:p>
        </w:tc>
        <w:tc>
          <w:tcPr>
            <w:tcW w:w="1559" w:type="dxa"/>
            <w:tcBorders>
              <w:top w:val="single" w:color="auto" w:sz="4" w:space="0"/>
              <w:left w:val="single" w:color="auto" w:sz="4" w:space="0"/>
              <w:bottom w:val="single" w:color="auto" w:sz="4" w:space="0"/>
              <w:right w:val="single" w:color="auto" w:sz="4" w:space="0"/>
            </w:tcBorders>
            <w:vAlign w:val="center"/>
          </w:tcPr>
          <w:p w14:paraId="63059DB0">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周边大气、海水和土壤</w:t>
            </w:r>
          </w:p>
        </w:tc>
      </w:tr>
      <w:tr w14:paraId="70F46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4" w:type="dxa"/>
            <w:tcBorders>
              <w:top w:val="single" w:color="auto" w:sz="4" w:space="0"/>
              <w:left w:val="single" w:color="auto" w:sz="4" w:space="0"/>
              <w:bottom w:val="single" w:color="auto" w:sz="4" w:space="0"/>
              <w:right w:val="single" w:color="auto" w:sz="4" w:space="0"/>
            </w:tcBorders>
            <w:vAlign w:val="center"/>
          </w:tcPr>
          <w:p w14:paraId="53037486">
            <w:pPr>
              <w:pStyle w:val="91"/>
              <w:keepNext w:val="0"/>
              <w:keepLines w:val="0"/>
              <w:suppressLineNumbers w:val="0"/>
              <w:spacing w:before="0" w:beforeAutospacing="0" w:after="0" w:afterAutospacing="0"/>
              <w:ind w:left="0" w:right="0"/>
              <w:rPr>
                <w:rFonts w:hint="default"/>
                <w:bCs/>
                <w:color w:val="auto"/>
              </w:rPr>
            </w:pPr>
            <w:r>
              <w:rPr>
                <w:rFonts w:hint="eastAsia"/>
                <w:bCs/>
                <w:color w:val="auto"/>
              </w:rPr>
              <w:t>码头</w:t>
            </w:r>
            <w:r>
              <w:rPr>
                <w:rFonts w:hint="default"/>
                <w:bCs/>
                <w:color w:val="auto"/>
              </w:rPr>
              <w:t>装卸区</w:t>
            </w:r>
          </w:p>
        </w:tc>
        <w:tc>
          <w:tcPr>
            <w:tcW w:w="1353" w:type="dxa"/>
            <w:tcBorders>
              <w:top w:val="single" w:color="auto" w:sz="4" w:space="0"/>
              <w:left w:val="single" w:color="auto" w:sz="4" w:space="0"/>
              <w:bottom w:val="single" w:color="auto" w:sz="4" w:space="0"/>
              <w:right w:val="single" w:color="auto" w:sz="4" w:space="0"/>
            </w:tcBorders>
            <w:vAlign w:val="center"/>
          </w:tcPr>
          <w:p w14:paraId="469A1823">
            <w:pPr>
              <w:pStyle w:val="91"/>
              <w:keepNext w:val="0"/>
              <w:keepLines w:val="0"/>
              <w:suppressLineNumbers w:val="0"/>
              <w:spacing w:before="0" w:beforeAutospacing="0" w:after="0" w:afterAutospacing="0"/>
              <w:ind w:left="0" w:right="0"/>
              <w:rPr>
                <w:rFonts w:hint="default"/>
                <w:bCs/>
                <w:color w:val="auto"/>
              </w:rPr>
            </w:pPr>
            <w:r>
              <w:rPr>
                <w:rFonts w:hint="eastAsia"/>
                <w:color w:val="auto"/>
              </w:rPr>
              <w:t>装卸</w:t>
            </w:r>
            <w:r>
              <w:rPr>
                <w:rFonts w:hint="default"/>
                <w:color w:val="auto"/>
              </w:rPr>
              <w:t>泄漏</w:t>
            </w:r>
            <w:r>
              <w:rPr>
                <w:rFonts w:hint="default"/>
                <w:bCs/>
                <w:color w:val="auto"/>
              </w:rPr>
              <w:t>、火灾</w:t>
            </w:r>
            <w:r>
              <w:rPr>
                <w:rFonts w:hint="default"/>
                <w:color w:val="auto"/>
              </w:rPr>
              <w:t>等</w:t>
            </w:r>
          </w:p>
        </w:tc>
        <w:tc>
          <w:tcPr>
            <w:tcW w:w="2041" w:type="dxa"/>
            <w:vMerge w:val="continue"/>
            <w:tcBorders>
              <w:left w:val="single" w:color="auto" w:sz="4" w:space="0"/>
              <w:right w:val="single" w:color="auto" w:sz="4" w:space="0"/>
            </w:tcBorders>
            <w:vAlign w:val="center"/>
          </w:tcPr>
          <w:p w14:paraId="209CE04B">
            <w:pPr>
              <w:pStyle w:val="91"/>
              <w:keepNext w:val="0"/>
              <w:keepLines w:val="0"/>
              <w:suppressLineNumbers w:val="0"/>
              <w:spacing w:before="0" w:beforeAutospacing="0" w:after="0" w:afterAutospacing="0"/>
              <w:ind w:left="0" w:right="0"/>
              <w:rPr>
                <w:rFonts w:hint="default"/>
                <w:bCs/>
                <w:color w:val="auto"/>
              </w:rPr>
            </w:pPr>
          </w:p>
        </w:tc>
        <w:tc>
          <w:tcPr>
            <w:tcW w:w="1276" w:type="dxa"/>
            <w:tcBorders>
              <w:top w:val="single" w:color="auto" w:sz="4" w:space="0"/>
              <w:left w:val="single" w:color="auto" w:sz="4" w:space="0"/>
              <w:bottom w:val="single" w:color="auto" w:sz="4" w:space="0"/>
              <w:right w:val="single" w:color="auto" w:sz="4" w:space="0"/>
            </w:tcBorders>
            <w:vAlign w:val="center"/>
          </w:tcPr>
          <w:p w14:paraId="3D554E1A">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物料泄漏、火灾/爆炸</w:t>
            </w:r>
          </w:p>
        </w:tc>
        <w:tc>
          <w:tcPr>
            <w:tcW w:w="1559" w:type="dxa"/>
            <w:tcBorders>
              <w:top w:val="single" w:color="auto" w:sz="4" w:space="0"/>
              <w:left w:val="single" w:color="auto" w:sz="4" w:space="0"/>
              <w:bottom w:val="single" w:color="auto" w:sz="4" w:space="0"/>
              <w:right w:val="single" w:color="auto" w:sz="4" w:space="0"/>
            </w:tcBorders>
            <w:vAlign w:val="center"/>
          </w:tcPr>
          <w:p w14:paraId="0CA1FF69">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大气扩散、漫流、垂直入渗</w:t>
            </w:r>
          </w:p>
        </w:tc>
        <w:tc>
          <w:tcPr>
            <w:tcW w:w="1559" w:type="dxa"/>
            <w:tcBorders>
              <w:top w:val="single" w:color="auto" w:sz="4" w:space="0"/>
              <w:left w:val="single" w:color="auto" w:sz="4" w:space="0"/>
              <w:bottom w:val="single" w:color="auto" w:sz="4" w:space="0"/>
              <w:right w:val="single" w:color="auto" w:sz="4" w:space="0"/>
            </w:tcBorders>
            <w:vAlign w:val="center"/>
          </w:tcPr>
          <w:p w14:paraId="3DD008F4">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周边大气、</w:t>
            </w:r>
            <w:r>
              <w:rPr>
                <w:rFonts w:hint="eastAsia"/>
                <w:bCs/>
                <w:color w:val="auto"/>
              </w:rPr>
              <w:t>海水</w:t>
            </w:r>
            <w:r>
              <w:rPr>
                <w:rFonts w:hint="default"/>
                <w:bCs/>
                <w:color w:val="auto"/>
              </w:rPr>
              <w:t>和土壤</w:t>
            </w:r>
          </w:p>
        </w:tc>
      </w:tr>
      <w:tr w14:paraId="54892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4" w:type="dxa"/>
            <w:tcBorders>
              <w:top w:val="single" w:color="auto" w:sz="4" w:space="0"/>
              <w:left w:val="single" w:color="auto" w:sz="4" w:space="0"/>
              <w:bottom w:val="single" w:color="auto" w:sz="4" w:space="0"/>
              <w:right w:val="single" w:color="auto" w:sz="4" w:space="0"/>
            </w:tcBorders>
            <w:vAlign w:val="center"/>
          </w:tcPr>
          <w:p w14:paraId="6A1832D1">
            <w:pPr>
              <w:pStyle w:val="91"/>
              <w:keepNext w:val="0"/>
              <w:keepLines w:val="0"/>
              <w:suppressLineNumbers w:val="0"/>
              <w:spacing w:before="0" w:beforeAutospacing="0" w:after="0" w:afterAutospacing="0"/>
              <w:ind w:left="0" w:right="0"/>
              <w:rPr>
                <w:rFonts w:hint="default"/>
                <w:bCs/>
                <w:color w:val="auto"/>
              </w:rPr>
            </w:pPr>
            <w:r>
              <w:rPr>
                <w:rFonts w:hint="eastAsia"/>
                <w:bCs/>
                <w:color w:val="auto"/>
              </w:rPr>
              <w:t>泵棚/泵房、</w:t>
            </w:r>
            <w:r>
              <w:rPr>
                <w:rFonts w:hint="default"/>
                <w:bCs/>
                <w:color w:val="auto"/>
              </w:rPr>
              <w:t>管线</w:t>
            </w:r>
          </w:p>
        </w:tc>
        <w:tc>
          <w:tcPr>
            <w:tcW w:w="1353" w:type="dxa"/>
            <w:tcBorders>
              <w:top w:val="single" w:color="auto" w:sz="4" w:space="0"/>
              <w:left w:val="single" w:color="auto" w:sz="4" w:space="0"/>
              <w:bottom w:val="single" w:color="auto" w:sz="4" w:space="0"/>
              <w:right w:val="single" w:color="auto" w:sz="4" w:space="0"/>
            </w:tcBorders>
            <w:vAlign w:val="center"/>
          </w:tcPr>
          <w:p w14:paraId="3D62668D">
            <w:pPr>
              <w:pStyle w:val="91"/>
              <w:keepNext w:val="0"/>
              <w:keepLines w:val="0"/>
              <w:suppressLineNumbers w:val="0"/>
              <w:spacing w:before="0" w:beforeAutospacing="0" w:after="0" w:afterAutospacing="0"/>
              <w:ind w:left="0" w:right="0"/>
              <w:rPr>
                <w:rFonts w:hint="default"/>
                <w:color w:val="auto"/>
              </w:rPr>
            </w:pPr>
            <w:r>
              <w:rPr>
                <w:rFonts w:hint="eastAsia"/>
                <w:color w:val="auto"/>
              </w:rPr>
              <w:t>装卸</w:t>
            </w:r>
            <w:r>
              <w:rPr>
                <w:rFonts w:hint="default"/>
                <w:color w:val="auto"/>
              </w:rPr>
              <w:t>泄漏</w:t>
            </w:r>
            <w:r>
              <w:rPr>
                <w:rFonts w:hint="default"/>
                <w:bCs/>
                <w:color w:val="auto"/>
              </w:rPr>
              <w:t>、火灾</w:t>
            </w:r>
            <w:r>
              <w:rPr>
                <w:rFonts w:hint="default"/>
                <w:color w:val="auto"/>
              </w:rPr>
              <w:t>等</w:t>
            </w:r>
          </w:p>
        </w:tc>
        <w:tc>
          <w:tcPr>
            <w:tcW w:w="2041" w:type="dxa"/>
            <w:vMerge w:val="continue"/>
            <w:tcBorders>
              <w:left w:val="single" w:color="auto" w:sz="4" w:space="0"/>
              <w:bottom w:val="single" w:color="auto" w:sz="4" w:space="0"/>
              <w:right w:val="single" w:color="auto" w:sz="4" w:space="0"/>
            </w:tcBorders>
            <w:vAlign w:val="center"/>
          </w:tcPr>
          <w:p w14:paraId="0304F4E9">
            <w:pPr>
              <w:pStyle w:val="91"/>
              <w:keepNext w:val="0"/>
              <w:keepLines w:val="0"/>
              <w:suppressLineNumbers w:val="0"/>
              <w:spacing w:before="0" w:beforeAutospacing="0" w:after="0" w:afterAutospacing="0"/>
              <w:ind w:left="0" w:right="0"/>
              <w:rPr>
                <w:rFonts w:hint="default"/>
                <w:bCs/>
                <w:color w:val="auto"/>
              </w:rPr>
            </w:pPr>
          </w:p>
        </w:tc>
        <w:tc>
          <w:tcPr>
            <w:tcW w:w="1276" w:type="dxa"/>
            <w:tcBorders>
              <w:top w:val="single" w:color="auto" w:sz="4" w:space="0"/>
              <w:left w:val="single" w:color="auto" w:sz="4" w:space="0"/>
              <w:bottom w:val="single" w:color="auto" w:sz="4" w:space="0"/>
              <w:right w:val="single" w:color="auto" w:sz="4" w:space="0"/>
            </w:tcBorders>
            <w:vAlign w:val="center"/>
          </w:tcPr>
          <w:p w14:paraId="70343F45">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物料泄漏、火灾/爆炸</w:t>
            </w:r>
          </w:p>
        </w:tc>
        <w:tc>
          <w:tcPr>
            <w:tcW w:w="1559" w:type="dxa"/>
            <w:tcBorders>
              <w:top w:val="single" w:color="auto" w:sz="4" w:space="0"/>
              <w:left w:val="single" w:color="auto" w:sz="4" w:space="0"/>
              <w:bottom w:val="single" w:color="auto" w:sz="4" w:space="0"/>
              <w:right w:val="single" w:color="auto" w:sz="4" w:space="0"/>
            </w:tcBorders>
            <w:vAlign w:val="center"/>
          </w:tcPr>
          <w:p w14:paraId="1F6C35DA">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大气扩散、漫流、垂直入渗</w:t>
            </w:r>
          </w:p>
        </w:tc>
        <w:tc>
          <w:tcPr>
            <w:tcW w:w="1559" w:type="dxa"/>
            <w:tcBorders>
              <w:top w:val="single" w:color="auto" w:sz="4" w:space="0"/>
              <w:left w:val="single" w:color="auto" w:sz="4" w:space="0"/>
              <w:bottom w:val="single" w:color="auto" w:sz="4" w:space="0"/>
              <w:right w:val="single" w:color="auto" w:sz="4" w:space="0"/>
            </w:tcBorders>
            <w:vAlign w:val="center"/>
          </w:tcPr>
          <w:p w14:paraId="155AB973">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周边大气、</w:t>
            </w:r>
            <w:r>
              <w:rPr>
                <w:rFonts w:hint="eastAsia"/>
                <w:bCs/>
                <w:color w:val="auto"/>
              </w:rPr>
              <w:t>海水</w:t>
            </w:r>
            <w:r>
              <w:rPr>
                <w:rFonts w:hint="default"/>
                <w:bCs/>
                <w:color w:val="auto"/>
              </w:rPr>
              <w:t>和土壤</w:t>
            </w:r>
          </w:p>
        </w:tc>
      </w:tr>
      <w:tr w14:paraId="66631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4" w:type="dxa"/>
            <w:tcBorders>
              <w:top w:val="single" w:color="auto" w:sz="4" w:space="0"/>
              <w:left w:val="single" w:color="auto" w:sz="4" w:space="0"/>
              <w:bottom w:val="single" w:color="auto" w:sz="4" w:space="0"/>
              <w:right w:val="single" w:color="auto" w:sz="4" w:space="0"/>
            </w:tcBorders>
            <w:vAlign w:val="center"/>
          </w:tcPr>
          <w:p w14:paraId="2DD0314F">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环保设施</w:t>
            </w:r>
          </w:p>
        </w:tc>
        <w:tc>
          <w:tcPr>
            <w:tcW w:w="1353" w:type="dxa"/>
            <w:tcBorders>
              <w:top w:val="single" w:color="auto" w:sz="4" w:space="0"/>
              <w:left w:val="single" w:color="auto" w:sz="4" w:space="0"/>
              <w:bottom w:val="single" w:color="auto" w:sz="4" w:space="0"/>
              <w:right w:val="single" w:color="auto" w:sz="4" w:space="0"/>
            </w:tcBorders>
            <w:vAlign w:val="center"/>
          </w:tcPr>
          <w:p w14:paraId="27007FB7">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非正常工况排放</w:t>
            </w:r>
          </w:p>
        </w:tc>
        <w:tc>
          <w:tcPr>
            <w:tcW w:w="2041" w:type="dxa"/>
            <w:tcBorders>
              <w:top w:val="single" w:color="auto" w:sz="4" w:space="0"/>
              <w:left w:val="single" w:color="auto" w:sz="4" w:space="0"/>
              <w:bottom w:val="single" w:color="auto" w:sz="4" w:space="0"/>
              <w:right w:val="single" w:color="auto" w:sz="4" w:space="0"/>
            </w:tcBorders>
            <w:vAlign w:val="center"/>
          </w:tcPr>
          <w:p w14:paraId="5930450E">
            <w:pPr>
              <w:pStyle w:val="91"/>
              <w:keepNext w:val="0"/>
              <w:keepLines w:val="0"/>
              <w:suppressLineNumbers w:val="0"/>
              <w:spacing w:before="0" w:beforeAutospacing="0" w:after="0" w:afterAutospacing="0"/>
              <w:ind w:left="0" w:right="0"/>
              <w:rPr>
                <w:rFonts w:hint="default"/>
                <w:bCs/>
                <w:color w:val="auto"/>
              </w:rPr>
            </w:pPr>
            <w:r>
              <w:rPr>
                <w:rFonts w:hint="eastAsia"/>
                <w:bCs/>
                <w:color w:val="auto"/>
              </w:rPr>
              <w:t>非甲烷总烃</w:t>
            </w:r>
          </w:p>
        </w:tc>
        <w:tc>
          <w:tcPr>
            <w:tcW w:w="1276" w:type="dxa"/>
            <w:tcBorders>
              <w:top w:val="single" w:color="auto" w:sz="4" w:space="0"/>
              <w:left w:val="single" w:color="auto" w:sz="4" w:space="0"/>
              <w:bottom w:val="single" w:color="auto" w:sz="4" w:space="0"/>
              <w:right w:val="single" w:color="auto" w:sz="4" w:space="0"/>
            </w:tcBorders>
            <w:vAlign w:val="center"/>
          </w:tcPr>
          <w:p w14:paraId="2BD5FF0E">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废气非正常排放</w:t>
            </w:r>
          </w:p>
        </w:tc>
        <w:tc>
          <w:tcPr>
            <w:tcW w:w="1559" w:type="dxa"/>
            <w:tcBorders>
              <w:top w:val="single" w:color="auto" w:sz="4" w:space="0"/>
              <w:left w:val="single" w:color="auto" w:sz="4" w:space="0"/>
              <w:bottom w:val="single" w:color="auto" w:sz="4" w:space="0"/>
              <w:right w:val="single" w:color="auto" w:sz="4" w:space="0"/>
            </w:tcBorders>
            <w:vAlign w:val="center"/>
          </w:tcPr>
          <w:p w14:paraId="4BA6952D">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大气扩散</w:t>
            </w:r>
          </w:p>
        </w:tc>
        <w:tc>
          <w:tcPr>
            <w:tcW w:w="1559" w:type="dxa"/>
            <w:tcBorders>
              <w:top w:val="single" w:color="auto" w:sz="4" w:space="0"/>
              <w:left w:val="single" w:color="auto" w:sz="4" w:space="0"/>
              <w:bottom w:val="single" w:color="auto" w:sz="4" w:space="0"/>
              <w:right w:val="single" w:color="auto" w:sz="4" w:space="0"/>
            </w:tcBorders>
            <w:vAlign w:val="center"/>
          </w:tcPr>
          <w:p w14:paraId="50B5B810">
            <w:pPr>
              <w:pStyle w:val="91"/>
              <w:keepNext w:val="0"/>
              <w:keepLines w:val="0"/>
              <w:suppressLineNumbers w:val="0"/>
              <w:spacing w:before="0" w:beforeAutospacing="0" w:after="0" w:afterAutospacing="0"/>
              <w:ind w:left="0" w:right="0"/>
              <w:rPr>
                <w:rFonts w:hint="default"/>
                <w:bCs/>
                <w:color w:val="auto"/>
              </w:rPr>
            </w:pPr>
            <w:r>
              <w:rPr>
                <w:rFonts w:hint="default"/>
                <w:bCs/>
                <w:color w:val="auto"/>
              </w:rPr>
              <w:t>周边大气</w:t>
            </w:r>
          </w:p>
        </w:tc>
      </w:tr>
      <w:tr w14:paraId="5A864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4" w:type="dxa"/>
            <w:tcBorders>
              <w:top w:val="single" w:color="auto" w:sz="4" w:space="0"/>
              <w:left w:val="single" w:color="auto" w:sz="4" w:space="0"/>
              <w:bottom w:val="single" w:color="auto" w:sz="4" w:space="0"/>
              <w:right w:val="single" w:color="auto" w:sz="4" w:space="0"/>
            </w:tcBorders>
            <w:vAlign w:val="center"/>
          </w:tcPr>
          <w:p w14:paraId="78746E94">
            <w:pPr>
              <w:pStyle w:val="91"/>
              <w:keepNext w:val="0"/>
              <w:keepLines w:val="0"/>
              <w:suppressLineNumbers w:val="0"/>
              <w:spacing w:before="0" w:beforeAutospacing="0" w:after="0" w:afterAutospacing="0"/>
              <w:ind w:left="0" w:right="0"/>
              <w:rPr>
                <w:rFonts w:hint="default"/>
                <w:bCs/>
                <w:color w:val="auto"/>
              </w:rPr>
            </w:pPr>
            <w:r>
              <w:rPr>
                <w:rFonts w:hint="eastAsia"/>
                <w:bCs/>
                <w:color w:val="auto"/>
              </w:rPr>
              <w:t>雨水</w:t>
            </w:r>
            <w:r>
              <w:rPr>
                <w:rFonts w:hint="default"/>
                <w:bCs/>
                <w:color w:val="auto"/>
              </w:rPr>
              <w:t>排放口</w:t>
            </w:r>
          </w:p>
        </w:tc>
        <w:tc>
          <w:tcPr>
            <w:tcW w:w="1353" w:type="dxa"/>
            <w:tcBorders>
              <w:top w:val="single" w:color="auto" w:sz="4" w:space="0"/>
              <w:left w:val="single" w:color="auto" w:sz="4" w:space="0"/>
              <w:bottom w:val="single" w:color="auto" w:sz="4" w:space="0"/>
              <w:right w:val="single" w:color="auto" w:sz="4" w:space="0"/>
            </w:tcBorders>
            <w:vAlign w:val="center"/>
          </w:tcPr>
          <w:p w14:paraId="25C319B4">
            <w:pPr>
              <w:pStyle w:val="91"/>
              <w:keepNext w:val="0"/>
              <w:keepLines w:val="0"/>
              <w:suppressLineNumbers w:val="0"/>
              <w:spacing w:before="0" w:beforeAutospacing="0" w:after="0" w:afterAutospacing="0"/>
              <w:ind w:left="0" w:right="0"/>
              <w:rPr>
                <w:rFonts w:hint="default"/>
                <w:bCs/>
                <w:color w:val="auto"/>
              </w:rPr>
            </w:pPr>
            <w:r>
              <w:rPr>
                <w:rFonts w:hint="eastAsia"/>
                <w:bCs/>
                <w:color w:val="auto"/>
              </w:rPr>
              <w:t>泄漏</w:t>
            </w:r>
          </w:p>
        </w:tc>
        <w:tc>
          <w:tcPr>
            <w:tcW w:w="2041" w:type="dxa"/>
            <w:vMerge w:val="restart"/>
            <w:tcBorders>
              <w:top w:val="single" w:color="auto" w:sz="4" w:space="0"/>
              <w:left w:val="single" w:color="auto" w:sz="4" w:space="0"/>
              <w:right w:val="single" w:color="auto" w:sz="4" w:space="0"/>
            </w:tcBorders>
            <w:vAlign w:val="center"/>
          </w:tcPr>
          <w:p w14:paraId="48BDE4A2">
            <w:pPr>
              <w:pStyle w:val="91"/>
              <w:keepNext w:val="0"/>
              <w:keepLines w:val="0"/>
              <w:suppressLineNumbers w:val="0"/>
              <w:spacing w:before="0" w:beforeAutospacing="0" w:after="0" w:afterAutospacing="0"/>
              <w:ind w:left="0" w:right="0"/>
              <w:rPr>
                <w:rFonts w:hint="default"/>
                <w:bCs/>
                <w:color w:val="auto"/>
              </w:rPr>
            </w:pPr>
            <w:r>
              <w:rPr>
                <w:rFonts w:hint="eastAsia"/>
                <w:bCs/>
                <w:color w:val="auto"/>
              </w:rPr>
              <w:t>甲基叔丁基醚（MTBE）、异辛烷（烷基化油）、石脑油、蜡油、渣油</w:t>
            </w:r>
          </w:p>
        </w:tc>
        <w:tc>
          <w:tcPr>
            <w:tcW w:w="1276" w:type="dxa"/>
            <w:tcBorders>
              <w:top w:val="single" w:color="auto" w:sz="4" w:space="0"/>
              <w:left w:val="single" w:color="auto" w:sz="4" w:space="0"/>
              <w:bottom w:val="single" w:color="auto" w:sz="4" w:space="0"/>
              <w:right w:val="single" w:color="auto" w:sz="4" w:space="0"/>
            </w:tcBorders>
            <w:vAlign w:val="center"/>
          </w:tcPr>
          <w:p w14:paraId="37F8F750">
            <w:pPr>
              <w:pStyle w:val="91"/>
              <w:keepNext w:val="0"/>
              <w:keepLines w:val="0"/>
              <w:suppressLineNumbers w:val="0"/>
              <w:spacing w:before="0" w:beforeAutospacing="0" w:after="0" w:afterAutospacing="0"/>
              <w:ind w:left="0" w:right="0"/>
              <w:rPr>
                <w:rFonts w:hint="default"/>
                <w:bCs/>
                <w:color w:val="auto"/>
              </w:rPr>
            </w:pPr>
            <w:r>
              <w:rPr>
                <w:rFonts w:hint="eastAsia"/>
                <w:bCs/>
                <w:color w:val="auto"/>
              </w:rPr>
              <w:t>物料泄漏</w:t>
            </w:r>
          </w:p>
        </w:tc>
        <w:tc>
          <w:tcPr>
            <w:tcW w:w="1559" w:type="dxa"/>
            <w:tcBorders>
              <w:top w:val="single" w:color="auto" w:sz="4" w:space="0"/>
              <w:left w:val="single" w:color="auto" w:sz="4" w:space="0"/>
              <w:bottom w:val="single" w:color="auto" w:sz="4" w:space="0"/>
              <w:right w:val="single" w:color="auto" w:sz="4" w:space="0"/>
            </w:tcBorders>
            <w:vAlign w:val="center"/>
          </w:tcPr>
          <w:p w14:paraId="65349772">
            <w:pPr>
              <w:pStyle w:val="91"/>
              <w:keepNext w:val="0"/>
              <w:keepLines w:val="0"/>
              <w:suppressLineNumbers w:val="0"/>
              <w:spacing w:before="0" w:beforeAutospacing="0" w:after="0" w:afterAutospacing="0"/>
              <w:ind w:left="0" w:right="0"/>
              <w:rPr>
                <w:rFonts w:hint="default"/>
                <w:bCs/>
                <w:color w:val="auto"/>
              </w:rPr>
            </w:pPr>
            <w:r>
              <w:rPr>
                <w:rFonts w:hint="eastAsia"/>
                <w:bCs/>
                <w:color w:val="auto"/>
              </w:rPr>
              <w:t>地表水</w:t>
            </w:r>
            <w:r>
              <w:rPr>
                <w:rFonts w:hint="default"/>
                <w:bCs/>
                <w:color w:val="auto"/>
              </w:rPr>
              <w:t>扩散</w:t>
            </w:r>
          </w:p>
        </w:tc>
        <w:tc>
          <w:tcPr>
            <w:tcW w:w="1559" w:type="dxa"/>
            <w:tcBorders>
              <w:top w:val="single" w:color="auto" w:sz="4" w:space="0"/>
              <w:left w:val="single" w:color="auto" w:sz="4" w:space="0"/>
              <w:bottom w:val="single" w:color="auto" w:sz="4" w:space="0"/>
              <w:right w:val="single" w:color="auto" w:sz="4" w:space="0"/>
            </w:tcBorders>
            <w:vAlign w:val="center"/>
          </w:tcPr>
          <w:p w14:paraId="2DA2D305">
            <w:pPr>
              <w:pStyle w:val="91"/>
              <w:keepNext w:val="0"/>
              <w:keepLines w:val="0"/>
              <w:suppressLineNumbers w:val="0"/>
              <w:spacing w:before="0" w:beforeAutospacing="0" w:after="0" w:afterAutospacing="0"/>
              <w:ind w:left="0" w:right="0"/>
              <w:rPr>
                <w:rFonts w:hint="default"/>
                <w:bCs/>
                <w:color w:val="auto"/>
              </w:rPr>
            </w:pPr>
            <w:r>
              <w:rPr>
                <w:rFonts w:hint="eastAsia"/>
                <w:bCs/>
                <w:color w:val="auto"/>
              </w:rPr>
              <w:t>海水</w:t>
            </w:r>
          </w:p>
        </w:tc>
      </w:tr>
      <w:tr w14:paraId="19E44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4" w:type="dxa"/>
            <w:tcBorders>
              <w:top w:val="single" w:color="auto" w:sz="4" w:space="0"/>
              <w:left w:val="single" w:color="auto" w:sz="4" w:space="0"/>
              <w:bottom w:val="single" w:color="auto" w:sz="4" w:space="0"/>
              <w:right w:val="single" w:color="auto" w:sz="4" w:space="0"/>
            </w:tcBorders>
            <w:vAlign w:val="center"/>
          </w:tcPr>
          <w:p w14:paraId="02EB2F35">
            <w:pPr>
              <w:pStyle w:val="91"/>
              <w:keepNext w:val="0"/>
              <w:keepLines w:val="0"/>
              <w:suppressLineNumbers w:val="0"/>
              <w:spacing w:before="0" w:beforeAutospacing="0" w:after="0" w:afterAutospacing="0"/>
              <w:ind w:left="0" w:right="0"/>
              <w:rPr>
                <w:rFonts w:hint="default"/>
                <w:bCs/>
                <w:color w:val="auto"/>
              </w:rPr>
            </w:pPr>
            <w:r>
              <w:rPr>
                <w:rFonts w:hint="eastAsia"/>
                <w:bCs/>
                <w:color w:val="auto"/>
              </w:rPr>
              <w:t>船舶运输</w:t>
            </w:r>
          </w:p>
        </w:tc>
        <w:tc>
          <w:tcPr>
            <w:tcW w:w="1353" w:type="dxa"/>
            <w:tcBorders>
              <w:top w:val="single" w:color="auto" w:sz="4" w:space="0"/>
              <w:left w:val="single" w:color="auto" w:sz="4" w:space="0"/>
              <w:bottom w:val="single" w:color="auto" w:sz="4" w:space="0"/>
              <w:right w:val="single" w:color="auto" w:sz="4" w:space="0"/>
            </w:tcBorders>
            <w:vAlign w:val="center"/>
          </w:tcPr>
          <w:p w14:paraId="137EA680">
            <w:pPr>
              <w:pStyle w:val="91"/>
              <w:keepNext w:val="0"/>
              <w:keepLines w:val="0"/>
              <w:suppressLineNumbers w:val="0"/>
              <w:spacing w:before="0" w:beforeAutospacing="0" w:after="0" w:afterAutospacing="0"/>
              <w:ind w:left="0" w:right="0"/>
              <w:rPr>
                <w:rFonts w:hint="default"/>
                <w:bCs/>
                <w:color w:val="auto"/>
              </w:rPr>
            </w:pPr>
            <w:r>
              <w:rPr>
                <w:rFonts w:hint="eastAsia"/>
                <w:bCs/>
                <w:color w:val="auto"/>
              </w:rPr>
              <w:t>船舶</w:t>
            </w:r>
          </w:p>
        </w:tc>
        <w:tc>
          <w:tcPr>
            <w:tcW w:w="2041" w:type="dxa"/>
            <w:vMerge w:val="continue"/>
            <w:tcBorders>
              <w:left w:val="single" w:color="auto" w:sz="4" w:space="0"/>
              <w:bottom w:val="single" w:color="auto" w:sz="4" w:space="0"/>
              <w:right w:val="single" w:color="auto" w:sz="4" w:space="0"/>
            </w:tcBorders>
            <w:vAlign w:val="center"/>
          </w:tcPr>
          <w:p w14:paraId="7CC63059">
            <w:pPr>
              <w:pStyle w:val="91"/>
              <w:keepNext w:val="0"/>
              <w:keepLines w:val="0"/>
              <w:suppressLineNumbers w:val="0"/>
              <w:spacing w:before="0" w:beforeAutospacing="0" w:after="0" w:afterAutospacing="0"/>
              <w:ind w:left="0" w:right="0"/>
              <w:rPr>
                <w:rFonts w:hint="default"/>
                <w:bCs/>
                <w:color w:val="auto"/>
              </w:rPr>
            </w:pPr>
          </w:p>
        </w:tc>
        <w:tc>
          <w:tcPr>
            <w:tcW w:w="1276" w:type="dxa"/>
            <w:tcBorders>
              <w:top w:val="single" w:color="auto" w:sz="4" w:space="0"/>
              <w:left w:val="single" w:color="auto" w:sz="4" w:space="0"/>
              <w:bottom w:val="single" w:color="auto" w:sz="4" w:space="0"/>
              <w:right w:val="single" w:color="auto" w:sz="4" w:space="0"/>
            </w:tcBorders>
            <w:vAlign w:val="center"/>
          </w:tcPr>
          <w:p w14:paraId="5A39D1D9">
            <w:pPr>
              <w:pStyle w:val="91"/>
              <w:keepNext w:val="0"/>
              <w:keepLines w:val="0"/>
              <w:suppressLineNumbers w:val="0"/>
              <w:spacing w:before="0" w:beforeAutospacing="0" w:after="0" w:afterAutospacing="0"/>
              <w:ind w:left="0" w:right="0"/>
              <w:rPr>
                <w:rFonts w:hint="default"/>
                <w:bCs/>
                <w:color w:val="auto"/>
              </w:rPr>
            </w:pPr>
            <w:r>
              <w:rPr>
                <w:rFonts w:hint="eastAsia"/>
                <w:bCs/>
                <w:color w:val="auto"/>
              </w:rPr>
              <w:t>物料泄漏</w:t>
            </w:r>
          </w:p>
        </w:tc>
        <w:tc>
          <w:tcPr>
            <w:tcW w:w="1559" w:type="dxa"/>
            <w:tcBorders>
              <w:top w:val="single" w:color="auto" w:sz="4" w:space="0"/>
              <w:left w:val="single" w:color="auto" w:sz="4" w:space="0"/>
              <w:bottom w:val="single" w:color="auto" w:sz="4" w:space="0"/>
              <w:right w:val="single" w:color="auto" w:sz="4" w:space="0"/>
            </w:tcBorders>
            <w:vAlign w:val="center"/>
          </w:tcPr>
          <w:p w14:paraId="7734540F">
            <w:pPr>
              <w:pStyle w:val="91"/>
              <w:keepNext w:val="0"/>
              <w:keepLines w:val="0"/>
              <w:suppressLineNumbers w:val="0"/>
              <w:spacing w:before="0" w:beforeAutospacing="0" w:after="0" w:afterAutospacing="0"/>
              <w:ind w:left="0" w:right="0"/>
              <w:rPr>
                <w:rFonts w:hint="default"/>
                <w:bCs/>
                <w:color w:val="auto"/>
              </w:rPr>
            </w:pPr>
            <w:r>
              <w:rPr>
                <w:rFonts w:hint="eastAsia"/>
                <w:bCs/>
                <w:color w:val="auto"/>
              </w:rPr>
              <w:t>地表水</w:t>
            </w:r>
            <w:r>
              <w:rPr>
                <w:rFonts w:hint="default"/>
                <w:bCs/>
                <w:color w:val="auto"/>
              </w:rPr>
              <w:t>扩散</w:t>
            </w:r>
          </w:p>
        </w:tc>
        <w:tc>
          <w:tcPr>
            <w:tcW w:w="1559" w:type="dxa"/>
            <w:tcBorders>
              <w:top w:val="single" w:color="auto" w:sz="4" w:space="0"/>
              <w:left w:val="single" w:color="auto" w:sz="4" w:space="0"/>
              <w:bottom w:val="single" w:color="auto" w:sz="4" w:space="0"/>
              <w:right w:val="single" w:color="auto" w:sz="4" w:space="0"/>
            </w:tcBorders>
            <w:vAlign w:val="center"/>
          </w:tcPr>
          <w:p w14:paraId="2D89C8AC">
            <w:pPr>
              <w:pStyle w:val="91"/>
              <w:keepNext w:val="0"/>
              <w:keepLines w:val="0"/>
              <w:suppressLineNumbers w:val="0"/>
              <w:spacing w:before="0" w:beforeAutospacing="0" w:after="0" w:afterAutospacing="0"/>
              <w:ind w:left="0" w:right="0"/>
              <w:rPr>
                <w:rFonts w:hint="default"/>
                <w:bCs/>
                <w:color w:val="auto"/>
              </w:rPr>
            </w:pPr>
            <w:r>
              <w:rPr>
                <w:rFonts w:hint="eastAsia"/>
                <w:bCs/>
                <w:color w:val="auto"/>
              </w:rPr>
              <w:t>海水</w:t>
            </w:r>
          </w:p>
        </w:tc>
      </w:tr>
    </w:tbl>
    <w:p w14:paraId="657DEC69">
      <w:pPr>
        <w:ind w:firstLine="480"/>
        <w:rPr>
          <w:color w:val="auto"/>
        </w:rPr>
      </w:pPr>
      <w:r>
        <w:rPr>
          <w:rFonts w:hint="eastAsia"/>
          <w:color w:val="auto"/>
        </w:rPr>
        <w:t>（2）风险特征</w:t>
      </w:r>
    </w:p>
    <w:p w14:paraId="2AE3573B">
      <w:pPr>
        <w:ind w:firstLine="480"/>
        <w:rPr>
          <w:color w:val="auto"/>
        </w:rPr>
      </w:pPr>
      <w:r>
        <w:rPr>
          <w:color w:val="auto"/>
        </w:rPr>
        <w:t>船舶在航行过程、码头靠泊和装卸</w:t>
      </w:r>
      <w:r>
        <w:rPr>
          <w:rFonts w:hint="eastAsia"/>
          <w:color w:val="auto"/>
        </w:rPr>
        <w:t>、</w:t>
      </w:r>
      <w:r>
        <w:rPr>
          <w:color w:val="auto"/>
        </w:rPr>
        <w:t>储罐储存过程中发生油类、油性混合物和其他有毒有害物质泄漏，从而造成环境污染事故。</w:t>
      </w:r>
    </w:p>
    <w:p w14:paraId="6E96392A">
      <w:pPr>
        <w:pStyle w:val="14"/>
        <w:rPr>
          <w:color w:val="auto"/>
        </w:rPr>
      </w:pPr>
      <w:r>
        <w:rPr>
          <w:rFonts w:hint="eastAsia"/>
          <w:color w:val="auto"/>
        </w:rPr>
        <w:t>表</w:t>
      </w:r>
      <w:r>
        <w:rPr>
          <w:color w:val="auto"/>
        </w:rPr>
        <w:t>5.3</w:t>
      </w:r>
      <w:r>
        <w:rPr>
          <w:color w:val="auto"/>
        </w:rPr>
        <w:noBreakHyphen/>
      </w:r>
      <w:r>
        <w:rPr>
          <w:color w:val="auto"/>
        </w:rPr>
        <w:t>10项目风险特征表</w:t>
      </w:r>
    </w:p>
    <w:tbl>
      <w:tblPr>
        <w:tblStyle w:val="43"/>
        <w:tblW w:w="9315"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209"/>
        <w:gridCol w:w="2585"/>
        <w:gridCol w:w="3535"/>
        <w:gridCol w:w="1105"/>
        <w:gridCol w:w="881"/>
      </w:tblGrid>
      <w:tr w14:paraId="6BCCCB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04" w:hRule="atLeast"/>
          <w:tblHeader/>
        </w:trPr>
        <w:tc>
          <w:tcPr>
            <w:tcW w:w="1209" w:type="dxa"/>
            <w:vAlign w:val="center"/>
          </w:tcPr>
          <w:p w14:paraId="141BEC15">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风险类型</w:t>
            </w:r>
          </w:p>
        </w:tc>
        <w:tc>
          <w:tcPr>
            <w:tcW w:w="2585" w:type="dxa"/>
            <w:vAlign w:val="center"/>
          </w:tcPr>
          <w:p w14:paraId="0E3CA3CB">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风险因素</w:t>
            </w:r>
          </w:p>
        </w:tc>
        <w:tc>
          <w:tcPr>
            <w:tcW w:w="3535" w:type="dxa"/>
            <w:vAlign w:val="center"/>
          </w:tcPr>
          <w:p w14:paraId="47646522">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发生环节</w:t>
            </w:r>
          </w:p>
        </w:tc>
        <w:tc>
          <w:tcPr>
            <w:tcW w:w="1105" w:type="dxa"/>
            <w:vAlign w:val="center"/>
          </w:tcPr>
          <w:p w14:paraId="7188A0A4">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发生概率</w:t>
            </w:r>
          </w:p>
        </w:tc>
        <w:tc>
          <w:tcPr>
            <w:tcW w:w="881" w:type="dxa"/>
            <w:vAlign w:val="center"/>
          </w:tcPr>
          <w:p w14:paraId="2187A4DF">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危害</w:t>
            </w:r>
          </w:p>
        </w:tc>
      </w:tr>
      <w:tr w14:paraId="772BBB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1209" w:type="dxa"/>
            <w:vMerge w:val="restart"/>
            <w:vAlign w:val="center"/>
          </w:tcPr>
          <w:p w14:paraId="2A970CAA">
            <w:pPr>
              <w:pStyle w:val="77"/>
              <w:keepNext w:val="0"/>
              <w:keepLines w:val="0"/>
              <w:suppressLineNumbers w:val="0"/>
              <w:spacing w:before="0" w:beforeAutospacing="0" w:after="0" w:afterAutospacing="0"/>
              <w:ind w:left="0" w:right="0"/>
              <w:rPr>
                <w:rFonts w:hint="default"/>
                <w:color w:val="auto"/>
              </w:rPr>
            </w:pPr>
            <w:r>
              <w:rPr>
                <w:rFonts w:hint="default"/>
                <w:color w:val="auto"/>
              </w:rPr>
              <w:t>化工品泄漏</w:t>
            </w:r>
          </w:p>
        </w:tc>
        <w:tc>
          <w:tcPr>
            <w:tcW w:w="2585" w:type="dxa"/>
            <w:vAlign w:val="center"/>
          </w:tcPr>
          <w:p w14:paraId="7FCDA64D">
            <w:pPr>
              <w:pStyle w:val="77"/>
              <w:keepNext w:val="0"/>
              <w:keepLines w:val="0"/>
              <w:suppressLineNumbers w:val="0"/>
              <w:spacing w:before="0" w:beforeAutospacing="0" w:after="0" w:afterAutospacing="0"/>
              <w:ind w:left="0" w:right="0"/>
              <w:rPr>
                <w:rFonts w:hint="default"/>
                <w:color w:val="auto"/>
              </w:rPr>
            </w:pPr>
            <w:r>
              <w:rPr>
                <w:rFonts w:hint="default"/>
                <w:color w:val="auto"/>
              </w:rPr>
              <w:t>海上化工品泄漏事故对水环境、大气环境等造成污染以及对人群健康的危害</w:t>
            </w:r>
          </w:p>
        </w:tc>
        <w:tc>
          <w:tcPr>
            <w:tcW w:w="3535" w:type="dxa"/>
            <w:vAlign w:val="center"/>
          </w:tcPr>
          <w:p w14:paraId="0F71E24B">
            <w:pPr>
              <w:pStyle w:val="77"/>
              <w:keepNext w:val="0"/>
              <w:keepLines w:val="0"/>
              <w:suppressLineNumbers w:val="0"/>
              <w:spacing w:before="0" w:beforeAutospacing="0" w:after="0" w:afterAutospacing="0"/>
              <w:ind w:left="0" w:right="0"/>
              <w:rPr>
                <w:rFonts w:hint="default"/>
                <w:color w:val="auto"/>
              </w:rPr>
            </w:pPr>
            <w:r>
              <w:rPr>
                <w:rFonts w:hint="default"/>
                <w:color w:val="auto"/>
              </w:rPr>
              <w:t>在码头与海域之间的狭窄航道上，或在码头作业期间发生的船舶碰撞或搁浅</w:t>
            </w:r>
          </w:p>
        </w:tc>
        <w:tc>
          <w:tcPr>
            <w:tcW w:w="1105" w:type="dxa"/>
            <w:vAlign w:val="center"/>
          </w:tcPr>
          <w:p w14:paraId="1F0316B6">
            <w:pPr>
              <w:pStyle w:val="77"/>
              <w:keepNext w:val="0"/>
              <w:keepLines w:val="0"/>
              <w:suppressLineNumbers w:val="0"/>
              <w:spacing w:before="0" w:beforeAutospacing="0" w:after="0" w:afterAutospacing="0"/>
              <w:ind w:left="0" w:right="0"/>
              <w:rPr>
                <w:rFonts w:hint="default"/>
                <w:color w:val="auto"/>
              </w:rPr>
            </w:pPr>
            <w:r>
              <w:rPr>
                <w:rFonts w:hint="default"/>
                <w:color w:val="auto"/>
              </w:rPr>
              <w:t>小~中</w:t>
            </w:r>
          </w:p>
        </w:tc>
        <w:tc>
          <w:tcPr>
            <w:tcW w:w="881" w:type="dxa"/>
            <w:vAlign w:val="center"/>
          </w:tcPr>
          <w:p w14:paraId="548B1830">
            <w:pPr>
              <w:pStyle w:val="77"/>
              <w:keepNext w:val="0"/>
              <w:keepLines w:val="0"/>
              <w:suppressLineNumbers w:val="0"/>
              <w:spacing w:before="0" w:beforeAutospacing="0" w:after="0" w:afterAutospacing="0"/>
              <w:ind w:left="0" w:right="0"/>
              <w:rPr>
                <w:rFonts w:hint="default"/>
                <w:color w:val="auto"/>
              </w:rPr>
            </w:pPr>
            <w:r>
              <w:rPr>
                <w:rFonts w:hint="default"/>
                <w:color w:val="auto"/>
              </w:rPr>
              <w:t>中~大</w:t>
            </w:r>
          </w:p>
        </w:tc>
      </w:tr>
      <w:tr w14:paraId="5B613A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1209" w:type="dxa"/>
            <w:vMerge w:val="continue"/>
            <w:vAlign w:val="center"/>
          </w:tcPr>
          <w:p w14:paraId="63CA19A7">
            <w:pPr>
              <w:pStyle w:val="77"/>
              <w:keepNext w:val="0"/>
              <w:keepLines w:val="0"/>
              <w:suppressLineNumbers w:val="0"/>
              <w:spacing w:before="0" w:beforeAutospacing="0" w:after="0" w:afterAutospacing="0"/>
              <w:ind w:left="0" w:right="0"/>
              <w:rPr>
                <w:rFonts w:hint="default"/>
                <w:color w:val="auto"/>
              </w:rPr>
            </w:pPr>
          </w:p>
        </w:tc>
        <w:tc>
          <w:tcPr>
            <w:tcW w:w="2585" w:type="dxa"/>
            <w:vAlign w:val="center"/>
          </w:tcPr>
          <w:p w14:paraId="5B4719C5">
            <w:pPr>
              <w:pStyle w:val="77"/>
              <w:keepNext w:val="0"/>
              <w:keepLines w:val="0"/>
              <w:suppressLineNumbers w:val="0"/>
              <w:spacing w:before="0" w:beforeAutospacing="0" w:after="0" w:afterAutospacing="0"/>
              <w:ind w:left="0" w:right="0"/>
              <w:rPr>
                <w:rFonts w:hint="default"/>
                <w:color w:val="auto"/>
              </w:rPr>
            </w:pPr>
            <w:r>
              <w:rPr>
                <w:rFonts w:hint="default"/>
                <w:color w:val="auto"/>
              </w:rPr>
              <w:t>码头化工品泄漏事故对水环境、大气环境等造成污染以及对人群健康的危害</w:t>
            </w:r>
          </w:p>
        </w:tc>
        <w:tc>
          <w:tcPr>
            <w:tcW w:w="3535" w:type="dxa"/>
            <w:vAlign w:val="center"/>
          </w:tcPr>
          <w:p w14:paraId="51B48F4E">
            <w:pPr>
              <w:pStyle w:val="77"/>
              <w:keepNext w:val="0"/>
              <w:keepLines w:val="0"/>
              <w:suppressLineNumbers w:val="0"/>
              <w:spacing w:before="0" w:beforeAutospacing="0" w:after="0" w:afterAutospacing="0"/>
              <w:ind w:left="0" w:right="0"/>
              <w:rPr>
                <w:rFonts w:hint="default"/>
                <w:color w:val="auto"/>
              </w:rPr>
            </w:pPr>
            <w:r>
              <w:rPr>
                <w:rFonts w:hint="default"/>
                <w:color w:val="auto"/>
              </w:rPr>
              <w:t>管道接口泄漏，管道破裂，</w:t>
            </w:r>
            <w:r>
              <w:rPr>
                <w:rFonts w:hint="eastAsia"/>
                <w:color w:val="auto"/>
              </w:rPr>
              <w:t>储罐</w:t>
            </w:r>
            <w:r>
              <w:rPr>
                <w:rFonts w:hint="default"/>
                <w:color w:val="auto"/>
              </w:rPr>
              <w:t>泄漏，泵、法兰等连接件泄漏，操作系统失灵，操作人员违反操作规定等</w:t>
            </w:r>
          </w:p>
        </w:tc>
        <w:tc>
          <w:tcPr>
            <w:tcW w:w="1105" w:type="dxa"/>
            <w:vAlign w:val="center"/>
          </w:tcPr>
          <w:p w14:paraId="16EA7D07">
            <w:pPr>
              <w:pStyle w:val="77"/>
              <w:keepNext w:val="0"/>
              <w:keepLines w:val="0"/>
              <w:suppressLineNumbers w:val="0"/>
              <w:spacing w:before="0" w:beforeAutospacing="0" w:after="0" w:afterAutospacing="0"/>
              <w:ind w:left="0" w:right="0"/>
              <w:rPr>
                <w:rFonts w:hint="default"/>
                <w:color w:val="auto"/>
              </w:rPr>
            </w:pPr>
            <w:r>
              <w:rPr>
                <w:rFonts w:hint="default"/>
                <w:color w:val="auto"/>
              </w:rPr>
              <w:t>小~中</w:t>
            </w:r>
          </w:p>
        </w:tc>
        <w:tc>
          <w:tcPr>
            <w:tcW w:w="881" w:type="dxa"/>
            <w:vAlign w:val="center"/>
          </w:tcPr>
          <w:p w14:paraId="3CCB3947">
            <w:pPr>
              <w:pStyle w:val="77"/>
              <w:keepNext w:val="0"/>
              <w:keepLines w:val="0"/>
              <w:suppressLineNumbers w:val="0"/>
              <w:spacing w:before="0" w:beforeAutospacing="0" w:after="0" w:afterAutospacing="0"/>
              <w:ind w:left="0" w:right="0"/>
              <w:rPr>
                <w:rFonts w:hint="default"/>
                <w:color w:val="auto"/>
              </w:rPr>
            </w:pPr>
            <w:r>
              <w:rPr>
                <w:rFonts w:hint="default"/>
                <w:color w:val="auto"/>
              </w:rPr>
              <w:t>小</w:t>
            </w:r>
          </w:p>
        </w:tc>
      </w:tr>
      <w:tr w14:paraId="780CAA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1209" w:type="dxa"/>
            <w:vMerge w:val="restart"/>
            <w:vAlign w:val="center"/>
          </w:tcPr>
          <w:p w14:paraId="3C0B3513">
            <w:pPr>
              <w:pStyle w:val="77"/>
              <w:keepNext w:val="0"/>
              <w:keepLines w:val="0"/>
              <w:suppressLineNumbers w:val="0"/>
              <w:spacing w:before="0" w:beforeAutospacing="0" w:after="0" w:afterAutospacing="0"/>
              <w:ind w:left="0" w:right="0"/>
              <w:rPr>
                <w:rFonts w:hint="default"/>
                <w:color w:val="auto"/>
              </w:rPr>
            </w:pPr>
            <w:r>
              <w:rPr>
                <w:rFonts w:hint="default"/>
                <w:color w:val="auto"/>
              </w:rPr>
              <w:t>火灾爆炸</w:t>
            </w:r>
          </w:p>
        </w:tc>
        <w:tc>
          <w:tcPr>
            <w:tcW w:w="2585" w:type="dxa"/>
            <w:vAlign w:val="center"/>
          </w:tcPr>
          <w:p w14:paraId="14FFECB3">
            <w:pPr>
              <w:pStyle w:val="77"/>
              <w:keepNext w:val="0"/>
              <w:keepLines w:val="0"/>
              <w:suppressLineNumbers w:val="0"/>
              <w:spacing w:before="0" w:beforeAutospacing="0" w:after="0" w:afterAutospacing="0"/>
              <w:ind w:left="0" w:right="0"/>
              <w:rPr>
                <w:rFonts w:hint="default"/>
                <w:color w:val="auto"/>
              </w:rPr>
            </w:pPr>
            <w:r>
              <w:rPr>
                <w:rFonts w:hint="default"/>
                <w:color w:val="auto"/>
              </w:rPr>
              <w:t>船舶海上火灾爆炸事故对水环境、大气环境等造成二次污染以及对人群健康的危害</w:t>
            </w:r>
          </w:p>
        </w:tc>
        <w:tc>
          <w:tcPr>
            <w:tcW w:w="3535" w:type="dxa"/>
            <w:vAlign w:val="center"/>
          </w:tcPr>
          <w:p w14:paraId="39285DDA">
            <w:pPr>
              <w:pStyle w:val="77"/>
              <w:keepNext w:val="0"/>
              <w:keepLines w:val="0"/>
              <w:suppressLineNumbers w:val="0"/>
              <w:spacing w:before="0" w:beforeAutospacing="0" w:after="0" w:afterAutospacing="0"/>
              <w:ind w:left="0" w:right="0"/>
              <w:rPr>
                <w:rFonts w:hint="default"/>
                <w:color w:val="auto"/>
              </w:rPr>
            </w:pPr>
            <w:r>
              <w:rPr>
                <w:rFonts w:hint="default"/>
                <w:color w:val="auto"/>
              </w:rPr>
              <w:t>海上的装卸作业及海运事故，如油轮搁浅或碰撞</w:t>
            </w:r>
          </w:p>
        </w:tc>
        <w:tc>
          <w:tcPr>
            <w:tcW w:w="1105" w:type="dxa"/>
            <w:vAlign w:val="center"/>
          </w:tcPr>
          <w:p w14:paraId="5CA55154">
            <w:pPr>
              <w:pStyle w:val="77"/>
              <w:keepNext w:val="0"/>
              <w:keepLines w:val="0"/>
              <w:suppressLineNumbers w:val="0"/>
              <w:spacing w:before="0" w:beforeAutospacing="0" w:after="0" w:afterAutospacing="0"/>
              <w:ind w:left="0" w:right="0"/>
              <w:rPr>
                <w:rFonts w:hint="default"/>
                <w:color w:val="auto"/>
              </w:rPr>
            </w:pPr>
            <w:r>
              <w:rPr>
                <w:rFonts w:hint="default"/>
                <w:color w:val="auto"/>
              </w:rPr>
              <w:t>小</w:t>
            </w:r>
          </w:p>
        </w:tc>
        <w:tc>
          <w:tcPr>
            <w:tcW w:w="881" w:type="dxa"/>
            <w:vAlign w:val="center"/>
          </w:tcPr>
          <w:p w14:paraId="4D2DFB40">
            <w:pPr>
              <w:pStyle w:val="77"/>
              <w:keepNext w:val="0"/>
              <w:keepLines w:val="0"/>
              <w:suppressLineNumbers w:val="0"/>
              <w:spacing w:before="0" w:beforeAutospacing="0" w:after="0" w:afterAutospacing="0"/>
              <w:ind w:left="0" w:right="0"/>
              <w:rPr>
                <w:rFonts w:hint="default"/>
                <w:color w:val="auto"/>
              </w:rPr>
            </w:pPr>
            <w:r>
              <w:rPr>
                <w:rFonts w:hint="default"/>
                <w:color w:val="auto"/>
              </w:rPr>
              <w:t>中</w:t>
            </w:r>
          </w:p>
        </w:tc>
      </w:tr>
      <w:tr w14:paraId="13F0EF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1209" w:type="dxa"/>
            <w:vMerge w:val="continue"/>
            <w:vAlign w:val="center"/>
          </w:tcPr>
          <w:p w14:paraId="18E792B3">
            <w:pPr>
              <w:pStyle w:val="77"/>
              <w:keepNext w:val="0"/>
              <w:keepLines w:val="0"/>
              <w:suppressLineNumbers w:val="0"/>
              <w:spacing w:before="0" w:beforeAutospacing="0" w:after="0" w:afterAutospacing="0"/>
              <w:ind w:left="0" w:right="0"/>
              <w:rPr>
                <w:rFonts w:hint="default"/>
                <w:color w:val="auto"/>
              </w:rPr>
            </w:pPr>
          </w:p>
        </w:tc>
        <w:tc>
          <w:tcPr>
            <w:tcW w:w="2585" w:type="dxa"/>
            <w:vAlign w:val="center"/>
          </w:tcPr>
          <w:p w14:paraId="06F3A749">
            <w:pPr>
              <w:pStyle w:val="77"/>
              <w:keepNext w:val="0"/>
              <w:keepLines w:val="0"/>
              <w:suppressLineNumbers w:val="0"/>
              <w:spacing w:before="0" w:beforeAutospacing="0" w:after="0" w:afterAutospacing="0"/>
              <w:ind w:left="0" w:right="0"/>
              <w:rPr>
                <w:rFonts w:hint="default"/>
                <w:color w:val="auto"/>
              </w:rPr>
            </w:pPr>
            <w:r>
              <w:rPr>
                <w:rFonts w:hint="default"/>
                <w:color w:val="auto"/>
              </w:rPr>
              <w:t>码头火灾爆炸对水环境、大气环境等造成二次污染以及对人群健康的危害</w:t>
            </w:r>
          </w:p>
        </w:tc>
        <w:tc>
          <w:tcPr>
            <w:tcW w:w="3535" w:type="dxa"/>
            <w:vAlign w:val="center"/>
          </w:tcPr>
          <w:p w14:paraId="4C654F38">
            <w:pPr>
              <w:pStyle w:val="77"/>
              <w:keepNext w:val="0"/>
              <w:keepLines w:val="0"/>
              <w:suppressLineNumbers w:val="0"/>
              <w:spacing w:before="0" w:beforeAutospacing="0" w:after="0" w:afterAutospacing="0"/>
              <w:ind w:left="0" w:right="0"/>
              <w:rPr>
                <w:rFonts w:hint="default"/>
                <w:color w:val="auto"/>
              </w:rPr>
            </w:pPr>
            <w:r>
              <w:rPr>
                <w:rFonts w:hint="default"/>
                <w:color w:val="auto"/>
              </w:rPr>
              <w:t>操作失误或管压过大；密封盖、阀门</w:t>
            </w:r>
            <w:r>
              <w:rPr>
                <w:rFonts w:hint="eastAsia"/>
                <w:color w:val="auto"/>
              </w:rPr>
              <w:t>、</w:t>
            </w:r>
            <w:r>
              <w:rPr>
                <w:rFonts w:hint="default"/>
                <w:color w:val="auto"/>
              </w:rPr>
              <w:t>管道</w:t>
            </w:r>
            <w:r>
              <w:rPr>
                <w:rFonts w:hint="eastAsia"/>
                <w:color w:val="auto"/>
              </w:rPr>
              <w:t>、</w:t>
            </w:r>
            <w:r>
              <w:rPr>
                <w:rFonts w:hint="default"/>
                <w:color w:val="auto"/>
              </w:rPr>
              <w:t>储罐破裂，并由此引发泄漏气体的燃烧和自燃</w:t>
            </w:r>
          </w:p>
        </w:tc>
        <w:tc>
          <w:tcPr>
            <w:tcW w:w="1105" w:type="dxa"/>
            <w:vAlign w:val="center"/>
          </w:tcPr>
          <w:p w14:paraId="659CFDEB">
            <w:pPr>
              <w:pStyle w:val="77"/>
              <w:keepNext w:val="0"/>
              <w:keepLines w:val="0"/>
              <w:suppressLineNumbers w:val="0"/>
              <w:spacing w:before="0" w:beforeAutospacing="0" w:after="0" w:afterAutospacing="0"/>
              <w:ind w:left="0" w:right="0"/>
              <w:rPr>
                <w:rFonts w:hint="default"/>
                <w:color w:val="auto"/>
              </w:rPr>
            </w:pPr>
            <w:r>
              <w:rPr>
                <w:rFonts w:hint="default"/>
                <w:color w:val="auto"/>
              </w:rPr>
              <w:t>小</w:t>
            </w:r>
          </w:p>
        </w:tc>
        <w:tc>
          <w:tcPr>
            <w:tcW w:w="881" w:type="dxa"/>
            <w:vAlign w:val="center"/>
          </w:tcPr>
          <w:p w14:paraId="52C613C3">
            <w:pPr>
              <w:pStyle w:val="77"/>
              <w:keepNext w:val="0"/>
              <w:keepLines w:val="0"/>
              <w:suppressLineNumbers w:val="0"/>
              <w:spacing w:before="0" w:beforeAutospacing="0" w:after="0" w:afterAutospacing="0"/>
              <w:ind w:left="0" w:right="0"/>
              <w:rPr>
                <w:rFonts w:hint="default"/>
                <w:color w:val="auto"/>
              </w:rPr>
            </w:pPr>
            <w:r>
              <w:rPr>
                <w:rFonts w:hint="default"/>
                <w:color w:val="auto"/>
              </w:rPr>
              <w:t>中~大</w:t>
            </w:r>
          </w:p>
        </w:tc>
      </w:tr>
      <w:tr w14:paraId="7945B4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1209" w:type="dxa"/>
            <w:vMerge w:val="restart"/>
            <w:vAlign w:val="center"/>
          </w:tcPr>
          <w:p w14:paraId="1D14EBFE">
            <w:pPr>
              <w:pStyle w:val="77"/>
              <w:keepNext w:val="0"/>
              <w:keepLines w:val="0"/>
              <w:suppressLineNumbers w:val="0"/>
              <w:spacing w:before="0" w:beforeAutospacing="0" w:after="0" w:afterAutospacing="0"/>
              <w:ind w:left="0" w:right="0"/>
              <w:rPr>
                <w:rFonts w:hint="default"/>
                <w:color w:val="auto"/>
              </w:rPr>
            </w:pPr>
            <w:r>
              <w:rPr>
                <w:rFonts w:hint="default"/>
                <w:color w:val="auto"/>
              </w:rPr>
              <w:t>溢油事故</w:t>
            </w:r>
          </w:p>
        </w:tc>
        <w:tc>
          <w:tcPr>
            <w:tcW w:w="2585" w:type="dxa"/>
            <w:vAlign w:val="center"/>
          </w:tcPr>
          <w:p w14:paraId="46AE23CC">
            <w:pPr>
              <w:pStyle w:val="77"/>
              <w:keepNext w:val="0"/>
              <w:keepLines w:val="0"/>
              <w:suppressLineNumbers w:val="0"/>
              <w:spacing w:before="0" w:beforeAutospacing="0" w:after="0" w:afterAutospacing="0"/>
              <w:ind w:left="0" w:right="0"/>
              <w:rPr>
                <w:rFonts w:hint="default"/>
                <w:color w:val="auto"/>
              </w:rPr>
            </w:pPr>
            <w:r>
              <w:rPr>
                <w:rFonts w:hint="default"/>
                <w:color w:val="auto"/>
              </w:rPr>
              <w:t>事故溢油对水环境造成污染</w:t>
            </w:r>
          </w:p>
        </w:tc>
        <w:tc>
          <w:tcPr>
            <w:tcW w:w="3535" w:type="dxa"/>
            <w:vAlign w:val="center"/>
          </w:tcPr>
          <w:p w14:paraId="21A02F9D">
            <w:pPr>
              <w:pStyle w:val="77"/>
              <w:keepNext w:val="0"/>
              <w:keepLines w:val="0"/>
              <w:suppressLineNumbers w:val="0"/>
              <w:spacing w:before="0" w:beforeAutospacing="0" w:after="0" w:afterAutospacing="0"/>
              <w:ind w:left="0" w:right="0"/>
              <w:rPr>
                <w:rFonts w:hint="default"/>
                <w:color w:val="auto"/>
              </w:rPr>
            </w:pPr>
            <w:r>
              <w:rPr>
                <w:rFonts w:hint="default"/>
                <w:color w:val="auto"/>
              </w:rPr>
              <w:t>施工期船舶与周边码头船舶碰撞事故</w:t>
            </w:r>
          </w:p>
        </w:tc>
        <w:tc>
          <w:tcPr>
            <w:tcW w:w="1105" w:type="dxa"/>
            <w:vAlign w:val="center"/>
          </w:tcPr>
          <w:p w14:paraId="194F6019">
            <w:pPr>
              <w:pStyle w:val="77"/>
              <w:keepNext w:val="0"/>
              <w:keepLines w:val="0"/>
              <w:suppressLineNumbers w:val="0"/>
              <w:spacing w:before="0" w:beforeAutospacing="0" w:after="0" w:afterAutospacing="0"/>
              <w:ind w:left="0" w:right="0"/>
              <w:rPr>
                <w:rFonts w:hint="default"/>
                <w:color w:val="auto"/>
              </w:rPr>
            </w:pPr>
            <w:r>
              <w:rPr>
                <w:rFonts w:hint="default"/>
                <w:color w:val="auto"/>
              </w:rPr>
              <w:t>小~中</w:t>
            </w:r>
          </w:p>
        </w:tc>
        <w:tc>
          <w:tcPr>
            <w:tcW w:w="881" w:type="dxa"/>
            <w:vAlign w:val="center"/>
          </w:tcPr>
          <w:p w14:paraId="15264C31">
            <w:pPr>
              <w:pStyle w:val="77"/>
              <w:keepNext w:val="0"/>
              <w:keepLines w:val="0"/>
              <w:suppressLineNumbers w:val="0"/>
              <w:spacing w:before="0" w:beforeAutospacing="0" w:after="0" w:afterAutospacing="0"/>
              <w:ind w:left="0" w:right="0"/>
              <w:rPr>
                <w:rFonts w:hint="default"/>
                <w:color w:val="auto"/>
              </w:rPr>
            </w:pPr>
            <w:r>
              <w:rPr>
                <w:rFonts w:hint="default"/>
                <w:color w:val="auto"/>
              </w:rPr>
              <w:t>中~大</w:t>
            </w:r>
          </w:p>
        </w:tc>
      </w:tr>
      <w:tr w14:paraId="6A4BA6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1209" w:type="dxa"/>
            <w:vMerge w:val="continue"/>
            <w:vAlign w:val="center"/>
          </w:tcPr>
          <w:p w14:paraId="022EC973">
            <w:pPr>
              <w:pStyle w:val="77"/>
              <w:keepNext w:val="0"/>
              <w:keepLines w:val="0"/>
              <w:suppressLineNumbers w:val="0"/>
              <w:spacing w:before="0" w:beforeAutospacing="0" w:after="0" w:afterAutospacing="0"/>
              <w:ind w:left="0" w:right="0"/>
              <w:rPr>
                <w:rFonts w:hint="default"/>
                <w:color w:val="auto"/>
              </w:rPr>
            </w:pPr>
          </w:p>
        </w:tc>
        <w:tc>
          <w:tcPr>
            <w:tcW w:w="2585" w:type="dxa"/>
            <w:vAlign w:val="center"/>
          </w:tcPr>
          <w:p w14:paraId="57F2EF28">
            <w:pPr>
              <w:pStyle w:val="77"/>
              <w:keepNext w:val="0"/>
              <w:keepLines w:val="0"/>
              <w:suppressLineNumbers w:val="0"/>
              <w:spacing w:before="0" w:beforeAutospacing="0" w:after="0" w:afterAutospacing="0"/>
              <w:ind w:left="0" w:right="0"/>
              <w:rPr>
                <w:rFonts w:hint="default"/>
                <w:color w:val="auto"/>
              </w:rPr>
            </w:pPr>
            <w:r>
              <w:rPr>
                <w:rFonts w:hint="default"/>
                <w:color w:val="auto"/>
              </w:rPr>
              <w:t>事故溢油对水环境造成污染</w:t>
            </w:r>
          </w:p>
        </w:tc>
        <w:tc>
          <w:tcPr>
            <w:tcW w:w="3535" w:type="dxa"/>
            <w:vAlign w:val="center"/>
          </w:tcPr>
          <w:p w14:paraId="1DCDBC16">
            <w:pPr>
              <w:pStyle w:val="77"/>
              <w:keepNext w:val="0"/>
              <w:keepLines w:val="0"/>
              <w:suppressLineNumbers w:val="0"/>
              <w:spacing w:before="0" w:beforeAutospacing="0" w:after="0" w:afterAutospacing="0"/>
              <w:ind w:left="0" w:right="0"/>
              <w:rPr>
                <w:rFonts w:hint="default"/>
                <w:color w:val="auto"/>
              </w:rPr>
            </w:pPr>
            <w:r>
              <w:rPr>
                <w:rFonts w:hint="default"/>
                <w:color w:val="auto"/>
              </w:rPr>
              <w:t>运输船舶航行中，与其他船舶碰撞等事故，导致溢油；码头前沿附近海域，由于操作失误，运输船舶与其他船舶发生碰撞，导致溢油；运输船舶在靠、离码头过程中，因操作不当或因水文、气象条件不良等原因，与码头碰撞，导致溢油</w:t>
            </w:r>
          </w:p>
        </w:tc>
        <w:tc>
          <w:tcPr>
            <w:tcW w:w="1105" w:type="dxa"/>
            <w:vAlign w:val="center"/>
          </w:tcPr>
          <w:p w14:paraId="78B54758">
            <w:pPr>
              <w:pStyle w:val="77"/>
              <w:keepNext w:val="0"/>
              <w:keepLines w:val="0"/>
              <w:suppressLineNumbers w:val="0"/>
              <w:spacing w:before="0" w:beforeAutospacing="0" w:after="0" w:afterAutospacing="0"/>
              <w:ind w:left="0" w:right="0"/>
              <w:rPr>
                <w:rFonts w:hint="default"/>
                <w:color w:val="auto"/>
              </w:rPr>
            </w:pPr>
            <w:r>
              <w:rPr>
                <w:rFonts w:hint="default"/>
                <w:color w:val="auto"/>
              </w:rPr>
              <w:t>小~中</w:t>
            </w:r>
          </w:p>
        </w:tc>
        <w:tc>
          <w:tcPr>
            <w:tcW w:w="881" w:type="dxa"/>
            <w:vAlign w:val="center"/>
          </w:tcPr>
          <w:p w14:paraId="5D7EF361">
            <w:pPr>
              <w:pStyle w:val="77"/>
              <w:keepNext w:val="0"/>
              <w:keepLines w:val="0"/>
              <w:suppressLineNumbers w:val="0"/>
              <w:spacing w:before="0" w:beforeAutospacing="0" w:after="0" w:afterAutospacing="0"/>
              <w:ind w:left="0" w:right="0"/>
              <w:rPr>
                <w:rFonts w:hint="default"/>
                <w:color w:val="auto"/>
              </w:rPr>
            </w:pPr>
            <w:r>
              <w:rPr>
                <w:rFonts w:hint="default"/>
                <w:color w:val="auto"/>
              </w:rPr>
              <w:t>中~大</w:t>
            </w:r>
          </w:p>
        </w:tc>
      </w:tr>
    </w:tbl>
    <w:p w14:paraId="733319A9">
      <w:pPr>
        <w:pStyle w:val="5"/>
        <w:rPr>
          <w:color w:val="auto"/>
        </w:rPr>
      </w:pPr>
      <w:bookmarkStart w:id="551" w:name="_Toc223595782"/>
      <w:bookmarkStart w:id="552" w:name="_Toc223258492"/>
      <w:r>
        <w:rPr>
          <w:color w:val="auto"/>
        </w:rPr>
        <w:t>风险事故情形分析</w:t>
      </w:r>
      <w:bookmarkEnd w:id="551"/>
      <w:bookmarkEnd w:id="552"/>
    </w:p>
    <w:p w14:paraId="0A6C5844">
      <w:pPr>
        <w:pStyle w:val="4"/>
        <w:rPr>
          <w:color w:val="auto"/>
        </w:rPr>
      </w:pPr>
      <w:r>
        <w:rPr>
          <w:color w:val="auto"/>
        </w:rPr>
        <w:t>陆域泄漏</w:t>
      </w:r>
      <w:r>
        <w:rPr>
          <w:rFonts w:hint="eastAsia"/>
          <w:color w:val="auto"/>
          <w:lang w:eastAsia="zh-CN"/>
        </w:rPr>
        <w:t>源</w:t>
      </w:r>
      <w:r>
        <w:rPr>
          <w:color w:val="auto"/>
        </w:rPr>
        <w:t>项分析</w:t>
      </w:r>
    </w:p>
    <w:p w14:paraId="7982E385">
      <w:pPr>
        <w:pStyle w:val="6"/>
        <w:rPr>
          <w:color w:val="auto"/>
        </w:rPr>
      </w:pPr>
      <w:r>
        <w:rPr>
          <w:color w:val="auto"/>
        </w:rPr>
        <w:t>最大可信事故</w:t>
      </w:r>
      <w:r>
        <w:rPr>
          <w:rFonts w:hint="eastAsia"/>
          <w:color w:val="auto"/>
          <w:lang w:eastAsia="zh-CN"/>
        </w:rPr>
        <w:t>情形</w:t>
      </w:r>
      <w:r>
        <w:rPr>
          <w:color w:val="auto"/>
        </w:rPr>
        <w:t>设定</w:t>
      </w:r>
    </w:p>
    <w:p w14:paraId="2D5F55B6">
      <w:pPr>
        <w:ind w:firstLine="480"/>
        <w:rPr>
          <w:color w:val="auto"/>
        </w:rPr>
      </w:pPr>
      <w:r>
        <w:rPr>
          <w:rFonts w:hint="eastAsia"/>
          <w:color w:val="auto"/>
          <w:u w:val="single"/>
        </w:rPr>
        <w:t>风险事故情形设定内容应包括环境风险类型、风险源、危险单元、危险物质和影响途径等。根据《建设项目环境风险评价技术导则》（HJ169-2018）8.1.2风险事故情形的设定原则，本项目风险源项：物料装卸、储存发生的泄漏事故；物料泄漏事故遇火源引发火灾爆炸。本项目选择对环境影响较大的，且具有代表性的事故类型设定风险事故情形。</w:t>
      </w:r>
      <w:r>
        <w:rPr>
          <w:color w:val="auto"/>
        </w:rPr>
        <w:t>根据《建设项目环境风险评价技术导则》（HJ169-2018）附录E中表E.1各风险源的泄漏频率确定最大可信事故。</w:t>
      </w:r>
      <w:r>
        <w:rPr>
          <w:rFonts w:hint="eastAsia"/>
          <w:color w:val="auto"/>
        </w:rPr>
        <w:t>对于</w:t>
      </w:r>
      <w:r>
        <w:rPr>
          <w:color w:val="auto"/>
        </w:rPr>
        <w:t>储罐泄漏，泄漏孔径为</w:t>
      </w:r>
      <w:r>
        <w:rPr>
          <w:rFonts w:hint="eastAsia"/>
          <w:color w:val="auto"/>
        </w:rPr>
        <w:t>10</w:t>
      </w:r>
      <w:r>
        <w:rPr>
          <w:color w:val="auto"/>
        </w:rPr>
        <w:t>mm孔径的</w:t>
      </w:r>
      <w:r>
        <w:rPr>
          <w:rFonts w:hint="eastAsia"/>
          <w:color w:val="auto"/>
        </w:rPr>
        <w:t>泄漏</w:t>
      </w:r>
      <w:r>
        <w:rPr>
          <w:color w:val="auto"/>
        </w:rPr>
        <w:t>频率为</w:t>
      </w:r>
      <w:r>
        <w:rPr>
          <w:rFonts w:hint="eastAsia"/>
          <w:color w:val="auto"/>
        </w:rPr>
        <w:t>1</w:t>
      </w:r>
      <w:r>
        <w:rPr>
          <w:color w:val="auto"/>
        </w:rPr>
        <w:t>×10</w:t>
      </w:r>
      <w:r>
        <w:rPr>
          <w:color w:val="auto"/>
          <w:vertAlign w:val="superscript"/>
        </w:rPr>
        <w:t>-4</w:t>
      </w:r>
      <w:r>
        <w:rPr>
          <w:color w:val="auto"/>
        </w:rPr>
        <w:t>/a</w:t>
      </w:r>
      <w:r>
        <w:rPr>
          <w:rFonts w:hint="eastAsia"/>
          <w:color w:val="auto"/>
        </w:rPr>
        <w:t>；</w:t>
      </w:r>
      <w:r>
        <w:rPr>
          <w:color w:val="auto"/>
        </w:rPr>
        <w:t>对于管线泄漏，其内径＞150mm管道泄漏孔径为10%孔径概率为2.4×10</w:t>
      </w:r>
      <w:r>
        <w:rPr>
          <w:color w:val="auto"/>
          <w:vertAlign w:val="superscript"/>
        </w:rPr>
        <w:t>-6</w:t>
      </w:r>
      <w:r>
        <w:rPr>
          <w:color w:val="auto"/>
        </w:rPr>
        <w:t>/a</w:t>
      </w:r>
      <w:r>
        <w:rPr>
          <w:rFonts w:hint="eastAsia"/>
          <w:color w:val="auto"/>
        </w:rPr>
        <w:t>。根据事故</w:t>
      </w:r>
      <w:r>
        <w:rPr>
          <w:color w:val="auto"/>
        </w:rPr>
        <w:t>发生的概率，储罐泄漏的</w:t>
      </w:r>
      <w:r>
        <w:rPr>
          <w:rFonts w:hint="eastAsia"/>
          <w:color w:val="auto"/>
        </w:rPr>
        <w:t>概率大于</w:t>
      </w:r>
      <w:r>
        <w:rPr>
          <w:color w:val="auto"/>
        </w:rPr>
        <w:t>管道泄漏概率，可作为最大可信事故进行分析。</w:t>
      </w:r>
    </w:p>
    <w:p w14:paraId="3D67EC47">
      <w:pPr>
        <w:ind w:firstLine="480"/>
        <w:rPr>
          <w:color w:val="auto"/>
        </w:rPr>
      </w:pPr>
      <w:r>
        <w:rPr>
          <w:color w:val="auto"/>
        </w:rPr>
        <w:t>因此本项目最大可信事故按</w:t>
      </w:r>
      <w:r>
        <w:rPr>
          <w:rFonts w:hint="eastAsia"/>
          <w:color w:val="auto"/>
          <w:lang w:eastAsia="zh-CN"/>
        </w:rPr>
        <w:t>常压</w:t>
      </w:r>
      <w:r>
        <w:rPr>
          <w:color w:val="auto"/>
        </w:rPr>
        <w:t>储罐泄漏</w:t>
      </w:r>
      <w:r>
        <w:rPr>
          <w:rFonts w:hint="eastAsia"/>
          <w:color w:val="auto"/>
        </w:rPr>
        <w:t>10</w:t>
      </w:r>
      <w:r>
        <w:rPr>
          <w:color w:val="auto"/>
        </w:rPr>
        <w:t>mm的孔径进行预测分析。</w:t>
      </w:r>
    </w:p>
    <w:p w14:paraId="065777E1">
      <w:pPr>
        <w:pStyle w:val="14"/>
        <w:rPr>
          <w:color w:val="auto"/>
        </w:rPr>
      </w:pPr>
      <w:r>
        <w:rPr>
          <w:color w:val="auto"/>
        </w:rPr>
        <w:t>表</w:t>
      </w:r>
      <w:r>
        <w:rPr>
          <w:color w:val="auto"/>
        </w:rPr>
        <w:fldChar w:fldCharType="begin"/>
      </w:r>
      <w:r>
        <w:rPr>
          <w:color w:val="auto"/>
        </w:rPr>
        <w:instrText xml:space="preserve"> STYLEREF 2 \s </w:instrText>
      </w:r>
      <w:r>
        <w:rPr>
          <w:color w:val="auto"/>
        </w:rPr>
        <w:fldChar w:fldCharType="separate"/>
      </w:r>
      <w:r>
        <w:rPr>
          <w:color w:val="auto"/>
        </w:rPr>
        <w:t>5.4</w:t>
      </w:r>
      <w:r>
        <w:rPr>
          <w:color w:val="auto"/>
        </w:rPr>
        <w:fldChar w:fldCharType="end"/>
      </w:r>
      <w:r>
        <w:rPr>
          <w:rFonts w:hint="eastAsia"/>
          <w:color w:val="auto"/>
          <w:lang w:eastAsia="zh-CN"/>
        </w:rPr>
        <w:t>-</w:t>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r>
        <w:rPr>
          <w:color w:val="auto"/>
        </w:rPr>
        <w:t>项目</w:t>
      </w:r>
      <w:r>
        <w:rPr>
          <w:rFonts w:hint="eastAsia"/>
          <w:color w:val="auto"/>
        </w:rPr>
        <w:t>在线量</w:t>
      </w:r>
      <w:r>
        <w:rPr>
          <w:color w:val="auto"/>
        </w:rPr>
        <w:t>及毒性较大装卸货物统计表</w:t>
      </w:r>
    </w:p>
    <w:tbl>
      <w:tblPr>
        <w:tblStyle w:val="43"/>
        <w:tblW w:w="9245"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533"/>
        <w:gridCol w:w="1905"/>
        <w:gridCol w:w="1451"/>
        <w:gridCol w:w="1678"/>
        <w:gridCol w:w="1678"/>
      </w:tblGrid>
      <w:tr w14:paraId="085F37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533" w:type="dxa"/>
            <w:vAlign w:val="center"/>
          </w:tcPr>
          <w:p w14:paraId="649EA1A5">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物料</w:t>
            </w:r>
          </w:p>
        </w:tc>
        <w:tc>
          <w:tcPr>
            <w:tcW w:w="1905" w:type="dxa"/>
            <w:vAlign w:val="center"/>
          </w:tcPr>
          <w:p w14:paraId="34AC110A">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管线/mm</w:t>
            </w:r>
          </w:p>
        </w:tc>
        <w:tc>
          <w:tcPr>
            <w:tcW w:w="1451" w:type="dxa"/>
            <w:vAlign w:val="center"/>
          </w:tcPr>
          <w:p w14:paraId="48167BE8">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在线储量（t）</w:t>
            </w:r>
          </w:p>
        </w:tc>
        <w:tc>
          <w:tcPr>
            <w:tcW w:w="1678" w:type="dxa"/>
            <w:vAlign w:val="center"/>
          </w:tcPr>
          <w:p w14:paraId="219C53DE">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毒性终点浓度-1（mg/m</w:t>
            </w:r>
            <w:r>
              <w:rPr>
                <w:rFonts w:hint="default"/>
                <w:b/>
                <w:bCs/>
                <w:color w:val="auto"/>
                <w:vertAlign w:val="superscript"/>
              </w:rPr>
              <w:t>3</w:t>
            </w:r>
            <w:r>
              <w:rPr>
                <w:rFonts w:hint="default"/>
                <w:b/>
                <w:bCs/>
                <w:color w:val="auto"/>
              </w:rPr>
              <w:t>）</w:t>
            </w:r>
          </w:p>
        </w:tc>
        <w:tc>
          <w:tcPr>
            <w:tcW w:w="1678" w:type="dxa"/>
            <w:vAlign w:val="center"/>
          </w:tcPr>
          <w:p w14:paraId="054A244C">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毒性终点浓度-2（mg/m</w:t>
            </w:r>
            <w:r>
              <w:rPr>
                <w:rFonts w:hint="default"/>
                <w:b/>
                <w:bCs/>
                <w:color w:val="auto"/>
                <w:vertAlign w:val="superscript"/>
              </w:rPr>
              <w:t>3</w:t>
            </w:r>
            <w:r>
              <w:rPr>
                <w:rFonts w:hint="default"/>
                <w:b/>
                <w:bCs/>
                <w:color w:val="auto"/>
              </w:rPr>
              <w:t>）</w:t>
            </w:r>
          </w:p>
        </w:tc>
      </w:tr>
      <w:tr w14:paraId="13D94D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533" w:type="dxa"/>
            <w:vAlign w:val="center"/>
          </w:tcPr>
          <w:p w14:paraId="47DC277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甲基叔丁基醚（MTBE）</w:t>
            </w:r>
          </w:p>
        </w:tc>
        <w:tc>
          <w:tcPr>
            <w:tcW w:w="1905" w:type="dxa"/>
          </w:tcPr>
          <w:p w14:paraId="63E27537">
            <w:pPr>
              <w:pStyle w:val="77"/>
              <w:keepNext w:val="0"/>
              <w:keepLines w:val="0"/>
              <w:suppressLineNumbers w:val="0"/>
              <w:spacing w:before="0" w:beforeAutospacing="0" w:after="0" w:afterAutospacing="0"/>
              <w:ind w:left="0" w:right="0"/>
              <w:rPr>
                <w:rFonts w:hint="default"/>
                <w:color w:val="auto"/>
                <w:sz w:val="21"/>
                <w:szCs w:val="21"/>
              </w:rPr>
            </w:pPr>
            <w:r>
              <w:rPr>
                <w:rFonts w:hint="eastAsia"/>
                <w:color w:val="auto"/>
                <w:sz w:val="21"/>
                <w:szCs w:val="21"/>
              </w:rPr>
              <w:t>10000</w:t>
            </w:r>
            <w:r>
              <w:rPr>
                <w:rFonts w:hint="default"/>
                <w:color w:val="auto"/>
                <w:sz w:val="21"/>
                <w:szCs w:val="21"/>
              </w:rPr>
              <w:t>m</w:t>
            </w:r>
            <w:r>
              <w:rPr>
                <w:rFonts w:hint="default"/>
                <w:color w:val="auto"/>
                <w:sz w:val="21"/>
                <w:szCs w:val="21"/>
                <w:vertAlign w:val="superscript"/>
              </w:rPr>
              <w:t>3</w:t>
            </w:r>
            <w:r>
              <w:rPr>
                <w:rFonts w:hint="eastAsia"/>
                <w:color w:val="auto"/>
                <w:sz w:val="21"/>
                <w:szCs w:val="21"/>
              </w:rPr>
              <w:t>内浮顶</w:t>
            </w:r>
            <w:r>
              <w:rPr>
                <w:rFonts w:hint="default"/>
                <w:color w:val="auto"/>
                <w:sz w:val="21"/>
                <w:szCs w:val="21"/>
              </w:rPr>
              <w:t>罐</w:t>
            </w:r>
          </w:p>
        </w:tc>
        <w:tc>
          <w:tcPr>
            <w:tcW w:w="1451" w:type="dxa"/>
            <w:vAlign w:val="center"/>
          </w:tcPr>
          <w:p w14:paraId="01B7A44A">
            <w:pPr>
              <w:pStyle w:val="77"/>
              <w:keepNext w:val="0"/>
              <w:keepLines w:val="0"/>
              <w:suppressLineNumbers w:val="0"/>
              <w:spacing w:before="0" w:beforeAutospacing="0" w:after="0" w:afterAutospacing="0"/>
              <w:ind w:left="0" w:right="0"/>
              <w:rPr>
                <w:rFonts w:hint="default"/>
                <w:color w:val="auto"/>
              </w:rPr>
            </w:pPr>
            <w:r>
              <w:rPr>
                <w:rFonts w:hint="default"/>
                <w:color w:val="auto"/>
              </w:rPr>
              <w:t>7400</w:t>
            </w:r>
          </w:p>
        </w:tc>
        <w:tc>
          <w:tcPr>
            <w:tcW w:w="1678" w:type="dxa"/>
            <w:vAlign w:val="center"/>
          </w:tcPr>
          <w:p w14:paraId="7D264E2C">
            <w:pPr>
              <w:pStyle w:val="77"/>
              <w:keepNext w:val="0"/>
              <w:keepLines w:val="0"/>
              <w:suppressLineNumbers w:val="0"/>
              <w:spacing w:before="0" w:beforeAutospacing="0" w:after="0" w:afterAutospacing="0"/>
              <w:ind w:left="0" w:right="0"/>
              <w:rPr>
                <w:rFonts w:hint="default"/>
                <w:color w:val="auto"/>
              </w:rPr>
            </w:pPr>
            <w:r>
              <w:rPr>
                <w:rFonts w:hint="default"/>
                <w:color w:val="auto"/>
              </w:rPr>
              <w:t>19000</w:t>
            </w:r>
          </w:p>
        </w:tc>
        <w:tc>
          <w:tcPr>
            <w:tcW w:w="1678" w:type="dxa"/>
            <w:vAlign w:val="center"/>
          </w:tcPr>
          <w:p w14:paraId="4191DD08">
            <w:pPr>
              <w:pStyle w:val="77"/>
              <w:keepNext w:val="0"/>
              <w:keepLines w:val="0"/>
              <w:suppressLineNumbers w:val="0"/>
              <w:spacing w:before="0" w:beforeAutospacing="0" w:after="0" w:afterAutospacing="0"/>
              <w:ind w:left="0" w:right="0"/>
              <w:rPr>
                <w:rFonts w:hint="default"/>
                <w:color w:val="auto"/>
              </w:rPr>
            </w:pPr>
            <w:r>
              <w:rPr>
                <w:rFonts w:hint="default"/>
                <w:color w:val="auto"/>
              </w:rPr>
              <w:t>2100</w:t>
            </w:r>
          </w:p>
        </w:tc>
      </w:tr>
      <w:tr w14:paraId="57E7DB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533" w:type="dxa"/>
            <w:vAlign w:val="center"/>
          </w:tcPr>
          <w:p w14:paraId="128A9FC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异辛烷（烷基化油）</w:t>
            </w:r>
          </w:p>
        </w:tc>
        <w:tc>
          <w:tcPr>
            <w:tcW w:w="1905" w:type="dxa"/>
          </w:tcPr>
          <w:p w14:paraId="6B200A6D">
            <w:pPr>
              <w:pStyle w:val="77"/>
              <w:keepNext w:val="0"/>
              <w:keepLines w:val="0"/>
              <w:suppressLineNumbers w:val="0"/>
              <w:spacing w:before="0" w:beforeAutospacing="0" w:after="0" w:afterAutospacing="0"/>
              <w:ind w:left="0" w:right="0"/>
              <w:rPr>
                <w:rFonts w:hint="default"/>
                <w:color w:val="auto"/>
                <w:sz w:val="21"/>
                <w:szCs w:val="21"/>
              </w:rPr>
            </w:pPr>
            <w:r>
              <w:rPr>
                <w:rFonts w:hint="eastAsia"/>
                <w:color w:val="auto"/>
                <w:sz w:val="21"/>
                <w:szCs w:val="21"/>
              </w:rPr>
              <w:t>10000</w:t>
            </w:r>
            <w:r>
              <w:rPr>
                <w:rFonts w:hint="default"/>
                <w:color w:val="auto"/>
                <w:sz w:val="21"/>
                <w:szCs w:val="21"/>
              </w:rPr>
              <w:t>m</w:t>
            </w:r>
            <w:r>
              <w:rPr>
                <w:rFonts w:hint="default"/>
                <w:color w:val="auto"/>
                <w:sz w:val="21"/>
                <w:szCs w:val="21"/>
                <w:vertAlign w:val="superscript"/>
              </w:rPr>
              <w:t>3</w:t>
            </w:r>
            <w:r>
              <w:rPr>
                <w:rFonts w:hint="eastAsia"/>
                <w:color w:val="auto"/>
                <w:sz w:val="21"/>
                <w:szCs w:val="21"/>
              </w:rPr>
              <w:t>内浮顶</w:t>
            </w:r>
            <w:r>
              <w:rPr>
                <w:rFonts w:hint="default"/>
                <w:color w:val="auto"/>
                <w:sz w:val="21"/>
                <w:szCs w:val="21"/>
              </w:rPr>
              <w:t>罐</w:t>
            </w:r>
          </w:p>
        </w:tc>
        <w:tc>
          <w:tcPr>
            <w:tcW w:w="1451" w:type="dxa"/>
            <w:vAlign w:val="center"/>
          </w:tcPr>
          <w:p w14:paraId="473CEAD6">
            <w:pPr>
              <w:pStyle w:val="77"/>
              <w:keepNext w:val="0"/>
              <w:keepLines w:val="0"/>
              <w:suppressLineNumbers w:val="0"/>
              <w:spacing w:before="0" w:beforeAutospacing="0" w:after="0" w:afterAutospacing="0"/>
              <w:ind w:left="0" w:right="0"/>
              <w:rPr>
                <w:rFonts w:hint="default"/>
                <w:color w:val="auto"/>
              </w:rPr>
            </w:pPr>
            <w:r>
              <w:rPr>
                <w:rFonts w:hint="default"/>
                <w:color w:val="auto"/>
              </w:rPr>
              <w:t>6900</w:t>
            </w:r>
          </w:p>
        </w:tc>
        <w:tc>
          <w:tcPr>
            <w:tcW w:w="1678" w:type="dxa"/>
            <w:vAlign w:val="center"/>
          </w:tcPr>
          <w:p w14:paraId="0709FBAC">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678" w:type="dxa"/>
            <w:vAlign w:val="center"/>
          </w:tcPr>
          <w:p w14:paraId="2508A67D">
            <w:pPr>
              <w:pStyle w:val="77"/>
              <w:keepNext w:val="0"/>
              <w:keepLines w:val="0"/>
              <w:suppressLineNumbers w:val="0"/>
              <w:spacing w:before="0" w:beforeAutospacing="0" w:after="0" w:afterAutospacing="0"/>
              <w:ind w:left="0" w:right="0"/>
              <w:rPr>
                <w:rFonts w:hint="default"/>
                <w:color w:val="auto"/>
              </w:rPr>
            </w:pPr>
            <w:r>
              <w:rPr>
                <w:rFonts w:hint="eastAsia"/>
                <w:color w:val="auto"/>
              </w:rPr>
              <w:t>80</w:t>
            </w:r>
          </w:p>
        </w:tc>
      </w:tr>
      <w:tr w14:paraId="4710F9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533" w:type="dxa"/>
            <w:vAlign w:val="center"/>
          </w:tcPr>
          <w:p w14:paraId="74D52DA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石脑油</w:t>
            </w:r>
          </w:p>
        </w:tc>
        <w:tc>
          <w:tcPr>
            <w:tcW w:w="1905" w:type="dxa"/>
          </w:tcPr>
          <w:p w14:paraId="314461B7">
            <w:pPr>
              <w:pStyle w:val="77"/>
              <w:keepNext w:val="0"/>
              <w:keepLines w:val="0"/>
              <w:suppressLineNumbers w:val="0"/>
              <w:spacing w:before="0" w:beforeAutospacing="0" w:after="0" w:afterAutospacing="0"/>
              <w:ind w:left="0" w:right="0"/>
              <w:rPr>
                <w:rFonts w:hint="default"/>
                <w:color w:val="auto"/>
                <w:sz w:val="21"/>
                <w:szCs w:val="21"/>
              </w:rPr>
            </w:pPr>
            <w:r>
              <w:rPr>
                <w:rFonts w:hint="eastAsia"/>
                <w:color w:val="auto"/>
                <w:sz w:val="21"/>
                <w:szCs w:val="21"/>
              </w:rPr>
              <w:t>10000</w:t>
            </w:r>
            <w:r>
              <w:rPr>
                <w:rFonts w:hint="default"/>
                <w:color w:val="auto"/>
                <w:sz w:val="21"/>
                <w:szCs w:val="21"/>
              </w:rPr>
              <w:t>m</w:t>
            </w:r>
            <w:r>
              <w:rPr>
                <w:rFonts w:hint="default"/>
                <w:color w:val="auto"/>
                <w:sz w:val="21"/>
                <w:szCs w:val="21"/>
                <w:vertAlign w:val="superscript"/>
              </w:rPr>
              <w:t>3</w:t>
            </w:r>
            <w:r>
              <w:rPr>
                <w:rFonts w:hint="eastAsia"/>
                <w:color w:val="auto"/>
                <w:sz w:val="21"/>
                <w:szCs w:val="21"/>
              </w:rPr>
              <w:t>内浮顶</w:t>
            </w:r>
            <w:r>
              <w:rPr>
                <w:rFonts w:hint="default"/>
                <w:color w:val="auto"/>
                <w:sz w:val="21"/>
                <w:szCs w:val="21"/>
              </w:rPr>
              <w:t>罐</w:t>
            </w:r>
          </w:p>
        </w:tc>
        <w:tc>
          <w:tcPr>
            <w:tcW w:w="1451" w:type="dxa"/>
            <w:vAlign w:val="center"/>
          </w:tcPr>
          <w:p w14:paraId="2765766F">
            <w:pPr>
              <w:pStyle w:val="77"/>
              <w:keepNext w:val="0"/>
              <w:keepLines w:val="0"/>
              <w:suppressLineNumbers w:val="0"/>
              <w:spacing w:before="0" w:beforeAutospacing="0" w:after="0" w:afterAutospacing="0"/>
              <w:ind w:left="0" w:right="0"/>
              <w:rPr>
                <w:rFonts w:hint="default"/>
                <w:color w:val="auto"/>
              </w:rPr>
            </w:pPr>
            <w:r>
              <w:rPr>
                <w:rFonts w:hint="default"/>
                <w:color w:val="auto"/>
              </w:rPr>
              <w:t>6670</w:t>
            </w:r>
          </w:p>
        </w:tc>
        <w:tc>
          <w:tcPr>
            <w:tcW w:w="1678" w:type="dxa"/>
            <w:vAlign w:val="center"/>
          </w:tcPr>
          <w:p w14:paraId="7A7D48B4">
            <w:pPr>
              <w:pStyle w:val="77"/>
              <w:keepNext w:val="0"/>
              <w:keepLines w:val="0"/>
              <w:suppressLineNumbers w:val="0"/>
              <w:spacing w:before="0" w:beforeAutospacing="0" w:after="0" w:afterAutospacing="0"/>
              <w:ind w:left="0" w:right="0"/>
              <w:rPr>
                <w:rFonts w:hint="default"/>
                <w:color w:val="auto"/>
              </w:rPr>
            </w:pPr>
            <w:r>
              <w:rPr>
                <w:rFonts w:hint="eastAsia"/>
                <w:color w:val="auto"/>
              </w:rPr>
              <w:t>16000</w:t>
            </w:r>
          </w:p>
        </w:tc>
        <w:tc>
          <w:tcPr>
            <w:tcW w:w="1678" w:type="dxa"/>
            <w:vAlign w:val="center"/>
          </w:tcPr>
          <w:p w14:paraId="335B0D10">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7B61D2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533" w:type="dxa"/>
            <w:vAlign w:val="center"/>
          </w:tcPr>
          <w:p w14:paraId="713CAF0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蜡油</w:t>
            </w:r>
          </w:p>
        </w:tc>
        <w:tc>
          <w:tcPr>
            <w:tcW w:w="1905" w:type="dxa"/>
          </w:tcPr>
          <w:p w14:paraId="401435E7">
            <w:pPr>
              <w:pStyle w:val="77"/>
              <w:keepNext w:val="0"/>
              <w:keepLines w:val="0"/>
              <w:suppressLineNumbers w:val="0"/>
              <w:spacing w:before="0" w:beforeAutospacing="0" w:after="0" w:afterAutospacing="0"/>
              <w:ind w:left="0" w:right="0"/>
              <w:rPr>
                <w:rFonts w:hint="default"/>
                <w:color w:val="auto"/>
                <w:sz w:val="21"/>
                <w:szCs w:val="21"/>
              </w:rPr>
            </w:pPr>
            <w:r>
              <w:rPr>
                <w:rFonts w:hint="default"/>
                <w:color w:val="auto"/>
                <w:sz w:val="21"/>
                <w:szCs w:val="21"/>
              </w:rPr>
              <w:t>4</w:t>
            </w:r>
            <w:r>
              <w:rPr>
                <w:rFonts w:hint="eastAsia"/>
                <w:color w:val="auto"/>
                <w:sz w:val="21"/>
                <w:szCs w:val="21"/>
              </w:rPr>
              <w:t>0000</w:t>
            </w:r>
            <w:r>
              <w:rPr>
                <w:rFonts w:hint="default"/>
                <w:color w:val="auto"/>
                <w:sz w:val="21"/>
                <w:szCs w:val="21"/>
              </w:rPr>
              <w:t>m</w:t>
            </w:r>
            <w:r>
              <w:rPr>
                <w:rFonts w:hint="default"/>
                <w:color w:val="auto"/>
                <w:sz w:val="21"/>
                <w:szCs w:val="21"/>
                <w:vertAlign w:val="superscript"/>
              </w:rPr>
              <w:t>3</w:t>
            </w:r>
            <w:r>
              <w:rPr>
                <w:rFonts w:hint="eastAsia"/>
                <w:color w:val="auto"/>
                <w:sz w:val="21"/>
                <w:szCs w:val="21"/>
              </w:rPr>
              <w:t>外浮顶罐</w:t>
            </w:r>
          </w:p>
        </w:tc>
        <w:tc>
          <w:tcPr>
            <w:tcW w:w="1451" w:type="dxa"/>
            <w:vAlign w:val="center"/>
          </w:tcPr>
          <w:p w14:paraId="6264B0F6">
            <w:pPr>
              <w:pStyle w:val="77"/>
              <w:keepNext w:val="0"/>
              <w:keepLines w:val="0"/>
              <w:suppressLineNumbers w:val="0"/>
              <w:spacing w:before="0" w:beforeAutospacing="0" w:after="0" w:afterAutospacing="0"/>
              <w:ind w:left="0" w:right="0"/>
              <w:rPr>
                <w:rFonts w:hint="default"/>
                <w:color w:val="auto"/>
              </w:rPr>
            </w:pPr>
            <w:r>
              <w:rPr>
                <w:rFonts w:hint="default"/>
                <w:color w:val="auto"/>
              </w:rPr>
              <w:t>37200</w:t>
            </w:r>
          </w:p>
        </w:tc>
        <w:tc>
          <w:tcPr>
            <w:tcW w:w="1678" w:type="dxa"/>
            <w:vAlign w:val="center"/>
          </w:tcPr>
          <w:p w14:paraId="4BE5C999">
            <w:pPr>
              <w:pStyle w:val="77"/>
              <w:keepNext w:val="0"/>
              <w:keepLines w:val="0"/>
              <w:suppressLineNumbers w:val="0"/>
              <w:spacing w:before="0" w:beforeAutospacing="0" w:after="0" w:afterAutospacing="0"/>
              <w:ind w:left="0" w:right="0"/>
              <w:rPr>
                <w:rFonts w:hint="default"/>
                <w:color w:val="auto"/>
              </w:rPr>
            </w:pPr>
            <w:r>
              <w:rPr>
                <w:rFonts w:hint="default"/>
                <w:color w:val="auto"/>
              </w:rPr>
              <w:t>94</w:t>
            </w:r>
            <w:r>
              <w:rPr>
                <w:rFonts w:hint="eastAsia"/>
                <w:color w:val="auto"/>
              </w:rPr>
              <w:t>00</w:t>
            </w:r>
          </w:p>
        </w:tc>
        <w:tc>
          <w:tcPr>
            <w:tcW w:w="1678" w:type="dxa"/>
            <w:vAlign w:val="center"/>
          </w:tcPr>
          <w:p w14:paraId="4973D291">
            <w:pPr>
              <w:pStyle w:val="77"/>
              <w:keepNext w:val="0"/>
              <w:keepLines w:val="0"/>
              <w:suppressLineNumbers w:val="0"/>
              <w:spacing w:before="0" w:beforeAutospacing="0" w:after="0" w:afterAutospacing="0"/>
              <w:ind w:left="0" w:right="0"/>
              <w:rPr>
                <w:rFonts w:hint="default"/>
                <w:color w:val="auto"/>
              </w:rPr>
            </w:pPr>
            <w:r>
              <w:rPr>
                <w:rFonts w:hint="default"/>
                <w:color w:val="auto"/>
              </w:rPr>
              <w:t>4</w:t>
            </w:r>
            <w:r>
              <w:rPr>
                <w:rFonts w:hint="eastAsia"/>
                <w:color w:val="auto"/>
              </w:rPr>
              <w:t>000</w:t>
            </w:r>
          </w:p>
        </w:tc>
      </w:tr>
      <w:tr w14:paraId="3377D1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533" w:type="dxa"/>
            <w:vAlign w:val="center"/>
          </w:tcPr>
          <w:p w14:paraId="72CDB4B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渣油</w:t>
            </w:r>
          </w:p>
        </w:tc>
        <w:tc>
          <w:tcPr>
            <w:tcW w:w="1905" w:type="dxa"/>
          </w:tcPr>
          <w:p w14:paraId="589A4A69">
            <w:pPr>
              <w:pStyle w:val="77"/>
              <w:keepNext w:val="0"/>
              <w:keepLines w:val="0"/>
              <w:suppressLineNumbers w:val="0"/>
              <w:spacing w:before="0" w:beforeAutospacing="0" w:after="0" w:afterAutospacing="0"/>
              <w:ind w:left="0" w:right="0"/>
              <w:rPr>
                <w:rFonts w:hint="default"/>
                <w:color w:val="auto"/>
                <w:sz w:val="21"/>
                <w:szCs w:val="21"/>
              </w:rPr>
            </w:pPr>
            <w:r>
              <w:rPr>
                <w:rFonts w:hint="default"/>
                <w:color w:val="auto"/>
                <w:sz w:val="21"/>
                <w:szCs w:val="21"/>
              </w:rPr>
              <w:t>4</w:t>
            </w:r>
            <w:r>
              <w:rPr>
                <w:rFonts w:hint="eastAsia"/>
                <w:color w:val="auto"/>
                <w:sz w:val="21"/>
                <w:szCs w:val="21"/>
              </w:rPr>
              <w:t>0000</w:t>
            </w:r>
            <w:r>
              <w:rPr>
                <w:rFonts w:hint="default"/>
                <w:color w:val="auto"/>
                <w:sz w:val="21"/>
                <w:szCs w:val="21"/>
              </w:rPr>
              <w:t>m</w:t>
            </w:r>
            <w:r>
              <w:rPr>
                <w:rFonts w:hint="default"/>
                <w:color w:val="auto"/>
                <w:sz w:val="21"/>
                <w:szCs w:val="21"/>
                <w:vertAlign w:val="superscript"/>
              </w:rPr>
              <w:t>3</w:t>
            </w:r>
            <w:r>
              <w:rPr>
                <w:rFonts w:hint="eastAsia"/>
                <w:color w:val="auto"/>
                <w:sz w:val="21"/>
                <w:szCs w:val="21"/>
              </w:rPr>
              <w:t>外浮顶罐</w:t>
            </w:r>
          </w:p>
        </w:tc>
        <w:tc>
          <w:tcPr>
            <w:tcW w:w="1451" w:type="dxa"/>
            <w:vAlign w:val="center"/>
          </w:tcPr>
          <w:p w14:paraId="32258313">
            <w:pPr>
              <w:pStyle w:val="77"/>
              <w:keepNext w:val="0"/>
              <w:keepLines w:val="0"/>
              <w:suppressLineNumbers w:val="0"/>
              <w:spacing w:before="0" w:beforeAutospacing="0" w:after="0" w:afterAutospacing="0"/>
              <w:ind w:left="0" w:right="0"/>
              <w:rPr>
                <w:rFonts w:hint="default"/>
                <w:color w:val="auto"/>
              </w:rPr>
            </w:pPr>
            <w:r>
              <w:rPr>
                <w:rFonts w:hint="default"/>
                <w:color w:val="auto"/>
              </w:rPr>
              <w:t>37600</w:t>
            </w:r>
          </w:p>
        </w:tc>
        <w:tc>
          <w:tcPr>
            <w:tcW w:w="1678" w:type="dxa"/>
            <w:vAlign w:val="center"/>
          </w:tcPr>
          <w:p w14:paraId="64223D14">
            <w:pPr>
              <w:pStyle w:val="77"/>
              <w:keepNext w:val="0"/>
              <w:keepLines w:val="0"/>
              <w:suppressLineNumbers w:val="0"/>
              <w:spacing w:before="0" w:beforeAutospacing="0" w:after="0" w:afterAutospacing="0"/>
              <w:ind w:left="0" w:right="0"/>
              <w:rPr>
                <w:rFonts w:hint="default"/>
                <w:color w:val="auto"/>
              </w:rPr>
            </w:pPr>
            <w:r>
              <w:rPr>
                <w:rFonts w:hint="eastAsia"/>
                <w:color w:val="auto"/>
              </w:rPr>
              <w:t>2000</w:t>
            </w:r>
          </w:p>
        </w:tc>
        <w:tc>
          <w:tcPr>
            <w:tcW w:w="1678" w:type="dxa"/>
            <w:vAlign w:val="center"/>
          </w:tcPr>
          <w:p w14:paraId="108E058E">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6775DF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533" w:type="dxa"/>
            <w:vAlign w:val="center"/>
          </w:tcPr>
          <w:p w14:paraId="099817C3">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color w:val="auto"/>
                <w:sz w:val="21"/>
                <w:szCs w:val="21"/>
              </w:rPr>
            </w:pPr>
          </w:p>
        </w:tc>
        <w:tc>
          <w:tcPr>
            <w:tcW w:w="1905" w:type="dxa"/>
          </w:tcPr>
          <w:p w14:paraId="10E716A5">
            <w:pPr>
              <w:pStyle w:val="77"/>
              <w:keepNext w:val="0"/>
              <w:keepLines w:val="0"/>
              <w:suppressLineNumbers w:val="0"/>
              <w:spacing w:before="0" w:beforeAutospacing="0" w:after="0" w:afterAutospacing="0"/>
              <w:ind w:left="0" w:right="0"/>
              <w:rPr>
                <w:rFonts w:hint="default"/>
                <w:color w:val="auto"/>
                <w:sz w:val="21"/>
                <w:szCs w:val="21"/>
              </w:rPr>
            </w:pPr>
          </w:p>
        </w:tc>
        <w:tc>
          <w:tcPr>
            <w:tcW w:w="1451" w:type="dxa"/>
            <w:vAlign w:val="center"/>
          </w:tcPr>
          <w:p w14:paraId="725A8A5A">
            <w:pPr>
              <w:pStyle w:val="77"/>
              <w:keepNext w:val="0"/>
              <w:keepLines w:val="0"/>
              <w:suppressLineNumbers w:val="0"/>
              <w:spacing w:before="0" w:beforeAutospacing="0" w:after="0" w:afterAutospacing="0"/>
              <w:ind w:left="0" w:right="0"/>
              <w:rPr>
                <w:rFonts w:hint="default"/>
                <w:color w:val="auto"/>
              </w:rPr>
            </w:pPr>
          </w:p>
        </w:tc>
        <w:tc>
          <w:tcPr>
            <w:tcW w:w="1678" w:type="dxa"/>
            <w:vAlign w:val="center"/>
          </w:tcPr>
          <w:p w14:paraId="23547D31">
            <w:pPr>
              <w:pStyle w:val="77"/>
              <w:keepNext w:val="0"/>
              <w:keepLines w:val="0"/>
              <w:suppressLineNumbers w:val="0"/>
              <w:spacing w:before="0" w:beforeAutospacing="0" w:after="0" w:afterAutospacing="0"/>
              <w:ind w:left="0" w:right="0"/>
              <w:rPr>
                <w:rFonts w:hint="eastAsia"/>
                <w:color w:val="auto"/>
              </w:rPr>
            </w:pPr>
          </w:p>
        </w:tc>
        <w:tc>
          <w:tcPr>
            <w:tcW w:w="1678" w:type="dxa"/>
            <w:vAlign w:val="center"/>
          </w:tcPr>
          <w:p w14:paraId="457E7781">
            <w:pPr>
              <w:pStyle w:val="77"/>
              <w:keepNext w:val="0"/>
              <w:keepLines w:val="0"/>
              <w:suppressLineNumbers w:val="0"/>
              <w:spacing w:before="0" w:beforeAutospacing="0" w:after="0" w:afterAutospacing="0"/>
              <w:ind w:left="0" w:right="0"/>
              <w:rPr>
                <w:rFonts w:hint="eastAsia"/>
                <w:color w:val="auto"/>
              </w:rPr>
            </w:pPr>
          </w:p>
        </w:tc>
      </w:tr>
    </w:tbl>
    <w:p w14:paraId="16AE2A0C">
      <w:pPr>
        <w:pStyle w:val="117"/>
        <w:rPr>
          <w:color w:val="auto"/>
        </w:rPr>
      </w:pPr>
      <w:r>
        <w:rPr>
          <w:rFonts w:hint="eastAsia"/>
          <w:color w:val="auto"/>
        </w:rPr>
        <w:t>异辛烷（烷基化油）、石脑油、蜡油、渣油的毒性重点浓度在《建设项目环境风险评价技术导则》（HJ169-2018）附录</w:t>
      </w:r>
      <w:r>
        <w:rPr>
          <w:color w:val="auto"/>
        </w:rPr>
        <w:t>H</w:t>
      </w:r>
      <w:r>
        <w:rPr>
          <w:rFonts w:hint="eastAsia"/>
          <w:color w:val="auto"/>
        </w:rPr>
        <w:t>未给出，</w:t>
      </w:r>
      <w:r>
        <w:rPr>
          <w:color w:val="auto"/>
        </w:rPr>
        <w:t>根据急性毒性确定。</w:t>
      </w:r>
    </w:p>
    <w:p w14:paraId="328FC775">
      <w:pPr>
        <w:pStyle w:val="81"/>
        <w:rPr>
          <w:color w:val="auto"/>
          <w:u w:val="single"/>
        </w:rPr>
      </w:pPr>
      <w:r>
        <w:rPr>
          <w:color w:val="auto"/>
        </w:rPr>
        <w:t>根据表5.4-1，</w:t>
      </w:r>
      <w:r>
        <w:rPr>
          <w:color w:val="auto"/>
          <w:u w:val="single"/>
        </w:rPr>
        <w:t>由于</w:t>
      </w:r>
      <w:r>
        <w:rPr>
          <w:rFonts w:hint="eastAsia"/>
          <w:color w:val="auto"/>
          <w:u w:val="single"/>
        </w:rPr>
        <w:t>石脑油</w:t>
      </w:r>
      <w:r>
        <w:rPr>
          <w:color w:val="auto"/>
          <w:u w:val="single"/>
        </w:rPr>
        <w:t>、蜡油、渣油同属于</w:t>
      </w:r>
      <w:r>
        <w:rPr>
          <w:rFonts w:hint="eastAsia"/>
          <w:color w:val="auto"/>
          <w:u w:val="single"/>
        </w:rPr>
        <w:t>油类，综合考虑储存量、</w:t>
      </w:r>
      <w:r>
        <w:rPr>
          <w:color w:val="auto"/>
          <w:u w:val="single"/>
        </w:rPr>
        <w:t>黏性、挥发性等</w:t>
      </w:r>
      <w:r>
        <w:rPr>
          <w:rFonts w:hint="eastAsia"/>
          <w:color w:val="auto"/>
          <w:u w:val="single"/>
        </w:rPr>
        <w:t>因素</w:t>
      </w:r>
      <w:r>
        <w:rPr>
          <w:color w:val="auto"/>
          <w:u w:val="single"/>
        </w:rPr>
        <w:t>，选取</w:t>
      </w:r>
      <w:r>
        <w:rPr>
          <w:rFonts w:hint="eastAsia"/>
          <w:color w:val="auto"/>
          <w:u w:val="single"/>
        </w:rPr>
        <w:t>甲基叔丁基醚（MTBE）、异辛烷（烷基化油）、石脑</w:t>
      </w:r>
      <w:r>
        <w:rPr>
          <w:color w:val="auto"/>
          <w:u w:val="single"/>
        </w:rPr>
        <w:t>油作为</w:t>
      </w:r>
      <w:r>
        <w:rPr>
          <w:rFonts w:hint="eastAsia"/>
          <w:color w:val="auto"/>
          <w:u w:val="single"/>
        </w:rPr>
        <w:t>储罐</w:t>
      </w:r>
      <w:r>
        <w:rPr>
          <w:color w:val="auto"/>
          <w:u w:val="single"/>
        </w:rPr>
        <w:t>泄漏为典型事故进行模拟预测与评价。</w:t>
      </w:r>
    </w:p>
    <w:p w14:paraId="50E396B7">
      <w:pPr>
        <w:pStyle w:val="14"/>
        <w:rPr>
          <w:color w:val="auto"/>
        </w:rPr>
      </w:pPr>
      <w:r>
        <w:rPr>
          <w:color w:val="auto"/>
        </w:rPr>
        <w:t>表</w:t>
      </w:r>
      <w:r>
        <w:rPr>
          <w:color w:val="auto"/>
        </w:rPr>
        <w:fldChar w:fldCharType="begin"/>
      </w:r>
      <w:r>
        <w:rPr>
          <w:color w:val="auto"/>
        </w:rPr>
        <w:instrText xml:space="preserve"> STYLEREF 2 \s </w:instrText>
      </w:r>
      <w:r>
        <w:rPr>
          <w:color w:val="auto"/>
        </w:rPr>
        <w:fldChar w:fldCharType="separate"/>
      </w:r>
      <w:r>
        <w:rPr>
          <w:color w:val="auto"/>
        </w:rPr>
        <w:t>5.4</w:t>
      </w:r>
      <w:r>
        <w:rPr>
          <w:color w:val="auto"/>
        </w:rPr>
        <w:fldChar w:fldCharType="end"/>
      </w:r>
      <w:r>
        <w:rPr>
          <w:rFonts w:hint="eastAsia"/>
          <w:color w:val="auto"/>
          <w:lang w:eastAsia="zh-CN"/>
        </w:rPr>
        <w:t>-</w:t>
      </w:r>
      <w:r>
        <w:rPr>
          <w:color w:val="auto"/>
        </w:rPr>
        <w:fldChar w:fldCharType="begin"/>
      </w:r>
      <w:r>
        <w:rPr>
          <w:color w:val="auto"/>
        </w:rPr>
        <w:instrText xml:space="preserve"> SEQ 表 \* ARABIC \s 2 </w:instrText>
      </w:r>
      <w:r>
        <w:rPr>
          <w:color w:val="auto"/>
        </w:rPr>
        <w:fldChar w:fldCharType="separate"/>
      </w:r>
      <w:r>
        <w:rPr>
          <w:color w:val="auto"/>
        </w:rPr>
        <w:t>2</w:t>
      </w:r>
      <w:r>
        <w:rPr>
          <w:color w:val="auto"/>
        </w:rPr>
        <w:fldChar w:fldCharType="end"/>
      </w:r>
      <w:r>
        <w:rPr>
          <w:color w:val="auto"/>
        </w:rPr>
        <w:t>最大可信事故设定</w:t>
      </w:r>
    </w:p>
    <w:tbl>
      <w:tblPr>
        <w:tblStyle w:val="43"/>
        <w:tblW w:w="885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94"/>
        <w:gridCol w:w="1553"/>
        <w:gridCol w:w="1019"/>
        <w:gridCol w:w="4674"/>
        <w:gridCol w:w="1210"/>
      </w:tblGrid>
      <w:tr w14:paraId="0B23C7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94" w:type="dxa"/>
            <w:vAlign w:val="center"/>
          </w:tcPr>
          <w:p w14:paraId="4619C1B2">
            <w:pPr>
              <w:pStyle w:val="77"/>
              <w:keepNext w:val="0"/>
              <w:keepLines w:val="0"/>
              <w:suppressLineNumbers w:val="0"/>
              <w:spacing w:before="0" w:beforeAutospacing="0" w:after="0" w:afterAutospacing="0"/>
              <w:ind w:left="0" w:right="0"/>
              <w:rPr>
                <w:rFonts w:hint="default" w:eastAsiaTheme="minorEastAsia"/>
                <w:b/>
                <w:bCs/>
                <w:color w:val="auto"/>
                <w:lang w:eastAsia="en-US"/>
              </w:rPr>
            </w:pPr>
            <w:r>
              <w:rPr>
                <w:rFonts w:hint="default" w:eastAsiaTheme="minorEastAsia"/>
                <w:b/>
                <w:bCs/>
                <w:color w:val="auto"/>
                <w:lang w:eastAsia="en-US"/>
              </w:rPr>
              <w:t>序号</w:t>
            </w:r>
          </w:p>
        </w:tc>
        <w:tc>
          <w:tcPr>
            <w:tcW w:w="1553" w:type="dxa"/>
            <w:vAlign w:val="center"/>
          </w:tcPr>
          <w:p w14:paraId="6528B3FC">
            <w:pPr>
              <w:pStyle w:val="77"/>
              <w:keepNext w:val="0"/>
              <w:keepLines w:val="0"/>
              <w:suppressLineNumbers w:val="0"/>
              <w:spacing w:before="0" w:beforeAutospacing="0" w:after="0" w:afterAutospacing="0"/>
              <w:ind w:left="0" w:right="0"/>
              <w:rPr>
                <w:rFonts w:hint="default" w:eastAsiaTheme="minorEastAsia"/>
                <w:b/>
                <w:bCs/>
                <w:color w:val="auto"/>
                <w:lang w:eastAsia="en-US"/>
              </w:rPr>
            </w:pPr>
            <w:r>
              <w:rPr>
                <w:rFonts w:hint="default" w:eastAsiaTheme="minorEastAsia"/>
                <w:b/>
                <w:bCs/>
                <w:color w:val="auto"/>
                <w:lang w:eastAsia="en-US"/>
              </w:rPr>
              <w:t>事故情景</w:t>
            </w:r>
          </w:p>
        </w:tc>
        <w:tc>
          <w:tcPr>
            <w:tcW w:w="1019" w:type="dxa"/>
            <w:vAlign w:val="center"/>
          </w:tcPr>
          <w:p w14:paraId="658DC115">
            <w:pPr>
              <w:pStyle w:val="77"/>
              <w:keepNext w:val="0"/>
              <w:keepLines w:val="0"/>
              <w:suppressLineNumbers w:val="0"/>
              <w:spacing w:before="0" w:beforeAutospacing="0" w:after="0" w:afterAutospacing="0"/>
              <w:ind w:left="0" w:right="0"/>
              <w:rPr>
                <w:rFonts w:hint="default" w:eastAsiaTheme="minorEastAsia"/>
                <w:b/>
                <w:bCs/>
                <w:color w:val="auto"/>
                <w:lang w:eastAsia="en-US"/>
              </w:rPr>
            </w:pPr>
            <w:r>
              <w:rPr>
                <w:rFonts w:hint="default" w:eastAsiaTheme="minorEastAsia"/>
                <w:b/>
                <w:bCs/>
                <w:color w:val="auto"/>
                <w:lang w:eastAsia="en-US"/>
              </w:rPr>
              <w:t>泄漏频率</w:t>
            </w:r>
          </w:p>
        </w:tc>
        <w:tc>
          <w:tcPr>
            <w:tcW w:w="4674" w:type="dxa"/>
            <w:vAlign w:val="center"/>
          </w:tcPr>
          <w:p w14:paraId="0A352A1C">
            <w:pPr>
              <w:pStyle w:val="77"/>
              <w:keepNext w:val="0"/>
              <w:keepLines w:val="0"/>
              <w:suppressLineNumbers w:val="0"/>
              <w:spacing w:before="0" w:beforeAutospacing="0" w:after="0" w:afterAutospacing="0"/>
              <w:ind w:left="0" w:right="0"/>
              <w:rPr>
                <w:rFonts w:hint="default" w:eastAsiaTheme="minorEastAsia"/>
                <w:b/>
                <w:bCs/>
                <w:color w:val="auto"/>
                <w:lang w:eastAsia="en-US"/>
              </w:rPr>
            </w:pPr>
            <w:r>
              <w:rPr>
                <w:rFonts w:hint="default" w:eastAsiaTheme="minorEastAsia"/>
                <w:b/>
                <w:bCs/>
                <w:color w:val="auto"/>
                <w:lang w:eastAsia="en-US"/>
              </w:rPr>
              <w:t>应急措施与排放情景</w:t>
            </w:r>
          </w:p>
        </w:tc>
        <w:tc>
          <w:tcPr>
            <w:tcW w:w="1210" w:type="dxa"/>
            <w:vAlign w:val="center"/>
          </w:tcPr>
          <w:p w14:paraId="349D21BB">
            <w:pPr>
              <w:pStyle w:val="77"/>
              <w:keepNext w:val="0"/>
              <w:keepLines w:val="0"/>
              <w:suppressLineNumbers w:val="0"/>
              <w:spacing w:before="0" w:beforeAutospacing="0" w:after="0" w:afterAutospacing="0"/>
              <w:ind w:left="0" w:right="0"/>
              <w:rPr>
                <w:rFonts w:hint="default" w:eastAsiaTheme="minorEastAsia"/>
                <w:b/>
                <w:bCs/>
                <w:color w:val="auto"/>
                <w:lang w:eastAsia="en-US"/>
              </w:rPr>
            </w:pPr>
            <w:r>
              <w:rPr>
                <w:rFonts w:hint="default" w:eastAsiaTheme="minorEastAsia"/>
                <w:b/>
                <w:bCs/>
                <w:color w:val="auto"/>
                <w:lang w:eastAsia="en-US"/>
              </w:rPr>
              <w:t>排放时间</w:t>
            </w:r>
          </w:p>
        </w:tc>
      </w:tr>
      <w:tr w14:paraId="6C869B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94" w:type="dxa"/>
            <w:vAlign w:val="center"/>
          </w:tcPr>
          <w:p w14:paraId="769D8ED8">
            <w:pPr>
              <w:pStyle w:val="77"/>
              <w:keepNext w:val="0"/>
              <w:keepLines w:val="0"/>
              <w:suppressLineNumbers w:val="0"/>
              <w:spacing w:before="0" w:beforeAutospacing="0" w:after="0" w:afterAutospacing="0"/>
              <w:ind w:left="0" w:right="0"/>
              <w:rPr>
                <w:rFonts w:hint="default" w:eastAsiaTheme="minorEastAsia"/>
                <w:color w:val="auto"/>
              </w:rPr>
            </w:pPr>
            <w:r>
              <w:rPr>
                <w:rFonts w:hint="eastAsia" w:eastAsiaTheme="minorEastAsia"/>
                <w:color w:val="auto"/>
              </w:rPr>
              <w:t>1</w:t>
            </w:r>
          </w:p>
        </w:tc>
        <w:tc>
          <w:tcPr>
            <w:tcW w:w="1553" w:type="dxa"/>
            <w:vAlign w:val="center"/>
          </w:tcPr>
          <w:p w14:paraId="157DF1D4">
            <w:pPr>
              <w:pStyle w:val="77"/>
              <w:keepNext w:val="0"/>
              <w:keepLines w:val="0"/>
              <w:suppressLineNumbers w:val="0"/>
              <w:spacing w:before="0" w:beforeAutospacing="0" w:after="0" w:afterAutospacing="0"/>
              <w:ind w:left="0" w:right="0"/>
              <w:rPr>
                <w:rFonts w:hint="default" w:eastAsiaTheme="minorEastAsia"/>
                <w:color w:val="auto"/>
              </w:rPr>
            </w:pPr>
            <w:r>
              <w:rPr>
                <w:rFonts w:hint="eastAsia" w:eastAsiaTheme="minorEastAsia"/>
                <w:color w:val="auto"/>
              </w:rPr>
              <w:t>甲基叔丁基醚、异辛烷（烷基化油）、石脑油</w:t>
            </w:r>
            <w:r>
              <w:rPr>
                <w:rFonts w:hint="default" w:eastAsiaTheme="minorEastAsia"/>
                <w:color w:val="auto"/>
              </w:rPr>
              <w:t>储罐泄漏</w:t>
            </w:r>
          </w:p>
        </w:tc>
        <w:tc>
          <w:tcPr>
            <w:tcW w:w="1019" w:type="dxa"/>
            <w:vAlign w:val="center"/>
          </w:tcPr>
          <w:p w14:paraId="1BB30126">
            <w:pPr>
              <w:pStyle w:val="77"/>
              <w:keepNext w:val="0"/>
              <w:keepLines w:val="0"/>
              <w:suppressLineNumbers w:val="0"/>
              <w:spacing w:before="0" w:beforeAutospacing="0" w:after="0" w:afterAutospacing="0"/>
              <w:ind w:left="0" w:right="0"/>
              <w:rPr>
                <w:rFonts w:hint="default" w:eastAsiaTheme="minorEastAsia"/>
                <w:color w:val="auto"/>
                <w:lang w:eastAsia="en-US"/>
              </w:rPr>
            </w:pPr>
            <w:r>
              <w:rPr>
                <w:rFonts w:hint="default" w:eastAsiaTheme="minorEastAsia"/>
                <w:color w:val="auto"/>
                <w:lang w:eastAsia="en-US"/>
              </w:rPr>
              <w:t>1×10</w:t>
            </w:r>
            <w:r>
              <w:rPr>
                <w:rFonts w:hint="default" w:eastAsiaTheme="minorEastAsia"/>
                <w:color w:val="auto"/>
                <w:vertAlign w:val="superscript"/>
                <w:lang w:eastAsia="en-US"/>
              </w:rPr>
              <w:t>-4</w:t>
            </w:r>
            <w:r>
              <w:rPr>
                <w:rFonts w:hint="default" w:eastAsiaTheme="minorEastAsia"/>
                <w:color w:val="auto"/>
                <w:lang w:eastAsia="en-US"/>
              </w:rPr>
              <w:t>/a</w:t>
            </w:r>
          </w:p>
        </w:tc>
        <w:tc>
          <w:tcPr>
            <w:tcW w:w="4674" w:type="dxa"/>
            <w:vAlign w:val="center"/>
          </w:tcPr>
          <w:p w14:paraId="3D3FCBF2">
            <w:pPr>
              <w:pStyle w:val="77"/>
              <w:keepNext w:val="0"/>
              <w:keepLines w:val="0"/>
              <w:suppressLineNumbers w:val="0"/>
              <w:spacing w:before="0" w:beforeAutospacing="0" w:after="0" w:afterAutospacing="0"/>
              <w:ind w:left="0" w:right="0"/>
              <w:rPr>
                <w:rFonts w:hint="default" w:eastAsiaTheme="minorEastAsia"/>
                <w:color w:val="auto"/>
              </w:rPr>
            </w:pPr>
            <w:r>
              <w:rPr>
                <w:rFonts w:hint="default" w:eastAsiaTheme="minorEastAsia"/>
                <w:color w:val="auto"/>
              </w:rPr>
              <w:t>泄漏后可管线内液位、压力等参数异常变化及罐区可燃、有毒气体检测探头检测到异常信号，反馈至中控室报警和启动应急预案，立即关闭紧急阀门，减少泄漏。同时采取覆盖液池表面、收容泄漏物料等消防措施，以减少液池蒸发排放。</w:t>
            </w:r>
          </w:p>
        </w:tc>
        <w:tc>
          <w:tcPr>
            <w:tcW w:w="1210" w:type="dxa"/>
            <w:vAlign w:val="center"/>
          </w:tcPr>
          <w:p w14:paraId="537FE525">
            <w:pPr>
              <w:pStyle w:val="77"/>
              <w:keepNext w:val="0"/>
              <w:keepLines w:val="0"/>
              <w:suppressLineNumbers w:val="0"/>
              <w:spacing w:before="0" w:beforeAutospacing="0" w:after="0" w:afterAutospacing="0"/>
              <w:ind w:left="0" w:right="0"/>
              <w:rPr>
                <w:rFonts w:hint="default" w:eastAsiaTheme="minorEastAsia"/>
                <w:color w:val="auto"/>
                <w:lang w:eastAsia="en-US"/>
              </w:rPr>
            </w:pPr>
            <w:r>
              <w:rPr>
                <w:rFonts w:hint="default" w:eastAsiaTheme="minorEastAsia"/>
                <w:color w:val="auto"/>
                <w:lang w:eastAsia="en-US"/>
              </w:rPr>
              <w:t>泄漏时间按</w:t>
            </w:r>
            <w:r>
              <w:rPr>
                <w:rFonts w:hint="eastAsia" w:eastAsiaTheme="minorEastAsia"/>
                <w:color w:val="auto"/>
              </w:rPr>
              <w:t>10</w:t>
            </w:r>
            <w:r>
              <w:rPr>
                <w:rFonts w:hint="default" w:eastAsiaTheme="minorEastAsia"/>
                <w:color w:val="auto"/>
                <w:lang w:eastAsia="en-US"/>
              </w:rPr>
              <w:t>min计</w:t>
            </w:r>
          </w:p>
        </w:tc>
      </w:tr>
      <w:tr w14:paraId="0DFA53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94" w:type="dxa"/>
            <w:vAlign w:val="center"/>
          </w:tcPr>
          <w:p w14:paraId="0300B12B">
            <w:pPr>
              <w:pStyle w:val="77"/>
              <w:keepNext w:val="0"/>
              <w:keepLines w:val="0"/>
              <w:suppressLineNumbers w:val="0"/>
              <w:spacing w:before="0" w:beforeAutospacing="0" w:after="0" w:afterAutospacing="0"/>
              <w:ind w:left="0" w:right="0"/>
              <w:rPr>
                <w:rFonts w:hint="default" w:eastAsiaTheme="minorEastAsia"/>
                <w:color w:val="auto"/>
              </w:rPr>
            </w:pPr>
            <w:r>
              <w:rPr>
                <w:rFonts w:hint="eastAsia" w:eastAsiaTheme="minorEastAsia"/>
                <w:color w:val="auto"/>
              </w:rPr>
              <w:t>2</w:t>
            </w:r>
          </w:p>
        </w:tc>
        <w:tc>
          <w:tcPr>
            <w:tcW w:w="1553" w:type="dxa"/>
            <w:vAlign w:val="center"/>
          </w:tcPr>
          <w:p w14:paraId="4C996A27">
            <w:pPr>
              <w:pStyle w:val="77"/>
              <w:keepNext w:val="0"/>
              <w:keepLines w:val="0"/>
              <w:suppressLineNumbers w:val="0"/>
              <w:spacing w:before="0" w:beforeAutospacing="0" w:after="0" w:afterAutospacing="0"/>
              <w:ind w:left="0" w:right="0"/>
              <w:rPr>
                <w:rFonts w:hint="default" w:eastAsiaTheme="minorEastAsia"/>
                <w:color w:val="auto"/>
                <w:lang w:eastAsia="en-US"/>
              </w:rPr>
            </w:pPr>
            <w:r>
              <w:rPr>
                <w:rFonts w:hint="default" w:eastAsiaTheme="minorEastAsia"/>
                <w:color w:val="auto"/>
                <w:lang w:eastAsia="en-US"/>
              </w:rPr>
              <w:t>火灾爆炸事故</w:t>
            </w:r>
          </w:p>
        </w:tc>
        <w:tc>
          <w:tcPr>
            <w:tcW w:w="1019" w:type="dxa"/>
            <w:vAlign w:val="center"/>
          </w:tcPr>
          <w:p w14:paraId="348A4877">
            <w:pPr>
              <w:pStyle w:val="77"/>
              <w:keepNext w:val="0"/>
              <w:keepLines w:val="0"/>
              <w:suppressLineNumbers w:val="0"/>
              <w:spacing w:before="0" w:beforeAutospacing="0" w:after="0" w:afterAutospacing="0"/>
              <w:ind w:left="0" w:right="0"/>
              <w:rPr>
                <w:rFonts w:hint="default" w:eastAsiaTheme="minorEastAsia"/>
                <w:color w:val="auto"/>
                <w:lang w:eastAsia="en-US"/>
              </w:rPr>
            </w:pPr>
          </w:p>
        </w:tc>
        <w:tc>
          <w:tcPr>
            <w:tcW w:w="4674" w:type="dxa"/>
            <w:vAlign w:val="center"/>
          </w:tcPr>
          <w:p w14:paraId="380AD619">
            <w:pPr>
              <w:pStyle w:val="77"/>
              <w:keepNext w:val="0"/>
              <w:keepLines w:val="0"/>
              <w:suppressLineNumbers w:val="0"/>
              <w:spacing w:before="0" w:beforeAutospacing="0" w:after="0" w:afterAutospacing="0"/>
              <w:ind w:left="0" w:right="0"/>
              <w:rPr>
                <w:rFonts w:hint="default" w:eastAsiaTheme="minorEastAsia"/>
                <w:color w:val="auto"/>
              </w:rPr>
            </w:pPr>
            <w:r>
              <w:rPr>
                <w:rFonts w:hint="default" w:eastAsiaTheme="minorEastAsia"/>
                <w:color w:val="auto"/>
              </w:rPr>
              <w:t>火灾爆炸事故中，在高温下迅速挥发释放的未燃有毒有害物质、伴生/次生污染物。</w:t>
            </w:r>
          </w:p>
        </w:tc>
        <w:tc>
          <w:tcPr>
            <w:tcW w:w="1210" w:type="dxa"/>
            <w:vAlign w:val="center"/>
          </w:tcPr>
          <w:p w14:paraId="12C440E5">
            <w:pPr>
              <w:pStyle w:val="77"/>
              <w:keepNext w:val="0"/>
              <w:keepLines w:val="0"/>
              <w:suppressLineNumbers w:val="0"/>
              <w:spacing w:before="0" w:beforeAutospacing="0" w:after="0" w:afterAutospacing="0"/>
              <w:ind w:left="0" w:right="0"/>
              <w:rPr>
                <w:rFonts w:hint="default" w:eastAsiaTheme="minorEastAsia"/>
                <w:color w:val="auto"/>
                <w:lang w:eastAsia="en-US"/>
              </w:rPr>
            </w:pPr>
            <w:r>
              <w:rPr>
                <w:rFonts w:hint="default" w:eastAsiaTheme="minorEastAsia"/>
                <w:color w:val="auto"/>
                <w:lang w:eastAsia="en-US"/>
              </w:rPr>
              <w:t>按消防时间2h计。</w:t>
            </w:r>
          </w:p>
        </w:tc>
      </w:tr>
    </w:tbl>
    <w:p w14:paraId="575F6C51">
      <w:pPr>
        <w:pStyle w:val="6"/>
        <w:rPr>
          <w:color w:val="auto"/>
        </w:rPr>
      </w:pPr>
      <w:r>
        <w:rPr>
          <w:rFonts w:hint="eastAsia"/>
          <w:color w:val="auto"/>
        </w:rPr>
        <w:t>源项</w:t>
      </w:r>
      <w:r>
        <w:rPr>
          <w:color w:val="auto"/>
        </w:rPr>
        <w:t>分析</w:t>
      </w:r>
    </w:p>
    <w:p w14:paraId="02CB329A">
      <w:pPr>
        <w:pStyle w:val="81"/>
        <w:ind w:firstLine="482"/>
        <w:rPr>
          <w:b/>
          <w:color w:val="auto"/>
        </w:rPr>
      </w:pPr>
      <w:r>
        <w:rPr>
          <w:rFonts w:hint="eastAsia"/>
          <w:b/>
          <w:color w:val="auto"/>
        </w:rPr>
        <w:t>（1）泄漏</w:t>
      </w:r>
      <w:r>
        <w:rPr>
          <w:b/>
          <w:color w:val="auto"/>
        </w:rPr>
        <w:t>事故源强</w:t>
      </w:r>
    </w:p>
    <w:p w14:paraId="4860E2E3">
      <w:pPr>
        <w:pStyle w:val="81"/>
        <w:rPr>
          <w:color w:val="auto"/>
        </w:rPr>
      </w:pPr>
      <w:r>
        <w:rPr>
          <w:rFonts w:hint="eastAsia"/>
          <w:color w:val="auto"/>
        </w:rPr>
        <w:t>根据《建设项目环境风险评价技术导则》（HJ169-2018）的规定：“泄漏时间应结合建设项目探测和隔离系统的设计原则确定。一般情况下，设置紧急隔离系统的单元，泄漏时间可设定为10min；未设置紧急隔离系统的单元，泄漏时间可设定为30min。”。本评价以泄漏物质处理完成时间为10min计，泄漏液体蒸发时间保守按</w:t>
      </w:r>
      <w:r>
        <w:rPr>
          <w:color w:val="auto"/>
        </w:rPr>
        <w:t>10</w:t>
      </w:r>
      <w:r>
        <w:rPr>
          <w:rFonts w:hint="eastAsia"/>
          <w:color w:val="auto"/>
        </w:rPr>
        <w:t>min考虑。</w:t>
      </w:r>
    </w:p>
    <w:p w14:paraId="47ECE6FF">
      <w:pPr>
        <w:pStyle w:val="81"/>
        <w:rPr>
          <w:color w:val="auto"/>
        </w:rPr>
      </w:pPr>
      <w:r>
        <w:rPr>
          <w:rFonts w:hint="eastAsia"/>
          <w:color w:val="auto"/>
        </w:rPr>
        <w:t>泄漏孔径设为直径10mm的圆形，事故发生后，立即采取措施切断泄漏源，在10min内泄漏得到完全控制。</w:t>
      </w:r>
    </w:p>
    <w:p w14:paraId="6666AEE2">
      <w:pPr>
        <w:pStyle w:val="81"/>
        <w:rPr>
          <w:color w:val="auto"/>
        </w:rPr>
      </w:pPr>
      <w:r>
        <w:rPr>
          <w:rFonts w:hint="eastAsia"/>
          <w:color w:val="auto"/>
        </w:rPr>
        <w:t>泄漏量采用《建设项目环境风险评价技术导则》（HJT169-2018）附录F.1推荐的方法进行计算，液体泄漏速度QL用伯努利方程计算：</w:t>
      </w:r>
    </w:p>
    <w:p w14:paraId="0C5003AC">
      <w:pPr>
        <w:pStyle w:val="81"/>
        <w:ind w:firstLine="0" w:firstLineChars="0"/>
        <w:jc w:val="center"/>
        <w:rPr>
          <w:color w:val="auto"/>
        </w:rPr>
      </w:pPr>
      <w:r>
        <w:rPr>
          <w:color w:val="auto"/>
        </w:rPr>
        <w:drawing>
          <wp:inline distT="0" distB="0" distL="0" distR="0">
            <wp:extent cx="2838450" cy="67500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2854359" cy="679231"/>
                    </a:xfrm>
                    <a:prstGeom prst="rect">
                      <a:avLst/>
                    </a:prstGeom>
                  </pic:spPr>
                </pic:pic>
              </a:graphicData>
            </a:graphic>
          </wp:inline>
        </w:drawing>
      </w:r>
    </w:p>
    <w:p w14:paraId="74A9A2B7">
      <w:pPr>
        <w:ind w:firstLine="480"/>
        <w:rPr>
          <w:color w:val="auto"/>
        </w:rPr>
      </w:pPr>
      <w:r>
        <w:rPr>
          <w:color w:val="auto"/>
        </w:rPr>
        <w:t>式中：Q</w:t>
      </w:r>
      <w:r>
        <w:rPr>
          <w:color w:val="auto"/>
          <w:vertAlign w:val="subscript"/>
        </w:rPr>
        <w:t>L</w:t>
      </w:r>
      <w:r>
        <w:rPr>
          <w:color w:val="auto"/>
        </w:rPr>
        <w:t>—液体泄漏速度，kg/s；</w:t>
      </w:r>
    </w:p>
    <w:p w14:paraId="2AD44064">
      <w:pPr>
        <w:ind w:firstLine="480"/>
        <w:rPr>
          <w:color w:val="auto"/>
        </w:rPr>
      </w:pPr>
      <w:r>
        <w:rPr>
          <w:i/>
          <w:color w:val="auto"/>
        </w:rPr>
        <w:t>C</w:t>
      </w:r>
      <w:r>
        <w:rPr>
          <w:i/>
          <w:color w:val="auto"/>
          <w:vertAlign w:val="subscript"/>
        </w:rPr>
        <w:t>d</w:t>
      </w:r>
      <w:r>
        <w:rPr>
          <w:color w:val="auto"/>
        </w:rPr>
        <w:t>——液体泄漏系数，圆形或多边形为0.65，三角形为0.60，长方形为0.55，本次取0.65；</w:t>
      </w:r>
    </w:p>
    <w:p w14:paraId="2BB70430">
      <w:pPr>
        <w:ind w:firstLine="480"/>
        <w:rPr>
          <w:color w:val="auto"/>
        </w:rPr>
      </w:pPr>
      <w:r>
        <w:rPr>
          <w:i/>
          <w:color w:val="auto"/>
        </w:rPr>
        <w:t>A</w:t>
      </w:r>
      <w:r>
        <w:rPr>
          <w:color w:val="auto"/>
        </w:rPr>
        <w:t>——裂口面积，m</w:t>
      </w:r>
      <w:r>
        <w:rPr>
          <w:color w:val="auto"/>
          <w:vertAlign w:val="superscript"/>
        </w:rPr>
        <w:t>2</w:t>
      </w:r>
      <w:r>
        <w:rPr>
          <w:color w:val="auto"/>
        </w:rPr>
        <w:t>，泄漏点设为直径10mm的圆形，裂口面积为7.85×10</w:t>
      </w:r>
      <w:r>
        <w:rPr>
          <w:color w:val="auto"/>
          <w:vertAlign w:val="superscript"/>
        </w:rPr>
        <w:t>-5</w:t>
      </w:r>
      <w:r>
        <w:rPr>
          <w:color w:val="auto"/>
        </w:rPr>
        <w:t>m</w:t>
      </w:r>
      <w:r>
        <w:rPr>
          <w:color w:val="auto"/>
          <w:vertAlign w:val="superscript"/>
        </w:rPr>
        <w:t>2</w:t>
      </w:r>
      <w:r>
        <w:rPr>
          <w:color w:val="auto"/>
        </w:rPr>
        <w:t>；</w:t>
      </w:r>
    </w:p>
    <w:p w14:paraId="27286055">
      <w:pPr>
        <w:ind w:firstLine="480"/>
        <w:rPr>
          <w:color w:val="auto"/>
        </w:rPr>
      </w:pPr>
      <w:r>
        <w:rPr>
          <w:i/>
          <w:color w:val="auto"/>
        </w:rPr>
        <w:t>ρ</w:t>
      </w:r>
      <w:r>
        <w:rPr>
          <w:color w:val="auto"/>
        </w:rPr>
        <w:t>——泄漏液体密度，kg/m</w:t>
      </w:r>
      <w:r>
        <w:rPr>
          <w:color w:val="auto"/>
          <w:vertAlign w:val="superscript"/>
        </w:rPr>
        <w:t>3</w:t>
      </w:r>
      <w:r>
        <w:rPr>
          <w:color w:val="auto"/>
        </w:rPr>
        <w:t>；</w:t>
      </w:r>
    </w:p>
    <w:p w14:paraId="53046DE0">
      <w:pPr>
        <w:ind w:firstLine="480"/>
        <w:rPr>
          <w:color w:val="auto"/>
        </w:rPr>
      </w:pPr>
      <w:r>
        <w:rPr>
          <w:i/>
          <w:color w:val="auto"/>
        </w:rPr>
        <w:t>P</w:t>
      </w:r>
      <w:r>
        <w:rPr>
          <w:color w:val="auto"/>
        </w:rPr>
        <w:t>——容器内介质压力，Pa，本项目为常压容器；</w:t>
      </w:r>
    </w:p>
    <w:p w14:paraId="6BF811C6">
      <w:pPr>
        <w:ind w:firstLine="480"/>
        <w:rPr>
          <w:color w:val="auto"/>
        </w:rPr>
      </w:pPr>
      <w:r>
        <w:rPr>
          <w:i/>
          <w:color w:val="auto"/>
        </w:rPr>
        <w:t>P</w:t>
      </w:r>
      <w:r>
        <w:rPr>
          <w:i/>
          <w:color w:val="auto"/>
          <w:vertAlign w:val="subscript"/>
        </w:rPr>
        <w:t>o</w:t>
      </w:r>
      <w:r>
        <w:rPr>
          <w:color w:val="auto"/>
        </w:rPr>
        <w:t>——环境压力，Pa，101325Pa；</w:t>
      </w:r>
    </w:p>
    <w:p w14:paraId="26CECC3F">
      <w:pPr>
        <w:ind w:firstLine="480"/>
        <w:rPr>
          <w:color w:val="auto"/>
        </w:rPr>
      </w:pPr>
      <w:r>
        <w:rPr>
          <w:i/>
          <w:color w:val="auto"/>
        </w:rPr>
        <w:t>g</w:t>
      </w:r>
      <w:r>
        <w:rPr>
          <w:color w:val="auto"/>
        </w:rPr>
        <w:t>——重力加速度，g=9.81m/s</w:t>
      </w:r>
      <w:r>
        <w:rPr>
          <w:color w:val="auto"/>
          <w:vertAlign w:val="superscript"/>
        </w:rPr>
        <w:t>2</w:t>
      </w:r>
      <w:r>
        <w:rPr>
          <w:color w:val="auto"/>
        </w:rPr>
        <w:t>；</w:t>
      </w:r>
    </w:p>
    <w:p w14:paraId="667E5557">
      <w:pPr>
        <w:ind w:firstLine="480"/>
        <w:rPr>
          <w:color w:val="auto"/>
        </w:rPr>
      </w:pPr>
      <w:r>
        <w:rPr>
          <w:i/>
          <w:color w:val="auto"/>
        </w:rPr>
        <w:t>h</w:t>
      </w:r>
      <w:r>
        <w:rPr>
          <w:color w:val="auto"/>
        </w:rPr>
        <w:t>——裂口之上液位高度，m，按储罐高度的2/3。</w:t>
      </w:r>
    </w:p>
    <w:p w14:paraId="179CDD40">
      <w:pPr>
        <w:pStyle w:val="14"/>
        <w:rPr>
          <w:b w:val="0"/>
          <w:color w:val="auto"/>
          <w:szCs w:val="21"/>
        </w:rPr>
      </w:pPr>
      <w:r>
        <w:rPr>
          <w:color w:val="auto"/>
        </w:rPr>
        <w:t>表</w:t>
      </w:r>
      <w:r>
        <w:rPr>
          <w:color w:val="auto"/>
        </w:rPr>
        <w:fldChar w:fldCharType="begin"/>
      </w:r>
      <w:r>
        <w:rPr>
          <w:color w:val="auto"/>
        </w:rPr>
        <w:instrText xml:space="preserve"> STYLEREF 2 \s </w:instrText>
      </w:r>
      <w:r>
        <w:rPr>
          <w:color w:val="auto"/>
        </w:rPr>
        <w:fldChar w:fldCharType="separate"/>
      </w:r>
      <w:r>
        <w:rPr>
          <w:color w:val="auto"/>
        </w:rPr>
        <w:t>5.4</w:t>
      </w:r>
      <w:r>
        <w:rPr>
          <w:color w:val="auto"/>
        </w:rPr>
        <w:fldChar w:fldCharType="end"/>
      </w:r>
      <w:r>
        <w:rPr>
          <w:rFonts w:hint="eastAsia"/>
          <w:color w:val="auto"/>
          <w:lang w:eastAsia="zh-CN"/>
        </w:rPr>
        <w:t>-</w:t>
      </w:r>
      <w:r>
        <w:rPr>
          <w:color w:val="auto"/>
        </w:rPr>
        <w:fldChar w:fldCharType="begin"/>
      </w:r>
      <w:r>
        <w:rPr>
          <w:color w:val="auto"/>
        </w:rPr>
        <w:instrText xml:space="preserve"> SEQ 表 \* ARABIC \s 2 </w:instrText>
      </w:r>
      <w:r>
        <w:rPr>
          <w:color w:val="auto"/>
        </w:rPr>
        <w:fldChar w:fldCharType="separate"/>
      </w:r>
      <w:r>
        <w:rPr>
          <w:color w:val="auto"/>
        </w:rPr>
        <w:t>3</w:t>
      </w:r>
      <w:r>
        <w:rPr>
          <w:color w:val="auto"/>
        </w:rPr>
        <w:fldChar w:fldCharType="end"/>
      </w:r>
      <w:r>
        <w:rPr>
          <w:color w:val="auto"/>
        </w:rPr>
        <w:t>物质泄漏事故时的泄漏速率计算一览表</w:t>
      </w:r>
    </w:p>
    <w:tbl>
      <w:tblPr>
        <w:tblStyle w:val="43"/>
        <w:tblW w:w="93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 w:type="dxa"/>
          <w:bottom w:w="0" w:type="dxa"/>
          <w:right w:w="6" w:type="dxa"/>
        </w:tblCellMar>
      </w:tblPr>
      <w:tblGrid>
        <w:gridCol w:w="1386"/>
        <w:gridCol w:w="886"/>
        <w:gridCol w:w="979"/>
        <w:gridCol w:w="813"/>
        <w:gridCol w:w="927"/>
        <w:gridCol w:w="1170"/>
        <w:gridCol w:w="1169"/>
        <w:gridCol w:w="1069"/>
        <w:gridCol w:w="964"/>
      </w:tblGrid>
      <w:tr w14:paraId="29DD3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97" w:hRule="atLeast"/>
          <w:jc w:val="center"/>
        </w:trPr>
        <w:tc>
          <w:tcPr>
            <w:tcW w:w="1386" w:type="dxa"/>
            <w:tcBorders>
              <w:top w:val="single" w:color="auto" w:sz="4" w:space="0"/>
              <w:left w:val="single" w:color="auto" w:sz="4" w:space="0"/>
              <w:bottom w:val="single" w:color="auto" w:sz="4" w:space="0"/>
              <w:right w:val="single" w:color="auto" w:sz="4" w:space="0"/>
            </w:tcBorders>
            <w:vAlign w:val="center"/>
          </w:tcPr>
          <w:p w14:paraId="77E09047">
            <w:pPr>
              <w:pStyle w:val="167"/>
              <w:keepNext w:val="0"/>
              <w:keepLines w:val="0"/>
              <w:suppressLineNumbers w:val="0"/>
              <w:spacing w:before="0" w:beforeAutospacing="0" w:after="0" w:afterAutospacing="0"/>
              <w:ind w:right="0"/>
              <w:rPr>
                <w:rFonts w:hint="default"/>
                <w:b/>
                <w:color w:val="auto"/>
              </w:rPr>
            </w:pPr>
            <w:r>
              <w:rPr>
                <w:rFonts w:hint="default"/>
                <w:b/>
                <w:color w:val="auto"/>
              </w:rPr>
              <w:t>泄漏物</w:t>
            </w:r>
          </w:p>
        </w:tc>
        <w:tc>
          <w:tcPr>
            <w:tcW w:w="886" w:type="dxa"/>
            <w:tcBorders>
              <w:top w:val="single" w:color="auto" w:sz="4" w:space="0"/>
              <w:left w:val="single" w:color="auto" w:sz="4" w:space="0"/>
              <w:bottom w:val="single" w:color="auto" w:sz="4" w:space="0"/>
              <w:right w:val="single" w:color="auto" w:sz="4" w:space="0"/>
            </w:tcBorders>
            <w:vAlign w:val="center"/>
          </w:tcPr>
          <w:p w14:paraId="7D0BDE30">
            <w:pPr>
              <w:pStyle w:val="167"/>
              <w:keepNext w:val="0"/>
              <w:keepLines w:val="0"/>
              <w:suppressLineNumbers w:val="0"/>
              <w:spacing w:before="0" w:beforeAutospacing="0" w:after="0" w:afterAutospacing="0"/>
              <w:ind w:right="0"/>
              <w:rPr>
                <w:rFonts w:hint="default"/>
                <w:b/>
                <w:color w:val="auto"/>
              </w:rPr>
            </w:pPr>
            <w:r>
              <w:rPr>
                <w:rFonts w:hint="default"/>
                <w:b/>
                <w:color w:val="auto"/>
              </w:rPr>
              <w:t>储存方式</w:t>
            </w:r>
          </w:p>
        </w:tc>
        <w:tc>
          <w:tcPr>
            <w:tcW w:w="979" w:type="dxa"/>
            <w:tcBorders>
              <w:top w:val="single" w:color="auto" w:sz="4" w:space="0"/>
              <w:left w:val="single" w:color="auto" w:sz="4" w:space="0"/>
              <w:bottom w:val="single" w:color="auto" w:sz="4" w:space="0"/>
              <w:right w:val="single" w:color="auto" w:sz="4" w:space="0"/>
            </w:tcBorders>
            <w:vAlign w:val="center"/>
          </w:tcPr>
          <w:p w14:paraId="4B57D4F1">
            <w:pPr>
              <w:pStyle w:val="167"/>
              <w:keepNext w:val="0"/>
              <w:keepLines w:val="0"/>
              <w:suppressLineNumbers w:val="0"/>
              <w:spacing w:before="0" w:beforeAutospacing="0" w:after="0" w:afterAutospacing="0"/>
              <w:ind w:right="0"/>
              <w:rPr>
                <w:rFonts w:hint="default"/>
                <w:b/>
                <w:color w:val="auto"/>
              </w:rPr>
            </w:pPr>
            <w:r>
              <w:rPr>
                <w:rFonts w:hint="default"/>
                <w:b/>
                <w:color w:val="auto"/>
              </w:rPr>
              <w:t>裂口面积m</w:t>
            </w:r>
            <w:r>
              <w:rPr>
                <w:rFonts w:hint="default"/>
                <w:b/>
                <w:color w:val="auto"/>
                <w:vertAlign w:val="superscript"/>
              </w:rPr>
              <w:t>2</w:t>
            </w:r>
          </w:p>
        </w:tc>
        <w:tc>
          <w:tcPr>
            <w:tcW w:w="813" w:type="dxa"/>
            <w:tcBorders>
              <w:top w:val="single" w:color="auto" w:sz="4" w:space="0"/>
              <w:left w:val="single" w:color="auto" w:sz="4" w:space="0"/>
              <w:bottom w:val="single" w:color="auto" w:sz="4" w:space="0"/>
              <w:right w:val="single" w:color="auto" w:sz="4" w:space="0"/>
            </w:tcBorders>
            <w:vAlign w:val="center"/>
          </w:tcPr>
          <w:p w14:paraId="039104FC">
            <w:pPr>
              <w:pStyle w:val="167"/>
              <w:keepNext w:val="0"/>
              <w:keepLines w:val="0"/>
              <w:suppressLineNumbers w:val="0"/>
              <w:spacing w:before="0" w:beforeAutospacing="0" w:after="0" w:afterAutospacing="0"/>
              <w:ind w:right="0"/>
              <w:rPr>
                <w:rFonts w:hint="default"/>
                <w:b/>
                <w:color w:val="auto"/>
              </w:rPr>
            </w:pPr>
            <w:r>
              <w:rPr>
                <w:rFonts w:hint="default"/>
                <w:b/>
                <w:color w:val="auto"/>
              </w:rPr>
              <w:t>液体密度kg/m</w:t>
            </w:r>
            <w:r>
              <w:rPr>
                <w:rFonts w:hint="default"/>
                <w:b/>
                <w:color w:val="auto"/>
                <w:vertAlign w:val="superscript"/>
              </w:rPr>
              <w:t>3</w:t>
            </w:r>
          </w:p>
        </w:tc>
        <w:tc>
          <w:tcPr>
            <w:tcW w:w="927" w:type="dxa"/>
            <w:tcBorders>
              <w:top w:val="single" w:color="auto" w:sz="4" w:space="0"/>
              <w:left w:val="single" w:color="auto" w:sz="4" w:space="0"/>
              <w:bottom w:val="single" w:color="auto" w:sz="4" w:space="0"/>
              <w:right w:val="single" w:color="auto" w:sz="4" w:space="0"/>
            </w:tcBorders>
            <w:vAlign w:val="center"/>
          </w:tcPr>
          <w:p w14:paraId="6D78EC72">
            <w:pPr>
              <w:pStyle w:val="167"/>
              <w:keepNext w:val="0"/>
              <w:keepLines w:val="0"/>
              <w:suppressLineNumbers w:val="0"/>
              <w:spacing w:before="0" w:beforeAutospacing="0" w:after="0" w:afterAutospacing="0"/>
              <w:ind w:right="0"/>
              <w:rPr>
                <w:rFonts w:hint="default"/>
                <w:b/>
                <w:color w:val="auto"/>
              </w:rPr>
            </w:pPr>
            <w:r>
              <w:rPr>
                <w:rFonts w:hint="default"/>
                <w:b/>
                <w:color w:val="auto"/>
              </w:rPr>
              <w:t>容器内压力Pa</w:t>
            </w:r>
          </w:p>
        </w:tc>
        <w:tc>
          <w:tcPr>
            <w:tcW w:w="1170" w:type="dxa"/>
            <w:tcBorders>
              <w:top w:val="single" w:color="auto" w:sz="4" w:space="0"/>
              <w:left w:val="single" w:color="auto" w:sz="4" w:space="0"/>
              <w:bottom w:val="single" w:color="auto" w:sz="4" w:space="0"/>
              <w:right w:val="single" w:color="auto" w:sz="4" w:space="0"/>
            </w:tcBorders>
            <w:vAlign w:val="center"/>
          </w:tcPr>
          <w:p w14:paraId="5313B465">
            <w:pPr>
              <w:pStyle w:val="167"/>
              <w:keepNext w:val="0"/>
              <w:keepLines w:val="0"/>
              <w:suppressLineNumbers w:val="0"/>
              <w:spacing w:before="0" w:beforeAutospacing="0" w:after="0" w:afterAutospacing="0"/>
              <w:ind w:right="0"/>
              <w:rPr>
                <w:rFonts w:hint="default"/>
                <w:b/>
                <w:color w:val="auto"/>
              </w:rPr>
            </w:pPr>
            <w:r>
              <w:rPr>
                <w:rFonts w:hint="default"/>
                <w:b/>
                <w:color w:val="auto"/>
              </w:rPr>
              <w:t>环境压力Pa</w:t>
            </w:r>
          </w:p>
        </w:tc>
        <w:tc>
          <w:tcPr>
            <w:tcW w:w="1169" w:type="dxa"/>
            <w:tcBorders>
              <w:top w:val="single" w:color="auto" w:sz="4" w:space="0"/>
              <w:left w:val="single" w:color="auto" w:sz="4" w:space="0"/>
              <w:bottom w:val="single" w:color="auto" w:sz="4" w:space="0"/>
              <w:right w:val="single" w:color="auto" w:sz="4" w:space="0"/>
            </w:tcBorders>
            <w:vAlign w:val="center"/>
          </w:tcPr>
          <w:p w14:paraId="35FC5E95">
            <w:pPr>
              <w:pStyle w:val="167"/>
              <w:keepNext w:val="0"/>
              <w:keepLines w:val="0"/>
              <w:suppressLineNumbers w:val="0"/>
              <w:spacing w:before="0" w:beforeAutospacing="0" w:after="0" w:afterAutospacing="0"/>
              <w:ind w:right="0"/>
              <w:rPr>
                <w:rFonts w:hint="default"/>
                <w:b/>
                <w:color w:val="auto"/>
              </w:rPr>
            </w:pPr>
            <w:r>
              <w:rPr>
                <w:rFonts w:hint="default"/>
                <w:b/>
                <w:color w:val="auto"/>
              </w:rPr>
              <w:t>裂口之上液位高度m</w:t>
            </w:r>
          </w:p>
        </w:tc>
        <w:tc>
          <w:tcPr>
            <w:tcW w:w="1069" w:type="dxa"/>
            <w:tcBorders>
              <w:top w:val="single" w:color="auto" w:sz="4" w:space="0"/>
              <w:left w:val="single" w:color="auto" w:sz="4" w:space="0"/>
              <w:bottom w:val="single" w:color="auto" w:sz="4" w:space="0"/>
              <w:right w:val="single" w:color="auto" w:sz="4" w:space="0"/>
            </w:tcBorders>
            <w:vAlign w:val="center"/>
          </w:tcPr>
          <w:p w14:paraId="2DC55671">
            <w:pPr>
              <w:pStyle w:val="167"/>
              <w:keepNext w:val="0"/>
              <w:keepLines w:val="0"/>
              <w:suppressLineNumbers w:val="0"/>
              <w:spacing w:before="0" w:beforeAutospacing="0" w:after="0" w:afterAutospacing="0"/>
              <w:ind w:right="0"/>
              <w:rPr>
                <w:rFonts w:hint="default"/>
                <w:b/>
                <w:color w:val="auto"/>
              </w:rPr>
            </w:pPr>
            <w:r>
              <w:rPr>
                <w:rFonts w:hint="default"/>
                <w:b/>
                <w:color w:val="auto"/>
              </w:rPr>
              <w:t>液体泄漏速度kg/s</w:t>
            </w:r>
          </w:p>
        </w:tc>
        <w:tc>
          <w:tcPr>
            <w:tcW w:w="964" w:type="dxa"/>
            <w:tcBorders>
              <w:top w:val="single" w:color="auto" w:sz="4" w:space="0"/>
              <w:left w:val="single" w:color="auto" w:sz="4" w:space="0"/>
              <w:bottom w:val="single" w:color="auto" w:sz="4" w:space="0"/>
              <w:right w:val="single" w:color="auto" w:sz="4" w:space="0"/>
            </w:tcBorders>
            <w:vAlign w:val="center"/>
          </w:tcPr>
          <w:p w14:paraId="0691FE80">
            <w:pPr>
              <w:pStyle w:val="167"/>
              <w:keepNext w:val="0"/>
              <w:keepLines w:val="0"/>
              <w:suppressLineNumbers w:val="0"/>
              <w:spacing w:before="0" w:beforeAutospacing="0" w:after="0" w:afterAutospacing="0"/>
              <w:ind w:right="0"/>
              <w:rPr>
                <w:rFonts w:hint="default"/>
                <w:b/>
                <w:color w:val="auto"/>
              </w:rPr>
            </w:pPr>
            <w:r>
              <w:rPr>
                <w:rFonts w:hint="default"/>
                <w:b/>
                <w:color w:val="auto"/>
              </w:rPr>
              <w:t>泄漏量kg</w:t>
            </w:r>
          </w:p>
        </w:tc>
      </w:tr>
      <w:tr w14:paraId="2710E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97" w:hRule="atLeast"/>
          <w:jc w:val="center"/>
        </w:trPr>
        <w:tc>
          <w:tcPr>
            <w:tcW w:w="1386" w:type="dxa"/>
            <w:tcBorders>
              <w:top w:val="single" w:color="auto" w:sz="4" w:space="0"/>
              <w:left w:val="single" w:color="auto" w:sz="4" w:space="0"/>
              <w:bottom w:val="single" w:color="auto" w:sz="4" w:space="0"/>
              <w:right w:val="single" w:color="auto" w:sz="4" w:space="0"/>
            </w:tcBorders>
            <w:vAlign w:val="center"/>
          </w:tcPr>
          <w:p w14:paraId="26DFF623">
            <w:pPr>
              <w:pStyle w:val="167"/>
              <w:keepNext w:val="0"/>
              <w:keepLines w:val="0"/>
              <w:suppressLineNumbers w:val="0"/>
              <w:spacing w:before="0" w:beforeAutospacing="0" w:after="0" w:afterAutospacing="0"/>
              <w:ind w:right="0"/>
              <w:rPr>
                <w:rFonts w:hint="default"/>
                <w:color w:val="auto"/>
              </w:rPr>
            </w:pPr>
            <w:r>
              <w:rPr>
                <w:rFonts w:hint="eastAsia"/>
                <w:color w:val="auto"/>
              </w:rPr>
              <w:t>甲基叔丁基醚</w:t>
            </w:r>
          </w:p>
        </w:tc>
        <w:tc>
          <w:tcPr>
            <w:tcW w:w="886" w:type="dxa"/>
            <w:tcBorders>
              <w:top w:val="single" w:color="auto" w:sz="4" w:space="0"/>
              <w:left w:val="single" w:color="auto" w:sz="4" w:space="0"/>
              <w:bottom w:val="single" w:color="auto" w:sz="4" w:space="0"/>
              <w:right w:val="single" w:color="auto" w:sz="4" w:space="0"/>
            </w:tcBorders>
            <w:vAlign w:val="center"/>
          </w:tcPr>
          <w:p w14:paraId="78F26757">
            <w:pPr>
              <w:pStyle w:val="167"/>
              <w:keepNext w:val="0"/>
              <w:keepLines w:val="0"/>
              <w:suppressLineNumbers w:val="0"/>
              <w:spacing w:before="0" w:beforeAutospacing="0" w:after="0" w:afterAutospacing="0"/>
              <w:ind w:right="0"/>
              <w:rPr>
                <w:rFonts w:hint="default"/>
                <w:color w:val="auto"/>
              </w:rPr>
            </w:pPr>
            <w:r>
              <w:rPr>
                <w:rFonts w:hint="default"/>
                <w:color w:val="auto"/>
              </w:rPr>
              <w:t>内浮顶罐</w:t>
            </w:r>
          </w:p>
        </w:tc>
        <w:tc>
          <w:tcPr>
            <w:tcW w:w="979" w:type="dxa"/>
            <w:tcBorders>
              <w:top w:val="single" w:color="auto" w:sz="4" w:space="0"/>
              <w:left w:val="single" w:color="auto" w:sz="4" w:space="0"/>
              <w:bottom w:val="single" w:color="auto" w:sz="4" w:space="0"/>
              <w:right w:val="single" w:color="auto" w:sz="4" w:space="0"/>
            </w:tcBorders>
          </w:tcPr>
          <w:p w14:paraId="06737184">
            <w:pPr>
              <w:pStyle w:val="167"/>
              <w:keepNext w:val="0"/>
              <w:keepLines w:val="0"/>
              <w:suppressLineNumbers w:val="0"/>
              <w:spacing w:before="0" w:beforeAutospacing="0" w:after="0" w:afterAutospacing="0"/>
              <w:ind w:right="0"/>
              <w:rPr>
                <w:rFonts w:hint="default"/>
                <w:color w:val="auto"/>
              </w:rPr>
            </w:pPr>
            <w:r>
              <w:rPr>
                <w:rFonts w:hint="default"/>
                <w:color w:val="auto"/>
              </w:rPr>
              <w:t>7.85×10</w:t>
            </w:r>
            <w:r>
              <w:rPr>
                <w:rFonts w:hint="default"/>
                <w:color w:val="auto"/>
                <w:vertAlign w:val="superscript"/>
              </w:rPr>
              <w:t>-5</w:t>
            </w:r>
          </w:p>
        </w:tc>
        <w:tc>
          <w:tcPr>
            <w:tcW w:w="813" w:type="dxa"/>
            <w:tcBorders>
              <w:top w:val="single" w:color="auto" w:sz="4" w:space="0"/>
              <w:left w:val="single" w:color="auto" w:sz="4" w:space="0"/>
              <w:bottom w:val="single" w:color="auto" w:sz="4" w:space="0"/>
              <w:right w:val="single" w:color="auto" w:sz="4" w:space="0"/>
            </w:tcBorders>
          </w:tcPr>
          <w:p w14:paraId="15D680A4">
            <w:pPr>
              <w:pStyle w:val="91"/>
              <w:keepNext w:val="0"/>
              <w:keepLines w:val="0"/>
              <w:suppressLineNumbers w:val="0"/>
              <w:spacing w:before="0" w:beforeAutospacing="0" w:after="0" w:afterAutospacing="0"/>
              <w:ind w:left="0" w:right="0"/>
              <w:rPr>
                <w:rFonts w:hint="default"/>
                <w:color w:val="auto"/>
              </w:rPr>
            </w:pPr>
            <w:r>
              <w:rPr>
                <w:rFonts w:hint="default"/>
                <w:color w:val="auto"/>
              </w:rPr>
              <w:t>740</w:t>
            </w:r>
          </w:p>
        </w:tc>
        <w:tc>
          <w:tcPr>
            <w:tcW w:w="927" w:type="dxa"/>
            <w:tcBorders>
              <w:top w:val="single" w:color="auto" w:sz="4" w:space="0"/>
              <w:left w:val="single" w:color="auto" w:sz="4" w:space="0"/>
              <w:bottom w:val="single" w:color="auto" w:sz="4" w:space="0"/>
              <w:right w:val="single" w:color="auto" w:sz="4" w:space="0"/>
            </w:tcBorders>
            <w:vAlign w:val="center"/>
          </w:tcPr>
          <w:p w14:paraId="6111C315">
            <w:pPr>
              <w:pStyle w:val="167"/>
              <w:keepNext w:val="0"/>
              <w:keepLines w:val="0"/>
              <w:suppressLineNumbers w:val="0"/>
              <w:spacing w:before="0" w:beforeAutospacing="0" w:after="0" w:afterAutospacing="0"/>
              <w:ind w:right="0"/>
              <w:rPr>
                <w:rFonts w:hint="default"/>
                <w:color w:val="auto"/>
              </w:rPr>
            </w:pPr>
            <w:r>
              <w:rPr>
                <w:rFonts w:hint="default"/>
                <w:color w:val="auto"/>
              </w:rPr>
              <w:t>101325</w:t>
            </w:r>
          </w:p>
        </w:tc>
        <w:tc>
          <w:tcPr>
            <w:tcW w:w="1170" w:type="dxa"/>
            <w:tcBorders>
              <w:top w:val="single" w:color="auto" w:sz="4" w:space="0"/>
              <w:left w:val="single" w:color="auto" w:sz="4" w:space="0"/>
              <w:bottom w:val="single" w:color="auto" w:sz="4" w:space="0"/>
              <w:right w:val="single" w:color="auto" w:sz="4" w:space="0"/>
            </w:tcBorders>
            <w:vAlign w:val="center"/>
          </w:tcPr>
          <w:p w14:paraId="0175DC9E">
            <w:pPr>
              <w:pStyle w:val="167"/>
              <w:keepNext w:val="0"/>
              <w:keepLines w:val="0"/>
              <w:suppressLineNumbers w:val="0"/>
              <w:spacing w:before="0" w:beforeAutospacing="0" w:after="0" w:afterAutospacing="0"/>
              <w:ind w:right="0"/>
              <w:rPr>
                <w:rFonts w:hint="default"/>
                <w:color w:val="auto"/>
              </w:rPr>
            </w:pPr>
            <w:r>
              <w:rPr>
                <w:rFonts w:hint="default"/>
                <w:color w:val="auto"/>
              </w:rPr>
              <w:t>101325</w:t>
            </w:r>
          </w:p>
        </w:tc>
        <w:tc>
          <w:tcPr>
            <w:tcW w:w="1169" w:type="dxa"/>
            <w:tcBorders>
              <w:top w:val="single" w:color="auto" w:sz="4" w:space="0"/>
              <w:left w:val="single" w:color="auto" w:sz="4" w:space="0"/>
              <w:bottom w:val="single" w:color="auto" w:sz="4" w:space="0"/>
              <w:right w:val="single" w:color="auto" w:sz="4" w:space="0"/>
            </w:tcBorders>
            <w:vAlign w:val="center"/>
          </w:tcPr>
          <w:p w14:paraId="219D40AA">
            <w:pPr>
              <w:pStyle w:val="167"/>
              <w:keepNext w:val="0"/>
              <w:keepLines w:val="0"/>
              <w:suppressLineNumbers w:val="0"/>
              <w:spacing w:before="0" w:beforeAutospacing="0" w:after="0" w:afterAutospacing="0"/>
              <w:ind w:right="0"/>
              <w:rPr>
                <w:rFonts w:hint="default"/>
                <w:color w:val="auto"/>
              </w:rPr>
            </w:pPr>
            <w:r>
              <w:rPr>
                <w:rFonts w:hint="default"/>
                <w:color w:val="auto"/>
              </w:rPr>
              <w:t>8.4</w:t>
            </w:r>
          </w:p>
        </w:tc>
        <w:tc>
          <w:tcPr>
            <w:tcW w:w="1069" w:type="dxa"/>
            <w:tcBorders>
              <w:top w:val="single" w:color="auto" w:sz="4" w:space="0"/>
              <w:left w:val="single" w:color="auto" w:sz="4" w:space="0"/>
              <w:bottom w:val="single" w:color="auto" w:sz="4" w:space="0"/>
              <w:right w:val="single" w:color="auto" w:sz="4" w:space="0"/>
            </w:tcBorders>
          </w:tcPr>
          <w:p w14:paraId="28C67421">
            <w:pPr>
              <w:pStyle w:val="167"/>
              <w:keepNext w:val="0"/>
              <w:keepLines w:val="0"/>
              <w:suppressLineNumbers w:val="0"/>
              <w:spacing w:before="0" w:beforeAutospacing="0" w:after="0" w:afterAutospacing="0"/>
              <w:ind w:right="0"/>
              <w:rPr>
                <w:rFonts w:hint="default"/>
                <w:color w:val="auto"/>
              </w:rPr>
            </w:pPr>
            <w:r>
              <w:rPr>
                <w:rFonts w:hint="default"/>
                <w:color w:val="auto"/>
              </w:rPr>
              <w:t>0.48</w:t>
            </w:r>
          </w:p>
        </w:tc>
        <w:tc>
          <w:tcPr>
            <w:tcW w:w="964" w:type="dxa"/>
            <w:tcBorders>
              <w:top w:val="single" w:color="auto" w:sz="4" w:space="0"/>
              <w:left w:val="single" w:color="auto" w:sz="4" w:space="0"/>
              <w:bottom w:val="single" w:color="auto" w:sz="4" w:space="0"/>
              <w:right w:val="single" w:color="auto" w:sz="4" w:space="0"/>
            </w:tcBorders>
          </w:tcPr>
          <w:p w14:paraId="6061E812">
            <w:pPr>
              <w:pStyle w:val="167"/>
              <w:keepNext w:val="0"/>
              <w:keepLines w:val="0"/>
              <w:suppressLineNumbers w:val="0"/>
              <w:spacing w:before="0" w:beforeAutospacing="0" w:after="0" w:afterAutospacing="0"/>
              <w:ind w:right="0"/>
              <w:rPr>
                <w:rFonts w:hint="default"/>
                <w:color w:val="auto"/>
              </w:rPr>
            </w:pPr>
            <w:r>
              <w:rPr>
                <w:rFonts w:hint="default"/>
                <w:color w:val="auto"/>
              </w:rPr>
              <w:t>290.84</w:t>
            </w:r>
          </w:p>
        </w:tc>
      </w:tr>
      <w:tr w14:paraId="567FE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97" w:hRule="atLeast"/>
          <w:jc w:val="center"/>
        </w:trPr>
        <w:tc>
          <w:tcPr>
            <w:tcW w:w="1386" w:type="dxa"/>
            <w:tcBorders>
              <w:top w:val="single" w:color="auto" w:sz="4" w:space="0"/>
              <w:left w:val="single" w:color="auto" w:sz="4" w:space="0"/>
              <w:bottom w:val="single" w:color="auto" w:sz="4" w:space="0"/>
              <w:right w:val="single" w:color="auto" w:sz="4" w:space="0"/>
            </w:tcBorders>
            <w:vAlign w:val="center"/>
          </w:tcPr>
          <w:p w14:paraId="4E7D8EAE">
            <w:pPr>
              <w:pStyle w:val="167"/>
              <w:keepNext w:val="0"/>
              <w:keepLines w:val="0"/>
              <w:suppressLineNumbers w:val="0"/>
              <w:spacing w:before="0" w:beforeAutospacing="0" w:after="0" w:afterAutospacing="0"/>
              <w:ind w:right="0"/>
              <w:rPr>
                <w:rFonts w:hint="default"/>
                <w:color w:val="auto"/>
              </w:rPr>
            </w:pPr>
            <w:r>
              <w:rPr>
                <w:rFonts w:hint="eastAsia"/>
                <w:color w:val="auto"/>
              </w:rPr>
              <w:t>异辛烷（烷基化油）</w:t>
            </w:r>
          </w:p>
        </w:tc>
        <w:tc>
          <w:tcPr>
            <w:tcW w:w="886" w:type="dxa"/>
            <w:tcBorders>
              <w:top w:val="single" w:color="auto" w:sz="4" w:space="0"/>
              <w:left w:val="single" w:color="auto" w:sz="4" w:space="0"/>
              <w:bottom w:val="single" w:color="auto" w:sz="4" w:space="0"/>
              <w:right w:val="single" w:color="auto" w:sz="4" w:space="0"/>
            </w:tcBorders>
            <w:vAlign w:val="center"/>
          </w:tcPr>
          <w:p w14:paraId="41D78DB1">
            <w:pPr>
              <w:pStyle w:val="167"/>
              <w:keepNext w:val="0"/>
              <w:keepLines w:val="0"/>
              <w:suppressLineNumbers w:val="0"/>
              <w:spacing w:before="0" w:beforeAutospacing="0" w:after="0" w:afterAutospacing="0"/>
              <w:ind w:right="0"/>
              <w:rPr>
                <w:rFonts w:hint="default"/>
                <w:color w:val="auto"/>
              </w:rPr>
            </w:pPr>
            <w:r>
              <w:rPr>
                <w:rFonts w:hint="eastAsia"/>
                <w:color w:val="auto"/>
              </w:rPr>
              <w:t>内浮顶罐</w:t>
            </w:r>
          </w:p>
        </w:tc>
        <w:tc>
          <w:tcPr>
            <w:tcW w:w="979" w:type="dxa"/>
            <w:tcBorders>
              <w:top w:val="single" w:color="auto" w:sz="4" w:space="0"/>
              <w:left w:val="single" w:color="auto" w:sz="4" w:space="0"/>
              <w:bottom w:val="single" w:color="auto" w:sz="4" w:space="0"/>
              <w:right w:val="single" w:color="auto" w:sz="4" w:space="0"/>
            </w:tcBorders>
          </w:tcPr>
          <w:p w14:paraId="05638909">
            <w:pPr>
              <w:pStyle w:val="167"/>
              <w:keepNext w:val="0"/>
              <w:keepLines w:val="0"/>
              <w:suppressLineNumbers w:val="0"/>
              <w:spacing w:before="0" w:beforeAutospacing="0" w:after="0" w:afterAutospacing="0"/>
              <w:ind w:right="0"/>
              <w:rPr>
                <w:rFonts w:hint="default"/>
                <w:color w:val="auto"/>
              </w:rPr>
            </w:pPr>
            <w:r>
              <w:rPr>
                <w:rFonts w:hint="default"/>
                <w:color w:val="auto"/>
              </w:rPr>
              <w:t>7.85×10</w:t>
            </w:r>
            <w:r>
              <w:rPr>
                <w:rFonts w:hint="default"/>
                <w:color w:val="auto"/>
                <w:vertAlign w:val="superscript"/>
              </w:rPr>
              <w:t>-5</w:t>
            </w:r>
          </w:p>
        </w:tc>
        <w:tc>
          <w:tcPr>
            <w:tcW w:w="813" w:type="dxa"/>
            <w:tcBorders>
              <w:top w:val="single" w:color="auto" w:sz="4" w:space="0"/>
              <w:left w:val="single" w:color="auto" w:sz="4" w:space="0"/>
              <w:bottom w:val="single" w:color="auto" w:sz="4" w:space="0"/>
              <w:right w:val="single" w:color="auto" w:sz="4" w:space="0"/>
            </w:tcBorders>
          </w:tcPr>
          <w:p w14:paraId="568CC78E">
            <w:pPr>
              <w:pStyle w:val="91"/>
              <w:keepNext w:val="0"/>
              <w:keepLines w:val="0"/>
              <w:suppressLineNumbers w:val="0"/>
              <w:spacing w:before="0" w:beforeAutospacing="0" w:after="0" w:afterAutospacing="0"/>
              <w:ind w:left="0" w:right="0"/>
              <w:rPr>
                <w:rFonts w:hint="default"/>
                <w:color w:val="auto"/>
              </w:rPr>
            </w:pPr>
            <w:r>
              <w:rPr>
                <w:rFonts w:hint="default"/>
                <w:color w:val="auto"/>
              </w:rPr>
              <w:t>690</w:t>
            </w:r>
          </w:p>
        </w:tc>
        <w:tc>
          <w:tcPr>
            <w:tcW w:w="927" w:type="dxa"/>
            <w:tcBorders>
              <w:top w:val="single" w:color="auto" w:sz="4" w:space="0"/>
              <w:left w:val="single" w:color="auto" w:sz="4" w:space="0"/>
              <w:bottom w:val="single" w:color="auto" w:sz="4" w:space="0"/>
              <w:right w:val="single" w:color="auto" w:sz="4" w:space="0"/>
            </w:tcBorders>
            <w:vAlign w:val="center"/>
          </w:tcPr>
          <w:p w14:paraId="71D06FA5">
            <w:pPr>
              <w:pStyle w:val="167"/>
              <w:keepNext w:val="0"/>
              <w:keepLines w:val="0"/>
              <w:suppressLineNumbers w:val="0"/>
              <w:spacing w:before="0" w:beforeAutospacing="0" w:after="0" w:afterAutospacing="0"/>
              <w:ind w:right="0"/>
              <w:rPr>
                <w:rFonts w:hint="default"/>
                <w:color w:val="auto"/>
              </w:rPr>
            </w:pPr>
            <w:r>
              <w:rPr>
                <w:rFonts w:hint="default"/>
                <w:color w:val="auto"/>
              </w:rPr>
              <w:t>101325</w:t>
            </w:r>
          </w:p>
        </w:tc>
        <w:tc>
          <w:tcPr>
            <w:tcW w:w="1170" w:type="dxa"/>
            <w:tcBorders>
              <w:top w:val="single" w:color="auto" w:sz="4" w:space="0"/>
              <w:left w:val="single" w:color="auto" w:sz="4" w:space="0"/>
              <w:bottom w:val="single" w:color="auto" w:sz="4" w:space="0"/>
              <w:right w:val="single" w:color="auto" w:sz="4" w:space="0"/>
            </w:tcBorders>
            <w:vAlign w:val="center"/>
          </w:tcPr>
          <w:p w14:paraId="6457FDB5">
            <w:pPr>
              <w:pStyle w:val="167"/>
              <w:keepNext w:val="0"/>
              <w:keepLines w:val="0"/>
              <w:suppressLineNumbers w:val="0"/>
              <w:spacing w:before="0" w:beforeAutospacing="0" w:after="0" w:afterAutospacing="0"/>
              <w:ind w:right="0"/>
              <w:rPr>
                <w:rFonts w:hint="default"/>
                <w:color w:val="auto"/>
              </w:rPr>
            </w:pPr>
            <w:r>
              <w:rPr>
                <w:rFonts w:hint="default"/>
                <w:color w:val="auto"/>
              </w:rPr>
              <w:t>101325</w:t>
            </w:r>
          </w:p>
        </w:tc>
        <w:tc>
          <w:tcPr>
            <w:tcW w:w="1169" w:type="dxa"/>
            <w:tcBorders>
              <w:top w:val="single" w:color="auto" w:sz="4" w:space="0"/>
              <w:left w:val="single" w:color="auto" w:sz="4" w:space="0"/>
              <w:bottom w:val="single" w:color="auto" w:sz="4" w:space="0"/>
              <w:right w:val="single" w:color="auto" w:sz="4" w:space="0"/>
            </w:tcBorders>
            <w:vAlign w:val="center"/>
          </w:tcPr>
          <w:p w14:paraId="1EACF0D5">
            <w:pPr>
              <w:pStyle w:val="167"/>
              <w:keepNext w:val="0"/>
              <w:keepLines w:val="0"/>
              <w:suppressLineNumbers w:val="0"/>
              <w:spacing w:before="0" w:beforeAutospacing="0" w:after="0" w:afterAutospacing="0"/>
              <w:ind w:right="0"/>
              <w:rPr>
                <w:rFonts w:hint="default"/>
                <w:color w:val="auto"/>
              </w:rPr>
            </w:pPr>
            <w:r>
              <w:rPr>
                <w:rFonts w:hint="default"/>
                <w:color w:val="auto"/>
              </w:rPr>
              <w:t>8.4</w:t>
            </w:r>
          </w:p>
        </w:tc>
        <w:tc>
          <w:tcPr>
            <w:tcW w:w="1069" w:type="dxa"/>
            <w:tcBorders>
              <w:top w:val="single" w:color="auto" w:sz="4" w:space="0"/>
              <w:left w:val="single" w:color="auto" w:sz="4" w:space="0"/>
              <w:bottom w:val="single" w:color="auto" w:sz="4" w:space="0"/>
              <w:right w:val="single" w:color="auto" w:sz="4" w:space="0"/>
            </w:tcBorders>
          </w:tcPr>
          <w:p w14:paraId="6B9FDA51">
            <w:pPr>
              <w:pStyle w:val="167"/>
              <w:keepNext w:val="0"/>
              <w:keepLines w:val="0"/>
              <w:suppressLineNumbers w:val="0"/>
              <w:spacing w:before="0" w:beforeAutospacing="0" w:after="0" w:afterAutospacing="0"/>
              <w:ind w:right="0"/>
              <w:rPr>
                <w:rFonts w:hint="default"/>
                <w:color w:val="auto"/>
              </w:rPr>
            </w:pPr>
            <w:r>
              <w:rPr>
                <w:rFonts w:hint="default"/>
                <w:color w:val="auto"/>
              </w:rPr>
              <w:t>0.45</w:t>
            </w:r>
          </w:p>
        </w:tc>
        <w:tc>
          <w:tcPr>
            <w:tcW w:w="964" w:type="dxa"/>
            <w:tcBorders>
              <w:top w:val="single" w:color="auto" w:sz="4" w:space="0"/>
              <w:left w:val="single" w:color="auto" w:sz="4" w:space="0"/>
              <w:bottom w:val="single" w:color="auto" w:sz="4" w:space="0"/>
              <w:right w:val="single" w:color="auto" w:sz="4" w:space="0"/>
            </w:tcBorders>
          </w:tcPr>
          <w:p w14:paraId="6E874571">
            <w:pPr>
              <w:pStyle w:val="167"/>
              <w:keepNext w:val="0"/>
              <w:keepLines w:val="0"/>
              <w:suppressLineNumbers w:val="0"/>
              <w:spacing w:before="0" w:beforeAutospacing="0" w:after="0" w:afterAutospacing="0"/>
              <w:ind w:right="0"/>
              <w:rPr>
                <w:rFonts w:hint="default"/>
                <w:color w:val="auto"/>
              </w:rPr>
            </w:pPr>
            <w:r>
              <w:rPr>
                <w:rFonts w:hint="default"/>
                <w:color w:val="auto"/>
              </w:rPr>
              <w:t>271.19</w:t>
            </w:r>
          </w:p>
        </w:tc>
      </w:tr>
      <w:tr w14:paraId="2A2E5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97" w:hRule="atLeast"/>
          <w:jc w:val="center"/>
        </w:trPr>
        <w:tc>
          <w:tcPr>
            <w:tcW w:w="1386" w:type="dxa"/>
            <w:tcBorders>
              <w:top w:val="single" w:color="auto" w:sz="4" w:space="0"/>
              <w:left w:val="single" w:color="auto" w:sz="4" w:space="0"/>
              <w:bottom w:val="single" w:color="auto" w:sz="4" w:space="0"/>
              <w:right w:val="single" w:color="auto" w:sz="4" w:space="0"/>
            </w:tcBorders>
            <w:vAlign w:val="center"/>
          </w:tcPr>
          <w:p w14:paraId="05072CDA">
            <w:pPr>
              <w:pStyle w:val="167"/>
              <w:keepNext w:val="0"/>
              <w:keepLines w:val="0"/>
              <w:suppressLineNumbers w:val="0"/>
              <w:spacing w:before="0" w:beforeAutospacing="0" w:after="0" w:afterAutospacing="0"/>
              <w:ind w:right="0"/>
              <w:rPr>
                <w:rFonts w:hint="default"/>
                <w:color w:val="auto"/>
              </w:rPr>
            </w:pPr>
            <w:r>
              <w:rPr>
                <w:rFonts w:hint="eastAsia"/>
                <w:color w:val="auto"/>
              </w:rPr>
              <w:t>石脑油</w:t>
            </w:r>
          </w:p>
        </w:tc>
        <w:tc>
          <w:tcPr>
            <w:tcW w:w="886" w:type="dxa"/>
            <w:tcBorders>
              <w:top w:val="single" w:color="auto" w:sz="4" w:space="0"/>
              <w:left w:val="single" w:color="auto" w:sz="4" w:space="0"/>
              <w:bottom w:val="single" w:color="auto" w:sz="4" w:space="0"/>
              <w:right w:val="single" w:color="auto" w:sz="4" w:space="0"/>
            </w:tcBorders>
            <w:vAlign w:val="center"/>
          </w:tcPr>
          <w:p w14:paraId="7F504DB4">
            <w:pPr>
              <w:pStyle w:val="167"/>
              <w:keepNext w:val="0"/>
              <w:keepLines w:val="0"/>
              <w:suppressLineNumbers w:val="0"/>
              <w:spacing w:before="0" w:beforeAutospacing="0" w:after="0" w:afterAutospacing="0"/>
              <w:ind w:right="0"/>
              <w:rPr>
                <w:rFonts w:hint="default"/>
                <w:color w:val="auto"/>
              </w:rPr>
            </w:pPr>
            <w:r>
              <w:rPr>
                <w:rFonts w:hint="eastAsia"/>
                <w:color w:val="auto"/>
              </w:rPr>
              <w:t>内</w:t>
            </w:r>
            <w:r>
              <w:rPr>
                <w:rFonts w:hint="default"/>
                <w:color w:val="auto"/>
              </w:rPr>
              <w:t>浮顶罐</w:t>
            </w:r>
          </w:p>
        </w:tc>
        <w:tc>
          <w:tcPr>
            <w:tcW w:w="979" w:type="dxa"/>
            <w:tcBorders>
              <w:top w:val="single" w:color="auto" w:sz="4" w:space="0"/>
              <w:left w:val="single" w:color="auto" w:sz="4" w:space="0"/>
              <w:bottom w:val="single" w:color="auto" w:sz="4" w:space="0"/>
              <w:right w:val="single" w:color="auto" w:sz="4" w:space="0"/>
            </w:tcBorders>
          </w:tcPr>
          <w:p w14:paraId="46C20088">
            <w:pPr>
              <w:pStyle w:val="167"/>
              <w:keepNext w:val="0"/>
              <w:keepLines w:val="0"/>
              <w:suppressLineNumbers w:val="0"/>
              <w:spacing w:before="0" w:beforeAutospacing="0" w:after="0" w:afterAutospacing="0"/>
              <w:ind w:right="0"/>
              <w:rPr>
                <w:rFonts w:hint="default"/>
                <w:color w:val="auto"/>
              </w:rPr>
            </w:pPr>
            <w:r>
              <w:rPr>
                <w:rFonts w:hint="default"/>
                <w:color w:val="auto"/>
              </w:rPr>
              <w:t>7.85×10</w:t>
            </w:r>
            <w:r>
              <w:rPr>
                <w:rFonts w:hint="default"/>
                <w:color w:val="auto"/>
                <w:vertAlign w:val="superscript"/>
              </w:rPr>
              <w:t>-5</w:t>
            </w:r>
          </w:p>
        </w:tc>
        <w:tc>
          <w:tcPr>
            <w:tcW w:w="813" w:type="dxa"/>
            <w:tcBorders>
              <w:top w:val="single" w:color="auto" w:sz="4" w:space="0"/>
              <w:left w:val="single" w:color="auto" w:sz="4" w:space="0"/>
              <w:bottom w:val="single" w:color="auto" w:sz="4" w:space="0"/>
              <w:right w:val="single" w:color="auto" w:sz="4" w:space="0"/>
            </w:tcBorders>
          </w:tcPr>
          <w:p w14:paraId="1B9B2AEA">
            <w:pPr>
              <w:pStyle w:val="91"/>
              <w:keepNext w:val="0"/>
              <w:keepLines w:val="0"/>
              <w:suppressLineNumbers w:val="0"/>
              <w:spacing w:before="0" w:beforeAutospacing="0" w:after="0" w:afterAutospacing="0"/>
              <w:ind w:left="0" w:right="0"/>
              <w:rPr>
                <w:rFonts w:hint="default"/>
                <w:color w:val="auto"/>
              </w:rPr>
            </w:pPr>
            <w:r>
              <w:rPr>
                <w:rFonts w:hint="default"/>
                <w:color w:val="auto"/>
              </w:rPr>
              <w:t>667</w:t>
            </w:r>
          </w:p>
        </w:tc>
        <w:tc>
          <w:tcPr>
            <w:tcW w:w="927" w:type="dxa"/>
            <w:tcBorders>
              <w:top w:val="single" w:color="auto" w:sz="4" w:space="0"/>
              <w:left w:val="single" w:color="auto" w:sz="4" w:space="0"/>
              <w:bottom w:val="single" w:color="auto" w:sz="4" w:space="0"/>
              <w:right w:val="single" w:color="auto" w:sz="4" w:space="0"/>
            </w:tcBorders>
            <w:vAlign w:val="center"/>
          </w:tcPr>
          <w:p w14:paraId="2ACA0DC1">
            <w:pPr>
              <w:pStyle w:val="167"/>
              <w:keepNext w:val="0"/>
              <w:keepLines w:val="0"/>
              <w:suppressLineNumbers w:val="0"/>
              <w:spacing w:before="0" w:beforeAutospacing="0" w:after="0" w:afterAutospacing="0"/>
              <w:ind w:right="0"/>
              <w:rPr>
                <w:rFonts w:hint="default"/>
                <w:color w:val="auto"/>
              </w:rPr>
            </w:pPr>
            <w:r>
              <w:rPr>
                <w:rFonts w:hint="default"/>
                <w:color w:val="auto"/>
              </w:rPr>
              <w:t>101325</w:t>
            </w:r>
          </w:p>
        </w:tc>
        <w:tc>
          <w:tcPr>
            <w:tcW w:w="1170" w:type="dxa"/>
            <w:tcBorders>
              <w:top w:val="single" w:color="auto" w:sz="4" w:space="0"/>
              <w:left w:val="single" w:color="auto" w:sz="4" w:space="0"/>
              <w:bottom w:val="single" w:color="auto" w:sz="4" w:space="0"/>
              <w:right w:val="single" w:color="auto" w:sz="4" w:space="0"/>
            </w:tcBorders>
            <w:vAlign w:val="center"/>
          </w:tcPr>
          <w:p w14:paraId="247E682D">
            <w:pPr>
              <w:pStyle w:val="167"/>
              <w:keepNext w:val="0"/>
              <w:keepLines w:val="0"/>
              <w:suppressLineNumbers w:val="0"/>
              <w:spacing w:before="0" w:beforeAutospacing="0" w:after="0" w:afterAutospacing="0"/>
              <w:ind w:right="0"/>
              <w:rPr>
                <w:rFonts w:hint="default"/>
                <w:color w:val="auto"/>
              </w:rPr>
            </w:pPr>
            <w:r>
              <w:rPr>
                <w:rFonts w:hint="default"/>
                <w:color w:val="auto"/>
              </w:rPr>
              <w:t>101325</w:t>
            </w:r>
          </w:p>
        </w:tc>
        <w:tc>
          <w:tcPr>
            <w:tcW w:w="1169" w:type="dxa"/>
            <w:tcBorders>
              <w:top w:val="single" w:color="auto" w:sz="4" w:space="0"/>
              <w:left w:val="single" w:color="auto" w:sz="4" w:space="0"/>
              <w:bottom w:val="single" w:color="auto" w:sz="4" w:space="0"/>
              <w:right w:val="single" w:color="auto" w:sz="4" w:space="0"/>
            </w:tcBorders>
            <w:vAlign w:val="center"/>
          </w:tcPr>
          <w:p w14:paraId="206F4FA1">
            <w:pPr>
              <w:pStyle w:val="167"/>
              <w:keepNext w:val="0"/>
              <w:keepLines w:val="0"/>
              <w:suppressLineNumbers w:val="0"/>
              <w:spacing w:before="0" w:beforeAutospacing="0" w:after="0" w:afterAutospacing="0"/>
              <w:ind w:right="0"/>
              <w:rPr>
                <w:rFonts w:hint="default"/>
                <w:color w:val="auto"/>
              </w:rPr>
            </w:pPr>
            <w:r>
              <w:rPr>
                <w:rFonts w:hint="default"/>
                <w:color w:val="auto"/>
              </w:rPr>
              <w:t>8.4</w:t>
            </w:r>
          </w:p>
        </w:tc>
        <w:tc>
          <w:tcPr>
            <w:tcW w:w="1069" w:type="dxa"/>
            <w:tcBorders>
              <w:top w:val="single" w:color="auto" w:sz="4" w:space="0"/>
              <w:left w:val="single" w:color="auto" w:sz="4" w:space="0"/>
              <w:bottom w:val="single" w:color="auto" w:sz="4" w:space="0"/>
              <w:right w:val="single" w:color="auto" w:sz="4" w:space="0"/>
            </w:tcBorders>
          </w:tcPr>
          <w:p w14:paraId="694E9FB0">
            <w:pPr>
              <w:pStyle w:val="167"/>
              <w:keepNext w:val="0"/>
              <w:keepLines w:val="0"/>
              <w:suppressLineNumbers w:val="0"/>
              <w:spacing w:before="0" w:beforeAutospacing="0" w:after="0" w:afterAutospacing="0"/>
              <w:ind w:right="0"/>
              <w:rPr>
                <w:rFonts w:hint="default"/>
                <w:color w:val="auto"/>
              </w:rPr>
            </w:pPr>
            <w:r>
              <w:rPr>
                <w:rFonts w:hint="default"/>
                <w:color w:val="auto"/>
              </w:rPr>
              <w:t>0.44</w:t>
            </w:r>
          </w:p>
        </w:tc>
        <w:tc>
          <w:tcPr>
            <w:tcW w:w="964" w:type="dxa"/>
            <w:tcBorders>
              <w:top w:val="single" w:color="auto" w:sz="4" w:space="0"/>
              <w:left w:val="single" w:color="auto" w:sz="4" w:space="0"/>
              <w:bottom w:val="single" w:color="auto" w:sz="4" w:space="0"/>
              <w:right w:val="single" w:color="auto" w:sz="4" w:space="0"/>
            </w:tcBorders>
          </w:tcPr>
          <w:p w14:paraId="085118BA">
            <w:pPr>
              <w:pStyle w:val="167"/>
              <w:keepNext w:val="0"/>
              <w:keepLines w:val="0"/>
              <w:suppressLineNumbers w:val="0"/>
              <w:spacing w:before="0" w:beforeAutospacing="0" w:after="0" w:afterAutospacing="0"/>
              <w:ind w:right="0"/>
              <w:rPr>
                <w:rFonts w:hint="default"/>
                <w:color w:val="auto"/>
              </w:rPr>
            </w:pPr>
            <w:r>
              <w:rPr>
                <w:rFonts w:hint="default"/>
                <w:color w:val="auto"/>
              </w:rPr>
              <w:t>262.15</w:t>
            </w:r>
          </w:p>
        </w:tc>
      </w:tr>
    </w:tbl>
    <w:p w14:paraId="501B3956">
      <w:pPr>
        <w:pStyle w:val="81"/>
        <w:ind w:firstLine="482"/>
        <w:rPr>
          <w:b/>
          <w:color w:val="auto"/>
        </w:rPr>
      </w:pPr>
      <w:r>
        <w:rPr>
          <w:rFonts w:hint="eastAsia"/>
          <w:b/>
          <w:color w:val="auto"/>
        </w:rPr>
        <w:t>（2）泄漏液体蒸发量</w:t>
      </w:r>
    </w:p>
    <w:p w14:paraId="3F737F1E">
      <w:pPr>
        <w:pStyle w:val="81"/>
        <w:rPr>
          <w:color w:val="auto"/>
        </w:rPr>
      </w:pPr>
      <w:r>
        <w:rPr>
          <w:rFonts w:hint="eastAsia"/>
          <w:color w:val="auto"/>
        </w:rPr>
        <w:t>泄漏液体的蒸发分为闪蒸蒸发、热量蒸发和质量蒸发三种，其蒸发总量为这三种蒸发之和。甲基叔丁基醚（MTBE）、异辛烷（烷基化油）、石脑油为</w:t>
      </w:r>
      <w:r>
        <w:rPr>
          <w:color w:val="auto"/>
        </w:rPr>
        <w:t>常温储罐，</w:t>
      </w:r>
      <w:r>
        <w:rPr>
          <w:rFonts w:hint="eastAsia"/>
          <w:color w:val="auto"/>
        </w:rPr>
        <w:t>环境温度低于沸点，通常不会发生闪蒸和热量蒸发，泄漏后在其周围形成液池，仅考虑液池内液体的质量蒸发：</w:t>
      </w:r>
    </w:p>
    <w:p w14:paraId="4CE08ACC">
      <w:pPr>
        <w:pStyle w:val="81"/>
        <w:ind w:firstLine="0" w:firstLineChars="0"/>
        <w:jc w:val="center"/>
        <w:rPr>
          <w:b/>
          <w:color w:val="auto"/>
        </w:rPr>
      </w:pPr>
      <w:r>
        <w:rPr>
          <w:color w:val="auto"/>
        </w:rPr>
        <w:drawing>
          <wp:inline distT="0" distB="0" distL="0" distR="0">
            <wp:extent cx="2266950" cy="662940"/>
            <wp:effectExtent l="0" t="0" r="0" b="381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64443" cy="662560"/>
                    </a:xfrm>
                    <a:prstGeom prst="rect">
                      <a:avLst/>
                    </a:prstGeom>
                  </pic:spPr>
                </pic:pic>
              </a:graphicData>
            </a:graphic>
          </wp:inline>
        </w:drawing>
      </w:r>
    </w:p>
    <w:p w14:paraId="5D399956">
      <w:pPr>
        <w:ind w:firstLine="480"/>
        <w:rPr>
          <w:color w:val="auto"/>
        </w:rPr>
      </w:pPr>
      <w:r>
        <w:rPr>
          <w:color w:val="auto"/>
        </w:rPr>
        <w:t>式中：Q</w:t>
      </w:r>
      <w:r>
        <w:rPr>
          <w:color w:val="auto"/>
          <w:vertAlign w:val="subscript"/>
        </w:rPr>
        <w:t>3</w:t>
      </w:r>
      <w:r>
        <w:rPr>
          <w:color w:val="auto"/>
        </w:rPr>
        <w:t>—质量蒸发速率，kg/s；</w:t>
      </w:r>
    </w:p>
    <w:p w14:paraId="05BC614C">
      <w:pPr>
        <w:ind w:firstLine="480"/>
        <w:rPr>
          <w:color w:val="auto"/>
        </w:rPr>
      </w:pPr>
      <w:r>
        <w:rPr>
          <w:color w:val="auto"/>
        </w:rPr>
        <w:t>p—液体表面蒸汽压，Pa；</w:t>
      </w:r>
    </w:p>
    <w:p w14:paraId="26ED470D">
      <w:pPr>
        <w:ind w:firstLine="480"/>
        <w:rPr>
          <w:color w:val="auto"/>
        </w:rPr>
      </w:pPr>
      <w:r>
        <w:rPr>
          <w:color w:val="auto"/>
        </w:rPr>
        <w:t>R——气体常数，J/（mol·K）；</w:t>
      </w:r>
      <w:r>
        <w:rPr>
          <w:rFonts w:hint="eastAsia"/>
          <w:color w:val="auto"/>
        </w:rPr>
        <w:t>8.3145</w:t>
      </w:r>
      <w:r>
        <w:rPr>
          <w:color w:val="auto"/>
        </w:rPr>
        <w:t>J/（mol·K）</w:t>
      </w:r>
      <w:r>
        <w:rPr>
          <w:rFonts w:hint="eastAsia"/>
          <w:color w:val="auto"/>
        </w:rPr>
        <w:t>；</w:t>
      </w:r>
    </w:p>
    <w:p w14:paraId="77CB782A">
      <w:pPr>
        <w:ind w:firstLine="480"/>
        <w:rPr>
          <w:color w:val="auto"/>
        </w:rPr>
      </w:pPr>
      <w:r>
        <w:rPr>
          <w:color w:val="auto"/>
        </w:rPr>
        <w:t>T</w:t>
      </w:r>
      <w:r>
        <w:rPr>
          <w:color w:val="auto"/>
          <w:vertAlign w:val="subscript"/>
        </w:rPr>
        <w:t>0</w:t>
      </w:r>
      <w:r>
        <w:rPr>
          <w:color w:val="auto"/>
        </w:rPr>
        <w:t>——环境温度，K；</w:t>
      </w:r>
      <w:r>
        <w:rPr>
          <w:rFonts w:hint="eastAsia"/>
          <w:color w:val="auto"/>
        </w:rPr>
        <w:t>298K；</w:t>
      </w:r>
    </w:p>
    <w:p w14:paraId="53CDD72C">
      <w:pPr>
        <w:ind w:firstLine="480"/>
        <w:rPr>
          <w:color w:val="auto"/>
        </w:rPr>
      </w:pPr>
      <w:r>
        <w:rPr>
          <w:color w:val="auto"/>
        </w:rPr>
        <w:t>M——物质的摩尔质量，kg/mol；</w:t>
      </w:r>
    </w:p>
    <w:p w14:paraId="1AC48CD3">
      <w:pPr>
        <w:ind w:firstLine="480"/>
        <w:rPr>
          <w:color w:val="auto"/>
        </w:rPr>
      </w:pPr>
      <w:r>
        <w:rPr>
          <w:color w:val="auto"/>
        </w:rPr>
        <w:t>u——风速，m/s；1.5m/s</w:t>
      </w:r>
    </w:p>
    <w:p w14:paraId="015B4C54">
      <w:pPr>
        <w:ind w:firstLine="480"/>
        <w:rPr>
          <w:color w:val="auto"/>
        </w:rPr>
      </w:pPr>
      <w:r>
        <w:rPr>
          <w:color w:val="auto"/>
        </w:rPr>
        <w:t>r——液池半径，m；有围堰时，以围堰最大等效半径为液池半径；</w:t>
      </w:r>
    </w:p>
    <w:p w14:paraId="268BE58B">
      <w:pPr>
        <w:ind w:firstLine="480"/>
        <w:rPr>
          <w:color w:val="auto"/>
        </w:rPr>
      </w:pPr>
      <w:r>
        <w:rPr>
          <w:color w:val="auto"/>
        </w:rPr>
        <w:t>α，n——大气稳定度系数，项目</w:t>
      </w:r>
      <w:r>
        <w:rPr>
          <w:rFonts w:hint="eastAsia"/>
          <w:color w:val="auto"/>
          <w:lang w:eastAsia="zh-CN"/>
        </w:rPr>
        <w:t>最不利气象</w:t>
      </w:r>
      <w:r>
        <w:rPr>
          <w:color w:val="auto"/>
        </w:rPr>
        <w:t>以稳定（E，F）取值，</w:t>
      </w:r>
      <w:r>
        <w:rPr>
          <w:rFonts w:hint="eastAsia"/>
          <w:color w:val="auto"/>
        </w:rPr>
        <w:t>根据HJ169-2018</w:t>
      </w:r>
      <w:r>
        <w:rPr>
          <w:color w:val="auto"/>
        </w:rPr>
        <w:t>表F.3</w:t>
      </w:r>
      <w:r>
        <w:rPr>
          <w:rFonts w:hint="eastAsia"/>
          <w:color w:val="auto"/>
        </w:rPr>
        <w:t>，</w:t>
      </w:r>
      <w:r>
        <w:rPr>
          <w:color w:val="auto"/>
        </w:rPr>
        <w:t>α</w:t>
      </w:r>
      <w:r>
        <w:rPr>
          <w:rFonts w:hint="eastAsia"/>
          <w:color w:val="auto"/>
        </w:rPr>
        <w:t>取0.3</w:t>
      </w:r>
      <w:r>
        <w:rPr>
          <w:color w:val="auto"/>
        </w:rPr>
        <w:t>，n</w:t>
      </w:r>
      <w:r>
        <w:rPr>
          <w:rFonts w:hint="eastAsia"/>
          <w:color w:val="auto"/>
        </w:rPr>
        <w:t>取5.285×10</w:t>
      </w:r>
      <w:r>
        <w:rPr>
          <w:rFonts w:hint="eastAsia"/>
          <w:color w:val="auto"/>
          <w:vertAlign w:val="superscript"/>
        </w:rPr>
        <w:t>-3</w:t>
      </w:r>
      <w:r>
        <w:rPr>
          <w:color w:val="auto"/>
        </w:rPr>
        <w:t>。</w:t>
      </w:r>
    </w:p>
    <w:p w14:paraId="5FF1D3B9">
      <w:pPr>
        <w:pStyle w:val="81"/>
        <w:rPr>
          <w:color w:val="auto"/>
          <w:u w:val="single"/>
        </w:rPr>
      </w:pPr>
      <w:r>
        <w:rPr>
          <w:rFonts w:hint="eastAsia"/>
          <w:color w:val="auto"/>
          <w:u w:val="single"/>
        </w:rPr>
        <w:t>本项目大气环境风险评价工作等级为</w:t>
      </w:r>
      <w:r>
        <w:rPr>
          <w:rFonts w:hint="eastAsia"/>
          <w:color w:val="auto"/>
          <w:u w:val="single"/>
          <w:lang w:val="en-US" w:eastAsia="zh-CN"/>
        </w:rPr>
        <w:t>一级</w:t>
      </w:r>
      <w:r>
        <w:rPr>
          <w:rFonts w:hint="eastAsia"/>
          <w:color w:val="auto"/>
          <w:u w:val="single"/>
        </w:rPr>
        <w:t>，根据HJ169-2018，</w:t>
      </w:r>
      <w:r>
        <w:rPr>
          <w:rFonts w:hint="eastAsia"/>
          <w:color w:val="auto"/>
          <w:u w:val="single"/>
          <w:lang w:eastAsia="zh-CN"/>
        </w:rPr>
        <w:t>一</w:t>
      </w:r>
      <w:r>
        <w:rPr>
          <w:rFonts w:hint="eastAsia"/>
          <w:color w:val="auto"/>
          <w:u w:val="single"/>
        </w:rPr>
        <w:t>级评价，需选取最不利气象条件</w:t>
      </w:r>
      <w:r>
        <w:rPr>
          <w:rFonts w:hint="eastAsia"/>
          <w:color w:val="auto"/>
          <w:u w:val="single"/>
          <w:lang w:eastAsia="zh-CN"/>
        </w:rPr>
        <w:t>及事故发生地的最常见气象条件分别进行后果预测。</w:t>
      </w:r>
      <w:r>
        <w:rPr>
          <w:rFonts w:hint="eastAsia"/>
          <w:color w:val="auto"/>
          <w:u w:val="single"/>
        </w:rPr>
        <w:t>最不利气象条件取F类稳定度，1.5m/s风速，温度25℃，相对湿度50%</w:t>
      </w:r>
      <w:r>
        <w:rPr>
          <w:rFonts w:hint="eastAsia"/>
          <w:color w:val="auto"/>
          <w:u w:val="single"/>
          <w:lang w:eastAsia="zh-CN"/>
        </w:rPr>
        <w:t>；最常见气象条件由当地近3年内的至少连续1年气象观测资料统计分析得出，包括出现频率最高的稳定度、该稳定度下的平均风速（非静风）、日最高平均气温、年平均湿度。</w:t>
      </w:r>
    </w:p>
    <w:p w14:paraId="5B543776">
      <w:pPr>
        <w:pStyle w:val="229"/>
        <w:rPr>
          <w:rFonts w:ascii="Times New Roman" w:hAnsi="Times New Roman" w:cs="Times New Roman"/>
          <w:color w:val="auto"/>
          <w:szCs w:val="21"/>
        </w:rPr>
      </w:pPr>
      <w:r>
        <w:rPr>
          <w:rFonts w:ascii="Times New Roman" w:hAnsi="Times New Roman" w:cs="Times New Roman"/>
          <w:color w:val="auto"/>
          <w:szCs w:val="21"/>
        </w:rPr>
        <w:t>根据液体厚度确定液池半径：</w:t>
      </w:r>
    </w:p>
    <w:p w14:paraId="48E08488">
      <w:pPr>
        <w:adjustRightInd w:val="0"/>
        <w:spacing w:line="312" w:lineRule="auto"/>
        <w:ind w:firstLine="480"/>
        <w:jc w:val="center"/>
        <w:textAlignment w:val="baseline"/>
        <w:rPr>
          <w:color w:val="auto"/>
          <w:szCs w:val="20"/>
        </w:rPr>
      </w:pPr>
      <w:r>
        <w:rPr>
          <w:color w:val="auto"/>
          <w:szCs w:val="20"/>
        </w:rPr>
        <w:t>S=W/（Hmin*ρ）</w:t>
      </w:r>
    </w:p>
    <w:p w14:paraId="68492700">
      <w:pPr>
        <w:adjustRightInd w:val="0"/>
        <w:spacing w:line="312" w:lineRule="auto"/>
        <w:ind w:firstLine="480"/>
        <w:textAlignment w:val="baseline"/>
        <w:rPr>
          <w:color w:val="auto"/>
        </w:rPr>
      </w:pPr>
      <w:r>
        <w:rPr>
          <w:color w:val="auto"/>
        </w:rPr>
        <w:t>式中：S—为液池面积，㎡</w:t>
      </w:r>
      <w:r>
        <w:rPr>
          <w:rFonts w:hint="eastAsia"/>
          <w:color w:val="auto"/>
        </w:rPr>
        <w:t>；</w:t>
      </w:r>
    </w:p>
    <w:p w14:paraId="596A23C8">
      <w:pPr>
        <w:adjustRightInd w:val="0"/>
        <w:spacing w:line="312" w:lineRule="auto"/>
        <w:ind w:firstLine="480"/>
        <w:textAlignment w:val="baseline"/>
        <w:rPr>
          <w:color w:val="auto"/>
        </w:rPr>
      </w:pPr>
      <w:r>
        <w:rPr>
          <w:color w:val="auto"/>
        </w:rPr>
        <w:t>W—为质量，kg</w:t>
      </w:r>
      <w:r>
        <w:rPr>
          <w:rFonts w:hint="eastAsia"/>
          <w:color w:val="auto"/>
        </w:rPr>
        <w:t>；</w:t>
      </w:r>
    </w:p>
    <w:p w14:paraId="57EBA85D">
      <w:pPr>
        <w:adjustRightInd w:val="0"/>
        <w:spacing w:line="312" w:lineRule="auto"/>
        <w:ind w:firstLine="480"/>
        <w:textAlignment w:val="baseline"/>
        <w:rPr>
          <w:color w:val="auto"/>
        </w:rPr>
      </w:pPr>
      <w:r>
        <w:rPr>
          <w:color w:val="auto"/>
        </w:rPr>
        <w:t>Hmin—为最小液池厚度，m</w:t>
      </w:r>
      <w:r>
        <w:rPr>
          <w:rFonts w:hint="eastAsia"/>
          <w:color w:val="auto"/>
        </w:rPr>
        <w:t>；</w:t>
      </w:r>
    </w:p>
    <w:p w14:paraId="06A6E988">
      <w:pPr>
        <w:adjustRightInd w:val="0"/>
        <w:spacing w:line="312" w:lineRule="auto"/>
        <w:ind w:firstLine="480"/>
        <w:textAlignment w:val="baseline"/>
        <w:rPr>
          <w:color w:val="auto"/>
        </w:rPr>
      </w:pPr>
      <w:r>
        <w:rPr>
          <w:color w:val="auto"/>
        </w:rPr>
        <w:t>ρ—为密度，kg/m</w:t>
      </w:r>
      <w:r>
        <w:rPr>
          <w:color w:val="auto"/>
          <w:vertAlign w:val="superscript"/>
        </w:rPr>
        <w:t>3</w:t>
      </w:r>
      <w:r>
        <w:rPr>
          <w:color w:val="auto"/>
        </w:rPr>
        <w:t>，混凝土地面取0.005。</w:t>
      </w:r>
    </w:p>
    <w:p w14:paraId="4C59AF8B">
      <w:pPr>
        <w:pStyle w:val="14"/>
        <w:rPr>
          <w:color w:val="auto"/>
        </w:rPr>
      </w:pPr>
      <w:r>
        <w:rPr>
          <w:color w:val="auto"/>
        </w:rPr>
        <w:t>表</w:t>
      </w:r>
      <w:r>
        <w:rPr>
          <w:color w:val="auto"/>
        </w:rPr>
        <w:fldChar w:fldCharType="begin"/>
      </w:r>
      <w:r>
        <w:rPr>
          <w:color w:val="auto"/>
        </w:rPr>
        <w:instrText xml:space="preserve"> STYLEREF 2 \s </w:instrText>
      </w:r>
      <w:r>
        <w:rPr>
          <w:color w:val="auto"/>
        </w:rPr>
        <w:fldChar w:fldCharType="separate"/>
      </w:r>
      <w:r>
        <w:rPr>
          <w:color w:val="auto"/>
        </w:rPr>
        <w:t>5.4</w:t>
      </w:r>
      <w:r>
        <w:rPr>
          <w:color w:val="auto"/>
        </w:rPr>
        <w:fldChar w:fldCharType="end"/>
      </w:r>
      <w:r>
        <w:rPr>
          <w:rFonts w:hint="eastAsia"/>
          <w:color w:val="auto"/>
          <w:lang w:eastAsia="zh-CN"/>
        </w:rPr>
        <w:t>-</w:t>
      </w:r>
      <w:r>
        <w:rPr>
          <w:color w:val="auto"/>
        </w:rPr>
        <w:fldChar w:fldCharType="begin"/>
      </w:r>
      <w:r>
        <w:rPr>
          <w:color w:val="auto"/>
        </w:rPr>
        <w:instrText xml:space="preserve"> SEQ 表 \* ARABIC \s 2 </w:instrText>
      </w:r>
      <w:r>
        <w:rPr>
          <w:color w:val="auto"/>
        </w:rPr>
        <w:fldChar w:fldCharType="separate"/>
      </w:r>
      <w:r>
        <w:rPr>
          <w:color w:val="auto"/>
        </w:rPr>
        <w:t>4</w:t>
      </w:r>
      <w:r>
        <w:rPr>
          <w:color w:val="auto"/>
        </w:rPr>
        <w:fldChar w:fldCharType="end"/>
      </w:r>
      <w:r>
        <w:rPr>
          <w:rFonts w:hint="eastAsia"/>
          <w:color w:val="auto"/>
        </w:rPr>
        <w:t>最不利气象条件下Q3计算参数表</w:t>
      </w:r>
    </w:p>
    <w:tbl>
      <w:tblPr>
        <w:tblStyle w:val="43"/>
        <w:tblW w:w="8669" w:type="dxa"/>
        <w:tblInd w:w="2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11" w:type="dxa"/>
        </w:tblCellMar>
      </w:tblPr>
      <w:tblGrid>
        <w:gridCol w:w="1984"/>
        <w:gridCol w:w="1269"/>
        <w:gridCol w:w="1701"/>
        <w:gridCol w:w="999"/>
        <w:gridCol w:w="1255"/>
        <w:gridCol w:w="1461"/>
      </w:tblGrid>
      <w:tr w14:paraId="687C5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11" w:type="dxa"/>
          </w:tblCellMar>
        </w:tblPrEx>
        <w:tc>
          <w:tcPr>
            <w:tcW w:w="1984" w:type="dxa"/>
            <w:vAlign w:val="center"/>
          </w:tcPr>
          <w:p w14:paraId="27B0369F">
            <w:pPr>
              <w:pStyle w:val="91"/>
              <w:keepNext w:val="0"/>
              <w:keepLines w:val="0"/>
              <w:suppressLineNumbers w:val="0"/>
              <w:spacing w:before="0" w:beforeAutospacing="0" w:after="0" w:afterAutospacing="0"/>
              <w:ind w:left="0" w:right="0"/>
              <w:rPr>
                <w:rFonts w:hint="default"/>
                <w:b/>
                <w:color w:val="auto"/>
              </w:rPr>
            </w:pPr>
            <w:r>
              <w:rPr>
                <w:rFonts w:hint="default"/>
                <w:b/>
                <w:color w:val="auto"/>
              </w:rPr>
              <w:t>物质</w:t>
            </w:r>
          </w:p>
        </w:tc>
        <w:tc>
          <w:tcPr>
            <w:tcW w:w="1269" w:type="dxa"/>
            <w:vAlign w:val="center"/>
          </w:tcPr>
          <w:p w14:paraId="2E2C4469">
            <w:pPr>
              <w:pStyle w:val="91"/>
              <w:keepNext w:val="0"/>
              <w:keepLines w:val="0"/>
              <w:suppressLineNumbers w:val="0"/>
              <w:spacing w:before="0" w:beforeAutospacing="0" w:after="0" w:afterAutospacing="0"/>
              <w:ind w:left="0" w:right="0"/>
              <w:rPr>
                <w:rFonts w:hint="default"/>
                <w:b/>
                <w:color w:val="auto"/>
              </w:rPr>
            </w:pPr>
            <w:r>
              <w:rPr>
                <w:rFonts w:hint="default"/>
                <w:b/>
                <w:color w:val="auto"/>
              </w:rPr>
              <w:t>P（Pa）</w:t>
            </w:r>
          </w:p>
        </w:tc>
        <w:tc>
          <w:tcPr>
            <w:tcW w:w="1701" w:type="dxa"/>
            <w:vAlign w:val="center"/>
          </w:tcPr>
          <w:p w14:paraId="73493108">
            <w:pPr>
              <w:pStyle w:val="91"/>
              <w:keepNext w:val="0"/>
              <w:keepLines w:val="0"/>
              <w:suppressLineNumbers w:val="0"/>
              <w:spacing w:before="0" w:beforeAutospacing="0" w:after="0" w:afterAutospacing="0"/>
              <w:ind w:left="0" w:right="0"/>
              <w:rPr>
                <w:rFonts w:hint="default"/>
                <w:b/>
                <w:color w:val="auto"/>
              </w:rPr>
            </w:pPr>
            <w:r>
              <w:rPr>
                <w:rFonts w:hint="default"/>
                <w:b/>
                <w:color w:val="auto"/>
              </w:rPr>
              <w:t>M（kg/mol）</w:t>
            </w:r>
          </w:p>
        </w:tc>
        <w:tc>
          <w:tcPr>
            <w:tcW w:w="999" w:type="dxa"/>
            <w:vAlign w:val="center"/>
          </w:tcPr>
          <w:p w14:paraId="59EAE548">
            <w:pPr>
              <w:pStyle w:val="91"/>
              <w:keepNext w:val="0"/>
              <w:keepLines w:val="0"/>
              <w:suppressLineNumbers w:val="0"/>
              <w:spacing w:before="0" w:beforeAutospacing="0" w:after="0" w:afterAutospacing="0"/>
              <w:ind w:left="0" w:right="0"/>
              <w:rPr>
                <w:rFonts w:hint="default"/>
                <w:b/>
                <w:color w:val="auto"/>
              </w:rPr>
            </w:pPr>
            <w:r>
              <w:rPr>
                <w:rFonts w:hint="default"/>
                <w:b/>
                <w:color w:val="auto"/>
              </w:rPr>
              <w:t>r（m）</w:t>
            </w:r>
          </w:p>
        </w:tc>
        <w:tc>
          <w:tcPr>
            <w:tcW w:w="1255" w:type="dxa"/>
            <w:vAlign w:val="center"/>
          </w:tcPr>
          <w:p w14:paraId="236AF238">
            <w:pPr>
              <w:pStyle w:val="91"/>
              <w:keepNext w:val="0"/>
              <w:keepLines w:val="0"/>
              <w:suppressLineNumbers w:val="0"/>
              <w:spacing w:before="0" w:beforeAutospacing="0" w:after="0" w:afterAutospacing="0"/>
              <w:ind w:left="0" w:right="0"/>
              <w:rPr>
                <w:rFonts w:hint="default"/>
                <w:b/>
                <w:color w:val="auto"/>
              </w:rPr>
            </w:pPr>
            <w:r>
              <w:rPr>
                <w:rFonts w:hint="default"/>
                <w:b/>
                <w:color w:val="auto"/>
              </w:rPr>
              <w:t>Q</w:t>
            </w:r>
            <w:r>
              <w:rPr>
                <w:rFonts w:hint="default"/>
                <w:b/>
                <w:color w:val="auto"/>
                <w:vertAlign w:val="subscript"/>
              </w:rPr>
              <w:t>3</w:t>
            </w:r>
            <w:r>
              <w:rPr>
                <w:rFonts w:hint="default"/>
                <w:b/>
                <w:color w:val="auto"/>
              </w:rPr>
              <w:t>（kg/s）</w:t>
            </w:r>
          </w:p>
        </w:tc>
        <w:tc>
          <w:tcPr>
            <w:tcW w:w="1461" w:type="dxa"/>
          </w:tcPr>
          <w:p w14:paraId="58DB19DF">
            <w:pPr>
              <w:pStyle w:val="91"/>
              <w:keepNext w:val="0"/>
              <w:keepLines w:val="0"/>
              <w:suppressLineNumbers w:val="0"/>
              <w:spacing w:before="0" w:beforeAutospacing="0" w:after="0" w:afterAutospacing="0"/>
              <w:ind w:left="0" w:right="0"/>
              <w:rPr>
                <w:rFonts w:hint="default"/>
                <w:b/>
                <w:color w:val="auto"/>
              </w:rPr>
            </w:pPr>
            <w:r>
              <w:rPr>
                <w:rFonts w:hint="eastAsia"/>
                <w:b/>
                <w:color w:val="auto"/>
              </w:rPr>
              <w:t>蒸发量</w:t>
            </w:r>
            <w:r>
              <w:rPr>
                <w:rFonts w:hint="default"/>
                <w:b/>
                <w:color w:val="auto"/>
              </w:rPr>
              <w:t>（</w:t>
            </w:r>
            <w:r>
              <w:rPr>
                <w:rFonts w:hint="eastAsia"/>
                <w:b/>
                <w:color w:val="auto"/>
              </w:rPr>
              <w:t>kg</w:t>
            </w:r>
            <w:r>
              <w:rPr>
                <w:rFonts w:hint="default"/>
                <w:b/>
                <w:color w:val="auto"/>
              </w:rPr>
              <w:t>）</w:t>
            </w:r>
          </w:p>
        </w:tc>
      </w:tr>
      <w:tr w14:paraId="2414A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11" w:type="dxa"/>
          </w:tblCellMar>
        </w:tblPrEx>
        <w:tc>
          <w:tcPr>
            <w:tcW w:w="1984" w:type="dxa"/>
            <w:vAlign w:val="center"/>
          </w:tcPr>
          <w:p w14:paraId="0619CBAA">
            <w:pPr>
              <w:pStyle w:val="91"/>
              <w:keepNext w:val="0"/>
              <w:keepLines w:val="0"/>
              <w:suppressLineNumbers w:val="0"/>
              <w:spacing w:before="0" w:beforeAutospacing="0" w:after="0" w:afterAutospacing="0"/>
              <w:ind w:left="0" w:right="0"/>
              <w:rPr>
                <w:rFonts w:hint="default"/>
                <w:color w:val="auto"/>
              </w:rPr>
            </w:pPr>
            <w:r>
              <w:rPr>
                <w:rFonts w:hint="eastAsia"/>
                <w:color w:val="auto"/>
              </w:rPr>
              <w:t>甲基叔丁基醚</w:t>
            </w:r>
          </w:p>
        </w:tc>
        <w:tc>
          <w:tcPr>
            <w:tcW w:w="1269" w:type="dxa"/>
            <w:vAlign w:val="center"/>
          </w:tcPr>
          <w:p w14:paraId="26A6E5CB">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27000</w:t>
            </w:r>
          </w:p>
        </w:tc>
        <w:tc>
          <w:tcPr>
            <w:tcW w:w="1701" w:type="dxa"/>
            <w:vAlign w:val="center"/>
          </w:tcPr>
          <w:p w14:paraId="6BCA5697">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0.08815</w:t>
            </w:r>
          </w:p>
        </w:tc>
        <w:tc>
          <w:tcPr>
            <w:tcW w:w="999" w:type="dxa"/>
            <w:vAlign w:val="center"/>
          </w:tcPr>
          <w:p w14:paraId="4C68C163">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w:t>
            </w:r>
          </w:p>
        </w:tc>
        <w:tc>
          <w:tcPr>
            <w:tcW w:w="1255" w:type="dxa"/>
          </w:tcPr>
          <w:p w14:paraId="69CFC768">
            <w:pPr>
              <w:pStyle w:val="91"/>
              <w:keepNext w:val="0"/>
              <w:keepLines w:val="0"/>
              <w:suppressLineNumbers w:val="0"/>
              <w:spacing w:before="0" w:beforeAutospacing="0" w:after="0" w:afterAutospacing="0"/>
              <w:ind w:left="0" w:right="0"/>
              <w:rPr>
                <w:rFonts w:hint="default"/>
                <w:color w:val="auto"/>
              </w:rPr>
            </w:pPr>
            <w:r>
              <w:rPr>
                <w:rFonts w:hint="default"/>
                <w:color w:val="auto"/>
              </w:rPr>
              <w:t>0.139</w:t>
            </w:r>
          </w:p>
        </w:tc>
        <w:tc>
          <w:tcPr>
            <w:tcW w:w="1461" w:type="dxa"/>
          </w:tcPr>
          <w:p w14:paraId="6321D5D1">
            <w:pPr>
              <w:pStyle w:val="91"/>
              <w:keepNext w:val="0"/>
              <w:keepLines w:val="0"/>
              <w:suppressLineNumbers w:val="0"/>
              <w:spacing w:before="0" w:beforeAutospacing="0" w:after="0" w:afterAutospacing="0"/>
              <w:ind w:left="0" w:right="0"/>
              <w:rPr>
                <w:rFonts w:hint="default"/>
                <w:color w:val="auto"/>
              </w:rPr>
            </w:pPr>
            <w:r>
              <w:rPr>
                <w:rFonts w:hint="default"/>
                <w:color w:val="auto"/>
              </w:rPr>
              <w:t>83.41</w:t>
            </w:r>
          </w:p>
        </w:tc>
      </w:tr>
      <w:tr w14:paraId="69B82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11" w:type="dxa"/>
          </w:tblCellMar>
        </w:tblPrEx>
        <w:tc>
          <w:tcPr>
            <w:tcW w:w="1984" w:type="dxa"/>
            <w:vAlign w:val="center"/>
          </w:tcPr>
          <w:p w14:paraId="47909D06">
            <w:pPr>
              <w:pStyle w:val="91"/>
              <w:keepNext w:val="0"/>
              <w:keepLines w:val="0"/>
              <w:suppressLineNumbers w:val="0"/>
              <w:spacing w:before="0" w:beforeAutospacing="0" w:after="0" w:afterAutospacing="0"/>
              <w:ind w:left="0" w:right="0"/>
              <w:rPr>
                <w:rFonts w:hint="default"/>
                <w:color w:val="auto"/>
              </w:rPr>
            </w:pPr>
            <w:r>
              <w:rPr>
                <w:rFonts w:hint="eastAsia"/>
                <w:color w:val="auto"/>
              </w:rPr>
              <w:t>异辛烷（烷基化油）</w:t>
            </w:r>
          </w:p>
        </w:tc>
        <w:tc>
          <w:tcPr>
            <w:tcW w:w="1269" w:type="dxa"/>
            <w:vAlign w:val="center"/>
          </w:tcPr>
          <w:p w14:paraId="11E4D250">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5100</w:t>
            </w:r>
          </w:p>
        </w:tc>
        <w:tc>
          <w:tcPr>
            <w:tcW w:w="1701" w:type="dxa"/>
            <w:vAlign w:val="center"/>
          </w:tcPr>
          <w:p w14:paraId="12650674">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0.114</w:t>
            </w:r>
          </w:p>
        </w:tc>
        <w:tc>
          <w:tcPr>
            <w:tcW w:w="999" w:type="dxa"/>
            <w:vAlign w:val="center"/>
          </w:tcPr>
          <w:p w14:paraId="48B55D3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w:t>
            </w:r>
          </w:p>
        </w:tc>
        <w:tc>
          <w:tcPr>
            <w:tcW w:w="1255" w:type="dxa"/>
          </w:tcPr>
          <w:p w14:paraId="70C6E9D7">
            <w:pPr>
              <w:pStyle w:val="91"/>
              <w:keepNext w:val="0"/>
              <w:keepLines w:val="0"/>
              <w:suppressLineNumbers w:val="0"/>
              <w:spacing w:before="0" w:beforeAutospacing="0" w:after="0" w:afterAutospacing="0"/>
              <w:ind w:left="0" w:right="0"/>
              <w:rPr>
                <w:rFonts w:hint="default"/>
                <w:color w:val="auto"/>
              </w:rPr>
            </w:pPr>
            <w:r>
              <w:rPr>
                <w:rFonts w:hint="default"/>
                <w:color w:val="auto"/>
              </w:rPr>
              <w:t>0.034</w:t>
            </w:r>
          </w:p>
        </w:tc>
        <w:tc>
          <w:tcPr>
            <w:tcW w:w="1461" w:type="dxa"/>
          </w:tcPr>
          <w:p w14:paraId="1A05C08A">
            <w:pPr>
              <w:pStyle w:val="91"/>
              <w:keepNext w:val="0"/>
              <w:keepLines w:val="0"/>
              <w:suppressLineNumbers w:val="0"/>
              <w:spacing w:before="0" w:beforeAutospacing="0" w:after="0" w:afterAutospacing="0"/>
              <w:ind w:left="0" w:right="0"/>
              <w:rPr>
                <w:rFonts w:hint="default"/>
                <w:color w:val="auto"/>
              </w:rPr>
            </w:pPr>
            <w:r>
              <w:rPr>
                <w:rFonts w:hint="default"/>
                <w:color w:val="auto"/>
              </w:rPr>
              <w:t>20.37</w:t>
            </w:r>
          </w:p>
        </w:tc>
      </w:tr>
      <w:tr w14:paraId="7FA39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11" w:type="dxa"/>
          </w:tblCellMar>
        </w:tblPrEx>
        <w:tc>
          <w:tcPr>
            <w:tcW w:w="1984" w:type="dxa"/>
            <w:vAlign w:val="center"/>
          </w:tcPr>
          <w:p w14:paraId="5827ACC2">
            <w:pPr>
              <w:pStyle w:val="91"/>
              <w:keepNext w:val="0"/>
              <w:keepLines w:val="0"/>
              <w:suppressLineNumbers w:val="0"/>
              <w:spacing w:before="0" w:beforeAutospacing="0" w:after="0" w:afterAutospacing="0"/>
              <w:ind w:left="0" w:right="0"/>
              <w:rPr>
                <w:rFonts w:hint="default"/>
                <w:color w:val="auto"/>
              </w:rPr>
            </w:pPr>
            <w:r>
              <w:rPr>
                <w:rFonts w:hint="eastAsia"/>
                <w:color w:val="auto"/>
              </w:rPr>
              <w:t>石脑油</w:t>
            </w:r>
          </w:p>
        </w:tc>
        <w:tc>
          <w:tcPr>
            <w:tcW w:w="1269" w:type="dxa"/>
            <w:vAlign w:val="center"/>
          </w:tcPr>
          <w:p w14:paraId="051B622D">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10030</w:t>
            </w:r>
          </w:p>
        </w:tc>
        <w:tc>
          <w:tcPr>
            <w:tcW w:w="1701" w:type="dxa"/>
            <w:vAlign w:val="center"/>
          </w:tcPr>
          <w:p w14:paraId="069207B5">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0.4</w:t>
            </w:r>
          </w:p>
        </w:tc>
        <w:tc>
          <w:tcPr>
            <w:tcW w:w="999" w:type="dxa"/>
            <w:vAlign w:val="center"/>
          </w:tcPr>
          <w:p w14:paraId="2B3E567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w:t>
            </w:r>
          </w:p>
        </w:tc>
        <w:tc>
          <w:tcPr>
            <w:tcW w:w="1255" w:type="dxa"/>
          </w:tcPr>
          <w:p w14:paraId="1186DC8F">
            <w:pPr>
              <w:pStyle w:val="91"/>
              <w:keepNext w:val="0"/>
              <w:keepLines w:val="0"/>
              <w:suppressLineNumbers w:val="0"/>
              <w:spacing w:before="0" w:beforeAutospacing="0" w:after="0" w:afterAutospacing="0"/>
              <w:ind w:left="0" w:right="0"/>
              <w:rPr>
                <w:rFonts w:hint="default"/>
                <w:color w:val="auto"/>
              </w:rPr>
            </w:pPr>
            <w:r>
              <w:rPr>
                <w:rFonts w:hint="default"/>
                <w:color w:val="auto"/>
              </w:rPr>
              <w:t>0.357</w:t>
            </w:r>
          </w:p>
        </w:tc>
        <w:tc>
          <w:tcPr>
            <w:tcW w:w="1461" w:type="dxa"/>
          </w:tcPr>
          <w:p w14:paraId="7DC81391">
            <w:pPr>
              <w:pStyle w:val="91"/>
              <w:keepNext w:val="0"/>
              <w:keepLines w:val="0"/>
              <w:suppressLineNumbers w:val="0"/>
              <w:spacing w:before="0" w:beforeAutospacing="0" w:after="0" w:afterAutospacing="0"/>
              <w:ind w:left="0" w:right="0"/>
              <w:rPr>
                <w:rFonts w:hint="default"/>
                <w:color w:val="auto"/>
              </w:rPr>
            </w:pPr>
            <w:r>
              <w:rPr>
                <w:rFonts w:hint="default"/>
                <w:color w:val="auto"/>
              </w:rPr>
              <w:t>214.24</w:t>
            </w:r>
          </w:p>
        </w:tc>
      </w:tr>
    </w:tbl>
    <w:p w14:paraId="1D050C16">
      <w:pPr>
        <w:pStyle w:val="14"/>
        <w:rPr>
          <w:rFonts w:hint="eastAsia"/>
          <w:color w:val="auto"/>
        </w:rPr>
      </w:pPr>
    </w:p>
    <w:p w14:paraId="543E25B2">
      <w:pPr>
        <w:pStyle w:val="14"/>
        <w:rPr>
          <w:color w:val="auto"/>
          <w:u w:val="single"/>
        </w:rPr>
      </w:pPr>
      <w:r>
        <w:rPr>
          <w:color w:val="auto"/>
          <w:u w:val="single"/>
        </w:rPr>
        <w:t>表</w:t>
      </w:r>
      <w:r>
        <w:rPr>
          <w:color w:val="auto"/>
          <w:u w:val="single"/>
        </w:rPr>
        <w:fldChar w:fldCharType="begin"/>
      </w:r>
      <w:r>
        <w:rPr>
          <w:color w:val="auto"/>
          <w:u w:val="single"/>
        </w:rPr>
        <w:instrText xml:space="preserve"> STYLEREF 2 \s </w:instrText>
      </w:r>
      <w:r>
        <w:rPr>
          <w:color w:val="auto"/>
          <w:u w:val="single"/>
        </w:rPr>
        <w:fldChar w:fldCharType="separate"/>
      </w:r>
      <w:r>
        <w:rPr>
          <w:color w:val="auto"/>
          <w:u w:val="single"/>
        </w:rPr>
        <w:t>5.4</w:t>
      </w:r>
      <w:r>
        <w:rPr>
          <w:color w:val="auto"/>
          <w:u w:val="single"/>
        </w:rPr>
        <w:fldChar w:fldCharType="end"/>
      </w:r>
      <w:r>
        <w:rPr>
          <w:rFonts w:hint="eastAsia"/>
          <w:color w:val="auto"/>
          <w:u w:val="single"/>
          <w:lang w:eastAsia="zh-CN"/>
        </w:rPr>
        <w:t>-</w:t>
      </w:r>
      <w:r>
        <w:rPr>
          <w:color w:val="auto"/>
          <w:u w:val="single"/>
        </w:rPr>
        <w:fldChar w:fldCharType="begin"/>
      </w:r>
      <w:r>
        <w:rPr>
          <w:color w:val="auto"/>
          <w:u w:val="single"/>
        </w:rPr>
        <w:instrText xml:space="preserve"> SEQ 表 \* ARABIC \s 2 </w:instrText>
      </w:r>
      <w:r>
        <w:rPr>
          <w:color w:val="auto"/>
          <w:u w:val="single"/>
        </w:rPr>
        <w:fldChar w:fldCharType="separate"/>
      </w:r>
      <w:r>
        <w:rPr>
          <w:color w:val="auto"/>
          <w:u w:val="single"/>
        </w:rPr>
        <w:t>5</w:t>
      </w:r>
      <w:r>
        <w:rPr>
          <w:color w:val="auto"/>
          <w:u w:val="single"/>
        </w:rPr>
        <w:fldChar w:fldCharType="end"/>
      </w:r>
      <w:r>
        <w:rPr>
          <w:rFonts w:hint="eastAsia"/>
          <w:color w:val="auto"/>
          <w:u w:val="single"/>
        </w:rPr>
        <w:t>最</w:t>
      </w:r>
      <w:r>
        <w:rPr>
          <w:rFonts w:hint="eastAsia"/>
          <w:color w:val="auto"/>
          <w:u w:val="single"/>
          <w:lang w:eastAsia="zh-CN"/>
        </w:rPr>
        <w:t>常见</w:t>
      </w:r>
      <w:r>
        <w:rPr>
          <w:rFonts w:hint="eastAsia"/>
          <w:color w:val="auto"/>
          <w:u w:val="single"/>
        </w:rPr>
        <w:t>气象条件下Q3计算参数表</w:t>
      </w:r>
    </w:p>
    <w:tbl>
      <w:tblPr>
        <w:tblStyle w:val="43"/>
        <w:tblW w:w="8852" w:type="dxa"/>
        <w:tblInd w:w="2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11" w:type="dxa"/>
        </w:tblCellMar>
      </w:tblPr>
      <w:tblGrid>
        <w:gridCol w:w="1428"/>
        <w:gridCol w:w="690"/>
        <w:gridCol w:w="878"/>
        <w:gridCol w:w="719"/>
        <w:gridCol w:w="901"/>
        <w:gridCol w:w="953"/>
        <w:gridCol w:w="725"/>
        <w:gridCol w:w="1097"/>
        <w:gridCol w:w="1461"/>
      </w:tblGrid>
      <w:tr w14:paraId="11E92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11" w:type="dxa"/>
          </w:tblCellMar>
        </w:tblPrEx>
        <w:tc>
          <w:tcPr>
            <w:tcW w:w="1428" w:type="dxa"/>
            <w:vAlign w:val="center"/>
          </w:tcPr>
          <w:p w14:paraId="2ED79849">
            <w:pPr>
              <w:pStyle w:val="91"/>
              <w:keepNext w:val="0"/>
              <w:keepLines w:val="0"/>
              <w:suppressLineNumbers w:val="0"/>
              <w:bidi w:val="0"/>
              <w:spacing w:before="0" w:beforeAutospacing="0" w:after="0" w:afterAutospacing="0"/>
              <w:ind w:left="0" w:right="0"/>
              <w:rPr>
                <w:rFonts w:hint="default"/>
                <w:b/>
                <w:bCs/>
                <w:color w:val="auto"/>
                <w:u w:val="single"/>
              </w:rPr>
            </w:pPr>
            <w:r>
              <w:rPr>
                <w:rFonts w:hint="default"/>
                <w:b/>
                <w:bCs/>
                <w:color w:val="auto"/>
                <w:u w:val="single"/>
              </w:rPr>
              <w:t>物质</w:t>
            </w:r>
          </w:p>
        </w:tc>
        <w:tc>
          <w:tcPr>
            <w:tcW w:w="690" w:type="dxa"/>
            <w:vAlign w:val="center"/>
          </w:tcPr>
          <w:p w14:paraId="4DA94BE9">
            <w:pPr>
              <w:pStyle w:val="91"/>
              <w:keepNext w:val="0"/>
              <w:keepLines w:val="0"/>
              <w:suppressLineNumbers w:val="0"/>
              <w:bidi w:val="0"/>
              <w:spacing w:before="0" w:beforeAutospacing="0" w:after="0" w:afterAutospacing="0"/>
              <w:ind w:left="0" w:right="0"/>
              <w:rPr>
                <w:rFonts w:hint="default"/>
                <w:b/>
                <w:bCs/>
                <w:color w:val="auto"/>
                <w:u w:val="single"/>
              </w:rPr>
            </w:pPr>
            <w:r>
              <w:rPr>
                <w:rFonts w:hint="default"/>
                <w:b/>
                <w:bCs/>
                <w:color w:val="auto"/>
                <w:u w:val="single"/>
              </w:rPr>
              <w:t>r（m）</w:t>
            </w:r>
          </w:p>
        </w:tc>
        <w:tc>
          <w:tcPr>
            <w:tcW w:w="878" w:type="dxa"/>
            <w:vAlign w:val="center"/>
          </w:tcPr>
          <w:p w14:paraId="21B66B2C">
            <w:pPr>
              <w:pStyle w:val="91"/>
              <w:keepNext w:val="0"/>
              <w:keepLines w:val="0"/>
              <w:suppressLineNumbers w:val="0"/>
              <w:bidi w:val="0"/>
              <w:spacing w:before="0" w:beforeAutospacing="0" w:after="0" w:afterAutospacing="0"/>
              <w:ind w:left="0" w:right="0"/>
              <w:rPr>
                <w:rFonts w:hint="default"/>
                <w:b/>
                <w:bCs/>
                <w:color w:val="auto"/>
                <w:u w:val="single"/>
              </w:rPr>
            </w:pPr>
            <w:r>
              <w:rPr>
                <w:rFonts w:hint="default"/>
                <w:b/>
                <w:bCs/>
                <w:color w:val="auto"/>
                <w:u w:val="single"/>
                <w:lang w:val="en-US" w:eastAsia="zh-CN"/>
              </w:rPr>
              <w:t>u</w:t>
            </w:r>
            <w:r>
              <w:rPr>
                <w:rFonts w:hint="eastAsia"/>
                <w:b/>
                <w:bCs/>
                <w:color w:val="auto"/>
                <w:u w:val="single"/>
                <w:lang w:val="en-US" w:eastAsia="zh-CN"/>
              </w:rPr>
              <w:t>（</w:t>
            </w:r>
            <w:r>
              <w:rPr>
                <w:rFonts w:hint="default"/>
                <w:b/>
                <w:bCs/>
                <w:color w:val="auto"/>
                <w:u w:val="single"/>
                <w:lang w:val="en-US" w:eastAsia="zh-CN"/>
              </w:rPr>
              <w:t>m/s</w:t>
            </w:r>
            <w:r>
              <w:rPr>
                <w:rFonts w:hint="eastAsia"/>
                <w:b/>
                <w:bCs/>
                <w:color w:val="auto"/>
                <w:u w:val="single"/>
                <w:lang w:val="en-US" w:eastAsia="zh-CN"/>
              </w:rPr>
              <w:t>）</w:t>
            </w:r>
          </w:p>
        </w:tc>
        <w:tc>
          <w:tcPr>
            <w:tcW w:w="719" w:type="dxa"/>
            <w:vAlign w:val="center"/>
          </w:tcPr>
          <w:p w14:paraId="13C98C93">
            <w:pPr>
              <w:pStyle w:val="91"/>
              <w:keepNext w:val="0"/>
              <w:keepLines w:val="0"/>
              <w:suppressLineNumbers w:val="0"/>
              <w:bidi w:val="0"/>
              <w:spacing w:before="0" w:beforeAutospacing="0" w:after="0" w:afterAutospacing="0"/>
              <w:ind w:left="0" w:right="0"/>
              <w:rPr>
                <w:rFonts w:hint="default"/>
                <w:b/>
                <w:bCs/>
                <w:color w:val="auto"/>
                <w:u w:val="single"/>
              </w:rPr>
            </w:pPr>
            <w:r>
              <w:rPr>
                <w:rFonts w:hint="default"/>
                <w:b/>
                <w:bCs/>
                <w:color w:val="auto"/>
                <w:u w:val="single"/>
              </w:rPr>
              <w:t>r（m）</w:t>
            </w:r>
          </w:p>
        </w:tc>
        <w:tc>
          <w:tcPr>
            <w:tcW w:w="901" w:type="dxa"/>
            <w:vAlign w:val="center"/>
          </w:tcPr>
          <w:p w14:paraId="3AC95DC1">
            <w:pPr>
              <w:pStyle w:val="91"/>
              <w:keepNext w:val="0"/>
              <w:keepLines w:val="0"/>
              <w:suppressLineNumbers w:val="0"/>
              <w:bidi w:val="0"/>
              <w:spacing w:before="0" w:beforeAutospacing="0" w:after="0" w:afterAutospacing="0"/>
              <w:ind w:left="0" w:right="0"/>
              <w:rPr>
                <w:rFonts w:hint="default"/>
                <w:b/>
                <w:bCs/>
                <w:color w:val="auto"/>
                <w:u w:val="single"/>
              </w:rPr>
            </w:pPr>
            <w:r>
              <w:rPr>
                <w:rFonts w:hint="default"/>
                <w:b/>
                <w:bCs/>
                <w:color w:val="auto"/>
                <w:u w:val="single"/>
                <w:lang w:val="en-US" w:eastAsia="zh-CN"/>
              </w:rPr>
              <w:t>u</w:t>
            </w:r>
            <w:r>
              <w:rPr>
                <w:rFonts w:hint="eastAsia"/>
                <w:b/>
                <w:bCs/>
                <w:color w:val="auto"/>
                <w:u w:val="single"/>
                <w:lang w:val="en-US" w:eastAsia="zh-CN"/>
              </w:rPr>
              <w:t>（</w:t>
            </w:r>
            <w:r>
              <w:rPr>
                <w:rFonts w:hint="default"/>
                <w:b/>
                <w:bCs/>
                <w:color w:val="auto"/>
                <w:u w:val="single"/>
                <w:lang w:val="en-US" w:eastAsia="zh-CN"/>
              </w:rPr>
              <w:t>m/s</w:t>
            </w:r>
            <w:r>
              <w:rPr>
                <w:rFonts w:hint="eastAsia"/>
                <w:b/>
                <w:bCs/>
                <w:color w:val="auto"/>
                <w:u w:val="single"/>
                <w:lang w:val="en-US" w:eastAsia="zh-CN"/>
              </w:rPr>
              <w:t>）</w:t>
            </w:r>
          </w:p>
        </w:tc>
        <w:tc>
          <w:tcPr>
            <w:tcW w:w="953" w:type="dxa"/>
            <w:vAlign w:val="center"/>
          </w:tcPr>
          <w:p w14:paraId="2447BB5C">
            <w:pPr>
              <w:pStyle w:val="91"/>
              <w:keepNext w:val="0"/>
              <w:keepLines w:val="0"/>
              <w:suppressLineNumbers w:val="0"/>
              <w:bidi w:val="0"/>
              <w:spacing w:before="0" w:beforeAutospacing="0" w:after="0" w:afterAutospacing="0"/>
              <w:ind w:left="0" w:right="0"/>
              <w:rPr>
                <w:rFonts w:hint="default"/>
                <w:b/>
                <w:bCs/>
                <w:color w:val="auto"/>
                <w:u w:val="single"/>
                <w:lang w:val="en-US" w:eastAsia="zh-CN"/>
              </w:rPr>
            </w:pPr>
            <w:r>
              <w:rPr>
                <w:rFonts w:hint="default"/>
                <w:b/>
                <w:bCs/>
                <w:color w:val="auto"/>
                <w:u w:val="single"/>
                <w:lang w:val="en-US" w:eastAsia="zh-CN"/>
              </w:rPr>
              <w:t>α</w:t>
            </w:r>
          </w:p>
        </w:tc>
        <w:tc>
          <w:tcPr>
            <w:tcW w:w="725" w:type="dxa"/>
            <w:vAlign w:val="center"/>
          </w:tcPr>
          <w:p w14:paraId="4D225F19">
            <w:pPr>
              <w:pStyle w:val="91"/>
              <w:keepNext w:val="0"/>
              <w:keepLines w:val="0"/>
              <w:suppressLineNumbers w:val="0"/>
              <w:bidi w:val="0"/>
              <w:spacing w:before="0" w:beforeAutospacing="0" w:after="0" w:afterAutospacing="0"/>
              <w:ind w:left="0" w:right="0"/>
              <w:rPr>
                <w:rFonts w:hint="default"/>
                <w:b/>
                <w:bCs/>
                <w:color w:val="auto"/>
                <w:u w:val="single"/>
                <w:lang w:val="en-US" w:eastAsia="zh-CN"/>
              </w:rPr>
            </w:pPr>
            <w:r>
              <w:rPr>
                <w:rFonts w:hint="eastAsia"/>
                <w:b/>
                <w:bCs/>
                <w:color w:val="auto"/>
                <w:u w:val="single"/>
                <w:lang w:val="en-US" w:eastAsia="zh-CN"/>
              </w:rPr>
              <w:t>n</w:t>
            </w:r>
          </w:p>
        </w:tc>
        <w:tc>
          <w:tcPr>
            <w:tcW w:w="1097" w:type="dxa"/>
            <w:vAlign w:val="center"/>
          </w:tcPr>
          <w:p w14:paraId="4E76EB28">
            <w:pPr>
              <w:pStyle w:val="91"/>
              <w:keepNext w:val="0"/>
              <w:keepLines w:val="0"/>
              <w:suppressLineNumbers w:val="0"/>
              <w:bidi w:val="0"/>
              <w:spacing w:before="0" w:beforeAutospacing="0" w:after="0" w:afterAutospacing="0"/>
              <w:ind w:left="0" w:right="0"/>
              <w:rPr>
                <w:rFonts w:hint="default"/>
                <w:b/>
                <w:bCs/>
                <w:color w:val="auto"/>
                <w:u w:val="single"/>
              </w:rPr>
            </w:pPr>
            <w:r>
              <w:rPr>
                <w:rFonts w:hint="default"/>
                <w:b/>
                <w:bCs/>
                <w:color w:val="auto"/>
                <w:u w:val="single"/>
              </w:rPr>
              <w:t>Q3（kg/s）</w:t>
            </w:r>
          </w:p>
        </w:tc>
        <w:tc>
          <w:tcPr>
            <w:tcW w:w="1461" w:type="dxa"/>
          </w:tcPr>
          <w:p w14:paraId="1000A571">
            <w:pPr>
              <w:pStyle w:val="91"/>
              <w:keepNext w:val="0"/>
              <w:keepLines w:val="0"/>
              <w:suppressLineNumbers w:val="0"/>
              <w:bidi w:val="0"/>
              <w:spacing w:before="0" w:beforeAutospacing="0" w:after="0" w:afterAutospacing="0"/>
              <w:ind w:left="0" w:right="0"/>
              <w:rPr>
                <w:rFonts w:hint="default"/>
                <w:b/>
                <w:bCs/>
                <w:color w:val="auto"/>
                <w:u w:val="single"/>
              </w:rPr>
            </w:pPr>
            <w:r>
              <w:rPr>
                <w:rFonts w:hint="eastAsia"/>
                <w:b/>
                <w:bCs/>
                <w:color w:val="auto"/>
                <w:u w:val="single"/>
              </w:rPr>
              <w:t>蒸发量</w:t>
            </w:r>
            <w:r>
              <w:rPr>
                <w:rFonts w:hint="default"/>
                <w:b/>
                <w:bCs/>
                <w:color w:val="auto"/>
                <w:u w:val="single"/>
              </w:rPr>
              <w:t>（</w:t>
            </w:r>
            <w:r>
              <w:rPr>
                <w:rFonts w:hint="eastAsia"/>
                <w:b/>
                <w:bCs/>
                <w:color w:val="auto"/>
                <w:u w:val="single"/>
              </w:rPr>
              <w:t>kg</w:t>
            </w:r>
            <w:r>
              <w:rPr>
                <w:rFonts w:hint="default"/>
                <w:b/>
                <w:bCs/>
                <w:color w:val="auto"/>
                <w:u w:val="single"/>
              </w:rPr>
              <w:t>）</w:t>
            </w:r>
          </w:p>
        </w:tc>
      </w:tr>
      <w:tr w14:paraId="1FC40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11" w:type="dxa"/>
          </w:tblCellMar>
        </w:tblPrEx>
        <w:tc>
          <w:tcPr>
            <w:tcW w:w="1428" w:type="dxa"/>
            <w:vAlign w:val="center"/>
          </w:tcPr>
          <w:p w14:paraId="0517B238">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rPr>
              <w:t>甲基叔丁基醚</w:t>
            </w:r>
          </w:p>
        </w:tc>
        <w:tc>
          <w:tcPr>
            <w:tcW w:w="690" w:type="dxa"/>
            <w:vAlign w:val="center"/>
          </w:tcPr>
          <w:p w14:paraId="7780213D">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rPr>
              <w:t>5</w:t>
            </w:r>
          </w:p>
        </w:tc>
        <w:tc>
          <w:tcPr>
            <w:tcW w:w="878" w:type="dxa"/>
            <w:vAlign w:val="center"/>
          </w:tcPr>
          <w:p w14:paraId="24364099">
            <w:pPr>
              <w:pStyle w:val="91"/>
              <w:keepNext w:val="0"/>
              <w:keepLines w:val="0"/>
              <w:suppressLineNumbers w:val="0"/>
              <w:bidi w:val="0"/>
              <w:spacing w:before="0" w:beforeAutospacing="0" w:after="0" w:afterAutospacing="0"/>
              <w:ind w:left="0" w:right="0"/>
              <w:rPr>
                <w:rFonts w:hint="default"/>
                <w:color w:val="auto"/>
                <w:u w:val="single"/>
              </w:rPr>
            </w:pPr>
            <w:r>
              <w:rPr>
                <w:rFonts w:hint="default"/>
                <w:color w:val="auto"/>
                <w:u w:val="single"/>
                <w:lang w:val="en-US" w:eastAsia="zh-CN"/>
              </w:rPr>
              <w:t>2.3</w:t>
            </w:r>
          </w:p>
        </w:tc>
        <w:tc>
          <w:tcPr>
            <w:tcW w:w="719" w:type="dxa"/>
            <w:vAlign w:val="center"/>
          </w:tcPr>
          <w:p w14:paraId="18AB40A7">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rPr>
              <w:t>5</w:t>
            </w:r>
          </w:p>
        </w:tc>
        <w:tc>
          <w:tcPr>
            <w:tcW w:w="901" w:type="dxa"/>
            <w:vAlign w:val="center"/>
          </w:tcPr>
          <w:p w14:paraId="1D20B2B9">
            <w:pPr>
              <w:pStyle w:val="91"/>
              <w:keepNext w:val="0"/>
              <w:keepLines w:val="0"/>
              <w:suppressLineNumbers w:val="0"/>
              <w:bidi w:val="0"/>
              <w:spacing w:before="0" w:beforeAutospacing="0" w:after="0" w:afterAutospacing="0"/>
              <w:ind w:left="0" w:right="0"/>
              <w:rPr>
                <w:rFonts w:hint="eastAsia"/>
                <w:color w:val="auto"/>
                <w:u w:val="single"/>
              </w:rPr>
            </w:pPr>
            <w:r>
              <w:rPr>
                <w:rFonts w:hint="default"/>
                <w:color w:val="auto"/>
                <w:u w:val="single"/>
                <w:lang w:val="en-US" w:eastAsia="zh-CN"/>
              </w:rPr>
              <w:t>2.3</w:t>
            </w:r>
          </w:p>
        </w:tc>
        <w:tc>
          <w:tcPr>
            <w:tcW w:w="953" w:type="dxa"/>
            <w:vAlign w:val="center"/>
          </w:tcPr>
          <w:p w14:paraId="0F2D021A">
            <w:pPr>
              <w:pStyle w:val="91"/>
              <w:keepNext w:val="0"/>
              <w:keepLines w:val="0"/>
              <w:suppressLineNumbers w:val="0"/>
              <w:bidi w:val="0"/>
              <w:spacing w:before="0" w:beforeAutospacing="0" w:after="0" w:afterAutospacing="0"/>
              <w:ind w:left="0" w:right="0"/>
              <w:rPr>
                <w:rFonts w:hint="default"/>
                <w:color w:val="auto"/>
                <w:u w:val="single"/>
                <w:lang w:val="en-US" w:eastAsia="zh-CN"/>
              </w:rPr>
            </w:pPr>
            <w:r>
              <w:rPr>
                <w:rFonts w:hint="default"/>
                <w:color w:val="auto"/>
                <w:u w:val="single"/>
                <w:lang w:val="en-US" w:eastAsia="zh-CN"/>
              </w:rPr>
              <w:t>0.005285</w:t>
            </w:r>
          </w:p>
        </w:tc>
        <w:tc>
          <w:tcPr>
            <w:tcW w:w="725" w:type="dxa"/>
            <w:vAlign w:val="center"/>
          </w:tcPr>
          <w:p w14:paraId="75D95C35">
            <w:pPr>
              <w:pStyle w:val="91"/>
              <w:keepNext w:val="0"/>
              <w:keepLines w:val="0"/>
              <w:suppressLineNumbers w:val="0"/>
              <w:bidi w:val="0"/>
              <w:spacing w:before="0" w:beforeAutospacing="0" w:after="0" w:afterAutospacing="0"/>
              <w:ind w:left="0" w:right="0"/>
              <w:rPr>
                <w:rFonts w:hint="default"/>
                <w:color w:val="auto"/>
                <w:u w:val="single"/>
                <w:lang w:val="en-US" w:eastAsia="zh-CN"/>
              </w:rPr>
            </w:pPr>
            <w:r>
              <w:rPr>
                <w:rFonts w:hint="default"/>
                <w:color w:val="auto"/>
                <w:u w:val="single"/>
                <w:lang w:val="en-US" w:eastAsia="zh-CN"/>
              </w:rPr>
              <w:t>0.3</w:t>
            </w:r>
          </w:p>
        </w:tc>
        <w:tc>
          <w:tcPr>
            <w:tcW w:w="1097" w:type="dxa"/>
            <w:vAlign w:val="center"/>
          </w:tcPr>
          <w:p w14:paraId="5626AE2C">
            <w:pPr>
              <w:pStyle w:val="91"/>
              <w:keepNext w:val="0"/>
              <w:keepLines w:val="0"/>
              <w:suppressLineNumbers w:val="0"/>
              <w:bidi w:val="0"/>
              <w:spacing w:before="0" w:beforeAutospacing="0" w:after="0" w:afterAutospacing="0"/>
              <w:ind w:left="0" w:right="0"/>
              <w:rPr>
                <w:rFonts w:hint="default"/>
                <w:color w:val="auto"/>
                <w:u w:val="single"/>
              </w:rPr>
            </w:pPr>
            <w:r>
              <w:rPr>
                <w:rFonts w:hint="default"/>
                <w:color w:val="auto"/>
                <w:u w:val="single"/>
                <w:lang w:val="en-US" w:eastAsia="zh-CN"/>
              </w:rPr>
              <w:t>0.1907</w:t>
            </w:r>
          </w:p>
        </w:tc>
        <w:tc>
          <w:tcPr>
            <w:tcW w:w="1461" w:type="dxa"/>
            <w:vAlign w:val="center"/>
          </w:tcPr>
          <w:p w14:paraId="766C186F">
            <w:pPr>
              <w:pStyle w:val="91"/>
              <w:keepNext w:val="0"/>
              <w:keepLines w:val="0"/>
              <w:suppressLineNumbers w:val="0"/>
              <w:bidi w:val="0"/>
              <w:spacing w:before="0" w:beforeAutospacing="0" w:after="0" w:afterAutospacing="0"/>
              <w:ind w:left="0" w:right="0"/>
              <w:rPr>
                <w:rFonts w:hint="default"/>
                <w:color w:val="auto"/>
                <w:u w:val="single"/>
              </w:rPr>
            </w:pPr>
            <w:r>
              <w:rPr>
                <w:rFonts w:hint="default"/>
                <w:color w:val="auto"/>
                <w:u w:val="single"/>
                <w:lang w:val="en-US" w:eastAsia="zh-CN"/>
              </w:rPr>
              <w:t>114.40</w:t>
            </w:r>
          </w:p>
        </w:tc>
      </w:tr>
      <w:tr w14:paraId="40A2D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11" w:type="dxa"/>
          </w:tblCellMar>
        </w:tblPrEx>
        <w:tc>
          <w:tcPr>
            <w:tcW w:w="1428" w:type="dxa"/>
            <w:vAlign w:val="center"/>
          </w:tcPr>
          <w:p w14:paraId="70A6F7B3">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rPr>
              <w:t>异辛烷（烷基化油）</w:t>
            </w:r>
          </w:p>
        </w:tc>
        <w:tc>
          <w:tcPr>
            <w:tcW w:w="690" w:type="dxa"/>
            <w:vAlign w:val="center"/>
          </w:tcPr>
          <w:p w14:paraId="6B241BB6">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rPr>
              <w:t>5</w:t>
            </w:r>
          </w:p>
        </w:tc>
        <w:tc>
          <w:tcPr>
            <w:tcW w:w="878" w:type="dxa"/>
            <w:vAlign w:val="center"/>
          </w:tcPr>
          <w:p w14:paraId="0D09E818">
            <w:pPr>
              <w:pStyle w:val="91"/>
              <w:keepNext w:val="0"/>
              <w:keepLines w:val="0"/>
              <w:suppressLineNumbers w:val="0"/>
              <w:bidi w:val="0"/>
              <w:spacing w:before="0" w:beforeAutospacing="0" w:after="0" w:afterAutospacing="0"/>
              <w:ind w:left="0" w:right="0"/>
              <w:rPr>
                <w:rFonts w:hint="default"/>
                <w:color w:val="auto"/>
                <w:u w:val="single"/>
              </w:rPr>
            </w:pPr>
            <w:r>
              <w:rPr>
                <w:rFonts w:hint="default"/>
                <w:color w:val="auto"/>
                <w:u w:val="single"/>
                <w:lang w:val="en-US" w:eastAsia="zh-CN"/>
              </w:rPr>
              <w:t>2.3</w:t>
            </w:r>
          </w:p>
        </w:tc>
        <w:tc>
          <w:tcPr>
            <w:tcW w:w="719" w:type="dxa"/>
            <w:vAlign w:val="center"/>
          </w:tcPr>
          <w:p w14:paraId="60926FD7">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rPr>
              <w:t>5</w:t>
            </w:r>
          </w:p>
        </w:tc>
        <w:tc>
          <w:tcPr>
            <w:tcW w:w="901" w:type="dxa"/>
            <w:vAlign w:val="center"/>
          </w:tcPr>
          <w:p w14:paraId="75AC6664">
            <w:pPr>
              <w:pStyle w:val="91"/>
              <w:keepNext w:val="0"/>
              <w:keepLines w:val="0"/>
              <w:suppressLineNumbers w:val="0"/>
              <w:bidi w:val="0"/>
              <w:spacing w:before="0" w:beforeAutospacing="0" w:after="0" w:afterAutospacing="0"/>
              <w:ind w:left="0" w:right="0"/>
              <w:rPr>
                <w:rFonts w:hint="eastAsia"/>
                <w:color w:val="auto"/>
                <w:u w:val="single"/>
              </w:rPr>
            </w:pPr>
            <w:r>
              <w:rPr>
                <w:rFonts w:hint="default"/>
                <w:color w:val="auto"/>
                <w:u w:val="single"/>
                <w:lang w:val="en-US" w:eastAsia="zh-CN"/>
              </w:rPr>
              <w:t>2.3</w:t>
            </w:r>
          </w:p>
        </w:tc>
        <w:tc>
          <w:tcPr>
            <w:tcW w:w="953" w:type="dxa"/>
            <w:vAlign w:val="center"/>
          </w:tcPr>
          <w:p w14:paraId="11B10B01">
            <w:pPr>
              <w:pStyle w:val="91"/>
              <w:keepNext w:val="0"/>
              <w:keepLines w:val="0"/>
              <w:suppressLineNumbers w:val="0"/>
              <w:bidi w:val="0"/>
              <w:spacing w:before="0" w:beforeAutospacing="0" w:after="0" w:afterAutospacing="0"/>
              <w:ind w:left="0" w:right="0"/>
              <w:rPr>
                <w:rFonts w:hint="default"/>
                <w:color w:val="auto"/>
                <w:u w:val="single"/>
                <w:lang w:val="en-US" w:eastAsia="zh-CN"/>
              </w:rPr>
            </w:pPr>
            <w:r>
              <w:rPr>
                <w:rFonts w:hint="default"/>
                <w:color w:val="auto"/>
                <w:u w:val="single"/>
                <w:lang w:val="en-US" w:eastAsia="zh-CN"/>
              </w:rPr>
              <w:t>0.005285</w:t>
            </w:r>
          </w:p>
        </w:tc>
        <w:tc>
          <w:tcPr>
            <w:tcW w:w="725" w:type="dxa"/>
            <w:vAlign w:val="center"/>
          </w:tcPr>
          <w:p w14:paraId="37DDC038">
            <w:pPr>
              <w:pStyle w:val="91"/>
              <w:keepNext w:val="0"/>
              <w:keepLines w:val="0"/>
              <w:suppressLineNumbers w:val="0"/>
              <w:bidi w:val="0"/>
              <w:spacing w:before="0" w:beforeAutospacing="0" w:after="0" w:afterAutospacing="0"/>
              <w:ind w:left="0" w:right="0"/>
              <w:rPr>
                <w:rFonts w:hint="default"/>
                <w:color w:val="auto"/>
                <w:u w:val="single"/>
                <w:lang w:val="en-US" w:eastAsia="zh-CN"/>
              </w:rPr>
            </w:pPr>
            <w:r>
              <w:rPr>
                <w:rFonts w:hint="default"/>
                <w:color w:val="auto"/>
                <w:u w:val="single"/>
                <w:lang w:val="en-US" w:eastAsia="zh-CN"/>
              </w:rPr>
              <w:t>0.3</w:t>
            </w:r>
          </w:p>
        </w:tc>
        <w:tc>
          <w:tcPr>
            <w:tcW w:w="1097" w:type="dxa"/>
            <w:vAlign w:val="center"/>
          </w:tcPr>
          <w:p w14:paraId="0D2518BE">
            <w:pPr>
              <w:pStyle w:val="91"/>
              <w:keepNext w:val="0"/>
              <w:keepLines w:val="0"/>
              <w:suppressLineNumbers w:val="0"/>
              <w:bidi w:val="0"/>
              <w:spacing w:before="0" w:beforeAutospacing="0" w:after="0" w:afterAutospacing="0"/>
              <w:ind w:left="0" w:right="0"/>
              <w:rPr>
                <w:rFonts w:hint="default"/>
                <w:color w:val="auto"/>
                <w:u w:val="single"/>
              </w:rPr>
            </w:pPr>
            <w:r>
              <w:rPr>
                <w:rFonts w:hint="default"/>
                <w:color w:val="auto"/>
                <w:u w:val="single"/>
                <w:lang w:val="en-US" w:eastAsia="zh-CN"/>
              </w:rPr>
              <w:t>0.0466</w:t>
            </w:r>
          </w:p>
        </w:tc>
        <w:tc>
          <w:tcPr>
            <w:tcW w:w="1461" w:type="dxa"/>
            <w:vAlign w:val="center"/>
          </w:tcPr>
          <w:p w14:paraId="4CAFD45B">
            <w:pPr>
              <w:pStyle w:val="91"/>
              <w:keepNext w:val="0"/>
              <w:keepLines w:val="0"/>
              <w:suppressLineNumbers w:val="0"/>
              <w:bidi w:val="0"/>
              <w:spacing w:before="0" w:beforeAutospacing="0" w:after="0" w:afterAutospacing="0"/>
              <w:ind w:left="0" w:right="0"/>
              <w:rPr>
                <w:rFonts w:hint="default"/>
                <w:color w:val="auto"/>
                <w:u w:val="single"/>
              </w:rPr>
            </w:pPr>
            <w:r>
              <w:rPr>
                <w:rFonts w:hint="default"/>
                <w:color w:val="auto"/>
                <w:u w:val="single"/>
                <w:lang w:val="en-US" w:eastAsia="zh-CN"/>
              </w:rPr>
              <w:t>27.94</w:t>
            </w:r>
          </w:p>
        </w:tc>
      </w:tr>
      <w:tr w14:paraId="0BB46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11" w:type="dxa"/>
          </w:tblCellMar>
        </w:tblPrEx>
        <w:tc>
          <w:tcPr>
            <w:tcW w:w="1428" w:type="dxa"/>
            <w:vAlign w:val="center"/>
          </w:tcPr>
          <w:p w14:paraId="5CCDF134">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rPr>
              <w:t>石脑油</w:t>
            </w:r>
          </w:p>
        </w:tc>
        <w:tc>
          <w:tcPr>
            <w:tcW w:w="690" w:type="dxa"/>
            <w:vAlign w:val="center"/>
          </w:tcPr>
          <w:p w14:paraId="10392652">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rPr>
              <w:t>5</w:t>
            </w:r>
          </w:p>
        </w:tc>
        <w:tc>
          <w:tcPr>
            <w:tcW w:w="878" w:type="dxa"/>
            <w:vAlign w:val="center"/>
          </w:tcPr>
          <w:p w14:paraId="093E1D70">
            <w:pPr>
              <w:pStyle w:val="91"/>
              <w:keepNext w:val="0"/>
              <w:keepLines w:val="0"/>
              <w:suppressLineNumbers w:val="0"/>
              <w:bidi w:val="0"/>
              <w:spacing w:before="0" w:beforeAutospacing="0" w:after="0" w:afterAutospacing="0"/>
              <w:ind w:left="0" w:right="0"/>
              <w:rPr>
                <w:rFonts w:hint="default"/>
                <w:color w:val="auto"/>
                <w:u w:val="single"/>
              </w:rPr>
            </w:pPr>
            <w:r>
              <w:rPr>
                <w:rFonts w:hint="default"/>
                <w:color w:val="auto"/>
                <w:u w:val="single"/>
                <w:lang w:val="en-US" w:eastAsia="zh-CN"/>
              </w:rPr>
              <w:t>2.3</w:t>
            </w:r>
          </w:p>
        </w:tc>
        <w:tc>
          <w:tcPr>
            <w:tcW w:w="719" w:type="dxa"/>
            <w:vAlign w:val="center"/>
          </w:tcPr>
          <w:p w14:paraId="5DAB85FF">
            <w:pPr>
              <w:pStyle w:val="91"/>
              <w:keepNext w:val="0"/>
              <w:keepLines w:val="0"/>
              <w:suppressLineNumbers w:val="0"/>
              <w:bidi w:val="0"/>
              <w:spacing w:before="0" w:beforeAutospacing="0" w:after="0" w:afterAutospacing="0"/>
              <w:ind w:left="0" w:right="0"/>
              <w:rPr>
                <w:rFonts w:hint="default"/>
                <w:color w:val="auto"/>
                <w:u w:val="single"/>
              </w:rPr>
            </w:pPr>
            <w:r>
              <w:rPr>
                <w:rFonts w:hint="eastAsia"/>
                <w:color w:val="auto"/>
                <w:u w:val="single"/>
              </w:rPr>
              <w:t>5</w:t>
            </w:r>
          </w:p>
        </w:tc>
        <w:tc>
          <w:tcPr>
            <w:tcW w:w="901" w:type="dxa"/>
            <w:vAlign w:val="center"/>
          </w:tcPr>
          <w:p w14:paraId="7EF469A4">
            <w:pPr>
              <w:pStyle w:val="91"/>
              <w:keepNext w:val="0"/>
              <w:keepLines w:val="0"/>
              <w:suppressLineNumbers w:val="0"/>
              <w:bidi w:val="0"/>
              <w:spacing w:before="0" w:beforeAutospacing="0" w:after="0" w:afterAutospacing="0"/>
              <w:ind w:left="0" w:right="0"/>
              <w:rPr>
                <w:rFonts w:hint="eastAsia"/>
                <w:color w:val="auto"/>
                <w:u w:val="single"/>
              </w:rPr>
            </w:pPr>
            <w:r>
              <w:rPr>
                <w:rFonts w:hint="default"/>
                <w:color w:val="auto"/>
                <w:u w:val="single"/>
                <w:lang w:val="en-US" w:eastAsia="zh-CN"/>
              </w:rPr>
              <w:t>2.3</w:t>
            </w:r>
          </w:p>
        </w:tc>
        <w:tc>
          <w:tcPr>
            <w:tcW w:w="953" w:type="dxa"/>
            <w:vAlign w:val="center"/>
          </w:tcPr>
          <w:p w14:paraId="09D3D5D1">
            <w:pPr>
              <w:pStyle w:val="91"/>
              <w:keepNext w:val="0"/>
              <w:keepLines w:val="0"/>
              <w:suppressLineNumbers w:val="0"/>
              <w:bidi w:val="0"/>
              <w:spacing w:before="0" w:beforeAutospacing="0" w:after="0" w:afterAutospacing="0"/>
              <w:ind w:left="0" w:right="0"/>
              <w:rPr>
                <w:rFonts w:hint="default"/>
                <w:color w:val="auto"/>
                <w:u w:val="single"/>
                <w:lang w:val="en-US" w:eastAsia="zh-CN"/>
              </w:rPr>
            </w:pPr>
            <w:r>
              <w:rPr>
                <w:rFonts w:hint="default"/>
                <w:color w:val="auto"/>
                <w:u w:val="single"/>
                <w:lang w:val="en-US" w:eastAsia="zh-CN"/>
              </w:rPr>
              <w:t>0.005285</w:t>
            </w:r>
          </w:p>
        </w:tc>
        <w:tc>
          <w:tcPr>
            <w:tcW w:w="725" w:type="dxa"/>
            <w:vAlign w:val="center"/>
          </w:tcPr>
          <w:p w14:paraId="09647E75">
            <w:pPr>
              <w:pStyle w:val="91"/>
              <w:keepNext w:val="0"/>
              <w:keepLines w:val="0"/>
              <w:suppressLineNumbers w:val="0"/>
              <w:bidi w:val="0"/>
              <w:spacing w:before="0" w:beforeAutospacing="0" w:after="0" w:afterAutospacing="0"/>
              <w:ind w:left="0" w:right="0"/>
              <w:rPr>
                <w:rFonts w:hint="default"/>
                <w:color w:val="auto"/>
                <w:u w:val="single"/>
                <w:lang w:val="en-US" w:eastAsia="zh-CN"/>
              </w:rPr>
            </w:pPr>
            <w:r>
              <w:rPr>
                <w:rFonts w:hint="default"/>
                <w:color w:val="auto"/>
                <w:u w:val="single"/>
                <w:lang w:val="en-US" w:eastAsia="zh-CN"/>
              </w:rPr>
              <w:t>0.3</w:t>
            </w:r>
          </w:p>
        </w:tc>
        <w:tc>
          <w:tcPr>
            <w:tcW w:w="1097" w:type="dxa"/>
            <w:vAlign w:val="center"/>
          </w:tcPr>
          <w:p w14:paraId="171B4E65">
            <w:pPr>
              <w:pStyle w:val="91"/>
              <w:keepNext w:val="0"/>
              <w:keepLines w:val="0"/>
              <w:suppressLineNumbers w:val="0"/>
              <w:bidi w:val="0"/>
              <w:spacing w:before="0" w:beforeAutospacing="0" w:after="0" w:afterAutospacing="0"/>
              <w:ind w:left="0" w:right="0"/>
              <w:rPr>
                <w:rFonts w:hint="default"/>
                <w:color w:val="auto"/>
                <w:u w:val="single"/>
              </w:rPr>
            </w:pPr>
            <w:r>
              <w:rPr>
                <w:rFonts w:hint="default"/>
                <w:color w:val="auto"/>
                <w:u w:val="single"/>
                <w:lang w:val="en-US" w:eastAsia="zh-CN"/>
              </w:rPr>
              <w:t>0.4372</w:t>
            </w:r>
          </w:p>
        </w:tc>
        <w:tc>
          <w:tcPr>
            <w:tcW w:w="1461" w:type="dxa"/>
            <w:vAlign w:val="center"/>
          </w:tcPr>
          <w:p w14:paraId="5CFB6631">
            <w:pPr>
              <w:pStyle w:val="91"/>
              <w:keepNext w:val="0"/>
              <w:keepLines w:val="0"/>
              <w:suppressLineNumbers w:val="0"/>
              <w:bidi w:val="0"/>
              <w:spacing w:before="0" w:beforeAutospacing="0" w:after="0" w:afterAutospacing="0"/>
              <w:ind w:left="0" w:right="0"/>
              <w:rPr>
                <w:rFonts w:hint="default"/>
                <w:color w:val="auto"/>
                <w:u w:val="single"/>
              </w:rPr>
            </w:pPr>
            <w:r>
              <w:rPr>
                <w:rFonts w:hint="default"/>
                <w:color w:val="auto"/>
                <w:u w:val="single"/>
                <w:lang w:val="en-US" w:eastAsia="zh-CN"/>
              </w:rPr>
              <w:t>262.30</w:t>
            </w:r>
          </w:p>
        </w:tc>
      </w:tr>
    </w:tbl>
    <w:p w14:paraId="41B17B7E">
      <w:pPr>
        <w:ind w:firstLine="482"/>
        <w:rPr>
          <w:b/>
          <w:color w:val="auto"/>
        </w:rPr>
      </w:pPr>
      <w:r>
        <w:rPr>
          <w:rFonts w:hint="eastAsia"/>
          <w:b/>
          <w:color w:val="auto"/>
        </w:rPr>
        <w:t>（3）火灾事故次生污染</w:t>
      </w:r>
    </w:p>
    <w:p w14:paraId="50DB576E">
      <w:pPr>
        <w:ind w:firstLine="480"/>
        <w:rPr>
          <w:color w:val="auto"/>
          <w:kern w:val="0"/>
          <w:szCs w:val="20"/>
        </w:rPr>
      </w:pPr>
      <w:r>
        <w:rPr>
          <w:rFonts w:hint="eastAsia"/>
          <w:color w:val="auto"/>
          <w:kern w:val="0"/>
          <w:szCs w:val="20"/>
        </w:rPr>
        <w:t>①有毒有害物质释放量</w:t>
      </w:r>
    </w:p>
    <w:p w14:paraId="32BC387C">
      <w:pPr>
        <w:ind w:firstLine="480"/>
        <w:rPr>
          <w:color w:val="auto"/>
          <w:kern w:val="0"/>
          <w:szCs w:val="20"/>
        </w:rPr>
      </w:pPr>
      <w:r>
        <w:rPr>
          <w:color w:val="auto"/>
          <w:kern w:val="0"/>
          <w:szCs w:val="20"/>
        </w:rPr>
        <w:t>根据《建设项目环境风险评价技术导则》（HJ169-2018）附录F中的表F.4火灾爆炸事故有毒有害物质释放比例。</w:t>
      </w:r>
      <w:r>
        <w:rPr>
          <w:rFonts w:hint="eastAsia"/>
          <w:color w:val="auto"/>
          <w:kern w:val="0"/>
          <w:szCs w:val="20"/>
        </w:rPr>
        <w:t>甲基叔丁基醚（MTBE）、异辛烷（烷基化油）、</w:t>
      </w:r>
      <w:r>
        <w:rPr>
          <w:color w:val="auto"/>
          <w:kern w:val="0"/>
          <w:szCs w:val="20"/>
        </w:rPr>
        <w:t>石脑油</w:t>
      </w:r>
      <w:r>
        <w:rPr>
          <w:rFonts w:hint="eastAsia"/>
          <w:color w:val="auto"/>
          <w:kern w:val="0"/>
          <w:szCs w:val="20"/>
        </w:rPr>
        <w:t>的火灾爆炸事故中释放比例取值为1%。</w:t>
      </w:r>
    </w:p>
    <w:p w14:paraId="6F13F48D">
      <w:pPr>
        <w:ind w:firstLine="480"/>
        <w:rPr>
          <w:color w:val="auto"/>
          <w:kern w:val="0"/>
          <w:szCs w:val="20"/>
        </w:rPr>
      </w:pPr>
      <w:r>
        <w:rPr>
          <w:color w:val="auto"/>
          <w:kern w:val="0"/>
          <w:szCs w:val="20"/>
        </w:rPr>
        <w:t>则发生火灾爆炸事故时，</w:t>
      </w:r>
      <w:r>
        <w:rPr>
          <w:rFonts w:hint="eastAsia"/>
          <w:color w:val="auto"/>
          <w:kern w:val="0"/>
          <w:szCs w:val="20"/>
        </w:rPr>
        <w:t>泄漏的甲基叔丁基醚（MTBE）、异辛烷（烷基化油）、石脑油发生</w:t>
      </w:r>
      <w:r>
        <w:rPr>
          <w:color w:val="auto"/>
          <w:kern w:val="0"/>
          <w:szCs w:val="20"/>
        </w:rPr>
        <w:t>燃烧，</w:t>
      </w:r>
      <w:r>
        <w:rPr>
          <w:rFonts w:hint="eastAsia"/>
          <w:color w:val="auto"/>
          <w:kern w:val="0"/>
          <w:szCs w:val="20"/>
        </w:rPr>
        <w:t>火灾爆炸事故中未参与</w:t>
      </w:r>
      <w:r>
        <w:rPr>
          <w:color w:val="auto"/>
          <w:kern w:val="0"/>
          <w:szCs w:val="20"/>
        </w:rPr>
        <w:t>燃烧的</w:t>
      </w:r>
      <w:r>
        <w:rPr>
          <w:rFonts w:hint="eastAsia"/>
          <w:color w:val="auto"/>
          <w:kern w:val="0"/>
          <w:szCs w:val="20"/>
        </w:rPr>
        <w:t>有毒有害物质释放量分别为甲基叔丁基醚（MTBE）0.0029</w:t>
      </w:r>
      <w:r>
        <w:rPr>
          <w:color w:val="auto"/>
          <w:kern w:val="0"/>
          <w:szCs w:val="20"/>
        </w:rPr>
        <w:t>t</w:t>
      </w:r>
      <w:r>
        <w:rPr>
          <w:rFonts w:hint="eastAsia"/>
          <w:color w:val="auto"/>
          <w:kern w:val="0"/>
          <w:szCs w:val="20"/>
        </w:rPr>
        <w:t>、异辛烷（烷基化油）0.0027</w:t>
      </w:r>
      <w:r>
        <w:rPr>
          <w:color w:val="auto"/>
          <w:kern w:val="0"/>
          <w:szCs w:val="20"/>
        </w:rPr>
        <w:t>t</w:t>
      </w:r>
      <w:r>
        <w:rPr>
          <w:rFonts w:hint="eastAsia"/>
          <w:color w:val="auto"/>
          <w:kern w:val="0"/>
          <w:szCs w:val="20"/>
        </w:rPr>
        <w:t>、石脑油0.0026</w:t>
      </w:r>
      <w:r>
        <w:rPr>
          <w:color w:val="auto"/>
          <w:kern w:val="0"/>
          <w:szCs w:val="20"/>
        </w:rPr>
        <w:t>t。</w:t>
      </w:r>
      <w:r>
        <w:rPr>
          <w:rFonts w:hint="eastAsia"/>
          <w:color w:val="auto"/>
          <w:kern w:val="0"/>
          <w:szCs w:val="20"/>
        </w:rPr>
        <w:t>火灾时间按15min计，则事故中有毒有害物质放速率为甲基叔丁基醚（MTBE）</w:t>
      </w:r>
      <w:r>
        <w:rPr>
          <w:color w:val="auto"/>
          <w:kern w:val="0"/>
          <w:szCs w:val="20"/>
        </w:rPr>
        <w:t>0.003kg/s</w:t>
      </w:r>
      <w:r>
        <w:rPr>
          <w:rFonts w:hint="eastAsia"/>
          <w:color w:val="auto"/>
          <w:kern w:val="0"/>
          <w:szCs w:val="20"/>
        </w:rPr>
        <w:t>、异辛烷（烷基化油）0.00</w:t>
      </w:r>
      <w:r>
        <w:rPr>
          <w:color w:val="auto"/>
          <w:kern w:val="0"/>
          <w:szCs w:val="20"/>
        </w:rPr>
        <w:t>3kg/s</w:t>
      </w:r>
      <w:r>
        <w:rPr>
          <w:rFonts w:hint="eastAsia"/>
          <w:color w:val="auto"/>
          <w:kern w:val="0"/>
          <w:szCs w:val="20"/>
        </w:rPr>
        <w:t>、石脑油0.0029</w:t>
      </w:r>
      <w:r>
        <w:rPr>
          <w:color w:val="auto"/>
          <w:kern w:val="0"/>
          <w:szCs w:val="20"/>
        </w:rPr>
        <w:t>kg/s。</w:t>
      </w:r>
    </w:p>
    <w:p w14:paraId="44D7C4C2">
      <w:pPr>
        <w:ind w:firstLine="480"/>
        <w:rPr>
          <w:color w:val="auto"/>
          <w:kern w:val="0"/>
          <w:szCs w:val="20"/>
        </w:rPr>
      </w:pPr>
      <w:r>
        <w:rPr>
          <w:rFonts w:hint="eastAsia"/>
          <w:color w:val="auto"/>
          <w:kern w:val="0"/>
          <w:szCs w:val="20"/>
        </w:rPr>
        <w:t>②火灾伴生/次生污染物产生量估算</w:t>
      </w:r>
    </w:p>
    <w:p w14:paraId="7AAA406C">
      <w:pPr>
        <w:ind w:firstLine="480"/>
        <w:rPr>
          <w:color w:val="auto"/>
          <w:kern w:val="0"/>
          <w:szCs w:val="20"/>
        </w:rPr>
      </w:pPr>
      <w:r>
        <w:rPr>
          <w:rFonts w:hint="eastAsia"/>
          <w:color w:val="auto"/>
          <w:kern w:val="0"/>
          <w:szCs w:val="20"/>
        </w:rPr>
        <w:t>扩建项目</w:t>
      </w:r>
      <w:r>
        <w:rPr>
          <w:color w:val="auto"/>
          <w:kern w:val="0"/>
          <w:szCs w:val="20"/>
        </w:rPr>
        <w:t>新增的油品燃烧会产生</w:t>
      </w:r>
      <w:r>
        <w:rPr>
          <w:rFonts w:hint="eastAsia"/>
          <w:color w:val="auto"/>
          <w:kern w:val="0"/>
          <w:szCs w:val="20"/>
        </w:rPr>
        <w:t>有CO、</w:t>
      </w:r>
      <w:r>
        <w:rPr>
          <w:color w:val="auto"/>
          <w:kern w:val="0"/>
          <w:szCs w:val="20"/>
        </w:rPr>
        <w:t>S</w:t>
      </w:r>
      <w:r>
        <w:rPr>
          <w:rFonts w:hint="eastAsia"/>
          <w:color w:val="auto"/>
          <w:kern w:val="0"/>
          <w:szCs w:val="20"/>
        </w:rPr>
        <w:t>O</w:t>
      </w:r>
      <w:r>
        <w:rPr>
          <w:rFonts w:hint="eastAsia"/>
          <w:color w:val="auto"/>
          <w:kern w:val="0"/>
          <w:szCs w:val="20"/>
          <w:vertAlign w:val="subscript"/>
        </w:rPr>
        <w:t>2</w:t>
      </w:r>
      <w:r>
        <w:rPr>
          <w:rFonts w:hint="eastAsia"/>
          <w:color w:val="auto"/>
          <w:kern w:val="0"/>
          <w:szCs w:val="20"/>
        </w:rPr>
        <w:t>等</w:t>
      </w:r>
      <w:r>
        <w:rPr>
          <w:color w:val="auto"/>
          <w:kern w:val="0"/>
          <w:szCs w:val="20"/>
        </w:rPr>
        <w:t>次生污染物，发生火灾事故时，</w:t>
      </w:r>
      <w:r>
        <w:rPr>
          <w:rFonts w:hint="eastAsia"/>
          <w:color w:val="auto"/>
          <w:kern w:val="0"/>
          <w:szCs w:val="20"/>
        </w:rPr>
        <w:t>次</w:t>
      </w:r>
      <w:r>
        <w:rPr>
          <w:color w:val="auto"/>
          <w:kern w:val="0"/>
          <w:szCs w:val="20"/>
        </w:rPr>
        <w:t>生污染物</w:t>
      </w:r>
      <w:r>
        <w:rPr>
          <w:rFonts w:hint="eastAsia"/>
          <w:color w:val="auto"/>
          <w:kern w:val="0"/>
          <w:szCs w:val="20"/>
        </w:rPr>
        <w:t>产生</w:t>
      </w:r>
      <w:r>
        <w:rPr>
          <w:color w:val="auto"/>
          <w:kern w:val="0"/>
          <w:szCs w:val="20"/>
        </w:rPr>
        <w:t>情况如下：</w:t>
      </w:r>
    </w:p>
    <w:p w14:paraId="07108931">
      <w:pPr>
        <w:ind w:firstLine="480"/>
        <w:rPr>
          <w:color w:val="auto"/>
          <w:kern w:val="0"/>
          <w:szCs w:val="20"/>
        </w:rPr>
      </w:pPr>
      <w:r>
        <w:rPr>
          <w:rFonts w:hint="eastAsia"/>
          <w:color w:val="auto"/>
          <w:kern w:val="0"/>
          <w:szCs w:val="20"/>
        </w:rPr>
        <w:t>A、</w:t>
      </w:r>
      <w:r>
        <w:rPr>
          <w:color w:val="auto"/>
          <w:kern w:val="0"/>
          <w:szCs w:val="20"/>
        </w:rPr>
        <w:t>次生污染物</w:t>
      </w:r>
      <w:r>
        <w:rPr>
          <w:rFonts w:hint="eastAsia"/>
          <w:color w:val="auto"/>
          <w:kern w:val="0"/>
          <w:szCs w:val="20"/>
        </w:rPr>
        <w:t>SO</w:t>
      </w:r>
      <w:r>
        <w:rPr>
          <w:rFonts w:hint="eastAsia"/>
          <w:color w:val="auto"/>
          <w:kern w:val="0"/>
          <w:szCs w:val="20"/>
          <w:vertAlign w:val="subscript"/>
        </w:rPr>
        <w:t>2</w:t>
      </w:r>
      <w:r>
        <w:rPr>
          <w:rFonts w:hint="eastAsia"/>
          <w:color w:val="auto"/>
          <w:kern w:val="0"/>
          <w:szCs w:val="20"/>
        </w:rPr>
        <w:t>的</w:t>
      </w:r>
      <w:r>
        <w:rPr>
          <w:color w:val="auto"/>
          <w:kern w:val="0"/>
          <w:szCs w:val="20"/>
        </w:rPr>
        <w:t>产生量</w:t>
      </w:r>
    </w:p>
    <w:p w14:paraId="7C27C3F9">
      <w:pPr>
        <w:ind w:firstLine="480"/>
        <w:rPr>
          <w:color w:val="auto"/>
          <w:kern w:val="0"/>
          <w:szCs w:val="20"/>
        </w:rPr>
      </w:pPr>
      <w:r>
        <w:rPr>
          <w:rFonts w:hint="eastAsia"/>
          <w:color w:val="auto"/>
          <w:kern w:val="0"/>
          <w:szCs w:val="20"/>
        </w:rPr>
        <w:t>根据</w:t>
      </w:r>
      <w:r>
        <w:rPr>
          <w:color w:val="auto"/>
          <w:kern w:val="0"/>
          <w:szCs w:val="20"/>
        </w:rPr>
        <w:t>调查，扩建项目新增的石脑油、蜡油、渣油这</w:t>
      </w:r>
      <w:r>
        <w:rPr>
          <w:rFonts w:hint="eastAsia"/>
          <w:color w:val="auto"/>
          <w:kern w:val="0"/>
          <w:szCs w:val="20"/>
        </w:rPr>
        <w:t>3个</w:t>
      </w:r>
      <w:r>
        <w:rPr>
          <w:color w:val="auto"/>
          <w:kern w:val="0"/>
          <w:szCs w:val="20"/>
        </w:rPr>
        <w:t>货种</w:t>
      </w:r>
      <w:r>
        <w:rPr>
          <w:rFonts w:hint="eastAsia"/>
          <w:color w:val="auto"/>
          <w:kern w:val="0"/>
          <w:szCs w:val="20"/>
        </w:rPr>
        <w:t>中</w:t>
      </w:r>
      <w:r>
        <w:rPr>
          <w:color w:val="auto"/>
          <w:kern w:val="0"/>
          <w:szCs w:val="20"/>
        </w:rPr>
        <w:t>，渣油的硫含量最高，因此，</w:t>
      </w:r>
      <w:r>
        <w:rPr>
          <w:rFonts w:hint="eastAsia"/>
          <w:color w:val="auto"/>
          <w:kern w:val="0"/>
          <w:szCs w:val="20"/>
        </w:rPr>
        <w:t>扩建</w:t>
      </w:r>
      <w:r>
        <w:rPr>
          <w:color w:val="auto"/>
          <w:kern w:val="0"/>
          <w:szCs w:val="20"/>
        </w:rPr>
        <w:t>项目</w:t>
      </w:r>
      <w:r>
        <w:rPr>
          <w:rFonts w:hint="eastAsia"/>
          <w:color w:val="auto"/>
          <w:kern w:val="0"/>
          <w:szCs w:val="20"/>
        </w:rPr>
        <w:t>以</w:t>
      </w:r>
      <w:r>
        <w:rPr>
          <w:color w:val="auto"/>
          <w:kern w:val="0"/>
          <w:szCs w:val="20"/>
        </w:rPr>
        <w:t>渣油燃烧产生次生污染物</w:t>
      </w:r>
      <w:r>
        <w:rPr>
          <w:rFonts w:hint="eastAsia"/>
          <w:color w:val="auto"/>
          <w:kern w:val="0"/>
          <w:szCs w:val="20"/>
        </w:rPr>
        <w:t>SO</w:t>
      </w:r>
      <w:r>
        <w:rPr>
          <w:rFonts w:hint="eastAsia"/>
          <w:color w:val="auto"/>
          <w:kern w:val="0"/>
          <w:szCs w:val="20"/>
          <w:vertAlign w:val="subscript"/>
        </w:rPr>
        <w:t>2</w:t>
      </w:r>
      <w:r>
        <w:rPr>
          <w:rFonts w:hint="eastAsia"/>
          <w:color w:val="auto"/>
          <w:kern w:val="0"/>
          <w:szCs w:val="20"/>
        </w:rPr>
        <w:t>进行计算</w:t>
      </w:r>
      <w:r>
        <w:rPr>
          <w:color w:val="auto"/>
          <w:kern w:val="0"/>
          <w:szCs w:val="20"/>
        </w:rPr>
        <w:t>。根据《建设项目环境风险评价技术导则》（HJ169-2018）附录F.14公式，</w:t>
      </w:r>
      <w:r>
        <w:rPr>
          <w:rFonts w:hint="eastAsia"/>
          <w:color w:val="auto"/>
          <w:kern w:val="0"/>
          <w:szCs w:val="20"/>
        </w:rPr>
        <w:t>油品火灾伴生/次生二氧化硫产生量按下式计算：</w:t>
      </w:r>
    </w:p>
    <w:p w14:paraId="16EA382F">
      <w:pPr>
        <w:ind w:firstLine="0" w:firstLineChars="0"/>
        <w:jc w:val="center"/>
        <w:rPr>
          <w:color w:val="auto"/>
          <w:kern w:val="0"/>
          <w:szCs w:val="20"/>
        </w:rPr>
      </w:pPr>
      <w:r>
        <w:rPr>
          <w:rFonts w:hint="eastAsia"/>
          <w:color w:val="auto"/>
          <w:kern w:val="0"/>
          <w:szCs w:val="20"/>
        </w:rPr>
        <w:t>G</w:t>
      </w:r>
      <w:r>
        <w:rPr>
          <w:rFonts w:hint="eastAsia"/>
          <w:color w:val="auto"/>
          <w:kern w:val="0"/>
          <w:szCs w:val="20"/>
          <w:vertAlign w:val="subscript"/>
        </w:rPr>
        <w:t>二氧化碳</w:t>
      </w:r>
      <w:r>
        <w:rPr>
          <w:rFonts w:hint="eastAsia"/>
          <w:color w:val="auto"/>
          <w:kern w:val="0"/>
          <w:szCs w:val="20"/>
        </w:rPr>
        <w:t>=2BS</w:t>
      </w:r>
    </w:p>
    <w:p w14:paraId="4C056C73">
      <w:pPr>
        <w:ind w:firstLine="480"/>
        <w:rPr>
          <w:color w:val="auto"/>
          <w:kern w:val="0"/>
          <w:szCs w:val="20"/>
        </w:rPr>
      </w:pPr>
      <w:r>
        <w:rPr>
          <w:rFonts w:hint="eastAsia"/>
          <w:color w:val="auto"/>
          <w:kern w:val="0"/>
          <w:szCs w:val="20"/>
        </w:rPr>
        <w:t>式中：G二氧化硫——二氧化硫排放速率，kg/h；</w:t>
      </w:r>
    </w:p>
    <w:p w14:paraId="071E6793">
      <w:pPr>
        <w:ind w:firstLine="480"/>
        <w:rPr>
          <w:color w:val="auto"/>
          <w:kern w:val="0"/>
          <w:szCs w:val="20"/>
        </w:rPr>
      </w:pPr>
      <w:r>
        <w:rPr>
          <w:rFonts w:hint="eastAsia"/>
          <w:color w:val="auto"/>
          <w:kern w:val="0"/>
          <w:szCs w:val="20"/>
        </w:rPr>
        <w:t>B——物质燃烧量，kg/h；经</w:t>
      </w:r>
      <w:r>
        <w:rPr>
          <w:color w:val="auto"/>
          <w:kern w:val="0"/>
          <w:szCs w:val="20"/>
        </w:rPr>
        <w:t>计算，渣油泄漏量为</w:t>
      </w:r>
      <w:r>
        <w:rPr>
          <w:rFonts w:hint="eastAsia"/>
          <w:color w:val="auto"/>
          <w:kern w:val="0"/>
          <w:szCs w:val="20"/>
        </w:rPr>
        <w:t>2391.223</w:t>
      </w:r>
      <w:r>
        <w:rPr>
          <w:color w:val="auto"/>
          <w:kern w:val="0"/>
          <w:szCs w:val="20"/>
        </w:rPr>
        <w:t>kg/h。</w:t>
      </w:r>
    </w:p>
    <w:p w14:paraId="5E2669FF">
      <w:pPr>
        <w:ind w:firstLine="480"/>
        <w:rPr>
          <w:color w:val="auto"/>
          <w:kern w:val="0"/>
          <w:szCs w:val="20"/>
        </w:rPr>
      </w:pPr>
      <w:r>
        <w:rPr>
          <w:rFonts w:hint="eastAsia"/>
          <w:color w:val="auto"/>
          <w:kern w:val="0"/>
          <w:szCs w:val="20"/>
        </w:rPr>
        <w:t>S——物质中硫的含量，%。渣油</w:t>
      </w:r>
      <w:r>
        <w:rPr>
          <w:color w:val="auto"/>
          <w:kern w:val="0"/>
          <w:szCs w:val="20"/>
        </w:rPr>
        <w:t>硫含量</w:t>
      </w:r>
      <w:r>
        <w:rPr>
          <w:rFonts w:hint="eastAsia"/>
          <w:color w:val="auto"/>
          <w:kern w:val="0"/>
          <w:szCs w:val="20"/>
        </w:rPr>
        <w:t>约</w:t>
      </w:r>
      <w:r>
        <w:rPr>
          <w:color w:val="auto"/>
          <w:kern w:val="0"/>
          <w:szCs w:val="20"/>
        </w:rPr>
        <w:t>为</w:t>
      </w:r>
      <w:r>
        <w:rPr>
          <w:rFonts w:hint="eastAsia"/>
          <w:color w:val="auto"/>
          <w:kern w:val="0"/>
          <w:szCs w:val="20"/>
        </w:rPr>
        <w:t>3%。</w:t>
      </w:r>
    </w:p>
    <w:p w14:paraId="18D4FEB1">
      <w:pPr>
        <w:ind w:firstLine="480"/>
        <w:rPr>
          <w:color w:val="auto"/>
          <w:kern w:val="0"/>
          <w:szCs w:val="20"/>
        </w:rPr>
      </w:pPr>
      <w:r>
        <w:rPr>
          <w:rFonts w:hint="eastAsia"/>
          <w:color w:val="auto"/>
          <w:kern w:val="0"/>
          <w:szCs w:val="20"/>
        </w:rPr>
        <w:t>经</w:t>
      </w:r>
      <w:r>
        <w:rPr>
          <w:color w:val="auto"/>
          <w:kern w:val="0"/>
          <w:szCs w:val="20"/>
        </w:rPr>
        <w:t>计算，渣油燃烧产生的次生污染物</w:t>
      </w:r>
      <w:r>
        <w:rPr>
          <w:rFonts w:hint="eastAsia"/>
          <w:color w:val="auto"/>
          <w:kern w:val="0"/>
          <w:szCs w:val="20"/>
        </w:rPr>
        <w:t>SO</w:t>
      </w:r>
      <w:r>
        <w:rPr>
          <w:rFonts w:hint="eastAsia"/>
          <w:color w:val="auto"/>
          <w:kern w:val="0"/>
          <w:szCs w:val="20"/>
          <w:vertAlign w:val="subscript"/>
        </w:rPr>
        <w:t>2</w:t>
      </w:r>
      <w:r>
        <w:rPr>
          <w:rFonts w:hint="eastAsia"/>
          <w:color w:val="auto"/>
          <w:kern w:val="0"/>
          <w:szCs w:val="20"/>
        </w:rPr>
        <w:t>的排放速率</w:t>
      </w:r>
      <w:r>
        <w:rPr>
          <w:color w:val="auto"/>
          <w:kern w:val="0"/>
          <w:szCs w:val="20"/>
        </w:rPr>
        <w:t>为</w:t>
      </w:r>
      <w:r>
        <w:rPr>
          <w:rFonts w:hint="eastAsia"/>
          <w:color w:val="auto"/>
          <w:kern w:val="0"/>
          <w:szCs w:val="20"/>
        </w:rPr>
        <w:t>143.47</w:t>
      </w:r>
      <w:r>
        <w:rPr>
          <w:color w:val="auto"/>
          <w:kern w:val="0"/>
          <w:szCs w:val="20"/>
        </w:rPr>
        <w:t>kg/h</w:t>
      </w:r>
      <w:r>
        <w:rPr>
          <w:rFonts w:hint="eastAsia"/>
          <w:color w:val="auto"/>
          <w:kern w:val="0"/>
          <w:szCs w:val="20"/>
        </w:rPr>
        <w:t>，0.</w:t>
      </w:r>
      <w:r>
        <w:rPr>
          <w:color w:val="auto"/>
          <w:kern w:val="0"/>
          <w:szCs w:val="20"/>
        </w:rPr>
        <w:t>0399kg/s。</w:t>
      </w:r>
    </w:p>
    <w:p w14:paraId="54F5139F">
      <w:pPr>
        <w:ind w:firstLine="480"/>
        <w:rPr>
          <w:color w:val="auto"/>
          <w:kern w:val="0"/>
          <w:szCs w:val="20"/>
        </w:rPr>
      </w:pPr>
      <w:r>
        <w:rPr>
          <w:color w:val="auto"/>
          <w:kern w:val="0"/>
          <w:szCs w:val="20"/>
        </w:rPr>
        <w:t>B</w:t>
      </w:r>
      <w:r>
        <w:rPr>
          <w:rFonts w:hint="eastAsia"/>
          <w:color w:val="auto"/>
          <w:kern w:val="0"/>
          <w:szCs w:val="20"/>
        </w:rPr>
        <w:t>、次生</w:t>
      </w:r>
      <w:r>
        <w:rPr>
          <w:color w:val="auto"/>
          <w:kern w:val="0"/>
          <w:szCs w:val="20"/>
        </w:rPr>
        <w:t>污染物</w:t>
      </w:r>
      <w:r>
        <w:rPr>
          <w:rFonts w:hint="eastAsia"/>
          <w:color w:val="auto"/>
          <w:kern w:val="0"/>
          <w:szCs w:val="20"/>
        </w:rPr>
        <w:t>CO产生</w:t>
      </w:r>
      <w:r>
        <w:rPr>
          <w:color w:val="auto"/>
          <w:kern w:val="0"/>
          <w:szCs w:val="20"/>
        </w:rPr>
        <w:t>量</w:t>
      </w:r>
    </w:p>
    <w:p w14:paraId="483C0C4E">
      <w:pPr>
        <w:ind w:firstLine="480"/>
        <w:rPr>
          <w:color w:val="auto"/>
          <w:kern w:val="0"/>
          <w:szCs w:val="20"/>
        </w:rPr>
      </w:pPr>
      <w:r>
        <w:rPr>
          <w:color w:val="auto"/>
          <w:kern w:val="0"/>
          <w:szCs w:val="20"/>
        </w:rPr>
        <w:t>当发生火灾事故时，</w:t>
      </w:r>
      <w:r>
        <w:rPr>
          <w:rFonts w:hint="eastAsia"/>
          <w:color w:val="auto"/>
          <w:kern w:val="0"/>
          <w:szCs w:val="20"/>
        </w:rPr>
        <w:t>油品</w:t>
      </w:r>
      <w:r>
        <w:rPr>
          <w:color w:val="auto"/>
          <w:kern w:val="0"/>
          <w:szCs w:val="20"/>
        </w:rPr>
        <w:t>燃烧产生CO。根据《建设项目环境风险评价技术导则》（HJ169-2018）附录F.15公式，一氧化碳产生量计算如下式计算：</w:t>
      </w:r>
    </w:p>
    <w:p w14:paraId="42B0DA09">
      <w:pPr>
        <w:ind w:firstLine="0" w:firstLineChars="0"/>
        <w:jc w:val="center"/>
        <w:rPr>
          <w:color w:val="auto"/>
          <w:kern w:val="0"/>
          <w:szCs w:val="20"/>
        </w:rPr>
      </w:pPr>
      <w:r>
        <w:rPr>
          <w:color w:val="auto"/>
          <w:kern w:val="0"/>
          <w:szCs w:val="20"/>
        </w:rPr>
        <w:t>G</w:t>
      </w:r>
      <w:r>
        <w:rPr>
          <w:color w:val="auto"/>
          <w:kern w:val="0"/>
          <w:szCs w:val="20"/>
          <w:vertAlign w:val="subscript"/>
        </w:rPr>
        <w:t>一氧化碳</w:t>
      </w:r>
      <w:r>
        <w:rPr>
          <w:color w:val="auto"/>
          <w:kern w:val="0"/>
          <w:szCs w:val="20"/>
        </w:rPr>
        <w:t>=2330×q×C×Q</w:t>
      </w:r>
    </w:p>
    <w:p w14:paraId="15A972F9">
      <w:pPr>
        <w:ind w:firstLine="480"/>
        <w:rPr>
          <w:color w:val="auto"/>
          <w:kern w:val="0"/>
          <w:szCs w:val="20"/>
        </w:rPr>
      </w:pPr>
      <w:r>
        <w:rPr>
          <w:color w:val="auto"/>
          <w:kern w:val="0"/>
          <w:szCs w:val="20"/>
        </w:rPr>
        <w:t>式中：G</w:t>
      </w:r>
      <w:r>
        <w:rPr>
          <w:color w:val="auto"/>
          <w:kern w:val="0"/>
          <w:szCs w:val="20"/>
          <w:vertAlign w:val="subscript"/>
        </w:rPr>
        <w:t>一氧化碳</w:t>
      </w:r>
      <w:r>
        <w:rPr>
          <w:color w:val="auto"/>
          <w:kern w:val="0"/>
          <w:szCs w:val="20"/>
        </w:rPr>
        <w:t>——氧化碳的产生量，kg/s；</w:t>
      </w:r>
    </w:p>
    <w:p w14:paraId="20AC7CEC">
      <w:pPr>
        <w:ind w:firstLine="480"/>
        <w:rPr>
          <w:color w:val="auto"/>
          <w:kern w:val="0"/>
          <w:szCs w:val="20"/>
        </w:rPr>
      </w:pPr>
      <w:r>
        <w:rPr>
          <w:color w:val="auto"/>
          <w:kern w:val="0"/>
          <w:szCs w:val="20"/>
        </w:rPr>
        <w:t>C——物质中碳的含量，</w:t>
      </w:r>
      <w:r>
        <w:rPr>
          <w:rFonts w:hint="eastAsia"/>
          <w:color w:val="auto"/>
          <w:kern w:val="0"/>
          <w:szCs w:val="20"/>
        </w:rPr>
        <w:t>取8</w:t>
      </w:r>
      <w:r>
        <w:rPr>
          <w:color w:val="auto"/>
          <w:kern w:val="0"/>
          <w:szCs w:val="20"/>
        </w:rPr>
        <w:t>5%；</w:t>
      </w:r>
    </w:p>
    <w:p w14:paraId="144121A2">
      <w:pPr>
        <w:ind w:firstLine="480"/>
        <w:rPr>
          <w:color w:val="auto"/>
          <w:kern w:val="0"/>
          <w:szCs w:val="20"/>
        </w:rPr>
      </w:pPr>
      <w:r>
        <w:rPr>
          <w:color w:val="auto"/>
          <w:kern w:val="0"/>
          <w:szCs w:val="20"/>
        </w:rPr>
        <w:t>q——化学不完全燃烧值，取4%；</w:t>
      </w:r>
    </w:p>
    <w:p w14:paraId="21B40AA9">
      <w:pPr>
        <w:ind w:firstLine="480"/>
        <w:rPr>
          <w:color w:val="auto"/>
          <w:kern w:val="0"/>
          <w:szCs w:val="20"/>
        </w:rPr>
      </w:pPr>
      <w:r>
        <w:rPr>
          <w:color w:val="auto"/>
          <w:kern w:val="0"/>
          <w:szCs w:val="20"/>
        </w:rPr>
        <w:t>Q——参与燃烧的物质量，t/s。</w:t>
      </w:r>
      <w:r>
        <w:rPr>
          <w:rFonts w:hint="eastAsia"/>
          <w:color w:val="auto"/>
          <w:kern w:val="0"/>
          <w:szCs w:val="20"/>
        </w:rPr>
        <w:t>渣油按</w:t>
      </w:r>
      <w:r>
        <w:rPr>
          <w:color w:val="auto"/>
          <w:kern w:val="0"/>
          <w:szCs w:val="20"/>
        </w:rPr>
        <w:t>泄漏速率计：</w:t>
      </w:r>
      <w:r>
        <w:rPr>
          <w:rFonts w:hint="eastAsia"/>
          <w:color w:val="auto"/>
          <w:kern w:val="0"/>
          <w:szCs w:val="20"/>
        </w:rPr>
        <w:t>2391.223×0.001/（60×60）=0.00066</w:t>
      </w:r>
      <w:r>
        <w:rPr>
          <w:color w:val="auto"/>
          <w:kern w:val="0"/>
          <w:szCs w:val="20"/>
        </w:rPr>
        <w:t>t/s。</w:t>
      </w:r>
    </w:p>
    <w:p w14:paraId="1309C1D3">
      <w:pPr>
        <w:ind w:firstLine="480"/>
        <w:rPr>
          <w:color w:val="auto"/>
          <w:kern w:val="0"/>
          <w:szCs w:val="20"/>
        </w:rPr>
      </w:pPr>
      <w:r>
        <w:rPr>
          <w:rFonts w:hint="eastAsia"/>
          <w:color w:val="auto"/>
          <w:kern w:val="0"/>
          <w:szCs w:val="20"/>
        </w:rPr>
        <w:t>渣油参与燃烧的量按全部泄漏量计，即</w:t>
      </w:r>
      <w:r>
        <w:rPr>
          <w:color w:val="auto"/>
          <w:kern w:val="0"/>
          <w:szCs w:val="20"/>
        </w:rPr>
        <w:t>0.399</w:t>
      </w:r>
      <w:r>
        <w:rPr>
          <w:rFonts w:hint="eastAsia"/>
          <w:color w:val="auto"/>
          <w:kern w:val="0"/>
          <w:szCs w:val="20"/>
        </w:rPr>
        <w:t>t。火灾时间按15min计，则参与燃烧的渣油为</w:t>
      </w:r>
      <w:r>
        <w:rPr>
          <w:color w:val="auto"/>
          <w:kern w:val="0"/>
          <w:szCs w:val="20"/>
        </w:rPr>
        <w:t>0.00044</w:t>
      </w:r>
      <w:r>
        <w:rPr>
          <w:rFonts w:hint="eastAsia"/>
          <w:color w:val="auto"/>
          <w:kern w:val="0"/>
          <w:szCs w:val="20"/>
        </w:rPr>
        <w:t>t/s。经计算，得到渣油燃烧时一氧化碳的产生速率为0.</w:t>
      </w:r>
      <w:r>
        <w:rPr>
          <w:color w:val="auto"/>
          <w:kern w:val="0"/>
          <w:szCs w:val="20"/>
        </w:rPr>
        <w:t>035kg/s</w:t>
      </w:r>
      <w:r>
        <w:rPr>
          <w:rFonts w:hint="eastAsia"/>
          <w:color w:val="auto"/>
          <w:kern w:val="0"/>
          <w:szCs w:val="20"/>
        </w:rPr>
        <w:t>。</w:t>
      </w:r>
    </w:p>
    <w:p w14:paraId="497D3310">
      <w:pPr>
        <w:pStyle w:val="4"/>
        <w:rPr>
          <w:color w:val="auto"/>
        </w:rPr>
      </w:pPr>
      <w:r>
        <w:rPr>
          <w:rFonts w:hint="eastAsia"/>
          <w:color w:val="auto"/>
          <w:lang w:eastAsia="zh-CN"/>
        </w:rPr>
        <w:t>海域泄露源项分析</w:t>
      </w:r>
    </w:p>
    <w:p w14:paraId="0A303F9A">
      <w:pPr>
        <w:pStyle w:val="6"/>
        <w:bidi w:val="0"/>
        <w:rPr>
          <w:rFonts w:hint="eastAsia"/>
          <w:color w:val="auto"/>
          <w:lang w:eastAsia="zh-CN"/>
        </w:rPr>
      </w:pPr>
      <w:r>
        <w:rPr>
          <w:rFonts w:hint="eastAsia"/>
          <w:color w:val="auto"/>
          <w:lang w:eastAsia="zh-CN"/>
        </w:rPr>
        <w:t>事故情形设定</w:t>
      </w:r>
    </w:p>
    <w:p w14:paraId="4F07451C">
      <w:pPr>
        <w:bidi w:val="0"/>
        <w:rPr>
          <w:rFonts w:hint="eastAsia"/>
          <w:color w:val="auto"/>
          <w:u w:val="single"/>
          <w:lang w:eastAsia="zh-CN"/>
        </w:rPr>
      </w:pPr>
      <w:r>
        <w:rPr>
          <w:rFonts w:hint="eastAsia"/>
          <w:color w:val="auto"/>
          <w:u w:val="single"/>
          <w:lang w:eastAsia="zh-CN"/>
        </w:rPr>
        <w:t>根据码头事故风险事故统计分析，码头海域发生风险事故主要是由于船舶发生碰撞、搁浅等因素，导致船舶运输的物料或燃料油发生泄露，从而影响海水水质。</w:t>
      </w:r>
    </w:p>
    <w:p w14:paraId="3E1E25A0">
      <w:pPr>
        <w:ind w:firstLine="482"/>
        <w:rPr>
          <w:b/>
          <w:color w:val="auto"/>
        </w:rPr>
      </w:pPr>
      <w:r>
        <w:rPr>
          <w:b/>
          <w:color w:val="auto"/>
        </w:rPr>
        <w:t>一、</w:t>
      </w:r>
      <w:r>
        <w:rPr>
          <w:rFonts w:hint="eastAsia"/>
          <w:b/>
          <w:color w:val="auto"/>
        </w:rPr>
        <w:t>物质筛选</w:t>
      </w:r>
    </w:p>
    <w:p w14:paraId="331D6043">
      <w:pPr>
        <w:ind w:firstLine="480"/>
        <w:rPr>
          <w:rFonts w:ascii="宋体" w:hAnsi="宋体"/>
          <w:color w:val="auto"/>
        </w:rPr>
      </w:pPr>
      <w:r>
        <w:rPr>
          <w:rFonts w:hint="eastAsia"/>
          <w:color w:val="auto"/>
        </w:rPr>
        <w:t>①</w:t>
      </w:r>
      <w:r>
        <w:rPr>
          <w:color w:val="auto"/>
        </w:rPr>
        <w:t>不溶性，密度&lt;1g/cm</w:t>
      </w:r>
      <w:r>
        <w:rPr>
          <w:color w:val="auto"/>
          <w:vertAlign w:val="superscript"/>
        </w:rPr>
        <w:t>3</w:t>
      </w:r>
      <w:r>
        <w:rPr>
          <w:color w:val="auto"/>
        </w:rPr>
        <w:t>液态危险货物，主要包括新增装卸危险货种</w:t>
      </w:r>
      <w:r>
        <w:rPr>
          <w:rFonts w:hint="eastAsia"/>
          <w:color w:val="auto"/>
        </w:rPr>
        <w:t>甲基叔丁基醚、异辛烷（烷基化油）、石脑油、蜡油</w:t>
      </w:r>
      <w:r>
        <w:rPr>
          <w:rFonts w:hint="eastAsia"/>
          <w:color w:val="auto"/>
          <w:lang w:eastAsia="zh-CN"/>
        </w:rPr>
        <w:t>以及</w:t>
      </w:r>
      <w:r>
        <w:rPr>
          <w:rFonts w:hint="eastAsia"/>
          <w:color w:val="auto"/>
          <w:u w:val="single"/>
          <w:lang w:eastAsia="zh-CN"/>
        </w:rPr>
        <w:t>船舶燃料油</w:t>
      </w:r>
      <w:r>
        <w:rPr>
          <w:rFonts w:hint="eastAsia"/>
          <w:color w:val="auto"/>
        </w:rPr>
        <w:t>，不溶或</w:t>
      </w:r>
      <w:r>
        <w:rPr>
          <w:color w:val="auto"/>
        </w:rPr>
        <w:t>微溶</w:t>
      </w:r>
      <w:r>
        <w:rPr>
          <w:rFonts w:hint="eastAsia"/>
          <w:color w:val="auto"/>
        </w:rPr>
        <w:t>于水，且密度较小的物质。发生泄漏风险事故时，一旦危险货物进入水域内将漂浮在水面上，在水动力条件和风、浪的综合作用下扩散，对周围水域的影响程度和范围均较大。</w:t>
      </w:r>
      <w:r>
        <w:rPr>
          <w:rFonts w:hint="eastAsia"/>
          <w:color w:val="auto"/>
          <w:u w:val="single"/>
        </w:rPr>
        <w:t>综合考虑物质毒性、泄漏量、转运量、黏性</w:t>
      </w:r>
      <w:r>
        <w:rPr>
          <w:color w:val="auto"/>
          <w:u w:val="single"/>
        </w:rPr>
        <w:t>等因素</w:t>
      </w:r>
      <w:r>
        <w:rPr>
          <w:rFonts w:hint="eastAsia"/>
          <w:color w:val="auto"/>
          <w:u w:val="single"/>
        </w:rPr>
        <w:t>，</w:t>
      </w:r>
      <w:r>
        <w:rPr>
          <w:rFonts w:hint="eastAsia" w:ascii="宋体" w:hAnsi="宋体"/>
          <w:color w:val="auto"/>
        </w:rPr>
        <w:t>渣油、</w:t>
      </w:r>
      <w:r>
        <w:rPr>
          <w:rFonts w:ascii="宋体" w:hAnsi="宋体"/>
          <w:color w:val="auto"/>
        </w:rPr>
        <w:t>石脑油、甲基叔丁基醚</w:t>
      </w:r>
      <w:r>
        <w:rPr>
          <w:rFonts w:hint="eastAsia" w:ascii="宋体" w:hAnsi="宋体"/>
          <w:color w:val="auto"/>
        </w:rPr>
        <w:t>对海洋环境影响较大，故选择渣油、石脑油、甲基叔丁基醚为代表物质进行预测评价。</w:t>
      </w:r>
    </w:p>
    <w:p w14:paraId="5251978C">
      <w:pPr>
        <w:ind w:firstLine="480"/>
        <w:rPr>
          <w:color w:val="auto"/>
        </w:rPr>
      </w:pPr>
      <w:r>
        <w:rPr>
          <w:rFonts w:hint="eastAsia"/>
          <w:color w:val="auto"/>
        </w:rPr>
        <w:t>②不溶性，密度&gt;1g/cm</w:t>
      </w:r>
      <w:r>
        <w:rPr>
          <w:rFonts w:hint="eastAsia"/>
          <w:color w:val="auto"/>
          <w:vertAlign w:val="superscript"/>
        </w:rPr>
        <w:t>3</w:t>
      </w:r>
      <w:r>
        <w:rPr>
          <w:rFonts w:hint="eastAsia"/>
          <w:color w:val="auto"/>
        </w:rPr>
        <w:t>液态危险货物，扩建</w:t>
      </w:r>
      <w:r>
        <w:rPr>
          <w:color w:val="auto"/>
        </w:rPr>
        <w:t>项目</w:t>
      </w:r>
      <w:r>
        <w:rPr>
          <w:rFonts w:hint="eastAsia"/>
          <w:color w:val="auto"/>
        </w:rPr>
        <w:t>无密度&gt;1g/cm</w:t>
      </w:r>
      <w:r>
        <w:rPr>
          <w:rFonts w:hint="eastAsia"/>
          <w:color w:val="auto"/>
          <w:vertAlign w:val="superscript"/>
        </w:rPr>
        <w:t>3</w:t>
      </w:r>
      <w:r>
        <w:rPr>
          <w:rFonts w:hint="eastAsia"/>
          <w:color w:val="auto"/>
        </w:rPr>
        <w:t>的液态危险货物</w:t>
      </w:r>
      <w:r>
        <w:rPr>
          <w:color w:val="auto"/>
        </w:rPr>
        <w:t>。</w:t>
      </w:r>
    </w:p>
    <w:p w14:paraId="2A7F44E7">
      <w:pPr>
        <w:ind w:firstLine="480"/>
        <w:rPr>
          <w:color w:val="auto"/>
        </w:rPr>
      </w:pPr>
      <w:r>
        <w:rPr>
          <w:rFonts w:hint="eastAsia" w:ascii="宋体" w:hAnsi="宋体" w:cs="宋体"/>
          <w:color w:val="auto"/>
          <w:lang w:eastAsia="ja-JP"/>
        </w:rPr>
        <w:t>③</w:t>
      </w:r>
      <w:r>
        <w:rPr>
          <w:rFonts w:hint="eastAsia"/>
          <w:color w:val="auto"/>
        </w:rPr>
        <w:t>可溶性液体危险物质，本次</w:t>
      </w:r>
      <w:r>
        <w:rPr>
          <w:color w:val="auto"/>
        </w:rPr>
        <w:t>扩建项目无可溶于水的液体危险物质。</w:t>
      </w:r>
    </w:p>
    <w:p w14:paraId="1ECCCA30">
      <w:pPr>
        <w:bidi w:val="0"/>
        <w:rPr>
          <w:rFonts w:hint="eastAsia"/>
          <w:color w:val="auto"/>
          <w:u w:val="single"/>
          <w:lang w:eastAsia="zh-CN"/>
        </w:rPr>
      </w:pPr>
      <w:r>
        <w:rPr>
          <w:rFonts w:hint="eastAsia"/>
          <w:color w:val="auto"/>
        </w:rPr>
        <w:t>综上，综合考虑物质毒性、转运量和危害后果及化学性质，选择</w:t>
      </w:r>
      <w:r>
        <w:rPr>
          <w:rFonts w:hint="eastAsia" w:ascii="宋体" w:hAnsi="宋体"/>
          <w:color w:val="auto"/>
        </w:rPr>
        <w:t>渣油、</w:t>
      </w:r>
      <w:r>
        <w:rPr>
          <w:rFonts w:ascii="宋体" w:hAnsi="宋体"/>
          <w:color w:val="auto"/>
        </w:rPr>
        <w:t>石脑油、甲基叔丁基醚</w:t>
      </w:r>
      <w:r>
        <w:rPr>
          <w:rFonts w:hint="eastAsia"/>
          <w:color w:val="auto"/>
        </w:rPr>
        <w:t>为环境风险代表性物质进行风险影响分析。</w:t>
      </w:r>
    </w:p>
    <w:p w14:paraId="77D3AE4A">
      <w:pPr>
        <w:pStyle w:val="6"/>
        <w:bidi w:val="0"/>
        <w:rPr>
          <w:color w:val="auto"/>
        </w:rPr>
      </w:pPr>
      <w:r>
        <w:rPr>
          <w:color w:val="auto"/>
        </w:rPr>
        <w:t>船舶事故化学品泄漏及溢油泄漏量核算</w:t>
      </w:r>
    </w:p>
    <w:p w14:paraId="4DE82A68">
      <w:pPr>
        <w:ind w:firstLine="480"/>
        <w:rPr>
          <w:rFonts w:hint="default" w:eastAsia="宋体"/>
          <w:color w:val="auto"/>
          <w:kern w:val="0"/>
          <w:u w:val="single"/>
          <w:lang w:val="en-US" w:eastAsia="zh-CN"/>
        </w:rPr>
      </w:pPr>
      <w:r>
        <w:rPr>
          <w:color w:val="auto"/>
          <w:kern w:val="0"/>
          <w:u w:val="single"/>
        </w:rPr>
        <w:t>根据《水上溢油环境风险评估技术导则》（JT/T114-2017），</w:t>
      </w:r>
      <w:r>
        <w:rPr>
          <w:rFonts w:hint="eastAsia"/>
          <w:color w:val="auto"/>
          <w:kern w:val="0"/>
          <w:u w:val="single"/>
          <w:lang w:eastAsia="zh-CN"/>
        </w:rPr>
        <w:t>可能最大水上溢油事故溢油量，按照设计代表船型的</w:t>
      </w:r>
      <w:r>
        <w:rPr>
          <w:rFonts w:hint="eastAsia"/>
          <w:color w:val="auto"/>
          <w:kern w:val="0"/>
          <w:u w:val="single"/>
          <w:lang w:val="en-US" w:eastAsia="zh-CN"/>
        </w:rPr>
        <w:t>1个货油边舱或燃料油边舱容积确定。根据</w:t>
      </w:r>
      <w:r>
        <w:rPr>
          <w:color w:val="auto"/>
          <w:kern w:val="0"/>
          <w:u w:val="single"/>
        </w:rPr>
        <w:t>JT/T114-2017</w:t>
      </w:r>
      <w:r>
        <w:rPr>
          <w:rFonts w:hint="eastAsia"/>
          <w:color w:val="auto"/>
          <w:kern w:val="0"/>
          <w:u w:val="single"/>
          <w:lang w:val="en-US" w:eastAsia="zh-CN"/>
        </w:rPr>
        <w:t>典型的水上溢油事故及码头风险事故统计分析的溢油量，本项目溢油事故案可能最大水上溢油事故的溢油量进行预测。</w:t>
      </w:r>
    </w:p>
    <w:p w14:paraId="05C4913D">
      <w:pPr>
        <w:ind w:firstLine="480"/>
        <w:rPr>
          <w:color w:val="auto"/>
          <w:kern w:val="0"/>
        </w:rPr>
      </w:pPr>
      <w:r>
        <w:rPr>
          <w:color w:val="auto"/>
          <w:kern w:val="0"/>
        </w:rPr>
        <w:t>新建水运工程建设项目的最大可信水上溢油事故溢油量，按照设计代表船型所载货油或船用燃料油全部</w:t>
      </w:r>
      <w:r>
        <w:rPr>
          <w:rFonts w:hint="eastAsia"/>
          <w:color w:val="auto"/>
          <w:kern w:val="0"/>
        </w:rPr>
        <w:t>泄漏</w:t>
      </w:r>
      <w:r>
        <w:rPr>
          <w:color w:val="auto"/>
          <w:kern w:val="0"/>
        </w:rPr>
        <w:t>的数量确定。</w:t>
      </w:r>
    </w:p>
    <w:p w14:paraId="61048C0D">
      <w:pPr>
        <w:ind w:firstLine="480"/>
        <w:rPr>
          <w:color w:val="auto"/>
          <w:kern w:val="0"/>
        </w:rPr>
      </w:pPr>
      <w:r>
        <w:rPr>
          <w:rFonts w:hint="eastAsia"/>
          <w:color w:val="auto"/>
          <w:kern w:val="0"/>
        </w:rPr>
        <w:t>根据项目设计方案，项目所在</w:t>
      </w:r>
      <w:r>
        <w:rPr>
          <w:color w:val="auto"/>
          <w:kern w:val="0"/>
        </w:rPr>
        <w:t>6#</w:t>
      </w:r>
      <w:r>
        <w:rPr>
          <w:rFonts w:hint="eastAsia"/>
          <w:color w:val="auto"/>
          <w:kern w:val="0"/>
        </w:rPr>
        <w:t>号泊位最大到港船舶船型为50000吨级，甲基叔丁基醚、异辛烷（烷基化油）、</w:t>
      </w:r>
      <w:r>
        <w:rPr>
          <w:color w:val="auto"/>
          <w:kern w:val="0"/>
        </w:rPr>
        <w:t>石脑油</w:t>
      </w:r>
      <w:r>
        <w:rPr>
          <w:rFonts w:hint="eastAsia"/>
          <w:color w:val="auto"/>
          <w:kern w:val="0"/>
        </w:rPr>
        <w:t>、蜡油、渣油</w:t>
      </w:r>
      <w:r>
        <w:rPr>
          <w:color w:val="auto"/>
          <w:kern w:val="0"/>
        </w:rPr>
        <w:t>最大船型</w:t>
      </w:r>
      <w:r>
        <w:rPr>
          <w:rFonts w:hint="eastAsia"/>
          <w:color w:val="auto"/>
          <w:kern w:val="0"/>
        </w:rPr>
        <w:t>均</w:t>
      </w:r>
      <w:r>
        <w:rPr>
          <w:color w:val="auto"/>
          <w:kern w:val="0"/>
        </w:rPr>
        <w:t>为5</w:t>
      </w:r>
      <w:r>
        <w:rPr>
          <w:rFonts w:hint="eastAsia"/>
          <w:color w:val="auto"/>
          <w:kern w:val="0"/>
        </w:rPr>
        <w:t>0000</w:t>
      </w:r>
      <w:r>
        <w:rPr>
          <w:color w:val="auto"/>
          <w:kern w:val="0"/>
        </w:rPr>
        <w:t>吨级</w:t>
      </w:r>
      <w:r>
        <w:rPr>
          <w:rFonts w:hint="eastAsia"/>
          <w:color w:val="auto"/>
          <w:kern w:val="0"/>
        </w:rPr>
        <w:t>。码头现场一次只能停靠一艘船。</w:t>
      </w:r>
    </w:p>
    <w:p w14:paraId="067DC616">
      <w:pPr>
        <w:ind w:firstLine="480"/>
        <w:rPr>
          <w:color w:val="auto"/>
        </w:rPr>
      </w:pPr>
      <w:r>
        <w:rPr>
          <w:color w:val="auto"/>
        </w:rPr>
        <w:t>1、溢油事故源强</w:t>
      </w:r>
    </w:p>
    <w:p w14:paraId="2224FB08">
      <w:pPr>
        <w:ind w:firstLine="480"/>
        <w:rPr>
          <w:color w:val="auto"/>
        </w:rPr>
      </w:pPr>
      <w:r>
        <w:rPr>
          <w:rFonts w:hint="eastAsia" w:ascii="宋体" w:hAnsi="宋体" w:cs="宋体"/>
          <w:color w:val="auto"/>
        </w:rPr>
        <w:t>①</w:t>
      </w:r>
      <w:r>
        <w:rPr>
          <w:color w:val="auto"/>
        </w:rPr>
        <w:t>最大可信水上溢油事故溢油量</w:t>
      </w:r>
    </w:p>
    <w:p w14:paraId="7FBF2EDB">
      <w:pPr>
        <w:ind w:firstLine="480"/>
        <w:rPr>
          <w:color w:val="auto"/>
          <w:kern w:val="0"/>
        </w:rPr>
      </w:pPr>
      <w:r>
        <w:rPr>
          <w:rFonts w:hint="eastAsia"/>
          <w:color w:val="auto"/>
          <w:kern w:val="0"/>
        </w:rPr>
        <w:t>本项目</w:t>
      </w:r>
      <w:r>
        <w:rPr>
          <w:color w:val="auto"/>
          <w:kern w:val="0"/>
        </w:rPr>
        <w:t>新增</w:t>
      </w:r>
      <w:r>
        <w:rPr>
          <w:rFonts w:hint="eastAsia"/>
          <w:color w:val="auto"/>
          <w:kern w:val="0"/>
        </w:rPr>
        <w:t>石脑油、蜡油、渣油三种</w:t>
      </w:r>
      <w:r>
        <w:rPr>
          <w:color w:val="auto"/>
          <w:kern w:val="0"/>
        </w:rPr>
        <w:t>油品的装卸及储存，</w:t>
      </w:r>
      <w:r>
        <w:rPr>
          <w:rFonts w:hint="eastAsia"/>
          <w:color w:val="auto"/>
          <w:kern w:val="0"/>
        </w:rPr>
        <w:t>最大</w:t>
      </w:r>
      <w:r>
        <w:rPr>
          <w:color w:val="auto"/>
          <w:kern w:val="0"/>
        </w:rPr>
        <w:t>运输</w:t>
      </w:r>
      <w:r>
        <w:rPr>
          <w:rFonts w:hint="eastAsia"/>
          <w:color w:val="auto"/>
          <w:kern w:val="0"/>
        </w:rPr>
        <w:t>船型为5000</w:t>
      </w:r>
      <w:r>
        <w:rPr>
          <w:color w:val="auto"/>
          <w:kern w:val="0"/>
        </w:rPr>
        <w:t>0</w:t>
      </w:r>
      <w:r>
        <w:rPr>
          <w:rFonts w:hint="eastAsia"/>
          <w:color w:val="auto"/>
          <w:kern w:val="0"/>
        </w:rPr>
        <w:t>吨级。码头现场一次只能停靠一艘船。</w:t>
      </w:r>
      <w:r>
        <w:rPr>
          <w:color w:val="auto"/>
          <w:kern w:val="0"/>
        </w:rPr>
        <w:t>因此</w:t>
      </w:r>
      <w:r>
        <w:rPr>
          <w:rFonts w:hint="eastAsia"/>
          <w:color w:val="auto"/>
          <w:kern w:val="0"/>
        </w:rPr>
        <w:t>，</w:t>
      </w:r>
      <w:r>
        <w:rPr>
          <w:color w:val="auto"/>
          <w:kern w:val="0"/>
        </w:rPr>
        <w:t>货舱最大溢油事故溢油量为</w:t>
      </w:r>
      <w:r>
        <w:rPr>
          <w:rFonts w:hint="eastAsia"/>
          <w:color w:val="auto"/>
          <w:kern w:val="0"/>
        </w:rPr>
        <w:t>50000吨</w:t>
      </w:r>
      <w:r>
        <w:rPr>
          <w:color w:val="auto"/>
          <w:kern w:val="0"/>
        </w:rPr>
        <w:t>。</w:t>
      </w:r>
    </w:p>
    <w:p w14:paraId="6475764D">
      <w:pPr>
        <w:ind w:firstLine="480"/>
        <w:rPr>
          <w:color w:val="auto"/>
        </w:rPr>
      </w:pPr>
      <w:r>
        <w:rPr>
          <w:rFonts w:hint="eastAsia" w:ascii="宋体" w:hAnsi="宋体" w:cs="宋体"/>
          <w:color w:val="auto"/>
        </w:rPr>
        <w:t>②</w:t>
      </w:r>
      <w:r>
        <w:rPr>
          <w:color w:val="auto"/>
        </w:rPr>
        <w:t>最大水上溢油事故溢油量</w:t>
      </w:r>
    </w:p>
    <w:p w14:paraId="7FA39AAF">
      <w:pPr>
        <w:ind w:firstLine="480"/>
        <w:rPr>
          <w:color w:val="auto"/>
        </w:rPr>
      </w:pPr>
      <w:r>
        <w:rPr>
          <w:color w:val="auto"/>
        </w:rPr>
        <w:t>最大水上溢油事故溢油量，按照设计代表船型的1个货油边仓或燃料油边仓的容积确定。</w:t>
      </w:r>
      <w:r>
        <w:rPr>
          <w:rFonts w:hint="eastAsia"/>
          <w:color w:val="auto"/>
        </w:rPr>
        <w:t>本次扩建</w:t>
      </w:r>
      <w:r>
        <w:rPr>
          <w:color w:val="auto"/>
        </w:rPr>
        <w:t>项目新增石脑油、蜡油、渣油</w:t>
      </w:r>
      <w:r>
        <w:rPr>
          <w:rFonts w:hint="eastAsia"/>
          <w:color w:val="auto"/>
        </w:rPr>
        <w:t>，货油量</w:t>
      </w:r>
      <w:r>
        <w:rPr>
          <w:color w:val="auto"/>
        </w:rPr>
        <w:t>大于燃料</w:t>
      </w:r>
      <w:r>
        <w:rPr>
          <w:rFonts w:hint="eastAsia"/>
          <w:color w:val="auto"/>
        </w:rPr>
        <w:t>油</w:t>
      </w:r>
      <w:r>
        <w:rPr>
          <w:color w:val="auto"/>
        </w:rPr>
        <w:t>量，因此，</w:t>
      </w:r>
      <w:r>
        <w:rPr>
          <w:rFonts w:hint="eastAsia"/>
          <w:color w:val="auto"/>
        </w:rPr>
        <w:t>最大</w:t>
      </w:r>
      <w:r>
        <w:rPr>
          <w:color w:val="auto"/>
        </w:rPr>
        <w:t>水上溢油事故以</w:t>
      </w:r>
      <w:r>
        <w:rPr>
          <w:rFonts w:hint="eastAsia"/>
          <w:color w:val="auto"/>
        </w:rPr>
        <w:t>1个</w:t>
      </w:r>
      <w:r>
        <w:rPr>
          <w:color w:val="auto"/>
        </w:rPr>
        <w:t>货油</w:t>
      </w:r>
      <w:r>
        <w:rPr>
          <w:rFonts w:hint="eastAsia"/>
          <w:color w:val="auto"/>
        </w:rPr>
        <w:t>边</w:t>
      </w:r>
      <w:r>
        <w:rPr>
          <w:color w:val="auto"/>
        </w:rPr>
        <w:t>仓确定。参考《水上溢油环境风险评估技术导则》（JT/T114-2017）表C.2中</w:t>
      </w:r>
      <w:r>
        <w:rPr>
          <w:rFonts w:hint="eastAsia"/>
          <w:color w:val="auto"/>
        </w:rPr>
        <w:t>30000</w:t>
      </w:r>
      <w:r>
        <w:rPr>
          <w:rFonts w:hint="eastAsia" w:ascii="宋体" w:hAnsi="宋体"/>
          <w:color w:val="auto"/>
        </w:rPr>
        <w:t>～</w:t>
      </w:r>
      <w:r>
        <w:rPr>
          <w:color w:val="auto"/>
        </w:rPr>
        <w:t>50000吨级单个</w:t>
      </w:r>
      <w:r>
        <w:rPr>
          <w:rFonts w:hint="eastAsia"/>
          <w:color w:val="auto"/>
        </w:rPr>
        <w:t>货舱</w:t>
      </w:r>
      <w:r>
        <w:rPr>
          <w:color w:val="auto"/>
        </w:rPr>
        <w:t>为3200~5300m</w:t>
      </w:r>
      <w:r>
        <w:rPr>
          <w:color w:val="auto"/>
          <w:vertAlign w:val="superscript"/>
        </w:rPr>
        <w:t>3</w:t>
      </w:r>
      <w:r>
        <w:rPr>
          <w:color w:val="auto"/>
        </w:rPr>
        <w:t>（本次评价取5300m</w:t>
      </w:r>
      <w:r>
        <w:rPr>
          <w:color w:val="auto"/>
          <w:vertAlign w:val="superscript"/>
        </w:rPr>
        <w:t>3</w:t>
      </w:r>
      <w:r>
        <w:rPr>
          <w:color w:val="auto"/>
        </w:rPr>
        <w:t>），</w:t>
      </w:r>
      <w:r>
        <w:rPr>
          <w:rFonts w:hint="eastAsia"/>
          <w:color w:val="auto"/>
        </w:rPr>
        <w:t>则石脑油</w:t>
      </w:r>
      <w:r>
        <w:rPr>
          <w:color w:val="auto"/>
        </w:rPr>
        <w:t>为3535.1t</w:t>
      </w:r>
      <w:r>
        <w:rPr>
          <w:rFonts w:hint="eastAsia"/>
          <w:color w:val="auto"/>
        </w:rPr>
        <w:t>（密度</w:t>
      </w:r>
      <w:r>
        <w:rPr>
          <w:color w:val="auto"/>
        </w:rPr>
        <w:t>为0.667t/m</w:t>
      </w:r>
      <w:r>
        <w:rPr>
          <w:color w:val="auto"/>
          <w:vertAlign w:val="superscript"/>
        </w:rPr>
        <w:t>3</w:t>
      </w:r>
      <w:r>
        <w:rPr>
          <w:rFonts w:hint="eastAsia"/>
          <w:color w:val="auto"/>
        </w:rPr>
        <w:t>），</w:t>
      </w:r>
      <w:r>
        <w:rPr>
          <w:color w:val="auto"/>
        </w:rPr>
        <w:t>渣油为4982t</w:t>
      </w:r>
      <w:r>
        <w:rPr>
          <w:rFonts w:hint="eastAsia"/>
          <w:color w:val="auto"/>
        </w:rPr>
        <w:t>（密度</w:t>
      </w:r>
      <w:r>
        <w:rPr>
          <w:color w:val="auto"/>
        </w:rPr>
        <w:t>为0.94t/m</w:t>
      </w:r>
      <w:r>
        <w:rPr>
          <w:color w:val="auto"/>
          <w:vertAlign w:val="superscript"/>
        </w:rPr>
        <w:t>3</w:t>
      </w:r>
      <w:r>
        <w:rPr>
          <w:rFonts w:hint="eastAsia"/>
          <w:color w:val="auto"/>
        </w:rPr>
        <w:t>）</w:t>
      </w:r>
      <w:r>
        <w:rPr>
          <w:color w:val="auto"/>
        </w:rPr>
        <w:t>。</w:t>
      </w:r>
    </w:p>
    <w:p w14:paraId="36C37B32">
      <w:pPr>
        <w:ind w:firstLine="480"/>
        <w:rPr>
          <w:color w:val="auto"/>
        </w:rPr>
      </w:pPr>
      <w:r>
        <w:rPr>
          <w:color w:val="auto"/>
        </w:rPr>
        <w:t>2、化学品泄漏事故源强</w:t>
      </w:r>
    </w:p>
    <w:p w14:paraId="045A0EF3">
      <w:pPr>
        <w:ind w:firstLine="480"/>
        <w:rPr>
          <w:color w:val="auto"/>
        </w:rPr>
      </w:pPr>
      <w:r>
        <w:rPr>
          <w:rFonts w:hint="eastAsia" w:ascii="宋体" w:hAnsi="宋体" w:cs="宋体"/>
          <w:color w:val="auto"/>
        </w:rPr>
        <w:t>①</w:t>
      </w:r>
      <w:r>
        <w:rPr>
          <w:color w:val="auto"/>
        </w:rPr>
        <w:t>最大可信化学品泄漏量</w:t>
      </w:r>
    </w:p>
    <w:p w14:paraId="0DFC3554">
      <w:pPr>
        <w:ind w:firstLine="480"/>
        <w:rPr>
          <w:color w:val="auto"/>
        </w:rPr>
      </w:pPr>
      <w:r>
        <w:rPr>
          <w:color w:val="auto"/>
        </w:rPr>
        <w:t>本次评价参照《水上溢油环境风险评估技术导则》（JT/T114-2017）估算本次项目化学品泄漏事故泄漏量。</w:t>
      </w:r>
      <w:r>
        <w:rPr>
          <w:rFonts w:hint="eastAsia"/>
          <w:color w:val="auto"/>
        </w:rPr>
        <w:t>项目</w:t>
      </w:r>
      <w:r>
        <w:rPr>
          <w:color w:val="auto"/>
        </w:rPr>
        <w:t>新增货种</w:t>
      </w:r>
      <w:r>
        <w:rPr>
          <w:rFonts w:hint="eastAsia"/>
          <w:color w:val="auto"/>
        </w:rPr>
        <w:t>异辛烷（烷基化油）难溶于水，最大设计运输船型为</w:t>
      </w:r>
      <w:r>
        <w:rPr>
          <w:color w:val="auto"/>
        </w:rPr>
        <w:t>50</w:t>
      </w:r>
      <w:r>
        <w:rPr>
          <w:rFonts w:hint="eastAsia"/>
          <w:color w:val="auto"/>
        </w:rPr>
        <w:t>000吨级，最大可信水上化学品泄漏事故泄漏量按运输量全部泄漏计。因此，本项目最大可信难溶于水化学品泄漏事故泄漏量为：甲基叔丁基醚50000</w:t>
      </w:r>
      <w:r>
        <w:rPr>
          <w:color w:val="auto"/>
        </w:rPr>
        <w:t>t</w:t>
      </w:r>
      <w:r>
        <w:rPr>
          <w:rFonts w:hint="eastAsia"/>
          <w:color w:val="auto"/>
        </w:rPr>
        <w:t>。</w:t>
      </w:r>
    </w:p>
    <w:p w14:paraId="1F96A212">
      <w:pPr>
        <w:ind w:firstLine="480"/>
        <w:rPr>
          <w:color w:val="auto"/>
        </w:rPr>
      </w:pPr>
      <w:r>
        <w:rPr>
          <w:rFonts w:hint="eastAsia" w:ascii="宋体" w:hAnsi="宋体" w:cs="宋体"/>
          <w:color w:val="auto"/>
        </w:rPr>
        <w:t>②</w:t>
      </w:r>
      <w:r>
        <w:rPr>
          <w:color w:val="auto"/>
        </w:rPr>
        <w:t>最大可能化学品泄漏量</w:t>
      </w:r>
    </w:p>
    <w:p w14:paraId="70D45C1C">
      <w:pPr>
        <w:ind w:firstLine="480"/>
        <w:rPr>
          <w:color w:val="auto"/>
          <w:kern w:val="0"/>
        </w:rPr>
      </w:pPr>
      <w:r>
        <w:rPr>
          <w:color w:val="auto"/>
        </w:rPr>
        <w:t>参考《水上溢油环境风险评估技术导则》（JT/T114-2017）表C.2中30</w:t>
      </w:r>
      <w:r>
        <w:rPr>
          <w:rFonts w:hint="eastAsia"/>
          <w:color w:val="auto"/>
        </w:rPr>
        <w:t>000</w:t>
      </w:r>
      <w:r>
        <w:rPr>
          <w:rFonts w:hint="eastAsia" w:ascii="宋体" w:hAnsi="宋体"/>
          <w:color w:val="auto"/>
        </w:rPr>
        <w:t>～</w:t>
      </w:r>
      <w:r>
        <w:rPr>
          <w:color w:val="auto"/>
        </w:rPr>
        <w:t>50000吨级单个舱容取3200</w:t>
      </w:r>
      <w:r>
        <w:rPr>
          <w:rFonts w:hint="eastAsia" w:ascii="宋体" w:hAnsi="宋体"/>
          <w:color w:val="auto"/>
        </w:rPr>
        <w:t>～</w:t>
      </w:r>
      <w:r>
        <w:rPr>
          <w:color w:val="auto"/>
        </w:rPr>
        <w:t>5300m</w:t>
      </w:r>
      <w:r>
        <w:rPr>
          <w:color w:val="auto"/>
          <w:vertAlign w:val="superscript"/>
        </w:rPr>
        <w:t>3</w:t>
      </w:r>
      <w:r>
        <w:rPr>
          <w:rFonts w:hint="eastAsia"/>
          <w:color w:val="auto"/>
        </w:rPr>
        <w:t>（本次</w:t>
      </w:r>
      <w:r>
        <w:rPr>
          <w:color w:val="auto"/>
        </w:rPr>
        <w:t>评价取</w:t>
      </w:r>
      <w:r>
        <w:rPr>
          <w:rFonts w:hint="eastAsia"/>
          <w:color w:val="auto"/>
        </w:rPr>
        <w:t>5300</w:t>
      </w:r>
      <w:r>
        <w:rPr>
          <w:color w:val="auto"/>
        </w:rPr>
        <w:t>m</w:t>
      </w:r>
      <w:r>
        <w:rPr>
          <w:color w:val="auto"/>
          <w:vertAlign w:val="superscript"/>
        </w:rPr>
        <w:t>3</w:t>
      </w:r>
      <w:r>
        <w:rPr>
          <w:rFonts w:hint="eastAsia"/>
          <w:color w:val="auto"/>
        </w:rPr>
        <w:t>）</w:t>
      </w:r>
      <w:r>
        <w:rPr>
          <w:color w:val="auto"/>
        </w:rPr>
        <w:t>，可能最大水上泄漏量为1个货油边舱全部</w:t>
      </w:r>
      <w:r>
        <w:rPr>
          <w:rFonts w:hint="eastAsia"/>
          <w:color w:val="auto"/>
        </w:rPr>
        <w:t>泄漏。</w:t>
      </w:r>
      <w:r>
        <w:rPr>
          <w:color w:val="auto"/>
        </w:rPr>
        <w:t>本次选</w:t>
      </w:r>
      <w:r>
        <w:rPr>
          <w:rFonts w:hint="eastAsia"/>
          <w:color w:val="auto"/>
        </w:rPr>
        <w:t>取的</w:t>
      </w:r>
      <w:r>
        <w:rPr>
          <w:rFonts w:hint="eastAsia"/>
          <w:color w:val="auto"/>
          <w:kern w:val="0"/>
        </w:rPr>
        <w:t>最大船型为</w:t>
      </w:r>
      <w:r>
        <w:rPr>
          <w:color w:val="auto"/>
          <w:kern w:val="0"/>
        </w:rPr>
        <w:t>5</w:t>
      </w:r>
      <w:r>
        <w:rPr>
          <w:rFonts w:hint="eastAsia"/>
          <w:color w:val="auto"/>
          <w:kern w:val="0"/>
        </w:rPr>
        <w:t>0000吨级，甲基叔丁基醚的</w:t>
      </w:r>
      <w:r>
        <w:rPr>
          <w:color w:val="auto"/>
          <w:kern w:val="0"/>
        </w:rPr>
        <w:t>最大可能泄漏量</w:t>
      </w:r>
      <w:r>
        <w:rPr>
          <w:rFonts w:hint="eastAsia"/>
          <w:color w:val="auto"/>
          <w:kern w:val="0"/>
        </w:rPr>
        <w:t>为</w:t>
      </w:r>
      <w:r>
        <w:rPr>
          <w:color w:val="auto"/>
          <w:kern w:val="0"/>
        </w:rPr>
        <w:t>3922t</w:t>
      </w:r>
      <w:r>
        <w:rPr>
          <w:rFonts w:hint="eastAsia"/>
          <w:color w:val="auto"/>
          <w:kern w:val="0"/>
        </w:rPr>
        <w:t>（密度</w:t>
      </w:r>
      <w:r>
        <w:rPr>
          <w:color w:val="auto"/>
          <w:kern w:val="0"/>
        </w:rPr>
        <w:t>为</w:t>
      </w:r>
      <w:r>
        <w:rPr>
          <w:rFonts w:hint="eastAsia"/>
          <w:color w:val="auto"/>
          <w:kern w:val="0"/>
        </w:rPr>
        <w:t>0.</w:t>
      </w:r>
      <w:r>
        <w:rPr>
          <w:color w:val="auto"/>
          <w:kern w:val="0"/>
        </w:rPr>
        <w:t>74g/cm</w:t>
      </w:r>
      <w:r>
        <w:rPr>
          <w:color w:val="auto"/>
          <w:kern w:val="0"/>
          <w:vertAlign w:val="superscript"/>
        </w:rPr>
        <w:t>3</w:t>
      </w:r>
      <w:r>
        <w:rPr>
          <w:rFonts w:hint="eastAsia"/>
          <w:color w:val="auto"/>
          <w:kern w:val="0"/>
        </w:rPr>
        <w:t>）</w:t>
      </w:r>
      <w:r>
        <w:rPr>
          <w:color w:val="auto"/>
          <w:kern w:val="0"/>
        </w:rPr>
        <w:t>。</w:t>
      </w:r>
    </w:p>
    <w:p w14:paraId="1DDE9AA1">
      <w:pPr>
        <w:pStyle w:val="14"/>
        <w:rPr>
          <w:color w:val="auto"/>
        </w:rPr>
      </w:pPr>
      <w:r>
        <w:rPr>
          <w:color w:val="auto"/>
        </w:rPr>
        <w:t>表</w:t>
      </w:r>
      <w:r>
        <w:rPr>
          <w:color w:val="auto"/>
        </w:rPr>
        <w:fldChar w:fldCharType="begin"/>
      </w:r>
      <w:r>
        <w:rPr>
          <w:color w:val="auto"/>
        </w:rPr>
        <w:instrText xml:space="preserve"> STYLEREF 2 \s </w:instrText>
      </w:r>
      <w:r>
        <w:rPr>
          <w:color w:val="auto"/>
        </w:rPr>
        <w:fldChar w:fldCharType="separate"/>
      </w:r>
      <w:r>
        <w:rPr>
          <w:color w:val="auto"/>
        </w:rPr>
        <w:t>5.4</w:t>
      </w:r>
      <w:r>
        <w:rPr>
          <w:color w:val="auto"/>
        </w:rPr>
        <w:fldChar w:fldCharType="end"/>
      </w:r>
      <w:r>
        <w:rPr>
          <w:rFonts w:hint="eastAsia"/>
          <w:color w:val="auto"/>
          <w:lang w:eastAsia="zh-CN"/>
        </w:rPr>
        <w:t>-</w:t>
      </w:r>
      <w:r>
        <w:rPr>
          <w:color w:val="auto"/>
        </w:rPr>
        <w:fldChar w:fldCharType="begin"/>
      </w:r>
      <w:r>
        <w:rPr>
          <w:color w:val="auto"/>
        </w:rPr>
        <w:instrText xml:space="preserve"> SEQ 表 \* ARABIC \s 2 </w:instrText>
      </w:r>
      <w:r>
        <w:rPr>
          <w:color w:val="auto"/>
        </w:rPr>
        <w:fldChar w:fldCharType="separate"/>
      </w:r>
      <w:r>
        <w:rPr>
          <w:color w:val="auto"/>
        </w:rPr>
        <w:t>6</w:t>
      </w:r>
      <w:r>
        <w:rPr>
          <w:color w:val="auto"/>
        </w:rPr>
        <w:fldChar w:fldCharType="end"/>
      </w:r>
      <w:r>
        <w:rPr>
          <w:rFonts w:hint="eastAsia"/>
          <w:color w:val="auto"/>
        </w:rPr>
        <w:t>油品</w:t>
      </w:r>
      <w:r>
        <w:rPr>
          <w:color w:val="auto"/>
        </w:rPr>
        <w:t>、化学物质</w:t>
      </w:r>
      <w:r>
        <w:rPr>
          <w:rFonts w:hint="eastAsia"/>
          <w:color w:val="auto"/>
        </w:rPr>
        <w:t>泄漏</w:t>
      </w:r>
      <w:r>
        <w:rPr>
          <w:color w:val="auto"/>
        </w:rPr>
        <w:t>事故源强汇总结果</w:t>
      </w:r>
    </w:p>
    <w:tbl>
      <w:tblPr>
        <w:tblStyle w:val="43"/>
        <w:tblW w:w="500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404"/>
        <w:gridCol w:w="2859"/>
        <w:gridCol w:w="3323"/>
      </w:tblGrid>
      <w:tr w14:paraId="48AE7A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1776" w:type="pct"/>
            <w:vAlign w:val="center"/>
          </w:tcPr>
          <w:p w14:paraId="7FDEE116">
            <w:pPr>
              <w:keepNext w:val="0"/>
              <w:keepLines w:val="0"/>
              <w:suppressLineNumbers w:val="0"/>
              <w:spacing w:before="0" w:beforeAutospacing="0" w:after="0" w:afterAutospacing="0" w:line="240" w:lineRule="auto"/>
              <w:ind w:left="0" w:right="0" w:firstLine="0" w:firstLineChars="0"/>
              <w:jc w:val="center"/>
              <w:rPr>
                <w:rFonts w:hint="default"/>
                <w:b/>
                <w:color w:val="auto"/>
                <w:kern w:val="0"/>
                <w:sz w:val="21"/>
                <w:szCs w:val="21"/>
              </w:rPr>
            </w:pPr>
            <w:r>
              <w:rPr>
                <w:rFonts w:hint="default"/>
                <w:b/>
                <w:color w:val="auto"/>
                <w:kern w:val="0"/>
                <w:sz w:val="21"/>
                <w:szCs w:val="21"/>
              </w:rPr>
              <w:t>泄漏物质</w:t>
            </w:r>
          </w:p>
        </w:tc>
        <w:tc>
          <w:tcPr>
            <w:tcW w:w="1491" w:type="pct"/>
            <w:vAlign w:val="center"/>
          </w:tcPr>
          <w:p w14:paraId="246DF797">
            <w:pPr>
              <w:keepNext w:val="0"/>
              <w:keepLines w:val="0"/>
              <w:suppressLineNumbers w:val="0"/>
              <w:spacing w:before="0" w:beforeAutospacing="0" w:after="0" w:afterAutospacing="0" w:line="240" w:lineRule="auto"/>
              <w:ind w:left="0" w:right="0" w:firstLine="0" w:firstLineChars="0"/>
              <w:jc w:val="center"/>
              <w:rPr>
                <w:rFonts w:hint="default"/>
                <w:b/>
                <w:color w:val="auto"/>
                <w:kern w:val="0"/>
                <w:sz w:val="21"/>
                <w:szCs w:val="21"/>
              </w:rPr>
            </w:pPr>
            <w:r>
              <w:rPr>
                <w:rFonts w:hint="default"/>
                <w:b/>
                <w:color w:val="auto"/>
                <w:kern w:val="0"/>
                <w:sz w:val="21"/>
                <w:szCs w:val="21"/>
              </w:rPr>
              <w:t>最大可信事故泄漏量（t）</w:t>
            </w:r>
          </w:p>
        </w:tc>
        <w:tc>
          <w:tcPr>
            <w:tcW w:w="1733" w:type="pct"/>
            <w:vAlign w:val="center"/>
          </w:tcPr>
          <w:p w14:paraId="29C0133B">
            <w:pPr>
              <w:keepNext w:val="0"/>
              <w:keepLines w:val="0"/>
              <w:suppressLineNumbers w:val="0"/>
              <w:spacing w:before="0" w:beforeAutospacing="0" w:after="0" w:afterAutospacing="0" w:line="240" w:lineRule="auto"/>
              <w:ind w:left="0" w:right="0" w:firstLine="0" w:firstLineChars="0"/>
              <w:jc w:val="center"/>
              <w:rPr>
                <w:rFonts w:hint="default"/>
                <w:b/>
                <w:color w:val="auto"/>
                <w:kern w:val="0"/>
                <w:sz w:val="21"/>
                <w:szCs w:val="21"/>
              </w:rPr>
            </w:pPr>
            <w:r>
              <w:rPr>
                <w:rFonts w:hint="default"/>
                <w:b/>
                <w:color w:val="auto"/>
                <w:kern w:val="0"/>
                <w:sz w:val="21"/>
                <w:szCs w:val="21"/>
              </w:rPr>
              <w:t>可能最大事故泄漏量（t）</w:t>
            </w:r>
          </w:p>
        </w:tc>
      </w:tr>
      <w:tr w14:paraId="44F829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1776" w:type="pct"/>
            <w:vAlign w:val="center"/>
          </w:tcPr>
          <w:p w14:paraId="68AAD9ED">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石脑油</w:t>
            </w:r>
          </w:p>
        </w:tc>
        <w:tc>
          <w:tcPr>
            <w:tcW w:w="1491" w:type="pct"/>
            <w:vAlign w:val="center"/>
          </w:tcPr>
          <w:p w14:paraId="7D773ACD">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50000</w:t>
            </w:r>
          </w:p>
        </w:tc>
        <w:tc>
          <w:tcPr>
            <w:tcW w:w="1733" w:type="pct"/>
            <w:vAlign w:val="center"/>
          </w:tcPr>
          <w:p w14:paraId="6217C547">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3535.1</w:t>
            </w:r>
          </w:p>
        </w:tc>
      </w:tr>
      <w:tr w14:paraId="4814F8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1776" w:type="pct"/>
            <w:vAlign w:val="center"/>
          </w:tcPr>
          <w:p w14:paraId="0D6B890F">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渣油</w:t>
            </w:r>
          </w:p>
        </w:tc>
        <w:tc>
          <w:tcPr>
            <w:tcW w:w="1491" w:type="pct"/>
            <w:vAlign w:val="center"/>
          </w:tcPr>
          <w:p w14:paraId="7175C782">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50000</w:t>
            </w:r>
          </w:p>
        </w:tc>
        <w:tc>
          <w:tcPr>
            <w:tcW w:w="1733" w:type="pct"/>
            <w:vAlign w:val="center"/>
          </w:tcPr>
          <w:p w14:paraId="4E73B5DF">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4982</w:t>
            </w:r>
          </w:p>
        </w:tc>
      </w:tr>
      <w:tr w14:paraId="7EB089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2" w:hRule="atLeast"/>
          <w:jc w:val="center"/>
        </w:trPr>
        <w:tc>
          <w:tcPr>
            <w:tcW w:w="1776" w:type="pct"/>
            <w:vAlign w:val="center"/>
          </w:tcPr>
          <w:p w14:paraId="7F6C7F72">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甲基叔丁基醚（MTBE）</w:t>
            </w:r>
          </w:p>
        </w:tc>
        <w:tc>
          <w:tcPr>
            <w:tcW w:w="1491" w:type="pct"/>
            <w:vAlign w:val="center"/>
          </w:tcPr>
          <w:p w14:paraId="00623446">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50000</w:t>
            </w:r>
          </w:p>
        </w:tc>
        <w:tc>
          <w:tcPr>
            <w:tcW w:w="1733" w:type="pct"/>
            <w:vAlign w:val="center"/>
          </w:tcPr>
          <w:p w14:paraId="527C1EA5">
            <w:pPr>
              <w:keepNext w:val="0"/>
              <w:keepLines w:val="0"/>
              <w:suppressLineNumbers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3922</w:t>
            </w:r>
          </w:p>
        </w:tc>
      </w:tr>
    </w:tbl>
    <w:p w14:paraId="43ECFE08">
      <w:pPr>
        <w:pStyle w:val="5"/>
        <w:rPr>
          <w:color w:val="auto"/>
        </w:rPr>
      </w:pPr>
      <w:bookmarkStart w:id="553" w:name="_Toc223258493"/>
      <w:bookmarkStart w:id="554" w:name="_Toc223595783"/>
      <w:r>
        <w:rPr>
          <w:color w:val="auto"/>
        </w:rPr>
        <w:t>陆域风险事故预测</w:t>
      </w:r>
      <w:bookmarkEnd w:id="553"/>
      <w:bookmarkEnd w:id="554"/>
    </w:p>
    <w:p w14:paraId="75DA51D8">
      <w:pPr>
        <w:ind w:firstLine="480"/>
        <w:rPr>
          <w:color w:val="auto"/>
        </w:rPr>
      </w:pPr>
      <w:r>
        <w:rPr>
          <w:rFonts w:hint="eastAsia"/>
          <w:color w:val="auto"/>
        </w:rPr>
        <w:t>综合考虑事故情况下有毒有害物质泄漏的源强、发生的概率以及应急反应时间，本次环评陆域计算最大可信事故为蜡油、甲基叔丁基醚（MTBE）、异辛烷（烷基化油）储罐发生泄漏时以及</w:t>
      </w:r>
      <w:r>
        <w:rPr>
          <w:color w:val="auto"/>
        </w:rPr>
        <w:t>泄漏后发生火灾事故</w:t>
      </w:r>
      <w:r>
        <w:rPr>
          <w:rFonts w:hint="eastAsia"/>
          <w:color w:val="auto"/>
        </w:rPr>
        <w:t>产生的毒害物质在大气中的扩散影响情况。</w:t>
      </w:r>
    </w:p>
    <w:p w14:paraId="5382BC9C">
      <w:pPr>
        <w:pStyle w:val="4"/>
        <w:rPr>
          <w:color w:val="auto"/>
        </w:rPr>
      </w:pPr>
      <w:r>
        <w:rPr>
          <w:rFonts w:hint="eastAsia"/>
          <w:color w:val="auto"/>
        </w:rPr>
        <w:t>预测模型筛选</w:t>
      </w:r>
    </w:p>
    <w:p w14:paraId="598A914D">
      <w:pPr>
        <w:ind w:firstLine="480"/>
        <w:rPr>
          <w:color w:val="auto"/>
        </w:rPr>
      </w:pPr>
      <w:r>
        <w:rPr>
          <w:color w:val="auto"/>
        </w:rPr>
        <w:t>根据《建设项目环境风险评价技术导则》（HJ169-2018）附录G，依据排放类型，理查德森数的计算分连续排放、瞬时排放两种形式</w:t>
      </w:r>
      <w:r>
        <w:rPr>
          <w:rFonts w:hint="eastAsia"/>
          <w:color w:val="auto"/>
        </w:rPr>
        <w:t>。</w:t>
      </w:r>
      <w:r>
        <w:rPr>
          <w:color w:val="auto"/>
        </w:rPr>
        <w:t>判断连续排放还是瞬时排放，通过对比排放时间</w:t>
      </w:r>
      <w:r>
        <w:rPr>
          <w:i/>
          <w:iCs/>
          <w:color w:val="auto"/>
        </w:rPr>
        <w:t>T</w:t>
      </w:r>
      <w:r>
        <w:rPr>
          <w:i/>
          <w:iCs/>
          <w:color w:val="auto"/>
          <w:vertAlign w:val="subscript"/>
        </w:rPr>
        <w:t>d</w:t>
      </w:r>
      <w:r>
        <w:rPr>
          <w:iCs/>
          <w:color w:val="auto"/>
        </w:rPr>
        <w:t>（10</w:t>
      </w:r>
      <w:r>
        <w:rPr>
          <w:rFonts w:hint="eastAsia"/>
          <w:iCs/>
          <w:color w:val="auto"/>
        </w:rPr>
        <w:t>min</w:t>
      </w:r>
      <w:r>
        <w:rPr>
          <w:iCs/>
          <w:color w:val="auto"/>
        </w:rPr>
        <w:t>）</w:t>
      </w:r>
      <w:r>
        <w:rPr>
          <w:color w:val="auto"/>
        </w:rPr>
        <w:t>和污染物到达最近的受体点（网格点或敏感点）的时间T确定。</w:t>
      </w:r>
    </w:p>
    <w:p w14:paraId="33F50EA4">
      <w:pPr>
        <w:ind w:firstLine="480"/>
        <w:jc w:val="center"/>
        <w:rPr>
          <w:color w:val="auto"/>
        </w:rPr>
      </w:pPr>
      <w:r>
        <w:rPr>
          <w:i/>
          <w:iCs/>
          <w:color w:val="auto"/>
        </w:rPr>
        <w:t>T</w:t>
      </w:r>
      <w:r>
        <w:rPr>
          <w:color w:val="auto"/>
        </w:rPr>
        <w:t>=2</w:t>
      </w:r>
      <w:r>
        <w:rPr>
          <w:i/>
          <w:iCs/>
          <w:color w:val="auto"/>
        </w:rPr>
        <w:t>X</w:t>
      </w:r>
      <w:r>
        <w:rPr>
          <w:color w:val="auto"/>
        </w:rPr>
        <w:t>/</w:t>
      </w:r>
      <w:r>
        <w:rPr>
          <w:i/>
          <w:iCs/>
          <w:color w:val="auto"/>
        </w:rPr>
        <w:t>U</w:t>
      </w:r>
      <w:r>
        <w:rPr>
          <w:i/>
          <w:iCs/>
          <w:color w:val="auto"/>
          <w:vertAlign w:val="subscript"/>
        </w:rPr>
        <w:t>r</w:t>
      </w:r>
    </w:p>
    <w:p w14:paraId="5B3F70FC">
      <w:pPr>
        <w:ind w:firstLine="480"/>
        <w:rPr>
          <w:color w:val="auto"/>
        </w:rPr>
      </w:pPr>
      <w:r>
        <w:rPr>
          <w:i/>
          <w:iCs/>
          <w:color w:val="auto"/>
        </w:rPr>
        <w:t>X</w:t>
      </w:r>
      <w:r>
        <w:rPr>
          <w:color w:val="auto"/>
        </w:rPr>
        <w:t>——事故发生地点与计算点的距离，m；</w:t>
      </w:r>
    </w:p>
    <w:p w14:paraId="2BDE515C">
      <w:pPr>
        <w:ind w:firstLine="480"/>
        <w:rPr>
          <w:color w:val="auto"/>
        </w:rPr>
      </w:pPr>
      <w:r>
        <w:rPr>
          <w:i/>
          <w:iCs/>
          <w:color w:val="auto"/>
        </w:rPr>
        <w:t>U</w:t>
      </w:r>
      <w:r>
        <w:rPr>
          <w:i/>
          <w:iCs/>
          <w:color w:val="auto"/>
          <w:vertAlign w:val="subscript"/>
        </w:rPr>
        <w:t>r</w:t>
      </w:r>
      <w:r>
        <w:rPr>
          <w:color w:val="auto"/>
        </w:rPr>
        <w:t>——10m高处风速，m/s。假设风速和风向在T时间段内保持不变，按</w:t>
      </w:r>
      <w:r>
        <w:rPr>
          <w:rFonts w:hint="eastAsia"/>
          <w:color w:val="auto"/>
        </w:rPr>
        <w:t>导</w:t>
      </w:r>
      <w:r>
        <w:rPr>
          <w:color w:val="auto"/>
        </w:rPr>
        <w:t>则推荐最不利风速1.5m/s取值。</w:t>
      </w:r>
    </w:p>
    <w:p w14:paraId="0AE3F9C9">
      <w:pPr>
        <w:ind w:firstLine="480"/>
        <w:rPr>
          <w:color w:val="auto"/>
        </w:rPr>
      </w:pPr>
      <w:r>
        <w:rPr>
          <w:color w:val="auto"/>
        </w:rPr>
        <w:t>当</w:t>
      </w:r>
      <w:r>
        <w:rPr>
          <w:i/>
          <w:iCs/>
          <w:color w:val="auto"/>
        </w:rPr>
        <w:t>T</w:t>
      </w:r>
      <w:r>
        <w:rPr>
          <w:i/>
          <w:iCs/>
          <w:color w:val="auto"/>
          <w:vertAlign w:val="subscript"/>
        </w:rPr>
        <w:t>d</w:t>
      </w:r>
      <w:r>
        <w:rPr>
          <w:color w:val="auto"/>
        </w:rPr>
        <w:t>&gt;</w:t>
      </w:r>
      <w:r>
        <w:rPr>
          <w:i/>
          <w:iCs/>
          <w:color w:val="auto"/>
        </w:rPr>
        <w:t>T</w:t>
      </w:r>
      <w:r>
        <w:rPr>
          <w:color w:val="auto"/>
        </w:rPr>
        <w:t>时，可被认为是连续排放；当</w:t>
      </w:r>
      <w:r>
        <w:rPr>
          <w:i/>
          <w:iCs/>
          <w:color w:val="auto"/>
        </w:rPr>
        <w:t>T</w:t>
      </w:r>
      <w:r>
        <w:rPr>
          <w:i/>
          <w:iCs/>
          <w:color w:val="auto"/>
          <w:vertAlign w:val="subscript"/>
        </w:rPr>
        <w:t>d</w:t>
      </w:r>
      <w:r>
        <w:rPr>
          <w:color w:val="auto"/>
        </w:rPr>
        <w:t>≤</w:t>
      </w:r>
      <w:r>
        <w:rPr>
          <w:i/>
          <w:iCs/>
          <w:color w:val="auto"/>
        </w:rPr>
        <w:t>T</w:t>
      </w:r>
      <w:r>
        <w:rPr>
          <w:color w:val="auto"/>
        </w:rPr>
        <w:t>时可被认为是瞬时排放。</w:t>
      </w:r>
    </w:p>
    <w:p w14:paraId="66F252CF">
      <w:pPr>
        <w:ind w:firstLine="480"/>
        <w:rPr>
          <w:color w:val="auto"/>
        </w:rPr>
      </w:pPr>
      <w:r>
        <w:rPr>
          <w:rFonts w:hint="eastAsia"/>
          <w:color w:val="auto"/>
        </w:rPr>
        <w:t>本项目距最近的敏感点厚福沙村1.</w:t>
      </w:r>
      <w:r>
        <w:rPr>
          <w:color w:val="auto"/>
        </w:rPr>
        <w:t>874</w:t>
      </w:r>
      <w:r>
        <w:rPr>
          <w:rFonts w:hint="eastAsia"/>
          <w:color w:val="auto"/>
        </w:rPr>
        <w:t>km，最不利气象条件风速为1.5m/s。</w:t>
      </w:r>
      <w:r>
        <w:rPr>
          <w:color w:val="auto"/>
        </w:rPr>
        <w:t>根据计算，T=2498.67</w:t>
      </w:r>
      <w:r>
        <w:rPr>
          <w:rFonts w:hint="eastAsia"/>
          <w:color w:val="auto"/>
        </w:rPr>
        <w:t>S</w:t>
      </w:r>
      <w:r>
        <w:rPr>
          <w:color w:val="auto"/>
        </w:rPr>
        <w:t>，大于源项分析的排放时间，因此排放形式认为是瞬时排放。</w:t>
      </w:r>
    </w:p>
    <w:p w14:paraId="795FB147">
      <w:pPr>
        <w:ind w:firstLine="480"/>
        <w:rPr>
          <w:color w:val="auto"/>
        </w:rPr>
      </w:pPr>
      <w:r>
        <w:rPr>
          <w:color w:val="auto"/>
        </w:rPr>
        <w:t>根据《建设项目环境风险评价技术导则》（HJ169-2018）附录G</w:t>
      </w:r>
      <w:r>
        <w:rPr>
          <w:rFonts w:hint="eastAsia"/>
          <w:color w:val="auto"/>
        </w:rPr>
        <w:t>，采用理查德森数(Ri)作为标准进行判断，瞬时</w:t>
      </w:r>
      <w:r>
        <w:rPr>
          <w:color w:val="auto"/>
        </w:rPr>
        <w:t>排放的</w:t>
      </w:r>
      <w:r>
        <w:rPr>
          <w:rFonts w:hint="eastAsia"/>
          <w:color w:val="auto"/>
        </w:rPr>
        <w:t>计算公式</w:t>
      </w:r>
      <w:r>
        <w:rPr>
          <w:color w:val="auto"/>
        </w:rPr>
        <w:t>如下：</w:t>
      </w:r>
    </w:p>
    <w:p w14:paraId="6720E814">
      <w:pPr>
        <w:ind w:firstLine="480"/>
        <w:rPr>
          <w:color w:val="auto"/>
        </w:rPr>
      </w:pPr>
      <w:r>
        <w:rPr>
          <w:color w:val="auto"/>
        </w:rPr>
        <w:t>瞬时排放：</w:t>
      </w:r>
    </w:p>
    <w:p w14:paraId="747427B2">
      <w:pPr>
        <w:ind w:firstLine="0" w:firstLineChars="0"/>
        <w:jc w:val="center"/>
        <w:rPr>
          <w:color w:val="auto"/>
        </w:rPr>
      </w:pPr>
      <w:r>
        <w:rPr>
          <w:color w:val="auto"/>
        </w:rPr>
        <w:drawing>
          <wp:inline distT="0" distB="0" distL="0" distR="0">
            <wp:extent cx="2295525" cy="762000"/>
            <wp:effectExtent l="0" t="0" r="9525"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noChangeArrowheads="1"/>
                    </pic:cNvPicPr>
                  </pic:nvPicPr>
                  <pic:blipFill>
                    <a:blip r:embed="rId77">
                      <a:lum bright="-36000"/>
                      <a:extLst>
                        <a:ext uri="{28A0092B-C50C-407E-A947-70E740481C1C}">
                          <a14:useLocalDpi xmlns:a14="http://schemas.microsoft.com/office/drawing/2010/main" val="0"/>
                        </a:ext>
                      </a:extLst>
                    </a:blip>
                    <a:srcRect/>
                    <a:stretch>
                      <a:fillRect/>
                    </a:stretch>
                  </pic:blipFill>
                  <pic:spPr>
                    <a:xfrm>
                      <a:off x="0" y="0"/>
                      <a:ext cx="2295525" cy="762000"/>
                    </a:xfrm>
                    <a:prstGeom prst="rect">
                      <a:avLst/>
                    </a:prstGeom>
                    <a:noFill/>
                    <a:ln>
                      <a:noFill/>
                    </a:ln>
                    <a:effectLst/>
                  </pic:spPr>
                </pic:pic>
              </a:graphicData>
            </a:graphic>
          </wp:inline>
        </w:drawing>
      </w:r>
    </w:p>
    <w:p w14:paraId="2723CF1A">
      <w:pPr>
        <w:ind w:firstLine="480"/>
        <w:rPr>
          <w:color w:val="auto"/>
        </w:rPr>
      </w:pPr>
      <w:r>
        <w:rPr>
          <w:color w:val="auto"/>
        </w:rPr>
        <w:t>式中：ρ</w:t>
      </w:r>
      <w:r>
        <w:rPr>
          <w:color w:val="auto"/>
          <w:vertAlign w:val="subscript"/>
        </w:rPr>
        <w:t>rel</w:t>
      </w:r>
      <w:r>
        <w:rPr>
          <w:color w:val="auto"/>
        </w:rPr>
        <w:t>——排放物质进入大气的初始密度，kg/m</w:t>
      </w:r>
      <w:r>
        <w:rPr>
          <w:color w:val="auto"/>
          <w:vertAlign w:val="superscript"/>
        </w:rPr>
        <w:t>3</w:t>
      </w:r>
      <w:r>
        <w:rPr>
          <w:color w:val="auto"/>
        </w:rPr>
        <w:t>；</w:t>
      </w:r>
    </w:p>
    <w:p w14:paraId="23CCE09A">
      <w:pPr>
        <w:ind w:firstLine="480"/>
        <w:rPr>
          <w:color w:val="auto"/>
        </w:rPr>
      </w:pPr>
      <w:r>
        <w:rPr>
          <w:color w:val="auto"/>
        </w:rPr>
        <w:t>ρ</w:t>
      </w:r>
      <w:r>
        <w:rPr>
          <w:color w:val="auto"/>
          <w:vertAlign w:val="subscript"/>
        </w:rPr>
        <w:t>a</w:t>
      </w:r>
      <w:r>
        <w:rPr>
          <w:color w:val="auto"/>
        </w:rPr>
        <w:t>——环境空气密度，kg/m</w:t>
      </w:r>
      <w:r>
        <w:rPr>
          <w:color w:val="auto"/>
          <w:vertAlign w:val="superscript"/>
        </w:rPr>
        <w:t>3</w:t>
      </w:r>
      <w:r>
        <w:rPr>
          <w:color w:val="auto"/>
        </w:rPr>
        <w:t>；</w:t>
      </w:r>
    </w:p>
    <w:p w14:paraId="05D14AB7">
      <w:pPr>
        <w:ind w:firstLine="480"/>
        <w:rPr>
          <w:color w:val="auto"/>
        </w:rPr>
      </w:pPr>
      <w:r>
        <w:rPr>
          <w:i/>
          <w:color w:val="auto"/>
        </w:rPr>
        <w:t>Q</w:t>
      </w:r>
      <w:r>
        <w:rPr>
          <w:color w:val="auto"/>
        </w:rPr>
        <w:t>——连续排放烟羽的排放速率，kg/s；</w:t>
      </w:r>
    </w:p>
    <w:p w14:paraId="492C0EFE">
      <w:pPr>
        <w:ind w:firstLine="480"/>
        <w:rPr>
          <w:color w:val="auto"/>
        </w:rPr>
      </w:pPr>
      <w:r>
        <w:rPr>
          <w:i/>
          <w:color w:val="auto"/>
        </w:rPr>
        <w:t>D</w:t>
      </w:r>
      <w:r>
        <w:rPr>
          <w:color w:val="auto"/>
          <w:vertAlign w:val="subscript"/>
        </w:rPr>
        <w:t>rel</w:t>
      </w:r>
      <w:r>
        <w:rPr>
          <w:color w:val="auto"/>
        </w:rPr>
        <w:t>——初始的烟羽宽度，即源直径，m；</w:t>
      </w:r>
    </w:p>
    <w:p w14:paraId="3A480F2C">
      <w:pPr>
        <w:ind w:firstLine="480"/>
        <w:rPr>
          <w:color w:val="auto"/>
        </w:rPr>
      </w:pPr>
      <w:r>
        <w:rPr>
          <w:i/>
          <w:color w:val="auto"/>
        </w:rPr>
        <w:t>U</w:t>
      </w:r>
      <w:r>
        <w:rPr>
          <w:color w:val="auto"/>
          <w:vertAlign w:val="subscript"/>
        </w:rPr>
        <w:t>r</w:t>
      </w:r>
      <w:r>
        <w:rPr>
          <w:color w:val="auto"/>
        </w:rPr>
        <w:t>——10m高处的风速，m/s。</w:t>
      </w:r>
    </w:p>
    <w:p w14:paraId="797AF036">
      <w:pPr>
        <w:ind w:firstLine="480"/>
        <w:rPr>
          <w:color w:val="auto"/>
        </w:rPr>
      </w:pPr>
      <w:r>
        <w:rPr>
          <w:rFonts w:hint="eastAsia"/>
          <w:color w:val="auto"/>
        </w:rPr>
        <w:t>气体性质判断标准为：对于瞬时排放，R</w:t>
      </w:r>
      <w:r>
        <w:rPr>
          <w:rFonts w:hint="eastAsia"/>
          <w:color w:val="auto"/>
          <w:vertAlign w:val="subscript"/>
        </w:rPr>
        <w:t>i</w:t>
      </w:r>
      <w:r>
        <w:rPr>
          <w:rFonts w:hint="eastAsia"/>
          <w:color w:val="auto"/>
        </w:rPr>
        <w:t>＞0.04为重质气体，R</w:t>
      </w:r>
      <w:r>
        <w:rPr>
          <w:rFonts w:hint="eastAsia"/>
          <w:color w:val="auto"/>
          <w:vertAlign w:val="subscript"/>
        </w:rPr>
        <w:t>i</w:t>
      </w:r>
      <w:r>
        <w:rPr>
          <w:rFonts w:hint="eastAsia"/>
          <w:color w:val="auto"/>
        </w:rPr>
        <w:t>≤0.04为轻质气体。当R</w:t>
      </w:r>
      <w:r>
        <w:rPr>
          <w:rFonts w:hint="eastAsia"/>
          <w:color w:val="auto"/>
          <w:vertAlign w:val="subscript"/>
        </w:rPr>
        <w:t>i</w:t>
      </w:r>
      <w:r>
        <w:rPr>
          <w:rFonts w:hint="eastAsia"/>
          <w:color w:val="auto"/>
        </w:rPr>
        <w:t>处于临界值附近时，说明烟团/烟羽既不是典型的重质气体扩散，也不是典型的轻质气体扩散。可以进行敏感性分析，分别采用重质气体模型和轻质气体模型进行模拟，选取影响范围最大的结果。</w:t>
      </w:r>
    </w:p>
    <w:p w14:paraId="7C5E30AA">
      <w:pPr>
        <w:ind w:firstLine="480"/>
        <w:rPr>
          <w:color w:val="auto"/>
        </w:rPr>
      </w:pPr>
      <w:r>
        <w:rPr>
          <w:color w:val="auto"/>
        </w:rPr>
        <w:t>根据计算，本项目采用风险导则中推荐的预测模型如下表所示：</w:t>
      </w:r>
    </w:p>
    <w:p w14:paraId="447DDD13">
      <w:pPr>
        <w:pStyle w:val="14"/>
        <w:rPr>
          <w:color w:val="auto"/>
        </w:rPr>
      </w:pPr>
      <w:r>
        <w:rPr>
          <w:rFonts w:hint="eastAsia"/>
          <w:color w:val="auto"/>
        </w:rPr>
        <w:t>表</w:t>
      </w:r>
      <w:r>
        <w:rPr>
          <w:color w:val="auto"/>
        </w:rPr>
        <w:t>5.5</w:t>
      </w:r>
      <w:r>
        <w:rPr>
          <w:color w:val="auto"/>
        </w:rPr>
        <w:noBreakHyphen/>
      </w:r>
      <w:r>
        <w:rPr>
          <w:color w:val="auto"/>
        </w:rPr>
        <w:t>1大气风险预测模型主要参数表</w:t>
      </w:r>
    </w:p>
    <w:tbl>
      <w:tblPr>
        <w:tblStyle w:val="43"/>
        <w:tblW w:w="508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40"/>
        <w:gridCol w:w="1286"/>
        <w:gridCol w:w="852"/>
        <w:gridCol w:w="1204"/>
        <w:gridCol w:w="4758"/>
      </w:tblGrid>
      <w:tr w14:paraId="5579E9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1" w:type="pct"/>
            <w:vAlign w:val="center"/>
          </w:tcPr>
          <w:p w14:paraId="2B96EA5C">
            <w:pPr>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气体名称</w:t>
            </w:r>
          </w:p>
        </w:tc>
        <w:tc>
          <w:tcPr>
            <w:tcW w:w="660" w:type="pct"/>
            <w:vAlign w:val="center"/>
          </w:tcPr>
          <w:p w14:paraId="57A997B3">
            <w:pPr>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排放形式</w:t>
            </w:r>
          </w:p>
        </w:tc>
        <w:tc>
          <w:tcPr>
            <w:tcW w:w="437" w:type="pct"/>
            <w:vAlign w:val="center"/>
          </w:tcPr>
          <w:p w14:paraId="202D846C">
            <w:pPr>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稳定度</w:t>
            </w:r>
          </w:p>
        </w:tc>
        <w:tc>
          <w:tcPr>
            <w:tcW w:w="618" w:type="pct"/>
            <w:vAlign w:val="center"/>
          </w:tcPr>
          <w:p w14:paraId="0D3DE746">
            <w:pPr>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风速（m/s）</w:t>
            </w:r>
          </w:p>
        </w:tc>
        <w:tc>
          <w:tcPr>
            <w:tcW w:w="2442" w:type="pct"/>
            <w:vAlign w:val="center"/>
          </w:tcPr>
          <w:p w14:paraId="1ADE1936">
            <w:pPr>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选取预测模型</w:t>
            </w:r>
          </w:p>
        </w:tc>
      </w:tr>
      <w:tr w14:paraId="2690BE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1" w:type="pct"/>
            <w:vAlign w:val="center"/>
          </w:tcPr>
          <w:p w14:paraId="4103D9F7">
            <w:pPr>
              <w:pStyle w:val="167"/>
              <w:keepNext w:val="0"/>
              <w:keepLines w:val="0"/>
              <w:suppressLineNumbers w:val="0"/>
              <w:spacing w:before="0" w:beforeAutospacing="0" w:after="0" w:afterAutospacing="0"/>
              <w:ind w:right="0"/>
              <w:rPr>
                <w:rFonts w:hint="default"/>
                <w:color w:val="auto"/>
              </w:rPr>
            </w:pPr>
            <w:r>
              <w:rPr>
                <w:rFonts w:hint="eastAsia"/>
                <w:color w:val="auto"/>
              </w:rPr>
              <w:t>甲基叔丁基醚</w:t>
            </w:r>
          </w:p>
        </w:tc>
        <w:tc>
          <w:tcPr>
            <w:tcW w:w="660" w:type="pct"/>
            <w:vAlign w:val="center"/>
          </w:tcPr>
          <w:p w14:paraId="4BCDBFD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瞬时排放</w:t>
            </w:r>
          </w:p>
        </w:tc>
        <w:tc>
          <w:tcPr>
            <w:tcW w:w="437" w:type="pct"/>
            <w:vAlign w:val="center"/>
          </w:tcPr>
          <w:p w14:paraId="2F4525D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F</w:t>
            </w:r>
          </w:p>
        </w:tc>
        <w:tc>
          <w:tcPr>
            <w:tcW w:w="618" w:type="pct"/>
            <w:vAlign w:val="center"/>
          </w:tcPr>
          <w:p w14:paraId="0AC8C22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1.5</w:t>
            </w:r>
          </w:p>
        </w:tc>
        <w:tc>
          <w:tcPr>
            <w:tcW w:w="2442" w:type="pct"/>
            <w:vAlign w:val="center"/>
          </w:tcPr>
          <w:p w14:paraId="52CD3C57">
            <w:pPr>
              <w:keepNext w:val="0"/>
              <w:keepLines w:val="0"/>
              <w:suppressLineNumbers w:val="0"/>
              <w:spacing w:before="0" w:beforeAutospacing="0" w:after="0" w:afterAutospacing="0" w:line="240" w:lineRule="auto"/>
              <w:ind w:left="0" w:right="0" w:firstLine="0" w:firstLineChars="0"/>
              <w:rPr>
                <w:rFonts w:hint="default"/>
                <w:color w:val="auto"/>
                <w:sz w:val="21"/>
                <w:szCs w:val="21"/>
              </w:rPr>
            </w:pPr>
            <w:r>
              <w:rPr>
                <w:rFonts w:hint="eastAsia"/>
                <w:color w:val="auto"/>
                <w:sz w:val="21"/>
                <w:szCs w:val="21"/>
              </w:rPr>
              <w:t>理查德森数R</w:t>
            </w:r>
            <w:r>
              <w:rPr>
                <w:rFonts w:hint="eastAsia"/>
                <w:color w:val="auto"/>
                <w:sz w:val="21"/>
                <w:szCs w:val="21"/>
                <w:vertAlign w:val="subscript"/>
              </w:rPr>
              <w:t>i</w:t>
            </w:r>
            <w:r>
              <w:rPr>
                <w:rFonts w:hint="eastAsia"/>
                <w:color w:val="auto"/>
                <w:sz w:val="21"/>
                <w:szCs w:val="21"/>
              </w:rPr>
              <w:t>=</w:t>
            </w:r>
            <w:r>
              <w:rPr>
                <w:rFonts w:hint="default"/>
                <w:color w:val="auto"/>
                <w:sz w:val="21"/>
                <w:szCs w:val="21"/>
              </w:rPr>
              <w:t>7.35</w:t>
            </w:r>
            <w:r>
              <w:rPr>
                <w:rFonts w:hint="eastAsia"/>
                <w:color w:val="auto"/>
                <w:sz w:val="21"/>
                <w:szCs w:val="21"/>
              </w:rPr>
              <w:t>，Ri＞0.04，</w:t>
            </w:r>
            <w:r>
              <w:rPr>
                <w:rFonts w:hint="default"/>
                <w:color w:val="auto"/>
                <w:sz w:val="21"/>
                <w:szCs w:val="21"/>
              </w:rPr>
              <w:t>为重质气体，根据导则推荐预测采用</w:t>
            </w:r>
            <w:r>
              <w:rPr>
                <w:rFonts w:hint="eastAsia"/>
                <w:color w:val="auto"/>
                <w:sz w:val="21"/>
                <w:szCs w:val="21"/>
              </w:rPr>
              <w:t>SL</w:t>
            </w:r>
            <w:r>
              <w:rPr>
                <w:rFonts w:hint="default"/>
                <w:color w:val="auto"/>
                <w:sz w:val="21"/>
                <w:szCs w:val="21"/>
              </w:rPr>
              <w:t>AB</w:t>
            </w:r>
            <w:r>
              <w:rPr>
                <w:rFonts w:hint="eastAsia"/>
                <w:color w:val="auto"/>
                <w:sz w:val="21"/>
                <w:szCs w:val="21"/>
              </w:rPr>
              <w:t>模型</w:t>
            </w:r>
            <w:r>
              <w:rPr>
                <w:rFonts w:hint="default"/>
                <w:color w:val="auto"/>
                <w:sz w:val="21"/>
                <w:szCs w:val="21"/>
              </w:rPr>
              <w:t>。</w:t>
            </w:r>
          </w:p>
        </w:tc>
      </w:tr>
      <w:tr w14:paraId="21F912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1" w:type="pct"/>
            <w:vAlign w:val="center"/>
          </w:tcPr>
          <w:p w14:paraId="19DDC09D">
            <w:pPr>
              <w:pStyle w:val="167"/>
              <w:keepNext w:val="0"/>
              <w:keepLines w:val="0"/>
              <w:suppressLineNumbers w:val="0"/>
              <w:spacing w:before="0" w:beforeAutospacing="0" w:after="0" w:afterAutospacing="0"/>
              <w:ind w:right="0"/>
              <w:rPr>
                <w:rFonts w:hint="default"/>
                <w:color w:val="auto"/>
              </w:rPr>
            </w:pPr>
            <w:r>
              <w:rPr>
                <w:rFonts w:hint="eastAsia"/>
                <w:color w:val="auto"/>
              </w:rPr>
              <w:t>异辛烷（烷基化油）</w:t>
            </w:r>
          </w:p>
        </w:tc>
        <w:tc>
          <w:tcPr>
            <w:tcW w:w="660" w:type="pct"/>
            <w:vAlign w:val="center"/>
          </w:tcPr>
          <w:p w14:paraId="6B32F3D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瞬时排放</w:t>
            </w:r>
          </w:p>
        </w:tc>
        <w:tc>
          <w:tcPr>
            <w:tcW w:w="437" w:type="pct"/>
            <w:vAlign w:val="center"/>
          </w:tcPr>
          <w:p w14:paraId="1CC170C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F</w:t>
            </w:r>
          </w:p>
        </w:tc>
        <w:tc>
          <w:tcPr>
            <w:tcW w:w="618" w:type="pct"/>
            <w:vAlign w:val="center"/>
          </w:tcPr>
          <w:p w14:paraId="4410248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1.5</w:t>
            </w:r>
          </w:p>
        </w:tc>
        <w:tc>
          <w:tcPr>
            <w:tcW w:w="2442" w:type="pct"/>
            <w:vAlign w:val="center"/>
          </w:tcPr>
          <w:p w14:paraId="3A5675F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理查德森数R</w:t>
            </w:r>
            <w:r>
              <w:rPr>
                <w:rFonts w:hint="eastAsia"/>
                <w:color w:val="auto"/>
                <w:sz w:val="21"/>
                <w:szCs w:val="21"/>
                <w:vertAlign w:val="subscript"/>
              </w:rPr>
              <w:t>i</w:t>
            </w:r>
            <w:r>
              <w:rPr>
                <w:rFonts w:hint="eastAsia"/>
                <w:color w:val="auto"/>
                <w:sz w:val="21"/>
                <w:szCs w:val="21"/>
              </w:rPr>
              <w:t>=</w:t>
            </w:r>
            <w:r>
              <w:rPr>
                <w:rFonts w:hint="default"/>
                <w:color w:val="auto"/>
                <w:sz w:val="21"/>
                <w:szCs w:val="21"/>
              </w:rPr>
              <w:t>6.14</w:t>
            </w:r>
            <w:r>
              <w:rPr>
                <w:rFonts w:hint="eastAsia"/>
                <w:color w:val="auto"/>
                <w:sz w:val="21"/>
                <w:szCs w:val="21"/>
              </w:rPr>
              <w:t>，Ri＞0.04，</w:t>
            </w:r>
            <w:r>
              <w:rPr>
                <w:rFonts w:hint="default"/>
                <w:color w:val="auto"/>
                <w:sz w:val="21"/>
                <w:szCs w:val="21"/>
              </w:rPr>
              <w:t>为重质气体，根据导则推荐预测采用</w:t>
            </w:r>
            <w:r>
              <w:rPr>
                <w:rFonts w:hint="eastAsia"/>
                <w:color w:val="auto"/>
                <w:sz w:val="21"/>
                <w:szCs w:val="21"/>
              </w:rPr>
              <w:t>SL</w:t>
            </w:r>
            <w:r>
              <w:rPr>
                <w:rFonts w:hint="default"/>
                <w:color w:val="auto"/>
                <w:sz w:val="21"/>
                <w:szCs w:val="21"/>
              </w:rPr>
              <w:t>AB</w:t>
            </w:r>
            <w:r>
              <w:rPr>
                <w:rFonts w:hint="eastAsia"/>
                <w:color w:val="auto"/>
                <w:sz w:val="21"/>
                <w:szCs w:val="21"/>
              </w:rPr>
              <w:t>模型</w:t>
            </w:r>
            <w:r>
              <w:rPr>
                <w:rFonts w:hint="default"/>
                <w:color w:val="auto"/>
                <w:sz w:val="21"/>
                <w:szCs w:val="21"/>
              </w:rPr>
              <w:t>。</w:t>
            </w:r>
          </w:p>
        </w:tc>
      </w:tr>
      <w:tr w14:paraId="15EDA8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1" w:type="pct"/>
            <w:vAlign w:val="center"/>
          </w:tcPr>
          <w:p w14:paraId="6B4F21CF">
            <w:pPr>
              <w:pStyle w:val="167"/>
              <w:keepNext w:val="0"/>
              <w:keepLines w:val="0"/>
              <w:suppressLineNumbers w:val="0"/>
              <w:spacing w:before="0" w:beforeAutospacing="0" w:after="0" w:afterAutospacing="0"/>
              <w:ind w:right="0"/>
              <w:rPr>
                <w:rFonts w:hint="default"/>
                <w:color w:val="auto"/>
              </w:rPr>
            </w:pPr>
            <w:r>
              <w:rPr>
                <w:rFonts w:hint="eastAsia"/>
                <w:color w:val="auto"/>
              </w:rPr>
              <w:t>石脑油</w:t>
            </w:r>
          </w:p>
        </w:tc>
        <w:tc>
          <w:tcPr>
            <w:tcW w:w="660" w:type="pct"/>
            <w:vAlign w:val="center"/>
          </w:tcPr>
          <w:p w14:paraId="55D0F8A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瞬时</w:t>
            </w:r>
            <w:r>
              <w:rPr>
                <w:rFonts w:hint="default"/>
                <w:color w:val="auto"/>
                <w:sz w:val="21"/>
                <w:szCs w:val="21"/>
              </w:rPr>
              <w:t>排放</w:t>
            </w:r>
          </w:p>
        </w:tc>
        <w:tc>
          <w:tcPr>
            <w:tcW w:w="437" w:type="pct"/>
            <w:vAlign w:val="center"/>
          </w:tcPr>
          <w:p w14:paraId="4CE04BF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F</w:t>
            </w:r>
          </w:p>
        </w:tc>
        <w:tc>
          <w:tcPr>
            <w:tcW w:w="618" w:type="pct"/>
            <w:vAlign w:val="center"/>
          </w:tcPr>
          <w:p w14:paraId="53CF94D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1.5</w:t>
            </w:r>
          </w:p>
        </w:tc>
        <w:tc>
          <w:tcPr>
            <w:tcW w:w="2442" w:type="pct"/>
            <w:vAlign w:val="center"/>
          </w:tcPr>
          <w:p w14:paraId="5D8D6F2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理查德森数R</w:t>
            </w:r>
            <w:r>
              <w:rPr>
                <w:rFonts w:hint="eastAsia"/>
                <w:color w:val="auto"/>
                <w:sz w:val="21"/>
                <w:szCs w:val="21"/>
                <w:vertAlign w:val="subscript"/>
              </w:rPr>
              <w:t>i</w:t>
            </w:r>
            <w:r>
              <w:rPr>
                <w:rFonts w:hint="eastAsia"/>
                <w:color w:val="auto"/>
                <w:sz w:val="21"/>
                <w:szCs w:val="21"/>
              </w:rPr>
              <w:t>=</w:t>
            </w:r>
            <w:r>
              <w:rPr>
                <w:rFonts w:hint="default"/>
                <w:color w:val="auto"/>
                <w:sz w:val="21"/>
                <w:szCs w:val="21"/>
              </w:rPr>
              <w:t>776.93</w:t>
            </w:r>
            <w:r>
              <w:rPr>
                <w:rFonts w:hint="eastAsia"/>
                <w:color w:val="auto"/>
                <w:sz w:val="21"/>
                <w:szCs w:val="21"/>
              </w:rPr>
              <w:t>，Ri＞0.04，</w:t>
            </w:r>
            <w:r>
              <w:rPr>
                <w:rFonts w:hint="default"/>
                <w:color w:val="auto"/>
                <w:sz w:val="21"/>
                <w:szCs w:val="21"/>
              </w:rPr>
              <w:t>为重质气体，根据导则推荐预测采用</w:t>
            </w:r>
            <w:r>
              <w:rPr>
                <w:rFonts w:hint="eastAsia"/>
                <w:color w:val="auto"/>
                <w:sz w:val="21"/>
                <w:szCs w:val="21"/>
              </w:rPr>
              <w:t>SL</w:t>
            </w:r>
            <w:r>
              <w:rPr>
                <w:rFonts w:hint="default"/>
                <w:color w:val="auto"/>
                <w:sz w:val="21"/>
                <w:szCs w:val="21"/>
              </w:rPr>
              <w:t>AB</w:t>
            </w:r>
            <w:r>
              <w:rPr>
                <w:rFonts w:hint="eastAsia"/>
                <w:color w:val="auto"/>
                <w:sz w:val="21"/>
                <w:szCs w:val="21"/>
              </w:rPr>
              <w:t>模型</w:t>
            </w:r>
            <w:r>
              <w:rPr>
                <w:rFonts w:hint="default"/>
                <w:color w:val="auto"/>
                <w:sz w:val="21"/>
                <w:szCs w:val="21"/>
              </w:rPr>
              <w:t>。</w:t>
            </w:r>
          </w:p>
        </w:tc>
      </w:tr>
      <w:tr w14:paraId="2CDEEF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1" w:type="pct"/>
            <w:vAlign w:val="center"/>
          </w:tcPr>
          <w:p w14:paraId="5953AFE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CO</w:t>
            </w:r>
          </w:p>
        </w:tc>
        <w:tc>
          <w:tcPr>
            <w:tcW w:w="660" w:type="pct"/>
            <w:vAlign w:val="center"/>
          </w:tcPr>
          <w:p w14:paraId="7A8FA32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瞬时排放</w:t>
            </w:r>
          </w:p>
        </w:tc>
        <w:tc>
          <w:tcPr>
            <w:tcW w:w="437" w:type="pct"/>
            <w:vAlign w:val="center"/>
          </w:tcPr>
          <w:p w14:paraId="7372190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618" w:type="pct"/>
            <w:vAlign w:val="center"/>
          </w:tcPr>
          <w:p w14:paraId="7B362A7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2442" w:type="pct"/>
            <w:vAlign w:val="center"/>
          </w:tcPr>
          <w:p w14:paraId="680898E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烟团初始密度未大于空气密度，不计算理查德森数。扩散计算建议采用AFTOX模式。</w:t>
            </w:r>
          </w:p>
        </w:tc>
      </w:tr>
      <w:tr w14:paraId="42719F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1" w:type="pct"/>
            <w:vAlign w:val="center"/>
          </w:tcPr>
          <w:p w14:paraId="1A81CFB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SO</w:t>
            </w:r>
            <w:r>
              <w:rPr>
                <w:rFonts w:hint="eastAsia"/>
                <w:color w:val="auto"/>
                <w:sz w:val="21"/>
                <w:szCs w:val="21"/>
                <w:vertAlign w:val="subscript"/>
              </w:rPr>
              <w:t>2</w:t>
            </w:r>
          </w:p>
        </w:tc>
        <w:tc>
          <w:tcPr>
            <w:tcW w:w="660" w:type="pct"/>
            <w:vAlign w:val="center"/>
          </w:tcPr>
          <w:p w14:paraId="010AF75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瞬时排放</w:t>
            </w:r>
          </w:p>
        </w:tc>
        <w:tc>
          <w:tcPr>
            <w:tcW w:w="437" w:type="pct"/>
            <w:vAlign w:val="center"/>
          </w:tcPr>
          <w:p w14:paraId="1CBFF6F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618" w:type="pct"/>
            <w:vAlign w:val="center"/>
          </w:tcPr>
          <w:p w14:paraId="0B71145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w:t>
            </w:r>
          </w:p>
        </w:tc>
        <w:tc>
          <w:tcPr>
            <w:tcW w:w="2442" w:type="pct"/>
            <w:vAlign w:val="center"/>
          </w:tcPr>
          <w:p w14:paraId="0C26AAC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理查德森数R</w:t>
            </w:r>
            <w:r>
              <w:rPr>
                <w:rFonts w:hint="eastAsia"/>
                <w:color w:val="auto"/>
                <w:sz w:val="21"/>
                <w:szCs w:val="21"/>
                <w:vertAlign w:val="subscript"/>
              </w:rPr>
              <w:t>i</w:t>
            </w:r>
            <w:r>
              <w:rPr>
                <w:rFonts w:hint="eastAsia"/>
                <w:color w:val="auto"/>
                <w:sz w:val="21"/>
                <w:szCs w:val="21"/>
              </w:rPr>
              <w:t>=</w:t>
            </w:r>
            <w:r>
              <w:rPr>
                <w:rFonts w:hint="default"/>
                <w:color w:val="auto"/>
                <w:sz w:val="21"/>
                <w:szCs w:val="21"/>
              </w:rPr>
              <w:t>5.61</w:t>
            </w:r>
            <w:r>
              <w:rPr>
                <w:rFonts w:hint="eastAsia"/>
                <w:color w:val="auto"/>
                <w:sz w:val="21"/>
                <w:szCs w:val="21"/>
              </w:rPr>
              <w:t>，Ri＞0.04，</w:t>
            </w:r>
            <w:r>
              <w:rPr>
                <w:rFonts w:hint="default"/>
                <w:color w:val="auto"/>
                <w:sz w:val="21"/>
                <w:szCs w:val="21"/>
              </w:rPr>
              <w:t>为重质气体，根据导则推荐预测采用</w:t>
            </w:r>
            <w:r>
              <w:rPr>
                <w:rFonts w:hint="eastAsia"/>
                <w:color w:val="auto"/>
                <w:sz w:val="21"/>
                <w:szCs w:val="21"/>
              </w:rPr>
              <w:t>SL</w:t>
            </w:r>
            <w:r>
              <w:rPr>
                <w:rFonts w:hint="default"/>
                <w:color w:val="auto"/>
                <w:sz w:val="21"/>
                <w:szCs w:val="21"/>
              </w:rPr>
              <w:t>AB</w:t>
            </w:r>
            <w:r>
              <w:rPr>
                <w:rFonts w:hint="eastAsia"/>
                <w:color w:val="auto"/>
                <w:sz w:val="21"/>
                <w:szCs w:val="21"/>
              </w:rPr>
              <w:t>模型</w:t>
            </w:r>
            <w:r>
              <w:rPr>
                <w:rFonts w:hint="default"/>
                <w:color w:val="auto"/>
                <w:sz w:val="21"/>
                <w:szCs w:val="21"/>
              </w:rPr>
              <w:t>。</w:t>
            </w:r>
          </w:p>
        </w:tc>
      </w:tr>
    </w:tbl>
    <w:p w14:paraId="7F9A88F6">
      <w:pPr>
        <w:pStyle w:val="4"/>
        <w:rPr>
          <w:color w:val="auto"/>
        </w:rPr>
      </w:pPr>
      <w:r>
        <w:rPr>
          <w:rFonts w:hint="eastAsia"/>
          <w:color w:val="auto"/>
        </w:rPr>
        <w:t>预测</w:t>
      </w:r>
      <w:r>
        <w:rPr>
          <w:color w:val="auto"/>
        </w:rPr>
        <w:t>参数</w:t>
      </w:r>
    </w:p>
    <w:p w14:paraId="6685310A">
      <w:pPr>
        <w:ind w:left="480" w:firstLine="0" w:firstLineChars="0"/>
        <w:rPr>
          <w:color w:val="auto"/>
        </w:rPr>
      </w:pPr>
      <w:r>
        <w:rPr>
          <w:rFonts w:hint="eastAsia"/>
          <w:color w:val="auto"/>
        </w:rPr>
        <w:t>（1）气象</w:t>
      </w:r>
      <w:r>
        <w:rPr>
          <w:color w:val="auto"/>
        </w:rPr>
        <w:t>参数</w:t>
      </w:r>
    </w:p>
    <w:p w14:paraId="1EB72739">
      <w:pPr>
        <w:ind w:firstLine="480"/>
        <w:rPr>
          <w:rFonts w:hint="eastAsia"/>
          <w:color w:val="auto"/>
        </w:rPr>
      </w:pPr>
      <w:r>
        <w:rPr>
          <w:rFonts w:hint="eastAsia"/>
          <w:color w:val="auto"/>
        </w:rPr>
        <w:t>本项目大气环境风险评价等级为</w:t>
      </w:r>
      <w:r>
        <w:rPr>
          <w:rFonts w:hint="eastAsia"/>
          <w:color w:val="auto"/>
          <w:lang w:eastAsia="zh-CN"/>
        </w:rPr>
        <w:t>一</w:t>
      </w:r>
      <w:r>
        <w:rPr>
          <w:rFonts w:hint="eastAsia"/>
          <w:color w:val="auto"/>
        </w:rPr>
        <w:t>级，根据《建设项目环境风险评价技术导则》（HJ169-2018），大气风险预测模型主要参数见下表。</w:t>
      </w:r>
    </w:p>
    <w:p w14:paraId="73688055">
      <w:pPr>
        <w:pStyle w:val="14"/>
        <w:rPr>
          <w:color w:val="auto"/>
        </w:rPr>
      </w:pPr>
      <w:r>
        <w:rPr>
          <w:rFonts w:hint="eastAsia"/>
          <w:color w:val="auto"/>
        </w:rPr>
        <w:t>表</w:t>
      </w:r>
      <w:r>
        <w:rPr>
          <w:color w:val="auto"/>
        </w:rPr>
        <w:t>5.5</w:t>
      </w:r>
      <w:r>
        <w:rPr>
          <w:color w:val="auto"/>
        </w:rPr>
        <w:noBreakHyphen/>
      </w:r>
      <w:r>
        <w:rPr>
          <w:color w:val="auto"/>
        </w:rPr>
        <w:t>2大气风险预测模型主要参数表</w:t>
      </w:r>
    </w:p>
    <w:tbl>
      <w:tblPr>
        <w:tblStyle w:val="43"/>
        <w:tblW w:w="5003"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021"/>
        <w:gridCol w:w="4696"/>
        <w:gridCol w:w="1429"/>
        <w:gridCol w:w="1431"/>
      </w:tblGrid>
      <w:tr w14:paraId="6EAE75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tblHeader/>
          <w:jc w:val="center"/>
        </w:trPr>
        <w:tc>
          <w:tcPr>
            <w:tcW w:w="1055" w:type="pct"/>
            <w:vAlign w:val="center"/>
          </w:tcPr>
          <w:p w14:paraId="0B1039CA">
            <w:pPr>
              <w:pStyle w:val="167"/>
              <w:keepNext w:val="0"/>
              <w:keepLines w:val="0"/>
              <w:suppressLineNumbers w:val="0"/>
              <w:spacing w:before="0" w:beforeAutospacing="0" w:after="0" w:afterAutospacing="0"/>
              <w:ind w:right="0"/>
              <w:rPr>
                <w:rFonts w:hint="default"/>
                <w:b/>
                <w:color w:val="auto"/>
              </w:rPr>
            </w:pPr>
            <w:r>
              <w:rPr>
                <w:rFonts w:hint="default"/>
                <w:b/>
                <w:color w:val="auto"/>
              </w:rPr>
              <w:t>参数类型</w:t>
            </w:r>
          </w:p>
        </w:tc>
        <w:tc>
          <w:tcPr>
            <w:tcW w:w="2451" w:type="pct"/>
            <w:vAlign w:val="center"/>
          </w:tcPr>
          <w:p w14:paraId="0885A612">
            <w:pPr>
              <w:pStyle w:val="167"/>
              <w:keepNext w:val="0"/>
              <w:keepLines w:val="0"/>
              <w:suppressLineNumbers w:val="0"/>
              <w:spacing w:before="0" w:beforeAutospacing="0" w:after="0" w:afterAutospacing="0"/>
              <w:ind w:right="0"/>
              <w:rPr>
                <w:rFonts w:hint="default"/>
                <w:b/>
                <w:color w:val="auto"/>
              </w:rPr>
            </w:pPr>
            <w:r>
              <w:rPr>
                <w:rFonts w:hint="default"/>
                <w:b/>
                <w:color w:val="auto"/>
              </w:rPr>
              <w:t>选项</w:t>
            </w:r>
          </w:p>
        </w:tc>
        <w:tc>
          <w:tcPr>
            <w:tcW w:w="1493" w:type="pct"/>
            <w:gridSpan w:val="2"/>
            <w:vAlign w:val="center"/>
          </w:tcPr>
          <w:p w14:paraId="0A40B00C">
            <w:pPr>
              <w:pStyle w:val="167"/>
              <w:keepNext w:val="0"/>
              <w:keepLines w:val="0"/>
              <w:suppressLineNumbers w:val="0"/>
              <w:spacing w:before="0" w:beforeAutospacing="0" w:after="0" w:afterAutospacing="0"/>
              <w:ind w:right="0"/>
              <w:rPr>
                <w:rFonts w:hint="default"/>
                <w:b/>
                <w:color w:val="auto"/>
              </w:rPr>
            </w:pPr>
            <w:r>
              <w:rPr>
                <w:rFonts w:hint="default"/>
                <w:b/>
                <w:color w:val="auto"/>
              </w:rPr>
              <w:t>参数</w:t>
            </w:r>
          </w:p>
        </w:tc>
      </w:tr>
      <w:tr w14:paraId="4101B2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restart"/>
            <w:vAlign w:val="center"/>
          </w:tcPr>
          <w:p w14:paraId="35F0EBCF">
            <w:pPr>
              <w:pStyle w:val="167"/>
              <w:keepNext w:val="0"/>
              <w:keepLines w:val="0"/>
              <w:suppressLineNumbers w:val="0"/>
              <w:spacing w:before="0" w:beforeAutospacing="0" w:after="0" w:afterAutospacing="0"/>
              <w:ind w:right="0"/>
              <w:rPr>
                <w:rFonts w:hint="default"/>
                <w:color w:val="auto"/>
              </w:rPr>
            </w:pPr>
            <w:r>
              <w:rPr>
                <w:rFonts w:hint="default"/>
                <w:color w:val="auto"/>
              </w:rPr>
              <w:t>基本情况</w:t>
            </w:r>
          </w:p>
        </w:tc>
        <w:tc>
          <w:tcPr>
            <w:tcW w:w="2451" w:type="pct"/>
            <w:vAlign w:val="center"/>
          </w:tcPr>
          <w:p w14:paraId="769344EE">
            <w:pPr>
              <w:pStyle w:val="167"/>
              <w:keepNext w:val="0"/>
              <w:keepLines w:val="0"/>
              <w:suppressLineNumbers w:val="0"/>
              <w:spacing w:before="0" w:beforeAutospacing="0" w:after="0" w:afterAutospacing="0"/>
              <w:ind w:right="0"/>
              <w:rPr>
                <w:rFonts w:hint="default"/>
                <w:color w:val="auto"/>
              </w:rPr>
            </w:pPr>
            <w:r>
              <w:rPr>
                <w:rFonts w:hint="default"/>
                <w:color w:val="auto"/>
              </w:rPr>
              <w:t>事故源经度/(°)</w:t>
            </w:r>
          </w:p>
        </w:tc>
        <w:tc>
          <w:tcPr>
            <w:tcW w:w="1493" w:type="pct"/>
            <w:gridSpan w:val="2"/>
            <w:vAlign w:val="center"/>
          </w:tcPr>
          <w:p w14:paraId="0AC84B69">
            <w:pPr>
              <w:pStyle w:val="167"/>
              <w:keepNext w:val="0"/>
              <w:keepLines w:val="0"/>
              <w:suppressLineNumbers w:val="0"/>
              <w:spacing w:before="0" w:beforeAutospacing="0" w:after="0" w:afterAutospacing="0"/>
              <w:ind w:right="0"/>
              <w:rPr>
                <w:rFonts w:hint="default"/>
                <w:color w:val="auto"/>
              </w:rPr>
            </w:pPr>
            <w:r>
              <w:rPr>
                <w:rFonts w:hint="default"/>
                <w:color w:val="auto"/>
              </w:rPr>
              <w:t>108.612204328</w:t>
            </w:r>
          </w:p>
        </w:tc>
      </w:tr>
      <w:tr w14:paraId="5E87D4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7935D430">
            <w:pPr>
              <w:pStyle w:val="167"/>
              <w:keepNext w:val="0"/>
              <w:keepLines w:val="0"/>
              <w:suppressLineNumbers w:val="0"/>
              <w:spacing w:before="0" w:beforeAutospacing="0" w:after="0" w:afterAutospacing="0"/>
              <w:ind w:right="0"/>
              <w:rPr>
                <w:rFonts w:hint="default"/>
                <w:color w:val="auto"/>
              </w:rPr>
            </w:pPr>
          </w:p>
        </w:tc>
        <w:tc>
          <w:tcPr>
            <w:tcW w:w="2451" w:type="pct"/>
            <w:vAlign w:val="center"/>
          </w:tcPr>
          <w:p w14:paraId="211A3498">
            <w:pPr>
              <w:pStyle w:val="167"/>
              <w:keepNext w:val="0"/>
              <w:keepLines w:val="0"/>
              <w:suppressLineNumbers w:val="0"/>
              <w:spacing w:before="0" w:beforeAutospacing="0" w:after="0" w:afterAutospacing="0"/>
              <w:ind w:right="0"/>
              <w:rPr>
                <w:rFonts w:hint="default"/>
                <w:color w:val="auto"/>
              </w:rPr>
            </w:pPr>
            <w:r>
              <w:rPr>
                <w:rFonts w:hint="default"/>
                <w:color w:val="auto"/>
              </w:rPr>
              <w:t>事故源纬度/(°)</w:t>
            </w:r>
          </w:p>
        </w:tc>
        <w:tc>
          <w:tcPr>
            <w:tcW w:w="1493" w:type="pct"/>
            <w:gridSpan w:val="2"/>
            <w:vAlign w:val="center"/>
          </w:tcPr>
          <w:p w14:paraId="05606824">
            <w:pPr>
              <w:pStyle w:val="167"/>
              <w:keepNext w:val="0"/>
              <w:keepLines w:val="0"/>
              <w:suppressLineNumbers w:val="0"/>
              <w:spacing w:before="0" w:beforeAutospacing="0" w:after="0" w:afterAutospacing="0"/>
              <w:ind w:right="0"/>
              <w:rPr>
                <w:rFonts w:hint="default"/>
                <w:color w:val="auto"/>
              </w:rPr>
            </w:pPr>
            <w:r>
              <w:rPr>
                <w:rFonts w:hint="default"/>
                <w:color w:val="auto"/>
              </w:rPr>
              <w:t>21.699891040</w:t>
            </w:r>
          </w:p>
        </w:tc>
      </w:tr>
      <w:tr w14:paraId="4E6F46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055" w:type="pct"/>
            <w:vMerge w:val="continue"/>
            <w:vAlign w:val="center"/>
          </w:tcPr>
          <w:p w14:paraId="1BDE6EDC">
            <w:pPr>
              <w:pStyle w:val="167"/>
              <w:keepNext w:val="0"/>
              <w:keepLines w:val="0"/>
              <w:suppressLineNumbers w:val="0"/>
              <w:spacing w:before="0" w:beforeAutospacing="0" w:after="0" w:afterAutospacing="0"/>
              <w:ind w:right="0"/>
              <w:rPr>
                <w:rFonts w:hint="default"/>
                <w:color w:val="auto"/>
              </w:rPr>
            </w:pPr>
          </w:p>
        </w:tc>
        <w:tc>
          <w:tcPr>
            <w:tcW w:w="2451" w:type="pct"/>
            <w:vAlign w:val="center"/>
          </w:tcPr>
          <w:p w14:paraId="3F4F9EA0">
            <w:pPr>
              <w:pStyle w:val="167"/>
              <w:keepNext w:val="0"/>
              <w:keepLines w:val="0"/>
              <w:suppressLineNumbers w:val="0"/>
              <w:spacing w:before="0" w:beforeAutospacing="0" w:after="0" w:afterAutospacing="0"/>
              <w:ind w:right="0"/>
              <w:rPr>
                <w:rFonts w:hint="default"/>
                <w:color w:val="auto"/>
              </w:rPr>
            </w:pPr>
            <w:r>
              <w:rPr>
                <w:rFonts w:hint="default"/>
                <w:color w:val="auto"/>
              </w:rPr>
              <w:t>事故源类型</w:t>
            </w:r>
          </w:p>
        </w:tc>
        <w:tc>
          <w:tcPr>
            <w:tcW w:w="1493" w:type="pct"/>
            <w:gridSpan w:val="2"/>
            <w:vAlign w:val="center"/>
          </w:tcPr>
          <w:p w14:paraId="6C853C82">
            <w:pPr>
              <w:pStyle w:val="167"/>
              <w:keepNext w:val="0"/>
              <w:keepLines w:val="0"/>
              <w:suppressLineNumbers w:val="0"/>
              <w:spacing w:before="0" w:beforeAutospacing="0" w:after="0" w:afterAutospacing="0"/>
              <w:ind w:right="0"/>
              <w:rPr>
                <w:rFonts w:hint="default"/>
                <w:color w:val="auto"/>
              </w:rPr>
            </w:pPr>
            <w:r>
              <w:rPr>
                <w:rFonts w:hint="default"/>
                <w:color w:val="auto"/>
              </w:rPr>
              <w:t>泄漏、火灾</w:t>
            </w:r>
          </w:p>
        </w:tc>
      </w:tr>
      <w:tr w14:paraId="58E460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restart"/>
            <w:vAlign w:val="center"/>
          </w:tcPr>
          <w:p w14:paraId="1DDD7B18">
            <w:pPr>
              <w:pStyle w:val="167"/>
              <w:keepNext w:val="0"/>
              <w:keepLines w:val="0"/>
              <w:suppressLineNumbers w:val="0"/>
              <w:spacing w:before="0" w:beforeAutospacing="0" w:after="0" w:afterAutospacing="0"/>
              <w:ind w:right="0"/>
              <w:rPr>
                <w:rFonts w:hint="default"/>
                <w:color w:val="auto"/>
              </w:rPr>
            </w:pPr>
            <w:r>
              <w:rPr>
                <w:rFonts w:hint="default"/>
                <w:color w:val="auto"/>
              </w:rPr>
              <w:t>气象参数</w:t>
            </w:r>
          </w:p>
        </w:tc>
        <w:tc>
          <w:tcPr>
            <w:tcW w:w="2451" w:type="pct"/>
            <w:vAlign w:val="center"/>
          </w:tcPr>
          <w:p w14:paraId="54C7FC51">
            <w:pPr>
              <w:pStyle w:val="167"/>
              <w:keepNext w:val="0"/>
              <w:keepLines w:val="0"/>
              <w:suppressLineNumbers w:val="0"/>
              <w:spacing w:before="0" w:beforeAutospacing="0" w:after="0" w:afterAutospacing="0"/>
              <w:ind w:right="0"/>
              <w:rPr>
                <w:rFonts w:hint="default"/>
                <w:color w:val="auto"/>
              </w:rPr>
            </w:pPr>
            <w:r>
              <w:rPr>
                <w:rFonts w:hint="default"/>
                <w:color w:val="auto"/>
              </w:rPr>
              <w:t>气象条件类型</w:t>
            </w:r>
          </w:p>
        </w:tc>
        <w:tc>
          <w:tcPr>
            <w:tcW w:w="746" w:type="pct"/>
            <w:vAlign w:val="center"/>
          </w:tcPr>
          <w:p w14:paraId="17279CE6">
            <w:pPr>
              <w:pStyle w:val="167"/>
              <w:keepNext w:val="0"/>
              <w:keepLines w:val="0"/>
              <w:suppressLineNumbers w:val="0"/>
              <w:spacing w:before="0" w:beforeAutospacing="0" w:after="0" w:afterAutospacing="0"/>
              <w:ind w:right="0"/>
              <w:rPr>
                <w:rFonts w:hint="default"/>
                <w:color w:val="auto"/>
              </w:rPr>
            </w:pPr>
            <w:r>
              <w:rPr>
                <w:rFonts w:hint="default"/>
                <w:color w:val="auto"/>
              </w:rPr>
              <w:t>最不利气象</w:t>
            </w:r>
          </w:p>
        </w:tc>
        <w:tc>
          <w:tcPr>
            <w:tcW w:w="746" w:type="pct"/>
            <w:vAlign w:val="center"/>
          </w:tcPr>
          <w:p w14:paraId="5A0B7640">
            <w:pPr>
              <w:pStyle w:val="167"/>
              <w:keepNext w:val="0"/>
              <w:keepLines w:val="0"/>
              <w:suppressLineNumbers w:val="0"/>
              <w:spacing w:before="0" w:beforeAutospacing="0" w:after="0" w:afterAutospacing="0"/>
              <w:ind w:right="0"/>
              <w:rPr>
                <w:rFonts w:hint="eastAsia" w:eastAsia="宋体"/>
                <w:color w:val="auto"/>
                <w:u w:val="single"/>
                <w:lang w:eastAsia="zh-CN"/>
              </w:rPr>
            </w:pPr>
            <w:r>
              <w:rPr>
                <w:rFonts w:hint="eastAsia"/>
                <w:color w:val="auto"/>
                <w:u w:val="single"/>
                <w:lang w:eastAsia="zh-CN"/>
              </w:rPr>
              <w:t>最常见气象</w:t>
            </w:r>
          </w:p>
        </w:tc>
      </w:tr>
      <w:tr w14:paraId="373BC6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4E02E69E">
            <w:pPr>
              <w:pStyle w:val="167"/>
              <w:keepNext w:val="0"/>
              <w:keepLines w:val="0"/>
              <w:suppressLineNumbers w:val="0"/>
              <w:spacing w:before="0" w:beforeAutospacing="0" w:after="0" w:afterAutospacing="0"/>
              <w:ind w:right="0"/>
              <w:rPr>
                <w:rFonts w:hint="default"/>
                <w:color w:val="auto"/>
              </w:rPr>
            </w:pPr>
          </w:p>
        </w:tc>
        <w:tc>
          <w:tcPr>
            <w:tcW w:w="2451" w:type="pct"/>
            <w:vAlign w:val="center"/>
          </w:tcPr>
          <w:p w14:paraId="60561F0D">
            <w:pPr>
              <w:pStyle w:val="167"/>
              <w:keepNext w:val="0"/>
              <w:keepLines w:val="0"/>
              <w:suppressLineNumbers w:val="0"/>
              <w:spacing w:before="0" w:beforeAutospacing="0" w:after="0" w:afterAutospacing="0"/>
              <w:ind w:right="0"/>
              <w:rPr>
                <w:rFonts w:hint="default"/>
                <w:color w:val="auto"/>
              </w:rPr>
            </w:pPr>
            <w:r>
              <w:rPr>
                <w:rFonts w:hint="default"/>
                <w:color w:val="auto"/>
              </w:rPr>
              <w:t>风速/（m/s）</w:t>
            </w:r>
          </w:p>
        </w:tc>
        <w:tc>
          <w:tcPr>
            <w:tcW w:w="746" w:type="pct"/>
            <w:vAlign w:val="center"/>
          </w:tcPr>
          <w:p w14:paraId="62F225E3">
            <w:pPr>
              <w:pStyle w:val="167"/>
              <w:keepNext w:val="0"/>
              <w:keepLines w:val="0"/>
              <w:suppressLineNumbers w:val="0"/>
              <w:spacing w:before="0" w:beforeAutospacing="0" w:after="0" w:afterAutospacing="0"/>
              <w:ind w:right="0"/>
              <w:rPr>
                <w:rFonts w:hint="default"/>
                <w:color w:val="auto"/>
              </w:rPr>
            </w:pPr>
            <w:r>
              <w:rPr>
                <w:rFonts w:hint="default"/>
                <w:color w:val="auto"/>
              </w:rPr>
              <w:t>1.5</w:t>
            </w:r>
          </w:p>
        </w:tc>
        <w:tc>
          <w:tcPr>
            <w:tcW w:w="746" w:type="pct"/>
            <w:vAlign w:val="center"/>
          </w:tcPr>
          <w:p w14:paraId="44682A94">
            <w:pPr>
              <w:pStyle w:val="167"/>
              <w:keepNext w:val="0"/>
              <w:keepLines w:val="0"/>
              <w:suppressLineNumbers w:val="0"/>
              <w:spacing w:before="0" w:beforeAutospacing="0" w:after="0" w:afterAutospacing="0"/>
              <w:ind w:right="0"/>
              <w:rPr>
                <w:rFonts w:hint="default" w:eastAsia="宋体"/>
                <w:color w:val="auto"/>
                <w:u w:val="single"/>
                <w:lang w:val="en-US" w:eastAsia="zh-CN"/>
              </w:rPr>
            </w:pPr>
            <w:r>
              <w:rPr>
                <w:rFonts w:hint="eastAsia"/>
                <w:color w:val="auto"/>
                <w:u w:val="single"/>
                <w:lang w:val="en-US" w:eastAsia="zh-CN"/>
              </w:rPr>
              <w:t>2.3</w:t>
            </w:r>
          </w:p>
        </w:tc>
      </w:tr>
      <w:tr w14:paraId="2E3DFD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055" w:type="pct"/>
            <w:vMerge w:val="continue"/>
            <w:vAlign w:val="center"/>
          </w:tcPr>
          <w:p w14:paraId="05C7585C">
            <w:pPr>
              <w:pStyle w:val="167"/>
              <w:keepNext w:val="0"/>
              <w:keepLines w:val="0"/>
              <w:suppressLineNumbers w:val="0"/>
              <w:spacing w:before="0" w:beforeAutospacing="0" w:after="0" w:afterAutospacing="0"/>
              <w:ind w:right="0"/>
              <w:rPr>
                <w:rFonts w:hint="default"/>
                <w:color w:val="auto"/>
              </w:rPr>
            </w:pPr>
          </w:p>
        </w:tc>
        <w:tc>
          <w:tcPr>
            <w:tcW w:w="2451" w:type="pct"/>
            <w:vAlign w:val="center"/>
          </w:tcPr>
          <w:p w14:paraId="4B9565E9">
            <w:pPr>
              <w:pStyle w:val="167"/>
              <w:keepNext w:val="0"/>
              <w:keepLines w:val="0"/>
              <w:suppressLineNumbers w:val="0"/>
              <w:spacing w:before="0" w:beforeAutospacing="0" w:after="0" w:afterAutospacing="0"/>
              <w:ind w:right="0"/>
              <w:rPr>
                <w:rFonts w:hint="default"/>
                <w:color w:val="auto"/>
              </w:rPr>
            </w:pPr>
            <w:r>
              <w:rPr>
                <w:rFonts w:hint="default"/>
                <w:color w:val="auto"/>
              </w:rPr>
              <w:t>环境温度/</w:t>
            </w:r>
            <w:r>
              <w:rPr>
                <w:rFonts w:hint="eastAsia" w:ascii="宋体" w:hAnsi="宋体" w:eastAsia="宋体" w:cs="宋体"/>
                <w:color w:val="auto"/>
              </w:rPr>
              <w:t>℃</w:t>
            </w:r>
          </w:p>
        </w:tc>
        <w:tc>
          <w:tcPr>
            <w:tcW w:w="746" w:type="pct"/>
            <w:vAlign w:val="center"/>
          </w:tcPr>
          <w:p w14:paraId="3D738718">
            <w:pPr>
              <w:pStyle w:val="167"/>
              <w:keepNext w:val="0"/>
              <w:keepLines w:val="0"/>
              <w:suppressLineNumbers w:val="0"/>
              <w:spacing w:before="0" w:beforeAutospacing="0" w:after="0" w:afterAutospacing="0"/>
              <w:ind w:right="0"/>
              <w:rPr>
                <w:rFonts w:hint="default"/>
                <w:color w:val="auto"/>
              </w:rPr>
            </w:pPr>
            <w:r>
              <w:rPr>
                <w:rFonts w:hint="default"/>
                <w:color w:val="auto"/>
              </w:rPr>
              <w:t>25</w:t>
            </w:r>
          </w:p>
        </w:tc>
        <w:tc>
          <w:tcPr>
            <w:tcW w:w="746" w:type="pct"/>
            <w:vAlign w:val="center"/>
          </w:tcPr>
          <w:p w14:paraId="2F36927D">
            <w:pPr>
              <w:pStyle w:val="167"/>
              <w:keepNext w:val="0"/>
              <w:keepLines w:val="0"/>
              <w:suppressLineNumbers w:val="0"/>
              <w:spacing w:before="0" w:beforeAutospacing="0" w:after="0" w:afterAutospacing="0"/>
              <w:ind w:right="0"/>
              <w:rPr>
                <w:rFonts w:hint="default" w:eastAsia="宋体"/>
                <w:color w:val="auto"/>
                <w:u w:val="single"/>
                <w:lang w:val="en-US" w:eastAsia="zh-CN"/>
              </w:rPr>
            </w:pPr>
            <w:r>
              <w:rPr>
                <w:rFonts w:hint="eastAsia"/>
                <w:color w:val="auto"/>
                <w:u w:val="single"/>
                <w:lang w:val="en-US" w:eastAsia="zh-CN"/>
              </w:rPr>
              <w:t>37</w:t>
            </w:r>
          </w:p>
        </w:tc>
      </w:tr>
      <w:tr w14:paraId="5AE74A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215F8B8B">
            <w:pPr>
              <w:pStyle w:val="167"/>
              <w:keepNext w:val="0"/>
              <w:keepLines w:val="0"/>
              <w:suppressLineNumbers w:val="0"/>
              <w:spacing w:before="0" w:beforeAutospacing="0" w:after="0" w:afterAutospacing="0"/>
              <w:ind w:right="0"/>
              <w:rPr>
                <w:rFonts w:hint="default"/>
                <w:color w:val="auto"/>
              </w:rPr>
            </w:pPr>
          </w:p>
        </w:tc>
        <w:tc>
          <w:tcPr>
            <w:tcW w:w="2451" w:type="pct"/>
            <w:vAlign w:val="center"/>
          </w:tcPr>
          <w:p w14:paraId="697906AB">
            <w:pPr>
              <w:pStyle w:val="167"/>
              <w:keepNext w:val="0"/>
              <w:keepLines w:val="0"/>
              <w:suppressLineNumbers w:val="0"/>
              <w:spacing w:before="0" w:beforeAutospacing="0" w:after="0" w:afterAutospacing="0"/>
              <w:ind w:right="0"/>
              <w:rPr>
                <w:rFonts w:hint="default"/>
                <w:color w:val="auto"/>
              </w:rPr>
            </w:pPr>
            <w:r>
              <w:rPr>
                <w:rFonts w:hint="default"/>
                <w:color w:val="auto"/>
              </w:rPr>
              <w:t>相对湿度/%</w:t>
            </w:r>
          </w:p>
        </w:tc>
        <w:tc>
          <w:tcPr>
            <w:tcW w:w="746" w:type="pct"/>
            <w:vAlign w:val="center"/>
          </w:tcPr>
          <w:p w14:paraId="6301D0A5">
            <w:pPr>
              <w:pStyle w:val="167"/>
              <w:keepNext w:val="0"/>
              <w:keepLines w:val="0"/>
              <w:suppressLineNumbers w:val="0"/>
              <w:spacing w:before="0" w:beforeAutospacing="0" w:after="0" w:afterAutospacing="0"/>
              <w:ind w:right="0"/>
              <w:rPr>
                <w:rFonts w:hint="default"/>
                <w:color w:val="auto"/>
              </w:rPr>
            </w:pPr>
            <w:r>
              <w:rPr>
                <w:rFonts w:hint="default"/>
                <w:color w:val="auto"/>
              </w:rPr>
              <w:t>50</w:t>
            </w:r>
          </w:p>
        </w:tc>
        <w:tc>
          <w:tcPr>
            <w:tcW w:w="746" w:type="pct"/>
            <w:vAlign w:val="center"/>
          </w:tcPr>
          <w:p w14:paraId="7BE7A64E">
            <w:pPr>
              <w:pStyle w:val="167"/>
              <w:keepNext w:val="0"/>
              <w:keepLines w:val="0"/>
              <w:suppressLineNumbers w:val="0"/>
              <w:spacing w:before="0" w:beforeAutospacing="0" w:after="0" w:afterAutospacing="0"/>
              <w:ind w:right="0"/>
              <w:rPr>
                <w:rFonts w:hint="default" w:eastAsia="宋体"/>
                <w:color w:val="auto"/>
                <w:u w:val="single"/>
                <w:lang w:val="en-US" w:eastAsia="zh-CN"/>
              </w:rPr>
            </w:pPr>
            <w:r>
              <w:rPr>
                <w:rFonts w:hint="eastAsia"/>
                <w:color w:val="auto"/>
                <w:u w:val="single"/>
                <w:lang w:val="en-US" w:eastAsia="zh-CN"/>
              </w:rPr>
              <w:t>82</w:t>
            </w:r>
          </w:p>
        </w:tc>
      </w:tr>
      <w:tr w14:paraId="6F65EE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5106A5A7">
            <w:pPr>
              <w:pStyle w:val="167"/>
              <w:keepNext w:val="0"/>
              <w:keepLines w:val="0"/>
              <w:suppressLineNumbers w:val="0"/>
              <w:spacing w:before="0" w:beforeAutospacing="0" w:after="0" w:afterAutospacing="0"/>
              <w:ind w:right="0"/>
              <w:rPr>
                <w:rFonts w:hint="default"/>
                <w:color w:val="auto"/>
              </w:rPr>
            </w:pPr>
          </w:p>
        </w:tc>
        <w:tc>
          <w:tcPr>
            <w:tcW w:w="2451" w:type="pct"/>
            <w:vAlign w:val="center"/>
          </w:tcPr>
          <w:p w14:paraId="070DD183">
            <w:pPr>
              <w:pStyle w:val="167"/>
              <w:keepNext w:val="0"/>
              <w:keepLines w:val="0"/>
              <w:suppressLineNumbers w:val="0"/>
              <w:spacing w:before="0" w:beforeAutospacing="0" w:after="0" w:afterAutospacing="0"/>
              <w:ind w:right="0"/>
              <w:rPr>
                <w:rFonts w:hint="default"/>
                <w:color w:val="auto"/>
              </w:rPr>
            </w:pPr>
            <w:r>
              <w:rPr>
                <w:rFonts w:hint="default"/>
                <w:color w:val="auto"/>
              </w:rPr>
              <w:t>稳定度</w:t>
            </w:r>
          </w:p>
        </w:tc>
        <w:tc>
          <w:tcPr>
            <w:tcW w:w="746" w:type="pct"/>
            <w:vAlign w:val="center"/>
          </w:tcPr>
          <w:p w14:paraId="382B39E6">
            <w:pPr>
              <w:pStyle w:val="167"/>
              <w:keepNext w:val="0"/>
              <w:keepLines w:val="0"/>
              <w:suppressLineNumbers w:val="0"/>
              <w:spacing w:before="0" w:beforeAutospacing="0" w:after="0" w:afterAutospacing="0"/>
              <w:ind w:right="0"/>
              <w:rPr>
                <w:rFonts w:hint="default"/>
                <w:color w:val="auto"/>
              </w:rPr>
            </w:pPr>
            <w:r>
              <w:rPr>
                <w:rFonts w:hint="default"/>
                <w:color w:val="auto"/>
              </w:rPr>
              <w:t>F稳定度</w:t>
            </w:r>
          </w:p>
        </w:tc>
        <w:tc>
          <w:tcPr>
            <w:tcW w:w="746" w:type="pct"/>
            <w:vAlign w:val="center"/>
          </w:tcPr>
          <w:p w14:paraId="2FC5B85F">
            <w:pPr>
              <w:pStyle w:val="167"/>
              <w:keepNext w:val="0"/>
              <w:keepLines w:val="0"/>
              <w:suppressLineNumbers w:val="0"/>
              <w:spacing w:before="0" w:beforeAutospacing="0" w:after="0" w:afterAutospacing="0"/>
              <w:ind w:right="0"/>
              <w:rPr>
                <w:rFonts w:hint="default"/>
                <w:color w:val="auto"/>
                <w:u w:val="single"/>
              </w:rPr>
            </w:pPr>
            <w:r>
              <w:rPr>
                <w:rFonts w:hint="default"/>
                <w:color w:val="auto"/>
                <w:u w:val="single"/>
              </w:rPr>
              <w:t>F稳定度</w:t>
            </w:r>
          </w:p>
        </w:tc>
      </w:tr>
      <w:tr w14:paraId="06F01D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055" w:type="pct"/>
            <w:vMerge w:val="restart"/>
            <w:vAlign w:val="center"/>
          </w:tcPr>
          <w:p w14:paraId="0B45E325">
            <w:pPr>
              <w:pStyle w:val="167"/>
              <w:keepNext w:val="0"/>
              <w:keepLines w:val="0"/>
              <w:suppressLineNumbers w:val="0"/>
              <w:spacing w:before="0" w:beforeAutospacing="0" w:after="0" w:afterAutospacing="0"/>
              <w:ind w:right="0"/>
              <w:rPr>
                <w:rFonts w:hint="default"/>
                <w:color w:val="auto"/>
              </w:rPr>
            </w:pPr>
            <w:r>
              <w:rPr>
                <w:rFonts w:hint="default"/>
                <w:color w:val="auto"/>
              </w:rPr>
              <w:t>其他参数</w:t>
            </w:r>
          </w:p>
        </w:tc>
        <w:tc>
          <w:tcPr>
            <w:tcW w:w="2451" w:type="pct"/>
            <w:vAlign w:val="center"/>
          </w:tcPr>
          <w:p w14:paraId="1327A7D5">
            <w:pPr>
              <w:pStyle w:val="167"/>
              <w:keepNext w:val="0"/>
              <w:keepLines w:val="0"/>
              <w:suppressLineNumbers w:val="0"/>
              <w:spacing w:before="0" w:beforeAutospacing="0" w:after="0" w:afterAutospacing="0"/>
              <w:ind w:right="0"/>
              <w:rPr>
                <w:rFonts w:hint="default"/>
                <w:color w:val="auto"/>
              </w:rPr>
            </w:pPr>
            <w:r>
              <w:rPr>
                <w:rFonts w:hint="default"/>
                <w:color w:val="auto"/>
              </w:rPr>
              <w:t>地表粗糙度/m</w:t>
            </w:r>
          </w:p>
        </w:tc>
        <w:tc>
          <w:tcPr>
            <w:tcW w:w="1493" w:type="pct"/>
            <w:gridSpan w:val="2"/>
            <w:vAlign w:val="center"/>
          </w:tcPr>
          <w:p w14:paraId="735E625A">
            <w:pPr>
              <w:pStyle w:val="167"/>
              <w:keepNext w:val="0"/>
              <w:keepLines w:val="0"/>
              <w:suppressLineNumbers w:val="0"/>
              <w:spacing w:before="0" w:beforeAutospacing="0" w:after="0" w:afterAutospacing="0"/>
              <w:ind w:right="0"/>
              <w:rPr>
                <w:rFonts w:hint="default"/>
                <w:color w:val="auto"/>
              </w:rPr>
            </w:pPr>
            <w:r>
              <w:rPr>
                <w:rFonts w:hint="default"/>
                <w:color w:val="auto"/>
              </w:rPr>
              <w:t>1</w:t>
            </w:r>
          </w:p>
        </w:tc>
      </w:tr>
      <w:tr w14:paraId="35A8EF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44B97B25">
            <w:pPr>
              <w:pStyle w:val="167"/>
              <w:keepNext w:val="0"/>
              <w:keepLines w:val="0"/>
              <w:suppressLineNumbers w:val="0"/>
              <w:spacing w:before="0" w:beforeAutospacing="0" w:after="0" w:afterAutospacing="0"/>
              <w:ind w:right="0"/>
              <w:rPr>
                <w:rFonts w:hint="default"/>
                <w:color w:val="auto"/>
              </w:rPr>
            </w:pPr>
          </w:p>
        </w:tc>
        <w:tc>
          <w:tcPr>
            <w:tcW w:w="2451" w:type="pct"/>
            <w:vAlign w:val="center"/>
          </w:tcPr>
          <w:p w14:paraId="1AB6170E">
            <w:pPr>
              <w:pStyle w:val="167"/>
              <w:keepNext w:val="0"/>
              <w:keepLines w:val="0"/>
              <w:suppressLineNumbers w:val="0"/>
              <w:spacing w:before="0" w:beforeAutospacing="0" w:after="0" w:afterAutospacing="0"/>
              <w:ind w:right="0"/>
              <w:rPr>
                <w:rFonts w:hint="default"/>
                <w:color w:val="auto"/>
              </w:rPr>
            </w:pPr>
            <w:r>
              <w:rPr>
                <w:rFonts w:hint="default"/>
                <w:color w:val="auto"/>
              </w:rPr>
              <w:t>是否考虑地形</w:t>
            </w:r>
          </w:p>
        </w:tc>
        <w:tc>
          <w:tcPr>
            <w:tcW w:w="1493" w:type="pct"/>
            <w:gridSpan w:val="2"/>
            <w:vAlign w:val="center"/>
          </w:tcPr>
          <w:p w14:paraId="569F3B0B">
            <w:pPr>
              <w:pStyle w:val="167"/>
              <w:keepNext w:val="0"/>
              <w:keepLines w:val="0"/>
              <w:suppressLineNumbers w:val="0"/>
              <w:spacing w:before="0" w:beforeAutospacing="0" w:after="0" w:afterAutospacing="0"/>
              <w:ind w:right="0"/>
              <w:rPr>
                <w:rFonts w:hint="default"/>
                <w:color w:val="auto"/>
              </w:rPr>
            </w:pPr>
            <w:r>
              <w:rPr>
                <w:rFonts w:hint="default"/>
                <w:color w:val="auto"/>
              </w:rPr>
              <w:t>是</w:t>
            </w:r>
          </w:p>
        </w:tc>
      </w:tr>
      <w:tr w14:paraId="6B7D48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2" w:hRule="atLeast"/>
          <w:jc w:val="center"/>
        </w:trPr>
        <w:tc>
          <w:tcPr>
            <w:tcW w:w="1055" w:type="pct"/>
            <w:vMerge w:val="continue"/>
            <w:vAlign w:val="center"/>
          </w:tcPr>
          <w:p w14:paraId="2CF37883">
            <w:pPr>
              <w:pStyle w:val="167"/>
              <w:keepNext w:val="0"/>
              <w:keepLines w:val="0"/>
              <w:suppressLineNumbers w:val="0"/>
              <w:spacing w:before="0" w:beforeAutospacing="0" w:after="0" w:afterAutospacing="0"/>
              <w:ind w:right="0"/>
              <w:rPr>
                <w:rFonts w:hint="default"/>
                <w:color w:val="auto"/>
              </w:rPr>
            </w:pPr>
          </w:p>
        </w:tc>
        <w:tc>
          <w:tcPr>
            <w:tcW w:w="2451" w:type="pct"/>
            <w:vAlign w:val="center"/>
          </w:tcPr>
          <w:p w14:paraId="1362F623">
            <w:pPr>
              <w:pStyle w:val="167"/>
              <w:keepNext w:val="0"/>
              <w:keepLines w:val="0"/>
              <w:suppressLineNumbers w:val="0"/>
              <w:spacing w:before="0" w:beforeAutospacing="0" w:after="0" w:afterAutospacing="0"/>
              <w:ind w:right="0"/>
              <w:rPr>
                <w:rFonts w:hint="default"/>
                <w:color w:val="auto"/>
              </w:rPr>
            </w:pPr>
            <w:r>
              <w:rPr>
                <w:rFonts w:hint="default"/>
                <w:color w:val="auto"/>
              </w:rPr>
              <w:t>地形数据精度</w:t>
            </w:r>
          </w:p>
        </w:tc>
        <w:tc>
          <w:tcPr>
            <w:tcW w:w="1493" w:type="pct"/>
            <w:gridSpan w:val="2"/>
            <w:vAlign w:val="center"/>
          </w:tcPr>
          <w:p w14:paraId="56894733">
            <w:pPr>
              <w:pStyle w:val="167"/>
              <w:keepNext w:val="0"/>
              <w:keepLines w:val="0"/>
              <w:suppressLineNumbers w:val="0"/>
              <w:spacing w:before="0" w:beforeAutospacing="0" w:after="0" w:afterAutospacing="0"/>
              <w:ind w:right="0"/>
              <w:rPr>
                <w:rFonts w:hint="default"/>
                <w:color w:val="auto"/>
              </w:rPr>
            </w:pPr>
            <w:r>
              <w:rPr>
                <w:rFonts w:hint="default"/>
                <w:color w:val="auto"/>
              </w:rPr>
              <w:t>90</w:t>
            </w:r>
          </w:p>
        </w:tc>
      </w:tr>
    </w:tbl>
    <w:p w14:paraId="261F7C4D">
      <w:pPr>
        <w:pStyle w:val="14"/>
        <w:rPr>
          <w:color w:val="auto"/>
        </w:rPr>
      </w:pPr>
      <w:r>
        <w:rPr>
          <w:rFonts w:hint="eastAsia"/>
          <w:color w:val="auto"/>
        </w:rPr>
        <w:t>表</w:t>
      </w:r>
      <w:r>
        <w:rPr>
          <w:color w:val="auto"/>
        </w:rPr>
        <w:t>5.5</w:t>
      </w:r>
      <w:r>
        <w:rPr>
          <w:color w:val="auto"/>
        </w:rPr>
        <w:noBreakHyphen/>
      </w:r>
      <w:r>
        <w:rPr>
          <w:color w:val="auto"/>
        </w:rPr>
        <w:t>3危险物质大气毒性终点浓度选取值</w:t>
      </w:r>
    </w:p>
    <w:tbl>
      <w:tblPr>
        <w:tblStyle w:val="43"/>
        <w:tblW w:w="493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236"/>
        <w:gridCol w:w="1553"/>
        <w:gridCol w:w="2845"/>
        <w:gridCol w:w="2811"/>
      </w:tblGrid>
      <w:tr w14:paraId="62F316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4" w:type="pct"/>
            <w:vAlign w:val="center"/>
          </w:tcPr>
          <w:p w14:paraId="20F0694C">
            <w:pPr>
              <w:pStyle w:val="167"/>
              <w:keepNext w:val="0"/>
              <w:keepLines w:val="0"/>
              <w:suppressLineNumbers w:val="0"/>
              <w:spacing w:before="0" w:beforeAutospacing="0" w:after="0" w:afterAutospacing="0"/>
              <w:ind w:right="0"/>
              <w:rPr>
                <w:rFonts w:hint="default"/>
                <w:color w:val="auto"/>
              </w:rPr>
            </w:pPr>
            <w:r>
              <w:rPr>
                <w:rFonts w:hint="default"/>
                <w:color w:val="auto"/>
              </w:rPr>
              <w:t>污染物</w:t>
            </w:r>
          </w:p>
        </w:tc>
        <w:tc>
          <w:tcPr>
            <w:tcW w:w="822" w:type="pct"/>
            <w:vAlign w:val="center"/>
          </w:tcPr>
          <w:p w14:paraId="42043B7C">
            <w:pPr>
              <w:pStyle w:val="167"/>
              <w:keepNext w:val="0"/>
              <w:keepLines w:val="0"/>
              <w:suppressLineNumbers w:val="0"/>
              <w:spacing w:before="0" w:beforeAutospacing="0" w:after="0" w:afterAutospacing="0"/>
              <w:ind w:right="0"/>
              <w:rPr>
                <w:rFonts w:hint="default"/>
                <w:color w:val="auto"/>
              </w:rPr>
            </w:pPr>
            <w:r>
              <w:rPr>
                <w:rFonts w:hint="default"/>
                <w:color w:val="auto"/>
              </w:rPr>
              <w:t>相对蒸</w:t>
            </w:r>
            <w:r>
              <w:rPr>
                <w:rFonts w:hint="eastAsia"/>
                <w:color w:val="auto"/>
              </w:rPr>
              <w:t>气</w:t>
            </w:r>
            <w:r>
              <w:rPr>
                <w:rFonts w:hint="default"/>
                <w:color w:val="auto"/>
              </w:rPr>
              <w:t>密度（kg/m</w:t>
            </w:r>
            <w:r>
              <w:rPr>
                <w:rFonts w:hint="default"/>
                <w:color w:val="auto"/>
                <w:vertAlign w:val="superscript"/>
              </w:rPr>
              <w:t>3</w:t>
            </w:r>
            <w:r>
              <w:rPr>
                <w:rFonts w:hint="default"/>
                <w:color w:val="auto"/>
              </w:rPr>
              <w:t>）</w:t>
            </w:r>
          </w:p>
        </w:tc>
        <w:tc>
          <w:tcPr>
            <w:tcW w:w="1506" w:type="pct"/>
            <w:vAlign w:val="center"/>
          </w:tcPr>
          <w:p w14:paraId="376AEAB3">
            <w:pPr>
              <w:pStyle w:val="167"/>
              <w:keepNext w:val="0"/>
              <w:keepLines w:val="0"/>
              <w:suppressLineNumbers w:val="0"/>
              <w:spacing w:before="0" w:beforeAutospacing="0" w:after="0" w:afterAutospacing="0"/>
              <w:ind w:right="0"/>
              <w:rPr>
                <w:rFonts w:hint="default"/>
                <w:color w:val="auto"/>
              </w:rPr>
            </w:pPr>
            <w:r>
              <w:rPr>
                <w:rFonts w:hint="default"/>
                <w:color w:val="auto"/>
              </w:rPr>
              <w:t>毒性终点浓度-1（mg/m</w:t>
            </w:r>
            <w:r>
              <w:rPr>
                <w:rFonts w:hint="default"/>
                <w:color w:val="auto"/>
                <w:vertAlign w:val="superscript"/>
              </w:rPr>
              <w:t>3</w:t>
            </w:r>
            <w:r>
              <w:rPr>
                <w:rFonts w:hint="default"/>
                <w:color w:val="auto"/>
              </w:rPr>
              <w:t>）</w:t>
            </w:r>
          </w:p>
        </w:tc>
        <w:tc>
          <w:tcPr>
            <w:tcW w:w="1488" w:type="pct"/>
            <w:vAlign w:val="center"/>
          </w:tcPr>
          <w:p w14:paraId="1BBAA906">
            <w:pPr>
              <w:pStyle w:val="167"/>
              <w:keepNext w:val="0"/>
              <w:keepLines w:val="0"/>
              <w:suppressLineNumbers w:val="0"/>
              <w:spacing w:before="0" w:beforeAutospacing="0" w:after="0" w:afterAutospacing="0"/>
              <w:ind w:right="0"/>
              <w:rPr>
                <w:rFonts w:hint="default"/>
                <w:color w:val="auto"/>
              </w:rPr>
            </w:pPr>
            <w:r>
              <w:rPr>
                <w:rFonts w:hint="default"/>
                <w:color w:val="auto"/>
              </w:rPr>
              <w:t>毒性终点浓度-2（mg/m</w:t>
            </w:r>
            <w:r>
              <w:rPr>
                <w:rFonts w:hint="default"/>
                <w:color w:val="auto"/>
                <w:vertAlign w:val="superscript"/>
              </w:rPr>
              <w:t>3</w:t>
            </w:r>
            <w:r>
              <w:rPr>
                <w:rFonts w:hint="default"/>
                <w:color w:val="auto"/>
              </w:rPr>
              <w:t>）</w:t>
            </w:r>
          </w:p>
        </w:tc>
      </w:tr>
      <w:tr w14:paraId="5025EF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4" w:type="pct"/>
            <w:vAlign w:val="center"/>
          </w:tcPr>
          <w:p w14:paraId="22AF7BB5">
            <w:pPr>
              <w:pStyle w:val="167"/>
              <w:keepNext w:val="0"/>
              <w:keepLines w:val="0"/>
              <w:suppressLineNumbers w:val="0"/>
              <w:spacing w:before="0" w:beforeAutospacing="0" w:after="0" w:afterAutospacing="0"/>
              <w:ind w:right="0"/>
              <w:rPr>
                <w:rFonts w:hint="default"/>
                <w:color w:val="auto"/>
              </w:rPr>
            </w:pPr>
            <w:r>
              <w:rPr>
                <w:rFonts w:hint="eastAsia"/>
                <w:color w:val="auto"/>
              </w:rPr>
              <w:t>甲基叔丁基醚</w:t>
            </w:r>
          </w:p>
        </w:tc>
        <w:tc>
          <w:tcPr>
            <w:tcW w:w="822" w:type="pct"/>
          </w:tcPr>
          <w:p w14:paraId="4129A61F">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3.1</w:t>
            </w:r>
          </w:p>
        </w:tc>
        <w:tc>
          <w:tcPr>
            <w:tcW w:w="1506" w:type="pct"/>
            <w:vAlign w:val="center"/>
          </w:tcPr>
          <w:p w14:paraId="75D6C528">
            <w:pPr>
              <w:pStyle w:val="77"/>
              <w:keepNext w:val="0"/>
              <w:keepLines w:val="0"/>
              <w:suppressLineNumbers w:val="0"/>
              <w:spacing w:before="0" w:beforeAutospacing="0" w:after="0" w:afterAutospacing="0"/>
              <w:ind w:left="0" w:right="0"/>
              <w:rPr>
                <w:rFonts w:hint="default"/>
                <w:color w:val="auto"/>
              </w:rPr>
            </w:pPr>
            <w:r>
              <w:rPr>
                <w:rFonts w:hint="default"/>
                <w:color w:val="auto"/>
              </w:rPr>
              <w:t>19000</w:t>
            </w:r>
          </w:p>
        </w:tc>
        <w:tc>
          <w:tcPr>
            <w:tcW w:w="1488" w:type="pct"/>
            <w:vAlign w:val="center"/>
          </w:tcPr>
          <w:p w14:paraId="4B567DD3">
            <w:pPr>
              <w:pStyle w:val="77"/>
              <w:keepNext w:val="0"/>
              <w:keepLines w:val="0"/>
              <w:suppressLineNumbers w:val="0"/>
              <w:spacing w:before="0" w:beforeAutospacing="0" w:after="0" w:afterAutospacing="0"/>
              <w:ind w:left="0" w:right="0"/>
              <w:rPr>
                <w:rFonts w:hint="default"/>
                <w:color w:val="auto"/>
              </w:rPr>
            </w:pPr>
            <w:r>
              <w:rPr>
                <w:rFonts w:hint="default"/>
                <w:color w:val="auto"/>
              </w:rPr>
              <w:t>2100</w:t>
            </w:r>
          </w:p>
        </w:tc>
      </w:tr>
      <w:tr w14:paraId="705C6C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4" w:type="pct"/>
            <w:vAlign w:val="center"/>
          </w:tcPr>
          <w:p w14:paraId="5A70579D">
            <w:pPr>
              <w:pStyle w:val="167"/>
              <w:keepNext w:val="0"/>
              <w:keepLines w:val="0"/>
              <w:suppressLineNumbers w:val="0"/>
              <w:spacing w:before="0" w:beforeAutospacing="0" w:after="0" w:afterAutospacing="0"/>
              <w:ind w:right="0"/>
              <w:rPr>
                <w:rFonts w:hint="default"/>
                <w:color w:val="auto"/>
              </w:rPr>
            </w:pPr>
            <w:r>
              <w:rPr>
                <w:rFonts w:hint="eastAsia"/>
                <w:color w:val="auto"/>
              </w:rPr>
              <w:t>异辛烷（烷基化油）</w:t>
            </w:r>
          </w:p>
        </w:tc>
        <w:tc>
          <w:tcPr>
            <w:tcW w:w="822" w:type="pct"/>
          </w:tcPr>
          <w:p w14:paraId="22DE09D0">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3.9</w:t>
            </w:r>
          </w:p>
        </w:tc>
        <w:tc>
          <w:tcPr>
            <w:tcW w:w="1506" w:type="pct"/>
            <w:vAlign w:val="center"/>
          </w:tcPr>
          <w:p w14:paraId="3B2B39FE">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488" w:type="pct"/>
            <w:vAlign w:val="center"/>
          </w:tcPr>
          <w:p w14:paraId="045C9F6B">
            <w:pPr>
              <w:pStyle w:val="77"/>
              <w:keepNext w:val="0"/>
              <w:keepLines w:val="0"/>
              <w:suppressLineNumbers w:val="0"/>
              <w:spacing w:before="0" w:beforeAutospacing="0" w:after="0" w:afterAutospacing="0"/>
              <w:ind w:left="0" w:right="0"/>
              <w:rPr>
                <w:rFonts w:hint="default"/>
                <w:color w:val="auto"/>
              </w:rPr>
            </w:pPr>
            <w:r>
              <w:rPr>
                <w:rFonts w:hint="eastAsia"/>
                <w:color w:val="auto"/>
              </w:rPr>
              <w:t>80</w:t>
            </w:r>
          </w:p>
        </w:tc>
      </w:tr>
      <w:tr w14:paraId="0FD672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4" w:type="pct"/>
            <w:vAlign w:val="center"/>
          </w:tcPr>
          <w:p w14:paraId="24C28B35">
            <w:pPr>
              <w:pStyle w:val="167"/>
              <w:keepNext w:val="0"/>
              <w:keepLines w:val="0"/>
              <w:suppressLineNumbers w:val="0"/>
              <w:spacing w:before="0" w:beforeAutospacing="0" w:after="0" w:afterAutospacing="0"/>
              <w:ind w:right="0"/>
              <w:rPr>
                <w:rFonts w:hint="default"/>
                <w:color w:val="auto"/>
              </w:rPr>
            </w:pPr>
            <w:r>
              <w:rPr>
                <w:rFonts w:hint="eastAsia"/>
                <w:color w:val="auto"/>
              </w:rPr>
              <w:t>石脑油</w:t>
            </w:r>
          </w:p>
        </w:tc>
        <w:tc>
          <w:tcPr>
            <w:tcW w:w="822" w:type="pct"/>
          </w:tcPr>
          <w:p w14:paraId="5663400D">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9.3</w:t>
            </w:r>
          </w:p>
        </w:tc>
        <w:tc>
          <w:tcPr>
            <w:tcW w:w="1506" w:type="pct"/>
            <w:vAlign w:val="center"/>
          </w:tcPr>
          <w:p w14:paraId="389D1DB9">
            <w:pPr>
              <w:pStyle w:val="77"/>
              <w:keepNext w:val="0"/>
              <w:keepLines w:val="0"/>
              <w:suppressLineNumbers w:val="0"/>
              <w:spacing w:before="0" w:beforeAutospacing="0" w:after="0" w:afterAutospacing="0"/>
              <w:ind w:left="0" w:right="0"/>
              <w:rPr>
                <w:rFonts w:hint="default"/>
                <w:color w:val="auto"/>
              </w:rPr>
            </w:pPr>
            <w:r>
              <w:rPr>
                <w:rFonts w:hint="eastAsia"/>
                <w:color w:val="auto"/>
              </w:rPr>
              <w:t>16000</w:t>
            </w:r>
          </w:p>
        </w:tc>
        <w:tc>
          <w:tcPr>
            <w:tcW w:w="1488" w:type="pct"/>
            <w:vAlign w:val="center"/>
          </w:tcPr>
          <w:p w14:paraId="7E8A045D">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7FFA03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4" w:type="pct"/>
            <w:vAlign w:val="center"/>
          </w:tcPr>
          <w:p w14:paraId="3102B8F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CO</w:t>
            </w:r>
          </w:p>
        </w:tc>
        <w:tc>
          <w:tcPr>
            <w:tcW w:w="822" w:type="pct"/>
          </w:tcPr>
          <w:p w14:paraId="507FE780">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1.25</w:t>
            </w:r>
          </w:p>
        </w:tc>
        <w:tc>
          <w:tcPr>
            <w:tcW w:w="1506" w:type="pct"/>
            <w:vAlign w:val="center"/>
          </w:tcPr>
          <w:p w14:paraId="55E103AC">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380</w:t>
            </w:r>
          </w:p>
        </w:tc>
        <w:tc>
          <w:tcPr>
            <w:tcW w:w="1488" w:type="pct"/>
            <w:vAlign w:val="center"/>
          </w:tcPr>
          <w:p w14:paraId="3456C616">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95</w:t>
            </w:r>
          </w:p>
        </w:tc>
      </w:tr>
      <w:tr w14:paraId="628494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4" w:type="pct"/>
            <w:vAlign w:val="center"/>
          </w:tcPr>
          <w:p w14:paraId="513AE58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SO</w:t>
            </w:r>
            <w:r>
              <w:rPr>
                <w:rFonts w:hint="eastAsia"/>
                <w:color w:val="auto"/>
                <w:sz w:val="21"/>
                <w:szCs w:val="21"/>
                <w:vertAlign w:val="subscript"/>
              </w:rPr>
              <w:t>2</w:t>
            </w:r>
          </w:p>
        </w:tc>
        <w:tc>
          <w:tcPr>
            <w:tcW w:w="822" w:type="pct"/>
          </w:tcPr>
          <w:p w14:paraId="5B838D1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2.9275</w:t>
            </w:r>
          </w:p>
        </w:tc>
        <w:tc>
          <w:tcPr>
            <w:tcW w:w="1506" w:type="pct"/>
            <w:vAlign w:val="center"/>
          </w:tcPr>
          <w:p w14:paraId="60C93FB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79</w:t>
            </w:r>
          </w:p>
        </w:tc>
        <w:tc>
          <w:tcPr>
            <w:tcW w:w="1488" w:type="pct"/>
            <w:vAlign w:val="center"/>
          </w:tcPr>
          <w:p w14:paraId="239D3EF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w:t>
            </w:r>
          </w:p>
        </w:tc>
      </w:tr>
    </w:tbl>
    <w:p w14:paraId="355F4081">
      <w:pPr>
        <w:pStyle w:val="117"/>
        <w:rPr>
          <w:color w:val="auto"/>
        </w:rPr>
      </w:pPr>
      <w:r>
        <w:rPr>
          <w:rFonts w:hint="eastAsia"/>
          <w:color w:val="auto"/>
        </w:rPr>
        <w:t>异辛烷（烷基化油）、石脑油的毒性重点浓度在《建设项目环境风险评价技术导则》（HJ169-2018）附录H未给出，根据急性毒性确定。</w:t>
      </w:r>
    </w:p>
    <w:p w14:paraId="223A6051">
      <w:pPr>
        <w:pStyle w:val="4"/>
        <w:rPr>
          <w:color w:val="auto"/>
        </w:rPr>
      </w:pPr>
      <w:r>
        <w:rPr>
          <w:rFonts w:hint="eastAsia"/>
          <w:color w:val="auto"/>
        </w:rPr>
        <w:t>预测结果</w:t>
      </w:r>
    </w:p>
    <w:p w14:paraId="348DD9E5">
      <w:pPr>
        <w:ind w:firstLine="482" w:firstLineChars="0"/>
        <w:rPr>
          <w:color w:val="auto"/>
        </w:rPr>
      </w:pPr>
      <w:r>
        <w:rPr>
          <w:rFonts w:hint="eastAsia"/>
          <w:color w:val="auto"/>
        </w:rPr>
        <w:t>根据陆域最大可信事故：甲基叔丁基醚（MTBE）、异辛烷（烷基化油）、蜡油的</w:t>
      </w:r>
      <w:r>
        <w:rPr>
          <w:color w:val="auto"/>
        </w:rPr>
        <w:t>源项分析，储罐在泄漏后形成液池，在最不利气象条件下，</w:t>
      </w:r>
      <w:r>
        <w:rPr>
          <w:rFonts w:hint="eastAsia"/>
          <w:color w:val="auto"/>
        </w:rPr>
        <w:t>甲基叔丁基醚（MTBE）、异辛烷（烷基化油）、石脑油的</w:t>
      </w:r>
      <w:r>
        <w:rPr>
          <w:color w:val="auto"/>
        </w:rPr>
        <w:t>蒸发速率分别为</w:t>
      </w:r>
      <w:r>
        <w:rPr>
          <w:rFonts w:hint="eastAsia"/>
          <w:color w:val="auto"/>
        </w:rPr>
        <w:t>0</w:t>
      </w:r>
      <w:r>
        <w:rPr>
          <w:color w:val="auto"/>
        </w:rPr>
        <w:t>.139kg/s、</w:t>
      </w:r>
      <w:r>
        <w:rPr>
          <w:rFonts w:hint="eastAsia"/>
          <w:color w:val="auto"/>
        </w:rPr>
        <w:t>0.</w:t>
      </w:r>
      <w:r>
        <w:rPr>
          <w:color w:val="auto"/>
        </w:rPr>
        <w:t>034kg/s、</w:t>
      </w:r>
      <w:r>
        <w:rPr>
          <w:rFonts w:hint="eastAsia"/>
          <w:color w:val="auto"/>
        </w:rPr>
        <w:t>0</w:t>
      </w:r>
      <w:r>
        <w:rPr>
          <w:color w:val="auto"/>
        </w:rPr>
        <w:t>.357kg/s。</w:t>
      </w:r>
    </w:p>
    <w:p w14:paraId="1D83CF60">
      <w:pPr>
        <w:ind w:firstLine="482" w:firstLineChars="0"/>
        <w:rPr>
          <w:rFonts w:hint="eastAsia" w:eastAsia="宋体"/>
          <w:color w:val="auto"/>
          <w:u w:val="single"/>
          <w:lang w:eastAsia="zh-CN"/>
        </w:rPr>
      </w:pPr>
      <w:r>
        <w:rPr>
          <w:rFonts w:hint="eastAsia"/>
          <w:color w:val="auto"/>
          <w:u w:val="single"/>
          <w:lang w:eastAsia="zh-CN"/>
        </w:rPr>
        <w:t>在最常见气象条件下，</w:t>
      </w:r>
      <w:r>
        <w:rPr>
          <w:rFonts w:hint="eastAsia"/>
          <w:color w:val="auto"/>
          <w:u w:val="single"/>
        </w:rPr>
        <w:t>甲基叔丁基醚（MTBE）、异辛烷（烷基化油）、石脑油的</w:t>
      </w:r>
      <w:r>
        <w:rPr>
          <w:color w:val="auto"/>
          <w:u w:val="single"/>
        </w:rPr>
        <w:t>蒸发速率分别为</w:t>
      </w:r>
      <w:r>
        <w:rPr>
          <w:rFonts w:hint="eastAsia"/>
          <w:color w:val="auto"/>
          <w:u w:val="single"/>
        </w:rPr>
        <w:t>0</w:t>
      </w:r>
      <w:r>
        <w:rPr>
          <w:color w:val="auto"/>
          <w:u w:val="single"/>
        </w:rPr>
        <w:t>.</w:t>
      </w:r>
      <w:r>
        <w:rPr>
          <w:rFonts w:hint="eastAsia"/>
          <w:color w:val="auto"/>
          <w:u w:val="single"/>
          <w:lang w:val="en-US" w:eastAsia="zh-CN"/>
        </w:rPr>
        <w:t>191</w:t>
      </w:r>
      <w:r>
        <w:rPr>
          <w:color w:val="auto"/>
          <w:u w:val="single"/>
        </w:rPr>
        <w:t>kg/s、</w:t>
      </w:r>
      <w:r>
        <w:rPr>
          <w:rFonts w:hint="eastAsia"/>
          <w:color w:val="auto"/>
          <w:u w:val="single"/>
        </w:rPr>
        <w:t>0.</w:t>
      </w:r>
      <w:r>
        <w:rPr>
          <w:color w:val="auto"/>
          <w:u w:val="single"/>
        </w:rPr>
        <w:t>0</w:t>
      </w:r>
      <w:r>
        <w:rPr>
          <w:rFonts w:hint="eastAsia"/>
          <w:color w:val="auto"/>
          <w:u w:val="single"/>
          <w:lang w:val="en-US" w:eastAsia="zh-CN"/>
        </w:rPr>
        <w:t>47</w:t>
      </w:r>
      <w:r>
        <w:rPr>
          <w:color w:val="auto"/>
          <w:u w:val="single"/>
        </w:rPr>
        <w:t>kg/s、</w:t>
      </w:r>
      <w:r>
        <w:rPr>
          <w:rFonts w:hint="eastAsia"/>
          <w:color w:val="auto"/>
          <w:u w:val="single"/>
        </w:rPr>
        <w:t>0</w:t>
      </w:r>
      <w:r>
        <w:rPr>
          <w:color w:val="auto"/>
          <w:u w:val="single"/>
        </w:rPr>
        <w:t>.</w:t>
      </w:r>
      <w:r>
        <w:rPr>
          <w:rFonts w:hint="eastAsia"/>
          <w:color w:val="auto"/>
          <w:u w:val="single"/>
          <w:lang w:val="en-US" w:eastAsia="zh-CN"/>
        </w:rPr>
        <w:t>43</w:t>
      </w:r>
      <w:r>
        <w:rPr>
          <w:color w:val="auto"/>
          <w:u w:val="single"/>
        </w:rPr>
        <w:t>7kg/s</w:t>
      </w:r>
      <w:r>
        <w:rPr>
          <w:rFonts w:hint="eastAsia"/>
          <w:color w:val="auto"/>
          <w:u w:val="single"/>
          <w:lang w:eastAsia="zh-CN"/>
        </w:rPr>
        <w:t>。</w:t>
      </w:r>
    </w:p>
    <w:p w14:paraId="40ECF132">
      <w:pPr>
        <w:ind w:firstLine="482" w:firstLineChars="0"/>
        <w:rPr>
          <w:rFonts w:hint="eastAsia"/>
          <w:color w:val="auto"/>
          <w:kern w:val="0"/>
          <w:szCs w:val="20"/>
        </w:rPr>
      </w:pPr>
      <w:r>
        <w:rPr>
          <w:rFonts w:hint="eastAsia"/>
          <w:color w:val="auto"/>
        </w:rPr>
        <w:t>渣油泄漏</w:t>
      </w:r>
      <w:r>
        <w:rPr>
          <w:color w:val="auto"/>
        </w:rPr>
        <w:t>并发生</w:t>
      </w:r>
      <w:r>
        <w:rPr>
          <w:rFonts w:hint="eastAsia"/>
          <w:color w:val="auto"/>
        </w:rPr>
        <w:t>火灾</w:t>
      </w:r>
      <w:r>
        <w:rPr>
          <w:color w:val="auto"/>
        </w:rPr>
        <w:t>伴生</w:t>
      </w:r>
      <w:r>
        <w:rPr>
          <w:rFonts w:hint="eastAsia"/>
          <w:color w:val="auto"/>
        </w:rPr>
        <w:t>SO</w:t>
      </w:r>
      <w:r>
        <w:rPr>
          <w:rFonts w:hint="eastAsia"/>
          <w:color w:val="auto"/>
          <w:vertAlign w:val="subscript"/>
        </w:rPr>
        <w:t>2</w:t>
      </w:r>
      <w:r>
        <w:rPr>
          <w:rFonts w:hint="eastAsia"/>
          <w:color w:val="auto"/>
        </w:rPr>
        <w:t>、CO的</w:t>
      </w:r>
      <w:r>
        <w:rPr>
          <w:color w:val="auto"/>
        </w:rPr>
        <w:t>产生，</w:t>
      </w:r>
      <w:r>
        <w:rPr>
          <w:rFonts w:hint="eastAsia"/>
          <w:color w:val="auto"/>
        </w:rPr>
        <w:t>SO</w:t>
      </w:r>
      <w:r>
        <w:rPr>
          <w:rFonts w:hint="eastAsia"/>
          <w:color w:val="auto"/>
          <w:vertAlign w:val="subscript"/>
        </w:rPr>
        <w:t>2</w:t>
      </w:r>
      <w:r>
        <w:rPr>
          <w:rFonts w:hint="eastAsia"/>
          <w:color w:val="auto"/>
        </w:rPr>
        <w:t>、CO的产生</w:t>
      </w:r>
      <w:r>
        <w:rPr>
          <w:color w:val="auto"/>
        </w:rPr>
        <w:t>速率</w:t>
      </w:r>
      <w:r>
        <w:rPr>
          <w:rFonts w:hint="eastAsia"/>
          <w:color w:val="auto"/>
        </w:rPr>
        <w:t>分别</w:t>
      </w:r>
      <w:r>
        <w:rPr>
          <w:color w:val="auto"/>
        </w:rPr>
        <w:t>为</w:t>
      </w:r>
      <w:r>
        <w:rPr>
          <w:rFonts w:hint="eastAsia"/>
          <w:color w:val="auto"/>
        </w:rPr>
        <w:t>0.0</w:t>
      </w:r>
      <w:r>
        <w:rPr>
          <w:color w:val="auto"/>
        </w:rPr>
        <w:t>399kg/s</w:t>
      </w:r>
      <w:r>
        <w:rPr>
          <w:rFonts w:hint="eastAsia"/>
          <w:color w:val="auto"/>
        </w:rPr>
        <w:t>、</w:t>
      </w:r>
      <w:r>
        <w:rPr>
          <w:rFonts w:hint="eastAsia"/>
          <w:color w:val="auto"/>
          <w:kern w:val="0"/>
          <w:szCs w:val="20"/>
        </w:rPr>
        <w:t>0.</w:t>
      </w:r>
      <w:r>
        <w:rPr>
          <w:color w:val="auto"/>
          <w:kern w:val="0"/>
          <w:szCs w:val="20"/>
        </w:rPr>
        <w:t>035kg/s</w:t>
      </w:r>
      <w:r>
        <w:rPr>
          <w:rFonts w:hint="eastAsia"/>
          <w:color w:val="auto"/>
          <w:kern w:val="0"/>
          <w:szCs w:val="20"/>
        </w:rPr>
        <w:t>。</w:t>
      </w:r>
    </w:p>
    <w:p w14:paraId="3FDC43F6">
      <w:pPr>
        <w:ind w:firstLine="482" w:firstLineChars="0"/>
        <w:rPr>
          <w:color w:val="auto"/>
          <w:kern w:val="0"/>
          <w:szCs w:val="20"/>
        </w:rPr>
      </w:pPr>
      <w:r>
        <w:rPr>
          <w:rFonts w:hint="eastAsia"/>
          <w:color w:val="auto"/>
          <w:kern w:val="0"/>
          <w:szCs w:val="20"/>
        </w:rPr>
        <w:t>根据《建设项目环境风险评价技术导则》（HJ169-2018）推荐的预测结果如下：</w:t>
      </w:r>
    </w:p>
    <w:p w14:paraId="08410E05">
      <w:pPr>
        <w:ind w:firstLine="482" w:firstLineChars="0"/>
        <w:rPr>
          <w:color w:val="auto"/>
          <w:kern w:val="0"/>
          <w:szCs w:val="20"/>
        </w:rPr>
        <w:sectPr>
          <w:headerReference r:id="rId37" w:type="default"/>
          <w:pgSz w:w="11906" w:h="16838"/>
          <w:pgMar w:top="1440" w:right="1134" w:bottom="1440" w:left="1417" w:header="851" w:footer="680" w:gutter="0"/>
          <w:cols w:space="720" w:num="1"/>
          <w:docGrid w:type="lines" w:linePitch="326" w:charSpace="0"/>
        </w:sectPr>
      </w:pPr>
    </w:p>
    <w:p w14:paraId="2C7194CE">
      <w:pPr>
        <w:pStyle w:val="14"/>
        <w:rPr>
          <w:color w:val="auto"/>
        </w:rPr>
      </w:pPr>
      <w:r>
        <w:rPr>
          <w:rFonts w:hint="eastAsia"/>
          <w:color w:val="auto"/>
        </w:rPr>
        <w:t>表</w:t>
      </w:r>
      <w:r>
        <w:rPr>
          <w:color w:val="auto"/>
        </w:rPr>
        <w:t>5.5</w:t>
      </w:r>
      <w:r>
        <w:rPr>
          <w:color w:val="auto"/>
        </w:rPr>
        <w:noBreakHyphen/>
      </w:r>
      <w:r>
        <w:rPr>
          <w:color w:val="auto"/>
        </w:rPr>
        <w:t>4</w:t>
      </w:r>
      <w:r>
        <w:rPr>
          <w:rFonts w:hint="eastAsia"/>
          <w:color w:val="auto"/>
        </w:rPr>
        <w:t>最不利气象条件下，各危险物质轴线的最大浓度</w:t>
      </w:r>
    </w:p>
    <w:tbl>
      <w:tblPr>
        <w:tblStyle w:val="231"/>
        <w:tblW w:w="138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1696"/>
        <w:gridCol w:w="1118"/>
        <w:gridCol w:w="1276"/>
        <w:gridCol w:w="1417"/>
        <w:gridCol w:w="1276"/>
        <w:gridCol w:w="1315"/>
        <w:gridCol w:w="1378"/>
        <w:gridCol w:w="975"/>
        <w:gridCol w:w="1124"/>
        <w:gridCol w:w="1124"/>
        <w:gridCol w:w="1124"/>
      </w:tblGrid>
      <w:tr w14:paraId="5E0CC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Merge w:val="restart"/>
            <w:vAlign w:val="center"/>
          </w:tcPr>
          <w:p w14:paraId="1C66739C">
            <w:pPr>
              <w:pStyle w:val="91"/>
              <w:keepNext w:val="0"/>
              <w:keepLines w:val="0"/>
              <w:suppressLineNumbers w:val="0"/>
              <w:spacing w:before="0" w:beforeAutospacing="0" w:after="0" w:afterAutospacing="0"/>
              <w:ind w:left="0" w:right="0"/>
              <w:jc w:val="both"/>
              <w:rPr>
                <w:rFonts w:hint="default"/>
                <w:b/>
                <w:color w:val="auto"/>
              </w:rPr>
            </w:pPr>
            <w:r>
              <w:rPr>
                <w:rFonts w:hint="default"/>
                <w:b/>
                <w:color w:val="auto"/>
              </w:rPr>
              <w:t>距离(m)</w:t>
            </w:r>
          </w:p>
        </w:tc>
        <w:tc>
          <w:tcPr>
            <w:tcW w:w="2394" w:type="dxa"/>
            <w:gridSpan w:val="2"/>
            <w:vAlign w:val="center"/>
          </w:tcPr>
          <w:p w14:paraId="216DFA2C">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甲基叔丁基醚</w:t>
            </w:r>
          </w:p>
        </w:tc>
        <w:tc>
          <w:tcPr>
            <w:tcW w:w="2693" w:type="dxa"/>
            <w:gridSpan w:val="2"/>
            <w:vAlign w:val="center"/>
          </w:tcPr>
          <w:p w14:paraId="13231CF0">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异辛烷（烷基化油）</w:t>
            </w:r>
          </w:p>
        </w:tc>
        <w:tc>
          <w:tcPr>
            <w:tcW w:w="2693" w:type="dxa"/>
            <w:gridSpan w:val="2"/>
            <w:vAlign w:val="center"/>
          </w:tcPr>
          <w:p w14:paraId="4519EA72">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石脑油</w:t>
            </w:r>
          </w:p>
        </w:tc>
        <w:tc>
          <w:tcPr>
            <w:tcW w:w="2099" w:type="dxa"/>
            <w:gridSpan w:val="2"/>
            <w:vAlign w:val="center"/>
          </w:tcPr>
          <w:p w14:paraId="0E43E74A">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CO</w:t>
            </w:r>
          </w:p>
        </w:tc>
        <w:tc>
          <w:tcPr>
            <w:tcW w:w="2248" w:type="dxa"/>
            <w:gridSpan w:val="2"/>
            <w:vAlign w:val="center"/>
          </w:tcPr>
          <w:p w14:paraId="3C104B61">
            <w:pPr>
              <w:pStyle w:val="91"/>
              <w:keepNext w:val="0"/>
              <w:keepLines w:val="0"/>
              <w:suppressLineNumbers w:val="0"/>
              <w:spacing w:before="0" w:beforeAutospacing="0" w:after="0" w:afterAutospacing="0"/>
              <w:ind w:left="0" w:right="0"/>
              <w:jc w:val="center"/>
              <w:rPr>
                <w:rFonts w:hint="default"/>
                <w:b/>
                <w:color w:val="auto"/>
              </w:rPr>
            </w:pPr>
            <w:r>
              <w:rPr>
                <w:rFonts w:hint="eastAsia"/>
                <w:b/>
                <w:color w:val="auto"/>
              </w:rPr>
              <w:t>SO</w:t>
            </w:r>
            <w:r>
              <w:rPr>
                <w:rFonts w:hint="eastAsia"/>
                <w:b/>
                <w:color w:val="auto"/>
                <w:vertAlign w:val="subscript"/>
              </w:rPr>
              <w:t>2</w:t>
            </w:r>
          </w:p>
        </w:tc>
      </w:tr>
      <w:tr w14:paraId="44824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Merge w:val="continue"/>
            <w:vAlign w:val="center"/>
          </w:tcPr>
          <w:p w14:paraId="2C33F274">
            <w:pPr>
              <w:pStyle w:val="91"/>
              <w:keepNext w:val="0"/>
              <w:keepLines w:val="0"/>
              <w:suppressLineNumbers w:val="0"/>
              <w:spacing w:before="0" w:beforeAutospacing="0" w:after="0" w:afterAutospacing="0"/>
              <w:ind w:left="0" w:right="0"/>
              <w:jc w:val="both"/>
              <w:rPr>
                <w:rFonts w:hint="default"/>
                <w:b/>
                <w:color w:val="auto"/>
              </w:rPr>
            </w:pPr>
          </w:p>
        </w:tc>
        <w:tc>
          <w:tcPr>
            <w:tcW w:w="1118" w:type="dxa"/>
            <w:vAlign w:val="center"/>
          </w:tcPr>
          <w:p w14:paraId="5FE90EE6">
            <w:pPr>
              <w:pStyle w:val="91"/>
              <w:keepNext w:val="0"/>
              <w:keepLines w:val="0"/>
              <w:suppressLineNumbers w:val="0"/>
              <w:spacing w:before="0" w:beforeAutospacing="0" w:after="0" w:afterAutospacing="0"/>
              <w:ind w:left="0" w:right="0"/>
              <w:jc w:val="both"/>
              <w:rPr>
                <w:rFonts w:hint="default"/>
                <w:b/>
                <w:color w:val="auto"/>
              </w:rPr>
            </w:pPr>
            <w:r>
              <w:rPr>
                <w:rFonts w:hint="default"/>
                <w:b/>
                <w:color w:val="auto"/>
              </w:rPr>
              <w:t>浓度出现时间(min)</w:t>
            </w:r>
          </w:p>
        </w:tc>
        <w:tc>
          <w:tcPr>
            <w:tcW w:w="1276" w:type="dxa"/>
            <w:vAlign w:val="center"/>
          </w:tcPr>
          <w:p w14:paraId="0AED87B1">
            <w:pPr>
              <w:pStyle w:val="91"/>
              <w:keepNext w:val="0"/>
              <w:keepLines w:val="0"/>
              <w:suppressLineNumbers w:val="0"/>
              <w:spacing w:before="0" w:beforeAutospacing="0" w:after="0" w:afterAutospacing="0"/>
              <w:ind w:left="0" w:right="0"/>
              <w:jc w:val="both"/>
              <w:rPr>
                <w:rFonts w:hint="default"/>
                <w:b/>
                <w:color w:val="auto"/>
              </w:rPr>
            </w:pPr>
            <w:r>
              <w:rPr>
                <w:rFonts w:hint="default"/>
                <w:b/>
                <w:color w:val="auto"/>
              </w:rPr>
              <w:t>高峰浓度(mg/m</w:t>
            </w:r>
            <w:r>
              <w:rPr>
                <w:rFonts w:hint="default"/>
                <w:b/>
                <w:color w:val="auto"/>
                <w:vertAlign w:val="superscript"/>
              </w:rPr>
              <w:t>3</w:t>
            </w:r>
            <w:r>
              <w:rPr>
                <w:rFonts w:hint="default"/>
                <w:b/>
                <w:color w:val="auto"/>
              </w:rPr>
              <w:t>)</w:t>
            </w:r>
          </w:p>
        </w:tc>
        <w:tc>
          <w:tcPr>
            <w:tcW w:w="1417" w:type="dxa"/>
            <w:vAlign w:val="center"/>
          </w:tcPr>
          <w:p w14:paraId="557B479F">
            <w:pPr>
              <w:pStyle w:val="91"/>
              <w:keepNext w:val="0"/>
              <w:keepLines w:val="0"/>
              <w:suppressLineNumbers w:val="0"/>
              <w:spacing w:before="0" w:beforeAutospacing="0" w:after="0" w:afterAutospacing="0"/>
              <w:ind w:left="0" w:right="0"/>
              <w:jc w:val="both"/>
              <w:rPr>
                <w:rFonts w:hint="default"/>
                <w:b/>
                <w:color w:val="auto"/>
              </w:rPr>
            </w:pPr>
            <w:r>
              <w:rPr>
                <w:rFonts w:hint="default"/>
                <w:b/>
                <w:color w:val="auto"/>
              </w:rPr>
              <w:t>浓度出现时间(min)</w:t>
            </w:r>
          </w:p>
        </w:tc>
        <w:tc>
          <w:tcPr>
            <w:tcW w:w="1276" w:type="dxa"/>
            <w:vAlign w:val="center"/>
          </w:tcPr>
          <w:p w14:paraId="7577930C">
            <w:pPr>
              <w:pStyle w:val="91"/>
              <w:keepNext w:val="0"/>
              <w:keepLines w:val="0"/>
              <w:suppressLineNumbers w:val="0"/>
              <w:spacing w:before="0" w:beforeAutospacing="0" w:after="0" w:afterAutospacing="0"/>
              <w:ind w:left="0" w:right="0"/>
              <w:jc w:val="both"/>
              <w:rPr>
                <w:rFonts w:hint="default"/>
                <w:b/>
                <w:color w:val="auto"/>
              </w:rPr>
            </w:pPr>
            <w:r>
              <w:rPr>
                <w:rFonts w:hint="default"/>
                <w:b/>
                <w:color w:val="auto"/>
              </w:rPr>
              <w:t>高峰浓度(mg/m</w:t>
            </w:r>
            <w:r>
              <w:rPr>
                <w:rFonts w:hint="default"/>
                <w:b/>
                <w:color w:val="auto"/>
                <w:vertAlign w:val="superscript"/>
              </w:rPr>
              <w:t>3</w:t>
            </w:r>
            <w:r>
              <w:rPr>
                <w:rFonts w:hint="default"/>
                <w:b/>
                <w:color w:val="auto"/>
              </w:rPr>
              <w:t>)</w:t>
            </w:r>
          </w:p>
        </w:tc>
        <w:tc>
          <w:tcPr>
            <w:tcW w:w="1315" w:type="dxa"/>
            <w:vAlign w:val="center"/>
          </w:tcPr>
          <w:p w14:paraId="07512FF8">
            <w:pPr>
              <w:pStyle w:val="91"/>
              <w:keepNext w:val="0"/>
              <w:keepLines w:val="0"/>
              <w:suppressLineNumbers w:val="0"/>
              <w:spacing w:before="0" w:beforeAutospacing="0" w:after="0" w:afterAutospacing="0"/>
              <w:ind w:left="0" w:right="0"/>
              <w:jc w:val="both"/>
              <w:rPr>
                <w:rFonts w:hint="default"/>
                <w:b/>
                <w:color w:val="auto"/>
              </w:rPr>
            </w:pPr>
            <w:r>
              <w:rPr>
                <w:rFonts w:hint="default"/>
                <w:b/>
                <w:color w:val="auto"/>
              </w:rPr>
              <w:t>浓度出现时间(min)</w:t>
            </w:r>
          </w:p>
        </w:tc>
        <w:tc>
          <w:tcPr>
            <w:tcW w:w="1378" w:type="dxa"/>
            <w:vAlign w:val="center"/>
          </w:tcPr>
          <w:p w14:paraId="50A9F344">
            <w:pPr>
              <w:pStyle w:val="91"/>
              <w:keepNext w:val="0"/>
              <w:keepLines w:val="0"/>
              <w:suppressLineNumbers w:val="0"/>
              <w:spacing w:before="0" w:beforeAutospacing="0" w:after="0" w:afterAutospacing="0"/>
              <w:ind w:left="0" w:right="0"/>
              <w:jc w:val="both"/>
              <w:rPr>
                <w:rFonts w:hint="default"/>
                <w:b/>
                <w:color w:val="auto"/>
              </w:rPr>
            </w:pPr>
            <w:r>
              <w:rPr>
                <w:rFonts w:hint="default"/>
                <w:b/>
                <w:color w:val="auto"/>
              </w:rPr>
              <w:t>高峰浓度(mg/m</w:t>
            </w:r>
            <w:r>
              <w:rPr>
                <w:rFonts w:hint="default"/>
                <w:b/>
                <w:color w:val="auto"/>
                <w:vertAlign w:val="superscript"/>
              </w:rPr>
              <w:t>3</w:t>
            </w:r>
            <w:r>
              <w:rPr>
                <w:rFonts w:hint="default"/>
                <w:b/>
                <w:color w:val="auto"/>
              </w:rPr>
              <w:t>)</w:t>
            </w:r>
          </w:p>
        </w:tc>
        <w:tc>
          <w:tcPr>
            <w:tcW w:w="975" w:type="dxa"/>
            <w:vAlign w:val="center"/>
          </w:tcPr>
          <w:p w14:paraId="22E65E0F">
            <w:pPr>
              <w:pStyle w:val="91"/>
              <w:keepNext w:val="0"/>
              <w:keepLines w:val="0"/>
              <w:suppressLineNumbers w:val="0"/>
              <w:spacing w:before="0" w:beforeAutospacing="0" w:after="0" w:afterAutospacing="0"/>
              <w:ind w:left="0" w:right="0"/>
              <w:jc w:val="both"/>
              <w:rPr>
                <w:rFonts w:hint="default"/>
                <w:b/>
                <w:color w:val="auto"/>
              </w:rPr>
            </w:pPr>
            <w:r>
              <w:rPr>
                <w:rFonts w:hint="default"/>
                <w:b/>
                <w:color w:val="auto"/>
              </w:rPr>
              <w:t>浓度出现时间(min)</w:t>
            </w:r>
          </w:p>
        </w:tc>
        <w:tc>
          <w:tcPr>
            <w:tcW w:w="1124" w:type="dxa"/>
            <w:vAlign w:val="center"/>
          </w:tcPr>
          <w:p w14:paraId="7AB31D91">
            <w:pPr>
              <w:pStyle w:val="91"/>
              <w:keepNext w:val="0"/>
              <w:keepLines w:val="0"/>
              <w:suppressLineNumbers w:val="0"/>
              <w:spacing w:before="0" w:beforeAutospacing="0" w:after="0" w:afterAutospacing="0"/>
              <w:ind w:left="0" w:right="0"/>
              <w:jc w:val="both"/>
              <w:rPr>
                <w:rFonts w:hint="default"/>
                <w:b/>
                <w:color w:val="auto"/>
              </w:rPr>
            </w:pPr>
            <w:r>
              <w:rPr>
                <w:rFonts w:hint="default"/>
                <w:b/>
                <w:color w:val="auto"/>
              </w:rPr>
              <w:t>高峰浓度(mg/m</w:t>
            </w:r>
            <w:r>
              <w:rPr>
                <w:rFonts w:hint="default"/>
                <w:b/>
                <w:color w:val="auto"/>
                <w:vertAlign w:val="superscript"/>
              </w:rPr>
              <w:t>3</w:t>
            </w:r>
            <w:r>
              <w:rPr>
                <w:rFonts w:hint="default"/>
                <w:b/>
                <w:color w:val="auto"/>
              </w:rPr>
              <w:t>)</w:t>
            </w:r>
          </w:p>
        </w:tc>
        <w:tc>
          <w:tcPr>
            <w:tcW w:w="1124" w:type="dxa"/>
            <w:vAlign w:val="center"/>
          </w:tcPr>
          <w:p w14:paraId="2B9C36E5">
            <w:pPr>
              <w:pStyle w:val="91"/>
              <w:keepNext w:val="0"/>
              <w:keepLines w:val="0"/>
              <w:suppressLineNumbers w:val="0"/>
              <w:spacing w:before="0" w:beforeAutospacing="0" w:after="0" w:afterAutospacing="0"/>
              <w:ind w:left="0" w:right="0"/>
              <w:jc w:val="both"/>
              <w:rPr>
                <w:rFonts w:hint="default"/>
                <w:b/>
                <w:color w:val="auto"/>
              </w:rPr>
            </w:pPr>
            <w:r>
              <w:rPr>
                <w:rFonts w:hint="default"/>
                <w:b/>
                <w:color w:val="auto"/>
              </w:rPr>
              <w:t>浓度出现时间(min)</w:t>
            </w:r>
          </w:p>
        </w:tc>
        <w:tc>
          <w:tcPr>
            <w:tcW w:w="1124" w:type="dxa"/>
            <w:vAlign w:val="center"/>
          </w:tcPr>
          <w:p w14:paraId="22F2AFA2">
            <w:pPr>
              <w:pStyle w:val="91"/>
              <w:keepNext w:val="0"/>
              <w:keepLines w:val="0"/>
              <w:suppressLineNumbers w:val="0"/>
              <w:spacing w:before="0" w:beforeAutospacing="0" w:after="0" w:afterAutospacing="0"/>
              <w:ind w:left="0" w:right="0"/>
              <w:jc w:val="both"/>
              <w:rPr>
                <w:rFonts w:hint="default"/>
                <w:b/>
                <w:color w:val="auto"/>
              </w:rPr>
            </w:pPr>
            <w:r>
              <w:rPr>
                <w:rFonts w:hint="default"/>
                <w:b/>
                <w:color w:val="auto"/>
              </w:rPr>
              <w:t>高峰浓度(mg/m</w:t>
            </w:r>
            <w:r>
              <w:rPr>
                <w:rFonts w:hint="default"/>
                <w:b/>
                <w:color w:val="auto"/>
                <w:vertAlign w:val="superscript"/>
              </w:rPr>
              <w:t>3</w:t>
            </w:r>
            <w:r>
              <w:rPr>
                <w:rFonts w:hint="default"/>
                <w:b/>
                <w:color w:val="auto"/>
              </w:rPr>
              <w:t>)</w:t>
            </w:r>
          </w:p>
        </w:tc>
      </w:tr>
      <w:tr w14:paraId="151B6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54BABD2D">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10</w:t>
            </w:r>
          </w:p>
        </w:tc>
        <w:tc>
          <w:tcPr>
            <w:tcW w:w="1118" w:type="dxa"/>
            <w:vAlign w:val="center"/>
          </w:tcPr>
          <w:p w14:paraId="1AF84CCE">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5.23</w:t>
            </w:r>
          </w:p>
        </w:tc>
        <w:tc>
          <w:tcPr>
            <w:tcW w:w="1276" w:type="dxa"/>
            <w:vAlign w:val="center"/>
          </w:tcPr>
          <w:p w14:paraId="42A72C10">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3254.70</w:t>
            </w:r>
          </w:p>
        </w:tc>
        <w:tc>
          <w:tcPr>
            <w:tcW w:w="1417" w:type="dxa"/>
            <w:vAlign w:val="bottom"/>
          </w:tcPr>
          <w:p w14:paraId="2252489E">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5.20</w:t>
            </w:r>
          </w:p>
        </w:tc>
        <w:tc>
          <w:tcPr>
            <w:tcW w:w="1276" w:type="dxa"/>
            <w:vAlign w:val="bottom"/>
          </w:tcPr>
          <w:p w14:paraId="49B890F7">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1391.40</w:t>
            </w:r>
          </w:p>
        </w:tc>
        <w:tc>
          <w:tcPr>
            <w:tcW w:w="1315" w:type="dxa"/>
            <w:vAlign w:val="bottom"/>
          </w:tcPr>
          <w:p w14:paraId="489E3D14">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7.70</w:t>
            </w:r>
          </w:p>
        </w:tc>
        <w:tc>
          <w:tcPr>
            <w:tcW w:w="1378" w:type="dxa"/>
            <w:vAlign w:val="bottom"/>
          </w:tcPr>
          <w:p w14:paraId="799A10F0">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14922.00</w:t>
            </w:r>
          </w:p>
        </w:tc>
        <w:tc>
          <w:tcPr>
            <w:tcW w:w="975" w:type="dxa"/>
            <w:vAlign w:val="top"/>
          </w:tcPr>
          <w:p w14:paraId="2688BDE0">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0.08</w:t>
            </w:r>
          </w:p>
        </w:tc>
        <w:tc>
          <w:tcPr>
            <w:tcW w:w="1124" w:type="dxa"/>
            <w:vAlign w:val="bottom"/>
          </w:tcPr>
          <w:p w14:paraId="66E9096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8116.20</w:t>
            </w:r>
          </w:p>
        </w:tc>
        <w:tc>
          <w:tcPr>
            <w:tcW w:w="1124" w:type="dxa"/>
            <w:vAlign w:val="bottom"/>
          </w:tcPr>
          <w:p w14:paraId="2299133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7.65</w:t>
            </w:r>
          </w:p>
        </w:tc>
        <w:tc>
          <w:tcPr>
            <w:tcW w:w="1124" w:type="dxa"/>
            <w:vAlign w:val="bottom"/>
          </w:tcPr>
          <w:p w14:paraId="65833404">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1125.50</w:t>
            </w:r>
          </w:p>
        </w:tc>
      </w:tr>
      <w:tr w14:paraId="6B77B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7A9AEC9B">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20</w:t>
            </w:r>
          </w:p>
        </w:tc>
        <w:tc>
          <w:tcPr>
            <w:tcW w:w="1118" w:type="dxa"/>
            <w:vAlign w:val="center"/>
          </w:tcPr>
          <w:p w14:paraId="2473FADC">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5.47</w:t>
            </w:r>
          </w:p>
        </w:tc>
        <w:tc>
          <w:tcPr>
            <w:tcW w:w="1276" w:type="dxa"/>
            <w:vAlign w:val="center"/>
          </w:tcPr>
          <w:p w14:paraId="106B89D7">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2026.10</w:t>
            </w:r>
          </w:p>
        </w:tc>
        <w:tc>
          <w:tcPr>
            <w:tcW w:w="1417" w:type="dxa"/>
            <w:vAlign w:val="bottom"/>
          </w:tcPr>
          <w:p w14:paraId="0893AE43">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5.39</w:t>
            </w:r>
          </w:p>
        </w:tc>
        <w:tc>
          <w:tcPr>
            <w:tcW w:w="1276" w:type="dxa"/>
            <w:vAlign w:val="bottom"/>
          </w:tcPr>
          <w:p w14:paraId="2490F9D0">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1077.00</w:t>
            </w:r>
          </w:p>
        </w:tc>
        <w:tc>
          <w:tcPr>
            <w:tcW w:w="1315" w:type="dxa"/>
            <w:vAlign w:val="bottom"/>
          </w:tcPr>
          <w:p w14:paraId="68CC6040">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7.90</w:t>
            </w:r>
          </w:p>
        </w:tc>
        <w:tc>
          <w:tcPr>
            <w:tcW w:w="1378" w:type="dxa"/>
            <w:vAlign w:val="bottom"/>
          </w:tcPr>
          <w:p w14:paraId="0395603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8778.60</w:t>
            </w:r>
          </w:p>
        </w:tc>
        <w:tc>
          <w:tcPr>
            <w:tcW w:w="975" w:type="dxa"/>
            <w:vAlign w:val="top"/>
          </w:tcPr>
          <w:p w14:paraId="149956E8">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0.17</w:t>
            </w:r>
          </w:p>
        </w:tc>
        <w:tc>
          <w:tcPr>
            <w:tcW w:w="1124" w:type="dxa"/>
            <w:vAlign w:val="bottom"/>
          </w:tcPr>
          <w:p w14:paraId="59A7C0D8">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2890.70</w:t>
            </w:r>
          </w:p>
        </w:tc>
        <w:tc>
          <w:tcPr>
            <w:tcW w:w="1124" w:type="dxa"/>
            <w:vAlign w:val="bottom"/>
          </w:tcPr>
          <w:p w14:paraId="139E1203">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7.81</w:t>
            </w:r>
          </w:p>
        </w:tc>
        <w:tc>
          <w:tcPr>
            <w:tcW w:w="1124" w:type="dxa"/>
            <w:vAlign w:val="bottom"/>
          </w:tcPr>
          <w:p w14:paraId="3225B403">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869.77</w:t>
            </w:r>
          </w:p>
        </w:tc>
      </w:tr>
      <w:tr w14:paraId="13976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5B480EC1">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30</w:t>
            </w:r>
          </w:p>
        </w:tc>
        <w:tc>
          <w:tcPr>
            <w:tcW w:w="1118" w:type="dxa"/>
            <w:vAlign w:val="center"/>
          </w:tcPr>
          <w:p w14:paraId="766ADD4C">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5.70</w:t>
            </w:r>
          </w:p>
        </w:tc>
        <w:tc>
          <w:tcPr>
            <w:tcW w:w="1276" w:type="dxa"/>
            <w:vAlign w:val="center"/>
          </w:tcPr>
          <w:p w14:paraId="7CB8AEFB">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1472.10</w:t>
            </w:r>
          </w:p>
        </w:tc>
        <w:tc>
          <w:tcPr>
            <w:tcW w:w="1417" w:type="dxa"/>
            <w:vAlign w:val="bottom"/>
          </w:tcPr>
          <w:p w14:paraId="541DD57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5.59</w:t>
            </w:r>
          </w:p>
        </w:tc>
        <w:tc>
          <w:tcPr>
            <w:tcW w:w="1276" w:type="dxa"/>
            <w:vAlign w:val="bottom"/>
          </w:tcPr>
          <w:p w14:paraId="1793CB18">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857.26</w:t>
            </w:r>
          </w:p>
        </w:tc>
        <w:tc>
          <w:tcPr>
            <w:tcW w:w="1315" w:type="dxa"/>
            <w:vAlign w:val="bottom"/>
          </w:tcPr>
          <w:p w14:paraId="1BE3116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8.11</w:t>
            </w:r>
          </w:p>
        </w:tc>
        <w:tc>
          <w:tcPr>
            <w:tcW w:w="1378" w:type="dxa"/>
            <w:vAlign w:val="bottom"/>
          </w:tcPr>
          <w:p w14:paraId="711FE41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6137.90</w:t>
            </w:r>
          </w:p>
        </w:tc>
        <w:tc>
          <w:tcPr>
            <w:tcW w:w="975" w:type="dxa"/>
            <w:vAlign w:val="top"/>
          </w:tcPr>
          <w:p w14:paraId="6F7E960E">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0.25</w:t>
            </w:r>
          </w:p>
        </w:tc>
        <w:tc>
          <w:tcPr>
            <w:tcW w:w="1124" w:type="dxa"/>
            <w:vAlign w:val="bottom"/>
          </w:tcPr>
          <w:p w14:paraId="664F8468">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1537.40</w:t>
            </w:r>
          </w:p>
        </w:tc>
        <w:tc>
          <w:tcPr>
            <w:tcW w:w="1124" w:type="dxa"/>
            <w:vAlign w:val="bottom"/>
          </w:tcPr>
          <w:p w14:paraId="49640EE2">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7.97</w:t>
            </w:r>
          </w:p>
        </w:tc>
        <w:tc>
          <w:tcPr>
            <w:tcW w:w="1124" w:type="dxa"/>
            <w:vAlign w:val="bottom"/>
          </w:tcPr>
          <w:p w14:paraId="1E9BC89F">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697.94</w:t>
            </w:r>
          </w:p>
        </w:tc>
      </w:tr>
      <w:tr w14:paraId="5E56E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2001A0DF">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50</w:t>
            </w:r>
          </w:p>
        </w:tc>
        <w:tc>
          <w:tcPr>
            <w:tcW w:w="1118" w:type="dxa"/>
            <w:vAlign w:val="center"/>
          </w:tcPr>
          <w:p w14:paraId="7985532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6.17</w:t>
            </w:r>
          </w:p>
        </w:tc>
        <w:tc>
          <w:tcPr>
            <w:tcW w:w="1276" w:type="dxa"/>
            <w:vAlign w:val="center"/>
          </w:tcPr>
          <w:p w14:paraId="0AD46F64">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956.09</w:t>
            </w:r>
          </w:p>
        </w:tc>
        <w:tc>
          <w:tcPr>
            <w:tcW w:w="1417" w:type="dxa"/>
            <w:vAlign w:val="bottom"/>
          </w:tcPr>
          <w:p w14:paraId="12C20FFF">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5.98</w:t>
            </w:r>
          </w:p>
        </w:tc>
        <w:tc>
          <w:tcPr>
            <w:tcW w:w="1276" w:type="dxa"/>
            <w:vAlign w:val="bottom"/>
          </w:tcPr>
          <w:p w14:paraId="39EC53BF">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576.29</w:t>
            </w:r>
          </w:p>
        </w:tc>
        <w:tc>
          <w:tcPr>
            <w:tcW w:w="1315" w:type="dxa"/>
            <w:vAlign w:val="bottom"/>
          </w:tcPr>
          <w:p w14:paraId="3A55A360">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8.51</w:t>
            </w:r>
          </w:p>
        </w:tc>
        <w:tc>
          <w:tcPr>
            <w:tcW w:w="1378" w:type="dxa"/>
            <w:vAlign w:val="bottom"/>
          </w:tcPr>
          <w:p w14:paraId="02695D51">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3815.00</w:t>
            </w:r>
          </w:p>
        </w:tc>
        <w:tc>
          <w:tcPr>
            <w:tcW w:w="975" w:type="dxa"/>
            <w:vAlign w:val="top"/>
          </w:tcPr>
          <w:p w14:paraId="1F2D8BD3">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0.42</w:t>
            </w:r>
          </w:p>
        </w:tc>
        <w:tc>
          <w:tcPr>
            <w:tcW w:w="1124" w:type="dxa"/>
            <w:vAlign w:val="bottom"/>
          </w:tcPr>
          <w:p w14:paraId="3159D541">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709.07</w:t>
            </w:r>
          </w:p>
        </w:tc>
        <w:tc>
          <w:tcPr>
            <w:tcW w:w="1124" w:type="dxa"/>
            <w:vAlign w:val="bottom"/>
          </w:tcPr>
          <w:p w14:paraId="35480AC3">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8.30</w:t>
            </w:r>
          </w:p>
        </w:tc>
        <w:tc>
          <w:tcPr>
            <w:tcW w:w="1124" w:type="dxa"/>
            <w:vAlign w:val="bottom"/>
          </w:tcPr>
          <w:p w14:paraId="27D1A9D1">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493.95</w:t>
            </w:r>
          </w:p>
        </w:tc>
      </w:tr>
      <w:tr w14:paraId="69FB7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678603E8">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70</w:t>
            </w:r>
          </w:p>
        </w:tc>
        <w:tc>
          <w:tcPr>
            <w:tcW w:w="1118" w:type="dxa"/>
            <w:vAlign w:val="center"/>
          </w:tcPr>
          <w:p w14:paraId="1B50C349">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6.64</w:t>
            </w:r>
          </w:p>
        </w:tc>
        <w:tc>
          <w:tcPr>
            <w:tcW w:w="1276" w:type="dxa"/>
            <w:vAlign w:val="center"/>
          </w:tcPr>
          <w:p w14:paraId="04607F7F">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706.83</w:t>
            </w:r>
          </w:p>
        </w:tc>
        <w:tc>
          <w:tcPr>
            <w:tcW w:w="1417" w:type="dxa"/>
            <w:vAlign w:val="bottom"/>
          </w:tcPr>
          <w:p w14:paraId="0507D28E">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6.37</w:t>
            </w:r>
          </w:p>
        </w:tc>
        <w:tc>
          <w:tcPr>
            <w:tcW w:w="1276" w:type="dxa"/>
            <w:vAlign w:val="bottom"/>
          </w:tcPr>
          <w:p w14:paraId="18253388">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418.17</w:t>
            </w:r>
          </w:p>
        </w:tc>
        <w:tc>
          <w:tcPr>
            <w:tcW w:w="1315" w:type="dxa"/>
            <w:vAlign w:val="bottom"/>
          </w:tcPr>
          <w:p w14:paraId="6636A6BF">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8.92</w:t>
            </w:r>
          </w:p>
        </w:tc>
        <w:tc>
          <w:tcPr>
            <w:tcW w:w="1378" w:type="dxa"/>
            <w:vAlign w:val="bottom"/>
          </w:tcPr>
          <w:p w14:paraId="59A7CC05">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2764.70</w:t>
            </w:r>
          </w:p>
        </w:tc>
        <w:tc>
          <w:tcPr>
            <w:tcW w:w="975" w:type="dxa"/>
            <w:vAlign w:val="top"/>
          </w:tcPr>
          <w:p w14:paraId="154AC578">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0.58</w:t>
            </w:r>
          </w:p>
        </w:tc>
        <w:tc>
          <w:tcPr>
            <w:tcW w:w="1124" w:type="dxa"/>
            <w:vAlign w:val="bottom"/>
          </w:tcPr>
          <w:p w14:paraId="7086446A">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455.43</w:t>
            </w:r>
          </w:p>
        </w:tc>
        <w:tc>
          <w:tcPr>
            <w:tcW w:w="1124" w:type="dxa"/>
            <w:vAlign w:val="bottom"/>
          </w:tcPr>
          <w:p w14:paraId="35881CA8">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8.62</w:t>
            </w:r>
          </w:p>
        </w:tc>
        <w:tc>
          <w:tcPr>
            <w:tcW w:w="1124" w:type="dxa"/>
            <w:vAlign w:val="bottom"/>
          </w:tcPr>
          <w:p w14:paraId="41C036E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380.24</w:t>
            </w:r>
          </w:p>
        </w:tc>
      </w:tr>
      <w:tr w14:paraId="7008F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54204A40">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90</w:t>
            </w:r>
          </w:p>
        </w:tc>
        <w:tc>
          <w:tcPr>
            <w:tcW w:w="1118" w:type="dxa"/>
            <w:vAlign w:val="center"/>
          </w:tcPr>
          <w:p w14:paraId="75CD69F0">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7.11</w:t>
            </w:r>
          </w:p>
        </w:tc>
        <w:tc>
          <w:tcPr>
            <w:tcW w:w="1276" w:type="dxa"/>
            <w:vAlign w:val="center"/>
          </w:tcPr>
          <w:p w14:paraId="64662395">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560.19</w:t>
            </w:r>
          </w:p>
        </w:tc>
        <w:tc>
          <w:tcPr>
            <w:tcW w:w="1417" w:type="dxa"/>
            <w:vAlign w:val="bottom"/>
          </w:tcPr>
          <w:p w14:paraId="3D6FEDA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6.76</w:t>
            </w:r>
          </w:p>
        </w:tc>
        <w:tc>
          <w:tcPr>
            <w:tcW w:w="1276" w:type="dxa"/>
            <w:vAlign w:val="bottom"/>
          </w:tcPr>
          <w:p w14:paraId="09FD40C4">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319.36</w:t>
            </w:r>
          </w:p>
        </w:tc>
        <w:tc>
          <w:tcPr>
            <w:tcW w:w="1315" w:type="dxa"/>
            <w:vAlign w:val="bottom"/>
          </w:tcPr>
          <w:p w14:paraId="53AA66E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9.32</w:t>
            </w:r>
          </w:p>
        </w:tc>
        <w:tc>
          <w:tcPr>
            <w:tcW w:w="1378" w:type="dxa"/>
            <w:vAlign w:val="bottom"/>
          </w:tcPr>
          <w:p w14:paraId="4B3ACBF7">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2148.50</w:t>
            </w:r>
          </w:p>
        </w:tc>
        <w:tc>
          <w:tcPr>
            <w:tcW w:w="975" w:type="dxa"/>
            <w:vAlign w:val="top"/>
          </w:tcPr>
          <w:p w14:paraId="29AF9BF9">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0.75</w:t>
            </w:r>
          </w:p>
        </w:tc>
        <w:tc>
          <w:tcPr>
            <w:tcW w:w="1124" w:type="dxa"/>
            <w:vAlign w:val="bottom"/>
          </w:tcPr>
          <w:p w14:paraId="50FF5FBF">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335.44</w:t>
            </w:r>
          </w:p>
        </w:tc>
        <w:tc>
          <w:tcPr>
            <w:tcW w:w="1124" w:type="dxa"/>
            <w:vAlign w:val="bottom"/>
          </w:tcPr>
          <w:p w14:paraId="59D0AE24">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8.95</w:t>
            </w:r>
          </w:p>
        </w:tc>
        <w:tc>
          <w:tcPr>
            <w:tcW w:w="1124" w:type="dxa"/>
            <w:vAlign w:val="bottom"/>
          </w:tcPr>
          <w:p w14:paraId="35B58C25">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307.55</w:t>
            </w:r>
          </w:p>
        </w:tc>
      </w:tr>
      <w:tr w14:paraId="1E88A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22E0D8D5">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100</w:t>
            </w:r>
          </w:p>
        </w:tc>
        <w:tc>
          <w:tcPr>
            <w:tcW w:w="1118" w:type="dxa"/>
            <w:vAlign w:val="center"/>
          </w:tcPr>
          <w:p w14:paraId="26EB24F1">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7.35</w:t>
            </w:r>
          </w:p>
        </w:tc>
        <w:tc>
          <w:tcPr>
            <w:tcW w:w="1276" w:type="dxa"/>
            <w:vAlign w:val="center"/>
          </w:tcPr>
          <w:p w14:paraId="25F508EB">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507.46</w:t>
            </w:r>
          </w:p>
        </w:tc>
        <w:tc>
          <w:tcPr>
            <w:tcW w:w="1417" w:type="dxa"/>
            <w:vAlign w:val="bottom"/>
          </w:tcPr>
          <w:p w14:paraId="4463F145">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6.95</w:t>
            </w:r>
          </w:p>
        </w:tc>
        <w:tc>
          <w:tcPr>
            <w:tcW w:w="1276" w:type="dxa"/>
            <w:vAlign w:val="bottom"/>
          </w:tcPr>
          <w:p w14:paraId="492BABFF">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284.22</w:t>
            </w:r>
          </w:p>
        </w:tc>
        <w:tc>
          <w:tcPr>
            <w:tcW w:w="1315" w:type="dxa"/>
            <w:vAlign w:val="bottom"/>
          </w:tcPr>
          <w:p w14:paraId="2B723DDD">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9.52</w:t>
            </w:r>
          </w:p>
        </w:tc>
        <w:tc>
          <w:tcPr>
            <w:tcW w:w="1378" w:type="dxa"/>
            <w:vAlign w:val="bottom"/>
          </w:tcPr>
          <w:p w14:paraId="58BC142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1930.40</w:t>
            </w:r>
          </w:p>
        </w:tc>
        <w:tc>
          <w:tcPr>
            <w:tcW w:w="975" w:type="dxa"/>
            <w:vAlign w:val="top"/>
          </w:tcPr>
          <w:p w14:paraId="425E50AC">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0.83</w:t>
            </w:r>
          </w:p>
        </w:tc>
        <w:tc>
          <w:tcPr>
            <w:tcW w:w="1124" w:type="dxa"/>
            <w:vAlign w:val="bottom"/>
          </w:tcPr>
          <w:p w14:paraId="37499FEA">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295.13</w:t>
            </w:r>
          </w:p>
        </w:tc>
        <w:tc>
          <w:tcPr>
            <w:tcW w:w="1124" w:type="dxa"/>
            <w:vAlign w:val="bottom"/>
          </w:tcPr>
          <w:p w14:paraId="5438127D">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9.11</w:t>
            </w:r>
          </w:p>
        </w:tc>
        <w:tc>
          <w:tcPr>
            <w:tcW w:w="1124" w:type="dxa"/>
            <w:vAlign w:val="bottom"/>
          </w:tcPr>
          <w:p w14:paraId="062A3B0D">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279.99</w:t>
            </w:r>
          </w:p>
        </w:tc>
      </w:tr>
      <w:tr w14:paraId="5F6CA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7C8DAEFC">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150</w:t>
            </w:r>
          </w:p>
        </w:tc>
        <w:tc>
          <w:tcPr>
            <w:tcW w:w="1118" w:type="dxa"/>
            <w:vAlign w:val="center"/>
          </w:tcPr>
          <w:p w14:paraId="627EE8D0">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8.52</w:t>
            </w:r>
          </w:p>
        </w:tc>
        <w:tc>
          <w:tcPr>
            <w:tcW w:w="1276" w:type="dxa"/>
            <w:vAlign w:val="center"/>
          </w:tcPr>
          <w:p w14:paraId="39B669B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337.76</w:t>
            </w:r>
          </w:p>
        </w:tc>
        <w:tc>
          <w:tcPr>
            <w:tcW w:w="1417" w:type="dxa"/>
            <w:vAlign w:val="bottom"/>
          </w:tcPr>
          <w:p w14:paraId="2602C935">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7.93</w:t>
            </w:r>
          </w:p>
        </w:tc>
        <w:tc>
          <w:tcPr>
            <w:tcW w:w="1276" w:type="dxa"/>
            <w:vAlign w:val="bottom"/>
          </w:tcPr>
          <w:p w14:paraId="53EDB86A">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173.45</w:t>
            </w:r>
          </w:p>
        </w:tc>
        <w:tc>
          <w:tcPr>
            <w:tcW w:w="1315" w:type="dxa"/>
            <w:vAlign w:val="bottom"/>
          </w:tcPr>
          <w:p w14:paraId="61C8A341">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10.54</w:t>
            </w:r>
          </w:p>
        </w:tc>
        <w:tc>
          <w:tcPr>
            <w:tcW w:w="1378" w:type="dxa"/>
            <w:vAlign w:val="bottom"/>
          </w:tcPr>
          <w:p w14:paraId="692BF244">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1268.00</w:t>
            </w:r>
          </w:p>
        </w:tc>
        <w:tc>
          <w:tcPr>
            <w:tcW w:w="975" w:type="dxa"/>
            <w:vAlign w:val="top"/>
          </w:tcPr>
          <w:p w14:paraId="55FA0BFE">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1.25</w:t>
            </w:r>
          </w:p>
        </w:tc>
        <w:tc>
          <w:tcPr>
            <w:tcW w:w="1124" w:type="dxa"/>
            <w:vAlign w:val="bottom"/>
          </w:tcPr>
          <w:p w14:paraId="74AB01B0">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175.85</w:t>
            </w:r>
          </w:p>
        </w:tc>
        <w:tc>
          <w:tcPr>
            <w:tcW w:w="1124" w:type="dxa"/>
            <w:vAlign w:val="bottom"/>
          </w:tcPr>
          <w:p w14:paraId="26C4CB90">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9.93</w:t>
            </w:r>
          </w:p>
        </w:tc>
        <w:tc>
          <w:tcPr>
            <w:tcW w:w="1124" w:type="dxa"/>
            <w:vAlign w:val="bottom"/>
          </w:tcPr>
          <w:p w14:paraId="66C21313">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189.11</w:t>
            </w:r>
          </w:p>
        </w:tc>
      </w:tr>
      <w:tr w14:paraId="4B4E7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65FAA9EE">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200</w:t>
            </w:r>
          </w:p>
        </w:tc>
        <w:tc>
          <w:tcPr>
            <w:tcW w:w="1118" w:type="dxa"/>
            <w:vAlign w:val="center"/>
          </w:tcPr>
          <w:p w14:paraId="5C55F36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9.70</w:t>
            </w:r>
          </w:p>
        </w:tc>
        <w:tc>
          <w:tcPr>
            <w:tcW w:w="1276" w:type="dxa"/>
            <w:vAlign w:val="center"/>
          </w:tcPr>
          <w:p w14:paraId="68680F2F">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250.23</w:t>
            </w:r>
          </w:p>
        </w:tc>
        <w:tc>
          <w:tcPr>
            <w:tcW w:w="1417" w:type="dxa"/>
            <w:vAlign w:val="bottom"/>
          </w:tcPr>
          <w:p w14:paraId="7B1B6A91">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8.90</w:t>
            </w:r>
          </w:p>
        </w:tc>
        <w:tc>
          <w:tcPr>
            <w:tcW w:w="1276" w:type="dxa"/>
            <w:vAlign w:val="bottom"/>
          </w:tcPr>
          <w:p w14:paraId="65D43D7A">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118.42</w:t>
            </w:r>
          </w:p>
        </w:tc>
        <w:tc>
          <w:tcPr>
            <w:tcW w:w="1315" w:type="dxa"/>
            <w:vAlign w:val="bottom"/>
          </w:tcPr>
          <w:p w14:paraId="1A475474">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11.55</w:t>
            </w:r>
          </w:p>
        </w:tc>
        <w:tc>
          <w:tcPr>
            <w:tcW w:w="1378" w:type="dxa"/>
            <w:vAlign w:val="bottom"/>
          </w:tcPr>
          <w:p w14:paraId="3D7FA588">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926.75</w:t>
            </w:r>
          </w:p>
        </w:tc>
        <w:tc>
          <w:tcPr>
            <w:tcW w:w="975" w:type="dxa"/>
            <w:vAlign w:val="top"/>
          </w:tcPr>
          <w:p w14:paraId="64FE1F81">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1.67</w:t>
            </w:r>
          </w:p>
        </w:tc>
        <w:tc>
          <w:tcPr>
            <w:tcW w:w="1124" w:type="dxa"/>
            <w:vAlign w:val="bottom"/>
          </w:tcPr>
          <w:p w14:paraId="040B948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117.92</w:t>
            </w:r>
          </w:p>
        </w:tc>
        <w:tc>
          <w:tcPr>
            <w:tcW w:w="1124" w:type="dxa"/>
            <w:vAlign w:val="bottom"/>
          </w:tcPr>
          <w:p w14:paraId="6B00D98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10.74</w:t>
            </w:r>
          </w:p>
        </w:tc>
        <w:tc>
          <w:tcPr>
            <w:tcW w:w="1124" w:type="dxa"/>
            <w:vAlign w:val="bottom"/>
          </w:tcPr>
          <w:p w14:paraId="1AA68ECD">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139.52</w:t>
            </w:r>
          </w:p>
        </w:tc>
      </w:tr>
      <w:tr w14:paraId="07B5C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1CF50E5D">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250</w:t>
            </w:r>
          </w:p>
        </w:tc>
        <w:tc>
          <w:tcPr>
            <w:tcW w:w="1118" w:type="dxa"/>
            <w:vAlign w:val="center"/>
          </w:tcPr>
          <w:p w14:paraId="0034C268">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10.62</w:t>
            </w:r>
          </w:p>
        </w:tc>
        <w:tc>
          <w:tcPr>
            <w:tcW w:w="1276" w:type="dxa"/>
            <w:vAlign w:val="center"/>
          </w:tcPr>
          <w:p w14:paraId="0312C13D">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186.29</w:t>
            </w:r>
          </w:p>
        </w:tc>
        <w:tc>
          <w:tcPr>
            <w:tcW w:w="1417" w:type="dxa"/>
            <w:vAlign w:val="bottom"/>
          </w:tcPr>
          <w:p w14:paraId="018BF025">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9.88</w:t>
            </w:r>
          </w:p>
        </w:tc>
        <w:tc>
          <w:tcPr>
            <w:tcW w:w="1276" w:type="dxa"/>
            <w:vAlign w:val="bottom"/>
          </w:tcPr>
          <w:p w14:paraId="70887905">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87.10</w:t>
            </w:r>
          </w:p>
        </w:tc>
        <w:tc>
          <w:tcPr>
            <w:tcW w:w="1315" w:type="dxa"/>
            <w:vAlign w:val="bottom"/>
          </w:tcPr>
          <w:p w14:paraId="3E979A9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12.56</w:t>
            </w:r>
          </w:p>
        </w:tc>
        <w:tc>
          <w:tcPr>
            <w:tcW w:w="1378" w:type="dxa"/>
            <w:vAlign w:val="bottom"/>
          </w:tcPr>
          <w:p w14:paraId="591304A6">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723.14</w:t>
            </w:r>
          </w:p>
        </w:tc>
        <w:tc>
          <w:tcPr>
            <w:tcW w:w="975" w:type="dxa"/>
            <w:vAlign w:val="top"/>
          </w:tcPr>
          <w:p w14:paraId="49A63410">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2.08</w:t>
            </w:r>
          </w:p>
        </w:tc>
        <w:tc>
          <w:tcPr>
            <w:tcW w:w="1124" w:type="dxa"/>
            <w:vAlign w:val="bottom"/>
          </w:tcPr>
          <w:p w14:paraId="082828E6">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85.02</w:t>
            </w:r>
          </w:p>
        </w:tc>
        <w:tc>
          <w:tcPr>
            <w:tcW w:w="1124" w:type="dxa"/>
            <w:vAlign w:val="bottom"/>
          </w:tcPr>
          <w:p w14:paraId="44C772A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11.55</w:t>
            </w:r>
          </w:p>
        </w:tc>
        <w:tc>
          <w:tcPr>
            <w:tcW w:w="1124" w:type="dxa"/>
            <w:vAlign w:val="bottom"/>
          </w:tcPr>
          <w:p w14:paraId="3286EB4E">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108.22</w:t>
            </w:r>
          </w:p>
        </w:tc>
      </w:tr>
      <w:tr w14:paraId="36083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6384CA57">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300</w:t>
            </w:r>
          </w:p>
        </w:tc>
        <w:tc>
          <w:tcPr>
            <w:tcW w:w="1118" w:type="dxa"/>
            <w:vAlign w:val="center"/>
          </w:tcPr>
          <w:p w14:paraId="7853540D">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11.37</w:t>
            </w:r>
          </w:p>
        </w:tc>
        <w:tc>
          <w:tcPr>
            <w:tcW w:w="1276" w:type="dxa"/>
            <w:vAlign w:val="center"/>
          </w:tcPr>
          <w:p w14:paraId="2FCC7EDE">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150.25</w:t>
            </w:r>
          </w:p>
        </w:tc>
        <w:tc>
          <w:tcPr>
            <w:tcW w:w="1417" w:type="dxa"/>
            <w:vAlign w:val="bottom"/>
          </w:tcPr>
          <w:p w14:paraId="532BE623">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10.68</w:t>
            </w:r>
          </w:p>
        </w:tc>
        <w:tc>
          <w:tcPr>
            <w:tcW w:w="1276" w:type="dxa"/>
            <w:vAlign w:val="bottom"/>
          </w:tcPr>
          <w:p w14:paraId="56289E3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68.09</w:t>
            </w:r>
          </w:p>
        </w:tc>
        <w:tc>
          <w:tcPr>
            <w:tcW w:w="1315" w:type="dxa"/>
            <w:vAlign w:val="bottom"/>
          </w:tcPr>
          <w:p w14:paraId="6F4B559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13.57</w:t>
            </w:r>
          </w:p>
        </w:tc>
        <w:tc>
          <w:tcPr>
            <w:tcW w:w="1378" w:type="dxa"/>
            <w:vAlign w:val="bottom"/>
          </w:tcPr>
          <w:p w14:paraId="38203E81">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587.77</w:t>
            </w:r>
          </w:p>
        </w:tc>
        <w:tc>
          <w:tcPr>
            <w:tcW w:w="975" w:type="dxa"/>
            <w:vAlign w:val="top"/>
          </w:tcPr>
          <w:p w14:paraId="480AA604">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2.50</w:t>
            </w:r>
          </w:p>
        </w:tc>
        <w:tc>
          <w:tcPr>
            <w:tcW w:w="1124" w:type="dxa"/>
            <w:vAlign w:val="bottom"/>
          </w:tcPr>
          <w:p w14:paraId="5B8FC86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64.49</w:t>
            </w:r>
          </w:p>
        </w:tc>
        <w:tc>
          <w:tcPr>
            <w:tcW w:w="1124" w:type="dxa"/>
            <w:vAlign w:val="bottom"/>
          </w:tcPr>
          <w:p w14:paraId="34FB289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12.37</w:t>
            </w:r>
          </w:p>
        </w:tc>
        <w:tc>
          <w:tcPr>
            <w:tcW w:w="1124" w:type="dxa"/>
            <w:vAlign w:val="bottom"/>
          </w:tcPr>
          <w:p w14:paraId="22518FDD">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87.12</w:t>
            </w:r>
          </w:p>
        </w:tc>
      </w:tr>
      <w:tr w14:paraId="7C4AA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757DFB5F">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350</w:t>
            </w:r>
          </w:p>
        </w:tc>
        <w:tc>
          <w:tcPr>
            <w:tcW w:w="1118" w:type="dxa"/>
            <w:vAlign w:val="center"/>
          </w:tcPr>
          <w:p w14:paraId="7D215D53">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12.08</w:t>
            </w:r>
          </w:p>
        </w:tc>
        <w:tc>
          <w:tcPr>
            <w:tcW w:w="1276" w:type="dxa"/>
            <w:vAlign w:val="center"/>
          </w:tcPr>
          <w:p w14:paraId="04063610">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120.33</w:t>
            </w:r>
          </w:p>
        </w:tc>
        <w:tc>
          <w:tcPr>
            <w:tcW w:w="1417" w:type="dxa"/>
            <w:vAlign w:val="bottom"/>
          </w:tcPr>
          <w:p w14:paraId="7D54AF7E">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11.39</w:t>
            </w:r>
          </w:p>
        </w:tc>
        <w:tc>
          <w:tcPr>
            <w:tcW w:w="1276" w:type="dxa"/>
            <w:vAlign w:val="bottom"/>
          </w:tcPr>
          <w:p w14:paraId="34DD7101">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50.54</w:t>
            </w:r>
          </w:p>
        </w:tc>
        <w:tc>
          <w:tcPr>
            <w:tcW w:w="1315" w:type="dxa"/>
            <w:vAlign w:val="bottom"/>
          </w:tcPr>
          <w:p w14:paraId="2E45137F">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14.60</w:t>
            </w:r>
          </w:p>
        </w:tc>
        <w:tc>
          <w:tcPr>
            <w:tcW w:w="1378" w:type="dxa"/>
            <w:vAlign w:val="bottom"/>
          </w:tcPr>
          <w:p w14:paraId="2B09CAB3">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492.40</w:t>
            </w:r>
          </w:p>
        </w:tc>
        <w:tc>
          <w:tcPr>
            <w:tcW w:w="975" w:type="dxa"/>
            <w:vAlign w:val="top"/>
          </w:tcPr>
          <w:p w14:paraId="31B20D85">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2.92</w:t>
            </w:r>
          </w:p>
        </w:tc>
        <w:tc>
          <w:tcPr>
            <w:tcW w:w="1124" w:type="dxa"/>
            <w:vAlign w:val="bottom"/>
          </w:tcPr>
          <w:p w14:paraId="16BD6EA7">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50.78</w:t>
            </w:r>
          </w:p>
        </w:tc>
        <w:tc>
          <w:tcPr>
            <w:tcW w:w="1124" w:type="dxa"/>
            <w:vAlign w:val="bottom"/>
          </w:tcPr>
          <w:p w14:paraId="216E5EA5">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13.18</w:t>
            </w:r>
          </w:p>
        </w:tc>
        <w:tc>
          <w:tcPr>
            <w:tcW w:w="1124" w:type="dxa"/>
            <w:vAlign w:val="bottom"/>
          </w:tcPr>
          <w:p w14:paraId="22319717">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71.79</w:t>
            </w:r>
          </w:p>
        </w:tc>
      </w:tr>
      <w:tr w14:paraId="4C50E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57E15249">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400</w:t>
            </w:r>
          </w:p>
        </w:tc>
        <w:tc>
          <w:tcPr>
            <w:tcW w:w="1118" w:type="dxa"/>
            <w:vAlign w:val="center"/>
          </w:tcPr>
          <w:p w14:paraId="7A1E9F72">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12.75</w:t>
            </w:r>
          </w:p>
        </w:tc>
        <w:tc>
          <w:tcPr>
            <w:tcW w:w="1276" w:type="dxa"/>
            <w:vAlign w:val="center"/>
          </w:tcPr>
          <w:p w14:paraId="03D7CBF5">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99.97</w:t>
            </w:r>
          </w:p>
        </w:tc>
        <w:tc>
          <w:tcPr>
            <w:tcW w:w="1417" w:type="dxa"/>
            <w:vAlign w:val="bottom"/>
          </w:tcPr>
          <w:p w14:paraId="08B82D14">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12.06</w:t>
            </w:r>
          </w:p>
        </w:tc>
        <w:tc>
          <w:tcPr>
            <w:tcW w:w="1276" w:type="dxa"/>
            <w:vAlign w:val="bottom"/>
          </w:tcPr>
          <w:p w14:paraId="1CA61F26">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39.80</w:t>
            </w:r>
          </w:p>
        </w:tc>
        <w:tc>
          <w:tcPr>
            <w:tcW w:w="1315" w:type="dxa"/>
            <w:vAlign w:val="bottom"/>
          </w:tcPr>
          <w:p w14:paraId="2C05C834">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15.45</w:t>
            </w:r>
          </w:p>
        </w:tc>
        <w:tc>
          <w:tcPr>
            <w:tcW w:w="1378" w:type="dxa"/>
            <w:vAlign w:val="bottom"/>
          </w:tcPr>
          <w:p w14:paraId="74DE2CB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411.48</w:t>
            </w:r>
          </w:p>
        </w:tc>
        <w:tc>
          <w:tcPr>
            <w:tcW w:w="975" w:type="dxa"/>
            <w:vAlign w:val="top"/>
          </w:tcPr>
          <w:p w14:paraId="0A670AD5">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3.33</w:t>
            </w:r>
          </w:p>
        </w:tc>
        <w:tc>
          <w:tcPr>
            <w:tcW w:w="1124" w:type="dxa"/>
            <w:vAlign w:val="bottom"/>
          </w:tcPr>
          <w:p w14:paraId="2E173B76">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41.16</w:t>
            </w:r>
          </w:p>
        </w:tc>
        <w:tc>
          <w:tcPr>
            <w:tcW w:w="1124" w:type="dxa"/>
            <w:vAlign w:val="bottom"/>
          </w:tcPr>
          <w:p w14:paraId="77E68F86">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14.00</w:t>
            </w:r>
          </w:p>
        </w:tc>
        <w:tc>
          <w:tcPr>
            <w:tcW w:w="1124" w:type="dxa"/>
            <w:vAlign w:val="bottom"/>
          </w:tcPr>
          <w:p w14:paraId="631D0EA0">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60.50</w:t>
            </w:r>
          </w:p>
        </w:tc>
      </w:tr>
      <w:tr w14:paraId="312FB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578F5FB2">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450</w:t>
            </w:r>
          </w:p>
        </w:tc>
        <w:tc>
          <w:tcPr>
            <w:tcW w:w="1118" w:type="dxa"/>
            <w:vAlign w:val="center"/>
          </w:tcPr>
          <w:p w14:paraId="32570948">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13.38</w:t>
            </w:r>
          </w:p>
        </w:tc>
        <w:tc>
          <w:tcPr>
            <w:tcW w:w="1276" w:type="dxa"/>
            <w:vAlign w:val="center"/>
          </w:tcPr>
          <w:p w14:paraId="500BCBEC">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84.37</w:t>
            </w:r>
          </w:p>
        </w:tc>
        <w:tc>
          <w:tcPr>
            <w:tcW w:w="1417" w:type="dxa"/>
            <w:vAlign w:val="bottom"/>
          </w:tcPr>
          <w:p w14:paraId="6F9B027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12.70</w:t>
            </w:r>
          </w:p>
        </w:tc>
        <w:tc>
          <w:tcPr>
            <w:tcW w:w="1276" w:type="dxa"/>
            <w:vAlign w:val="bottom"/>
          </w:tcPr>
          <w:p w14:paraId="28BB4283">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32.17</w:t>
            </w:r>
          </w:p>
        </w:tc>
        <w:tc>
          <w:tcPr>
            <w:tcW w:w="1315" w:type="dxa"/>
            <w:vAlign w:val="bottom"/>
          </w:tcPr>
          <w:p w14:paraId="32F371F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16.10</w:t>
            </w:r>
          </w:p>
        </w:tc>
        <w:tc>
          <w:tcPr>
            <w:tcW w:w="1378" w:type="dxa"/>
            <w:vAlign w:val="bottom"/>
          </w:tcPr>
          <w:p w14:paraId="40689495">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333.33</w:t>
            </w:r>
          </w:p>
        </w:tc>
        <w:tc>
          <w:tcPr>
            <w:tcW w:w="975" w:type="dxa"/>
            <w:vAlign w:val="top"/>
          </w:tcPr>
          <w:p w14:paraId="0718EF46">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3.75</w:t>
            </w:r>
          </w:p>
        </w:tc>
        <w:tc>
          <w:tcPr>
            <w:tcW w:w="1124" w:type="dxa"/>
            <w:vAlign w:val="bottom"/>
          </w:tcPr>
          <w:p w14:paraId="62A00D6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34.13</w:t>
            </w:r>
          </w:p>
        </w:tc>
        <w:tc>
          <w:tcPr>
            <w:tcW w:w="1124" w:type="dxa"/>
            <w:vAlign w:val="bottom"/>
          </w:tcPr>
          <w:p w14:paraId="26D3B15A">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14.82</w:t>
            </w:r>
          </w:p>
        </w:tc>
        <w:tc>
          <w:tcPr>
            <w:tcW w:w="1124" w:type="dxa"/>
            <w:vAlign w:val="bottom"/>
          </w:tcPr>
          <w:p w14:paraId="22478F28">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51.93</w:t>
            </w:r>
          </w:p>
        </w:tc>
      </w:tr>
      <w:tr w14:paraId="0EAAE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0F606E26">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500</w:t>
            </w:r>
          </w:p>
        </w:tc>
        <w:tc>
          <w:tcPr>
            <w:tcW w:w="1118" w:type="dxa"/>
            <w:vAlign w:val="center"/>
          </w:tcPr>
          <w:p w14:paraId="016E58E3">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14.00</w:t>
            </w:r>
          </w:p>
        </w:tc>
        <w:tc>
          <w:tcPr>
            <w:tcW w:w="1276" w:type="dxa"/>
            <w:vAlign w:val="center"/>
          </w:tcPr>
          <w:p w14:paraId="0154AEF8">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73.00</w:t>
            </w:r>
          </w:p>
        </w:tc>
        <w:tc>
          <w:tcPr>
            <w:tcW w:w="1417" w:type="dxa"/>
            <w:vAlign w:val="bottom"/>
          </w:tcPr>
          <w:p w14:paraId="28C923E8">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13.32</w:t>
            </w:r>
          </w:p>
        </w:tc>
        <w:tc>
          <w:tcPr>
            <w:tcW w:w="1276" w:type="dxa"/>
            <w:vAlign w:val="bottom"/>
          </w:tcPr>
          <w:p w14:paraId="47734904">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26.73</w:t>
            </w:r>
          </w:p>
        </w:tc>
        <w:tc>
          <w:tcPr>
            <w:tcW w:w="1315" w:type="dxa"/>
            <w:vAlign w:val="bottom"/>
          </w:tcPr>
          <w:p w14:paraId="2CC505D1">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16.76</w:t>
            </w:r>
          </w:p>
        </w:tc>
        <w:tc>
          <w:tcPr>
            <w:tcW w:w="1378" w:type="dxa"/>
            <w:vAlign w:val="bottom"/>
          </w:tcPr>
          <w:p w14:paraId="1D7CFF8A">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276.30</w:t>
            </w:r>
          </w:p>
        </w:tc>
        <w:tc>
          <w:tcPr>
            <w:tcW w:w="975" w:type="dxa"/>
            <w:vAlign w:val="top"/>
          </w:tcPr>
          <w:p w14:paraId="5F641817">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4.17</w:t>
            </w:r>
          </w:p>
        </w:tc>
        <w:tc>
          <w:tcPr>
            <w:tcW w:w="1124" w:type="dxa"/>
            <w:vAlign w:val="bottom"/>
          </w:tcPr>
          <w:p w14:paraId="1DFD04B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28.82</w:t>
            </w:r>
          </w:p>
        </w:tc>
        <w:tc>
          <w:tcPr>
            <w:tcW w:w="1124" w:type="dxa"/>
            <w:vAlign w:val="bottom"/>
          </w:tcPr>
          <w:p w14:paraId="2936962E">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15.51</w:t>
            </w:r>
          </w:p>
        </w:tc>
        <w:tc>
          <w:tcPr>
            <w:tcW w:w="1124" w:type="dxa"/>
            <w:vAlign w:val="bottom"/>
          </w:tcPr>
          <w:p w14:paraId="2E2C3E20">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44.91</w:t>
            </w:r>
          </w:p>
        </w:tc>
      </w:tr>
      <w:tr w14:paraId="305A0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4CD0A75E">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600</w:t>
            </w:r>
          </w:p>
        </w:tc>
        <w:tc>
          <w:tcPr>
            <w:tcW w:w="1118" w:type="dxa"/>
            <w:vAlign w:val="center"/>
          </w:tcPr>
          <w:p w14:paraId="7BB191FE">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15.17</w:t>
            </w:r>
          </w:p>
        </w:tc>
        <w:tc>
          <w:tcPr>
            <w:tcW w:w="1276" w:type="dxa"/>
            <w:vAlign w:val="center"/>
          </w:tcPr>
          <w:p w14:paraId="663ABD19">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56.09</w:t>
            </w:r>
          </w:p>
        </w:tc>
        <w:tc>
          <w:tcPr>
            <w:tcW w:w="1417" w:type="dxa"/>
            <w:vAlign w:val="bottom"/>
          </w:tcPr>
          <w:p w14:paraId="767563C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14.48</w:t>
            </w:r>
          </w:p>
        </w:tc>
        <w:tc>
          <w:tcPr>
            <w:tcW w:w="1276" w:type="dxa"/>
            <w:vAlign w:val="bottom"/>
          </w:tcPr>
          <w:p w14:paraId="108211F4">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19.40</w:t>
            </w:r>
          </w:p>
        </w:tc>
        <w:tc>
          <w:tcPr>
            <w:tcW w:w="1315" w:type="dxa"/>
            <w:vAlign w:val="bottom"/>
          </w:tcPr>
          <w:p w14:paraId="68F781E6">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17.98</w:t>
            </w:r>
          </w:p>
        </w:tc>
        <w:tc>
          <w:tcPr>
            <w:tcW w:w="1378" w:type="dxa"/>
            <w:vAlign w:val="bottom"/>
          </w:tcPr>
          <w:p w14:paraId="7A3F409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208.03</w:t>
            </w:r>
          </w:p>
        </w:tc>
        <w:tc>
          <w:tcPr>
            <w:tcW w:w="975" w:type="dxa"/>
            <w:vAlign w:val="top"/>
          </w:tcPr>
          <w:p w14:paraId="679E2AEF">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5.00</w:t>
            </w:r>
          </w:p>
        </w:tc>
        <w:tc>
          <w:tcPr>
            <w:tcW w:w="1124" w:type="dxa"/>
            <w:vAlign w:val="bottom"/>
          </w:tcPr>
          <w:p w14:paraId="39E20EAE">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21.46</w:t>
            </w:r>
          </w:p>
        </w:tc>
        <w:tc>
          <w:tcPr>
            <w:tcW w:w="1124" w:type="dxa"/>
            <w:vAlign w:val="bottom"/>
          </w:tcPr>
          <w:p w14:paraId="393DE04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16.69</w:t>
            </w:r>
          </w:p>
        </w:tc>
        <w:tc>
          <w:tcPr>
            <w:tcW w:w="1124" w:type="dxa"/>
            <w:vAlign w:val="bottom"/>
          </w:tcPr>
          <w:p w14:paraId="15D226C4">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30.29</w:t>
            </w:r>
          </w:p>
        </w:tc>
      </w:tr>
      <w:tr w14:paraId="6C522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09A6AAB7">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700</w:t>
            </w:r>
          </w:p>
        </w:tc>
        <w:tc>
          <w:tcPr>
            <w:tcW w:w="1118" w:type="dxa"/>
            <w:vAlign w:val="center"/>
          </w:tcPr>
          <w:p w14:paraId="59EFE6F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16.28</w:t>
            </w:r>
          </w:p>
        </w:tc>
        <w:tc>
          <w:tcPr>
            <w:tcW w:w="1276" w:type="dxa"/>
            <w:vAlign w:val="center"/>
          </w:tcPr>
          <w:p w14:paraId="637CDD02">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44.78</w:t>
            </w:r>
          </w:p>
        </w:tc>
        <w:tc>
          <w:tcPr>
            <w:tcW w:w="1417" w:type="dxa"/>
            <w:vAlign w:val="bottom"/>
          </w:tcPr>
          <w:p w14:paraId="48378DE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15.58</w:t>
            </w:r>
          </w:p>
        </w:tc>
        <w:tc>
          <w:tcPr>
            <w:tcW w:w="1276" w:type="dxa"/>
            <w:vAlign w:val="bottom"/>
          </w:tcPr>
          <w:p w14:paraId="164C0AF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14.64</w:t>
            </w:r>
          </w:p>
        </w:tc>
        <w:tc>
          <w:tcPr>
            <w:tcW w:w="1315" w:type="dxa"/>
            <w:vAlign w:val="bottom"/>
          </w:tcPr>
          <w:p w14:paraId="7E4DB870">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19.13</w:t>
            </w:r>
          </w:p>
        </w:tc>
        <w:tc>
          <w:tcPr>
            <w:tcW w:w="1378" w:type="dxa"/>
            <w:vAlign w:val="bottom"/>
          </w:tcPr>
          <w:p w14:paraId="06A9938E">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164.02</w:t>
            </w:r>
          </w:p>
        </w:tc>
        <w:tc>
          <w:tcPr>
            <w:tcW w:w="975" w:type="dxa"/>
            <w:vAlign w:val="top"/>
          </w:tcPr>
          <w:p w14:paraId="328E7399">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5.83</w:t>
            </w:r>
          </w:p>
        </w:tc>
        <w:tc>
          <w:tcPr>
            <w:tcW w:w="1124" w:type="dxa"/>
            <w:vAlign w:val="bottom"/>
          </w:tcPr>
          <w:p w14:paraId="1DF5733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16.68</w:t>
            </w:r>
          </w:p>
        </w:tc>
        <w:tc>
          <w:tcPr>
            <w:tcW w:w="1124" w:type="dxa"/>
            <w:vAlign w:val="bottom"/>
          </w:tcPr>
          <w:p w14:paraId="5A8DE05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17.82</w:t>
            </w:r>
          </w:p>
        </w:tc>
        <w:tc>
          <w:tcPr>
            <w:tcW w:w="1124" w:type="dxa"/>
            <w:vAlign w:val="bottom"/>
          </w:tcPr>
          <w:p w14:paraId="0FE4E5A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23.16</w:t>
            </w:r>
          </w:p>
        </w:tc>
      </w:tr>
      <w:tr w14:paraId="46486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2682F55D">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800</w:t>
            </w:r>
          </w:p>
        </w:tc>
        <w:tc>
          <w:tcPr>
            <w:tcW w:w="1118" w:type="dxa"/>
            <w:vAlign w:val="center"/>
          </w:tcPr>
          <w:p w14:paraId="090BAA42">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17.34</w:t>
            </w:r>
          </w:p>
        </w:tc>
        <w:tc>
          <w:tcPr>
            <w:tcW w:w="1276" w:type="dxa"/>
            <w:vAlign w:val="center"/>
          </w:tcPr>
          <w:p w14:paraId="1F8F65AB">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36.77</w:t>
            </w:r>
          </w:p>
        </w:tc>
        <w:tc>
          <w:tcPr>
            <w:tcW w:w="1417" w:type="dxa"/>
            <w:vAlign w:val="bottom"/>
          </w:tcPr>
          <w:p w14:paraId="5B3C13B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16.63</w:t>
            </w:r>
          </w:p>
        </w:tc>
        <w:tc>
          <w:tcPr>
            <w:tcW w:w="1276" w:type="dxa"/>
            <w:vAlign w:val="bottom"/>
          </w:tcPr>
          <w:p w14:paraId="2ACDD922">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11.56</w:t>
            </w:r>
          </w:p>
        </w:tc>
        <w:tc>
          <w:tcPr>
            <w:tcW w:w="1315" w:type="dxa"/>
            <w:vAlign w:val="bottom"/>
          </w:tcPr>
          <w:p w14:paraId="360FABE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20.23</w:t>
            </w:r>
          </w:p>
        </w:tc>
        <w:tc>
          <w:tcPr>
            <w:tcW w:w="1378" w:type="dxa"/>
            <w:vAlign w:val="bottom"/>
          </w:tcPr>
          <w:p w14:paraId="1243238D">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132.65</w:t>
            </w:r>
          </w:p>
        </w:tc>
        <w:tc>
          <w:tcPr>
            <w:tcW w:w="975" w:type="dxa"/>
            <w:vAlign w:val="top"/>
          </w:tcPr>
          <w:p w14:paraId="34B78F25">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6.67</w:t>
            </w:r>
          </w:p>
        </w:tc>
        <w:tc>
          <w:tcPr>
            <w:tcW w:w="1124" w:type="dxa"/>
            <w:vAlign w:val="bottom"/>
          </w:tcPr>
          <w:p w14:paraId="00FB5DC1">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13.40</w:t>
            </w:r>
          </w:p>
        </w:tc>
        <w:tc>
          <w:tcPr>
            <w:tcW w:w="1124" w:type="dxa"/>
            <w:vAlign w:val="bottom"/>
          </w:tcPr>
          <w:p w14:paraId="7B6430AA">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18.89</w:t>
            </w:r>
          </w:p>
        </w:tc>
        <w:tc>
          <w:tcPr>
            <w:tcW w:w="1124" w:type="dxa"/>
            <w:vAlign w:val="bottom"/>
          </w:tcPr>
          <w:p w14:paraId="4DABE3D1">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18.22</w:t>
            </w:r>
          </w:p>
        </w:tc>
      </w:tr>
      <w:tr w14:paraId="329B3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6326376C">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900</w:t>
            </w:r>
          </w:p>
        </w:tc>
        <w:tc>
          <w:tcPr>
            <w:tcW w:w="1118" w:type="dxa"/>
            <w:vAlign w:val="center"/>
          </w:tcPr>
          <w:p w14:paraId="4C291F46">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18.36</w:t>
            </w:r>
          </w:p>
        </w:tc>
        <w:tc>
          <w:tcPr>
            <w:tcW w:w="1276" w:type="dxa"/>
            <w:vAlign w:val="center"/>
          </w:tcPr>
          <w:p w14:paraId="60A18FA1">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30.60</w:t>
            </w:r>
          </w:p>
        </w:tc>
        <w:tc>
          <w:tcPr>
            <w:tcW w:w="1417" w:type="dxa"/>
            <w:vAlign w:val="bottom"/>
          </w:tcPr>
          <w:p w14:paraId="310FED1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17.64</w:t>
            </w:r>
          </w:p>
        </w:tc>
        <w:tc>
          <w:tcPr>
            <w:tcW w:w="1276" w:type="dxa"/>
            <w:vAlign w:val="bottom"/>
          </w:tcPr>
          <w:p w14:paraId="4B07E193">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9.31</w:t>
            </w:r>
          </w:p>
        </w:tc>
        <w:tc>
          <w:tcPr>
            <w:tcW w:w="1315" w:type="dxa"/>
            <w:vAlign w:val="bottom"/>
          </w:tcPr>
          <w:p w14:paraId="0865AA2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21.28</w:t>
            </w:r>
          </w:p>
        </w:tc>
        <w:tc>
          <w:tcPr>
            <w:tcW w:w="1378" w:type="dxa"/>
            <w:vAlign w:val="bottom"/>
          </w:tcPr>
          <w:p w14:paraId="3F3D8DA2">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110.59</w:t>
            </w:r>
          </w:p>
        </w:tc>
        <w:tc>
          <w:tcPr>
            <w:tcW w:w="975" w:type="dxa"/>
            <w:vAlign w:val="top"/>
          </w:tcPr>
          <w:p w14:paraId="376F562B">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7.50</w:t>
            </w:r>
          </w:p>
        </w:tc>
        <w:tc>
          <w:tcPr>
            <w:tcW w:w="1124" w:type="dxa"/>
            <w:vAlign w:val="bottom"/>
          </w:tcPr>
          <w:p w14:paraId="4549930D">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11.04</w:t>
            </w:r>
          </w:p>
        </w:tc>
        <w:tc>
          <w:tcPr>
            <w:tcW w:w="1124" w:type="dxa"/>
            <w:vAlign w:val="bottom"/>
          </w:tcPr>
          <w:p w14:paraId="4788D1D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19.92</w:t>
            </w:r>
          </w:p>
        </w:tc>
        <w:tc>
          <w:tcPr>
            <w:tcW w:w="1124" w:type="dxa"/>
            <w:vAlign w:val="bottom"/>
          </w:tcPr>
          <w:p w14:paraId="66E7B6A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14.82</w:t>
            </w:r>
          </w:p>
        </w:tc>
      </w:tr>
      <w:tr w14:paraId="668CB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074C8A88">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1000</w:t>
            </w:r>
          </w:p>
        </w:tc>
        <w:tc>
          <w:tcPr>
            <w:tcW w:w="1118" w:type="dxa"/>
            <w:vAlign w:val="center"/>
          </w:tcPr>
          <w:p w14:paraId="1E6B34DC">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19.35</w:t>
            </w:r>
          </w:p>
        </w:tc>
        <w:tc>
          <w:tcPr>
            <w:tcW w:w="1276" w:type="dxa"/>
            <w:vAlign w:val="center"/>
          </w:tcPr>
          <w:p w14:paraId="11D7B145">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25.97</w:t>
            </w:r>
          </w:p>
        </w:tc>
        <w:tc>
          <w:tcPr>
            <w:tcW w:w="1417" w:type="dxa"/>
            <w:vAlign w:val="bottom"/>
          </w:tcPr>
          <w:p w14:paraId="1AB85346">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18.62</w:t>
            </w:r>
          </w:p>
        </w:tc>
        <w:tc>
          <w:tcPr>
            <w:tcW w:w="1276" w:type="dxa"/>
            <w:vAlign w:val="bottom"/>
          </w:tcPr>
          <w:p w14:paraId="2C5F688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7.72</w:t>
            </w:r>
          </w:p>
        </w:tc>
        <w:tc>
          <w:tcPr>
            <w:tcW w:w="1315" w:type="dxa"/>
            <w:vAlign w:val="bottom"/>
          </w:tcPr>
          <w:p w14:paraId="633A543E">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22.29</w:t>
            </w:r>
          </w:p>
        </w:tc>
        <w:tc>
          <w:tcPr>
            <w:tcW w:w="1378" w:type="dxa"/>
            <w:vAlign w:val="bottom"/>
          </w:tcPr>
          <w:p w14:paraId="4FBEADC2">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93.36</w:t>
            </w:r>
          </w:p>
        </w:tc>
        <w:tc>
          <w:tcPr>
            <w:tcW w:w="975" w:type="dxa"/>
            <w:vAlign w:val="top"/>
          </w:tcPr>
          <w:p w14:paraId="611CC025">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8.33</w:t>
            </w:r>
          </w:p>
        </w:tc>
        <w:tc>
          <w:tcPr>
            <w:tcW w:w="1124" w:type="dxa"/>
            <w:vAlign w:val="bottom"/>
          </w:tcPr>
          <w:p w14:paraId="27042F06">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9.27</w:t>
            </w:r>
          </w:p>
        </w:tc>
        <w:tc>
          <w:tcPr>
            <w:tcW w:w="1124" w:type="dxa"/>
            <w:vAlign w:val="bottom"/>
          </w:tcPr>
          <w:p w14:paraId="56679EC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20.91</w:t>
            </w:r>
          </w:p>
        </w:tc>
        <w:tc>
          <w:tcPr>
            <w:tcW w:w="1124" w:type="dxa"/>
            <w:vAlign w:val="bottom"/>
          </w:tcPr>
          <w:p w14:paraId="60437782">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12.30</w:t>
            </w:r>
          </w:p>
        </w:tc>
      </w:tr>
      <w:tr w14:paraId="7417D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4015C031">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1500</w:t>
            </w:r>
          </w:p>
        </w:tc>
        <w:tc>
          <w:tcPr>
            <w:tcW w:w="1118" w:type="dxa"/>
            <w:vAlign w:val="center"/>
          </w:tcPr>
          <w:p w14:paraId="1D7AF05E">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23.93</w:t>
            </w:r>
          </w:p>
        </w:tc>
        <w:tc>
          <w:tcPr>
            <w:tcW w:w="1276" w:type="dxa"/>
            <w:vAlign w:val="center"/>
          </w:tcPr>
          <w:p w14:paraId="10641474">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13.35</w:t>
            </w:r>
          </w:p>
        </w:tc>
        <w:tc>
          <w:tcPr>
            <w:tcW w:w="1417" w:type="dxa"/>
            <w:vAlign w:val="bottom"/>
          </w:tcPr>
          <w:p w14:paraId="6A71527F">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23.14</w:t>
            </w:r>
          </w:p>
        </w:tc>
        <w:tc>
          <w:tcPr>
            <w:tcW w:w="1276" w:type="dxa"/>
            <w:vAlign w:val="bottom"/>
          </w:tcPr>
          <w:p w14:paraId="1876C05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3.65</w:t>
            </w:r>
          </w:p>
        </w:tc>
        <w:tc>
          <w:tcPr>
            <w:tcW w:w="1315" w:type="dxa"/>
            <w:vAlign w:val="bottom"/>
          </w:tcPr>
          <w:p w14:paraId="1EBE4451">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26.98</w:t>
            </w:r>
          </w:p>
        </w:tc>
        <w:tc>
          <w:tcPr>
            <w:tcW w:w="1378" w:type="dxa"/>
            <w:vAlign w:val="bottom"/>
          </w:tcPr>
          <w:p w14:paraId="044FA86D">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48.28</w:t>
            </w:r>
          </w:p>
        </w:tc>
        <w:tc>
          <w:tcPr>
            <w:tcW w:w="975" w:type="dxa"/>
            <w:vAlign w:val="top"/>
          </w:tcPr>
          <w:p w14:paraId="7EFD1EA2">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12.50</w:t>
            </w:r>
          </w:p>
        </w:tc>
        <w:tc>
          <w:tcPr>
            <w:tcW w:w="1124" w:type="dxa"/>
            <w:vAlign w:val="bottom"/>
          </w:tcPr>
          <w:p w14:paraId="4F8D202A">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4.80</w:t>
            </w:r>
          </w:p>
        </w:tc>
        <w:tc>
          <w:tcPr>
            <w:tcW w:w="1124" w:type="dxa"/>
            <w:vAlign w:val="bottom"/>
          </w:tcPr>
          <w:p w14:paraId="726489A2">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25.50</w:t>
            </w:r>
          </w:p>
        </w:tc>
        <w:tc>
          <w:tcPr>
            <w:tcW w:w="1124" w:type="dxa"/>
            <w:vAlign w:val="bottom"/>
          </w:tcPr>
          <w:p w14:paraId="1601089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5.97</w:t>
            </w:r>
          </w:p>
        </w:tc>
      </w:tr>
      <w:tr w14:paraId="0137E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5215FD8B">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2000</w:t>
            </w:r>
          </w:p>
        </w:tc>
        <w:tc>
          <w:tcPr>
            <w:tcW w:w="1118" w:type="dxa"/>
            <w:vAlign w:val="center"/>
          </w:tcPr>
          <w:p w14:paraId="30AC940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28.12</w:t>
            </w:r>
          </w:p>
        </w:tc>
        <w:tc>
          <w:tcPr>
            <w:tcW w:w="1276" w:type="dxa"/>
            <w:vAlign w:val="center"/>
          </w:tcPr>
          <w:p w14:paraId="67B8159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8.14</w:t>
            </w:r>
          </w:p>
        </w:tc>
        <w:tc>
          <w:tcPr>
            <w:tcW w:w="1417" w:type="dxa"/>
            <w:vAlign w:val="bottom"/>
          </w:tcPr>
          <w:p w14:paraId="1C21AA36">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27.25</w:t>
            </w:r>
          </w:p>
        </w:tc>
        <w:tc>
          <w:tcPr>
            <w:tcW w:w="1276" w:type="dxa"/>
            <w:vAlign w:val="bottom"/>
          </w:tcPr>
          <w:p w14:paraId="528B975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2.15</w:t>
            </w:r>
          </w:p>
        </w:tc>
        <w:tc>
          <w:tcPr>
            <w:tcW w:w="1315" w:type="dxa"/>
            <w:vAlign w:val="bottom"/>
          </w:tcPr>
          <w:p w14:paraId="503A71A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31.24</w:t>
            </w:r>
          </w:p>
        </w:tc>
        <w:tc>
          <w:tcPr>
            <w:tcW w:w="1378" w:type="dxa"/>
            <w:vAlign w:val="bottom"/>
          </w:tcPr>
          <w:p w14:paraId="6D27B7B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29.45</w:t>
            </w:r>
          </w:p>
        </w:tc>
        <w:tc>
          <w:tcPr>
            <w:tcW w:w="975" w:type="dxa"/>
            <w:vAlign w:val="top"/>
          </w:tcPr>
          <w:p w14:paraId="27C0A8DA">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19.67</w:t>
            </w:r>
          </w:p>
        </w:tc>
        <w:tc>
          <w:tcPr>
            <w:tcW w:w="1124" w:type="dxa"/>
            <w:vAlign w:val="bottom"/>
          </w:tcPr>
          <w:p w14:paraId="251A68E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3.28</w:t>
            </w:r>
          </w:p>
        </w:tc>
        <w:tc>
          <w:tcPr>
            <w:tcW w:w="1124" w:type="dxa"/>
            <w:vAlign w:val="bottom"/>
          </w:tcPr>
          <w:p w14:paraId="565B32C4">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29.66</w:t>
            </w:r>
          </w:p>
        </w:tc>
        <w:tc>
          <w:tcPr>
            <w:tcW w:w="1124" w:type="dxa"/>
            <w:vAlign w:val="bottom"/>
          </w:tcPr>
          <w:p w14:paraId="03B76871">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3.53</w:t>
            </w:r>
          </w:p>
        </w:tc>
      </w:tr>
      <w:tr w14:paraId="58B95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57F08EA4">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2500</w:t>
            </w:r>
          </w:p>
        </w:tc>
        <w:tc>
          <w:tcPr>
            <w:tcW w:w="1118" w:type="dxa"/>
            <w:vAlign w:val="center"/>
          </w:tcPr>
          <w:p w14:paraId="429D030B">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32.04</w:t>
            </w:r>
          </w:p>
        </w:tc>
        <w:tc>
          <w:tcPr>
            <w:tcW w:w="1276" w:type="dxa"/>
            <w:vAlign w:val="center"/>
          </w:tcPr>
          <w:p w14:paraId="1C8A9DA8">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5.45</w:t>
            </w:r>
          </w:p>
        </w:tc>
        <w:tc>
          <w:tcPr>
            <w:tcW w:w="1417" w:type="dxa"/>
            <w:vAlign w:val="bottom"/>
          </w:tcPr>
          <w:p w14:paraId="0CCEF5A6">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31.11</w:t>
            </w:r>
          </w:p>
        </w:tc>
        <w:tc>
          <w:tcPr>
            <w:tcW w:w="1276" w:type="dxa"/>
            <w:vAlign w:val="bottom"/>
          </w:tcPr>
          <w:p w14:paraId="7AB29CF2">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1.41</w:t>
            </w:r>
          </w:p>
        </w:tc>
        <w:tc>
          <w:tcPr>
            <w:tcW w:w="1315" w:type="dxa"/>
            <w:vAlign w:val="bottom"/>
          </w:tcPr>
          <w:p w14:paraId="313BE03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35.22</w:t>
            </w:r>
          </w:p>
        </w:tc>
        <w:tc>
          <w:tcPr>
            <w:tcW w:w="1378" w:type="dxa"/>
            <w:vAlign w:val="bottom"/>
          </w:tcPr>
          <w:p w14:paraId="61161C10">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19.81</w:t>
            </w:r>
          </w:p>
        </w:tc>
        <w:tc>
          <w:tcPr>
            <w:tcW w:w="975" w:type="dxa"/>
            <w:vAlign w:val="top"/>
          </w:tcPr>
          <w:p w14:paraId="283F697B">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23.83</w:t>
            </w:r>
          </w:p>
        </w:tc>
        <w:tc>
          <w:tcPr>
            <w:tcW w:w="1124" w:type="dxa"/>
            <w:vAlign w:val="bottom"/>
          </w:tcPr>
          <w:p w14:paraId="23BE5B18">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2.43</w:t>
            </w:r>
          </w:p>
        </w:tc>
        <w:tc>
          <w:tcPr>
            <w:tcW w:w="1124" w:type="dxa"/>
            <w:vAlign w:val="bottom"/>
          </w:tcPr>
          <w:p w14:paraId="44F337A3">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33.56</w:t>
            </w:r>
          </w:p>
        </w:tc>
        <w:tc>
          <w:tcPr>
            <w:tcW w:w="1124" w:type="dxa"/>
            <w:vAlign w:val="bottom"/>
          </w:tcPr>
          <w:p w14:paraId="41AA516A">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2.33</w:t>
            </w:r>
          </w:p>
        </w:tc>
      </w:tr>
      <w:tr w14:paraId="338B9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5A84B7FB">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3000</w:t>
            </w:r>
          </w:p>
        </w:tc>
        <w:tc>
          <w:tcPr>
            <w:tcW w:w="1118" w:type="dxa"/>
            <w:vAlign w:val="center"/>
          </w:tcPr>
          <w:p w14:paraId="3092FD57">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35.78</w:t>
            </w:r>
          </w:p>
        </w:tc>
        <w:tc>
          <w:tcPr>
            <w:tcW w:w="1276" w:type="dxa"/>
            <w:vAlign w:val="center"/>
          </w:tcPr>
          <w:p w14:paraId="120DAE54">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3.90</w:t>
            </w:r>
          </w:p>
        </w:tc>
        <w:tc>
          <w:tcPr>
            <w:tcW w:w="1417" w:type="dxa"/>
            <w:vAlign w:val="bottom"/>
          </w:tcPr>
          <w:p w14:paraId="31E57713">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34.79</w:t>
            </w:r>
          </w:p>
        </w:tc>
        <w:tc>
          <w:tcPr>
            <w:tcW w:w="1276" w:type="dxa"/>
            <w:vAlign w:val="bottom"/>
          </w:tcPr>
          <w:p w14:paraId="4B15F456">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0.99</w:t>
            </w:r>
          </w:p>
        </w:tc>
        <w:tc>
          <w:tcPr>
            <w:tcW w:w="1315" w:type="dxa"/>
            <w:vAlign w:val="bottom"/>
          </w:tcPr>
          <w:p w14:paraId="244B5851">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39.00</w:t>
            </w:r>
          </w:p>
        </w:tc>
        <w:tc>
          <w:tcPr>
            <w:tcW w:w="1378" w:type="dxa"/>
            <w:vAlign w:val="bottom"/>
          </w:tcPr>
          <w:p w14:paraId="7987E36E">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14.25</w:t>
            </w:r>
          </w:p>
        </w:tc>
        <w:tc>
          <w:tcPr>
            <w:tcW w:w="975" w:type="dxa"/>
            <w:vAlign w:val="top"/>
          </w:tcPr>
          <w:p w14:paraId="6D2CE227">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29.00</w:t>
            </w:r>
          </w:p>
        </w:tc>
        <w:tc>
          <w:tcPr>
            <w:tcW w:w="1124" w:type="dxa"/>
            <w:vAlign w:val="bottom"/>
          </w:tcPr>
          <w:p w14:paraId="6DECE14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1.91</w:t>
            </w:r>
          </w:p>
        </w:tc>
        <w:tc>
          <w:tcPr>
            <w:tcW w:w="1124" w:type="dxa"/>
            <w:vAlign w:val="bottom"/>
          </w:tcPr>
          <w:p w14:paraId="741B8B73">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37.27</w:t>
            </w:r>
          </w:p>
        </w:tc>
        <w:tc>
          <w:tcPr>
            <w:tcW w:w="1124" w:type="dxa"/>
            <w:vAlign w:val="bottom"/>
          </w:tcPr>
          <w:p w14:paraId="5FC1AF70">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1.65</w:t>
            </w:r>
          </w:p>
        </w:tc>
      </w:tr>
      <w:tr w14:paraId="1F58B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0CFC8D57">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3500</w:t>
            </w:r>
          </w:p>
        </w:tc>
        <w:tc>
          <w:tcPr>
            <w:tcW w:w="1118" w:type="dxa"/>
            <w:vAlign w:val="center"/>
          </w:tcPr>
          <w:p w14:paraId="4FC70AFC">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39.37</w:t>
            </w:r>
          </w:p>
        </w:tc>
        <w:tc>
          <w:tcPr>
            <w:tcW w:w="1276" w:type="dxa"/>
            <w:vAlign w:val="center"/>
          </w:tcPr>
          <w:p w14:paraId="21FD5139">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2.91</w:t>
            </w:r>
          </w:p>
        </w:tc>
        <w:tc>
          <w:tcPr>
            <w:tcW w:w="1417" w:type="dxa"/>
            <w:vAlign w:val="bottom"/>
          </w:tcPr>
          <w:p w14:paraId="0E21ABD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38.32</w:t>
            </w:r>
          </w:p>
        </w:tc>
        <w:tc>
          <w:tcPr>
            <w:tcW w:w="1276" w:type="dxa"/>
            <w:vAlign w:val="bottom"/>
          </w:tcPr>
          <w:p w14:paraId="3CCADA95">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0.74</w:t>
            </w:r>
          </w:p>
        </w:tc>
        <w:tc>
          <w:tcPr>
            <w:tcW w:w="1315" w:type="dxa"/>
            <w:vAlign w:val="bottom"/>
          </w:tcPr>
          <w:p w14:paraId="4D3060C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42.64</w:t>
            </w:r>
          </w:p>
        </w:tc>
        <w:tc>
          <w:tcPr>
            <w:tcW w:w="1378" w:type="dxa"/>
            <w:vAlign w:val="bottom"/>
          </w:tcPr>
          <w:p w14:paraId="53FE1D58">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10.65</w:t>
            </w:r>
          </w:p>
        </w:tc>
        <w:tc>
          <w:tcPr>
            <w:tcW w:w="975" w:type="dxa"/>
            <w:vAlign w:val="top"/>
          </w:tcPr>
          <w:p w14:paraId="56B88B64">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33.17</w:t>
            </w:r>
          </w:p>
        </w:tc>
        <w:tc>
          <w:tcPr>
            <w:tcW w:w="1124" w:type="dxa"/>
            <w:vAlign w:val="bottom"/>
          </w:tcPr>
          <w:p w14:paraId="00C84DAE">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1.56</w:t>
            </w:r>
          </w:p>
        </w:tc>
        <w:tc>
          <w:tcPr>
            <w:tcW w:w="1124" w:type="dxa"/>
            <w:vAlign w:val="bottom"/>
          </w:tcPr>
          <w:p w14:paraId="1DE7D7A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40.83</w:t>
            </w:r>
          </w:p>
        </w:tc>
        <w:tc>
          <w:tcPr>
            <w:tcW w:w="1124" w:type="dxa"/>
            <w:vAlign w:val="bottom"/>
          </w:tcPr>
          <w:p w14:paraId="6249252A">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1.23</w:t>
            </w:r>
          </w:p>
        </w:tc>
      </w:tr>
      <w:tr w14:paraId="62060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2893CD92">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4000</w:t>
            </w:r>
          </w:p>
        </w:tc>
        <w:tc>
          <w:tcPr>
            <w:tcW w:w="1118" w:type="dxa"/>
            <w:vAlign w:val="center"/>
          </w:tcPr>
          <w:p w14:paraId="494234AA">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42.84</w:t>
            </w:r>
          </w:p>
        </w:tc>
        <w:tc>
          <w:tcPr>
            <w:tcW w:w="1276" w:type="dxa"/>
            <w:vAlign w:val="center"/>
          </w:tcPr>
          <w:p w14:paraId="0BEB3F0E">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2.25</w:t>
            </w:r>
          </w:p>
        </w:tc>
        <w:tc>
          <w:tcPr>
            <w:tcW w:w="1417" w:type="dxa"/>
            <w:vAlign w:val="bottom"/>
          </w:tcPr>
          <w:p w14:paraId="5ADEBD6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41.74</w:t>
            </w:r>
          </w:p>
        </w:tc>
        <w:tc>
          <w:tcPr>
            <w:tcW w:w="1276" w:type="dxa"/>
            <w:vAlign w:val="bottom"/>
          </w:tcPr>
          <w:p w14:paraId="2E15C10F">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0.56</w:t>
            </w:r>
          </w:p>
        </w:tc>
        <w:tc>
          <w:tcPr>
            <w:tcW w:w="1315" w:type="dxa"/>
            <w:vAlign w:val="bottom"/>
          </w:tcPr>
          <w:p w14:paraId="139C3AB6">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46.15</w:t>
            </w:r>
          </w:p>
        </w:tc>
        <w:tc>
          <w:tcPr>
            <w:tcW w:w="1378" w:type="dxa"/>
            <w:vAlign w:val="bottom"/>
          </w:tcPr>
          <w:p w14:paraId="6B851EE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8.28</w:t>
            </w:r>
          </w:p>
        </w:tc>
        <w:tc>
          <w:tcPr>
            <w:tcW w:w="975" w:type="dxa"/>
            <w:vAlign w:val="top"/>
          </w:tcPr>
          <w:p w14:paraId="6D003686">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38.33</w:t>
            </w:r>
          </w:p>
        </w:tc>
        <w:tc>
          <w:tcPr>
            <w:tcW w:w="1124" w:type="dxa"/>
            <w:vAlign w:val="bottom"/>
          </w:tcPr>
          <w:p w14:paraId="3C389702">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1.30</w:t>
            </w:r>
          </w:p>
        </w:tc>
        <w:tc>
          <w:tcPr>
            <w:tcW w:w="1124" w:type="dxa"/>
            <w:vAlign w:val="bottom"/>
          </w:tcPr>
          <w:p w14:paraId="13BCFB28">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44.28</w:t>
            </w:r>
          </w:p>
        </w:tc>
        <w:tc>
          <w:tcPr>
            <w:tcW w:w="1124" w:type="dxa"/>
            <w:vAlign w:val="bottom"/>
          </w:tcPr>
          <w:p w14:paraId="53FBE5E0">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0.95</w:t>
            </w:r>
          </w:p>
        </w:tc>
      </w:tr>
      <w:tr w14:paraId="488BC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1CB8DADE">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4500</w:t>
            </w:r>
          </w:p>
        </w:tc>
        <w:tc>
          <w:tcPr>
            <w:tcW w:w="1118" w:type="dxa"/>
            <w:vAlign w:val="center"/>
          </w:tcPr>
          <w:p w14:paraId="7AB12879">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46.21</w:t>
            </w:r>
          </w:p>
        </w:tc>
        <w:tc>
          <w:tcPr>
            <w:tcW w:w="1276" w:type="dxa"/>
            <w:vAlign w:val="center"/>
          </w:tcPr>
          <w:p w14:paraId="796AA224">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1.79</w:t>
            </w:r>
          </w:p>
        </w:tc>
        <w:tc>
          <w:tcPr>
            <w:tcW w:w="1417" w:type="dxa"/>
            <w:vAlign w:val="bottom"/>
          </w:tcPr>
          <w:p w14:paraId="0ADB2668">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45.07</w:t>
            </w:r>
          </w:p>
        </w:tc>
        <w:tc>
          <w:tcPr>
            <w:tcW w:w="1276" w:type="dxa"/>
            <w:vAlign w:val="bottom"/>
          </w:tcPr>
          <w:p w14:paraId="145D29D8">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0.45</w:t>
            </w:r>
          </w:p>
        </w:tc>
        <w:tc>
          <w:tcPr>
            <w:tcW w:w="1315" w:type="dxa"/>
            <w:vAlign w:val="bottom"/>
          </w:tcPr>
          <w:p w14:paraId="551AF093">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49.56</w:t>
            </w:r>
          </w:p>
        </w:tc>
        <w:tc>
          <w:tcPr>
            <w:tcW w:w="1378" w:type="dxa"/>
            <w:vAlign w:val="bottom"/>
          </w:tcPr>
          <w:p w14:paraId="058C1E95">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6.60</w:t>
            </w:r>
          </w:p>
        </w:tc>
        <w:tc>
          <w:tcPr>
            <w:tcW w:w="975" w:type="dxa"/>
            <w:vAlign w:val="top"/>
          </w:tcPr>
          <w:p w14:paraId="6B7DF22C">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42.50</w:t>
            </w:r>
          </w:p>
        </w:tc>
        <w:tc>
          <w:tcPr>
            <w:tcW w:w="1124" w:type="dxa"/>
            <w:vAlign w:val="bottom"/>
          </w:tcPr>
          <w:p w14:paraId="59C07D17">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1.11</w:t>
            </w:r>
          </w:p>
        </w:tc>
        <w:tc>
          <w:tcPr>
            <w:tcW w:w="1124" w:type="dxa"/>
            <w:vAlign w:val="bottom"/>
          </w:tcPr>
          <w:p w14:paraId="26159457">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47.63</w:t>
            </w:r>
          </w:p>
        </w:tc>
        <w:tc>
          <w:tcPr>
            <w:tcW w:w="1124" w:type="dxa"/>
            <w:vAlign w:val="bottom"/>
          </w:tcPr>
          <w:p w14:paraId="24E88DD3">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0.75</w:t>
            </w:r>
          </w:p>
        </w:tc>
      </w:tr>
      <w:tr w14:paraId="1239A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3536F3DE">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5000</w:t>
            </w:r>
          </w:p>
        </w:tc>
        <w:tc>
          <w:tcPr>
            <w:tcW w:w="1118" w:type="dxa"/>
            <w:vAlign w:val="center"/>
          </w:tcPr>
          <w:p w14:paraId="183662A5">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49.51</w:t>
            </w:r>
          </w:p>
        </w:tc>
        <w:tc>
          <w:tcPr>
            <w:tcW w:w="1276" w:type="dxa"/>
            <w:vAlign w:val="center"/>
          </w:tcPr>
          <w:p w14:paraId="797302FE">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1.46</w:t>
            </w:r>
          </w:p>
        </w:tc>
        <w:tc>
          <w:tcPr>
            <w:tcW w:w="1417" w:type="dxa"/>
            <w:vAlign w:val="bottom"/>
          </w:tcPr>
          <w:p w14:paraId="4C46CD2C">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48.32</w:t>
            </w:r>
          </w:p>
        </w:tc>
        <w:tc>
          <w:tcPr>
            <w:tcW w:w="1276" w:type="dxa"/>
            <w:vAlign w:val="bottom"/>
          </w:tcPr>
          <w:p w14:paraId="5339F76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0.36</w:t>
            </w:r>
          </w:p>
        </w:tc>
        <w:tc>
          <w:tcPr>
            <w:tcW w:w="1315" w:type="dxa"/>
            <w:vAlign w:val="bottom"/>
          </w:tcPr>
          <w:p w14:paraId="71D55C98">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52.88</w:t>
            </w:r>
          </w:p>
        </w:tc>
        <w:tc>
          <w:tcPr>
            <w:tcW w:w="1378" w:type="dxa"/>
            <w:vAlign w:val="bottom"/>
          </w:tcPr>
          <w:p w14:paraId="214E312D">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5.40</w:t>
            </w:r>
          </w:p>
        </w:tc>
        <w:tc>
          <w:tcPr>
            <w:tcW w:w="975" w:type="dxa"/>
            <w:vAlign w:val="top"/>
          </w:tcPr>
          <w:p w14:paraId="4FC14BDC">
            <w:pPr>
              <w:pStyle w:val="91"/>
              <w:keepNext w:val="0"/>
              <w:keepLines w:val="0"/>
              <w:suppressLineNumbers w:val="0"/>
              <w:spacing w:before="0" w:beforeAutospacing="0" w:after="0" w:afterAutospacing="0"/>
              <w:ind w:left="0" w:right="0"/>
              <w:rPr>
                <w:rFonts w:hint="eastAsia" w:eastAsia="宋体"/>
                <w:color w:val="auto"/>
                <w:lang w:eastAsia="zh-CN"/>
              </w:rPr>
            </w:pPr>
            <w:r>
              <w:rPr>
                <w:rFonts w:hint="default"/>
                <w:color w:val="auto"/>
              </w:rPr>
              <w:t>47.67</w:t>
            </w:r>
          </w:p>
        </w:tc>
        <w:tc>
          <w:tcPr>
            <w:tcW w:w="1124" w:type="dxa"/>
            <w:vAlign w:val="bottom"/>
          </w:tcPr>
          <w:p w14:paraId="45881FD2">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0.97</w:t>
            </w:r>
          </w:p>
        </w:tc>
        <w:tc>
          <w:tcPr>
            <w:tcW w:w="1124" w:type="dxa"/>
            <w:vAlign w:val="bottom"/>
          </w:tcPr>
          <w:p w14:paraId="6D8E3112">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50.90</w:t>
            </w:r>
          </w:p>
        </w:tc>
        <w:tc>
          <w:tcPr>
            <w:tcW w:w="1124" w:type="dxa"/>
            <w:vAlign w:val="bottom"/>
          </w:tcPr>
          <w:p w14:paraId="02FD67EB">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0.61</w:t>
            </w:r>
          </w:p>
        </w:tc>
      </w:tr>
      <w:tr w14:paraId="67E4A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47CFD101">
            <w:pPr>
              <w:pStyle w:val="91"/>
              <w:keepNext w:val="0"/>
              <w:keepLines w:val="0"/>
              <w:suppressLineNumbers w:val="0"/>
              <w:spacing w:before="0" w:beforeAutospacing="0" w:after="0" w:afterAutospacing="0"/>
              <w:ind w:left="0" w:right="0"/>
              <w:rPr>
                <w:rFonts w:hint="default"/>
                <w:color w:val="auto"/>
              </w:rPr>
            </w:pPr>
            <w:r>
              <w:rPr>
                <w:rFonts w:hint="default"/>
                <w:color w:val="auto"/>
              </w:rPr>
              <w:t>时间/浓度最大值</w:t>
            </w:r>
          </w:p>
        </w:tc>
        <w:tc>
          <w:tcPr>
            <w:tcW w:w="1118" w:type="dxa"/>
            <w:vAlign w:val="top"/>
          </w:tcPr>
          <w:p w14:paraId="0A91E02B">
            <w:pPr>
              <w:pStyle w:val="91"/>
              <w:keepNext w:val="0"/>
              <w:keepLines w:val="0"/>
              <w:suppressLineNumbers w:val="0"/>
              <w:spacing w:before="0" w:beforeAutospacing="0" w:after="0" w:afterAutospacing="0"/>
              <w:ind w:left="0" w:right="0"/>
              <w:rPr>
                <w:rFonts w:hint="default"/>
                <w:color w:val="auto"/>
              </w:rPr>
            </w:pPr>
            <w:r>
              <w:rPr>
                <w:rFonts w:hint="default"/>
                <w:color w:val="auto"/>
              </w:rPr>
              <w:t>5.23</w:t>
            </w:r>
          </w:p>
        </w:tc>
        <w:tc>
          <w:tcPr>
            <w:tcW w:w="1276" w:type="dxa"/>
            <w:vAlign w:val="top"/>
          </w:tcPr>
          <w:p w14:paraId="19518C11">
            <w:pPr>
              <w:pStyle w:val="91"/>
              <w:keepNext w:val="0"/>
              <w:keepLines w:val="0"/>
              <w:suppressLineNumbers w:val="0"/>
              <w:spacing w:before="0" w:beforeAutospacing="0" w:after="0" w:afterAutospacing="0"/>
              <w:ind w:left="0" w:right="0"/>
              <w:rPr>
                <w:rFonts w:hint="default"/>
                <w:color w:val="auto"/>
              </w:rPr>
            </w:pPr>
            <w:r>
              <w:rPr>
                <w:rFonts w:hint="default"/>
                <w:color w:val="auto"/>
              </w:rPr>
              <w:t>3254.70</w:t>
            </w:r>
          </w:p>
        </w:tc>
        <w:tc>
          <w:tcPr>
            <w:tcW w:w="1417" w:type="dxa"/>
            <w:vAlign w:val="bottom"/>
          </w:tcPr>
          <w:p w14:paraId="687735B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5.20</w:t>
            </w:r>
          </w:p>
        </w:tc>
        <w:tc>
          <w:tcPr>
            <w:tcW w:w="1276" w:type="dxa"/>
            <w:vAlign w:val="bottom"/>
          </w:tcPr>
          <w:p w14:paraId="4054FA56">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1391.40</w:t>
            </w:r>
          </w:p>
        </w:tc>
        <w:tc>
          <w:tcPr>
            <w:tcW w:w="1315" w:type="dxa"/>
            <w:vAlign w:val="bottom"/>
          </w:tcPr>
          <w:p w14:paraId="17147FF3">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7.70</w:t>
            </w:r>
          </w:p>
        </w:tc>
        <w:tc>
          <w:tcPr>
            <w:tcW w:w="1378" w:type="dxa"/>
            <w:vAlign w:val="bottom"/>
          </w:tcPr>
          <w:p w14:paraId="087D446E">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14922.00</w:t>
            </w:r>
          </w:p>
        </w:tc>
        <w:tc>
          <w:tcPr>
            <w:tcW w:w="975" w:type="dxa"/>
            <w:vAlign w:val="bottom"/>
          </w:tcPr>
          <w:p w14:paraId="48B6D773">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0</w:t>
            </w:r>
            <w:r>
              <w:rPr>
                <w:rFonts w:hint="default"/>
                <w:color w:val="auto"/>
              </w:rPr>
              <w:t>.08</w:t>
            </w:r>
          </w:p>
        </w:tc>
        <w:tc>
          <w:tcPr>
            <w:tcW w:w="1124" w:type="dxa"/>
            <w:vAlign w:val="bottom"/>
          </w:tcPr>
          <w:p w14:paraId="2974260E">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8116.20</w:t>
            </w:r>
          </w:p>
        </w:tc>
        <w:tc>
          <w:tcPr>
            <w:tcW w:w="1124" w:type="dxa"/>
            <w:vAlign w:val="bottom"/>
          </w:tcPr>
          <w:p w14:paraId="5F7A75B2">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7.65</w:t>
            </w:r>
          </w:p>
        </w:tc>
        <w:tc>
          <w:tcPr>
            <w:tcW w:w="1124" w:type="dxa"/>
            <w:vAlign w:val="bottom"/>
          </w:tcPr>
          <w:p w14:paraId="78020AB9">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1125.50</w:t>
            </w:r>
          </w:p>
        </w:tc>
      </w:tr>
      <w:tr w14:paraId="60D6A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490D0C58">
            <w:pPr>
              <w:pStyle w:val="91"/>
              <w:keepNext w:val="0"/>
              <w:keepLines w:val="0"/>
              <w:suppressLineNumbers w:val="0"/>
              <w:spacing w:before="0" w:beforeAutospacing="0" w:after="0" w:afterAutospacing="0"/>
              <w:ind w:left="0" w:right="0"/>
              <w:rPr>
                <w:rFonts w:hint="default"/>
                <w:color w:val="auto"/>
              </w:rPr>
            </w:pPr>
            <w:r>
              <w:rPr>
                <w:rFonts w:hint="default"/>
                <w:color w:val="auto"/>
              </w:rPr>
              <w:t>浓度最大值出现距离/m</w:t>
            </w:r>
          </w:p>
        </w:tc>
        <w:tc>
          <w:tcPr>
            <w:tcW w:w="2394" w:type="dxa"/>
            <w:gridSpan w:val="2"/>
            <w:vAlign w:val="center"/>
          </w:tcPr>
          <w:p w14:paraId="149F7219">
            <w:pPr>
              <w:pStyle w:val="91"/>
              <w:keepNext w:val="0"/>
              <w:keepLines w:val="0"/>
              <w:suppressLineNumbers w:val="0"/>
              <w:spacing w:before="0" w:beforeAutospacing="0" w:after="0" w:afterAutospacing="0"/>
              <w:ind w:left="0" w:right="0"/>
              <w:rPr>
                <w:rFonts w:hint="default"/>
                <w:color w:val="auto"/>
              </w:rPr>
            </w:pPr>
            <w:r>
              <w:rPr>
                <w:rFonts w:hint="default"/>
                <w:color w:val="auto"/>
              </w:rPr>
              <w:t>10</w:t>
            </w:r>
          </w:p>
        </w:tc>
        <w:tc>
          <w:tcPr>
            <w:tcW w:w="2693" w:type="dxa"/>
            <w:gridSpan w:val="2"/>
            <w:vAlign w:val="center"/>
          </w:tcPr>
          <w:p w14:paraId="43E8F2A9">
            <w:pPr>
              <w:pStyle w:val="91"/>
              <w:keepNext w:val="0"/>
              <w:keepLines w:val="0"/>
              <w:suppressLineNumbers w:val="0"/>
              <w:spacing w:before="0" w:beforeAutospacing="0" w:after="0" w:afterAutospacing="0"/>
              <w:ind w:left="0" w:right="0"/>
              <w:rPr>
                <w:rFonts w:hint="default"/>
                <w:color w:val="auto"/>
              </w:rPr>
            </w:pPr>
            <w:r>
              <w:rPr>
                <w:rFonts w:hint="default"/>
                <w:color w:val="auto"/>
              </w:rPr>
              <w:t>10</w:t>
            </w:r>
          </w:p>
        </w:tc>
        <w:tc>
          <w:tcPr>
            <w:tcW w:w="2693" w:type="dxa"/>
            <w:gridSpan w:val="2"/>
            <w:vAlign w:val="center"/>
          </w:tcPr>
          <w:p w14:paraId="5AB22578">
            <w:pPr>
              <w:pStyle w:val="91"/>
              <w:keepNext w:val="0"/>
              <w:keepLines w:val="0"/>
              <w:suppressLineNumbers w:val="0"/>
              <w:spacing w:before="0" w:beforeAutospacing="0" w:after="0" w:afterAutospacing="0"/>
              <w:ind w:left="0" w:right="0"/>
              <w:rPr>
                <w:rFonts w:hint="default"/>
                <w:color w:val="auto"/>
              </w:rPr>
            </w:pPr>
            <w:r>
              <w:rPr>
                <w:rFonts w:hint="eastAsia"/>
                <w:color w:val="auto"/>
              </w:rPr>
              <w:t>10</w:t>
            </w:r>
          </w:p>
        </w:tc>
        <w:tc>
          <w:tcPr>
            <w:tcW w:w="2099" w:type="dxa"/>
            <w:gridSpan w:val="2"/>
            <w:vAlign w:val="center"/>
          </w:tcPr>
          <w:p w14:paraId="7F5451E5">
            <w:pPr>
              <w:pStyle w:val="91"/>
              <w:keepNext w:val="0"/>
              <w:keepLines w:val="0"/>
              <w:suppressLineNumbers w:val="0"/>
              <w:spacing w:before="0" w:beforeAutospacing="0" w:after="0" w:afterAutospacing="0"/>
              <w:ind w:left="0" w:right="0"/>
              <w:rPr>
                <w:rFonts w:hint="default"/>
                <w:color w:val="auto"/>
              </w:rPr>
            </w:pPr>
            <w:r>
              <w:rPr>
                <w:rFonts w:hint="eastAsia"/>
                <w:color w:val="auto"/>
              </w:rPr>
              <w:t>10</w:t>
            </w:r>
          </w:p>
        </w:tc>
        <w:tc>
          <w:tcPr>
            <w:tcW w:w="2248" w:type="dxa"/>
            <w:gridSpan w:val="2"/>
            <w:vAlign w:val="center"/>
          </w:tcPr>
          <w:p w14:paraId="0D3B81B7">
            <w:pPr>
              <w:pStyle w:val="91"/>
              <w:keepNext w:val="0"/>
              <w:keepLines w:val="0"/>
              <w:suppressLineNumbers w:val="0"/>
              <w:spacing w:before="0" w:beforeAutospacing="0" w:after="0" w:afterAutospacing="0"/>
              <w:ind w:left="0" w:right="0"/>
              <w:rPr>
                <w:rFonts w:hint="default"/>
                <w:color w:val="auto"/>
              </w:rPr>
            </w:pPr>
            <w:r>
              <w:rPr>
                <w:rFonts w:hint="eastAsia"/>
                <w:color w:val="auto"/>
              </w:rPr>
              <w:t>10</w:t>
            </w:r>
          </w:p>
        </w:tc>
      </w:tr>
    </w:tbl>
    <w:p w14:paraId="631D625B">
      <w:pPr>
        <w:pStyle w:val="14"/>
        <w:rPr>
          <w:color w:val="auto"/>
          <w:u w:val="single"/>
        </w:rPr>
      </w:pPr>
      <w:r>
        <w:rPr>
          <w:rFonts w:hint="eastAsia"/>
          <w:color w:val="auto"/>
          <w:u w:val="single"/>
        </w:rPr>
        <w:t>表</w:t>
      </w:r>
      <w:r>
        <w:rPr>
          <w:color w:val="auto"/>
          <w:u w:val="single"/>
        </w:rPr>
        <w:t>5.5</w:t>
      </w:r>
      <w:r>
        <w:rPr>
          <w:color w:val="auto"/>
          <w:u w:val="single"/>
        </w:rPr>
        <w:noBreakHyphen/>
      </w:r>
      <w:r>
        <w:rPr>
          <w:color w:val="auto"/>
          <w:u w:val="single"/>
        </w:rPr>
        <w:t>4</w:t>
      </w:r>
      <w:r>
        <w:rPr>
          <w:rFonts w:hint="eastAsia"/>
          <w:color w:val="auto"/>
          <w:u w:val="single"/>
        </w:rPr>
        <w:t>最</w:t>
      </w:r>
      <w:r>
        <w:rPr>
          <w:rFonts w:hint="eastAsia"/>
          <w:color w:val="auto"/>
          <w:u w:val="single"/>
          <w:lang w:eastAsia="zh-CN"/>
        </w:rPr>
        <w:t>常见</w:t>
      </w:r>
      <w:r>
        <w:rPr>
          <w:rFonts w:hint="eastAsia"/>
          <w:color w:val="auto"/>
          <w:u w:val="single"/>
        </w:rPr>
        <w:t>气象条件下，各危险物质轴线的最大浓度</w:t>
      </w:r>
    </w:p>
    <w:tbl>
      <w:tblPr>
        <w:tblStyle w:val="231"/>
        <w:tblW w:w="134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1696"/>
        <w:gridCol w:w="2263"/>
        <w:gridCol w:w="1938"/>
        <w:gridCol w:w="2043"/>
        <w:gridCol w:w="1817"/>
        <w:gridCol w:w="1817"/>
        <w:gridCol w:w="1883"/>
      </w:tblGrid>
      <w:tr w14:paraId="789FB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Merge w:val="restart"/>
            <w:vAlign w:val="center"/>
          </w:tcPr>
          <w:p w14:paraId="1B86C6BC">
            <w:pPr>
              <w:pStyle w:val="91"/>
              <w:keepNext w:val="0"/>
              <w:keepLines w:val="0"/>
              <w:suppressLineNumbers w:val="0"/>
              <w:spacing w:before="0" w:beforeAutospacing="0" w:after="0" w:afterAutospacing="0"/>
              <w:ind w:left="0" w:right="0"/>
              <w:jc w:val="both"/>
              <w:rPr>
                <w:rFonts w:hint="default"/>
                <w:b/>
                <w:color w:val="auto"/>
                <w:u w:val="single"/>
              </w:rPr>
            </w:pPr>
            <w:r>
              <w:rPr>
                <w:rFonts w:hint="default"/>
                <w:b/>
                <w:color w:val="auto"/>
                <w:u w:val="single"/>
              </w:rPr>
              <w:t>距离(m)</w:t>
            </w:r>
          </w:p>
        </w:tc>
        <w:tc>
          <w:tcPr>
            <w:tcW w:w="4201" w:type="dxa"/>
            <w:gridSpan w:val="2"/>
            <w:vAlign w:val="center"/>
          </w:tcPr>
          <w:p w14:paraId="132A1417">
            <w:pPr>
              <w:pStyle w:val="91"/>
              <w:keepNext w:val="0"/>
              <w:keepLines w:val="0"/>
              <w:suppressLineNumbers w:val="0"/>
              <w:spacing w:before="0" w:beforeAutospacing="0" w:after="0" w:afterAutospacing="0"/>
              <w:ind w:left="0" w:right="0"/>
              <w:jc w:val="center"/>
              <w:rPr>
                <w:rFonts w:hint="default"/>
                <w:b/>
                <w:color w:val="auto"/>
                <w:u w:val="single"/>
              </w:rPr>
            </w:pPr>
            <w:r>
              <w:rPr>
                <w:rFonts w:hint="eastAsia"/>
                <w:b/>
                <w:color w:val="auto"/>
                <w:u w:val="single"/>
              </w:rPr>
              <w:t>甲基叔丁基醚</w:t>
            </w:r>
          </w:p>
        </w:tc>
        <w:tc>
          <w:tcPr>
            <w:tcW w:w="3860" w:type="dxa"/>
            <w:gridSpan w:val="2"/>
            <w:vAlign w:val="center"/>
          </w:tcPr>
          <w:p w14:paraId="1C8F135C">
            <w:pPr>
              <w:pStyle w:val="91"/>
              <w:keepNext w:val="0"/>
              <w:keepLines w:val="0"/>
              <w:suppressLineNumbers w:val="0"/>
              <w:spacing w:before="0" w:beforeAutospacing="0" w:after="0" w:afterAutospacing="0"/>
              <w:ind w:left="0" w:right="0"/>
              <w:jc w:val="center"/>
              <w:rPr>
                <w:rFonts w:hint="default"/>
                <w:b/>
                <w:color w:val="auto"/>
                <w:u w:val="single"/>
              </w:rPr>
            </w:pPr>
            <w:r>
              <w:rPr>
                <w:rFonts w:hint="eastAsia"/>
                <w:b/>
                <w:color w:val="auto"/>
                <w:u w:val="single"/>
              </w:rPr>
              <w:t>异辛烷（烷基化油）</w:t>
            </w:r>
          </w:p>
        </w:tc>
        <w:tc>
          <w:tcPr>
            <w:tcW w:w="3700" w:type="dxa"/>
            <w:gridSpan w:val="2"/>
            <w:vAlign w:val="center"/>
          </w:tcPr>
          <w:p w14:paraId="70CF1687">
            <w:pPr>
              <w:pStyle w:val="91"/>
              <w:keepNext w:val="0"/>
              <w:keepLines w:val="0"/>
              <w:suppressLineNumbers w:val="0"/>
              <w:spacing w:before="0" w:beforeAutospacing="0" w:after="0" w:afterAutospacing="0"/>
              <w:ind w:left="0" w:right="0"/>
              <w:jc w:val="center"/>
              <w:rPr>
                <w:rFonts w:hint="default"/>
                <w:b/>
                <w:color w:val="auto"/>
                <w:u w:val="single"/>
              </w:rPr>
            </w:pPr>
            <w:r>
              <w:rPr>
                <w:rFonts w:hint="eastAsia"/>
                <w:b/>
                <w:color w:val="auto"/>
                <w:u w:val="single"/>
              </w:rPr>
              <w:t>石脑油</w:t>
            </w:r>
          </w:p>
        </w:tc>
      </w:tr>
      <w:tr w14:paraId="6695B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Merge w:val="continue"/>
            <w:vAlign w:val="center"/>
          </w:tcPr>
          <w:p w14:paraId="56F16B38">
            <w:pPr>
              <w:pStyle w:val="91"/>
              <w:keepNext w:val="0"/>
              <w:keepLines w:val="0"/>
              <w:suppressLineNumbers w:val="0"/>
              <w:spacing w:before="0" w:beforeAutospacing="0" w:after="0" w:afterAutospacing="0"/>
              <w:ind w:left="0" w:right="0"/>
              <w:jc w:val="both"/>
              <w:rPr>
                <w:rFonts w:hint="default"/>
                <w:b/>
                <w:color w:val="auto"/>
                <w:u w:val="single"/>
              </w:rPr>
            </w:pPr>
          </w:p>
        </w:tc>
        <w:tc>
          <w:tcPr>
            <w:tcW w:w="2263" w:type="dxa"/>
            <w:vAlign w:val="center"/>
          </w:tcPr>
          <w:p w14:paraId="65B9014B">
            <w:pPr>
              <w:pStyle w:val="91"/>
              <w:keepNext w:val="0"/>
              <w:keepLines w:val="0"/>
              <w:suppressLineNumbers w:val="0"/>
              <w:spacing w:before="0" w:beforeAutospacing="0" w:after="0" w:afterAutospacing="0"/>
              <w:ind w:left="0" w:right="0"/>
              <w:jc w:val="both"/>
              <w:rPr>
                <w:rFonts w:hint="default"/>
                <w:b/>
                <w:color w:val="auto"/>
                <w:u w:val="single"/>
              </w:rPr>
            </w:pPr>
            <w:r>
              <w:rPr>
                <w:rFonts w:hint="default"/>
                <w:b/>
                <w:color w:val="auto"/>
                <w:u w:val="single"/>
              </w:rPr>
              <w:t>浓度出现时间(min)</w:t>
            </w:r>
          </w:p>
        </w:tc>
        <w:tc>
          <w:tcPr>
            <w:tcW w:w="1938" w:type="dxa"/>
            <w:vAlign w:val="center"/>
          </w:tcPr>
          <w:p w14:paraId="561F7442">
            <w:pPr>
              <w:pStyle w:val="91"/>
              <w:keepNext w:val="0"/>
              <w:keepLines w:val="0"/>
              <w:suppressLineNumbers w:val="0"/>
              <w:spacing w:before="0" w:beforeAutospacing="0" w:after="0" w:afterAutospacing="0"/>
              <w:ind w:left="0" w:right="0"/>
              <w:jc w:val="both"/>
              <w:rPr>
                <w:rFonts w:hint="default"/>
                <w:b/>
                <w:color w:val="auto"/>
                <w:u w:val="single"/>
              </w:rPr>
            </w:pPr>
            <w:r>
              <w:rPr>
                <w:rFonts w:hint="default"/>
                <w:b/>
                <w:color w:val="auto"/>
                <w:u w:val="single"/>
              </w:rPr>
              <w:t>高峰浓度(mg/m</w:t>
            </w:r>
            <w:r>
              <w:rPr>
                <w:rFonts w:hint="default"/>
                <w:b/>
                <w:color w:val="auto"/>
                <w:u w:val="single"/>
                <w:vertAlign w:val="superscript"/>
              </w:rPr>
              <w:t>3</w:t>
            </w:r>
            <w:r>
              <w:rPr>
                <w:rFonts w:hint="default"/>
                <w:b/>
                <w:color w:val="auto"/>
                <w:u w:val="single"/>
              </w:rPr>
              <w:t>)</w:t>
            </w:r>
          </w:p>
        </w:tc>
        <w:tc>
          <w:tcPr>
            <w:tcW w:w="2043" w:type="dxa"/>
            <w:vAlign w:val="center"/>
          </w:tcPr>
          <w:p w14:paraId="64476A81">
            <w:pPr>
              <w:pStyle w:val="91"/>
              <w:keepNext w:val="0"/>
              <w:keepLines w:val="0"/>
              <w:suppressLineNumbers w:val="0"/>
              <w:spacing w:before="0" w:beforeAutospacing="0" w:after="0" w:afterAutospacing="0"/>
              <w:ind w:left="0" w:right="0"/>
              <w:jc w:val="both"/>
              <w:rPr>
                <w:rFonts w:hint="default"/>
                <w:b/>
                <w:color w:val="auto"/>
                <w:u w:val="single"/>
              </w:rPr>
            </w:pPr>
            <w:r>
              <w:rPr>
                <w:rFonts w:hint="default"/>
                <w:b/>
                <w:color w:val="auto"/>
                <w:u w:val="single"/>
              </w:rPr>
              <w:t>浓度出现时间(min)</w:t>
            </w:r>
          </w:p>
        </w:tc>
        <w:tc>
          <w:tcPr>
            <w:tcW w:w="1817" w:type="dxa"/>
            <w:vAlign w:val="center"/>
          </w:tcPr>
          <w:p w14:paraId="39EB0A1D">
            <w:pPr>
              <w:pStyle w:val="91"/>
              <w:keepNext w:val="0"/>
              <w:keepLines w:val="0"/>
              <w:suppressLineNumbers w:val="0"/>
              <w:spacing w:before="0" w:beforeAutospacing="0" w:after="0" w:afterAutospacing="0"/>
              <w:ind w:left="0" w:right="0"/>
              <w:jc w:val="both"/>
              <w:rPr>
                <w:rFonts w:hint="default"/>
                <w:b/>
                <w:color w:val="auto"/>
                <w:u w:val="single"/>
              </w:rPr>
            </w:pPr>
            <w:r>
              <w:rPr>
                <w:rFonts w:hint="default"/>
                <w:b/>
                <w:color w:val="auto"/>
                <w:u w:val="single"/>
              </w:rPr>
              <w:t>高峰浓度(mg/m</w:t>
            </w:r>
            <w:r>
              <w:rPr>
                <w:rFonts w:hint="default"/>
                <w:b/>
                <w:color w:val="auto"/>
                <w:u w:val="single"/>
                <w:vertAlign w:val="superscript"/>
              </w:rPr>
              <w:t>3</w:t>
            </w:r>
            <w:r>
              <w:rPr>
                <w:rFonts w:hint="default"/>
                <w:b/>
                <w:color w:val="auto"/>
                <w:u w:val="single"/>
              </w:rPr>
              <w:t>)</w:t>
            </w:r>
          </w:p>
        </w:tc>
        <w:tc>
          <w:tcPr>
            <w:tcW w:w="1817" w:type="dxa"/>
            <w:vAlign w:val="center"/>
          </w:tcPr>
          <w:p w14:paraId="1682077E">
            <w:pPr>
              <w:pStyle w:val="91"/>
              <w:keepNext w:val="0"/>
              <w:keepLines w:val="0"/>
              <w:suppressLineNumbers w:val="0"/>
              <w:spacing w:before="0" w:beforeAutospacing="0" w:after="0" w:afterAutospacing="0"/>
              <w:ind w:left="0" w:right="0"/>
              <w:jc w:val="both"/>
              <w:rPr>
                <w:rFonts w:hint="default"/>
                <w:b/>
                <w:color w:val="auto"/>
                <w:u w:val="single"/>
              </w:rPr>
            </w:pPr>
            <w:r>
              <w:rPr>
                <w:rFonts w:hint="default"/>
                <w:b/>
                <w:color w:val="auto"/>
                <w:u w:val="single"/>
              </w:rPr>
              <w:t>浓度出现时间(min)</w:t>
            </w:r>
          </w:p>
        </w:tc>
        <w:tc>
          <w:tcPr>
            <w:tcW w:w="1883" w:type="dxa"/>
            <w:vAlign w:val="center"/>
          </w:tcPr>
          <w:p w14:paraId="39DC2078">
            <w:pPr>
              <w:pStyle w:val="91"/>
              <w:keepNext w:val="0"/>
              <w:keepLines w:val="0"/>
              <w:suppressLineNumbers w:val="0"/>
              <w:spacing w:before="0" w:beforeAutospacing="0" w:after="0" w:afterAutospacing="0"/>
              <w:ind w:left="0" w:right="0"/>
              <w:jc w:val="both"/>
              <w:rPr>
                <w:rFonts w:hint="default"/>
                <w:b/>
                <w:color w:val="auto"/>
                <w:u w:val="single"/>
              </w:rPr>
            </w:pPr>
            <w:r>
              <w:rPr>
                <w:rFonts w:hint="default"/>
                <w:b/>
                <w:color w:val="auto"/>
                <w:u w:val="single"/>
              </w:rPr>
              <w:t>高峰浓度(mg/m</w:t>
            </w:r>
            <w:r>
              <w:rPr>
                <w:rFonts w:hint="default"/>
                <w:b/>
                <w:color w:val="auto"/>
                <w:u w:val="single"/>
                <w:vertAlign w:val="superscript"/>
              </w:rPr>
              <w:t>3</w:t>
            </w:r>
            <w:r>
              <w:rPr>
                <w:rFonts w:hint="default"/>
                <w:b/>
                <w:color w:val="auto"/>
                <w:u w:val="single"/>
              </w:rPr>
              <w:t>)</w:t>
            </w:r>
          </w:p>
        </w:tc>
      </w:tr>
      <w:tr w14:paraId="4E501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90" w:hRule="atLeast"/>
        </w:trPr>
        <w:tc>
          <w:tcPr>
            <w:tcW w:w="1696" w:type="dxa"/>
            <w:vAlign w:val="center"/>
          </w:tcPr>
          <w:p w14:paraId="5057C8E4">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10</w:t>
            </w:r>
          </w:p>
        </w:tc>
        <w:tc>
          <w:tcPr>
            <w:tcW w:w="2263" w:type="dxa"/>
            <w:vAlign w:val="center"/>
          </w:tcPr>
          <w:p w14:paraId="7D06B685">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7.66</w:t>
            </w:r>
          </w:p>
        </w:tc>
        <w:tc>
          <w:tcPr>
            <w:tcW w:w="1938" w:type="dxa"/>
            <w:vAlign w:val="center"/>
          </w:tcPr>
          <w:p w14:paraId="2D109707">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5232.80</w:t>
            </w:r>
          </w:p>
        </w:tc>
        <w:tc>
          <w:tcPr>
            <w:tcW w:w="2043" w:type="dxa"/>
            <w:vAlign w:val="center"/>
          </w:tcPr>
          <w:p w14:paraId="3A95EFD5">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7.68</w:t>
            </w:r>
          </w:p>
        </w:tc>
        <w:tc>
          <w:tcPr>
            <w:tcW w:w="1817" w:type="dxa"/>
            <w:vAlign w:val="center"/>
          </w:tcPr>
          <w:p w14:paraId="537F53A9">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1865.20</w:t>
            </w:r>
          </w:p>
        </w:tc>
        <w:tc>
          <w:tcPr>
            <w:tcW w:w="1817" w:type="dxa"/>
            <w:vAlign w:val="center"/>
          </w:tcPr>
          <w:p w14:paraId="3E9C2C6E">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7.69</w:t>
            </w:r>
          </w:p>
        </w:tc>
        <w:tc>
          <w:tcPr>
            <w:tcW w:w="1883" w:type="dxa"/>
            <w:vAlign w:val="center"/>
          </w:tcPr>
          <w:p w14:paraId="70915FB0">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8817.30</w:t>
            </w:r>
          </w:p>
        </w:tc>
      </w:tr>
      <w:tr w14:paraId="7E795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1CC8F062">
            <w:pPr>
              <w:pStyle w:val="91"/>
              <w:keepNext w:val="0"/>
              <w:keepLines w:val="0"/>
              <w:suppressLineNumbers w:val="0"/>
              <w:spacing w:before="0" w:beforeAutospacing="0" w:after="0" w:afterAutospacing="0"/>
              <w:ind w:left="0" w:right="0"/>
              <w:jc w:val="center"/>
              <w:rPr>
                <w:rFonts w:hint="default"/>
                <w:color w:val="auto"/>
                <w:u w:val="single"/>
              </w:rPr>
            </w:pPr>
            <w:r>
              <w:rPr>
                <w:rFonts w:hint="eastAsia"/>
                <w:color w:val="auto"/>
                <w:u w:val="single"/>
              </w:rPr>
              <w:t>20</w:t>
            </w:r>
          </w:p>
        </w:tc>
        <w:tc>
          <w:tcPr>
            <w:tcW w:w="2263" w:type="dxa"/>
            <w:vAlign w:val="center"/>
          </w:tcPr>
          <w:p w14:paraId="15E2152F">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7.82</w:t>
            </w:r>
          </w:p>
        </w:tc>
        <w:tc>
          <w:tcPr>
            <w:tcW w:w="1938" w:type="dxa"/>
            <w:vAlign w:val="center"/>
          </w:tcPr>
          <w:p w14:paraId="23C93BAF">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3301.70</w:t>
            </w:r>
          </w:p>
        </w:tc>
        <w:tc>
          <w:tcPr>
            <w:tcW w:w="2043" w:type="dxa"/>
            <w:vAlign w:val="center"/>
          </w:tcPr>
          <w:p w14:paraId="7D7162B7">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7.86</w:t>
            </w:r>
          </w:p>
        </w:tc>
        <w:tc>
          <w:tcPr>
            <w:tcW w:w="1817" w:type="dxa"/>
            <w:vAlign w:val="center"/>
          </w:tcPr>
          <w:p w14:paraId="658B8F7E">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1195.30</w:t>
            </w:r>
          </w:p>
        </w:tc>
        <w:tc>
          <w:tcPr>
            <w:tcW w:w="1817" w:type="dxa"/>
            <w:vAlign w:val="center"/>
          </w:tcPr>
          <w:p w14:paraId="028F41A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7.88</w:t>
            </w:r>
          </w:p>
        </w:tc>
        <w:tc>
          <w:tcPr>
            <w:tcW w:w="1883" w:type="dxa"/>
            <w:vAlign w:val="center"/>
          </w:tcPr>
          <w:p w14:paraId="2633A5A5">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5793.10</w:t>
            </w:r>
          </w:p>
        </w:tc>
      </w:tr>
      <w:tr w14:paraId="78FD5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11AD0715">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30</w:t>
            </w:r>
          </w:p>
        </w:tc>
        <w:tc>
          <w:tcPr>
            <w:tcW w:w="2263" w:type="dxa"/>
            <w:vAlign w:val="center"/>
          </w:tcPr>
          <w:p w14:paraId="1345350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7.99</w:t>
            </w:r>
          </w:p>
        </w:tc>
        <w:tc>
          <w:tcPr>
            <w:tcW w:w="1938" w:type="dxa"/>
            <w:vAlign w:val="center"/>
          </w:tcPr>
          <w:p w14:paraId="0C1E28FC">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2450.90</w:t>
            </w:r>
          </w:p>
        </w:tc>
        <w:tc>
          <w:tcPr>
            <w:tcW w:w="2043" w:type="dxa"/>
            <w:vAlign w:val="center"/>
          </w:tcPr>
          <w:p w14:paraId="096B3793">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8.04</w:t>
            </w:r>
          </w:p>
        </w:tc>
        <w:tc>
          <w:tcPr>
            <w:tcW w:w="1817" w:type="dxa"/>
            <w:vAlign w:val="center"/>
          </w:tcPr>
          <w:p w14:paraId="39D50D11">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889.05</w:t>
            </w:r>
          </w:p>
        </w:tc>
        <w:tc>
          <w:tcPr>
            <w:tcW w:w="1817" w:type="dxa"/>
            <w:vAlign w:val="center"/>
          </w:tcPr>
          <w:p w14:paraId="31623714">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8.07</w:t>
            </w:r>
          </w:p>
        </w:tc>
        <w:tc>
          <w:tcPr>
            <w:tcW w:w="1883" w:type="dxa"/>
            <w:vAlign w:val="center"/>
          </w:tcPr>
          <w:p w14:paraId="779C5B91">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4269.10</w:t>
            </w:r>
          </w:p>
        </w:tc>
      </w:tr>
      <w:tr w14:paraId="3B7F0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32380548">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50</w:t>
            </w:r>
          </w:p>
        </w:tc>
        <w:tc>
          <w:tcPr>
            <w:tcW w:w="2263" w:type="dxa"/>
            <w:vAlign w:val="center"/>
          </w:tcPr>
          <w:p w14:paraId="4DDEC7C0">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8.31</w:t>
            </w:r>
          </w:p>
        </w:tc>
        <w:tc>
          <w:tcPr>
            <w:tcW w:w="1938" w:type="dxa"/>
            <w:vAlign w:val="center"/>
          </w:tcPr>
          <w:p w14:paraId="7FDDACE3">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1619.00</w:t>
            </w:r>
          </w:p>
        </w:tc>
        <w:tc>
          <w:tcPr>
            <w:tcW w:w="2043" w:type="dxa"/>
            <w:vAlign w:val="center"/>
          </w:tcPr>
          <w:p w14:paraId="21B823C7">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8.40</w:t>
            </w:r>
          </w:p>
        </w:tc>
        <w:tc>
          <w:tcPr>
            <w:tcW w:w="1817" w:type="dxa"/>
            <w:vAlign w:val="center"/>
          </w:tcPr>
          <w:p w14:paraId="0CAEBC5C">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587.34</w:t>
            </w:r>
          </w:p>
        </w:tc>
        <w:tc>
          <w:tcPr>
            <w:tcW w:w="1817" w:type="dxa"/>
            <w:vAlign w:val="center"/>
          </w:tcPr>
          <w:p w14:paraId="069FDC5B">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8.45</w:t>
            </w:r>
          </w:p>
        </w:tc>
        <w:tc>
          <w:tcPr>
            <w:tcW w:w="1883" w:type="dxa"/>
            <w:vAlign w:val="center"/>
          </w:tcPr>
          <w:p w14:paraId="0B372B7E">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2819.10</w:t>
            </w:r>
          </w:p>
        </w:tc>
      </w:tr>
      <w:tr w14:paraId="687C3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2270CEC3">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70</w:t>
            </w:r>
          </w:p>
        </w:tc>
        <w:tc>
          <w:tcPr>
            <w:tcW w:w="2263" w:type="dxa"/>
            <w:vAlign w:val="center"/>
          </w:tcPr>
          <w:p w14:paraId="75CE34C5">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8.63</w:t>
            </w:r>
          </w:p>
        </w:tc>
        <w:tc>
          <w:tcPr>
            <w:tcW w:w="1938" w:type="dxa"/>
            <w:vAlign w:val="center"/>
          </w:tcPr>
          <w:p w14:paraId="4C1B7A23">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1204.30</w:t>
            </w:r>
          </w:p>
        </w:tc>
        <w:tc>
          <w:tcPr>
            <w:tcW w:w="2043" w:type="dxa"/>
            <w:vAlign w:val="center"/>
          </w:tcPr>
          <w:p w14:paraId="08D7063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8.76</w:t>
            </w:r>
          </w:p>
        </w:tc>
        <w:tc>
          <w:tcPr>
            <w:tcW w:w="1817" w:type="dxa"/>
            <w:vAlign w:val="center"/>
          </w:tcPr>
          <w:p w14:paraId="4A355CFE">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435.39</w:t>
            </w:r>
          </w:p>
        </w:tc>
        <w:tc>
          <w:tcPr>
            <w:tcW w:w="1817" w:type="dxa"/>
            <w:vAlign w:val="center"/>
          </w:tcPr>
          <w:p w14:paraId="116A39CE">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8.84</w:t>
            </w:r>
          </w:p>
        </w:tc>
        <w:tc>
          <w:tcPr>
            <w:tcW w:w="1883" w:type="dxa"/>
            <w:vAlign w:val="center"/>
          </w:tcPr>
          <w:p w14:paraId="304F1738">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2101.50</w:t>
            </w:r>
          </w:p>
        </w:tc>
      </w:tr>
      <w:tr w14:paraId="6E352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1AD70834">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90</w:t>
            </w:r>
          </w:p>
        </w:tc>
        <w:tc>
          <w:tcPr>
            <w:tcW w:w="2263" w:type="dxa"/>
            <w:vAlign w:val="center"/>
          </w:tcPr>
          <w:p w14:paraId="796F107A">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8.96</w:t>
            </w:r>
          </w:p>
        </w:tc>
        <w:tc>
          <w:tcPr>
            <w:tcW w:w="1938" w:type="dxa"/>
            <w:vAlign w:val="center"/>
          </w:tcPr>
          <w:p w14:paraId="4A0E7EE7">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956.39</w:t>
            </w:r>
          </w:p>
        </w:tc>
        <w:tc>
          <w:tcPr>
            <w:tcW w:w="2043" w:type="dxa"/>
            <w:vAlign w:val="center"/>
          </w:tcPr>
          <w:p w14:paraId="6033105B">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9.12</w:t>
            </w:r>
          </w:p>
        </w:tc>
        <w:tc>
          <w:tcPr>
            <w:tcW w:w="1817" w:type="dxa"/>
            <w:vAlign w:val="center"/>
          </w:tcPr>
          <w:p w14:paraId="66E28B00">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343.25</w:t>
            </w:r>
          </w:p>
        </w:tc>
        <w:tc>
          <w:tcPr>
            <w:tcW w:w="1817" w:type="dxa"/>
            <w:vAlign w:val="center"/>
          </w:tcPr>
          <w:p w14:paraId="4E906980">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9.22</w:t>
            </w:r>
          </w:p>
        </w:tc>
        <w:tc>
          <w:tcPr>
            <w:tcW w:w="1883" w:type="dxa"/>
            <w:vAlign w:val="center"/>
          </w:tcPr>
          <w:p w14:paraId="4DDA48A0">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1675.00</w:t>
            </w:r>
          </w:p>
        </w:tc>
      </w:tr>
      <w:tr w14:paraId="6E1E0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5C0F8754">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100</w:t>
            </w:r>
          </w:p>
        </w:tc>
        <w:tc>
          <w:tcPr>
            <w:tcW w:w="2263" w:type="dxa"/>
            <w:vAlign w:val="center"/>
          </w:tcPr>
          <w:p w14:paraId="78E24B4A">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9.12</w:t>
            </w:r>
          </w:p>
        </w:tc>
        <w:tc>
          <w:tcPr>
            <w:tcW w:w="1938" w:type="dxa"/>
            <w:vAlign w:val="center"/>
          </w:tcPr>
          <w:p w14:paraId="7EC9927C">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864.42</w:t>
            </w:r>
          </w:p>
        </w:tc>
        <w:tc>
          <w:tcPr>
            <w:tcW w:w="2043" w:type="dxa"/>
            <w:vAlign w:val="center"/>
          </w:tcPr>
          <w:p w14:paraId="3D20D1E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9.30</w:t>
            </w:r>
          </w:p>
        </w:tc>
        <w:tc>
          <w:tcPr>
            <w:tcW w:w="1817" w:type="dxa"/>
            <w:vAlign w:val="center"/>
          </w:tcPr>
          <w:p w14:paraId="09EF6011">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310.34</w:t>
            </w:r>
          </w:p>
        </w:tc>
        <w:tc>
          <w:tcPr>
            <w:tcW w:w="1817" w:type="dxa"/>
            <w:vAlign w:val="center"/>
          </w:tcPr>
          <w:p w14:paraId="11C0671C">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9.41</w:t>
            </w:r>
          </w:p>
        </w:tc>
        <w:tc>
          <w:tcPr>
            <w:tcW w:w="1883" w:type="dxa"/>
            <w:vAlign w:val="center"/>
          </w:tcPr>
          <w:p w14:paraId="5EE47A88">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1516.50</w:t>
            </w:r>
          </w:p>
        </w:tc>
      </w:tr>
      <w:tr w14:paraId="008A1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1B63F92D">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150</w:t>
            </w:r>
          </w:p>
        </w:tc>
        <w:tc>
          <w:tcPr>
            <w:tcW w:w="2263" w:type="dxa"/>
            <w:vAlign w:val="center"/>
          </w:tcPr>
          <w:p w14:paraId="5DB1BCA3">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9.93</w:t>
            </w:r>
          </w:p>
        </w:tc>
        <w:tc>
          <w:tcPr>
            <w:tcW w:w="1938" w:type="dxa"/>
            <w:vAlign w:val="center"/>
          </w:tcPr>
          <w:p w14:paraId="25A9193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583.00</w:t>
            </w:r>
          </w:p>
        </w:tc>
        <w:tc>
          <w:tcPr>
            <w:tcW w:w="2043" w:type="dxa"/>
            <w:vAlign w:val="center"/>
          </w:tcPr>
          <w:p w14:paraId="2A77DF5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10.19</w:t>
            </w:r>
          </w:p>
        </w:tc>
        <w:tc>
          <w:tcPr>
            <w:tcW w:w="1817" w:type="dxa"/>
            <w:vAlign w:val="center"/>
          </w:tcPr>
          <w:p w14:paraId="0D65776D">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205.81</w:t>
            </w:r>
          </w:p>
        </w:tc>
        <w:tc>
          <w:tcPr>
            <w:tcW w:w="1817" w:type="dxa"/>
            <w:vAlign w:val="center"/>
          </w:tcPr>
          <w:p w14:paraId="156648A8">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10.36</w:t>
            </w:r>
          </w:p>
        </w:tc>
        <w:tc>
          <w:tcPr>
            <w:tcW w:w="1883" w:type="dxa"/>
            <w:vAlign w:val="center"/>
          </w:tcPr>
          <w:p w14:paraId="67AAF581">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1029.40</w:t>
            </w:r>
          </w:p>
        </w:tc>
      </w:tr>
      <w:tr w14:paraId="15CBA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7FCC91AB">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200</w:t>
            </w:r>
          </w:p>
        </w:tc>
        <w:tc>
          <w:tcPr>
            <w:tcW w:w="2263" w:type="dxa"/>
            <w:vAlign w:val="center"/>
          </w:tcPr>
          <w:p w14:paraId="4D7DDC21">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10.74</w:t>
            </w:r>
          </w:p>
        </w:tc>
        <w:tc>
          <w:tcPr>
            <w:tcW w:w="1938" w:type="dxa"/>
            <w:vAlign w:val="center"/>
          </w:tcPr>
          <w:p w14:paraId="6E9E316A">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430.03</w:t>
            </w:r>
          </w:p>
        </w:tc>
        <w:tc>
          <w:tcPr>
            <w:tcW w:w="2043" w:type="dxa"/>
            <w:vAlign w:val="center"/>
          </w:tcPr>
          <w:p w14:paraId="2045466A">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11.09</w:t>
            </w:r>
          </w:p>
        </w:tc>
        <w:tc>
          <w:tcPr>
            <w:tcW w:w="1817" w:type="dxa"/>
            <w:vAlign w:val="center"/>
          </w:tcPr>
          <w:p w14:paraId="41C8F90A">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150.27</w:t>
            </w:r>
          </w:p>
        </w:tc>
        <w:tc>
          <w:tcPr>
            <w:tcW w:w="1817" w:type="dxa"/>
            <w:vAlign w:val="center"/>
          </w:tcPr>
          <w:p w14:paraId="1AA4E393">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11.32</w:t>
            </w:r>
          </w:p>
        </w:tc>
        <w:tc>
          <w:tcPr>
            <w:tcW w:w="1883" w:type="dxa"/>
            <w:vAlign w:val="center"/>
          </w:tcPr>
          <w:p w14:paraId="2313FDF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776.18</w:t>
            </w:r>
          </w:p>
        </w:tc>
      </w:tr>
      <w:tr w14:paraId="309BB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1E31222C">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250</w:t>
            </w:r>
          </w:p>
        </w:tc>
        <w:tc>
          <w:tcPr>
            <w:tcW w:w="2263" w:type="dxa"/>
            <w:vAlign w:val="center"/>
          </w:tcPr>
          <w:p w14:paraId="0EFB087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11.55</w:t>
            </w:r>
          </w:p>
        </w:tc>
        <w:tc>
          <w:tcPr>
            <w:tcW w:w="1938" w:type="dxa"/>
            <w:vAlign w:val="center"/>
          </w:tcPr>
          <w:p w14:paraId="3FDDCFE1">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338.33</w:t>
            </w:r>
          </w:p>
        </w:tc>
        <w:tc>
          <w:tcPr>
            <w:tcW w:w="2043" w:type="dxa"/>
            <w:vAlign w:val="center"/>
          </w:tcPr>
          <w:p w14:paraId="4809B7C9">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11.99</w:t>
            </w:r>
          </w:p>
        </w:tc>
        <w:tc>
          <w:tcPr>
            <w:tcW w:w="1817" w:type="dxa"/>
            <w:vAlign w:val="center"/>
          </w:tcPr>
          <w:p w14:paraId="40DF8AE7">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116.16</w:t>
            </w:r>
          </w:p>
        </w:tc>
        <w:tc>
          <w:tcPr>
            <w:tcW w:w="1817" w:type="dxa"/>
            <w:vAlign w:val="center"/>
          </w:tcPr>
          <w:p w14:paraId="0CDCC384">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12.27</w:t>
            </w:r>
          </w:p>
        </w:tc>
        <w:tc>
          <w:tcPr>
            <w:tcW w:w="1883" w:type="dxa"/>
            <w:vAlign w:val="center"/>
          </w:tcPr>
          <w:p w14:paraId="0AAB54E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620.23</w:t>
            </w:r>
          </w:p>
        </w:tc>
      </w:tr>
      <w:tr w14:paraId="35FFD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7C9ABEF4">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300</w:t>
            </w:r>
          </w:p>
        </w:tc>
        <w:tc>
          <w:tcPr>
            <w:tcW w:w="2263" w:type="dxa"/>
            <w:vAlign w:val="center"/>
          </w:tcPr>
          <w:p w14:paraId="79F16B48">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12.36</w:t>
            </w:r>
          </w:p>
        </w:tc>
        <w:tc>
          <w:tcPr>
            <w:tcW w:w="1938" w:type="dxa"/>
            <w:vAlign w:val="center"/>
          </w:tcPr>
          <w:p w14:paraId="72FC1BF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276.37</w:t>
            </w:r>
          </w:p>
        </w:tc>
        <w:tc>
          <w:tcPr>
            <w:tcW w:w="2043" w:type="dxa"/>
            <w:vAlign w:val="center"/>
          </w:tcPr>
          <w:p w14:paraId="713C9BDF">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12.89</w:t>
            </w:r>
          </w:p>
        </w:tc>
        <w:tc>
          <w:tcPr>
            <w:tcW w:w="1817" w:type="dxa"/>
            <w:vAlign w:val="center"/>
          </w:tcPr>
          <w:p w14:paraId="18FC65A0">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93.93</w:t>
            </w:r>
          </w:p>
        </w:tc>
        <w:tc>
          <w:tcPr>
            <w:tcW w:w="1817" w:type="dxa"/>
            <w:vAlign w:val="center"/>
          </w:tcPr>
          <w:p w14:paraId="4319CEBC">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13.22</w:t>
            </w:r>
          </w:p>
        </w:tc>
        <w:tc>
          <w:tcPr>
            <w:tcW w:w="1883" w:type="dxa"/>
            <w:vAlign w:val="center"/>
          </w:tcPr>
          <w:p w14:paraId="7FD5D25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513.56</w:t>
            </w:r>
          </w:p>
        </w:tc>
      </w:tr>
      <w:tr w14:paraId="48819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30F2FF16">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350</w:t>
            </w:r>
          </w:p>
        </w:tc>
        <w:tc>
          <w:tcPr>
            <w:tcW w:w="2263" w:type="dxa"/>
            <w:vAlign w:val="center"/>
          </w:tcPr>
          <w:p w14:paraId="63DECF60">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13.17</w:t>
            </w:r>
          </w:p>
        </w:tc>
        <w:tc>
          <w:tcPr>
            <w:tcW w:w="1938" w:type="dxa"/>
            <w:vAlign w:val="center"/>
          </w:tcPr>
          <w:p w14:paraId="3E06BEBB">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231.86</w:t>
            </w:r>
          </w:p>
        </w:tc>
        <w:tc>
          <w:tcPr>
            <w:tcW w:w="2043" w:type="dxa"/>
            <w:vAlign w:val="center"/>
          </w:tcPr>
          <w:p w14:paraId="0FE27EAF">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13.79</w:t>
            </w:r>
          </w:p>
        </w:tc>
        <w:tc>
          <w:tcPr>
            <w:tcW w:w="1817" w:type="dxa"/>
            <w:vAlign w:val="center"/>
          </w:tcPr>
          <w:p w14:paraId="14FC3296">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77.90</w:t>
            </w:r>
          </w:p>
        </w:tc>
        <w:tc>
          <w:tcPr>
            <w:tcW w:w="1817" w:type="dxa"/>
            <w:vAlign w:val="center"/>
          </w:tcPr>
          <w:p w14:paraId="6FB015A5">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14.19</w:t>
            </w:r>
          </w:p>
        </w:tc>
        <w:tc>
          <w:tcPr>
            <w:tcW w:w="1883" w:type="dxa"/>
            <w:vAlign w:val="center"/>
          </w:tcPr>
          <w:p w14:paraId="22E0318D">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437.00</w:t>
            </w:r>
          </w:p>
        </w:tc>
      </w:tr>
      <w:tr w14:paraId="2EA03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75ECD5F6">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400</w:t>
            </w:r>
          </w:p>
        </w:tc>
        <w:tc>
          <w:tcPr>
            <w:tcW w:w="2263" w:type="dxa"/>
            <w:vAlign w:val="center"/>
          </w:tcPr>
          <w:p w14:paraId="3F2BDB38">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13.98</w:t>
            </w:r>
          </w:p>
        </w:tc>
        <w:tc>
          <w:tcPr>
            <w:tcW w:w="1938" w:type="dxa"/>
            <w:vAlign w:val="center"/>
          </w:tcPr>
          <w:p w14:paraId="12E8A578">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198.11</w:t>
            </w:r>
          </w:p>
        </w:tc>
        <w:tc>
          <w:tcPr>
            <w:tcW w:w="2043" w:type="dxa"/>
            <w:vAlign w:val="center"/>
          </w:tcPr>
          <w:p w14:paraId="45F36D2A">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14.70</w:t>
            </w:r>
          </w:p>
        </w:tc>
        <w:tc>
          <w:tcPr>
            <w:tcW w:w="1817" w:type="dxa"/>
            <w:vAlign w:val="center"/>
          </w:tcPr>
          <w:p w14:paraId="6F713B95">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65.72</w:t>
            </w:r>
          </w:p>
        </w:tc>
        <w:tc>
          <w:tcPr>
            <w:tcW w:w="1817" w:type="dxa"/>
            <w:vAlign w:val="center"/>
          </w:tcPr>
          <w:p w14:paraId="67E95D87">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15.11</w:t>
            </w:r>
          </w:p>
        </w:tc>
        <w:tc>
          <w:tcPr>
            <w:tcW w:w="1883" w:type="dxa"/>
            <w:vAlign w:val="center"/>
          </w:tcPr>
          <w:p w14:paraId="21C9ACCB">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376.60</w:t>
            </w:r>
          </w:p>
        </w:tc>
      </w:tr>
      <w:tr w14:paraId="4353C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271D0E75">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450</w:t>
            </w:r>
          </w:p>
        </w:tc>
        <w:tc>
          <w:tcPr>
            <w:tcW w:w="2263" w:type="dxa"/>
            <w:vAlign w:val="center"/>
          </w:tcPr>
          <w:p w14:paraId="7ADE5619">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14.80</w:t>
            </w:r>
          </w:p>
        </w:tc>
        <w:tc>
          <w:tcPr>
            <w:tcW w:w="1938" w:type="dxa"/>
            <w:vAlign w:val="center"/>
          </w:tcPr>
          <w:p w14:paraId="1329B797">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171.84</w:t>
            </w:r>
          </w:p>
        </w:tc>
        <w:tc>
          <w:tcPr>
            <w:tcW w:w="2043" w:type="dxa"/>
            <w:vAlign w:val="center"/>
          </w:tcPr>
          <w:p w14:paraId="107B202B">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15.46</w:t>
            </w:r>
          </w:p>
        </w:tc>
        <w:tc>
          <w:tcPr>
            <w:tcW w:w="1817" w:type="dxa"/>
            <w:vAlign w:val="center"/>
          </w:tcPr>
          <w:p w14:paraId="31B551C9">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55.27</w:t>
            </w:r>
          </w:p>
        </w:tc>
        <w:tc>
          <w:tcPr>
            <w:tcW w:w="1817" w:type="dxa"/>
            <w:vAlign w:val="center"/>
          </w:tcPr>
          <w:p w14:paraId="5A336BA5">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15.81</w:t>
            </w:r>
          </w:p>
        </w:tc>
        <w:tc>
          <w:tcPr>
            <w:tcW w:w="1883" w:type="dxa"/>
            <w:vAlign w:val="center"/>
          </w:tcPr>
          <w:p w14:paraId="18A2AFAA">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317.65</w:t>
            </w:r>
          </w:p>
        </w:tc>
      </w:tr>
      <w:tr w14:paraId="44EBD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00EE700E">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500</w:t>
            </w:r>
          </w:p>
        </w:tc>
        <w:tc>
          <w:tcPr>
            <w:tcW w:w="2263" w:type="dxa"/>
            <w:vAlign w:val="center"/>
          </w:tcPr>
          <w:p w14:paraId="157EFB5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15.45</w:t>
            </w:r>
          </w:p>
        </w:tc>
        <w:tc>
          <w:tcPr>
            <w:tcW w:w="1938" w:type="dxa"/>
            <w:vAlign w:val="center"/>
          </w:tcPr>
          <w:p w14:paraId="0B2AACAF">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148.15</w:t>
            </w:r>
          </w:p>
        </w:tc>
        <w:tc>
          <w:tcPr>
            <w:tcW w:w="2043" w:type="dxa"/>
            <w:vAlign w:val="center"/>
          </w:tcPr>
          <w:p w14:paraId="424E8407">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16.09</w:t>
            </w:r>
          </w:p>
        </w:tc>
        <w:tc>
          <w:tcPr>
            <w:tcW w:w="1817" w:type="dxa"/>
            <w:vAlign w:val="center"/>
          </w:tcPr>
          <w:p w14:paraId="705E969C">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45.53</w:t>
            </w:r>
          </w:p>
        </w:tc>
        <w:tc>
          <w:tcPr>
            <w:tcW w:w="1817" w:type="dxa"/>
            <w:vAlign w:val="center"/>
          </w:tcPr>
          <w:p w14:paraId="1F3F0BA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16.45</w:t>
            </w:r>
          </w:p>
        </w:tc>
        <w:tc>
          <w:tcPr>
            <w:tcW w:w="1883" w:type="dxa"/>
            <w:vAlign w:val="center"/>
          </w:tcPr>
          <w:p w14:paraId="4591B2E7">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262.98</w:t>
            </w:r>
          </w:p>
        </w:tc>
      </w:tr>
      <w:tr w14:paraId="54BEF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356786D5">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600</w:t>
            </w:r>
          </w:p>
        </w:tc>
        <w:tc>
          <w:tcPr>
            <w:tcW w:w="2263" w:type="dxa"/>
            <w:vAlign w:val="center"/>
          </w:tcPr>
          <w:p w14:paraId="784EB52B">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16.51</w:t>
            </w:r>
          </w:p>
        </w:tc>
        <w:tc>
          <w:tcPr>
            <w:tcW w:w="1938" w:type="dxa"/>
            <w:vAlign w:val="center"/>
          </w:tcPr>
          <w:p w14:paraId="3427884B">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105.40</w:t>
            </w:r>
          </w:p>
        </w:tc>
        <w:tc>
          <w:tcPr>
            <w:tcW w:w="2043" w:type="dxa"/>
            <w:vAlign w:val="center"/>
          </w:tcPr>
          <w:p w14:paraId="252D569A">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17.30</w:t>
            </w:r>
          </w:p>
        </w:tc>
        <w:tc>
          <w:tcPr>
            <w:tcW w:w="1817" w:type="dxa"/>
            <w:vAlign w:val="center"/>
          </w:tcPr>
          <w:p w14:paraId="07EFC755">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32.36</w:t>
            </w:r>
          </w:p>
        </w:tc>
        <w:tc>
          <w:tcPr>
            <w:tcW w:w="1817" w:type="dxa"/>
            <w:vAlign w:val="center"/>
          </w:tcPr>
          <w:p w14:paraId="57B9768B">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17.69</w:t>
            </w:r>
          </w:p>
        </w:tc>
        <w:tc>
          <w:tcPr>
            <w:tcW w:w="1883" w:type="dxa"/>
            <w:vAlign w:val="center"/>
          </w:tcPr>
          <w:p w14:paraId="33F6E005">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200.97</w:t>
            </w:r>
          </w:p>
        </w:tc>
      </w:tr>
      <w:tr w14:paraId="63405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1DA42709">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700</w:t>
            </w:r>
          </w:p>
        </w:tc>
        <w:tc>
          <w:tcPr>
            <w:tcW w:w="2263" w:type="dxa"/>
            <w:vAlign w:val="center"/>
          </w:tcPr>
          <w:p w14:paraId="3663F3F1">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17.52</w:t>
            </w:r>
          </w:p>
        </w:tc>
        <w:tc>
          <w:tcPr>
            <w:tcW w:w="1938" w:type="dxa"/>
            <w:vAlign w:val="center"/>
          </w:tcPr>
          <w:p w14:paraId="1C29C908">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82.41</w:t>
            </w:r>
          </w:p>
        </w:tc>
        <w:tc>
          <w:tcPr>
            <w:tcW w:w="2043" w:type="dxa"/>
            <w:vAlign w:val="center"/>
          </w:tcPr>
          <w:p w14:paraId="44F5718C">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18.44</w:t>
            </w:r>
          </w:p>
        </w:tc>
        <w:tc>
          <w:tcPr>
            <w:tcW w:w="1817" w:type="dxa"/>
            <w:vAlign w:val="center"/>
          </w:tcPr>
          <w:p w14:paraId="2D53866A">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24.98</w:t>
            </w:r>
          </w:p>
        </w:tc>
        <w:tc>
          <w:tcPr>
            <w:tcW w:w="1817" w:type="dxa"/>
            <w:vAlign w:val="center"/>
          </w:tcPr>
          <w:p w14:paraId="23675A27">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18.85</w:t>
            </w:r>
          </w:p>
        </w:tc>
        <w:tc>
          <w:tcPr>
            <w:tcW w:w="1883" w:type="dxa"/>
            <w:vAlign w:val="center"/>
          </w:tcPr>
          <w:p w14:paraId="055EEA9B">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160.88</w:t>
            </w:r>
          </w:p>
        </w:tc>
      </w:tr>
      <w:tr w14:paraId="45625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563E0F73">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800</w:t>
            </w:r>
          </w:p>
        </w:tc>
        <w:tc>
          <w:tcPr>
            <w:tcW w:w="2263" w:type="dxa"/>
            <w:vAlign w:val="center"/>
          </w:tcPr>
          <w:p w14:paraId="0CB0FD83">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18.48</w:t>
            </w:r>
          </w:p>
        </w:tc>
        <w:tc>
          <w:tcPr>
            <w:tcW w:w="1938" w:type="dxa"/>
            <w:vAlign w:val="center"/>
          </w:tcPr>
          <w:p w14:paraId="5A9312A5">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66.19</w:t>
            </w:r>
          </w:p>
        </w:tc>
        <w:tc>
          <w:tcPr>
            <w:tcW w:w="2043" w:type="dxa"/>
            <w:vAlign w:val="center"/>
          </w:tcPr>
          <w:p w14:paraId="25FC52B7">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19.52</w:t>
            </w:r>
          </w:p>
        </w:tc>
        <w:tc>
          <w:tcPr>
            <w:tcW w:w="1817" w:type="dxa"/>
            <w:vAlign w:val="center"/>
          </w:tcPr>
          <w:p w14:paraId="7AB7BDFD">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20.04</w:t>
            </w:r>
          </w:p>
        </w:tc>
        <w:tc>
          <w:tcPr>
            <w:tcW w:w="1817" w:type="dxa"/>
            <w:vAlign w:val="center"/>
          </w:tcPr>
          <w:p w14:paraId="36ADD48D">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19.96</w:t>
            </w:r>
          </w:p>
        </w:tc>
        <w:tc>
          <w:tcPr>
            <w:tcW w:w="1883" w:type="dxa"/>
            <w:vAlign w:val="center"/>
          </w:tcPr>
          <w:p w14:paraId="3F82056B">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132.42</w:t>
            </w:r>
          </w:p>
        </w:tc>
      </w:tr>
      <w:tr w14:paraId="7B6F0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4C547C3D">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900</w:t>
            </w:r>
          </w:p>
        </w:tc>
        <w:tc>
          <w:tcPr>
            <w:tcW w:w="2263" w:type="dxa"/>
            <w:vAlign w:val="center"/>
          </w:tcPr>
          <w:p w14:paraId="63C4C71C">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19.40</w:t>
            </w:r>
          </w:p>
        </w:tc>
        <w:tc>
          <w:tcPr>
            <w:tcW w:w="1938" w:type="dxa"/>
            <w:vAlign w:val="center"/>
          </w:tcPr>
          <w:p w14:paraId="695C8C89">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54.86</w:t>
            </w:r>
          </w:p>
        </w:tc>
        <w:tc>
          <w:tcPr>
            <w:tcW w:w="2043" w:type="dxa"/>
            <w:vAlign w:val="center"/>
          </w:tcPr>
          <w:p w14:paraId="516AB019">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20.56</w:t>
            </w:r>
          </w:p>
        </w:tc>
        <w:tc>
          <w:tcPr>
            <w:tcW w:w="1817" w:type="dxa"/>
            <w:vAlign w:val="center"/>
          </w:tcPr>
          <w:p w14:paraId="4556FE50">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16.34</w:t>
            </w:r>
          </w:p>
        </w:tc>
        <w:tc>
          <w:tcPr>
            <w:tcW w:w="1817" w:type="dxa"/>
            <w:vAlign w:val="center"/>
          </w:tcPr>
          <w:p w14:paraId="6D2C8F43">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21.02</w:t>
            </w:r>
          </w:p>
        </w:tc>
        <w:tc>
          <w:tcPr>
            <w:tcW w:w="1883" w:type="dxa"/>
            <w:vAlign w:val="center"/>
          </w:tcPr>
          <w:p w14:paraId="3564C151">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111.74</w:t>
            </w:r>
          </w:p>
        </w:tc>
      </w:tr>
      <w:tr w14:paraId="3C838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6C3367A6">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1000</w:t>
            </w:r>
          </w:p>
        </w:tc>
        <w:tc>
          <w:tcPr>
            <w:tcW w:w="2263" w:type="dxa"/>
            <w:vAlign w:val="center"/>
          </w:tcPr>
          <w:p w14:paraId="0E26D628">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20.29</w:t>
            </w:r>
          </w:p>
        </w:tc>
        <w:tc>
          <w:tcPr>
            <w:tcW w:w="1938" w:type="dxa"/>
            <w:vAlign w:val="center"/>
          </w:tcPr>
          <w:p w14:paraId="22949E35">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46.27</w:t>
            </w:r>
          </w:p>
        </w:tc>
        <w:tc>
          <w:tcPr>
            <w:tcW w:w="2043" w:type="dxa"/>
            <w:vAlign w:val="center"/>
          </w:tcPr>
          <w:p w14:paraId="4F397323">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21.56</w:t>
            </w:r>
          </w:p>
        </w:tc>
        <w:tc>
          <w:tcPr>
            <w:tcW w:w="1817" w:type="dxa"/>
            <w:vAlign w:val="center"/>
          </w:tcPr>
          <w:p w14:paraId="5E406F37">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13.75</w:t>
            </w:r>
          </w:p>
        </w:tc>
        <w:tc>
          <w:tcPr>
            <w:tcW w:w="1817" w:type="dxa"/>
            <w:vAlign w:val="center"/>
          </w:tcPr>
          <w:p w14:paraId="3689A357">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22.04</w:t>
            </w:r>
          </w:p>
        </w:tc>
        <w:tc>
          <w:tcPr>
            <w:tcW w:w="1883" w:type="dxa"/>
            <w:vAlign w:val="center"/>
          </w:tcPr>
          <w:p w14:paraId="60278C06">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95.80</w:t>
            </w:r>
          </w:p>
        </w:tc>
      </w:tr>
      <w:tr w14:paraId="53DC4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270844AA">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1500</w:t>
            </w:r>
          </w:p>
        </w:tc>
        <w:tc>
          <w:tcPr>
            <w:tcW w:w="2263" w:type="dxa"/>
            <w:vAlign w:val="center"/>
          </w:tcPr>
          <w:p w14:paraId="5B144A46">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24.37</w:t>
            </w:r>
          </w:p>
        </w:tc>
        <w:tc>
          <w:tcPr>
            <w:tcW w:w="1938" w:type="dxa"/>
            <w:vAlign w:val="center"/>
          </w:tcPr>
          <w:p w14:paraId="3F2D0126">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23.84</w:t>
            </w:r>
          </w:p>
        </w:tc>
        <w:tc>
          <w:tcPr>
            <w:tcW w:w="2043" w:type="dxa"/>
            <w:vAlign w:val="center"/>
          </w:tcPr>
          <w:p w14:paraId="1D924B7E">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26.18</w:t>
            </w:r>
          </w:p>
        </w:tc>
        <w:tc>
          <w:tcPr>
            <w:tcW w:w="1817" w:type="dxa"/>
            <w:vAlign w:val="center"/>
          </w:tcPr>
          <w:p w14:paraId="0D66FB5B">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6.79</w:t>
            </w:r>
          </w:p>
        </w:tc>
        <w:tc>
          <w:tcPr>
            <w:tcW w:w="1817" w:type="dxa"/>
            <w:vAlign w:val="center"/>
          </w:tcPr>
          <w:p w14:paraId="03ECD991">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26.77</w:t>
            </w:r>
          </w:p>
        </w:tc>
        <w:tc>
          <w:tcPr>
            <w:tcW w:w="1883" w:type="dxa"/>
            <w:vAlign w:val="center"/>
          </w:tcPr>
          <w:p w14:paraId="495DABEC">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51.88</w:t>
            </w:r>
          </w:p>
        </w:tc>
      </w:tr>
      <w:tr w14:paraId="42352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0596A822">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2000</w:t>
            </w:r>
          </w:p>
        </w:tc>
        <w:tc>
          <w:tcPr>
            <w:tcW w:w="2263" w:type="dxa"/>
            <w:vAlign w:val="center"/>
          </w:tcPr>
          <w:p w14:paraId="11FE1A07">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28.07</w:t>
            </w:r>
          </w:p>
        </w:tc>
        <w:tc>
          <w:tcPr>
            <w:tcW w:w="1938" w:type="dxa"/>
            <w:vAlign w:val="center"/>
          </w:tcPr>
          <w:p w14:paraId="69638120">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14.65</w:t>
            </w:r>
          </w:p>
        </w:tc>
        <w:tc>
          <w:tcPr>
            <w:tcW w:w="2043" w:type="dxa"/>
            <w:vAlign w:val="center"/>
          </w:tcPr>
          <w:p w14:paraId="12521E9D">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30.38</w:t>
            </w:r>
          </w:p>
        </w:tc>
        <w:tc>
          <w:tcPr>
            <w:tcW w:w="1817" w:type="dxa"/>
            <w:vAlign w:val="center"/>
          </w:tcPr>
          <w:p w14:paraId="743DC4D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4.07</w:t>
            </w:r>
          </w:p>
        </w:tc>
        <w:tc>
          <w:tcPr>
            <w:tcW w:w="1817" w:type="dxa"/>
            <w:vAlign w:val="center"/>
          </w:tcPr>
          <w:p w14:paraId="2D3CF0F0">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31.07</w:t>
            </w:r>
          </w:p>
        </w:tc>
        <w:tc>
          <w:tcPr>
            <w:tcW w:w="1883" w:type="dxa"/>
            <w:vAlign w:val="center"/>
          </w:tcPr>
          <w:p w14:paraId="2241287A">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32.74</w:t>
            </w:r>
          </w:p>
        </w:tc>
      </w:tr>
      <w:tr w14:paraId="13483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476F2E2D">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2500</w:t>
            </w:r>
          </w:p>
        </w:tc>
        <w:tc>
          <w:tcPr>
            <w:tcW w:w="2263" w:type="dxa"/>
            <w:vAlign w:val="center"/>
          </w:tcPr>
          <w:p w14:paraId="2BAB4FE3">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31.54</w:t>
            </w:r>
          </w:p>
        </w:tc>
        <w:tc>
          <w:tcPr>
            <w:tcW w:w="1938" w:type="dxa"/>
            <w:vAlign w:val="center"/>
          </w:tcPr>
          <w:p w14:paraId="483A4823">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9.90</w:t>
            </w:r>
          </w:p>
        </w:tc>
        <w:tc>
          <w:tcPr>
            <w:tcW w:w="2043" w:type="dxa"/>
            <w:vAlign w:val="center"/>
          </w:tcPr>
          <w:p w14:paraId="50058EFC">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34.30</w:t>
            </w:r>
          </w:p>
        </w:tc>
        <w:tc>
          <w:tcPr>
            <w:tcW w:w="1817" w:type="dxa"/>
            <w:vAlign w:val="center"/>
          </w:tcPr>
          <w:p w14:paraId="02ADDBBE">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2.69</w:t>
            </w:r>
          </w:p>
        </w:tc>
        <w:tc>
          <w:tcPr>
            <w:tcW w:w="1817" w:type="dxa"/>
            <w:vAlign w:val="center"/>
          </w:tcPr>
          <w:p w14:paraId="03CD0C1F">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35.09</w:t>
            </w:r>
          </w:p>
        </w:tc>
        <w:tc>
          <w:tcPr>
            <w:tcW w:w="1883" w:type="dxa"/>
            <w:vAlign w:val="center"/>
          </w:tcPr>
          <w:p w14:paraId="06588EB7">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22.47</w:t>
            </w:r>
          </w:p>
        </w:tc>
      </w:tr>
      <w:tr w14:paraId="610F6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4425FC17">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3000</w:t>
            </w:r>
          </w:p>
        </w:tc>
        <w:tc>
          <w:tcPr>
            <w:tcW w:w="2263" w:type="dxa"/>
            <w:vAlign w:val="center"/>
          </w:tcPr>
          <w:p w14:paraId="22872E30">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34.82</w:t>
            </w:r>
          </w:p>
        </w:tc>
        <w:tc>
          <w:tcPr>
            <w:tcW w:w="1938" w:type="dxa"/>
            <w:vAlign w:val="center"/>
          </w:tcPr>
          <w:p w14:paraId="5DFC7408">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7.14</w:t>
            </w:r>
          </w:p>
        </w:tc>
        <w:tc>
          <w:tcPr>
            <w:tcW w:w="2043" w:type="dxa"/>
            <w:vAlign w:val="center"/>
          </w:tcPr>
          <w:p w14:paraId="3E113163">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38.04</w:t>
            </w:r>
          </w:p>
        </w:tc>
        <w:tc>
          <w:tcPr>
            <w:tcW w:w="1817" w:type="dxa"/>
            <w:vAlign w:val="center"/>
          </w:tcPr>
          <w:p w14:paraId="26EF11E6">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1.91</w:t>
            </w:r>
          </w:p>
        </w:tc>
        <w:tc>
          <w:tcPr>
            <w:tcW w:w="1817" w:type="dxa"/>
            <w:vAlign w:val="center"/>
          </w:tcPr>
          <w:p w14:paraId="1903D844">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38.92</w:t>
            </w:r>
          </w:p>
        </w:tc>
        <w:tc>
          <w:tcPr>
            <w:tcW w:w="1883" w:type="dxa"/>
            <w:vAlign w:val="center"/>
          </w:tcPr>
          <w:p w14:paraId="5096F808">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16.30</w:t>
            </w:r>
          </w:p>
        </w:tc>
      </w:tr>
      <w:tr w14:paraId="40F49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17FB2231">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3500</w:t>
            </w:r>
          </w:p>
        </w:tc>
        <w:tc>
          <w:tcPr>
            <w:tcW w:w="2263" w:type="dxa"/>
            <w:vAlign w:val="center"/>
          </w:tcPr>
          <w:p w14:paraId="52094043">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37.98</w:t>
            </w:r>
          </w:p>
        </w:tc>
        <w:tc>
          <w:tcPr>
            <w:tcW w:w="1938" w:type="dxa"/>
            <w:vAlign w:val="center"/>
          </w:tcPr>
          <w:p w14:paraId="5DB1308C">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5.41</w:t>
            </w:r>
          </w:p>
        </w:tc>
        <w:tc>
          <w:tcPr>
            <w:tcW w:w="2043" w:type="dxa"/>
            <w:vAlign w:val="center"/>
          </w:tcPr>
          <w:p w14:paraId="47BA770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41.62</w:t>
            </w:r>
          </w:p>
        </w:tc>
        <w:tc>
          <w:tcPr>
            <w:tcW w:w="1817" w:type="dxa"/>
            <w:vAlign w:val="center"/>
          </w:tcPr>
          <w:p w14:paraId="6C8FB452">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1.44</w:t>
            </w:r>
          </w:p>
        </w:tc>
        <w:tc>
          <w:tcPr>
            <w:tcW w:w="1817" w:type="dxa"/>
            <w:vAlign w:val="center"/>
          </w:tcPr>
          <w:p w14:paraId="5181A4D5">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42.59</w:t>
            </w:r>
          </w:p>
        </w:tc>
        <w:tc>
          <w:tcPr>
            <w:tcW w:w="1883" w:type="dxa"/>
            <w:vAlign w:val="center"/>
          </w:tcPr>
          <w:p w14:paraId="6ED9D6B5">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12.36</w:t>
            </w:r>
          </w:p>
        </w:tc>
      </w:tr>
      <w:tr w14:paraId="50DB4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79FA533E">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4000</w:t>
            </w:r>
          </w:p>
        </w:tc>
        <w:tc>
          <w:tcPr>
            <w:tcW w:w="2263" w:type="dxa"/>
            <w:vAlign w:val="center"/>
          </w:tcPr>
          <w:p w14:paraId="33907EE7">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41.03</w:t>
            </w:r>
          </w:p>
        </w:tc>
        <w:tc>
          <w:tcPr>
            <w:tcW w:w="1938" w:type="dxa"/>
            <w:vAlign w:val="center"/>
          </w:tcPr>
          <w:p w14:paraId="0D9FECBF">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4.20</w:t>
            </w:r>
          </w:p>
        </w:tc>
        <w:tc>
          <w:tcPr>
            <w:tcW w:w="2043" w:type="dxa"/>
            <w:vAlign w:val="center"/>
          </w:tcPr>
          <w:p w14:paraId="2993D986">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45.09</w:t>
            </w:r>
          </w:p>
        </w:tc>
        <w:tc>
          <w:tcPr>
            <w:tcW w:w="1817" w:type="dxa"/>
            <w:vAlign w:val="center"/>
          </w:tcPr>
          <w:p w14:paraId="5241CADB">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1.10</w:t>
            </w:r>
          </w:p>
        </w:tc>
        <w:tc>
          <w:tcPr>
            <w:tcW w:w="1817" w:type="dxa"/>
            <w:vAlign w:val="center"/>
          </w:tcPr>
          <w:p w14:paraId="7AD63B2F">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46.13</w:t>
            </w:r>
          </w:p>
        </w:tc>
        <w:tc>
          <w:tcPr>
            <w:tcW w:w="1883" w:type="dxa"/>
            <w:vAlign w:val="center"/>
          </w:tcPr>
          <w:p w14:paraId="6920D4E5">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9.72</w:t>
            </w:r>
          </w:p>
        </w:tc>
      </w:tr>
      <w:tr w14:paraId="00F1D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066D584E">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4500</w:t>
            </w:r>
          </w:p>
        </w:tc>
        <w:tc>
          <w:tcPr>
            <w:tcW w:w="2263" w:type="dxa"/>
            <w:vAlign w:val="center"/>
          </w:tcPr>
          <w:p w14:paraId="114099F0">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43.99</w:t>
            </w:r>
          </w:p>
        </w:tc>
        <w:tc>
          <w:tcPr>
            <w:tcW w:w="1938" w:type="dxa"/>
            <w:vAlign w:val="center"/>
          </w:tcPr>
          <w:p w14:paraId="538B8653">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3.38</w:t>
            </w:r>
          </w:p>
        </w:tc>
        <w:tc>
          <w:tcPr>
            <w:tcW w:w="2043" w:type="dxa"/>
            <w:vAlign w:val="center"/>
          </w:tcPr>
          <w:p w14:paraId="58680461">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48.46</w:t>
            </w:r>
          </w:p>
        </w:tc>
        <w:tc>
          <w:tcPr>
            <w:tcW w:w="1817" w:type="dxa"/>
            <w:vAlign w:val="center"/>
          </w:tcPr>
          <w:p w14:paraId="75EF5051">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0.88</w:t>
            </w:r>
          </w:p>
        </w:tc>
        <w:tc>
          <w:tcPr>
            <w:tcW w:w="1817" w:type="dxa"/>
            <w:vAlign w:val="center"/>
          </w:tcPr>
          <w:p w14:paraId="2E83E091">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49.58</w:t>
            </w:r>
          </w:p>
        </w:tc>
        <w:tc>
          <w:tcPr>
            <w:tcW w:w="1883" w:type="dxa"/>
            <w:vAlign w:val="center"/>
          </w:tcPr>
          <w:p w14:paraId="2EFA9C61">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7.77</w:t>
            </w:r>
          </w:p>
        </w:tc>
      </w:tr>
      <w:tr w14:paraId="046B8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0D085DE1">
            <w:pPr>
              <w:pStyle w:val="91"/>
              <w:keepNext w:val="0"/>
              <w:keepLines w:val="0"/>
              <w:suppressLineNumbers w:val="0"/>
              <w:spacing w:before="0" w:beforeAutospacing="0" w:after="0" w:afterAutospacing="0"/>
              <w:ind w:left="0" w:right="0"/>
              <w:jc w:val="center"/>
              <w:rPr>
                <w:rFonts w:hint="default"/>
                <w:color w:val="auto"/>
                <w:u w:val="single"/>
              </w:rPr>
            </w:pPr>
            <w:r>
              <w:rPr>
                <w:rFonts w:hint="default"/>
                <w:color w:val="auto"/>
                <w:u w:val="single"/>
              </w:rPr>
              <w:t>5000</w:t>
            </w:r>
          </w:p>
        </w:tc>
        <w:tc>
          <w:tcPr>
            <w:tcW w:w="2263" w:type="dxa"/>
            <w:vAlign w:val="center"/>
          </w:tcPr>
          <w:p w14:paraId="7ACB56AC">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46.88</w:t>
            </w:r>
          </w:p>
        </w:tc>
        <w:tc>
          <w:tcPr>
            <w:tcW w:w="1938" w:type="dxa"/>
            <w:vAlign w:val="center"/>
          </w:tcPr>
          <w:p w14:paraId="3E424666">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2.75</w:t>
            </w:r>
          </w:p>
        </w:tc>
        <w:tc>
          <w:tcPr>
            <w:tcW w:w="2043" w:type="dxa"/>
            <w:vAlign w:val="center"/>
          </w:tcPr>
          <w:p w14:paraId="43F418B6">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51.74</w:t>
            </w:r>
          </w:p>
        </w:tc>
        <w:tc>
          <w:tcPr>
            <w:tcW w:w="1817" w:type="dxa"/>
            <w:vAlign w:val="center"/>
          </w:tcPr>
          <w:p w14:paraId="3BD61FEB">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0.71</w:t>
            </w:r>
          </w:p>
        </w:tc>
        <w:tc>
          <w:tcPr>
            <w:tcW w:w="1817" w:type="dxa"/>
            <w:vAlign w:val="center"/>
          </w:tcPr>
          <w:p w14:paraId="556926AF">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52.94</w:t>
            </w:r>
          </w:p>
        </w:tc>
        <w:tc>
          <w:tcPr>
            <w:tcW w:w="1883" w:type="dxa"/>
            <w:vAlign w:val="center"/>
          </w:tcPr>
          <w:p w14:paraId="629B2DD1">
            <w:pPr>
              <w:pStyle w:val="91"/>
              <w:keepNext w:val="0"/>
              <w:keepLines w:val="0"/>
              <w:suppressLineNumbers w:val="0"/>
              <w:bidi w:val="0"/>
              <w:spacing w:before="0" w:beforeAutospacing="0" w:after="0" w:afterAutospacing="0"/>
              <w:ind w:left="0" w:right="0"/>
              <w:jc w:val="center"/>
              <w:rPr>
                <w:rFonts w:hint="default"/>
                <w:color w:val="auto"/>
                <w:u w:val="single"/>
              </w:rPr>
            </w:pPr>
            <w:r>
              <w:rPr>
                <w:rFonts w:hint="eastAsia"/>
                <w:color w:val="auto"/>
                <w:u w:val="single"/>
                <w:lang w:val="en-US" w:eastAsia="zh-CN"/>
              </w:rPr>
              <w:t>6.41</w:t>
            </w:r>
          </w:p>
        </w:tc>
      </w:tr>
      <w:tr w14:paraId="0A497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07BF649C">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时间/浓度最大值</w:t>
            </w:r>
          </w:p>
        </w:tc>
        <w:tc>
          <w:tcPr>
            <w:tcW w:w="2263" w:type="dxa"/>
            <w:vAlign w:val="center"/>
          </w:tcPr>
          <w:p w14:paraId="35074915">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7.66</w:t>
            </w:r>
          </w:p>
        </w:tc>
        <w:tc>
          <w:tcPr>
            <w:tcW w:w="1938" w:type="dxa"/>
            <w:vAlign w:val="center"/>
          </w:tcPr>
          <w:p w14:paraId="3FEC2C23">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5232.80</w:t>
            </w:r>
          </w:p>
        </w:tc>
        <w:tc>
          <w:tcPr>
            <w:tcW w:w="2043" w:type="dxa"/>
            <w:vAlign w:val="center"/>
          </w:tcPr>
          <w:p w14:paraId="02464037">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7.68</w:t>
            </w:r>
          </w:p>
        </w:tc>
        <w:tc>
          <w:tcPr>
            <w:tcW w:w="1817" w:type="dxa"/>
            <w:vAlign w:val="center"/>
          </w:tcPr>
          <w:p w14:paraId="256BEFD2">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1865.20</w:t>
            </w:r>
          </w:p>
        </w:tc>
        <w:tc>
          <w:tcPr>
            <w:tcW w:w="1817" w:type="dxa"/>
            <w:vAlign w:val="center"/>
          </w:tcPr>
          <w:p w14:paraId="77E65304">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7.69</w:t>
            </w:r>
          </w:p>
        </w:tc>
        <w:tc>
          <w:tcPr>
            <w:tcW w:w="1883" w:type="dxa"/>
            <w:vAlign w:val="center"/>
          </w:tcPr>
          <w:p w14:paraId="61822215">
            <w:pPr>
              <w:pStyle w:val="91"/>
              <w:keepNext w:val="0"/>
              <w:keepLines w:val="0"/>
              <w:suppressLineNumbers w:val="0"/>
              <w:bidi w:val="0"/>
              <w:spacing w:before="0" w:beforeAutospacing="0" w:after="0" w:afterAutospacing="0"/>
              <w:ind w:left="0" w:right="0" w:firstLine="0" w:firstLineChars="0"/>
              <w:jc w:val="center"/>
              <w:rPr>
                <w:rFonts w:hint="default"/>
                <w:color w:val="auto"/>
                <w:u w:val="single"/>
              </w:rPr>
            </w:pPr>
            <w:r>
              <w:rPr>
                <w:rFonts w:hint="eastAsia"/>
                <w:color w:val="auto"/>
                <w:u w:val="single"/>
                <w:lang w:val="en-US" w:eastAsia="zh-CN"/>
              </w:rPr>
              <w:t>8817.30</w:t>
            </w:r>
          </w:p>
        </w:tc>
      </w:tr>
      <w:tr w14:paraId="67A14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696" w:type="dxa"/>
            <w:vAlign w:val="center"/>
          </w:tcPr>
          <w:p w14:paraId="52C1CDBD">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浓度最大值出现距离/m</w:t>
            </w:r>
          </w:p>
        </w:tc>
        <w:tc>
          <w:tcPr>
            <w:tcW w:w="4201" w:type="dxa"/>
            <w:gridSpan w:val="2"/>
            <w:vAlign w:val="center"/>
          </w:tcPr>
          <w:p w14:paraId="74B149DF">
            <w:pPr>
              <w:pStyle w:val="91"/>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10</w:t>
            </w:r>
          </w:p>
        </w:tc>
        <w:tc>
          <w:tcPr>
            <w:tcW w:w="3860" w:type="dxa"/>
            <w:gridSpan w:val="2"/>
            <w:vAlign w:val="center"/>
          </w:tcPr>
          <w:p w14:paraId="4BCBD48D">
            <w:pPr>
              <w:pStyle w:val="91"/>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10</w:t>
            </w:r>
          </w:p>
        </w:tc>
        <w:tc>
          <w:tcPr>
            <w:tcW w:w="3700" w:type="dxa"/>
            <w:gridSpan w:val="2"/>
            <w:vAlign w:val="center"/>
          </w:tcPr>
          <w:p w14:paraId="6DF71C07">
            <w:pPr>
              <w:pStyle w:val="91"/>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10</w:t>
            </w:r>
          </w:p>
        </w:tc>
      </w:tr>
    </w:tbl>
    <w:p w14:paraId="202B1A31">
      <w:pPr>
        <w:pStyle w:val="14"/>
        <w:rPr>
          <w:color w:val="auto"/>
        </w:rPr>
        <w:sectPr>
          <w:headerReference r:id="rId38" w:type="default"/>
          <w:pgSz w:w="16838" w:h="11906" w:orient="landscape"/>
          <w:pgMar w:top="1418" w:right="1440" w:bottom="1418" w:left="1440" w:header="851" w:footer="680" w:gutter="0"/>
          <w:cols w:space="720" w:num="1"/>
          <w:docGrid w:type="lines" w:linePitch="326" w:charSpace="0"/>
        </w:sectPr>
      </w:pPr>
    </w:p>
    <w:p w14:paraId="63F522A9">
      <w:pPr>
        <w:spacing w:line="240" w:lineRule="auto"/>
        <w:ind w:firstLine="0" w:firstLineChars="0"/>
        <w:rPr>
          <w:color w:val="auto"/>
        </w:rPr>
      </w:pPr>
      <w:r>
        <w:rPr>
          <w:color w:val="auto"/>
        </w:rPr>
        <w:drawing>
          <wp:inline distT="0" distB="0" distL="0" distR="0">
            <wp:extent cx="5339715" cy="326136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341455" cy="3262587"/>
                    </a:xfrm>
                    <a:prstGeom prst="rect">
                      <a:avLst/>
                    </a:prstGeom>
                  </pic:spPr>
                </pic:pic>
              </a:graphicData>
            </a:graphic>
          </wp:inline>
        </w:drawing>
      </w:r>
    </w:p>
    <w:p w14:paraId="4E3F99AA">
      <w:pPr>
        <w:pStyle w:val="14"/>
        <w:rPr>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5.5</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r>
        <w:rPr>
          <w:rFonts w:hint="eastAsia"/>
          <w:color w:val="auto"/>
          <w:lang w:eastAsia="zh-CN"/>
        </w:rPr>
        <w:t>不利气象条件，</w:t>
      </w:r>
      <w:r>
        <w:rPr>
          <w:rFonts w:hint="eastAsia"/>
          <w:color w:val="auto"/>
        </w:rPr>
        <w:t>甲基</w:t>
      </w:r>
      <w:r>
        <w:rPr>
          <w:color w:val="auto"/>
        </w:rPr>
        <w:t>叔丁基醚</w:t>
      </w:r>
      <w:r>
        <w:rPr>
          <w:rFonts w:hint="eastAsia"/>
          <w:color w:val="auto"/>
        </w:rPr>
        <w:t>轴最大影响区域图</w:t>
      </w:r>
    </w:p>
    <w:p w14:paraId="78F6FAA7">
      <w:pPr>
        <w:spacing w:line="240" w:lineRule="auto"/>
        <w:ind w:firstLine="0" w:firstLineChars="0"/>
        <w:rPr>
          <w:color w:val="auto"/>
        </w:rPr>
      </w:pPr>
      <w:r>
        <w:rPr>
          <w:color w:val="auto"/>
        </w:rPr>
        <w:drawing>
          <wp:inline distT="0" distB="0" distL="0" distR="0">
            <wp:extent cx="5339715" cy="3261360"/>
            <wp:effectExtent l="0" t="0" r="0" b="0"/>
            <wp:docPr id="2706" name="图片 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 name="图片 2706"/>
                    <pic:cNvPicPr>
                      <a:picLocks noChangeAspect="1"/>
                    </pic:cNvPicPr>
                  </pic:nvPicPr>
                  <pic:blipFill>
                    <a:blip r:embed="rId79"/>
                    <a:stretch>
                      <a:fillRect/>
                    </a:stretch>
                  </pic:blipFill>
                  <pic:spPr>
                    <a:xfrm>
                      <a:off x="0" y="0"/>
                      <a:ext cx="5339840" cy="3261600"/>
                    </a:xfrm>
                    <a:prstGeom prst="rect">
                      <a:avLst/>
                    </a:prstGeom>
                  </pic:spPr>
                </pic:pic>
              </a:graphicData>
            </a:graphic>
          </wp:inline>
        </w:drawing>
      </w:r>
    </w:p>
    <w:p w14:paraId="35FAC816">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5.5</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2</w:t>
      </w:r>
      <w:r>
        <w:rPr>
          <w:color w:val="auto"/>
        </w:rPr>
        <w:fldChar w:fldCharType="end"/>
      </w:r>
      <w:r>
        <w:rPr>
          <w:rFonts w:hint="eastAsia"/>
          <w:color w:val="auto"/>
          <w:lang w:eastAsia="zh-CN"/>
        </w:rPr>
        <w:t>不利气象条件，</w:t>
      </w:r>
      <w:r>
        <w:rPr>
          <w:rFonts w:hint="eastAsia"/>
          <w:color w:val="auto"/>
        </w:rPr>
        <w:t>异辛烷（烷基化油）轴最大影响区域图</w:t>
      </w:r>
    </w:p>
    <w:p w14:paraId="70DAD1BA">
      <w:pPr>
        <w:spacing w:line="240" w:lineRule="auto"/>
        <w:ind w:firstLine="0" w:firstLineChars="0"/>
        <w:jc w:val="center"/>
        <w:rPr>
          <w:color w:val="auto"/>
        </w:rPr>
      </w:pPr>
      <w:r>
        <w:rPr>
          <w:color w:val="auto"/>
        </w:rPr>
        <w:drawing>
          <wp:inline distT="0" distB="0" distL="0" distR="0">
            <wp:extent cx="5320030" cy="2589530"/>
            <wp:effectExtent l="0" t="0" r="0" b="1270"/>
            <wp:docPr id="2700" name="图片 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0" name="图片 2700"/>
                    <pic:cNvPicPr>
                      <a:picLocks noChangeAspect="1"/>
                    </pic:cNvPicPr>
                  </pic:nvPicPr>
                  <pic:blipFill>
                    <a:blip r:embed="rId80"/>
                    <a:stretch>
                      <a:fillRect/>
                    </a:stretch>
                  </pic:blipFill>
                  <pic:spPr>
                    <a:xfrm>
                      <a:off x="0" y="0"/>
                      <a:ext cx="5345676" cy="2602112"/>
                    </a:xfrm>
                    <a:prstGeom prst="rect">
                      <a:avLst/>
                    </a:prstGeom>
                  </pic:spPr>
                </pic:pic>
              </a:graphicData>
            </a:graphic>
          </wp:inline>
        </w:drawing>
      </w:r>
    </w:p>
    <w:p w14:paraId="15ACAF54">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5.5</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3</w:t>
      </w:r>
      <w:r>
        <w:rPr>
          <w:color w:val="auto"/>
        </w:rPr>
        <w:fldChar w:fldCharType="end"/>
      </w:r>
      <w:r>
        <w:rPr>
          <w:rFonts w:hint="eastAsia"/>
          <w:color w:val="auto"/>
          <w:lang w:eastAsia="zh-CN"/>
        </w:rPr>
        <w:t>不利气象条件，</w:t>
      </w:r>
      <w:r>
        <w:rPr>
          <w:rFonts w:hint="eastAsia"/>
          <w:color w:val="auto"/>
        </w:rPr>
        <w:t>石脑油轴最大影响区域图</w:t>
      </w:r>
    </w:p>
    <w:p w14:paraId="1CCEEC94">
      <w:pPr>
        <w:spacing w:line="240" w:lineRule="auto"/>
        <w:ind w:firstLine="0" w:firstLineChars="0"/>
        <w:rPr>
          <w:color w:val="auto"/>
        </w:rPr>
      </w:pPr>
    </w:p>
    <w:p w14:paraId="4956B30C">
      <w:pPr>
        <w:spacing w:line="240" w:lineRule="auto"/>
        <w:ind w:firstLine="0" w:firstLineChars="0"/>
        <w:jc w:val="center"/>
        <w:rPr>
          <w:color w:val="auto"/>
        </w:rPr>
      </w:pPr>
      <w:r>
        <w:rPr>
          <w:color w:val="auto"/>
        </w:rPr>
        <w:drawing>
          <wp:inline distT="0" distB="0" distL="0" distR="0">
            <wp:extent cx="4957445" cy="3027680"/>
            <wp:effectExtent l="0" t="0" r="0" b="1270"/>
            <wp:docPr id="2714" name="图片 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 name="图片 2714"/>
                    <pic:cNvPicPr>
                      <a:picLocks noChangeAspect="1"/>
                    </pic:cNvPicPr>
                  </pic:nvPicPr>
                  <pic:blipFill>
                    <a:blip r:embed="rId81"/>
                    <a:stretch>
                      <a:fillRect/>
                    </a:stretch>
                  </pic:blipFill>
                  <pic:spPr>
                    <a:xfrm>
                      <a:off x="0" y="0"/>
                      <a:ext cx="4963805" cy="3031916"/>
                    </a:xfrm>
                    <a:prstGeom prst="rect">
                      <a:avLst/>
                    </a:prstGeom>
                  </pic:spPr>
                </pic:pic>
              </a:graphicData>
            </a:graphic>
          </wp:inline>
        </w:drawing>
      </w:r>
    </w:p>
    <w:p w14:paraId="1E1F9F90">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5.5</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4</w:t>
      </w:r>
      <w:r>
        <w:rPr>
          <w:color w:val="auto"/>
        </w:rPr>
        <w:fldChar w:fldCharType="end"/>
      </w:r>
      <w:r>
        <w:rPr>
          <w:rFonts w:hint="eastAsia"/>
          <w:color w:val="auto"/>
          <w:lang w:eastAsia="zh-CN"/>
        </w:rPr>
        <w:t>不利气象条件，</w:t>
      </w:r>
      <w:r>
        <w:rPr>
          <w:rFonts w:hint="eastAsia"/>
          <w:color w:val="auto"/>
        </w:rPr>
        <w:t>CO最大影响区域图</w:t>
      </w:r>
    </w:p>
    <w:p w14:paraId="3E3926BD">
      <w:pPr>
        <w:pStyle w:val="201"/>
        <w:rPr>
          <w:color w:val="auto"/>
        </w:rPr>
      </w:pPr>
      <w:r>
        <w:rPr>
          <w:color w:val="auto"/>
        </w:rPr>
        <w:drawing>
          <wp:inline distT="0" distB="0" distL="114300" distR="114300">
            <wp:extent cx="5755640" cy="3515360"/>
            <wp:effectExtent l="0" t="0" r="16510" b="8890"/>
            <wp:docPr id="4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1"/>
                    <pic:cNvPicPr>
                      <a:picLocks noChangeAspect="1"/>
                    </pic:cNvPicPr>
                  </pic:nvPicPr>
                  <pic:blipFill>
                    <a:blip r:embed="rId82"/>
                    <a:stretch>
                      <a:fillRect/>
                    </a:stretch>
                  </pic:blipFill>
                  <pic:spPr>
                    <a:xfrm>
                      <a:off x="0" y="0"/>
                      <a:ext cx="5755640" cy="3515360"/>
                    </a:xfrm>
                    <a:prstGeom prst="rect">
                      <a:avLst/>
                    </a:prstGeom>
                    <a:noFill/>
                    <a:ln>
                      <a:noFill/>
                    </a:ln>
                  </pic:spPr>
                </pic:pic>
              </a:graphicData>
            </a:graphic>
          </wp:inline>
        </w:drawing>
      </w:r>
    </w:p>
    <w:p w14:paraId="144A1818">
      <w:pPr>
        <w:pStyle w:val="14"/>
        <w:rPr>
          <w:rFonts w:hint="eastAsia"/>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5.5</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5</w:t>
      </w:r>
      <w:r>
        <w:rPr>
          <w:color w:val="auto"/>
        </w:rPr>
        <w:fldChar w:fldCharType="end"/>
      </w:r>
      <w:r>
        <w:rPr>
          <w:rFonts w:hint="eastAsia"/>
          <w:color w:val="auto"/>
          <w:lang w:eastAsia="zh-CN"/>
        </w:rPr>
        <w:t>不利气象条件，</w:t>
      </w:r>
      <w:r>
        <w:rPr>
          <w:color w:val="auto"/>
        </w:rPr>
        <w:t>SO</w:t>
      </w:r>
      <w:r>
        <w:rPr>
          <w:color w:val="auto"/>
          <w:vertAlign w:val="subscript"/>
        </w:rPr>
        <w:t>2</w:t>
      </w:r>
      <w:r>
        <w:rPr>
          <w:rFonts w:hint="eastAsia"/>
          <w:color w:val="auto"/>
        </w:rPr>
        <w:t>最大影响区域图</w:t>
      </w:r>
    </w:p>
    <w:p w14:paraId="24536EA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u w:val="single"/>
        </w:rPr>
      </w:pPr>
      <w:r>
        <w:rPr>
          <w:color w:val="auto"/>
        </w:rPr>
        <w:drawing>
          <wp:inline distT="0" distB="0" distL="114300" distR="114300">
            <wp:extent cx="5755640" cy="3515360"/>
            <wp:effectExtent l="0" t="0" r="16510" b="8890"/>
            <wp:docPr id="3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9"/>
                    <pic:cNvPicPr>
                      <a:picLocks noChangeAspect="1"/>
                    </pic:cNvPicPr>
                  </pic:nvPicPr>
                  <pic:blipFill>
                    <a:blip r:embed="rId83"/>
                    <a:stretch>
                      <a:fillRect/>
                    </a:stretch>
                  </pic:blipFill>
                  <pic:spPr>
                    <a:xfrm>
                      <a:off x="0" y="0"/>
                      <a:ext cx="5755640" cy="3515360"/>
                    </a:xfrm>
                    <a:prstGeom prst="rect">
                      <a:avLst/>
                    </a:prstGeom>
                    <a:noFill/>
                    <a:ln>
                      <a:noFill/>
                    </a:ln>
                  </pic:spPr>
                </pic:pic>
              </a:graphicData>
            </a:graphic>
          </wp:inline>
        </w:drawing>
      </w:r>
    </w:p>
    <w:p w14:paraId="324201BC">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5.5</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6</w:t>
      </w:r>
      <w:r>
        <w:rPr>
          <w:color w:val="auto"/>
        </w:rPr>
        <w:fldChar w:fldCharType="end"/>
      </w:r>
      <w:r>
        <w:rPr>
          <w:rFonts w:hint="eastAsia"/>
          <w:color w:val="auto"/>
          <w:lang w:eastAsia="zh-CN"/>
        </w:rPr>
        <w:t>常见气象条件，甲基叔丁基醚</w:t>
      </w:r>
      <w:r>
        <w:rPr>
          <w:rFonts w:hint="eastAsia"/>
          <w:color w:val="auto"/>
        </w:rPr>
        <w:t>最大影响区域图</w:t>
      </w:r>
    </w:p>
    <w:p w14:paraId="3A526AC1">
      <w:pPr>
        <w:rPr>
          <w:rFonts w:hint="eastAsia"/>
          <w:color w:val="auto"/>
          <w:u w:val="single"/>
        </w:rPr>
      </w:pPr>
    </w:p>
    <w:p w14:paraId="1C396FBF">
      <w:pPr>
        <w:pStyle w:val="201"/>
        <w:rPr>
          <w:color w:val="auto"/>
        </w:rPr>
      </w:pPr>
      <w:r>
        <w:rPr>
          <w:color w:val="auto"/>
        </w:rPr>
        <w:drawing>
          <wp:inline distT="0" distB="0" distL="114300" distR="114300">
            <wp:extent cx="4538980" cy="2772410"/>
            <wp:effectExtent l="0" t="0" r="13970" b="8890"/>
            <wp:docPr id="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8"/>
                    <pic:cNvPicPr>
                      <a:picLocks noChangeAspect="1"/>
                    </pic:cNvPicPr>
                  </pic:nvPicPr>
                  <pic:blipFill>
                    <a:blip r:embed="rId84"/>
                    <a:stretch>
                      <a:fillRect/>
                    </a:stretch>
                  </pic:blipFill>
                  <pic:spPr>
                    <a:xfrm>
                      <a:off x="0" y="0"/>
                      <a:ext cx="4538980" cy="2772410"/>
                    </a:xfrm>
                    <a:prstGeom prst="rect">
                      <a:avLst/>
                    </a:prstGeom>
                    <a:noFill/>
                    <a:ln>
                      <a:noFill/>
                    </a:ln>
                  </pic:spPr>
                </pic:pic>
              </a:graphicData>
            </a:graphic>
          </wp:inline>
        </w:drawing>
      </w:r>
    </w:p>
    <w:p w14:paraId="6FAC6189">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5.5</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7</w:t>
      </w:r>
      <w:r>
        <w:rPr>
          <w:color w:val="auto"/>
        </w:rPr>
        <w:fldChar w:fldCharType="end"/>
      </w:r>
      <w:r>
        <w:rPr>
          <w:rFonts w:hint="eastAsia"/>
          <w:color w:val="auto"/>
          <w:lang w:eastAsia="zh-CN"/>
        </w:rPr>
        <w:t>常见气象条件，异辛烷</w:t>
      </w:r>
      <w:r>
        <w:rPr>
          <w:rFonts w:hint="eastAsia"/>
          <w:color w:val="auto"/>
        </w:rPr>
        <w:t>最大影响区域图</w:t>
      </w:r>
    </w:p>
    <w:p w14:paraId="3CD5EDAC">
      <w:pPr>
        <w:pStyle w:val="201"/>
        <w:rPr>
          <w:color w:val="auto"/>
        </w:rPr>
      </w:pPr>
      <w:r>
        <w:rPr>
          <w:color w:val="auto"/>
        </w:rPr>
        <w:drawing>
          <wp:inline distT="0" distB="0" distL="114300" distR="114300">
            <wp:extent cx="4646295" cy="2172970"/>
            <wp:effectExtent l="0" t="0" r="1905" b="17780"/>
            <wp:docPr id="4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0"/>
                    <pic:cNvPicPr>
                      <a:picLocks noChangeAspect="1"/>
                    </pic:cNvPicPr>
                  </pic:nvPicPr>
                  <pic:blipFill>
                    <a:blip r:embed="rId85"/>
                    <a:stretch>
                      <a:fillRect/>
                    </a:stretch>
                  </pic:blipFill>
                  <pic:spPr>
                    <a:xfrm>
                      <a:off x="0" y="0"/>
                      <a:ext cx="4646295" cy="2172970"/>
                    </a:xfrm>
                    <a:prstGeom prst="rect">
                      <a:avLst/>
                    </a:prstGeom>
                    <a:noFill/>
                    <a:ln>
                      <a:noFill/>
                    </a:ln>
                  </pic:spPr>
                </pic:pic>
              </a:graphicData>
            </a:graphic>
          </wp:inline>
        </w:drawing>
      </w:r>
    </w:p>
    <w:p w14:paraId="02F83FA6">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5.5</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8</w:t>
      </w:r>
      <w:r>
        <w:rPr>
          <w:color w:val="auto"/>
        </w:rPr>
        <w:fldChar w:fldCharType="end"/>
      </w:r>
      <w:r>
        <w:rPr>
          <w:rFonts w:hint="eastAsia"/>
          <w:color w:val="auto"/>
          <w:lang w:eastAsia="zh-CN"/>
        </w:rPr>
        <w:t>常见气象条件，石脑油</w:t>
      </w:r>
      <w:r>
        <w:rPr>
          <w:rFonts w:hint="eastAsia"/>
          <w:color w:val="auto"/>
        </w:rPr>
        <w:t>最大影响区域图</w:t>
      </w:r>
    </w:p>
    <w:p w14:paraId="14D1D3E0">
      <w:pPr>
        <w:pStyle w:val="14"/>
        <w:rPr>
          <w:rFonts w:hint="eastAsia"/>
          <w:color w:val="auto"/>
        </w:rPr>
      </w:pPr>
    </w:p>
    <w:p w14:paraId="318FE8D1">
      <w:pPr>
        <w:pStyle w:val="14"/>
        <w:rPr>
          <w:color w:val="auto"/>
        </w:rPr>
      </w:pPr>
      <w:r>
        <w:rPr>
          <w:rFonts w:hint="eastAsia"/>
          <w:color w:val="auto"/>
        </w:rPr>
        <w:t>表</w:t>
      </w:r>
      <w:r>
        <w:rPr>
          <w:color w:val="auto"/>
        </w:rPr>
        <w:t>5.5</w:t>
      </w:r>
      <w:r>
        <w:rPr>
          <w:color w:val="auto"/>
        </w:rPr>
        <w:noBreakHyphen/>
      </w:r>
      <w:r>
        <w:rPr>
          <w:color w:val="auto"/>
        </w:rPr>
        <w:t>5</w:t>
      </w:r>
      <w:r>
        <w:rPr>
          <w:rFonts w:hint="eastAsia"/>
          <w:color w:val="auto"/>
        </w:rPr>
        <w:t>事故源项及事故后果基本信息表</w:t>
      </w:r>
    </w:p>
    <w:tbl>
      <w:tblPr>
        <w:tblStyle w:val="43"/>
        <w:tblW w:w="92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1384"/>
        <w:gridCol w:w="1302"/>
        <w:gridCol w:w="2126"/>
        <w:gridCol w:w="993"/>
        <w:gridCol w:w="1417"/>
        <w:gridCol w:w="1987"/>
      </w:tblGrid>
      <w:tr w14:paraId="48671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209" w:type="dxa"/>
            <w:gridSpan w:val="6"/>
            <w:vAlign w:val="center"/>
          </w:tcPr>
          <w:p w14:paraId="78E370B1">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风险事故情形分析</w:t>
            </w:r>
          </w:p>
        </w:tc>
      </w:tr>
      <w:tr w14:paraId="6E9D9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Align w:val="center"/>
          </w:tcPr>
          <w:p w14:paraId="36D73053">
            <w:pPr>
              <w:pStyle w:val="91"/>
              <w:keepNext w:val="0"/>
              <w:keepLines w:val="0"/>
              <w:suppressLineNumbers w:val="0"/>
              <w:spacing w:before="0" w:beforeAutospacing="0" w:after="0" w:afterAutospacing="0"/>
              <w:ind w:left="0" w:right="0"/>
              <w:rPr>
                <w:rFonts w:hint="default"/>
                <w:color w:val="auto"/>
              </w:rPr>
            </w:pPr>
            <w:r>
              <w:rPr>
                <w:rFonts w:hint="default"/>
                <w:color w:val="auto"/>
              </w:rPr>
              <w:t>代表性风险事故情形描述</w:t>
            </w:r>
          </w:p>
        </w:tc>
        <w:tc>
          <w:tcPr>
            <w:tcW w:w="7825" w:type="dxa"/>
            <w:gridSpan w:val="5"/>
          </w:tcPr>
          <w:p w14:paraId="7865A5FB">
            <w:pPr>
              <w:pStyle w:val="91"/>
              <w:keepNext w:val="0"/>
              <w:keepLines w:val="0"/>
              <w:suppressLineNumbers w:val="0"/>
              <w:spacing w:before="0" w:beforeAutospacing="0" w:after="0" w:afterAutospacing="0"/>
              <w:ind w:left="0" w:right="0"/>
              <w:rPr>
                <w:rFonts w:hint="default"/>
                <w:color w:val="auto"/>
              </w:rPr>
            </w:pPr>
            <w:r>
              <w:rPr>
                <w:rFonts w:hint="eastAsia"/>
                <w:color w:val="auto"/>
              </w:rPr>
              <w:t>甲基叔丁基醚（MTBE）、异辛烷（烷基化油）、石脑油储罐</w:t>
            </w:r>
            <w:r>
              <w:rPr>
                <w:rFonts w:hint="default"/>
                <w:color w:val="auto"/>
              </w:rPr>
              <w:t>泄漏及引发的火灾，对周边大气环境及人群的影响</w:t>
            </w:r>
          </w:p>
        </w:tc>
      </w:tr>
      <w:tr w14:paraId="6C7F0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Align w:val="center"/>
          </w:tcPr>
          <w:p w14:paraId="2F15AA93">
            <w:pPr>
              <w:pStyle w:val="91"/>
              <w:keepNext w:val="0"/>
              <w:keepLines w:val="0"/>
              <w:suppressLineNumbers w:val="0"/>
              <w:spacing w:before="0" w:beforeAutospacing="0" w:after="0" w:afterAutospacing="0"/>
              <w:ind w:left="0" w:right="0"/>
              <w:rPr>
                <w:rFonts w:hint="default"/>
                <w:color w:val="auto"/>
              </w:rPr>
            </w:pPr>
            <w:r>
              <w:rPr>
                <w:rFonts w:hint="default"/>
                <w:color w:val="auto"/>
              </w:rPr>
              <w:t>环境风险类型</w:t>
            </w:r>
          </w:p>
        </w:tc>
        <w:tc>
          <w:tcPr>
            <w:tcW w:w="7825" w:type="dxa"/>
            <w:gridSpan w:val="5"/>
          </w:tcPr>
          <w:p w14:paraId="6D3D875E">
            <w:pPr>
              <w:pStyle w:val="91"/>
              <w:keepNext w:val="0"/>
              <w:keepLines w:val="0"/>
              <w:suppressLineNumbers w:val="0"/>
              <w:spacing w:before="0" w:beforeAutospacing="0" w:after="0" w:afterAutospacing="0"/>
              <w:ind w:left="0" w:right="0"/>
              <w:rPr>
                <w:rFonts w:hint="default"/>
                <w:color w:val="auto"/>
              </w:rPr>
            </w:pPr>
            <w:r>
              <w:rPr>
                <w:rFonts w:hint="default"/>
                <w:color w:val="auto"/>
              </w:rPr>
              <w:t>大气环境</w:t>
            </w:r>
          </w:p>
        </w:tc>
      </w:tr>
      <w:tr w14:paraId="3DAA9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Align w:val="center"/>
          </w:tcPr>
          <w:p w14:paraId="5FAE9F60">
            <w:pPr>
              <w:pStyle w:val="91"/>
              <w:keepNext w:val="0"/>
              <w:keepLines w:val="0"/>
              <w:suppressLineNumbers w:val="0"/>
              <w:spacing w:before="0" w:beforeAutospacing="0" w:after="0" w:afterAutospacing="0"/>
              <w:ind w:left="0" w:right="0"/>
              <w:rPr>
                <w:rFonts w:hint="default"/>
                <w:color w:val="auto"/>
              </w:rPr>
            </w:pPr>
            <w:r>
              <w:rPr>
                <w:rFonts w:hint="default"/>
                <w:color w:val="auto"/>
              </w:rPr>
              <w:t>泄漏设备类型</w:t>
            </w:r>
          </w:p>
        </w:tc>
        <w:tc>
          <w:tcPr>
            <w:tcW w:w="1302" w:type="dxa"/>
            <w:vAlign w:val="center"/>
          </w:tcPr>
          <w:p w14:paraId="49251033">
            <w:pPr>
              <w:pStyle w:val="91"/>
              <w:keepNext w:val="0"/>
              <w:keepLines w:val="0"/>
              <w:suppressLineNumbers w:val="0"/>
              <w:spacing w:before="0" w:beforeAutospacing="0" w:after="0" w:afterAutospacing="0"/>
              <w:ind w:left="0" w:right="0"/>
              <w:rPr>
                <w:rFonts w:hint="default"/>
                <w:color w:val="auto"/>
              </w:rPr>
            </w:pPr>
            <w:r>
              <w:rPr>
                <w:rFonts w:hint="default"/>
                <w:color w:val="auto"/>
              </w:rPr>
              <w:t>储罐、生产管线、不完全燃烧产生的烟气</w:t>
            </w:r>
          </w:p>
        </w:tc>
        <w:tc>
          <w:tcPr>
            <w:tcW w:w="2126" w:type="dxa"/>
            <w:vAlign w:val="center"/>
          </w:tcPr>
          <w:p w14:paraId="2DEB44B4">
            <w:pPr>
              <w:pStyle w:val="91"/>
              <w:keepNext w:val="0"/>
              <w:keepLines w:val="0"/>
              <w:suppressLineNumbers w:val="0"/>
              <w:spacing w:before="0" w:beforeAutospacing="0" w:after="0" w:afterAutospacing="0"/>
              <w:ind w:left="0" w:right="0"/>
              <w:rPr>
                <w:rFonts w:hint="default"/>
                <w:color w:val="auto"/>
              </w:rPr>
            </w:pPr>
            <w:r>
              <w:rPr>
                <w:rFonts w:hint="default"/>
                <w:color w:val="auto"/>
              </w:rPr>
              <w:t>操作（烟气）温度/</w:t>
            </w:r>
            <w:r>
              <w:rPr>
                <w:rFonts w:hint="eastAsia"/>
                <w:color w:val="auto"/>
              </w:rPr>
              <w:t>℃</w:t>
            </w:r>
          </w:p>
        </w:tc>
        <w:tc>
          <w:tcPr>
            <w:tcW w:w="993" w:type="dxa"/>
            <w:vAlign w:val="center"/>
          </w:tcPr>
          <w:p w14:paraId="35B76E81">
            <w:pPr>
              <w:pStyle w:val="91"/>
              <w:keepNext w:val="0"/>
              <w:keepLines w:val="0"/>
              <w:suppressLineNumbers w:val="0"/>
              <w:spacing w:before="0" w:beforeAutospacing="0" w:after="0" w:afterAutospacing="0"/>
              <w:ind w:left="0" w:right="0"/>
              <w:rPr>
                <w:rFonts w:hint="default"/>
                <w:color w:val="auto"/>
              </w:rPr>
            </w:pPr>
            <w:r>
              <w:rPr>
                <w:rFonts w:hint="default"/>
                <w:color w:val="auto"/>
              </w:rPr>
              <w:t>25</w:t>
            </w:r>
          </w:p>
        </w:tc>
        <w:tc>
          <w:tcPr>
            <w:tcW w:w="1417" w:type="dxa"/>
            <w:vAlign w:val="center"/>
          </w:tcPr>
          <w:p w14:paraId="59171EC8">
            <w:pPr>
              <w:pStyle w:val="91"/>
              <w:keepNext w:val="0"/>
              <w:keepLines w:val="0"/>
              <w:suppressLineNumbers w:val="0"/>
              <w:spacing w:before="0" w:beforeAutospacing="0" w:after="0" w:afterAutospacing="0"/>
              <w:ind w:left="0" w:right="0"/>
              <w:rPr>
                <w:rFonts w:hint="default"/>
                <w:color w:val="auto"/>
              </w:rPr>
            </w:pPr>
            <w:r>
              <w:rPr>
                <w:rFonts w:hint="default"/>
                <w:color w:val="auto"/>
              </w:rPr>
              <w:t>操作压力/MPa</w:t>
            </w:r>
          </w:p>
        </w:tc>
        <w:tc>
          <w:tcPr>
            <w:tcW w:w="1987" w:type="dxa"/>
          </w:tcPr>
          <w:p w14:paraId="6704C947">
            <w:pPr>
              <w:pStyle w:val="91"/>
              <w:keepNext w:val="0"/>
              <w:keepLines w:val="0"/>
              <w:suppressLineNumbers w:val="0"/>
              <w:spacing w:before="0" w:beforeAutospacing="0" w:after="0" w:afterAutospacing="0"/>
              <w:ind w:left="0" w:right="0"/>
              <w:rPr>
                <w:rFonts w:hint="default"/>
                <w:color w:val="auto"/>
              </w:rPr>
            </w:pPr>
            <w:r>
              <w:rPr>
                <w:rFonts w:hint="default"/>
                <w:color w:val="auto"/>
              </w:rPr>
              <w:t>常压</w:t>
            </w:r>
          </w:p>
        </w:tc>
      </w:tr>
      <w:tr w14:paraId="0D6A5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Align w:val="center"/>
          </w:tcPr>
          <w:p w14:paraId="541CD319">
            <w:pPr>
              <w:pStyle w:val="91"/>
              <w:keepNext w:val="0"/>
              <w:keepLines w:val="0"/>
              <w:suppressLineNumbers w:val="0"/>
              <w:spacing w:before="0" w:beforeAutospacing="0" w:after="0" w:afterAutospacing="0"/>
              <w:ind w:left="0" w:right="0"/>
              <w:rPr>
                <w:rFonts w:hint="default"/>
                <w:color w:val="auto"/>
              </w:rPr>
            </w:pPr>
            <w:r>
              <w:rPr>
                <w:rFonts w:hint="default"/>
                <w:color w:val="auto"/>
              </w:rPr>
              <w:t>泄漏物质</w:t>
            </w:r>
          </w:p>
        </w:tc>
        <w:tc>
          <w:tcPr>
            <w:tcW w:w="1302" w:type="dxa"/>
            <w:vAlign w:val="center"/>
          </w:tcPr>
          <w:p w14:paraId="70DB3B7F">
            <w:pPr>
              <w:pStyle w:val="91"/>
              <w:keepNext w:val="0"/>
              <w:keepLines w:val="0"/>
              <w:suppressLineNumbers w:val="0"/>
              <w:spacing w:before="0" w:beforeAutospacing="0" w:after="0" w:afterAutospacing="0"/>
              <w:ind w:left="0" w:right="0"/>
              <w:rPr>
                <w:rFonts w:hint="default"/>
                <w:color w:val="auto"/>
              </w:rPr>
            </w:pPr>
            <w:r>
              <w:rPr>
                <w:rFonts w:hint="eastAsia"/>
                <w:color w:val="auto"/>
              </w:rPr>
              <w:t>甲基叔丁基醚（MTBE）</w:t>
            </w:r>
          </w:p>
        </w:tc>
        <w:tc>
          <w:tcPr>
            <w:tcW w:w="2126" w:type="dxa"/>
            <w:vAlign w:val="center"/>
          </w:tcPr>
          <w:p w14:paraId="25867A0A">
            <w:pPr>
              <w:pStyle w:val="91"/>
              <w:keepNext w:val="0"/>
              <w:keepLines w:val="0"/>
              <w:suppressLineNumbers w:val="0"/>
              <w:spacing w:before="0" w:beforeAutospacing="0" w:after="0" w:afterAutospacing="0"/>
              <w:ind w:left="0" w:right="0"/>
              <w:rPr>
                <w:rFonts w:hint="default"/>
                <w:color w:val="auto"/>
              </w:rPr>
            </w:pPr>
            <w:r>
              <w:rPr>
                <w:rFonts w:hint="default"/>
                <w:color w:val="auto"/>
              </w:rPr>
              <w:t>最大存在量/kg</w:t>
            </w:r>
          </w:p>
        </w:tc>
        <w:tc>
          <w:tcPr>
            <w:tcW w:w="993" w:type="dxa"/>
            <w:vAlign w:val="center"/>
          </w:tcPr>
          <w:p w14:paraId="330491B3">
            <w:pPr>
              <w:pStyle w:val="91"/>
              <w:keepNext w:val="0"/>
              <w:keepLines w:val="0"/>
              <w:suppressLineNumbers w:val="0"/>
              <w:spacing w:before="0" w:beforeAutospacing="0" w:after="0" w:afterAutospacing="0"/>
              <w:ind w:left="0" w:right="0"/>
              <w:rPr>
                <w:rFonts w:hint="default"/>
                <w:color w:val="auto"/>
              </w:rPr>
            </w:pPr>
            <w:r>
              <w:rPr>
                <w:rFonts w:hint="default"/>
                <w:color w:val="auto"/>
              </w:rPr>
              <w:t>7400000</w:t>
            </w:r>
          </w:p>
        </w:tc>
        <w:tc>
          <w:tcPr>
            <w:tcW w:w="1417" w:type="dxa"/>
            <w:vAlign w:val="center"/>
          </w:tcPr>
          <w:p w14:paraId="51563F1E">
            <w:pPr>
              <w:pStyle w:val="91"/>
              <w:keepNext w:val="0"/>
              <w:keepLines w:val="0"/>
              <w:suppressLineNumbers w:val="0"/>
              <w:spacing w:before="0" w:beforeAutospacing="0" w:after="0" w:afterAutospacing="0"/>
              <w:ind w:left="0" w:right="0"/>
              <w:rPr>
                <w:rFonts w:hint="default"/>
                <w:color w:val="auto"/>
              </w:rPr>
            </w:pPr>
            <w:r>
              <w:rPr>
                <w:rFonts w:hint="default"/>
                <w:color w:val="auto"/>
              </w:rPr>
              <w:t>泄漏孔径/mm</w:t>
            </w:r>
          </w:p>
        </w:tc>
        <w:tc>
          <w:tcPr>
            <w:tcW w:w="1987" w:type="dxa"/>
          </w:tcPr>
          <w:p w14:paraId="74C0397D">
            <w:pPr>
              <w:pStyle w:val="91"/>
              <w:keepNext w:val="0"/>
              <w:keepLines w:val="0"/>
              <w:suppressLineNumbers w:val="0"/>
              <w:spacing w:before="0" w:beforeAutospacing="0" w:after="0" w:afterAutospacing="0"/>
              <w:ind w:left="0" w:right="0"/>
              <w:rPr>
                <w:rFonts w:hint="default"/>
                <w:color w:val="auto"/>
              </w:rPr>
            </w:pPr>
            <w:r>
              <w:rPr>
                <w:rFonts w:hint="default"/>
                <w:color w:val="auto"/>
              </w:rPr>
              <w:t>10</w:t>
            </w:r>
          </w:p>
        </w:tc>
      </w:tr>
      <w:tr w14:paraId="189AD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Align w:val="center"/>
          </w:tcPr>
          <w:p w14:paraId="43A0948C">
            <w:pPr>
              <w:pStyle w:val="91"/>
              <w:keepNext w:val="0"/>
              <w:keepLines w:val="0"/>
              <w:suppressLineNumbers w:val="0"/>
              <w:spacing w:before="0" w:beforeAutospacing="0" w:after="0" w:afterAutospacing="0"/>
              <w:ind w:left="0" w:right="0"/>
              <w:rPr>
                <w:rFonts w:hint="default"/>
                <w:color w:val="auto"/>
              </w:rPr>
            </w:pPr>
            <w:r>
              <w:rPr>
                <w:rFonts w:hint="default"/>
                <w:color w:val="auto"/>
              </w:rPr>
              <w:t>泄漏速率/kg/s</w:t>
            </w:r>
          </w:p>
        </w:tc>
        <w:tc>
          <w:tcPr>
            <w:tcW w:w="1302" w:type="dxa"/>
            <w:vAlign w:val="center"/>
          </w:tcPr>
          <w:p w14:paraId="026FA836">
            <w:pPr>
              <w:pStyle w:val="91"/>
              <w:keepNext w:val="0"/>
              <w:keepLines w:val="0"/>
              <w:suppressLineNumbers w:val="0"/>
              <w:spacing w:before="0" w:beforeAutospacing="0" w:after="0" w:afterAutospacing="0"/>
              <w:ind w:left="0" w:right="0"/>
              <w:rPr>
                <w:rFonts w:hint="default"/>
                <w:color w:val="auto"/>
              </w:rPr>
            </w:pPr>
            <w:r>
              <w:rPr>
                <w:rFonts w:hint="default"/>
                <w:color w:val="auto"/>
              </w:rPr>
              <w:t>0.48</w:t>
            </w:r>
          </w:p>
        </w:tc>
        <w:tc>
          <w:tcPr>
            <w:tcW w:w="2126" w:type="dxa"/>
            <w:vAlign w:val="center"/>
          </w:tcPr>
          <w:p w14:paraId="1094E1EF">
            <w:pPr>
              <w:pStyle w:val="91"/>
              <w:keepNext w:val="0"/>
              <w:keepLines w:val="0"/>
              <w:suppressLineNumbers w:val="0"/>
              <w:spacing w:before="0" w:beforeAutospacing="0" w:after="0" w:afterAutospacing="0"/>
              <w:ind w:left="0" w:right="0"/>
              <w:rPr>
                <w:rFonts w:hint="default"/>
                <w:color w:val="auto"/>
              </w:rPr>
            </w:pPr>
            <w:r>
              <w:rPr>
                <w:rFonts w:hint="default"/>
                <w:color w:val="auto"/>
              </w:rPr>
              <w:t>泄漏时间/min</w:t>
            </w:r>
          </w:p>
        </w:tc>
        <w:tc>
          <w:tcPr>
            <w:tcW w:w="993" w:type="dxa"/>
            <w:vAlign w:val="center"/>
          </w:tcPr>
          <w:p w14:paraId="3AAC37C9">
            <w:pPr>
              <w:pStyle w:val="91"/>
              <w:keepNext w:val="0"/>
              <w:keepLines w:val="0"/>
              <w:suppressLineNumbers w:val="0"/>
              <w:spacing w:before="0" w:beforeAutospacing="0" w:after="0" w:afterAutospacing="0"/>
              <w:ind w:left="0" w:right="0"/>
              <w:rPr>
                <w:rFonts w:hint="default"/>
                <w:color w:val="auto"/>
              </w:rPr>
            </w:pPr>
            <w:r>
              <w:rPr>
                <w:rFonts w:hint="default"/>
                <w:color w:val="auto"/>
              </w:rPr>
              <w:t>10</w:t>
            </w:r>
          </w:p>
        </w:tc>
        <w:tc>
          <w:tcPr>
            <w:tcW w:w="1417" w:type="dxa"/>
            <w:vAlign w:val="center"/>
          </w:tcPr>
          <w:p w14:paraId="7BE50012">
            <w:pPr>
              <w:pStyle w:val="91"/>
              <w:keepNext w:val="0"/>
              <w:keepLines w:val="0"/>
              <w:suppressLineNumbers w:val="0"/>
              <w:spacing w:before="0" w:beforeAutospacing="0" w:after="0" w:afterAutospacing="0"/>
              <w:ind w:left="0" w:right="0"/>
              <w:rPr>
                <w:rFonts w:hint="default"/>
                <w:color w:val="auto"/>
              </w:rPr>
            </w:pPr>
            <w:r>
              <w:rPr>
                <w:rFonts w:hint="default"/>
                <w:color w:val="auto"/>
              </w:rPr>
              <w:t>泄漏量/kg</w:t>
            </w:r>
          </w:p>
        </w:tc>
        <w:tc>
          <w:tcPr>
            <w:tcW w:w="1987" w:type="dxa"/>
          </w:tcPr>
          <w:p w14:paraId="1B409B84">
            <w:pPr>
              <w:pStyle w:val="91"/>
              <w:keepNext w:val="0"/>
              <w:keepLines w:val="0"/>
              <w:suppressLineNumbers w:val="0"/>
              <w:spacing w:before="0" w:beforeAutospacing="0" w:after="0" w:afterAutospacing="0"/>
              <w:ind w:left="0" w:right="0"/>
              <w:rPr>
                <w:rFonts w:hint="default"/>
                <w:color w:val="auto"/>
              </w:rPr>
            </w:pPr>
            <w:r>
              <w:rPr>
                <w:rFonts w:hint="default"/>
                <w:color w:val="auto"/>
              </w:rPr>
              <w:t>290.84</w:t>
            </w:r>
          </w:p>
        </w:tc>
      </w:tr>
      <w:tr w14:paraId="07714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Align w:val="center"/>
          </w:tcPr>
          <w:p w14:paraId="0817CFD3">
            <w:pPr>
              <w:pStyle w:val="91"/>
              <w:keepNext w:val="0"/>
              <w:keepLines w:val="0"/>
              <w:suppressLineNumbers w:val="0"/>
              <w:spacing w:before="0" w:beforeAutospacing="0" w:after="0" w:afterAutospacing="0"/>
              <w:ind w:left="0" w:right="0"/>
              <w:rPr>
                <w:rFonts w:hint="default"/>
                <w:color w:val="auto"/>
              </w:rPr>
            </w:pPr>
            <w:r>
              <w:rPr>
                <w:rFonts w:hint="default"/>
                <w:color w:val="auto"/>
              </w:rPr>
              <w:t>泄漏高度/m</w:t>
            </w:r>
          </w:p>
        </w:tc>
        <w:tc>
          <w:tcPr>
            <w:tcW w:w="1302" w:type="dxa"/>
            <w:vAlign w:val="center"/>
          </w:tcPr>
          <w:p w14:paraId="148C7459">
            <w:pPr>
              <w:pStyle w:val="91"/>
              <w:keepNext w:val="0"/>
              <w:keepLines w:val="0"/>
              <w:suppressLineNumbers w:val="0"/>
              <w:spacing w:before="0" w:beforeAutospacing="0" w:after="0" w:afterAutospacing="0"/>
              <w:ind w:left="0" w:right="0"/>
              <w:rPr>
                <w:rFonts w:hint="default"/>
                <w:color w:val="auto"/>
              </w:rPr>
            </w:pPr>
            <w:r>
              <w:rPr>
                <w:rFonts w:hint="default"/>
                <w:color w:val="auto"/>
              </w:rPr>
              <w:t>8.4</w:t>
            </w:r>
          </w:p>
        </w:tc>
        <w:tc>
          <w:tcPr>
            <w:tcW w:w="2126" w:type="dxa"/>
            <w:vAlign w:val="center"/>
          </w:tcPr>
          <w:p w14:paraId="6B5831A0">
            <w:pPr>
              <w:pStyle w:val="91"/>
              <w:keepNext w:val="0"/>
              <w:keepLines w:val="0"/>
              <w:suppressLineNumbers w:val="0"/>
              <w:spacing w:before="0" w:beforeAutospacing="0" w:after="0" w:afterAutospacing="0"/>
              <w:ind w:left="0" w:right="0"/>
              <w:rPr>
                <w:rFonts w:hint="default"/>
                <w:color w:val="auto"/>
              </w:rPr>
            </w:pPr>
            <w:r>
              <w:rPr>
                <w:rFonts w:hint="default"/>
                <w:color w:val="auto"/>
              </w:rPr>
              <w:t>泄漏液体蒸发量/kg</w:t>
            </w:r>
          </w:p>
        </w:tc>
        <w:tc>
          <w:tcPr>
            <w:tcW w:w="993" w:type="dxa"/>
            <w:vAlign w:val="center"/>
          </w:tcPr>
          <w:p w14:paraId="3174C947">
            <w:pPr>
              <w:pStyle w:val="91"/>
              <w:keepNext w:val="0"/>
              <w:keepLines w:val="0"/>
              <w:suppressLineNumbers w:val="0"/>
              <w:spacing w:before="0" w:beforeAutospacing="0" w:after="0" w:afterAutospacing="0"/>
              <w:ind w:left="0" w:right="0"/>
              <w:rPr>
                <w:rFonts w:hint="default"/>
                <w:color w:val="auto"/>
              </w:rPr>
            </w:pPr>
            <w:r>
              <w:rPr>
                <w:rFonts w:hint="default"/>
                <w:color w:val="auto"/>
              </w:rPr>
              <w:t>83.41</w:t>
            </w:r>
          </w:p>
        </w:tc>
        <w:tc>
          <w:tcPr>
            <w:tcW w:w="1417" w:type="dxa"/>
            <w:vAlign w:val="center"/>
          </w:tcPr>
          <w:p w14:paraId="685A6FE6">
            <w:pPr>
              <w:pStyle w:val="91"/>
              <w:keepNext w:val="0"/>
              <w:keepLines w:val="0"/>
              <w:suppressLineNumbers w:val="0"/>
              <w:spacing w:before="0" w:beforeAutospacing="0" w:after="0" w:afterAutospacing="0"/>
              <w:ind w:left="0" w:right="0"/>
              <w:rPr>
                <w:rFonts w:hint="default"/>
                <w:color w:val="auto"/>
              </w:rPr>
            </w:pPr>
            <w:r>
              <w:rPr>
                <w:rFonts w:hint="default"/>
                <w:color w:val="auto"/>
              </w:rPr>
              <w:t>泄漏频率</w:t>
            </w:r>
          </w:p>
        </w:tc>
        <w:tc>
          <w:tcPr>
            <w:tcW w:w="1987" w:type="dxa"/>
          </w:tcPr>
          <w:p w14:paraId="7083B2DA">
            <w:pPr>
              <w:pStyle w:val="91"/>
              <w:keepNext w:val="0"/>
              <w:keepLines w:val="0"/>
              <w:suppressLineNumbers w:val="0"/>
              <w:spacing w:before="0" w:beforeAutospacing="0" w:after="0" w:afterAutospacing="0"/>
              <w:ind w:left="0" w:right="0"/>
              <w:rPr>
                <w:rFonts w:hint="default"/>
                <w:color w:val="auto"/>
              </w:rPr>
            </w:pPr>
            <w:r>
              <w:rPr>
                <w:rFonts w:hint="default"/>
                <w:color w:val="auto"/>
              </w:rPr>
              <w:t>1.00×10</w:t>
            </w:r>
            <w:r>
              <w:rPr>
                <w:rFonts w:hint="default"/>
                <w:color w:val="auto"/>
                <w:position w:val="7"/>
              </w:rPr>
              <w:t>-4</w:t>
            </w:r>
            <w:r>
              <w:rPr>
                <w:rFonts w:hint="default"/>
                <w:color w:val="auto"/>
              </w:rPr>
              <w:t>/a</w:t>
            </w:r>
          </w:p>
        </w:tc>
      </w:tr>
      <w:tr w14:paraId="7EC55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Align w:val="center"/>
          </w:tcPr>
          <w:p w14:paraId="21000626">
            <w:pPr>
              <w:pStyle w:val="91"/>
              <w:keepNext w:val="0"/>
              <w:keepLines w:val="0"/>
              <w:suppressLineNumbers w:val="0"/>
              <w:spacing w:before="0" w:beforeAutospacing="0" w:after="0" w:afterAutospacing="0"/>
              <w:ind w:left="0" w:right="0"/>
              <w:rPr>
                <w:rFonts w:hint="default"/>
                <w:color w:val="auto"/>
              </w:rPr>
            </w:pPr>
            <w:r>
              <w:rPr>
                <w:rFonts w:hint="default"/>
                <w:color w:val="auto"/>
              </w:rPr>
              <w:t>泄漏物质</w:t>
            </w:r>
          </w:p>
        </w:tc>
        <w:tc>
          <w:tcPr>
            <w:tcW w:w="1302" w:type="dxa"/>
            <w:vAlign w:val="center"/>
          </w:tcPr>
          <w:p w14:paraId="18F8B095">
            <w:pPr>
              <w:pStyle w:val="91"/>
              <w:keepNext w:val="0"/>
              <w:keepLines w:val="0"/>
              <w:suppressLineNumbers w:val="0"/>
              <w:spacing w:before="0" w:beforeAutospacing="0" w:after="0" w:afterAutospacing="0"/>
              <w:ind w:left="0" w:right="0"/>
              <w:rPr>
                <w:rFonts w:hint="default"/>
                <w:color w:val="auto"/>
              </w:rPr>
            </w:pPr>
            <w:r>
              <w:rPr>
                <w:rFonts w:hint="eastAsia"/>
                <w:color w:val="auto"/>
              </w:rPr>
              <w:t>异辛烷（烷基化油）</w:t>
            </w:r>
          </w:p>
        </w:tc>
        <w:tc>
          <w:tcPr>
            <w:tcW w:w="2126" w:type="dxa"/>
            <w:vAlign w:val="center"/>
          </w:tcPr>
          <w:p w14:paraId="179AF044">
            <w:pPr>
              <w:pStyle w:val="91"/>
              <w:keepNext w:val="0"/>
              <w:keepLines w:val="0"/>
              <w:suppressLineNumbers w:val="0"/>
              <w:spacing w:before="0" w:beforeAutospacing="0" w:after="0" w:afterAutospacing="0"/>
              <w:ind w:left="0" w:right="0"/>
              <w:rPr>
                <w:rFonts w:hint="default"/>
                <w:color w:val="auto"/>
              </w:rPr>
            </w:pPr>
            <w:r>
              <w:rPr>
                <w:rFonts w:hint="default"/>
                <w:color w:val="auto"/>
              </w:rPr>
              <w:t>最大存在量/kg</w:t>
            </w:r>
          </w:p>
        </w:tc>
        <w:tc>
          <w:tcPr>
            <w:tcW w:w="993" w:type="dxa"/>
            <w:vAlign w:val="center"/>
          </w:tcPr>
          <w:p w14:paraId="2E0013A8">
            <w:pPr>
              <w:pStyle w:val="91"/>
              <w:keepNext w:val="0"/>
              <w:keepLines w:val="0"/>
              <w:suppressLineNumbers w:val="0"/>
              <w:spacing w:before="0" w:beforeAutospacing="0" w:after="0" w:afterAutospacing="0"/>
              <w:ind w:left="0" w:right="0"/>
              <w:rPr>
                <w:rFonts w:hint="default"/>
                <w:color w:val="auto"/>
              </w:rPr>
            </w:pPr>
            <w:r>
              <w:rPr>
                <w:rFonts w:hint="default"/>
                <w:color w:val="auto"/>
              </w:rPr>
              <w:t>6900000</w:t>
            </w:r>
          </w:p>
        </w:tc>
        <w:tc>
          <w:tcPr>
            <w:tcW w:w="1417" w:type="dxa"/>
            <w:vAlign w:val="center"/>
          </w:tcPr>
          <w:p w14:paraId="53FEDB4A">
            <w:pPr>
              <w:pStyle w:val="91"/>
              <w:keepNext w:val="0"/>
              <w:keepLines w:val="0"/>
              <w:suppressLineNumbers w:val="0"/>
              <w:spacing w:before="0" w:beforeAutospacing="0" w:after="0" w:afterAutospacing="0"/>
              <w:ind w:left="0" w:right="0"/>
              <w:rPr>
                <w:rFonts w:hint="default"/>
                <w:color w:val="auto"/>
              </w:rPr>
            </w:pPr>
            <w:r>
              <w:rPr>
                <w:rFonts w:hint="default"/>
                <w:color w:val="auto"/>
              </w:rPr>
              <w:t>泄漏孔径/mm</w:t>
            </w:r>
          </w:p>
        </w:tc>
        <w:tc>
          <w:tcPr>
            <w:tcW w:w="1987" w:type="dxa"/>
          </w:tcPr>
          <w:p w14:paraId="732F75C1">
            <w:pPr>
              <w:pStyle w:val="91"/>
              <w:keepNext w:val="0"/>
              <w:keepLines w:val="0"/>
              <w:suppressLineNumbers w:val="0"/>
              <w:spacing w:before="0" w:beforeAutospacing="0" w:after="0" w:afterAutospacing="0"/>
              <w:ind w:left="0" w:right="0"/>
              <w:rPr>
                <w:rFonts w:hint="default"/>
                <w:color w:val="auto"/>
              </w:rPr>
            </w:pPr>
            <w:r>
              <w:rPr>
                <w:rFonts w:hint="default"/>
                <w:color w:val="auto"/>
              </w:rPr>
              <w:t>10</w:t>
            </w:r>
          </w:p>
        </w:tc>
      </w:tr>
      <w:tr w14:paraId="546D4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Align w:val="center"/>
          </w:tcPr>
          <w:p w14:paraId="74DD66BE">
            <w:pPr>
              <w:pStyle w:val="91"/>
              <w:keepNext w:val="0"/>
              <w:keepLines w:val="0"/>
              <w:suppressLineNumbers w:val="0"/>
              <w:spacing w:before="0" w:beforeAutospacing="0" w:after="0" w:afterAutospacing="0"/>
              <w:ind w:left="0" w:right="0"/>
              <w:rPr>
                <w:rFonts w:hint="default"/>
                <w:color w:val="auto"/>
              </w:rPr>
            </w:pPr>
            <w:r>
              <w:rPr>
                <w:rFonts w:hint="default"/>
                <w:color w:val="auto"/>
              </w:rPr>
              <w:t>泄漏速率/kg/s</w:t>
            </w:r>
          </w:p>
        </w:tc>
        <w:tc>
          <w:tcPr>
            <w:tcW w:w="1302" w:type="dxa"/>
            <w:vAlign w:val="center"/>
          </w:tcPr>
          <w:p w14:paraId="6CBB7730">
            <w:pPr>
              <w:pStyle w:val="91"/>
              <w:keepNext w:val="0"/>
              <w:keepLines w:val="0"/>
              <w:suppressLineNumbers w:val="0"/>
              <w:spacing w:before="0" w:beforeAutospacing="0" w:after="0" w:afterAutospacing="0"/>
              <w:ind w:left="0" w:right="0"/>
              <w:rPr>
                <w:rFonts w:hint="default"/>
                <w:color w:val="auto"/>
              </w:rPr>
            </w:pPr>
            <w:r>
              <w:rPr>
                <w:rFonts w:hint="default"/>
                <w:color w:val="auto"/>
              </w:rPr>
              <w:t>0.45</w:t>
            </w:r>
          </w:p>
        </w:tc>
        <w:tc>
          <w:tcPr>
            <w:tcW w:w="2126" w:type="dxa"/>
            <w:vAlign w:val="center"/>
          </w:tcPr>
          <w:p w14:paraId="6ED8697E">
            <w:pPr>
              <w:pStyle w:val="91"/>
              <w:keepNext w:val="0"/>
              <w:keepLines w:val="0"/>
              <w:suppressLineNumbers w:val="0"/>
              <w:spacing w:before="0" w:beforeAutospacing="0" w:after="0" w:afterAutospacing="0"/>
              <w:ind w:left="0" w:right="0"/>
              <w:rPr>
                <w:rFonts w:hint="default"/>
                <w:color w:val="auto"/>
              </w:rPr>
            </w:pPr>
            <w:r>
              <w:rPr>
                <w:rFonts w:hint="default"/>
                <w:color w:val="auto"/>
              </w:rPr>
              <w:t>泄漏时间/min</w:t>
            </w:r>
          </w:p>
        </w:tc>
        <w:tc>
          <w:tcPr>
            <w:tcW w:w="993" w:type="dxa"/>
            <w:vAlign w:val="center"/>
          </w:tcPr>
          <w:p w14:paraId="7F53E6C1">
            <w:pPr>
              <w:pStyle w:val="91"/>
              <w:keepNext w:val="0"/>
              <w:keepLines w:val="0"/>
              <w:suppressLineNumbers w:val="0"/>
              <w:spacing w:before="0" w:beforeAutospacing="0" w:after="0" w:afterAutospacing="0"/>
              <w:ind w:left="0" w:right="0"/>
              <w:rPr>
                <w:rFonts w:hint="default"/>
                <w:color w:val="auto"/>
              </w:rPr>
            </w:pPr>
            <w:r>
              <w:rPr>
                <w:rFonts w:hint="default"/>
                <w:color w:val="auto"/>
              </w:rPr>
              <w:t>10</w:t>
            </w:r>
          </w:p>
        </w:tc>
        <w:tc>
          <w:tcPr>
            <w:tcW w:w="1417" w:type="dxa"/>
            <w:vAlign w:val="center"/>
          </w:tcPr>
          <w:p w14:paraId="50C86E2D">
            <w:pPr>
              <w:pStyle w:val="91"/>
              <w:keepNext w:val="0"/>
              <w:keepLines w:val="0"/>
              <w:suppressLineNumbers w:val="0"/>
              <w:spacing w:before="0" w:beforeAutospacing="0" w:after="0" w:afterAutospacing="0"/>
              <w:ind w:left="0" w:right="0"/>
              <w:rPr>
                <w:rFonts w:hint="default"/>
                <w:color w:val="auto"/>
              </w:rPr>
            </w:pPr>
            <w:r>
              <w:rPr>
                <w:rFonts w:hint="default"/>
                <w:color w:val="auto"/>
              </w:rPr>
              <w:t>泄漏量/kg</w:t>
            </w:r>
          </w:p>
        </w:tc>
        <w:tc>
          <w:tcPr>
            <w:tcW w:w="1987" w:type="dxa"/>
          </w:tcPr>
          <w:p w14:paraId="34379C20">
            <w:pPr>
              <w:pStyle w:val="91"/>
              <w:keepNext w:val="0"/>
              <w:keepLines w:val="0"/>
              <w:suppressLineNumbers w:val="0"/>
              <w:spacing w:before="0" w:beforeAutospacing="0" w:after="0" w:afterAutospacing="0"/>
              <w:ind w:left="0" w:right="0"/>
              <w:rPr>
                <w:rFonts w:hint="default"/>
                <w:color w:val="auto"/>
              </w:rPr>
            </w:pPr>
            <w:r>
              <w:rPr>
                <w:rFonts w:hint="default"/>
                <w:color w:val="auto"/>
              </w:rPr>
              <w:t>271.19</w:t>
            </w:r>
          </w:p>
        </w:tc>
      </w:tr>
      <w:tr w14:paraId="24673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Align w:val="center"/>
          </w:tcPr>
          <w:p w14:paraId="7E659039">
            <w:pPr>
              <w:pStyle w:val="91"/>
              <w:keepNext w:val="0"/>
              <w:keepLines w:val="0"/>
              <w:suppressLineNumbers w:val="0"/>
              <w:spacing w:before="0" w:beforeAutospacing="0" w:after="0" w:afterAutospacing="0"/>
              <w:ind w:left="0" w:right="0"/>
              <w:rPr>
                <w:rFonts w:hint="default"/>
                <w:color w:val="auto"/>
              </w:rPr>
            </w:pPr>
            <w:r>
              <w:rPr>
                <w:rFonts w:hint="default"/>
                <w:color w:val="auto"/>
              </w:rPr>
              <w:t>泄漏高度/m</w:t>
            </w:r>
          </w:p>
        </w:tc>
        <w:tc>
          <w:tcPr>
            <w:tcW w:w="1302" w:type="dxa"/>
            <w:vAlign w:val="center"/>
          </w:tcPr>
          <w:p w14:paraId="195AC841">
            <w:pPr>
              <w:pStyle w:val="91"/>
              <w:keepNext w:val="0"/>
              <w:keepLines w:val="0"/>
              <w:suppressLineNumbers w:val="0"/>
              <w:spacing w:before="0" w:beforeAutospacing="0" w:after="0" w:afterAutospacing="0"/>
              <w:ind w:left="0" w:right="0"/>
              <w:rPr>
                <w:rFonts w:hint="default"/>
                <w:color w:val="auto"/>
              </w:rPr>
            </w:pPr>
            <w:r>
              <w:rPr>
                <w:rFonts w:hint="default"/>
                <w:color w:val="auto"/>
              </w:rPr>
              <w:t>8.4</w:t>
            </w:r>
          </w:p>
        </w:tc>
        <w:tc>
          <w:tcPr>
            <w:tcW w:w="2126" w:type="dxa"/>
            <w:vAlign w:val="center"/>
          </w:tcPr>
          <w:p w14:paraId="4AC12EAB">
            <w:pPr>
              <w:pStyle w:val="91"/>
              <w:keepNext w:val="0"/>
              <w:keepLines w:val="0"/>
              <w:suppressLineNumbers w:val="0"/>
              <w:spacing w:before="0" w:beforeAutospacing="0" w:after="0" w:afterAutospacing="0"/>
              <w:ind w:left="0" w:right="0"/>
              <w:rPr>
                <w:rFonts w:hint="default"/>
                <w:color w:val="auto"/>
              </w:rPr>
            </w:pPr>
            <w:r>
              <w:rPr>
                <w:rFonts w:hint="default"/>
                <w:color w:val="auto"/>
              </w:rPr>
              <w:t>泄漏液体蒸发量/kg</w:t>
            </w:r>
          </w:p>
        </w:tc>
        <w:tc>
          <w:tcPr>
            <w:tcW w:w="993" w:type="dxa"/>
            <w:vAlign w:val="center"/>
          </w:tcPr>
          <w:p w14:paraId="702833C7">
            <w:pPr>
              <w:pStyle w:val="91"/>
              <w:keepNext w:val="0"/>
              <w:keepLines w:val="0"/>
              <w:suppressLineNumbers w:val="0"/>
              <w:spacing w:before="0" w:beforeAutospacing="0" w:after="0" w:afterAutospacing="0"/>
              <w:ind w:left="0" w:right="0"/>
              <w:rPr>
                <w:rFonts w:hint="default"/>
                <w:color w:val="auto"/>
              </w:rPr>
            </w:pPr>
            <w:r>
              <w:rPr>
                <w:rFonts w:hint="default"/>
                <w:color w:val="auto"/>
              </w:rPr>
              <w:t>20.37</w:t>
            </w:r>
          </w:p>
        </w:tc>
        <w:tc>
          <w:tcPr>
            <w:tcW w:w="1417" w:type="dxa"/>
            <w:vAlign w:val="center"/>
          </w:tcPr>
          <w:p w14:paraId="51575B71">
            <w:pPr>
              <w:pStyle w:val="91"/>
              <w:keepNext w:val="0"/>
              <w:keepLines w:val="0"/>
              <w:suppressLineNumbers w:val="0"/>
              <w:spacing w:before="0" w:beforeAutospacing="0" w:after="0" w:afterAutospacing="0"/>
              <w:ind w:left="0" w:right="0"/>
              <w:rPr>
                <w:rFonts w:hint="default"/>
                <w:color w:val="auto"/>
              </w:rPr>
            </w:pPr>
            <w:r>
              <w:rPr>
                <w:rFonts w:hint="default"/>
                <w:color w:val="auto"/>
              </w:rPr>
              <w:t>泄漏频率</w:t>
            </w:r>
          </w:p>
        </w:tc>
        <w:tc>
          <w:tcPr>
            <w:tcW w:w="1987" w:type="dxa"/>
          </w:tcPr>
          <w:p w14:paraId="1F5BEB86">
            <w:pPr>
              <w:pStyle w:val="91"/>
              <w:keepNext w:val="0"/>
              <w:keepLines w:val="0"/>
              <w:suppressLineNumbers w:val="0"/>
              <w:spacing w:before="0" w:beforeAutospacing="0" w:after="0" w:afterAutospacing="0"/>
              <w:ind w:left="0" w:right="0"/>
              <w:rPr>
                <w:rFonts w:hint="default"/>
                <w:color w:val="auto"/>
              </w:rPr>
            </w:pPr>
            <w:r>
              <w:rPr>
                <w:rFonts w:hint="default"/>
                <w:color w:val="auto"/>
              </w:rPr>
              <w:t>1.00×10</w:t>
            </w:r>
            <w:r>
              <w:rPr>
                <w:rFonts w:hint="default"/>
                <w:color w:val="auto"/>
                <w:position w:val="7"/>
              </w:rPr>
              <w:t>-4</w:t>
            </w:r>
            <w:r>
              <w:rPr>
                <w:rFonts w:hint="default"/>
                <w:color w:val="auto"/>
              </w:rPr>
              <w:t>/a</w:t>
            </w:r>
          </w:p>
        </w:tc>
      </w:tr>
      <w:tr w14:paraId="3E4D1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Align w:val="center"/>
          </w:tcPr>
          <w:p w14:paraId="2680C23F">
            <w:pPr>
              <w:pStyle w:val="91"/>
              <w:keepNext w:val="0"/>
              <w:keepLines w:val="0"/>
              <w:suppressLineNumbers w:val="0"/>
              <w:spacing w:before="0" w:beforeAutospacing="0" w:after="0" w:afterAutospacing="0"/>
              <w:ind w:left="0" w:right="0"/>
              <w:rPr>
                <w:rFonts w:hint="default"/>
                <w:color w:val="auto"/>
              </w:rPr>
            </w:pPr>
            <w:r>
              <w:rPr>
                <w:rFonts w:hint="default"/>
                <w:color w:val="auto"/>
              </w:rPr>
              <w:t>泄漏物质</w:t>
            </w:r>
          </w:p>
        </w:tc>
        <w:tc>
          <w:tcPr>
            <w:tcW w:w="1302" w:type="dxa"/>
            <w:vAlign w:val="center"/>
          </w:tcPr>
          <w:p w14:paraId="34A8A82E">
            <w:pPr>
              <w:pStyle w:val="91"/>
              <w:keepNext w:val="0"/>
              <w:keepLines w:val="0"/>
              <w:suppressLineNumbers w:val="0"/>
              <w:spacing w:before="0" w:beforeAutospacing="0" w:after="0" w:afterAutospacing="0"/>
              <w:ind w:left="0" w:right="0"/>
              <w:rPr>
                <w:rFonts w:hint="default"/>
                <w:color w:val="auto"/>
              </w:rPr>
            </w:pPr>
            <w:r>
              <w:rPr>
                <w:rFonts w:hint="eastAsia"/>
                <w:color w:val="auto"/>
              </w:rPr>
              <w:t>石脑油</w:t>
            </w:r>
          </w:p>
        </w:tc>
        <w:tc>
          <w:tcPr>
            <w:tcW w:w="2126" w:type="dxa"/>
            <w:vAlign w:val="center"/>
          </w:tcPr>
          <w:p w14:paraId="4548B684">
            <w:pPr>
              <w:pStyle w:val="91"/>
              <w:keepNext w:val="0"/>
              <w:keepLines w:val="0"/>
              <w:suppressLineNumbers w:val="0"/>
              <w:spacing w:before="0" w:beforeAutospacing="0" w:after="0" w:afterAutospacing="0"/>
              <w:ind w:left="0" w:right="0"/>
              <w:rPr>
                <w:rFonts w:hint="default"/>
                <w:color w:val="auto"/>
              </w:rPr>
            </w:pPr>
            <w:r>
              <w:rPr>
                <w:rFonts w:hint="default"/>
                <w:color w:val="auto"/>
              </w:rPr>
              <w:t>最大存在量/kg</w:t>
            </w:r>
          </w:p>
        </w:tc>
        <w:tc>
          <w:tcPr>
            <w:tcW w:w="993" w:type="dxa"/>
            <w:vAlign w:val="center"/>
          </w:tcPr>
          <w:p w14:paraId="118EBC93">
            <w:pPr>
              <w:pStyle w:val="91"/>
              <w:keepNext w:val="0"/>
              <w:keepLines w:val="0"/>
              <w:suppressLineNumbers w:val="0"/>
              <w:spacing w:before="0" w:beforeAutospacing="0" w:after="0" w:afterAutospacing="0"/>
              <w:ind w:left="0" w:right="0"/>
              <w:rPr>
                <w:rFonts w:hint="default"/>
                <w:color w:val="auto"/>
              </w:rPr>
            </w:pPr>
            <w:r>
              <w:rPr>
                <w:rFonts w:hint="default"/>
                <w:color w:val="auto"/>
              </w:rPr>
              <w:t>37200000</w:t>
            </w:r>
          </w:p>
        </w:tc>
        <w:tc>
          <w:tcPr>
            <w:tcW w:w="1417" w:type="dxa"/>
            <w:vAlign w:val="center"/>
          </w:tcPr>
          <w:p w14:paraId="2BE505FB">
            <w:pPr>
              <w:pStyle w:val="91"/>
              <w:keepNext w:val="0"/>
              <w:keepLines w:val="0"/>
              <w:suppressLineNumbers w:val="0"/>
              <w:spacing w:before="0" w:beforeAutospacing="0" w:after="0" w:afterAutospacing="0"/>
              <w:ind w:left="0" w:right="0"/>
              <w:rPr>
                <w:rFonts w:hint="default"/>
                <w:color w:val="auto"/>
              </w:rPr>
            </w:pPr>
            <w:r>
              <w:rPr>
                <w:rFonts w:hint="default"/>
                <w:color w:val="auto"/>
              </w:rPr>
              <w:t>泄漏孔径/mm</w:t>
            </w:r>
          </w:p>
        </w:tc>
        <w:tc>
          <w:tcPr>
            <w:tcW w:w="1987" w:type="dxa"/>
          </w:tcPr>
          <w:p w14:paraId="0C2338F7">
            <w:pPr>
              <w:pStyle w:val="91"/>
              <w:keepNext w:val="0"/>
              <w:keepLines w:val="0"/>
              <w:suppressLineNumbers w:val="0"/>
              <w:spacing w:before="0" w:beforeAutospacing="0" w:after="0" w:afterAutospacing="0"/>
              <w:ind w:left="0" w:right="0"/>
              <w:rPr>
                <w:rFonts w:hint="default"/>
                <w:color w:val="auto"/>
              </w:rPr>
            </w:pPr>
            <w:r>
              <w:rPr>
                <w:rFonts w:hint="default"/>
                <w:color w:val="auto"/>
              </w:rPr>
              <w:t>10</w:t>
            </w:r>
          </w:p>
        </w:tc>
      </w:tr>
      <w:tr w14:paraId="7825B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Align w:val="center"/>
          </w:tcPr>
          <w:p w14:paraId="2EE56390">
            <w:pPr>
              <w:pStyle w:val="91"/>
              <w:keepNext w:val="0"/>
              <w:keepLines w:val="0"/>
              <w:suppressLineNumbers w:val="0"/>
              <w:spacing w:before="0" w:beforeAutospacing="0" w:after="0" w:afterAutospacing="0"/>
              <w:ind w:left="0" w:right="0"/>
              <w:rPr>
                <w:rFonts w:hint="default"/>
                <w:color w:val="auto"/>
              </w:rPr>
            </w:pPr>
            <w:r>
              <w:rPr>
                <w:rFonts w:hint="default"/>
                <w:color w:val="auto"/>
              </w:rPr>
              <w:t>泄漏速率/kg/s</w:t>
            </w:r>
          </w:p>
        </w:tc>
        <w:tc>
          <w:tcPr>
            <w:tcW w:w="1302" w:type="dxa"/>
            <w:vAlign w:val="center"/>
          </w:tcPr>
          <w:p w14:paraId="31295AF6">
            <w:pPr>
              <w:pStyle w:val="91"/>
              <w:keepNext w:val="0"/>
              <w:keepLines w:val="0"/>
              <w:suppressLineNumbers w:val="0"/>
              <w:spacing w:before="0" w:beforeAutospacing="0" w:after="0" w:afterAutospacing="0"/>
              <w:ind w:left="0" w:right="0"/>
              <w:rPr>
                <w:rFonts w:hint="default"/>
                <w:color w:val="auto"/>
              </w:rPr>
            </w:pPr>
            <w:r>
              <w:rPr>
                <w:rFonts w:hint="default"/>
                <w:color w:val="auto"/>
              </w:rPr>
              <w:t>0.44</w:t>
            </w:r>
          </w:p>
        </w:tc>
        <w:tc>
          <w:tcPr>
            <w:tcW w:w="2126" w:type="dxa"/>
            <w:vAlign w:val="center"/>
          </w:tcPr>
          <w:p w14:paraId="1A936C6E">
            <w:pPr>
              <w:pStyle w:val="91"/>
              <w:keepNext w:val="0"/>
              <w:keepLines w:val="0"/>
              <w:suppressLineNumbers w:val="0"/>
              <w:spacing w:before="0" w:beforeAutospacing="0" w:after="0" w:afterAutospacing="0"/>
              <w:ind w:left="0" w:right="0"/>
              <w:rPr>
                <w:rFonts w:hint="default"/>
                <w:color w:val="auto"/>
              </w:rPr>
            </w:pPr>
            <w:r>
              <w:rPr>
                <w:rFonts w:hint="default"/>
                <w:color w:val="auto"/>
              </w:rPr>
              <w:t>泄漏时间/min</w:t>
            </w:r>
          </w:p>
        </w:tc>
        <w:tc>
          <w:tcPr>
            <w:tcW w:w="993" w:type="dxa"/>
            <w:vAlign w:val="center"/>
          </w:tcPr>
          <w:p w14:paraId="24B3825E">
            <w:pPr>
              <w:pStyle w:val="91"/>
              <w:keepNext w:val="0"/>
              <w:keepLines w:val="0"/>
              <w:suppressLineNumbers w:val="0"/>
              <w:spacing w:before="0" w:beforeAutospacing="0" w:after="0" w:afterAutospacing="0"/>
              <w:ind w:left="0" w:right="0"/>
              <w:rPr>
                <w:rFonts w:hint="default"/>
                <w:color w:val="auto"/>
              </w:rPr>
            </w:pPr>
            <w:r>
              <w:rPr>
                <w:rFonts w:hint="default"/>
                <w:color w:val="auto"/>
              </w:rPr>
              <w:t>10</w:t>
            </w:r>
          </w:p>
        </w:tc>
        <w:tc>
          <w:tcPr>
            <w:tcW w:w="1417" w:type="dxa"/>
            <w:vAlign w:val="center"/>
          </w:tcPr>
          <w:p w14:paraId="159D11CA">
            <w:pPr>
              <w:pStyle w:val="91"/>
              <w:keepNext w:val="0"/>
              <w:keepLines w:val="0"/>
              <w:suppressLineNumbers w:val="0"/>
              <w:spacing w:before="0" w:beforeAutospacing="0" w:after="0" w:afterAutospacing="0"/>
              <w:ind w:left="0" w:right="0"/>
              <w:rPr>
                <w:rFonts w:hint="default"/>
                <w:color w:val="auto"/>
              </w:rPr>
            </w:pPr>
            <w:r>
              <w:rPr>
                <w:rFonts w:hint="default"/>
                <w:color w:val="auto"/>
              </w:rPr>
              <w:t>泄漏量/kg</w:t>
            </w:r>
          </w:p>
        </w:tc>
        <w:tc>
          <w:tcPr>
            <w:tcW w:w="1987" w:type="dxa"/>
          </w:tcPr>
          <w:p w14:paraId="45C02A5B">
            <w:pPr>
              <w:pStyle w:val="91"/>
              <w:keepNext w:val="0"/>
              <w:keepLines w:val="0"/>
              <w:suppressLineNumbers w:val="0"/>
              <w:spacing w:before="0" w:beforeAutospacing="0" w:after="0" w:afterAutospacing="0"/>
              <w:ind w:left="0" w:right="0"/>
              <w:rPr>
                <w:rFonts w:hint="default"/>
                <w:color w:val="auto"/>
              </w:rPr>
            </w:pPr>
            <w:r>
              <w:rPr>
                <w:rFonts w:hint="default"/>
                <w:color w:val="auto"/>
              </w:rPr>
              <w:t>262.15</w:t>
            </w:r>
          </w:p>
        </w:tc>
      </w:tr>
      <w:tr w14:paraId="377C5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Align w:val="center"/>
          </w:tcPr>
          <w:p w14:paraId="594A840C">
            <w:pPr>
              <w:pStyle w:val="91"/>
              <w:keepNext w:val="0"/>
              <w:keepLines w:val="0"/>
              <w:suppressLineNumbers w:val="0"/>
              <w:spacing w:before="0" w:beforeAutospacing="0" w:after="0" w:afterAutospacing="0"/>
              <w:ind w:left="0" w:right="0"/>
              <w:rPr>
                <w:rFonts w:hint="default"/>
                <w:color w:val="auto"/>
              </w:rPr>
            </w:pPr>
            <w:r>
              <w:rPr>
                <w:rFonts w:hint="default"/>
                <w:color w:val="auto"/>
              </w:rPr>
              <w:t>泄漏高度/m</w:t>
            </w:r>
          </w:p>
        </w:tc>
        <w:tc>
          <w:tcPr>
            <w:tcW w:w="1302" w:type="dxa"/>
            <w:vAlign w:val="center"/>
          </w:tcPr>
          <w:p w14:paraId="1AB8A524">
            <w:pPr>
              <w:pStyle w:val="91"/>
              <w:keepNext w:val="0"/>
              <w:keepLines w:val="0"/>
              <w:suppressLineNumbers w:val="0"/>
              <w:spacing w:before="0" w:beforeAutospacing="0" w:after="0" w:afterAutospacing="0"/>
              <w:ind w:left="0" w:right="0"/>
              <w:rPr>
                <w:rFonts w:hint="default"/>
                <w:color w:val="auto"/>
              </w:rPr>
            </w:pPr>
            <w:r>
              <w:rPr>
                <w:rFonts w:hint="default"/>
                <w:color w:val="auto"/>
              </w:rPr>
              <w:t>8.4</w:t>
            </w:r>
          </w:p>
        </w:tc>
        <w:tc>
          <w:tcPr>
            <w:tcW w:w="2126" w:type="dxa"/>
            <w:vAlign w:val="center"/>
          </w:tcPr>
          <w:p w14:paraId="38A41552">
            <w:pPr>
              <w:pStyle w:val="91"/>
              <w:keepNext w:val="0"/>
              <w:keepLines w:val="0"/>
              <w:suppressLineNumbers w:val="0"/>
              <w:spacing w:before="0" w:beforeAutospacing="0" w:after="0" w:afterAutospacing="0"/>
              <w:ind w:left="0" w:right="0"/>
              <w:rPr>
                <w:rFonts w:hint="default"/>
                <w:color w:val="auto"/>
              </w:rPr>
            </w:pPr>
            <w:r>
              <w:rPr>
                <w:rFonts w:hint="default"/>
                <w:color w:val="auto"/>
              </w:rPr>
              <w:t>泄漏液体蒸发量/kg</w:t>
            </w:r>
          </w:p>
        </w:tc>
        <w:tc>
          <w:tcPr>
            <w:tcW w:w="993" w:type="dxa"/>
            <w:vAlign w:val="center"/>
          </w:tcPr>
          <w:p w14:paraId="09D2A9F5">
            <w:pPr>
              <w:pStyle w:val="91"/>
              <w:keepNext w:val="0"/>
              <w:keepLines w:val="0"/>
              <w:suppressLineNumbers w:val="0"/>
              <w:spacing w:before="0" w:beforeAutospacing="0" w:after="0" w:afterAutospacing="0"/>
              <w:ind w:left="0" w:right="0"/>
              <w:rPr>
                <w:rFonts w:hint="default"/>
                <w:color w:val="auto"/>
              </w:rPr>
            </w:pPr>
            <w:r>
              <w:rPr>
                <w:rFonts w:hint="default"/>
                <w:color w:val="auto"/>
              </w:rPr>
              <w:t>214.24</w:t>
            </w:r>
          </w:p>
        </w:tc>
        <w:tc>
          <w:tcPr>
            <w:tcW w:w="1417" w:type="dxa"/>
            <w:vAlign w:val="center"/>
          </w:tcPr>
          <w:p w14:paraId="71CED433">
            <w:pPr>
              <w:pStyle w:val="91"/>
              <w:keepNext w:val="0"/>
              <w:keepLines w:val="0"/>
              <w:suppressLineNumbers w:val="0"/>
              <w:spacing w:before="0" w:beforeAutospacing="0" w:after="0" w:afterAutospacing="0"/>
              <w:ind w:left="0" w:right="0"/>
              <w:rPr>
                <w:rFonts w:hint="default"/>
                <w:color w:val="auto"/>
              </w:rPr>
            </w:pPr>
            <w:r>
              <w:rPr>
                <w:rFonts w:hint="default"/>
                <w:color w:val="auto"/>
              </w:rPr>
              <w:t>泄漏频率</w:t>
            </w:r>
          </w:p>
        </w:tc>
        <w:tc>
          <w:tcPr>
            <w:tcW w:w="1987" w:type="dxa"/>
          </w:tcPr>
          <w:p w14:paraId="26AF8B36">
            <w:pPr>
              <w:pStyle w:val="91"/>
              <w:keepNext w:val="0"/>
              <w:keepLines w:val="0"/>
              <w:suppressLineNumbers w:val="0"/>
              <w:spacing w:before="0" w:beforeAutospacing="0" w:after="0" w:afterAutospacing="0"/>
              <w:ind w:left="0" w:right="0"/>
              <w:rPr>
                <w:rFonts w:hint="default"/>
                <w:color w:val="auto"/>
              </w:rPr>
            </w:pPr>
            <w:r>
              <w:rPr>
                <w:rFonts w:hint="default"/>
                <w:color w:val="auto"/>
              </w:rPr>
              <w:t>1.00×10</w:t>
            </w:r>
            <w:r>
              <w:rPr>
                <w:rFonts w:hint="default"/>
                <w:color w:val="auto"/>
                <w:position w:val="7"/>
              </w:rPr>
              <w:t>-4</w:t>
            </w:r>
            <w:r>
              <w:rPr>
                <w:rFonts w:hint="default"/>
                <w:color w:val="auto"/>
              </w:rPr>
              <w:t>/a</w:t>
            </w:r>
          </w:p>
        </w:tc>
      </w:tr>
      <w:tr w14:paraId="67AEE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restart"/>
            <w:vAlign w:val="center"/>
          </w:tcPr>
          <w:p w14:paraId="4E357612">
            <w:pPr>
              <w:pStyle w:val="91"/>
              <w:keepNext w:val="0"/>
              <w:keepLines w:val="0"/>
              <w:suppressLineNumbers w:val="0"/>
              <w:spacing w:before="0" w:beforeAutospacing="0" w:after="0" w:afterAutospacing="0"/>
              <w:ind w:left="0" w:right="0"/>
              <w:rPr>
                <w:rFonts w:hint="default"/>
                <w:color w:val="auto"/>
              </w:rPr>
            </w:pPr>
            <w:r>
              <w:rPr>
                <w:rFonts w:hint="default"/>
                <w:color w:val="auto"/>
              </w:rPr>
              <w:t>大气</w:t>
            </w:r>
          </w:p>
        </w:tc>
        <w:tc>
          <w:tcPr>
            <w:tcW w:w="7825" w:type="dxa"/>
            <w:gridSpan w:val="5"/>
            <w:vAlign w:val="center"/>
          </w:tcPr>
          <w:p w14:paraId="3D722919">
            <w:pPr>
              <w:pStyle w:val="91"/>
              <w:keepNext w:val="0"/>
              <w:keepLines w:val="0"/>
              <w:suppressLineNumbers w:val="0"/>
              <w:spacing w:before="0" w:beforeAutospacing="0" w:after="0" w:afterAutospacing="0"/>
              <w:ind w:left="0" w:right="0"/>
              <w:jc w:val="center"/>
              <w:rPr>
                <w:rFonts w:hint="default"/>
                <w:color w:val="auto"/>
              </w:rPr>
            </w:pPr>
            <w:r>
              <w:rPr>
                <w:rFonts w:hint="default"/>
                <w:color w:val="auto"/>
              </w:rPr>
              <w:t>最不利气象条件下事故后果预测</w:t>
            </w:r>
          </w:p>
        </w:tc>
      </w:tr>
      <w:tr w14:paraId="35C95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713C5C5B">
            <w:pPr>
              <w:pStyle w:val="91"/>
              <w:keepNext w:val="0"/>
              <w:keepLines w:val="0"/>
              <w:suppressLineNumbers w:val="0"/>
              <w:spacing w:before="0" w:beforeAutospacing="0" w:after="0" w:afterAutospacing="0"/>
              <w:ind w:left="0" w:right="0"/>
              <w:rPr>
                <w:rFonts w:hint="default"/>
                <w:color w:val="auto"/>
              </w:rPr>
            </w:pPr>
          </w:p>
        </w:tc>
        <w:tc>
          <w:tcPr>
            <w:tcW w:w="1302" w:type="dxa"/>
            <w:vAlign w:val="center"/>
          </w:tcPr>
          <w:p w14:paraId="33AFF88F">
            <w:pPr>
              <w:pStyle w:val="91"/>
              <w:keepNext w:val="0"/>
              <w:keepLines w:val="0"/>
              <w:suppressLineNumbers w:val="0"/>
              <w:spacing w:before="0" w:beforeAutospacing="0" w:after="0" w:afterAutospacing="0"/>
              <w:ind w:left="0" w:right="0"/>
              <w:rPr>
                <w:rFonts w:hint="default"/>
                <w:b/>
                <w:color w:val="auto"/>
              </w:rPr>
            </w:pPr>
            <w:r>
              <w:rPr>
                <w:rFonts w:hint="default"/>
                <w:b/>
                <w:color w:val="auto"/>
              </w:rPr>
              <w:t>危险物质</w:t>
            </w:r>
          </w:p>
        </w:tc>
        <w:tc>
          <w:tcPr>
            <w:tcW w:w="2126" w:type="dxa"/>
            <w:vAlign w:val="center"/>
          </w:tcPr>
          <w:p w14:paraId="00DF5634">
            <w:pPr>
              <w:pStyle w:val="91"/>
              <w:keepNext w:val="0"/>
              <w:keepLines w:val="0"/>
              <w:suppressLineNumbers w:val="0"/>
              <w:spacing w:before="0" w:beforeAutospacing="0" w:after="0" w:afterAutospacing="0"/>
              <w:ind w:left="0" w:right="0"/>
              <w:rPr>
                <w:rFonts w:hint="default"/>
                <w:b/>
                <w:color w:val="auto"/>
              </w:rPr>
            </w:pPr>
            <w:r>
              <w:rPr>
                <w:rFonts w:hint="default"/>
                <w:b/>
                <w:color w:val="auto"/>
              </w:rPr>
              <w:t>指标</w:t>
            </w:r>
          </w:p>
        </w:tc>
        <w:tc>
          <w:tcPr>
            <w:tcW w:w="993" w:type="dxa"/>
            <w:vAlign w:val="center"/>
          </w:tcPr>
          <w:p w14:paraId="12FAAA9D">
            <w:pPr>
              <w:pStyle w:val="91"/>
              <w:keepNext w:val="0"/>
              <w:keepLines w:val="0"/>
              <w:suppressLineNumbers w:val="0"/>
              <w:spacing w:before="0" w:beforeAutospacing="0" w:after="0" w:afterAutospacing="0"/>
              <w:ind w:left="0" w:right="0"/>
              <w:rPr>
                <w:rFonts w:hint="default"/>
                <w:b/>
                <w:color w:val="auto"/>
              </w:rPr>
            </w:pPr>
            <w:r>
              <w:rPr>
                <w:rFonts w:hint="default"/>
                <w:b/>
                <w:color w:val="auto"/>
              </w:rPr>
              <w:t>浓度值mg/m</w:t>
            </w:r>
            <w:r>
              <w:rPr>
                <w:rFonts w:hint="default"/>
                <w:b/>
                <w:color w:val="auto"/>
                <w:vertAlign w:val="superscript"/>
              </w:rPr>
              <w:t>3</w:t>
            </w:r>
          </w:p>
        </w:tc>
        <w:tc>
          <w:tcPr>
            <w:tcW w:w="1417" w:type="dxa"/>
            <w:vAlign w:val="center"/>
          </w:tcPr>
          <w:p w14:paraId="356FF279">
            <w:pPr>
              <w:pStyle w:val="91"/>
              <w:keepNext w:val="0"/>
              <w:keepLines w:val="0"/>
              <w:suppressLineNumbers w:val="0"/>
              <w:spacing w:before="0" w:beforeAutospacing="0" w:after="0" w:afterAutospacing="0"/>
              <w:ind w:left="0" w:right="0"/>
              <w:rPr>
                <w:rFonts w:hint="default"/>
                <w:b/>
                <w:color w:val="auto"/>
              </w:rPr>
            </w:pPr>
            <w:r>
              <w:rPr>
                <w:rFonts w:hint="default"/>
                <w:b/>
                <w:color w:val="auto"/>
              </w:rPr>
              <w:t>最远影响距离</w:t>
            </w:r>
          </w:p>
        </w:tc>
        <w:tc>
          <w:tcPr>
            <w:tcW w:w="1987" w:type="dxa"/>
          </w:tcPr>
          <w:p w14:paraId="22B5DC18">
            <w:pPr>
              <w:pStyle w:val="91"/>
              <w:keepNext w:val="0"/>
              <w:keepLines w:val="0"/>
              <w:suppressLineNumbers w:val="0"/>
              <w:spacing w:before="0" w:beforeAutospacing="0" w:after="0" w:afterAutospacing="0"/>
              <w:ind w:left="0" w:right="0"/>
              <w:rPr>
                <w:rFonts w:hint="default"/>
                <w:b/>
                <w:color w:val="auto"/>
              </w:rPr>
            </w:pPr>
            <w:r>
              <w:rPr>
                <w:rFonts w:hint="default"/>
                <w:b/>
                <w:color w:val="auto"/>
              </w:rPr>
              <w:t>到达时间min</w:t>
            </w:r>
          </w:p>
        </w:tc>
      </w:tr>
      <w:tr w14:paraId="1F0C6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07E19546">
            <w:pPr>
              <w:pStyle w:val="91"/>
              <w:keepNext w:val="0"/>
              <w:keepLines w:val="0"/>
              <w:suppressLineNumbers w:val="0"/>
              <w:spacing w:before="0" w:beforeAutospacing="0" w:after="0" w:afterAutospacing="0"/>
              <w:ind w:left="0" w:right="0"/>
              <w:rPr>
                <w:rFonts w:hint="default"/>
                <w:color w:val="auto"/>
              </w:rPr>
            </w:pPr>
          </w:p>
        </w:tc>
        <w:tc>
          <w:tcPr>
            <w:tcW w:w="1302" w:type="dxa"/>
            <w:vMerge w:val="restart"/>
            <w:vAlign w:val="center"/>
          </w:tcPr>
          <w:p w14:paraId="74285161">
            <w:pPr>
              <w:pStyle w:val="91"/>
              <w:keepNext w:val="0"/>
              <w:keepLines w:val="0"/>
              <w:suppressLineNumbers w:val="0"/>
              <w:spacing w:before="0" w:beforeAutospacing="0" w:after="0" w:afterAutospacing="0"/>
              <w:ind w:left="0" w:right="0"/>
              <w:rPr>
                <w:rFonts w:hint="eastAsia" w:eastAsia="宋体"/>
                <w:color w:val="auto"/>
                <w:lang w:eastAsia="zh-CN"/>
              </w:rPr>
            </w:pPr>
            <w:r>
              <w:rPr>
                <w:rFonts w:hint="eastAsia"/>
                <w:color w:val="auto"/>
              </w:rPr>
              <w:t>甲基叔丁基醚（MTBE</w:t>
            </w:r>
            <w:r>
              <w:rPr>
                <w:rFonts w:hint="eastAsia"/>
                <w:color w:val="auto"/>
                <w:lang w:eastAsia="zh-CN"/>
              </w:rPr>
              <w:t>）</w:t>
            </w:r>
          </w:p>
        </w:tc>
        <w:tc>
          <w:tcPr>
            <w:tcW w:w="2126" w:type="dxa"/>
            <w:vAlign w:val="center"/>
          </w:tcPr>
          <w:p w14:paraId="49C6E3DC">
            <w:pPr>
              <w:pStyle w:val="91"/>
              <w:keepNext w:val="0"/>
              <w:keepLines w:val="0"/>
              <w:suppressLineNumbers w:val="0"/>
              <w:spacing w:before="0" w:beforeAutospacing="0" w:after="0" w:afterAutospacing="0"/>
              <w:ind w:left="0" w:right="0"/>
              <w:rPr>
                <w:rFonts w:hint="default"/>
                <w:color w:val="auto"/>
              </w:rPr>
            </w:pPr>
            <w:r>
              <w:rPr>
                <w:rFonts w:hint="default"/>
                <w:color w:val="auto"/>
              </w:rPr>
              <w:t>大气毒性终点浓度-1</w:t>
            </w:r>
          </w:p>
        </w:tc>
        <w:tc>
          <w:tcPr>
            <w:tcW w:w="993" w:type="dxa"/>
            <w:vAlign w:val="center"/>
          </w:tcPr>
          <w:p w14:paraId="6E203EDE">
            <w:pPr>
              <w:pStyle w:val="91"/>
              <w:keepNext w:val="0"/>
              <w:keepLines w:val="0"/>
              <w:suppressLineNumbers w:val="0"/>
              <w:spacing w:before="0" w:beforeAutospacing="0" w:after="0" w:afterAutospacing="0"/>
              <w:ind w:left="0" w:right="0"/>
              <w:rPr>
                <w:rFonts w:hint="default"/>
                <w:color w:val="auto"/>
              </w:rPr>
            </w:pPr>
            <w:r>
              <w:rPr>
                <w:rFonts w:hint="default"/>
                <w:color w:val="auto"/>
              </w:rPr>
              <w:t>19000</w:t>
            </w:r>
          </w:p>
        </w:tc>
        <w:tc>
          <w:tcPr>
            <w:tcW w:w="1417" w:type="dxa"/>
            <w:vAlign w:val="center"/>
          </w:tcPr>
          <w:p w14:paraId="6618C395">
            <w:pPr>
              <w:pStyle w:val="91"/>
              <w:keepNext w:val="0"/>
              <w:keepLines w:val="0"/>
              <w:suppressLineNumbers w:val="0"/>
              <w:spacing w:before="0" w:beforeAutospacing="0" w:after="0" w:afterAutospacing="0"/>
              <w:ind w:left="0" w:right="0"/>
              <w:rPr>
                <w:rFonts w:hint="default" w:eastAsia="宋体"/>
                <w:color w:val="auto"/>
                <w:lang w:val="en-US" w:eastAsia="zh-CN"/>
              </w:rPr>
            </w:pPr>
            <w:r>
              <w:rPr>
                <w:rFonts w:hint="eastAsia"/>
                <w:color w:val="auto"/>
                <w:lang w:val="en-US" w:eastAsia="zh-CN"/>
              </w:rPr>
              <w:t>10</w:t>
            </w:r>
          </w:p>
        </w:tc>
        <w:tc>
          <w:tcPr>
            <w:tcW w:w="1987" w:type="dxa"/>
          </w:tcPr>
          <w:p w14:paraId="5F140B8F">
            <w:pPr>
              <w:pStyle w:val="91"/>
              <w:keepNext w:val="0"/>
              <w:keepLines w:val="0"/>
              <w:suppressLineNumbers w:val="0"/>
              <w:spacing w:before="0" w:beforeAutospacing="0" w:after="0" w:afterAutospacing="0"/>
              <w:ind w:left="0" w:right="0"/>
              <w:rPr>
                <w:rFonts w:hint="default"/>
                <w:color w:val="auto"/>
              </w:rPr>
            </w:pPr>
            <w:r>
              <w:rPr>
                <w:rFonts w:hint="eastAsia"/>
                <w:color w:val="auto"/>
              </w:rPr>
              <w:t>＜5.23</w:t>
            </w:r>
          </w:p>
        </w:tc>
      </w:tr>
      <w:tr w14:paraId="1C86F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3973F1F9">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3016A64A">
            <w:pPr>
              <w:pStyle w:val="91"/>
              <w:keepNext w:val="0"/>
              <w:keepLines w:val="0"/>
              <w:suppressLineNumbers w:val="0"/>
              <w:spacing w:before="0" w:beforeAutospacing="0" w:after="0" w:afterAutospacing="0"/>
              <w:ind w:left="0" w:right="0"/>
              <w:rPr>
                <w:rFonts w:hint="default"/>
                <w:color w:val="auto"/>
              </w:rPr>
            </w:pPr>
          </w:p>
        </w:tc>
        <w:tc>
          <w:tcPr>
            <w:tcW w:w="2126" w:type="dxa"/>
            <w:vAlign w:val="center"/>
          </w:tcPr>
          <w:p w14:paraId="6FF62DA3">
            <w:pPr>
              <w:pStyle w:val="91"/>
              <w:keepNext w:val="0"/>
              <w:keepLines w:val="0"/>
              <w:suppressLineNumbers w:val="0"/>
              <w:spacing w:before="0" w:beforeAutospacing="0" w:after="0" w:afterAutospacing="0"/>
              <w:ind w:left="0" w:right="0"/>
              <w:rPr>
                <w:rFonts w:hint="default"/>
                <w:color w:val="auto"/>
              </w:rPr>
            </w:pPr>
            <w:r>
              <w:rPr>
                <w:rFonts w:hint="default"/>
                <w:color w:val="auto"/>
              </w:rPr>
              <w:t>大气毒性终点浓度-2</w:t>
            </w:r>
          </w:p>
        </w:tc>
        <w:tc>
          <w:tcPr>
            <w:tcW w:w="993" w:type="dxa"/>
            <w:vAlign w:val="center"/>
          </w:tcPr>
          <w:p w14:paraId="5241AE5D">
            <w:pPr>
              <w:pStyle w:val="91"/>
              <w:keepNext w:val="0"/>
              <w:keepLines w:val="0"/>
              <w:suppressLineNumbers w:val="0"/>
              <w:spacing w:before="0" w:beforeAutospacing="0" w:after="0" w:afterAutospacing="0"/>
              <w:ind w:left="0" w:right="0"/>
              <w:rPr>
                <w:rFonts w:hint="default"/>
                <w:color w:val="auto"/>
              </w:rPr>
            </w:pPr>
            <w:r>
              <w:rPr>
                <w:rFonts w:hint="default"/>
                <w:color w:val="auto"/>
              </w:rPr>
              <w:t>2100</w:t>
            </w:r>
          </w:p>
        </w:tc>
        <w:tc>
          <w:tcPr>
            <w:tcW w:w="1417" w:type="dxa"/>
            <w:vAlign w:val="center"/>
          </w:tcPr>
          <w:p w14:paraId="3CCB1235">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1987" w:type="dxa"/>
          </w:tcPr>
          <w:p w14:paraId="55864EB9">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67378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00A6EC04">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1EB903D6">
            <w:pPr>
              <w:pStyle w:val="91"/>
              <w:keepNext w:val="0"/>
              <w:keepLines w:val="0"/>
              <w:suppressLineNumbers w:val="0"/>
              <w:spacing w:before="0" w:beforeAutospacing="0" w:after="0" w:afterAutospacing="0"/>
              <w:ind w:left="0" w:right="0"/>
              <w:rPr>
                <w:rFonts w:hint="default"/>
                <w:color w:val="auto"/>
              </w:rPr>
            </w:pPr>
          </w:p>
        </w:tc>
        <w:tc>
          <w:tcPr>
            <w:tcW w:w="2126" w:type="dxa"/>
            <w:vAlign w:val="center"/>
          </w:tcPr>
          <w:p w14:paraId="3AD4ECEE">
            <w:pPr>
              <w:pStyle w:val="91"/>
              <w:keepNext w:val="0"/>
              <w:keepLines w:val="0"/>
              <w:suppressLineNumbers w:val="0"/>
              <w:spacing w:before="0" w:beforeAutospacing="0" w:after="0" w:afterAutospacing="0"/>
              <w:ind w:left="0" w:right="0"/>
              <w:rPr>
                <w:rFonts w:hint="default"/>
                <w:color w:val="auto"/>
              </w:rPr>
            </w:pPr>
            <w:r>
              <w:rPr>
                <w:rFonts w:hint="default"/>
                <w:color w:val="auto"/>
              </w:rPr>
              <w:t>敏感目标名称</w:t>
            </w:r>
          </w:p>
        </w:tc>
        <w:tc>
          <w:tcPr>
            <w:tcW w:w="993" w:type="dxa"/>
            <w:vAlign w:val="center"/>
          </w:tcPr>
          <w:p w14:paraId="159230AE">
            <w:pPr>
              <w:pStyle w:val="91"/>
              <w:keepNext w:val="0"/>
              <w:keepLines w:val="0"/>
              <w:suppressLineNumbers w:val="0"/>
              <w:spacing w:before="0" w:beforeAutospacing="0" w:after="0" w:afterAutospacing="0"/>
              <w:ind w:left="0" w:right="0"/>
              <w:rPr>
                <w:rFonts w:hint="default"/>
                <w:color w:val="auto"/>
              </w:rPr>
            </w:pPr>
            <w:r>
              <w:rPr>
                <w:rFonts w:hint="default"/>
                <w:color w:val="auto"/>
              </w:rPr>
              <w:t>超标时间min</w:t>
            </w:r>
          </w:p>
        </w:tc>
        <w:tc>
          <w:tcPr>
            <w:tcW w:w="1417" w:type="dxa"/>
            <w:vAlign w:val="center"/>
          </w:tcPr>
          <w:p w14:paraId="246246A6">
            <w:pPr>
              <w:pStyle w:val="91"/>
              <w:keepNext w:val="0"/>
              <w:keepLines w:val="0"/>
              <w:suppressLineNumbers w:val="0"/>
              <w:spacing w:before="0" w:beforeAutospacing="0" w:after="0" w:afterAutospacing="0"/>
              <w:ind w:left="0" w:right="0"/>
              <w:rPr>
                <w:rFonts w:hint="default"/>
                <w:color w:val="auto"/>
              </w:rPr>
            </w:pPr>
            <w:r>
              <w:rPr>
                <w:rFonts w:hint="default"/>
                <w:color w:val="auto"/>
              </w:rPr>
              <w:t>超标持续时间min</w:t>
            </w:r>
          </w:p>
        </w:tc>
        <w:tc>
          <w:tcPr>
            <w:tcW w:w="1987" w:type="dxa"/>
          </w:tcPr>
          <w:p w14:paraId="693D1410">
            <w:pPr>
              <w:pStyle w:val="91"/>
              <w:keepNext w:val="0"/>
              <w:keepLines w:val="0"/>
              <w:suppressLineNumbers w:val="0"/>
              <w:spacing w:before="0" w:beforeAutospacing="0" w:after="0" w:afterAutospacing="0"/>
              <w:ind w:left="0" w:right="0"/>
              <w:rPr>
                <w:rFonts w:hint="default"/>
                <w:color w:val="auto"/>
              </w:rPr>
            </w:pPr>
            <w:r>
              <w:rPr>
                <w:rFonts w:hint="default"/>
                <w:color w:val="auto"/>
              </w:rPr>
              <w:t>最大浓度mg/m</w:t>
            </w:r>
            <w:r>
              <w:rPr>
                <w:rFonts w:hint="default"/>
                <w:color w:val="auto"/>
                <w:vertAlign w:val="superscript"/>
              </w:rPr>
              <w:t>3</w:t>
            </w:r>
          </w:p>
        </w:tc>
      </w:tr>
      <w:tr w14:paraId="25FCA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5860883A">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0A56F5FC">
            <w:pPr>
              <w:pStyle w:val="91"/>
              <w:keepNext w:val="0"/>
              <w:keepLines w:val="0"/>
              <w:suppressLineNumbers w:val="0"/>
              <w:spacing w:before="0" w:beforeAutospacing="0" w:after="0" w:afterAutospacing="0"/>
              <w:ind w:left="0" w:right="0"/>
              <w:rPr>
                <w:rFonts w:hint="default"/>
                <w:color w:val="auto"/>
              </w:rPr>
            </w:pPr>
          </w:p>
        </w:tc>
        <w:tc>
          <w:tcPr>
            <w:tcW w:w="2126" w:type="dxa"/>
            <w:vAlign w:val="center"/>
          </w:tcPr>
          <w:p w14:paraId="45278104">
            <w:pPr>
              <w:pStyle w:val="91"/>
              <w:keepNext w:val="0"/>
              <w:keepLines w:val="0"/>
              <w:suppressLineNumbers w:val="0"/>
              <w:spacing w:before="0" w:beforeAutospacing="0" w:after="0" w:afterAutospacing="0"/>
              <w:ind w:left="0" w:right="0"/>
              <w:rPr>
                <w:rFonts w:hint="default"/>
                <w:color w:val="auto"/>
              </w:rPr>
            </w:pPr>
            <w:r>
              <w:rPr>
                <w:rFonts w:hint="default"/>
                <w:color w:val="auto"/>
              </w:rPr>
              <w:t>无</w:t>
            </w:r>
          </w:p>
        </w:tc>
        <w:tc>
          <w:tcPr>
            <w:tcW w:w="993" w:type="dxa"/>
            <w:vAlign w:val="center"/>
          </w:tcPr>
          <w:p w14:paraId="178D4056">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1417" w:type="dxa"/>
            <w:vAlign w:val="center"/>
          </w:tcPr>
          <w:p w14:paraId="20E9DA77">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1987" w:type="dxa"/>
          </w:tcPr>
          <w:p w14:paraId="466EDC0D">
            <w:pPr>
              <w:pStyle w:val="91"/>
              <w:keepNext w:val="0"/>
              <w:keepLines w:val="0"/>
              <w:suppressLineNumbers w:val="0"/>
              <w:spacing w:before="0" w:beforeAutospacing="0" w:after="0" w:afterAutospacing="0"/>
              <w:ind w:left="0" w:right="0"/>
              <w:rPr>
                <w:rFonts w:hint="default"/>
                <w:color w:val="auto"/>
              </w:rPr>
            </w:pPr>
            <w:r>
              <w:rPr>
                <w:rFonts w:hint="default"/>
                <w:color w:val="auto"/>
              </w:rPr>
              <w:tab/>
            </w:r>
            <w:r>
              <w:rPr>
                <w:rFonts w:hint="default"/>
                <w:color w:val="auto"/>
              </w:rPr>
              <w:t>--</w:t>
            </w:r>
          </w:p>
        </w:tc>
      </w:tr>
      <w:tr w14:paraId="549F5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690DD754">
            <w:pPr>
              <w:pStyle w:val="91"/>
              <w:keepNext w:val="0"/>
              <w:keepLines w:val="0"/>
              <w:suppressLineNumbers w:val="0"/>
              <w:spacing w:before="0" w:beforeAutospacing="0" w:after="0" w:afterAutospacing="0"/>
              <w:ind w:left="0" w:right="0"/>
              <w:rPr>
                <w:rFonts w:hint="default"/>
                <w:color w:val="auto"/>
              </w:rPr>
            </w:pPr>
          </w:p>
        </w:tc>
        <w:tc>
          <w:tcPr>
            <w:tcW w:w="1302" w:type="dxa"/>
            <w:vMerge w:val="restart"/>
            <w:vAlign w:val="center"/>
          </w:tcPr>
          <w:p w14:paraId="530AB35E">
            <w:pPr>
              <w:pStyle w:val="91"/>
              <w:keepNext w:val="0"/>
              <w:keepLines w:val="0"/>
              <w:suppressLineNumbers w:val="0"/>
              <w:spacing w:before="0" w:beforeAutospacing="0" w:after="0" w:afterAutospacing="0"/>
              <w:ind w:left="0" w:right="0"/>
              <w:rPr>
                <w:rFonts w:hint="default"/>
                <w:color w:val="auto"/>
              </w:rPr>
            </w:pPr>
            <w:r>
              <w:rPr>
                <w:rFonts w:hint="eastAsia"/>
                <w:color w:val="auto"/>
              </w:rPr>
              <w:t>异辛烷（烷基化油）</w:t>
            </w:r>
          </w:p>
        </w:tc>
        <w:tc>
          <w:tcPr>
            <w:tcW w:w="2126" w:type="dxa"/>
            <w:vAlign w:val="center"/>
          </w:tcPr>
          <w:p w14:paraId="5C8FEEAB">
            <w:pPr>
              <w:pStyle w:val="91"/>
              <w:keepNext w:val="0"/>
              <w:keepLines w:val="0"/>
              <w:suppressLineNumbers w:val="0"/>
              <w:spacing w:before="0" w:beforeAutospacing="0" w:after="0" w:afterAutospacing="0"/>
              <w:ind w:left="0" w:right="0"/>
              <w:rPr>
                <w:rFonts w:hint="default"/>
                <w:color w:val="auto"/>
              </w:rPr>
            </w:pPr>
            <w:r>
              <w:rPr>
                <w:rFonts w:hint="default"/>
                <w:color w:val="auto"/>
              </w:rPr>
              <w:t>大气毒性终点浓度-1</w:t>
            </w:r>
          </w:p>
        </w:tc>
        <w:tc>
          <w:tcPr>
            <w:tcW w:w="993" w:type="dxa"/>
            <w:vAlign w:val="center"/>
          </w:tcPr>
          <w:p w14:paraId="18C407F1">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417" w:type="dxa"/>
            <w:vAlign w:val="center"/>
          </w:tcPr>
          <w:p w14:paraId="337158A8">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1987" w:type="dxa"/>
          </w:tcPr>
          <w:p w14:paraId="1E62F009">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4EA26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00A4669E">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3E0165CF">
            <w:pPr>
              <w:pStyle w:val="91"/>
              <w:keepNext w:val="0"/>
              <w:keepLines w:val="0"/>
              <w:suppressLineNumbers w:val="0"/>
              <w:spacing w:before="0" w:beforeAutospacing="0" w:after="0" w:afterAutospacing="0"/>
              <w:ind w:left="0" w:right="0"/>
              <w:rPr>
                <w:rFonts w:hint="default"/>
                <w:color w:val="auto"/>
              </w:rPr>
            </w:pPr>
          </w:p>
        </w:tc>
        <w:tc>
          <w:tcPr>
            <w:tcW w:w="2126" w:type="dxa"/>
            <w:vAlign w:val="center"/>
          </w:tcPr>
          <w:p w14:paraId="56AB88B2">
            <w:pPr>
              <w:pStyle w:val="91"/>
              <w:keepNext w:val="0"/>
              <w:keepLines w:val="0"/>
              <w:suppressLineNumbers w:val="0"/>
              <w:spacing w:before="0" w:beforeAutospacing="0" w:after="0" w:afterAutospacing="0"/>
              <w:ind w:left="0" w:right="0"/>
              <w:rPr>
                <w:rFonts w:hint="default"/>
                <w:color w:val="auto"/>
              </w:rPr>
            </w:pPr>
            <w:r>
              <w:rPr>
                <w:rFonts w:hint="default"/>
                <w:color w:val="auto"/>
              </w:rPr>
              <w:t>大气毒性终点浓度-2</w:t>
            </w:r>
          </w:p>
        </w:tc>
        <w:tc>
          <w:tcPr>
            <w:tcW w:w="993" w:type="dxa"/>
            <w:vAlign w:val="center"/>
          </w:tcPr>
          <w:p w14:paraId="0DA7F972">
            <w:pPr>
              <w:pStyle w:val="91"/>
              <w:keepNext w:val="0"/>
              <w:keepLines w:val="0"/>
              <w:suppressLineNumbers w:val="0"/>
              <w:spacing w:before="0" w:beforeAutospacing="0" w:after="0" w:afterAutospacing="0"/>
              <w:ind w:left="0" w:right="0"/>
              <w:rPr>
                <w:rFonts w:hint="default"/>
                <w:color w:val="auto"/>
              </w:rPr>
            </w:pPr>
            <w:r>
              <w:rPr>
                <w:rFonts w:hint="eastAsia"/>
                <w:color w:val="auto"/>
              </w:rPr>
              <w:t>80</w:t>
            </w:r>
          </w:p>
        </w:tc>
        <w:tc>
          <w:tcPr>
            <w:tcW w:w="1417" w:type="dxa"/>
            <w:vAlign w:val="center"/>
          </w:tcPr>
          <w:p w14:paraId="001949A8">
            <w:pPr>
              <w:pStyle w:val="91"/>
              <w:keepNext w:val="0"/>
              <w:keepLines w:val="0"/>
              <w:suppressLineNumbers w:val="0"/>
              <w:spacing w:before="0" w:beforeAutospacing="0" w:after="0" w:afterAutospacing="0"/>
              <w:ind w:left="0" w:right="0"/>
              <w:rPr>
                <w:rFonts w:hint="default"/>
                <w:color w:val="auto"/>
              </w:rPr>
            </w:pPr>
            <w:r>
              <w:rPr>
                <w:rFonts w:hint="default"/>
                <w:color w:val="auto"/>
              </w:rPr>
              <w:t>2</w:t>
            </w:r>
            <w:r>
              <w:rPr>
                <w:rFonts w:hint="eastAsia"/>
                <w:color w:val="auto"/>
                <w:lang w:val="en-US" w:eastAsia="zh-CN"/>
              </w:rPr>
              <w:t>7</w:t>
            </w:r>
            <w:r>
              <w:rPr>
                <w:rFonts w:hint="default"/>
                <w:color w:val="auto"/>
              </w:rPr>
              <w:t>0</w:t>
            </w:r>
          </w:p>
        </w:tc>
        <w:tc>
          <w:tcPr>
            <w:tcW w:w="1987" w:type="dxa"/>
          </w:tcPr>
          <w:p w14:paraId="652B7132">
            <w:pPr>
              <w:pStyle w:val="91"/>
              <w:keepNext w:val="0"/>
              <w:keepLines w:val="0"/>
              <w:suppressLineNumbers w:val="0"/>
              <w:spacing w:before="0" w:beforeAutospacing="0" w:after="0" w:afterAutospacing="0"/>
              <w:ind w:left="0" w:right="0"/>
              <w:rPr>
                <w:rFonts w:hint="default" w:eastAsia="宋体"/>
                <w:color w:val="auto"/>
                <w:lang w:val="en-US" w:eastAsia="zh-CN"/>
              </w:rPr>
            </w:pPr>
            <w:r>
              <w:rPr>
                <w:rFonts w:hint="eastAsia"/>
                <w:color w:val="auto"/>
              </w:rPr>
              <w:t>1</w:t>
            </w:r>
            <w:r>
              <w:rPr>
                <w:rFonts w:hint="default"/>
                <w:color w:val="auto"/>
              </w:rPr>
              <w:t>0.</w:t>
            </w:r>
            <w:r>
              <w:rPr>
                <w:rFonts w:hint="eastAsia"/>
                <w:color w:val="auto"/>
                <w:lang w:val="en-US" w:eastAsia="zh-CN"/>
              </w:rPr>
              <w:t>23</w:t>
            </w:r>
          </w:p>
        </w:tc>
      </w:tr>
      <w:tr w14:paraId="10D63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47BECE86">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7E05CF3B">
            <w:pPr>
              <w:pStyle w:val="91"/>
              <w:keepNext w:val="0"/>
              <w:keepLines w:val="0"/>
              <w:suppressLineNumbers w:val="0"/>
              <w:spacing w:before="0" w:beforeAutospacing="0" w:after="0" w:afterAutospacing="0"/>
              <w:ind w:left="0" w:right="0"/>
              <w:rPr>
                <w:rFonts w:hint="default"/>
                <w:color w:val="auto"/>
              </w:rPr>
            </w:pPr>
          </w:p>
        </w:tc>
        <w:tc>
          <w:tcPr>
            <w:tcW w:w="2126" w:type="dxa"/>
            <w:vAlign w:val="center"/>
          </w:tcPr>
          <w:p w14:paraId="3FEC017F">
            <w:pPr>
              <w:pStyle w:val="91"/>
              <w:keepNext w:val="0"/>
              <w:keepLines w:val="0"/>
              <w:suppressLineNumbers w:val="0"/>
              <w:spacing w:before="0" w:beforeAutospacing="0" w:after="0" w:afterAutospacing="0"/>
              <w:ind w:left="0" w:right="0"/>
              <w:rPr>
                <w:rFonts w:hint="default"/>
                <w:color w:val="auto"/>
              </w:rPr>
            </w:pPr>
            <w:r>
              <w:rPr>
                <w:rFonts w:hint="default"/>
                <w:color w:val="auto"/>
              </w:rPr>
              <w:t>敏感目标名称</w:t>
            </w:r>
          </w:p>
        </w:tc>
        <w:tc>
          <w:tcPr>
            <w:tcW w:w="993" w:type="dxa"/>
            <w:vAlign w:val="center"/>
          </w:tcPr>
          <w:p w14:paraId="5C0230BD">
            <w:pPr>
              <w:pStyle w:val="91"/>
              <w:keepNext w:val="0"/>
              <w:keepLines w:val="0"/>
              <w:suppressLineNumbers w:val="0"/>
              <w:spacing w:before="0" w:beforeAutospacing="0" w:after="0" w:afterAutospacing="0"/>
              <w:ind w:left="0" w:right="0"/>
              <w:rPr>
                <w:rFonts w:hint="default"/>
                <w:color w:val="auto"/>
              </w:rPr>
            </w:pPr>
            <w:r>
              <w:rPr>
                <w:rFonts w:hint="default"/>
                <w:color w:val="auto"/>
              </w:rPr>
              <w:t>超标时间min</w:t>
            </w:r>
          </w:p>
        </w:tc>
        <w:tc>
          <w:tcPr>
            <w:tcW w:w="1417" w:type="dxa"/>
            <w:vAlign w:val="center"/>
          </w:tcPr>
          <w:p w14:paraId="5B14A710">
            <w:pPr>
              <w:pStyle w:val="91"/>
              <w:keepNext w:val="0"/>
              <w:keepLines w:val="0"/>
              <w:suppressLineNumbers w:val="0"/>
              <w:spacing w:before="0" w:beforeAutospacing="0" w:after="0" w:afterAutospacing="0"/>
              <w:ind w:left="0" w:right="0"/>
              <w:rPr>
                <w:rFonts w:hint="default"/>
                <w:color w:val="auto"/>
              </w:rPr>
            </w:pPr>
            <w:r>
              <w:rPr>
                <w:rFonts w:hint="default"/>
                <w:color w:val="auto"/>
              </w:rPr>
              <w:t>超标持续时间min</w:t>
            </w:r>
          </w:p>
        </w:tc>
        <w:tc>
          <w:tcPr>
            <w:tcW w:w="1987" w:type="dxa"/>
          </w:tcPr>
          <w:p w14:paraId="4259F9F0">
            <w:pPr>
              <w:pStyle w:val="91"/>
              <w:keepNext w:val="0"/>
              <w:keepLines w:val="0"/>
              <w:suppressLineNumbers w:val="0"/>
              <w:spacing w:before="0" w:beforeAutospacing="0" w:after="0" w:afterAutospacing="0"/>
              <w:ind w:left="0" w:right="0"/>
              <w:rPr>
                <w:rFonts w:hint="default"/>
                <w:color w:val="auto"/>
              </w:rPr>
            </w:pPr>
            <w:r>
              <w:rPr>
                <w:rFonts w:hint="default"/>
                <w:color w:val="auto"/>
              </w:rPr>
              <w:t>最大浓度mg/m</w:t>
            </w:r>
            <w:r>
              <w:rPr>
                <w:rFonts w:hint="default"/>
                <w:color w:val="auto"/>
                <w:vertAlign w:val="superscript"/>
              </w:rPr>
              <w:t>3</w:t>
            </w:r>
          </w:p>
        </w:tc>
      </w:tr>
      <w:tr w14:paraId="3DAA5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066076B2">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3DB6323A">
            <w:pPr>
              <w:pStyle w:val="91"/>
              <w:keepNext w:val="0"/>
              <w:keepLines w:val="0"/>
              <w:suppressLineNumbers w:val="0"/>
              <w:spacing w:before="0" w:beforeAutospacing="0" w:after="0" w:afterAutospacing="0"/>
              <w:ind w:left="0" w:right="0"/>
              <w:rPr>
                <w:rFonts w:hint="default"/>
                <w:color w:val="auto"/>
              </w:rPr>
            </w:pPr>
          </w:p>
        </w:tc>
        <w:tc>
          <w:tcPr>
            <w:tcW w:w="2126" w:type="dxa"/>
            <w:vAlign w:val="center"/>
          </w:tcPr>
          <w:p w14:paraId="11B1B151">
            <w:pPr>
              <w:pStyle w:val="91"/>
              <w:keepNext w:val="0"/>
              <w:keepLines w:val="0"/>
              <w:suppressLineNumbers w:val="0"/>
              <w:spacing w:before="0" w:beforeAutospacing="0" w:after="0" w:afterAutospacing="0"/>
              <w:ind w:left="0" w:right="0"/>
              <w:rPr>
                <w:rFonts w:hint="default"/>
                <w:color w:val="auto"/>
              </w:rPr>
            </w:pPr>
            <w:r>
              <w:rPr>
                <w:rFonts w:hint="default"/>
                <w:color w:val="auto"/>
              </w:rPr>
              <w:t>无</w:t>
            </w:r>
          </w:p>
        </w:tc>
        <w:tc>
          <w:tcPr>
            <w:tcW w:w="993" w:type="dxa"/>
            <w:vAlign w:val="center"/>
          </w:tcPr>
          <w:p w14:paraId="68EC2686">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1417" w:type="dxa"/>
            <w:vAlign w:val="center"/>
          </w:tcPr>
          <w:p w14:paraId="468EC210">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1987" w:type="dxa"/>
          </w:tcPr>
          <w:p w14:paraId="6DB7C26A">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54D43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4BED0147">
            <w:pPr>
              <w:pStyle w:val="91"/>
              <w:keepNext w:val="0"/>
              <w:keepLines w:val="0"/>
              <w:suppressLineNumbers w:val="0"/>
              <w:spacing w:before="0" w:beforeAutospacing="0" w:after="0" w:afterAutospacing="0"/>
              <w:ind w:left="0" w:right="0"/>
              <w:rPr>
                <w:rFonts w:hint="default"/>
                <w:color w:val="auto"/>
              </w:rPr>
            </w:pPr>
          </w:p>
        </w:tc>
        <w:tc>
          <w:tcPr>
            <w:tcW w:w="1302" w:type="dxa"/>
            <w:vMerge w:val="restart"/>
            <w:vAlign w:val="center"/>
          </w:tcPr>
          <w:p w14:paraId="5E56DB74">
            <w:pPr>
              <w:pStyle w:val="91"/>
              <w:keepNext w:val="0"/>
              <w:keepLines w:val="0"/>
              <w:suppressLineNumbers w:val="0"/>
              <w:spacing w:before="0" w:beforeAutospacing="0" w:after="0" w:afterAutospacing="0"/>
              <w:ind w:left="0" w:right="0"/>
              <w:rPr>
                <w:rFonts w:hint="default"/>
                <w:color w:val="auto"/>
              </w:rPr>
            </w:pPr>
            <w:r>
              <w:rPr>
                <w:rFonts w:hint="eastAsia"/>
                <w:color w:val="auto"/>
              </w:rPr>
              <w:t>石脑油</w:t>
            </w:r>
          </w:p>
        </w:tc>
        <w:tc>
          <w:tcPr>
            <w:tcW w:w="2126" w:type="dxa"/>
            <w:vAlign w:val="center"/>
          </w:tcPr>
          <w:p w14:paraId="452DE91A">
            <w:pPr>
              <w:pStyle w:val="91"/>
              <w:keepNext w:val="0"/>
              <w:keepLines w:val="0"/>
              <w:suppressLineNumbers w:val="0"/>
              <w:spacing w:before="0" w:beforeAutospacing="0" w:after="0" w:afterAutospacing="0"/>
              <w:ind w:left="0" w:right="0"/>
              <w:rPr>
                <w:rFonts w:hint="default"/>
                <w:color w:val="auto"/>
              </w:rPr>
            </w:pPr>
            <w:r>
              <w:rPr>
                <w:rFonts w:hint="default"/>
                <w:color w:val="auto"/>
              </w:rPr>
              <w:t>大气毒性终点浓度-1</w:t>
            </w:r>
          </w:p>
        </w:tc>
        <w:tc>
          <w:tcPr>
            <w:tcW w:w="993" w:type="dxa"/>
            <w:vAlign w:val="center"/>
          </w:tcPr>
          <w:p w14:paraId="0D545CDF">
            <w:pPr>
              <w:pStyle w:val="91"/>
              <w:keepNext w:val="0"/>
              <w:keepLines w:val="0"/>
              <w:suppressLineNumbers w:val="0"/>
              <w:spacing w:before="0" w:beforeAutospacing="0" w:after="0" w:afterAutospacing="0"/>
              <w:ind w:left="0" w:right="0"/>
              <w:rPr>
                <w:rFonts w:hint="default" w:eastAsia="宋体"/>
                <w:color w:val="auto"/>
                <w:lang w:val="en-US" w:eastAsia="zh-CN"/>
              </w:rPr>
            </w:pPr>
            <w:r>
              <w:rPr>
                <w:rFonts w:hint="eastAsia"/>
                <w:color w:val="auto"/>
                <w:lang w:val="en-US" w:eastAsia="zh-CN"/>
              </w:rPr>
              <w:t>16000</w:t>
            </w:r>
          </w:p>
        </w:tc>
        <w:tc>
          <w:tcPr>
            <w:tcW w:w="1417" w:type="dxa"/>
            <w:vAlign w:val="center"/>
          </w:tcPr>
          <w:p w14:paraId="787B82FE">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1987" w:type="dxa"/>
          </w:tcPr>
          <w:p w14:paraId="355D3C04">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1DAE7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6C060381">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3DC15CA1">
            <w:pPr>
              <w:pStyle w:val="91"/>
              <w:keepNext w:val="0"/>
              <w:keepLines w:val="0"/>
              <w:suppressLineNumbers w:val="0"/>
              <w:spacing w:before="0" w:beforeAutospacing="0" w:after="0" w:afterAutospacing="0"/>
              <w:ind w:left="0" w:right="0"/>
              <w:rPr>
                <w:rFonts w:hint="default"/>
                <w:color w:val="auto"/>
              </w:rPr>
            </w:pPr>
          </w:p>
        </w:tc>
        <w:tc>
          <w:tcPr>
            <w:tcW w:w="2126" w:type="dxa"/>
            <w:vAlign w:val="center"/>
          </w:tcPr>
          <w:p w14:paraId="3E0B7490">
            <w:pPr>
              <w:pStyle w:val="91"/>
              <w:keepNext w:val="0"/>
              <w:keepLines w:val="0"/>
              <w:suppressLineNumbers w:val="0"/>
              <w:spacing w:before="0" w:beforeAutospacing="0" w:after="0" w:afterAutospacing="0"/>
              <w:ind w:left="0" w:right="0"/>
              <w:rPr>
                <w:rFonts w:hint="default"/>
                <w:color w:val="auto"/>
              </w:rPr>
            </w:pPr>
            <w:r>
              <w:rPr>
                <w:rFonts w:hint="default"/>
                <w:color w:val="auto"/>
              </w:rPr>
              <w:t>大气毒性终点浓度-2</w:t>
            </w:r>
          </w:p>
        </w:tc>
        <w:tc>
          <w:tcPr>
            <w:tcW w:w="993" w:type="dxa"/>
            <w:vAlign w:val="center"/>
          </w:tcPr>
          <w:p w14:paraId="58839D9D">
            <w:pPr>
              <w:pStyle w:val="91"/>
              <w:keepNext w:val="0"/>
              <w:keepLines w:val="0"/>
              <w:suppressLineNumbers w:val="0"/>
              <w:spacing w:before="0" w:beforeAutospacing="0" w:after="0" w:afterAutospacing="0"/>
              <w:ind w:left="0" w:right="0"/>
              <w:rPr>
                <w:rFonts w:hint="default" w:eastAsia="宋体"/>
                <w:color w:val="auto"/>
                <w:lang w:val="en-US" w:eastAsia="zh-CN"/>
              </w:rPr>
            </w:pPr>
            <w:r>
              <w:rPr>
                <w:rFonts w:hint="eastAsia"/>
                <w:color w:val="auto"/>
                <w:lang w:val="en-US" w:eastAsia="zh-CN"/>
              </w:rPr>
              <w:t>/</w:t>
            </w:r>
          </w:p>
        </w:tc>
        <w:tc>
          <w:tcPr>
            <w:tcW w:w="1417" w:type="dxa"/>
            <w:vAlign w:val="center"/>
          </w:tcPr>
          <w:p w14:paraId="4C42800D">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1987" w:type="dxa"/>
          </w:tcPr>
          <w:p w14:paraId="2E3761C5">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2AC61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4A0D08FE">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711EE3CB">
            <w:pPr>
              <w:pStyle w:val="91"/>
              <w:keepNext w:val="0"/>
              <w:keepLines w:val="0"/>
              <w:suppressLineNumbers w:val="0"/>
              <w:spacing w:before="0" w:beforeAutospacing="0" w:after="0" w:afterAutospacing="0"/>
              <w:ind w:left="0" w:right="0"/>
              <w:rPr>
                <w:rFonts w:hint="default"/>
                <w:color w:val="auto"/>
              </w:rPr>
            </w:pPr>
          </w:p>
        </w:tc>
        <w:tc>
          <w:tcPr>
            <w:tcW w:w="2126" w:type="dxa"/>
            <w:vAlign w:val="center"/>
          </w:tcPr>
          <w:p w14:paraId="4915D5B0">
            <w:pPr>
              <w:pStyle w:val="91"/>
              <w:keepNext w:val="0"/>
              <w:keepLines w:val="0"/>
              <w:suppressLineNumbers w:val="0"/>
              <w:spacing w:before="0" w:beforeAutospacing="0" w:after="0" w:afterAutospacing="0"/>
              <w:ind w:left="0" w:right="0"/>
              <w:rPr>
                <w:rFonts w:hint="default"/>
                <w:color w:val="auto"/>
              </w:rPr>
            </w:pPr>
            <w:r>
              <w:rPr>
                <w:rFonts w:hint="default"/>
                <w:color w:val="auto"/>
              </w:rPr>
              <w:t>敏感目标名称</w:t>
            </w:r>
          </w:p>
        </w:tc>
        <w:tc>
          <w:tcPr>
            <w:tcW w:w="993" w:type="dxa"/>
            <w:vAlign w:val="center"/>
          </w:tcPr>
          <w:p w14:paraId="65B38CFD">
            <w:pPr>
              <w:pStyle w:val="91"/>
              <w:keepNext w:val="0"/>
              <w:keepLines w:val="0"/>
              <w:suppressLineNumbers w:val="0"/>
              <w:spacing w:before="0" w:beforeAutospacing="0" w:after="0" w:afterAutospacing="0"/>
              <w:ind w:left="0" w:right="0"/>
              <w:rPr>
                <w:rFonts w:hint="default"/>
                <w:color w:val="auto"/>
              </w:rPr>
            </w:pPr>
            <w:r>
              <w:rPr>
                <w:rFonts w:hint="default"/>
                <w:color w:val="auto"/>
              </w:rPr>
              <w:t>超标时间min</w:t>
            </w:r>
          </w:p>
        </w:tc>
        <w:tc>
          <w:tcPr>
            <w:tcW w:w="1417" w:type="dxa"/>
            <w:vAlign w:val="center"/>
          </w:tcPr>
          <w:p w14:paraId="3434ADC3">
            <w:pPr>
              <w:pStyle w:val="91"/>
              <w:keepNext w:val="0"/>
              <w:keepLines w:val="0"/>
              <w:suppressLineNumbers w:val="0"/>
              <w:spacing w:before="0" w:beforeAutospacing="0" w:after="0" w:afterAutospacing="0"/>
              <w:ind w:left="0" w:right="0"/>
              <w:rPr>
                <w:rFonts w:hint="default"/>
                <w:color w:val="auto"/>
              </w:rPr>
            </w:pPr>
            <w:r>
              <w:rPr>
                <w:rFonts w:hint="default"/>
                <w:color w:val="auto"/>
              </w:rPr>
              <w:t>超标持续时间min</w:t>
            </w:r>
          </w:p>
        </w:tc>
        <w:tc>
          <w:tcPr>
            <w:tcW w:w="1987" w:type="dxa"/>
          </w:tcPr>
          <w:p w14:paraId="63FAE23C">
            <w:pPr>
              <w:pStyle w:val="91"/>
              <w:keepNext w:val="0"/>
              <w:keepLines w:val="0"/>
              <w:suppressLineNumbers w:val="0"/>
              <w:spacing w:before="0" w:beforeAutospacing="0" w:after="0" w:afterAutospacing="0"/>
              <w:ind w:left="0" w:right="0"/>
              <w:rPr>
                <w:rFonts w:hint="default"/>
                <w:color w:val="auto"/>
              </w:rPr>
            </w:pPr>
            <w:r>
              <w:rPr>
                <w:rFonts w:hint="default"/>
                <w:color w:val="auto"/>
              </w:rPr>
              <w:t>最大浓度mg/m</w:t>
            </w:r>
            <w:r>
              <w:rPr>
                <w:rFonts w:hint="default"/>
                <w:color w:val="auto"/>
                <w:vertAlign w:val="superscript"/>
              </w:rPr>
              <w:t>3</w:t>
            </w:r>
          </w:p>
        </w:tc>
      </w:tr>
      <w:tr w14:paraId="097B9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0C00F045">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1B0E4C74">
            <w:pPr>
              <w:pStyle w:val="91"/>
              <w:keepNext w:val="0"/>
              <w:keepLines w:val="0"/>
              <w:suppressLineNumbers w:val="0"/>
              <w:spacing w:before="0" w:beforeAutospacing="0" w:after="0" w:afterAutospacing="0"/>
              <w:ind w:left="0" w:right="0"/>
              <w:rPr>
                <w:rFonts w:hint="default"/>
                <w:color w:val="auto"/>
              </w:rPr>
            </w:pPr>
          </w:p>
        </w:tc>
        <w:tc>
          <w:tcPr>
            <w:tcW w:w="2126" w:type="dxa"/>
            <w:vAlign w:val="center"/>
          </w:tcPr>
          <w:p w14:paraId="0E97B943">
            <w:pPr>
              <w:pStyle w:val="91"/>
              <w:keepNext w:val="0"/>
              <w:keepLines w:val="0"/>
              <w:suppressLineNumbers w:val="0"/>
              <w:spacing w:before="0" w:beforeAutospacing="0" w:after="0" w:afterAutospacing="0"/>
              <w:ind w:left="0" w:right="0"/>
              <w:rPr>
                <w:rFonts w:hint="default"/>
                <w:color w:val="auto"/>
              </w:rPr>
            </w:pPr>
            <w:r>
              <w:rPr>
                <w:rFonts w:hint="default"/>
                <w:color w:val="auto"/>
              </w:rPr>
              <w:t>无</w:t>
            </w:r>
          </w:p>
        </w:tc>
        <w:tc>
          <w:tcPr>
            <w:tcW w:w="993" w:type="dxa"/>
            <w:vAlign w:val="center"/>
          </w:tcPr>
          <w:p w14:paraId="6DAAFEE0">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1417" w:type="dxa"/>
            <w:vAlign w:val="center"/>
          </w:tcPr>
          <w:p w14:paraId="5400D8C6">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1987" w:type="dxa"/>
          </w:tcPr>
          <w:p w14:paraId="3F891872">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6F000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64A47EA0">
            <w:pPr>
              <w:pStyle w:val="91"/>
              <w:keepNext w:val="0"/>
              <w:keepLines w:val="0"/>
              <w:suppressLineNumbers w:val="0"/>
              <w:spacing w:before="0" w:beforeAutospacing="0" w:after="0" w:afterAutospacing="0"/>
              <w:ind w:left="0" w:right="0"/>
              <w:rPr>
                <w:rFonts w:hint="default"/>
                <w:color w:val="auto"/>
              </w:rPr>
            </w:pPr>
          </w:p>
        </w:tc>
        <w:tc>
          <w:tcPr>
            <w:tcW w:w="1302" w:type="dxa"/>
            <w:vMerge w:val="restart"/>
            <w:vAlign w:val="center"/>
          </w:tcPr>
          <w:p w14:paraId="159AA0A3">
            <w:pPr>
              <w:pStyle w:val="91"/>
              <w:keepNext w:val="0"/>
              <w:keepLines w:val="0"/>
              <w:suppressLineNumbers w:val="0"/>
              <w:spacing w:before="0" w:beforeAutospacing="0" w:after="0" w:afterAutospacing="0"/>
              <w:ind w:left="0" w:right="0"/>
              <w:rPr>
                <w:rFonts w:hint="default"/>
                <w:color w:val="auto"/>
              </w:rPr>
            </w:pPr>
            <w:r>
              <w:rPr>
                <w:rFonts w:hint="default"/>
                <w:color w:val="auto"/>
              </w:rPr>
              <w:t>CO</w:t>
            </w:r>
          </w:p>
        </w:tc>
        <w:tc>
          <w:tcPr>
            <w:tcW w:w="2126" w:type="dxa"/>
            <w:vAlign w:val="center"/>
          </w:tcPr>
          <w:p w14:paraId="68113EE4">
            <w:pPr>
              <w:pStyle w:val="91"/>
              <w:keepNext w:val="0"/>
              <w:keepLines w:val="0"/>
              <w:suppressLineNumbers w:val="0"/>
              <w:spacing w:before="0" w:beforeAutospacing="0" w:after="0" w:afterAutospacing="0"/>
              <w:ind w:left="0" w:right="0"/>
              <w:rPr>
                <w:rFonts w:hint="default"/>
                <w:color w:val="auto"/>
              </w:rPr>
            </w:pPr>
            <w:r>
              <w:rPr>
                <w:rFonts w:hint="default"/>
                <w:color w:val="auto"/>
              </w:rPr>
              <w:t>大气毒性终点浓度-1</w:t>
            </w:r>
          </w:p>
        </w:tc>
        <w:tc>
          <w:tcPr>
            <w:tcW w:w="993" w:type="dxa"/>
            <w:vAlign w:val="center"/>
          </w:tcPr>
          <w:p w14:paraId="78A69B13">
            <w:pPr>
              <w:pStyle w:val="91"/>
              <w:keepNext w:val="0"/>
              <w:keepLines w:val="0"/>
              <w:suppressLineNumbers w:val="0"/>
              <w:spacing w:before="0" w:beforeAutospacing="0" w:after="0" w:afterAutospacing="0"/>
              <w:ind w:left="0" w:right="0"/>
              <w:rPr>
                <w:rFonts w:hint="default"/>
                <w:color w:val="auto"/>
              </w:rPr>
            </w:pPr>
            <w:r>
              <w:rPr>
                <w:rFonts w:hint="default"/>
                <w:color w:val="auto"/>
              </w:rPr>
              <w:t>380</w:t>
            </w:r>
          </w:p>
        </w:tc>
        <w:tc>
          <w:tcPr>
            <w:tcW w:w="1417" w:type="dxa"/>
            <w:vAlign w:val="center"/>
          </w:tcPr>
          <w:p w14:paraId="2A981779">
            <w:pPr>
              <w:pStyle w:val="91"/>
              <w:keepNext w:val="0"/>
              <w:keepLines w:val="0"/>
              <w:suppressLineNumbers w:val="0"/>
              <w:spacing w:before="0" w:beforeAutospacing="0" w:after="0" w:afterAutospacing="0"/>
              <w:ind w:left="0" w:right="0"/>
              <w:rPr>
                <w:rFonts w:hint="default"/>
                <w:color w:val="auto"/>
              </w:rPr>
            </w:pPr>
            <w:r>
              <w:rPr>
                <w:rFonts w:hint="default"/>
                <w:color w:val="auto"/>
              </w:rPr>
              <w:t>20</w:t>
            </w:r>
          </w:p>
        </w:tc>
        <w:tc>
          <w:tcPr>
            <w:tcW w:w="1987" w:type="dxa"/>
          </w:tcPr>
          <w:p w14:paraId="27C94244">
            <w:pPr>
              <w:pStyle w:val="91"/>
              <w:keepNext w:val="0"/>
              <w:keepLines w:val="0"/>
              <w:suppressLineNumbers w:val="0"/>
              <w:spacing w:before="0" w:beforeAutospacing="0" w:after="0" w:afterAutospacing="0"/>
              <w:ind w:left="0" w:right="0"/>
              <w:rPr>
                <w:rFonts w:hint="default"/>
                <w:color w:val="auto"/>
              </w:rPr>
            </w:pPr>
            <w:r>
              <w:rPr>
                <w:rFonts w:hint="eastAsia"/>
                <w:color w:val="auto"/>
              </w:rPr>
              <w:t>0</w:t>
            </w:r>
            <w:r>
              <w:rPr>
                <w:rFonts w:hint="default"/>
                <w:color w:val="auto"/>
              </w:rPr>
              <w:t>.17</w:t>
            </w:r>
          </w:p>
        </w:tc>
      </w:tr>
      <w:tr w14:paraId="74B7F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6ED4F900">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7B617619">
            <w:pPr>
              <w:pStyle w:val="91"/>
              <w:keepNext w:val="0"/>
              <w:keepLines w:val="0"/>
              <w:suppressLineNumbers w:val="0"/>
              <w:spacing w:before="0" w:beforeAutospacing="0" w:after="0" w:afterAutospacing="0"/>
              <w:ind w:left="0" w:right="0"/>
              <w:rPr>
                <w:rFonts w:hint="default"/>
                <w:color w:val="auto"/>
              </w:rPr>
            </w:pPr>
          </w:p>
        </w:tc>
        <w:tc>
          <w:tcPr>
            <w:tcW w:w="2126" w:type="dxa"/>
            <w:vAlign w:val="center"/>
          </w:tcPr>
          <w:p w14:paraId="64FC9C15">
            <w:pPr>
              <w:pStyle w:val="91"/>
              <w:keepNext w:val="0"/>
              <w:keepLines w:val="0"/>
              <w:suppressLineNumbers w:val="0"/>
              <w:spacing w:before="0" w:beforeAutospacing="0" w:after="0" w:afterAutospacing="0"/>
              <w:ind w:left="0" w:right="0"/>
              <w:rPr>
                <w:rFonts w:hint="default"/>
                <w:color w:val="auto"/>
              </w:rPr>
            </w:pPr>
            <w:r>
              <w:rPr>
                <w:rFonts w:hint="default"/>
                <w:color w:val="auto"/>
              </w:rPr>
              <w:t>大气毒性终点浓度-2</w:t>
            </w:r>
          </w:p>
        </w:tc>
        <w:tc>
          <w:tcPr>
            <w:tcW w:w="993" w:type="dxa"/>
            <w:vAlign w:val="center"/>
          </w:tcPr>
          <w:p w14:paraId="49FCCD56">
            <w:pPr>
              <w:pStyle w:val="91"/>
              <w:keepNext w:val="0"/>
              <w:keepLines w:val="0"/>
              <w:suppressLineNumbers w:val="0"/>
              <w:spacing w:before="0" w:beforeAutospacing="0" w:after="0" w:afterAutospacing="0"/>
              <w:ind w:left="0" w:right="0"/>
              <w:rPr>
                <w:rFonts w:hint="default"/>
                <w:color w:val="auto"/>
              </w:rPr>
            </w:pPr>
            <w:r>
              <w:rPr>
                <w:rFonts w:hint="default"/>
                <w:color w:val="auto"/>
              </w:rPr>
              <w:t>95</w:t>
            </w:r>
          </w:p>
        </w:tc>
        <w:tc>
          <w:tcPr>
            <w:tcW w:w="1417" w:type="dxa"/>
            <w:vAlign w:val="center"/>
          </w:tcPr>
          <w:p w14:paraId="025E31D0">
            <w:pPr>
              <w:pStyle w:val="91"/>
              <w:keepNext w:val="0"/>
              <w:keepLines w:val="0"/>
              <w:suppressLineNumbers w:val="0"/>
              <w:spacing w:before="0" w:beforeAutospacing="0" w:after="0" w:afterAutospacing="0"/>
              <w:ind w:left="0" w:right="0"/>
              <w:rPr>
                <w:rFonts w:hint="default"/>
                <w:color w:val="auto"/>
              </w:rPr>
            </w:pPr>
            <w:r>
              <w:rPr>
                <w:rFonts w:hint="default"/>
                <w:color w:val="auto"/>
              </w:rPr>
              <w:t>70</w:t>
            </w:r>
          </w:p>
        </w:tc>
        <w:tc>
          <w:tcPr>
            <w:tcW w:w="1987" w:type="dxa"/>
          </w:tcPr>
          <w:p w14:paraId="72A9BCAB">
            <w:pPr>
              <w:pStyle w:val="91"/>
              <w:keepNext w:val="0"/>
              <w:keepLines w:val="0"/>
              <w:suppressLineNumbers w:val="0"/>
              <w:spacing w:before="0" w:beforeAutospacing="0" w:after="0" w:afterAutospacing="0"/>
              <w:ind w:left="0" w:right="0"/>
              <w:rPr>
                <w:rFonts w:hint="default"/>
                <w:color w:val="auto"/>
              </w:rPr>
            </w:pPr>
            <w:r>
              <w:rPr>
                <w:rFonts w:hint="default"/>
                <w:color w:val="auto"/>
              </w:rPr>
              <w:t>0.58</w:t>
            </w:r>
          </w:p>
        </w:tc>
      </w:tr>
      <w:tr w14:paraId="374F2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4F95ED88">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45C64D0D">
            <w:pPr>
              <w:pStyle w:val="91"/>
              <w:keepNext w:val="0"/>
              <w:keepLines w:val="0"/>
              <w:suppressLineNumbers w:val="0"/>
              <w:spacing w:before="0" w:beforeAutospacing="0" w:after="0" w:afterAutospacing="0"/>
              <w:ind w:left="0" w:right="0"/>
              <w:rPr>
                <w:rFonts w:hint="default"/>
                <w:color w:val="auto"/>
              </w:rPr>
            </w:pPr>
          </w:p>
        </w:tc>
        <w:tc>
          <w:tcPr>
            <w:tcW w:w="2126" w:type="dxa"/>
            <w:vAlign w:val="center"/>
          </w:tcPr>
          <w:p w14:paraId="6386D2F9">
            <w:pPr>
              <w:pStyle w:val="91"/>
              <w:keepNext w:val="0"/>
              <w:keepLines w:val="0"/>
              <w:suppressLineNumbers w:val="0"/>
              <w:spacing w:before="0" w:beforeAutospacing="0" w:after="0" w:afterAutospacing="0"/>
              <w:ind w:left="0" w:right="0"/>
              <w:rPr>
                <w:rFonts w:hint="default"/>
                <w:color w:val="auto"/>
              </w:rPr>
            </w:pPr>
            <w:r>
              <w:rPr>
                <w:rFonts w:hint="default"/>
                <w:color w:val="auto"/>
              </w:rPr>
              <w:t>敏感目标名称</w:t>
            </w:r>
          </w:p>
        </w:tc>
        <w:tc>
          <w:tcPr>
            <w:tcW w:w="993" w:type="dxa"/>
            <w:vAlign w:val="center"/>
          </w:tcPr>
          <w:p w14:paraId="46587FD6">
            <w:pPr>
              <w:pStyle w:val="91"/>
              <w:keepNext w:val="0"/>
              <w:keepLines w:val="0"/>
              <w:suppressLineNumbers w:val="0"/>
              <w:spacing w:before="0" w:beforeAutospacing="0" w:after="0" w:afterAutospacing="0"/>
              <w:ind w:left="0" w:right="0"/>
              <w:rPr>
                <w:rFonts w:hint="default"/>
                <w:color w:val="auto"/>
              </w:rPr>
            </w:pPr>
            <w:r>
              <w:rPr>
                <w:rFonts w:hint="default"/>
                <w:color w:val="auto"/>
              </w:rPr>
              <w:t>超标时间min</w:t>
            </w:r>
          </w:p>
        </w:tc>
        <w:tc>
          <w:tcPr>
            <w:tcW w:w="1417" w:type="dxa"/>
            <w:vAlign w:val="center"/>
          </w:tcPr>
          <w:p w14:paraId="4C2D055D">
            <w:pPr>
              <w:pStyle w:val="91"/>
              <w:keepNext w:val="0"/>
              <w:keepLines w:val="0"/>
              <w:suppressLineNumbers w:val="0"/>
              <w:spacing w:before="0" w:beforeAutospacing="0" w:after="0" w:afterAutospacing="0"/>
              <w:ind w:left="0" w:right="0"/>
              <w:rPr>
                <w:rFonts w:hint="default"/>
                <w:color w:val="auto"/>
              </w:rPr>
            </w:pPr>
            <w:r>
              <w:rPr>
                <w:rFonts w:hint="default"/>
                <w:color w:val="auto"/>
              </w:rPr>
              <w:t>超标持续时间min</w:t>
            </w:r>
          </w:p>
        </w:tc>
        <w:tc>
          <w:tcPr>
            <w:tcW w:w="1987" w:type="dxa"/>
          </w:tcPr>
          <w:p w14:paraId="7633ABB4">
            <w:pPr>
              <w:pStyle w:val="91"/>
              <w:keepNext w:val="0"/>
              <w:keepLines w:val="0"/>
              <w:suppressLineNumbers w:val="0"/>
              <w:spacing w:before="0" w:beforeAutospacing="0" w:after="0" w:afterAutospacing="0"/>
              <w:ind w:left="0" w:right="0"/>
              <w:rPr>
                <w:rFonts w:hint="default"/>
                <w:color w:val="auto"/>
              </w:rPr>
            </w:pPr>
            <w:r>
              <w:rPr>
                <w:rFonts w:hint="default"/>
                <w:color w:val="auto"/>
              </w:rPr>
              <w:t>最大浓度mg/m</w:t>
            </w:r>
            <w:r>
              <w:rPr>
                <w:rFonts w:hint="default"/>
                <w:color w:val="auto"/>
                <w:vertAlign w:val="superscript"/>
              </w:rPr>
              <w:t>3</w:t>
            </w:r>
          </w:p>
        </w:tc>
      </w:tr>
      <w:tr w14:paraId="26C0B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719763B8">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57D96EB2">
            <w:pPr>
              <w:pStyle w:val="91"/>
              <w:keepNext w:val="0"/>
              <w:keepLines w:val="0"/>
              <w:suppressLineNumbers w:val="0"/>
              <w:spacing w:before="0" w:beforeAutospacing="0" w:after="0" w:afterAutospacing="0"/>
              <w:ind w:left="0" w:right="0"/>
              <w:rPr>
                <w:rFonts w:hint="default"/>
                <w:color w:val="auto"/>
              </w:rPr>
            </w:pPr>
          </w:p>
        </w:tc>
        <w:tc>
          <w:tcPr>
            <w:tcW w:w="2126" w:type="dxa"/>
            <w:vAlign w:val="center"/>
          </w:tcPr>
          <w:p w14:paraId="4B788F62">
            <w:pPr>
              <w:pStyle w:val="91"/>
              <w:keepNext w:val="0"/>
              <w:keepLines w:val="0"/>
              <w:suppressLineNumbers w:val="0"/>
              <w:spacing w:before="0" w:beforeAutospacing="0" w:after="0" w:afterAutospacing="0"/>
              <w:ind w:left="0" w:right="0"/>
              <w:rPr>
                <w:rFonts w:hint="default"/>
                <w:color w:val="auto"/>
              </w:rPr>
            </w:pPr>
            <w:r>
              <w:rPr>
                <w:rFonts w:hint="default"/>
                <w:color w:val="auto"/>
              </w:rPr>
              <w:t>无</w:t>
            </w:r>
          </w:p>
        </w:tc>
        <w:tc>
          <w:tcPr>
            <w:tcW w:w="993" w:type="dxa"/>
            <w:vAlign w:val="center"/>
          </w:tcPr>
          <w:p w14:paraId="6B2191F1">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1417" w:type="dxa"/>
            <w:vAlign w:val="center"/>
          </w:tcPr>
          <w:p w14:paraId="01E8C79C">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1987" w:type="dxa"/>
          </w:tcPr>
          <w:p w14:paraId="5A3E654A">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78968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50F19F31">
            <w:pPr>
              <w:pStyle w:val="91"/>
              <w:keepNext w:val="0"/>
              <w:keepLines w:val="0"/>
              <w:suppressLineNumbers w:val="0"/>
              <w:spacing w:before="0" w:beforeAutospacing="0" w:after="0" w:afterAutospacing="0"/>
              <w:ind w:left="0" w:right="0"/>
              <w:rPr>
                <w:rFonts w:hint="default"/>
                <w:color w:val="auto"/>
              </w:rPr>
            </w:pPr>
          </w:p>
        </w:tc>
        <w:tc>
          <w:tcPr>
            <w:tcW w:w="1302" w:type="dxa"/>
            <w:vMerge w:val="restart"/>
            <w:vAlign w:val="center"/>
          </w:tcPr>
          <w:p w14:paraId="60750C9D">
            <w:pPr>
              <w:pStyle w:val="91"/>
              <w:keepNext w:val="0"/>
              <w:keepLines w:val="0"/>
              <w:suppressLineNumbers w:val="0"/>
              <w:spacing w:before="0" w:beforeAutospacing="0" w:after="0" w:afterAutospacing="0"/>
              <w:ind w:left="0" w:right="0"/>
              <w:rPr>
                <w:rFonts w:hint="default"/>
                <w:color w:val="auto"/>
              </w:rPr>
            </w:pPr>
            <w:r>
              <w:rPr>
                <w:rFonts w:hint="eastAsia"/>
                <w:color w:val="auto"/>
              </w:rPr>
              <w:t>SO</w:t>
            </w:r>
            <w:r>
              <w:rPr>
                <w:rFonts w:hint="eastAsia"/>
                <w:color w:val="auto"/>
                <w:vertAlign w:val="subscript"/>
              </w:rPr>
              <w:t>2</w:t>
            </w:r>
          </w:p>
        </w:tc>
        <w:tc>
          <w:tcPr>
            <w:tcW w:w="2126" w:type="dxa"/>
            <w:vAlign w:val="center"/>
          </w:tcPr>
          <w:p w14:paraId="0571DFDF">
            <w:pPr>
              <w:pStyle w:val="91"/>
              <w:keepNext w:val="0"/>
              <w:keepLines w:val="0"/>
              <w:suppressLineNumbers w:val="0"/>
              <w:spacing w:before="0" w:beforeAutospacing="0" w:after="0" w:afterAutospacing="0"/>
              <w:ind w:left="0" w:right="0"/>
              <w:rPr>
                <w:rFonts w:hint="default"/>
                <w:color w:val="auto"/>
              </w:rPr>
            </w:pPr>
            <w:r>
              <w:rPr>
                <w:rFonts w:hint="default"/>
                <w:color w:val="auto"/>
              </w:rPr>
              <w:t>大气毒性终点浓度-1</w:t>
            </w:r>
          </w:p>
        </w:tc>
        <w:tc>
          <w:tcPr>
            <w:tcW w:w="993" w:type="dxa"/>
            <w:vAlign w:val="center"/>
          </w:tcPr>
          <w:p w14:paraId="7CA612A6">
            <w:pPr>
              <w:pStyle w:val="91"/>
              <w:keepNext w:val="0"/>
              <w:keepLines w:val="0"/>
              <w:suppressLineNumbers w:val="0"/>
              <w:spacing w:before="0" w:beforeAutospacing="0" w:after="0" w:afterAutospacing="0"/>
              <w:ind w:left="0" w:right="0"/>
              <w:rPr>
                <w:rFonts w:hint="default"/>
                <w:color w:val="auto"/>
              </w:rPr>
            </w:pPr>
            <w:r>
              <w:rPr>
                <w:rFonts w:hint="default"/>
                <w:color w:val="auto"/>
              </w:rPr>
              <w:t>79</w:t>
            </w:r>
          </w:p>
        </w:tc>
        <w:tc>
          <w:tcPr>
            <w:tcW w:w="1417" w:type="dxa"/>
            <w:vAlign w:val="center"/>
          </w:tcPr>
          <w:p w14:paraId="0A2663B1">
            <w:pPr>
              <w:pStyle w:val="91"/>
              <w:keepNext w:val="0"/>
              <w:keepLines w:val="0"/>
              <w:suppressLineNumbers w:val="0"/>
              <w:spacing w:before="0" w:beforeAutospacing="0" w:after="0" w:afterAutospacing="0"/>
              <w:ind w:left="0" w:right="0"/>
              <w:rPr>
                <w:rFonts w:hint="default"/>
                <w:color w:val="auto"/>
              </w:rPr>
            </w:pPr>
            <w:r>
              <w:rPr>
                <w:rFonts w:hint="default"/>
                <w:color w:val="auto"/>
              </w:rPr>
              <w:t>60</w:t>
            </w:r>
          </w:p>
        </w:tc>
        <w:tc>
          <w:tcPr>
            <w:tcW w:w="1987" w:type="dxa"/>
          </w:tcPr>
          <w:p w14:paraId="7DCB3AAA">
            <w:pPr>
              <w:pStyle w:val="91"/>
              <w:keepNext w:val="0"/>
              <w:keepLines w:val="0"/>
              <w:suppressLineNumbers w:val="0"/>
              <w:spacing w:before="0" w:beforeAutospacing="0" w:after="0" w:afterAutospacing="0"/>
              <w:ind w:left="0" w:right="0"/>
              <w:rPr>
                <w:rFonts w:hint="default"/>
                <w:color w:val="auto"/>
              </w:rPr>
            </w:pPr>
            <w:r>
              <w:rPr>
                <w:rFonts w:hint="default"/>
                <w:color w:val="auto"/>
              </w:rPr>
              <w:t>8.46</w:t>
            </w:r>
          </w:p>
        </w:tc>
      </w:tr>
      <w:tr w14:paraId="46E81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41285DD6">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44A4C211">
            <w:pPr>
              <w:pStyle w:val="91"/>
              <w:keepNext w:val="0"/>
              <w:keepLines w:val="0"/>
              <w:suppressLineNumbers w:val="0"/>
              <w:spacing w:before="0" w:beforeAutospacing="0" w:after="0" w:afterAutospacing="0"/>
              <w:ind w:left="0" w:right="0"/>
              <w:rPr>
                <w:rFonts w:hint="default"/>
                <w:color w:val="auto"/>
              </w:rPr>
            </w:pPr>
          </w:p>
        </w:tc>
        <w:tc>
          <w:tcPr>
            <w:tcW w:w="2126" w:type="dxa"/>
            <w:vAlign w:val="center"/>
          </w:tcPr>
          <w:p w14:paraId="7FB5F285">
            <w:pPr>
              <w:pStyle w:val="91"/>
              <w:keepNext w:val="0"/>
              <w:keepLines w:val="0"/>
              <w:suppressLineNumbers w:val="0"/>
              <w:spacing w:before="0" w:beforeAutospacing="0" w:after="0" w:afterAutospacing="0"/>
              <w:ind w:left="0" w:right="0"/>
              <w:rPr>
                <w:rFonts w:hint="default"/>
                <w:color w:val="auto"/>
              </w:rPr>
            </w:pPr>
            <w:r>
              <w:rPr>
                <w:rFonts w:hint="default"/>
                <w:color w:val="auto"/>
              </w:rPr>
              <w:t>大气毒性终点浓度-2</w:t>
            </w:r>
          </w:p>
        </w:tc>
        <w:tc>
          <w:tcPr>
            <w:tcW w:w="993" w:type="dxa"/>
            <w:vAlign w:val="center"/>
          </w:tcPr>
          <w:p w14:paraId="0225CB30">
            <w:pPr>
              <w:pStyle w:val="91"/>
              <w:keepNext w:val="0"/>
              <w:keepLines w:val="0"/>
              <w:suppressLineNumbers w:val="0"/>
              <w:spacing w:before="0" w:beforeAutospacing="0" w:after="0" w:afterAutospacing="0"/>
              <w:ind w:left="0" w:right="0"/>
              <w:rPr>
                <w:rFonts w:hint="default"/>
                <w:color w:val="auto"/>
              </w:rPr>
            </w:pPr>
            <w:r>
              <w:rPr>
                <w:rFonts w:hint="default"/>
                <w:color w:val="auto"/>
              </w:rPr>
              <w:t>2</w:t>
            </w:r>
          </w:p>
        </w:tc>
        <w:tc>
          <w:tcPr>
            <w:tcW w:w="1417" w:type="dxa"/>
            <w:vAlign w:val="center"/>
          </w:tcPr>
          <w:p w14:paraId="7EF08F14">
            <w:pPr>
              <w:pStyle w:val="91"/>
              <w:keepNext w:val="0"/>
              <w:keepLines w:val="0"/>
              <w:suppressLineNumbers w:val="0"/>
              <w:spacing w:before="0" w:beforeAutospacing="0" w:after="0" w:afterAutospacing="0"/>
              <w:ind w:left="0" w:right="0"/>
              <w:rPr>
                <w:rFonts w:hint="default"/>
                <w:color w:val="auto"/>
              </w:rPr>
            </w:pPr>
            <w:r>
              <w:rPr>
                <w:rFonts w:hint="default"/>
                <w:color w:val="auto"/>
              </w:rPr>
              <w:t>1970</w:t>
            </w:r>
          </w:p>
        </w:tc>
        <w:tc>
          <w:tcPr>
            <w:tcW w:w="1987" w:type="dxa"/>
          </w:tcPr>
          <w:p w14:paraId="6DADFDA2">
            <w:pPr>
              <w:pStyle w:val="91"/>
              <w:keepNext w:val="0"/>
              <w:keepLines w:val="0"/>
              <w:suppressLineNumbers w:val="0"/>
              <w:spacing w:before="0" w:beforeAutospacing="0" w:after="0" w:afterAutospacing="0"/>
              <w:ind w:left="0" w:right="0"/>
              <w:rPr>
                <w:rFonts w:hint="default"/>
                <w:color w:val="auto"/>
              </w:rPr>
            </w:pPr>
            <w:r>
              <w:rPr>
                <w:rFonts w:hint="default"/>
                <w:color w:val="auto"/>
              </w:rPr>
              <w:t>29.42</w:t>
            </w:r>
          </w:p>
        </w:tc>
      </w:tr>
      <w:tr w14:paraId="7C0C5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51637F0B">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710DAC59">
            <w:pPr>
              <w:pStyle w:val="91"/>
              <w:keepNext w:val="0"/>
              <w:keepLines w:val="0"/>
              <w:suppressLineNumbers w:val="0"/>
              <w:spacing w:before="0" w:beforeAutospacing="0" w:after="0" w:afterAutospacing="0"/>
              <w:ind w:left="0" w:right="0"/>
              <w:rPr>
                <w:rFonts w:hint="default"/>
                <w:color w:val="auto"/>
              </w:rPr>
            </w:pPr>
          </w:p>
        </w:tc>
        <w:tc>
          <w:tcPr>
            <w:tcW w:w="2126" w:type="dxa"/>
            <w:vAlign w:val="center"/>
          </w:tcPr>
          <w:p w14:paraId="3499CCFE">
            <w:pPr>
              <w:pStyle w:val="91"/>
              <w:keepNext w:val="0"/>
              <w:keepLines w:val="0"/>
              <w:suppressLineNumbers w:val="0"/>
              <w:spacing w:before="0" w:beforeAutospacing="0" w:after="0" w:afterAutospacing="0"/>
              <w:ind w:left="0" w:right="0"/>
              <w:rPr>
                <w:rFonts w:hint="default"/>
                <w:color w:val="auto"/>
              </w:rPr>
            </w:pPr>
            <w:r>
              <w:rPr>
                <w:rFonts w:hint="default"/>
                <w:color w:val="auto"/>
              </w:rPr>
              <w:t>敏感目标名称</w:t>
            </w:r>
          </w:p>
        </w:tc>
        <w:tc>
          <w:tcPr>
            <w:tcW w:w="993" w:type="dxa"/>
            <w:vAlign w:val="center"/>
          </w:tcPr>
          <w:p w14:paraId="0B59ED17">
            <w:pPr>
              <w:pStyle w:val="91"/>
              <w:keepNext w:val="0"/>
              <w:keepLines w:val="0"/>
              <w:suppressLineNumbers w:val="0"/>
              <w:spacing w:before="0" w:beforeAutospacing="0" w:after="0" w:afterAutospacing="0"/>
              <w:ind w:left="0" w:right="0"/>
              <w:rPr>
                <w:rFonts w:hint="default"/>
                <w:color w:val="auto"/>
              </w:rPr>
            </w:pPr>
            <w:r>
              <w:rPr>
                <w:rFonts w:hint="default"/>
                <w:color w:val="auto"/>
              </w:rPr>
              <w:t>超标时间min</w:t>
            </w:r>
          </w:p>
        </w:tc>
        <w:tc>
          <w:tcPr>
            <w:tcW w:w="1417" w:type="dxa"/>
            <w:vAlign w:val="center"/>
          </w:tcPr>
          <w:p w14:paraId="13E94368">
            <w:pPr>
              <w:pStyle w:val="91"/>
              <w:keepNext w:val="0"/>
              <w:keepLines w:val="0"/>
              <w:suppressLineNumbers w:val="0"/>
              <w:spacing w:before="0" w:beforeAutospacing="0" w:after="0" w:afterAutospacing="0"/>
              <w:ind w:left="0" w:right="0"/>
              <w:rPr>
                <w:rFonts w:hint="default"/>
                <w:color w:val="auto"/>
              </w:rPr>
            </w:pPr>
            <w:r>
              <w:rPr>
                <w:rFonts w:hint="default"/>
                <w:color w:val="auto"/>
              </w:rPr>
              <w:t>超标持续时间min</w:t>
            </w:r>
          </w:p>
        </w:tc>
        <w:tc>
          <w:tcPr>
            <w:tcW w:w="1987" w:type="dxa"/>
          </w:tcPr>
          <w:p w14:paraId="76CB9B29">
            <w:pPr>
              <w:pStyle w:val="91"/>
              <w:keepNext w:val="0"/>
              <w:keepLines w:val="0"/>
              <w:suppressLineNumbers w:val="0"/>
              <w:spacing w:before="0" w:beforeAutospacing="0" w:after="0" w:afterAutospacing="0"/>
              <w:ind w:left="0" w:right="0"/>
              <w:rPr>
                <w:rFonts w:hint="default"/>
                <w:color w:val="auto"/>
              </w:rPr>
            </w:pPr>
            <w:r>
              <w:rPr>
                <w:rFonts w:hint="default"/>
                <w:color w:val="auto"/>
              </w:rPr>
              <w:t>最大浓度mg/m</w:t>
            </w:r>
            <w:r>
              <w:rPr>
                <w:rFonts w:hint="default"/>
                <w:color w:val="auto"/>
                <w:vertAlign w:val="superscript"/>
              </w:rPr>
              <w:t>3</w:t>
            </w:r>
          </w:p>
        </w:tc>
      </w:tr>
      <w:tr w14:paraId="4BE99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2710890F">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4066C57D">
            <w:pPr>
              <w:pStyle w:val="91"/>
              <w:keepNext w:val="0"/>
              <w:keepLines w:val="0"/>
              <w:suppressLineNumbers w:val="0"/>
              <w:spacing w:before="0" w:beforeAutospacing="0" w:after="0" w:afterAutospacing="0"/>
              <w:ind w:left="0" w:right="0"/>
              <w:rPr>
                <w:rFonts w:hint="default"/>
                <w:color w:val="auto"/>
              </w:rPr>
            </w:pPr>
          </w:p>
        </w:tc>
        <w:tc>
          <w:tcPr>
            <w:tcW w:w="2126" w:type="dxa"/>
            <w:vAlign w:val="center"/>
          </w:tcPr>
          <w:p w14:paraId="41B3195D">
            <w:pPr>
              <w:pStyle w:val="91"/>
              <w:keepNext w:val="0"/>
              <w:keepLines w:val="0"/>
              <w:suppressLineNumbers w:val="0"/>
              <w:spacing w:before="0" w:beforeAutospacing="0" w:after="0" w:afterAutospacing="0"/>
              <w:ind w:left="0" w:right="0"/>
              <w:rPr>
                <w:rFonts w:hint="default"/>
                <w:color w:val="auto"/>
              </w:rPr>
            </w:pPr>
            <w:r>
              <w:rPr>
                <w:rFonts w:hint="eastAsia"/>
                <w:color w:val="auto"/>
              </w:rPr>
              <w:t>厚福沙村</w:t>
            </w:r>
          </w:p>
        </w:tc>
        <w:tc>
          <w:tcPr>
            <w:tcW w:w="993" w:type="dxa"/>
            <w:vAlign w:val="center"/>
          </w:tcPr>
          <w:p w14:paraId="0EE0CD2B">
            <w:pPr>
              <w:pStyle w:val="91"/>
              <w:keepNext w:val="0"/>
              <w:keepLines w:val="0"/>
              <w:suppressLineNumbers w:val="0"/>
              <w:spacing w:before="0" w:beforeAutospacing="0" w:after="0" w:afterAutospacing="0"/>
              <w:ind w:left="0" w:right="0"/>
              <w:rPr>
                <w:rFonts w:hint="default"/>
                <w:color w:val="auto"/>
              </w:rPr>
            </w:pPr>
            <w:r>
              <w:rPr>
                <w:rFonts w:hint="default"/>
                <w:color w:val="auto"/>
              </w:rPr>
              <w:t>28.61</w:t>
            </w:r>
          </w:p>
        </w:tc>
        <w:tc>
          <w:tcPr>
            <w:tcW w:w="1417" w:type="dxa"/>
            <w:vAlign w:val="center"/>
          </w:tcPr>
          <w:p w14:paraId="612BAFEE">
            <w:pPr>
              <w:pStyle w:val="91"/>
              <w:keepNext w:val="0"/>
              <w:keepLines w:val="0"/>
              <w:suppressLineNumbers w:val="0"/>
              <w:spacing w:before="0" w:beforeAutospacing="0" w:after="0" w:afterAutospacing="0"/>
              <w:ind w:left="0" w:right="0"/>
              <w:rPr>
                <w:rFonts w:hint="default"/>
                <w:color w:val="auto"/>
              </w:rPr>
            </w:pPr>
            <w:r>
              <w:rPr>
                <w:rFonts w:hint="eastAsia"/>
                <w:color w:val="auto"/>
              </w:rPr>
              <w:t>6.53</w:t>
            </w:r>
          </w:p>
        </w:tc>
        <w:tc>
          <w:tcPr>
            <w:tcW w:w="1987" w:type="dxa"/>
          </w:tcPr>
          <w:p w14:paraId="640917F9">
            <w:pPr>
              <w:pStyle w:val="91"/>
              <w:keepNext w:val="0"/>
              <w:keepLines w:val="0"/>
              <w:suppressLineNumbers w:val="0"/>
              <w:spacing w:before="0" w:beforeAutospacing="0" w:after="0" w:afterAutospacing="0"/>
              <w:ind w:left="0" w:right="0"/>
              <w:rPr>
                <w:rFonts w:hint="default"/>
                <w:color w:val="auto"/>
              </w:rPr>
            </w:pPr>
            <w:r>
              <w:rPr>
                <w:rFonts w:hint="eastAsia"/>
                <w:color w:val="auto"/>
              </w:rPr>
              <w:t>4</w:t>
            </w:r>
          </w:p>
        </w:tc>
      </w:tr>
      <w:tr w14:paraId="4DD2A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018FFA48">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0B815EEC">
            <w:pPr>
              <w:pStyle w:val="91"/>
              <w:keepNext w:val="0"/>
              <w:keepLines w:val="0"/>
              <w:suppressLineNumbers w:val="0"/>
              <w:spacing w:before="0" w:beforeAutospacing="0" w:after="0" w:afterAutospacing="0"/>
              <w:ind w:left="0" w:right="0"/>
              <w:rPr>
                <w:rFonts w:hint="default"/>
                <w:color w:val="auto"/>
              </w:rPr>
            </w:pPr>
          </w:p>
        </w:tc>
        <w:tc>
          <w:tcPr>
            <w:tcW w:w="2126" w:type="dxa"/>
            <w:vAlign w:val="center"/>
          </w:tcPr>
          <w:p w14:paraId="7D233124">
            <w:pPr>
              <w:pStyle w:val="91"/>
              <w:keepNext w:val="0"/>
              <w:keepLines w:val="0"/>
              <w:suppressLineNumbers w:val="0"/>
              <w:spacing w:before="0" w:beforeAutospacing="0" w:after="0" w:afterAutospacing="0"/>
              <w:ind w:left="0" w:right="0"/>
              <w:rPr>
                <w:rFonts w:hint="default"/>
                <w:color w:val="auto"/>
              </w:rPr>
            </w:pPr>
            <w:r>
              <w:rPr>
                <w:rFonts w:hint="eastAsia"/>
                <w:color w:val="auto"/>
              </w:rPr>
              <w:t>果子山村</w:t>
            </w:r>
          </w:p>
        </w:tc>
        <w:tc>
          <w:tcPr>
            <w:tcW w:w="993" w:type="dxa"/>
            <w:vAlign w:val="center"/>
          </w:tcPr>
          <w:p w14:paraId="4A211A44">
            <w:pPr>
              <w:pStyle w:val="91"/>
              <w:keepNext w:val="0"/>
              <w:keepLines w:val="0"/>
              <w:suppressLineNumbers w:val="0"/>
              <w:spacing w:before="0" w:beforeAutospacing="0" w:after="0" w:afterAutospacing="0"/>
              <w:ind w:left="0" w:right="0"/>
              <w:rPr>
                <w:rFonts w:hint="default"/>
                <w:color w:val="auto"/>
              </w:rPr>
            </w:pPr>
            <w:r>
              <w:rPr>
                <w:rFonts w:hint="default"/>
                <w:color w:val="auto"/>
              </w:rPr>
              <w:t>31.25</w:t>
            </w:r>
          </w:p>
        </w:tc>
        <w:tc>
          <w:tcPr>
            <w:tcW w:w="1417" w:type="dxa"/>
            <w:vAlign w:val="center"/>
          </w:tcPr>
          <w:p w14:paraId="72F97F63">
            <w:pPr>
              <w:pStyle w:val="91"/>
              <w:keepNext w:val="0"/>
              <w:keepLines w:val="0"/>
              <w:suppressLineNumbers w:val="0"/>
              <w:spacing w:before="0" w:beforeAutospacing="0" w:after="0" w:afterAutospacing="0"/>
              <w:ind w:left="0" w:right="0"/>
              <w:rPr>
                <w:rFonts w:hint="default"/>
                <w:color w:val="auto"/>
              </w:rPr>
            </w:pPr>
            <w:r>
              <w:rPr>
                <w:rFonts w:hint="eastAsia"/>
                <w:color w:val="auto"/>
              </w:rPr>
              <w:t>3.89</w:t>
            </w:r>
          </w:p>
        </w:tc>
        <w:tc>
          <w:tcPr>
            <w:tcW w:w="1987" w:type="dxa"/>
          </w:tcPr>
          <w:p w14:paraId="6898ED40">
            <w:pPr>
              <w:pStyle w:val="91"/>
              <w:keepNext w:val="0"/>
              <w:keepLines w:val="0"/>
              <w:suppressLineNumbers w:val="0"/>
              <w:spacing w:before="0" w:beforeAutospacing="0" w:after="0" w:afterAutospacing="0"/>
              <w:ind w:left="0" w:right="0"/>
              <w:rPr>
                <w:rFonts w:hint="default"/>
                <w:color w:val="auto"/>
              </w:rPr>
            </w:pPr>
            <w:r>
              <w:rPr>
                <w:rFonts w:hint="eastAsia"/>
                <w:color w:val="auto"/>
              </w:rPr>
              <w:t>2.97</w:t>
            </w:r>
          </w:p>
        </w:tc>
      </w:tr>
      <w:tr w14:paraId="29F62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2977D610">
            <w:pPr>
              <w:pStyle w:val="91"/>
              <w:keepNext w:val="0"/>
              <w:keepLines w:val="0"/>
              <w:suppressLineNumbers w:val="0"/>
              <w:spacing w:before="0" w:beforeAutospacing="0" w:after="0" w:afterAutospacing="0"/>
              <w:ind w:left="0" w:right="0"/>
              <w:rPr>
                <w:rFonts w:hint="default"/>
                <w:color w:val="auto"/>
              </w:rPr>
            </w:pPr>
          </w:p>
        </w:tc>
        <w:tc>
          <w:tcPr>
            <w:tcW w:w="7825" w:type="dxa"/>
            <w:gridSpan w:val="5"/>
            <w:vAlign w:val="center"/>
          </w:tcPr>
          <w:p w14:paraId="08AC31C6">
            <w:pPr>
              <w:pStyle w:val="91"/>
              <w:keepNext w:val="0"/>
              <w:keepLines w:val="0"/>
              <w:suppressLineNumbers w:val="0"/>
              <w:spacing w:before="0" w:beforeAutospacing="0" w:after="0" w:afterAutospacing="0"/>
              <w:ind w:left="0" w:right="0"/>
              <w:jc w:val="center"/>
              <w:rPr>
                <w:rFonts w:hint="eastAsia" w:eastAsia="宋体"/>
                <w:color w:val="auto"/>
                <w:u w:val="single"/>
                <w:lang w:eastAsia="zh-CN"/>
              </w:rPr>
            </w:pPr>
            <w:r>
              <w:rPr>
                <w:rFonts w:hint="eastAsia"/>
                <w:color w:val="auto"/>
                <w:u w:val="single"/>
                <w:lang w:eastAsia="zh-CN"/>
              </w:rPr>
              <w:t>最常见气象条件下事故后果预测</w:t>
            </w:r>
          </w:p>
        </w:tc>
      </w:tr>
      <w:tr w14:paraId="1BE3E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6AD5B82A">
            <w:pPr>
              <w:pStyle w:val="91"/>
              <w:keepNext w:val="0"/>
              <w:keepLines w:val="0"/>
              <w:suppressLineNumbers w:val="0"/>
              <w:spacing w:before="0" w:beforeAutospacing="0" w:after="0" w:afterAutospacing="0"/>
              <w:ind w:left="0" w:right="0"/>
              <w:rPr>
                <w:rFonts w:hint="default"/>
                <w:color w:val="auto"/>
              </w:rPr>
            </w:pPr>
          </w:p>
        </w:tc>
        <w:tc>
          <w:tcPr>
            <w:tcW w:w="1302" w:type="dxa"/>
            <w:vAlign w:val="center"/>
          </w:tcPr>
          <w:p w14:paraId="1101D12A">
            <w:pPr>
              <w:pStyle w:val="91"/>
              <w:keepNext w:val="0"/>
              <w:keepLines w:val="0"/>
              <w:suppressLineNumbers w:val="0"/>
              <w:spacing w:before="0" w:beforeAutospacing="0" w:after="0" w:afterAutospacing="0"/>
              <w:ind w:left="0" w:leftChars="0" w:right="0" w:rightChars="0" w:firstLine="0" w:firstLineChars="0"/>
              <w:rPr>
                <w:rFonts w:hint="default"/>
                <w:color w:val="auto"/>
                <w:u w:val="single"/>
              </w:rPr>
            </w:pPr>
            <w:r>
              <w:rPr>
                <w:rFonts w:hint="default"/>
                <w:b/>
                <w:color w:val="auto"/>
                <w:u w:val="single"/>
              </w:rPr>
              <w:t>危险物质</w:t>
            </w:r>
          </w:p>
        </w:tc>
        <w:tc>
          <w:tcPr>
            <w:tcW w:w="2126" w:type="dxa"/>
            <w:vAlign w:val="center"/>
          </w:tcPr>
          <w:p w14:paraId="5B416B62">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b/>
                <w:color w:val="auto"/>
                <w:u w:val="single"/>
              </w:rPr>
              <w:t>指标</w:t>
            </w:r>
          </w:p>
        </w:tc>
        <w:tc>
          <w:tcPr>
            <w:tcW w:w="993" w:type="dxa"/>
            <w:vAlign w:val="center"/>
          </w:tcPr>
          <w:p w14:paraId="38793B78">
            <w:pPr>
              <w:pStyle w:val="91"/>
              <w:keepNext w:val="0"/>
              <w:keepLines w:val="0"/>
              <w:suppressLineNumbers w:val="0"/>
              <w:spacing w:before="0" w:beforeAutospacing="0" w:after="0" w:afterAutospacing="0"/>
              <w:ind w:left="0" w:leftChars="0" w:right="0" w:rightChars="0" w:firstLine="0" w:firstLineChars="0"/>
              <w:rPr>
                <w:rFonts w:hint="default"/>
                <w:color w:val="auto"/>
                <w:u w:val="single"/>
              </w:rPr>
            </w:pPr>
            <w:r>
              <w:rPr>
                <w:rFonts w:hint="default"/>
                <w:b/>
                <w:color w:val="auto"/>
                <w:u w:val="single"/>
              </w:rPr>
              <w:t>浓度值mg/m</w:t>
            </w:r>
            <w:r>
              <w:rPr>
                <w:rFonts w:hint="default"/>
                <w:b/>
                <w:color w:val="auto"/>
                <w:u w:val="single"/>
                <w:vertAlign w:val="superscript"/>
              </w:rPr>
              <w:t>3</w:t>
            </w:r>
          </w:p>
        </w:tc>
        <w:tc>
          <w:tcPr>
            <w:tcW w:w="1417" w:type="dxa"/>
            <w:vAlign w:val="center"/>
          </w:tcPr>
          <w:p w14:paraId="6CBF31D7">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b/>
                <w:color w:val="auto"/>
                <w:u w:val="single"/>
              </w:rPr>
              <w:t>最远影响距离</w:t>
            </w:r>
          </w:p>
        </w:tc>
        <w:tc>
          <w:tcPr>
            <w:tcW w:w="1987" w:type="dxa"/>
            <w:vAlign w:val="top"/>
          </w:tcPr>
          <w:p w14:paraId="3C5513AE">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b/>
                <w:color w:val="auto"/>
                <w:u w:val="single"/>
              </w:rPr>
              <w:t>到达时间min</w:t>
            </w:r>
          </w:p>
        </w:tc>
      </w:tr>
      <w:tr w14:paraId="20EB3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162F59AE">
            <w:pPr>
              <w:pStyle w:val="91"/>
              <w:keepNext w:val="0"/>
              <w:keepLines w:val="0"/>
              <w:suppressLineNumbers w:val="0"/>
              <w:spacing w:before="0" w:beforeAutospacing="0" w:after="0" w:afterAutospacing="0"/>
              <w:ind w:left="0" w:right="0"/>
              <w:rPr>
                <w:rFonts w:hint="default"/>
                <w:color w:val="auto"/>
              </w:rPr>
            </w:pPr>
          </w:p>
        </w:tc>
        <w:tc>
          <w:tcPr>
            <w:tcW w:w="1302" w:type="dxa"/>
            <w:vMerge w:val="restart"/>
            <w:vAlign w:val="center"/>
          </w:tcPr>
          <w:p w14:paraId="5FCD855E">
            <w:pPr>
              <w:pStyle w:val="91"/>
              <w:keepNext w:val="0"/>
              <w:keepLines w:val="0"/>
              <w:suppressLineNumbers w:val="0"/>
              <w:spacing w:before="0" w:beforeAutospacing="0" w:after="0" w:afterAutospacing="0"/>
              <w:ind w:left="0" w:right="0"/>
              <w:rPr>
                <w:rFonts w:hint="eastAsia" w:eastAsia="宋体"/>
                <w:color w:val="auto"/>
                <w:u w:val="single"/>
                <w:lang w:eastAsia="zh-CN"/>
              </w:rPr>
            </w:pPr>
            <w:r>
              <w:rPr>
                <w:rFonts w:hint="eastAsia"/>
                <w:color w:val="auto"/>
                <w:u w:val="single"/>
                <w:lang w:eastAsia="zh-CN"/>
              </w:rPr>
              <w:t>甲基叔丁基醚（MTBE）</w:t>
            </w:r>
          </w:p>
        </w:tc>
        <w:tc>
          <w:tcPr>
            <w:tcW w:w="2126" w:type="dxa"/>
            <w:vAlign w:val="center"/>
          </w:tcPr>
          <w:p w14:paraId="63A64640">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大气毒性终点浓度-1</w:t>
            </w:r>
          </w:p>
        </w:tc>
        <w:tc>
          <w:tcPr>
            <w:tcW w:w="993" w:type="dxa"/>
            <w:vAlign w:val="center"/>
          </w:tcPr>
          <w:p w14:paraId="24ED42CE">
            <w:pPr>
              <w:pStyle w:val="91"/>
              <w:keepNext w:val="0"/>
              <w:keepLines w:val="0"/>
              <w:suppressLineNumbers w:val="0"/>
              <w:spacing w:before="0" w:beforeAutospacing="0" w:after="0" w:afterAutospacing="0"/>
              <w:ind w:left="0" w:leftChars="0" w:right="0" w:rightChars="0" w:firstLine="0" w:firstLineChars="0"/>
              <w:rPr>
                <w:rFonts w:hint="default"/>
                <w:color w:val="auto"/>
                <w:u w:val="single"/>
              </w:rPr>
            </w:pPr>
            <w:r>
              <w:rPr>
                <w:rFonts w:hint="default"/>
                <w:color w:val="auto"/>
                <w:u w:val="single"/>
              </w:rPr>
              <w:t>19000</w:t>
            </w:r>
          </w:p>
        </w:tc>
        <w:tc>
          <w:tcPr>
            <w:tcW w:w="1417" w:type="dxa"/>
            <w:vAlign w:val="center"/>
          </w:tcPr>
          <w:p w14:paraId="42EC029A">
            <w:pPr>
              <w:pStyle w:val="91"/>
              <w:keepNext w:val="0"/>
              <w:keepLines w:val="0"/>
              <w:suppressLineNumbers w:val="0"/>
              <w:spacing w:before="0" w:beforeAutospacing="0" w:after="0" w:afterAutospacing="0"/>
              <w:ind w:left="0" w:leftChars="0" w:right="0" w:rightChars="0" w:firstLine="0" w:firstLineChars="0"/>
              <w:rPr>
                <w:rFonts w:hint="default" w:eastAsia="宋体"/>
                <w:color w:val="auto"/>
                <w:u w:val="single"/>
                <w:lang w:val="en-US" w:eastAsia="zh-CN"/>
              </w:rPr>
            </w:pPr>
            <w:r>
              <w:rPr>
                <w:rFonts w:hint="eastAsia"/>
                <w:color w:val="auto"/>
                <w:u w:val="single"/>
                <w:lang w:val="en-US" w:eastAsia="zh-CN"/>
              </w:rPr>
              <w:t>10</w:t>
            </w:r>
          </w:p>
        </w:tc>
        <w:tc>
          <w:tcPr>
            <w:tcW w:w="1987" w:type="dxa"/>
            <w:vAlign w:val="top"/>
          </w:tcPr>
          <w:p w14:paraId="51CA9CE3">
            <w:pPr>
              <w:pStyle w:val="91"/>
              <w:keepNext w:val="0"/>
              <w:keepLines w:val="0"/>
              <w:suppressLineNumbers w:val="0"/>
              <w:spacing w:before="0" w:beforeAutospacing="0" w:after="0" w:afterAutospacing="0"/>
              <w:ind w:left="0" w:leftChars="0" w:right="0" w:rightChars="0" w:firstLine="0" w:firstLineChars="0"/>
              <w:rPr>
                <w:rFonts w:hint="default" w:eastAsia="宋体"/>
                <w:color w:val="auto"/>
                <w:u w:val="single"/>
                <w:lang w:val="en-US" w:eastAsia="zh-CN"/>
              </w:rPr>
            </w:pPr>
            <w:r>
              <w:rPr>
                <w:rFonts w:hint="eastAsia"/>
                <w:color w:val="auto"/>
                <w:u w:val="single"/>
              </w:rPr>
              <w:t>＜</w:t>
            </w:r>
            <w:r>
              <w:rPr>
                <w:rFonts w:hint="eastAsia"/>
                <w:color w:val="auto"/>
                <w:u w:val="single"/>
                <w:lang w:val="en-US" w:eastAsia="zh-CN"/>
              </w:rPr>
              <w:t>7.66</w:t>
            </w:r>
          </w:p>
        </w:tc>
      </w:tr>
      <w:tr w14:paraId="5D7F3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4E8963C6">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2C0100EC">
            <w:pPr>
              <w:pStyle w:val="91"/>
              <w:keepNext w:val="0"/>
              <w:keepLines w:val="0"/>
              <w:suppressLineNumbers w:val="0"/>
              <w:spacing w:before="0" w:beforeAutospacing="0" w:after="0" w:afterAutospacing="0"/>
              <w:ind w:left="0" w:right="0"/>
              <w:rPr>
                <w:rFonts w:hint="default"/>
                <w:color w:val="auto"/>
                <w:u w:val="single"/>
              </w:rPr>
            </w:pPr>
          </w:p>
        </w:tc>
        <w:tc>
          <w:tcPr>
            <w:tcW w:w="2126" w:type="dxa"/>
            <w:vAlign w:val="center"/>
          </w:tcPr>
          <w:p w14:paraId="776511C8">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大气毒性终点浓度-2</w:t>
            </w:r>
          </w:p>
        </w:tc>
        <w:tc>
          <w:tcPr>
            <w:tcW w:w="993" w:type="dxa"/>
            <w:vAlign w:val="center"/>
          </w:tcPr>
          <w:p w14:paraId="6FA1E764">
            <w:pPr>
              <w:pStyle w:val="91"/>
              <w:keepNext w:val="0"/>
              <w:keepLines w:val="0"/>
              <w:suppressLineNumbers w:val="0"/>
              <w:spacing w:before="0" w:beforeAutospacing="0" w:after="0" w:afterAutospacing="0"/>
              <w:ind w:left="0" w:leftChars="0" w:right="0" w:rightChars="0" w:firstLine="0" w:firstLineChars="0"/>
              <w:rPr>
                <w:rFonts w:hint="default"/>
                <w:color w:val="auto"/>
                <w:u w:val="single"/>
              </w:rPr>
            </w:pPr>
            <w:r>
              <w:rPr>
                <w:rFonts w:hint="default"/>
                <w:color w:val="auto"/>
                <w:u w:val="single"/>
              </w:rPr>
              <w:t>2100</w:t>
            </w:r>
          </w:p>
        </w:tc>
        <w:tc>
          <w:tcPr>
            <w:tcW w:w="1417" w:type="dxa"/>
            <w:vAlign w:val="center"/>
          </w:tcPr>
          <w:p w14:paraId="1B3CD8B7">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w:t>
            </w:r>
          </w:p>
        </w:tc>
        <w:tc>
          <w:tcPr>
            <w:tcW w:w="1987" w:type="dxa"/>
            <w:vAlign w:val="top"/>
          </w:tcPr>
          <w:p w14:paraId="72486F76">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w:t>
            </w:r>
          </w:p>
        </w:tc>
      </w:tr>
      <w:tr w14:paraId="738D8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3ED4C604">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14DC20A8">
            <w:pPr>
              <w:pStyle w:val="91"/>
              <w:keepNext w:val="0"/>
              <w:keepLines w:val="0"/>
              <w:suppressLineNumbers w:val="0"/>
              <w:spacing w:before="0" w:beforeAutospacing="0" w:after="0" w:afterAutospacing="0"/>
              <w:ind w:left="0" w:right="0"/>
              <w:rPr>
                <w:rFonts w:hint="default"/>
                <w:color w:val="auto"/>
                <w:u w:val="single"/>
              </w:rPr>
            </w:pPr>
          </w:p>
        </w:tc>
        <w:tc>
          <w:tcPr>
            <w:tcW w:w="2126" w:type="dxa"/>
            <w:vAlign w:val="center"/>
          </w:tcPr>
          <w:p w14:paraId="3F1F735E">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敏感目标名称</w:t>
            </w:r>
          </w:p>
        </w:tc>
        <w:tc>
          <w:tcPr>
            <w:tcW w:w="993" w:type="dxa"/>
            <w:vAlign w:val="center"/>
          </w:tcPr>
          <w:p w14:paraId="42A85472">
            <w:pPr>
              <w:pStyle w:val="91"/>
              <w:keepNext w:val="0"/>
              <w:keepLines w:val="0"/>
              <w:suppressLineNumbers w:val="0"/>
              <w:spacing w:before="0" w:beforeAutospacing="0" w:after="0" w:afterAutospacing="0"/>
              <w:ind w:left="0" w:leftChars="0" w:right="0" w:rightChars="0" w:firstLine="0" w:firstLineChars="0"/>
              <w:rPr>
                <w:rFonts w:hint="default"/>
                <w:color w:val="auto"/>
                <w:u w:val="single"/>
              </w:rPr>
            </w:pPr>
            <w:r>
              <w:rPr>
                <w:rFonts w:hint="default"/>
                <w:color w:val="auto"/>
                <w:u w:val="single"/>
              </w:rPr>
              <w:t>超标时间min</w:t>
            </w:r>
          </w:p>
        </w:tc>
        <w:tc>
          <w:tcPr>
            <w:tcW w:w="1417" w:type="dxa"/>
            <w:vAlign w:val="center"/>
          </w:tcPr>
          <w:p w14:paraId="0348CC63">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超标持续时间min</w:t>
            </w:r>
          </w:p>
        </w:tc>
        <w:tc>
          <w:tcPr>
            <w:tcW w:w="1987" w:type="dxa"/>
            <w:vAlign w:val="top"/>
          </w:tcPr>
          <w:p w14:paraId="246D837E">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最大浓度mg/m</w:t>
            </w:r>
            <w:r>
              <w:rPr>
                <w:rFonts w:hint="default"/>
                <w:color w:val="auto"/>
                <w:u w:val="single"/>
                <w:vertAlign w:val="superscript"/>
              </w:rPr>
              <w:t>3</w:t>
            </w:r>
          </w:p>
        </w:tc>
      </w:tr>
      <w:tr w14:paraId="34439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1684886A">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1188C5E1">
            <w:pPr>
              <w:pStyle w:val="91"/>
              <w:keepNext w:val="0"/>
              <w:keepLines w:val="0"/>
              <w:suppressLineNumbers w:val="0"/>
              <w:spacing w:before="0" w:beforeAutospacing="0" w:after="0" w:afterAutospacing="0"/>
              <w:ind w:left="0" w:right="0"/>
              <w:rPr>
                <w:rFonts w:hint="default"/>
                <w:color w:val="auto"/>
                <w:u w:val="single"/>
              </w:rPr>
            </w:pPr>
          </w:p>
        </w:tc>
        <w:tc>
          <w:tcPr>
            <w:tcW w:w="2126" w:type="dxa"/>
            <w:vAlign w:val="center"/>
          </w:tcPr>
          <w:p w14:paraId="73CC36D2">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无</w:t>
            </w:r>
          </w:p>
        </w:tc>
        <w:tc>
          <w:tcPr>
            <w:tcW w:w="993" w:type="dxa"/>
            <w:vAlign w:val="center"/>
          </w:tcPr>
          <w:p w14:paraId="025DD9E8">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lang w:val="en-US" w:eastAsia="zh-CN"/>
              </w:rPr>
              <w:t>/</w:t>
            </w:r>
          </w:p>
        </w:tc>
        <w:tc>
          <w:tcPr>
            <w:tcW w:w="1417" w:type="dxa"/>
            <w:vAlign w:val="center"/>
          </w:tcPr>
          <w:p w14:paraId="0A27E2B1">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lang w:val="en-US" w:eastAsia="zh-CN"/>
              </w:rPr>
              <w:t>/</w:t>
            </w:r>
          </w:p>
        </w:tc>
        <w:tc>
          <w:tcPr>
            <w:tcW w:w="1987" w:type="dxa"/>
          </w:tcPr>
          <w:p w14:paraId="2B9FDE11">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lang w:val="en-US" w:eastAsia="zh-CN"/>
              </w:rPr>
              <w:t>/</w:t>
            </w:r>
          </w:p>
        </w:tc>
      </w:tr>
      <w:tr w14:paraId="75B21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67648814">
            <w:pPr>
              <w:pStyle w:val="91"/>
              <w:keepNext w:val="0"/>
              <w:keepLines w:val="0"/>
              <w:suppressLineNumbers w:val="0"/>
              <w:spacing w:before="0" w:beforeAutospacing="0" w:after="0" w:afterAutospacing="0"/>
              <w:ind w:left="0" w:right="0"/>
              <w:rPr>
                <w:rFonts w:hint="default"/>
                <w:color w:val="auto"/>
              </w:rPr>
            </w:pPr>
          </w:p>
        </w:tc>
        <w:tc>
          <w:tcPr>
            <w:tcW w:w="1302" w:type="dxa"/>
            <w:vMerge w:val="restart"/>
            <w:vAlign w:val="center"/>
          </w:tcPr>
          <w:p w14:paraId="66A3EFAE">
            <w:pPr>
              <w:pStyle w:val="91"/>
              <w:keepNext w:val="0"/>
              <w:keepLines w:val="0"/>
              <w:suppressLineNumbers w:val="0"/>
              <w:spacing w:before="0" w:beforeAutospacing="0" w:after="0" w:afterAutospacing="0"/>
              <w:ind w:left="0" w:right="0"/>
              <w:rPr>
                <w:rFonts w:hint="eastAsia" w:eastAsia="宋体"/>
                <w:color w:val="auto"/>
                <w:u w:val="single"/>
                <w:lang w:eastAsia="zh-CN"/>
              </w:rPr>
            </w:pPr>
            <w:r>
              <w:rPr>
                <w:rFonts w:hint="eastAsia"/>
                <w:color w:val="auto"/>
                <w:u w:val="single"/>
                <w:lang w:eastAsia="zh-CN"/>
              </w:rPr>
              <w:t>异辛烷</w:t>
            </w:r>
          </w:p>
        </w:tc>
        <w:tc>
          <w:tcPr>
            <w:tcW w:w="2126" w:type="dxa"/>
            <w:vAlign w:val="center"/>
          </w:tcPr>
          <w:p w14:paraId="70B258F8">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大气毒性终点浓度-1</w:t>
            </w:r>
          </w:p>
        </w:tc>
        <w:tc>
          <w:tcPr>
            <w:tcW w:w="993" w:type="dxa"/>
            <w:vAlign w:val="center"/>
          </w:tcPr>
          <w:p w14:paraId="0F2AE7CD">
            <w:pPr>
              <w:pStyle w:val="91"/>
              <w:keepNext w:val="0"/>
              <w:keepLines w:val="0"/>
              <w:suppressLineNumbers w:val="0"/>
              <w:spacing w:before="0" w:beforeAutospacing="0" w:after="0" w:afterAutospacing="0"/>
              <w:ind w:left="0" w:leftChars="0" w:right="0" w:rightChars="0" w:firstLine="0" w:firstLineChars="0"/>
              <w:rPr>
                <w:rFonts w:hint="default"/>
                <w:color w:val="auto"/>
                <w:u w:val="single"/>
              </w:rPr>
            </w:pPr>
            <w:r>
              <w:rPr>
                <w:rFonts w:hint="eastAsia"/>
                <w:color w:val="auto"/>
                <w:u w:val="single"/>
              </w:rPr>
              <w:t>/</w:t>
            </w:r>
          </w:p>
        </w:tc>
        <w:tc>
          <w:tcPr>
            <w:tcW w:w="1417" w:type="dxa"/>
            <w:vAlign w:val="center"/>
          </w:tcPr>
          <w:p w14:paraId="335133DB">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w:t>
            </w:r>
          </w:p>
        </w:tc>
        <w:tc>
          <w:tcPr>
            <w:tcW w:w="1987" w:type="dxa"/>
            <w:vAlign w:val="top"/>
          </w:tcPr>
          <w:p w14:paraId="23700EA5">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w:t>
            </w:r>
          </w:p>
        </w:tc>
      </w:tr>
      <w:tr w14:paraId="28274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393FADC3">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7748E076">
            <w:pPr>
              <w:pStyle w:val="91"/>
              <w:keepNext w:val="0"/>
              <w:keepLines w:val="0"/>
              <w:suppressLineNumbers w:val="0"/>
              <w:spacing w:before="0" w:beforeAutospacing="0" w:after="0" w:afterAutospacing="0"/>
              <w:ind w:left="0" w:right="0"/>
              <w:rPr>
                <w:rFonts w:hint="default"/>
                <w:color w:val="auto"/>
                <w:u w:val="single"/>
              </w:rPr>
            </w:pPr>
          </w:p>
        </w:tc>
        <w:tc>
          <w:tcPr>
            <w:tcW w:w="2126" w:type="dxa"/>
            <w:vAlign w:val="center"/>
          </w:tcPr>
          <w:p w14:paraId="07D189EC">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大气毒性终点浓度-2</w:t>
            </w:r>
          </w:p>
        </w:tc>
        <w:tc>
          <w:tcPr>
            <w:tcW w:w="993" w:type="dxa"/>
            <w:vAlign w:val="center"/>
          </w:tcPr>
          <w:p w14:paraId="57DD2875">
            <w:pPr>
              <w:pStyle w:val="91"/>
              <w:keepNext w:val="0"/>
              <w:keepLines w:val="0"/>
              <w:suppressLineNumbers w:val="0"/>
              <w:spacing w:before="0" w:beforeAutospacing="0" w:after="0" w:afterAutospacing="0"/>
              <w:ind w:left="0" w:leftChars="0" w:right="0" w:rightChars="0" w:firstLine="0" w:firstLineChars="0"/>
              <w:rPr>
                <w:rFonts w:hint="default"/>
                <w:color w:val="auto"/>
                <w:u w:val="single"/>
              </w:rPr>
            </w:pPr>
            <w:r>
              <w:rPr>
                <w:rFonts w:hint="eastAsia"/>
                <w:color w:val="auto"/>
                <w:u w:val="single"/>
              </w:rPr>
              <w:t>80</w:t>
            </w:r>
          </w:p>
        </w:tc>
        <w:tc>
          <w:tcPr>
            <w:tcW w:w="1417" w:type="dxa"/>
            <w:vAlign w:val="center"/>
          </w:tcPr>
          <w:p w14:paraId="258CDDCB">
            <w:pPr>
              <w:pStyle w:val="91"/>
              <w:keepNext w:val="0"/>
              <w:keepLines w:val="0"/>
              <w:suppressLineNumbers w:val="0"/>
              <w:spacing w:before="0" w:beforeAutospacing="0" w:after="0" w:afterAutospacing="0"/>
              <w:ind w:left="0" w:leftChars="0" w:right="0" w:rightChars="0" w:firstLine="0" w:firstLineChars="0"/>
              <w:rPr>
                <w:rFonts w:hint="default" w:eastAsia="宋体"/>
                <w:color w:val="auto"/>
                <w:u w:val="single"/>
                <w:lang w:val="en-US" w:eastAsia="zh-CN"/>
              </w:rPr>
            </w:pPr>
            <w:r>
              <w:rPr>
                <w:rFonts w:hint="eastAsia"/>
                <w:color w:val="auto"/>
                <w:u w:val="single"/>
                <w:lang w:val="en-US" w:eastAsia="zh-CN"/>
              </w:rPr>
              <w:t>340</w:t>
            </w:r>
          </w:p>
        </w:tc>
        <w:tc>
          <w:tcPr>
            <w:tcW w:w="1987" w:type="dxa"/>
            <w:vAlign w:val="top"/>
          </w:tcPr>
          <w:p w14:paraId="1B6ED421">
            <w:pPr>
              <w:pStyle w:val="91"/>
              <w:keepNext w:val="0"/>
              <w:keepLines w:val="0"/>
              <w:suppressLineNumbers w:val="0"/>
              <w:spacing w:before="0" w:beforeAutospacing="0" w:after="0" w:afterAutospacing="0"/>
              <w:ind w:left="0" w:leftChars="0" w:right="0" w:rightChars="0" w:firstLine="0" w:firstLineChars="0"/>
              <w:rPr>
                <w:rFonts w:hint="default" w:eastAsia="宋体"/>
                <w:color w:val="auto"/>
                <w:u w:val="single"/>
                <w:lang w:val="en-US" w:eastAsia="zh-CN"/>
              </w:rPr>
            </w:pPr>
            <w:r>
              <w:rPr>
                <w:rFonts w:hint="eastAsia"/>
                <w:color w:val="auto"/>
                <w:u w:val="single"/>
              </w:rPr>
              <w:t>1</w:t>
            </w:r>
            <w:r>
              <w:rPr>
                <w:rFonts w:hint="eastAsia"/>
                <w:color w:val="auto"/>
                <w:u w:val="single"/>
                <w:lang w:val="en-US" w:eastAsia="zh-CN"/>
              </w:rPr>
              <w:t>2.35</w:t>
            </w:r>
          </w:p>
        </w:tc>
      </w:tr>
      <w:tr w14:paraId="2509B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55960B5E">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55D0979C">
            <w:pPr>
              <w:pStyle w:val="91"/>
              <w:keepNext w:val="0"/>
              <w:keepLines w:val="0"/>
              <w:suppressLineNumbers w:val="0"/>
              <w:spacing w:before="0" w:beforeAutospacing="0" w:after="0" w:afterAutospacing="0"/>
              <w:ind w:left="0" w:right="0"/>
              <w:rPr>
                <w:rFonts w:hint="default"/>
                <w:color w:val="auto"/>
                <w:u w:val="single"/>
              </w:rPr>
            </w:pPr>
          </w:p>
        </w:tc>
        <w:tc>
          <w:tcPr>
            <w:tcW w:w="2126" w:type="dxa"/>
            <w:vAlign w:val="center"/>
          </w:tcPr>
          <w:p w14:paraId="4D3FA7C8">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敏感目标名称</w:t>
            </w:r>
          </w:p>
        </w:tc>
        <w:tc>
          <w:tcPr>
            <w:tcW w:w="993" w:type="dxa"/>
            <w:vAlign w:val="center"/>
          </w:tcPr>
          <w:p w14:paraId="70FB3E70">
            <w:pPr>
              <w:pStyle w:val="91"/>
              <w:keepNext w:val="0"/>
              <w:keepLines w:val="0"/>
              <w:suppressLineNumbers w:val="0"/>
              <w:spacing w:before="0" w:beforeAutospacing="0" w:after="0" w:afterAutospacing="0"/>
              <w:ind w:left="0" w:leftChars="0" w:right="0" w:rightChars="0" w:firstLine="0" w:firstLineChars="0"/>
              <w:rPr>
                <w:rFonts w:hint="default"/>
                <w:color w:val="auto"/>
                <w:u w:val="single"/>
              </w:rPr>
            </w:pPr>
            <w:r>
              <w:rPr>
                <w:rFonts w:hint="default"/>
                <w:color w:val="auto"/>
                <w:u w:val="single"/>
              </w:rPr>
              <w:t>超标时间min</w:t>
            </w:r>
          </w:p>
        </w:tc>
        <w:tc>
          <w:tcPr>
            <w:tcW w:w="1417" w:type="dxa"/>
            <w:vAlign w:val="center"/>
          </w:tcPr>
          <w:p w14:paraId="5CAE0523">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超标持续时间min</w:t>
            </w:r>
          </w:p>
        </w:tc>
        <w:tc>
          <w:tcPr>
            <w:tcW w:w="1987" w:type="dxa"/>
            <w:vAlign w:val="top"/>
          </w:tcPr>
          <w:p w14:paraId="268E0490">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最大浓度mg/m</w:t>
            </w:r>
            <w:r>
              <w:rPr>
                <w:rFonts w:hint="default"/>
                <w:color w:val="auto"/>
                <w:u w:val="single"/>
                <w:vertAlign w:val="superscript"/>
              </w:rPr>
              <w:t>3</w:t>
            </w:r>
          </w:p>
        </w:tc>
      </w:tr>
      <w:tr w14:paraId="3DE28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002BF465">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12712996">
            <w:pPr>
              <w:pStyle w:val="91"/>
              <w:keepNext w:val="0"/>
              <w:keepLines w:val="0"/>
              <w:suppressLineNumbers w:val="0"/>
              <w:spacing w:before="0" w:beforeAutospacing="0" w:after="0" w:afterAutospacing="0"/>
              <w:ind w:left="0" w:right="0"/>
              <w:rPr>
                <w:rFonts w:hint="default"/>
                <w:color w:val="auto"/>
                <w:u w:val="single"/>
              </w:rPr>
            </w:pPr>
          </w:p>
        </w:tc>
        <w:tc>
          <w:tcPr>
            <w:tcW w:w="2126" w:type="dxa"/>
            <w:vAlign w:val="center"/>
          </w:tcPr>
          <w:p w14:paraId="7543FBA4">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无</w:t>
            </w:r>
          </w:p>
        </w:tc>
        <w:tc>
          <w:tcPr>
            <w:tcW w:w="993" w:type="dxa"/>
            <w:vAlign w:val="center"/>
          </w:tcPr>
          <w:p w14:paraId="68F60B2A">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lang w:val="en-US" w:eastAsia="zh-CN"/>
              </w:rPr>
              <w:t>/</w:t>
            </w:r>
          </w:p>
        </w:tc>
        <w:tc>
          <w:tcPr>
            <w:tcW w:w="1417" w:type="dxa"/>
            <w:vAlign w:val="center"/>
          </w:tcPr>
          <w:p w14:paraId="7EAE709C">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lang w:val="en-US" w:eastAsia="zh-CN"/>
              </w:rPr>
              <w:t>/</w:t>
            </w:r>
          </w:p>
        </w:tc>
        <w:tc>
          <w:tcPr>
            <w:tcW w:w="1987" w:type="dxa"/>
          </w:tcPr>
          <w:p w14:paraId="6550E58C">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lang w:val="en-US" w:eastAsia="zh-CN"/>
              </w:rPr>
              <w:t>/</w:t>
            </w:r>
          </w:p>
        </w:tc>
      </w:tr>
      <w:tr w14:paraId="042E6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6B3D3D97">
            <w:pPr>
              <w:pStyle w:val="91"/>
              <w:keepNext w:val="0"/>
              <w:keepLines w:val="0"/>
              <w:suppressLineNumbers w:val="0"/>
              <w:spacing w:before="0" w:beforeAutospacing="0" w:after="0" w:afterAutospacing="0"/>
              <w:ind w:left="0" w:right="0"/>
              <w:rPr>
                <w:rFonts w:hint="default"/>
                <w:color w:val="auto"/>
              </w:rPr>
            </w:pPr>
          </w:p>
        </w:tc>
        <w:tc>
          <w:tcPr>
            <w:tcW w:w="1302" w:type="dxa"/>
            <w:vMerge w:val="restart"/>
            <w:vAlign w:val="center"/>
          </w:tcPr>
          <w:p w14:paraId="1313A48F">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石脑油</w:t>
            </w:r>
          </w:p>
        </w:tc>
        <w:tc>
          <w:tcPr>
            <w:tcW w:w="2126" w:type="dxa"/>
            <w:vAlign w:val="center"/>
          </w:tcPr>
          <w:p w14:paraId="795F1074">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大气毒性终点浓度-1</w:t>
            </w:r>
          </w:p>
        </w:tc>
        <w:tc>
          <w:tcPr>
            <w:tcW w:w="993" w:type="dxa"/>
            <w:vAlign w:val="center"/>
          </w:tcPr>
          <w:p w14:paraId="52B13E0B">
            <w:pPr>
              <w:pStyle w:val="91"/>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16000</w:t>
            </w:r>
          </w:p>
        </w:tc>
        <w:tc>
          <w:tcPr>
            <w:tcW w:w="1417" w:type="dxa"/>
            <w:vAlign w:val="center"/>
          </w:tcPr>
          <w:p w14:paraId="2BFEFE7C">
            <w:pPr>
              <w:pStyle w:val="91"/>
              <w:keepNext w:val="0"/>
              <w:keepLines w:val="0"/>
              <w:suppressLineNumbers w:val="0"/>
              <w:spacing w:before="0" w:beforeAutospacing="0" w:after="0" w:afterAutospacing="0"/>
              <w:ind w:left="0" w:right="0"/>
              <w:rPr>
                <w:rFonts w:hint="eastAsia" w:eastAsia="宋体"/>
                <w:color w:val="auto"/>
                <w:u w:val="single"/>
                <w:lang w:val="en-US" w:eastAsia="zh-CN"/>
              </w:rPr>
            </w:pPr>
            <w:r>
              <w:rPr>
                <w:rFonts w:hint="eastAsia"/>
                <w:color w:val="auto"/>
                <w:u w:val="single"/>
                <w:lang w:val="en-US" w:eastAsia="zh-CN"/>
              </w:rPr>
              <w:t>/</w:t>
            </w:r>
          </w:p>
        </w:tc>
        <w:tc>
          <w:tcPr>
            <w:tcW w:w="1987" w:type="dxa"/>
          </w:tcPr>
          <w:p w14:paraId="5EAA0E59">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lang w:val="en-US" w:eastAsia="zh-CN"/>
              </w:rPr>
              <w:t>/</w:t>
            </w:r>
          </w:p>
        </w:tc>
      </w:tr>
      <w:tr w14:paraId="573AF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485FCAF8">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270D9572">
            <w:pPr>
              <w:pStyle w:val="91"/>
              <w:keepNext w:val="0"/>
              <w:keepLines w:val="0"/>
              <w:suppressLineNumbers w:val="0"/>
              <w:spacing w:before="0" w:beforeAutospacing="0" w:after="0" w:afterAutospacing="0"/>
              <w:ind w:left="0" w:right="0"/>
              <w:rPr>
                <w:rFonts w:hint="default"/>
                <w:color w:val="auto"/>
                <w:u w:val="single"/>
              </w:rPr>
            </w:pPr>
          </w:p>
        </w:tc>
        <w:tc>
          <w:tcPr>
            <w:tcW w:w="2126" w:type="dxa"/>
            <w:vAlign w:val="center"/>
          </w:tcPr>
          <w:p w14:paraId="4B715F3E">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大气毒性终点浓度-2</w:t>
            </w:r>
          </w:p>
        </w:tc>
        <w:tc>
          <w:tcPr>
            <w:tcW w:w="993" w:type="dxa"/>
            <w:vAlign w:val="center"/>
          </w:tcPr>
          <w:p w14:paraId="5846E652">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lang w:val="en-US" w:eastAsia="zh-CN"/>
              </w:rPr>
              <w:t>/</w:t>
            </w:r>
          </w:p>
        </w:tc>
        <w:tc>
          <w:tcPr>
            <w:tcW w:w="1417" w:type="dxa"/>
            <w:vAlign w:val="center"/>
          </w:tcPr>
          <w:p w14:paraId="1151AA3C">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lang w:val="en-US" w:eastAsia="zh-CN"/>
              </w:rPr>
              <w:t>/</w:t>
            </w:r>
          </w:p>
        </w:tc>
        <w:tc>
          <w:tcPr>
            <w:tcW w:w="1987" w:type="dxa"/>
          </w:tcPr>
          <w:p w14:paraId="2D63AE5A">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lang w:val="en-US" w:eastAsia="zh-CN"/>
              </w:rPr>
              <w:t>/</w:t>
            </w:r>
          </w:p>
        </w:tc>
      </w:tr>
      <w:tr w14:paraId="493BA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165D11A4">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3FC54839">
            <w:pPr>
              <w:pStyle w:val="91"/>
              <w:keepNext w:val="0"/>
              <w:keepLines w:val="0"/>
              <w:suppressLineNumbers w:val="0"/>
              <w:spacing w:before="0" w:beforeAutospacing="0" w:after="0" w:afterAutospacing="0"/>
              <w:ind w:left="0" w:right="0"/>
              <w:rPr>
                <w:rFonts w:hint="default"/>
                <w:color w:val="auto"/>
                <w:u w:val="single"/>
              </w:rPr>
            </w:pPr>
          </w:p>
        </w:tc>
        <w:tc>
          <w:tcPr>
            <w:tcW w:w="2126" w:type="dxa"/>
            <w:vAlign w:val="center"/>
          </w:tcPr>
          <w:p w14:paraId="657AE6D4">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敏感目标名称</w:t>
            </w:r>
          </w:p>
        </w:tc>
        <w:tc>
          <w:tcPr>
            <w:tcW w:w="993" w:type="dxa"/>
            <w:vAlign w:val="center"/>
          </w:tcPr>
          <w:p w14:paraId="21D66432">
            <w:pPr>
              <w:pStyle w:val="91"/>
              <w:keepNext w:val="0"/>
              <w:keepLines w:val="0"/>
              <w:suppressLineNumbers w:val="0"/>
              <w:spacing w:before="0" w:beforeAutospacing="0" w:after="0" w:afterAutospacing="0"/>
              <w:ind w:left="0" w:leftChars="0" w:right="0" w:rightChars="0" w:firstLine="0" w:firstLineChars="0"/>
              <w:rPr>
                <w:rFonts w:hint="default"/>
                <w:color w:val="auto"/>
                <w:u w:val="single"/>
              </w:rPr>
            </w:pPr>
            <w:r>
              <w:rPr>
                <w:rFonts w:hint="default"/>
                <w:color w:val="auto"/>
                <w:u w:val="single"/>
              </w:rPr>
              <w:t>超标时间min</w:t>
            </w:r>
          </w:p>
        </w:tc>
        <w:tc>
          <w:tcPr>
            <w:tcW w:w="1417" w:type="dxa"/>
            <w:vAlign w:val="center"/>
          </w:tcPr>
          <w:p w14:paraId="69DACE76">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超标持续时间min</w:t>
            </w:r>
          </w:p>
        </w:tc>
        <w:tc>
          <w:tcPr>
            <w:tcW w:w="1987" w:type="dxa"/>
            <w:vAlign w:val="top"/>
          </w:tcPr>
          <w:p w14:paraId="730F795E">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最大浓度mg/m</w:t>
            </w:r>
            <w:r>
              <w:rPr>
                <w:rFonts w:hint="default"/>
                <w:color w:val="auto"/>
                <w:u w:val="single"/>
                <w:vertAlign w:val="superscript"/>
              </w:rPr>
              <w:t>3</w:t>
            </w:r>
          </w:p>
        </w:tc>
      </w:tr>
      <w:tr w14:paraId="3AE06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384" w:type="dxa"/>
            <w:vMerge w:val="continue"/>
            <w:vAlign w:val="center"/>
          </w:tcPr>
          <w:p w14:paraId="1C894F61">
            <w:pPr>
              <w:pStyle w:val="91"/>
              <w:keepNext w:val="0"/>
              <w:keepLines w:val="0"/>
              <w:suppressLineNumbers w:val="0"/>
              <w:spacing w:before="0" w:beforeAutospacing="0" w:after="0" w:afterAutospacing="0"/>
              <w:ind w:left="0" w:right="0"/>
              <w:rPr>
                <w:rFonts w:hint="default"/>
                <w:color w:val="auto"/>
              </w:rPr>
            </w:pPr>
          </w:p>
        </w:tc>
        <w:tc>
          <w:tcPr>
            <w:tcW w:w="1302" w:type="dxa"/>
            <w:vMerge w:val="continue"/>
            <w:vAlign w:val="center"/>
          </w:tcPr>
          <w:p w14:paraId="00AA84BD">
            <w:pPr>
              <w:pStyle w:val="91"/>
              <w:keepNext w:val="0"/>
              <w:keepLines w:val="0"/>
              <w:suppressLineNumbers w:val="0"/>
              <w:spacing w:before="0" w:beforeAutospacing="0" w:after="0" w:afterAutospacing="0"/>
              <w:ind w:left="0" w:right="0"/>
              <w:rPr>
                <w:rFonts w:hint="default"/>
                <w:color w:val="auto"/>
                <w:u w:val="single"/>
              </w:rPr>
            </w:pPr>
          </w:p>
        </w:tc>
        <w:tc>
          <w:tcPr>
            <w:tcW w:w="2126" w:type="dxa"/>
            <w:vAlign w:val="center"/>
          </w:tcPr>
          <w:p w14:paraId="5A8DE9C0">
            <w:pPr>
              <w:pStyle w:val="91"/>
              <w:keepNext w:val="0"/>
              <w:keepLines w:val="0"/>
              <w:suppressLineNumbers w:val="0"/>
              <w:spacing w:before="0" w:beforeAutospacing="0" w:after="0" w:afterAutospacing="0"/>
              <w:ind w:left="0" w:leftChars="0" w:right="0" w:rightChars="0" w:firstLine="0" w:firstLineChars="0"/>
              <w:rPr>
                <w:rFonts w:hint="eastAsia"/>
                <w:color w:val="auto"/>
                <w:u w:val="single"/>
              </w:rPr>
            </w:pPr>
            <w:r>
              <w:rPr>
                <w:rFonts w:hint="default"/>
                <w:color w:val="auto"/>
                <w:u w:val="single"/>
              </w:rPr>
              <w:t>无</w:t>
            </w:r>
          </w:p>
        </w:tc>
        <w:tc>
          <w:tcPr>
            <w:tcW w:w="993" w:type="dxa"/>
            <w:vAlign w:val="center"/>
          </w:tcPr>
          <w:p w14:paraId="497AA68F">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lang w:val="en-US" w:eastAsia="zh-CN"/>
              </w:rPr>
              <w:t>/</w:t>
            </w:r>
          </w:p>
        </w:tc>
        <w:tc>
          <w:tcPr>
            <w:tcW w:w="1417" w:type="dxa"/>
            <w:vAlign w:val="center"/>
          </w:tcPr>
          <w:p w14:paraId="2F6A43D8">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lang w:val="en-US" w:eastAsia="zh-CN"/>
              </w:rPr>
              <w:t>/</w:t>
            </w:r>
          </w:p>
        </w:tc>
        <w:tc>
          <w:tcPr>
            <w:tcW w:w="1987" w:type="dxa"/>
          </w:tcPr>
          <w:p w14:paraId="0EE115A6">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lang w:val="en-US" w:eastAsia="zh-CN"/>
              </w:rPr>
              <w:t>/</w:t>
            </w:r>
          </w:p>
        </w:tc>
      </w:tr>
    </w:tbl>
    <w:p w14:paraId="4AF451BF">
      <w:pPr>
        <w:ind w:firstLine="480"/>
        <w:rPr>
          <w:b/>
          <w:bCs/>
          <w:color w:val="auto"/>
        </w:rPr>
      </w:pPr>
      <w:r>
        <w:rPr>
          <w:b/>
          <w:bCs/>
          <w:color w:val="auto"/>
        </w:rPr>
        <w:t>（</w:t>
      </w:r>
      <w:r>
        <w:rPr>
          <w:rFonts w:hint="eastAsia"/>
          <w:b/>
          <w:bCs/>
          <w:color w:val="auto"/>
          <w:lang w:val="en-US" w:eastAsia="zh-CN"/>
        </w:rPr>
        <w:t>1</w:t>
      </w:r>
      <w:r>
        <w:rPr>
          <w:b/>
          <w:bCs/>
          <w:color w:val="auto"/>
        </w:rPr>
        <w:t>）结论</w:t>
      </w:r>
    </w:p>
    <w:p w14:paraId="19F0F045">
      <w:pPr>
        <w:ind w:firstLine="480"/>
        <w:rPr>
          <w:color w:val="auto"/>
        </w:rPr>
      </w:pPr>
      <w:r>
        <w:rPr>
          <w:color w:val="auto"/>
        </w:rPr>
        <w:t>由上文预测可以看出，项目泄漏和火灾次生污染物在最不利气象条件下（风速1.5m/s，稳定度F）扩散过程中，各污染物预测结果如下：</w:t>
      </w:r>
    </w:p>
    <w:p w14:paraId="4B3E3F6A">
      <w:pPr>
        <w:ind w:firstLine="480"/>
        <w:rPr>
          <w:color w:val="auto"/>
        </w:rPr>
      </w:pPr>
      <w:r>
        <w:rPr>
          <w:rFonts w:hint="eastAsia"/>
          <w:color w:val="auto"/>
        </w:rPr>
        <w:t>甲基叔丁基醚（MTBE）</w:t>
      </w:r>
      <w:r>
        <w:rPr>
          <w:color w:val="auto"/>
        </w:rPr>
        <w:t>超过毒性终点浓度-1</w:t>
      </w:r>
      <w:r>
        <w:rPr>
          <w:rFonts w:hint="eastAsia"/>
          <w:color w:val="auto"/>
        </w:rPr>
        <w:t>，</w:t>
      </w:r>
      <w:r>
        <w:rPr>
          <w:color w:val="auto"/>
        </w:rPr>
        <w:t>未超过毒性终点浓度-2，最远距离为</w:t>
      </w:r>
      <w:r>
        <w:rPr>
          <w:rFonts w:hint="eastAsia"/>
          <w:color w:val="auto"/>
          <w:lang w:val="en-US" w:eastAsia="zh-CN"/>
        </w:rPr>
        <w:t>10</w:t>
      </w:r>
      <w:r>
        <w:rPr>
          <w:color w:val="auto"/>
        </w:rPr>
        <w:t>m；</w:t>
      </w:r>
    </w:p>
    <w:p w14:paraId="2E138FC3">
      <w:pPr>
        <w:ind w:firstLine="480"/>
        <w:rPr>
          <w:color w:val="auto"/>
        </w:rPr>
      </w:pPr>
      <w:r>
        <w:rPr>
          <w:rFonts w:hint="eastAsia"/>
          <w:color w:val="auto"/>
        </w:rPr>
        <w:t>异辛烷（烷基化油）超过毒性</w:t>
      </w:r>
      <w:r>
        <w:rPr>
          <w:color w:val="auto"/>
        </w:rPr>
        <w:t>终点浓度-2</w:t>
      </w:r>
      <w:r>
        <w:rPr>
          <w:rFonts w:hint="eastAsia"/>
          <w:color w:val="auto"/>
        </w:rPr>
        <w:t>，最远距离为</w:t>
      </w:r>
      <w:r>
        <w:rPr>
          <w:color w:val="auto"/>
        </w:rPr>
        <w:t>2</w:t>
      </w:r>
      <w:r>
        <w:rPr>
          <w:rFonts w:hint="eastAsia"/>
          <w:color w:val="auto"/>
          <w:lang w:val="en-US" w:eastAsia="zh-CN"/>
        </w:rPr>
        <w:t>7</w:t>
      </w:r>
      <w:r>
        <w:rPr>
          <w:color w:val="auto"/>
        </w:rPr>
        <w:t>0</w:t>
      </w:r>
      <w:r>
        <w:rPr>
          <w:rFonts w:hint="eastAsia"/>
          <w:color w:val="auto"/>
        </w:rPr>
        <w:t>m；</w:t>
      </w:r>
    </w:p>
    <w:p w14:paraId="6DE85933">
      <w:pPr>
        <w:ind w:firstLine="480"/>
        <w:rPr>
          <w:color w:val="auto"/>
        </w:rPr>
      </w:pPr>
      <w:r>
        <w:rPr>
          <w:rFonts w:hint="eastAsia"/>
          <w:color w:val="auto"/>
        </w:rPr>
        <w:t>石脑油</w:t>
      </w:r>
      <w:r>
        <w:rPr>
          <w:color w:val="auto"/>
        </w:rPr>
        <w:t>未超过毒性终点浓度</w:t>
      </w:r>
      <w:r>
        <w:rPr>
          <w:rFonts w:hint="eastAsia"/>
          <w:color w:val="auto"/>
        </w:rPr>
        <w:t>；</w:t>
      </w:r>
    </w:p>
    <w:p w14:paraId="24D530C0">
      <w:pPr>
        <w:ind w:firstLine="480"/>
        <w:rPr>
          <w:color w:val="auto"/>
        </w:rPr>
      </w:pPr>
      <w:r>
        <w:rPr>
          <w:color w:val="auto"/>
        </w:rPr>
        <w:t>CO超过毒性终点浓度-1和毒性终点浓度-2，最远距离分别为2</w:t>
      </w:r>
      <w:r>
        <w:rPr>
          <w:rFonts w:hint="eastAsia"/>
          <w:color w:val="auto"/>
        </w:rPr>
        <w:t>0</w:t>
      </w:r>
      <w:r>
        <w:rPr>
          <w:color w:val="auto"/>
        </w:rPr>
        <w:t>m、7</w:t>
      </w:r>
      <w:r>
        <w:rPr>
          <w:rFonts w:hint="eastAsia"/>
          <w:color w:val="auto"/>
        </w:rPr>
        <w:t>0</w:t>
      </w:r>
      <w:r>
        <w:rPr>
          <w:color w:val="auto"/>
        </w:rPr>
        <w:t>m</w:t>
      </w:r>
      <w:r>
        <w:rPr>
          <w:rFonts w:hint="eastAsia"/>
          <w:color w:val="auto"/>
        </w:rPr>
        <w:t>；</w:t>
      </w:r>
    </w:p>
    <w:p w14:paraId="3F7F05E7">
      <w:pPr>
        <w:ind w:firstLine="480"/>
        <w:rPr>
          <w:rFonts w:hint="eastAsia"/>
          <w:color w:val="auto"/>
        </w:rPr>
      </w:pPr>
      <w:r>
        <w:rPr>
          <w:color w:val="auto"/>
        </w:rPr>
        <w:t>SO</w:t>
      </w:r>
      <w:r>
        <w:rPr>
          <w:color w:val="auto"/>
          <w:vertAlign w:val="subscript"/>
        </w:rPr>
        <w:t>2</w:t>
      </w:r>
      <w:r>
        <w:rPr>
          <w:color w:val="auto"/>
        </w:rPr>
        <w:t>超过毒性终点浓度-1和毒性终点浓度-2，最远距离分别为</w:t>
      </w:r>
      <w:r>
        <w:rPr>
          <w:rFonts w:hint="eastAsia"/>
          <w:color w:val="auto"/>
          <w:lang w:val="en-US" w:eastAsia="zh-CN"/>
        </w:rPr>
        <w:t>320</w:t>
      </w:r>
      <w:r>
        <w:rPr>
          <w:color w:val="auto"/>
        </w:rPr>
        <w:t>m、</w:t>
      </w:r>
      <w:r>
        <w:rPr>
          <w:rFonts w:hint="eastAsia"/>
          <w:color w:val="auto"/>
          <w:lang w:val="en-US" w:eastAsia="zh-CN"/>
        </w:rPr>
        <w:t>271</w:t>
      </w:r>
      <w:r>
        <w:rPr>
          <w:color w:val="auto"/>
        </w:rPr>
        <w:t>0m</w:t>
      </w:r>
      <w:r>
        <w:rPr>
          <w:rFonts w:hint="eastAsia"/>
          <w:color w:val="auto"/>
        </w:rPr>
        <w:t>，</w:t>
      </w:r>
      <w:r>
        <w:rPr>
          <w:color w:val="auto"/>
        </w:rPr>
        <w:t>果子山村在SO</w:t>
      </w:r>
      <w:r>
        <w:rPr>
          <w:color w:val="auto"/>
          <w:vertAlign w:val="subscript"/>
        </w:rPr>
        <w:t>2</w:t>
      </w:r>
      <w:r>
        <w:rPr>
          <w:color w:val="auto"/>
        </w:rPr>
        <w:t>毒性终点浓度-2的</w:t>
      </w:r>
      <w:r>
        <w:rPr>
          <w:rFonts w:hint="eastAsia"/>
          <w:color w:val="auto"/>
        </w:rPr>
        <w:t>影响</w:t>
      </w:r>
      <w:r>
        <w:rPr>
          <w:color w:val="auto"/>
        </w:rPr>
        <w:t>范围内</w:t>
      </w:r>
      <w:r>
        <w:rPr>
          <w:rFonts w:hint="eastAsia"/>
          <w:color w:val="auto"/>
        </w:rPr>
        <w:t>。</w:t>
      </w:r>
    </w:p>
    <w:p w14:paraId="017DA271">
      <w:pPr>
        <w:ind w:firstLine="480"/>
        <w:rPr>
          <w:color w:val="auto"/>
          <w:u w:val="single"/>
        </w:rPr>
      </w:pPr>
      <w:r>
        <w:rPr>
          <w:rFonts w:hint="eastAsia"/>
          <w:color w:val="auto"/>
          <w:u w:val="single"/>
          <w:lang w:eastAsia="zh-CN"/>
        </w:rPr>
        <w:t>在常见气象条件下，</w:t>
      </w:r>
      <w:r>
        <w:rPr>
          <w:rFonts w:hint="eastAsia"/>
          <w:color w:val="auto"/>
          <w:u w:val="single"/>
        </w:rPr>
        <w:t>甲基叔丁基醚（MTBE）</w:t>
      </w:r>
      <w:r>
        <w:rPr>
          <w:color w:val="auto"/>
          <w:u w:val="single"/>
        </w:rPr>
        <w:t>超过毒性终点浓度-1</w:t>
      </w:r>
      <w:r>
        <w:rPr>
          <w:rFonts w:hint="eastAsia"/>
          <w:color w:val="auto"/>
          <w:u w:val="single"/>
        </w:rPr>
        <w:t>，</w:t>
      </w:r>
      <w:r>
        <w:rPr>
          <w:color w:val="auto"/>
          <w:u w:val="single"/>
        </w:rPr>
        <w:t>未超过毒性终点浓度-2，最远距离为</w:t>
      </w:r>
      <w:r>
        <w:rPr>
          <w:rFonts w:hint="eastAsia"/>
          <w:color w:val="auto"/>
          <w:u w:val="single"/>
          <w:lang w:val="en-US" w:eastAsia="zh-CN"/>
        </w:rPr>
        <w:t>10</w:t>
      </w:r>
      <w:r>
        <w:rPr>
          <w:color w:val="auto"/>
          <w:u w:val="single"/>
        </w:rPr>
        <w:t>m；</w:t>
      </w:r>
    </w:p>
    <w:p w14:paraId="3829CC24">
      <w:pPr>
        <w:ind w:firstLine="480"/>
        <w:rPr>
          <w:color w:val="auto"/>
          <w:u w:val="single"/>
        </w:rPr>
      </w:pPr>
      <w:r>
        <w:rPr>
          <w:rFonts w:hint="eastAsia"/>
          <w:color w:val="auto"/>
          <w:u w:val="single"/>
        </w:rPr>
        <w:t>异辛烷（烷基化油）超过毒性</w:t>
      </w:r>
      <w:r>
        <w:rPr>
          <w:color w:val="auto"/>
          <w:u w:val="single"/>
        </w:rPr>
        <w:t>终点浓度-2</w:t>
      </w:r>
      <w:r>
        <w:rPr>
          <w:rFonts w:hint="eastAsia"/>
          <w:color w:val="auto"/>
          <w:u w:val="single"/>
        </w:rPr>
        <w:t>，最远距离为</w:t>
      </w:r>
      <w:r>
        <w:rPr>
          <w:rFonts w:hint="eastAsia"/>
          <w:color w:val="auto"/>
          <w:u w:val="single"/>
          <w:lang w:val="en-US" w:eastAsia="zh-CN"/>
        </w:rPr>
        <w:t>340</w:t>
      </w:r>
      <w:r>
        <w:rPr>
          <w:rFonts w:hint="eastAsia"/>
          <w:color w:val="auto"/>
          <w:u w:val="single"/>
        </w:rPr>
        <w:t>m；</w:t>
      </w:r>
    </w:p>
    <w:p w14:paraId="7AF32263">
      <w:pPr>
        <w:ind w:firstLine="480"/>
        <w:rPr>
          <w:color w:val="auto"/>
          <w:u w:val="single"/>
        </w:rPr>
      </w:pPr>
      <w:r>
        <w:rPr>
          <w:rFonts w:hint="eastAsia"/>
          <w:color w:val="auto"/>
          <w:u w:val="single"/>
        </w:rPr>
        <w:t>石脑油</w:t>
      </w:r>
      <w:r>
        <w:rPr>
          <w:color w:val="auto"/>
          <w:u w:val="single"/>
        </w:rPr>
        <w:t>未超过毒性终点浓度</w:t>
      </w:r>
      <w:r>
        <w:rPr>
          <w:rFonts w:hint="eastAsia"/>
          <w:color w:val="auto"/>
          <w:u w:val="single"/>
        </w:rPr>
        <w:t>；</w:t>
      </w:r>
    </w:p>
    <w:p w14:paraId="07125580">
      <w:pPr>
        <w:ind w:firstLine="480"/>
        <w:rPr>
          <w:color w:val="auto"/>
        </w:rPr>
      </w:pPr>
      <w:r>
        <w:rPr>
          <w:color w:val="auto"/>
        </w:rPr>
        <w:t>根据预测的结果，物料泄漏</w:t>
      </w:r>
      <w:r>
        <w:rPr>
          <w:rFonts w:hint="eastAsia"/>
          <w:color w:val="auto"/>
        </w:rPr>
        <w:t>、</w:t>
      </w:r>
      <w:r>
        <w:rPr>
          <w:color w:val="auto"/>
        </w:rPr>
        <w:t>火灾的情况下，</w:t>
      </w:r>
      <w:r>
        <w:rPr>
          <w:rFonts w:hint="eastAsia"/>
          <w:color w:val="auto"/>
        </w:rPr>
        <w:t>在</w:t>
      </w:r>
      <w:r>
        <w:rPr>
          <w:color w:val="auto"/>
        </w:rPr>
        <w:t>毒性终点范围内，位于项目下风向</w:t>
      </w:r>
      <w:r>
        <w:rPr>
          <w:rFonts w:hint="eastAsia"/>
          <w:color w:val="auto"/>
        </w:rPr>
        <w:t>有2个</w:t>
      </w:r>
      <w:r>
        <w:rPr>
          <w:color w:val="auto"/>
        </w:rPr>
        <w:t>环境敏感目标，通过加强货种储存、输送等过程的管理，安装可燃气体报警装置等，可有效降低</w:t>
      </w:r>
      <w:r>
        <w:rPr>
          <w:rFonts w:hint="eastAsia"/>
          <w:color w:val="auto"/>
        </w:rPr>
        <w:t>储存</w:t>
      </w:r>
      <w:r>
        <w:rPr>
          <w:color w:val="auto"/>
        </w:rPr>
        <w:t>货种的</w:t>
      </w:r>
      <w:r>
        <w:rPr>
          <w:rFonts w:hint="eastAsia"/>
          <w:color w:val="auto"/>
        </w:rPr>
        <w:t>泄漏、</w:t>
      </w:r>
      <w:r>
        <w:rPr>
          <w:color w:val="auto"/>
        </w:rPr>
        <w:t>燃烧事故的发生。若发生事故应立即通知相关部门组织附近居民撤离。</w:t>
      </w:r>
    </w:p>
    <w:p w14:paraId="15FB4DA5">
      <w:pPr>
        <w:ind w:firstLine="480"/>
        <w:rPr>
          <w:rFonts w:hint="eastAsia"/>
          <w:b/>
          <w:bCs/>
          <w:color w:val="auto"/>
          <w:lang w:eastAsia="zh-CN"/>
        </w:rPr>
      </w:pPr>
      <w:r>
        <w:rPr>
          <w:rFonts w:hint="eastAsia"/>
          <w:b/>
          <w:bCs/>
          <w:color w:val="auto"/>
          <w:lang w:eastAsia="zh-CN"/>
        </w:rPr>
        <w:t>（</w:t>
      </w:r>
      <w:r>
        <w:rPr>
          <w:rFonts w:hint="eastAsia"/>
          <w:b/>
          <w:bCs/>
          <w:color w:val="auto"/>
          <w:lang w:val="en-US" w:eastAsia="zh-CN"/>
        </w:rPr>
        <w:t>2</w:t>
      </w:r>
      <w:r>
        <w:rPr>
          <w:rFonts w:hint="eastAsia"/>
          <w:b/>
          <w:bCs/>
          <w:color w:val="auto"/>
          <w:lang w:eastAsia="zh-CN"/>
        </w:rPr>
        <w:t>）对保护目标的影响</w:t>
      </w:r>
    </w:p>
    <w:p w14:paraId="583D6520">
      <w:pPr>
        <w:ind w:firstLine="480"/>
        <w:rPr>
          <w:rFonts w:hint="eastAsia"/>
          <w:color w:val="auto"/>
          <w:u w:val="single"/>
          <w:lang w:eastAsia="zh-CN"/>
        </w:rPr>
      </w:pPr>
      <w:r>
        <w:rPr>
          <w:rFonts w:hint="eastAsia"/>
          <w:color w:val="auto"/>
          <w:u w:val="single"/>
          <w:lang w:eastAsia="zh-CN"/>
        </w:rPr>
        <w:t>根据预测结果，火灾事故发生时，产生的二氧化硫、一氧化碳对保护目标有一定影响，一氧化碳在血中与血红蛋白结合而造成组织缺氧，轻度中毒者出现头痛、头晕、耳鸣、心悸、恶心、呕吐、无力，血液碳氧血红蛋白浓度可高于10％；二氧化硫对眼及呼吸道粘膜有强烈的刺激作用，火灾产生的次生污染物对人群健康产生一定影响。根据预测结果，敏感目标果子山村（</w:t>
      </w:r>
      <w:r>
        <w:rPr>
          <w:rFonts w:hint="eastAsia"/>
          <w:color w:val="auto"/>
          <w:u w:val="single"/>
          <w:lang w:val="en-US" w:eastAsia="zh-CN"/>
        </w:rPr>
        <w:t>NW，2.208km</w:t>
      </w:r>
      <w:r>
        <w:rPr>
          <w:rFonts w:hint="eastAsia"/>
          <w:color w:val="auto"/>
          <w:u w:val="single"/>
          <w:lang w:eastAsia="zh-CN"/>
        </w:rPr>
        <w:t>）在二氧化硫毒性终点内，持续时间较短，且在火灾发生后，企业第一时间采取措施，采用泡沫灭火系统等进行灭火，减少物料燃烧时间和影响范围。在污染物到达敏感目标前将火灾控制住，减少污染物影响的持续时间。项目位于海港区域，灭火后，受海风影响，产生的污染物可快速扩散，降低空气中二氧化硫、一氧化碳的含量，因此，火灾事故发生后对保护目标的影响较小。但本项目涉及有毒害气体 ，建设单位必须加强项目风险防范措施，加强管理，避免环境风险事故的发生。</w:t>
      </w:r>
    </w:p>
    <w:p w14:paraId="6566B629">
      <w:pPr>
        <w:pStyle w:val="5"/>
        <w:rPr>
          <w:color w:val="auto"/>
        </w:rPr>
      </w:pPr>
      <w:bookmarkStart w:id="555" w:name="_Toc223595784"/>
      <w:bookmarkStart w:id="556" w:name="_Toc223258494"/>
      <w:r>
        <w:rPr>
          <w:color w:val="auto"/>
        </w:rPr>
        <w:t>海域风险事故预测</w:t>
      </w:r>
      <w:bookmarkEnd w:id="555"/>
      <w:bookmarkEnd w:id="556"/>
    </w:p>
    <w:p w14:paraId="02F379DD">
      <w:pPr>
        <w:pStyle w:val="4"/>
        <w:rPr>
          <w:color w:val="auto"/>
        </w:rPr>
      </w:pPr>
      <w:r>
        <w:rPr>
          <w:rFonts w:hint="eastAsia"/>
          <w:color w:val="auto"/>
        </w:rPr>
        <w:t>水动力模型</w:t>
      </w:r>
    </w:p>
    <w:p w14:paraId="5CF31CAA">
      <w:pPr>
        <w:autoSpaceDE w:val="0"/>
        <w:autoSpaceDN w:val="0"/>
        <w:adjustRightInd w:val="0"/>
        <w:ind w:firstLine="480"/>
        <w:jc w:val="left"/>
        <w:rPr>
          <w:color w:val="auto"/>
        </w:rPr>
      </w:pPr>
      <w:r>
        <w:rPr>
          <w:rFonts w:hint="eastAsia"/>
          <w:color w:val="auto"/>
          <w:u w:val="single"/>
          <w:lang w:val="en-US" w:eastAsia="zh-CN"/>
        </w:rPr>
        <w:t>根据《环境影响评价技术导则海洋生态环境》（HJ1409-2025）附录D，属于宽浅型水域且且潮混合较强烈、各要素垂向分布较均匀的近岸海域、河口、海湾，可采用二维数值模型近似描述海水的三维运动。</w:t>
      </w:r>
      <w:r>
        <w:rPr>
          <w:rFonts w:hint="eastAsia"/>
          <w:color w:val="auto"/>
        </w:rPr>
        <w:t>根据本项目所在海域的水深情况和水动力特性，本节采用平面二维潮汐动力模型进行水动力环境的预测分析。</w:t>
      </w:r>
    </w:p>
    <w:p w14:paraId="7E4375C2">
      <w:pPr>
        <w:ind w:firstLine="480"/>
        <w:rPr>
          <w:bCs/>
          <w:color w:val="auto"/>
        </w:rPr>
      </w:pPr>
      <w:r>
        <w:rPr>
          <w:rFonts w:hint="eastAsia"/>
          <w:bCs/>
          <w:color w:val="auto"/>
        </w:rPr>
        <w:t>本节使用的潮汐动力学模型是基于二维不可压缩的雷诺平均</w:t>
      </w:r>
      <w:r>
        <w:rPr>
          <w:bCs/>
          <w:color w:val="auto"/>
        </w:rPr>
        <w:t>Navier-Stokes</w:t>
      </w:r>
      <w:r>
        <w:rPr>
          <w:rFonts w:hint="eastAsia"/>
          <w:bCs/>
          <w:color w:val="auto"/>
        </w:rPr>
        <w:t>方程，模型由连续性和动量方程组成，整个计算</w:t>
      </w:r>
      <w:r>
        <w:rPr>
          <w:bCs/>
          <w:color w:val="auto"/>
        </w:rPr>
        <w:t>区域被</w:t>
      </w:r>
      <w:r>
        <w:rPr>
          <w:rFonts w:hint="eastAsia"/>
          <w:bCs/>
          <w:color w:val="auto"/>
        </w:rPr>
        <w:t>划分为众多三角形非结构网格要素。</w:t>
      </w:r>
    </w:p>
    <w:p w14:paraId="7D098C7B">
      <w:pPr>
        <w:ind w:firstLine="480"/>
        <w:rPr>
          <w:color w:val="auto"/>
        </w:rPr>
      </w:pPr>
      <w:r>
        <w:rPr>
          <w:color w:val="auto"/>
        </w:rPr>
        <w:t>模型的控制方程为：</w:t>
      </w:r>
    </w:p>
    <w:p w14:paraId="725F585F">
      <w:pPr>
        <w:ind w:firstLine="480"/>
        <w:rPr>
          <w:color w:val="auto"/>
        </w:rPr>
      </w:pPr>
      <w:r>
        <w:rPr>
          <w:color w:val="auto"/>
        </w:rPr>
        <w:t>对水平动量方程和连续性方程在深度h＝η+d上求积分，得到浅水方程如下所示：</w:t>
      </w:r>
    </w:p>
    <w:p w14:paraId="4ECE20EF">
      <w:pPr>
        <w:ind w:firstLine="480"/>
        <w:jc w:val="center"/>
        <w:rPr>
          <w:color w:val="auto"/>
        </w:rPr>
      </w:pPr>
      <w:r>
        <w:rPr>
          <w:color w:val="auto"/>
          <w:position w:val="-28"/>
        </w:rPr>
        <w:object>
          <v:shape id="_x0000_i1028" o:spt="75" type="#_x0000_t75" style="height:29.25pt;width:101.25pt;" o:ole="t" filled="f" o:preferrelative="t" stroked="f" coordsize="21600,21600">
            <v:path/>
            <v:fill on="f" focussize="0,0"/>
            <v:stroke on="f" joinstyle="miter"/>
            <v:imagedata r:id="rId87" o:title=""/>
            <o:lock v:ext="edit" aspectratio="t"/>
            <w10:wrap type="none"/>
            <w10:anchorlock/>
          </v:shape>
          <o:OLEObject Type="Embed" ProgID="Equation.DSMT4" ShapeID="_x0000_i1028" DrawAspect="Content" ObjectID="_1468075728" r:id="rId86">
            <o:LockedField>false</o:LockedField>
          </o:OLEObject>
        </w:object>
      </w:r>
    </w:p>
    <w:p w14:paraId="54D2445E">
      <w:pPr>
        <w:ind w:firstLine="480"/>
        <w:rPr>
          <w:color w:val="auto"/>
        </w:rPr>
      </w:pPr>
      <w:r>
        <w:rPr>
          <w:color w:val="auto"/>
        </w:rPr>
        <w:t>x,y方向上的水平动量方程分别为：</w:t>
      </w:r>
    </w:p>
    <w:p w14:paraId="2195B84C">
      <w:pPr>
        <w:ind w:firstLine="480"/>
        <w:jc w:val="center"/>
        <w:rPr>
          <w:color w:val="auto"/>
        </w:rPr>
      </w:pPr>
      <w:r>
        <w:rPr>
          <w:color w:val="auto"/>
          <w:position w:val="-44"/>
        </w:rPr>
        <w:object>
          <v:shape id="_x0000_i1029" o:spt="75" type="#_x0000_t75" style="height:50.25pt;width:304.5pt;" o:ole="t" filled="f" o:preferrelative="t" stroked="f" coordsize="21600,21600">
            <v:path/>
            <v:fill on="f" focussize="0,0"/>
            <v:stroke on="f" joinstyle="miter"/>
            <v:imagedata r:id="rId89" o:title=""/>
            <o:lock v:ext="edit" aspectratio="t"/>
            <w10:wrap type="none"/>
            <w10:anchorlock/>
          </v:shape>
          <o:OLEObject Type="Embed" ProgID="Equation.DSMT4" ShapeID="_x0000_i1029" DrawAspect="Content" ObjectID="_1468075729" r:id="rId88">
            <o:LockedField>false</o:LockedField>
          </o:OLEObject>
        </w:object>
      </w:r>
    </w:p>
    <w:p w14:paraId="07CBEF8A">
      <w:pPr>
        <w:ind w:firstLine="480"/>
        <w:jc w:val="center"/>
        <w:rPr>
          <w:color w:val="auto"/>
        </w:rPr>
      </w:pPr>
      <w:r>
        <w:rPr>
          <w:color w:val="auto"/>
          <w:position w:val="-30"/>
        </w:rPr>
        <w:object>
          <v:shape id="_x0000_i1030" o:spt="75" type="#_x0000_t75" style="height:36.75pt;width:310.5pt;" o:ole="t" filled="f" o:preferrelative="t" stroked="f" coordsize="21600,21600">
            <v:path/>
            <v:fill on="f" focussize="0,0"/>
            <v:stroke on="f" joinstyle="miter"/>
            <v:imagedata r:id="rId91" o:title=""/>
            <o:lock v:ext="edit" aspectratio="t"/>
            <w10:wrap type="none"/>
            <w10:anchorlock/>
          </v:shape>
          <o:OLEObject Type="Embed" ProgID="Equation.DSMT4" ShapeID="_x0000_i1030" DrawAspect="Content" ObjectID="_1468075730" r:id="rId90">
            <o:LockedField>false</o:LockedField>
          </o:OLEObject>
        </w:object>
      </w:r>
    </w:p>
    <w:p w14:paraId="35B12FE4">
      <w:pPr>
        <w:ind w:firstLine="480"/>
        <w:rPr>
          <w:color w:val="auto"/>
        </w:rPr>
      </w:pPr>
      <w:r>
        <w:rPr>
          <w:color w:val="auto"/>
        </w:rPr>
        <w:t>划线标识是深度平均值，例如</w:t>
      </w:r>
      <w:r>
        <w:rPr>
          <w:color w:val="auto"/>
          <w:position w:val="-6"/>
        </w:rPr>
        <w:object>
          <v:shape id="_x0000_i1031" o:spt="75" type="#_x0000_t75" style="height:13.5pt;width:12.75pt;" o:ole="t" filled="f" o:preferrelative="t" stroked="f" coordsize="21600,21600">
            <v:path/>
            <v:fill on="f" focussize="0,0"/>
            <v:stroke on="f" joinstyle="miter"/>
            <v:imagedata r:id="rId93" o:title=""/>
            <o:lock v:ext="edit" aspectratio="t"/>
            <w10:wrap type="none"/>
            <w10:anchorlock/>
          </v:shape>
          <o:OLEObject Type="Embed" ProgID="Equation.DSMT4" ShapeID="_x0000_i1031" DrawAspect="Content" ObjectID="_1468075731" r:id="rId92">
            <o:LockedField>false</o:LockedField>
          </o:OLEObject>
        </w:object>
      </w:r>
      <w:r>
        <w:rPr>
          <w:color w:val="auto"/>
        </w:rPr>
        <w:t>，</w:t>
      </w:r>
      <w:r>
        <w:rPr>
          <w:color w:val="auto"/>
          <w:position w:val="-6"/>
        </w:rPr>
        <w:object>
          <v:shape id="_x0000_i1032" o:spt="75" type="#_x0000_t75" style="height:13.5pt;width:12.75pt;" o:ole="t" filled="f" o:preferrelative="t" stroked="f" coordsize="21600,21600">
            <v:path/>
            <v:fill on="f" focussize="0,0"/>
            <v:stroke on="f" joinstyle="miter"/>
            <v:imagedata r:id="rId95" o:title=""/>
            <o:lock v:ext="edit" aspectratio="t"/>
            <w10:wrap type="none"/>
            <w10:anchorlock/>
          </v:shape>
          <o:OLEObject Type="Embed" ProgID="Equation.DSMT4" ShapeID="_x0000_i1032" DrawAspect="Content" ObjectID="_1468075732" r:id="rId94">
            <o:LockedField>false</o:LockedField>
          </o:OLEObject>
        </w:object>
      </w:r>
      <w:r>
        <w:rPr>
          <w:color w:val="auto"/>
        </w:rPr>
        <w:t>是深度平均流速定义如下：</w:t>
      </w:r>
    </w:p>
    <w:p w14:paraId="6986FE7D">
      <w:pPr>
        <w:ind w:firstLine="480"/>
        <w:jc w:val="center"/>
        <w:rPr>
          <w:color w:val="auto"/>
        </w:rPr>
      </w:pPr>
      <w:r>
        <w:rPr>
          <w:color w:val="auto"/>
          <w:position w:val="-18"/>
        </w:rPr>
        <w:object>
          <v:shape id="_x0000_i1033" o:spt="75" type="#_x0000_t75" style="height:26.25pt;width:59.25pt;" o:ole="t" filled="f" o:preferrelative="t" stroked="f" coordsize="21600,21600">
            <v:path/>
            <v:fill on="f" focussize="0,0"/>
            <v:stroke on="f" joinstyle="miter"/>
            <v:imagedata r:id="rId97" o:title=""/>
            <o:lock v:ext="edit" aspectratio="t"/>
            <w10:wrap type="none"/>
            <w10:anchorlock/>
          </v:shape>
          <o:OLEObject Type="Embed" ProgID="Equation.DSMT4" ShapeID="_x0000_i1033" DrawAspect="Content" ObjectID="_1468075733" r:id="rId96">
            <o:LockedField>false</o:LockedField>
          </o:OLEObject>
        </w:object>
      </w:r>
      <w:r>
        <w:rPr>
          <w:color w:val="auto"/>
        </w:rPr>
        <w:t>，</w:t>
      </w:r>
      <w:r>
        <w:rPr>
          <w:color w:val="auto"/>
          <w:position w:val="-18"/>
        </w:rPr>
        <w:object>
          <v:shape id="_x0000_i1034" o:spt="75" type="#_x0000_t75" style="height:26.25pt;width:58.5pt;" o:ole="t" filled="f" o:preferrelative="t" stroked="f" coordsize="21600,21600">
            <v:path/>
            <v:fill on="f" focussize="0,0"/>
            <v:stroke on="f" joinstyle="miter"/>
            <v:imagedata r:id="rId99" o:title=""/>
            <o:lock v:ext="edit" aspectratio="t"/>
            <w10:wrap type="none"/>
            <w10:anchorlock/>
          </v:shape>
          <o:OLEObject Type="Embed" ProgID="Equation.DSMT4" ShapeID="_x0000_i1034" DrawAspect="Content" ObjectID="_1468075734" r:id="rId98">
            <o:LockedField>false</o:LockedField>
          </o:OLEObject>
        </w:object>
      </w:r>
    </w:p>
    <w:p w14:paraId="7ADDF83E">
      <w:pPr>
        <w:ind w:firstLine="480"/>
        <w:rPr>
          <w:color w:val="auto"/>
        </w:rPr>
      </w:pPr>
      <w:r>
        <w:rPr>
          <w:color w:val="auto"/>
        </w:rPr>
        <w:t>横向压力</w:t>
      </w:r>
      <w:r>
        <w:rPr>
          <w:color w:val="auto"/>
          <w:position w:val="-14"/>
        </w:rPr>
        <w:object>
          <v:shape id="_x0000_i1035" o:spt="75" type="#_x0000_t75" style="height:21pt;width:13.5pt;" o:ole="t" filled="f" o:preferrelative="t" stroked="f" coordsize="21600,21600">
            <v:path/>
            <v:fill on="f" focussize="0,0"/>
            <v:stroke on="f" joinstyle="miter"/>
            <v:imagedata r:id="rId101" o:title=""/>
            <o:lock v:ext="edit" aspectratio="t"/>
            <w10:wrap type="none"/>
            <w10:anchorlock/>
          </v:shape>
          <o:OLEObject Type="Embed" ProgID="Equation.DSMT4" ShapeID="_x0000_i1035" DrawAspect="Content" ObjectID="_1468075735" r:id="rId100">
            <o:LockedField>false</o:LockedField>
          </o:OLEObject>
        </w:object>
      </w:r>
      <w:r>
        <w:rPr>
          <w:color w:val="auto"/>
        </w:rPr>
        <w:t>包括粘滞摩擦，湍流摩擦和差异平流。这些值通过基于深度流速梯度的涡粘性方程进行估算：</w:t>
      </w:r>
    </w:p>
    <w:p w14:paraId="308965E0">
      <w:pPr>
        <w:ind w:firstLine="480"/>
        <w:jc w:val="center"/>
        <w:rPr>
          <w:color w:val="auto"/>
        </w:rPr>
      </w:pPr>
      <w:r>
        <w:rPr>
          <w:color w:val="auto"/>
          <w:position w:val="-24"/>
        </w:rPr>
        <w:object>
          <v:shape id="_x0000_i1036" o:spt="75" type="#_x0000_t75" style="height:29.25pt;width:58.5pt;" o:ole="t" filled="f" o:preferrelative="t" stroked="f" coordsize="21600,21600">
            <v:path/>
            <v:fill on="f" focussize="0,0"/>
            <v:stroke on="f" joinstyle="miter"/>
            <v:imagedata r:id="rId103" o:title=""/>
            <o:lock v:ext="edit" aspectratio="t"/>
            <w10:wrap type="none"/>
            <w10:anchorlock/>
          </v:shape>
          <o:OLEObject Type="Embed" ProgID="Equation.DSMT4" ShapeID="_x0000_i1036" DrawAspect="Content" ObjectID="_1468075736" r:id="rId102">
            <o:LockedField>false</o:LockedField>
          </o:OLEObject>
        </w:object>
      </w:r>
      <w:r>
        <w:rPr>
          <w:color w:val="auto"/>
        </w:rPr>
        <w:t>，</w:t>
      </w:r>
      <w:r>
        <w:rPr>
          <w:color w:val="auto"/>
          <w:position w:val="-30"/>
        </w:rPr>
        <w:object>
          <v:shape id="_x0000_i1037" o:spt="75" type="#_x0000_t75" style="height:38.25pt;width:93.75pt;" o:ole="t" filled="f" o:preferrelative="t" stroked="f" coordsize="21600,21600">
            <v:path/>
            <v:fill on="f" focussize="0,0"/>
            <v:stroke on="f" joinstyle="miter"/>
            <v:imagedata r:id="rId105" o:title=""/>
            <o:lock v:ext="edit" aspectratio="t"/>
            <w10:wrap type="none"/>
            <w10:anchorlock/>
          </v:shape>
          <o:OLEObject Type="Embed" ProgID="Equation.DSMT4" ShapeID="_x0000_i1037" DrawAspect="Content" ObjectID="_1468075737" r:id="rId104">
            <o:LockedField>false</o:LockedField>
          </o:OLEObject>
        </w:object>
      </w:r>
      <w:r>
        <w:rPr>
          <w:color w:val="auto"/>
        </w:rPr>
        <w:t>，</w:t>
      </w:r>
      <w:r>
        <w:rPr>
          <w:color w:val="auto"/>
          <w:position w:val="-28"/>
        </w:rPr>
        <w:object>
          <v:shape id="_x0000_i1038" o:spt="75" type="#_x0000_t75" style="height:29.25pt;width:58.5pt;" o:ole="t" filled="f" o:preferrelative="t" stroked="f" coordsize="21600,21600">
            <v:path/>
            <v:fill on="f" focussize="0,0"/>
            <v:stroke on="f" joinstyle="miter"/>
            <v:imagedata r:id="rId107" o:title=""/>
            <o:lock v:ext="edit" aspectratio="t"/>
            <w10:wrap type="none"/>
            <w10:anchorlock/>
          </v:shape>
          <o:OLEObject Type="Embed" ProgID="Equation.DSMT4" ShapeID="_x0000_i1038" DrawAspect="Content" ObjectID="_1468075738" r:id="rId106">
            <o:LockedField>false</o:LockedField>
          </o:OLEObject>
        </w:object>
      </w:r>
    </w:p>
    <w:p w14:paraId="221605E3">
      <w:pPr>
        <w:ind w:firstLine="480"/>
        <w:rPr>
          <w:color w:val="auto"/>
        </w:rPr>
      </w:pPr>
      <w:r>
        <w:rPr>
          <w:color w:val="auto"/>
        </w:rPr>
        <w:t>底摩阻</w:t>
      </w:r>
      <w:r>
        <w:rPr>
          <w:color w:val="auto"/>
          <w:position w:val="-16"/>
        </w:rPr>
        <w:object>
          <v:shape id="_x0000_i1039" o:spt="75" type="#_x0000_t75" style="height:24pt;width:66pt;" o:ole="t" filled="f" o:preferrelative="t" stroked="f" coordsize="21600,21600">
            <v:path/>
            <v:fill on="f" focussize="0,0"/>
            <v:stroke on="f" joinstyle="miter"/>
            <v:imagedata r:id="rId109" o:title=""/>
            <o:lock v:ext="edit" aspectratio="t"/>
            <w10:wrap type="none"/>
            <w10:anchorlock/>
          </v:shape>
          <o:OLEObject Type="Embed" ProgID="Equation.DSMT4" ShapeID="_x0000_i1039" DrawAspect="Content" ObjectID="_1468075739" r:id="rId108">
            <o:LockedField>false</o:LockedField>
          </o:OLEObject>
        </w:object>
      </w:r>
      <w:r>
        <w:rPr>
          <w:color w:val="auto"/>
        </w:rPr>
        <w:t>通过二次方程的摩擦定律确定：</w:t>
      </w:r>
    </w:p>
    <w:p w14:paraId="41ECA231">
      <w:pPr>
        <w:ind w:firstLine="480"/>
        <w:jc w:val="center"/>
        <w:rPr>
          <w:color w:val="auto"/>
        </w:rPr>
      </w:pPr>
      <w:r>
        <w:rPr>
          <w:color w:val="auto"/>
          <w:position w:val="-30"/>
        </w:rPr>
        <w:object>
          <v:shape id="_x0000_i1040" o:spt="75" type="#_x0000_t75" style="height:36.75pt;width:66.75pt;" o:ole="t" filled="f" o:preferrelative="t" stroked="f" coordsize="21600,21600">
            <v:path/>
            <v:fill on="f" focussize="0,0"/>
            <v:stroke on="f" joinstyle="miter"/>
            <v:imagedata r:id="rId111" o:title=""/>
            <o:lock v:ext="edit" aspectratio="t"/>
            <w10:wrap type="none"/>
            <w10:anchorlock/>
          </v:shape>
          <o:OLEObject Type="Embed" ProgID="Equation.DSMT4" ShapeID="_x0000_i1040" DrawAspect="Content" ObjectID="_1468075740" r:id="rId110">
            <o:LockedField>false</o:LockedField>
          </o:OLEObject>
        </w:object>
      </w:r>
    </w:p>
    <w:p w14:paraId="2E170BA4">
      <w:pPr>
        <w:ind w:firstLine="480"/>
        <w:jc w:val="center"/>
        <w:rPr>
          <w:color w:val="auto"/>
        </w:rPr>
      </w:pPr>
      <w:r>
        <w:rPr>
          <w:color w:val="auto"/>
        </w:rPr>
        <w:t>其中，</w:t>
      </w:r>
      <w:r>
        <w:rPr>
          <w:color w:val="auto"/>
          <w:position w:val="-14"/>
        </w:rPr>
        <w:object>
          <v:shape id="_x0000_i1041" o:spt="75" type="#_x0000_t75" style="height:16.5pt;width:16.5pt;" o:ole="t" filled="f" o:preferrelative="t" stroked="f" coordsize="21600,21600">
            <v:path/>
            <v:fill on="f" focussize="0,0"/>
            <v:stroke on="f" joinstyle="miter"/>
            <v:imagedata r:id="rId113" o:title=""/>
            <o:lock v:ext="edit" aspectratio="t"/>
            <w10:wrap type="none"/>
            <w10:anchorlock/>
          </v:shape>
          <o:OLEObject Type="Embed" ProgID="Equation.DSMT4" ShapeID="_x0000_i1041" DrawAspect="Content" ObjectID="_1468075741" r:id="rId112">
            <o:LockedField>false</o:LockedField>
          </o:OLEObject>
        </w:object>
      </w:r>
      <w:r>
        <w:rPr>
          <w:color w:val="auto"/>
        </w:rPr>
        <w:t>是阻力系数；</w:t>
      </w:r>
      <w:r>
        <w:rPr>
          <w:color w:val="auto"/>
          <w:position w:val="-14"/>
        </w:rPr>
        <w:object>
          <v:shape id="_x0000_i1042" o:spt="75" type="#_x0000_t75" style="height:23.25pt;width:58.5pt;" o:ole="t" filled="f" o:preferrelative="t" stroked="f" coordsize="21600,21600">
            <v:path/>
            <v:fill on="f" focussize="0,0"/>
            <v:stroke on="f" joinstyle="miter"/>
            <v:imagedata r:id="rId115" o:title=""/>
            <o:lock v:ext="edit" aspectratio="t"/>
            <w10:wrap type="none"/>
            <w10:anchorlock/>
          </v:shape>
          <o:OLEObject Type="Embed" ProgID="Equation.DSMT4" ShapeID="_x0000_i1042" DrawAspect="Content" ObjectID="_1468075742" r:id="rId114">
            <o:LockedField>false</o:LockedField>
          </o:OLEObject>
        </w:object>
      </w:r>
      <w:r>
        <w:rPr>
          <w:color w:val="auto"/>
        </w:rPr>
        <w:t>是底部流速；与底应力相关联的摩擦速度如下：</w:t>
      </w:r>
      <w:r>
        <w:rPr>
          <w:color w:val="auto"/>
          <w:position w:val="-16"/>
        </w:rPr>
        <w:object>
          <v:shape id="_x0000_i1043" o:spt="75" type="#_x0000_t75" style="height:23.25pt;width:69.75pt;" o:ole="t" filled="f" o:preferrelative="t" stroked="f" coordsize="21600,21600">
            <v:path/>
            <v:fill on="f" focussize="0,0"/>
            <v:stroke on="f" joinstyle="miter"/>
            <v:imagedata r:id="rId117" o:title=""/>
            <o:lock v:ext="edit" aspectratio="t"/>
            <w10:wrap type="none"/>
            <w10:anchorlock/>
          </v:shape>
          <o:OLEObject Type="Embed" ProgID="Equation.DSMT4" ShapeID="_x0000_i1043" DrawAspect="Content" ObjectID="_1468075743" r:id="rId116">
            <o:LockedField>false</o:LockedField>
          </o:OLEObject>
        </w:object>
      </w:r>
    </w:p>
    <w:p w14:paraId="45266440">
      <w:pPr>
        <w:ind w:firstLine="480"/>
        <w:rPr>
          <w:color w:val="auto"/>
        </w:rPr>
      </w:pPr>
      <w:r>
        <w:rPr>
          <w:color w:val="auto"/>
        </w:rPr>
        <w:t>在二维计算的时候，</w:t>
      </w:r>
      <w:r>
        <w:rPr>
          <w:color w:val="auto"/>
          <w:position w:val="-12"/>
        </w:rPr>
        <w:object>
          <v:shape id="_x0000_i1044" o:spt="75" type="#_x0000_t75" style="height:21pt;width:16.5pt;" o:ole="t" filled="f" o:preferrelative="t" stroked="f" coordsize="21600,21600">
            <v:path/>
            <v:fill on="f" focussize="0,0"/>
            <v:stroke on="f" joinstyle="miter"/>
            <v:imagedata r:id="rId119" o:title=""/>
            <o:lock v:ext="edit" aspectratio="t"/>
            <w10:wrap type="none"/>
            <w10:anchorlock/>
          </v:shape>
          <o:OLEObject Type="Embed" ProgID="Equation.DSMT4" ShapeID="_x0000_i1044" DrawAspect="Content" ObjectID="_1468075744" r:id="rId118">
            <o:LockedField>false</o:LockedField>
          </o:OLEObject>
        </w:object>
      </w:r>
      <w:r>
        <w:rPr>
          <w:color w:val="auto"/>
        </w:rPr>
        <w:t>是深度平均流速；阻力系数由谢才系数C或曼宁数M决定。</w:t>
      </w:r>
    </w:p>
    <w:p w14:paraId="44AC4D77">
      <w:pPr>
        <w:pStyle w:val="6"/>
        <w:rPr>
          <w:color w:val="auto"/>
        </w:rPr>
      </w:pPr>
      <w:r>
        <w:rPr>
          <w:rFonts w:hint="eastAsia"/>
          <w:color w:val="auto"/>
        </w:rPr>
        <w:t>数学模型离散及数值求解方法</w:t>
      </w:r>
    </w:p>
    <w:p w14:paraId="596B0627">
      <w:pPr>
        <w:ind w:firstLine="482"/>
        <w:rPr>
          <w:b/>
          <w:color w:val="auto"/>
        </w:rPr>
      </w:pPr>
      <w:r>
        <w:rPr>
          <w:rFonts w:hint="eastAsia"/>
          <w:b/>
          <w:bCs/>
          <w:color w:val="auto"/>
        </w:rPr>
        <w:t>1、控制方程的空间离散化</w:t>
      </w:r>
    </w:p>
    <w:p w14:paraId="79D7EED7">
      <w:pPr>
        <w:ind w:firstLine="480"/>
        <w:rPr>
          <w:bCs/>
          <w:color w:val="auto"/>
        </w:rPr>
      </w:pPr>
      <w:r>
        <w:rPr>
          <w:rFonts w:hint="eastAsia"/>
          <w:bCs/>
          <w:color w:val="auto"/>
        </w:rPr>
        <w:t>在求解域内的离散化采用有限体积的方法。空间域的离散化通过连续介质细分成非重叠单元进行。二维情形下，单元格可以是任意多边形，不过，一般只考虑三角形和四边形。浅水方程系统的积分形式可写为如下一般形式：</w:t>
      </w:r>
    </w:p>
    <w:p w14:paraId="6BF2A4CA">
      <w:pPr>
        <w:ind w:firstLine="480"/>
        <w:jc w:val="center"/>
        <w:rPr>
          <w:bCs/>
          <w:color w:val="auto"/>
        </w:rPr>
      </w:pPr>
      <w:r>
        <w:rPr>
          <w:bCs/>
          <w:color w:val="auto"/>
          <w:position w:val="-24"/>
        </w:rPr>
        <w:object>
          <v:shape id="_x0000_i1045" o:spt="75" type="#_x0000_t75" style="height:29.25pt;width:117pt;" o:ole="t" filled="f" o:preferrelative="t" stroked="f" coordsize="21600,21600">
            <v:path/>
            <v:fill on="f" focussize="0,0"/>
            <v:stroke on="f" joinstyle="miter"/>
            <v:imagedata r:id="rId121" o:title=""/>
            <o:lock v:ext="edit" aspectratio="t"/>
            <w10:wrap type="none"/>
            <w10:anchorlock/>
          </v:shape>
          <o:OLEObject Type="Embed" ProgID="Equation.DSMT4" ShapeID="_x0000_i1045" DrawAspect="Content" ObjectID="_1468075745" r:id="rId120">
            <o:LockedField>false</o:LockedField>
          </o:OLEObject>
        </w:object>
      </w:r>
    </w:p>
    <w:p w14:paraId="56A8CECB">
      <w:pPr>
        <w:ind w:firstLine="480"/>
        <w:rPr>
          <w:bCs/>
          <w:color w:val="auto"/>
        </w:rPr>
      </w:pPr>
      <w:r>
        <w:rPr>
          <w:rFonts w:hint="eastAsia"/>
          <w:bCs/>
          <w:color w:val="auto"/>
        </w:rPr>
        <w:t>其中</w:t>
      </w:r>
      <w:r>
        <w:rPr>
          <w:bCs/>
          <w:color w:val="auto"/>
        </w:rPr>
        <w:t>U</w:t>
      </w:r>
      <w:r>
        <w:rPr>
          <w:rFonts w:hint="eastAsia"/>
          <w:bCs/>
          <w:color w:val="auto"/>
        </w:rPr>
        <w:t>是守恒量的矢量；</w:t>
      </w:r>
      <w:r>
        <w:rPr>
          <w:bCs/>
          <w:color w:val="auto"/>
        </w:rPr>
        <w:t>F</w:t>
      </w:r>
      <w:r>
        <w:rPr>
          <w:rFonts w:hint="eastAsia"/>
          <w:bCs/>
          <w:color w:val="auto"/>
        </w:rPr>
        <w:t>是通量矢量方程；</w:t>
      </w:r>
      <w:r>
        <w:rPr>
          <w:bCs/>
          <w:color w:val="auto"/>
        </w:rPr>
        <w:t>S</w:t>
      </w:r>
      <w:r>
        <w:rPr>
          <w:rFonts w:hint="eastAsia"/>
          <w:bCs/>
          <w:color w:val="auto"/>
        </w:rPr>
        <w:t>是源项矢量。</w:t>
      </w:r>
    </w:p>
    <w:p w14:paraId="251233DD">
      <w:pPr>
        <w:ind w:firstLine="480"/>
        <w:rPr>
          <w:bCs/>
          <w:color w:val="auto"/>
        </w:rPr>
      </w:pPr>
      <w:r>
        <w:rPr>
          <w:rFonts w:hint="eastAsia"/>
          <w:bCs/>
          <w:color w:val="auto"/>
        </w:rPr>
        <w:t>在笛卡尔坐标系下，二维浅水方程系统表达如下：</w:t>
      </w:r>
    </w:p>
    <w:p w14:paraId="465C7143">
      <w:pPr>
        <w:ind w:firstLine="480"/>
        <w:jc w:val="center"/>
        <w:rPr>
          <w:bCs/>
          <w:color w:val="auto"/>
        </w:rPr>
      </w:pPr>
      <w:r>
        <w:rPr>
          <w:bCs/>
          <w:color w:val="auto"/>
          <w:position w:val="-28"/>
        </w:rPr>
        <w:object>
          <v:shape id="_x0000_i1046" o:spt="75" type="#_x0000_t75" style="height:40.5pt;width:177.75pt;" o:ole="t" filled="f" o:preferrelative="t" stroked="f" coordsize="21600,21600">
            <v:path/>
            <v:fill on="f" focussize="0,0"/>
            <v:stroke on="f" joinstyle="miter"/>
            <v:imagedata r:id="rId123" o:title=""/>
            <o:lock v:ext="edit" aspectratio="t"/>
            <w10:wrap type="none"/>
            <w10:anchorlock/>
          </v:shape>
          <o:OLEObject Type="Embed" ProgID="Equation.DSMT4" ShapeID="_x0000_i1046" DrawAspect="Content" ObjectID="_1468075746" r:id="rId122">
            <o:LockedField>false</o:LockedField>
          </o:OLEObject>
        </w:object>
      </w:r>
    </w:p>
    <w:p w14:paraId="6371F838">
      <w:pPr>
        <w:ind w:firstLine="480"/>
        <w:rPr>
          <w:bCs/>
          <w:color w:val="auto"/>
        </w:rPr>
      </w:pPr>
      <w:r>
        <w:rPr>
          <w:rFonts w:hint="eastAsia"/>
          <w:bCs/>
          <w:color w:val="auto"/>
        </w:rPr>
        <w:t>其中，上标</w:t>
      </w:r>
      <w:r>
        <w:rPr>
          <w:bCs/>
          <w:color w:val="auto"/>
        </w:rPr>
        <w:t>I</w:t>
      </w:r>
      <w:r>
        <w:rPr>
          <w:rFonts w:hint="eastAsia"/>
          <w:bCs/>
          <w:color w:val="auto"/>
        </w:rPr>
        <w:t>和</w:t>
      </w:r>
      <w:r>
        <w:rPr>
          <w:bCs/>
          <w:color w:val="auto"/>
        </w:rPr>
        <w:t>V</w:t>
      </w:r>
      <w:r>
        <w:rPr>
          <w:rFonts w:hint="eastAsia"/>
          <w:bCs/>
          <w:color w:val="auto"/>
        </w:rPr>
        <w:t>分别代表非粘滞（对流）和粘滞通量，其中：</w:t>
      </w:r>
    </w:p>
    <w:p w14:paraId="264C773A">
      <w:pPr>
        <w:ind w:firstLine="480"/>
        <w:rPr>
          <w:bCs/>
          <w:color w:val="auto"/>
        </w:rPr>
      </w:pPr>
      <w:r>
        <w:rPr>
          <w:rFonts w:hint="eastAsia"/>
          <w:bCs/>
          <w:color w:val="auto"/>
        </w:rPr>
        <w:tab/>
      </w:r>
      <w:r>
        <w:rPr>
          <w:bCs/>
          <w:color w:val="auto"/>
        </w:rPr>
        <w:object>
          <v:shape id="_x0000_i1047" o:spt="75" type="#_x0000_t75" style="height:55.5pt;width:51pt;" o:ole="t" filled="f" o:preferrelative="t" stroked="f" coordsize="21600,21600">
            <v:path/>
            <v:fill on="f" focussize="0,0"/>
            <v:stroke on="f" joinstyle="miter"/>
            <v:imagedata r:id="rId125" o:title=""/>
            <o:lock v:ext="edit" aspectratio="t"/>
            <w10:wrap type="none"/>
            <w10:anchorlock/>
          </v:shape>
          <o:OLEObject Type="Embed" ProgID="Equation.3" ShapeID="_x0000_i1047" DrawAspect="Content" ObjectID="_1468075747" r:id="rId124">
            <o:LockedField>false</o:LockedField>
          </o:OLEObject>
        </w:object>
      </w:r>
      <w:r>
        <w:rPr>
          <w:rFonts w:hint="eastAsia"/>
          <w:bCs/>
          <w:color w:val="auto"/>
        </w:rPr>
        <w:tab/>
      </w:r>
    </w:p>
    <w:p w14:paraId="5E86C1B6">
      <w:pPr>
        <w:ind w:firstLine="480"/>
        <w:rPr>
          <w:bCs/>
          <w:color w:val="auto"/>
        </w:rPr>
      </w:pPr>
      <w:r>
        <w:rPr>
          <w:rFonts w:hint="eastAsia"/>
          <w:bCs/>
          <w:color w:val="auto"/>
        </w:rPr>
        <w:tab/>
      </w:r>
      <w:r>
        <w:rPr>
          <w:bCs/>
          <w:color w:val="auto"/>
        </w:rPr>
        <w:object>
          <v:shape id="_x0000_i1048" o:spt="75" type="#_x0000_t75" style="height:114.75pt;width:241.5pt;" o:ole="t" filled="f" o:preferrelative="t" stroked="f" coordsize="21600,21600">
            <v:path/>
            <v:fill on="f" focussize="0,0"/>
            <v:stroke on="f" joinstyle="miter"/>
            <v:imagedata r:id="rId127" o:title=""/>
            <o:lock v:ext="edit" aspectratio="t"/>
            <w10:wrap type="none"/>
            <w10:anchorlock/>
          </v:shape>
          <o:OLEObject Type="Embed" ProgID="Equation.3" ShapeID="_x0000_i1048" DrawAspect="Content" ObjectID="_1468075748" r:id="rId126">
            <o:LockedField>false</o:LockedField>
          </o:OLEObject>
        </w:object>
      </w:r>
      <w:r>
        <w:rPr>
          <w:rFonts w:hint="eastAsia"/>
          <w:bCs/>
          <w:color w:val="auto"/>
        </w:rPr>
        <w:tab/>
      </w:r>
    </w:p>
    <w:p w14:paraId="72C2548E">
      <w:pPr>
        <w:ind w:firstLine="480"/>
        <w:rPr>
          <w:bCs/>
          <w:color w:val="auto"/>
        </w:rPr>
      </w:pPr>
      <w:r>
        <w:rPr>
          <w:rFonts w:hint="eastAsia"/>
          <w:bCs/>
          <w:color w:val="auto"/>
        </w:rPr>
        <w:tab/>
      </w:r>
      <w:r>
        <w:rPr>
          <w:bCs/>
          <w:color w:val="auto"/>
        </w:rPr>
        <w:object>
          <v:shape id="_x0000_i1049" o:spt="75" type="#_x0000_t75" style="height:110.25pt;width:242.25pt;" o:ole="t" filled="f" o:preferrelative="t" stroked="f" coordsize="21600,21600">
            <v:path/>
            <v:fill on="f" focussize="0,0"/>
            <v:stroke on="f" joinstyle="miter"/>
            <v:imagedata r:id="rId129" o:title=""/>
            <o:lock v:ext="edit" aspectratio="t"/>
            <w10:wrap type="none"/>
            <w10:anchorlock/>
          </v:shape>
          <o:OLEObject Type="Embed" ProgID="Equation.3" ShapeID="_x0000_i1049" DrawAspect="Content" ObjectID="_1468075749" r:id="rId128">
            <o:LockedField>false</o:LockedField>
          </o:OLEObject>
        </w:object>
      </w:r>
      <w:r>
        <w:rPr>
          <w:rFonts w:hint="eastAsia"/>
          <w:bCs/>
          <w:color w:val="auto"/>
        </w:rPr>
        <w:tab/>
      </w:r>
    </w:p>
    <w:p w14:paraId="2432CBF1">
      <w:pPr>
        <w:ind w:firstLine="480"/>
        <w:rPr>
          <w:bCs/>
          <w:color w:val="auto"/>
        </w:rPr>
      </w:pPr>
      <w:r>
        <w:rPr>
          <w:rFonts w:hint="eastAsia"/>
          <w:bCs/>
          <w:color w:val="auto"/>
        </w:rPr>
        <w:tab/>
      </w:r>
      <w:r>
        <w:rPr>
          <w:bCs/>
          <w:color w:val="auto"/>
        </w:rPr>
        <w:object>
          <v:shape id="_x0000_i1050" o:spt="75" type="#_x0000_t75" style="height:189.75pt;width:274.5pt;" o:ole="t" filled="f" o:preferrelative="t" stroked="f" coordsize="21600,21600">
            <v:path/>
            <v:fill on="f" focussize="0,0"/>
            <v:stroke on="f" joinstyle="miter"/>
            <v:imagedata r:id="rId131" o:title=""/>
            <o:lock v:ext="edit" aspectratio="t"/>
            <w10:wrap type="none"/>
            <w10:anchorlock/>
          </v:shape>
          <o:OLEObject Type="Embed" ProgID="Equation.3" ShapeID="_x0000_i1050" DrawAspect="Content" ObjectID="_1468075750" r:id="rId130">
            <o:LockedField>false</o:LockedField>
          </o:OLEObject>
        </w:object>
      </w:r>
      <w:r>
        <w:rPr>
          <w:rFonts w:hint="eastAsia"/>
          <w:bCs/>
          <w:color w:val="auto"/>
        </w:rPr>
        <w:tab/>
      </w:r>
    </w:p>
    <w:p w14:paraId="4BC695DF">
      <w:pPr>
        <w:ind w:firstLine="480"/>
        <w:rPr>
          <w:bCs/>
          <w:color w:val="auto"/>
        </w:rPr>
      </w:pPr>
      <w:r>
        <w:rPr>
          <w:rFonts w:hint="eastAsia"/>
          <w:bCs/>
          <w:color w:val="auto"/>
        </w:rPr>
        <w:t>对上式在第</w:t>
      </w:r>
      <w:r>
        <w:rPr>
          <w:bCs/>
          <w:color w:val="auto"/>
        </w:rPr>
        <w:t>i</w:t>
      </w:r>
      <w:r>
        <w:rPr>
          <w:rFonts w:hint="eastAsia"/>
          <w:bCs/>
          <w:color w:val="auto"/>
        </w:rPr>
        <w:t>个单元上求积分，并且用高斯定理重写通量积分得到下式：</w:t>
      </w:r>
    </w:p>
    <w:p w14:paraId="1C706421">
      <w:pPr>
        <w:ind w:firstLine="480"/>
        <w:rPr>
          <w:bCs/>
          <w:color w:val="auto"/>
        </w:rPr>
      </w:pPr>
      <w:r>
        <w:rPr>
          <w:rFonts w:hint="eastAsia"/>
          <w:bCs/>
          <w:color w:val="auto"/>
        </w:rPr>
        <w:tab/>
      </w:r>
      <w:r>
        <w:rPr>
          <w:bCs/>
          <w:color w:val="auto"/>
        </w:rPr>
        <w:object>
          <v:shape id="_x0000_i1051" o:spt="75" type="#_x0000_t75" style="height:29.25pt;width:170.25pt;" o:ole="t" filled="f" o:preferrelative="t" stroked="f" coordsize="21600,21600">
            <v:path/>
            <v:fill on="f" focussize="0,0"/>
            <v:stroke on="f" joinstyle="miter"/>
            <v:imagedata r:id="rId133" o:title=""/>
            <o:lock v:ext="edit" aspectratio="t"/>
            <w10:wrap type="none"/>
            <w10:anchorlock/>
          </v:shape>
          <o:OLEObject Type="Embed" ProgID="Equation.3" ShapeID="_x0000_i1051" DrawAspect="Content" ObjectID="_1468075751" r:id="rId132">
            <o:LockedField>false</o:LockedField>
          </o:OLEObject>
        </w:object>
      </w:r>
      <w:r>
        <w:rPr>
          <w:rFonts w:hint="eastAsia"/>
          <w:bCs/>
          <w:color w:val="auto"/>
        </w:rPr>
        <w:tab/>
      </w:r>
    </w:p>
    <w:p w14:paraId="1EBE10D8">
      <w:pPr>
        <w:ind w:firstLine="480"/>
        <w:rPr>
          <w:bCs/>
          <w:color w:val="auto"/>
        </w:rPr>
      </w:pPr>
      <w:r>
        <w:rPr>
          <w:rFonts w:hint="eastAsia"/>
          <w:bCs/>
          <w:color w:val="auto"/>
        </w:rPr>
        <w:t>其中</w:t>
      </w:r>
      <w:r>
        <w:rPr>
          <w:bCs/>
          <w:color w:val="auto"/>
        </w:rPr>
        <w:t>A</w:t>
      </w:r>
      <w:r>
        <w:rPr>
          <w:bCs/>
          <w:color w:val="auto"/>
          <w:vertAlign w:val="subscript"/>
        </w:rPr>
        <w:t>i</w:t>
      </w:r>
      <w:r>
        <w:rPr>
          <w:rFonts w:hint="eastAsia"/>
          <w:bCs/>
          <w:color w:val="auto"/>
        </w:rPr>
        <w:t>是单位面积</w:t>
      </w:r>
      <w:r>
        <w:rPr>
          <w:bCs/>
          <w:color w:val="auto"/>
        </w:rPr>
        <w:t>/</w:t>
      </w:r>
      <w:r>
        <w:rPr>
          <w:rFonts w:hint="eastAsia"/>
          <w:bCs/>
          <w:color w:val="auto"/>
        </w:rPr>
        <w:t>体积；Ω是定义在</w:t>
      </w:r>
      <w:r>
        <w:rPr>
          <w:bCs/>
          <w:color w:val="auto"/>
        </w:rPr>
        <w:t>A</w:t>
      </w:r>
      <w:r>
        <w:rPr>
          <w:bCs/>
          <w:color w:val="auto"/>
          <w:vertAlign w:val="subscript"/>
        </w:rPr>
        <w:t>i</w:t>
      </w:r>
      <w:r>
        <w:rPr>
          <w:rFonts w:hint="eastAsia"/>
          <w:bCs/>
          <w:color w:val="auto"/>
        </w:rPr>
        <w:t>上的积分变量；Γ</w:t>
      </w:r>
      <w:r>
        <w:rPr>
          <w:rFonts w:hint="eastAsia"/>
          <w:bCs/>
          <w:color w:val="auto"/>
          <w:vertAlign w:val="subscript"/>
        </w:rPr>
        <w:t>i</w:t>
      </w:r>
      <w:r>
        <w:rPr>
          <w:rFonts w:hint="eastAsia"/>
          <w:bCs/>
          <w:color w:val="auto"/>
        </w:rPr>
        <w:t>是在第i个单元上的边界；d</w:t>
      </w:r>
      <w:r>
        <w:rPr>
          <w:rFonts w:hint="eastAsia"/>
          <w:bCs/>
          <w:color w:val="auto"/>
          <w:vertAlign w:val="subscript"/>
        </w:rPr>
        <w:t>s</w:t>
      </w:r>
      <w:r>
        <w:rPr>
          <w:rFonts w:hint="eastAsia"/>
          <w:bCs/>
          <w:color w:val="auto"/>
        </w:rPr>
        <w:t>是沿边界上的积分变量；n是沿边界上的单位外法向量；通过一点正交规则评估单位面积/体积积分，正交点是单元的质心，通量</w:t>
      </w:r>
      <w:r>
        <w:rPr>
          <w:bCs/>
          <w:color w:val="auto"/>
        </w:rPr>
        <w:t>积分方程</w:t>
      </w:r>
      <w:r>
        <w:rPr>
          <w:rFonts w:hint="eastAsia"/>
          <w:bCs/>
          <w:color w:val="auto"/>
        </w:rPr>
        <w:t>式变为：</w:t>
      </w:r>
    </w:p>
    <w:p w14:paraId="7C98F38D">
      <w:pPr>
        <w:ind w:firstLine="480"/>
        <w:jc w:val="center"/>
        <w:rPr>
          <w:bCs/>
          <w:color w:val="auto"/>
        </w:rPr>
      </w:pPr>
      <w:r>
        <w:rPr>
          <w:bCs/>
          <w:color w:val="auto"/>
        </w:rPr>
        <w:object>
          <v:shape id="_x0000_i1052" o:spt="75" type="#_x0000_t75" style="height:38.25pt;width:123.75pt;" o:ole="t" filled="f" o:preferrelative="t" stroked="f" coordsize="21600,21600">
            <v:path/>
            <v:fill on="f" focussize="0,0"/>
            <v:stroke on="f" joinstyle="miter"/>
            <v:imagedata r:id="rId135" o:title=""/>
            <o:lock v:ext="edit" aspectratio="t"/>
            <w10:wrap type="none"/>
            <w10:anchorlock/>
          </v:shape>
          <o:OLEObject Type="Embed" ProgID="Equation.3" ShapeID="_x0000_i1052" DrawAspect="Content" ObjectID="_1468075752" r:id="rId134">
            <o:LockedField>false</o:LockedField>
          </o:OLEObject>
        </w:object>
      </w:r>
    </w:p>
    <w:p w14:paraId="12C45433">
      <w:pPr>
        <w:ind w:firstLine="480"/>
        <w:rPr>
          <w:bCs/>
          <w:color w:val="auto"/>
        </w:rPr>
      </w:pPr>
      <w:r>
        <w:rPr>
          <w:rFonts w:hint="eastAsia"/>
          <w:bCs/>
          <w:color w:val="auto"/>
        </w:rPr>
        <w:t>其中，</w:t>
      </w:r>
      <w:r>
        <w:rPr>
          <w:bCs/>
          <w:color w:val="auto"/>
        </w:rPr>
        <w:t>U</w:t>
      </w:r>
      <w:r>
        <w:rPr>
          <w:bCs/>
          <w:color w:val="auto"/>
          <w:vertAlign w:val="subscript"/>
        </w:rPr>
        <w:t>i</w:t>
      </w:r>
      <w:r>
        <w:rPr>
          <w:rFonts w:hint="eastAsia"/>
          <w:bCs/>
          <w:color w:val="auto"/>
        </w:rPr>
        <w:t>和</w:t>
      </w:r>
      <w:r>
        <w:rPr>
          <w:bCs/>
          <w:color w:val="auto"/>
        </w:rPr>
        <w:t>S</w:t>
      </w:r>
      <w:r>
        <w:rPr>
          <w:bCs/>
          <w:color w:val="auto"/>
          <w:vertAlign w:val="subscript"/>
        </w:rPr>
        <w:t>i</w:t>
      </w:r>
      <w:r>
        <w:rPr>
          <w:rFonts w:hint="eastAsia"/>
          <w:bCs/>
          <w:color w:val="auto"/>
        </w:rPr>
        <w:t>分别是</w:t>
      </w:r>
      <w:r>
        <w:rPr>
          <w:bCs/>
          <w:color w:val="auto"/>
        </w:rPr>
        <w:t>U</w:t>
      </w:r>
      <w:r>
        <w:rPr>
          <w:rFonts w:hint="eastAsia"/>
          <w:bCs/>
          <w:color w:val="auto"/>
        </w:rPr>
        <w:t>和</w:t>
      </w:r>
      <w:r>
        <w:rPr>
          <w:bCs/>
          <w:color w:val="auto"/>
        </w:rPr>
        <w:t>S</w:t>
      </w:r>
      <w:r>
        <w:rPr>
          <w:rFonts w:hint="eastAsia"/>
          <w:bCs/>
          <w:color w:val="auto"/>
        </w:rPr>
        <w:t>在第</w:t>
      </w:r>
      <w:r>
        <w:rPr>
          <w:bCs/>
          <w:color w:val="auto"/>
        </w:rPr>
        <w:t>i</w:t>
      </w:r>
      <w:r>
        <w:rPr>
          <w:rFonts w:hint="eastAsia"/>
          <w:bCs/>
          <w:color w:val="auto"/>
        </w:rPr>
        <w:t>单元和单元质心上的平均值。</w:t>
      </w:r>
      <w:r>
        <w:rPr>
          <w:bCs/>
          <w:color w:val="auto"/>
        </w:rPr>
        <w:t>N</w:t>
      </w:r>
      <w:r>
        <w:rPr>
          <w:bCs/>
          <w:color w:val="auto"/>
          <w:vertAlign w:val="subscript"/>
        </w:rPr>
        <w:t>S</w:t>
      </w:r>
      <w:r>
        <w:rPr>
          <w:rFonts w:hint="eastAsia"/>
          <w:bCs/>
          <w:color w:val="auto"/>
        </w:rPr>
        <w:t>是旁侧单元数；</w:t>
      </w:r>
      <w:r>
        <w:rPr>
          <w:bCs/>
          <w:color w:val="auto"/>
        </w:rPr>
        <w:t>n</w:t>
      </w:r>
      <w:r>
        <w:rPr>
          <w:rFonts w:hint="eastAsia"/>
          <w:bCs/>
          <w:color w:val="auto"/>
        </w:rPr>
        <w:t>是在</w:t>
      </w:r>
      <w:r>
        <w:rPr>
          <w:bCs/>
          <w:color w:val="auto"/>
        </w:rPr>
        <w:t>j</w:t>
      </w:r>
      <w:r>
        <w:rPr>
          <w:rFonts w:hint="eastAsia"/>
          <w:bCs/>
          <w:color w:val="auto"/>
        </w:rPr>
        <w:t>侧的外法向量；ΔΓ</w:t>
      </w:r>
      <w:r>
        <w:rPr>
          <w:rFonts w:hint="eastAsia"/>
          <w:bCs/>
          <w:color w:val="auto"/>
          <w:vertAlign w:val="subscript"/>
        </w:rPr>
        <w:t>i</w:t>
      </w:r>
      <w:r>
        <w:rPr>
          <w:rFonts w:hint="eastAsia"/>
          <w:bCs/>
          <w:color w:val="auto"/>
        </w:rPr>
        <w:t>是在i界面的长度</w:t>
      </w:r>
      <w:r>
        <w:rPr>
          <w:bCs/>
          <w:color w:val="auto"/>
        </w:rPr>
        <w:t>/</w:t>
      </w:r>
      <w:r>
        <w:rPr>
          <w:rFonts w:hint="eastAsia"/>
          <w:bCs/>
          <w:color w:val="auto"/>
        </w:rPr>
        <w:t>面积。一阶和二阶格式都可以应用在空间离散化。</w:t>
      </w:r>
    </w:p>
    <w:p w14:paraId="10DED244">
      <w:pPr>
        <w:ind w:firstLine="480"/>
        <w:rPr>
          <w:bCs/>
          <w:color w:val="auto"/>
        </w:rPr>
      </w:pPr>
      <w:r>
        <w:rPr>
          <w:rFonts w:hint="eastAsia"/>
          <w:bCs/>
          <w:color w:val="auto"/>
        </w:rPr>
        <w:t>二维情形下，近似</w:t>
      </w:r>
      <w:r>
        <w:rPr>
          <w:bCs/>
          <w:color w:val="auto"/>
        </w:rPr>
        <w:t>Riemann</w:t>
      </w:r>
      <w:r>
        <w:rPr>
          <w:rFonts w:hint="eastAsia"/>
          <w:bCs/>
          <w:color w:val="auto"/>
        </w:rPr>
        <w:t>解用来计算在单元界面的对流通量。用</w:t>
      </w:r>
      <w:r>
        <w:rPr>
          <w:bCs/>
          <w:color w:val="auto"/>
        </w:rPr>
        <w:t>Roe</w:t>
      </w:r>
      <w:r>
        <w:rPr>
          <w:rFonts w:hint="eastAsia"/>
          <w:bCs/>
          <w:color w:val="auto"/>
        </w:rPr>
        <w:t>方法估算在界面的左边和右边的独立变量。用线性梯度重构方法能达到空间离散化的二阶精度。通过</w:t>
      </w:r>
      <w:r>
        <w:rPr>
          <w:bCs/>
          <w:color w:val="auto"/>
        </w:rPr>
        <w:t>Jawahar</w:t>
      </w:r>
      <w:r>
        <w:rPr>
          <w:rFonts w:hint="eastAsia"/>
          <w:bCs/>
          <w:color w:val="auto"/>
        </w:rPr>
        <w:t>和</w:t>
      </w:r>
      <w:r>
        <w:rPr>
          <w:bCs/>
          <w:color w:val="auto"/>
        </w:rPr>
        <w:t>Kamath</w:t>
      </w:r>
      <w:r>
        <w:rPr>
          <w:rFonts w:hint="eastAsia"/>
          <w:bCs/>
          <w:color w:val="auto"/>
        </w:rPr>
        <w:t>在</w:t>
      </w:r>
      <w:r>
        <w:rPr>
          <w:bCs/>
          <w:color w:val="auto"/>
        </w:rPr>
        <w:t>2000</w:t>
      </w:r>
      <w:r>
        <w:rPr>
          <w:rFonts w:hint="eastAsia"/>
          <w:bCs/>
          <w:color w:val="auto"/>
        </w:rPr>
        <w:t>年提出的方法，估算平均梯度。应用一个二阶</w:t>
      </w:r>
      <w:r>
        <w:rPr>
          <w:bCs/>
          <w:color w:val="auto"/>
        </w:rPr>
        <w:t>TVD</w:t>
      </w:r>
      <w:r>
        <w:rPr>
          <w:rFonts w:hint="eastAsia"/>
          <w:bCs/>
          <w:color w:val="auto"/>
        </w:rPr>
        <w:t>斜率限制器来消除数值振荡。</w:t>
      </w:r>
    </w:p>
    <w:p w14:paraId="4F3534D9">
      <w:pPr>
        <w:ind w:firstLine="482"/>
        <w:rPr>
          <w:b/>
          <w:bCs/>
          <w:color w:val="auto"/>
        </w:rPr>
      </w:pPr>
      <w:r>
        <w:rPr>
          <w:rFonts w:hint="eastAsia"/>
          <w:b/>
          <w:bCs/>
          <w:color w:val="auto"/>
        </w:rPr>
        <w:t>2、时间积分</w:t>
      </w:r>
    </w:p>
    <w:p w14:paraId="473940DF">
      <w:pPr>
        <w:ind w:firstLine="480"/>
        <w:rPr>
          <w:bCs/>
          <w:color w:val="auto"/>
        </w:rPr>
      </w:pPr>
      <w:r>
        <w:rPr>
          <w:rFonts w:hint="eastAsia"/>
          <w:bCs/>
          <w:color w:val="auto"/>
        </w:rPr>
        <w:t>二维模拟中，浅水方程有两种时间积分方法：低阶方法和高阶方法。低阶方法是一阶显示欧拉方法。</w:t>
      </w:r>
    </w:p>
    <w:p w14:paraId="7A7A9542">
      <w:pPr>
        <w:ind w:firstLine="480"/>
        <w:rPr>
          <w:bCs/>
          <w:color w:val="auto"/>
        </w:rPr>
      </w:pPr>
      <w:r>
        <w:rPr>
          <w:rFonts w:hint="eastAsia"/>
          <w:bCs/>
          <w:color w:val="auto"/>
        </w:rPr>
        <w:tab/>
      </w:r>
      <w:r>
        <w:rPr>
          <w:bCs/>
          <w:color w:val="auto"/>
        </w:rPr>
        <w:object>
          <v:shape id="_x0000_i1053" o:spt="75" type="#_x0000_t75" style="height:21pt;width:101.25pt;" o:ole="t" filled="f" o:preferrelative="t" stroked="f" coordsize="21600,21600">
            <v:path/>
            <v:fill on="f" focussize="0,0"/>
            <v:stroke on="f" joinstyle="miter"/>
            <v:imagedata r:id="rId137" o:title=""/>
            <o:lock v:ext="edit" aspectratio="t"/>
            <w10:wrap type="none"/>
            <w10:anchorlock/>
          </v:shape>
          <o:OLEObject Type="Embed" ProgID="Equation.3" ShapeID="_x0000_i1053" DrawAspect="Content" ObjectID="_1468075753" r:id="rId136">
            <o:LockedField>false</o:LockedField>
          </o:OLEObject>
        </w:object>
      </w:r>
      <w:r>
        <w:rPr>
          <w:rFonts w:hint="eastAsia"/>
          <w:bCs/>
          <w:color w:val="auto"/>
        </w:rPr>
        <w:tab/>
      </w:r>
    </w:p>
    <w:p w14:paraId="4BBCF48B">
      <w:pPr>
        <w:ind w:firstLine="480"/>
        <w:rPr>
          <w:bCs/>
          <w:color w:val="auto"/>
        </w:rPr>
      </w:pPr>
      <w:r>
        <w:rPr>
          <w:rFonts w:hint="eastAsia"/>
          <w:bCs/>
          <w:color w:val="auto"/>
        </w:rPr>
        <w:t>其中，Δ</w:t>
      </w:r>
      <w:r>
        <w:rPr>
          <w:bCs/>
          <w:color w:val="auto"/>
        </w:rPr>
        <w:t>t</w:t>
      </w:r>
      <w:r>
        <w:rPr>
          <w:rFonts w:hint="eastAsia"/>
          <w:bCs/>
          <w:color w:val="auto"/>
        </w:rPr>
        <w:t>是时间步长。</w:t>
      </w:r>
    </w:p>
    <w:p w14:paraId="2AFE642B">
      <w:pPr>
        <w:ind w:firstLine="480"/>
        <w:rPr>
          <w:bCs/>
          <w:color w:val="auto"/>
        </w:rPr>
      </w:pPr>
      <w:r>
        <w:rPr>
          <w:rFonts w:hint="eastAsia"/>
          <w:bCs/>
          <w:color w:val="auto"/>
        </w:rPr>
        <w:t>高阶方法使用如下形式的二阶</w:t>
      </w:r>
      <w:r>
        <w:rPr>
          <w:bCs/>
          <w:color w:val="auto"/>
        </w:rPr>
        <w:t>RungeKutta</w:t>
      </w:r>
      <w:r>
        <w:rPr>
          <w:rFonts w:hint="eastAsia"/>
          <w:bCs/>
          <w:color w:val="auto"/>
        </w:rPr>
        <w:t>方法。</w:t>
      </w:r>
    </w:p>
    <w:p w14:paraId="7C55A022">
      <w:pPr>
        <w:ind w:firstLine="480"/>
        <w:rPr>
          <w:bCs/>
          <w:color w:val="auto"/>
        </w:rPr>
      </w:pPr>
      <w:r>
        <w:rPr>
          <w:rFonts w:hint="eastAsia"/>
          <w:bCs/>
          <w:color w:val="auto"/>
        </w:rPr>
        <w:tab/>
      </w:r>
      <w:r>
        <w:rPr>
          <w:bCs/>
          <w:color w:val="auto"/>
        </w:rPr>
        <w:object>
          <v:shape id="_x0000_i1054" o:spt="75" type="#_x0000_t75" style="height:77.25pt;width:117.75pt;" o:ole="t" filled="f" o:preferrelative="t" stroked="f" coordsize="21600,21600">
            <v:path/>
            <v:fill on="f" focussize="0,0"/>
            <v:stroke on="f" joinstyle="miter"/>
            <v:imagedata r:id="rId139" o:title=""/>
            <o:lock v:ext="edit" aspectratio="t"/>
            <w10:wrap type="none"/>
            <w10:anchorlock/>
          </v:shape>
          <o:OLEObject Type="Embed" ProgID="Equation.3" ShapeID="_x0000_i1054" DrawAspect="Content" ObjectID="_1468075754" r:id="rId138">
            <o:LockedField>false</o:LockedField>
          </o:OLEObject>
        </w:object>
      </w:r>
      <w:r>
        <w:rPr>
          <w:rFonts w:hint="eastAsia"/>
          <w:bCs/>
          <w:color w:val="auto"/>
        </w:rPr>
        <w:tab/>
      </w:r>
    </w:p>
    <w:p w14:paraId="7BED225F">
      <w:pPr>
        <w:ind w:firstLine="480"/>
        <w:rPr>
          <w:bCs/>
          <w:color w:val="auto"/>
        </w:rPr>
      </w:pPr>
      <w:r>
        <w:rPr>
          <w:rFonts w:hint="eastAsia"/>
          <w:bCs/>
          <w:color w:val="auto"/>
        </w:rPr>
        <w:tab/>
      </w:r>
      <w:r>
        <w:rPr>
          <w:bCs/>
          <w:color w:val="auto"/>
        </w:rPr>
        <w:object>
          <v:shape id="_x0000_i1055" o:spt="75" type="#_x0000_t75" style="height:58.5pt;width:330pt;" o:ole="t" filled="f" o:preferrelative="t" stroked="f" coordsize="21600,21600">
            <v:path/>
            <v:fill on="f" focussize="0,0"/>
            <v:stroke on="f" joinstyle="miter"/>
            <v:imagedata r:id="rId141" o:title=""/>
            <o:lock v:ext="edit" aspectratio="t"/>
            <w10:wrap type="none"/>
            <w10:anchorlock/>
          </v:shape>
          <o:OLEObject Type="Embed" ProgID="Equation.3" ShapeID="_x0000_i1055" DrawAspect="Content" ObjectID="_1468075755" r:id="rId140">
            <o:LockedField>false</o:LockedField>
          </o:OLEObject>
        </w:object>
      </w:r>
      <w:r>
        <w:rPr>
          <w:rFonts w:hint="eastAsia"/>
          <w:bCs/>
          <w:color w:val="auto"/>
        </w:rPr>
        <w:tab/>
      </w:r>
    </w:p>
    <w:p w14:paraId="534C979D">
      <w:pPr>
        <w:ind w:firstLine="482"/>
        <w:rPr>
          <w:b/>
          <w:bCs/>
          <w:color w:val="auto"/>
        </w:rPr>
      </w:pPr>
      <w:bookmarkStart w:id="557" w:name="_Toc467335728"/>
      <w:r>
        <w:rPr>
          <w:b/>
          <w:bCs/>
          <w:color w:val="auto"/>
        </w:rPr>
        <w:t>3</w:t>
      </w:r>
      <w:r>
        <w:rPr>
          <w:rFonts w:hint="eastAsia"/>
          <w:b/>
          <w:bCs/>
          <w:color w:val="auto"/>
        </w:rPr>
        <w:t>、边界条件处理</w:t>
      </w:r>
      <w:bookmarkEnd w:id="557"/>
    </w:p>
    <w:p w14:paraId="3C613AAD">
      <w:pPr>
        <w:ind w:firstLine="480"/>
        <w:rPr>
          <w:bCs/>
          <w:color w:val="auto"/>
        </w:rPr>
      </w:pPr>
      <w:r>
        <w:rPr>
          <w:rFonts w:hint="eastAsia"/>
          <w:bCs/>
          <w:color w:val="auto"/>
        </w:rPr>
        <w:t>闭边界：沿闭合边界（陆地边界）所有变量的一般通量设为零。对于动量方程，这导致沿陆地边界的完全滑移；开边界：开边界指定为单位流量的形式或给定水动力方程的海面高度，其中河流边界处给定单位流量，外海开边界采用逐时的水位序列驱动。对于物质传输方程，外海开边界采用具体值赋值或采用零梯度方法给定。</w:t>
      </w:r>
    </w:p>
    <w:p w14:paraId="13FBED5C">
      <w:pPr>
        <w:pStyle w:val="6"/>
        <w:rPr>
          <w:color w:val="auto"/>
        </w:rPr>
      </w:pPr>
      <w:r>
        <w:rPr>
          <w:rFonts w:hint="eastAsia"/>
          <w:color w:val="auto"/>
        </w:rPr>
        <w:t>计算网格和模型设置</w:t>
      </w:r>
    </w:p>
    <w:p w14:paraId="7685751C">
      <w:pPr>
        <w:ind w:firstLine="480"/>
        <w:rPr>
          <w:color w:val="auto"/>
          <w:u w:val="single"/>
        </w:rPr>
      </w:pPr>
      <w:r>
        <w:rPr>
          <w:rFonts w:hint="eastAsia"/>
          <w:bCs/>
          <w:color w:val="auto"/>
        </w:rPr>
        <w:t>本项目所建立的区域潮汐动力模型计算范围如图</w:t>
      </w:r>
      <w:r>
        <w:rPr>
          <w:bCs/>
          <w:color w:val="auto"/>
        </w:rPr>
        <w:t>5.6-1所示</w:t>
      </w:r>
      <w:r>
        <w:rPr>
          <w:rFonts w:hint="eastAsia"/>
          <w:bCs/>
          <w:color w:val="auto"/>
        </w:rPr>
        <w:t>，模型包括整个钦州湾及部分外海海域，模型的西边界设置在钦州湾西部，南边界开边界设置在2</w:t>
      </w:r>
      <w:r>
        <w:rPr>
          <w:bCs/>
          <w:color w:val="auto"/>
        </w:rPr>
        <w:t>2~24</w:t>
      </w:r>
      <w:r>
        <w:rPr>
          <w:rFonts w:hint="eastAsia"/>
          <w:bCs/>
          <w:color w:val="auto"/>
        </w:rPr>
        <w:t>m等深线附近，东边界设置在北海市滨海湿地公园西部海域</w:t>
      </w:r>
      <w:r>
        <w:rPr>
          <w:bCs/>
          <w:color w:val="auto"/>
        </w:rPr>
        <w:t>。模型</w:t>
      </w:r>
      <w:r>
        <w:rPr>
          <w:rFonts w:hint="eastAsia"/>
          <w:bCs/>
          <w:color w:val="auto"/>
        </w:rPr>
        <w:t>采用非结构三角网格，整个计算区域由</w:t>
      </w:r>
      <w:r>
        <w:rPr>
          <w:bCs/>
          <w:color w:val="auto"/>
        </w:rPr>
        <w:t>28571</w:t>
      </w:r>
      <w:r>
        <w:rPr>
          <w:rFonts w:hint="eastAsia"/>
          <w:bCs/>
          <w:color w:val="auto"/>
        </w:rPr>
        <w:t>个节点和</w:t>
      </w:r>
      <w:r>
        <w:rPr>
          <w:bCs/>
          <w:color w:val="auto"/>
        </w:rPr>
        <w:t>55079</w:t>
      </w:r>
      <w:r>
        <w:rPr>
          <w:rFonts w:hint="eastAsia"/>
          <w:bCs/>
          <w:color w:val="auto"/>
        </w:rPr>
        <w:t>个三角单元组成，网格的最小空间步长约为</w:t>
      </w:r>
      <w:r>
        <w:rPr>
          <w:bCs/>
          <w:color w:val="auto"/>
        </w:rPr>
        <w:t>50</w:t>
      </w:r>
      <w:r>
        <w:rPr>
          <w:rFonts w:hint="eastAsia"/>
          <w:bCs/>
          <w:color w:val="auto"/>
        </w:rPr>
        <w:t>m。为了清楚地反映项目建设对其附近海域水动力环境的影响，</w:t>
      </w:r>
      <w:r>
        <w:rPr>
          <w:rFonts w:hint="eastAsia"/>
          <w:bCs/>
          <w:color w:val="auto"/>
          <w:u w:val="single"/>
        </w:rPr>
        <w:t>模型的计算水深由电子海图水深（电子海图来源于舟山海图信息科技有限公司，编号分别为：CN391001（2025-07-28第8版）、CN392001（2025-7-23第9版）和CN492107（2025-07-25 第8版））插值得到（图</w:t>
      </w:r>
      <w:r>
        <w:rPr>
          <w:bCs/>
          <w:color w:val="auto"/>
          <w:u w:val="single"/>
        </w:rPr>
        <w:t>5.6</w:t>
      </w:r>
      <w:r>
        <w:rPr>
          <w:rFonts w:hint="eastAsia"/>
          <w:bCs/>
          <w:color w:val="auto"/>
          <w:u w:val="single"/>
        </w:rPr>
        <w:t>-</w:t>
      </w:r>
      <w:r>
        <w:rPr>
          <w:bCs/>
          <w:color w:val="auto"/>
          <w:u w:val="single"/>
        </w:rPr>
        <w:t>2</w:t>
      </w:r>
      <w:r>
        <w:rPr>
          <w:rFonts w:hint="eastAsia"/>
          <w:bCs/>
          <w:color w:val="auto"/>
          <w:u w:val="single"/>
        </w:rPr>
        <w:t>）</w:t>
      </w:r>
      <w:r>
        <w:rPr>
          <w:rFonts w:hint="eastAsia"/>
          <w:color w:val="auto"/>
          <w:u w:val="single"/>
        </w:rPr>
        <w:t>。</w:t>
      </w:r>
    </w:p>
    <w:p w14:paraId="78EA9EC4">
      <w:pPr>
        <w:ind w:firstLine="480"/>
        <w:rPr>
          <w:color w:val="auto"/>
        </w:rPr>
      </w:pPr>
      <w:r>
        <w:rPr>
          <w:rFonts w:hint="eastAsia"/>
          <w:color w:val="auto"/>
        </w:rPr>
        <w:t>模型</w:t>
      </w:r>
      <w:r>
        <w:rPr>
          <w:color w:val="auto"/>
        </w:rPr>
        <w:t>在开边界处采用逐时潮位驱动，潮位强迫</w:t>
      </w:r>
      <w:r>
        <w:rPr>
          <w:rFonts w:hint="eastAsia"/>
          <w:color w:val="auto"/>
        </w:rPr>
        <w:t>序列</w:t>
      </w:r>
      <w:r>
        <w:rPr>
          <w:color w:val="auto"/>
        </w:rPr>
        <w:t>由8个分潮（M</w:t>
      </w:r>
      <w:r>
        <w:rPr>
          <w:color w:val="auto"/>
          <w:vertAlign w:val="subscript"/>
        </w:rPr>
        <w:t>2</w:t>
      </w:r>
      <w:r>
        <w:rPr>
          <w:color w:val="auto"/>
        </w:rPr>
        <w:t>、S</w:t>
      </w:r>
      <w:r>
        <w:rPr>
          <w:color w:val="auto"/>
          <w:vertAlign w:val="subscript"/>
        </w:rPr>
        <w:t>2</w:t>
      </w:r>
      <w:r>
        <w:rPr>
          <w:color w:val="auto"/>
        </w:rPr>
        <w:t>、N</w:t>
      </w:r>
      <w:r>
        <w:rPr>
          <w:color w:val="auto"/>
          <w:vertAlign w:val="subscript"/>
        </w:rPr>
        <w:t>2</w:t>
      </w:r>
      <w:r>
        <w:rPr>
          <w:color w:val="auto"/>
        </w:rPr>
        <w:t>、K</w:t>
      </w:r>
      <w:r>
        <w:rPr>
          <w:color w:val="auto"/>
          <w:vertAlign w:val="subscript"/>
        </w:rPr>
        <w:t>2</w:t>
      </w:r>
      <w:r>
        <w:rPr>
          <w:color w:val="auto"/>
        </w:rPr>
        <w:t>、K</w:t>
      </w:r>
      <w:r>
        <w:rPr>
          <w:color w:val="auto"/>
          <w:vertAlign w:val="subscript"/>
        </w:rPr>
        <w:t>1</w:t>
      </w:r>
      <w:r>
        <w:rPr>
          <w:color w:val="auto"/>
        </w:rPr>
        <w:t>、O</w:t>
      </w:r>
      <w:r>
        <w:rPr>
          <w:color w:val="auto"/>
          <w:vertAlign w:val="subscript"/>
        </w:rPr>
        <w:t>1</w:t>
      </w:r>
      <w:r>
        <w:rPr>
          <w:color w:val="auto"/>
        </w:rPr>
        <w:t>、P</w:t>
      </w:r>
      <w:r>
        <w:rPr>
          <w:color w:val="auto"/>
          <w:vertAlign w:val="subscript"/>
        </w:rPr>
        <w:t>1</w:t>
      </w:r>
      <w:r>
        <w:rPr>
          <w:rFonts w:hint="eastAsia"/>
          <w:color w:val="auto"/>
        </w:rPr>
        <w:t>和</w:t>
      </w:r>
      <w:r>
        <w:rPr>
          <w:color w:val="auto"/>
        </w:rPr>
        <w:t>Q</w:t>
      </w:r>
      <w:r>
        <w:rPr>
          <w:color w:val="auto"/>
          <w:vertAlign w:val="subscript"/>
        </w:rPr>
        <w:t>1</w:t>
      </w:r>
      <w:r>
        <w:rPr>
          <w:color w:val="auto"/>
        </w:rPr>
        <w:t>）的调和常数计算得到，</w:t>
      </w:r>
      <w:r>
        <w:rPr>
          <w:rFonts w:hint="eastAsia"/>
          <w:color w:val="auto"/>
        </w:rPr>
        <w:t>上述8个主要分潮的</w:t>
      </w:r>
      <w:r>
        <w:rPr>
          <w:color w:val="auto"/>
        </w:rPr>
        <w:t>调和常数取自全球潮汐反演模型</w:t>
      </w:r>
      <w:r>
        <w:rPr>
          <w:rFonts w:hint="eastAsia"/>
          <w:color w:val="auto"/>
          <w:u w:val="single"/>
        </w:rPr>
        <w:t>（TPXO7.2）</w:t>
      </w:r>
      <w:r>
        <w:rPr>
          <w:color w:val="auto"/>
        </w:rPr>
        <w:t>结果</w:t>
      </w:r>
      <w:r>
        <w:rPr>
          <w:rFonts w:hint="eastAsia"/>
          <w:color w:val="auto"/>
        </w:rPr>
        <w:t>。</w:t>
      </w:r>
      <w:r>
        <w:rPr>
          <w:color w:val="auto"/>
        </w:rPr>
        <w:t>模型</w:t>
      </w:r>
      <w:r>
        <w:rPr>
          <w:rFonts w:hint="eastAsia"/>
          <w:color w:val="auto"/>
        </w:rPr>
        <w:t>从</w:t>
      </w:r>
      <w:r>
        <w:rPr>
          <w:color w:val="auto"/>
        </w:rPr>
        <w:t>静止状态开始计算，</w:t>
      </w:r>
      <w:r>
        <w:rPr>
          <w:rFonts w:hint="eastAsia"/>
          <w:color w:val="auto"/>
        </w:rPr>
        <w:t>模型</w:t>
      </w:r>
      <w:r>
        <w:rPr>
          <w:color w:val="auto"/>
        </w:rPr>
        <w:t>计算时段为</w:t>
      </w:r>
      <w:r>
        <w:rPr>
          <w:rFonts w:hint="eastAsia"/>
          <w:color w:val="auto"/>
        </w:rPr>
        <w:t>202</w:t>
      </w:r>
      <w:r>
        <w:rPr>
          <w:color w:val="auto"/>
        </w:rPr>
        <w:t>2</w:t>
      </w:r>
      <w:r>
        <w:rPr>
          <w:rFonts w:hint="eastAsia"/>
          <w:color w:val="auto"/>
        </w:rPr>
        <w:t>年</w:t>
      </w:r>
      <w:r>
        <w:rPr>
          <w:color w:val="auto"/>
        </w:rPr>
        <w:t>10</w:t>
      </w:r>
      <w:r>
        <w:rPr>
          <w:rFonts w:hint="eastAsia"/>
          <w:color w:val="auto"/>
        </w:rPr>
        <w:t>月</w:t>
      </w:r>
      <w:r>
        <w:rPr>
          <w:color w:val="auto"/>
        </w:rPr>
        <w:t>1</w:t>
      </w:r>
      <w:r>
        <w:rPr>
          <w:rFonts w:hint="eastAsia"/>
          <w:color w:val="auto"/>
        </w:rPr>
        <w:t>日~</w:t>
      </w:r>
      <w:r>
        <w:rPr>
          <w:color w:val="auto"/>
        </w:rPr>
        <w:t>2022</w:t>
      </w:r>
      <w:r>
        <w:rPr>
          <w:rFonts w:hint="eastAsia"/>
          <w:color w:val="auto"/>
        </w:rPr>
        <w:t>年</w:t>
      </w:r>
      <w:r>
        <w:rPr>
          <w:color w:val="auto"/>
        </w:rPr>
        <w:t>10</w:t>
      </w:r>
      <w:r>
        <w:rPr>
          <w:rFonts w:hint="eastAsia"/>
          <w:color w:val="auto"/>
        </w:rPr>
        <w:t>月</w:t>
      </w:r>
      <w:r>
        <w:rPr>
          <w:color w:val="auto"/>
        </w:rPr>
        <w:t>30</w:t>
      </w:r>
      <w:r>
        <w:rPr>
          <w:rFonts w:hint="eastAsia"/>
          <w:color w:val="auto"/>
        </w:rPr>
        <w:t>日</w:t>
      </w:r>
      <w:r>
        <w:rPr>
          <w:color w:val="auto"/>
        </w:rPr>
        <w:t>，输出逐时的潮位和流速矢量结果进行模式验证和项目分析。</w:t>
      </w:r>
    </w:p>
    <w:p w14:paraId="5BD9BF1C">
      <w:pPr>
        <w:ind w:firstLine="480"/>
        <w:rPr>
          <w:color w:val="auto"/>
        </w:rPr>
      </w:pPr>
      <w:r>
        <w:rPr>
          <w:color w:val="auto"/>
        </w:rPr>
        <w:drawing>
          <wp:inline distT="0" distB="0" distL="0" distR="0">
            <wp:extent cx="5054600" cy="4263390"/>
            <wp:effectExtent l="0" t="0" r="0" b="3810"/>
            <wp:docPr id="2738" name="图片 2738" descr="F:\My_projects\Dongyou_GX2026\Figures\me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 name="图片 2738" descr="F:\My_projects\Dongyou_GX2026\Figures\mesh.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5055961" cy="4264701"/>
                    </a:xfrm>
                    <a:prstGeom prst="rect">
                      <a:avLst/>
                    </a:prstGeom>
                    <a:noFill/>
                    <a:ln>
                      <a:noFill/>
                    </a:ln>
                  </pic:spPr>
                </pic:pic>
              </a:graphicData>
            </a:graphic>
          </wp:inline>
        </w:drawing>
      </w:r>
    </w:p>
    <w:p w14:paraId="4B858364">
      <w:pPr>
        <w:pStyle w:val="14"/>
        <w:rPr>
          <w:b w:val="0"/>
          <w:color w:val="auto"/>
          <w:sz w:val="24"/>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rFonts w:hint="eastAsia"/>
          <w:color w:val="auto"/>
          <w:sz w:val="24"/>
        </w:rPr>
        <w:t>水动力模型</w:t>
      </w:r>
      <w:r>
        <w:rPr>
          <w:color w:val="auto"/>
          <w:sz w:val="24"/>
        </w:rPr>
        <w:t>计算域及网格分布</w:t>
      </w:r>
    </w:p>
    <w:p w14:paraId="5C0E7495">
      <w:pPr>
        <w:spacing w:before="163" w:beforeLines="50"/>
        <w:ind w:firstLine="482"/>
        <w:rPr>
          <w:b/>
          <w:color w:val="auto"/>
        </w:rPr>
      </w:pPr>
      <w:r>
        <w:rPr>
          <w:b/>
          <w:color w:val="auto"/>
        </w:rPr>
        <w:drawing>
          <wp:inline distT="0" distB="0" distL="0" distR="0">
            <wp:extent cx="5274310" cy="3868420"/>
            <wp:effectExtent l="0" t="0" r="2540" b="0"/>
            <wp:docPr id="2739" name="图片 2739" descr="F:\My_projects\Dongyou_GX2026\Figures\bath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 name="图片 2739" descr="F:\My_projects\Dongyou_GX2026\Figures\bathy.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5274310" cy="3868950"/>
                    </a:xfrm>
                    <a:prstGeom prst="rect">
                      <a:avLst/>
                    </a:prstGeom>
                    <a:noFill/>
                    <a:ln>
                      <a:noFill/>
                    </a:ln>
                  </pic:spPr>
                </pic:pic>
              </a:graphicData>
            </a:graphic>
          </wp:inline>
        </w:drawing>
      </w:r>
    </w:p>
    <w:p w14:paraId="319B6F7E">
      <w:pPr>
        <w:pStyle w:val="14"/>
        <w:rPr>
          <w:b w:val="0"/>
          <w:color w:val="auto"/>
          <w:sz w:val="24"/>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2</w:t>
      </w:r>
      <w:r>
        <w:rPr>
          <w:color w:val="auto"/>
        </w:rPr>
        <w:fldChar w:fldCharType="end"/>
      </w:r>
      <w:r>
        <w:rPr>
          <w:rFonts w:hint="eastAsia"/>
          <w:color w:val="auto"/>
          <w:sz w:val="24"/>
        </w:rPr>
        <w:t>模型</w:t>
      </w:r>
      <w:r>
        <w:rPr>
          <w:color w:val="auto"/>
          <w:sz w:val="24"/>
        </w:rPr>
        <w:t>计算</w:t>
      </w:r>
      <w:r>
        <w:rPr>
          <w:rFonts w:hint="eastAsia"/>
          <w:color w:val="auto"/>
          <w:sz w:val="24"/>
        </w:rPr>
        <w:t>区域水深</w:t>
      </w:r>
      <w:r>
        <w:rPr>
          <w:color w:val="auto"/>
          <w:sz w:val="24"/>
        </w:rPr>
        <w:t>分布图</w:t>
      </w:r>
    </w:p>
    <w:p w14:paraId="6AD0B1F1">
      <w:pPr>
        <w:pStyle w:val="4"/>
        <w:rPr>
          <w:color w:val="auto"/>
        </w:rPr>
      </w:pPr>
      <w:r>
        <w:rPr>
          <w:rFonts w:hint="eastAsia"/>
          <w:color w:val="auto"/>
        </w:rPr>
        <w:t>潮流数值模型及验证</w:t>
      </w:r>
    </w:p>
    <w:p w14:paraId="16BA2B53">
      <w:pPr>
        <w:ind w:firstLine="482"/>
        <w:rPr>
          <w:b/>
          <w:bCs/>
          <w:color w:val="auto"/>
        </w:rPr>
      </w:pPr>
      <w:r>
        <w:rPr>
          <w:rFonts w:hint="eastAsia"/>
          <w:b/>
          <w:bCs/>
          <w:color w:val="auto"/>
        </w:rPr>
        <w:t>1、验证</w:t>
      </w:r>
      <w:r>
        <w:rPr>
          <w:b/>
          <w:bCs/>
          <w:color w:val="auto"/>
        </w:rPr>
        <w:t>资料</w:t>
      </w:r>
    </w:p>
    <w:p w14:paraId="7F1CDE7F">
      <w:pPr>
        <w:ind w:firstLine="480"/>
        <w:rPr>
          <w:rFonts w:hint="default" w:eastAsia="宋体"/>
          <w:color w:val="auto"/>
          <w:u w:val="single"/>
          <w:lang w:val="en-US" w:eastAsia="zh-CN"/>
        </w:rPr>
      </w:pPr>
      <w:r>
        <w:rPr>
          <w:rFonts w:hint="eastAsia"/>
          <w:color w:val="auto"/>
        </w:rPr>
        <w:t>本报告采用202</w:t>
      </w:r>
      <w:r>
        <w:rPr>
          <w:color w:val="auto"/>
        </w:rPr>
        <w:t>2</w:t>
      </w:r>
      <w:r>
        <w:rPr>
          <w:rFonts w:hint="eastAsia"/>
          <w:color w:val="auto"/>
        </w:rPr>
        <w:t>年</w:t>
      </w:r>
      <w:r>
        <w:rPr>
          <w:color w:val="auto"/>
        </w:rPr>
        <w:t>10</w:t>
      </w:r>
      <w:r>
        <w:rPr>
          <w:rFonts w:hint="eastAsia"/>
          <w:color w:val="auto"/>
        </w:rPr>
        <w:t>月</w:t>
      </w:r>
      <w:r>
        <w:rPr>
          <w:color w:val="auto"/>
        </w:rPr>
        <w:t>22</w:t>
      </w:r>
      <w:r>
        <w:rPr>
          <w:rFonts w:hint="eastAsia"/>
          <w:color w:val="auto"/>
        </w:rPr>
        <w:t>日~</w:t>
      </w:r>
      <w:r>
        <w:rPr>
          <w:color w:val="auto"/>
        </w:rPr>
        <w:t>23</w:t>
      </w:r>
      <w:r>
        <w:rPr>
          <w:rFonts w:hint="eastAsia"/>
          <w:color w:val="auto"/>
        </w:rPr>
        <w:t>日在项目附近海域进行的一次水文观测对水动力模型进行验证评估。上述水文观测，在项目附近海域共布设水文连续观测站</w:t>
      </w:r>
      <w:r>
        <w:rPr>
          <w:color w:val="auto"/>
        </w:rPr>
        <w:t>4</w:t>
      </w:r>
      <w:r>
        <w:rPr>
          <w:rFonts w:hint="eastAsia"/>
          <w:color w:val="auto"/>
        </w:rPr>
        <w:t>个，编号为C1～C</w:t>
      </w:r>
      <w:r>
        <w:rPr>
          <w:color w:val="auto"/>
        </w:rPr>
        <w:t>4</w:t>
      </w:r>
      <w:r>
        <w:rPr>
          <w:rFonts w:hint="eastAsia"/>
          <w:color w:val="auto"/>
        </w:rPr>
        <w:t>，潮位验证采用钦州站（QZ站）的实测潮位数据，站位位置如图</w:t>
      </w:r>
      <w:r>
        <w:rPr>
          <w:color w:val="auto"/>
        </w:rPr>
        <w:t>5.6-3所示</w:t>
      </w:r>
      <w:r>
        <w:rPr>
          <w:rFonts w:hint="eastAsia"/>
          <w:color w:val="auto"/>
        </w:rPr>
        <w:t>。将现场观测的</w:t>
      </w:r>
      <w:r>
        <w:rPr>
          <w:color w:val="auto"/>
        </w:rPr>
        <w:t>潮位和潮流数据</w:t>
      </w:r>
      <w:r>
        <w:rPr>
          <w:rFonts w:hint="eastAsia"/>
          <w:color w:val="auto"/>
        </w:rPr>
        <w:t>与</w:t>
      </w:r>
      <w:r>
        <w:rPr>
          <w:color w:val="auto"/>
        </w:rPr>
        <w:t>水动力模型的计算</w:t>
      </w:r>
      <w:r>
        <w:rPr>
          <w:rFonts w:hint="eastAsia"/>
          <w:color w:val="auto"/>
        </w:rPr>
        <w:t>结果进行</w:t>
      </w:r>
      <w:r>
        <w:rPr>
          <w:color w:val="auto"/>
        </w:rPr>
        <w:t>对比，</w:t>
      </w:r>
      <w:r>
        <w:rPr>
          <w:rFonts w:hint="eastAsia"/>
          <w:color w:val="auto"/>
        </w:rPr>
        <w:t>对本项目构建的水动力模型进行校验。</w:t>
      </w:r>
      <w:r>
        <w:rPr>
          <w:rFonts w:hint="eastAsia"/>
          <w:color w:val="auto"/>
          <w:u w:val="single"/>
          <w:lang w:eastAsia="zh-CN"/>
        </w:rPr>
        <w:t>根据</w:t>
      </w:r>
      <w:r>
        <w:rPr>
          <w:rFonts w:hint="eastAsia"/>
          <w:color w:val="auto"/>
          <w:u w:val="single"/>
          <w:lang w:val="en-US" w:eastAsia="zh-CN"/>
        </w:rPr>
        <w:t>《环境影响评价技术导则海洋生态环境》（HJ1409-2025）附录D</w:t>
      </w:r>
      <w:r>
        <w:rPr>
          <w:rFonts w:hint="eastAsia"/>
          <w:color w:val="auto"/>
          <w:u w:val="single"/>
        </w:rPr>
        <w:t>数据应满足模型的边界条件和模型水动力验证的需要，包括：开边界端点的潮位数据，评价范围内至少2个站位的潮位连续观测数据，1级评价项目不少于6个、2级评价项目不少于4个站位的潮流连续数据</w:t>
      </w:r>
      <w:r>
        <w:rPr>
          <w:rFonts w:hint="eastAsia"/>
          <w:color w:val="auto"/>
          <w:u w:val="single"/>
          <w:lang w:eastAsia="zh-CN"/>
        </w:rPr>
        <w:t>。根据地表水风险等级判定，项目地表水风险等级为二级，项目采用</w:t>
      </w:r>
      <w:r>
        <w:rPr>
          <w:rFonts w:hint="eastAsia"/>
          <w:color w:val="auto"/>
          <w:u w:val="single"/>
          <w:lang w:val="en-US" w:eastAsia="zh-CN"/>
        </w:rPr>
        <w:t>4个观测站的潮流数据是可行的。</w:t>
      </w:r>
    </w:p>
    <w:p w14:paraId="1190BC0E">
      <w:pPr>
        <w:ind w:firstLine="482"/>
        <w:rPr>
          <w:b/>
          <w:color w:val="auto"/>
        </w:rPr>
      </w:pPr>
      <w:r>
        <w:rPr>
          <w:b/>
          <w:color w:val="auto"/>
        </w:rPr>
        <w:drawing>
          <wp:inline distT="0" distB="0" distL="0" distR="0">
            <wp:extent cx="5274310" cy="4448810"/>
            <wp:effectExtent l="0" t="0" r="2540" b="8890"/>
            <wp:docPr id="2740" name="图片 2740" descr="F:\My_projects\Dongyou_GX2026\Yanzheng_stations\验证站位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0" name="图片 2740" descr="F:\My_projects\Dongyou_GX2026\Yanzheng_stations\验证站位图.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274310" cy="4448878"/>
                    </a:xfrm>
                    <a:prstGeom prst="rect">
                      <a:avLst/>
                    </a:prstGeom>
                    <a:noFill/>
                    <a:ln>
                      <a:noFill/>
                    </a:ln>
                  </pic:spPr>
                </pic:pic>
              </a:graphicData>
            </a:graphic>
          </wp:inline>
        </w:drawing>
      </w:r>
    </w:p>
    <w:p w14:paraId="788B19C2">
      <w:pPr>
        <w:pStyle w:val="14"/>
        <w:rPr>
          <w:b w:val="0"/>
          <w:color w:val="auto"/>
          <w:sz w:val="24"/>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3</w:t>
      </w:r>
      <w:r>
        <w:rPr>
          <w:color w:val="auto"/>
        </w:rPr>
        <w:fldChar w:fldCharType="end"/>
      </w:r>
      <w:r>
        <w:rPr>
          <w:color w:val="auto"/>
          <w:sz w:val="24"/>
        </w:rPr>
        <w:t>潮位</w:t>
      </w:r>
      <w:r>
        <w:rPr>
          <w:rFonts w:hint="eastAsia"/>
          <w:color w:val="auto"/>
          <w:sz w:val="24"/>
        </w:rPr>
        <w:t>(QZ)</w:t>
      </w:r>
      <w:r>
        <w:rPr>
          <w:color w:val="auto"/>
          <w:sz w:val="24"/>
        </w:rPr>
        <w:t>、潮流</w:t>
      </w:r>
      <w:r>
        <w:rPr>
          <w:rFonts w:hint="eastAsia"/>
          <w:color w:val="auto"/>
          <w:sz w:val="24"/>
        </w:rPr>
        <w:t>(C1~C</w:t>
      </w:r>
      <w:r>
        <w:rPr>
          <w:color w:val="auto"/>
          <w:sz w:val="24"/>
        </w:rPr>
        <w:t>4</w:t>
      </w:r>
      <w:r>
        <w:rPr>
          <w:rFonts w:hint="eastAsia"/>
          <w:color w:val="auto"/>
          <w:sz w:val="24"/>
        </w:rPr>
        <w:t>)</w:t>
      </w:r>
      <w:r>
        <w:rPr>
          <w:color w:val="auto"/>
          <w:sz w:val="24"/>
        </w:rPr>
        <w:t>观测</w:t>
      </w:r>
      <w:r>
        <w:rPr>
          <w:rFonts w:hint="eastAsia"/>
          <w:color w:val="auto"/>
          <w:sz w:val="24"/>
        </w:rPr>
        <w:t>站位</w:t>
      </w:r>
      <w:r>
        <w:rPr>
          <w:color w:val="auto"/>
          <w:sz w:val="24"/>
        </w:rPr>
        <w:t>图</w:t>
      </w:r>
    </w:p>
    <w:p w14:paraId="0B681BEB">
      <w:pPr>
        <w:ind w:firstLine="482"/>
        <w:rPr>
          <w:b/>
          <w:bCs/>
          <w:color w:val="auto"/>
        </w:rPr>
      </w:pPr>
      <w:r>
        <w:rPr>
          <w:b/>
          <w:bCs/>
          <w:color w:val="auto"/>
        </w:rPr>
        <w:t>2</w:t>
      </w:r>
      <w:r>
        <w:rPr>
          <w:rFonts w:hint="eastAsia"/>
          <w:b/>
          <w:bCs/>
          <w:color w:val="auto"/>
        </w:rPr>
        <w:t>、潮位验证</w:t>
      </w:r>
    </w:p>
    <w:p w14:paraId="3403C456">
      <w:pPr>
        <w:ind w:firstLine="480"/>
        <w:rPr>
          <w:color w:val="auto"/>
        </w:rPr>
      </w:pPr>
      <w:r>
        <w:rPr>
          <w:color w:val="auto"/>
        </w:rPr>
        <w:t>选取工程附近</w:t>
      </w:r>
      <w:r>
        <w:rPr>
          <w:rFonts w:hint="eastAsia"/>
          <w:color w:val="auto"/>
        </w:rPr>
        <w:t>钦州站（QZ站）观测的</w:t>
      </w:r>
      <w:r>
        <w:rPr>
          <w:color w:val="auto"/>
        </w:rPr>
        <w:t>潮位资料作为数值模型计算潮位验证基准，潮位验证结果见图5.6-4</w:t>
      </w:r>
      <w:r>
        <w:rPr>
          <w:rFonts w:hint="eastAsia"/>
          <w:color w:val="auto"/>
        </w:rPr>
        <w:t>所示</w:t>
      </w:r>
      <w:r>
        <w:rPr>
          <w:color w:val="auto"/>
        </w:rPr>
        <w:t>。</w:t>
      </w:r>
      <w:r>
        <w:rPr>
          <w:rFonts w:hint="eastAsia"/>
          <w:color w:val="auto"/>
        </w:rPr>
        <w:t>由图可知，模型模拟的潮位序列与观测资料吻合较好，本项目建立的水动力模型能较好</w:t>
      </w:r>
      <w:r>
        <w:rPr>
          <w:rFonts w:hint="eastAsia"/>
          <w:color w:val="auto"/>
          <w:lang w:eastAsia="zh-CN"/>
        </w:rPr>
        <w:t>地</w:t>
      </w:r>
      <w:r>
        <w:rPr>
          <w:rFonts w:hint="eastAsia"/>
          <w:color w:val="auto"/>
        </w:rPr>
        <w:t>再现现场观测的QZ站潮位的分布趋势。</w:t>
      </w:r>
    </w:p>
    <w:p w14:paraId="0F8FF967">
      <w:pPr>
        <w:ind w:firstLine="480"/>
        <w:jc w:val="center"/>
        <w:rPr>
          <w:b/>
          <w:color w:val="auto"/>
        </w:rPr>
      </w:pPr>
      <w:r>
        <w:rPr>
          <w:color w:val="auto"/>
        </w:rPr>
        <w:drawing>
          <wp:inline distT="0" distB="0" distL="0" distR="0">
            <wp:extent cx="5274310" cy="1965960"/>
            <wp:effectExtent l="0" t="0" r="2540" b="0"/>
            <wp:docPr id="2741" name="图片 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 name="图片 274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5274310" cy="1966377"/>
                    </a:xfrm>
                    <a:prstGeom prst="rect">
                      <a:avLst/>
                    </a:prstGeom>
                    <a:noFill/>
                    <a:ln>
                      <a:noFill/>
                    </a:ln>
                  </pic:spPr>
                </pic:pic>
              </a:graphicData>
            </a:graphic>
          </wp:inline>
        </w:drawing>
      </w:r>
    </w:p>
    <w:p w14:paraId="215F95F3">
      <w:pPr>
        <w:pStyle w:val="14"/>
        <w:rPr>
          <w:b w:val="0"/>
          <w:color w:val="auto"/>
          <w:sz w:val="24"/>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4</w:t>
      </w:r>
      <w:r>
        <w:rPr>
          <w:color w:val="auto"/>
        </w:rPr>
        <w:fldChar w:fldCharType="end"/>
      </w:r>
      <w:r>
        <w:rPr>
          <w:rFonts w:hint="eastAsia"/>
          <w:color w:val="auto"/>
          <w:sz w:val="24"/>
        </w:rPr>
        <w:t>QZ站</w:t>
      </w:r>
      <w:r>
        <w:rPr>
          <w:color w:val="auto"/>
          <w:sz w:val="24"/>
        </w:rPr>
        <w:t>潮位验证曲线</w:t>
      </w:r>
    </w:p>
    <w:p w14:paraId="6B084139">
      <w:pPr>
        <w:ind w:firstLine="482"/>
        <w:rPr>
          <w:b/>
          <w:bCs/>
          <w:color w:val="auto"/>
        </w:rPr>
      </w:pPr>
      <w:r>
        <w:rPr>
          <w:rFonts w:hint="eastAsia"/>
          <w:b/>
          <w:bCs/>
          <w:color w:val="auto"/>
        </w:rPr>
        <w:t>3、</w:t>
      </w:r>
      <w:r>
        <w:rPr>
          <w:b/>
          <w:bCs/>
          <w:color w:val="auto"/>
        </w:rPr>
        <w:t>潮流验证</w:t>
      </w:r>
    </w:p>
    <w:p w14:paraId="36BB1F85">
      <w:pPr>
        <w:ind w:firstLine="480"/>
        <w:rPr>
          <w:color w:val="auto"/>
        </w:rPr>
      </w:pPr>
      <w:r>
        <w:rPr>
          <w:color w:val="auto"/>
        </w:rPr>
        <w:t>选取</w:t>
      </w:r>
      <w:r>
        <w:rPr>
          <w:rFonts w:hint="eastAsia"/>
          <w:color w:val="auto"/>
        </w:rPr>
        <w:t>项目附近海域C</w:t>
      </w:r>
      <w:r>
        <w:rPr>
          <w:color w:val="auto"/>
        </w:rPr>
        <w:t>1</w:t>
      </w:r>
      <w:r>
        <w:rPr>
          <w:rFonts w:hint="eastAsia"/>
          <w:color w:val="auto"/>
        </w:rPr>
        <w:t>~C</w:t>
      </w:r>
      <w:r>
        <w:rPr>
          <w:color w:val="auto"/>
        </w:rPr>
        <w:t>4站位大潮期的实测潮流资料，与</w:t>
      </w:r>
      <w:r>
        <w:rPr>
          <w:rFonts w:hint="eastAsia"/>
          <w:color w:val="auto"/>
        </w:rPr>
        <w:t>水动力</w:t>
      </w:r>
      <w:r>
        <w:rPr>
          <w:rFonts w:hint="eastAsia"/>
          <w:color w:val="auto"/>
          <w:lang w:eastAsia="zh-CN"/>
        </w:rPr>
        <w:t>模型</w:t>
      </w:r>
      <w:r>
        <w:rPr>
          <w:color w:val="auto"/>
        </w:rPr>
        <w:t>模拟</w:t>
      </w:r>
      <w:r>
        <w:rPr>
          <w:rFonts w:hint="eastAsia"/>
          <w:color w:val="auto"/>
        </w:rPr>
        <w:t>的流速和流向</w:t>
      </w:r>
      <w:r>
        <w:rPr>
          <w:color w:val="auto"/>
        </w:rPr>
        <w:t>进行对比验证，潮流验证结果见图5.6-5</w:t>
      </w:r>
      <w:bookmarkStart w:id="799" w:name="_GoBack"/>
      <w:r>
        <w:rPr>
          <w:color w:val="auto"/>
        </w:rPr>
        <w:t>~</w:t>
      </w:r>
      <w:bookmarkEnd w:id="799"/>
      <w:r>
        <w:rPr>
          <w:color w:val="auto"/>
        </w:rPr>
        <w:t>图5.6-8。</w:t>
      </w:r>
      <w:r>
        <w:rPr>
          <w:rFonts w:hint="eastAsia"/>
          <w:color w:val="auto"/>
        </w:rPr>
        <w:t>对比结果也表明，水动力模型成功模拟再现了C</w:t>
      </w:r>
      <w:r>
        <w:rPr>
          <w:color w:val="auto"/>
        </w:rPr>
        <w:t>1</w:t>
      </w:r>
      <w:r>
        <w:rPr>
          <w:rFonts w:hint="eastAsia"/>
          <w:color w:val="auto"/>
        </w:rPr>
        <w:t>~C</w:t>
      </w:r>
      <w:r>
        <w:rPr>
          <w:color w:val="auto"/>
        </w:rPr>
        <w:t>4站位</w:t>
      </w:r>
      <w:r>
        <w:rPr>
          <w:rFonts w:hint="eastAsia"/>
          <w:color w:val="auto"/>
        </w:rPr>
        <w:t>往复型变化的潮流分布特征，模型模拟的流速和流向的分布趋势与观测结果比较接近，表明水动力模型也能较好</w:t>
      </w:r>
      <w:r>
        <w:rPr>
          <w:rFonts w:hint="eastAsia"/>
          <w:color w:val="auto"/>
          <w:lang w:eastAsia="zh-CN"/>
        </w:rPr>
        <w:t>地</w:t>
      </w:r>
      <w:r>
        <w:rPr>
          <w:rFonts w:hint="eastAsia"/>
          <w:color w:val="auto"/>
        </w:rPr>
        <w:t>再现计算区域潮流动力过程的时空分布趋势</w:t>
      </w:r>
    </w:p>
    <w:p w14:paraId="43B4F5E0">
      <w:pPr>
        <w:ind w:firstLine="480"/>
        <w:rPr>
          <w:color w:val="auto"/>
        </w:rPr>
      </w:pPr>
      <w:r>
        <w:rPr>
          <w:color w:val="auto"/>
        </w:rPr>
        <w:drawing>
          <wp:inline distT="0" distB="0" distL="0" distR="0">
            <wp:extent cx="5274310" cy="1672590"/>
            <wp:effectExtent l="0" t="0" r="2540" b="3810"/>
            <wp:docPr id="2742" name="图片 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 name="图片 274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a:xfrm>
                      <a:off x="0" y="0"/>
                      <a:ext cx="5274310" cy="1673137"/>
                    </a:xfrm>
                    <a:prstGeom prst="rect">
                      <a:avLst/>
                    </a:prstGeom>
                    <a:noFill/>
                    <a:ln>
                      <a:noFill/>
                    </a:ln>
                  </pic:spPr>
                </pic:pic>
              </a:graphicData>
            </a:graphic>
          </wp:inline>
        </w:drawing>
      </w:r>
    </w:p>
    <w:p w14:paraId="104973EF">
      <w:pPr>
        <w:pStyle w:val="14"/>
        <w:rPr>
          <w:b w:val="0"/>
          <w:color w:val="auto"/>
          <w:sz w:val="24"/>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5</w:t>
      </w:r>
      <w:r>
        <w:rPr>
          <w:color w:val="auto"/>
        </w:rPr>
        <w:fldChar w:fldCharType="end"/>
      </w:r>
      <w:r>
        <w:rPr>
          <w:rFonts w:hint="eastAsia"/>
          <w:color w:val="auto"/>
          <w:sz w:val="24"/>
        </w:rPr>
        <w:t>C1</w:t>
      </w:r>
      <w:r>
        <w:rPr>
          <w:color w:val="auto"/>
          <w:sz w:val="24"/>
        </w:rPr>
        <w:t>站潮流验证曲线</w:t>
      </w:r>
    </w:p>
    <w:p w14:paraId="6CF15E54">
      <w:pPr>
        <w:ind w:firstLine="480"/>
        <w:jc w:val="center"/>
        <w:rPr>
          <w:b/>
          <w:color w:val="auto"/>
        </w:rPr>
      </w:pPr>
      <w:r>
        <w:rPr>
          <w:color w:val="auto"/>
        </w:rPr>
        <w:drawing>
          <wp:inline distT="0" distB="0" distL="0" distR="0">
            <wp:extent cx="5274310" cy="1671320"/>
            <wp:effectExtent l="0" t="0" r="2540" b="5080"/>
            <wp:docPr id="2743" name="图片 2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图片 274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a:xfrm>
                      <a:off x="0" y="0"/>
                      <a:ext cx="5274310" cy="1671673"/>
                    </a:xfrm>
                    <a:prstGeom prst="rect">
                      <a:avLst/>
                    </a:prstGeom>
                    <a:noFill/>
                    <a:ln>
                      <a:noFill/>
                    </a:ln>
                  </pic:spPr>
                </pic:pic>
              </a:graphicData>
            </a:graphic>
          </wp:inline>
        </w:drawing>
      </w:r>
    </w:p>
    <w:p w14:paraId="02BCB9CD">
      <w:pPr>
        <w:pStyle w:val="14"/>
        <w:rPr>
          <w:b w:val="0"/>
          <w:color w:val="auto"/>
          <w:sz w:val="24"/>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6</w:t>
      </w:r>
      <w:r>
        <w:rPr>
          <w:color w:val="auto"/>
        </w:rPr>
        <w:fldChar w:fldCharType="end"/>
      </w:r>
      <w:r>
        <w:rPr>
          <w:rFonts w:hint="eastAsia"/>
          <w:color w:val="auto"/>
          <w:sz w:val="24"/>
        </w:rPr>
        <w:t>C</w:t>
      </w:r>
      <w:r>
        <w:rPr>
          <w:color w:val="auto"/>
          <w:sz w:val="24"/>
        </w:rPr>
        <w:t>2站潮流验证曲线</w:t>
      </w:r>
    </w:p>
    <w:p w14:paraId="1D309590">
      <w:pPr>
        <w:ind w:firstLine="480"/>
        <w:jc w:val="center"/>
        <w:rPr>
          <w:b/>
          <w:color w:val="auto"/>
        </w:rPr>
      </w:pPr>
      <w:r>
        <w:rPr>
          <w:color w:val="auto"/>
        </w:rPr>
        <w:drawing>
          <wp:inline distT="0" distB="0" distL="0" distR="0">
            <wp:extent cx="5274310" cy="1681480"/>
            <wp:effectExtent l="0" t="0" r="2540" b="0"/>
            <wp:docPr id="2744" name="图片 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 name="图片 274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a:xfrm>
                      <a:off x="0" y="0"/>
                      <a:ext cx="5274310" cy="1681538"/>
                    </a:xfrm>
                    <a:prstGeom prst="rect">
                      <a:avLst/>
                    </a:prstGeom>
                    <a:noFill/>
                    <a:ln>
                      <a:noFill/>
                    </a:ln>
                  </pic:spPr>
                </pic:pic>
              </a:graphicData>
            </a:graphic>
          </wp:inline>
        </w:drawing>
      </w:r>
    </w:p>
    <w:p w14:paraId="6BE66F9B">
      <w:pPr>
        <w:pStyle w:val="14"/>
        <w:rPr>
          <w:b w:val="0"/>
          <w:color w:val="auto"/>
          <w:sz w:val="24"/>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7</w:t>
      </w:r>
      <w:r>
        <w:rPr>
          <w:color w:val="auto"/>
        </w:rPr>
        <w:fldChar w:fldCharType="end"/>
      </w:r>
      <w:r>
        <w:rPr>
          <w:rFonts w:hint="eastAsia"/>
          <w:color w:val="auto"/>
          <w:sz w:val="24"/>
        </w:rPr>
        <w:t>C</w:t>
      </w:r>
      <w:r>
        <w:rPr>
          <w:color w:val="auto"/>
          <w:sz w:val="24"/>
        </w:rPr>
        <w:t>3站潮流验证曲线</w:t>
      </w:r>
    </w:p>
    <w:p w14:paraId="02548A4B">
      <w:pPr>
        <w:ind w:firstLine="480"/>
        <w:jc w:val="center"/>
        <w:rPr>
          <w:b/>
          <w:color w:val="auto"/>
        </w:rPr>
      </w:pPr>
      <w:r>
        <w:rPr>
          <w:color w:val="auto"/>
        </w:rPr>
        <w:drawing>
          <wp:inline distT="0" distB="0" distL="0" distR="0">
            <wp:extent cx="5274310" cy="1661795"/>
            <wp:effectExtent l="0" t="0" r="2540" b="0"/>
            <wp:docPr id="2745" name="图片 2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 name="图片 274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a:xfrm>
                      <a:off x="0" y="0"/>
                      <a:ext cx="5274310" cy="1661828"/>
                    </a:xfrm>
                    <a:prstGeom prst="rect">
                      <a:avLst/>
                    </a:prstGeom>
                    <a:noFill/>
                    <a:ln>
                      <a:noFill/>
                    </a:ln>
                  </pic:spPr>
                </pic:pic>
              </a:graphicData>
            </a:graphic>
          </wp:inline>
        </w:drawing>
      </w:r>
    </w:p>
    <w:p w14:paraId="004A11D4">
      <w:pPr>
        <w:pStyle w:val="14"/>
        <w:rPr>
          <w:b w:val="0"/>
          <w:color w:val="auto"/>
          <w:sz w:val="24"/>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8</w:t>
      </w:r>
      <w:r>
        <w:rPr>
          <w:color w:val="auto"/>
        </w:rPr>
        <w:fldChar w:fldCharType="end"/>
      </w:r>
      <w:r>
        <w:rPr>
          <w:rFonts w:hint="eastAsia"/>
          <w:color w:val="auto"/>
          <w:sz w:val="24"/>
        </w:rPr>
        <w:t>C</w:t>
      </w:r>
      <w:r>
        <w:rPr>
          <w:color w:val="auto"/>
          <w:sz w:val="24"/>
        </w:rPr>
        <w:t>4站潮流验证曲线</w:t>
      </w:r>
    </w:p>
    <w:p w14:paraId="349A966F">
      <w:pPr>
        <w:ind w:firstLine="480"/>
        <w:rPr>
          <w:color w:val="auto"/>
        </w:rPr>
      </w:pPr>
      <w:r>
        <w:rPr>
          <w:rFonts w:hint="eastAsia"/>
          <w:color w:val="auto"/>
          <w:u w:val="single"/>
        </w:rPr>
        <w:t>对观测与模拟的潮位时间序列的统计分析表明，平均潮位偏差约为0.13米，最高、最低潮位偏差分别约为0.13和0.09m。对观测与模拟的潮流时间序列的定量统计分析表明，C1~C4站位平均流速偏差分别为3.47、3.03、4.12和4.32cm/s，流向平均偏差分别为11.2、12.4、9.05和13.5°。</w:t>
      </w:r>
      <w:r>
        <w:rPr>
          <w:color w:val="auto"/>
        </w:rPr>
        <w:t>以上潮位和潮流验证结果表明，相应验证点上潮位和潮流模拟结果与实测潮位和潮流资料基本吻合，能够较好地反映用海区周边海域潮流状况。</w:t>
      </w:r>
    </w:p>
    <w:p w14:paraId="0C68E5B2">
      <w:pPr>
        <w:pStyle w:val="6"/>
        <w:rPr>
          <w:color w:val="auto"/>
        </w:rPr>
      </w:pPr>
      <w:r>
        <w:rPr>
          <w:rFonts w:hint="eastAsia"/>
          <w:color w:val="auto"/>
        </w:rPr>
        <w:t>潮流场模拟结果</w:t>
      </w:r>
    </w:p>
    <w:p w14:paraId="5B81350B">
      <w:pPr>
        <w:ind w:firstLine="482"/>
        <w:rPr>
          <w:b/>
          <w:bCs/>
          <w:color w:val="auto"/>
        </w:rPr>
      </w:pPr>
      <w:r>
        <w:rPr>
          <w:rFonts w:hint="eastAsia"/>
          <w:b/>
          <w:bCs/>
          <w:color w:val="auto"/>
        </w:rPr>
        <w:t>1、计算区域</w:t>
      </w:r>
      <w:r>
        <w:rPr>
          <w:b/>
          <w:bCs/>
          <w:color w:val="auto"/>
        </w:rPr>
        <w:t>潮流场</w:t>
      </w:r>
      <w:r>
        <w:rPr>
          <w:rFonts w:hint="eastAsia"/>
          <w:b/>
          <w:bCs/>
          <w:color w:val="auto"/>
        </w:rPr>
        <w:t>分布（大范围）</w:t>
      </w:r>
    </w:p>
    <w:p w14:paraId="06DCBFCA">
      <w:pPr>
        <w:ind w:firstLine="480"/>
        <w:rPr>
          <w:b/>
          <w:color w:val="auto"/>
        </w:rPr>
      </w:pPr>
      <w:r>
        <w:rPr>
          <w:color w:val="auto"/>
        </w:rPr>
        <w:t>基于上述水动力模型计算结果，分析项目周边海域大范围潮流场的分布特征。由水动力模型</w:t>
      </w:r>
      <w:r>
        <w:rPr>
          <w:rFonts w:hint="eastAsia"/>
          <w:color w:val="auto"/>
        </w:rPr>
        <w:t>模拟</w:t>
      </w:r>
      <w:r>
        <w:rPr>
          <w:color w:val="auto"/>
        </w:rPr>
        <w:t>的项目周边海域的</w:t>
      </w:r>
      <w:r>
        <w:rPr>
          <w:rFonts w:hint="eastAsia"/>
          <w:color w:val="auto"/>
        </w:rPr>
        <w:t>大潮涨急</w:t>
      </w:r>
      <w:r>
        <w:rPr>
          <w:color w:val="auto"/>
        </w:rPr>
        <w:t>和落急时刻潮流</w:t>
      </w:r>
      <w:r>
        <w:rPr>
          <w:rFonts w:hint="eastAsia"/>
          <w:color w:val="auto"/>
        </w:rPr>
        <w:t>矢量分布</w:t>
      </w:r>
      <w:r>
        <w:rPr>
          <w:color w:val="auto"/>
        </w:rPr>
        <w:t>见图5.6-9</w:t>
      </w:r>
      <w:r>
        <w:rPr>
          <w:rFonts w:hint="eastAsia"/>
          <w:color w:val="auto"/>
        </w:rPr>
        <w:t>和</w:t>
      </w:r>
      <w:r>
        <w:rPr>
          <w:color w:val="auto"/>
        </w:rPr>
        <w:t>图5.6</w:t>
      </w:r>
      <w:r>
        <w:rPr>
          <w:rFonts w:hint="eastAsia"/>
          <w:color w:val="auto"/>
        </w:rPr>
        <w:t>-</w:t>
      </w:r>
      <w:r>
        <w:rPr>
          <w:color w:val="auto"/>
        </w:rPr>
        <w:t>10。由图可知，项目周边</w:t>
      </w:r>
      <w:r>
        <w:rPr>
          <w:rFonts w:hint="eastAsia"/>
          <w:color w:val="auto"/>
        </w:rPr>
        <w:t>整个海域，涨潮潮流基本由西南流向东北，钦州湾涨潮流由湾外流入湾内。外海涨潮流速较小，钦州湾湾口流速较大（最大流速&gt;</w:t>
      </w:r>
      <w:r>
        <w:rPr>
          <w:color w:val="auto"/>
        </w:rPr>
        <w:t>1m/s</w:t>
      </w:r>
      <w:r>
        <w:rPr>
          <w:rFonts w:hint="eastAsia"/>
          <w:color w:val="auto"/>
        </w:rPr>
        <w:t>）。落潮时，潮流基本由东北流向西南，流向基本与涨潮流速相反，说明该海域潮流基本为往复流，整个海域落急时刻流速强于涨急时刻流速。</w:t>
      </w:r>
    </w:p>
    <w:p w14:paraId="5DB66539">
      <w:pPr>
        <w:ind w:firstLine="482"/>
        <w:jc w:val="center"/>
        <w:rPr>
          <w:b/>
          <w:color w:val="auto"/>
        </w:rPr>
      </w:pPr>
      <w:r>
        <w:rPr>
          <w:b/>
          <w:color w:val="auto"/>
        </w:rPr>
        <w:drawing>
          <wp:inline distT="0" distB="0" distL="0" distR="0">
            <wp:extent cx="4375785" cy="3201035"/>
            <wp:effectExtent l="0" t="0" r="15875" b="17145"/>
            <wp:docPr id="2746" name="图片 2746" descr="F:\GX_Qinzhou\GX_Oil_spring2026\Figures_uv\Flood_u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 name="图片 2746" descr="F:\GX_Qinzhou\GX_Oil_spring2026\Figures_uv\Flood_uv.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4375785" cy="3201035"/>
                    </a:xfrm>
                    <a:prstGeom prst="rect">
                      <a:avLst/>
                    </a:prstGeom>
                    <a:noFill/>
                    <a:ln>
                      <a:noFill/>
                    </a:ln>
                  </pic:spPr>
                </pic:pic>
              </a:graphicData>
            </a:graphic>
          </wp:inline>
        </w:drawing>
      </w:r>
    </w:p>
    <w:p w14:paraId="3956286E">
      <w:pPr>
        <w:pStyle w:val="14"/>
        <w:rPr>
          <w:b w:val="0"/>
          <w:color w:val="auto"/>
          <w:sz w:val="24"/>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9</w:t>
      </w:r>
      <w:r>
        <w:rPr>
          <w:color w:val="auto"/>
        </w:rPr>
        <w:fldChar w:fldCharType="end"/>
      </w:r>
      <w:r>
        <w:rPr>
          <w:rFonts w:hint="eastAsia"/>
          <w:color w:val="auto"/>
          <w:sz w:val="24"/>
        </w:rPr>
        <w:t>项目</w:t>
      </w:r>
      <w:r>
        <w:rPr>
          <w:color w:val="auto"/>
          <w:sz w:val="24"/>
        </w:rPr>
        <w:t>周边大</w:t>
      </w:r>
      <w:r>
        <w:rPr>
          <w:rFonts w:hint="eastAsia"/>
          <w:color w:val="auto"/>
          <w:sz w:val="24"/>
        </w:rPr>
        <w:t>区</w:t>
      </w:r>
      <w:r>
        <w:rPr>
          <w:color w:val="auto"/>
          <w:sz w:val="24"/>
        </w:rPr>
        <w:t>域潮流场分布（涨急时，大潮期）</w:t>
      </w:r>
    </w:p>
    <w:p w14:paraId="3959CCF1">
      <w:pPr>
        <w:ind w:firstLine="482"/>
        <w:jc w:val="left"/>
        <w:rPr>
          <w:b/>
          <w:color w:val="auto"/>
        </w:rPr>
      </w:pPr>
      <w:r>
        <w:rPr>
          <w:b/>
          <w:color w:val="auto"/>
        </w:rPr>
        <w:drawing>
          <wp:inline distT="0" distB="0" distL="0" distR="0">
            <wp:extent cx="5274310" cy="3858260"/>
            <wp:effectExtent l="0" t="0" r="2540" b="8890"/>
            <wp:docPr id="2747" name="图片 2747" descr="F:\GX_Qinzhou\GX_Oil_spring2026\Figures_uv\Ebb_u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 name="图片 2747" descr="F:\GX_Qinzhou\GX_Oil_spring2026\Figures_uv\Ebb_uv.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a:xfrm>
                      <a:off x="0" y="0"/>
                      <a:ext cx="5274310" cy="3858325"/>
                    </a:xfrm>
                    <a:prstGeom prst="rect">
                      <a:avLst/>
                    </a:prstGeom>
                    <a:noFill/>
                    <a:ln>
                      <a:noFill/>
                    </a:ln>
                  </pic:spPr>
                </pic:pic>
              </a:graphicData>
            </a:graphic>
          </wp:inline>
        </w:drawing>
      </w:r>
    </w:p>
    <w:p w14:paraId="4518103E">
      <w:pPr>
        <w:pStyle w:val="14"/>
        <w:rPr>
          <w:b w:val="0"/>
          <w:color w:val="auto"/>
          <w:sz w:val="24"/>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10</w:t>
      </w:r>
      <w:r>
        <w:rPr>
          <w:color w:val="auto"/>
        </w:rPr>
        <w:fldChar w:fldCharType="end"/>
      </w:r>
      <w:r>
        <w:rPr>
          <w:rFonts w:hint="eastAsia"/>
          <w:color w:val="auto"/>
          <w:sz w:val="24"/>
        </w:rPr>
        <w:t>项目</w:t>
      </w:r>
      <w:r>
        <w:rPr>
          <w:color w:val="auto"/>
          <w:sz w:val="24"/>
        </w:rPr>
        <w:t>周边大</w:t>
      </w:r>
      <w:r>
        <w:rPr>
          <w:rFonts w:hint="eastAsia"/>
          <w:color w:val="auto"/>
          <w:sz w:val="24"/>
        </w:rPr>
        <w:t>区</w:t>
      </w:r>
      <w:r>
        <w:rPr>
          <w:color w:val="auto"/>
          <w:sz w:val="24"/>
        </w:rPr>
        <w:t>域潮流场分布（落急时，大潮期）</w:t>
      </w:r>
    </w:p>
    <w:p w14:paraId="301B3AFC">
      <w:pPr>
        <w:ind w:firstLine="482"/>
        <w:rPr>
          <w:b/>
          <w:bCs/>
          <w:color w:val="auto"/>
        </w:rPr>
      </w:pPr>
      <w:r>
        <w:rPr>
          <w:rFonts w:hint="eastAsia"/>
          <w:b/>
          <w:bCs/>
          <w:color w:val="auto"/>
        </w:rPr>
        <w:t>2、</w:t>
      </w:r>
      <w:r>
        <w:rPr>
          <w:b/>
          <w:bCs/>
          <w:color w:val="auto"/>
        </w:rPr>
        <w:t>工程</w:t>
      </w:r>
      <w:r>
        <w:rPr>
          <w:rFonts w:hint="eastAsia"/>
          <w:b/>
          <w:bCs/>
          <w:color w:val="auto"/>
        </w:rPr>
        <w:t>附近</w:t>
      </w:r>
      <w:r>
        <w:rPr>
          <w:b/>
          <w:bCs/>
          <w:color w:val="auto"/>
        </w:rPr>
        <w:t>海域潮流场</w:t>
      </w:r>
      <w:r>
        <w:rPr>
          <w:rFonts w:hint="eastAsia"/>
          <w:b/>
          <w:bCs/>
          <w:color w:val="auto"/>
        </w:rPr>
        <w:t>分布</w:t>
      </w:r>
    </w:p>
    <w:p w14:paraId="1FB2940A">
      <w:pPr>
        <w:ind w:firstLine="480"/>
        <w:rPr>
          <w:color w:val="auto"/>
        </w:rPr>
      </w:pPr>
      <w:r>
        <w:rPr>
          <w:rFonts w:hint="eastAsia"/>
          <w:color w:val="auto"/>
        </w:rPr>
        <w:t>本项目工程附近</w:t>
      </w:r>
      <w:r>
        <w:rPr>
          <w:color w:val="auto"/>
        </w:rPr>
        <w:t>海域大潮期潮流场</w:t>
      </w:r>
      <w:r>
        <w:rPr>
          <w:rFonts w:hint="eastAsia"/>
          <w:bCs/>
          <w:color w:val="auto"/>
        </w:rPr>
        <w:t>分布</w:t>
      </w:r>
      <w:r>
        <w:rPr>
          <w:color w:val="auto"/>
        </w:rPr>
        <w:t>见图5.6-11</w:t>
      </w:r>
      <w:r>
        <w:rPr>
          <w:rFonts w:hint="eastAsia"/>
          <w:color w:val="auto"/>
        </w:rPr>
        <w:t>和</w:t>
      </w:r>
      <w:r>
        <w:rPr>
          <w:color w:val="auto"/>
        </w:rPr>
        <w:t>图5.6-12。</w:t>
      </w:r>
      <w:r>
        <w:rPr>
          <w:rFonts w:hint="eastAsia"/>
          <w:color w:val="auto"/>
        </w:rPr>
        <w:t>由于本项目位于近岸海域，涨落</w:t>
      </w:r>
      <w:r>
        <w:rPr>
          <w:rFonts w:hint="eastAsia"/>
          <w:color w:val="auto"/>
          <w:lang w:eastAsia="zh-CN"/>
        </w:rPr>
        <w:t>潮流</w:t>
      </w:r>
      <w:r>
        <w:rPr>
          <w:rFonts w:hint="eastAsia"/>
          <w:color w:val="auto"/>
        </w:rPr>
        <w:t>受岸界影响较明显。涨潮流基本上由</w:t>
      </w:r>
      <w:r>
        <w:rPr>
          <w:rFonts w:hint="eastAsia"/>
          <w:color w:val="auto"/>
          <w:lang w:eastAsia="zh-CN"/>
        </w:rPr>
        <w:t>东南</w:t>
      </w:r>
      <w:r>
        <w:rPr>
          <w:rFonts w:hint="eastAsia"/>
          <w:color w:val="auto"/>
        </w:rPr>
        <w:t>流向西北，落潮流则由西北流向东南。落潮流速强于涨潮流速，工程附近海域涨急时刻区域平均流速约为</w:t>
      </w:r>
      <w:r>
        <w:rPr>
          <w:color w:val="auto"/>
        </w:rPr>
        <w:t>0.59m/s，落急时刻工程附近海域平均流速约为1.08m/s</w:t>
      </w:r>
      <w:r>
        <w:rPr>
          <w:rFonts w:hint="eastAsia"/>
          <w:color w:val="auto"/>
        </w:rPr>
        <w:t>。</w:t>
      </w:r>
    </w:p>
    <w:p w14:paraId="20E609D8">
      <w:pPr>
        <w:ind w:firstLine="482"/>
        <w:jc w:val="center"/>
        <w:rPr>
          <w:b/>
          <w:color w:val="auto"/>
        </w:rPr>
      </w:pPr>
      <w:r>
        <w:rPr>
          <w:b/>
          <w:color w:val="auto"/>
        </w:rPr>
        <w:drawing>
          <wp:inline distT="0" distB="0" distL="0" distR="0">
            <wp:extent cx="3746500" cy="2707640"/>
            <wp:effectExtent l="0" t="0" r="5080" b="12700"/>
            <wp:docPr id="2748" name="图片 2748" descr="F:\GX_Qinzhou\GX_Oil_spring2026\Figures_uv\Flood_uv_lo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8" name="图片 2748" descr="F:\GX_Qinzhou\GX_Oil_spring2026\Figures_uv\Flood_uv_local.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a:xfrm>
                      <a:off x="0" y="0"/>
                      <a:ext cx="3746500" cy="2707640"/>
                    </a:xfrm>
                    <a:prstGeom prst="rect">
                      <a:avLst/>
                    </a:prstGeom>
                    <a:noFill/>
                    <a:ln>
                      <a:noFill/>
                    </a:ln>
                  </pic:spPr>
                </pic:pic>
              </a:graphicData>
            </a:graphic>
          </wp:inline>
        </w:drawing>
      </w:r>
    </w:p>
    <w:p w14:paraId="34145E83">
      <w:pPr>
        <w:pStyle w:val="14"/>
        <w:rPr>
          <w:b w:val="0"/>
          <w:color w:val="auto"/>
          <w:sz w:val="24"/>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11</w:t>
      </w:r>
      <w:r>
        <w:rPr>
          <w:color w:val="auto"/>
        </w:rPr>
        <w:fldChar w:fldCharType="end"/>
      </w:r>
      <w:r>
        <w:rPr>
          <w:rFonts w:hint="eastAsia"/>
          <w:color w:val="auto"/>
          <w:sz w:val="24"/>
        </w:rPr>
        <w:t>工程</w:t>
      </w:r>
      <w:r>
        <w:rPr>
          <w:color w:val="auto"/>
          <w:sz w:val="24"/>
        </w:rPr>
        <w:t>前潮流场（涨急时，大潮期）</w:t>
      </w:r>
    </w:p>
    <w:p w14:paraId="0C7AA687">
      <w:pPr>
        <w:ind w:firstLine="480"/>
        <w:jc w:val="center"/>
        <w:rPr>
          <w:color w:val="auto"/>
        </w:rPr>
      </w:pPr>
      <w:r>
        <w:rPr>
          <w:color w:val="auto"/>
        </w:rPr>
        <w:drawing>
          <wp:inline distT="0" distB="0" distL="0" distR="0">
            <wp:extent cx="4454525" cy="3219450"/>
            <wp:effectExtent l="0" t="0" r="3175" b="0"/>
            <wp:docPr id="2749" name="图片 2749" descr="F:\GX_Qinzhou\GX_Oil_spring2026\Figures_uv\Ebb_uv_lo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 name="图片 2749" descr="F:\GX_Qinzhou\GX_Oil_spring2026\Figures_uv\Ebb_uv_local.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a:xfrm>
                      <a:off x="0" y="0"/>
                      <a:ext cx="4459263" cy="3222735"/>
                    </a:xfrm>
                    <a:prstGeom prst="rect">
                      <a:avLst/>
                    </a:prstGeom>
                    <a:noFill/>
                    <a:ln>
                      <a:noFill/>
                    </a:ln>
                  </pic:spPr>
                </pic:pic>
              </a:graphicData>
            </a:graphic>
          </wp:inline>
        </w:drawing>
      </w:r>
    </w:p>
    <w:p w14:paraId="585341D6">
      <w:pPr>
        <w:pStyle w:val="14"/>
        <w:rPr>
          <w:b w:val="0"/>
          <w:color w:val="auto"/>
          <w:sz w:val="24"/>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12</w:t>
      </w:r>
      <w:r>
        <w:rPr>
          <w:color w:val="auto"/>
        </w:rPr>
        <w:fldChar w:fldCharType="end"/>
      </w:r>
      <w:r>
        <w:rPr>
          <w:rFonts w:hint="eastAsia"/>
          <w:color w:val="auto"/>
          <w:sz w:val="24"/>
        </w:rPr>
        <w:t>工程</w:t>
      </w:r>
      <w:r>
        <w:rPr>
          <w:color w:val="auto"/>
          <w:sz w:val="24"/>
        </w:rPr>
        <w:t>前潮流场（落急时，大潮期）</w:t>
      </w:r>
    </w:p>
    <w:p w14:paraId="37CB2E10">
      <w:pPr>
        <w:pStyle w:val="4"/>
        <w:rPr>
          <w:color w:val="auto"/>
        </w:rPr>
      </w:pPr>
      <w:r>
        <w:rPr>
          <w:rFonts w:hint="eastAsia"/>
          <w:color w:val="auto"/>
        </w:rPr>
        <w:t>溢油与不可溶化学品预测模型</w:t>
      </w:r>
    </w:p>
    <w:p w14:paraId="4C69972E">
      <w:pPr>
        <w:ind w:firstLine="480"/>
        <w:rPr>
          <w:color w:val="auto"/>
        </w:rPr>
      </w:pPr>
      <w:r>
        <w:rPr>
          <w:rFonts w:hint="eastAsia"/>
          <w:color w:val="auto"/>
        </w:rPr>
        <w:t>不同类型的危险品由于其特性不同，在水域中的污染风险表现是不同的。</w:t>
      </w:r>
    </w:p>
    <w:p w14:paraId="09D9A0BF">
      <w:pPr>
        <w:ind w:firstLine="480"/>
        <w:rPr>
          <w:color w:val="auto"/>
        </w:rPr>
      </w:pPr>
      <w:r>
        <w:rPr>
          <w:rFonts w:hint="eastAsia"/>
          <w:color w:val="auto"/>
        </w:rPr>
        <w:t>对于不溶性、密度&lt;1g/cm</w:t>
      </w:r>
      <w:r>
        <w:rPr>
          <w:rFonts w:hint="eastAsia"/>
          <w:color w:val="auto"/>
          <w:vertAlign w:val="superscript"/>
        </w:rPr>
        <w:t>3</w:t>
      </w:r>
      <w:r>
        <w:rPr>
          <w:rFonts w:hint="eastAsia"/>
          <w:color w:val="auto"/>
        </w:rPr>
        <w:t>液态危险货物，发生泄漏风险事故时，一旦危险货物进入水域内将漂浮在水面上，在水动力条件和风、浪的综合作用下扩散，对周围水域的影响程度和范围均较大。综合考虑物质毒性、泄漏量、转运量、黏性</w:t>
      </w:r>
      <w:r>
        <w:rPr>
          <w:color w:val="auto"/>
        </w:rPr>
        <w:t>等因素</w:t>
      </w:r>
      <w:r>
        <w:rPr>
          <w:rFonts w:hint="eastAsia"/>
          <w:color w:val="auto"/>
        </w:rPr>
        <w:t>，</w:t>
      </w:r>
      <w:r>
        <w:rPr>
          <w:rFonts w:hint="eastAsia" w:ascii="宋体" w:hAnsi="宋体"/>
          <w:color w:val="auto"/>
        </w:rPr>
        <w:t>渣油、</w:t>
      </w:r>
      <w:r>
        <w:rPr>
          <w:rFonts w:ascii="宋体" w:hAnsi="宋体"/>
          <w:color w:val="auto"/>
        </w:rPr>
        <w:t>石脑油、甲基叔丁基醚</w:t>
      </w:r>
      <w:r>
        <w:rPr>
          <w:rFonts w:hint="eastAsia" w:ascii="宋体" w:hAnsi="宋体"/>
          <w:color w:val="auto"/>
        </w:rPr>
        <w:t>对海洋环境影响较大，故选择渣油、石脑油、甲基叔丁基醚为</w:t>
      </w:r>
      <w:r>
        <w:rPr>
          <w:rFonts w:hint="eastAsia"/>
          <w:color w:val="auto"/>
        </w:rPr>
        <w:t>海洋环境风险代表物质。</w:t>
      </w:r>
    </w:p>
    <w:p w14:paraId="0A091780">
      <w:pPr>
        <w:ind w:firstLine="482"/>
        <w:rPr>
          <w:b/>
          <w:color w:val="auto"/>
        </w:rPr>
      </w:pPr>
      <w:r>
        <w:rPr>
          <w:rFonts w:hint="eastAsia"/>
          <w:b/>
          <w:color w:val="auto"/>
        </w:rPr>
        <w:t>（1）预测</w:t>
      </w:r>
      <w:r>
        <w:rPr>
          <w:b/>
          <w:color w:val="auto"/>
        </w:rPr>
        <w:t>模型</w:t>
      </w:r>
      <w:r>
        <w:rPr>
          <w:rFonts w:hint="eastAsia"/>
          <w:b/>
          <w:color w:val="auto"/>
        </w:rPr>
        <w:t>介绍</w:t>
      </w:r>
    </w:p>
    <w:p w14:paraId="175C0C60">
      <w:pPr>
        <w:ind w:firstLine="480"/>
        <w:rPr>
          <w:color w:val="auto"/>
        </w:rPr>
      </w:pPr>
      <w:r>
        <w:rPr>
          <w:rFonts w:hint="eastAsia"/>
          <w:color w:val="auto"/>
        </w:rPr>
        <w:t>溢出油体进入水体后，将在重力、惯性力、粘性和表面张力的作用下，向四周扩展，并形成大面积的油膜。事故溢油中含有大量的不同组分，各组分有不同的蒸汽压强、溶解性能、粘性和表面张力。其中高挥发性的组分很快蒸发，一些轻碳组分将逐渐溶解于水，不易挥发的部分则留存在海面上。溢油后油膜在风、潮流作用下，在海面扩散、迁移，遇有大波浪或破碎波拍打油膜将破碎发生卷吸、乳化现象，同时自溢油后几天内，油的溶解和蒸发将使溢油体积有一定量减少。随着油量的变化，油的浓度和组成也会发生变化，从而它的粘性和表面张力也随之改变；这反过来又影响着油膜在海上的运动行为。乳化现象对油膜粘性有重要影响。油包水乳化是海水以小颗粒的形式分散在连续的油膜中，它增大了油膜的有效体积，改变着它的粘性，使其成为非牛顿流体。而乳化形成的速率与油的组成、海况和温度有关。在湍动的海水中，部分油粒还可能吸附在水中悬浮的颗粒上，逐渐沉人海底。剩下浮出海面的油膜在不断漂移和扩展的同时，可能分裂成碎片，形成煤焦油团，最后经过漫长的感光氧化、沉积、溶解和生物降解，逐渐衰减。</w:t>
      </w:r>
    </w:p>
    <w:p w14:paraId="198AB398">
      <w:pPr>
        <w:ind w:firstLine="482"/>
        <w:rPr>
          <w:b/>
          <w:color w:val="auto"/>
        </w:rPr>
      </w:pPr>
      <w:r>
        <w:rPr>
          <w:rFonts w:hint="eastAsia"/>
          <w:b/>
          <w:color w:val="auto"/>
        </w:rPr>
        <w:t>（2）油膜</w:t>
      </w:r>
      <w:r>
        <w:rPr>
          <w:b/>
          <w:color w:val="auto"/>
        </w:rPr>
        <w:t>轨迹预测</w:t>
      </w:r>
    </w:p>
    <w:p w14:paraId="549F7C81">
      <w:pPr>
        <w:autoSpaceDE w:val="0"/>
        <w:autoSpaceDN w:val="0"/>
        <w:adjustRightInd w:val="0"/>
        <w:ind w:firstLine="480"/>
        <w:rPr>
          <w:color w:val="auto"/>
          <w:kern w:val="0"/>
        </w:rPr>
      </w:pPr>
      <w:r>
        <w:rPr>
          <w:color w:val="auto"/>
          <w:kern w:val="0"/>
        </w:rPr>
        <w:t>假定海面上漂浮着一定厚度的、较为稠密的油膜是由有限个彼此独立、互不干扰的油质点组成。它们分别受水流影响，独自漂移。既不会发生碰撞，也不会发生混合。</w:t>
      </w:r>
    </w:p>
    <w:p w14:paraId="05783DB4">
      <w:pPr>
        <w:pStyle w:val="13"/>
        <w:spacing w:line="360" w:lineRule="auto"/>
        <w:ind w:left="480" w:firstLine="0" w:firstLineChars="0"/>
        <w:jc w:val="center"/>
        <w:rPr>
          <w:color w:val="auto"/>
        </w:rPr>
      </w:pPr>
      <w:r>
        <w:rPr>
          <w:color w:val="auto"/>
        </w:rPr>
        <w:object>
          <v:shape id="_x0000_i1056" o:spt="75" type="#_x0000_t75" style="height:30pt;width:66pt;" o:ole="t" filled="f" o:preferrelative="t" stroked="f" coordsize="21600,21600">
            <v:path/>
            <v:fill on="f" focussize="0,0"/>
            <v:stroke on="f" joinstyle="miter"/>
            <v:imagedata r:id="rId155" o:title=""/>
            <o:lock v:ext="edit" aspectratio="t"/>
            <w10:wrap type="none"/>
            <w10:anchorlock/>
          </v:shape>
          <o:OLEObject Type="Embed" ProgID="Equation.3" ShapeID="_x0000_i1056" DrawAspect="Content" ObjectID="_1468075756" r:id="rId154">
            <o:LockedField>false</o:LockedField>
          </o:OLEObject>
        </w:object>
      </w:r>
      <w:r>
        <w:rPr>
          <w:color w:val="auto"/>
        </w:rPr>
        <w:object>
          <v:shape id="_x0000_i1057" o:spt="75" type="#_x0000_t75" style="height:35.25pt;width:72pt;" o:ole="t" filled="f" o:preferrelative="t" stroked="f" coordsize="21600,21600">
            <v:path/>
            <v:fill on="f" focussize="0,0"/>
            <v:stroke on="f" joinstyle="miter"/>
            <v:imagedata r:id="rId157" o:title=""/>
            <o:lock v:ext="edit" aspectratio="t"/>
            <w10:wrap type="none"/>
            <w10:anchorlock/>
          </v:shape>
          <o:OLEObject Type="Embed" ProgID="Equation.3" ShapeID="_x0000_i1057" DrawAspect="Content" ObjectID="_1468075757" r:id="rId156">
            <o:LockedField>false</o:LockedField>
          </o:OLEObject>
        </w:object>
      </w:r>
    </w:p>
    <w:p w14:paraId="70E3D7E3">
      <w:pPr>
        <w:pStyle w:val="13"/>
        <w:spacing w:line="360" w:lineRule="auto"/>
        <w:ind w:left="480" w:firstLine="0" w:firstLineChars="0"/>
        <w:jc w:val="center"/>
        <w:rPr>
          <w:color w:val="auto"/>
        </w:rPr>
      </w:pPr>
      <w:r>
        <w:rPr>
          <w:color w:val="auto"/>
          <w:position w:val="-12"/>
        </w:rPr>
        <w:object>
          <v:shape id="_x0000_i1058" o:spt="75" type="#_x0000_t75" style="height:24pt;width:102.75pt;" o:ole="t" filled="f" o:preferrelative="t" stroked="f" coordsize="21600,21600">
            <v:path/>
            <v:fill on="f" focussize="0,0"/>
            <v:stroke on="f" joinstyle="miter"/>
            <v:imagedata r:id="rId159" o:title=""/>
            <o:lock v:ext="edit" aspectratio="t"/>
            <w10:wrap type="none"/>
            <w10:anchorlock/>
          </v:shape>
          <o:OLEObject Type="Embed" ProgID="Equation.3" ShapeID="_x0000_i1058" DrawAspect="Content" ObjectID="_1468075758" r:id="rId158">
            <o:LockedField>false</o:LockedField>
          </o:OLEObject>
        </w:object>
      </w:r>
      <w:r>
        <w:rPr>
          <w:color w:val="auto"/>
          <w:position w:val="-12"/>
        </w:rPr>
        <w:object>
          <v:shape id="_x0000_i1059" o:spt="75" type="#_x0000_t75" style="height:24pt;width:96.75pt;" o:ole="t" filled="f" o:preferrelative="t" stroked="f" coordsize="21600,21600">
            <v:path/>
            <v:fill on="f" focussize="0,0"/>
            <v:stroke on="f" joinstyle="miter"/>
            <v:imagedata r:id="rId161" o:title=""/>
            <o:lock v:ext="edit" aspectratio="t"/>
            <w10:wrap type="none"/>
            <w10:anchorlock/>
          </v:shape>
          <o:OLEObject Type="Embed" ProgID="Equation.3" ShapeID="_x0000_i1059" DrawAspect="Content" ObjectID="_1468075759" r:id="rId160">
            <o:LockedField>false</o:LockedField>
          </o:OLEObject>
        </w:object>
      </w:r>
    </w:p>
    <w:p w14:paraId="6FDE13D3">
      <w:pPr>
        <w:pStyle w:val="20"/>
        <w:ind w:firstLine="480"/>
        <w:rPr>
          <w:color w:val="auto"/>
        </w:rPr>
      </w:pPr>
      <w:r>
        <w:rPr>
          <w:color w:val="auto"/>
        </w:rPr>
        <w:t>原坐标为(</w:t>
      </w:r>
      <w:r>
        <w:rPr>
          <w:color w:val="auto"/>
        </w:rPr>
        <w:object>
          <v:shape id="_x0000_i1060" o:spt="75" type="#_x0000_t75" style="height:18.75pt;width:18.75pt;" o:ole="t" filled="f" o:preferrelative="t" stroked="f" coordsize="21600,21600">
            <v:path/>
            <v:fill on="f" focussize="0,0"/>
            <v:stroke on="f" joinstyle="miter"/>
            <v:imagedata r:id="rId163" o:title=""/>
            <o:lock v:ext="edit" aspectratio="t"/>
            <w10:wrap type="none"/>
            <w10:anchorlock/>
          </v:shape>
          <o:OLEObject Type="Embed" ProgID="Equation.3" ShapeID="_x0000_i1060" DrawAspect="Content" ObjectID="_1468075760" r:id="rId162">
            <o:LockedField>false</o:LockedField>
          </o:OLEObject>
        </w:object>
      </w:r>
      <w:r>
        <w:rPr>
          <w:color w:val="auto"/>
        </w:rPr>
        <w:t>，</w:t>
      </w:r>
      <w:r>
        <w:rPr>
          <w:color w:val="auto"/>
        </w:rPr>
        <w:object>
          <v:shape id="_x0000_i1061" o:spt="75" type="#_x0000_t75" style="height:18.75pt;width:18.75pt;" o:ole="t" filled="f" o:preferrelative="t" stroked="f" coordsize="21600,21600">
            <v:path/>
            <v:fill on="f" focussize="0,0"/>
            <v:stroke on="f" joinstyle="miter"/>
            <v:imagedata r:id="rId165" o:title=""/>
            <o:lock v:ext="edit" aspectratio="t"/>
            <w10:wrap type="none"/>
            <w10:anchorlock/>
          </v:shape>
          <o:OLEObject Type="Embed" ProgID="Equation.3" ShapeID="_x0000_i1061" DrawAspect="Content" ObjectID="_1468075761" r:id="rId164">
            <o:LockedField>false</o:LockedField>
          </o:OLEObject>
        </w:object>
      </w:r>
      <w:r>
        <w:rPr>
          <w:color w:val="auto"/>
        </w:rPr>
        <w:t>)油膜经时间</w:t>
      </w:r>
      <w:r>
        <w:rPr>
          <w:color w:val="auto"/>
        </w:rPr>
        <w:object>
          <v:shape id="_x0000_i1062" o:spt="75" type="#_x0000_t75" style="height:18.75pt;width:48pt;" o:ole="t" filled="f" o:preferrelative="t" stroked="f" coordsize="21600,21600">
            <v:path/>
            <v:fill on="f" focussize="0,0"/>
            <v:stroke on="f" joinstyle="miter"/>
            <v:imagedata r:id="rId167" o:title=""/>
            <o:lock v:ext="edit" aspectratio="t"/>
            <w10:wrap type="none"/>
            <w10:anchorlock/>
          </v:shape>
          <o:OLEObject Type="Embed" ProgID="Equation.3" ShapeID="_x0000_i1062" DrawAspect="Content" ObjectID="_1468075762" r:id="rId166">
            <o:LockedField>false</o:LockedField>
          </o:OLEObject>
        </w:object>
      </w:r>
      <w:r>
        <w:rPr>
          <w:color w:val="auto"/>
        </w:rPr>
        <w:t>后，漂移到坐标(</w:t>
      </w:r>
      <w:r>
        <w:rPr>
          <w:color w:val="auto"/>
          <w:position w:val="-6"/>
        </w:rPr>
        <w:object>
          <v:shape id="_x0000_i1063" o:spt="75" type="#_x0000_t75" style="height:11.25pt;width:11.25pt;" o:ole="t" filled="f" o:preferrelative="t" stroked="f" coordsize="21600,21600">
            <v:path/>
            <v:fill on="f" focussize="0,0"/>
            <v:stroke on="f" joinstyle="miter"/>
            <v:imagedata r:id="rId169" o:title=""/>
            <o:lock v:ext="edit" aspectratio="t"/>
            <w10:wrap type="none"/>
            <w10:anchorlock/>
          </v:shape>
          <o:OLEObject Type="Embed" ProgID="Equation.3" ShapeID="_x0000_i1063" DrawAspect="Content" ObjectID="_1468075763" r:id="rId168">
            <o:LockedField>false</o:LockedField>
          </o:OLEObject>
        </w:object>
      </w:r>
      <w:r>
        <w:rPr>
          <w:color w:val="auto"/>
        </w:rPr>
        <w:t>，</w:t>
      </w:r>
      <w:r>
        <w:rPr>
          <w:color w:val="auto"/>
          <w:position w:val="-10"/>
        </w:rPr>
        <w:object>
          <v:shape id="_x0000_i1064" o:spt="75" type="#_x0000_t75" style="height:11.25pt;width:11.25pt;" o:ole="t" filled="f" o:preferrelative="t" stroked="f" coordsize="21600,21600">
            <v:path/>
            <v:fill on="f" focussize="0,0"/>
            <v:stroke on="f" joinstyle="miter"/>
            <v:imagedata r:id="rId171" o:title=""/>
            <o:lock v:ext="edit" aspectratio="t"/>
            <w10:wrap type="none"/>
            <w10:anchorlock/>
          </v:shape>
          <o:OLEObject Type="Embed" ProgID="Equation.3" ShapeID="_x0000_i1064" DrawAspect="Content" ObjectID="_1468075764" r:id="rId170">
            <o:LockedField>false</o:LockedField>
          </o:OLEObject>
        </w:object>
      </w:r>
      <w:r>
        <w:rPr>
          <w:color w:val="auto"/>
        </w:rPr>
        <w:t>)。</w:t>
      </w:r>
    </w:p>
    <w:p w14:paraId="35AB894D">
      <w:pPr>
        <w:pStyle w:val="20"/>
        <w:ind w:firstLine="480"/>
        <w:rPr>
          <w:color w:val="auto"/>
        </w:rPr>
      </w:pPr>
      <w:r>
        <w:rPr>
          <w:color w:val="auto"/>
        </w:rPr>
        <w:t>u和v分别是油膜运动的东、北分量，它由流速、风速、油膜随机运动速度组成；</w:t>
      </w:r>
    </w:p>
    <w:p w14:paraId="10BF2E5C">
      <w:pPr>
        <w:pStyle w:val="20"/>
        <w:ind w:firstLine="480"/>
        <w:rPr>
          <w:color w:val="auto"/>
        </w:rPr>
      </w:pPr>
      <w:r>
        <w:rPr>
          <w:color w:val="auto"/>
        </w:rPr>
        <w:t>u</w:t>
      </w:r>
      <w:r>
        <w:rPr>
          <w:color w:val="auto"/>
          <w:vertAlign w:val="subscript"/>
        </w:rPr>
        <w:t>c</w:t>
      </w:r>
      <w:r>
        <w:rPr>
          <w:color w:val="auto"/>
        </w:rPr>
        <w:t>和v</w:t>
      </w:r>
      <w:r>
        <w:rPr>
          <w:color w:val="auto"/>
          <w:vertAlign w:val="subscript"/>
        </w:rPr>
        <w:t>c</w:t>
      </w:r>
      <w:r>
        <w:rPr>
          <w:color w:val="auto"/>
        </w:rPr>
        <w:t>分别是流速的东、北分量；</w:t>
      </w:r>
    </w:p>
    <w:p w14:paraId="11623BAB">
      <w:pPr>
        <w:pStyle w:val="20"/>
        <w:ind w:firstLine="480"/>
        <w:rPr>
          <w:color w:val="auto"/>
        </w:rPr>
      </w:pPr>
      <w:r>
        <w:rPr>
          <w:color w:val="auto"/>
        </w:rPr>
        <w:t>u</w:t>
      </w:r>
      <w:r>
        <w:rPr>
          <w:color w:val="auto"/>
          <w:vertAlign w:val="subscript"/>
        </w:rPr>
        <w:t>w</w:t>
      </w:r>
      <w:r>
        <w:rPr>
          <w:color w:val="auto"/>
        </w:rPr>
        <w:t>和v</w:t>
      </w:r>
      <w:r>
        <w:rPr>
          <w:color w:val="auto"/>
          <w:vertAlign w:val="subscript"/>
        </w:rPr>
        <w:t>w</w:t>
      </w:r>
      <w:r>
        <w:rPr>
          <w:color w:val="auto"/>
        </w:rPr>
        <w:t>分别是风速的东、北分量，k为风对油膜拖曳系数，取0.022；</w:t>
      </w:r>
    </w:p>
    <w:p w14:paraId="0097C419">
      <w:pPr>
        <w:pStyle w:val="20"/>
        <w:ind w:firstLine="480"/>
        <w:rPr>
          <w:color w:val="auto"/>
        </w:rPr>
      </w:pPr>
      <w:r>
        <w:rPr>
          <w:color w:val="auto"/>
          <w:kern w:val="0"/>
        </w:rPr>
        <w:t>u</w:t>
      </w:r>
      <w:r>
        <w:rPr>
          <w:color w:val="auto"/>
          <w:kern w:val="0"/>
          <w:vertAlign w:val="subscript"/>
        </w:rPr>
        <w:t>r</w:t>
      </w:r>
      <w:r>
        <w:rPr>
          <w:color w:val="auto"/>
          <w:kern w:val="0"/>
        </w:rPr>
        <w:t>和v</w:t>
      </w:r>
      <w:r>
        <w:rPr>
          <w:color w:val="auto"/>
          <w:kern w:val="0"/>
          <w:vertAlign w:val="subscript"/>
        </w:rPr>
        <w:t>r</w:t>
      </w:r>
      <w:r>
        <w:rPr>
          <w:color w:val="auto"/>
          <w:kern w:val="0"/>
        </w:rPr>
        <w:t>分别是油粒子随机走动速度的东、北分量，溢油粒子的随机走动导致油粒子</w:t>
      </w:r>
      <w:r>
        <w:rPr>
          <w:color w:val="auto"/>
        </w:rPr>
        <w:t>云团的尺度和形状随时间变化，随机走动的距离为：</w:t>
      </w:r>
    </w:p>
    <w:p w14:paraId="594AB6AB">
      <w:pPr>
        <w:ind w:firstLine="480"/>
        <w:jc w:val="center"/>
        <w:rPr>
          <w:color w:val="auto"/>
        </w:rPr>
      </w:pPr>
      <w:r>
        <w:rPr>
          <w:color w:val="auto"/>
          <w:position w:val="-38"/>
        </w:rPr>
        <w:object>
          <v:shape id="_x0000_i1065" o:spt="75" type="#_x0000_t75" style="height:40.5pt;width:72pt;" o:ole="t" filled="f" o:preferrelative="t" stroked="f" coordsize="21600,21600">
            <v:path/>
            <v:fill on="f" focussize="0,0"/>
            <v:stroke on="f" joinstyle="miter"/>
            <v:imagedata r:id="rId173" o:title=""/>
            <o:lock v:ext="edit" aspectratio="t"/>
            <w10:wrap type="none"/>
            <w10:anchorlock/>
          </v:shape>
          <o:OLEObject Type="Embed" ProgID="Equation.DSMT4" ShapeID="_x0000_i1065" DrawAspect="Content" ObjectID="_1468075765" r:id="rId172">
            <o:LockedField>false</o:LockedField>
          </o:OLEObject>
        </w:object>
      </w:r>
    </w:p>
    <w:p w14:paraId="224E91D2">
      <w:pPr>
        <w:ind w:firstLine="480"/>
        <w:rPr>
          <w:color w:val="auto"/>
        </w:rPr>
      </w:pPr>
      <w:r>
        <w:rPr>
          <w:color w:val="auto"/>
        </w:rPr>
        <w:t>式中，</w:t>
      </w:r>
      <w:r>
        <w:rPr>
          <w:color w:val="auto"/>
        </w:rPr>
        <w:object>
          <v:shape id="_x0000_i1066" o:spt="75" type="#_x0000_t75" style="height:11.25pt;width:11.25pt;" o:ole="t" filled="f" o:preferrelative="t" stroked="f" coordsize="21600,21600">
            <v:path/>
            <v:fill on="f" focussize="0,0"/>
            <v:stroke on="f" joinstyle="miter"/>
            <v:imagedata r:id="rId175" o:title=""/>
            <o:lock v:ext="edit" aspectratio="t"/>
            <w10:wrap type="none"/>
            <w10:anchorlock/>
          </v:shape>
          <o:OLEObject Type="Embed" ProgID="Equation.DSMT4" ShapeID="_x0000_i1066" DrawAspect="Content" ObjectID="_1468075766" r:id="rId174">
            <o:LockedField>false</o:LockedField>
          </o:OLEObject>
        </w:object>
      </w:r>
      <w:r>
        <w:rPr>
          <w:color w:val="auto"/>
        </w:rPr>
        <w:t>为[-1,1]之间的均匀分布随机数；E</w:t>
      </w:r>
      <w:r>
        <w:rPr>
          <w:color w:val="auto"/>
          <w:vertAlign w:val="subscript"/>
        </w:rPr>
        <w:t>x</w:t>
      </w:r>
      <w:r>
        <w:rPr>
          <w:color w:val="auto"/>
        </w:rPr>
        <w:t>、</w:t>
      </w:r>
      <w:r>
        <w:rPr>
          <w:rFonts w:hint="eastAsia"/>
          <w:color w:val="auto"/>
        </w:rPr>
        <w:t>E</w:t>
      </w:r>
      <w:r>
        <w:rPr>
          <w:color w:val="auto"/>
          <w:vertAlign w:val="subscript"/>
        </w:rPr>
        <w:t>y</w:t>
      </w:r>
      <w:r>
        <w:rPr>
          <w:color w:val="auto"/>
        </w:rPr>
        <w:t>是X、Y方向的湍流离散系数；为</w:t>
      </w:r>
      <w:r>
        <w:rPr>
          <w:rFonts w:hint="eastAsia"/>
          <w:color w:val="auto"/>
        </w:rPr>
        <w:t>△</w:t>
      </w:r>
      <w:r>
        <w:rPr>
          <w:color w:val="auto"/>
        </w:rPr>
        <w:t>t时间步长。</w:t>
      </w:r>
    </w:p>
    <w:p w14:paraId="3B3CE01C">
      <w:pPr>
        <w:ind w:firstLine="480"/>
        <w:rPr>
          <w:color w:val="auto"/>
        </w:rPr>
      </w:pPr>
      <w:r>
        <w:rPr>
          <w:color w:val="auto"/>
        </w:rPr>
        <w:t>通过跟踪各油膜坐标(</w:t>
      </w:r>
      <w:r>
        <w:rPr>
          <w:color w:val="auto"/>
          <w:position w:val="-6"/>
        </w:rPr>
        <w:object>
          <v:shape id="_x0000_i1067" o:spt="75" type="#_x0000_t75" style="height:11.25pt;width:11.25pt;" o:ole="t" filled="f" o:preferrelative="t" stroked="f" coordsize="21600,21600">
            <v:path/>
            <v:fill on="f" focussize="0,0"/>
            <v:stroke on="f" joinstyle="miter"/>
            <v:imagedata r:id="rId169" o:title=""/>
            <o:lock v:ext="edit" aspectratio="t"/>
            <w10:wrap type="none"/>
            <w10:anchorlock/>
          </v:shape>
          <o:OLEObject Type="Embed" ProgID="Equation.3" ShapeID="_x0000_i1067" DrawAspect="Content" ObjectID="_1468075767" r:id="rId176">
            <o:LockedField>false</o:LockedField>
          </o:OLEObject>
        </w:object>
      </w:r>
      <w:r>
        <w:rPr>
          <w:color w:val="auto"/>
        </w:rPr>
        <w:t>，</w:t>
      </w:r>
      <w:r>
        <w:rPr>
          <w:color w:val="auto"/>
          <w:position w:val="-10"/>
        </w:rPr>
        <w:object>
          <v:shape id="_x0000_i1068" o:spt="75" type="#_x0000_t75" style="height:11.25pt;width:11.25pt;" o:ole="t" filled="f" o:preferrelative="t" stroked="f" coordsize="21600,21600">
            <v:path/>
            <v:fill on="f" focussize="0,0"/>
            <v:stroke on="f" joinstyle="miter"/>
            <v:imagedata r:id="rId171" o:title=""/>
            <o:lock v:ext="edit" aspectratio="t"/>
            <w10:wrap type="none"/>
            <w10:anchorlock/>
          </v:shape>
          <o:OLEObject Type="Embed" ProgID="Equation.3" ShapeID="_x0000_i1068" DrawAspect="Content" ObjectID="_1468075768" r:id="rId177">
            <o:LockedField>false</o:LockedField>
          </o:OLEObject>
        </w:object>
      </w:r>
      <w:r>
        <w:rPr>
          <w:color w:val="auto"/>
        </w:rPr>
        <w:t>)的位置，确定运移范围，统计其数量和质量，可得各坐标网格的油膜面积。通过上式计算，可以确定任意油质点在任一时刻的位置</w:t>
      </w:r>
      <w:r>
        <w:rPr>
          <w:color w:val="auto"/>
          <w:lang w:val="nl-NL"/>
        </w:rPr>
        <w:t>，同时也可以反映出这些油质点的群体状况，由此来描述溢油漂移扩散的过程。</w:t>
      </w:r>
    </w:p>
    <w:p w14:paraId="535D9D9D">
      <w:pPr>
        <w:ind w:firstLine="482"/>
        <w:rPr>
          <w:b/>
          <w:color w:val="auto"/>
        </w:rPr>
      </w:pPr>
      <w:r>
        <w:rPr>
          <w:rFonts w:hint="eastAsia"/>
          <w:b/>
          <w:color w:val="auto"/>
        </w:rPr>
        <w:t>（3）油膜</w:t>
      </w:r>
      <w:r>
        <w:rPr>
          <w:b/>
          <w:color w:val="auto"/>
        </w:rPr>
        <w:t>的蒸发过程</w:t>
      </w:r>
    </w:p>
    <w:p w14:paraId="5CEECE6F">
      <w:pPr>
        <w:pStyle w:val="234"/>
        <w:spacing w:line="360" w:lineRule="auto"/>
        <w:ind w:left="0" w:firstLine="480" w:firstLineChars="200"/>
        <w:rPr>
          <w:color w:val="auto"/>
          <w:sz w:val="24"/>
          <w:szCs w:val="24"/>
          <w:lang w:val="nl-NL"/>
        </w:rPr>
      </w:pPr>
      <w:r>
        <w:rPr>
          <w:color w:val="auto"/>
          <w:sz w:val="24"/>
          <w:szCs w:val="24"/>
          <w:lang w:val="nl-NL"/>
        </w:rPr>
        <w:t>蒸发暴露模型（StiverandMackay，1984）是一个预测蒸发的体积比例的分析方法。它使用蒸馏数据来估算解析方程需要的参数。</w:t>
      </w:r>
    </w:p>
    <w:p w14:paraId="50725E57">
      <w:pPr>
        <w:pStyle w:val="234"/>
        <w:spacing w:line="360" w:lineRule="auto"/>
        <w:ind w:left="0" w:firstLine="480" w:firstLineChars="200"/>
        <w:rPr>
          <w:color w:val="auto"/>
          <w:sz w:val="24"/>
          <w:szCs w:val="24"/>
          <w:lang w:val="nl-NL"/>
        </w:rPr>
      </w:pPr>
      <w:r>
        <w:rPr>
          <w:color w:val="auto"/>
          <w:sz w:val="24"/>
          <w:szCs w:val="24"/>
          <w:lang w:val="nl-NL"/>
        </w:rPr>
        <w:t>蒸发部分，F</w:t>
      </w:r>
      <w:r>
        <w:rPr>
          <w:color w:val="auto"/>
          <w:sz w:val="24"/>
          <w:szCs w:val="24"/>
          <w:vertAlign w:val="subscript"/>
          <w:lang w:val="nl-NL"/>
        </w:rPr>
        <w:t>v</w:t>
      </w:r>
      <w:r>
        <w:rPr>
          <w:color w:val="auto"/>
          <w:sz w:val="24"/>
          <w:szCs w:val="24"/>
          <w:lang w:val="nl-NL"/>
        </w:rPr>
        <w:t>，定义为：</w:t>
      </w:r>
    </w:p>
    <w:p w14:paraId="4E9A01E0">
      <w:pPr>
        <w:pStyle w:val="234"/>
        <w:tabs>
          <w:tab w:val="left" w:pos="-1440"/>
          <w:tab w:val="left" w:pos="-720"/>
          <w:tab w:val="left" w:pos="0"/>
          <w:tab w:val="left" w:pos="288"/>
          <w:tab w:val="left" w:pos="504"/>
          <w:tab w:val="left" w:pos="720"/>
          <w:tab w:val="left" w:pos="1188"/>
          <w:tab w:val="left" w:pos="1260"/>
          <w:tab w:val="left" w:pos="1384"/>
          <w:tab w:val="left" w:pos="2145"/>
          <w:tab w:val="left" w:pos="2780"/>
          <w:tab w:val="left" w:pos="3600"/>
          <w:tab w:val="left" w:pos="4320"/>
          <w:tab w:val="left" w:pos="5040"/>
          <w:tab w:val="left" w:pos="5760"/>
          <w:tab w:val="left" w:pos="6480"/>
          <w:tab w:val="left" w:pos="7200"/>
          <w:tab w:val="left" w:pos="7920"/>
          <w:tab w:val="left" w:pos="8640"/>
        </w:tabs>
        <w:spacing w:line="360" w:lineRule="auto"/>
        <w:ind w:firstLine="480"/>
        <w:rPr>
          <w:color w:val="auto"/>
          <w:sz w:val="24"/>
          <w:szCs w:val="24"/>
        </w:rPr>
      </w:pPr>
      <w:r>
        <w:rPr>
          <w:color w:val="auto"/>
          <w:position w:val="-10"/>
          <w:sz w:val="24"/>
          <w:szCs w:val="24"/>
        </w:rPr>
        <w:object>
          <v:shape id="_x0000_i1069" o:spt="75" type="#_x0000_t75" style="height:18.75pt;width:252pt;" o:ole="t" filled="f" o:preferrelative="t" stroked="f" coordsize="21600,21600">
            <v:path/>
            <v:fill on="f" focussize="0,0"/>
            <v:stroke on="f" joinstyle="miter"/>
            <v:imagedata r:id="rId179" o:title=""/>
            <o:lock v:ext="edit" aspectratio="t"/>
            <w10:wrap type="none"/>
            <w10:anchorlock/>
          </v:shape>
          <o:OLEObject Type="Embed" ProgID="Equation.3" ShapeID="_x0000_i1069" DrawAspect="Content" ObjectID="_1468075769" r:id="rId178">
            <o:LockedField>false</o:LockedField>
          </o:OLEObject>
        </w:object>
      </w:r>
    </w:p>
    <w:p w14:paraId="0A055A6E">
      <w:pPr>
        <w:pStyle w:val="234"/>
        <w:tabs>
          <w:tab w:val="left" w:pos="-1440"/>
          <w:tab w:val="left" w:pos="-720"/>
          <w:tab w:val="left" w:pos="0"/>
          <w:tab w:val="left" w:pos="288"/>
          <w:tab w:val="left" w:pos="504"/>
          <w:tab w:val="left" w:pos="720"/>
          <w:tab w:val="left" w:pos="1188"/>
          <w:tab w:val="left" w:pos="1260"/>
          <w:tab w:val="left" w:pos="1384"/>
          <w:tab w:val="left" w:pos="2145"/>
          <w:tab w:val="left" w:pos="2780"/>
          <w:tab w:val="left" w:pos="3600"/>
          <w:tab w:val="left" w:pos="4320"/>
          <w:tab w:val="left" w:pos="5040"/>
          <w:tab w:val="left" w:pos="5760"/>
          <w:tab w:val="left" w:pos="6480"/>
          <w:tab w:val="left" w:pos="7200"/>
          <w:tab w:val="left" w:pos="7920"/>
          <w:tab w:val="left" w:pos="8640"/>
        </w:tabs>
        <w:spacing w:line="360" w:lineRule="auto"/>
        <w:ind w:left="0" w:firstLine="480"/>
        <w:jc w:val="left"/>
        <w:rPr>
          <w:color w:val="auto"/>
          <w:sz w:val="24"/>
          <w:szCs w:val="24"/>
        </w:rPr>
      </w:pPr>
      <w:r>
        <w:rPr>
          <w:rFonts w:hint="eastAsia"/>
          <w:color w:val="auto"/>
          <w:sz w:val="24"/>
          <w:szCs w:val="24"/>
        </w:rPr>
        <w:t>式中</w:t>
      </w:r>
      <w:r>
        <w:rPr>
          <w:color w:val="auto"/>
          <w:sz w:val="24"/>
          <w:szCs w:val="24"/>
        </w:rPr>
        <w:t>：T</w:t>
      </w:r>
      <w:r>
        <w:rPr>
          <w:color w:val="auto"/>
          <w:sz w:val="24"/>
          <w:szCs w:val="24"/>
          <w:vertAlign w:val="subscript"/>
        </w:rPr>
        <w:t>0</w:t>
      </w:r>
      <w:r>
        <w:rPr>
          <w:color w:val="auto"/>
          <w:sz w:val="24"/>
          <w:szCs w:val="24"/>
        </w:rPr>
        <w:t>：溢油修正的蒸馏曲线的初沸点（开尔文），取105.6°~120.0°；</w:t>
      </w:r>
    </w:p>
    <w:p w14:paraId="0A6AD65A">
      <w:pPr>
        <w:pStyle w:val="234"/>
        <w:tabs>
          <w:tab w:val="left" w:pos="-1440"/>
          <w:tab w:val="left" w:pos="-720"/>
          <w:tab w:val="left" w:pos="0"/>
          <w:tab w:val="left" w:pos="288"/>
          <w:tab w:val="left" w:pos="504"/>
          <w:tab w:val="left" w:pos="720"/>
          <w:tab w:val="left" w:pos="1188"/>
          <w:tab w:val="left" w:pos="1296"/>
          <w:tab w:val="left" w:pos="1512"/>
          <w:tab w:val="left" w:pos="2145"/>
          <w:tab w:val="left" w:pos="2780"/>
          <w:tab w:val="left" w:pos="3600"/>
          <w:tab w:val="left" w:pos="4320"/>
          <w:tab w:val="left" w:pos="5040"/>
          <w:tab w:val="left" w:pos="5760"/>
          <w:tab w:val="left" w:pos="6480"/>
          <w:tab w:val="left" w:pos="7200"/>
          <w:tab w:val="left" w:pos="7920"/>
          <w:tab w:val="left" w:pos="8640"/>
        </w:tabs>
        <w:spacing w:line="360" w:lineRule="auto"/>
        <w:ind w:left="0" w:firstLine="480"/>
        <w:jc w:val="left"/>
        <w:rPr>
          <w:color w:val="auto"/>
          <w:sz w:val="24"/>
          <w:szCs w:val="24"/>
        </w:rPr>
      </w:pPr>
      <w:r>
        <w:rPr>
          <w:color w:val="auto"/>
          <w:sz w:val="24"/>
          <w:szCs w:val="24"/>
        </w:rPr>
        <w:t>T</w:t>
      </w:r>
      <w:r>
        <w:rPr>
          <w:color w:val="auto"/>
          <w:sz w:val="24"/>
          <w:szCs w:val="24"/>
          <w:vertAlign w:val="subscript"/>
        </w:rPr>
        <w:t>G</w:t>
      </w:r>
      <w:r>
        <w:rPr>
          <w:color w:val="auto"/>
          <w:sz w:val="24"/>
          <w:szCs w:val="24"/>
        </w:rPr>
        <w:t>：修正的蒸馏曲线的斜率，取32.5°~44.5°；</w:t>
      </w:r>
    </w:p>
    <w:p w14:paraId="3FADEA80">
      <w:pPr>
        <w:pStyle w:val="234"/>
        <w:tabs>
          <w:tab w:val="left" w:pos="-1440"/>
          <w:tab w:val="left" w:pos="-720"/>
          <w:tab w:val="left" w:pos="0"/>
          <w:tab w:val="left" w:pos="288"/>
          <w:tab w:val="left" w:pos="504"/>
          <w:tab w:val="left" w:pos="720"/>
          <w:tab w:val="left" w:pos="1188"/>
          <w:tab w:val="left" w:pos="1296"/>
          <w:tab w:val="left" w:pos="1512"/>
          <w:tab w:val="left" w:pos="2145"/>
          <w:tab w:val="left" w:pos="2780"/>
          <w:tab w:val="left" w:pos="3600"/>
          <w:tab w:val="left" w:pos="4320"/>
          <w:tab w:val="left" w:pos="5040"/>
          <w:tab w:val="left" w:pos="5760"/>
          <w:tab w:val="left" w:pos="6480"/>
          <w:tab w:val="left" w:pos="7200"/>
          <w:tab w:val="left" w:pos="7920"/>
          <w:tab w:val="left" w:pos="8640"/>
        </w:tabs>
        <w:spacing w:line="360" w:lineRule="auto"/>
        <w:ind w:left="0" w:firstLine="480"/>
        <w:jc w:val="left"/>
        <w:rPr>
          <w:color w:val="auto"/>
          <w:sz w:val="24"/>
          <w:szCs w:val="24"/>
        </w:rPr>
      </w:pPr>
      <w:r>
        <w:rPr>
          <w:color w:val="auto"/>
          <w:sz w:val="24"/>
          <w:szCs w:val="24"/>
        </w:rPr>
        <w:t>T：环境温度（开尔文）；</w:t>
      </w:r>
    </w:p>
    <w:p w14:paraId="0E0A05FF">
      <w:pPr>
        <w:pStyle w:val="234"/>
        <w:tabs>
          <w:tab w:val="left" w:pos="-1440"/>
          <w:tab w:val="left" w:pos="-720"/>
          <w:tab w:val="left" w:pos="0"/>
          <w:tab w:val="left" w:pos="288"/>
          <w:tab w:val="left" w:pos="504"/>
          <w:tab w:val="left" w:pos="720"/>
          <w:tab w:val="left" w:pos="1188"/>
          <w:tab w:val="left" w:pos="1296"/>
          <w:tab w:val="left" w:pos="1512"/>
          <w:tab w:val="left" w:pos="2145"/>
          <w:tab w:val="left" w:pos="2780"/>
          <w:tab w:val="left" w:pos="3600"/>
          <w:tab w:val="left" w:pos="4320"/>
          <w:tab w:val="left" w:pos="5040"/>
          <w:tab w:val="left" w:pos="5760"/>
          <w:tab w:val="left" w:pos="6480"/>
          <w:tab w:val="left" w:pos="7200"/>
          <w:tab w:val="left" w:pos="7920"/>
          <w:tab w:val="left" w:pos="8640"/>
        </w:tabs>
        <w:spacing w:line="360" w:lineRule="auto"/>
        <w:ind w:left="0" w:firstLine="480"/>
        <w:jc w:val="left"/>
        <w:rPr>
          <w:color w:val="auto"/>
          <w:sz w:val="24"/>
          <w:szCs w:val="24"/>
        </w:rPr>
      </w:pPr>
      <w:r>
        <w:rPr>
          <w:color w:val="auto"/>
          <w:sz w:val="24"/>
          <w:szCs w:val="24"/>
        </w:rPr>
        <w:t>A,B：无量纲常数（“典型的”原油A=6.3，B=10.3）；</w:t>
      </w:r>
    </w:p>
    <w:p w14:paraId="3194C4C8">
      <w:pPr>
        <w:pStyle w:val="234"/>
        <w:tabs>
          <w:tab w:val="left" w:pos="-1440"/>
          <w:tab w:val="left" w:pos="-720"/>
          <w:tab w:val="left" w:pos="0"/>
          <w:tab w:val="left" w:pos="288"/>
          <w:tab w:val="left" w:pos="504"/>
          <w:tab w:val="left" w:pos="720"/>
          <w:tab w:val="left" w:pos="1188"/>
          <w:tab w:val="left" w:pos="1296"/>
          <w:tab w:val="left" w:pos="1512"/>
          <w:tab w:val="left" w:pos="2145"/>
          <w:tab w:val="left" w:pos="2780"/>
          <w:tab w:val="left" w:pos="3600"/>
          <w:tab w:val="left" w:pos="4320"/>
          <w:tab w:val="left" w:pos="5040"/>
          <w:tab w:val="left" w:pos="5760"/>
          <w:tab w:val="left" w:pos="6480"/>
          <w:tab w:val="left" w:pos="7200"/>
          <w:tab w:val="left" w:pos="7920"/>
          <w:tab w:val="left" w:pos="8640"/>
        </w:tabs>
        <w:spacing w:line="360" w:lineRule="auto"/>
        <w:ind w:left="0" w:firstLine="480"/>
        <w:jc w:val="left"/>
        <w:rPr>
          <w:color w:val="auto"/>
          <w:sz w:val="24"/>
          <w:szCs w:val="24"/>
        </w:rPr>
      </w:pPr>
      <w:r>
        <w:rPr>
          <w:color w:val="auto"/>
          <w:sz w:val="24"/>
          <w:szCs w:val="24"/>
        </w:rPr>
        <w:tab/>
      </w:r>
      <w:r>
        <w:rPr>
          <w:color w:val="auto"/>
          <w:sz w:val="24"/>
          <w:szCs w:val="24"/>
        </w:rPr>
        <w:t>t：时间（秒）；</w:t>
      </w:r>
    </w:p>
    <w:p w14:paraId="334DE886">
      <w:pPr>
        <w:pStyle w:val="234"/>
        <w:tabs>
          <w:tab w:val="left" w:pos="-1440"/>
          <w:tab w:val="left" w:pos="-720"/>
          <w:tab w:val="left" w:pos="0"/>
          <w:tab w:val="left" w:pos="288"/>
          <w:tab w:val="left" w:pos="504"/>
          <w:tab w:val="left" w:pos="720"/>
          <w:tab w:val="left" w:pos="1188"/>
          <w:tab w:val="left" w:pos="1296"/>
          <w:tab w:val="left" w:pos="1512"/>
          <w:tab w:val="left" w:pos="2145"/>
          <w:tab w:val="left" w:pos="2780"/>
          <w:tab w:val="left" w:pos="3600"/>
          <w:tab w:val="left" w:pos="4320"/>
          <w:tab w:val="left" w:pos="5040"/>
          <w:tab w:val="left" w:pos="5760"/>
          <w:tab w:val="left" w:pos="6480"/>
          <w:tab w:val="left" w:pos="7200"/>
          <w:tab w:val="left" w:pos="7920"/>
          <w:tab w:val="left" w:pos="8640"/>
        </w:tabs>
        <w:spacing w:line="360" w:lineRule="auto"/>
        <w:ind w:left="0" w:firstLine="480"/>
        <w:jc w:val="left"/>
        <w:rPr>
          <w:color w:val="auto"/>
          <w:sz w:val="24"/>
          <w:szCs w:val="24"/>
        </w:rPr>
      </w:pPr>
      <w:r>
        <w:rPr>
          <w:color w:val="auto"/>
          <w:sz w:val="24"/>
          <w:szCs w:val="24"/>
        </w:rPr>
        <w:sym w:font="Symbol" w:char="F071"/>
      </w:r>
      <w:r>
        <w:rPr>
          <w:color w:val="auto"/>
          <w:sz w:val="24"/>
          <w:szCs w:val="24"/>
        </w:rPr>
        <w:t>：蒸发性的暴露；</w:t>
      </w:r>
    </w:p>
    <w:p w14:paraId="4EDE3B8A">
      <w:pPr>
        <w:pStyle w:val="234"/>
        <w:tabs>
          <w:tab w:val="left" w:pos="-1440"/>
          <w:tab w:val="left" w:pos="-720"/>
          <w:tab w:val="left" w:pos="0"/>
          <w:tab w:val="left" w:pos="288"/>
          <w:tab w:val="left" w:pos="504"/>
          <w:tab w:val="left" w:pos="720"/>
          <w:tab w:val="left" w:pos="1188"/>
          <w:tab w:val="left" w:pos="1296"/>
          <w:tab w:val="left" w:pos="1512"/>
          <w:tab w:val="left" w:pos="2145"/>
          <w:tab w:val="left" w:pos="2780"/>
          <w:tab w:val="left" w:pos="3600"/>
          <w:tab w:val="left" w:pos="4320"/>
          <w:tab w:val="left" w:pos="5040"/>
          <w:tab w:val="left" w:pos="5760"/>
          <w:tab w:val="left" w:pos="6480"/>
          <w:tab w:val="left" w:pos="7200"/>
          <w:tab w:val="left" w:pos="7920"/>
          <w:tab w:val="left" w:pos="8640"/>
        </w:tabs>
        <w:spacing w:line="360" w:lineRule="auto"/>
        <w:ind w:left="0" w:firstLine="480"/>
        <w:jc w:val="left"/>
        <w:rPr>
          <w:color w:val="auto"/>
          <w:sz w:val="24"/>
          <w:szCs w:val="24"/>
        </w:rPr>
      </w:pPr>
      <w:r>
        <w:rPr>
          <w:color w:val="auto"/>
          <w:sz w:val="24"/>
          <w:szCs w:val="24"/>
        </w:rPr>
        <w:t>蒸发性的暴露</w:t>
      </w:r>
      <w:r>
        <w:rPr>
          <w:color w:val="auto"/>
          <w:sz w:val="24"/>
          <w:szCs w:val="24"/>
        </w:rPr>
        <w:sym w:font="Symbol" w:char="F071"/>
      </w:r>
      <w:r>
        <w:rPr>
          <w:color w:val="auto"/>
          <w:sz w:val="24"/>
          <w:szCs w:val="24"/>
        </w:rPr>
        <w:t>表示为：</w:t>
      </w:r>
    </w:p>
    <w:p w14:paraId="3E9EF553">
      <w:pPr>
        <w:pStyle w:val="234"/>
        <w:tabs>
          <w:tab w:val="left" w:pos="-1440"/>
          <w:tab w:val="left" w:pos="-720"/>
          <w:tab w:val="left" w:pos="0"/>
          <w:tab w:val="left" w:pos="288"/>
          <w:tab w:val="left" w:pos="504"/>
          <w:tab w:val="left" w:pos="720"/>
          <w:tab w:val="left" w:pos="1188"/>
          <w:tab w:val="left" w:pos="1296"/>
          <w:tab w:val="left" w:pos="1512"/>
          <w:tab w:val="left" w:pos="2145"/>
          <w:tab w:val="left" w:pos="2780"/>
          <w:tab w:val="left" w:pos="3600"/>
          <w:tab w:val="left" w:pos="4320"/>
          <w:tab w:val="left" w:pos="5040"/>
          <w:tab w:val="left" w:pos="5760"/>
          <w:tab w:val="left" w:pos="6480"/>
          <w:tab w:val="left" w:pos="7200"/>
          <w:tab w:val="left" w:pos="7920"/>
          <w:tab w:val="left" w:pos="8640"/>
        </w:tabs>
        <w:spacing w:line="360" w:lineRule="auto"/>
        <w:ind w:firstLine="480"/>
        <w:rPr>
          <w:color w:val="auto"/>
          <w:sz w:val="24"/>
          <w:szCs w:val="24"/>
        </w:rPr>
      </w:pPr>
      <w:r>
        <w:rPr>
          <w:color w:val="auto"/>
          <w:sz w:val="24"/>
          <w:szCs w:val="24"/>
        </w:rPr>
        <w:object>
          <v:shape id="_x0000_i1070" o:spt="75" type="#_x0000_t75" style="height:34.5pt;width:82.5pt;" o:ole="t" filled="f" o:preferrelative="t" stroked="f" coordsize="21600,21600">
            <v:path/>
            <v:fill on="f" focussize="0,0"/>
            <v:stroke on="f" joinstyle="miter"/>
            <v:imagedata r:id="rId181" o:title=""/>
            <o:lock v:ext="edit" aspectratio="t"/>
            <w10:wrap type="none"/>
            <w10:anchorlock/>
          </v:shape>
          <o:OLEObject Type="Embed" ProgID="Equation.2" ShapeID="_x0000_i1070" DrawAspect="Content" ObjectID="_1468075770" r:id="rId180">
            <o:LockedField>false</o:LockedField>
          </o:OLEObject>
        </w:object>
      </w:r>
    </w:p>
    <w:p w14:paraId="03B431CA">
      <w:pPr>
        <w:pStyle w:val="234"/>
        <w:tabs>
          <w:tab w:val="left" w:pos="-1440"/>
          <w:tab w:val="left" w:pos="-720"/>
          <w:tab w:val="left" w:pos="0"/>
          <w:tab w:val="left" w:pos="288"/>
          <w:tab w:val="left" w:pos="504"/>
          <w:tab w:val="left" w:pos="720"/>
          <w:tab w:val="left" w:pos="1188"/>
          <w:tab w:val="left" w:pos="1296"/>
          <w:tab w:val="left" w:pos="1512"/>
          <w:tab w:val="left" w:pos="2145"/>
          <w:tab w:val="left" w:pos="2780"/>
          <w:tab w:val="left" w:pos="3600"/>
          <w:tab w:val="left" w:pos="4320"/>
          <w:tab w:val="left" w:pos="5040"/>
          <w:tab w:val="left" w:pos="5760"/>
          <w:tab w:val="left" w:pos="6480"/>
          <w:tab w:val="left" w:pos="7200"/>
          <w:tab w:val="left" w:pos="7920"/>
          <w:tab w:val="left" w:pos="8640"/>
        </w:tabs>
        <w:spacing w:line="360" w:lineRule="auto"/>
        <w:ind w:left="0" w:firstLine="480"/>
        <w:jc w:val="left"/>
        <w:rPr>
          <w:color w:val="auto"/>
          <w:sz w:val="24"/>
          <w:szCs w:val="24"/>
        </w:rPr>
      </w:pPr>
      <w:r>
        <w:rPr>
          <w:rFonts w:hint="eastAsia"/>
          <w:color w:val="auto"/>
          <w:sz w:val="24"/>
          <w:szCs w:val="24"/>
        </w:rPr>
        <w:t>式中</w:t>
      </w:r>
      <w:r>
        <w:rPr>
          <w:color w:val="auto"/>
          <w:sz w:val="24"/>
          <w:szCs w:val="24"/>
        </w:rPr>
        <w:t>：K</w:t>
      </w:r>
      <w:r>
        <w:rPr>
          <w:color w:val="auto"/>
          <w:sz w:val="24"/>
          <w:szCs w:val="24"/>
          <w:vertAlign w:val="subscript"/>
        </w:rPr>
        <w:t>m</w:t>
      </w:r>
      <w:r>
        <w:rPr>
          <w:color w:val="auto"/>
          <w:sz w:val="24"/>
          <w:szCs w:val="24"/>
        </w:rPr>
        <w:t>：物质输送系数（米/秒）；</w:t>
      </w:r>
    </w:p>
    <w:p w14:paraId="32E6B214">
      <w:pPr>
        <w:pStyle w:val="234"/>
        <w:tabs>
          <w:tab w:val="left" w:pos="-1440"/>
          <w:tab w:val="left" w:pos="-720"/>
          <w:tab w:val="left" w:pos="0"/>
          <w:tab w:val="left" w:pos="288"/>
          <w:tab w:val="left" w:pos="504"/>
          <w:tab w:val="left" w:pos="720"/>
          <w:tab w:val="left" w:pos="1188"/>
          <w:tab w:val="left" w:pos="1296"/>
          <w:tab w:val="left" w:pos="1512"/>
          <w:tab w:val="left" w:pos="2145"/>
          <w:tab w:val="left" w:pos="2780"/>
          <w:tab w:val="left" w:pos="3600"/>
          <w:tab w:val="left" w:pos="4320"/>
          <w:tab w:val="left" w:pos="5040"/>
          <w:tab w:val="left" w:pos="5760"/>
          <w:tab w:val="left" w:pos="6480"/>
          <w:tab w:val="left" w:pos="7200"/>
          <w:tab w:val="left" w:pos="7920"/>
          <w:tab w:val="left" w:pos="8640"/>
        </w:tabs>
        <w:spacing w:line="360" w:lineRule="auto"/>
        <w:ind w:left="0" w:firstLine="480"/>
        <w:jc w:val="left"/>
        <w:rPr>
          <w:color w:val="auto"/>
          <w:sz w:val="24"/>
          <w:szCs w:val="24"/>
        </w:rPr>
      </w:pPr>
      <w:r>
        <w:rPr>
          <w:color w:val="auto"/>
          <w:sz w:val="24"/>
          <w:szCs w:val="24"/>
        </w:rPr>
        <w:t>A</w:t>
      </w:r>
      <w:r>
        <w:rPr>
          <w:color w:val="auto"/>
          <w:sz w:val="24"/>
          <w:szCs w:val="24"/>
        </w:rPr>
        <w:tab/>
      </w:r>
      <w:r>
        <w:rPr>
          <w:color w:val="auto"/>
          <w:sz w:val="24"/>
          <w:szCs w:val="24"/>
        </w:rPr>
        <w:t>：油膜面积（m</w:t>
      </w:r>
      <w:r>
        <w:rPr>
          <w:color w:val="auto"/>
          <w:sz w:val="24"/>
          <w:szCs w:val="24"/>
          <w:vertAlign w:val="superscript"/>
        </w:rPr>
        <w:t>2</w:t>
      </w:r>
      <w:r>
        <w:rPr>
          <w:color w:val="auto"/>
          <w:sz w:val="24"/>
          <w:szCs w:val="24"/>
        </w:rPr>
        <w:t>）；</w:t>
      </w:r>
    </w:p>
    <w:p w14:paraId="574A7CBC">
      <w:pPr>
        <w:pStyle w:val="234"/>
        <w:tabs>
          <w:tab w:val="left" w:pos="-1440"/>
          <w:tab w:val="left" w:pos="-720"/>
          <w:tab w:val="left" w:pos="0"/>
          <w:tab w:val="left" w:pos="288"/>
          <w:tab w:val="left" w:pos="504"/>
          <w:tab w:val="left" w:pos="720"/>
          <w:tab w:val="left" w:pos="1188"/>
          <w:tab w:val="left" w:pos="1296"/>
          <w:tab w:val="left" w:pos="1512"/>
          <w:tab w:val="left" w:pos="2145"/>
          <w:tab w:val="left" w:pos="2780"/>
          <w:tab w:val="left" w:pos="3600"/>
          <w:tab w:val="left" w:pos="4320"/>
          <w:tab w:val="left" w:pos="5040"/>
          <w:tab w:val="left" w:pos="5760"/>
          <w:tab w:val="left" w:pos="6480"/>
          <w:tab w:val="left" w:pos="7200"/>
          <w:tab w:val="left" w:pos="7920"/>
          <w:tab w:val="left" w:pos="8640"/>
        </w:tabs>
        <w:spacing w:line="360" w:lineRule="auto"/>
        <w:ind w:left="0" w:firstLine="480"/>
        <w:jc w:val="left"/>
        <w:rPr>
          <w:color w:val="auto"/>
          <w:sz w:val="24"/>
          <w:szCs w:val="24"/>
        </w:rPr>
      </w:pPr>
      <w:r>
        <w:rPr>
          <w:color w:val="auto"/>
          <w:sz w:val="24"/>
          <w:szCs w:val="24"/>
        </w:rPr>
        <w:t>t</w:t>
      </w:r>
      <w:r>
        <w:rPr>
          <w:color w:val="auto"/>
          <w:sz w:val="24"/>
          <w:szCs w:val="24"/>
        </w:rPr>
        <w:tab/>
      </w:r>
      <w:r>
        <w:rPr>
          <w:color w:val="auto"/>
          <w:sz w:val="24"/>
          <w:szCs w:val="24"/>
        </w:rPr>
        <w:t>：时间（秒）；</w:t>
      </w:r>
    </w:p>
    <w:p w14:paraId="5FA01F79">
      <w:pPr>
        <w:pStyle w:val="234"/>
        <w:tabs>
          <w:tab w:val="left" w:pos="-1440"/>
          <w:tab w:val="left" w:pos="-720"/>
          <w:tab w:val="left" w:pos="0"/>
          <w:tab w:val="left" w:pos="288"/>
          <w:tab w:val="left" w:pos="504"/>
          <w:tab w:val="left" w:pos="720"/>
          <w:tab w:val="left" w:pos="1188"/>
          <w:tab w:val="left" w:pos="1296"/>
          <w:tab w:val="left" w:pos="1512"/>
          <w:tab w:val="left" w:pos="2145"/>
          <w:tab w:val="left" w:pos="2780"/>
          <w:tab w:val="left" w:pos="3600"/>
          <w:tab w:val="left" w:pos="4320"/>
          <w:tab w:val="left" w:pos="5040"/>
          <w:tab w:val="left" w:pos="5760"/>
          <w:tab w:val="left" w:pos="6480"/>
          <w:tab w:val="left" w:pos="7200"/>
          <w:tab w:val="left" w:pos="7920"/>
          <w:tab w:val="left" w:pos="8640"/>
        </w:tabs>
        <w:spacing w:line="360" w:lineRule="auto"/>
        <w:ind w:left="0" w:firstLine="480"/>
        <w:jc w:val="left"/>
        <w:rPr>
          <w:color w:val="auto"/>
          <w:sz w:val="24"/>
          <w:szCs w:val="24"/>
        </w:rPr>
      </w:pPr>
      <w:r>
        <w:rPr>
          <w:color w:val="auto"/>
          <w:sz w:val="24"/>
          <w:szCs w:val="24"/>
        </w:rPr>
        <w:t>V</w:t>
      </w:r>
      <w:r>
        <w:rPr>
          <w:color w:val="auto"/>
          <w:sz w:val="24"/>
          <w:szCs w:val="24"/>
          <w:vertAlign w:val="subscript"/>
        </w:rPr>
        <w:t>o</w:t>
      </w:r>
      <w:r>
        <w:rPr>
          <w:color w:val="auto"/>
          <w:sz w:val="24"/>
          <w:szCs w:val="24"/>
        </w:rPr>
        <w:t>：溢油体积（m</w:t>
      </w:r>
      <w:r>
        <w:rPr>
          <w:color w:val="auto"/>
          <w:sz w:val="24"/>
          <w:szCs w:val="24"/>
          <w:vertAlign w:val="superscript"/>
        </w:rPr>
        <w:t>3</w:t>
      </w:r>
      <w:r>
        <w:rPr>
          <w:color w:val="auto"/>
          <w:sz w:val="24"/>
          <w:szCs w:val="24"/>
        </w:rPr>
        <w:t>）。</w:t>
      </w:r>
    </w:p>
    <w:p w14:paraId="1CE4435F">
      <w:pPr>
        <w:autoSpaceDE w:val="0"/>
        <w:autoSpaceDN w:val="0"/>
        <w:adjustRightInd w:val="0"/>
        <w:ind w:firstLine="482"/>
        <w:jc w:val="left"/>
        <w:rPr>
          <w:b/>
          <w:color w:val="auto"/>
        </w:rPr>
      </w:pPr>
      <w:r>
        <w:rPr>
          <w:b/>
          <w:color w:val="auto"/>
        </w:rPr>
        <w:t>（4）乳化过程</w:t>
      </w:r>
    </w:p>
    <w:p w14:paraId="7BF941E4">
      <w:pPr>
        <w:autoSpaceDE w:val="0"/>
        <w:autoSpaceDN w:val="0"/>
        <w:adjustRightInd w:val="0"/>
        <w:ind w:firstLine="480"/>
        <w:jc w:val="left"/>
        <w:rPr>
          <w:color w:val="auto"/>
          <w:kern w:val="0"/>
        </w:rPr>
      </w:pPr>
      <w:r>
        <w:rPr>
          <w:color w:val="auto"/>
          <w:kern w:val="0"/>
        </w:rPr>
        <w:t>乳化采用Mackay给出的表达式：</w:t>
      </w:r>
    </w:p>
    <w:p w14:paraId="2461B261">
      <w:pPr>
        <w:autoSpaceDE w:val="0"/>
        <w:autoSpaceDN w:val="0"/>
        <w:adjustRightInd w:val="0"/>
        <w:ind w:firstLine="480"/>
        <w:jc w:val="left"/>
        <w:rPr>
          <w:color w:val="auto"/>
          <w:kern w:val="0"/>
        </w:rPr>
      </w:pPr>
      <m:oMathPara>
        <m:oMath>
          <m:f>
            <m:fPr>
              <m:ctrlPr>
                <w:rPr>
                  <w:rFonts w:ascii="Cambria Math" w:hAnsi="Cambria Math"/>
                  <w:color w:val="auto"/>
                  <w:kern w:val="0"/>
                </w:rPr>
              </m:ctrlPr>
            </m:fPr>
            <m:num>
              <m:r>
                <m:rPr>
                  <m:sty m:val="p"/>
                </m:rPr>
                <w:rPr>
                  <w:rFonts w:ascii="Cambria Math" w:hAnsi="Cambria Math"/>
                  <w:color w:val="auto"/>
                  <w:kern w:val="0"/>
                </w:rPr>
                <m:t>dF</m:t>
              </m:r>
              <m:ctrlPr>
                <w:rPr>
                  <w:rFonts w:ascii="Cambria Math" w:hAnsi="Cambria Math"/>
                  <w:color w:val="auto"/>
                  <w:kern w:val="0"/>
                </w:rPr>
              </m:ctrlPr>
            </m:num>
            <m:den>
              <m:r>
                <m:rPr>
                  <m:sty m:val="p"/>
                </m:rPr>
                <w:rPr>
                  <w:rFonts w:ascii="Cambria Math" w:hAnsi="Cambria Math"/>
                  <w:color w:val="auto"/>
                  <w:kern w:val="0"/>
                </w:rPr>
                <m:t>dt</m:t>
              </m:r>
              <m:ctrlPr>
                <w:rPr>
                  <w:rFonts w:ascii="Cambria Math" w:hAnsi="Cambria Math"/>
                  <w:color w:val="auto"/>
                  <w:kern w:val="0"/>
                </w:rPr>
              </m:ctrlPr>
            </m:den>
          </m:f>
          <m:r>
            <m:rPr>
              <m:sty m:val="p"/>
            </m:rPr>
            <w:rPr>
              <w:rFonts w:ascii="Cambria Math" w:hAnsi="Cambria Math"/>
              <w:color w:val="auto"/>
              <w:kern w:val="0"/>
            </w:rPr>
            <m:t>=</m:t>
          </m:r>
          <m:sSub>
            <m:sSubPr>
              <m:ctrlPr>
                <w:rPr>
                  <w:rFonts w:ascii="Cambria Math" w:hAnsi="Cambria Math"/>
                  <w:color w:val="auto"/>
                  <w:kern w:val="0"/>
                </w:rPr>
              </m:ctrlPr>
            </m:sSubPr>
            <m:e>
              <m:r>
                <m:rPr>
                  <m:sty m:val="p"/>
                </m:rPr>
                <w:rPr>
                  <w:rFonts w:ascii="Cambria Math" w:hAnsi="Cambria Math"/>
                  <w:color w:val="auto"/>
                  <w:kern w:val="0"/>
                </w:rPr>
                <m:t>C</m:t>
              </m:r>
              <m:ctrlPr>
                <w:rPr>
                  <w:rFonts w:ascii="Cambria Math" w:hAnsi="Cambria Math"/>
                  <w:color w:val="auto"/>
                  <w:kern w:val="0"/>
                </w:rPr>
              </m:ctrlPr>
            </m:e>
            <m:sub>
              <m:r>
                <m:rPr>
                  <m:sty m:val="p"/>
                </m:rPr>
                <w:rPr>
                  <w:rFonts w:ascii="Cambria Math" w:hAnsi="Cambria Math"/>
                  <w:color w:val="auto"/>
                  <w:kern w:val="0"/>
                </w:rPr>
                <m:t>1</m:t>
              </m:r>
              <m:ctrlPr>
                <w:rPr>
                  <w:rFonts w:ascii="Cambria Math" w:hAnsi="Cambria Math"/>
                  <w:color w:val="auto"/>
                  <w:kern w:val="0"/>
                </w:rPr>
              </m:ctrlPr>
            </m:sub>
          </m:sSub>
          <m:r>
            <m:rPr>
              <m:sty m:val="p"/>
            </m:rPr>
            <w:rPr>
              <w:rFonts w:ascii="Cambria Math" w:hAnsi="Cambria Math"/>
              <w:color w:val="auto"/>
              <w:kern w:val="0"/>
            </w:rPr>
            <m:t>W</m:t>
          </m:r>
          <m:d>
            <m:dPr>
              <m:ctrlPr>
                <w:rPr>
                  <w:rFonts w:ascii="Cambria Math" w:hAnsi="Cambria Math"/>
                  <w:color w:val="auto"/>
                  <w:kern w:val="0"/>
                </w:rPr>
              </m:ctrlPr>
            </m:dPr>
            <m:e>
              <m:r>
                <m:rPr>
                  <m:sty m:val="p"/>
                </m:rPr>
                <w:rPr>
                  <w:rFonts w:ascii="Cambria Math" w:hAnsi="Cambria Math"/>
                  <w:color w:val="auto"/>
                  <w:kern w:val="0"/>
                </w:rPr>
                <m:t>1−</m:t>
              </m:r>
              <m:sSub>
                <m:sSubPr>
                  <m:ctrlPr>
                    <w:rPr>
                      <w:rFonts w:ascii="Cambria Math" w:hAnsi="Cambria Math"/>
                      <w:color w:val="auto"/>
                      <w:kern w:val="0"/>
                    </w:rPr>
                  </m:ctrlPr>
                </m:sSubPr>
                <m:e>
                  <m:r>
                    <m:rPr>
                      <m:sty m:val="p"/>
                    </m:rPr>
                    <w:rPr>
                      <w:rFonts w:ascii="Cambria Math" w:hAnsi="Cambria Math"/>
                      <w:color w:val="auto"/>
                      <w:kern w:val="0"/>
                    </w:rPr>
                    <m:t>C</m:t>
                  </m:r>
                  <m:ctrlPr>
                    <w:rPr>
                      <w:rFonts w:ascii="Cambria Math" w:hAnsi="Cambria Math"/>
                      <w:color w:val="auto"/>
                      <w:kern w:val="0"/>
                    </w:rPr>
                  </m:ctrlPr>
                </m:e>
                <m:sub>
                  <m:r>
                    <m:rPr>
                      <m:sty m:val="p"/>
                    </m:rPr>
                    <w:rPr>
                      <w:rFonts w:ascii="Cambria Math" w:hAnsi="Cambria Math"/>
                      <w:color w:val="auto"/>
                      <w:kern w:val="0"/>
                    </w:rPr>
                    <m:t>2</m:t>
                  </m:r>
                  <m:ctrlPr>
                    <w:rPr>
                      <w:rFonts w:ascii="Cambria Math" w:hAnsi="Cambria Math"/>
                      <w:color w:val="auto"/>
                      <w:kern w:val="0"/>
                    </w:rPr>
                  </m:ctrlPr>
                </m:sub>
              </m:sSub>
              <m:r>
                <m:rPr>
                  <m:sty m:val="p"/>
                </m:rPr>
                <w:rPr>
                  <w:rFonts w:ascii="Cambria Math" w:hAnsi="Cambria Math"/>
                  <w:color w:val="auto"/>
                  <w:kern w:val="0"/>
                </w:rPr>
                <m:t>F</m:t>
              </m:r>
              <m:ctrlPr>
                <w:rPr>
                  <w:rFonts w:ascii="Cambria Math" w:hAnsi="Cambria Math"/>
                  <w:color w:val="auto"/>
                  <w:kern w:val="0"/>
                </w:rPr>
              </m:ctrlPr>
            </m:e>
          </m:d>
          <m:r>
            <m:rPr>
              <m:sty m:val="p"/>
            </m:rPr>
            <w:rPr>
              <w:rFonts w:ascii="Cambria Math" w:hAnsi="Cambria Math"/>
              <w:color w:val="auto"/>
              <w:kern w:val="0"/>
            </w:rPr>
            <m:t>Q(t)</m:t>
          </m:r>
        </m:oMath>
      </m:oMathPara>
    </w:p>
    <w:p w14:paraId="5304F21A">
      <w:pPr>
        <w:ind w:firstLine="480"/>
        <w:rPr>
          <w:color w:val="auto"/>
          <w:kern w:val="0"/>
        </w:rPr>
      </w:pPr>
      <w:r>
        <w:rPr>
          <w:color w:val="auto"/>
          <w:kern w:val="0"/>
        </w:rPr>
        <w:t>式中：W为海面风速，</w:t>
      </w:r>
      <m:oMath>
        <m:r>
          <m:rPr>
            <m:sty m:val="p"/>
          </m:rPr>
          <w:rPr>
            <w:rFonts w:ascii="Cambria Math" w:hAnsi="Cambria Math"/>
            <w:color w:val="auto"/>
            <w:kern w:val="0"/>
          </w:rPr>
          <m:t>Q(t)</m:t>
        </m:r>
      </m:oMath>
      <w:r>
        <w:rPr>
          <w:color w:val="auto"/>
          <w:kern w:val="0"/>
        </w:rPr>
        <w:t>为抵岸油量，</w:t>
      </w:r>
      <m:oMath>
        <m:sSub>
          <m:sSubPr>
            <m:ctrlPr>
              <w:rPr>
                <w:rFonts w:ascii="Cambria Math" w:hAnsi="Cambria Math"/>
                <w:color w:val="auto"/>
                <w:kern w:val="0"/>
              </w:rPr>
            </m:ctrlPr>
          </m:sSubPr>
          <m:e>
            <m:r>
              <m:rPr>
                <m:sty m:val="p"/>
              </m:rPr>
              <w:rPr>
                <w:rFonts w:ascii="Cambria Math" w:hAnsi="Cambria Math"/>
                <w:color w:val="auto"/>
                <w:kern w:val="0"/>
              </w:rPr>
              <m:t>C</m:t>
            </m:r>
            <m:ctrlPr>
              <w:rPr>
                <w:rFonts w:ascii="Cambria Math" w:hAnsi="Cambria Math"/>
                <w:color w:val="auto"/>
                <w:kern w:val="0"/>
              </w:rPr>
            </m:ctrlPr>
          </m:e>
          <m:sub>
            <m:r>
              <m:rPr>
                <m:sty m:val="p"/>
              </m:rPr>
              <w:rPr>
                <w:rFonts w:ascii="Cambria Math" w:hAnsi="Cambria Math"/>
                <w:color w:val="auto"/>
                <w:kern w:val="0"/>
              </w:rPr>
              <m:t>1</m:t>
            </m:r>
            <m:ctrlPr>
              <w:rPr>
                <w:rFonts w:ascii="Cambria Math" w:hAnsi="Cambria Math"/>
                <w:color w:val="auto"/>
                <w:kern w:val="0"/>
              </w:rPr>
            </m:ctrlPr>
          </m:sub>
        </m:sSub>
      </m:oMath>
      <w:r>
        <w:rPr>
          <w:color w:val="auto"/>
          <w:kern w:val="0"/>
        </w:rPr>
        <w:t>为吸收率，一般取2×10</w:t>
      </w:r>
      <w:r>
        <w:rPr>
          <w:color w:val="auto"/>
          <w:kern w:val="0"/>
          <w:vertAlign w:val="superscript"/>
        </w:rPr>
        <w:t>-6</w:t>
      </w:r>
      <w:r>
        <w:rPr>
          <w:color w:val="auto"/>
          <w:kern w:val="0"/>
        </w:rPr>
        <w:t>；</w:t>
      </w:r>
      <m:oMath>
        <m:sSub>
          <m:sSubPr>
            <m:ctrlPr>
              <w:rPr>
                <w:rFonts w:ascii="Cambria Math" w:hAnsi="Cambria Math"/>
                <w:color w:val="auto"/>
                <w:kern w:val="0"/>
              </w:rPr>
            </m:ctrlPr>
          </m:sSubPr>
          <m:e>
            <m:r>
              <m:rPr>
                <m:sty m:val="p"/>
              </m:rPr>
              <w:rPr>
                <w:rFonts w:ascii="Cambria Math" w:hAnsi="Cambria Math"/>
                <w:color w:val="auto"/>
                <w:kern w:val="0"/>
              </w:rPr>
              <m:t>C</m:t>
            </m:r>
            <m:ctrlPr>
              <w:rPr>
                <w:rFonts w:ascii="Cambria Math" w:hAnsi="Cambria Math"/>
                <w:color w:val="auto"/>
                <w:kern w:val="0"/>
              </w:rPr>
            </m:ctrlPr>
          </m:e>
          <m:sub>
            <m:r>
              <m:rPr>
                <m:sty m:val="p"/>
              </m:rPr>
              <w:rPr>
                <w:rFonts w:ascii="Cambria Math" w:hAnsi="Cambria Math"/>
                <w:color w:val="auto"/>
                <w:kern w:val="0"/>
              </w:rPr>
              <m:t>2</m:t>
            </m:r>
            <m:ctrlPr>
              <w:rPr>
                <w:rFonts w:ascii="Cambria Math" w:hAnsi="Cambria Math"/>
                <w:color w:val="auto"/>
                <w:kern w:val="0"/>
              </w:rPr>
            </m:ctrlPr>
          </m:sub>
        </m:sSub>
      </m:oMath>
      <w:r>
        <w:rPr>
          <w:color w:val="auto"/>
          <w:kern w:val="0"/>
        </w:rPr>
        <w:t>为包水率，一般取1.33。</w:t>
      </w:r>
    </w:p>
    <w:p w14:paraId="55A0604E">
      <w:pPr>
        <w:pStyle w:val="4"/>
        <w:rPr>
          <w:color w:val="auto"/>
        </w:rPr>
      </w:pPr>
      <w:r>
        <w:rPr>
          <w:rFonts w:hint="eastAsia"/>
          <w:color w:val="auto"/>
        </w:rPr>
        <w:t>风险预测参数</w:t>
      </w:r>
    </w:p>
    <w:p w14:paraId="04BAD435">
      <w:pPr>
        <w:ind w:firstLine="480"/>
        <w:rPr>
          <w:color w:val="auto"/>
          <w:kern w:val="0"/>
        </w:rPr>
      </w:pPr>
      <w:r>
        <w:rPr>
          <w:rFonts w:hint="eastAsia"/>
          <w:color w:val="auto"/>
          <w:kern w:val="0"/>
        </w:rPr>
        <w:t>（1）溢油</w:t>
      </w:r>
      <w:r>
        <w:rPr>
          <w:color w:val="auto"/>
          <w:kern w:val="0"/>
        </w:rPr>
        <w:t>预测点</w:t>
      </w:r>
    </w:p>
    <w:p w14:paraId="54826864">
      <w:pPr>
        <w:ind w:firstLine="480"/>
        <w:rPr>
          <w:color w:val="auto"/>
          <w:kern w:val="0"/>
        </w:rPr>
      </w:pPr>
      <w:r>
        <w:rPr>
          <w:rFonts w:hint="eastAsia"/>
          <w:color w:val="auto"/>
          <w:kern w:val="0"/>
        </w:rPr>
        <w:t>假设本次溢油发生在钦州港航道与本项目回旋水域附近（O1），溢油泄漏点位置如图</w:t>
      </w:r>
      <w:r>
        <w:rPr>
          <w:color w:val="auto"/>
          <w:kern w:val="0"/>
        </w:rPr>
        <w:t>5.6</w:t>
      </w:r>
      <w:r>
        <w:rPr>
          <w:rFonts w:hint="eastAsia"/>
          <w:color w:val="auto"/>
          <w:kern w:val="0"/>
        </w:rPr>
        <w:t>-1所示。</w:t>
      </w:r>
    </w:p>
    <w:p w14:paraId="29EBAFEE">
      <w:pPr>
        <w:ind w:firstLine="0" w:firstLineChars="0"/>
        <w:jc w:val="center"/>
        <w:rPr>
          <w:color w:val="auto"/>
          <w:kern w:val="0"/>
        </w:rPr>
      </w:pPr>
      <w:r>
        <w:rPr>
          <w:color w:val="auto"/>
        </w:rPr>
        <w:drawing>
          <wp:inline distT="0" distB="0" distL="0" distR="0">
            <wp:extent cx="4623435" cy="4196080"/>
            <wp:effectExtent l="0" t="0" r="5715" b="0"/>
            <wp:docPr id="2715" name="图片 2715" descr="F:\My_projects\Dongyou_GX2026\Oil_stations\Oil_station_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 name="图片 2715" descr="F:\My_projects\Dongyou_GX2026\Oil_stations\Oil_station_O1.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a:xfrm>
                      <a:off x="0" y="0"/>
                      <a:ext cx="4638168" cy="4209743"/>
                    </a:xfrm>
                    <a:prstGeom prst="rect">
                      <a:avLst/>
                    </a:prstGeom>
                    <a:noFill/>
                    <a:ln>
                      <a:noFill/>
                    </a:ln>
                  </pic:spPr>
                </pic:pic>
              </a:graphicData>
            </a:graphic>
          </wp:inline>
        </w:drawing>
      </w:r>
    </w:p>
    <w:p w14:paraId="075BF6DE">
      <w:pPr>
        <w:pStyle w:val="14"/>
        <w:rPr>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13</w:t>
      </w:r>
      <w:r>
        <w:rPr>
          <w:color w:val="auto"/>
        </w:rPr>
        <w:fldChar w:fldCharType="end"/>
      </w:r>
      <w:r>
        <w:rPr>
          <w:rFonts w:hint="eastAsia"/>
          <w:color w:val="auto"/>
        </w:rPr>
        <w:t>溢油泄漏点位置（O1）示意图</w:t>
      </w:r>
    </w:p>
    <w:p w14:paraId="7C302FFB">
      <w:pPr>
        <w:ind w:firstLine="482"/>
        <w:rPr>
          <w:b/>
          <w:color w:val="auto"/>
          <w:kern w:val="0"/>
        </w:rPr>
      </w:pPr>
      <w:r>
        <w:rPr>
          <w:rFonts w:hint="eastAsia"/>
          <w:b/>
          <w:color w:val="auto"/>
          <w:kern w:val="0"/>
        </w:rPr>
        <w:t>（2）工况</w:t>
      </w:r>
    </w:p>
    <w:p w14:paraId="596C8253">
      <w:pPr>
        <w:ind w:firstLine="480"/>
        <w:rPr>
          <w:color w:val="auto"/>
          <w:kern w:val="0"/>
        </w:rPr>
      </w:pPr>
      <w:r>
        <w:rPr>
          <w:rFonts w:hint="eastAsia"/>
          <w:color w:val="auto"/>
          <w:kern w:val="0"/>
        </w:rPr>
        <w:t>对于溢油而言，风是一种重要的驱动力，根据《水上</w:t>
      </w:r>
      <w:r>
        <w:rPr>
          <w:color w:val="auto"/>
          <w:kern w:val="0"/>
        </w:rPr>
        <w:t>溢油环境</w:t>
      </w:r>
      <w:r>
        <w:rPr>
          <w:rFonts w:hint="eastAsia"/>
          <w:color w:val="auto"/>
          <w:kern w:val="0"/>
        </w:rPr>
        <w:t>风险</w:t>
      </w:r>
      <w:r>
        <w:rPr>
          <w:color w:val="auto"/>
          <w:kern w:val="0"/>
        </w:rPr>
        <w:t>评估技术导则</w:t>
      </w:r>
      <w:r>
        <w:rPr>
          <w:rFonts w:hint="eastAsia"/>
          <w:color w:val="auto"/>
          <w:kern w:val="0"/>
        </w:rPr>
        <w:t>》（JT/T1143-2017）的</w:t>
      </w:r>
      <w:r>
        <w:rPr>
          <w:color w:val="auto"/>
          <w:kern w:val="0"/>
        </w:rPr>
        <w:t>典型水上溢油事故情形模拟参数要求，</w:t>
      </w:r>
      <w:r>
        <w:rPr>
          <w:rFonts w:hint="eastAsia"/>
          <w:color w:val="auto"/>
          <w:kern w:val="0"/>
        </w:rPr>
        <w:t>本次计算选取项目附近海域代表性的冬季主导风向、夏季主导风向和不利风（风向和风速），水动力过程分别考虑溢油事故分别发生在涨潮和落潮期间，根据不同的风况和涨落潮流条件组合构成6种典型风险条件，具体见表1.1-2。本次预测按一级环境风险评价等级进行预测，即预测溢油发生72小时对海洋环境的影响。</w:t>
      </w:r>
    </w:p>
    <w:p w14:paraId="200009D0">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rFonts w:hint="eastAsia"/>
          <w:color w:val="auto"/>
        </w:rPr>
        <w:t>溢油</w:t>
      </w:r>
      <w:r>
        <w:rPr>
          <w:color w:val="auto"/>
        </w:rPr>
        <w:t>事故</w:t>
      </w:r>
      <w:r>
        <w:rPr>
          <w:rFonts w:hint="eastAsia"/>
          <w:color w:val="auto"/>
        </w:rPr>
        <w:t>计算工况</w:t>
      </w:r>
    </w:p>
    <w:tbl>
      <w:tblPr>
        <w:tblStyle w:val="43"/>
        <w:tblW w:w="857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28" w:type="dxa"/>
          <w:bottom w:w="0" w:type="dxa"/>
          <w:right w:w="28" w:type="dxa"/>
        </w:tblCellMar>
      </w:tblPr>
      <w:tblGrid>
        <w:gridCol w:w="694"/>
        <w:gridCol w:w="1559"/>
        <w:gridCol w:w="2268"/>
        <w:gridCol w:w="1560"/>
        <w:gridCol w:w="1546"/>
        <w:gridCol w:w="949"/>
      </w:tblGrid>
      <w:tr w14:paraId="31C6AE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jc w:val="center"/>
        </w:trPr>
        <w:tc>
          <w:tcPr>
            <w:tcW w:w="694" w:type="dxa"/>
          </w:tcPr>
          <w:p w14:paraId="0F92B166">
            <w:pPr>
              <w:pStyle w:val="91"/>
              <w:keepNext w:val="0"/>
              <w:keepLines w:val="0"/>
              <w:suppressLineNumbers w:val="0"/>
              <w:spacing w:before="0" w:beforeAutospacing="0" w:after="0" w:afterAutospacing="0"/>
              <w:ind w:left="0" w:right="0"/>
              <w:rPr>
                <w:rFonts w:hint="default"/>
                <w:b/>
                <w:color w:val="auto"/>
              </w:rPr>
            </w:pPr>
            <w:r>
              <w:rPr>
                <w:rFonts w:hint="default"/>
                <w:b/>
                <w:color w:val="auto"/>
              </w:rPr>
              <w:t>工况</w:t>
            </w:r>
          </w:p>
        </w:tc>
        <w:tc>
          <w:tcPr>
            <w:tcW w:w="1559" w:type="dxa"/>
            <w:vAlign w:val="center"/>
          </w:tcPr>
          <w:p w14:paraId="09AC4590">
            <w:pPr>
              <w:pStyle w:val="91"/>
              <w:keepNext w:val="0"/>
              <w:keepLines w:val="0"/>
              <w:suppressLineNumbers w:val="0"/>
              <w:spacing w:before="0" w:beforeAutospacing="0" w:after="0" w:afterAutospacing="0"/>
              <w:ind w:left="0" w:right="0"/>
              <w:rPr>
                <w:rFonts w:hint="default"/>
                <w:b/>
                <w:color w:val="auto"/>
              </w:rPr>
            </w:pPr>
            <w:r>
              <w:rPr>
                <w:rFonts w:hint="default"/>
                <w:b/>
                <w:color w:val="auto"/>
              </w:rPr>
              <w:t>溢油位置</w:t>
            </w:r>
          </w:p>
        </w:tc>
        <w:tc>
          <w:tcPr>
            <w:tcW w:w="2268" w:type="dxa"/>
            <w:vAlign w:val="center"/>
          </w:tcPr>
          <w:p w14:paraId="5047C473">
            <w:pPr>
              <w:pStyle w:val="91"/>
              <w:keepNext w:val="0"/>
              <w:keepLines w:val="0"/>
              <w:suppressLineNumbers w:val="0"/>
              <w:spacing w:before="0" w:beforeAutospacing="0" w:after="0" w:afterAutospacing="0"/>
              <w:ind w:left="0" w:right="0"/>
              <w:rPr>
                <w:rFonts w:hint="default"/>
                <w:b/>
                <w:color w:val="auto"/>
              </w:rPr>
            </w:pPr>
            <w:r>
              <w:rPr>
                <w:rFonts w:hint="default"/>
                <w:b/>
                <w:color w:val="auto"/>
              </w:rPr>
              <w:t>泄露物质</w:t>
            </w:r>
            <w:r>
              <w:rPr>
                <w:rFonts w:hint="eastAsia"/>
                <w:b/>
                <w:color w:val="auto"/>
              </w:rPr>
              <w:t>和</w:t>
            </w:r>
            <w:r>
              <w:rPr>
                <w:rFonts w:hint="default"/>
                <w:b/>
                <w:color w:val="auto"/>
              </w:rPr>
              <w:t>泄漏量（t）</w:t>
            </w:r>
          </w:p>
        </w:tc>
        <w:tc>
          <w:tcPr>
            <w:tcW w:w="1560" w:type="dxa"/>
            <w:vAlign w:val="center"/>
          </w:tcPr>
          <w:p w14:paraId="6C485082">
            <w:pPr>
              <w:pStyle w:val="91"/>
              <w:keepNext w:val="0"/>
              <w:keepLines w:val="0"/>
              <w:suppressLineNumbers w:val="0"/>
              <w:spacing w:before="0" w:beforeAutospacing="0" w:after="0" w:afterAutospacing="0"/>
              <w:ind w:left="0" w:right="0"/>
              <w:rPr>
                <w:rFonts w:hint="default"/>
                <w:b/>
                <w:color w:val="auto"/>
              </w:rPr>
            </w:pPr>
            <w:r>
              <w:rPr>
                <w:rFonts w:hint="default"/>
                <w:b/>
                <w:color w:val="auto"/>
              </w:rPr>
              <w:t>典型风向</w:t>
            </w:r>
          </w:p>
        </w:tc>
        <w:tc>
          <w:tcPr>
            <w:tcW w:w="1546" w:type="dxa"/>
            <w:vAlign w:val="center"/>
          </w:tcPr>
          <w:p w14:paraId="2D45782C">
            <w:pPr>
              <w:pStyle w:val="91"/>
              <w:keepNext w:val="0"/>
              <w:keepLines w:val="0"/>
              <w:suppressLineNumbers w:val="0"/>
              <w:spacing w:before="0" w:beforeAutospacing="0" w:after="0" w:afterAutospacing="0"/>
              <w:ind w:left="0" w:right="0"/>
              <w:rPr>
                <w:rFonts w:hint="default"/>
                <w:b/>
                <w:color w:val="auto"/>
              </w:rPr>
            </w:pPr>
            <w:r>
              <w:rPr>
                <w:rFonts w:hint="default"/>
                <w:b/>
                <w:color w:val="auto"/>
              </w:rPr>
              <w:t>代表风速m/s</w:t>
            </w:r>
          </w:p>
        </w:tc>
        <w:tc>
          <w:tcPr>
            <w:tcW w:w="949" w:type="dxa"/>
            <w:vAlign w:val="center"/>
          </w:tcPr>
          <w:p w14:paraId="5D200E05">
            <w:pPr>
              <w:pStyle w:val="91"/>
              <w:keepNext w:val="0"/>
              <w:keepLines w:val="0"/>
              <w:suppressLineNumbers w:val="0"/>
              <w:spacing w:before="0" w:beforeAutospacing="0" w:after="0" w:afterAutospacing="0"/>
              <w:ind w:left="0" w:right="0"/>
              <w:rPr>
                <w:rFonts w:hint="default"/>
                <w:b/>
                <w:color w:val="auto"/>
              </w:rPr>
            </w:pPr>
            <w:r>
              <w:rPr>
                <w:rFonts w:hint="default"/>
                <w:b/>
                <w:color w:val="auto"/>
              </w:rPr>
              <w:t>涨落潮</w:t>
            </w:r>
          </w:p>
        </w:tc>
      </w:tr>
      <w:tr w14:paraId="49FE235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jc w:val="center"/>
        </w:trPr>
        <w:tc>
          <w:tcPr>
            <w:tcW w:w="694" w:type="dxa"/>
            <w:vAlign w:val="center"/>
          </w:tcPr>
          <w:p w14:paraId="2E11346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w:t>
            </w:r>
          </w:p>
        </w:tc>
        <w:tc>
          <w:tcPr>
            <w:tcW w:w="1559" w:type="dxa"/>
            <w:vMerge w:val="restart"/>
            <w:vAlign w:val="center"/>
          </w:tcPr>
          <w:p w14:paraId="6514D013">
            <w:pPr>
              <w:pStyle w:val="91"/>
              <w:keepNext w:val="0"/>
              <w:keepLines w:val="0"/>
              <w:suppressLineNumbers w:val="0"/>
              <w:spacing w:before="0" w:beforeAutospacing="0" w:after="0" w:afterAutospacing="0"/>
              <w:ind w:left="0" w:right="0"/>
              <w:rPr>
                <w:rFonts w:hint="default"/>
                <w:color w:val="auto"/>
              </w:rPr>
            </w:pPr>
            <w:r>
              <w:rPr>
                <w:rFonts w:hint="eastAsia"/>
                <w:color w:val="auto"/>
              </w:rPr>
              <w:t>本项目回旋水域与钦州港航道交汇处附近（O1）</w:t>
            </w:r>
          </w:p>
        </w:tc>
        <w:tc>
          <w:tcPr>
            <w:tcW w:w="2268" w:type="dxa"/>
            <w:vMerge w:val="restart"/>
            <w:vAlign w:val="center"/>
          </w:tcPr>
          <w:p w14:paraId="20BA0A02">
            <w:pPr>
              <w:pStyle w:val="91"/>
              <w:keepNext w:val="0"/>
              <w:keepLines w:val="0"/>
              <w:suppressLineNumbers w:val="0"/>
              <w:spacing w:before="0" w:beforeAutospacing="0" w:after="0" w:afterAutospacing="0"/>
              <w:ind w:left="0" w:right="0"/>
              <w:rPr>
                <w:rFonts w:hint="default"/>
                <w:color w:val="auto"/>
              </w:rPr>
            </w:pPr>
            <w:r>
              <w:rPr>
                <w:rFonts w:hint="eastAsia"/>
                <w:color w:val="auto"/>
              </w:rPr>
              <w:t>石脑油</w:t>
            </w:r>
            <w:r>
              <w:rPr>
                <w:rFonts w:hint="default"/>
                <w:color w:val="auto"/>
              </w:rPr>
              <w:t>3535.1t</w:t>
            </w:r>
            <w:r>
              <w:rPr>
                <w:rFonts w:hint="eastAsia"/>
                <w:color w:val="auto"/>
              </w:rPr>
              <w:t>；</w:t>
            </w:r>
          </w:p>
          <w:p w14:paraId="7285ADA7">
            <w:pPr>
              <w:pStyle w:val="91"/>
              <w:keepNext w:val="0"/>
              <w:keepLines w:val="0"/>
              <w:suppressLineNumbers w:val="0"/>
              <w:spacing w:before="0" w:beforeAutospacing="0" w:after="0" w:afterAutospacing="0"/>
              <w:ind w:left="0" w:right="0"/>
              <w:rPr>
                <w:rFonts w:hint="default"/>
                <w:color w:val="auto"/>
              </w:rPr>
            </w:pPr>
            <w:r>
              <w:rPr>
                <w:rFonts w:hint="eastAsia"/>
                <w:color w:val="auto"/>
              </w:rPr>
              <w:t>渣油4982</w:t>
            </w:r>
            <w:r>
              <w:rPr>
                <w:rFonts w:hint="default"/>
                <w:color w:val="auto"/>
              </w:rPr>
              <w:t>t</w:t>
            </w:r>
            <w:r>
              <w:rPr>
                <w:rFonts w:hint="eastAsia"/>
                <w:color w:val="auto"/>
              </w:rPr>
              <w:t>；</w:t>
            </w:r>
          </w:p>
          <w:p w14:paraId="3204A41B">
            <w:pPr>
              <w:pStyle w:val="91"/>
              <w:keepNext w:val="0"/>
              <w:keepLines w:val="0"/>
              <w:suppressLineNumbers w:val="0"/>
              <w:spacing w:before="0" w:beforeAutospacing="0" w:after="0" w:afterAutospacing="0"/>
              <w:ind w:left="0" w:right="0"/>
              <w:rPr>
                <w:rFonts w:hint="default"/>
                <w:color w:val="auto"/>
              </w:rPr>
            </w:pPr>
            <w:r>
              <w:rPr>
                <w:rFonts w:hint="eastAsia"/>
                <w:color w:val="auto"/>
              </w:rPr>
              <w:t>甲基叔丁基醚（MTBE）</w:t>
            </w:r>
            <w:r>
              <w:rPr>
                <w:rFonts w:hint="default"/>
                <w:color w:val="auto"/>
              </w:rPr>
              <w:t>3922t</w:t>
            </w:r>
          </w:p>
        </w:tc>
        <w:tc>
          <w:tcPr>
            <w:tcW w:w="1560" w:type="dxa"/>
            <w:vMerge w:val="restart"/>
            <w:vAlign w:val="center"/>
          </w:tcPr>
          <w:p w14:paraId="7718767F">
            <w:pPr>
              <w:pStyle w:val="91"/>
              <w:keepNext w:val="0"/>
              <w:keepLines w:val="0"/>
              <w:suppressLineNumbers w:val="0"/>
              <w:spacing w:before="0" w:beforeAutospacing="0" w:after="0" w:afterAutospacing="0"/>
              <w:ind w:left="0" w:right="0"/>
              <w:rPr>
                <w:rFonts w:hint="default"/>
                <w:color w:val="auto"/>
              </w:rPr>
            </w:pPr>
            <w:r>
              <w:rPr>
                <w:rFonts w:hint="default"/>
                <w:color w:val="auto"/>
              </w:rPr>
              <w:t>N</w:t>
            </w:r>
            <w:r>
              <w:rPr>
                <w:rFonts w:hint="eastAsia"/>
                <w:color w:val="auto"/>
              </w:rPr>
              <w:t>风，冬</w:t>
            </w:r>
            <w:r>
              <w:rPr>
                <w:rFonts w:hint="default"/>
                <w:color w:val="auto"/>
              </w:rPr>
              <w:t>季主导风</w:t>
            </w:r>
          </w:p>
        </w:tc>
        <w:tc>
          <w:tcPr>
            <w:tcW w:w="1546" w:type="dxa"/>
            <w:vMerge w:val="restart"/>
            <w:vAlign w:val="center"/>
          </w:tcPr>
          <w:p w14:paraId="0086EC6A">
            <w:pPr>
              <w:pStyle w:val="91"/>
              <w:keepNext w:val="0"/>
              <w:keepLines w:val="0"/>
              <w:suppressLineNumbers w:val="0"/>
              <w:spacing w:before="0" w:beforeAutospacing="0" w:after="0" w:afterAutospacing="0"/>
              <w:ind w:left="0" w:right="0"/>
              <w:rPr>
                <w:rFonts w:hint="default"/>
                <w:color w:val="auto"/>
              </w:rPr>
            </w:pPr>
            <w:r>
              <w:rPr>
                <w:rFonts w:hint="default"/>
                <w:color w:val="auto"/>
              </w:rPr>
              <w:t>6</w:t>
            </w:r>
            <w:r>
              <w:rPr>
                <w:rFonts w:hint="eastAsia"/>
                <w:color w:val="auto"/>
              </w:rPr>
              <w:t>.7</w:t>
            </w:r>
          </w:p>
        </w:tc>
        <w:tc>
          <w:tcPr>
            <w:tcW w:w="949" w:type="dxa"/>
            <w:vAlign w:val="center"/>
          </w:tcPr>
          <w:p w14:paraId="53283ECD">
            <w:pPr>
              <w:pStyle w:val="91"/>
              <w:keepNext w:val="0"/>
              <w:keepLines w:val="0"/>
              <w:suppressLineNumbers w:val="0"/>
              <w:spacing w:before="0" w:beforeAutospacing="0" w:after="0" w:afterAutospacing="0"/>
              <w:ind w:left="0" w:right="0"/>
              <w:rPr>
                <w:rFonts w:hint="default"/>
                <w:color w:val="auto"/>
              </w:rPr>
            </w:pPr>
            <w:r>
              <w:rPr>
                <w:rFonts w:hint="default"/>
                <w:color w:val="auto"/>
              </w:rPr>
              <w:t>涨潮</w:t>
            </w:r>
          </w:p>
        </w:tc>
      </w:tr>
      <w:tr w14:paraId="58E1DC4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jc w:val="center"/>
        </w:trPr>
        <w:tc>
          <w:tcPr>
            <w:tcW w:w="694" w:type="dxa"/>
            <w:vAlign w:val="center"/>
          </w:tcPr>
          <w:p w14:paraId="359E1F3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w:t>
            </w:r>
          </w:p>
        </w:tc>
        <w:tc>
          <w:tcPr>
            <w:tcW w:w="1559" w:type="dxa"/>
            <w:vMerge w:val="continue"/>
            <w:vAlign w:val="center"/>
          </w:tcPr>
          <w:p w14:paraId="0E1F4DD5">
            <w:pPr>
              <w:pStyle w:val="91"/>
              <w:keepNext w:val="0"/>
              <w:keepLines w:val="0"/>
              <w:suppressLineNumbers w:val="0"/>
              <w:spacing w:before="0" w:beforeAutospacing="0" w:after="0" w:afterAutospacing="0"/>
              <w:ind w:left="0" w:right="0"/>
              <w:rPr>
                <w:rFonts w:hint="default"/>
                <w:color w:val="auto"/>
              </w:rPr>
            </w:pPr>
          </w:p>
        </w:tc>
        <w:tc>
          <w:tcPr>
            <w:tcW w:w="2268" w:type="dxa"/>
            <w:vMerge w:val="continue"/>
            <w:vAlign w:val="center"/>
          </w:tcPr>
          <w:p w14:paraId="3D85F247">
            <w:pPr>
              <w:pStyle w:val="91"/>
              <w:keepNext w:val="0"/>
              <w:keepLines w:val="0"/>
              <w:suppressLineNumbers w:val="0"/>
              <w:spacing w:before="0" w:beforeAutospacing="0" w:after="0" w:afterAutospacing="0"/>
              <w:ind w:left="0" w:right="0"/>
              <w:rPr>
                <w:rFonts w:hint="default"/>
                <w:color w:val="auto"/>
              </w:rPr>
            </w:pPr>
          </w:p>
        </w:tc>
        <w:tc>
          <w:tcPr>
            <w:tcW w:w="1560" w:type="dxa"/>
            <w:vMerge w:val="continue"/>
            <w:vAlign w:val="center"/>
          </w:tcPr>
          <w:p w14:paraId="56AC59C5">
            <w:pPr>
              <w:pStyle w:val="91"/>
              <w:keepNext w:val="0"/>
              <w:keepLines w:val="0"/>
              <w:suppressLineNumbers w:val="0"/>
              <w:spacing w:before="0" w:beforeAutospacing="0" w:after="0" w:afterAutospacing="0"/>
              <w:ind w:left="0" w:right="0"/>
              <w:rPr>
                <w:rFonts w:hint="default"/>
                <w:color w:val="auto"/>
              </w:rPr>
            </w:pPr>
          </w:p>
        </w:tc>
        <w:tc>
          <w:tcPr>
            <w:tcW w:w="1546" w:type="dxa"/>
            <w:vMerge w:val="continue"/>
            <w:vAlign w:val="center"/>
          </w:tcPr>
          <w:p w14:paraId="2CFCBB73">
            <w:pPr>
              <w:pStyle w:val="91"/>
              <w:keepNext w:val="0"/>
              <w:keepLines w:val="0"/>
              <w:suppressLineNumbers w:val="0"/>
              <w:spacing w:before="0" w:beforeAutospacing="0" w:after="0" w:afterAutospacing="0"/>
              <w:ind w:left="0" w:right="0"/>
              <w:rPr>
                <w:rFonts w:hint="default"/>
                <w:color w:val="auto"/>
              </w:rPr>
            </w:pPr>
          </w:p>
        </w:tc>
        <w:tc>
          <w:tcPr>
            <w:tcW w:w="949" w:type="dxa"/>
            <w:vAlign w:val="center"/>
          </w:tcPr>
          <w:p w14:paraId="76AFFF4B">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r>
      <w:tr w14:paraId="6C9FBA2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jc w:val="center"/>
        </w:trPr>
        <w:tc>
          <w:tcPr>
            <w:tcW w:w="694" w:type="dxa"/>
            <w:vAlign w:val="center"/>
          </w:tcPr>
          <w:p w14:paraId="6BCB74C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3</w:t>
            </w:r>
          </w:p>
        </w:tc>
        <w:tc>
          <w:tcPr>
            <w:tcW w:w="1559" w:type="dxa"/>
            <w:vMerge w:val="continue"/>
            <w:vAlign w:val="center"/>
          </w:tcPr>
          <w:p w14:paraId="774B6428">
            <w:pPr>
              <w:pStyle w:val="91"/>
              <w:keepNext w:val="0"/>
              <w:keepLines w:val="0"/>
              <w:suppressLineNumbers w:val="0"/>
              <w:spacing w:before="0" w:beforeAutospacing="0" w:after="0" w:afterAutospacing="0"/>
              <w:ind w:left="0" w:right="0"/>
              <w:rPr>
                <w:rFonts w:hint="default"/>
                <w:color w:val="auto"/>
              </w:rPr>
            </w:pPr>
          </w:p>
        </w:tc>
        <w:tc>
          <w:tcPr>
            <w:tcW w:w="2268" w:type="dxa"/>
            <w:vMerge w:val="continue"/>
            <w:vAlign w:val="center"/>
          </w:tcPr>
          <w:p w14:paraId="320DC4F1">
            <w:pPr>
              <w:pStyle w:val="91"/>
              <w:keepNext w:val="0"/>
              <w:keepLines w:val="0"/>
              <w:suppressLineNumbers w:val="0"/>
              <w:spacing w:before="0" w:beforeAutospacing="0" w:after="0" w:afterAutospacing="0"/>
              <w:ind w:left="0" w:right="0"/>
              <w:rPr>
                <w:rFonts w:hint="default"/>
                <w:color w:val="auto"/>
              </w:rPr>
            </w:pPr>
          </w:p>
        </w:tc>
        <w:tc>
          <w:tcPr>
            <w:tcW w:w="1560" w:type="dxa"/>
            <w:vMerge w:val="restart"/>
            <w:vAlign w:val="center"/>
          </w:tcPr>
          <w:p w14:paraId="55491BBB">
            <w:pPr>
              <w:pStyle w:val="91"/>
              <w:keepNext w:val="0"/>
              <w:keepLines w:val="0"/>
              <w:suppressLineNumbers w:val="0"/>
              <w:spacing w:before="0" w:beforeAutospacing="0" w:after="0" w:afterAutospacing="0"/>
              <w:ind w:left="0" w:right="0"/>
              <w:rPr>
                <w:rFonts w:hint="default"/>
                <w:color w:val="auto"/>
              </w:rPr>
            </w:pPr>
            <w:r>
              <w:rPr>
                <w:rFonts w:hint="eastAsia"/>
                <w:color w:val="auto"/>
              </w:rPr>
              <w:t>S风，夏季主导</w:t>
            </w:r>
            <w:r>
              <w:rPr>
                <w:rFonts w:hint="default"/>
                <w:color w:val="auto"/>
              </w:rPr>
              <w:t>风向</w:t>
            </w:r>
          </w:p>
        </w:tc>
        <w:tc>
          <w:tcPr>
            <w:tcW w:w="1546" w:type="dxa"/>
            <w:vMerge w:val="restart"/>
            <w:vAlign w:val="center"/>
          </w:tcPr>
          <w:p w14:paraId="70B9A807">
            <w:pPr>
              <w:pStyle w:val="91"/>
              <w:keepNext w:val="0"/>
              <w:keepLines w:val="0"/>
              <w:suppressLineNumbers w:val="0"/>
              <w:spacing w:before="0" w:beforeAutospacing="0" w:after="0" w:afterAutospacing="0"/>
              <w:ind w:left="0" w:right="0"/>
              <w:rPr>
                <w:rFonts w:hint="default"/>
                <w:color w:val="auto"/>
              </w:rPr>
            </w:pPr>
            <w:r>
              <w:rPr>
                <w:rFonts w:hint="default"/>
                <w:color w:val="auto"/>
              </w:rPr>
              <w:t>5.</w:t>
            </w:r>
            <w:r>
              <w:rPr>
                <w:rFonts w:hint="eastAsia"/>
                <w:color w:val="auto"/>
              </w:rPr>
              <w:t>1</w:t>
            </w:r>
          </w:p>
        </w:tc>
        <w:tc>
          <w:tcPr>
            <w:tcW w:w="949" w:type="dxa"/>
            <w:vAlign w:val="center"/>
          </w:tcPr>
          <w:p w14:paraId="1D6FFF3E">
            <w:pPr>
              <w:pStyle w:val="91"/>
              <w:keepNext w:val="0"/>
              <w:keepLines w:val="0"/>
              <w:suppressLineNumbers w:val="0"/>
              <w:spacing w:before="0" w:beforeAutospacing="0" w:after="0" w:afterAutospacing="0"/>
              <w:ind w:left="0" w:right="0"/>
              <w:rPr>
                <w:rFonts w:hint="default"/>
                <w:color w:val="auto"/>
              </w:rPr>
            </w:pPr>
            <w:r>
              <w:rPr>
                <w:rFonts w:hint="default"/>
                <w:color w:val="auto"/>
              </w:rPr>
              <w:t>涨潮</w:t>
            </w:r>
          </w:p>
        </w:tc>
      </w:tr>
      <w:tr w14:paraId="575E21C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jc w:val="center"/>
        </w:trPr>
        <w:tc>
          <w:tcPr>
            <w:tcW w:w="694" w:type="dxa"/>
            <w:vAlign w:val="center"/>
          </w:tcPr>
          <w:p w14:paraId="46B6233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4</w:t>
            </w:r>
          </w:p>
        </w:tc>
        <w:tc>
          <w:tcPr>
            <w:tcW w:w="1559" w:type="dxa"/>
            <w:vMerge w:val="continue"/>
            <w:vAlign w:val="center"/>
          </w:tcPr>
          <w:p w14:paraId="5471F149">
            <w:pPr>
              <w:pStyle w:val="91"/>
              <w:keepNext w:val="0"/>
              <w:keepLines w:val="0"/>
              <w:suppressLineNumbers w:val="0"/>
              <w:spacing w:before="0" w:beforeAutospacing="0" w:after="0" w:afterAutospacing="0"/>
              <w:ind w:left="0" w:right="0"/>
              <w:rPr>
                <w:rFonts w:hint="default"/>
                <w:color w:val="auto"/>
              </w:rPr>
            </w:pPr>
          </w:p>
        </w:tc>
        <w:tc>
          <w:tcPr>
            <w:tcW w:w="2268" w:type="dxa"/>
            <w:vMerge w:val="continue"/>
            <w:vAlign w:val="center"/>
          </w:tcPr>
          <w:p w14:paraId="38153F76">
            <w:pPr>
              <w:pStyle w:val="91"/>
              <w:keepNext w:val="0"/>
              <w:keepLines w:val="0"/>
              <w:suppressLineNumbers w:val="0"/>
              <w:spacing w:before="0" w:beforeAutospacing="0" w:after="0" w:afterAutospacing="0"/>
              <w:ind w:left="0" w:right="0"/>
              <w:rPr>
                <w:rFonts w:hint="default"/>
                <w:color w:val="auto"/>
              </w:rPr>
            </w:pPr>
          </w:p>
        </w:tc>
        <w:tc>
          <w:tcPr>
            <w:tcW w:w="1560" w:type="dxa"/>
            <w:vMerge w:val="continue"/>
            <w:vAlign w:val="center"/>
          </w:tcPr>
          <w:p w14:paraId="223072FA">
            <w:pPr>
              <w:pStyle w:val="91"/>
              <w:keepNext w:val="0"/>
              <w:keepLines w:val="0"/>
              <w:suppressLineNumbers w:val="0"/>
              <w:spacing w:before="0" w:beforeAutospacing="0" w:after="0" w:afterAutospacing="0"/>
              <w:ind w:left="0" w:right="0"/>
              <w:rPr>
                <w:rFonts w:hint="default"/>
                <w:color w:val="auto"/>
              </w:rPr>
            </w:pPr>
          </w:p>
        </w:tc>
        <w:tc>
          <w:tcPr>
            <w:tcW w:w="1546" w:type="dxa"/>
            <w:vMerge w:val="continue"/>
            <w:vAlign w:val="center"/>
          </w:tcPr>
          <w:p w14:paraId="37B7A3E2">
            <w:pPr>
              <w:pStyle w:val="91"/>
              <w:keepNext w:val="0"/>
              <w:keepLines w:val="0"/>
              <w:suppressLineNumbers w:val="0"/>
              <w:spacing w:before="0" w:beforeAutospacing="0" w:after="0" w:afterAutospacing="0"/>
              <w:ind w:left="0" w:right="0"/>
              <w:rPr>
                <w:rFonts w:hint="default"/>
                <w:color w:val="auto"/>
              </w:rPr>
            </w:pPr>
          </w:p>
        </w:tc>
        <w:tc>
          <w:tcPr>
            <w:tcW w:w="949" w:type="dxa"/>
            <w:vAlign w:val="center"/>
          </w:tcPr>
          <w:p w14:paraId="1B16DE62">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r>
      <w:tr w14:paraId="25D0720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jc w:val="center"/>
        </w:trPr>
        <w:tc>
          <w:tcPr>
            <w:tcW w:w="694" w:type="dxa"/>
            <w:vAlign w:val="center"/>
          </w:tcPr>
          <w:p w14:paraId="45A0836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w:t>
            </w:r>
          </w:p>
        </w:tc>
        <w:tc>
          <w:tcPr>
            <w:tcW w:w="1559" w:type="dxa"/>
            <w:vMerge w:val="continue"/>
            <w:vAlign w:val="center"/>
          </w:tcPr>
          <w:p w14:paraId="39DF08D3">
            <w:pPr>
              <w:pStyle w:val="91"/>
              <w:keepNext w:val="0"/>
              <w:keepLines w:val="0"/>
              <w:suppressLineNumbers w:val="0"/>
              <w:spacing w:before="0" w:beforeAutospacing="0" w:after="0" w:afterAutospacing="0"/>
              <w:ind w:left="0" w:right="0"/>
              <w:rPr>
                <w:rFonts w:hint="default"/>
                <w:color w:val="auto"/>
              </w:rPr>
            </w:pPr>
          </w:p>
        </w:tc>
        <w:tc>
          <w:tcPr>
            <w:tcW w:w="2268" w:type="dxa"/>
            <w:vMerge w:val="continue"/>
            <w:vAlign w:val="center"/>
          </w:tcPr>
          <w:p w14:paraId="238185F1">
            <w:pPr>
              <w:pStyle w:val="91"/>
              <w:keepNext w:val="0"/>
              <w:keepLines w:val="0"/>
              <w:suppressLineNumbers w:val="0"/>
              <w:spacing w:before="0" w:beforeAutospacing="0" w:after="0" w:afterAutospacing="0"/>
              <w:ind w:left="0" w:right="0"/>
              <w:rPr>
                <w:rFonts w:hint="default"/>
                <w:color w:val="auto"/>
              </w:rPr>
            </w:pPr>
          </w:p>
        </w:tc>
        <w:tc>
          <w:tcPr>
            <w:tcW w:w="1560" w:type="dxa"/>
            <w:vMerge w:val="restart"/>
            <w:vAlign w:val="center"/>
          </w:tcPr>
          <w:p w14:paraId="3AFC2F70">
            <w:pPr>
              <w:pStyle w:val="91"/>
              <w:keepNext w:val="0"/>
              <w:keepLines w:val="0"/>
              <w:suppressLineNumbers w:val="0"/>
              <w:spacing w:before="0" w:beforeAutospacing="0" w:after="0" w:afterAutospacing="0"/>
              <w:ind w:left="0" w:right="0"/>
              <w:rPr>
                <w:rFonts w:hint="default"/>
                <w:color w:val="auto"/>
              </w:rPr>
            </w:pPr>
            <w:r>
              <w:rPr>
                <w:rFonts w:hint="eastAsia"/>
                <w:color w:val="auto"/>
              </w:rPr>
              <w:t>SE风，不利风速、风向</w:t>
            </w:r>
          </w:p>
        </w:tc>
        <w:tc>
          <w:tcPr>
            <w:tcW w:w="1546" w:type="dxa"/>
            <w:vMerge w:val="restart"/>
            <w:vAlign w:val="center"/>
          </w:tcPr>
          <w:p w14:paraId="77B4C110">
            <w:pPr>
              <w:pStyle w:val="91"/>
              <w:keepNext w:val="0"/>
              <w:keepLines w:val="0"/>
              <w:suppressLineNumbers w:val="0"/>
              <w:spacing w:before="0" w:beforeAutospacing="0" w:after="0" w:afterAutospacing="0"/>
              <w:ind w:left="0" w:right="0"/>
              <w:rPr>
                <w:rFonts w:hint="default"/>
                <w:color w:val="auto"/>
              </w:rPr>
            </w:pPr>
            <w:r>
              <w:rPr>
                <w:rFonts w:hint="default"/>
                <w:color w:val="auto"/>
              </w:rPr>
              <w:t>13.8</w:t>
            </w:r>
          </w:p>
        </w:tc>
        <w:tc>
          <w:tcPr>
            <w:tcW w:w="949" w:type="dxa"/>
            <w:vAlign w:val="center"/>
          </w:tcPr>
          <w:p w14:paraId="6C5F79CC">
            <w:pPr>
              <w:pStyle w:val="91"/>
              <w:keepNext w:val="0"/>
              <w:keepLines w:val="0"/>
              <w:suppressLineNumbers w:val="0"/>
              <w:spacing w:before="0" w:beforeAutospacing="0" w:after="0" w:afterAutospacing="0"/>
              <w:ind w:left="0" w:right="0"/>
              <w:rPr>
                <w:rFonts w:hint="default"/>
                <w:color w:val="auto"/>
              </w:rPr>
            </w:pPr>
            <w:r>
              <w:rPr>
                <w:rFonts w:hint="eastAsia"/>
                <w:color w:val="auto"/>
              </w:rPr>
              <w:t>涨潮</w:t>
            </w:r>
          </w:p>
        </w:tc>
      </w:tr>
      <w:tr w14:paraId="272C2A7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jc w:val="center"/>
        </w:trPr>
        <w:tc>
          <w:tcPr>
            <w:tcW w:w="694" w:type="dxa"/>
            <w:vAlign w:val="center"/>
          </w:tcPr>
          <w:p w14:paraId="48B37E8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6</w:t>
            </w:r>
          </w:p>
        </w:tc>
        <w:tc>
          <w:tcPr>
            <w:tcW w:w="1559" w:type="dxa"/>
            <w:vMerge w:val="continue"/>
            <w:vAlign w:val="center"/>
          </w:tcPr>
          <w:p w14:paraId="290A419C">
            <w:pPr>
              <w:pStyle w:val="91"/>
              <w:keepNext w:val="0"/>
              <w:keepLines w:val="0"/>
              <w:suppressLineNumbers w:val="0"/>
              <w:spacing w:before="0" w:beforeAutospacing="0" w:after="0" w:afterAutospacing="0"/>
              <w:ind w:left="0" w:right="0"/>
              <w:rPr>
                <w:rFonts w:hint="default"/>
                <w:color w:val="auto"/>
              </w:rPr>
            </w:pPr>
          </w:p>
        </w:tc>
        <w:tc>
          <w:tcPr>
            <w:tcW w:w="2268" w:type="dxa"/>
            <w:vMerge w:val="continue"/>
            <w:vAlign w:val="center"/>
          </w:tcPr>
          <w:p w14:paraId="20E15A6C">
            <w:pPr>
              <w:pStyle w:val="91"/>
              <w:keepNext w:val="0"/>
              <w:keepLines w:val="0"/>
              <w:suppressLineNumbers w:val="0"/>
              <w:spacing w:before="0" w:beforeAutospacing="0" w:after="0" w:afterAutospacing="0"/>
              <w:ind w:left="0" w:right="0"/>
              <w:rPr>
                <w:rFonts w:hint="default"/>
                <w:color w:val="auto"/>
              </w:rPr>
            </w:pPr>
          </w:p>
        </w:tc>
        <w:tc>
          <w:tcPr>
            <w:tcW w:w="1560" w:type="dxa"/>
            <w:vMerge w:val="continue"/>
            <w:vAlign w:val="center"/>
          </w:tcPr>
          <w:p w14:paraId="00569803">
            <w:pPr>
              <w:pStyle w:val="91"/>
              <w:keepNext w:val="0"/>
              <w:keepLines w:val="0"/>
              <w:suppressLineNumbers w:val="0"/>
              <w:spacing w:before="0" w:beforeAutospacing="0" w:after="0" w:afterAutospacing="0"/>
              <w:ind w:left="0" w:right="0"/>
              <w:rPr>
                <w:rFonts w:hint="default"/>
                <w:color w:val="auto"/>
              </w:rPr>
            </w:pPr>
          </w:p>
        </w:tc>
        <w:tc>
          <w:tcPr>
            <w:tcW w:w="1546" w:type="dxa"/>
            <w:vMerge w:val="continue"/>
            <w:vAlign w:val="center"/>
          </w:tcPr>
          <w:p w14:paraId="1512561A">
            <w:pPr>
              <w:pStyle w:val="91"/>
              <w:keepNext w:val="0"/>
              <w:keepLines w:val="0"/>
              <w:suppressLineNumbers w:val="0"/>
              <w:spacing w:before="0" w:beforeAutospacing="0" w:after="0" w:afterAutospacing="0"/>
              <w:ind w:left="0" w:right="0"/>
              <w:rPr>
                <w:rFonts w:hint="default"/>
                <w:color w:val="auto"/>
              </w:rPr>
            </w:pPr>
          </w:p>
        </w:tc>
        <w:tc>
          <w:tcPr>
            <w:tcW w:w="949" w:type="dxa"/>
            <w:vAlign w:val="center"/>
          </w:tcPr>
          <w:p w14:paraId="7B7DE0F6">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r>
    </w:tbl>
    <w:p w14:paraId="49FDB8E2">
      <w:pPr>
        <w:pStyle w:val="4"/>
        <w:rPr>
          <w:color w:val="auto"/>
        </w:rPr>
      </w:pPr>
      <w:r>
        <w:rPr>
          <w:rFonts w:hint="eastAsia"/>
          <w:color w:val="auto"/>
        </w:rPr>
        <w:t>预测结果</w:t>
      </w:r>
    </w:p>
    <w:p w14:paraId="25AA9F61">
      <w:pPr>
        <w:ind w:firstLine="480"/>
        <w:rPr>
          <w:color w:val="auto"/>
        </w:rPr>
      </w:pPr>
      <w:r>
        <w:rPr>
          <w:rFonts w:hint="eastAsia"/>
          <w:color w:val="auto"/>
        </w:rPr>
        <w:t>溢油风险事故分别考虑不同的风场和潮汐动力条件，模拟不同风险条件下，事故溢油的扩展规律及对项目周边环境敏感保护目标的影响程度。结果表明，溢油事故发生后，油膜的扩展同时受风和潮流的影响。</w:t>
      </w:r>
    </w:p>
    <w:p w14:paraId="216FA4B8">
      <w:pPr>
        <w:pStyle w:val="6"/>
        <w:rPr>
          <w:color w:val="auto"/>
        </w:rPr>
      </w:pPr>
      <w:r>
        <w:rPr>
          <w:rFonts w:hint="eastAsia"/>
          <w:color w:val="auto"/>
        </w:rPr>
        <w:t>石脑油溢油</w:t>
      </w:r>
      <w:r>
        <w:rPr>
          <w:color w:val="auto"/>
        </w:rPr>
        <w:t>风险事故预测结果</w:t>
      </w:r>
    </w:p>
    <w:p w14:paraId="0CDD5A83">
      <w:pPr>
        <w:ind w:firstLine="480"/>
        <w:rPr>
          <w:color w:val="auto"/>
        </w:rPr>
      </w:pPr>
      <w:r>
        <w:rPr>
          <w:rFonts w:hint="eastAsia"/>
          <w:color w:val="auto"/>
        </w:rPr>
        <w:t>工况1：</w:t>
      </w:r>
      <w:r>
        <w:rPr>
          <w:color w:val="auto"/>
        </w:rPr>
        <w:t>涨潮条件下，</w:t>
      </w:r>
      <w:r>
        <w:rPr>
          <w:rFonts w:hint="eastAsia"/>
          <w:color w:val="auto"/>
        </w:rPr>
        <w:t>溢油事故发生后，在冬季主导风向N（6.7m/s）条件下，油膜在涨潮流和N风的共同作用下油膜向西偏南方向扩散。在溢油事故发生5小时40分钟左右，油膜抵达防城港核电站的取水口附近海域。此后部分油膜向西北方向扩散，并于溢油事故发生约8小时10分钟后开始影响红树林3和红树林4；南部的油膜则主要向南偏西方向扩散，并于溢油事故发生约7小时40分后抵达防城港核电排水明渠的东北部沿岸，油膜不断沿排水明渠东北岸向东南方向扩散。在溢油事故发生约12小时10分钟后，油膜开始进入北部湾二长棘鲷长毛对虾国家级种质资源保护区（实验区）。该工况条件下，油膜12小时内的扫海面积约为26.97km</w:t>
      </w:r>
      <w:r>
        <w:rPr>
          <w:rFonts w:hint="eastAsia"/>
          <w:color w:val="auto"/>
          <w:vertAlign w:val="superscript"/>
        </w:rPr>
        <w:t>2</w:t>
      </w:r>
      <w:r>
        <w:rPr>
          <w:rFonts w:hint="eastAsia"/>
          <w:color w:val="auto"/>
        </w:rPr>
        <w:t>，24小时内的扫海面积约为68.66km</w:t>
      </w:r>
      <w:r>
        <w:rPr>
          <w:rFonts w:hint="eastAsia"/>
          <w:color w:val="auto"/>
          <w:vertAlign w:val="superscript"/>
        </w:rPr>
        <w:t>2</w:t>
      </w:r>
      <w:r>
        <w:rPr>
          <w:rFonts w:hint="eastAsia"/>
          <w:color w:val="auto"/>
        </w:rPr>
        <w:t>，72小时内的扫海面积约为175.14km</w:t>
      </w:r>
      <w:r>
        <w:rPr>
          <w:rFonts w:hint="eastAsia"/>
          <w:color w:val="auto"/>
          <w:vertAlign w:val="superscript"/>
        </w:rPr>
        <w:t>2</w:t>
      </w:r>
      <w:r>
        <w:rPr>
          <w:rFonts w:hint="eastAsia"/>
          <w:color w:val="auto"/>
        </w:rPr>
        <w:t>。</w:t>
      </w:r>
    </w:p>
    <w:p w14:paraId="2EDF8EBB">
      <w:pPr>
        <w:ind w:firstLine="480"/>
        <w:rPr>
          <w:color w:val="auto"/>
        </w:rPr>
      </w:pPr>
      <w:r>
        <w:rPr>
          <w:rFonts w:hint="eastAsia"/>
          <w:color w:val="auto"/>
        </w:rPr>
        <w:t>工况2：</w:t>
      </w:r>
      <w:r>
        <w:rPr>
          <w:color w:val="auto"/>
        </w:rPr>
        <w:t>落潮条件下</w:t>
      </w:r>
      <w:r>
        <w:rPr>
          <w:rFonts w:hint="eastAsia"/>
          <w:color w:val="auto"/>
        </w:rPr>
        <w:t>，在冬季主导风向N（6.7m/s）和落潮流条件下，油膜主要向东南方向扩散。在溢油事故发生约7小时20分钟后，油膜开始进入北部湾二长棘鲷长毛对虾国家级种质资源保护区（实验区）。统计分析表明，油膜12小时内的扫海面积约为31.08km</w:t>
      </w:r>
      <w:r>
        <w:rPr>
          <w:rFonts w:hint="eastAsia"/>
          <w:color w:val="auto"/>
          <w:vertAlign w:val="superscript"/>
        </w:rPr>
        <w:t>2</w:t>
      </w:r>
      <w:r>
        <w:rPr>
          <w:rFonts w:hint="eastAsia"/>
          <w:color w:val="auto"/>
        </w:rPr>
        <w:t>，24小时内的扫海面积约为66.65km</w:t>
      </w:r>
      <w:r>
        <w:rPr>
          <w:rFonts w:hint="eastAsia"/>
          <w:color w:val="auto"/>
          <w:vertAlign w:val="superscript"/>
        </w:rPr>
        <w:t>2</w:t>
      </w:r>
      <w:r>
        <w:rPr>
          <w:rFonts w:hint="eastAsia"/>
          <w:color w:val="auto"/>
        </w:rPr>
        <w:t>，48小时内的扫海面积约为160.51km</w:t>
      </w:r>
      <w:r>
        <w:rPr>
          <w:rFonts w:hint="eastAsia"/>
          <w:color w:val="auto"/>
          <w:vertAlign w:val="superscript"/>
        </w:rPr>
        <w:t>2</w:t>
      </w:r>
      <w:r>
        <w:rPr>
          <w:rFonts w:hint="eastAsia"/>
          <w:color w:val="auto"/>
        </w:rPr>
        <w:t>，此后，油膜全部扩散出计算区域。</w:t>
      </w:r>
    </w:p>
    <w:p w14:paraId="5D437705">
      <w:pPr>
        <w:ind w:firstLine="480"/>
        <w:jc w:val="left"/>
        <w:rPr>
          <w:color w:val="auto"/>
          <w:szCs w:val="21"/>
        </w:rPr>
      </w:pPr>
      <w:r>
        <w:rPr>
          <w:rFonts w:hint="eastAsia"/>
          <w:color w:val="auto"/>
        </w:rPr>
        <w:t>工况3：</w:t>
      </w:r>
      <w:r>
        <w:rPr>
          <w:color w:val="auto"/>
          <w:szCs w:val="21"/>
        </w:rPr>
        <w:t>当溢油事故发生在夏季主导风向S（</w:t>
      </w:r>
      <w:r>
        <w:rPr>
          <w:rFonts w:hint="eastAsia"/>
          <w:color w:val="auto"/>
          <w:szCs w:val="21"/>
        </w:rPr>
        <w:t>5</w:t>
      </w:r>
      <w:r>
        <w:rPr>
          <w:color w:val="auto"/>
          <w:szCs w:val="21"/>
        </w:rPr>
        <w:t>.1m/s）</w:t>
      </w:r>
      <w:r>
        <w:rPr>
          <w:rFonts w:hint="eastAsia"/>
          <w:color w:val="auto"/>
          <w:szCs w:val="21"/>
        </w:rPr>
        <w:t>和涨潮期间时，油膜开始在涨潮流和S风的作用下主要沿项目北部沿岸向西北部扩散，在溢油事故发生约3小时后，油膜开始影响蚝排养殖区。此后，部分油膜沿蚝排养殖区北部的水道向东北方向扩散，并于事故发生约</w:t>
      </w:r>
      <w:r>
        <w:rPr>
          <w:color w:val="auto"/>
          <w:szCs w:val="21"/>
        </w:rPr>
        <w:t>4</w:t>
      </w:r>
      <w:r>
        <w:rPr>
          <w:rFonts w:hint="eastAsia"/>
          <w:color w:val="auto"/>
          <w:szCs w:val="21"/>
        </w:rPr>
        <w:t>小时</w:t>
      </w:r>
      <w:r>
        <w:rPr>
          <w:color w:val="auto"/>
          <w:szCs w:val="21"/>
        </w:rPr>
        <w:t>后抵达广西茅尾海红树林自治区级自然保护区；部分油膜沿蚝排养殖区西北部的沿岸向西北方向扩散，在事故发生约</w:t>
      </w:r>
      <w:r>
        <w:rPr>
          <w:rFonts w:hint="eastAsia"/>
          <w:color w:val="auto"/>
          <w:szCs w:val="21"/>
        </w:rPr>
        <w:t>5小时后开始影响</w:t>
      </w:r>
      <w:r>
        <w:rPr>
          <w:color w:val="auto"/>
          <w:szCs w:val="21"/>
        </w:rPr>
        <w:t>广西茅尾海红树林自治区级自然保护区。当涨潮流转为落潮流后，油膜开始向东南方向扩散，在事故发生约</w:t>
      </w:r>
      <w:r>
        <w:rPr>
          <w:rFonts w:hint="eastAsia"/>
          <w:color w:val="auto"/>
          <w:szCs w:val="21"/>
        </w:rPr>
        <w:t>1</w:t>
      </w:r>
      <w:r>
        <w:rPr>
          <w:color w:val="auto"/>
          <w:szCs w:val="21"/>
        </w:rPr>
        <w:t>0小时</w:t>
      </w:r>
      <w:r>
        <w:rPr>
          <w:rFonts w:hint="eastAsia"/>
          <w:color w:val="auto"/>
          <w:szCs w:val="21"/>
        </w:rPr>
        <w:t>4</w:t>
      </w:r>
      <w:r>
        <w:rPr>
          <w:color w:val="auto"/>
          <w:szCs w:val="21"/>
        </w:rPr>
        <w:t>0分钟后，油膜开始进入项目东北部的金鼓江海域。油膜在金鼓江水道内缓慢向北偏东方向扩散，并于事故发生约</w:t>
      </w:r>
      <w:r>
        <w:rPr>
          <w:rFonts w:hint="eastAsia"/>
          <w:color w:val="auto"/>
          <w:szCs w:val="21"/>
        </w:rPr>
        <w:t>1</w:t>
      </w:r>
      <w:r>
        <w:rPr>
          <w:color w:val="auto"/>
          <w:szCs w:val="21"/>
        </w:rPr>
        <w:t>6小时</w:t>
      </w:r>
      <w:r>
        <w:rPr>
          <w:rFonts w:hint="eastAsia"/>
          <w:color w:val="auto"/>
          <w:szCs w:val="21"/>
        </w:rPr>
        <w:t>4</w:t>
      </w:r>
      <w:r>
        <w:rPr>
          <w:color w:val="auto"/>
          <w:szCs w:val="21"/>
        </w:rPr>
        <w:t>0分钟后开始影响金鼓江上游的红树林</w:t>
      </w:r>
      <w:r>
        <w:rPr>
          <w:rFonts w:hint="eastAsia"/>
          <w:color w:val="auto"/>
          <w:szCs w:val="21"/>
        </w:rPr>
        <w:t>5，1</w:t>
      </w:r>
      <w:r>
        <w:rPr>
          <w:color w:val="auto"/>
          <w:szCs w:val="21"/>
        </w:rPr>
        <w:t>7小时后开始影响红树林</w:t>
      </w:r>
      <w:r>
        <w:rPr>
          <w:rFonts w:hint="eastAsia"/>
          <w:color w:val="auto"/>
          <w:szCs w:val="21"/>
        </w:rPr>
        <w:t>6。该工况条件下，油膜</w:t>
      </w:r>
      <w:r>
        <w:rPr>
          <w:color w:val="auto"/>
          <w:szCs w:val="21"/>
        </w:rPr>
        <w:t>12小时内的扫海面积约为4.80</w:t>
      </w:r>
      <w:r>
        <w:rPr>
          <w:rFonts w:hint="eastAsia"/>
          <w:color w:val="auto"/>
          <w:szCs w:val="21"/>
        </w:rPr>
        <w:t>km</w:t>
      </w:r>
      <w:r>
        <w:rPr>
          <w:color w:val="auto"/>
          <w:szCs w:val="21"/>
          <w:vertAlign w:val="superscript"/>
        </w:rPr>
        <w:t>2</w:t>
      </w:r>
      <w:r>
        <w:rPr>
          <w:color w:val="auto"/>
          <w:szCs w:val="21"/>
        </w:rPr>
        <w:t>，</w:t>
      </w:r>
      <w:r>
        <w:rPr>
          <w:rFonts w:hint="eastAsia"/>
          <w:color w:val="auto"/>
          <w:szCs w:val="21"/>
        </w:rPr>
        <w:t>2</w:t>
      </w:r>
      <w:r>
        <w:rPr>
          <w:color w:val="auto"/>
          <w:szCs w:val="21"/>
        </w:rPr>
        <w:t>4小时内的扫海面积约为10.97</w:t>
      </w:r>
      <w:r>
        <w:rPr>
          <w:rFonts w:hint="eastAsia"/>
          <w:color w:val="auto"/>
          <w:szCs w:val="21"/>
        </w:rPr>
        <w:t>km</w:t>
      </w:r>
      <w:r>
        <w:rPr>
          <w:color w:val="auto"/>
          <w:szCs w:val="21"/>
          <w:vertAlign w:val="superscript"/>
        </w:rPr>
        <w:t>2</w:t>
      </w:r>
      <w:r>
        <w:rPr>
          <w:rFonts w:hint="eastAsia"/>
          <w:color w:val="auto"/>
          <w:szCs w:val="21"/>
        </w:rPr>
        <w:t>，</w:t>
      </w:r>
      <w:r>
        <w:rPr>
          <w:color w:val="auto"/>
          <w:szCs w:val="21"/>
        </w:rPr>
        <w:t>72小时内的扫海面积约为11.22</w:t>
      </w:r>
      <w:r>
        <w:rPr>
          <w:rFonts w:hint="eastAsia"/>
          <w:color w:val="auto"/>
          <w:szCs w:val="21"/>
        </w:rPr>
        <w:t>km</w:t>
      </w:r>
      <w:r>
        <w:rPr>
          <w:color w:val="auto"/>
          <w:szCs w:val="21"/>
          <w:vertAlign w:val="superscript"/>
        </w:rPr>
        <w:t>2</w:t>
      </w:r>
      <w:r>
        <w:rPr>
          <w:rFonts w:hint="eastAsia"/>
          <w:color w:val="auto"/>
          <w:szCs w:val="21"/>
        </w:rPr>
        <w:t>。</w:t>
      </w:r>
    </w:p>
    <w:p w14:paraId="0039D795">
      <w:pPr>
        <w:ind w:firstLine="480"/>
        <w:jc w:val="left"/>
        <w:rPr>
          <w:color w:val="auto"/>
          <w:szCs w:val="21"/>
        </w:rPr>
      </w:pPr>
      <w:r>
        <w:rPr>
          <w:color w:val="auto"/>
          <w:szCs w:val="21"/>
        </w:rPr>
        <w:t>工况4</w:t>
      </w:r>
      <w:r>
        <w:rPr>
          <w:rFonts w:hint="eastAsia"/>
          <w:color w:val="auto"/>
          <w:szCs w:val="21"/>
        </w:rPr>
        <w:t>：</w:t>
      </w:r>
      <w:r>
        <w:rPr>
          <w:color w:val="auto"/>
          <w:szCs w:val="21"/>
        </w:rPr>
        <w:t>当溢油事故发生在夏季主导风向S（</w:t>
      </w:r>
      <w:r>
        <w:rPr>
          <w:rFonts w:hint="eastAsia"/>
          <w:color w:val="auto"/>
          <w:szCs w:val="21"/>
        </w:rPr>
        <w:t>5</w:t>
      </w:r>
      <w:r>
        <w:rPr>
          <w:color w:val="auto"/>
          <w:szCs w:val="21"/>
        </w:rPr>
        <w:t>.1m/s）</w:t>
      </w:r>
      <w:r>
        <w:rPr>
          <w:rFonts w:hint="eastAsia"/>
          <w:color w:val="auto"/>
          <w:szCs w:val="21"/>
        </w:rPr>
        <w:t>和落潮期间时，油膜开始在落潮流和S风的作用下主要沿项目北部沿岸向东偏北方向扩散，在溢油事故发生约2小时1</w:t>
      </w:r>
      <w:r>
        <w:rPr>
          <w:color w:val="auto"/>
          <w:szCs w:val="21"/>
        </w:rPr>
        <w:t>0分钟后，油膜开始进入金鼓江。此后，大部分油膜沿金鼓江水道缓慢向其上游扩散，在溢油事故发生约</w:t>
      </w:r>
      <w:r>
        <w:rPr>
          <w:rFonts w:hint="eastAsia"/>
          <w:color w:val="auto"/>
          <w:szCs w:val="21"/>
        </w:rPr>
        <w:t>1</w:t>
      </w:r>
      <w:r>
        <w:rPr>
          <w:color w:val="auto"/>
          <w:szCs w:val="21"/>
        </w:rPr>
        <w:t>2小时30分钟后，油膜开始影响金鼓江上游的红树林</w:t>
      </w:r>
      <w:r>
        <w:rPr>
          <w:rFonts w:hint="eastAsia"/>
          <w:color w:val="auto"/>
          <w:szCs w:val="21"/>
        </w:rPr>
        <w:t>5，1</w:t>
      </w:r>
      <w:r>
        <w:rPr>
          <w:color w:val="auto"/>
          <w:szCs w:val="21"/>
        </w:rPr>
        <w:t>2小时</w:t>
      </w:r>
      <w:r>
        <w:rPr>
          <w:rFonts w:hint="eastAsia"/>
          <w:color w:val="auto"/>
          <w:szCs w:val="21"/>
        </w:rPr>
        <w:t>5</w:t>
      </w:r>
      <w:r>
        <w:rPr>
          <w:color w:val="auto"/>
          <w:szCs w:val="21"/>
        </w:rPr>
        <w:t>0分钟后开始影响红树林</w:t>
      </w:r>
      <w:r>
        <w:rPr>
          <w:rFonts w:hint="eastAsia"/>
          <w:color w:val="auto"/>
          <w:szCs w:val="21"/>
        </w:rPr>
        <w:t>6。该工况条件下，油膜</w:t>
      </w:r>
      <w:r>
        <w:rPr>
          <w:color w:val="auto"/>
          <w:szCs w:val="21"/>
        </w:rPr>
        <w:t>12小时内的扫海面积约为3.85</w:t>
      </w:r>
      <w:r>
        <w:rPr>
          <w:rFonts w:hint="eastAsia"/>
          <w:color w:val="auto"/>
          <w:szCs w:val="21"/>
        </w:rPr>
        <w:t>km</w:t>
      </w:r>
      <w:r>
        <w:rPr>
          <w:color w:val="auto"/>
          <w:szCs w:val="21"/>
          <w:vertAlign w:val="superscript"/>
        </w:rPr>
        <w:t>2</w:t>
      </w:r>
      <w:r>
        <w:rPr>
          <w:color w:val="auto"/>
          <w:szCs w:val="21"/>
        </w:rPr>
        <w:t>，</w:t>
      </w:r>
      <w:r>
        <w:rPr>
          <w:rFonts w:hint="eastAsia"/>
          <w:color w:val="auto"/>
          <w:szCs w:val="21"/>
        </w:rPr>
        <w:t>2</w:t>
      </w:r>
      <w:r>
        <w:rPr>
          <w:color w:val="auto"/>
          <w:szCs w:val="21"/>
        </w:rPr>
        <w:t>4小时内的扫海面积约为4.65</w:t>
      </w:r>
      <w:r>
        <w:rPr>
          <w:rFonts w:hint="eastAsia"/>
          <w:color w:val="auto"/>
          <w:szCs w:val="21"/>
        </w:rPr>
        <w:t>km</w:t>
      </w:r>
      <w:r>
        <w:rPr>
          <w:color w:val="auto"/>
          <w:szCs w:val="21"/>
          <w:vertAlign w:val="superscript"/>
        </w:rPr>
        <w:t>2</w:t>
      </w:r>
      <w:r>
        <w:rPr>
          <w:rFonts w:hint="eastAsia"/>
          <w:color w:val="auto"/>
          <w:szCs w:val="21"/>
        </w:rPr>
        <w:t>，</w:t>
      </w:r>
      <w:r>
        <w:rPr>
          <w:color w:val="auto"/>
          <w:szCs w:val="21"/>
        </w:rPr>
        <w:t>48小时内的扫海面积约为4.81</w:t>
      </w:r>
      <w:r>
        <w:rPr>
          <w:rFonts w:hint="eastAsia"/>
          <w:color w:val="auto"/>
          <w:szCs w:val="21"/>
        </w:rPr>
        <w:t>km</w:t>
      </w:r>
      <w:r>
        <w:rPr>
          <w:color w:val="auto"/>
          <w:szCs w:val="21"/>
          <w:vertAlign w:val="superscript"/>
        </w:rPr>
        <w:t>2</w:t>
      </w:r>
      <w:r>
        <w:rPr>
          <w:rFonts w:hint="eastAsia"/>
          <w:color w:val="auto"/>
          <w:szCs w:val="21"/>
        </w:rPr>
        <w:t>，此后，油膜扫海面积不变。</w:t>
      </w:r>
    </w:p>
    <w:p w14:paraId="01E8AF04">
      <w:pPr>
        <w:ind w:firstLine="480"/>
        <w:jc w:val="left"/>
        <w:rPr>
          <w:color w:val="auto"/>
          <w:szCs w:val="21"/>
        </w:rPr>
      </w:pPr>
      <w:r>
        <w:rPr>
          <w:color w:val="auto"/>
          <w:szCs w:val="21"/>
        </w:rPr>
        <w:t>工况5</w:t>
      </w:r>
      <w:r>
        <w:rPr>
          <w:rFonts w:hint="eastAsia"/>
          <w:color w:val="auto"/>
          <w:szCs w:val="21"/>
        </w:rPr>
        <w:t>：</w:t>
      </w:r>
      <w:r>
        <w:rPr>
          <w:color w:val="auto"/>
          <w:szCs w:val="21"/>
        </w:rPr>
        <w:t>当溢油事故发生在</w:t>
      </w:r>
      <w:r>
        <w:rPr>
          <w:rFonts w:hint="eastAsia"/>
          <w:color w:val="auto"/>
          <w:szCs w:val="21"/>
        </w:rPr>
        <w:t>不利</w:t>
      </w:r>
      <w:r>
        <w:rPr>
          <w:color w:val="auto"/>
          <w:szCs w:val="21"/>
        </w:rPr>
        <w:t>风向SE和风速（13.8m/s）</w:t>
      </w:r>
      <w:r>
        <w:rPr>
          <w:rFonts w:hint="eastAsia"/>
          <w:color w:val="auto"/>
          <w:szCs w:val="21"/>
        </w:rPr>
        <w:t>及涨潮期间时，油膜开始在涨潮流和SE风的作用下主要沿项目北部沿岸向西北方向扩散，在溢油事故发生约</w:t>
      </w:r>
      <w:r>
        <w:rPr>
          <w:color w:val="auto"/>
          <w:szCs w:val="21"/>
        </w:rPr>
        <w:t>2</w:t>
      </w:r>
      <w:r>
        <w:rPr>
          <w:rFonts w:hint="eastAsia"/>
          <w:color w:val="auto"/>
          <w:szCs w:val="21"/>
        </w:rPr>
        <w:t>小时后，油膜开始影响蚝排养殖区。此后，部分油膜沿蚝排养殖区北部的水道向东北方向缓慢扩散</w:t>
      </w:r>
      <w:r>
        <w:rPr>
          <w:color w:val="auto"/>
          <w:szCs w:val="21"/>
        </w:rPr>
        <w:t>；</w:t>
      </w:r>
      <w:r>
        <w:rPr>
          <w:rFonts w:hint="eastAsia"/>
          <w:color w:val="auto"/>
          <w:szCs w:val="21"/>
        </w:rPr>
        <w:t>其他大部分油膜则</w:t>
      </w:r>
      <w:r>
        <w:rPr>
          <w:color w:val="auto"/>
          <w:szCs w:val="21"/>
        </w:rPr>
        <w:t>沿蚝排养殖区西北部的沿岸向西北方向扩散，在事故发生约4</w:t>
      </w:r>
      <w:r>
        <w:rPr>
          <w:rFonts w:hint="eastAsia"/>
          <w:color w:val="auto"/>
          <w:szCs w:val="21"/>
        </w:rPr>
        <w:t>小时后开始影响钦州</w:t>
      </w:r>
      <w:r>
        <w:rPr>
          <w:color w:val="auto"/>
          <w:szCs w:val="21"/>
        </w:rPr>
        <w:t>茅尾海国家海洋公园</w:t>
      </w:r>
      <w:r>
        <w:rPr>
          <w:rFonts w:hint="eastAsia"/>
          <w:color w:val="auto"/>
          <w:szCs w:val="21"/>
        </w:rPr>
        <w:t>。该工况条件下，油膜</w:t>
      </w:r>
      <w:r>
        <w:rPr>
          <w:color w:val="auto"/>
          <w:szCs w:val="21"/>
        </w:rPr>
        <w:t>12小时内的扫海面积约为23.47</w:t>
      </w:r>
      <w:r>
        <w:rPr>
          <w:rFonts w:hint="eastAsia"/>
          <w:color w:val="auto"/>
          <w:szCs w:val="21"/>
        </w:rPr>
        <w:t>km</w:t>
      </w:r>
      <w:r>
        <w:rPr>
          <w:color w:val="auto"/>
          <w:szCs w:val="21"/>
          <w:vertAlign w:val="superscript"/>
        </w:rPr>
        <w:t>2</w:t>
      </w:r>
      <w:r>
        <w:rPr>
          <w:color w:val="auto"/>
          <w:szCs w:val="21"/>
        </w:rPr>
        <w:t>，</w:t>
      </w:r>
      <w:r>
        <w:rPr>
          <w:rFonts w:hint="eastAsia"/>
          <w:color w:val="auto"/>
          <w:szCs w:val="21"/>
        </w:rPr>
        <w:t>2</w:t>
      </w:r>
      <w:r>
        <w:rPr>
          <w:color w:val="auto"/>
          <w:szCs w:val="21"/>
        </w:rPr>
        <w:t>4小时内的扫海面积约为25.24</w:t>
      </w:r>
      <w:r>
        <w:rPr>
          <w:rFonts w:hint="eastAsia"/>
          <w:color w:val="auto"/>
          <w:szCs w:val="21"/>
        </w:rPr>
        <w:t>km</w:t>
      </w:r>
      <w:r>
        <w:rPr>
          <w:color w:val="auto"/>
          <w:szCs w:val="21"/>
          <w:vertAlign w:val="superscript"/>
        </w:rPr>
        <w:t>2</w:t>
      </w:r>
      <w:r>
        <w:rPr>
          <w:rFonts w:hint="eastAsia"/>
          <w:color w:val="auto"/>
          <w:szCs w:val="21"/>
        </w:rPr>
        <w:t>，</w:t>
      </w:r>
      <w:r>
        <w:rPr>
          <w:color w:val="auto"/>
          <w:szCs w:val="21"/>
        </w:rPr>
        <w:t>72小时内的扫海面积约为26.14</w:t>
      </w:r>
      <w:r>
        <w:rPr>
          <w:rFonts w:hint="eastAsia"/>
          <w:color w:val="auto"/>
          <w:szCs w:val="21"/>
        </w:rPr>
        <w:t>km</w:t>
      </w:r>
      <w:r>
        <w:rPr>
          <w:color w:val="auto"/>
          <w:szCs w:val="21"/>
          <w:vertAlign w:val="superscript"/>
        </w:rPr>
        <w:t>2</w:t>
      </w:r>
      <w:r>
        <w:rPr>
          <w:rFonts w:hint="eastAsia"/>
          <w:color w:val="auto"/>
          <w:szCs w:val="21"/>
        </w:rPr>
        <w:t>。</w:t>
      </w:r>
    </w:p>
    <w:p w14:paraId="568ECC72">
      <w:pPr>
        <w:ind w:firstLine="480"/>
        <w:jc w:val="left"/>
        <w:rPr>
          <w:color w:val="auto"/>
          <w:szCs w:val="21"/>
        </w:rPr>
      </w:pPr>
      <w:r>
        <w:rPr>
          <w:color w:val="auto"/>
          <w:szCs w:val="21"/>
        </w:rPr>
        <w:t>工况6</w:t>
      </w:r>
      <w:r>
        <w:rPr>
          <w:rFonts w:hint="eastAsia"/>
          <w:color w:val="auto"/>
          <w:szCs w:val="21"/>
        </w:rPr>
        <w:t>：</w:t>
      </w:r>
      <w:r>
        <w:rPr>
          <w:color w:val="auto"/>
          <w:szCs w:val="21"/>
        </w:rPr>
        <w:t>在</w:t>
      </w:r>
      <w:r>
        <w:rPr>
          <w:rFonts w:hint="eastAsia"/>
          <w:color w:val="auto"/>
          <w:szCs w:val="21"/>
        </w:rPr>
        <w:t>不利</w:t>
      </w:r>
      <w:r>
        <w:rPr>
          <w:color w:val="auto"/>
          <w:szCs w:val="21"/>
        </w:rPr>
        <w:t>风向SE和风速（13.8m/s）作用下，当溢油事故发生</w:t>
      </w:r>
      <w:r>
        <w:rPr>
          <w:rFonts w:hint="eastAsia"/>
          <w:color w:val="auto"/>
          <w:szCs w:val="21"/>
        </w:rPr>
        <w:t>在落潮期间时，部分油膜开始在落潮流和SE风的作用下沿项目北部沿岸向西偏北方向缓慢扩散，在溢油事故发生约</w:t>
      </w:r>
      <w:r>
        <w:rPr>
          <w:color w:val="auto"/>
          <w:szCs w:val="21"/>
        </w:rPr>
        <w:t>4</w:t>
      </w:r>
      <w:r>
        <w:rPr>
          <w:rFonts w:hint="eastAsia"/>
          <w:color w:val="auto"/>
          <w:szCs w:val="21"/>
        </w:rPr>
        <w:t>小时</w:t>
      </w:r>
      <w:r>
        <w:rPr>
          <w:color w:val="auto"/>
          <w:szCs w:val="21"/>
        </w:rPr>
        <w:t>后，油膜开始进入金鼓江。当落潮流转变为涨潮流时，</w:t>
      </w:r>
      <w:r>
        <w:rPr>
          <w:rFonts w:hint="eastAsia"/>
          <w:color w:val="auto"/>
          <w:szCs w:val="21"/>
        </w:rPr>
        <w:t>油膜在涨潮流和SE风的作用下沿项目北部沿岸向西北方向快速扩散，在溢油事故发生约</w:t>
      </w:r>
      <w:r>
        <w:rPr>
          <w:color w:val="auto"/>
          <w:szCs w:val="21"/>
        </w:rPr>
        <w:t>11</w:t>
      </w:r>
      <w:r>
        <w:rPr>
          <w:rFonts w:hint="eastAsia"/>
          <w:color w:val="auto"/>
          <w:szCs w:val="21"/>
        </w:rPr>
        <w:t>小时3</w:t>
      </w:r>
      <w:r>
        <w:rPr>
          <w:color w:val="auto"/>
          <w:szCs w:val="21"/>
        </w:rPr>
        <w:t>0分钟</w:t>
      </w:r>
      <w:r>
        <w:rPr>
          <w:rFonts w:hint="eastAsia"/>
          <w:color w:val="auto"/>
          <w:szCs w:val="21"/>
        </w:rPr>
        <w:t>左右时，油膜快速扫过蚝排养殖区，此后油膜不断扫过该养殖区并向西北方向扩散。在溢油事故发生约</w:t>
      </w:r>
      <w:r>
        <w:rPr>
          <w:color w:val="auto"/>
          <w:szCs w:val="21"/>
        </w:rPr>
        <w:t>13</w:t>
      </w:r>
      <w:r>
        <w:rPr>
          <w:rFonts w:hint="eastAsia"/>
          <w:color w:val="auto"/>
          <w:szCs w:val="21"/>
        </w:rPr>
        <w:t>小时2</w:t>
      </w:r>
      <w:r>
        <w:rPr>
          <w:color w:val="auto"/>
          <w:szCs w:val="21"/>
        </w:rPr>
        <w:t>0分钟</w:t>
      </w:r>
      <w:r>
        <w:rPr>
          <w:rFonts w:hint="eastAsia"/>
          <w:color w:val="auto"/>
          <w:szCs w:val="21"/>
        </w:rPr>
        <w:t>后，油膜开始影响钦州</w:t>
      </w:r>
      <w:r>
        <w:rPr>
          <w:color w:val="auto"/>
          <w:szCs w:val="21"/>
        </w:rPr>
        <w:t>茅尾海国家海洋公园</w:t>
      </w:r>
      <w:r>
        <w:rPr>
          <w:rFonts w:hint="eastAsia"/>
          <w:color w:val="auto"/>
          <w:szCs w:val="21"/>
        </w:rPr>
        <w:t>。该工况条件下，油膜</w:t>
      </w:r>
      <w:r>
        <w:rPr>
          <w:color w:val="auto"/>
          <w:szCs w:val="21"/>
        </w:rPr>
        <w:t>12小时内的扫海面积约为1.26</w:t>
      </w:r>
      <w:r>
        <w:rPr>
          <w:rFonts w:hint="eastAsia"/>
          <w:color w:val="auto"/>
          <w:szCs w:val="21"/>
        </w:rPr>
        <w:t>km</w:t>
      </w:r>
      <w:r>
        <w:rPr>
          <w:color w:val="auto"/>
          <w:szCs w:val="21"/>
          <w:vertAlign w:val="superscript"/>
        </w:rPr>
        <w:t>2</w:t>
      </w:r>
      <w:r>
        <w:rPr>
          <w:color w:val="auto"/>
          <w:szCs w:val="21"/>
        </w:rPr>
        <w:t>，</w:t>
      </w:r>
      <w:r>
        <w:rPr>
          <w:rFonts w:hint="eastAsia"/>
          <w:color w:val="auto"/>
          <w:szCs w:val="21"/>
        </w:rPr>
        <w:t>2</w:t>
      </w:r>
      <w:r>
        <w:rPr>
          <w:color w:val="auto"/>
          <w:szCs w:val="21"/>
        </w:rPr>
        <w:t>4小时内的扫海面积约为24.78</w:t>
      </w:r>
      <w:r>
        <w:rPr>
          <w:rFonts w:hint="eastAsia"/>
          <w:color w:val="auto"/>
          <w:szCs w:val="21"/>
        </w:rPr>
        <w:t>km</w:t>
      </w:r>
      <w:r>
        <w:rPr>
          <w:color w:val="auto"/>
          <w:szCs w:val="21"/>
          <w:vertAlign w:val="superscript"/>
        </w:rPr>
        <w:t>2</w:t>
      </w:r>
      <w:r>
        <w:rPr>
          <w:rFonts w:hint="eastAsia"/>
          <w:color w:val="auto"/>
          <w:szCs w:val="21"/>
        </w:rPr>
        <w:t>，</w:t>
      </w:r>
      <w:r>
        <w:rPr>
          <w:color w:val="auto"/>
          <w:szCs w:val="21"/>
        </w:rPr>
        <w:t>72小时内的扫海面积约为26.80</w:t>
      </w:r>
      <w:r>
        <w:rPr>
          <w:rFonts w:hint="eastAsia"/>
          <w:color w:val="auto"/>
          <w:szCs w:val="21"/>
        </w:rPr>
        <w:t>km</w:t>
      </w:r>
      <w:r>
        <w:rPr>
          <w:color w:val="auto"/>
          <w:szCs w:val="21"/>
          <w:vertAlign w:val="superscript"/>
        </w:rPr>
        <w:t>2</w:t>
      </w:r>
      <w:r>
        <w:rPr>
          <w:rFonts w:hint="eastAsia"/>
          <w:color w:val="auto"/>
          <w:szCs w:val="21"/>
        </w:rPr>
        <w:t>。</w:t>
      </w:r>
    </w:p>
    <w:p w14:paraId="1FD6CCDE">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2</w:t>
      </w:r>
      <w:r>
        <w:rPr>
          <w:color w:val="auto"/>
        </w:rPr>
        <w:fldChar w:fldCharType="end"/>
      </w:r>
      <w:r>
        <w:rPr>
          <w:rFonts w:hint="eastAsia"/>
          <w:color w:val="auto"/>
        </w:rPr>
        <w:t>石脑油</w:t>
      </w:r>
      <w:r>
        <w:rPr>
          <w:rFonts w:hint="eastAsia"/>
          <w:color w:val="auto"/>
          <w:szCs w:val="24"/>
        </w:rPr>
        <w:t>溢油</w:t>
      </w:r>
      <w:r>
        <w:rPr>
          <w:color w:val="auto"/>
          <w:szCs w:val="24"/>
        </w:rPr>
        <w:t>事故油膜到达敏感区和海岸线的时间统计</w:t>
      </w:r>
    </w:p>
    <w:tbl>
      <w:tblPr>
        <w:tblStyle w:val="43"/>
        <w:tblW w:w="94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490"/>
        <w:gridCol w:w="718"/>
        <w:gridCol w:w="700"/>
        <w:gridCol w:w="735"/>
        <w:gridCol w:w="4174"/>
        <w:gridCol w:w="2666"/>
      </w:tblGrid>
      <w:tr w14:paraId="7BB40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36" w:hRule="atLeast"/>
          <w:tblHeader/>
          <w:jc w:val="center"/>
        </w:trPr>
        <w:tc>
          <w:tcPr>
            <w:tcW w:w="490" w:type="dxa"/>
            <w:vMerge w:val="restart"/>
            <w:vAlign w:val="center"/>
          </w:tcPr>
          <w:p w14:paraId="0E7E25F6">
            <w:pPr>
              <w:pStyle w:val="91"/>
              <w:keepNext w:val="0"/>
              <w:keepLines w:val="0"/>
              <w:suppressLineNumbers w:val="0"/>
              <w:spacing w:before="0" w:beforeAutospacing="0" w:after="0" w:afterAutospacing="0"/>
              <w:ind w:left="0" w:right="0"/>
              <w:rPr>
                <w:rFonts w:hint="default"/>
                <w:b/>
                <w:color w:val="auto"/>
              </w:rPr>
            </w:pPr>
            <w:r>
              <w:rPr>
                <w:rFonts w:hint="eastAsia"/>
                <w:b/>
                <w:color w:val="auto"/>
              </w:rPr>
              <w:t>工况</w:t>
            </w:r>
          </w:p>
        </w:tc>
        <w:tc>
          <w:tcPr>
            <w:tcW w:w="1418" w:type="dxa"/>
            <w:gridSpan w:val="2"/>
            <w:vAlign w:val="center"/>
          </w:tcPr>
          <w:p w14:paraId="18830285">
            <w:pPr>
              <w:pStyle w:val="91"/>
              <w:keepNext w:val="0"/>
              <w:keepLines w:val="0"/>
              <w:suppressLineNumbers w:val="0"/>
              <w:spacing w:before="0" w:beforeAutospacing="0" w:after="0" w:afterAutospacing="0"/>
              <w:ind w:left="0" w:right="0"/>
              <w:rPr>
                <w:rFonts w:hint="default"/>
                <w:b/>
                <w:color w:val="auto"/>
              </w:rPr>
            </w:pPr>
            <w:r>
              <w:rPr>
                <w:rFonts w:hint="default"/>
                <w:b/>
                <w:color w:val="auto"/>
              </w:rPr>
              <w:t>风况</w:t>
            </w:r>
          </w:p>
        </w:tc>
        <w:tc>
          <w:tcPr>
            <w:tcW w:w="735" w:type="dxa"/>
            <w:vMerge w:val="restart"/>
            <w:vAlign w:val="center"/>
          </w:tcPr>
          <w:p w14:paraId="75046BF9">
            <w:pPr>
              <w:pStyle w:val="91"/>
              <w:keepNext w:val="0"/>
              <w:keepLines w:val="0"/>
              <w:suppressLineNumbers w:val="0"/>
              <w:spacing w:before="0" w:beforeAutospacing="0" w:after="0" w:afterAutospacing="0"/>
              <w:ind w:left="0" w:right="0"/>
              <w:rPr>
                <w:rFonts w:hint="default"/>
                <w:b/>
                <w:color w:val="auto"/>
              </w:rPr>
            </w:pPr>
            <w:r>
              <w:rPr>
                <w:rFonts w:hint="eastAsia"/>
                <w:b/>
                <w:color w:val="auto"/>
              </w:rPr>
              <w:t>潮汐</w:t>
            </w:r>
            <w:r>
              <w:rPr>
                <w:rFonts w:hint="default"/>
                <w:b/>
                <w:color w:val="auto"/>
              </w:rPr>
              <w:t>条件</w:t>
            </w:r>
          </w:p>
        </w:tc>
        <w:tc>
          <w:tcPr>
            <w:tcW w:w="4174" w:type="dxa"/>
            <w:vMerge w:val="restart"/>
            <w:vAlign w:val="center"/>
          </w:tcPr>
          <w:p w14:paraId="45AF307C">
            <w:pPr>
              <w:pStyle w:val="91"/>
              <w:keepNext w:val="0"/>
              <w:keepLines w:val="0"/>
              <w:suppressLineNumbers w:val="0"/>
              <w:spacing w:before="0" w:beforeAutospacing="0" w:after="0" w:afterAutospacing="0"/>
              <w:ind w:left="0" w:right="0"/>
              <w:rPr>
                <w:rFonts w:hint="default"/>
                <w:b/>
                <w:color w:val="auto"/>
              </w:rPr>
            </w:pPr>
            <w:r>
              <w:rPr>
                <w:rFonts w:hint="default"/>
                <w:b/>
                <w:color w:val="auto"/>
              </w:rPr>
              <w:t>到达敏感区时间</w:t>
            </w:r>
          </w:p>
        </w:tc>
        <w:tc>
          <w:tcPr>
            <w:tcW w:w="2666" w:type="dxa"/>
            <w:vMerge w:val="restart"/>
            <w:vAlign w:val="center"/>
          </w:tcPr>
          <w:p w14:paraId="6CE3D6CB">
            <w:pPr>
              <w:pStyle w:val="91"/>
              <w:keepNext w:val="0"/>
              <w:keepLines w:val="0"/>
              <w:suppressLineNumbers w:val="0"/>
              <w:spacing w:before="0" w:beforeAutospacing="0" w:after="0" w:afterAutospacing="0"/>
              <w:ind w:left="0" w:right="0"/>
              <w:rPr>
                <w:rFonts w:hint="default"/>
                <w:b/>
                <w:color w:val="auto"/>
              </w:rPr>
            </w:pPr>
            <w:r>
              <w:rPr>
                <w:rFonts w:hint="default"/>
                <w:b/>
                <w:color w:val="auto"/>
              </w:rPr>
              <w:t>到达海岸线时间</w:t>
            </w:r>
          </w:p>
        </w:tc>
      </w:tr>
      <w:tr w14:paraId="6C757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36" w:hRule="atLeast"/>
          <w:tblHeader/>
          <w:jc w:val="center"/>
        </w:trPr>
        <w:tc>
          <w:tcPr>
            <w:tcW w:w="490" w:type="dxa"/>
            <w:vMerge w:val="continue"/>
            <w:vAlign w:val="center"/>
          </w:tcPr>
          <w:p w14:paraId="44F47810">
            <w:pPr>
              <w:pStyle w:val="91"/>
              <w:keepNext w:val="0"/>
              <w:keepLines w:val="0"/>
              <w:suppressLineNumbers w:val="0"/>
              <w:spacing w:before="0" w:beforeAutospacing="0" w:after="0" w:afterAutospacing="0"/>
              <w:ind w:left="0" w:right="0"/>
              <w:rPr>
                <w:rFonts w:hint="default"/>
                <w:color w:val="auto"/>
              </w:rPr>
            </w:pPr>
          </w:p>
        </w:tc>
        <w:tc>
          <w:tcPr>
            <w:tcW w:w="718" w:type="dxa"/>
            <w:vAlign w:val="center"/>
          </w:tcPr>
          <w:p w14:paraId="71AED7F3">
            <w:pPr>
              <w:pStyle w:val="91"/>
              <w:keepNext w:val="0"/>
              <w:keepLines w:val="0"/>
              <w:suppressLineNumbers w:val="0"/>
              <w:spacing w:before="0" w:beforeAutospacing="0" w:after="0" w:afterAutospacing="0"/>
              <w:ind w:left="0" w:right="0"/>
              <w:rPr>
                <w:rFonts w:hint="default"/>
                <w:b/>
                <w:color w:val="auto"/>
              </w:rPr>
            </w:pPr>
            <w:r>
              <w:rPr>
                <w:rFonts w:hint="default"/>
                <w:b/>
                <w:color w:val="auto"/>
              </w:rPr>
              <w:t>风向</w:t>
            </w:r>
          </w:p>
        </w:tc>
        <w:tc>
          <w:tcPr>
            <w:tcW w:w="700" w:type="dxa"/>
            <w:vAlign w:val="center"/>
          </w:tcPr>
          <w:p w14:paraId="5B9F72D2">
            <w:pPr>
              <w:pStyle w:val="91"/>
              <w:keepNext w:val="0"/>
              <w:keepLines w:val="0"/>
              <w:suppressLineNumbers w:val="0"/>
              <w:spacing w:before="0" w:beforeAutospacing="0" w:after="0" w:afterAutospacing="0"/>
              <w:ind w:left="0" w:right="0"/>
              <w:rPr>
                <w:rFonts w:hint="default"/>
                <w:b/>
                <w:color w:val="auto"/>
              </w:rPr>
            </w:pPr>
            <w:r>
              <w:rPr>
                <w:rFonts w:hint="default"/>
                <w:b/>
                <w:color w:val="auto"/>
              </w:rPr>
              <w:t>风速</w:t>
            </w:r>
          </w:p>
          <w:p w14:paraId="0F04D1B6">
            <w:pPr>
              <w:pStyle w:val="91"/>
              <w:keepNext w:val="0"/>
              <w:keepLines w:val="0"/>
              <w:suppressLineNumbers w:val="0"/>
              <w:spacing w:before="0" w:beforeAutospacing="0" w:after="0" w:afterAutospacing="0"/>
              <w:ind w:left="0" w:right="0"/>
              <w:rPr>
                <w:rFonts w:hint="default"/>
                <w:b/>
                <w:color w:val="auto"/>
              </w:rPr>
            </w:pPr>
            <w:r>
              <w:rPr>
                <w:rFonts w:hint="default"/>
                <w:b/>
                <w:color w:val="auto"/>
              </w:rPr>
              <w:t>(m/s)</w:t>
            </w:r>
          </w:p>
        </w:tc>
        <w:tc>
          <w:tcPr>
            <w:tcW w:w="735" w:type="dxa"/>
            <w:vMerge w:val="continue"/>
            <w:vAlign w:val="center"/>
          </w:tcPr>
          <w:p w14:paraId="46EDEA6A">
            <w:pPr>
              <w:pStyle w:val="91"/>
              <w:keepNext w:val="0"/>
              <w:keepLines w:val="0"/>
              <w:suppressLineNumbers w:val="0"/>
              <w:spacing w:before="0" w:beforeAutospacing="0" w:after="0" w:afterAutospacing="0"/>
              <w:ind w:left="0" w:right="0"/>
              <w:rPr>
                <w:rFonts w:hint="default"/>
                <w:color w:val="auto"/>
              </w:rPr>
            </w:pPr>
          </w:p>
        </w:tc>
        <w:tc>
          <w:tcPr>
            <w:tcW w:w="4174" w:type="dxa"/>
            <w:vMerge w:val="continue"/>
            <w:vAlign w:val="center"/>
          </w:tcPr>
          <w:p w14:paraId="3046C04C">
            <w:pPr>
              <w:pStyle w:val="91"/>
              <w:keepNext w:val="0"/>
              <w:keepLines w:val="0"/>
              <w:suppressLineNumbers w:val="0"/>
              <w:spacing w:before="0" w:beforeAutospacing="0" w:after="0" w:afterAutospacing="0"/>
              <w:ind w:left="0" w:right="0"/>
              <w:rPr>
                <w:rFonts w:hint="default"/>
                <w:color w:val="auto"/>
              </w:rPr>
            </w:pPr>
          </w:p>
        </w:tc>
        <w:tc>
          <w:tcPr>
            <w:tcW w:w="2666" w:type="dxa"/>
            <w:vMerge w:val="continue"/>
            <w:vAlign w:val="center"/>
          </w:tcPr>
          <w:p w14:paraId="254BEAA5">
            <w:pPr>
              <w:pStyle w:val="91"/>
              <w:keepNext w:val="0"/>
              <w:keepLines w:val="0"/>
              <w:suppressLineNumbers w:val="0"/>
              <w:spacing w:before="0" w:beforeAutospacing="0" w:after="0" w:afterAutospacing="0"/>
              <w:ind w:left="0" w:right="0"/>
              <w:rPr>
                <w:rFonts w:hint="default"/>
                <w:color w:val="auto"/>
              </w:rPr>
            </w:pPr>
          </w:p>
        </w:tc>
      </w:tr>
      <w:tr w14:paraId="5C68F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36" w:hRule="atLeast"/>
          <w:jc w:val="center"/>
        </w:trPr>
        <w:tc>
          <w:tcPr>
            <w:tcW w:w="490" w:type="dxa"/>
            <w:vAlign w:val="center"/>
          </w:tcPr>
          <w:p w14:paraId="715FA09C">
            <w:pPr>
              <w:pStyle w:val="91"/>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718" w:type="dxa"/>
            <w:vMerge w:val="restart"/>
            <w:vAlign w:val="center"/>
          </w:tcPr>
          <w:p w14:paraId="7CA16419">
            <w:pPr>
              <w:pStyle w:val="91"/>
              <w:keepNext w:val="0"/>
              <w:keepLines w:val="0"/>
              <w:suppressLineNumbers w:val="0"/>
              <w:spacing w:before="0" w:beforeAutospacing="0" w:after="0" w:afterAutospacing="0"/>
              <w:ind w:left="0" w:right="0"/>
              <w:rPr>
                <w:rFonts w:hint="default"/>
                <w:color w:val="auto"/>
              </w:rPr>
            </w:pPr>
            <w:r>
              <w:rPr>
                <w:rFonts w:hint="eastAsia"/>
                <w:color w:val="auto"/>
              </w:rPr>
              <w:t>N</w:t>
            </w:r>
            <w:r>
              <w:rPr>
                <w:rFonts w:hint="default"/>
                <w:color w:val="auto"/>
              </w:rPr>
              <w:t>风</w:t>
            </w:r>
          </w:p>
        </w:tc>
        <w:tc>
          <w:tcPr>
            <w:tcW w:w="700" w:type="dxa"/>
            <w:vMerge w:val="restart"/>
            <w:vAlign w:val="center"/>
          </w:tcPr>
          <w:p w14:paraId="568A14C8">
            <w:pPr>
              <w:pStyle w:val="91"/>
              <w:keepNext w:val="0"/>
              <w:keepLines w:val="0"/>
              <w:suppressLineNumbers w:val="0"/>
              <w:spacing w:before="0" w:beforeAutospacing="0" w:after="0" w:afterAutospacing="0"/>
              <w:ind w:left="0" w:right="0"/>
              <w:rPr>
                <w:rFonts w:hint="default"/>
                <w:color w:val="auto"/>
              </w:rPr>
            </w:pPr>
            <w:r>
              <w:rPr>
                <w:rFonts w:hint="default"/>
                <w:color w:val="auto"/>
              </w:rPr>
              <w:t>6.7</w:t>
            </w:r>
          </w:p>
        </w:tc>
        <w:tc>
          <w:tcPr>
            <w:tcW w:w="735" w:type="dxa"/>
            <w:vAlign w:val="center"/>
          </w:tcPr>
          <w:p w14:paraId="0A4C26AF">
            <w:pPr>
              <w:pStyle w:val="91"/>
              <w:keepNext w:val="0"/>
              <w:keepLines w:val="0"/>
              <w:suppressLineNumbers w:val="0"/>
              <w:spacing w:before="0" w:beforeAutospacing="0" w:after="0" w:afterAutospacing="0"/>
              <w:ind w:left="0" w:right="0"/>
              <w:rPr>
                <w:rFonts w:hint="default"/>
                <w:color w:val="auto"/>
              </w:rPr>
            </w:pPr>
            <w:r>
              <w:rPr>
                <w:rFonts w:hint="default"/>
                <w:color w:val="auto"/>
              </w:rPr>
              <w:t>涨潮</w:t>
            </w:r>
          </w:p>
        </w:tc>
        <w:tc>
          <w:tcPr>
            <w:tcW w:w="4174" w:type="dxa"/>
            <w:vAlign w:val="center"/>
          </w:tcPr>
          <w:p w14:paraId="2674BBE0">
            <w:pPr>
              <w:pStyle w:val="91"/>
              <w:keepNext w:val="0"/>
              <w:keepLines w:val="0"/>
              <w:suppressLineNumbers w:val="0"/>
              <w:spacing w:before="0" w:beforeAutospacing="0" w:after="0" w:afterAutospacing="0"/>
              <w:ind w:left="0" w:right="0"/>
              <w:rPr>
                <w:rFonts w:hint="default"/>
                <w:color w:val="auto"/>
              </w:rPr>
            </w:pPr>
            <w:r>
              <w:rPr>
                <w:rFonts w:hint="default"/>
                <w:color w:val="auto"/>
              </w:rPr>
              <w:t>5h4</w:t>
            </w:r>
            <w:r>
              <w:rPr>
                <w:rFonts w:hint="eastAsia"/>
                <w:color w:val="auto"/>
              </w:rPr>
              <w:t>0min到达防城港核电取水口附近；</w:t>
            </w:r>
          </w:p>
          <w:p w14:paraId="675851F8">
            <w:pPr>
              <w:pStyle w:val="91"/>
              <w:keepNext w:val="0"/>
              <w:keepLines w:val="0"/>
              <w:suppressLineNumbers w:val="0"/>
              <w:spacing w:before="0" w:beforeAutospacing="0" w:after="0" w:afterAutospacing="0"/>
              <w:ind w:left="0" w:right="0"/>
              <w:rPr>
                <w:rFonts w:hint="default"/>
                <w:color w:val="auto"/>
              </w:rPr>
            </w:pPr>
            <w:r>
              <w:rPr>
                <w:rFonts w:hint="default"/>
                <w:color w:val="auto"/>
              </w:rPr>
              <w:t>7</w:t>
            </w:r>
            <w:r>
              <w:rPr>
                <w:rFonts w:hint="eastAsia"/>
                <w:color w:val="auto"/>
              </w:rPr>
              <w:t>h</w:t>
            </w:r>
            <w:r>
              <w:rPr>
                <w:rFonts w:hint="default"/>
                <w:color w:val="auto"/>
              </w:rPr>
              <w:t>40min到达防城港核电排水明渠东北部沿岸；</w:t>
            </w:r>
          </w:p>
          <w:p w14:paraId="424D8FE1">
            <w:pPr>
              <w:pStyle w:val="91"/>
              <w:keepNext w:val="0"/>
              <w:keepLines w:val="0"/>
              <w:suppressLineNumbers w:val="0"/>
              <w:spacing w:before="0" w:beforeAutospacing="0" w:after="0" w:afterAutospacing="0"/>
              <w:ind w:left="0" w:right="0"/>
              <w:rPr>
                <w:rFonts w:hint="default"/>
                <w:color w:val="auto"/>
              </w:rPr>
            </w:pPr>
            <w:r>
              <w:rPr>
                <w:rFonts w:hint="eastAsia"/>
                <w:color w:val="auto"/>
              </w:rPr>
              <w:t>8h</w:t>
            </w:r>
            <w:r>
              <w:rPr>
                <w:rFonts w:hint="default"/>
                <w:color w:val="auto"/>
              </w:rPr>
              <w:t>10min到达红树林</w:t>
            </w:r>
            <w:r>
              <w:rPr>
                <w:rFonts w:hint="eastAsia"/>
                <w:color w:val="auto"/>
              </w:rPr>
              <w:t>3和红树林4；</w:t>
            </w:r>
          </w:p>
          <w:p w14:paraId="34957D16">
            <w:pPr>
              <w:pStyle w:val="91"/>
              <w:keepNext w:val="0"/>
              <w:keepLines w:val="0"/>
              <w:suppressLineNumbers w:val="0"/>
              <w:spacing w:before="0" w:beforeAutospacing="0" w:after="0" w:afterAutospacing="0"/>
              <w:ind w:left="0" w:right="0"/>
              <w:rPr>
                <w:rFonts w:hint="default"/>
                <w:color w:val="auto"/>
              </w:rPr>
            </w:pPr>
            <w:r>
              <w:rPr>
                <w:rFonts w:hint="eastAsia"/>
                <w:color w:val="auto"/>
              </w:rPr>
              <w:t>1</w:t>
            </w:r>
            <w:r>
              <w:rPr>
                <w:rFonts w:hint="default"/>
                <w:color w:val="auto"/>
              </w:rPr>
              <w:t>2h10min开始进入北部湾二长棘鲷长毛对虾国家级种质资源保护区（实验区）</w:t>
            </w:r>
          </w:p>
        </w:tc>
        <w:tc>
          <w:tcPr>
            <w:tcW w:w="2666" w:type="dxa"/>
            <w:vAlign w:val="center"/>
          </w:tcPr>
          <w:p w14:paraId="65EC805E">
            <w:pPr>
              <w:pStyle w:val="91"/>
              <w:keepNext w:val="0"/>
              <w:keepLines w:val="0"/>
              <w:suppressLineNumbers w:val="0"/>
              <w:spacing w:before="0" w:beforeAutospacing="0" w:after="0" w:afterAutospacing="0"/>
              <w:ind w:left="0" w:right="0"/>
              <w:rPr>
                <w:rFonts w:hint="default"/>
                <w:color w:val="auto"/>
              </w:rPr>
            </w:pPr>
            <w:r>
              <w:rPr>
                <w:rFonts w:hint="default"/>
                <w:color w:val="auto"/>
              </w:rPr>
              <w:t>5h4</w:t>
            </w:r>
            <w:r>
              <w:rPr>
                <w:rFonts w:hint="eastAsia"/>
                <w:color w:val="auto"/>
              </w:rPr>
              <w:t>0min在防城港核电取水口附近抵岸；</w:t>
            </w:r>
          </w:p>
          <w:p w14:paraId="3D058C03">
            <w:pPr>
              <w:pStyle w:val="91"/>
              <w:keepNext w:val="0"/>
              <w:keepLines w:val="0"/>
              <w:suppressLineNumbers w:val="0"/>
              <w:spacing w:before="0" w:beforeAutospacing="0" w:after="0" w:afterAutospacing="0"/>
              <w:ind w:left="0" w:right="0"/>
              <w:rPr>
                <w:rFonts w:hint="default"/>
                <w:color w:val="auto"/>
              </w:rPr>
            </w:pPr>
            <w:r>
              <w:rPr>
                <w:rFonts w:hint="eastAsia"/>
                <w:color w:val="auto"/>
              </w:rPr>
              <w:t>7h</w:t>
            </w:r>
            <w:r>
              <w:rPr>
                <w:rFonts w:hint="default"/>
                <w:color w:val="auto"/>
              </w:rPr>
              <w:t>40min</w:t>
            </w:r>
            <w:r>
              <w:rPr>
                <w:rFonts w:hint="eastAsia"/>
                <w:color w:val="auto"/>
              </w:rPr>
              <w:t>在</w:t>
            </w:r>
            <w:r>
              <w:rPr>
                <w:rFonts w:hint="default"/>
                <w:color w:val="auto"/>
              </w:rPr>
              <w:t>防城港核电排水明渠东北部沿岸抵岸；</w:t>
            </w:r>
          </w:p>
          <w:p w14:paraId="18D91E38">
            <w:pPr>
              <w:pStyle w:val="91"/>
              <w:keepNext w:val="0"/>
              <w:keepLines w:val="0"/>
              <w:suppressLineNumbers w:val="0"/>
              <w:spacing w:before="0" w:beforeAutospacing="0" w:after="0" w:afterAutospacing="0"/>
              <w:ind w:left="0" w:right="0"/>
              <w:rPr>
                <w:rFonts w:hint="default"/>
                <w:color w:val="auto"/>
              </w:rPr>
            </w:pPr>
            <w:r>
              <w:rPr>
                <w:rFonts w:hint="eastAsia"/>
                <w:color w:val="auto"/>
              </w:rPr>
              <w:t>8h</w:t>
            </w:r>
            <w:r>
              <w:rPr>
                <w:rFonts w:hint="default"/>
                <w:color w:val="auto"/>
              </w:rPr>
              <w:t>10min</w:t>
            </w:r>
            <w:r>
              <w:rPr>
                <w:rFonts w:hint="eastAsia"/>
                <w:color w:val="auto"/>
              </w:rPr>
              <w:t>在</w:t>
            </w:r>
            <w:r>
              <w:rPr>
                <w:rFonts w:hint="default"/>
                <w:color w:val="auto"/>
              </w:rPr>
              <w:t>红树林</w:t>
            </w:r>
            <w:r>
              <w:rPr>
                <w:rFonts w:hint="eastAsia"/>
                <w:color w:val="auto"/>
              </w:rPr>
              <w:t>3和红树林4抵岸</w:t>
            </w:r>
          </w:p>
        </w:tc>
      </w:tr>
      <w:tr w14:paraId="28465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36" w:hRule="atLeast"/>
          <w:jc w:val="center"/>
        </w:trPr>
        <w:tc>
          <w:tcPr>
            <w:tcW w:w="490" w:type="dxa"/>
            <w:vAlign w:val="center"/>
          </w:tcPr>
          <w:p w14:paraId="41CA3F60">
            <w:pPr>
              <w:pStyle w:val="91"/>
              <w:keepNext w:val="0"/>
              <w:keepLines w:val="0"/>
              <w:suppressLineNumbers w:val="0"/>
              <w:spacing w:before="0" w:beforeAutospacing="0" w:after="0" w:afterAutospacing="0"/>
              <w:ind w:left="0" w:right="0"/>
              <w:rPr>
                <w:rFonts w:hint="default"/>
                <w:color w:val="auto"/>
              </w:rPr>
            </w:pPr>
            <w:r>
              <w:rPr>
                <w:rFonts w:hint="default"/>
                <w:color w:val="auto"/>
              </w:rPr>
              <w:t>2</w:t>
            </w:r>
          </w:p>
        </w:tc>
        <w:tc>
          <w:tcPr>
            <w:tcW w:w="718" w:type="dxa"/>
            <w:vMerge w:val="continue"/>
            <w:vAlign w:val="center"/>
          </w:tcPr>
          <w:p w14:paraId="06EE2B42">
            <w:pPr>
              <w:pStyle w:val="91"/>
              <w:keepNext w:val="0"/>
              <w:keepLines w:val="0"/>
              <w:suppressLineNumbers w:val="0"/>
              <w:spacing w:before="0" w:beforeAutospacing="0" w:after="0" w:afterAutospacing="0"/>
              <w:ind w:left="0" w:right="0"/>
              <w:rPr>
                <w:rFonts w:hint="default"/>
                <w:color w:val="auto"/>
              </w:rPr>
            </w:pPr>
          </w:p>
        </w:tc>
        <w:tc>
          <w:tcPr>
            <w:tcW w:w="700" w:type="dxa"/>
            <w:vMerge w:val="continue"/>
            <w:vAlign w:val="center"/>
          </w:tcPr>
          <w:p w14:paraId="79FE2D3C">
            <w:pPr>
              <w:pStyle w:val="91"/>
              <w:keepNext w:val="0"/>
              <w:keepLines w:val="0"/>
              <w:suppressLineNumbers w:val="0"/>
              <w:spacing w:before="0" w:beforeAutospacing="0" w:after="0" w:afterAutospacing="0"/>
              <w:ind w:left="0" w:right="0"/>
              <w:rPr>
                <w:rFonts w:hint="default"/>
                <w:color w:val="auto"/>
              </w:rPr>
            </w:pPr>
          </w:p>
        </w:tc>
        <w:tc>
          <w:tcPr>
            <w:tcW w:w="735" w:type="dxa"/>
            <w:vAlign w:val="center"/>
          </w:tcPr>
          <w:p w14:paraId="271A41B9">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4174" w:type="dxa"/>
            <w:vAlign w:val="center"/>
          </w:tcPr>
          <w:p w14:paraId="3558117A">
            <w:pPr>
              <w:pStyle w:val="91"/>
              <w:keepNext w:val="0"/>
              <w:keepLines w:val="0"/>
              <w:suppressLineNumbers w:val="0"/>
              <w:spacing w:before="0" w:beforeAutospacing="0" w:after="0" w:afterAutospacing="0"/>
              <w:ind w:left="0" w:right="0"/>
              <w:rPr>
                <w:rFonts w:hint="default"/>
                <w:color w:val="auto"/>
              </w:rPr>
            </w:pPr>
            <w:r>
              <w:rPr>
                <w:rFonts w:hint="default"/>
                <w:color w:val="auto"/>
              </w:rPr>
              <w:t>7h20min开始进入北部湾二长棘鲷长毛对虾国家级种质资源保护区（实验区）</w:t>
            </w:r>
          </w:p>
        </w:tc>
        <w:tc>
          <w:tcPr>
            <w:tcW w:w="2666" w:type="dxa"/>
            <w:vAlign w:val="center"/>
          </w:tcPr>
          <w:p w14:paraId="0EA342CD">
            <w:pPr>
              <w:pStyle w:val="91"/>
              <w:keepNext w:val="0"/>
              <w:keepLines w:val="0"/>
              <w:suppressLineNumbers w:val="0"/>
              <w:spacing w:before="0" w:beforeAutospacing="0" w:after="0" w:afterAutospacing="0"/>
              <w:ind w:left="0" w:right="0"/>
              <w:rPr>
                <w:rFonts w:hint="default"/>
                <w:color w:val="auto"/>
              </w:rPr>
            </w:pPr>
            <w:r>
              <w:rPr>
                <w:rFonts w:hint="eastAsia" w:ascii="宋体"/>
                <w:color w:val="auto"/>
              </w:rPr>
              <w:t>－</w:t>
            </w:r>
          </w:p>
        </w:tc>
      </w:tr>
      <w:tr w14:paraId="0CB61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36" w:hRule="atLeast"/>
          <w:jc w:val="center"/>
        </w:trPr>
        <w:tc>
          <w:tcPr>
            <w:tcW w:w="490" w:type="dxa"/>
            <w:vAlign w:val="center"/>
          </w:tcPr>
          <w:p w14:paraId="2EB3B91B">
            <w:pPr>
              <w:pStyle w:val="91"/>
              <w:keepNext w:val="0"/>
              <w:keepLines w:val="0"/>
              <w:suppressLineNumbers w:val="0"/>
              <w:spacing w:before="0" w:beforeAutospacing="0" w:after="0" w:afterAutospacing="0"/>
              <w:ind w:left="0" w:right="0"/>
              <w:rPr>
                <w:rFonts w:hint="default"/>
                <w:color w:val="auto"/>
              </w:rPr>
            </w:pPr>
            <w:r>
              <w:rPr>
                <w:rFonts w:hint="default"/>
                <w:color w:val="auto"/>
              </w:rPr>
              <w:t>3</w:t>
            </w:r>
          </w:p>
        </w:tc>
        <w:tc>
          <w:tcPr>
            <w:tcW w:w="718" w:type="dxa"/>
            <w:vMerge w:val="restart"/>
            <w:vAlign w:val="center"/>
          </w:tcPr>
          <w:p w14:paraId="3FD11DF2">
            <w:pPr>
              <w:pStyle w:val="91"/>
              <w:keepNext w:val="0"/>
              <w:keepLines w:val="0"/>
              <w:suppressLineNumbers w:val="0"/>
              <w:spacing w:before="0" w:beforeAutospacing="0" w:after="0" w:afterAutospacing="0"/>
              <w:ind w:left="0" w:right="0"/>
              <w:rPr>
                <w:rFonts w:hint="default"/>
                <w:color w:val="auto"/>
              </w:rPr>
            </w:pPr>
            <w:r>
              <w:rPr>
                <w:rFonts w:hint="eastAsia"/>
                <w:color w:val="auto"/>
              </w:rPr>
              <w:t>S风</w:t>
            </w:r>
          </w:p>
        </w:tc>
        <w:tc>
          <w:tcPr>
            <w:tcW w:w="700" w:type="dxa"/>
            <w:vMerge w:val="restart"/>
            <w:vAlign w:val="center"/>
          </w:tcPr>
          <w:p w14:paraId="54769E49">
            <w:pPr>
              <w:pStyle w:val="91"/>
              <w:keepNext w:val="0"/>
              <w:keepLines w:val="0"/>
              <w:suppressLineNumbers w:val="0"/>
              <w:spacing w:before="0" w:beforeAutospacing="0" w:after="0" w:afterAutospacing="0"/>
              <w:ind w:left="0" w:right="0"/>
              <w:rPr>
                <w:rFonts w:hint="default"/>
                <w:color w:val="auto"/>
              </w:rPr>
            </w:pPr>
            <w:r>
              <w:rPr>
                <w:rFonts w:hint="default"/>
                <w:color w:val="auto"/>
              </w:rPr>
              <w:t>5.1</w:t>
            </w:r>
          </w:p>
        </w:tc>
        <w:tc>
          <w:tcPr>
            <w:tcW w:w="735" w:type="dxa"/>
            <w:vAlign w:val="center"/>
          </w:tcPr>
          <w:p w14:paraId="65A33A66">
            <w:pPr>
              <w:pStyle w:val="91"/>
              <w:keepNext w:val="0"/>
              <w:keepLines w:val="0"/>
              <w:suppressLineNumbers w:val="0"/>
              <w:spacing w:before="0" w:beforeAutospacing="0" w:after="0" w:afterAutospacing="0"/>
              <w:ind w:left="0" w:right="0"/>
              <w:rPr>
                <w:rFonts w:hint="default"/>
                <w:color w:val="auto"/>
              </w:rPr>
            </w:pPr>
            <w:r>
              <w:rPr>
                <w:rFonts w:hint="default"/>
                <w:color w:val="auto"/>
              </w:rPr>
              <w:t>涨潮</w:t>
            </w:r>
          </w:p>
        </w:tc>
        <w:tc>
          <w:tcPr>
            <w:tcW w:w="4174" w:type="dxa"/>
            <w:vAlign w:val="center"/>
          </w:tcPr>
          <w:p w14:paraId="420439C4">
            <w:pPr>
              <w:pStyle w:val="91"/>
              <w:keepNext w:val="0"/>
              <w:keepLines w:val="0"/>
              <w:suppressLineNumbers w:val="0"/>
              <w:spacing w:before="0" w:beforeAutospacing="0" w:after="0" w:afterAutospacing="0"/>
              <w:ind w:left="0" w:right="0"/>
              <w:rPr>
                <w:rFonts w:hint="default"/>
                <w:color w:val="auto"/>
              </w:rPr>
            </w:pPr>
            <w:r>
              <w:rPr>
                <w:rFonts w:hint="default"/>
                <w:color w:val="auto"/>
              </w:rPr>
              <w:t>3h开始影响蚝排养殖区；</w:t>
            </w:r>
          </w:p>
          <w:p w14:paraId="3728DE75">
            <w:pPr>
              <w:pStyle w:val="91"/>
              <w:keepNext w:val="0"/>
              <w:keepLines w:val="0"/>
              <w:suppressLineNumbers w:val="0"/>
              <w:spacing w:before="0" w:beforeAutospacing="0" w:after="0" w:afterAutospacing="0"/>
              <w:ind w:left="0" w:right="0"/>
              <w:rPr>
                <w:rFonts w:hint="default"/>
                <w:color w:val="auto"/>
              </w:rPr>
            </w:pPr>
            <w:r>
              <w:rPr>
                <w:rFonts w:hint="default"/>
                <w:color w:val="auto"/>
              </w:rPr>
              <w:t>4</w:t>
            </w:r>
            <w:r>
              <w:rPr>
                <w:rFonts w:hint="eastAsia"/>
                <w:color w:val="auto"/>
              </w:rPr>
              <w:t>h</w:t>
            </w:r>
            <w:r>
              <w:rPr>
                <w:rFonts w:hint="default"/>
                <w:color w:val="auto"/>
              </w:rPr>
              <w:t>和</w:t>
            </w:r>
            <w:r>
              <w:rPr>
                <w:rFonts w:hint="eastAsia"/>
                <w:color w:val="auto"/>
              </w:rPr>
              <w:t>5h后</w:t>
            </w:r>
            <w:r>
              <w:rPr>
                <w:rFonts w:hint="default"/>
                <w:color w:val="auto"/>
              </w:rPr>
              <w:t>开始影响</w:t>
            </w:r>
            <w:r>
              <w:rPr>
                <w:rFonts w:hint="eastAsia"/>
                <w:color w:val="auto"/>
              </w:rPr>
              <w:t>广西茅尾海红树林自治区级自然保护区；</w:t>
            </w:r>
          </w:p>
          <w:p w14:paraId="35EB0892">
            <w:pPr>
              <w:pStyle w:val="91"/>
              <w:keepNext w:val="0"/>
              <w:keepLines w:val="0"/>
              <w:suppressLineNumbers w:val="0"/>
              <w:spacing w:before="0" w:beforeAutospacing="0" w:after="0" w:afterAutospacing="0"/>
              <w:ind w:left="0" w:right="0"/>
              <w:rPr>
                <w:rFonts w:hint="default"/>
                <w:color w:val="auto"/>
              </w:rPr>
            </w:pPr>
            <w:r>
              <w:rPr>
                <w:rFonts w:hint="default"/>
                <w:color w:val="auto"/>
              </w:rPr>
              <w:t>16h40min开始影响</w:t>
            </w:r>
            <w:r>
              <w:rPr>
                <w:rFonts w:hint="eastAsia"/>
                <w:color w:val="auto"/>
              </w:rPr>
              <w:t>金鼓江上游的红树林5，17h后开始影响红树林6</w:t>
            </w:r>
          </w:p>
        </w:tc>
        <w:tc>
          <w:tcPr>
            <w:tcW w:w="2666" w:type="dxa"/>
            <w:vAlign w:val="center"/>
          </w:tcPr>
          <w:p w14:paraId="14B48941">
            <w:pPr>
              <w:pStyle w:val="91"/>
              <w:keepNext w:val="0"/>
              <w:keepLines w:val="0"/>
              <w:suppressLineNumbers w:val="0"/>
              <w:spacing w:before="0" w:beforeAutospacing="0" w:after="0" w:afterAutospacing="0"/>
              <w:ind w:left="0" w:right="0"/>
              <w:rPr>
                <w:rFonts w:hint="default"/>
                <w:color w:val="auto"/>
              </w:rPr>
            </w:pPr>
            <w:r>
              <w:rPr>
                <w:rFonts w:hint="default"/>
                <w:color w:val="auto"/>
              </w:rPr>
              <w:t>4</w:t>
            </w:r>
            <w:r>
              <w:rPr>
                <w:rFonts w:hint="eastAsia"/>
                <w:color w:val="auto"/>
              </w:rPr>
              <w:t>h</w:t>
            </w:r>
            <w:r>
              <w:rPr>
                <w:rFonts w:hint="default"/>
                <w:color w:val="auto"/>
              </w:rPr>
              <w:t>和</w:t>
            </w:r>
            <w:r>
              <w:rPr>
                <w:rFonts w:hint="eastAsia"/>
                <w:color w:val="auto"/>
              </w:rPr>
              <w:t>5h后在广西茅尾海红树林自治区级自然保护区抵岸；</w:t>
            </w:r>
          </w:p>
          <w:p w14:paraId="6D024FA3">
            <w:pPr>
              <w:pStyle w:val="91"/>
              <w:keepNext w:val="0"/>
              <w:keepLines w:val="0"/>
              <w:suppressLineNumbers w:val="0"/>
              <w:spacing w:before="0" w:beforeAutospacing="0" w:after="0" w:afterAutospacing="0"/>
              <w:ind w:left="0" w:right="0"/>
              <w:rPr>
                <w:rFonts w:hint="default"/>
                <w:color w:val="auto"/>
              </w:rPr>
            </w:pPr>
            <w:r>
              <w:rPr>
                <w:rFonts w:hint="default"/>
                <w:color w:val="auto"/>
              </w:rPr>
              <w:t>16h40min</w:t>
            </w:r>
            <w:r>
              <w:rPr>
                <w:rFonts w:hint="eastAsia"/>
                <w:color w:val="auto"/>
              </w:rPr>
              <w:t>在金鼓江上游的红树林5抵岸，17h后红树林6附近抵岸</w:t>
            </w:r>
          </w:p>
        </w:tc>
      </w:tr>
      <w:tr w14:paraId="0D9FD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36" w:hRule="atLeast"/>
          <w:jc w:val="center"/>
        </w:trPr>
        <w:tc>
          <w:tcPr>
            <w:tcW w:w="490" w:type="dxa"/>
            <w:vAlign w:val="center"/>
          </w:tcPr>
          <w:p w14:paraId="40740CB9">
            <w:pPr>
              <w:pStyle w:val="91"/>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718" w:type="dxa"/>
            <w:vMerge w:val="continue"/>
            <w:vAlign w:val="center"/>
          </w:tcPr>
          <w:p w14:paraId="3F18F710">
            <w:pPr>
              <w:pStyle w:val="91"/>
              <w:keepNext w:val="0"/>
              <w:keepLines w:val="0"/>
              <w:suppressLineNumbers w:val="0"/>
              <w:spacing w:before="0" w:beforeAutospacing="0" w:after="0" w:afterAutospacing="0"/>
              <w:ind w:left="0" w:right="0"/>
              <w:rPr>
                <w:rFonts w:hint="default"/>
                <w:color w:val="auto"/>
              </w:rPr>
            </w:pPr>
          </w:p>
        </w:tc>
        <w:tc>
          <w:tcPr>
            <w:tcW w:w="700" w:type="dxa"/>
            <w:vMerge w:val="continue"/>
            <w:vAlign w:val="center"/>
          </w:tcPr>
          <w:p w14:paraId="3BCB0332">
            <w:pPr>
              <w:pStyle w:val="91"/>
              <w:keepNext w:val="0"/>
              <w:keepLines w:val="0"/>
              <w:suppressLineNumbers w:val="0"/>
              <w:spacing w:before="0" w:beforeAutospacing="0" w:after="0" w:afterAutospacing="0"/>
              <w:ind w:left="0" w:right="0"/>
              <w:rPr>
                <w:rFonts w:hint="default"/>
                <w:color w:val="auto"/>
              </w:rPr>
            </w:pPr>
          </w:p>
        </w:tc>
        <w:tc>
          <w:tcPr>
            <w:tcW w:w="735" w:type="dxa"/>
            <w:vAlign w:val="center"/>
          </w:tcPr>
          <w:p w14:paraId="76465B98">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4174" w:type="dxa"/>
            <w:vAlign w:val="center"/>
          </w:tcPr>
          <w:p w14:paraId="0434CC89">
            <w:pPr>
              <w:pStyle w:val="91"/>
              <w:keepNext w:val="0"/>
              <w:keepLines w:val="0"/>
              <w:suppressLineNumbers w:val="0"/>
              <w:spacing w:before="0" w:beforeAutospacing="0" w:after="0" w:afterAutospacing="0"/>
              <w:ind w:left="0" w:right="0"/>
              <w:rPr>
                <w:rFonts w:hint="default"/>
                <w:color w:val="auto"/>
              </w:rPr>
            </w:pPr>
            <w:r>
              <w:rPr>
                <w:rFonts w:hint="default"/>
                <w:color w:val="auto"/>
              </w:rPr>
              <w:t>12</w:t>
            </w:r>
            <w:r>
              <w:rPr>
                <w:rFonts w:hint="eastAsia"/>
                <w:color w:val="auto"/>
              </w:rPr>
              <w:t>h</w:t>
            </w:r>
            <w:r>
              <w:rPr>
                <w:rFonts w:hint="default"/>
                <w:color w:val="auto"/>
              </w:rPr>
              <w:t>30min</w:t>
            </w:r>
            <w:r>
              <w:rPr>
                <w:rFonts w:hint="eastAsia"/>
                <w:color w:val="auto"/>
              </w:rPr>
              <w:t>开始</w:t>
            </w:r>
            <w:r>
              <w:rPr>
                <w:rFonts w:hint="default"/>
                <w:color w:val="auto"/>
              </w:rPr>
              <w:t>影响金鼓江上游的红树林</w:t>
            </w:r>
            <w:r>
              <w:rPr>
                <w:rFonts w:hint="eastAsia"/>
                <w:color w:val="auto"/>
              </w:rPr>
              <w:t>5；</w:t>
            </w:r>
          </w:p>
          <w:p w14:paraId="7897500D">
            <w:pPr>
              <w:pStyle w:val="91"/>
              <w:keepNext w:val="0"/>
              <w:keepLines w:val="0"/>
              <w:suppressLineNumbers w:val="0"/>
              <w:spacing w:before="0" w:beforeAutospacing="0" w:after="0" w:afterAutospacing="0"/>
              <w:ind w:left="0" w:right="0"/>
              <w:rPr>
                <w:rFonts w:hint="default"/>
                <w:color w:val="auto"/>
              </w:rPr>
            </w:pPr>
            <w:r>
              <w:rPr>
                <w:rFonts w:hint="default"/>
                <w:color w:val="auto"/>
              </w:rPr>
              <w:t>12</w:t>
            </w:r>
            <w:r>
              <w:rPr>
                <w:rFonts w:hint="eastAsia"/>
                <w:color w:val="auto"/>
              </w:rPr>
              <w:t>h</w:t>
            </w:r>
            <w:r>
              <w:rPr>
                <w:rFonts w:hint="default"/>
                <w:color w:val="auto"/>
              </w:rPr>
              <w:t>50min</w:t>
            </w:r>
            <w:r>
              <w:rPr>
                <w:rFonts w:hint="eastAsia"/>
                <w:color w:val="auto"/>
              </w:rPr>
              <w:t>开始</w:t>
            </w:r>
            <w:r>
              <w:rPr>
                <w:rFonts w:hint="default"/>
                <w:color w:val="auto"/>
              </w:rPr>
              <w:t>影响金鼓江上游的红树林6</w:t>
            </w:r>
          </w:p>
        </w:tc>
        <w:tc>
          <w:tcPr>
            <w:tcW w:w="2666" w:type="dxa"/>
            <w:vAlign w:val="center"/>
          </w:tcPr>
          <w:p w14:paraId="5FE6E9F9">
            <w:pPr>
              <w:pStyle w:val="91"/>
              <w:keepNext w:val="0"/>
              <w:keepLines w:val="0"/>
              <w:suppressLineNumbers w:val="0"/>
              <w:spacing w:before="0" w:beforeAutospacing="0" w:after="0" w:afterAutospacing="0"/>
              <w:ind w:left="0" w:right="0"/>
              <w:rPr>
                <w:rFonts w:hint="default"/>
                <w:color w:val="auto"/>
              </w:rPr>
            </w:pPr>
            <w:r>
              <w:rPr>
                <w:rFonts w:hint="default"/>
                <w:color w:val="auto"/>
              </w:rPr>
              <w:t>12</w:t>
            </w:r>
            <w:r>
              <w:rPr>
                <w:rFonts w:hint="eastAsia"/>
                <w:color w:val="auto"/>
              </w:rPr>
              <w:t>h</w:t>
            </w:r>
            <w:r>
              <w:rPr>
                <w:rFonts w:hint="default"/>
                <w:color w:val="auto"/>
              </w:rPr>
              <w:t>30min</w:t>
            </w:r>
            <w:r>
              <w:rPr>
                <w:rFonts w:hint="eastAsia"/>
                <w:color w:val="auto"/>
              </w:rPr>
              <w:t>在</w:t>
            </w:r>
            <w:r>
              <w:rPr>
                <w:rFonts w:hint="default"/>
                <w:color w:val="auto"/>
              </w:rPr>
              <w:t>金鼓江上游的红树林</w:t>
            </w:r>
            <w:r>
              <w:rPr>
                <w:rFonts w:hint="eastAsia"/>
                <w:color w:val="auto"/>
              </w:rPr>
              <w:t>5海域抵岸；</w:t>
            </w:r>
          </w:p>
          <w:p w14:paraId="38AADAFC">
            <w:pPr>
              <w:pStyle w:val="91"/>
              <w:keepNext w:val="0"/>
              <w:keepLines w:val="0"/>
              <w:suppressLineNumbers w:val="0"/>
              <w:spacing w:before="0" w:beforeAutospacing="0" w:after="0" w:afterAutospacing="0"/>
              <w:ind w:left="0" w:right="0"/>
              <w:rPr>
                <w:rFonts w:hint="default"/>
                <w:color w:val="auto"/>
              </w:rPr>
            </w:pPr>
            <w:r>
              <w:rPr>
                <w:rFonts w:hint="default"/>
                <w:color w:val="auto"/>
              </w:rPr>
              <w:t>12</w:t>
            </w:r>
            <w:r>
              <w:rPr>
                <w:rFonts w:hint="eastAsia"/>
                <w:color w:val="auto"/>
              </w:rPr>
              <w:t>h</w:t>
            </w:r>
            <w:r>
              <w:rPr>
                <w:rFonts w:hint="default"/>
                <w:color w:val="auto"/>
              </w:rPr>
              <w:t>50min</w:t>
            </w:r>
            <w:r>
              <w:rPr>
                <w:rFonts w:hint="eastAsia"/>
                <w:color w:val="auto"/>
              </w:rPr>
              <w:t>在</w:t>
            </w:r>
            <w:r>
              <w:rPr>
                <w:rFonts w:hint="default"/>
                <w:color w:val="auto"/>
              </w:rPr>
              <w:t>金鼓江上游的红树林6海域抵岸</w:t>
            </w:r>
          </w:p>
        </w:tc>
      </w:tr>
      <w:tr w14:paraId="1CD47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36" w:hRule="atLeast"/>
          <w:jc w:val="center"/>
        </w:trPr>
        <w:tc>
          <w:tcPr>
            <w:tcW w:w="490" w:type="dxa"/>
            <w:vAlign w:val="center"/>
          </w:tcPr>
          <w:p w14:paraId="42ADA25E">
            <w:pPr>
              <w:pStyle w:val="91"/>
              <w:keepNext w:val="0"/>
              <w:keepLines w:val="0"/>
              <w:suppressLineNumbers w:val="0"/>
              <w:spacing w:before="0" w:beforeAutospacing="0" w:after="0" w:afterAutospacing="0"/>
              <w:ind w:left="0" w:right="0"/>
              <w:rPr>
                <w:rFonts w:hint="default"/>
                <w:color w:val="auto"/>
              </w:rPr>
            </w:pPr>
            <w:r>
              <w:rPr>
                <w:rFonts w:hint="default"/>
                <w:color w:val="auto"/>
              </w:rPr>
              <w:t>5</w:t>
            </w:r>
          </w:p>
        </w:tc>
        <w:tc>
          <w:tcPr>
            <w:tcW w:w="718" w:type="dxa"/>
            <w:vMerge w:val="restart"/>
            <w:vAlign w:val="center"/>
          </w:tcPr>
          <w:p w14:paraId="1A3AC977">
            <w:pPr>
              <w:pStyle w:val="91"/>
              <w:keepNext w:val="0"/>
              <w:keepLines w:val="0"/>
              <w:suppressLineNumbers w:val="0"/>
              <w:spacing w:before="0" w:beforeAutospacing="0" w:after="0" w:afterAutospacing="0"/>
              <w:ind w:left="0" w:right="0"/>
              <w:rPr>
                <w:rFonts w:hint="default"/>
                <w:color w:val="auto"/>
              </w:rPr>
            </w:pPr>
            <w:r>
              <w:rPr>
                <w:rFonts w:hint="default"/>
                <w:color w:val="auto"/>
              </w:rPr>
              <w:t>SE风</w:t>
            </w:r>
          </w:p>
        </w:tc>
        <w:tc>
          <w:tcPr>
            <w:tcW w:w="700" w:type="dxa"/>
            <w:vMerge w:val="restart"/>
            <w:vAlign w:val="center"/>
          </w:tcPr>
          <w:p w14:paraId="5C4FA17C">
            <w:pPr>
              <w:pStyle w:val="91"/>
              <w:keepNext w:val="0"/>
              <w:keepLines w:val="0"/>
              <w:suppressLineNumbers w:val="0"/>
              <w:spacing w:before="0" w:beforeAutospacing="0" w:after="0" w:afterAutospacing="0"/>
              <w:ind w:left="0" w:right="0"/>
              <w:rPr>
                <w:rFonts w:hint="default"/>
                <w:color w:val="auto"/>
              </w:rPr>
            </w:pPr>
            <w:r>
              <w:rPr>
                <w:rFonts w:hint="eastAsia"/>
                <w:color w:val="auto"/>
              </w:rPr>
              <w:t>1</w:t>
            </w:r>
            <w:r>
              <w:rPr>
                <w:rFonts w:hint="default"/>
                <w:color w:val="auto"/>
              </w:rPr>
              <w:t>3.8</w:t>
            </w:r>
          </w:p>
        </w:tc>
        <w:tc>
          <w:tcPr>
            <w:tcW w:w="735" w:type="dxa"/>
            <w:vAlign w:val="center"/>
          </w:tcPr>
          <w:p w14:paraId="75F30848">
            <w:pPr>
              <w:pStyle w:val="91"/>
              <w:keepNext w:val="0"/>
              <w:keepLines w:val="0"/>
              <w:suppressLineNumbers w:val="0"/>
              <w:spacing w:before="0" w:beforeAutospacing="0" w:after="0" w:afterAutospacing="0"/>
              <w:ind w:left="0" w:right="0"/>
              <w:rPr>
                <w:rFonts w:hint="default"/>
                <w:color w:val="auto"/>
              </w:rPr>
            </w:pPr>
            <w:r>
              <w:rPr>
                <w:rFonts w:hint="eastAsia"/>
                <w:color w:val="auto"/>
              </w:rPr>
              <w:t>涨潮</w:t>
            </w:r>
          </w:p>
        </w:tc>
        <w:tc>
          <w:tcPr>
            <w:tcW w:w="4174" w:type="dxa"/>
            <w:vAlign w:val="center"/>
          </w:tcPr>
          <w:p w14:paraId="0791A420">
            <w:pPr>
              <w:pStyle w:val="91"/>
              <w:keepNext w:val="0"/>
              <w:keepLines w:val="0"/>
              <w:suppressLineNumbers w:val="0"/>
              <w:spacing w:before="0" w:beforeAutospacing="0" w:after="0" w:afterAutospacing="0"/>
              <w:ind w:left="0" w:right="0"/>
              <w:rPr>
                <w:rFonts w:hint="default"/>
                <w:color w:val="auto"/>
              </w:rPr>
            </w:pPr>
            <w:r>
              <w:rPr>
                <w:rFonts w:hint="default"/>
                <w:color w:val="auto"/>
              </w:rPr>
              <w:t>2h后开始影响蚝排养殖区；</w:t>
            </w:r>
          </w:p>
          <w:p w14:paraId="79521DBD">
            <w:pPr>
              <w:pStyle w:val="91"/>
              <w:keepNext w:val="0"/>
              <w:keepLines w:val="0"/>
              <w:suppressLineNumbers w:val="0"/>
              <w:spacing w:before="0" w:beforeAutospacing="0" w:after="0" w:afterAutospacing="0"/>
              <w:ind w:left="0" w:right="0"/>
              <w:rPr>
                <w:rFonts w:hint="default"/>
                <w:color w:val="auto"/>
              </w:rPr>
            </w:pPr>
            <w:r>
              <w:rPr>
                <w:rFonts w:hint="default"/>
                <w:color w:val="auto"/>
              </w:rPr>
              <w:t>4</w:t>
            </w:r>
            <w:r>
              <w:rPr>
                <w:rFonts w:hint="eastAsia"/>
                <w:color w:val="auto"/>
              </w:rPr>
              <w:t>h</w:t>
            </w:r>
            <w:r>
              <w:rPr>
                <w:rFonts w:hint="default"/>
                <w:color w:val="auto"/>
              </w:rPr>
              <w:t>开始影响</w:t>
            </w:r>
            <w:r>
              <w:rPr>
                <w:rFonts w:hint="eastAsia"/>
                <w:color w:val="auto"/>
              </w:rPr>
              <w:t>钦州茅尾海国家海洋公园</w:t>
            </w:r>
          </w:p>
        </w:tc>
        <w:tc>
          <w:tcPr>
            <w:tcW w:w="2666" w:type="dxa"/>
            <w:vAlign w:val="center"/>
          </w:tcPr>
          <w:p w14:paraId="5E4BCBC0">
            <w:pPr>
              <w:pStyle w:val="91"/>
              <w:keepNext w:val="0"/>
              <w:keepLines w:val="0"/>
              <w:suppressLineNumbers w:val="0"/>
              <w:spacing w:before="0" w:beforeAutospacing="0" w:after="0" w:afterAutospacing="0"/>
              <w:ind w:left="0" w:right="0"/>
              <w:rPr>
                <w:rFonts w:hint="default"/>
                <w:color w:val="auto"/>
              </w:rPr>
            </w:pPr>
            <w:r>
              <w:rPr>
                <w:rFonts w:hint="eastAsia"/>
                <w:color w:val="auto"/>
              </w:rPr>
              <w:t>6h</w:t>
            </w:r>
            <w:r>
              <w:rPr>
                <w:rFonts w:hint="default"/>
                <w:color w:val="auto"/>
              </w:rPr>
              <w:t>20min在钦州湾西北部抵岸</w:t>
            </w:r>
          </w:p>
        </w:tc>
      </w:tr>
      <w:tr w14:paraId="335D0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36" w:hRule="atLeast"/>
          <w:jc w:val="center"/>
        </w:trPr>
        <w:tc>
          <w:tcPr>
            <w:tcW w:w="490" w:type="dxa"/>
            <w:vAlign w:val="center"/>
          </w:tcPr>
          <w:p w14:paraId="1E7667E7">
            <w:pPr>
              <w:pStyle w:val="91"/>
              <w:keepNext w:val="0"/>
              <w:keepLines w:val="0"/>
              <w:suppressLineNumbers w:val="0"/>
              <w:spacing w:before="0" w:beforeAutospacing="0" w:after="0" w:afterAutospacing="0"/>
              <w:ind w:left="0" w:right="0"/>
              <w:rPr>
                <w:rFonts w:hint="default"/>
                <w:color w:val="auto"/>
              </w:rPr>
            </w:pPr>
            <w:r>
              <w:rPr>
                <w:rFonts w:hint="eastAsia"/>
                <w:color w:val="auto"/>
              </w:rPr>
              <w:t>6</w:t>
            </w:r>
          </w:p>
        </w:tc>
        <w:tc>
          <w:tcPr>
            <w:tcW w:w="718" w:type="dxa"/>
            <w:vMerge w:val="continue"/>
            <w:vAlign w:val="center"/>
          </w:tcPr>
          <w:p w14:paraId="3F7CD352">
            <w:pPr>
              <w:pStyle w:val="91"/>
              <w:keepNext w:val="0"/>
              <w:keepLines w:val="0"/>
              <w:suppressLineNumbers w:val="0"/>
              <w:spacing w:before="0" w:beforeAutospacing="0" w:after="0" w:afterAutospacing="0"/>
              <w:ind w:left="0" w:right="0"/>
              <w:rPr>
                <w:rFonts w:hint="default"/>
                <w:color w:val="auto"/>
              </w:rPr>
            </w:pPr>
          </w:p>
        </w:tc>
        <w:tc>
          <w:tcPr>
            <w:tcW w:w="700" w:type="dxa"/>
            <w:vMerge w:val="continue"/>
            <w:vAlign w:val="center"/>
          </w:tcPr>
          <w:p w14:paraId="32C3D8CA">
            <w:pPr>
              <w:pStyle w:val="91"/>
              <w:keepNext w:val="0"/>
              <w:keepLines w:val="0"/>
              <w:suppressLineNumbers w:val="0"/>
              <w:spacing w:before="0" w:beforeAutospacing="0" w:after="0" w:afterAutospacing="0"/>
              <w:ind w:left="0" w:right="0"/>
              <w:rPr>
                <w:rFonts w:hint="default"/>
                <w:color w:val="auto"/>
              </w:rPr>
            </w:pPr>
          </w:p>
        </w:tc>
        <w:tc>
          <w:tcPr>
            <w:tcW w:w="735" w:type="dxa"/>
            <w:vAlign w:val="center"/>
          </w:tcPr>
          <w:p w14:paraId="1E609BB8">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4174" w:type="dxa"/>
            <w:vAlign w:val="center"/>
          </w:tcPr>
          <w:p w14:paraId="7B42AF9E">
            <w:pPr>
              <w:pStyle w:val="91"/>
              <w:keepNext w:val="0"/>
              <w:keepLines w:val="0"/>
              <w:suppressLineNumbers w:val="0"/>
              <w:spacing w:before="0" w:beforeAutospacing="0" w:after="0" w:afterAutospacing="0"/>
              <w:ind w:left="0" w:right="0"/>
              <w:rPr>
                <w:rFonts w:hint="default"/>
                <w:color w:val="auto"/>
              </w:rPr>
            </w:pPr>
            <w:r>
              <w:rPr>
                <w:rFonts w:hint="default"/>
                <w:color w:val="auto"/>
              </w:rPr>
              <w:t>11h30分钟后开始影响蚝排养殖区；</w:t>
            </w:r>
          </w:p>
          <w:p w14:paraId="48582F11">
            <w:pPr>
              <w:pStyle w:val="91"/>
              <w:keepNext w:val="0"/>
              <w:keepLines w:val="0"/>
              <w:suppressLineNumbers w:val="0"/>
              <w:spacing w:before="0" w:beforeAutospacing="0" w:after="0" w:afterAutospacing="0"/>
              <w:ind w:left="0" w:right="0"/>
              <w:rPr>
                <w:rFonts w:hint="default"/>
                <w:color w:val="auto"/>
              </w:rPr>
            </w:pPr>
            <w:r>
              <w:rPr>
                <w:rFonts w:hint="default"/>
                <w:color w:val="auto"/>
              </w:rPr>
              <w:t>13</w:t>
            </w:r>
            <w:r>
              <w:rPr>
                <w:rFonts w:hint="eastAsia"/>
                <w:color w:val="auto"/>
              </w:rPr>
              <w:t>h</w:t>
            </w:r>
            <w:r>
              <w:rPr>
                <w:rFonts w:hint="default"/>
                <w:color w:val="auto"/>
              </w:rPr>
              <w:t>20分钟后开始影响</w:t>
            </w:r>
            <w:r>
              <w:rPr>
                <w:rFonts w:hint="eastAsia"/>
                <w:color w:val="auto"/>
              </w:rPr>
              <w:t>钦州茅尾海国家海洋公园</w:t>
            </w:r>
          </w:p>
        </w:tc>
        <w:tc>
          <w:tcPr>
            <w:tcW w:w="2666" w:type="dxa"/>
            <w:vAlign w:val="center"/>
          </w:tcPr>
          <w:p w14:paraId="7A1283F3">
            <w:pPr>
              <w:pStyle w:val="91"/>
              <w:keepNext w:val="0"/>
              <w:keepLines w:val="0"/>
              <w:suppressLineNumbers w:val="0"/>
              <w:spacing w:before="0" w:beforeAutospacing="0" w:after="0" w:afterAutospacing="0"/>
              <w:ind w:left="0" w:right="0"/>
              <w:rPr>
                <w:rFonts w:hint="default"/>
                <w:color w:val="auto"/>
              </w:rPr>
            </w:pPr>
            <w:r>
              <w:rPr>
                <w:rFonts w:hint="default"/>
                <w:color w:val="auto"/>
              </w:rPr>
              <w:t>15</w:t>
            </w:r>
            <w:r>
              <w:rPr>
                <w:rFonts w:hint="eastAsia"/>
                <w:color w:val="auto"/>
              </w:rPr>
              <w:t>h</w:t>
            </w:r>
            <w:r>
              <w:rPr>
                <w:rFonts w:hint="default"/>
                <w:color w:val="auto"/>
              </w:rPr>
              <w:t>40min在钦州湾西北部抵岸</w:t>
            </w:r>
          </w:p>
        </w:tc>
      </w:tr>
    </w:tbl>
    <w:p w14:paraId="5A68BA04">
      <w:pPr>
        <w:pStyle w:val="235"/>
        <w:rPr>
          <w:rFonts w:cs="Times New Roman"/>
          <w:color w:val="auto"/>
          <w:sz w:val="21"/>
          <w:szCs w:val="21"/>
        </w:rPr>
      </w:pPr>
      <w:r>
        <w:rPr>
          <w:rFonts w:hint="eastAsia" w:cs="Times New Roman"/>
          <w:color w:val="auto"/>
          <w:szCs w:val="24"/>
        </w:rPr>
        <w:t>石脑油</w:t>
      </w:r>
      <w:r>
        <w:rPr>
          <w:rFonts w:cs="Times New Roman"/>
          <w:color w:val="auto"/>
          <w:szCs w:val="24"/>
        </w:rPr>
        <w:t>溢油事故油膜扫海面积统计</w:t>
      </w:r>
    </w:p>
    <w:tbl>
      <w:tblPr>
        <w:tblStyle w:val="190"/>
        <w:tblW w:w="8613" w:type="dxa"/>
        <w:tblInd w:w="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23"/>
        <w:gridCol w:w="748"/>
        <w:gridCol w:w="1134"/>
        <w:gridCol w:w="1276"/>
        <w:gridCol w:w="1233"/>
        <w:gridCol w:w="1233"/>
        <w:gridCol w:w="1233"/>
        <w:gridCol w:w="1233"/>
      </w:tblGrid>
      <w:tr w14:paraId="1C6EC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23" w:type="dxa"/>
            <w:vMerge w:val="restart"/>
          </w:tcPr>
          <w:p w14:paraId="7EB516AC">
            <w:pPr>
              <w:pStyle w:val="91"/>
              <w:keepNext w:val="0"/>
              <w:keepLines w:val="0"/>
              <w:suppressLineNumbers w:val="0"/>
              <w:spacing w:before="0" w:beforeAutospacing="0" w:after="0" w:afterAutospacing="0"/>
              <w:ind w:left="0" w:right="0"/>
              <w:rPr>
                <w:rFonts w:hint="default"/>
                <w:b/>
                <w:color w:val="auto"/>
              </w:rPr>
            </w:pPr>
            <w:r>
              <w:rPr>
                <w:rFonts w:hint="eastAsia"/>
                <w:b/>
                <w:color w:val="auto"/>
              </w:rPr>
              <w:t>工况</w:t>
            </w:r>
          </w:p>
        </w:tc>
        <w:tc>
          <w:tcPr>
            <w:tcW w:w="748" w:type="dxa"/>
            <w:vMerge w:val="restart"/>
          </w:tcPr>
          <w:p w14:paraId="0433C1EB">
            <w:pPr>
              <w:pStyle w:val="91"/>
              <w:keepNext w:val="0"/>
              <w:keepLines w:val="0"/>
              <w:suppressLineNumbers w:val="0"/>
              <w:spacing w:before="0" w:beforeAutospacing="0" w:after="0" w:afterAutospacing="0"/>
              <w:ind w:left="0" w:right="0"/>
              <w:rPr>
                <w:rFonts w:hint="default"/>
                <w:b/>
                <w:color w:val="auto"/>
              </w:rPr>
            </w:pPr>
            <w:r>
              <w:rPr>
                <w:rFonts w:hint="default"/>
                <w:b/>
                <w:color w:val="auto"/>
              </w:rPr>
              <w:t>潮汐条件</w:t>
            </w:r>
          </w:p>
        </w:tc>
        <w:tc>
          <w:tcPr>
            <w:tcW w:w="2410" w:type="dxa"/>
            <w:gridSpan w:val="2"/>
          </w:tcPr>
          <w:p w14:paraId="50A30A8B">
            <w:pPr>
              <w:pStyle w:val="91"/>
              <w:keepNext w:val="0"/>
              <w:keepLines w:val="0"/>
              <w:suppressLineNumbers w:val="0"/>
              <w:spacing w:before="0" w:beforeAutospacing="0" w:after="0" w:afterAutospacing="0"/>
              <w:ind w:left="0" w:right="0"/>
              <w:rPr>
                <w:rFonts w:hint="default"/>
                <w:b/>
                <w:color w:val="auto"/>
              </w:rPr>
            </w:pPr>
            <w:r>
              <w:rPr>
                <w:rFonts w:hint="default"/>
                <w:b/>
                <w:color w:val="auto"/>
              </w:rPr>
              <w:t>风况条件</w:t>
            </w:r>
          </w:p>
        </w:tc>
        <w:tc>
          <w:tcPr>
            <w:tcW w:w="4932" w:type="dxa"/>
            <w:gridSpan w:val="4"/>
          </w:tcPr>
          <w:p w14:paraId="19D85CDA">
            <w:pPr>
              <w:pStyle w:val="91"/>
              <w:keepNext w:val="0"/>
              <w:keepLines w:val="0"/>
              <w:suppressLineNumbers w:val="0"/>
              <w:spacing w:before="0" w:beforeAutospacing="0" w:after="0" w:afterAutospacing="0"/>
              <w:ind w:left="0" w:right="0"/>
              <w:rPr>
                <w:rFonts w:hint="default"/>
                <w:b/>
                <w:color w:val="auto"/>
              </w:rPr>
            </w:pPr>
            <w:r>
              <w:rPr>
                <w:rFonts w:hint="default"/>
                <w:b/>
                <w:color w:val="auto"/>
              </w:rPr>
              <w:t>扫海面积（km</w:t>
            </w:r>
            <w:r>
              <w:rPr>
                <w:rFonts w:hint="default"/>
                <w:b/>
                <w:color w:val="auto"/>
                <w:vertAlign w:val="superscript"/>
              </w:rPr>
              <w:t>2</w:t>
            </w:r>
            <w:r>
              <w:rPr>
                <w:rFonts w:hint="default"/>
                <w:b/>
                <w:color w:val="auto"/>
              </w:rPr>
              <w:t>）</w:t>
            </w:r>
          </w:p>
        </w:tc>
      </w:tr>
      <w:tr w14:paraId="0D9F6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3" w:type="dxa"/>
            <w:vMerge w:val="continue"/>
          </w:tcPr>
          <w:p w14:paraId="62143223">
            <w:pPr>
              <w:pStyle w:val="91"/>
              <w:keepNext w:val="0"/>
              <w:keepLines w:val="0"/>
              <w:suppressLineNumbers w:val="0"/>
              <w:spacing w:before="0" w:beforeAutospacing="0" w:after="0" w:afterAutospacing="0"/>
              <w:ind w:left="0" w:right="0"/>
              <w:rPr>
                <w:rFonts w:hint="default"/>
                <w:b/>
                <w:color w:val="auto"/>
              </w:rPr>
            </w:pPr>
          </w:p>
        </w:tc>
        <w:tc>
          <w:tcPr>
            <w:tcW w:w="748" w:type="dxa"/>
            <w:vMerge w:val="continue"/>
          </w:tcPr>
          <w:p w14:paraId="3BD44F24">
            <w:pPr>
              <w:pStyle w:val="91"/>
              <w:keepNext w:val="0"/>
              <w:keepLines w:val="0"/>
              <w:suppressLineNumbers w:val="0"/>
              <w:spacing w:before="0" w:beforeAutospacing="0" w:after="0" w:afterAutospacing="0"/>
              <w:ind w:left="0" w:right="0"/>
              <w:rPr>
                <w:rFonts w:hint="default"/>
                <w:b/>
                <w:color w:val="auto"/>
              </w:rPr>
            </w:pPr>
          </w:p>
        </w:tc>
        <w:tc>
          <w:tcPr>
            <w:tcW w:w="1134" w:type="dxa"/>
          </w:tcPr>
          <w:p w14:paraId="5AECFD88">
            <w:pPr>
              <w:pStyle w:val="91"/>
              <w:keepNext w:val="0"/>
              <w:keepLines w:val="0"/>
              <w:suppressLineNumbers w:val="0"/>
              <w:spacing w:before="0" w:beforeAutospacing="0" w:after="0" w:afterAutospacing="0"/>
              <w:ind w:left="0" w:right="0"/>
              <w:rPr>
                <w:rFonts w:hint="default"/>
                <w:b/>
                <w:color w:val="auto"/>
              </w:rPr>
            </w:pPr>
            <w:r>
              <w:rPr>
                <w:rFonts w:hint="default"/>
                <w:b/>
                <w:color w:val="auto"/>
              </w:rPr>
              <w:t>风向（</w:t>
            </w:r>
            <w:r>
              <w:rPr>
                <w:rFonts w:hint="default"/>
                <w:b/>
                <w:color w:val="auto"/>
                <w:vertAlign w:val="superscript"/>
              </w:rPr>
              <w:t>o</w:t>
            </w:r>
            <w:r>
              <w:rPr>
                <w:rFonts w:hint="default"/>
                <w:b/>
                <w:color w:val="auto"/>
              </w:rPr>
              <w:t>）</w:t>
            </w:r>
          </w:p>
        </w:tc>
        <w:tc>
          <w:tcPr>
            <w:tcW w:w="1276" w:type="dxa"/>
          </w:tcPr>
          <w:p w14:paraId="50C721FF">
            <w:pPr>
              <w:pStyle w:val="91"/>
              <w:keepNext w:val="0"/>
              <w:keepLines w:val="0"/>
              <w:suppressLineNumbers w:val="0"/>
              <w:spacing w:before="0" w:beforeAutospacing="0" w:after="0" w:afterAutospacing="0"/>
              <w:ind w:left="0" w:right="0"/>
              <w:rPr>
                <w:rFonts w:hint="default"/>
                <w:b/>
                <w:color w:val="auto"/>
              </w:rPr>
            </w:pPr>
            <w:r>
              <w:rPr>
                <w:rFonts w:hint="default"/>
                <w:b/>
                <w:color w:val="auto"/>
              </w:rPr>
              <w:t>风速（m/s）</w:t>
            </w:r>
          </w:p>
        </w:tc>
        <w:tc>
          <w:tcPr>
            <w:tcW w:w="1233" w:type="dxa"/>
          </w:tcPr>
          <w:p w14:paraId="02701A71">
            <w:pPr>
              <w:pStyle w:val="91"/>
              <w:keepNext w:val="0"/>
              <w:keepLines w:val="0"/>
              <w:suppressLineNumbers w:val="0"/>
              <w:spacing w:before="0" w:beforeAutospacing="0" w:after="0" w:afterAutospacing="0"/>
              <w:ind w:left="0" w:right="0"/>
              <w:rPr>
                <w:rFonts w:hint="default"/>
                <w:b/>
                <w:color w:val="auto"/>
              </w:rPr>
            </w:pPr>
            <w:r>
              <w:rPr>
                <w:rFonts w:hint="default"/>
                <w:b/>
                <w:color w:val="auto"/>
              </w:rPr>
              <w:t>12小时后</w:t>
            </w:r>
          </w:p>
        </w:tc>
        <w:tc>
          <w:tcPr>
            <w:tcW w:w="1233" w:type="dxa"/>
          </w:tcPr>
          <w:p w14:paraId="21B31C9F">
            <w:pPr>
              <w:pStyle w:val="91"/>
              <w:keepNext w:val="0"/>
              <w:keepLines w:val="0"/>
              <w:suppressLineNumbers w:val="0"/>
              <w:spacing w:before="0" w:beforeAutospacing="0" w:after="0" w:afterAutospacing="0"/>
              <w:ind w:left="0" w:right="0"/>
              <w:rPr>
                <w:rFonts w:hint="default"/>
                <w:b/>
                <w:color w:val="auto"/>
              </w:rPr>
            </w:pPr>
            <w:r>
              <w:rPr>
                <w:rFonts w:hint="default"/>
                <w:b/>
                <w:color w:val="auto"/>
              </w:rPr>
              <w:t>24小时后</w:t>
            </w:r>
          </w:p>
        </w:tc>
        <w:tc>
          <w:tcPr>
            <w:tcW w:w="1233" w:type="dxa"/>
          </w:tcPr>
          <w:p w14:paraId="6F5DC2BF">
            <w:pPr>
              <w:pStyle w:val="91"/>
              <w:keepNext w:val="0"/>
              <w:keepLines w:val="0"/>
              <w:suppressLineNumbers w:val="0"/>
              <w:spacing w:before="0" w:beforeAutospacing="0" w:after="0" w:afterAutospacing="0"/>
              <w:ind w:left="0" w:right="0"/>
              <w:rPr>
                <w:rFonts w:hint="default"/>
                <w:b/>
                <w:color w:val="auto"/>
              </w:rPr>
            </w:pPr>
            <w:r>
              <w:rPr>
                <w:rFonts w:hint="default"/>
                <w:b/>
                <w:color w:val="auto"/>
              </w:rPr>
              <w:t>48小时后</w:t>
            </w:r>
          </w:p>
        </w:tc>
        <w:tc>
          <w:tcPr>
            <w:tcW w:w="1233" w:type="dxa"/>
          </w:tcPr>
          <w:p w14:paraId="7B051910">
            <w:pPr>
              <w:pStyle w:val="91"/>
              <w:keepNext w:val="0"/>
              <w:keepLines w:val="0"/>
              <w:suppressLineNumbers w:val="0"/>
              <w:spacing w:before="0" w:beforeAutospacing="0" w:after="0" w:afterAutospacing="0"/>
              <w:ind w:left="0" w:right="0"/>
              <w:rPr>
                <w:rFonts w:hint="default"/>
                <w:b/>
                <w:color w:val="auto"/>
              </w:rPr>
            </w:pPr>
            <w:r>
              <w:rPr>
                <w:rFonts w:hint="default"/>
                <w:b/>
                <w:color w:val="auto"/>
              </w:rPr>
              <w:t>72小时后</w:t>
            </w:r>
          </w:p>
        </w:tc>
      </w:tr>
      <w:tr w14:paraId="4626C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3" w:type="dxa"/>
          </w:tcPr>
          <w:p w14:paraId="37763A46">
            <w:pPr>
              <w:pStyle w:val="91"/>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748" w:type="dxa"/>
          </w:tcPr>
          <w:p w14:paraId="4DA66200">
            <w:pPr>
              <w:pStyle w:val="91"/>
              <w:keepNext w:val="0"/>
              <w:keepLines w:val="0"/>
              <w:suppressLineNumbers w:val="0"/>
              <w:spacing w:before="0" w:beforeAutospacing="0" w:after="0" w:afterAutospacing="0"/>
              <w:ind w:left="0" w:right="0"/>
              <w:rPr>
                <w:rFonts w:hint="default"/>
                <w:color w:val="auto"/>
              </w:rPr>
            </w:pPr>
            <w:r>
              <w:rPr>
                <w:rFonts w:hint="default"/>
                <w:color w:val="auto"/>
              </w:rPr>
              <w:t>涨潮</w:t>
            </w:r>
          </w:p>
        </w:tc>
        <w:tc>
          <w:tcPr>
            <w:tcW w:w="1134" w:type="dxa"/>
            <w:vMerge w:val="restart"/>
          </w:tcPr>
          <w:p w14:paraId="030A7A49">
            <w:pPr>
              <w:pStyle w:val="91"/>
              <w:keepNext w:val="0"/>
              <w:keepLines w:val="0"/>
              <w:suppressLineNumbers w:val="0"/>
              <w:spacing w:before="0" w:beforeAutospacing="0" w:after="0" w:afterAutospacing="0"/>
              <w:ind w:left="0" w:right="0"/>
              <w:rPr>
                <w:rFonts w:hint="default"/>
                <w:color w:val="auto"/>
              </w:rPr>
            </w:pPr>
            <w:r>
              <w:rPr>
                <w:rFonts w:hint="eastAsia"/>
                <w:color w:val="auto"/>
              </w:rPr>
              <w:t>N</w:t>
            </w:r>
            <w:r>
              <w:rPr>
                <w:rFonts w:hint="default"/>
                <w:color w:val="auto"/>
              </w:rPr>
              <w:t>风</w:t>
            </w:r>
          </w:p>
        </w:tc>
        <w:tc>
          <w:tcPr>
            <w:tcW w:w="1276" w:type="dxa"/>
            <w:vMerge w:val="restart"/>
          </w:tcPr>
          <w:p w14:paraId="440205A8">
            <w:pPr>
              <w:pStyle w:val="91"/>
              <w:keepNext w:val="0"/>
              <w:keepLines w:val="0"/>
              <w:suppressLineNumbers w:val="0"/>
              <w:spacing w:before="0" w:beforeAutospacing="0" w:after="0" w:afterAutospacing="0"/>
              <w:ind w:left="0" w:right="0"/>
              <w:rPr>
                <w:rFonts w:hint="default"/>
                <w:color w:val="auto"/>
              </w:rPr>
            </w:pPr>
            <w:r>
              <w:rPr>
                <w:rFonts w:hint="default"/>
                <w:color w:val="auto"/>
              </w:rPr>
              <w:t>6.7</w:t>
            </w:r>
          </w:p>
        </w:tc>
        <w:tc>
          <w:tcPr>
            <w:tcW w:w="1233" w:type="dxa"/>
          </w:tcPr>
          <w:p w14:paraId="1C9FCE49">
            <w:pPr>
              <w:pStyle w:val="91"/>
              <w:keepNext w:val="0"/>
              <w:keepLines w:val="0"/>
              <w:suppressLineNumbers w:val="0"/>
              <w:spacing w:before="0" w:beforeAutospacing="0" w:after="0" w:afterAutospacing="0"/>
              <w:ind w:left="0" w:right="0"/>
              <w:rPr>
                <w:rFonts w:hint="default"/>
                <w:color w:val="auto"/>
              </w:rPr>
            </w:pPr>
            <w:r>
              <w:rPr>
                <w:rFonts w:hint="default"/>
                <w:color w:val="auto"/>
              </w:rPr>
              <w:t>26.97</w:t>
            </w:r>
          </w:p>
        </w:tc>
        <w:tc>
          <w:tcPr>
            <w:tcW w:w="1233" w:type="dxa"/>
          </w:tcPr>
          <w:p w14:paraId="39B97F3E">
            <w:pPr>
              <w:pStyle w:val="91"/>
              <w:keepNext w:val="0"/>
              <w:keepLines w:val="0"/>
              <w:suppressLineNumbers w:val="0"/>
              <w:spacing w:before="0" w:beforeAutospacing="0" w:after="0" w:afterAutospacing="0"/>
              <w:ind w:left="0" w:right="0"/>
              <w:rPr>
                <w:rFonts w:hint="default"/>
                <w:color w:val="auto"/>
              </w:rPr>
            </w:pPr>
            <w:r>
              <w:rPr>
                <w:rFonts w:hint="default"/>
                <w:color w:val="auto"/>
              </w:rPr>
              <w:t>68.66</w:t>
            </w:r>
          </w:p>
        </w:tc>
        <w:tc>
          <w:tcPr>
            <w:tcW w:w="1233" w:type="dxa"/>
          </w:tcPr>
          <w:p w14:paraId="1C533442">
            <w:pPr>
              <w:pStyle w:val="91"/>
              <w:keepNext w:val="0"/>
              <w:keepLines w:val="0"/>
              <w:suppressLineNumbers w:val="0"/>
              <w:spacing w:before="0" w:beforeAutospacing="0" w:after="0" w:afterAutospacing="0"/>
              <w:ind w:left="0" w:right="0"/>
              <w:rPr>
                <w:rFonts w:hint="default"/>
                <w:color w:val="auto"/>
              </w:rPr>
            </w:pPr>
            <w:r>
              <w:rPr>
                <w:rFonts w:hint="default"/>
                <w:color w:val="auto"/>
              </w:rPr>
              <w:t>171.12</w:t>
            </w:r>
          </w:p>
        </w:tc>
        <w:tc>
          <w:tcPr>
            <w:tcW w:w="1233" w:type="dxa"/>
          </w:tcPr>
          <w:p w14:paraId="3F088D6F">
            <w:pPr>
              <w:pStyle w:val="91"/>
              <w:keepNext w:val="0"/>
              <w:keepLines w:val="0"/>
              <w:suppressLineNumbers w:val="0"/>
              <w:spacing w:before="0" w:beforeAutospacing="0" w:after="0" w:afterAutospacing="0"/>
              <w:ind w:left="0" w:right="0"/>
              <w:rPr>
                <w:rFonts w:hint="default"/>
                <w:color w:val="auto"/>
              </w:rPr>
            </w:pPr>
            <w:r>
              <w:rPr>
                <w:rFonts w:hint="default"/>
                <w:color w:val="auto"/>
              </w:rPr>
              <w:t>175.14</w:t>
            </w:r>
          </w:p>
        </w:tc>
      </w:tr>
      <w:tr w14:paraId="05B6B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3" w:type="dxa"/>
          </w:tcPr>
          <w:p w14:paraId="583164B6">
            <w:pPr>
              <w:pStyle w:val="91"/>
              <w:keepNext w:val="0"/>
              <w:keepLines w:val="0"/>
              <w:suppressLineNumbers w:val="0"/>
              <w:spacing w:before="0" w:beforeAutospacing="0" w:after="0" w:afterAutospacing="0"/>
              <w:ind w:left="0" w:right="0"/>
              <w:rPr>
                <w:rFonts w:hint="default"/>
                <w:color w:val="auto"/>
              </w:rPr>
            </w:pPr>
            <w:r>
              <w:rPr>
                <w:rFonts w:hint="default"/>
                <w:color w:val="auto"/>
              </w:rPr>
              <w:t>2</w:t>
            </w:r>
          </w:p>
        </w:tc>
        <w:tc>
          <w:tcPr>
            <w:tcW w:w="748" w:type="dxa"/>
          </w:tcPr>
          <w:p w14:paraId="79F17587">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1134" w:type="dxa"/>
            <w:vMerge w:val="continue"/>
          </w:tcPr>
          <w:p w14:paraId="3F36ACF6">
            <w:pPr>
              <w:pStyle w:val="91"/>
              <w:keepNext w:val="0"/>
              <w:keepLines w:val="0"/>
              <w:suppressLineNumbers w:val="0"/>
              <w:spacing w:before="0" w:beforeAutospacing="0" w:after="0" w:afterAutospacing="0"/>
              <w:ind w:left="0" w:right="0"/>
              <w:rPr>
                <w:rFonts w:hint="default"/>
                <w:color w:val="auto"/>
              </w:rPr>
            </w:pPr>
          </w:p>
        </w:tc>
        <w:tc>
          <w:tcPr>
            <w:tcW w:w="1276" w:type="dxa"/>
            <w:vMerge w:val="continue"/>
          </w:tcPr>
          <w:p w14:paraId="2F962904">
            <w:pPr>
              <w:pStyle w:val="91"/>
              <w:keepNext w:val="0"/>
              <w:keepLines w:val="0"/>
              <w:suppressLineNumbers w:val="0"/>
              <w:spacing w:before="0" w:beforeAutospacing="0" w:after="0" w:afterAutospacing="0"/>
              <w:ind w:left="0" w:right="0"/>
              <w:rPr>
                <w:rFonts w:hint="default"/>
                <w:color w:val="auto"/>
              </w:rPr>
            </w:pPr>
          </w:p>
        </w:tc>
        <w:tc>
          <w:tcPr>
            <w:tcW w:w="1233" w:type="dxa"/>
          </w:tcPr>
          <w:p w14:paraId="2EB05B84">
            <w:pPr>
              <w:pStyle w:val="91"/>
              <w:keepNext w:val="0"/>
              <w:keepLines w:val="0"/>
              <w:suppressLineNumbers w:val="0"/>
              <w:spacing w:before="0" w:beforeAutospacing="0" w:after="0" w:afterAutospacing="0"/>
              <w:ind w:left="0" w:right="0"/>
              <w:rPr>
                <w:rFonts w:hint="default"/>
                <w:color w:val="auto"/>
              </w:rPr>
            </w:pPr>
            <w:r>
              <w:rPr>
                <w:rFonts w:hint="default"/>
                <w:color w:val="auto"/>
              </w:rPr>
              <w:t>31.08</w:t>
            </w:r>
          </w:p>
        </w:tc>
        <w:tc>
          <w:tcPr>
            <w:tcW w:w="1233" w:type="dxa"/>
          </w:tcPr>
          <w:p w14:paraId="3EB3A15B">
            <w:pPr>
              <w:pStyle w:val="91"/>
              <w:keepNext w:val="0"/>
              <w:keepLines w:val="0"/>
              <w:suppressLineNumbers w:val="0"/>
              <w:spacing w:before="0" w:beforeAutospacing="0" w:after="0" w:afterAutospacing="0"/>
              <w:ind w:left="0" w:right="0"/>
              <w:rPr>
                <w:rFonts w:hint="default"/>
                <w:color w:val="auto"/>
              </w:rPr>
            </w:pPr>
            <w:r>
              <w:rPr>
                <w:rFonts w:hint="default"/>
                <w:color w:val="auto"/>
              </w:rPr>
              <w:t>66.65</w:t>
            </w:r>
          </w:p>
        </w:tc>
        <w:tc>
          <w:tcPr>
            <w:tcW w:w="1233" w:type="dxa"/>
          </w:tcPr>
          <w:p w14:paraId="0C420810">
            <w:pPr>
              <w:pStyle w:val="91"/>
              <w:keepNext w:val="0"/>
              <w:keepLines w:val="0"/>
              <w:suppressLineNumbers w:val="0"/>
              <w:spacing w:before="0" w:beforeAutospacing="0" w:after="0" w:afterAutospacing="0"/>
              <w:ind w:left="0" w:right="0"/>
              <w:rPr>
                <w:rFonts w:hint="default"/>
                <w:color w:val="auto"/>
              </w:rPr>
            </w:pPr>
            <w:r>
              <w:rPr>
                <w:rFonts w:hint="default"/>
                <w:color w:val="auto"/>
              </w:rPr>
              <w:t>160.51</w:t>
            </w:r>
          </w:p>
        </w:tc>
        <w:tc>
          <w:tcPr>
            <w:tcW w:w="1233" w:type="dxa"/>
          </w:tcPr>
          <w:p w14:paraId="5C3C05C8">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7204A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3" w:type="dxa"/>
          </w:tcPr>
          <w:p w14:paraId="4E9C036A">
            <w:pPr>
              <w:pStyle w:val="91"/>
              <w:keepNext w:val="0"/>
              <w:keepLines w:val="0"/>
              <w:suppressLineNumbers w:val="0"/>
              <w:spacing w:before="0" w:beforeAutospacing="0" w:after="0" w:afterAutospacing="0"/>
              <w:ind w:left="0" w:right="0"/>
              <w:rPr>
                <w:rFonts w:hint="default"/>
                <w:color w:val="auto"/>
              </w:rPr>
            </w:pPr>
            <w:r>
              <w:rPr>
                <w:rFonts w:hint="default"/>
                <w:color w:val="auto"/>
              </w:rPr>
              <w:t>3</w:t>
            </w:r>
          </w:p>
        </w:tc>
        <w:tc>
          <w:tcPr>
            <w:tcW w:w="748" w:type="dxa"/>
          </w:tcPr>
          <w:p w14:paraId="523BDE36">
            <w:pPr>
              <w:pStyle w:val="91"/>
              <w:keepNext w:val="0"/>
              <w:keepLines w:val="0"/>
              <w:suppressLineNumbers w:val="0"/>
              <w:spacing w:before="0" w:beforeAutospacing="0" w:after="0" w:afterAutospacing="0"/>
              <w:ind w:left="0" w:right="0"/>
              <w:rPr>
                <w:rFonts w:hint="default"/>
                <w:color w:val="auto"/>
              </w:rPr>
            </w:pPr>
            <w:r>
              <w:rPr>
                <w:rFonts w:hint="default"/>
                <w:color w:val="auto"/>
              </w:rPr>
              <w:t>涨潮</w:t>
            </w:r>
          </w:p>
        </w:tc>
        <w:tc>
          <w:tcPr>
            <w:tcW w:w="1134" w:type="dxa"/>
            <w:vMerge w:val="restart"/>
          </w:tcPr>
          <w:p w14:paraId="5DC89C40">
            <w:pPr>
              <w:pStyle w:val="91"/>
              <w:keepNext w:val="0"/>
              <w:keepLines w:val="0"/>
              <w:suppressLineNumbers w:val="0"/>
              <w:spacing w:before="0" w:beforeAutospacing="0" w:after="0" w:afterAutospacing="0"/>
              <w:ind w:left="0" w:right="0"/>
              <w:rPr>
                <w:rFonts w:hint="default"/>
                <w:color w:val="auto"/>
              </w:rPr>
            </w:pPr>
            <w:r>
              <w:rPr>
                <w:rFonts w:hint="eastAsia"/>
                <w:color w:val="auto"/>
              </w:rPr>
              <w:t>S风</w:t>
            </w:r>
          </w:p>
        </w:tc>
        <w:tc>
          <w:tcPr>
            <w:tcW w:w="1276" w:type="dxa"/>
            <w:vMerge w:val="restart"/>
          </w:tcPr>
          <w:p w14:paraId="741F2CE5">
            <w:pPr>
              <w:pStyle w:val="91"/>
              <w:keepNext w:val="0"/>
              <w:keepLines w:val="0"/>
              <w:suppressLineNumbers w:val="0"/>
              <w:spacing w:before="0" w:beforeAutospacing="0" w:after="0" w:afterAutospacing="0"/>
              <w:ind w:left="0" w:right="0"/>
              <w:rPr>
                <w:rFonts w:hint="default"/>
                <w:color w:val="auto"/>
              </w:rPr>
            </w:pPr>
            <w:r>
              <w:rPr>
                <w:rFonts w:hint="default"/>
                <w:color w:val="auto"/>
              </w:rPr>
              <w:t>5.1</w:t>
            </w:r>
          </w:p>
        </w:tc>
        <w:tc>
          <w:tcPr>
            <w:tcW w:w="1233" w:type="dxa"/>
          </w:tcPr>
          <w:p w14:paraId="6B0A51BD">
            <w:pPr>
              <w:pStyle w:val="91"/>
              <w:keepNext w:val="0"/>
              <w:keepLines w:val="0"/>
              <w:suppressLineNumbers w:val="0"/>
              <w:spacing w:before="0" w:beforeAutospacing="0" w:after="0" w:afterAutospacing="0"/>
              <w:ind w:left="0" w:right="0"/>
              <w:rPr>
                <w:rFonts w:hint="default"/>
                <w:color w:val="auto"/>
              </w:rPr>
            </w:pPr>
            <w:r>
              <w:rPr>
                <w:rFonts w:hint="default"/>
                <w:color w:val="auto"/>
              </w:rPr>
              <w:t>4.80</w:t>
            </w:r>
          </w:p>
        </w:tc>
        <w:tc>
          <w:tcPr>
            <w:tcW w:w="1233" w:type="dxa"/>
          </w:tcPr>
          <w:p w14:paraId="05EEA5F1">
            <w:pPr>
              <w:pStyle w:val="91"/>
              <w:keepNext w:val="0"/>
              <w:keepLines w:val="0"/>
              <w:suppressLineNumbers w:val="0"/>
              <w:spacing w:before="0" w:beforeAutospacing="0" w:after="0" w:afterAutospacing="0"/>
              <w:ind w:left="0" w:right="0"/>
              <w:rPr>
                <w:rFonts w:hint="default"/>
                <w:color w:val="auto"/>
              </w:rPr>
            </w:pPr>
            <w:r>
              <w:rPr>
                <w:rFonts w:hint="default"/>
                <w:color w:val="auto"/>
              </w:rPr>
              <w:t>10.97</w:t>
            </w:r>
          </w:p>
        </w:tc>
        <w:tc>
          <w:tcPr>
            <w:tcW w:w="1233" w:type="dxa"/>
          </w:tcPr>
          <w:p w14:paraId="2F60BFC8">
            <w:pPr>
              <w:pStyle w:val="91"/>
              <w:keepNext w:val="0"/>
              <w:keepLines w:val="0"/>
              <w:suppressLineNumbers w:val="0"/>
              <w:spacing w:before="0" w:beforeAutospacing="0" w:after="0" w:afterAutospacing="0"/>
              <w:ind w:left="0" w:right="0"/>
              <w:rPr>
                <w:rFonts w:hint="default"/>
                <w:color w:val="auto"/>
              </w:rPr>
            </w:pPr>
            <w:r>
              <w:rPr>
                <w:rFonts w:hint="default"/>
                <w:color w:val="auto"/>
              </w:rPr>
              <w:t>11.16</w:t>
            </w:r>
          </w:p>
        </w:tc>
        <w:tc>
          <w:tcPr>
            <w:tcW w:w="1233" w:type="dxa"/>
          </w:tcPr>
          <w:p w14:paraId="2DAA1C19">
            <w:pPr>
              <w:pStyle w:val="91"/>
              <w:keepNext w:val="0"/>
              <w:keepLines w:val="0"/>
              <w:suppressLineNumbers w:val="0"/>
              <w:spacing w:before="0" w:beforeAutospacing="0" w:after="0" w:afterAutospacing="0"/>
              <w:ind w:left="0" w:right="0"/>
              <w:rPr>
                <w:rFonts w:hint="default"/>
                <w:color w:val="auto"/>
              </w:rPr>
            </w:pPr>
            <w:r>
              <w:rPr>
                <w:rFonts w:hint="default"/>
                <w:color w:val="auto"/>
              </w:rPr>
              <w:t>11.22</w:t>
            </w:r>
          </w:p>
        </w:tc>
      </w:tr>
      <w:tr w14:paraId="68641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3" w:type="dxa"/>
          </w:tcPr>
          <w:p w14:paraId="377A17A8">
            <w:pPr>
              <w:pStyle w:val="91"/>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748" w:type="dxa"/>
          </w:tcPr>
          <w:p w14:paraId="61EA4A7E">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1134" w:type="dxa"/>
            <w:vMerge w:val="continue"/>
          </w:tcPr>
          <w:p w14:paraId="7438A208">
            <w:pPr>
              <w:pStyle w:val="91"/>
              <w:keepNext w:val="0"/>
              <w:keepLines w:val="0"/>
              <w:suppressLineNumbers w:val="0"/>
              <w:spacing w:before="0" w:beforeAutospacing="0" w:after="0" w:afterAutospacing="0"/>
              <w:ind w:left="0" w:right="0"/>
              <w:rPr>
                <w:rFonts w:hint="default"/>
                <w:color w:val="auto"/>
              </w:rPr>
            </w:pPr>
          </w:p>
        </w:tc>
        <w:tc>
          <w:tcPr>
            <w:tcW w:w="1276" w:type="dxa"/>
            <w:vMerge w:val="continue"/>
          </w:tcPr>
          <w:p w14:paraId="3BACFA14">
            <w:pPr>
              <w:pStyle w:val="91"/>
              <w:keepNext w:val="0"/>
              <w:keepLines w:val="0"/>
              <w:suppressLineNumbers w:val="0"/>
              <w:spacing w:before="0" w:beforeAutospacing="0" w:after="0" w:afterAutospacing="0"/>
              <w:ind w:left="0" w:right="0"/>
              <w:rPr>
                <w:rFonts w:hint="default"/>
                <w:color w:val="auto"/>
              </w:rPr>
            </w:pPr>
          </w:p>
        </w:tc>
        <w:tc>
          <w:tcPr>
            <w:tcW w:w="1233" w:type="dxa"/>
          </w:tcPr>
          <w:p w14:paraId="76029DC4">
            <w:pPr>
              <w:pStyle w:val="91"/>
              <w:keepNext w:val="0"/>
              <w:keepLines w:val="0"/>
              <w:suppressLineNumbers w:val="0"/>
              <w:spacing w:before="0" w:beforeAutospacing="0" w:after="0" w:afterAutospacing="0"/>
              <w:ind w:left="0" w:right="0"/>
              <w:rPr>
                <w:rFonts w:hint="default"/>
                <w:color w:val="auto"/>
              </w:rPr>
            </w:pPr>
            <w:r>
              <w:rPr>
                <w:rFonts w:hint="default"/>
                <w:color w:val="auto"/>
              </w:rPr>
              <w:t>3.85</w:t>
            </w:r>
          </w:p>
        </w:tc>
        <w:tc>
          <w:tcPr>
            <w:tcW w:w="1233" w:type="dxa"/>
          </w:tcPr>
          <w:p w14:paraId="5D6B5380">
            <w:pPr>
              <w:pStyle w:val="91"/>
              <w:keepNext w:val="0"/>
              <w:keepLines w:val="0"/>
              <w:suppressLineNumbers w:val="0"/>
              <w:spacing w:before="0" w:beforeAutospacing="0" w:after="0" w:afterAutospacing="0"/>
              <w:ind w:left="0" w:right="0"/>
              <w:rPr>
                <w:rFonts w:hint="default"/>
                <w:b/>
                <w:color w:val="auto"/>
              </w:rPr>
            </w:pPr>
            <w:r>
              <w:rPr>
                <w:rFonts w:hint="default"/>
                <w:color w:val="auto"/>
              </w:rPr>
              <w:t>4.65</w:t>
            </w:r>
          </w:p>
        </w:tc>
        <w:tc>
          <w:tcPr>
            <w:tcW w:w="1233" w:type="dxa"/>
          </w:tcPr>
          <w:p w14:paraId="796F3388">
            <w:pPr>
              <w:pStyle w:val="91"/>
              <w:keepNext w:val="0"/>
              <w:keepLines w:val="0"/>
              <w:suppressLineNumbers w:val="0"/>
              <w:spacing w:before="0" w:beforeAutospacing="0" w:after="0" w:afterAutospacing="0"/>
              <w:ind w:left="0" w:right="0"/>
              <w:rPr>
                <w:rFonts w:hint="default"/>
                <w:b/>
                <w:color w:val="auto"/>
              </w:rPr>
            </w:pPr>
            <w:r>
              <w:rPr>
                <w:rFonts w:hint="default"/>
                <w:color w:val="auto"/>
              </w:rPr>
              <w:t>4.81</w:t>
            </w:r>
          </w:p>
        </w:tc>
        <w:tc>
          <w:tcPr>
            <w:tcW w:w="1233" w:type="dxa"/>
          </w:tcPr>
          <w:p w14:paraId="3A18E709">
            <w:pPr>
              <w:pStyle w:val="91"/>
              <w:keepNext w:val="0"/>
              <w:keepLines w:val="0"/>
              <w:suppressLineNumbers w:val="0"/>
              <w:spacing w:before="0" w:beforeAutospacing="0" w:after="0" w:afterAutospacing="0"/>
              <w:ind w:left="0" w:right="0"/>
              <w:rPr>
                <w:rFonts w:hint="default"/>
                <w:b/>
                <w:color w:val="auto"/>
              </w:rPr>
            </w:pPr>
            <w:r>
              <w:rPr>
                <w:rFonts w:hint="default"/>
                <w:color w:val="auto"/>
              </w:rPr>
              <w:t>-</w:t>
            </w:r>
          </w:p>
        </w:tc>
      </w:tr>
      <w:tr w14:paraId="4A39E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3" w:type="dxa"/>
          </w:tcPr>
          <w:p w14:paraId="0C1F783E">
            <w:pPr>
              <w:pStyle w:val="91"/>
              <w:keepNext w:val="0"/>
              <w:keepLines w:val="0"/>
              <w:suppressLineNumbers w:val="0"/>
              <w:spacing w:before="0" w:beforeAutospacing="0" w:after="0" w:afterAutospacing="0"/>
              <w:ind w:left="0" w:right="0"/>
              <w:rPr>
                <w:rFonts w:hint="default"/>
                <w:color w:val="auto"/>
              </w:rPr>
            </w:pPr>
            <w:r>
              <w:rPr>
                <w:rFonts w:hint="default"/>
                <w:color w:val="auto"/>
              </w:rPr>
              <w:t>5</w:t>
            </w:r>
          </w:p>
        </w:tc>
        <w:tc>
          <w:tcPr>
            <w:tcW w:w="748" w:type="dxa"/>
          </w:tcPr>
          <w:p w14:paraId="2E54AB5B">
            <w:pPr>
              <w:pStyle w:val="91"/>
              <w:keepNext w:val="0"/>
              <w:keepLines w:val="0"/>
              <w:suppressLineNumbers w:val="0"/>
              <w:spacing w:before="0" w:beforeAutospacing="0" w:after="0" w:afterAutospacing="0"/>
              <w:ind w:left="0" w:right="0"/>
              <w:rPr>
                <w:rFonts w:hint="default"/>
                <w:color w:val="auto"/>
              </w:rPr>
            </w:pPr>
            <w:r>
              <w:rPr>
                <w:rFonts w:hint="eastAsia"/>
                <w:color w:val="auto"/>
              </w:rPr>
              <w:t>涨潮</w:t>
            </w:r>
          </w:p>
        </w:tc>
        <w:tc>
          <w:tcPr>
            <w:tcW w:w="1134" w:type="dxa"/>
            <w:vMerge w:val="restart"/>
          </w:tcPr>
          <w:p w14:paraId="013E8AD1">
            <w:pPr>
              <w:pStyle w:val="91"/>
              <w:keepNext w:val="0"/>
              <w:keepLines w:val="0"/>
              <w:suppressLineNumbers w:val="0"/>
              <w:spacing w:before="0" w:beforeAutospacing="0" w:after="0" w:afterAutospacing="0"/>
              <w:ind w:left="0" w:right="0"/>
              <w:rPr>
                <w:rFonts w:hint="default"/>
                <w:color w:val="auto"/>
              </w:rPr>
            </w:pPr>
            <w:r>
              <w:rPr>
                <w:rFonts w:hint="default"/>
                <w:color w:val="auto"/>
              </w:rPr>
              <w:t>SE风</w:t>
            </w:r>
          </w:p>
        </w:tc>
        <w:tc>
          <w:tcPr>
            <w:tcW w:w="1276" w:type="dxa"/>
            <w:vMerge w:val="restart"/>
          </w:tcPr>
          <w:p w14:paraId="576035B6">
            <w:pPr>
              <w:pStyle w:val="91"/>
              <w:keepNext w:val="0"/>
              <w:keepLines w:val="0"/>
              <w:suppressLineNumbers w:val="0"/>
              <w:spacing w:before="0" w:beforeAutospacing="0" w:after="0" w:afterAutospacing="0"/>
              <w:ind w:left="0" w:right="0"/>
              <w:rPr>
                <w:rFonts w:hint="default"/>
                <w:color w:val="auto"/>
              </w:rPr>
            </w:pPr>
            <w:r>
              <w:rPr>
                <w:rFonts w:hint="eastAsia"/>
                <w:color w:val="auto"/>
              </w:rPr>
              <w:t>1</w:t>
            </w:r>
            <w:r>
              <w:rPr>
                <w:rFonts w:hint="default"/>
                <w:color w:val="auto"/>
              </w:rPr>
              <w:t>3.8</w:t>
            </w:r>
          </w:p>
        </w:tc>
        <w:tc>
          <w:tcPr>
            <w:tcW w:w="1233" w:type="dxa"/>
          </w:tcPr>
          <w:p w14:paraId="20F97364">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23.47</w:t>
            </w:r>
          </w:p>
        </w:tc>
        <w:tc>
          <w:tcPr>
            <w:tcW w:w="1233" w:type="dxa"/>
          </w:tcPr>
          <w:p w14:paraId="1CCC9454">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25.24</w:t>
            </w:r>
          </w:p>
        </w:tc>
        <w:tc>
          <w:tcPr>
            <w:tcW w:w="1233" w:type="dxa"/>
          </w:tcPr>
          <w:p w14:paraId="6F631B8D">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25.65</w:t>
            </w:r>
          </w:p>
        </w:tc>
        <w:tc>
          <w:tcPr>
            <w:tcW w:w="1233" w:type="dxa"/>
          </w:tcPr>
          <w:p w14:paraId="4824E38A">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26.14</w:t>
            </w:r>
          </w:p>
        </w:tc>
      </w:tr>
      <w:tr w14:paraId="03B63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3" w:type="dxa"/>
          </w:tcPr>
          <w:p w14:paraId="2B5C8622">
            <w:pPr>
              <w:pStyle w:val="91"/>
              <w:keepNext w:val="0"/>
              <w:keepLines w:val="0"/>
              <w:suppressLineNumbers w:val="0"/>
              <w:spacing w:before="0" w:beforeAutospacing="0" w:after="0" w:afterAutospacing="0"/>
              <w:ind w:left="0" w:right="0"/>
              <w:rPr>
                <w:rFonts w:hint="default"/>
                <w:color w:val="auto"/>
              </w:rPr>
            </w:pPr>
            <w:r>
              <w:rPr>
                <w:rFonts w:hint="default"/>
                <w:color w:val="auto"/>
              </w:rPr>
              <w:t>6</w:t>
            </w:r>
          </w:p>
        </w:tc>
        <w:tc>
          <w:tcPr>
            <w:tcW w:w="748" w:type="dxa"/>
          </w:tcPr>
          <w:p w14:paraId="17929CBF">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1134" w:type="dxa"/>
            <w:vMerge w:val="continue"/>
          </w:tcPr>
          <w:p w14:paraId="6E940F6B">
            <w:pPr>
              <w:pStyle w:val="91"/>
              <w:keepNext w:val="0"/>
              <w:keepLines w:val="0"/>
              <w:suppressLineNumbers w:val="0"/>
              <w:spacing w:before="0" w:beforeAutospacing="0" w:after="0" w:afterAutospacing="0"/>
              <w:ind w:left="0" w:right="0"/>
              <w:rPr>
                <w:rFonts w:hint="default"/>
                <w:color w:val="auto"/>
              </w:rPr>
            </w:pPr>
          </w:p>
        </w:tc>
        <w:tc>
          <w:tcPr>
            <w:tcW w:w="1276" w:type="dxa"/>
            <w:vMerge w:val="continue"/>
          </w:tcPr>
          <w:p w14:paraId="41207960">
            <w:pPr>
              <w:pStyle w:val="91"/>
              <w:keepNext w:val="0"/>
              <w:keepLines w:val="0"/>
              <w:suppressLineNumbers w:val="0"/>
              <w:spacing w:before="0" w:beforeAutospacing="0" w:after="0" w:afterAutospacing="0"/>
              <w:ind w:left="0" w:right="0"/>
              <w:rPr>
                <w:rFonts w:hint="default"/>
                <w:color w:val="auto"/>
              </w:rPr>
            </w:pPr>
          </w:p>
        </w:tc>
        <w:tc>
          <w:tcPr>
            <w:tcW w:w="1233" w:type="dxa"/>
          </w:tcPr>
          <w:p w14:paraId="15DD3B4F">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1.26</w:t>
            </w:r>
          </w:p>
        </w:tc>
        <w:tc>
          <w:tcPr>
            <w:tcW w:w="1233" w:type="dxa"/>
          </w:tcPr>
          <w:p w14:paraId="6338FA99">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24.78</w:t>
            </w:r>
          </w:p>
        </w:tc>
        <w:tc>
          <w:tcPr>
            <w:tcW w:w="1233" w:type="dxa"/>
          </w:tcPr>
          <w:p w14:paraId="1BF2A291">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25.96</w:t>
            </w:r>
          </w:p>
        </w:tc>
        <w:tc>
          <w:tcPr>
            <w:tcW w:w="1233" w:type="dxa"/>
          </w:tcPr>
          <w:p w14:paraId="46534621">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26.80</w:t>
            </w:r>
          </w:p>
        </w:tc>
      </w:tr>
    </w:tbl>
    <w:p w14:paraId="0028D374">
      <w:pPr>
        <w:pStyle w:val="117"/>
        <w:rPr>
          <w:color w:val="auto"/>
        </w:rPr>
      </w:pPr>
      <w:r>
        <w:rPr>
          <w:color w:val="auto"/>
        </w:rPr>
        <w:t>注：1、扫海面积以油膜绘制时间间隔10分钟的轨迹图进行统计；</w:t>
      </w:r>
    </w:p>
    <w:p w14:paraId="3944A6E3">
      <w:pPr>
        <w:pStyle w:val="117"/>
        <w:rPr>
          <w:color w:val="auto"/>
        </w:rPr>
      </w:pPr>
      <w:r>
        <w:rPr>
          <w:color w:val="auto"/>
        </w:rPr>
        <w:t>2、表中“-”表示油膜抵岸且不再运动</w:t>
      </w:r>
      <w:r>
        <w:rPr>
          <w:rFonts w:hint="eastAsia"/>
          <w:color w:val="auto"/>
        </w:rPr>
        <w:t>或扩散出计算区域</w:t>
      </w:r>
      <w:r>
        <w:rPr>
          <w:color w:val="auto"/>
        </w:rPr>
        <w:t>，扫海面积不再增大。</w:t>
      </w:r>
    </w:p>
    <w:p w14:paraId="2E3112B3">
      <w:pPr>
        <w:ind w:firstLine="480"/>
        <w:jc w:val="center"/>
        <w:rPr>
          <w:color w:val="auto"/>
          <w:u w:val="single"/>
        </w:rPr>
      </w:pPr>
      <w:r>
        <w:rPr>
          <w:rStyle w:val="239"/>
          <w:color w:val="auto"/>
          <w:u w:val="single"/>
        </w:rPr>
        <w:drawing>
          <wp:inline distT="0" distB="0" distL="0" distR="0">
            <wp:extent cx="4031615" cy="3675380"/>
            <wp:effectExtent l="0" t="0" r="4445" b="5080"/>
            <wp:docPr id="56" name="图片 56" descr="F:\My_projects\Dongyou_GX2026\ShinaoYou\Result_Shinao_0.03_new\GX_spring_Oil_case0_72H_Decoupled_flood_N_case1.m21fm - Result Files\ShinaoYou_flood_N_case1_Large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F:\My_projects\Dongyou_GX2026\ShinaoYou\Result_Shinao_0.03_new\GX_spring_Oil_case0_72H_Decoupled_flood_N_case1.m21fm - Result Files\ShinaoYou_flood_N_case1_Large_new.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0" y="0"/>
                      <a:ext cx="4031615" cy="3675380"/>
                    </a:xfrm>
                    <a:prstGeom prst="rect">
                      <a:avLst/>
                    </a:prstGeom>
                    <a:noFill/>
                    <a:ln>
                      <a:noFill/>
                    </a:ln>
                  </pic:spPr>
                </pic:pic>
              </a:graphicData>
            </a:graphic>
          </wp:inline>
        </w:drawing>
      </w:r>
    </w:p>
    <w:p w14:paraId="3D1060B3">
      <w:pPr>
        <w:pStyle w:val="14"/>
        <w:rPr>
          <w:rStyle w:val="239"/>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14</w:t>
      </w:r>
      <w:r>
        <w:rPr>
          <w:color w:val="auto"/>
          <w:u w:val="single"/>
        </w:rPr>
        <w:fldChar w:fldCharType="end"/>
      </w:r>
      <w:r>
        <w:rPr>
          <w:rFonts w:hint="eastAsia"/>
          <w:color w:val="auto"/>
          <w:u w:val="single"/>
        </w:rPr>
        <w:t>石脑油</w:t>
      </w:r>
      <w:r>
        <w:rPr>
          <w:color w:val="auto"/>
          <w:u w:val="single"/>
        </w:rPr>
        <w:t>溢油</w:t>
      </w:r>
      <w:r>
        <w:rPr>
          <w:rFonts w:hint="eastAsia"/>
          <w:color w:val="auto"/>
          <w:u w:val="single"/>
        </w:rPr>
        <w:t>事故工况1</w:t>
      </w:r>
      <w:r>
        <w:rPr>
          <w:color w:val="auto"/>
          <w:u w:val="single"/>
        </w:rPr>
        <w:t>油膜运动轨迹图</w:t>
      </w:r>
    </w:p>
    <w:p w14:paraId="385A87C6">
      <w:pPr>
        <w:pStyle w:val="14"/>
        <w:rPr>
          <w:rStyle w:val="239"/>
          <w:color w:val="auto"/>
          <w:sz w:val="21"/>
          <w:u w:val="single"/>
        </w:rPr>
      </w:pPr>
      <w:r>
        <w:rPr>
          <w:rStyle w:val="239"/>
          <w:color w:val="auto"/>
          <w:sz w:val="21"/>
          <w:u w:val="single"/>
        </w:rPr>
        <w:t>（大潮涨潮期，</w:t>
      </w:r>
      <w:r>
        <w:rPr>
          <w:rStyle w:val="239"/>
          <w:rFonts w:hint="eastAsia"/>
          <w:color w:val="auto"/>
          <w:sz w:val="21"/>
          <w:u w:val="single"/>
        </w:rPr>
        <w:t>冬季N风、风速</w:t>
      </w:r>
      <w:r>
        <w:rPr>
          <w:rStyle w:val="239"/>
          <w:color w:val="auto"/>
          <w:sz w:val="21"/>
          <w:u w:val="single"/>
        </w:rPr>
        <w:t>6.7m/s，绘制间隔60</w:t>
      </w:r>
      <w:r>
        <w:rPr>
          <w:rStyle w:val="239"/>
          <w:rFonts w:hint="eastAsia"/>
          <w:color w:val="auto"/>
          <w:sz w:val="21"/>
          <w:u w:val="single"/>
        </w:rPr>
        <w:t>min</w:t>
      </w:r>
      <w:r>
        <w:rPr>
          <w:rStyle w:val="239"/>
          <w:color w:val="auto"/>
          <w:sz w:val="21"/>
          <w:u w:val="single"/>
        </w:rPr>
        <w:t>）</w:t>
      </w:r>
    </w:p>
    <w:p w14:paraId="69D2EC79">
      <w:pPr>
        <w:ind w:firstLine="480"/>
        <w:jc w:val="center"/>
        <w:rPr>
          <w:color w:val="auto"/>
          <w:u w:val="single"/>
        </w:rPr>
      </w:pPr>
      <w:r>
        <w:rPr>
          <w:rStyle w:val="239"/>
          <w:color w:val="auto"/>
          <w:u w:val="single"/>
        </w:rPr>
        <w:drawing>
          <wp:inline distT="0" distB="0" distL="0" distR="0">
            <wp:extent cx="4041775" cy="3675380"/>
            <wp:effectExtent l="0" t="0" r="12065" b="5080"/>
            <wp:docPr id="58" name="图片 58" descr="F:\My_projects\Dongyou_GX2026\ShinaoYou\Result_Shinao_0.03_new\GX_spring_Oil_case0_72H_Decoupled_ebb_N_case2.m21fm - Result Files\ShinaoYou_ebb_N_case2_Large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F:\My_projects\Dongyou_GX2026\ShinaoYou\Result_Shinao_0.03_new\GX_spring_Oil_case0_72H_Decoupled_ebb_N_case2.m21fm - Result Files\ShinaoYou_ebb_N_case2_Large_new.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a:xfrm>
                      <a:off x="0" y="0"/>
                      <a:ext cx="4041775" cy="3675380"/>
                    </a:xfrm>
                    <a:prstGeom prst="rect">
                      <a:avLst/>
                    </a:prstGeom>
                    <a:noFill/>
                    <a:ln>
                      <a:noFill/>
                    </a:ln>
                  </pic:spPr>
                </pic:pic>
              </a:graphicData>
            </a:graphic>
          </wp:inline>
        </w:drawing>
      </w:r>
    </w:p>
    <w:p w14:paraId="00229E22">
      <w:pPr>
        <w:pStyle w:val="14"/>
        <w:rPr>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15</w:t>
      </w:r>
      <w:r>
        <w:rPr>
          <w:color w:val="auto"/>
          <w:u w:val="single"/>
        </w:rPr>
        <w:fldChar w:fldCharType="end"/>
      </w:r>
      <w:r>
        <w:rPr>
          <w:rFonts w:hint="eastAsia"/>
          <w:color w:val="auto"/>
          <w:u w:val="single"/>
        </w:rPr>
        <w:t>石脑油溢油事故工况2油膜运动轨迹图</w:t>
      </w:r>
    </w:p>
    <w:p w14:paraId="21551622">
      <w:pPr>
        <w:pStyle w:val="14"/>
        <w:rPr>
          <w:color w:val="auto"/>
          <w:u w:val="single"/>
        </w:rPr>
      </w:pPr>
      <w:r>
        <w:rPr>
          <w:rFonts w:hint="eastAsia"/>
          <w:color w:val="auto"/>
          <w:u w:val="single"/>
        </w:rPr>
        <w:t>（大潮落潮期，冬季N风、风速6.7m/s，绘制间隔60min）</w:t>
      </w:r>
    </w:p>
    <w:p w14:paraId="1333293D">
      <w:pPr>
        <w:ind w:firstLine="480"/>
        <w:jc w:val="center"/>
        <w:rPr>
          <w:color w:val="auto"/>
          <w:u w:val="single"/>
        </w:rPr>
      </w:pPr>
      <w:r>
        <w:rPr>
          <w:rStyle w:val="239"/>
          <w:color w:val="auto"/>
          <w:u w:val="single"/>
        </w:rPr>
        <w:drawing>
          <wp:inline distT="0" distB="0" distL="0" distR="0">
            <wp:extent cx="4032250" cy="3675380"/>
            <wp:effectExtent l="0" t="0" r="3810" b="5080"/>
            <wp:docPr id="67" name="图片 67" descr="F:\My_projects\Dongyou_GX2026\ShinaoYou\Result_Shinao_0.03_new\GX_spring_Oil_case0_72H_Decoupled_flood_S_case3.m21fm - Result Files\ShinaoYou_flood_S_case3_Large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F:\My_projects\Dongyou_GX2026\ShinaoYou\Result_Shinao_0.03_new\GX_spring_Oil_case0_72H_Decoupled_flood_S_case3.m21fm - Result Files\ShinaoYou_flood_S_case3_Large_new.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a:xfrm>
                      <a:off x="0" y="0"/>
                      <a:ext cx="4032250" cy="3675380"/>
                    </a:xfrm>
                    <a:prstGeom prst="rect">
                      <a:avLst/>
                    </a:prstGeom>
                    <a:noFill/>
                    <a:ln>
                      <a:noFill/>
                    </a:ln>
                  </pic:spPr>
                </pic:pic>
              </a:graphicData>
            </a:graphic>
          </wp:inline>
        </w:drawing>
      </w:r>
    </w:p>
    <w:p w14:paraId="1EC53104">
      <w:pPr>
        <w:pStyle w:val="14"/>
        <w:rPr>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16</w:t>
      </w:r>
      <w:r>
        <w:rPr>
          <w:color w:val="auto"/>
          <w:u w:val="single"/>
        </w:rPr>
        <w:fldChar w:fldCharType="end"/>
      </w:r>
      <w:r>
        <w:rPr>
          <w:rFonts w:hint="eastAsia"/>
          <w:color w:val="auto"/>
          <w:u w:val="single"/>
        </w:rPr>
        <w:t>石脑油溢油事故工况3油膜运动轨迹图</w:t>
      </w:r>
    </w:p>
    <w:p w14:paraId="0DF61789">
      <w:pPr>
        <w:pStyle w:val="14"/>
        <w:rPr>
          <w:color w:val="auto"/>
          <w:u w:val="single"/>
        </w:rPr>
      </w:pPr>
      <w:r>
        <w:rPr>
          <w:rFonts w:hint="eastAsia"/>
          <w:color w:val="auto"/>
          <w:u w:val="single"/>
        </w:rPr>
        <w:t>（大潮涨潮期，夏季S风、风速5.1m/s，绘制间隔60min）</w:t>
      </w:r>
    </w:p>
    <w:p w14:paraId="34F19546">
      <w:pPr>
        <w:ind w:firstLine="480"/>
        <w:jc w:val="center"/>
        <w:rPr>
          <w:color w:val="auto"/>
          <w:u w:val="single"/>
        </w:rPr>
      </w:pPr>
      <w:r>
        <w:rPr>
          <w:rStyle w:val="239"/>
          <w:color w:val="auto"/>
          <w:u w:val="single"/>
        </w:rPr>
        <w:drawing>
          <wp:inline distT="0" distB="0" distL="0" distR="0">
            <wp:extent cx="4032250" cy="3675380"/>
            <wp:effectExtent l="0" t="0" r="3810" b="5080"/>
            <wp:docPr id="68" name="图片 68" descr="F:\My_projects\Dongyou_GX2026\ShinaoYou\Result_Shinao_0.03_new\GX_spring_Oil_case0_72H_Decoupled_ebb_S_case4.m21fm - Result Files\ShinaoYou_ebb_S_case4_Large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F:\My_projects\Dongyou_GX2026\ShinaoYou\Result_Shinao_0.03_new\GX_spring_Oil_case0_72H_Decoupled_ebb_S_case4.m21fm - Result Files\ShinaoYou_ebb_S_case4_Largenew.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a:xfrm>
                      <a:off x="0" y="0"/>
                      <a:ext cx="4032250" cy="3675380"/>
                    </a:xfrm>
                    <a:prstGeom prst="rect">
                      <a:avLst/>
                    </a:prstGeom>
                    <a:noFill/>
                    <a:ln>
                      <a:noFill/>
                    </a:ln>
                  </pic:spPr>
                </pic:pic>
              </a:graphicData>
            </a:graphic>
          </wp:inline>
        </w:drawing>
      </w:r>
    </w:p>
    <w:p w14:paraId="32F8623E">
      <w:pPr>
        <w:pStyle w:val="14"/>
        <w:rPr>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17</w:t>
      </w:r>
      <w:r>
        <w:rPr>
          <w:color w:val="auto"/>
          <w:u w:val="single"/>
        </w:rPr>
        <w:fldChar w:fldCharType="end"/>
      </w:r>
      <w:r>
        <w:rPr>
          <w:rFonts w:hint="eastAsia"/>
          <w:color w:val="auto"/>
          <w:u w:val="single"/>
        </w:rPr>
        <w:t>石脑油溢油事故工况4油膜运动轨迹图</w:t>
      </w:r>
    </w:p>
    <w:p w14:paraId="089F3161">
      <w:pPr>
        <w:pStyle w:val="14"/>
        <w:rPr>
          <w:color w:val="auto"/>
          <w:u w:val="single"/>
        </w:rPr>
      </w:pPr>
      <w:r>
        <w:rPr>
          <w:rFonts w:hint="eastAsia"/>
          <w:color w:val="auto"/>
          <w:u w:val="single"/>
        </w:rPr>
        <w:t>（大潮落潮期，夏季S风、风速5.1m/s，绘制间隔60min）</w:t>
      </w:r>
    </w:p>
    <w:p w14:paraId="14CA490F">
      <w:pPr>
        <w:pStyle w:val="240"/>
        <w:jc w:val="center"/>
        <w:rPr>
          <w:rStyle w:val="239"/>
          <w:color w:val="auto"/>
          <w:u w:val="single"/>
        </w:rPr>
      </w:pPr>
      <w:r>
        <w:rPr>
          <w:rStyle w:val="239"/>
          <w:color w:val="auto"/>
          <w:u w:val="single"/>
        </w:rPr>
        <w:drawing>
          <wp:inline distT="0" distB="0" distL="0" distR="0">
            <wp:extent cx="4032250" cy="3675380"/>
            <wp:effectExtent l="0" t="0" r="3810" b="5080"/>
            <wp:docPr id="70" name="图片 70" descr="F:\My_projects\Dongyou_GX2026\ShinaoYou\Result_Shinao_0.03_new\GX_spring_Oil_case0_72H_Decoupled_flood_SE_case7.m21fm - Result Files\ShinaoYou_flood_SE_case7_Large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F:\My_projects\Dongyou_GX2026\ShinaoYou\Result_Shinao_0.03_new\GX_spring_Oil_case0_72H_Decoupled_flood_SE_case7.m21fm - Result Files\ShinaoYou_flood_SE_case7_Large_new.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0" y="0"/>
                      <a:ext cx="4032250" cy="3675380"/>
                    </a:xfrm>
                    <a:prstGeom prst="rect">
                      <a:avLst/>
                    </a:prstGeom>
                    <a:noFill/>
                    <a:ln>
                      <a:noFill/>
                    </a:ln>
                  </pic:spPr>
                </pic:pic>
              </a:graphicData>
            </a:graphic>
          </wp:inline>
        </w:drawing>
      </w:r>
    </w:p>
    <w:p w14:paraId="2F618D48">
      <w:pPr>
        <w:pStyle w:val="14"/>
        <w:rPr>
          <w:rStyle w:val="239"/>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18</w:t>
      </w:r>
      <w:r>
        <w:rPr>
          <w:color w:val="auto"/>
          <w:u w:val="single"/>
        </w:rPr>
        <w:fldChar w:fldCharType="end"/>
      </w:r>
      <w:r>
        <w:rPr>
          <w:rFonts w:hint="eastAsia"/>
          <w:color w:val="auto"/>
          <w:u w:val="single"/>
        </w:rPr>
        <w:t>石脑油</w:t>
      </w:r>
      <w:r>
        <w:rPr>
          <w:color w:val="auto"/>
          <w:u w:val="single"/>
        </w:rPr>
        <w:t>溢油</w:t>
      </w:r>
      <w:r>
        <w:rPr>
          <w:rFonts w:hint="eastAsia"/>
          <w:color w:val="auto"/>
          <w:u w:val="single"/>
        </w:rPr>
        <w:t>事故工况</w:t>
      </w:r>
      <w:r>
        <w:rPr>
          <w:rFonts w:hint="eastAsia"/>
          <w:color w:val="auto"/>
          <w:u w:val="single"/>
          <w:lang w:val="en-US" w:eastAsia="zh-CN"/>
        </w:rPr>
        <w:t>5</w:t>
      </w:r>
      <w:r>
        <w:rPr>
          <w:color w:val="auto"/>
          <w:u w:val="single"/>
        </w:rPr>
        <w:t>油膜运动轨迹图</w:t>
      </w:r>
    </w:p>
    <w:p w14:paraId="4C75CBE9">
      <w:pPr>
        <w:pStyle w:val="14"/>
        <w:rPr>
          <w:rStyle w:val="239"/>
          <w:color w:val="auto"/>
          <w:sz w:val="21"/>
          <w:u w:val="single"/>
        </w:rPr>
      </w:pPr>
      <w:r>
        <w:rPr>
          <w:rStyle w:val="239"/>
          <w:color w:val="auto"/>
          <w:sz w:val="21"/>
          <w:u w:val="single"/>
        </w:rPr>
        <w:t>（大潮</w:t>
      </w:r>
      <w:r>
        <w:rPr>
          <w:rStyle w:val="239"/>
          <w:rFonts w:hint="eastAsia"/>
          <w:color w:val="auto"/>
          <w:sz w:val="21"/>
          <w:u w:val="single"/>
        </w:rPr>
        <w:t>涨</w:t>
      </w:r>
      <w:r>
        <w:rPr>
          <w:rStyle w:val="239"/>
          <w:color w:val="auto"/>
          <w:sz w:val="21"/>
          <w:u w:val="single"/>
        </w:rPr>
        <w:t>潮期，</w:t>
      </w:r>
      <w:r>
        <w:rPr>
          <w:rStyle w:val="239"/>
          <w:rFonts w:hint="eastAsia"/>
          <w:color w:val="auto"/>
          <w:sz w:val="21"/>
          <w:u w:val="single"/>
        </w:rPr>
        <w:t>不利SE风、风速</w:t>
      </w:r>
      <w:r>
        <w:rPr>
          <w:rStyle w:val="239"/>
          <w:color w:val="auto"/>
          <w:sz w:val="21"/>
          <w:u w:val="single"/>
        </w:rPr>
        <w:t>13.8m/s，绘制间隔60</w:t>
      </w:r>
      <w:r>
        <w:rPr>
          <w:rStyle w:val="239"/>
          <w:rFonts w:hint="eastAsia"/>
          <w:color w:val="auto"/>
          <w:sz w:val="21"/>
          <w:u w:val="single"/>
        </w:rPr>
        <w:t>min</w:t>
      </w:r>
      <w:r>
        <w:rPr>
          <w:rStyle w:val="239"/>
          <w:color w:val="auto"/>
          <w:sz w:val="21"/>
          <w:u w:val="single"/>
        </w:rPr>
        <w:t>）</w:t>
      </w:r>
    </w:p>
    <w:p w14:paraId="5E1C91CB">
      <w:pPr>
        <w:pStyle w:val="240"/>
        <w:jc w:val="center"/>
        <w:rPr>
          <w:rStyle w:val="239"/>
          <w:color w:val="auto"/>
          <w:u w:val="single"/>
        </w:rPr>
      </w:pPr>
      <w:r>
        <w:rPr>
          <w:rStyle w:val="239"/>
          <w:color w:val="auto"/>
          <w:u w:val="single"/>
        </w:rPr>
        <w:drawing>
          <wp:inline distT="0" distB="0" distL="0" distR="0">
            <wp:extent cx="4032250" cy="3675380"/>
            <wp:effectExtent l="0" t="0" r="3810" b="5080"/>
            <wp:docPr id="71" name="图片 71" descr="F:\My_projects\Dongyou_GX2026\ShinaoYou\Result_Shinao_0.03_new\GX_spring_Oil_case0_72H_Decoupled_ebb_SE_case8.m21fm - Result Files\ShinaoYou_ebb_SE_case8_Large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F:\My_projects\Dongyou_GX2026\ShinaoYou\Result_Shinao_0.03_new\GX_spring_Oil_case0_72H_Decoupled_ebb_SE_case8.m21fm - Result Files\ShinaoYou_ebb_SE_case8_Large_new.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a:xfrm>
                      <a:off x="0" y="0"/>
                      <a:ext cx="4032250" cy="3675380"/>
                    </a:xfrm>
                    <a:prstGeom prst="rect">
                      <a:avLst/>
                    </a:prstGeom>
                    <a:noFill/>
                    <a:ln>
                      <a:noFill/>
                    </a:ln>
                  </pic:spPr>
                </pic:pic>
              </a:graphicData>
            </a:graphic>
          </wp:inline>
        </w:drawing>
      </w:r>
    </w:p>
    <w:p w14:paraId="09120505">
      <w:pPr>
        <w:pStyle w:val="14"/>
        <w:rPr>
          <w:rStyle w:val="239"/>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19</w:t>
      </w:r>
      <w:r>
        <w:rPr>
          <w:color w:val="auto"/>
          <w:u w:val="single"/>
        </w:rPr>
        <w:fldChar w:fldCharType="end"/>
      </w:r>
      <w:r>
        <w:rPr>
          <w:rFonts w:hint="eastAsia"/>
          <w:color w:val="auto"/>
          <w:u w:val="single"/>
        </w:rPr>
        <w:t>石脑油</w:t>
      </w:r>
      <w:r>
        <w:rPr>
          <w:color w:val="auto"/>
          <w:u w:val="single"/>
        </w:rPr>
        <w:t>溢油</w:t>
      </w:r>
      <w:r>
        <w:rPr>
          <w:rFonts w:hint="eastAsia"/>
          <w:color w:val="auto"/>
          <w:u w:val="single"/>
        </w:rPr>
        <w:t>事故工况</w:t>
      </w:r>
      <w:r>
        <w:rPr>
          <w:rFonts w:hint="eastAsia"/>
          <w:color w:val="auto"/>
          <w:u w:val="single"/>
          <w:lang w:val="en-US" w:eastAsia="zh-CN"/>
        </w:rPr>
        <w:t>6</w:t>
      </w:r>
      <w:r>
        <w:rPr>
          <w:color w:val="auto"/>
          <w:u w:val="single"/>
        </w:rPr>
        <w:t>油膜运动轨迹图</w:t>
      </w:r>
    </w:p>
    <w:p w14:paraId="6F665EE5">
      <w:pPr>
        <w:pStyle w:val="14"/>
        <w:rPr>
          <w:rStyle w:val="239"/>
          <w:color w:val="auto"/>
          <w:sz w:val="21"/>
          <w:u w:val="single"/>
        </w:rPr>
      </w:pPr>
      <w:r>
        <w:rPr>
          <w:rStyle w:val="239"/>
          <w:color w:val="auto"/>
          <w:sz w:val="21"/>
          <w:u w:val="single"/>
        </w:rPr>
        <w:t>（大潮</w:t>
      </w:r>
      <w:r>
        <w:rPr>
          <w:rStyle w:val="239"/>
          <w:rFonts w:hint="eastAsia"/>
          <w:color w:val="auto"/>
          <w:sz w:val="21"/>
          <w:u w:val="single"/>
        </w:rPr>
        <w:t>落</w:t>
      </w:r>
      <w:r>
        <w:rPr>
          <w:rStyle w:val="239"/>
          <w:color w:val="auto"/>
          <w:sz w:val="21"/>
          <w:u w:val="single"/>
        </w:rPr>
        <w:t>潮期，</w:t>
      </w:r>
      <w:r>
        <w:rPr>
          <w:rStyle w:val="239"/>
          <w:rFonts w:hint="eastAsia"/>
          <w:color w:val="auto"/>
          <w:sz w:val="21"/>
          <w:u w:val="single"/>
        </w:rPr>
        <w:t>不利SE风、风速</w:t>
      </w:r>
      <w:r>
        <w:rPr>
          <w:rStyle w:val="239"/>
          <w:color w:val="auto"/>
          <w:sz w:val="21"/>
          <w:u w:val="single"/>
        </w:rPr>
        <w:t>13.8m/s，绘制间隔60</w:t>
      </w:r>
      <w:r>
        <w:rPr>
          <w:rStyle w:val="239"/>
          <w:rFonts w:hint="eastAsia"/>
          <w:color w:val="auto"/>
          <w:sz w:val="21"/>
          <w:u w:val="single"/>
        </w:rPr>
        <w:t>min</w:t>
      </w:r>
      <w:r>
        <w:rPr>
          <w:rStyle w:val="239"/>
          <w:color w:val="auto"/>
          <w:sz w:val="21"/>
          <w:u w:val="single"/>
        </w:rPr>
        <w:t>）</w:t>
      </w:r>
    </w:p>
    <w:p w14:paraId="083A015C">
      <w:pPr>
        <w:ind w:firstLine="480"/>
        <w:rPr>
          <w:color w:val="auto"/>
          <w:u w:val="single"/>
        </w:rPr>
      </w:pPr>
    </w:p>
    <w:p w14:paraId="4B2D82F7">
      <w:pPr>
        <w:pStyle w:val="6"/>
        <w:rPr>
          <w:color w:val="auto"/>
        </w:rPr>
      </w:pPr>
      <w:r>
        <w:rPr>
          <w:rFonts w:hint="eastAsia"/>
          <w:color w:val="auto"/>
        </w:rPr>
        <w:t>渣油</w:t>
      </w:r>
      <w:r>
        <w:rPr>
          <w:color w:val="auto"/>
        </w:rPr>
        <w:t>溢油风险事故预测结果</w:t>
      </w:r>
    </w:p>
    <w:p w14:paraId="79DE21B7">
      <w:pPr>
        <w:ind w:firstLine="480"/>
        <w:rPr>
          <w:color w:val="auto"/>
          <w:szCs w:val="21"/>
        </w:rPr>
      </w:pPr>
      <w:r>
        <w:rPr>
          <w:color w:val="auto"/>
          <w:szCs w:val="21"/>
        </w:rPr>
        <w:t>工况</w:t>
      </w:r>
      <w:r>
        <w:rPr>
          <w:rFonts w:hint="eastAsia"/>
          <w:color w:val="auto"/>
          <w:szCs w:val="21"/>
        </w:rPr>
        <w:t>1：</w:t>
      </w:r>
      <w:r>
        <w:rPr>
          <w:color w:val="auto"/>
          <w:szCs w:val="21"/>
        </w:rPr>
        <w:t>溢油事故发生后，</w:t>
      </w:r>
      <w:r>
        <w:rPr>
          <w:rFonts w:hint="eastAsia"/>
          <w:color w:val="auto"/>
          <w:szCs w:val="21"/>
        </w:rPr>
        <w:t>在冬季主导风向N（</w:t>
      </w:r>
      <w:r>
        <w:rPr>
          <w:color w:val="auto"/>
          <w:szCs w:val="21"/>
        </w:rPr>
        <w:t>6.7m</w:t>
      </w:r>
      <w:r>
        <w:rPr>
          <w:rFonts w:hint="eastAsia"/>
          <w:color w:val="auto"/>
          <w:szCs w:val="21"/>
        </w:rPr>
        <w:t>/</w:t>
      </w:r>
      <w:r>
        <w:rPr>
          <w:color w:val="auto"/>
          <w:szCs w:val="21"/>
        </w:rPr>
        <w:t>s</w:t>
      </w:r>
      <w:r>
        <w:rPr>
          <w:rFonts w:hint="eastAsia"/>
          <w:color w:val="auto"/>
          <w:szCs w:val="21"/>
        </w:rPr>
        <w:t>）条件下，</w:t>
      </w:r>
      <w:r>
        <w:rPr>
          <w:color w:val="auto"/>
          <w:szCs w:val="21"/>
        </w:rPr>
        <w:t>油膜</w:t>
      </w:r>
      <w:r>
        <w:rPr>
          <w:rFonts w:hint="eastAsia"/>
          <w:color w:val="auto"/>
          <w:szCs w:val="21"/>
        </w:rPr>
        <w:t>在涨潮流和N</w:t>
      </w:r>
      <w:r>
        <w:rPr>
          <w:color w:val="auto"/>
          <w:szCs w:val="21"/>
        </w:rPr>
        <w:t>风的共同</w:t>
      </w:r>
      <w:r>
        <w:rPr>
          <w:rFonts w:hint="eastAsia"/>
          <w:color w:val="auto"/>
          <w:szCs w:val="21"/>
        </w:rPr>
        <w:t>作用下油膜向西偏南方向扩散。在溢油事故发生5小时</w:t>
      </w:r>
      <w:r>
        <w:rPr>
          <w:color w:val="auto"/>
          <w:szCs w:val="21"/>
        </w:rPr>
        <w:t>20分钟左右，油膜抵达防城港核电站的取水口附近海域</w:t>
      </w:r>
      <w:r>
        <w:rPr>
          <w:rFonts w:hint="eastAsia"/>
          <w:color w:val="auto"/>
          <w:szCs w:val="21"/>
        </w:rPr>
        <w:t>。</w:t>
      </w:r>
      <w:r>
        <w:rPr>
          <w:color w:val="auto"/>
          <w:szCs w:val="21"/>
        </w:rPr>
        <w:t>此后部分油膜向西北方向扩散，并于溢油事故发生约</w:t>
      </w:r>
      <w:r>
        <w:rPr>
          <w:rFonts w:hint="eastAsia"/>
          <w:color w:val="auto"/>
          <w:szCs w:val="21"/>
        </w:rPr>
        <w:t>8小时</w:t>
      </w:r>
      <w:r>
        <w:rPr>
          <w:color w:val="auto"/>
          <w:szCs w:val="21"/>
        </w:rPr>
        <w:t>30分钟后开始影响红树林</w:t>
      </w:r>
      <w:r>
        <w:rPr>
          <w:rFonts w:hint="eastAsia"/>
          <w:color w:val="auto"/>
          <w:szCs w:val="21"/>
        </w:rPr>
        <w:t>3和红树林4；南部的</w:t>
      </w:r>
      <w:r>
        <w:rPr>
          <w:color w:val="auto"/>
          <w:szCs w:val="21"/>
        </w:rPr>
        <w:t>油膜则主要向南偏西方向扩散，并于溢油事故发生约</w:t>
      </w:r>
      <w:r>
        <w:rPr>
          <w:rFonts w:hint="eastAsia"/>
          <w:color w:val="auto"/>
          <w:szCs w:val="21"/>
        </w:rPr>
        <w:t>7小时4</w:t>
      </w:r>
      <w:r>
        <w:rPr>
          <w:color w:val="auto"/>
          <w:szCs w:val="21"/>
        </w:rPr>
        <w:t>0分后抵达防城港核电</w:t>
      </w:r>
      <w:r>
        <w:rPr>
          <w:rFonts w:hint="eastAsia"/>
          <w:color w:val="auto"/>
          <w:szCs w:val="21"/>
        </w:rPr>
        <w:t>排水明渠的东北部沿岸，油膜不断沿排水明渠东北岸向东南方向扩散。在溢油事故发生约1</w:t>
      </w:r>
      <w:r>
        <w:rPr>
          <w:color w:val="auto"/>
          <w:szCs w:val="21"/>
        </w:rPr>
        <w:t>2小时</w:t>
      </w:r>
      <w:r>
        <w:rPr>
          <w:rFonts w:hint="eastAsia"/>
          <w:color w:val="auto"/>
          <w:szCs w:val="21"/>
        </w:rPr>
        <w:t>1</w:t>
      </w:r>
      <w:r>
        <w:rPr>
          <w:color w:val="auto"/>
          <w:szCs w:val="21"/>
        </w:rPr>
        <w:t>0分钟后，油膜开始进入北部湾二长棘鲷长毛对虾国家级种质资源保护区（实验区）。</w:t>
      </w:r>
      <w:r>
        <w:rPr>
          <w:rFonts w:hint="eastAsia"/>
          <w:color w:val="auto"/>
          <w:szCs w:val="21"/>
        </w:rPr>
        <w:t>该工况条件下，油膜</w:t>
      </w:r>
      <w:r>
        <w:rPr>
          <w:color w:val="auto"/>
          <w:szCs w:val="21"/>
        </w:rPr>
        <w:t>12小时内的扫海面积约为29.27</w:t>
      </w:r>
      <w:r>
        <w:rPr>
          <w:rFonts w:hint="eastAsia"/>
          <w:color w:val="auto"/>
          <w:szCs w:val="21"/>
        </w:rPr>
        <w:t>km</w:t>
      </w:r>
      <w:r>
        <w:rPr>
          <w:color w:val="auto"/>
          <w:szCs w:val="21"/>
          <w:vertAlign w:val="superscript"/>
        </w:rPr>
        <w:t>2</w:t>
      </w:r>
      <w:r>
        <w:rPr>
          <w:color w:val="auto"/>
          <w:szCs w:val="21"/>
        </w:rPr>
        <w:t>，</w:t>
      </w:r>
      <w:r>
        <w:rPr>
          <w:rFonts w:hint="eastAsia"/>
          <w:color w:val="auto"/>
          <w:szCs w:val="21"/>
        </w:rPr>
        <w:t>2</w:t>
      </w:r>
      <w:r>
        <w:rPr>
          <w:color w:val="auto"/>
          <w:szCs w:val="21"/>
        </w:rPr>
        <w:t>4小时内的扫海面积约为74.85</w:t>
      </w:r>
      <w:r>
        <w:rPr>
          <w:rFonts w:hint="eastAsia"/>
          <w:color w:val="auto"/>
          <w:szCs w:val="21"/>
        </w:rPr>
        <w:t>km</w:t>
      </w:r>
      <w:r>
        <w:rPr>
          <w:color w:val="auto"/>
          <w:szCs w:val="21"/>
          <w:vertAlign w:val="superscript"/>
        </w:rPr>
        <w:t>2</w:t>
      </w:r>
      <w:r>
        <w:rPr>
          <w:rFonts w:hint="eastAsia"/>
          <w:color w:val="auto"/>
          <w:szCs w:val="21"/>
        </w:rPr>
        <w:t>，</w:t>
      </w:r>
      <w:r>
        <w:rPr>
          <w:color w:val="auto"/>
          <w:szCs w:val="21"/>
        </w:rPr>
        <w:t>72小时内的扫海面积约为189.10</w:t>
      </w:r>
      <w:r>
        <w:rPr>
          <w:rFonts w:hint="eastAsia"/>
          <w:color w:val="auto"/>
          <w:szCs w:val="21"/>
        </w:rPr>
        <w:t>km</w:t>
      </w:r>
      <w:r>
        <w:rPr>
          <w:color w:val="auto"/>
          <w:szCs w:val="21"/>
          <w:vertAlign w:val="superscript"/>
        </w:rPr>
        <w:t>2</w:t>
      </w:r>
      <w:r>
        <w:rPr>
          <w:rFonts w:hint="eastAsia"/>
          <w:color w:val="auto"/>
          <w:szCs w:val="21"/>
        </w:rPr>
        <w:t>。</w:t>
      </w:r>
    </w:p>
    <w:p w14:paraId="59C05740">
      <w:pPr>
        <w:ind w:firstLine="480"/>
        <w:rPr>
          <w:color w:val="auto"/>
          <w:szCs w:val="21"/>
        </w:rPr>
      </w:pPr>
      <w:r>
        <w:rPr>
          <w:rFonts w:hint="eastAsia"/>
          <w:color w:val="auto"/>
          <w:szCs w:val="21"/>
        </w:rPr>
        <w:t>工况2：在冬季主导风向N（</w:t>
      </w:r>
      <w:r>
        <w:rPr>
          <w:color w:val="auto"/>
          <w:szCs w:val="21"/>
        </w:rPr>
        <w:t>6.7m/s</w:t>
      </w:r>
      <w:r>
        <w:rPr>
          <w:rFonts w:hint="eastAsia"/>
          <w:color w:val="auto"/>
          <w:szCs w:val="21"/>
        </w:rPr>
        <w:t>）和落潮流条件下，油膜开始主要向东南方向扩散，出了湾口之后转而向南偏西方向扩散。在溢油事故发生约7小时2</w:t>
      </w:r>
      <w:r>
        <w:rPr>
          <w:color w:val="auto"/>
          <w:szCs w:val="21"/>
        </w:rPr>
        <w:t>0分钟后，油膜开始进入北部湾二长棘鲷长毛对虾国家级种质资源保护区（实验区）。</w:t>
      </w:r>
      <w:r>
        <w:rPr>
          <w:rFonts w:hint="eastAsia"/>
          <w:color w:val="auto"/>
          <w:szCs w:val="21"/>
        </w:rPr>
        <w:t>统计分析表明，油膜</w:t>
      </w:r>
      <w:r>
        <w:rPr>
          <w:color w:val="auto"/>
          <w:szCs w:val="21"/>
        </w:rPr>
        <w:t>12小时内的扫海面积约为33.70</w:t>
      </w:r>
      <w:r>
        <w:rPr>
          <w:rFonts w:hint="eastAsia"/>
          <w:color w:val="auto"/>
          <w:szCs w:val="21"/>
        </w:rPr>
        <w:t>km</w:t>
      </w:r>
      <w:r>
        <w:rPr>
          <w:color w:val="auto"/>
          <w:szCs w:val="21"/>
          <w:vertAlign w:val="superscript"/>
        </w:rPr>
        <w:t>2</w:t>
      </w:r>
      <w:r>
        <w:rPr>
          <w:rFonts w:hint="eastAsia"/>
          <w:color w:val="auto"/>
          <w:szCs w:val="21"/>
        </w:rPr>
        <w:t>，</w:t>
      </w:r>
      <w:r>
        <w:rPr>
          <w:color w:val="auto"/>
          <w:szCs w:val="21"/>
        </w:rPr>
        <w:t>24小时内的扫海面积约为71.35</w:t>
      </w:r>
      <w:r>
        <w:rPr>
          <w:rFonts w:hint="eastAsia"/>
          <w:color w:val="auto"/>
          <w:szCs w:val="21"/>
        </w:rPr>
        <w:t>km</w:t>
      </w:r>
      <w:r>
        <w:rPr>
          <w:color w:val="auto"/>
          <w:szCs w:val="21"/>
          <w:vertAlign w:val="superscript"/>
        </w:rPr>
        <w:t>2</w:t>
      </w:r>
      <w:r>
        <w:rPr>
          <w:rFonts w:hint="eastAsia"/>
          <w:color w:val="auto"/>
          <w:szCs w:val="21"/>
        </w:rPr>
        <w:t>，</w:t>
      </w:r>
      <w:r>
        <w:rPr>
          <w:color w:val="auto"/>
          <w:szCs w:val="21"/>
        </w:rPr>
        <w:t>48小时内的扫海面积约为169.61</w:t>
      </w:r>
      <w:r>
        <w:rPr>
          <w:rFonts w:hint="eastAsia"/>
          <w:color w:val="auto"/>
          <w:szCs w:val="21"/>
        </w:rPr>
        <w:t>km</w:t>
      </w:r>
      <w:r>
        <w:rPr>
          <w:color w:val="auto"/>
          <w:szCs w:val="21"/>
          <w:vertAlign w:val="superscript"/>
        </w:rPr>
        <w:t>2</w:t>
      </w:r>
      <w:r>
        <w:rPr>
          <w:rFonts w:hint="eastAsia"/>
          <w:color w:val="auto"/>
          <w:szCs w:val="21"/>
        </w:rPr>
        <w:t>，此后，油膜全部扩散出计算区域。</w:t>
      </w:r>
    </w:p>
    <w:p w14:paraId="42E01023">
      <w:pPr>
        <w:ind w:firstLine="480"/>
        <w:rPr>
          <w:color w:val="auto"/>
          <w:szCs w:val="21"/>
        </w:rPr>
      </w:pPr>
      <w:r>
        <w:rPr>
          <w:color w:val="auto"/>
          <w:szCs w:val="21"/>
        </w:rPr>
        <w:t>工况</w:t>
      </w:r>
      <w:r>
        <w:rPr>
          <w:rFonts w:hint="eastAsia"/>
          <w:color w:val="auto"/>
          <w:szCs w:val="21"/>
        </w:rPr>
        <w:t>3：</w:t>
      </w:r>
      <w:r>
        <w:rPr>
          <w:color w:val="auto"/>
          <w:szCs w:val="21"/>
        </w:rPr>
        <w:t>当溢油事故发生在夏季主导风向S（</w:t>
      </w:r>
      <w:r>
        <w:rPr>
          <w:rFonts w:hint="eastAsia"/>
          <w:color w:val="auto"/>
          <w:szCs w:val="21"/>
        </w:rPr>
        <w:t>5</w:t>
      </w:r>
      <w:r>
        <w:rPr>
          <w:color w:val="auto"/>
          <w:szCs w:val="21"/>
        </w:rPr>
        <w:t>.1m/s）</w:t>
      </w:r>
      <w:r>
        <w:rPr>
          <w:rFonts w:hint="eastAsia"/>
          <w:color w:val="auto"/>
          <w:szCs w:val="21"/>
        </w:rPr>
        <w:t>和涨潮期间时，油膜开始在涨潮流和S风的作用下主要沿项目北部沿岸向西北部扩散，在溢油事故发生约3小时后，油膜开始影响蚝排养殖区。此后，部分油膜沿蚝排养殖区北部的水道向东北方向扩散，并于事故发生约</w:t>
      </w:r>
      <w:r>
        <w:rPr>
          <w:color w:val="auto"/>
          <w:szCs w:val="21"/>
        </w:rPr>
        <w:t>4</w:t>
      </w:r>
      <w:r>
        <w:rPr>
          <w:rFonts w:hint="eastAsia"/>
          <w:color w:val="auto"/>
          <w:szCs w:val="21"/>
        </w:rPr>
        <w:t>小时</w:t>
      </w:r>
      <w:r>
        <w:rPr>
          <w:color w:val="auto"/>
          <w:szCs w:val="21"/>
        </w:rPr>
        <w:t>后抵达广西茅尾海红树林自治区级自然保护区；部分油膜沿蚝排养殖区西北部的沿岸向西北方向扩散，在事故发生约</w:t>
      </w:r>
      <w:r>
        <w:rPr>
          <w:rFonts w:hint="eastAsia"/>
          <w:color w:val="auto"/>
          <w:szCs w:val="21"/>
        </w:rPr>
        <w:t>5小时后开始影响</w:t>
      </w:r>
      <w:r>
        <w:rPr>
          <w:color w:val="auto"/>
          <w:szCs w:val="21"/>
        </w:rPr>
        <w:t>广西茅尾海红树林自治区级自然保护区。当涨潮流转为落潮流后，油膜开始向东南方向扩散，在事故发生约</w:t>
      </w:r>
      <w:r>
        <w:rPr>
          <w:rFonts w:hint="eastAsia"/>
          <w:color w:val="auto"/>
          <w:szCs w:val="21"/>
        </w:rPr>
        <w:t>1</w:t>
      </w:r>
      <w:r>
        <w:rPr>
          <w:color w:val="auto"/>
          <w:szCs w:val="21"/>
        </w:rPr>
        <w:t>0小时</w:t>
      </w:r>
      <w:r>
        <w:rPr>
          <w:rFonts w:hint="eastAsia"/>
          <w:color w:val="auto"/>
          <w:szCs w:val="21"/>
        </w:rPr>
        <w:t>4</w:t>
      </w:r>
      <w:r>
        <w:rPr>
          <w:color w:val="auto"/>
          <w:szCs w:val="21"/>
        </w:rPr>
        <w:t>0分钟后，油膜开始进入项目东北部的金鼓江海域。油膜在金鼓江水道内缓慢向北偏东方向扩散，并于事故发生约</w:t>
      </w:r>
      <w:r>
        <w:rPr>
          <w:rFonts w:hint="eastAsia"/>
          <w:color w:val="auto"/>
          <w:szCs w:val="21"/>
        </w:rPr>
        <w:t>1</w:t>
      </w:r>
      <w:r>
        <w:rPr>
          <w:color w:val="auto"/>
          <w:szCs w:val="21"/>
        </w:rPr>
        <w:t>6小时30分钟后开始影响金鼓江上游的红树林</w:t>
      </w:r>
      <w:r>
        <w:rPr>
          <w:rFonts w:hint="eastAsia"/>
          <w:color w:val="auto"/>
          <w:szCs w:val="21"/>
        </w:rPr>
        <w:t>5，1</w:t>
      </w:r>
      <w:r>
        <w:rPr>
          <w:color w:val="auto"/>
          <w:szCs w:val="21"/>
        </w:rPr>
        <w:t>6小时</w:t>
      </w:r>
      <w:r>
        <w:rPr>
          <w:rFonts w:hint="eastAsia"/>
          <w:color w:val="auto"/>
          <w:szCs w:val="21"/>
        </w:rPr>
        <w:t>5</w:t>
      </w:r>
      <w:r>
        <w:rPr>
          <w:color w:val="auto"/>
          <w:szCs w:val="21"/>
        </w:rPr>
        <w:t>0分钟后开始影响红树林</w:t>
      </w:r>
      <w:r>
        <w:rPr>
          <w:rFonts w:hint="eastAsia"/>
          <w:color w:val="auto"/>
          <w:szCs w:val="21"/>
        </w:rPr>
        <w:t>6。该工况条件下，油膜</w:t>
      </w:r>
      <w:r>
        <w:rPr>
          <w:color w:val="auto"/>
          <w:szCs w:val="21"/>
        </w:rPr>
        <w:t>12小时内的扫海面积约为</w:t>
      </w:r>
      <w:r>
        <w:rPr>
          <w:rFonts w:hint="eastAsia"/>
          <w:color w:val="auto"/>
          <w:szCs w:val="21"/>
        </w:rPr>
        <w:t>5</w:t>
      </w:r>
      <w:r>
        <w:rPr>
          <w:color w:val="auto"/>
          <w:szCs w:val="21"/>
        </w:rPr>
        <w:t>.84</w:t>
      </w:r>
      <w:r>
        <w:rPr>
          <w:rFonts w:hint="eastAsia"/>
          <w:color w:val="auto"/>
          <w:szCs w:val="21"/>
        </w:rPr>
        <w:t>km</w:t>
      </w:r>
      <w:r>
        <w:rPr>
          <w:color w:val="auto"/>
          <w:szCs w:val="21"/>
          <w:vertAlign w:val="superscript"/>
        </w:rPr>
        <w:t>2</w:t>
      </w:r>
      <w:r>
        <w:rPr>
          <w:color w:val="auto"/>
          <w:szCs w:val="21"/>
        </w:rPr>
        <w:t>，</w:t>
      </w:r>
      <w:r>
        <w:rPr>
          <w:rFonts w:hint="eastAsia"/>
          <w:color w:val="auto"/>
          <w:szCs w:val="21"/>
        </w:rPr>
        <w:t>2</w:t>
      </w:r>
      <w:r>
        <w:rPr>
          <w:color w:val="auto"/>
          <w:szCs w:val="21"/>
        </w:rPr>
        <w:t>4小时内的扫海面积约为13.29</w:t>
      </w:r>
      <w:r>
        <w:rPr>
          <w:rFonts w:hint="eastAsia"/>
          <w:color w:val="auto"/>
          <w:szCs w:val="21"/>
        </w:rPr>
        <w:t>km</w:t>
      </w:r>
      <w:r>
        <w:rPr>
          <w:color w:val="auto"/>
          <w:szCs w:val="21"/>
          <w:vertAlign w:val="superscript"/>
        </w:rPr>
        <w:t>2</w:t>
      </w:r>
      <w:r>
        <w:rPr>
          <w:rFonts w:hint="eastAsia"/>
          <w:color w:val="auto"/>
          <w:szCs w:val="21"/>
        </w:rPr>
        <w:t>，</w:t>
      </w:r>
      <w:r>
        <w:rPr>
          <w:color w:val="auto"/>
          <w:szCs w:val="21"/>
        </w:rPr>
        <w:t>72小时内的扫海面积约为13.71</w:t>
      </w:r>
      <w:r>
        <w:rPr>
          <w:rFonts w:hint="eastAsia"/>
          <w:color w:val="auto"/>
          <w:szCs w:val="21"/>
        </w:rPr>
        <w:t>km</w:t>
      </w:r>
      <w:r>
        <w:rPr>
          <w:color w:val="auto"/>
          <w:szCs w:val="21"/>
          <w:vertAlign w:val="superscript"/>
        </w:rPr>
        <w:t>2</w:t>
      </w:r>
      <w:r>
        <w:rPr>
          <w:rFonts w:hint="eastAsia"/>
          <w:color w:val="auto"/>
          <w:szCs w:val="21"/>
        </w:rPr>
        <w:t>。</w:t>
      </w:r>
    </w:p>
    <w:p w14:paraId="28D7D90C">
      <w:pPr>
        <w:ind w:firstLine="480"/>
        <w:rPr>
          <w:color w:val="auto"/>
          <w:szCs w:val="21"/>
        </w:rPr>
      </w:pPr>
      <w:r>
        <w:rPr>
          <w:color w:val="auto"/>
          <w:szCs w:val="21"/>
        </w:rPr>
        <w:t>工况</w:t>
      </w:r>
      <w:r>
        <w:rPr>
          <w:rFonts w:hint="eastAsia"/>
          <w:color w:val="auto"/>
          <w:szCs w:val="21"/>
        </w:rPr>
        <w:t>4：</w:t>
      </w:r>
      <w:r>
        <w:rPr>
          <w:color w:val="auto"/>
          <w:szCs w:val="21"/>
        </w:rPr>
        <w:t>当溢油事故发生在夏季主导风向S（</w:t>
      </w:r>
      <w:r>
        <w:rPr>
          <w:rFonts w:hint="eastAsia"/>
          <w:color w:val="auto"/>
          <w:szCs w:val="21"/>
        </w:rPr>
        <w:t>5</w:t>
      </w:r>
      <w:r>
        <w:rPr>
          <w:color w:val="auto"/>
          <w:szCs w:val="21"/>
        </w:rPr>
        <w:t>.1m/s）</w:t>
      </w:r>
      <w:r>
        <w:rPr>
          <w:rFonts w:hint="eastAsia"/>
          <w:color w:val="auto"/>
          <w:szCs w:val="21"/>
        </w:rPr>
        <w:t>和落潮期间时，油膜开始在落潮流和S风的作用下主要沿项目北部沿岸向东偏北方向扩散，在溢油事故发生约2小时1</w:t>
      </w:r>
      <w:r>
        <w:rPr>
          <w:color w:val="auto"/>
          <w:szCs w:val="21"/>
        </w:rPr>
        <w:t>0分钟后，油膜开始进入金鼓江。此后，大部分油膜沿金鼓江水道缓慢向其上游扩散，在溢油事故发生约</w:t>
      </w:r>
      <w:r>
        <w:rPr>
          <w:rFonts w:hint="eastAsia"/>
          <w:color w:val="auto"/>
          <w:szCs w:val="21"/>
        </w:rPr>
        <w:t>1</w:t>
      </w:r>
      <w:r>
        <w:rPr>
          <w:color w:val="auto"/>
          <w:szCs w:val="21"/>
        </w:rPr>
        <w:t>0小时</w:t>
      </w:r>
      <w:r>
        <w:rPr>
          <w:rFonts w:hint="eastAsia"/>
          <w:color w:val="auto"/>
          <w:szCs w:val="21"/>
        </w:rPr>
        <w:t>4</w:t>
      </w:r>
      <w:r>
        <w:rPr>
          <w:color w:val="auto"/>
          <w:szCs w:val="21"/>
        </w:rPr>
        <w:t>0分钟后，油膜开始影响金鼓江上游的红树林</w:t>
      </w:r>
      <w:r>
        <w:rPr>
          <w:rFonts w:hint="eastAsia"/>
          <w:color w:val="auto"/>
          <w:szCs w:val="21"/>
        </w:rPr>
        <w:t>5。该工况条件下，油膜</w:t>
      </w:r>
      <w:r>
        <w:rPr>
          <w:color w:val="auto"/>
          <w:szCs w:val="21"/>
        </w:rPr>
        <w:t>12小时内的扫海面积约为4.83</w:t>
      </w:r>
      <w:r>
        <w:rPr>
          <w:rFonts w:hint="eastAsia"/>
          <w:color w:val="auto"/>
          <w:szCs w:val="21"/>
        </w:rPr>
        <w:t>km</w:t>
      </w:r>
      <w:r>
        <w:rPr>
          <w:color w:val="auto"/>
          <w:szCs w:val="21"/>
          <w:vertAlign w:val="superscript"/>
        </w:rPr>
        <w:t>2</w:t>
      </w:r>
      <w:r>
        <w:rPr>
          <w:color w:val="auto"/>
          <w:szCs w:val="21"/>
        </w:rPr>
        <w:t>，</w:t>
      </w:r>
      <w:r>
        <w:rPr>
          <w:rFonts w:hint="eastAsia"/>
          <w:color w:val="auto"/>
          <w:szCs w:val="21"/>
        </w:rPr>
        <w:t>2</w:t>
      </w:r>
      <w:r>
        <w:rPr>
          <w:color w:val="auto"/>
          <w:szCs w:val="21"/>
        </w:rPr>
        <w:t>4小时内的扫海面积约为5.66</w:t>
      </w:r>
      <w:r>
        <w:rPr>
          <w:rFonts w:hint="eastAsia"/>
          <w:color w:val="auto"/>
          <w:szCs w:val="21"/>
        </w:rPr>
        <w:t>km</w:t>
      </w:r>
      <w:r>
        <w:rPr>
          <w:color w:val="auto"/>
          <w:szCs w:val="21"/>
          <w:vertAlign w:val="superscript"/>
        </w:rPr>
        <w:t>2</w:t>
      </w:r>
      <w:r>
        <w:rPr>
          <w:rFonts w:hint="eastAsia"/>
          <w:color w:val="auto"/>
          <w:szCs w:val="21"/>
        </w:rPr>
        <w:t>，此后，油膜扫海面积不变。</w:t>
      </w:r>
    </w:p>
    <w:p w14:paraId="7A68DC8C">
      <w:pPr>
        <w:ind w:firstLine="480"/>
        <w:rPr>
          <w:color w:val="auto"/>
          <w:szCs w:val="21"/>
        </w:rPr>
      </w:pPr>
      <w:r>
        <w:rPr>
          <w:color w:val="auto"/>
          <w:szCs w:val="21"/>
        </w:rPr>
        <w:t>工况5</w:t>
      </w:r>
      <w:r>
        <w:rPr>
          <w:rFonts w:hint="eastAsia"/>
          <w:color w:val="auto"/>
          <w:szCs w:val="21"/>
        </w:rPr>
        <w:t>：</w:t>
      </w:r>
      <w:r>
        <w:rPr>
          <w:color w:val="auto"/>
          <w:szCs w:val="21"/>
        </w:rPr>
        <w:t>当溢油事故发生在</w:t>
      </w:r>
      <w:r>
        <w:rPr>
          <w:rFonts w:hint="eastAsia"/>
          <w:color w:val="auto"/>
          <w:szCs w:val="21"/>
        </w:rPr>
        <w:t>不利</w:t>
      </w:r>
      <w:r>
        <w:rPr>
          <w:color w:val="auto"/>
          <w:szCs w:val="21"/>
        </w:rPr>
        <w:t>风向SE和风速（13.8m/s）</w:t>
      </w:r>
      <w:r>
        <w:rPr>
          <w:rFonts w:hint="eastAsia"/>
          <w:color w:val="auto"/>
          <w:szCs w:val="21"/>
        </w:rPr>
        <w:t>及落潮期间时，油膜开始在涨潮流和SE风的作用下主要沿项目北部沿岸向西北方向扩散，在溢油事故发生约</w:t>
      </w:r>
      <w:r>
        <w:rPr>
          <w:color w:val="auto"/>
          <w:szCs w:val="21"/>
        </w:rPr>
        <w:t>2</w:t>
      </w:r>
      <w:r>
        <w:rPr>
          <w:rFonts w:hint="eastAsia"/>
          <w:color w:val="auto"/>
          <w:szCs w:val="21"/>
        </w:rPr>
        <w:t>小时后，油膜开始影响蚝排养殖区。此后，部分油膜沿蚝排养殖区北部的水道向东北方向缓慢扩散</w:t>
      </w:r>
      <w:r>
        <w:rPr>
          <w:color w:val="auto"/>
          <w:szCs w:val="21"/>
        </w:rPr>
        <w:t>；</w:t>
      </w:r>
      <w:r>
        <w:rPr>
          <w:rFonts w:hint="eastAsia"/>
          <w:color w:val="auto"/>
          <w:szCs w:val="21"/>
        </w:rPr>
        <w:t>其他大部分油膜则</w:t>
      </w:r>
      <w:r>
        <w:rPr>
          <w:color w:val="auto"/>
          <w:szCs w:val="21"/>
        </w:rPr>
        <w:t>沿蚝排养殖区西北部的沿岸向西北方向扩散，在事故发生约4</w:t>
      </w:r>
      <w:r>
        <w:rPr>
          <w:rFonts w:hint="eastAsia"/>
          <w:color w:val="auto"/>
          <w:szCs w:val="21"/>
        </w:rPr>
        <w:t>小时后开始影响钦州</w:t>
      </w:r>
      <w:r>
        <w:rPr>
          <w:color w:val="auto"/>
          <w:szCs w:val="21"/>
        </w:rPr>
        <w:t>茅尾海国家海洋公园</w:t>
      </w:r>
      <w:r>
        <w:rPr>
          <w:rFonts w:hint="eastAsia"/>
          <w:color w:val="auto"/>
          <w:szCs w:val="21"/>
        </w:rPr>
        <w:t>。该工况条件下，油膜</w:t>
      </w:r>
      <w:r>
        <w:rPr>
          <w:color w:val="auto"/>
          <w:szCs w:val="21"/>
        </w:rPr>
        <w:t>12小时内的扫海面积约为25.73</w:t>
      </w:r>
      <w:r>
        <w:rPr>
          <w:rFonts w:hint="eastAsia"/>
          <w:color w:val="auto"/>
          <w:szCs w:val="21"/>
        </w:rPr>
        <w:t>km</w:t>
      </w:r>
      <w:r>
        <w:rPr>
          <w:color w:val="auto"/>
          <w:szCs w:val="21"/>
          <w:vertAlign w:val="superscript"/>
        </w:rPr>
        <w:t>2</w:t>
      </w:r>
      <w:r>
        <w:rPr>
          <w:color w:val="auto"/>
          <w:szCs w:val="21"/>
        </w:rPr>
        <w:t>，</w:t>
      </w:r>
      <w:r>
        <w:rPr>
          <w:rFonts w:hint="eastAsia"/>
          <w:color w:val="auto"/>
          <w:szCs w:val="21"/>
        </w:rPr>
        <w:t>2</w:t>
      </w:r>
      <w:r>
        <w:rPr>
          <w:color w:val="auto"/>
          <w:szCs w:val="21"/>
        </w:rPr>
        <w:t>4小时内的扫海面积约为28.17</w:t>
      </w:r>
      <w:r>
        <w:rPr>
          <w:rFonts w:hint="eastAsia"/>
          <w:color w:val="auto"/>
          <w:szCs w:val="21"/>
        </w:rPr>
        <w:t>km</w:t>
      </w:r>
      <w:r>
        <w:rPr>
          <w:color w:val="auto"/>
          <w:szCs w:val="21"/>
          <w:vertAlign w:val="superscript"/>
        </w:rPr>
        <w:t>2</w:t>
      </w:r>
      <w:r>
        <w:rPr>
          <w:rFonts w:hint="eastAsia"/>
          <w:color w:val="auto"/>
          <w:szCs w:val="21"/>
        </w:rPr>
        <w:t>，</w:t>
      </w:r>
      <w:r>
        <w:rPr>
          <w:color w:val="auto"/>
          <w:szCs w:val="21"/>
        </w:rPr>
        <w:t>72小时内的扫海面积约为29.30</w:t>
      </w:r>
      <w:r>
        <w:rPr>
          <w:rFonts w:hint="eastAsia"/>
          <w:color w:val="auto"/>
          <w:szCs w:val="21"/>
        </w:rPr>
        <w:t>km</w:t>
      </w:r>
      <w:r>
        <w:rPr>
          <w:color w:val="auto"/>
          <w:szCs w:val="21"/>
          <w:vertAlign w:val="superscript"/>
        </w:rPr>
        <w:t>2</w:t>
      </w:r>
      <w:r>
        <w:rPr>
          <w:rFonts w:hint="eastAsia"/>
          <w:color w:val="auto"/>
          <w:szCs w:val="21"/>
        </w:rPr>
        <w:t>。</w:t>
      </w:r>
    </w:p>
    <w:p w14:paraId="23E1E710">
      <w:pPr>
        <w:ind w:firstLine="480"/>
        <w:rPr>
          <w:color w:val="auto"/>
          <w:szCs w:val="21"/>
        </w:rPr>
      </w:pPr>
      <w:r>
        <w:rPr>
          <w:color w:val="auto"/>
          <w:szCs w:val="21"/>
        </w:rPr>
        <w:t>工况6</w:t>
      </w:r>
      <w:r>
        <w:rPr>
          <w:rFonts w:hint="eastAsia"/>
          <w:color w:val="auto"/>
          <w:szCs w:val="21"/>
        </w:rPr>
        <w:t>：</w:t>
      </w:r>
      <w:r>
        <w:rPr>
          <w:color w:val="auto"/>
          <w:szCs w:val="21"/>
        </w:rPr>
        <w:t>在</w:t>
      </w:r>
      <w:r>
        <w:rPr>
          <w:rFonts w:hint="eastAsia"/>
          <w:color w:val="auto"/>
          <w:szCs w:val="21"/>
        </w:rPr>
        <w:t>不利</w:t>
      </w:r>
      <w:r>
        <w:rPr>
          <w:color w:val="auto"/>
          <w:szCs w:val="21"/>
        </w:rPr>
        <w:t>风向SE和风速（13.8m/s）作用下，当溢油事故发生</w:t>
      </w:r>
      <w:r>
        <w:rPr>
          <w:rFonts w:hint="eastAsia"/>
          <w:color w:val="auto"/>
          <w:szCs w:val="21"/>
        </w:rPr>
        <w:t>在落潮期间时，部分油膜开始在SE风作用下沿项目北部沿岸向西北方向扩散，在溢油事故发生约</w:t>
      </w:r>
      <w:r>
        <w:rPr>
          <w:color w:val="auto"/>
          <w:szCs w:val="21"/>
        </w:rPr>
        <w:t>2</w:t>
      </w:r>
      <w:r>
        <w:rPr>
          <w:rFonts w:hint="eastAsia"/>
          <w:color w:val="auto"/>
          <w:szCs w:val="21"/>
        </w:rPr>
        <w:t>小时后，油膜开始影响蚝排养殖区。随着落潮流逐渐变强，油膜则在落潮流和SE风的作用下沿项目北部沿岸向东偏北方向缓慢扩散，在溢油事故发生约</w:t>
      </w:r>
      <w:r>
        <w:rPr>
          <w:color w:val="auto"/>
          <w:szCs w:val="21"/>
        </w:rPr>
        <w:t>3</w:t>
      </w:r>
      <w:r>
        <w:rPr>
          <w:rFonts w:hint="eastAsia"/>
          <w:color w:val="auto"/>
          <w:szCs w:val="21"/>
        </w:rPr>
        <w:t>小时5</w:t>
      </w:r>
      <w:r>
        <w:rPr>
          <w:color w:val="auto"/>
          <w:szCs w:val="21"/>
        </w:rPr>
        <w:t>0分钟后，油膜开始进入金鼓江。当落潮流转变为涨潮流时，</w:t>
      </w:r>
      <w:r>
        <w:rPr>
          <w:rFonts w:hint="eastAsia"/>
          <w:color w:val="auto"/>
          <w:szCs w:val="21"/>
        </w:rPr>
        <w:t>油膜在涨潮流和SE风的作用下沿项目北部沿岸向西北方向快速扩散，在溢油事故发生约</w:t>
      </w:r>
      <w:r>
        <w:rPr>
          <w:color w:val="auto"/>
          <w:szCs w:val="21"/>
        </w:rPr>
        <w:t>10</w:t>
      </w:r>
      <w:r>
        <w:rPr>
          <w:rFonts w:hint="eastAsia"/>
          <w:color w:val="auto"/>
          <w:szCs w:val="21"/>
        </w:rPr>
        <w:t>小时3</w:t>
      </w:r>
      <w:r>
        <w:rPr>
          <w:color w:val="auto"/>
          <w:szCs w:val="21"/>
        </w:rPr>
        <w:t>0分钟</w:t>
      </w:r>
      <w:r>
        <w:rPr>
          <w:rFonts w:hint="eastAsia"/>
          <w:color w:val="auto"/>
          <w:szCs w:val="21"/>
        </w:rPr>
        <w:t>左右时，部分油膜又快速扫过蚝排养殖区，此后油膜不断扫过该养殖区并向西北方向扩散。在溢油事故发生约</w:t>
      </w:r>
      <w:r>
        <w:rPr>
          <w:color w:val="auto"/>
          <w:szCs w:val="21"/>
        </w:rPr>
        <w:t>12</w:t>
      </w:r>
      <w:r>
        <w:rPr>
          <w:rFonts w:hint="eastAsia"/>
          <w:color w:val="auto"/>
          <w:szCs w:val="21"/>
        </w:rPr>
        <w:t>小时</w:t>
      </w:r>
      <w:r>
        <w:rPr>
          <w:color w:val="auto"/>
          <w:szCs w:val="21"/>
        </w:rPr>
        <w:t>50分钟</w:t>
      </w:r>
      <w:r>
        <w:rPr>
          <w:rFonts w:hint="eastAsia"/>
          <w:color w:val="auto"/>
          <w:szCs w:val="21"/>
        </w:rPr>
        <w:t>后，油膜开始影响钦州</w:t>
      </w:r>
      <w:r>
        <w:rPr>
          <w:color w:val="auto"/>
          <w:szCs w:val="21"/>
        </w:rPr>
        <w:t>茅尾海国家海洋公园</w:t>
      </w:r>
      <w:r>
        <w:rPr>
          <w:rFonts w:hint="eastAsia"/>
          <w:color w:val="auto"/>
          <w:szCs w:val="21"/>
        </w:rPr>
        <w:t>。该工况条件下，油膜</w:t>
      </w:r>
      <w:r>
        <w:rPr>
          <w:color w:val="auto"/>
          <w:szCs w:val="21"/>
        </w:rPr>
        <w:t>12小时内的扫海面积约为1.30</w:t>
      </w:r>
      <w:r>
        <w:rPr>
          <w:rFonts w:hint="eastAsia"/>
          <w:color w:val="auto"/>
          <w:szCs w:val="21"/>
        </w:rPr>
        <w:t>km</w:t>
      </w:r>
      <w:r>
        <w:rPr>
          <w:color w:val="auto"/>
          <w:szCs w:val="21"/>
          <w:vertAlign w:val="superscript"/>
        </w:rPr>
        <w:t>2</w:t>
      </w:r>
      <w:r>
        <w:rPr>
          <w:color w:val="auto"/>
          <w:szCs w:val="21"/>
        </w:rPr>
        <w:t>，</w:t>
      </w:r>
      <w:r>
        <w:rPr>
          <w:rFonts w:hint="eastAsia"/>
          <w:color w:val="auto"/>
          <w:szCs w:val="21"/>
        </w:rPr>
        <w:t>2</w:t>
      </w:r>
      <w:r>
        <w:rPr>
          <w:color w:val="auto"/>
          <w:szCs w:val="21"/>
        </w:rPr>
        <w:t>4小时内的扫海面积约为28.16</w:t>
      </w:r>
      <w:r>
        <w:rPr>
          <w:rFonts w:hint="eastAsia"/>
          <w:color w:val="auto"/>
          <w:szCs w:val="21"/>
        </w:rPr>
        <w:t>km</w:t>
      </w:r>
      <w:r>
        <w:rPr>
          <w:color w:val="auto"/>
          <w:szCs w:val="21"/>
          <w:vertAlign w:val="superscript"/>
        </w:rPr>
        <w:t>2</w:t>
      </w:r>
      <w:r>
        <w:rPr>
          <w:rFonts w:hint="eastAsia"/>
          <w:color w:val="auto"/>
          <w:szCs w:val="21"/>
        </w:rPr>
        <w:t>，</w:t>
      </w:r>
      <w:r>
        <w:rPr>
          <w:color w:val="auto"/>
          <w:szCs w:val="21"/>
        </w:rPr>
        <w:t>72小时内的扫海面积约为30.89</w:t>
      </w:r>
      <w:r>
        <w:rPr>
          <w:rFonts w:hint="eastAsia"/>
          <w:color w:val="auto"/>
          <w:szCs w:val="21"/>
        </w:rPr>
        <w:t>km</w:t>
      </w:r>
      <w:r>
        <w:rPr>
          <w:color w:val="auto"/>
          <w:szCs w:val="21"/>
          <w:vertAlign w:val="superscript"/>
        </w:rPr>
        <w:t>2</w:t>
      </w:r>
      <w:r>
        <w:rPr>
          <w:rFonts w:hint="eastAsia"/>
          <w:color w:val="auto"/>
          <w:szCs w:val="21"/>
        </w:rPr>
        <w:t>。</w:t>
      </w:r>
    </w:p>
    <w:p w14:paraId="448258F5">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3</w:t>
      </w:r>
      <w:r>
        <w:rPr>
          <w:color w:val="auto"/>
        </w:rPr>
        <w:fldChar w:fldCharType="end"/>
      </w:r>
      <w:r>
        <w:rPr>
          <w:rFonts w:hint="eastAsia"/>
          <w:color w:val="auto"/>
        </w:rPr>
        <w:t>渣油</w:t>
      </w:r>
      <w:r>
        <w:rPr>
          <w:rFonts w:hint="eastAsia"/>
          <w:color w:val="auto"/>
          <w:szCs w:val="24"/>
        </w:rPr>
        <w:t>溢油</w:t>
      </w:r>
      <w:r>
        <w:rPr>
          <w:color w:val="auto"/>
          <w:szCs w:val="24"/>
        </w:rPr>
        <w:t>事故油膜到达敏感区和海岸线的时间统计</w:t>
      </w:r>
    </w:p>
    <w:tbl>
      <w:tblPr>
        <w:tblStyle w:val="43"/>
        <w:tblW w:w="91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90"/>
        <w:gridCol w:w="718"/>
        <w:gridCol w:w="700"/>
        <w:gridCol w:w="735"/>
        <w:gridCol w:w="3873"/>
        <w:gridCol w:w="2666"/>
      </w:tblGrid>
      <w:tr w14:paraId="39A45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6" w:hRule="atLeast"/>
          <w:tblHeader/>
          <w:jc w:val="center"/>
        </w:trPr>
        <w:tc>
          <w:tcPr>
            <w:tcW w:w="490" w:type="dxa"/>
            <w:vMerge w:val="restart"/>
            <w:vAlign w:val="center"/>
          </w:tcPr>
          <w:p w14:paraId="579B75CF">
            <w:pPr>
              <w:pStyle w:val="91"/>
              <w:keepNext w:val="0"/>
              <w:keepLines w:val="0"/>
              <w:suppressLineNumbers w:val="0"/>
              <w:spacing w:before="0" w:beforeAutospacing="0" w:after="0" w:afterAutospacing="0"/>
              <w:ind w:left="0" w:right="0"/>
              <w:rPr>
                <w:rFonts w:hint="default"/>
                <w:b/>
                <w:color w:val="auto"/>
              </w:rPr>
            </w:pPr>
            <w:r>
              <w:rPr>
                <w:rFonts w:hint="eastAsia"/>
                <w:b/>
                <w:color w:val="auto"/>
              </w:rPr>
              <w:t>工况</w:t>
            </w:r>
          </w:p>
        </w:tc>
        <w:tc>
          <w:tcPr>
            <w:tcW w:w="1418" w:type="dxa"/>
            <w:gridSpan w:val="2"/>
            <w:vAlign w:val="center"/>
          </w:tcPr>
          <w:p w14:paraId="020378FE">
            <w:pPr>
              <w:pStyle w:val="91"/>
              <w:keepNext w:val="0"/>
              <w:keepLines w:val="0"/>
              <w:suppressLineNumbers w:val="0"/>
              <w:spacing w:before="0" w:beforeAutospacing="0" w:after="0" w:afterAutospacing="0"/>
              <w:ind w:left="0" w:right="0"/>
              <w:rPr>
                <w:rFonts w:hint="default"/>
                <w:b/>
                <w:color w:val="auto"/>
              </w:rPr>
            </w:pPr>
            <w:r>
              <w:rPr>
                <w:rFonts w:hint="default"/>
                <w:b/>
                <w:color w:val="auto"/>
              </w:rPr>
              <w:t>风况</w:t>
            </w:r>
          </w:p>
        </w:tc>
        <w:tc>
          <w:tcPr>
            <w:tcW w:w="735" w:type="dxa"/>
            <w:vMerge w:val="restart"/>
            <w:vAlign w:val="center"/>
          </w:tcPr>
          <w:p w14:paraId="5A45663D">
            <w:pPr>
              <w:pStyle w:val="91"/>
              <w:keepNext w:val="0"/>
              <w:keepLines w:val="0"/>
              <w:suppressLineNumbers w:val="0"/>
              <w:spacing w:before="0" w:beforeAutospacing="0" w:after="0" w:afterAutospacing="0"/>
              <w:ind w:left="0" w:right="0"/>
              <w:rPr>
                <w:rFonts w:hint="default"/>
                <w:b/>
                <w:color w:val="auto"/>
              </w:rPr>
            </w:pPr>
            <w:r>
              <w:rPr>
                <w:rFonts w:hint="eastAsia"/>
                <w:b/>
                <w:color w:val="auto"/>
              </w:rPr>
              <w:t>潮汐</w:t>
            </w:r>
            <w:r>
              <w:rPr>
                <w:rFonts w:hint="default"/>
                <w:b/>
                <w:color w:val="auto"/>
              </w:rPr>
              <w:t>条件</w:t>
            </w:r>
          </w:p>
        </w:tc>
        <w:tc>
          <w:tcPr>
            <w:tcW w:w="3873" w:type="dxa"/>
            <w:vMerge w:val="restart"/>
            <w:vAlign w:val="center"/>
          </w:tcPr>
          <w:p w14:paraId="33701452">
            <w:pPr>
              <w:pStyle w:val="91"/>
              <w:keepNext w:val="0"/>
              <w:keepLines w:val="0"/>
              <w:suppressLineNumbers w:val="0"/>
              <w:spacing w:before="0" w:beforeAutospacing="0" w:after="0" w:afterAutospacing="0"/>
              <w:ind w:left="0" w:right="0"/>
              <w:rPr>
                <w:rFonts w:hint="default"/>
                <w:b/>
                <w:color w:val="auto"/>
              </w:rPr>
            </w:pPr>
            <w:r>
              <w:rPr>
                <w:rFonts w:hint="default"/>
                <w:b/>
                <w:color w:val="auto"/>
              </w:rPr>
              <w:t>到达敏感区时间</w:t>
            </w:r>
          </w:p>
        </w:tc>
        <w:tc>
          <w:tcPr>
            <w:tcW w:w="2666" w:type="dxa"/>
            <w:vMerge w:val="restart"/>
            <w:vAlign w:val="center"/>
          </w:tcPr>
          <w:p w14:paraId="6DC85651">
            <w:pPr>
              <w:pStyle w:val="91"/>
              <w:keepNext w:val="0"/>
              <w:keepLines w:val="0"/>
              <w:suppressLineNumbers w:val="0"/>
              <w:spacing w:before="0" w:beforeAutospacing="0" w:after="0" w:afterAutospacing="0"/>
              <w:ind w:left="0" w:right="0"/>
              <w:rPr>
                <w:rFonts w:hint="default"/>
                <w:b/>
                <w:color w:val="auto"/>
              </w:rPr>
            </w:pPr>
            <w:r>
              <w:rPr>
                <w:rFonts w:hint="default"/>
                <w:b/>
                <w:color w:val="auto"/>
              </w:rPr>
              <w:t>到达海岸线时间</w:t>
            </w:r>
          </w:p>
        </w:tc>
      </w:tr>
      <w:tr w14:paraId="4CB23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6" w:hRule="atLeast"/>
          <w:tblHeader/>
          <w:jc w:val="center"/>
        </w:trPr>
        <w:tc>
          <w:tcPr>
            <w:tcW w:w="490" w:type="dxa"/>
            <w:vMerge w:val="continue"/>
            <w:vAlign w:val="center"/>
          </w:tcPr>
          <w:p w14:paraId="71453A9D">
            <w:pPr>
              <w:pStyle w:val="91"/>
              <w:keepNext w:val="0"/>
              <w:keepLines w:val="0"/>
              <w:suppressLineNumbers w:val="0"/>
              <w:spacing w:before="0" w:beforeAutospacing="0" w:after="0" w:afterAutospacing="0"/>
              <w:ind w:left="0" w:right="0"/>
              <w:rPr>
                <w:rFonts w:hint="default"/>
                <w:color w:val="auto"/>
              </w:rPr>
            </w:pPr>
          </w:p>
        </w:tc>
        <w:tc>
          <w:tcPr>
            <w:tcW w:w="718" w:type="dxa"/>
            <w:vAlign w:val="center"/>
          </w:tcPr>
          <w:p w14:paraId="07E68AC8">
            <w:pPr>
              <w:pStyle w:val="91"/>
              <w:keepNext w:val="0"/>
              <w:keepLines w:val="0"/>
              <w:suppressLineNumbers w:val="0"/>
              <w:spacing w:before="0" w:beforeAutospacing="0" w:after="0" w:afterAutospacing="0"/>
              <w:ind w:left="0" w:right="0"/>
              <w:rPr>
                <w:rFonts w:hint="default"/>
                <w:b/>
                <w:color w:val="auto"/>
              </w:rPr>
            </w:pPr>
            <w:r>
              <w:rPr>
                <w:rFonts w:hint="default"/>
                <w:b/>
                <w:color w:val="auto"/>
              </w:rPr>
              <w:t>风向</w:t>
            </w:r>
          </w:p>
        </w:tc>
        <w:tc>
          <w:tcPr>
            <w:tcW w:w="700" w:type="dxa"/>
            <w:vAlign w:val="center"/>
          </w:tcPr>
          <w:p w14:paraId="3266C3F1">
            <w:pPr>
              <w:pStyle w:val="91"/>
              <w:keepNext w:val="0"/>
              <w:keepLines w:val="0"/>
              <w:suppressLineNumbers w:val="0"/>
              <w:spacing w:before="0" w:beforeAutospacing="0" w:after="0" w:afterAutospacing="0"/>
              <w:ind w:left="0" w:right="0"/>
              <w:rPr>
                <w:rFonts w:hint="default"/>
                <w:b/>
                <w:color w:val="auto"/>
              </w:rPr>
            </w:pPr>
            <w:r>
              <w:rPr>
                <w:rFonts w:hint="default"/>
                <w:b/>
                <w:color w:val="auto"/>
              </w:rPr>
              <w:t>风速</w:t>
            </w:r>
          </w:p>
          <w:p w14:paraId="2B77D19D">
            <w:pPr>
              <w:pStyle w:val="91"/>
              <w:keepNext w:val="0"/>
              <w:keepLines w:val="0"/>
              <w:suppressLineNumbers w:val="0"/>
              <w:spacing w:before="0" w:beforeAutospacing="0" w:after="0" w:afterAutospacing="0"/>
              <w:ind w:left="0" w:right="0"/>
              <w:rPr>
                <w:rFonts w:hint="default"/>
                <w:b/>
                <w:color w:val="auto"/>
              </w:rPr>
            </w:pPr>
            <w:r>
              <w:rPr>
                <w:rFonts w:hint="default"/>
                <w:b/>
                <w:color w:val="auto"/>
              </w:rPr>
              <w:t>(m/s)</w:t>
            </w:r>
          </w:p>
        </w:tc>
        <w:tc>
          <w:tcPr>
            <w:tcW w:w="735" w:type="dxa"/>
            <w:vMerge w:val="continue"/>
            <w:vAlign w:val="center"/>
          </w:tcPr>
          <w:p w14:paraId="2EB13E71">
            <w:pPr>
              <w:pStyle w:val="91"/>
              <w:keepNext w:val="0"/>
              <w:keepLines w:val="0"/>
              <w:suppressLineNumbers w:val="0"/>
              <w:spacing w:before="0" w:beforeAutospacing="0" w:after="0" w:afterAutospacing="0"/>
              <w:ind w:left="0" w:right="0"/>
              <w:rPr>
                <w:rFonts w:hint="default"/>
                <w:color w:val="auto"/>
              </w:rPr>
            </w:pPr>
          </w:p>
        </w:tc>
        <w:tc>
          <w:tcPr>
            <w:tcW w:w="3873" w:type="dxa"/>
            <w:vMerge w:val="continue"/>
            <w:vAlign w:val="center"/>
          </w:tcPr>
          <w:p w14:paraId="60B536B0">
            <w:pPr>
              <w:pStyle w:val="91"/>
              <w:keepNext w:val="0"/>
              <w:keepLines w:val="0"/>
              <w:suppressLineNumbers w:val="0"/>
              <w:spacing w:before="0" w:beforeAutospacing="0" w:after="0" w:afterAutospacing="0"/>
              <w:ind w:left="0" w:right="0"/>
              <w:rPr>
                <w:rFonts w:hint="default"/>
                <w:color w:val="auto"/>
              </w:rPr>
            </w:pPr>
          </w:p>
        </w:tc>
        <w:tc>
          <w:tcPr>
            <w:tcW w:w="2666" w:type="dxa"/>
            <w:vMerge w:val="continue"/>
            <w:vAlign w:val="center"/>
          </w:tcPr>
          <w:p w14:paraId="22FFDC46">
            <w:pPr>
              <w:pStyle w:val="91"/>
              <w:keepNext w:val="0"/>
              <w:keepLines w:val="0"/>
              <w:suppressLineNumbers w:val="0"/>
              <w:spacing w:before="0" w:beforeAutospacing="0" w:after="0" w:afterAutospacing="0"/>
              <w:ind w:left="0" w:right="0"/>
              <w:rPr>
                <w:rFonts w:hint="default"/>
                <w:color w:val="auto"/>
              </w:rPr>
            </w:pPr>
          </w:p>
        </w:tc>
      </w:tr>
      <w:tr w14:paraId="69C55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6" w:hRule="atLeast"/>
          <w:jc w:val="center"/>
        </w:trPr>
        <w:tc>
          <w:tcPr>
            <w:tcW w:w="490" w:type="dxa"/>
            <w:vAlign w:val="center"/>
          </w:tcPr>
          <w:p w14:paraId="6BFCB48F">
            <w:pPr>
              <w:pStyle w:val="91"/>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718" w:type="dxa"/>
            <w:vMerge w:val="restart"/>
            <w:vAlign w:val="center"/>
          </w:tcPr>
          <w:p w14:paraId="58A7B6A7">
            <w:pPr>
              <w:pStyle w:val="91"/>
              <w:keepNext w:val="0"/>
              <w:keepLines w:val="0"/>
              <w:suppressLineNumbers w:val="0"/>
              <w:spacing w:before="0" w:beforeAutospacing="0" w:after="0" w:afterAutospacing="0"/>
              <w:ind w:left="0" w:right="0"/>
              <w:rPr>
                <w:rFonts w:hint="default"/>
                <w:color w:val="auto"/>
              </w:rPr>
            </w:pPr>
            <w:r>
              <w:rPr>
                <w:rFonts w:hint="eastAsia"/>
                <w:color w:val="auto"/>
              </w:rPr>
              <w:t>N</w:t>
            </w:r>
            <w:r>
              <w:rPr>
                <w:rFonts w:hint="default"/>
                <w:color w:val="auto"/>
              </w:rPr>
              <w:t>风</w:t>
            </w:r>
          </w:p>
        </w:tc>
        <w:tc>
          <w:tcPr>
            <w:tcW w:w="700" w:type="dxa"/>
            <w:vMerge w:val="restart"/>
            <w:vAlign w:val="center"/>
          </w:tcPr>
          <w:p w14:paraId="3517034E">
            <w:pPr>
              <w:pStyle w:val="91"/>
              <w:keepNext w:val="0"/>
              <w:keepLines w:val="0"/>
              <w:suppressLineNumbers w:val="0"/>
              <w:spacing w:before="0" w:beforeAutospacing="0" w:after="0" w:afterAutospacing="0"/>
              <w:ind w:left="0" w:right="0"/>
              <w:rPr>
                <w:rFonts w:hint="default"/>
                <w:color w:val="auto"/>
              </w:rPr>
            </w:pPr>
            <w:r>
              <w:rPr>
                <w:rFonts w:hint="default"/>
                <w:color w:val="auto"/>
              </w:rPr>
              <w:t>6.7</w:t>
            </w:r>
          </w:p>
        </w:tc>
        <w:tc>
          <w:tcPr>
            <w:tcW w:w="735" w:type="dxa"/>
            <w:vAlign w:val="center"/>
          </w:tcPr>
          <w:p w14:paraId="4EE68A9F">
            <w:pPr>
              <w:pStyle w:val="91"/>
              <w:keepNext w:val="0"/>
              <w:keepLines w:val="0"/>
              <w:suppressLineNumbers w:val="0"/>
              <w:spacing w:before="0" w:beforeAutospacing="0" w:after="0" w:afterAutospacing="0"/>
              <w:ind w:left="0" w:right="0"/>
              <w:rPr>
                <w:rFonts w:hint="default"/>
                <w:color w:val="auto"/>
              </w:rPr>
            </w:pPr>
            <w:r>
              <w:rPr>
                <w:rFonts w:hint="default"/>
                <w:color w:val="auto"/>
              </w:rPr>
              <w:t>涨潮</w:t>
            </w:r>
          </w:p>
        </w:tc>
        <w:tc>
          <w:tcPr>
            <w:tcW w:w="3873" w:type="dxa"/>
            <w:vAlign w:val="center"/>
          </w:tcPr>
          <w:p w14:paraId="7D60D3F1">
            <w:pPr>
              <w:pStyle w:val="91"/>
              <w:keepNext w:val="0"/>
              <w:keepLines w:val="0"/>
              <w:suppressLineNumbers w:val="0"/>
              <w:spacing w:before="0" w:beforeAutospacing="0" w:after="0" w:afterAutospacing="0"/>
              <w:ind w:left="0" w:right="0"/>
              <w:rPr>
                <w:rFonts w:hint="default"/>
                <w:color w:val="auto"/>
              </w:rPr>
            </w:pPr>
            <w:r>
              <w:rPr>
                <w:rFonts w:hint="default"/>
                <w:color w:val="auto"/>
              </w:rPr>
              <w:t>5h2</w:t>
            </w:r>
            <w:r>
              <w:rPr>
                <w:rFonts w:hint="eastAsia"/>
                <w:color w:val="auto"/>
              </w:rPr>
              <w:t>0min到达防城港核电取水口附近；</w:t>
            </w:r>
          </w:p>
          <w:p w14:paraId="06AFD11F">
            <w:pPr>
              <w:pStyle w:val="91"/>
              <w:keepNext w:val="0"/>
              <w:keepLines w:val="0"/>
              <w:suppressLineNumbers w:val="0"/>
              <w:spacing w:before="0" w:beforeAutospacing="0" w:after="0" w:afterAutospacing="0"/>
              <w:ind w:left="0" w:right="0"/>
              <w:rPr>
                <w:rFonts w:hint="default"/>
                <w:color w:val="auto"/>
              </w:rPr>
            </w:pPr>
            <w:r>
              <w:rPr>
                <w:rFonts w:hint="default"/>
                <w:color w:val="auto"/>
              </w:rPr>
              <w:t>7</w:t>
            </w:r>
            <w:r>
              <w:rPr>
                <w:rFonts w:hint="eastAsia"/>
                <w:color w:val="auto"/>
              </w:rPr>
              <w:t>h</w:t>
            </w:r>
            <w:r>
              <w:rPr>
                <w:rFonts w:hint="default"/>
                <w:color w:val="auto"/>
              </w:rPr>
              <w:t>40min到达防城港核电排水明渠东北部沿岸；</w:t>
            </w:r>
          </w:p>
          <w:p w14:paraId="21F63C73">
            <w:pPr>
              <w:pStyle w:val="91"/>
              <w:keepNext w:val="0"/>
              <w:keepLines w:val="0"/>
              <w:suppressLineNumbers w:val="0"/>
              <w:spacing w:before="0" w:beforeAutospacing="0" w:after="0" w:afterAutospacing="0"/>
              <w:ind w:left="0" w:right="0"/>
              <w:rPr>
                <w:rFonts w:hint="default"/>
                <w:color w:val="auto"/>
              </w:rPr>
            </w:pPr>
            <w:r>
              <w:rPr>
                <w:rFonts w:hint="eastAsia"/>
                <w:color w:val="auto"/>
              </w:rPr>
              <w:t>8h</w:t>
            </w:r>
            <w:r>
              <w:rPr>
                <w:rFonts w:hint="default"/>
                <w:color w:val="auto"/>
              </w:rPr>
              <w:t>30min到达红树林</w:t>
            </w:r>
            <w:r>
              <w:rPr>
                <w:rFonts w:hint="eastAsia"/>
                <w:color w:val="auto"/>
              </w:rPr>
              <w:t>3和红树林4；</w:t>
            </w:r>
          </w:p>
          <w:p w14:paraId="7E79C55D">
            <w:pPr>
              <w:pStyle w:val="91"/>
              <w:keepNext w:val="0"/>
              <w:keepLines w:val="0"/>
              <w:suppressLineNumbers w:val="0"/>
              <w:spacing w:before="0" w:beforeAutospacing="0" w:after="0" w:afterAutospacing="0"/>
              <w:ind w:left="0" w:right="0"/>
              <w:rPr>
                <w:rFonts w:hint="default"/>
                <w:color w:val="auto"/>
              </w:rPr>
            </w:pPr>
            <w:r>
              <w:rPr>
                <w:rFonts w:hint="eastAsia"/>
                <w:color w:val="auto"/>
              </w:rPr>
              <w:t>1</w:t>
            </w:r>
            <w:r>
              <w:rPr>
                <w:rFonts w:hint="default"/>
                <w:color w:val="auto"/>
              </w:rPr>
              <w:t>2h10min开始进入北部湾二长棘鲷长毛对虾国家级种质资源保护区（实验区）</w:t>
            </w:r>
          </w:p>
        </w:tc>
        <w:tc>
          <w:tcPr>
            <w:tcW w:w="2666" w:type="dxa"/>
            <w:vAlign w:val="center"/>
          </w:tcPr>
          <w:p w14:paraId="20958CD4">
            <w:pPr>
              <w:pStyle w:val="91"/>
              <w:keepNext w:val="0"/>
              <w:keepLines w:val="0"/>
              <w:suppressLineNumbers w:val="0"/>
              <w:spacing w:before="0" w:beforeAutospacing="0" w:after="0" w:afterAutospacing="0"/>
              <w:ind w:left="0" w:right="0"/>
              <w:rPr>
                <w:rFonts w:hint="default"/>
                <w:color w:val="auto"/>
              </w:rPr>
            </w:pPr>
            <w:r>
              <w:rPr>
                <w:rFonts w:hint="default"/>
                <w:color w:val="auto"/>
              </w:rPr>
              <w:t>5h2</w:t>
            </w:r>
            <w:r>
              <w:rPr>
                <w:rFonts w:hint="eastAsia"/>
                <w:color w:val="auto"/>
              </w:rPr>
              <w:t>0min在防城港核电取水口附近抵岸；</w:t>
            </w:r>
          </w:p>
          <w:p w14:paraId="2448673A">
            <w:pPr>
              <w:pStyle w:val="91"/>
              <w:keepNext w:val="0"/>
              <w:keepLines w:val="0"/>
              <w:suppressLineNumbers w:val="0"/>
              <w:spacing w:before="0" w:beforeAutospacing="0" w:after="0" w:afterAutospacing="0"/>
              <w:ind w:left="0" w:right="0"/>
              <w:rPr>
                <w:rFonts w:hint="default"/>
                <w:color w:val="auto"/>
              </w:rPr>
            </w:pPr>
            <w:r>
              <w:rPr>
                <w:rFonts w:hint="eastAsia"/>
                <w:color w:val="auto"/>
              </w:rPr>
              <w:t>7h</w:t>
            </w:r>
            <w:r>
              <w:rPr>
                <w:rFonts w:hint="default"/>
                <w:color w:val="auto"/>
              </w:rPr>
              <w:t>40min</w:t>
            </w:r>
            <w:r>
              <w:rPr>
                <w:rFonts w:hint="eastAsia"/>
                <w:color w:val="auto"/>
              </w:rPr>
              <w:t>在</w:t>
            </w:r>
            <w:r>
              <w:rPr>
                <w:rFonts w:hint="default"/>
                <w:color w:val="auto"/>
              </w:rPr>
              <w:t>防城港核电排水明渠东北部沿岸抵岸；</w:t>
            </w:r>
          </w:p>
          <w:p w14:paraId="08ACD71E">
            <w:pPr>
              <w:pStyle w:val="91"/>
              <w:keepNext w:val="0"/>
              <w:keepLines w:val="0"/>
              <w:suppressLineNumbers w:val="0"/>
              <w:spacing w:before="0" w:beforeAutospacing="0" w:after="0" w:afterAutospacing="0"/>
              <w:ind w:left="0" w:right="0"/>
              <w:rPr>
                <w:rFonts w:hint="default"/>
                <w:color w:val="auto"/>
              </w:rPr>
            </w:pPr>
            <w:r>
              <w:rPr>
                <w:rFonts w:hint="eastAsia"/>
                <w:color w:val="auto"/>
              </w:rPr>
              <w:t>8h</w:t>
            </w:r>
            <w:r>
              <w:rPr>
                <w:rFonts w:hint="default"/>
                <w:color w:val="auto"/>
              </w:rPr>
              <w:t>30min</w:t>
            </w:r>
            <w:r>
              <w:rPr>
                <w:rFonts w:hint="eastAsia"/>
                <w:color w:val="auto"/>
              </w:rPr>
              <w:t>在</w:t>
            </w:r>
            <w:r>
              <w:rPr>
                <w:rFonts w:hint="default"/>
                <w:color w:val="auto"/>
              </w:rPr>
              <w:t>红树林</w:t>
            </w:r>
            <w:r>
              <w:rPr>
                <w:rFonts w:hint="eastAsia"/>
                <w:color w:val="auto"/>
              </w:rPr>
              <w:t>3和红树林4抵岸</w:t>
            </w:r>
          </w:p>
        </w:tc>
      </w:tr>
      <w:tr w14:paraId="6A2FD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6" w:hRule="atLeast"/>
          <w:jc w:val="center"/>
        </w:trPr>
        <w:tc>
          <w:tcPr>
            <w:tcW w:w="490" w:type="dxa"/>
            <w:vAlign w:val="center"/>
          </w:tcPr>
          <w:p w14:paraId="51F9A4C0">
            <w:pPr>
              <w:pStyle w:val="91"/>
              <w:keepNext w:val="0"/>
              <w:keepLines w:val="0"/>
              <w:suppressLineNumbers w:val="0"/>
              <w:spacing w:before="0" w:beforeAutospacing="0" w:after="0" w:afterAutospacing="0"/>
              <w:ind w:left="0" w:right="0"/>
              <w:rPr>
                <w:rFonts w:hint="default"/>
                <w:color w:val="auto"/>
              </w:rPr>
            </w:pPr>
            <w:r>
              <w:rPr>
                <w:rFonts w:hint="default"/>
                <w:color w:val="auto"/>
              </w:rPr>
              <w:t>2</w:t>
            </w:r>
          </w:p>
        </w:tc>
        <w:tc>
          <w:tcPr>
            <w:tcW w:w="718" w:type="dxa"/>
            <w:vMerge w:val="continue"/>
            <w:vAlign w:val="center"/>
          </w:tcPr>
          <w:p w14:paraId="71324DD0">
            <w:pPr>
              <w:pStyle w:val="91"/>
              <w:keepNext w:val="0"/>
              <w:keepLines w:val="0"/>
              <w:suppressLineNumbers w:val="0"/>
              <w:spacing w:before="0" w:beforeAutospacing="0" w:after="0" w:afterAutospacing="0"/>
              <w:ind w:left="0" w:right="0"/>
              <w:rPr>
                <w:rFonts w:hint="default"/>
                <w:color w:val="auto"/>
              </w:rPr>
            </w:pPr>
          </w:p>
        </w:tc>
        <w:tc>
          <w:tcPr>
            <w:tcW w:w="700" w:type="dxa"/>
            <w:vMerge w:val="continue"/>
            <w:vAlign w:val="center"/>
          </w:tcPr>
          <w:p w14:paraId="31E00C44">
            <w:pPr>
              <w:pStyle w:val="91"/>
              <w:keepNext w:val="0"/>
              <w:keepLines w:val="0"/>
              <w:suppressLineNumbers w:val="0"/>
              <w:spacing w:before="0" w:beforeAutospacing="0" w:after="0" w:afterAutospacing="0"/>
              <w:ind w:left="0" w:right="0"/>
              <w:rPr>
                <w:rFonts w:hint="default"/>
                <w:color w:val="auto"/>
              </w:rPr>
            </w:pPr>
          </w:p>
        </w:tc>
        <w:tc>
          <w:tcPr>
            <w:tcW w:w="735" w:type="dxa"/>
            <w:vAlign w:val="center"/>
          </w:tcPr>
          <w:p w14:paraId="7B434F29">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3873" w:type="dxa"/>
            <w:vAlign w:val="center"/>
          </w:tcPr>
          <w:p w14:paraId="6040DC84">
            <w:pPr>
              <w:pStyle w:val="91"/>
              <w:keepNext w:val="0"/>
              <w:keepLines w:val="0"/>
              <w:suppressLineNumbers w:val="0"/>
              <w:spacing w:before="0" w:beforeAutospacing="0" w:after="0" w:afterAutospacing="0"/>
              <w:ind w:left="0" w:right="0"/>
              <w:rPr>
                <w:rFonts w:hint="default"/>
                <w:color w:val="auto"/>
              </w:rPr>
            </w:pPr>
            <w:r>
              <w:rPr>
                <w:rFonts w:hint="default"/>
                <w:color w:val="auto"/>
              </w:rPr>
              <w:t>7h20min开始进入北部湾二长棘鲷长毛对虾国家级种质资源保护区（实验区）</w:t>
            </w:r>
          </w:p>
        </w:tc>
        <w:tc>
          <w:tcPr>
            <w:tcW w:w="2666" w:type="dxa"/>
            <w:vAlign w:val="center"/>
          </w:tcPr>
          <w:p w14:paraId="3358A146">
            <w:pPr>
              <w:pStyle w:val="91"/>
              <w:keepNext w:val="0"/>
              <w:keepLines w:val="0"/>
              <w:suppressLineNumbers w:val="0"/>
              <w:spacing w:before="0" w:beforeAutospacing="0" w:after="0" w:afterAutospacing="0"/>
              <w:ind w:left="0" w:right="0"/>
              <w:rPr>
                <w:rFonts w:hint="default"/>
                <w:color w:val="auto"/>
              </w:rPr>
            </w:pPr>
            <w:r>
              <w:rPr>
                <w:rFonts w:hint="eastAsia" w:ascii="宋体"/>
                <w:color w:val="auto"/>
              </w:rPr>
              <w:t>－</w:t>
            </w:r>
          </w:p>
        </w:tc>
      </w:tr>
      <w:tr w14:paraId="3F1E4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6" w:hRule="atLeast"/>
          <w:jc w:val="center"/>
        </w:trPr>
        <w:tc>
          <w:tcPr>
            <w:tcW w:w="490" w:type="dxa"/>
            <w:vAlign w:val="center"/>
          </w:tcPr>
          <w:p w14:paraId="48034BD5">
            <w:pPr>
              <w:pStyle w:val="91"/>
              <w:keepNext w:val="0"/>
              <w:keepLines w:val="0"/>
              <w:suppressLineNumbers w:val="0"/>
              <w:spacing w:before="0" w:beforeAutospacing="0" w:after="0" w:afterAutospacing="0"/>
              <w:ind w:left="0" w:right="0"/>
              <w:rPr>
                <w:rFonts w:hint="default"/>
                <w:color w:val="auto"/>
              </w:rPr>
            </w:pPr>
            <w:r>
              <w:rPr>
                <w:rFonts w:hint="default"/>
                <w:color w:val="auto"/>
              </w:rPr>
              <w:t>3</w:t>
            </w:r>
          </w:p>
        </w:tc>
        <w:tc>
          <w:tcPr>
            <w:tcW w:w="718" w:type="dxa"/>
            <w:vMerge w:val="restart"/>
            <w:vAlign w:val="center"/>
          </w:tcPr>
          <w:p w14:paraId="41810D49">
            <w:pPr>
              <w:pStyle w:val="91"/>
              <w:keepNext w:val="0"/>
              <w:keepLines w:val="0"/>
              <w:suppressLineNumbers w:val="0"/>
              <w:spacing w:before="0" w:beforeAutospacing="0" w:after="0" w:afterAutospacing="0"/>
              <w:ind w:left="0" w:right="0"/>
              <w:rPr>
                <w:rFonts w:hint="default"/>
                <w:color w:val="auto"/>
              </w:rPr>
            </w:pPr>
            <w:r>
              <w:rPr>
                <w:rFonts w:hint="eastAsia"/>
                <w:color w:val="auto"/>
              </w:rPr>
              <w:t>S风</w:t>
            </w:r>
          </w:p>
        </w:tc>
        <w:tc>
          <w:tcPr>
            <w:tcW w:w="700" w:type="dxa"/>
            <w:vMerge w:val="restart"/>
            <w:vAlign w:val="center"/>
          </w:tcPr>
          <w:p w14:paraId="0EE77A5F">
            <w:pPr>
              <w:pStyle w:val="91"/>
              <w:keepNext w:val="0"/>
              <w:keepLines w:val="0"/>
              <w:suppressLineNumbers w:val="0"/>
              <w:spacing w:before="0" w:beforeAutospacing="0" w:after="0" w:afterAutospacing="0"/>
              <w:ind w:left="0" w:right="0"/>
              <w:rPr>
                <w:rFonts w:hint="default"/>
                <w:color w:val="auto"/>
              </w:rPr>
            </w:pPr>
            <w:r>
              <w:rPr>
                <w:rFonts w:hint="default"/>
                <w:color w:val="auto"/>
              </w:rPr>
              <w:t>5.1</w:t>
            </w:r>
          </w:p>
        </w:tc>
        <w:tc>
          <w:tcPr>
            <w:tcW w:w="735" w:type="dxa"/>
            <w:vAlign w:val="center"/>
          </w:tcPr>
          <w:p w14:paraId="614E419C">
            <w:pPr>
              <w:pStyle w:val="91"/>
              <w:keepNext w:val="0"/>
              <w:keepLines w:val="0"/>
              <w:suppressLineNumbers w:val="0"/>
              <w:spacing w:before="0" w:beforeAutospacing="0" w:after="0" w:afterAutospacing="0"/>
              <w:ind w:left="0" w:right="0"/>
              <w:rPr>
                <w:rFonts w:hint="default"/>
                <w:color w:val="auto"/>
              </w:rPr>
            </w:pPr>
            <w:r>
              <w:rPr>
                <w:rFonts w:hint="default"/>
                <w:color w:val="auto"/>
              </w:rPr>
              <w:t>涨潮</w:t>
            </w:r>
          </w:p>
        </w:tc>
        <w:tc>
          <w:tcPr>
            <w:tcW w:w="3873" w:type="dxa"/>
            <w:vAlign w:val="center"/>
          </w:tcPr>
          <w:p w14:paraId="1237F93B">
            <w:pPr>
              <w:pStyle w:val="91"/>
              <w:keepNext w:val="0"/>
              <w:keepLines w:val="0"/>
              <w:suppressLineNumbers w:val="0"/>
              <w:spacing w:before="0" w:beforeAutospacing="0" w:after="0" w:afterAutospacing="0"/>
              <w:ind w:left="0" w:right="0"/>
              <w:rPr>
                <w:rFonts w:hint="default"/>
                <w:color w:val="auto"/>
              </w:rPr>
            </w:pPr>
            <w:r>
              <w:rPr>
                <w:rFonts w:hint="default"/>
                <w:color w:val="auto"/>
              </w:rPr>
              <w:t>3h开始影响蚝排养殖区；</w:t>
            </w:r>
          </w:p>
          <w:p w14:paraId="08611412">
            <w:pPr>
              <w:pStyle w:val="91"/>
              <w:keepNext w:val="0"/>
              <w:keepLines w:val="0"/>
              <w:suppressLineNumbers w:val="0"/>
              <w:spacing w:before="0" w:beforeAutospacing="0" w:after="0" w:afterAutospacing="0"/>
              <w:ind w:left="0" w:right="0"/>
              <w:rPr>
                <w:rFonts w:hint="default"/>
                <w:color w:val="auto"/>
              </w:rPr>
            </w:pPr>
            <w:r>
              <w:rPr>
                <w:rFonts w:hint="default"/>
                <w:color w:val="auto"/>
              </w:rPr>
              <w:t>4</w:t>
            </w:r>
            <w:r>
              <w:rPr>
                <w:rFonts w:hint="eastAsia"/>
                <w:color w:val="auto"/>
              </w:rPr>
              <w:t>h</w:t>
            </w:r>
            <w:r>
              <w:rPr>
                <w:rFonts w:hint="default"/>
                <w:color w:val="auto"/>
              </w:rPr>
              <w:t>和</w:t>
            </w:r>
            <w:r>
              <w:rPr>
                <w:rFonts w:hint="eastAsia"/>
                <w:color w:val="auto"/>
              </w:rPr>
              <w:t>5h后</w:t>
            </w:r>
            <w:r>
              <w:rPr>
                <w:rFonts w:hint="default"/>
                <w:color w:val="auto"/>
              </w:rPr>
              <w:t>开始影响</w:t>
            </w:r>
            <w:r>
              <w:rPr>
                <w:rFonts w:hint="eastAsia"/>
                <w:color w:val="auto"/>
              </w:rPr>
              <w:t>广西茅尾海红树林自治区级自然保护区；</w:t>
            </w:r>
          </w:p>
          <w:p w14:paraId="0F4B9C88">
            <w:pPr>
              <w:pStyle w:val="91"/>
              <w:keepNext w:val="0"/>
              <w:keepLines w:val="0"/>
              <w:suppressLineNumbers w:val="0"/>
              <w:spacing w:before="0" w:beforeAutospacing="0" w:after="0" w:afterAutospacing="0"/>
              <w:ind w:left="0" w:right="0"/>
              <w:rPr>
                <w:rFonts w:hint="default"/>
                <w:color w:val="auto"/>
              </w:rPr>
            </w:pPr>
            <w:r>
              <w:rPr>
                <w:rFonts w:hint="default"/>
                <w:color w:val="auto"/>
              </w:rPr>
              <w:t>16h30min开始影响</w:t>
            </w:r>
            <w:r>
              <w:rPr>
                <w:rFonts w:hint="eastAsia"/>
                <w:color w:val="auto"/>
              </w:rPr>
              <w:t>金鼓江上游的红树林5，1</w:t>
            </w:r>
            <w:r>
              <w:rPr>
                <w:rFonts w:hint="default"/>
                <w:color w:val="auto"/>
              </w:rPr>
              <w:t>6</w:t>
            </w:r>
            <w:r>
              <w:rPr>
                <w:rFonts w:hint="eastAsia"/>
                <w:color w:val="auto"/>
              </w:rPr>
              <w:t>h</w:t>
            </w:r>
            <w:r>
              <w:rPr>
                <w:rFonts w:hint="default"/>
                <w:color w:val="auto"/>
              </w:rPr>
              <w:t>50min</w:t>
            </w:r>
            <w:r>
              <w:rPr>
                <w:rFonts w:hint="eastAsia"/>
                <w:color w:val="auto"/>
              </w:rPr>
              <w:t>后开始影响红树林6</w:t>
            </w:r>
          </w:p>
        </w:tc>
        <w:tc>
          <w:tcPr>
            <w:tcW w:w="2666" w:type="dxa"/>
            <w:vAlign w:val="center"/>
          </w:tcPr>
          <w:p w14:paraId="62C0C467">
            <w:pPr>
              <w:pStyle w:val="91"/>
              <w:keepNext w:val="0"/>
              <w:keepLines w:val="0"/>
              <w:suppressLineNumbers w:val="0"/>
              <w:spacing w:before="0" w:beforeAutospacing="0" w:after="0" w:afterAutospacing="0"/>
              <w:ind w:left="0" w:right="0"/>
              <w:rPr>
                <w:rFonts w:hint="default"/>
                <w:color w:val="auto"/>
              </w:rPr>
            </w:pPr>
            <w:r>
              <w:rPr>
                <w:rFonts w:hint="default"/>
                <w:color w:val="auto"/>
              </w:rPr>
              <w:t>4</w:t>
            </w:r>
            <w:r>
              <w:rPr>
                <w:rFonts w:hint="eastAsia"/>
                <w:color w:val="auto"/>
              </w:rPr>
              <w:t>h</w:t>
            </w:r>
            <w:r>
              <w:rPr>
                <w:rFonts w:hint="default"/>
                <w:color w:val="auto"/>
              </w:rPr>
              <w:t>和</w:t>
            </w:r>
            <w:r>
              <w:rPr>
                <w:rFonts w:hint="eastAsia"/>
                <w:color w:val="auto"/>
              </w:rPr>
              <w:t>5h后在广西茅尾海红树林自治区级自然保护区抵岸；</w:t>
            </w:r>
          </w:p>
          <w:p w14:paraId="183B89B3">
            <w:pPr>
              <w:pStyle w:val="91"/>
              <w:keepNext w:val="0"/>
              <w:keepLines w:val="0"/>
              <w:suppressLineNumbers w:val="0"/>
              <w:spacing w:before="0" w:beforeAutospacing="0" w:after="0" w:afterAutospacing="0"/>
              <w:ind w:left="0" w:right="0"/>
              <w:rPr>
                <w:rFonts w:hint="default"/>
                <w:color w:val="auto"/>
              </w:rPr>
            </w:pPr>
            <w:r>
              <w:rPr>
                <w:rFonts w:hint="default"/>
                <w:color w:val="auto"/>
              </w:rPr>
              <w:t>16h30min</w:t>
            </w:r>
            <w:r>
              <w:rPr>
                <w:rFonts w:hint="eastAsia"/>
                <w:color w:val="auto"/>
              </w:rPr>
              <w:t>在金鼓江上游的红树林5抵岸，1</w:t>
            </w:r>
            <w:r>
              <w:rPr>
                <w:rFonts w:hint="default"/>
                <w:color w:val="auto"/>
              </w:rPr>
              <w:t>6</w:t>
            </w:r>
            <w:r>
              <w:rPr>
                <w:rFonts w:hint="eastAsia"/>
                <w:color w:val="auto"/>
              </w:rPr>
              <w:t>h</w:t>
            </w:r>
            <w:r>
              <w:rPr>
                <w:rFonts w:hint="default"/>
                <w:color w:val="auto"/>
              </w:rPr>
              <w:t>50min</w:t>
            </w:r>
            <w:r>
              <w:rPr>
                <w:rFonts w:hint="eastAsia"/>
                <w:color w:val="auto"/>
              </w:rPr>
              <w:t>后红树林6附近抵岸</w:t>
            </w:r>
          </w:p>
        </w:tc>
      </w:tr>
      <w:tr w14:paraId="33533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6" w:hRule="atLeast"/>
          <w:jc w:val="center"/>
        </w:trPr>
        <w:tc>
          <w:tcPr>
            <w:tcW w:w="490" w:type="dxa"/>
            <w:vAlign w:val="center"/>
          </w:tcPr>
          <w:p w14:paraId="07EA498C">
            <w:pPr>
              <w:pStyle w:val="91"/>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718" w:type="dxa"/>
            <w:vMerge w:val="continue"/>
            <w:vAlign w:val="center"/>
          </w:tcPr>
          <w:p w14:paraId="42143F8C">
            <w:pPr>
              <w:pStyle w:val="91"/>
              <w:keepNext w:val="0"/>
              <w:keepLines w:val="0"/>
              <w:suppressLineNumbers w:val="0"/>
              <w:spacing w:before="0" w:beforeAutospacing="0" w:after="0" w:afterAutospacing="0"/>
              <w:ind w:left="0" w:right="0"/>
              <w:rPr>
                <w:rFonts w:hint="default"/>
                <w:color w:val="auto"/>
              </w:rPr>
            </w:pPr>
          </w:p>
        </w:tc>
        <w:tc>
          <w:tcPr>
            <w:tcW w:w="700" w:type="dxa"/>
            <w:vMerge w:val="continue"/>
            <w:vAlign w:val="center"/>
          </w:tcPr>
          <w:p w14:paraId="1DD6C6D6">
            <w:pPr>
              <w:pStyle w:val="91"/>
              <w:keepNext w:val="0"/>
              <w:keepLines w:val="0"/>
              <w:suppressLineNumbers w:val="0"/>
              <w:spacing w:before="0" w:beforeAutospacing="0" w:after="0" w:afterAutospacing="0"/>
              <w:ind w:left="0" w:right="0"/>
              <w:rPr>
                <w:rFonts w:hint="default"/>
                <w:color w:val="auto"/>
              </w:rPr>
            </w:pPr>
          </w:p>
        </w:tc>
        <w:tc>
          <w:tcPr>
            <w:tcW w:w="735" w:type="dxa"/>
            <w:vAlign w:val="center"/>
          </w:tcPr>
          <w:p w14:paraId="5396C593">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3873" w:type="dxa"/>
            <w:vAlign w:val="center"/>
          </w:tcPr>
          <w:p w14:paraId="5A267D54">
            <w:pPr>
              <w:pStyle w:val="91"/>
              <w:keepNext w:val="0"/>
              <w:keepLines w:val="0"/>
              <w:suppressLineNumbers w:val="0"/>
              <w:spacing w:before="0" w:beforeAutospacing="0" w:after="0" w:afterAutospacing="0"/>
              <w:ind w:left="0" w:right="0"/>
              <w:rPr>
                <w:rFonts w:hint="default"/>
                <w:color w:val="auto"/>
              </w:rPr>
            </w:pPr>
            <w:r>
              <w:rPr>
                <w:rFonts w:hint="default"/>
                <w:color w:val="auto"/>
              </w:rPr>
              <w:t>10</w:t>
            </w:r>
            <w:r>
              <w:rPr>
                <w:rFonts w:hint="eastAsia"/>
                <w:color w:val="auto"/>
              </w:rPr>
              <w:t>h</w:t>
            </w:r>
            <w:r>
              <w:rPr>
                <w:rFonts w:hint="default"/>
                <w:color w:val="auto"/>
              </w:rPr>
              <w:t>40min</w:t>
            </w:r>
            <w:r>
              <w:rPr>
                <w:rFonts w:hint="eastAsia"/>
                <w:color w:val="auto"/>
              </w:rPr>
              <w:t>开始</w:t>
            </w:r>
            <w:r>
              <w:rPr>
                <w:rFonts w:hint="default"/>
                <w:color w:val="auto"/>
              </w:rPr>
              <w:t>影响金鼓江上游的红树林</w:t>
            </w:r>
            <w:r>
              <w:rPr>
                <w:rFonts w:hint="eastAsia"/>
                <w:color w:val="auto"/>
              </w:rPr>
              <w:t>5</w:t>
            </w:r>
          </w:p>
        </w:tc>
        <w:tc>
          <w:tcPr>
            <w:tcW w:w="2666" w:type="dxa"/>
            <w:vAlign w:val="center"/>
          </w:tcPr>
          <w:p w14:paraId="11A2F30F">
            <w:pPr>
              <w:pStyle w:val="91"/>
              <w:keepNext w:val="0"/>
              <w:keepLines w:val="0"/>
              <w:suppressLineNumbers w:val="0"/>
              <w:spacing w:before="0" w:beforeAutospacing="0" w:after="0" w:afterAutospacing="0"/>
              <w:ind w:left="0" w:right="0"/>
              <w:rPr>
                <w:rFonts w:hint="default"/>
                <w:color w:val="auto"/>
              </w:rPr>
            </w:pPr>
            <w:r>
              <w:rPr>
                <w:rFonts w:hint="default"/>
                <w:color w:val="auto"/>
              </w:rPr>
              <w:t>10</w:t>
            </w:r>
            <w:r>
              <w:rPr>
                <w:rFonts w:hint="eastAsia"/>
                <w:color w:val="auto"/>
              </w:rPr>
              <w:t>h</w:t>
            </w:r>
            <w:r>
              <w:rPr>
                <w:rFonts w:hint="default"/>
                <w:color w:val="auto"/>
              </w:rPr>
              <w:t>40min</w:t>
            </w:r>
            <w:r>
              <w:rPr>
                <w:rFonts w:hint="eastAsia"/>
                <w:color w:val="auto"/>
              </w:rPr>
              <w:t>在</w:t>
            </w:r>
            <w:r>
              <w:rPr>
                <w:rFonts w:hint="default"/>
                <w:color w:val="auto"/>
              </w:rPr>
              <w:t>金鼓江上游的红树林</w:t>
            </w:r>
            <w:r>
              <w:rPr>
                <w:rFonts w:hint="eastAsia"/>
                <w:color w:val="auto"/>
              </w:rPr>
              <w:t>5海域抵岸</w:t>
            </w:r>
          </w:p>
        </w:tc>
      </w:tr>
      <w:tr w14:paraId="5141E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6" w:hRule="atLeast"/>
          <w:jc w:val="center"/>
        </w:trPr>
        <w:tc>
          <w:tcPr>
            <w:tcW w:w="490" w:type="dxa"/>
            <w:vAlign w:val="center"/>
          </w:tcPr>
          <w:p w14:paraId="707A7F6D">
            <w:pPr>
              <w:pStyle w:val="91"/>
              <w:keepNext w:val="0"/>
              <w:keepLines w:val="0"/>
              <w:suppressLineNumbers w:val="0"/>
              <w:spacing w:before="0" w:beforeAutospacing="0" w:after="0" w:afterAutospacing="0"/>
              <w:ind w:left="0" w:right="0"/>
              <w:rPr>
                <w:rFonts w:hint="default"/>
                <w:color w:val="auto"/>
              </w:rPr>
            </w:pPr>
            <w:r>
              <w:rPr>
                <w:rFonts w:hint="default"/>
                <w:color w:val="auto"/>
              </w:rPr>
              <w:t>5</w:t>
            </w:r>
          </w:p>
        </w:tc>
        <w:tc>
          <w:tcPr>
            <w:tcW w:w="718" w:type="dxa"/>
            <w:vMerge w:val="restart"/>
            <w:vAlign w:val="center"/>
          </w:tcPr>
          <w:p w14:paraId="26775BE1">
            <w:pPr>
              <w:pStyle w:val="91"/>
              <w:keepNext w:val="0"/>
              <w:keepLines w:val="0"/>
              <w:suppressLineNumbers w:val="0"/>
              <w:spacing w:before="0" w:beforeAutospacing="0" w:after="0" w:afterAutospacing="0"/>
              <w:ind w:left="0" w:right="0"/>
              <w:rPr>
                <w:rFonts w:hint="default"/>
                <w:color w:val="auto"/>
              </w:rPr>
            </w:pPr>
            <w:r>
              <w:rPr>
                <w:rFonts w:hint="default"/>
                <w:color w:val="auto"/>
              </w:rPr>
              <w:t>SE风</w:t>
            </w:r>
          </w:p>
        </w:tc>
        <w:tc>
          <w:tcPr>
            <w:tcW w:w="700" w:type="dxa"/>
            <w:vMerge w:val="restart"/>
            <w:vAlign w:val="center"/>
          </w:tcPr>
          <w:p w14:paraId="4C0C9424">
            <w:pPr>
              <w:pStyle w:val="91"/>
              <w:keepNext w:val="0"/>
              <w:keepLines w:val="0"/>
              <w:suppressLineNumbers w:val="0"/>
              <w:spacing w:before="0" w:beforeAutospacing="0" w:after="0" w:afterAutospacing="0"/>
              <w:ind w:left="0" w:right="0"/>
              <w:rPr>
                <w:rFonts w:hint="default"/>
                <w:color w:val="auto"/>
              </w:rPr>
            </w:pPr>
            <w:r>
              <w:rPr>
                <w:rFonts w:hint="eastAsia"/>
                <w:color w:val="auto"/>
              </w:rPr>
              <w:t>1</w:t>
            </w:r>
            <w:r>
              <w:rPr>
                <w:rFonts w:hint="default"/>
                <w:color w:val="auto"/>
              </w:rPr>
              <w:t>3.8</w:t>
            </w:r>
          </w:p>
        </w:tc>
        <w:tc>
          <w:tcPr>
            <w:tcW w:w="735" w:type="dxa"/>
            <w:vAlign w:val="center"/>
          </w:tcPr>
          <w:p w14:paraId="199BF4E9">
            <w:pPr>
              <w:pStyle w:val="91"/>
              <w:keepNext w:val="0"/>
              <w:keepLines w:val="0"/>
              <w:suppressLineNumbers w:val="0"/>
              <w:spacing w:before="0" w:beforeAutospacing="0" w:after="0" w:afterAutospacing="0"/>
              <w:ind w:left="0" w:right="0"/>
              <w:rPr>
                <w:rFonts w:hint="default"/>
                <w:color w:val="auto"/>
              </w:rPr>
            </w:pPr>
            <w:r>
              <w:rPr>
                <w:rFonts w:hint="eastAsia"/>
                <w:color w:val="auto"/>
              </w:rPr>
              <w:t>涨潮</w:t>
            </w:r>
          </w:p>
        </w:tc>
        <w:tc>
          <w:tcPr>
            <w:tcW w:w="3873" w:type="dxa"/>
            <w:vAlign w:val="center"/>
          </w:tcPr>
          <w:p w14:paraId="0F0F3B3B">
            <w:pPr>
              <w:pStyle w:val="91"/>
              <w:keepNext w:val="0"/>
              <w:keepLines w:val="0"/>
              <w:suppressLineNumbers w:val="0"/>
              <w:spacing w:before="0" w:beforeAutospacing="0" w:after="0" w:afterAutospacing="0"/>
              <w:ind w:left="0" w:right="0"/>
              <w:rPr>
                <w:rFonts w:hint="default"/>
                <w:color w:val="auto"/>
              </w:rPr>
            </w:pPr>
            <w:r>
              <w:rPr>
                <w:rFonts w:hint="default"/>
                <w:color w:val="auto"/>
              </w:rPr>
              <w:t>2h后开始影响蚝排养殖区；</w:t>
            </w:r>
          </w:p>
          <w:p w14:paraId="565FFCD5">
            <w:pPr>
              <w:pStyle w:val="91"/>
              <w:keepNext w:val="0"/>
              <w:keepLines w:val="0"/>
              <w:suppressLineNumbers w:val="0"/>
              <w:spacing w:before="0" w:beforeAutospacing="0" w:after="0" w:afterAutospacing="0"/>
              <w:ind w:left="0" w:right="0"/>
              <w:rPr>
                <w:rFonts w:hint="default"/>
                <w:color w:val="auto"/>
              </w:rPr>
            </w:pPr>
            <w:r>
              <w:rPr>
                <w:rFonts w:hint="default"/>
                <w:color w:val="auto"/>
              </w:rPr>
              <w:t>4</w:t>
            </w:r>
            <w:r>
              <w:rPr>
                <w:rFonts w:hint="eastAsia"/>
                <w:color w:val="auto"/>
              </w:rPr>
              <w:t>h</w:t>
            </w:r>
            <w:r>
              <w:rPr>
                <w:rFonts w:hint="default"/>
                <w:color w:val="auto"/>
              </w:rPr>
              <w:t>开始影响</w:t>
            </w:r>
            <w:r>
              <w:rPr>
                <w:rFonts w:hint="eastAsia"/>
                <w:color w:val="auto"/>
              </w:rPr>
              <w:t>钦州茅尾海国家海洋公园</w:t>
            </w:r>
          </w:p>
        </w:tc>
        <w:tc>
          <w:tcPr>
            <w:tcW w:w="2666" w:type="dxa"/>
            <w:vAlign w:val="center"/>
          </w:tcPr>
          <w:p w14:paraId="3B734C46">
            <w:pPr>
              <w:pStyle w:val="91"/>
              <w:keepNext w:val="0"/>
              <w:keepLines w:val="0"/>
              <w:suppressLineNumbers w:val="0"/>
              <w:spacing w:before="0" w:beforeAutospacing="0" w:after="0" w:afterAutospacing="0"/>
              <w:ind w:left="0" w:right="0"/>
              <w:rPr>
                <w:rFonts w:hint="default"/>
                <w:color w:val="auto"/>
              </w:rPr>
            </w:pPr>
            <w:r>
              <w:rPr>
                <w:rFonts w:hint="eastAsia"/>
                <w:color w:val="auto"/>
              </w:rPr>
              <w:t>6h</w:t>
            </w:r>
            <w:r>
              <w:rPr>
                <w:rFonts w:hint="default"/>
                <w:color w:val="auto"/>
              </w:rPr>
              <w:t>20min在钦州湾西北部抵岸</w:t>
            </w:r>
          </w:p>
        </w:tc>
      </w:tr>
      <w:tr w14:paraId="4E638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6" w:hRule="atLeast"/>
          <w:jc w:val="center"/>
        </w:trPr>
        <w:tc>
          <w:tcPr>
            <w:tcW w:w="490" w:type="dxa"/>
            <w:vAlign w:val="center"/>
          </w:tcPr>
          <w:p w14:paraId="68F65D0E">
            <w:pPr>
              <w:pStyle w:val="91"/>
              <w:keepNext w:val="0"/>
              <w:keepLines w:val="0"/>
              <w:suppressLineNumbers w:val="0"/>
              <w:spacing w:before="0" w:beforeAutospacing="0" w:after="0" w:afterAutospacing="0"/>
              <w:ind w:left="0" w:right="0"/>
              <w:rPr>
                <w:rFonts w:hint="default"/>
                <w:color w:val="auto"/>
              </w:rPr>
            </w:pPr>
            <w:r>
              <w:rPr>
                <w:rFonts w:hint="default"/>
                <w:color w:val="auto"/>
              </w:rPr>
              <w:t>6</w:t>
            </w:r>
          </w:p>
        </w:tc>
        <w:tc>
          <w:tcPr>
            <w:tcW w:w="718" w:type="dxa"/>
            <w:vMerge w:val="continue"/>
            <w:vAlign w:val="center"/>
          </w:tcPr>
          <w:p w14:paraId="4E5CE450">
            <w:pPr>
              <w:pStyle w:val="91"/>
              <w:keepNext w:val="0"/>
              <w:keepLines w:val="0"/>
              <w:suppressLineNumbers w:val="0"/>
              <w:spacing w:before="0" w:beforeAutospacing="0" w:after="0" w:afterAutospacing="0"/>
              <w:ind w:left="0" w:right="0"/>
              <w:rPr>
                <w:rFonts w:hint="default"/>
                <w:color w:val="auto"/>
              </w:rPr>
            </w:pPr>
          </w:p>
        </w:tc>
        <w:tc>
          <w:tcPr>
            <w:tcW w:w="700" w:type="dxa"/>
            <w:vMerge w:val="continue"/>
            <w:vAlign w:val="center"/>
          </w:tcPr>
          <w:p w14:paraId="5CAF9F10">
            <w:pPr>
              <w:pStyle w:val="91"/>
              <w:keepNext w:val="0"/>
              <w:keepLines w:val="0"/>
              <w:suppressLineNumbers w:val="0"/>
              <w:spacing w:before="0" w:beforeAutospacing="0" w:after="0" w:afterAutospacing="0"/>
              <w:ind w:left="0" w:right="0"/>
              <w:rPr>
                <w:rFonts w:hint="default"/>
                <w:color w:val="auto"/>
              </w:rPr>
            </w:pPr>
          </w:p>
        </w:tc>
        <w:tc>
          <w:tcPr>
            <w:tcW w:w="735" w:type="dxa"/>
            <w:vAlign w:val="center"/>
          </w:tcPr>
          <w:p w14:paraId="58760606">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3873" w:type="dxa"/>
            <w:vAlign w:val="center"/>
          </w:tcPr>
          <w:p w14:paraId="42D1EC85">
            <w:pPr>
              <w:pStyle w:val="91"/>
              <w:keepNext w:val="0"/>
              <w:keepLines w:val="0"/>
              <w:suppressLineNumbers w:val="0"/>
              <w:spacing w:before="0" w:beforeAutospacing="0" w:after="0" w:afterAutospacing="0"/>
              <w:ind w:left="0" w:right="0"/>
              <w:rPr>
                <w:rFonts w:hint="default"/>
                <w:color w:val="auto"/>
              </w:rPr>
            </w:pPr>
            <w:r>
              <w:rPr>
                <w:rFonts w:hint="default"/>
                <w:color w:val="auto"/>
              </w:rPr>
              <w:t>2h和10h30min后开始影响蚝排养殖区；</w:t>
            </w:r>
          </w:p>
          <w:p w14:paraId="0A6B8A14">
            <w:pPr>
              <w:pStyle w:val="91"/>
              <w:keepNext w:val="0"/>
              <w:keepLines w:val="0"/>
              <w:suppressLineNumbers w:val="0"/>
              <w:spacing w:before="0" w:beforeAutospacing="0" w:after="0" w:afterAutospacing="0"/>
              <w:ind w:left="0" w:right="0"/>
              <w:rPr>
                <w:rFonts w:hint="default"/>
                <w:color w:val="auto"/>
              </w:rPr>
            </w:pPr>
            <w:r>
              <w:rPr>
                <w:rFonts w:hint="default"/>
                <w:color w:val="auto"/>
              </w:rPr>
              <w:t>12</w:t>
            </w:r>
            <w:r>
              <w:rPr>
                <w:rFonts w:hint="eastAsia"/>
                <w:color w:val="auto"/>
              </w:rPr>
              <w:t>h</w:t>
            </w:r>
            <w:r>
              <w:rPr>
                <w:rFonts w:hint="default"/>
                <w:color w:val="auto"/>
              </w:rPr>
              <w:t>50min后开始影响</w:t>
            </w:r>
            <w:r>
              <w:rPr>
                <w:rFonts w:hint="eastAsia"/>
                <w:color w:val="auto"/>
              </w:rPr>
              <w:t>钦州茅尾海国家海洋公园</w:t>
            </w:r>
          </w:p>
        </w:tc>
        <w:tc>
          <w:tcPr>
            <w:tcW w:w="2666" w:type="dxa"/>
            <w:vAlign w:val="center"/>
          </w:tcPr>
          <w:p w14:paraId="5A9CD9FC">
            <w:pPr>
              <w:pStyle w:val="91"/>
              <w:keepNext w:val="0"/>
              <w:keepLines w:val="0"/>
              <w:suppressLineNumbers w:val="0"/>
              <w:spacing w:before="0" w:beforeAutospacing="0" w:after="0" w:afterAutospacing="0"/>
              <w:ind w:left="0" w:right="0"/>
              <w:rPr>
                <w:rFonts w:hint="default"/>
                <w:color w:val="auto"/>
              </w:rPr>
            </w:pPr>
            <w:r>
              <w:rPr>
                <w:rFonts w:hint="default"/>
                <w:color w:val="auto"/>
              </w:rPr>
              <w:t>14</w:t>
            </w:r>
            <w:r>
              <w:rPr>
                <w:rFonts w:hint="eastAsia"/>
                <w:color w:val="auto"/>
              </w:rPr>
              <w:t>h</w:t>
            </w:r>
            <w:r>
              <w:rPr>
                <w:rFonts w:hint="default"/>
                <w:color w:val="auto"/>
              </w:rPr>
              <w:t>50min在钦州湾西北部抵岸</w:t>
            </w:r>
          </w:p>
        </w:tc>
      </w:tr>
    </w:tbl>
    <w:p w14:paraId="32256990">
      <w:pPr>
        <w:pStyle w:val="117"/>
        <w:rPr>
          <w:color w:val="auto"/>
        </w:rPr>
      </w:pPr>
    </w:p>
    <w:p w14:paraId="2F87451D">
      <w:pPr>
        <w:pStyle w:val="14"/>
        <w:rPr>
          <w:color w:val="auto"/>
          <w:szCs w:val="21"/>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4</w:t>
      </w:r>
      <w:r>
        <w:rPr>
          <w:color w:val="auto"/>
        </w:rPr>
        <w:fldChar w:fldCharType="end"/>
      </w:r>
      <w:r>
        <w:rPr>
          <w:rFonts w:hint="eastAsia"/>
          <w:color w:val="auto"/>
          <w:szCs w:val="24"/>
        </w:rPr>
        <w:t>渣油</w:t>
      </w:r>
      <w:r>
        <w:rPr>
          <w:color w:val="auto"/>
          <w:szCs w:val="24"/>
        </w:rPr>
        <w:t>溢油事故油膜扫海面积统计</w:t>
      </w:r>
    </w:p>
    <w:tbl>
      <w:tblPr>
        <w:tblStyle w:val="190"/>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3"/>
        <w:gridCol w:w="748"/>
        <w:gridCol w:w="1134"/>
        <w:gridCol w:w="1276"/>
        <w:gridCol w:w="1233"/>
        <w:gridCol w:w="1233"/>
        <w:gridCol w:w="1233"/>
        <w:gridCol w:w="1233"/>
      </w:tblGrid>
      <w:tr w14:paraId="2E505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vMerge w:val="restart"/>
          </w:tcPr>
          <w:p w14:paraId="7373264D">
            <w:pPr>
              <w:pStyle w:val="91"/>
              <w:keepNext w:val="0"/>
              <w:keepLines w:val="0"/>
              <w:suppressLineNumbers w:val="0"/>
              <w:spacing w:before="0" w:beforeAutospacing="0" w:after="0" w:afterAutospacing="0"/>
              <w:ind w:left="0" w:right="0"/>
              <w:rPr>
                <w:rFonts w:hint="default"/>
                <w:b/>
                <w:color w:val="auto"/>
              </w:rPr>
            </w:pPr>
            <w:r>
              <w:rPr>
                <w:rFonts w:hint="eastAsia"/>
                <w:b/>
                <w:color w:val="auto"/>
              </w:rPr>
              <w:t>工况</w:t>
            </w:r>
          </w:p>
        </w:tc>
        <w:tc>
          <w:tcPr>
            <w:tcW w:w="748" w:type="dxa"/>
            <w:vMerge w:val="restart"/>
          </w:tcPr>
          <w:p w14:paraId="23913DBA">
            <w:pPr>
              <w:pStyle w:val="91"/>
              <w:keepNext w:val="0"/>
              <w:keepLines w:val="0"/>
              <w:suppressLineNumbers w:val="0"/>
              <w:spacing w:before="0" w:beforeAutospacing="0" w:after="0" w:afterAutospacing="0"/>
              <w:ind w:left="0" w:right="0"/>
              <w:rPr>
                <w:rFonts w:hint="default"/>
                <w:b/>
                <w:color w:val="auto"/>
              </w:rPr>
            </w:pPr>
            <w:r>
              <w:rPr>
                <w:rFonts w:hint="default"/>
                <w:b/>
                <w:color w:val="auto"/>
              </w:rPr>
              <w:t>潮汐条件</w:t>
            </w:r>
          </w:p>
        </w:tc>
        <w:tc>
          <w:tcPr>
            <w:tcW w:w="2410" w:type="dxa"/>
            <w:gridSpan w:val="2"/>
          </w:tcPr>
          <w:p w14:paraId="15F9D5D3">
            <w:pPr>
              <w:pStyle w:val="91"/>
              <w:keepNext w:val="0"/>
              <w:keepLines w:val="0"/>
              <w:suppressLineNumbers w:val="0"/>
              <w:spacing w:before="0" w:beforeAutospacing="0" w:after="0" w:afterAutospacing="0"/>
              <w:ind w:left="0" w:right="0"/>
              <w:rPr>
                <w:rFonts w:hint="default"/>
                <w:b/>
                <w:color w:val="auto"/>
              </w:rPr>
            </w:pPr>
            <w:r>
              <w:rPr>
                <w:rFonts w:hint="default"/>
                <w:b/>
                <w:color w:val="auto"/>
              </w:rPr>
              <w:t>风况条件</w:t>
            </w:r>
          </w:p>
        </w:tc>
        <w:tc>
          <w:tcPr>
            <w:tcW w:w="4932" w:type="dxa"/>
            <w:gridSpan w:val="4"/>
          </w:tcPr>
          <w:p w14:paraId="2C8CBD8B">
            <w:pPr>
              <w:pStyle w:val="91"/>
              <w:keepNext w:val="0"/>
              <w:keepLines w:val="0"/>
              <w:suppressLineNumbers w:val="0"/>
              <w:spacing w:before="0" w:beforeAutospacing="0" w:after="0" w:afterAutospacing="0"/>
              <w:ind w:left="0" w:right="0"/>
              <w:rPr>
                <w:rFonts w:hint="default"/>
                <w:b/>
                <w:color w:val="auto"/>
              </w:rPr>
            </w:pPr>
            <w:r>
              <w:rPr>
                <w:rFonts w:hint="default"/>
                <w:b/>
                <w:color w:val="auto"/>
              </w:rPr>
              <w:t>扫海面积（km</w:t>
            </w:r>
            <w:r>
              <w:rPr>
                <w:rFonts w:hint="default"/>
                <w:b/>
                <w:color w:val="auto"/>
                <w:vertAlign w:val="superscript"/>
              </w:rPr>
              <w:t>2</w:t>
            </w:r>
            <w:r>
              <w:rPr>
                <w:rFonts w:hint="default"/>
                <w:b/>
                <w:color w:val="auto"/>
              </w:rPr>
              <w:t>）</w:t>
            </w:r>
          </w:p>
        </w:tc>
      </w:tr>
      <w:tr w14:paraId="6BDA6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vMerge w:val="continue"/>
          </w:tcPr>
          <w:p w14:paraId="5B670D96">
            <w:pPr>
              <w:pStyle w:val="91"/>
              <w:keepNext w:val="0"/>
              <w:keepLines w:val="0"/>
              <w:suppressLineNumbers w:val="0"/>
              <w:spacing w:before="0" w:beforeAutospacing="0" w:after="0" w:afterAutospacing="0"/>
              <w:ind w:left="0" w:right="0"/>
              <w:rPr>
                <w:rFonts w:hint="default"/>
                <w:b/>
                <w:color w:val="auto"/>
              </w:rPr>
            </w:pPr>
          </w:p>
        </w:tc>
        <w:tc>
          <w:tcPr>
            <w:tcW w:w="748" w:type="dxa"/>
            <w:vMerge w:val="continue"/>
          </w:tcPr>
          <w:p w14:paraId="1B810F6F">
            <w:pPr>
              <w:pStyle w:val="91"/>
              <w:keepNext w:val="0"/>
              <w:keepLines w:val="0"/>
              <w:suppressLineNumbers w:val="0"/>
              <w:spacing w:before="0" w:beforeAutospacing="0" w:after="0" w:afterAutospacing="0"/>
              <w:ind w:left="0" w:right="0"/>
              <w:rPr>
                <w:rFonts w:hint="default"/>
                <w:b/>
                <w:color w:val="auto"/>
              </w:rPr>
            </w:pPr>
          </w:p>
        </w:tc>
        <w:tc>
          <w:tcPr>
            <w:tcW w:w="1134" w:type="dxa"/>
          </w:tcPr>
          <w:p w14:paraId="4139C3EE">
            <w:pPr>
              <w:pStyle w:val="91"/>
              <w:keepNext w:val="0"/>
              <w:keepLines w:val="0"/>
              <w:suppressLineNumbers w:val="0"/>
              <w:spacing w:before="0" w:beforeAutospacing="0" w:after="0" w:afterAutospacing="0"/>
              <w:ind w:left="0" w:right="0"/>
              <w:rPr>
                <w:rFonts w:hint="default"/>
                <w:b/>
                <w:color w:val="auto"/>
              </w:rPr>
            </w:pPr>
            <w:r>
              <w:rPr>
                <w:rFonts w:hint="default"/>
                <w:b/>
                <w:color w:val="auto"/>
              </w:rPr>
              <w:t>风向（</w:t>
            </w:r>
            <w:r>
              <w:rPr>
                <w:rFonts w:hint="default"/>
                <w:b/>
                <w:color w:val="auto"/>
                <w:vertAlign w:val="superscript"/>
              </w:rPr>
              <w:t>o</w:t>
            </w:r>
            <w:r>
              <w:rPr>
                <w:rFonts w:hint="default"/>
                <w:b/>
                <w:color w:val="auto"/>
              </w:rPr>
              <w:t>）</w:t>
            </w:r>
          </w:p>
        </w:tc>
        <w:tc>
          <w:tcPr>
            <w:tcW w:w="1276" w:type="dxa"/>
          </w:tcPr>
          <w:p w14:paraId="601E5A8D">
            <w:pPr>
              <w:pStyle w:val="91"/>
              <w:keepNext w:val="0"/>
              <w:keepLines w:val="0"/>
              <w:suppressLineNumbers w:val="0"/>
              <w:spacing w:before="0" w:beforeAutospacing="0" w:after="0" w:afterAutospacing="0"/>
              <w:ind w:left="0" w:right="0"/>
              <w:rPr>
                <w:rFonts w:hint="default"/>
                <w:b/>
                <w:color w:val="auto"/>
              </w:rPr>
            </w:pPr>
            <w:r>
              <w:rPr>
                <w:rFonts w:hint="default"/>
                <w:b/>
                <w:color w:val="auto"/>
              </w:rPr>
              <w:t>风速（m/s）</w:t>
            </w:r>
          </w:p>
        </w:tc>
        <w:tc>
          <w:tcPr>
            <w:tcW w:w="1233" w:type="dxa"/>
          </w:tcPr>
          <w:p w14:paraId="0784ABF1">
            <w:pPr>
              <w:pStyle w:val="91"/>
              <w:keepNext w:val="0"/>
              <w:keepLines w:val="0"/>
              <w:suppressLineNumbers w:val="0"/>
              <w:spacing w:before="0" w:beforeAutospacing="0" w:after="0" w:afterAutospacing="0"/>
              <w:ind w:left="0" w:right="0"/>
              <w:rPr>
                <w:rFonts w:hint="default"/>
                <w:b/>
                <w:color w:val="auto"/>
              </w:rPr>
            </w:pPr>
            <w:r>
              <w:rPr>
                <w:rFonts w:hint="default"/>
                <w:b/>
                <w:color w:val="auto"/>
              </w:rPr>
              <w:t>12小时后</w:t>
            </w:r>
          </w:p>
        </w:tc>
        <w:tc>
          <w:tcPr>
            <w:tcW w:w="1233" w:type="dxa"/>
          </w:tcPr>
          <w:p w14:paraId="07C4F26E">
            <w:pPr>
              <w:pStyle w:val="91"/>
              <w:keepNext w:val="0"/>
              <w:keepLines w:val="0"/>
              <w:suppressLineNumbers w:val="0"/>
              <w:spacing w:before="0" w:beforeAutospacing="0" w:after="0" w:afterAutospacing="0"/>
              <w:ind w:left="0" w:right="0"/>
              <w:rPr>
                <w:rFonts w:hint="default"/>
                <w:b/>
                <w:color w:val="auto"/>
              </w:rPr>
            </w:pPr>
            <w:r>
              <w:rPr>
                <w:rFonts w:hint="default"/>
                <w:b/>
                <w:color w:val="auto"/>
              </w:rPr>
              <w:t>24小时后</w:t>
            </w:r>
          </w:p>
        </w:tc>
        <w:tc>
          <w:tcPr>
            <w:tcW w:w="1233" w:type="dxa"/>
          </w:tcPr>
          <w:p w14:paraId="29950A14">
            <w:pPr>
              <w:pStyle w:val="91"/>
              <w:keepNext w:val="0"/>
              <w:keepLines w:val="0"/>
              <w:suppressLineNumbers w:val="0"/>
              <w:spacing w:before="0" w:beforeAutospacing="0" w:after="0" w:afterAutospacing="0"/>
              <w:ind w:left="0" w:right="0"/>
              <w:rPr>
                <w:rFonts w:hint="default"/>
                <w:b/>
                <w:color w:val="auto"/>
              </w:rPr>
            </w:pPr>
            <w:r>
              <w:rPr>
                <w:rFonts w:hint="default"/>
                <w:b/>
                <w:color w:val="auto"/>
              </w:rPr>
              <w:t>48小时后</w:t>
            </w:r>
          </w:p>
        </w:tc>
        <w:tc>
          <w:tcPr>
            <w:tcW w:w="1233" w:type="dxa"/>
          </w:tcPr>
          <w:p w14:paraId="55B069DF">
            <w:pPr>
              <w:pStyle w:val="91"/>
              <w:keepNext w:val="0"/>
              <w:keepLines w:val="0"/>
              <w:suppressLineNumbers w:val="0"/>
              <w:spacing w:before="0" w:beforeAutospacing="0" w:after="0" w:afterAutospacing="0"/>
              <w:ind w:left="0" w:right="0"/>
              <w:rPr>
                <w:rFonts w:hint="default"/>
                <w:b/>
                <w:color w:val="auto"/>
              </w:rPr>
            </w:pPr>
            <w:r>
              <w:rPr>
                <w:rFonts w:hint="default"/>
                <w:b/>
                <w:color w:val="auto"/>
              </w:rPr>
              <w:t>72小时后</w:t>
            </w:r>
          </w:p>
        </w:tc>
      </w:tr>
      <w:tr w14:paraId="7ED61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352A0139">
            <w:pPr>
              <w:pStyle w:val="91"/>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748" w:type="dxa"/>
          </w:tcPr>
          <w:p w14:paraId="277DAC91">
            <w:pPr>
              <w:pStyle w:val="91"/>
              <w:keepNext w:val="0"/>
              <w:keepLines w:val="0"/>
              <w:suppressLineNumbers w:val="0"/>
              <w:spacing w:before="0" w:beforeAutospacing="0" w:after="0" w:afterAutospacing="0"/>
              <w:ind w:left="0" w:right="0"/>
              <w:rPr>
                <w:rFonts w:hint="default"/>
                <w:color w:val="auto"/>
              </w:rPr>
            </w:pPr>
            <w:r>
              <w:rPr>
                <w:rFonts w:hint="default"/>
                <w:color w:val="auto"/>
              </w:rPr>
              <w:t>涨潮</w:t>
            </w:r>
          </w:p>
        </w:tc>
        <w:tc>
          <w:tcPr>
            <w:tcW w:w="1134" w:type="dxa"/>
            <w:vMerge w:val="restart"/>
          </w:tcPr>
          <w:p w14:paraId="1B520DBF">
            <w:pPr>
              <w:pStyle w:val="91"/>
              <w:keepNext w:val="0"/>
              <w:keepLines w:val="0"/>
              <w:suppressLineNumbers w:val="0"/>
              <w:spacing w:before="0" w:beforeAutospacing="0" w:after="0" w:afterAutospacing="0"/>
              <w:ind w:left="0" w:right="0"/>
              <w:rPr>
                <w:rFonts w:hint="default"/>
                <w:color w:val="auto"/>
              </w:rPr>
            </w:pPr>
            <w:r>
              <w:rPr>
                <w:rFonts w:hint="eastAsia"/>
                <w:color w:val="auto"/>
              </w:rPr>
              <w:t>N</w:t>
            </w:r>
            <w:r>
              <w:rPr>
                <w:rFonts w:hint="default"/>
                <w:color w:val="auto"/>
              </w:rPr>
              <w:t>风</w:t>
            </w:r>
          </w:p>
        </w:tc>
        <w:tc>
          <w:tcPr>
            <w:tcW w:w="1276" w:type="dxa"/>
            <w:vMerge w:val="restart"/>
          </w:tcPr>
          <w:p w14:paraId="35E60E69">
            <w:pPr>
              <w:pStyle w:val="91"/>
              <w:keepNext w:val="0"/>
              <w:keepLines w:val="0"/>
              <w:suppressLineNumbers w:val="0"/>
              <w:spacing w:before="0" w:beforeAutospacing="0" w:after="0" w:afterAutospacing="0"/>
              <w:ind w:left="0" w:right="0"/>
              <w:rPr>
                <w:rFonts w:hint="default"/>
                <w:color w:val="auto"/>
              </w:rPr>
            </w:pPr>
            <w:r>
              <w:rPr>
                <w:rFonts w:hint="default"/>
                <w:color w:val="auto"/>
              </w:rPr>
              <w:t>6.7</w:t>
            </w:r>
          </w:p>
        </w:tc>
        <w:tc>
          <w:tcPr>
            <w:tcW w:w="1233" w:type="dxa"/>
          </w:tcPr>
          <w:p w14:paraId="55C3AA8F">
            <w:pPr>
              <w:pStyle w:val="91"/>
              <w:keepNext w:val="0"/>
              <w:keepLines w:val="0"/>
              <w:suppressLineNumbers w:val="0"/>
              <w:spacing w:before="0" w:beforeAutospacing="0" w:after="0" w:afterAutospacing="0"/>
              <w:ind w:left="0" w:right="0"/>
              <w:rPr>
                <w:rFonts w:hint="default"/>
                <w:color w:val="auto"/>
              </w:rPr>
            </w:pPr>
            <w:r>
              <w:rPr>
                <w:rFonts w:hint="default"/>
                <w:color w:val="auto"/>
              </w:rPr>
              <w:t>29.27</w:t>
            </w:r>
          </w:p>
        </w:tc>
        <w:tc>
          <w:tcPr>
            <w:tcW w:w="1233" w:type="dxa"/>
          </w:tcPr>
          <w:p w14:paraId="4E7316AD">
            <w:pPr>
              <w:pStyle w:val="91"/>
              <w:keepNext w:val="0"/>
              <w:keepLines w:val="0"/>
              <w:suppressLineNumbers w:val="0"/>
              <w:spacing w:before="0" w:beforeAutospacing="0" w:after="0" w:afterAutospacing="0"/>
              <w:ind w:left="0" w:right="0"/>
              <w:rPr>
                <w:rFonts w:hint="default"/>
                <w:color w:val="auto"/>
              </w:rPr>
            </w:pPr>
            <w:r>
              <w:rPr>
                <w:rFonts w:hint="default"/>
                <w:color w:val="auto"/>
              </w:rPr>
              <w:t>74.85</w:t>
            </w:r>
          </w:p>
        </w:tc>
        <w:tc>
          <w:tcPr>
            <w:tcW w:w="1233" w:type="dxa"/>
          </w:tcPr>
          <w:p w14:paraId="3039C5D0">
            <w:pPr>
              <w:pStyle w:val="91"/>
              <w:keepNext w:val="0"/>
              <w:keepLines w:val="0"/>
              <w:suppressLineNumbers w:val="0"/>
              <w:spacing w:before="0" w:beforeAutospacing="0" w:after="0" w:afterAutospacing="0"/>
              <w:ind w:left="0" w:right="0"/>
              <w:rPr>
                <w:rFonts w:hint="default"/>
                <w:color w:val="auto"/>
              </w:rPr>
            </w:pPr>
            <w:r>
              <w:rPr>
                <w:rFonts w:hint="default"/>
                <w:color w:val="auto"/>
              </w:rPr>
              <w:t>185.74</w:t>
            </w:r>
          </w:p>
        </w:tc>
        <w:tc>
          <w:tcPr>
            <w:tcW w:w="1233" w:type="dxa"/>
          </w:tcPr>
          <w:p w14:paraId="336683AC">
            <w:pPr>
              <w:pStyle w:val="91"/>
              <w:keepNext w:val="0"/>
              <w:keepLines w:val="0"/>
              <w:suppressLineNumbers w:val="0"/>
              <w:spacing w:before="0" w:beforeAutospacing="0" w:after="0" w:afterAutospacing="0"/>
              <w:ind w:left="0" w:right="0"/>
              <w:rPr>
                <w:rFonts w:hint="default"/>
                <w:color w:val="auto"/>
              </w:rPr>
            </w:pPr>
            <w:r>
              <w:rPr>
                <w:rFonts w:hint="default"/>
                <w:color w:val="auto"/>
              </w:rPr>
              <w:t>189.10</w:t>
            </w:r>
          </w:p>
        </w:tc>
      </w:tr>
      <w:tr w14:paraId="4214B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77804613">
            <w:pPr>
              <w:pStyle w:val="91"/>
              <w:keepNext w:val="0"/>
              <w:keepLines w:val="0"/>
              <w:suppressLineNumbers w:val="0"/>
              <w:spacing w:before="0" w:beforeAutospacing="0" w:after="0" w:afterAutospacing="0"/>
              <w:ind w:left="0" w:right="0"/>
              <w:rPr>
                <w:rFonts w:hint="default"/>
                <w:color w:val="auto"/>
              </w:rPr>
            </w:pPr>
            <w:r>
              <w:rPr>
                <w:rFonts w:hint="default"/>
                <w:color w:val="auto"/>
              </w:rPr>
              <w:t>2</w:t>
            </w:r>
          </w:p>
        </w:tc>
        <w:tc>
          <w:tcPr>
            <w:tcW w:w="748" w:type="dxa"/>
          </w:tcPr>
          <w:p w14:paraId="0F0D5100">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1134" w:type="dxa"/>
            <w:vMerge w:val="continue"/>
          </w:tcPr>
          <w:p w14:paraId="0CE9177D">
            <w:pPr>
              <w:pStyle w:val="91"/>
              <w:keepNext w:val="0"/>
              <w:keepLines w:val="0"/>
              <w:suppressLineNumbers w:val="0"/>
              <w:spacing w:before="0" w:beforeAutospacing="0" w:after="0" w:afterAutospacing="0"/>
              <w:ind w:left="0" w:right="0"/>
              <w:rPr>
                <w:rFonts w:hint="default"/>
                <w:color w:val="auto"/>
              </w:rPr>
            </w:pPr>
          </w:p>
        </w:tc>
        <w:tc>
          <w:tcPr>
            <w:tcW w:w="1276" w:type="dxa"/>
            <w:vMerge w:val="continue"/>
          </w:tcPr>
          <w:p w14:paraId="6536C982">
            <w:pPr>
              <w:pStyle w:val="91"/>
              <w:keepNext w:val="0"/>
              <w:keepLines w:val="0"/>
              <w:suppressLineNumbers w:val="0"/>
              <w:spacing w:before="0" w:beforeAutospacing="0" w:after="0" w:afterAutospacing="0"/>
              <w:ind w:left="0" w:right="0"/>
              <w:rPr>
                <w:rFonts w:hint="default"/>
                <w:color w:val="auto"/>
              </w:rPr>
            </w:pPr>
          </w:p>
        </w:tc>
        <w:tc>
          <w:tcPr>
            <w:tcW w:w="1233" w:type="dxa"/>
          </w:tcPr>
          <w:p w14:paraId="01DD7BCA">
            <w:pPr>
              <w:pStyle w:val="91"/>
              <w:keepNext w:val="0"/>
              <w:keepLines w:val="0"/>
              <w:suppressLineNumbers w:val="0"/>
              <w:spacing w:before="0" w:beforeAutospacing="0" w:after="0" w:afterAutospacing="0"/>
              <w:ind w:left="0" w:right="0"/>
              <w:rPr>
                <w:rFonts w:hint="default"/>
                <w:color w:val="auto"/>
              </w:rPr>
            </w:pPr>
            <w:r>
              <w:rPr>
                <w:rFonts w:hint="default"/>
                <w:color w:val="auto"/>
              </w:rPr>
              <w:t>33.70</w:t>
            </w:r>
          </w:p>
        </w:tc>
        <w:tc>
          <w:tcPr>
            <w:tcW w:w="1233" w:type="dxa"/>
          </w:tcPr>
          <w:p w14:paraId="28E295A7">
            <w:pPr>
              <w:pStyle w:val="91"/>
              <w:keepNext w:val="0"/>
              <w:keepLines w:val="0"/>
              <w:suppressLineNumbers w:val="0"/>
              <w:spacing w:before="0" w:beforeAutospacing="0" w:after="0" w:afterAutospacing="0"/>
              <w:ind w:left="0" w:right="0"/>
              <w:rPr>
                <w:rFonts w:hint="default"/>
                <w:color w:val="auto"/>
              </w:rPr>
            </w:pPr>
            <w:r>
              <w:rPr>
                <w:rFonts w:hint="default"/>
                <w:color w:val="auto"/>
              </w:rPr>
              <w:t>71.35</w:t>
            </w:r>
          </w:p>
        </w:tc>
        <w:tc>
          <w:tcPr>
            <w:tcW w:w="1233" w:type="dxa"/>
          </w:tcPr>
          <w:p w14:paraId="1793F406">
            <w:pPr>
              <w:pStyle w:val="91"/>
              <w:keepNext w:val="0"/>
              <w:keepLines w:val="0"/>
              <w:suppressLineNumbers w:val="0"/>
              <w:spacing w:before="0" w:beforeAutospacing="0" w:after="0" w:afterAutospacing="0"/>
              <w:ind w:left="0" w:right="0"/>
              <w:rPr>
                <w:rFonts w:hint="default"/>
                <w:color w:val="auto"/>
              </w:rPr>
            </w:pPr>
            <w:r>
              <w:rPr>
                <w:rFonts w:hint="default"/>
                <w:color w:val="auto"/>
              </w:rPr>
              <w:t>169.61</w:t>
            </w:r>
          </w:p>
        </w:tc>
        <w:tc>
          <w:tcPr>
            <w:tcW w:w="1233" w:type="dxa"/>
          </w:tcPr>
          <w:p w14:paraId="2205582F">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33112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302D6B13">
            <w:pPr>
              <w:pStyle w:val="91"/>
              <w:keepNext w:val="0"/>
              <w:keepLines w:val="0"/>
              <w:suppressLineNumbers w:val="0"/>
              <w:spacing w:before="0" w:beforeAutospacing="0" w:after="0" w:afterAutospacing="0"/>
              <w:ind w:left="0" w:right="0"/>
              <w:rPr>
                <w:rFonts w:hint="default"/>
                <w:color w:val="auto"/>
              </w:rPr>
            </w:pPr>
            <w:r>
              <w:rPr>
                <w:rFonts w:hint="default"/>
                <w:color w:val="auto"/>
              </w:rPr>
              <w:t>3</w:t>
            </w:r>
          </w:p>
        </w:tc>
        <w:tc>
          <w:tcPr>
            <w:tcW w:w="748" w:type="dxa"/>
          </w:tcPr>
          <w:p w14:paraId="597197A9">
            <w:pPr>
              <w:pStyle w:val="91"/>
              <w:keepNext w:val="0"/>
              <w:keepLines w:val="0"/>
              <w:suppressLineNumbers w:val="0"/>
              <w:spacing w:before="0" w:beforeAutospacing="0" w:after="0" w:afterAutospacing="0"/>
              <w:ind w:left="0" w:right="0"/>
              <w:rPr>
                <w:rFonts w:hint="default"/>
                <w:color w:val="auto"/>
              </w:rPr>
            </w:pPr>
            <w:r>
              <w:rPr>
                <w:rFonts w:hint="default"/>
                <w:color w:val="auto"/>
              </w:rPr>
              <w:t>涨潮</w:t>
            </w:r>
          </w:p>
        </w:tc>
        <w:tc>
          <w:tcPr>
            <w:tcW w:w="1134" w:type="dxa"/>
            <w:vMerge w:val="restart"/>
          </w:tcPr>
          <w:p w14:paraId="75D40D7A">
            <w:pPr>
              <w:pStyle w:val="91"/>
              <w:keepNext w:val="0"/>
              <w:keepLines w:val="0"/>
              <w:suppressLineNumbers w:val="0"/>
              <w:spacing w:before="0" w:beforeAutospacing="0" w:after="0" w:afterAutospacing="0"/>
              <w:ind w:left="0" w:right="0"/>
              <w:rPr>
                <w:rFonts w:hint="default"/>
                <w:color w:val="auto"/>
              </w:rPr>
            </w:pPr>
            <w:r>
              <w:rPr>
                <w:rFonts w:hint="eastAsia"/>
                <w:color w:val="auto"/>
              </w:rPr>
              <w:t>S风</w:t>
            </w:r>
          </w:p>
        </w:tc>
        <w:tc>
          <w:tcPr>
            <w:tcW w:w="1276" w:type="dxa"/>
            <w:vMerge w:val="restart"/>
          </w:tcPr>
          <w:p w14:paraId="6315EE6A">
            <w:pPr>
              <w:pStyle w:val="91"/>
              <w:keepNext w:val="0"/>
              <w:keepLines w:val="0"/>
              <w:suppressLineNumbers w:val="0"/>
              <w:spacing w:before="0" w:beforeAutospacing="0" w:after="0" w:afterAutospacing="0"/>
              <w:ind w:left="0" w:right="0"/>
              <w:rPr>
                <w:rFonts w:hint="default"/>
                <w:color w:val="auto"/>
              </w:rPr>
            </w:pPr>
            <w:r>
              <w:rPr>
                <w:rFonts w:hint="default"/>
                <w:color w:val="auto"/>
              </w:rPr>
              <w:t>5.1</w:t>
            </w:r>
          </w:p>
        </w:tc>
        <w:tc>
          <w:tcPr>
            <w:tcW w:w="1233" w:type="dxa"/>
          </w:tcPr>
          <w:p w14:paraId="5B684454">
            <w:pPr>
              <w:pStyle w:val="91"/>
              <w:keepNext w:val="0"/>
              <w:keepLines w:val="0"/>
              <w:suppressLineNumbers w:val="0"/>
              <w:spacing w:before="0" w:beforeAutospacing="0" w:after="0" w:afterAutospacing="0"/>
              <w:ind w:left="0" w:right="0"/>
              <w:rPr>
                <w:rFonts w:hint="default"/>
                <w:color w:val="auto"/>
              </w:rPr>
            </w:pPr>
            <w:r>
              <w:rPr>
                <w:rFonts w:hint="default"/>
                <w:color w:val="auto"/>
              </w:rPr>
              <w:t>5.84</w:t>
            </w:r>
          </w:p>
        </w:tc>
        <w:tc>
          <w:tcPr>
            <w:tcW w:w="1233" w:type="dxa"/>
          </w:tcPr>
          <w:p w14:paraId="4A1232F7">
            <w:pPr>
              <w:pStyle w:val="91"/>
              <w:keepNext w:val="0"/>
              <w:keepLines w:val="0"/>
              <w:suppressLineNumbers w:val="0"/>
              <w:spacing w:before="0" w:beforeAutospacing="0" w:after="0" w:afterAutospacing="0"/>
              <w:ind w:left="0" w:right="0"/>
              <w:rPr>
                <w:rFonts w:hint="default"/>
                <w:color w:val="auto"/>
              </w:rPr>
            </w:pPr>
            <w:r>
              <w:rPr>
                <w:rFonts w:hint="default"/>
                <w:color w:val="auto"/>
              </w:rPr>
              <w:t>13.29</w:t>
            </w:r>
          </w:p>
        </w:tc>
        <w:tc>
          <w:tcPr>
            <w:tcW w:w="1233" w:type="dxa"/>
          </w:tcPr>
          <w:p w14:paraId="373A0F83">
            <w:pPr>
              <w:pStyle w:val="91"/>
              <w:keepNext w:val="0"/>
              <w:keepLines w:val="0"/>
              <w:suppressLineNumbers w:val="0"/>
              <w:spacing w:before="0" w:beforeAutospacing="0" w:after="0" w:afterAutospacing="0"/>
              <w:ind w:left="0" w:right="0"/>
              <w:rPr>
                <w:rFonts w:hint="default"/>
                <w:color w:val="auto"/>
              </w:rPr>
            </w:pPr>
            <w:r>
              <w:rPr>
                <w:rFonts w:hint="default"/>
                <w:color w:val="auto"/>
              </w:rPr>
              <w:t>13.54</w:t>
            </w:r>
          </w:p>
        </w:tc>
        <w:tc>
          <w:tcPr>
            <w:tcW w:w="1233" w:type="dxa"/>
          </w:tcPr>
          <w:p w14:paraId="4971F001">
            <w:pPr>
              <w:pStyle w:val="91"/>
              <w:keepNext w:val="0"/>
              <w:keepLines w:val="0"/>
              <w:suppressLineNumbers w:val="0"/>
              <w:spacing w:before="0" w:beforeAutospacing="0" w:after="0" w:afterAutospacing="0"/>
              <w:ind w:left="0" w:right="0"/>
              <w:rPr>
                <w:rFonts w:hint="default"/>
                <w:color w:val="auto"/>
              </w:rPr>
            </w:pPr>
            <w:r>
              <w:rPr>
                <w:rFonts w:hint="default"/>
                <w:color w:val="auto"/>
              </w:rPr>
              <w:t>13.71</w:t>
            </w:r>
          </w:p>
        </w:tc>
      </w:tr>
      <w:tr w14:paraId="12CF6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3328A6F2">
            <w:pPr>
              <w:pStyle w:val="91"/>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748" w:type="dxa"/>
          </w:tcPr>
          <w:p w14:paraId="39996802">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1134" w:type="dxa"/>
            <w:vMerge w:val="continue"/>
          </w:tcPr>
          <w:p w14:paraId="4D37E340">
            <w:pPr>
              <w:pStyle w:val="91"/>
              <w:keepNext w:val="0"/>
              <w:keepLines w:val="0"/>
              <w:suppressLineNumbers w:val="0"/>
              <w:spacing w:before="0" w:beforeAutospacing="0" w:after="0" w:afterAutospacing="0"/>
              <w:ind w:left="0" w:right="0"/>
              <w:rPr>
                <w:rFonts w:hint="default"/>
                <w:color w:val="auto"/>
              </w:rPr>
            </w:pPr>
          </w:p>
        </w:tc>
        <w:tc>
          <w:tcPr>
            <w:tcW w:w="1276" w:type="dxa"/>
            <w:vMerge w:val="continue"/>
          </w:tcPr>
          <w:p w14:paraId="7415F5DF">
            <w:pPr>
              <w:pStyle w:val="91"/>
              <w:keepNext w:val="0"/>
              <w:keepLines w:val="0"/>
              <w:suppressLineNumbers w:val="0"/>
              <w:spacing w:before="0" w:beforeAutospacing="0" w:after="0" w:afterAutospacing="0"/>
              <w:ind w:left="0" w:right="0"/>
              <w:rPr>
                <w:rFonts w:hint="default"/>
                <w:color w:val="auto"/>
              </w:rPr>
            </w:pPr>
          </w:p>
        </w:tc>
        <w:tc>
          <w:tcPr>
            <w:tcW w:w="1233" w:type="dxa"/>
          </w:tcPr>
          <w:p w14:paraId="0986743C">
            <w:pPr>
              <w:pStyle w:val="91"/>
              <w:keepNext w:val="0"/>
              <w:keepLines w:val="0"/>
              <w:suppressLineNumbers w:val="0"/>
              <w:spacing w:before="0" w:beforeAutospacing="0" w:after="0" w:afterAutospacing="0"/>
              <w:ind w:left="0" w:right="0"/>
              <w:rPr>
                <w:rFonts w:hint="default"/>
                <w:color w:val="auto"/>
              </w:rPr>
            </w:pPr>
            <w:r>
              <w:rPr>
                <w:rFonts w:hint="default"/>
                <w:color w:val="auto"/>
              </w:rPr>
              <w:t>4.83</w:t>
            </w:r>
          </w:p>
        </w:tc>
        <w:tc>
          <w:tcPr>
            <w:tcW w:w="1233" w:type="dxa"/>
          </w:tcPr>
          <w:p w14:paraId="0625DDF8">
            <w:pPr>
              <w:pStyle w:val="91"/>
              <w:keepNext w:val="0"/>
              <w:keepLines w:val="0"/>
              <w:suppressLineNumbers w:val="0"/>
              <w:spacing w:before="0" w:beforeAutospacing="0" w:after="0" w:afterAutospacing="0"/>
              <w:ind w:left="0" w:right="0"/>
              <w:rPr>
                <w:rFonts w:hint="default"/>
                <w:b/>
                <w:color w:val="auto"/>
              </w:rPr>
            </w:pPr>
            <w:r>
              <w:rPr>
                <w:rFonts w:hint="default"/>
                <w:color w:val="auto"/>
              </w:rPr>
              <w:t>5.66</w:t>
            </w:r>
          </w:p>
        </w:tc>
        <w:tc>
          <w:tcPr>
            <w:tcW w:w="1233" w:type="dxa"/>
          </w:tcPr>
          <w:p w14:paraId="75C12119">
            <w:pPr>
              <w:pStyle w:val="91"/>
              <w:keepNext w:val="0"/>
              <w:keepLines w:val="0"/>
              <w:suppressLineNumbers w:val="0"/>
              <w:spacing w:before="0" w:beforeAutospacing="0" w:after="0" w:afterAutospacing="0"/>
              <w:ind w:left="0" w:right="0"/>
              <w:rPr>
                <w:rFonts w:hint="default"/>
                <w:b/>
                <w:color w:val="auto"/>
              </w:rPr>
            </w:pPr>
            <w:r>
              <w:rPr>
                <w:rFonts w:hint="default"/>
                <w:color w:val="auto"/>
              </w:rPr>
              <w:t>-</w:t>
            </w:r>
          </w:p>
        </w:tc>
        <w:tc>
          <w:tcPr>
            <w:tcW w:w="1233" w:type="dxa"/>
          </w:tcPr>
          <w:p w14:paraId="0D1FAA28">
            <w:pPr>
              <w:pStyle w:val="91"/>
              <w:keepNext w:val="0"/>
              <w:keepLines w:val="0"/>
              <w:suppressLineNumbers w:val="0"/>
              <w:spacing w:before="0" w:beforeAutospacing="0" w:after="0" w:afterAutospacing="0"/>
              <w:ind w:left="0" w:right="0"/>
              <w:rPr>
                <w:rFonts w:hint="default"/>
                <w:b/>
                <w:color w:val="auto"/>
              </w:rPr>
            </w:pPr>
            <w:r>
              <w:rPr>
                <w:rFonts w:hint="default"/>
                <w:color w:val="auto"/>
              </w:rPr>
              <w:t>-</w:t>
            </w:r>
          </w:p>
        </w:tc>
      </w:tr>
      <w:tr w14:paraId="3D1CE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75A00E2A">
            <w:pPr>
              <w:pStyle w:val="91"/>
              <w:keepNext w:val="0"/>
              <w:keepLines w:val="0"/>
              <w:suppressLineNumbers w:val="0"/>
              <w:spacing w:before="0" w:beforeAutospacing="0" w:after="0" w:afterAutospacing="0"/>
              <w:ind w:left="0" w:right="0"/>
              <w:rPr>
                <w:rFonts w:hint="default"/>
                <w:color w:val="auto"/>
              </w:rPr>
            </w:pPr>
            <w:r>
              <w:rPr>
                <w:rFonts w:hint="default"/>
                <w:color w:val="auto"/>
              </w:rPr>
              <w:t>5</w:t>
            </w:r>
          </w:p>
        </w:tc>
        <w:tc>
          <w:tcPr>
            <w:tcW w:w="748" w:type="dxa"/>
          </w:tcPr>
          <w:p w14:paraId="184C4E22">
            <w:pPr>
              <w:pStyle w:val="91"/>
              <w:keepNext w:val="0"/>
              <w:keepLines w:val="0"/>
              <w:suppressLineNumbers w:val="0"/>
              <w:spacing w:before="0" w:beforeAutospacing="0" w:after="0" w:afterAutospacing="0"/>
              <w:ind w:left="0" w:right="0"/>
              <w:rPr>
                <w:rFonts w:hint="default"/>
                <w:color w:val="auto"/>
              </w:rPr>
            </w:pPr>
            <w:r>
              <w:rPr>
                <w:rFonts w:hint="eastAsia"/>
                <w:color w:val="auto"/>
              </w:rPr>
              <w:t>涨潮</w:t>
            </w:r>
          </w:p>
        </w:tc>
        <w:tc>
          <w:tcPr>
            <w:tcW w:w="1134" w:type="dxa"/>
            <w:vMerge w:val="restart"/>
          </w:tcPr>
          <w:p w14:paraId="425E1EFB">
            <w:pPr>
              <w:pStyle w:val="91"/>
              <w:keepNext w:val="0"/>
              <w:keepLines w:val="0"/>
              <w:suppressLineNumbers w:val="0"/>
              <w:spacing w:before="0" w:beforeAutospacing="0" w:after="0" w:afterAutospacing="0"/>
              <w:ind w:left="0" w:right="0"/>
              <w:rPr>
                <w:rFonts w:hint="default"/>
                <w:color w:val="auto"/>
              </w:rPr>
            </w:pPr>
            <w:r>
              <w:rPr>
                <w:rFonts w:hint="default"/>
                <w:color w:val="auto"/>
              </w:rPr>
              <w:t>SE风</w:t>
            </w:r>
          </w:p>
        </w:tc>
        <w:tc>
          <w:tcPr>
            <w:tcW w:w="1276" w:type="dxa"/>
            <w:vMerge w:val="restart"/>
          </w:tcPr>
          <w:p w14:paraId="2FD7589A">
            <w:pPr>
              <w:pStyle w:val="91"/>
              <w:keepNext w:val="0"/>
              <w:keepLines w:val="0"/>
              <w:suppressLineNumbers w:val="0"/>
              <w:spacing w:before="0" w:beforeAutospacing="0" w:after="0" w:afterAutospacing="0"/>
              <w:ind w:left="0" w:right="0"/>
              <w:rPr>
                <w:rFonts w:hint="default"/>
                <w:color w:val="auto"/>
              </w:rPr>
            </w:pPr>
            <w:r>
              <w:rPr>
                <w:rFonts w:hint="eastAsia"/>
                <w:color w:val="auto"/>
              </w:rPr>
              <w:t>1</w:t>
            </w:r>
            <w:r>
              <w:rPr>
                <w:rFonts w:hint="default"/>
                <w:color w:val="auto"/>
              </w:rPr>
              <w:t>3.8</w:t>
            </w:r>
          </w:p>
        </w:tc>
        <w:tc>
          <w:tcPr>
            <w:tcW w:w="1233" w:type="dxa"/>
          </w:tcPr>
          <w:p w14:paraId="736EE87B">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25.73</w:t>
            </w:r>
          </w:p>
        </w:tc>
        <w:tc>
          <w:tcPr>
            <w:tcW w:w="1233" w:type="dxa"/>
          </w:tcPr>
          <w:p w14:paraId="00D99D0A">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28.17</w:t>
            </w:r>
          </w:p>
        </w:tc>
        <w:tc>
          <w:tcPr>
            <w:tcW w:w="1233" w:type="dxa"/>
          </w:tcPr>
          <w:p w14:paraId="376A40E8">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28.68</w:t>
            </w:r>
          </w:p>
        </w:tc>
        <w:tc>
          <w:tcPr>
            <w:tcW w:w="1233" w:type="dxa"/>
          </w:tcPr>
          <w:p w14:paraId="0248C792">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29.30</w:t>
            </w:r>
          </w:p>
        </w:tc>
      </w:tr>
      <w:tr w14:paraId="5D8FB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1A162158">
            <w:pPr>
              <w:pStyle w:val="91"/>
              <w:keepNext w:val="0"/>
              <w:keepLines w:val="0"/>
              <w:suppressLineNumbers w:val="0"/>
              <w:spacing w:before="0" w:beforeAutospacing="0" w:after="0" w:afterAutospacing="0"/>
              <w:ind w:left="0" w:right="0"/>
              <w:rPr>
                <w:rFonts w:hint="default"/>
                <w:color w:val="auto"/>
              </w:rPr>
            </w:pPr>
            <w:r>
              <w:rPr>
                <w:rFonts w:hint="default"/>
                <w:color w:val="auto"/>
              </w:rPr>
              <w:t>6</w:t>
            </w:r>
          </w:p>
        </w:tc>
        <w:tc>
          <w:tcPr>
            <w:tcW w:w="748" w:type="dxa"/>
          </w:tcPr>
          <w:p w14:paraId="5E09DD72">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1134" w:type="dxa"/>
            <w:vMerge w:val="continue"/>
          </w:tcPr>
          <w:p w14:paraId="3B814C42">
            <w:pPr>
              <w:pStyle w:val="91"/>
              <w:keepNext w:val="0"/>
              <w:keepLines w:val="0"/>
              <w:suppressLineNumbers w:val="0"/>
              <w:spacing w:before="0" w:beforeAutospacing="0" w:after="0" w:afterAutospacing="0"/>
              <w:ind w:left="0" w:right="0"/>
              <w:rPr>
                <w:rFonts w:hint="default"/>
                <w:color w:val="auto"/>
              </w:rPr>
            </w:pPr>
          </w:p>
        </w:tc>
        <w:tc>
          <w:tcPr>
            <w:tcW w:w="1276" w:type="dxa"/>
            <w:vMerge w:val="continue"/>
          </w:tcPr>
          <w:p w14:paraId="6A5764C1">
            <w:pPr>
              <w:pStyle w:val="91"/>
              <w:keepNext w:val="0"/>
              <w:keepLines w:val="0"/>
              <w:suppressLineNumbers w:val="0"/>
              <w:spacing w:before="0" w:beforeAutospacing="0" w:after="0" w:afterAutospacing="0"/>
              <w:ind w:left="0" w:right="0"/>
              <w:rPr>
                <w:rFonts w:hint="default"/>
                <w:color w:val="auto"/>
              </w:rPr>
            </w:pPr>
          </w:p>
        </w:tc>
        <w:tc>
          <w:tcPr>
            <w:tcW w:w="1233" w:type="dxa"/>
          </w:tcPr>
          <w:p w14:paraId="35C125B8">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1.30</w:t>
            </w:r>
          </w:p>
        </w:tc>
        <w:tc>
          <w:tcPr>
            <w:tcW w:w="1233" w:type="dxa"/>
          </w:tcPr>
          <w:p w14:paraId="4DD0C302">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28.16</w:t>
            </w:r>
          </w:p>
        </w:tc>
        <w:tc>
          <w:tcPr>
            <w:tcW w:w="1233" w:type="dxa"/>
          </w:tcPr>
          <w:p w14:paraId="5CD60249">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30.24</w:t>
            </w:r>
          </w:p>
        </w:tc>
        <w:tc>
          <w:tcPr>
            <w:tcW w:w="1233" w:type="dxa"/>
          </w:tcPr>
          <w:p w14:paraId="19228D34">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30.89</w:t>
            </w:r>
          </w:p>
        </w:tc>
      </w:tr>
    </w:tbl>
    <w:p w14:paraId="6EBF3434">
      <w:pPr>
        <w:pStyle w:val="117"/>
        <w:rPr>
          <w:color w:val="auto"/>
        </w:rPr>
      </w:pPr>
      <w:r>
        <w:rPr>
          <w:color w:val="auto"/>
        </w:rPr>
        <w:t>注：1、扫海面积以油膜绘制时间间隔10分钟的轨迹图进行统计；</w:t>
      </w:r>
    </w:p>
    <w:p w14:paraId="10604BD4">
      <w:pPr>
        <w:pStyle w:val="117"/>
        <w:rPr>
          <w:color w:val="auto"/>
        </w:rPr>
      </w:pPr>
      <w:r>
        <w:rPr>
          <w:color w:val="auto"/>
        </w:rPr>
        <w:t>2、表中“-”表示油膜抵岸且不再运动</w:t>
      </w:r>
      <w:r>
        <w:rPr>
          <w:rFonts w:hint="eastAsia"/>
          <w:color w:val="auto"/>
        </w:rPr>
        <w:t>或扩散出计算区域</w:t>
      </w:r>
      <w:r>
        <w:rPr>
          <w:color w:val="auto"/>
        </w:rPr>
        <w:t>，扫海面积不再增大。</w:t>
      </w:r>
    </w:p>
    <w:p w14:paraId="687ABA6A">
      <w:pPr>
        <w:ind w:firstLine="480"/>
        <w:jc w:val="center"/>
        <w:rPr>
          <w:color w:val="auto"/>
          <w:szCs w:val="21"/>
        </w:rPr>
      </w:pPr>
      <w:r>
        <w:rPr>
          <w:rFonts w:ascii="Times New Roman" w:hAnsi="Times New Roman" w:eastAsia="宋体" w:cs="Times New Roman"/>
          <w:color w:val="auto"/>
          <w:sz w:val="24"/>
          <w:szCs w:val="21"/>
        </w:rPr>
        <w:drawing>
          <wp:inline distT="0" distB="0" distL="0" distR="0">
            <wp:extent cx="4032250" cy="3675380"/>
            <wp:effectExtent l="0" t="0" r="3810" b="5080"/>
            <wp:docPr id="72" name="图片 72" descr="F:\My_projects\Dongyou_GX2026\ZhaYou\Result_zhayou_0.03_new\GX_spring_Oil_case0_72H_Decoupled_flood_N_case1.m21fm - Result FilesNew\ZhaYou_flood_N_case1_Large_new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F:\My_projects\Dongyou_GX2026\ZhaYou\Result_zhayou_0.03_new\GX_spring_Oil_case0_72H_Decoupled_flood_N_case1.m21fm - Result FilesNew\ZhaYou_flood_N_case1_Large_newnew.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a:xfrm>
                      <a:off x="0" y="0"/>
                      <a:ext cx="4032250" cy="3675380"/>
                    </a:xfrm>
                    <a:prstGeom prst="rect">
                      <a:avLst/>
                    </a:prstGeom>
                    <a:noFill/>
                    <a:ln>
                      <a:noFill/>
                    </a:ln>
                  </pic:spPr>
                </pic:pic>
              </a:graphicData>
            </a:graphic>
          </wp:inline>
        </w:drawing>
      </w:r>
    </w:p>
    <w:p w14:paraId="474E57CA">
      <w:pPr>
        <w:pStyle w:val="14"/>
        <w:rPr>
          <w:rStyle w:val="239"/>
          <w:color w:val="auto"/>
        </w:rPr>
      </w:pPr>
      <w:r>
        <w:rPr>
          <w:rFonts w:hint="eastAsia"/>
          <w:color w:val="auto"/>
        </w:rPr>
        <w:t>图</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rFonts w:hint="eastAsia"/>
          <w:color w:val="auto"/>
        </w:rPr>
        <w:t>20</w:t>
      </w:r>
      <w:r>
        <w:rPr>
          <w:color w:val="auto"/>
        </w:rPr>
        <w:fldChar w:fldCharType="end"/>
      </w:r>
      <w:r>
        <w:rPr>
          <w:rFonts w:hint="eastAsia"/>
          <w:color w:val="auto"/>
        </w:rPr>
        <w:t>渣油</w:t>
      </w:r>
      <w:r>
        <w:rPr>
          <w:color w:val="auto"/>
        </w:rPr>
        <w:t>溢油</w:t>
      </w:r>
      <w:r>
        <w:rPr>
          <w:rFonts w:hint="eastAsia"/>
          <w:color w:val="auto"/>
        </w:rPr>
        <w:t>事故工况1</w:t>
      </w:r>
      <w:r>
        <w:rPr>
          <w:color w:val="auto"/>
        </w:rPr>
        <w:t>油膜运动轨迹图</w:t>
      </w:r>
    </w:p>
    <w:p w14:paraId="238AADB6">
      <w:pPr>
        <w:pStyle w:val="14"/>
        <w:rPr>
          <w:rStyle w:val="239"/>
          <w:color w:val="auto"/>
          <w:sz w:val="21"/>
          <w:u w:val="single"/>
        </w:rPr>
      </w:pPr>
      <w:r>
        <w:rPr>
          <w:rStyle w:val="239"/>
          <w:color w:val="auto"/>
          <w:sz w:val="21"/>
          <w:u w:val="single"/>
        </w:rPr>
        <w:t>（大潮涨潮期，</w:t>
      </w:r>
      <w:r>
        <w:rPr>
          <w:rStyle w:val="239"/>
          <w:rFonts w:hint="eastAsia"/>
          <w:color w:val="auto"/>
          <w:sz w:val="21"/>
          <w:u w:val="single"/>
        </w:rPr>
        <w:t>冬季N风、风速</w:t>
      </w:r>
      <w:r>
        <w:rPr>
          <w:rStyle w:val="239"/>
          <w:color w:val="auto"/>
          <w:sz w:val="21"/>
          <w:u w:val="single"/>
        </w:rPr>
        <w:t>6.7m/s，绘制间隔60</w:t>
      </w:r>
      <w:r>
        <w:rPr>
          <w:rStyle w:val="239"/>
          <w:rFonts w:hint="eastAsia"/>
          <w:color w:val="auto"/>
          <w:sz w:val="21"/>
          <w:u w:val="single"/>
        </w:rPr>
        <w:t>min</w:t>
      </w:r>
      <w:r>
        <w:rPr>
          <w:rStyle w:val="239"/>
          <w:color w:val="auto"/>
          <w:sz w:val="21"/>
          <w:u w:val="single"/>
        </w:rPr>
        <w:t>）</w:t>
      </w:r>
    </w:p>
    <w:p w14:paraId="1A36E3FB">
      <w:pPr>
        <w:pStyle w:val="240"/>
        <w:jc w:val="center"/>
        <w:rPr>
          <w:rStyle w:val="239"/>
          <w:color w:val="auto"/>
          <w:u w:val="single"/>
        </w:rPr>
      </w:pPr>
      <w:r>
        <w:rPr>
          <w:rStyle w:val="239"/>
          <w:color w:val="auto"/>
          <w:u w:val="single"/>
        </w:rPr>
        <w:drawing>
          <wp:inline distT="0" distB="0" distL="0" distR="0">
            <wp:extent cx="4032250" cy="3675380"/>
            <wp:effectExtent l="0" t="0" r="3810" b="5080"/>
            <wp:docPr id="73" name="图片 73" descr="F:\My_projects\Dongyou_GX2026\ZhaYou\Result_zhayou_0.03_new\GX_spring_Oil_case0_72H_Decoupled_ebb_N_case2.m21fm - Result Files\ZhaYou_ebb_N_case2_Large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F:\My_projects\Dongyou_GX2026\ZhaYou\Result_zhayou_0.03_new\GX_spring_Oil_case0_72H_Decoupled_ebb_N_case2.m21fm - Result Files\ZhaYou_ebb_N_case2_Large_new.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4032250" cy="3675380"/>
                    </a:xfrm>
                    <a:prstGeom prst="rect">
                      <a:avLst/>
                    </a:prstGeom>
                    <a:noFill/>
                    <a:ln>
                      <a:noFill/>
                    </a:ln>
                  </pic:spPr>
                </pic:pic>
              </a:graphicData>
            </a:graphic>
          </wp:inline>
        </w:drawing>
      </w:r>
    </w:p>
    <w:p w14:paraId="46D4C4E3">
      <w:pPr>
        <w:pStyle w:val="14"/>
        <w:rPr>
          <w:rStyle w:val="239"/>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21</w:t>
      </w:r>
      <w:r>
        <w:rPr>
          <w:color w:val="auto"/>
          <w:u w:val="single"/>
        </w:rPr>
        <w:fldChar w:fldCharType="end"/>
      </w:r>
      <w:r>
        <w:rPr>
          <w:rFonts w:hint="eastAsia"/>
          <w:color w:val="auto"/>
          <w:u w:val="single"/>
        </w:rPr>
        <w:t>渣油</w:t>
      </w:r>
      <w:r>
        <w:rPr>
          <w:color w:val="auto"/>
          <w:u w:val="single"/>
        </w:rPr>
        <w:t>溢油</w:t>
      </w:r>
      <w:r>
        <w:rPr>
          <w:rFonts w:hint="eastAsia"/>
          <w:color w:val="auto"/>
          <w:u w:val="single"/>
        </w:rPr>
        <w:t>事故工况2</w:t>
      </w:r>
      <w:r>
        <w:rPr>
          <w:color w:val="auto"/>
          <w:u w:val="single"/>
        </w:rPr>
        <w:t>油膜运动轨迹图</w:t>
      </w:r>
    </w:p>
    <w:p w14:paraId="6B9214D9">
      <w:pPr>
        <w:pStyle w:val="14"/>
        <w:rPr>
          <w:rStyle w:val="239"/>
          <w:color w:val="auto"/>
          <w:sz w:val="21"/>
          <w:u w:val="single"/>
        </w:rPr>
      </w:pPr>
      <w:r>
        <w:rPr>
          <w:rStyle w:val="239"/>
          <w:color w:val="auto"/>
          <w:sz w:val="21"/>
          <w:u w:val="single"/>
        </w:rPr>
        <w:t>（大潮</w:t>
      </w:r>
      <w:r>
        <w:rPr>
          <w:rStyle w:val="239"/>
          <w:rFonts w:hint="eastAsia"/>
          <w:color w:val="auto"/>
          <w:sz w:val="21"/>
          <w:u w:val="single"/>
        </w:rPr>
        <w:t>落</w:t>
      </w:r>
      <w:r>
        <w:rPr>
          <w:rStyle w:val="239"/>
          <w:color w:val="auto"/>
          <w:sz w:val="21"/>
          <w:u w:val="single"/>
        </w:rPr>
        <w:t>潮期，</w:t>
      </w:r>
      <w:r>
        <w:rPr>
          <w:rStyle w:val="239"/>
          <w:rFonts w:hint="eastAsia"/>
          <w:color w:val="auto"/>
          <w:sz w:val="21"/>
          <w:u w:val="single"/>
        </w:rPr>
        <w:t>冬季N风、风速</w:t>
      </w:r>
      <w:r>
        <w:rPr>
          <w:rStyle w:val="239"/>
          <w:color w:val="auto"/>
          <w:sz w:val="21"/>
          <w:u w:val="single"/>
        </w:rPr>
        <w:t>6.7m/s，绘制间隔60</w:t>
      </w:r>
      <w:r>
        <w:rPr>
          <w:rStyle w:val="239"/>
          <w:rFonts w:hint="eastAsia"/>
          <w:color w:val="auto"/>
          <w:sz w:val="21"/>
          <w:u w:val="single"/>
        </w:rPr>
        <w:t>min</w:t>
      </w:r>
      <w:r>
        <w:rPr>
          <w:rStyle w:val="239"/>
          <w:color w:val="auto"/>
          <w:sz w:val="21"/>
          <w:u w:val="single"/>
        </w:rPr>
        <w:t>）</w:t>
      </w:r>
    </w:p>
    <w:p w14:paraId="5E36C79C">
      <w:pPr>
        <w:pStyle w:val="240"/>
        <w:jc w:val="center"/>
        <w:rPr>
          <w:rStyle w:val="239"/>
          <w:color w:val="auto"/>
          <w:u w:val="single"/>
        </w:rPr>
      </w:pPr>
      <w:r>
        <w:rPr>
          <w:rStyle w:val="239"/>
          <w:color w:val="auto"/>
          <w:u w:val="single"/>
        </w:rPr>
        <w:drawing>
          <wp:inline distT="0" distB="0" distL="0" distR="0">
            <wp:extent cx="4032250" cy="3675380"/>
            <wp:effectExtent l="0" t="0" r="3810" b="5080"/>
            <wp:docPr id="74" name="图片 74" descr="F:\My_projects\Dongyou_GX2026\ZhaYou\Result_zhayou_0.03_new\GX_spring_Oil_case0_72H_Decoupled_flood_S_case3.m21fm - Result Files\ZhaYou_flood_S_case3_Large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F:\My_projects\Dongyou_GX2026\ZhaYou\Result_zhayou_0.03_new\GX_spring_Oil_case0_72H_Decoupled_flood_S_case3.m21fm - Result Files\ZhaYou_flood_S_case3_Large_new.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a:xfrm>
                      <a:off x="0" y="0"/>
                      <a:ext cx="4032250" cy="3675380"/>
                    </a:xfrm>
                    <a:prstGeom prst="rect">
                      <a:avLst/>
                    </a:prstGeom>
                    <a:noFill/>
                    <a:ln>
                      <a:noFill/>
                    </a:ln>
                  </pic:spPr>
                </pic:pic>
              </a:graphicData>
            </a:graphic>
          </wp:inline>
        </w:drawing>
      </w:r>
    </w:p>
    <w:p w14:paraId="76949265">
      <w:pPr>
        <w:pStyle w:val="14"/>
        <w:rPr>
          <w:rStyle w:val="239"/>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22</w:t>
      </w:r>
      <w:r>
        <w:rPr>
          <w:color w:val="auto"/>
          <w:u w:val="single"/>
        </w:rPr>
        <w:fldChar w:fldCharType="end"/>
      </w:r>
      <w:r>
        <w:rPr>
          <w:rFonts w:hint="eastAsia"/>
          <w:color w:val="auto"/>
          <w:u w:val="single"/>
        </w:rPr>
        <w:t>渣油</w:t>
      </w:r>
      <w:r>
        <w:rPr>
          <w:color w:val="auto"/>
          <w:u w:val="single"/>
        </w:rPr>
        <w:t>溢油</w:t>
      </w:r>
      <w:r>
        <w:rPr>
          <w:rFonts w:hint="eastAsia"/>
          <w:color w:val="auto"/>
          <w:u w:val="single"/>
        </w:rPr>
        <w:t>事故工况3</w:t>
      </w:r>
      <w:r>
        <w:rPr>
          <w:color w:val="auto"/>
          <w:u w:val="single"/>
        </w:rPr>
        <w:t>油膜运动轨迹图</w:t>
      </w:r>
    </w:p>
    <w:p w14:paraId="3CC12E05">
      <w:pPr>
        <w:pStyle w:val="14"/>
        <w:rPr>
          <w:rStyle w:val="239"/>
          <w:color w:val="auto"/>
          <w:sz w:val="21"/>
          <w:u w:val="single"/>
        </w:rPr>
      </w:pPr>
      <w:r>
        <w:rPr>
          <w:rStyle w:val="239"/>
          <w:color w:val="auto"/>
          <w:sz w:val="21"/>
          <w:u w:val="single"/>
        </w:rPr>
        <w:t>（大潮涨潮期，</w:t>
      </w:r>
      <w:r>
        <w:rPr>
          <w:rStyle w:val="239"/>
          <w:rFonts w:hint="eastAsia"/>
          <w:color w:val="auto"/>
          <w:sz w:val="21"/>
          <w:u w:val="single"/>
        </w:rPr>
        <w:t>夏季S风、风速</w:t>
      </w:r>
      <w:r>
        <w:rPr>
          <w:rStyle w:val="239"/>
          <w:color w:val="auto"/>
          <w:sz w:val="21"/>
          <w:u w:val="single"/>
        </w:rPr>
        <w:t>5.1m/s，绘制间隔60</w:t>
      </w:r>
      <w:r>
        <w:rPr>
          <w:rStyle w:val="239"/>
          <w:rFonts w:hint="eastAsia"/>
          <w:color w:val="auto"/>
          <w:sz w:val="21"/>
          <w:u w:val="single"/>
        </w:rPr>
        <w:t>min</w:t>
      </w:r>
      <w:r>
        <w:rPr>
          <w:rStyle w:val="239"/>
          <w:color w:val="auto"/>
          <w:sz w:val="21"/>
          <w:u w:val="single"/>
        </w:rPr>
        <w:t>）</w:t>
      </w:r>
    </w:p>
    <w:p w14:paraId="5A0F3D12">
      <w:pPr>
        <w:pStyle w:val="240"/>
        <w:jc w:val="center"/>
        <w:rPr>
          <w:rStyle w:val="239"/>
          <w:color w:val="auto"/>
          <w:u w:val="single"/>
        </w:rPr>
      </w:pPr>
      <w:r>
        <w:rPr>
          <w:rStyle w:val="239"/>
          <w:color w:val="auto"/>
          <w:u w:val="single"/>
        </w:rPr>
        <w:drawing>
          <wp:inline distT="0" distB="0" distL="0" distR="0">
            <wp:extent cx="4032250" cy="3675380"/>
            <wp:effectExtent l="0" t="0" r="3810" b="5080"/>
            <wp:docPr id="75" name="图片 75" descr="F:\My_projects\Dongyou_GX2026\ZhaYou\Result_zhayou_0.03_new\GX_spring_Oil_case0_72H_Decoupled_ebb_S_case4.m21fm - Result Files\ZhaYou_ebb_S_case4_Large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F:\My_projects\Dongyou_GX2026\ZhaYou\Result_zhayou_0.03_new\GX_spring_Oil_case0_72H_Decoupled_ebb_S_case4.m21fm - Result Files\ZhaYou_ebb_S_case4_Large_new.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a:xfrm>
                      <a:off x="0" y="0"/>
                      <a:ext cx="4032250" cy="3675380"/>
                    </a:xfrm>
                    <a:prstGeom prst="rect">
                      <a:avLst/>
                    </a:prstGeom>
                    <a:noFill/>
                    <a:ln>
                      <a:noFill/>
                    </a:ln>
                  </pic:spPr>
                </pic:pic>
              </a:graphicData>
            </a:graphic>
          </wp:inline>
        </w:drawing>
      </w:r>
    </w:p>
    <w:p w14:paraId="15A6D1C7">
      <w:pPr>
        <w:pStyle w:val="14"/>
        <w:rPr>
          <w:rStyle w:val="239"/>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23</w:t>
      </w:r>
      <w:r>
        <w:rPr>
          <w:color w:val="auto"/>
          <w:u w:val="single"/>
        </w:rPr>
        <w:fldChar w:fldCharType="end"/>
      </w:r>
      <w:r>
        <w:rPr>
          <w:rFonts w:hint="eastAsia"/>
          <w:color w:val="auto"/>
          <w:u w:val="single"/>
        </w:rPr>
        <w:t>渣油</w:t>
      </w:r>
      <w:r>
        <w:rPr>
          <w:color w:val="auto"/>
          <w:u w:val="single"/>
        </w:rPr>
        <w:t>溢油</w:t>
      </w:r>
      <w:r>
        <w:rPr>
          <w:rFonts w:hint="eastAsia"/>
          <w:color w:val="auto"/>
          <w:u w:val="single"/>
        </w:rPr>
        <w:t>事故工况4</w:t>
      </w:r>
      <w:r>
        <w:rPr>
          <w:color w:val="auto"/>
          <w:u w:val="single"/>
        </w:rPr>
        <w:t>油膜运动轨迹图</w:t>
      </w:r>
    </w:p>
    <w:p w14:paraId="3BCA8AE5">
      <w:pPr>
        <w:pStyle w:val="14"/>
        <w:rPr>
          <w:rStyle w:val="239"/>
          <w:color w:val="auto"/>
          <w:sz w:val="21"/>
          <w:u w:val="single"/>
        </w:rPr>
      </w:pPr>
      <w:r>
        <w:rPr>
          <w:rStyle w:val="239"/>
          <w:color w:val="auto"/>
          <w:sz w:val="21"/>
          <w:u w:val="single"/>
        </w:rPr>
        <w:t>（大潮</w:t>
      </w:r>
      <w:r>
        <w:rPr>
          <w:rStyle w:val="239"/>
          <w:rFonts w:hint="eastAsia"/>
          <w:color w:val="auto"/>
          <w:sz w:val="21"/>
          <w:u w:val="single"/>
        </w:rPr>
        <w:t>落潮</w:t>
      </w:r>
      <w:r>
        <w:rPr>
          <w:rStyle w:val="239"/>
          <w:color w:val="auto"/>
          <w:sz w:val="21"/>
          <w:u w:val="single"/>
        </w:rPr>
        <w:t>期，</w:t>
      </w:r>
      <w:r>
        <w:rPr>
          <w:rStyle w:val="239"/>
          <w:rFonts w:hint="eastAsia"/>
          <w:color w:val="auto"/>
          <w:sz w:val="21"/>
          <w:u w:val="single"/>
        </w:rPr>
        <w:t>夏季S风、风速</w:t>
      </w:r>
      <w:r>
        <w:rPr>
          <w:rStyle w:val="239"/>
          <w:color w:val="auto"/>
          <w:sz w:val="21"/>
          <w:u w:val="single"/>
        </w:rPr>
        <w:t>5.1m/s，绘制间隔60</w:t>
      </w:r>
      <w:r>
        <w:rPr>
          <w:rStyle w:val="239"/>
          <w:rFonts w:hint="eastAsia"/>
          <w:color w:val="auto"/>
          <w:sz w:val="21"/>
          <w:u w:val="single"/>
        </w:rPr>
        <w:t>min</w:t>
      </w:r>
      <w:r>
        <w:rPr>
          <w:rStyle w:val="239"/>
          <w:color w:val="auto"/>
          <w:sz w:val="21"/>
          <w:u w:val="single"/>
        </w:rPr>
        <w:t>）</w:t>
      </w:r>
    </w:p>
    <w:p w14:paraId="1ACC4408">
      <w:pPr>
        <w:ind w:firstLine="480"/>
        <w:jc w:val="center"/>
        <w:rPr>
          <w:color w:val="auto"/>
          <w:szCs w:val="21"/>
          <w:u w:val="single"/>
        </w:rPr>
      </w:pPr>
      <w:r>
        <w:rPr>
          <w:rFonts w:ascii="Times New Roman" w:hAnsi="Times New Roman" w:eastAsia="宋体" w:cs="Times New Roman"/>
          <w:color w:val="auto"/>
          <w:sz w:val="24"/>
          <w:szCs w:val="21"/>
          <w:u w:val="single"/>
        </w:rPr>
        <w:drawing>
          <wp:inline distT="0" distB="0" distL="0" distR="0">
            <wp:extent cx="4032250" cy="3675380"/>
            <wp:effectExtent l="0" t="0" r="3810" b="5080"/>
            <wp:docPr id="76" name="图片 76" descr="F:\My_projects\Dongyou_GX2026\ZhaYou\Result_zhayou_0.03_new\GX_spring_Oil_case0_72H_Decoupled_flood_SE_case7.m21fm - Result Files\ZhaYou_flood_SE_case7_Large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F:\My_projects\Dongyou_GX2026\ZhaYou\Result_zhayou_0.03_new\GX_spring_Oil_case0_72H_Decoupled_flood_SE_case7.m21fm - Result Files\ZhaYou_flood_SE_case7_Large_new.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a:xfrm>
                      <a:off x="0" y="0"/>
                      <a:ext cx="4032250" cy="3675380"/>
                    </a:xfrm>
                    <a:prstGeom prst="rect">
                      <a:avLst/>
                    </a:prstGeom>
                    <a:noFill/>
                    <a:ln>
                      <a:noFill/>
                    </a:ln>
                  </pic:spPr>
                </pic:pic>
              </a:graphicData>
            </a:graphic>
          </wp:inline>
        </w:drawing>
      </w:r>
    </w:p>
    <w:p w14:paraId="295A979D">
      <w:pPr>
        <w:pStyle w:val="14"/>
        <w:rPr>
          <w:rStyle w:val="239"/>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24</w:t>
      </w:r>
      <w:r>
        <w:rPr>
          <w:color w:val="auto"/>
          <w:u w:val="single"/>
        </w:rPr>
        <w:fldChar w:fldCharType="end"/>
      </w:r>
      <w:r>
        <w:rPr>
          <w:rFonts w:hint="eastAsia"/>
          <w:color w:val="auto"/>
          <w:u w:val="single"/>
        </w:rPr>
        <w:t>渣油</w:t>
      </w:r>
      <w:r>
        <w:rPr>
          <w:color w:val="auto"/>
          <w:u w:val="single"/>
        </w:rPr>
        <w:t>溢油</w:t>
      </w:r>
      <w:r>
        <w:rPr>
          <w:rFonts w:hint="eastAsia"/>
          <w:color w:val="auto"/>
          <w:u w:val="single"/>
        </w:rPr>
        <w:t>事故工况</w:t>
      </w:r>
      <w:r>
        <w:rPr>
          <w:color w:val="auto"/>
          <w:u w:val="single"/>
        </w:rPr>
        <w:t>5油膜运动轨迹图</w:t>
      </w:r>
    </w:p>
    <w:p w14:paraId="13771810">
      <w:pPr>
        <w:pStyle w:val="14"/>
        <w:rPr>
          <w:color w:val="auto"/>
          <w:u w:val="single"/>
        </w:rPr>
      </w:pPr>
      <w:r>
        <w:rPr>
          <w:rStyle w:val="239"/>
          <w:color w:val="auto"/>
          <w:sz w:val="21"/>
          <w:u w:val="single"/>
        </w:rPr>
        <w:t>（大潮</w:t>
      </w:r>
      <w:r>
        <w:rPr>
          <w:rStyle w:val="239"/>
          <w:rFonts w:hint="eastAsia"/>
          <w:color w:val="auto"/>
          <w:sz w:val="21"/>
          <w:u w:val="single"/>
        </w:rPr>
        <w:t>涨</w:t>
      </w:r>
      <w:r>
        <w:rPr>
          <w:rStyle w:val="239"/>
          <w:color w:val="auto"/>
          <w:sz w:val="21"/>
          <w:u w:val="single"/>
        </w:rPr>
        <w:t>潮期，</w:t>
      </w:r>
      <w:r>
        <w:rPr>
          <w:rStyle w:val="239"/>
          <w:rFonts w:hint="eastAsia"/>
          <w:color w:val="auto"/>
          <w:sz w:val="21"/>
          <w:u w:val="single"/>
        </w:rPr>
        <w:t>不利SE风、风速</w:t>
      </w:r>
      <w:r>
        <w:rPr>
          <w:rStyle w:val="239"/>
          <w:color w:val="auto"/>
          <w:sz w:val="21"/>
          <w:u w:val="single"/>
        </w:rPr>
        <w:t>13.8m/s，绘制间隔60</w:t>
      </w:r>
      <w:r>
        <w:rPr>
          <w:rStyle w:val="239"/>
          <w:rFonts w:hint="eastAsia"/>
          <w:color w:val="auto"/>
          <w:sz w:val="21"/>
          <w:u w:val="single"/>
        </w:rPr>
        <w:t>min</w:t>
      </w:r>
      <w:r>
        <w:rPr>
          <w:rStyle w:val="239"/>
          <w:color w:val="auto"/>
          <w:sz w:val="21"/>
          <w:u w:val="single"/>
        </w:rPr>
        <w:t>）</w:t>
      </w:r>
    </w:p>
    <w:p w14:paraId="5AE2CFDD">
      <w:pPr>
        <w:ind w:firstLine="480"/>
        <w:jc w:val="center"/>
        <w:rPr>
          <w:b/>
          <w:bCs/>
          <w:color w:val="auto"/>
          <w:szCs w:val="21"/>
          <w:u w:val="single"/>
        </w:rPr>
      </w:pPr>
      <w:r>
        <w:rPr>
          <w:rFonts w:ascii="Times New Roman" w:hAnsi="Times New Roman" w:eastAsia="宋体" w:cs="Times New Roman"/>
          <w:color w:val="auto"/>
          <w:sz w:val="24"/>
          <w:szCs w:val="21"/>
          <w:u w:val="single"/>
        </w:rPr>
        <w:drawing>
          <wp:inline distT="0" distB="0" distL="0" distR="0">
            <wp:extent cx="4032250" cy="3675380"/>
            <wp:effectExtent l="0" t="0" r="3810" b="5080"/>
            <wp:docPr id="77" name="图片 77" descr="F:\My_projects\Dongyou_GX2026\ZhaYou\Result_zhayou_0.03_new\GX_spring_Oil_case0_72H_Decoupled_ebb_SE_case8.m21fm - Result Files\ZhaYou_ebb_SE_case8_Large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F:\My_projects\Dongyou_GX2026\ZhaYou\Result_zhayou_0.03_new\GX_spring_Oil_case0_72H_Decoupled_ebb_SE_case8.m21fm - Result Files\ZhaYou_ebb_SE_case8_Large_new.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a:xfrm>
                      <a:off x="0" y="0"/>
                      <a:ext cx="4032250" cy="3675380"/>
                    </a:xfrm>
                    <a:prstGeom prst="rect">
                      <a:avLst/>
                    </a:prstGeom>
                    <a:noFill/>
                    <a:ln>
                      <a:noFill/>
                    </a:ln>
                  </pic:spPr>
                </pic:pic>
              </a:graphicData>
            </a:graphic>
          </wp:inline>
        </w:drawing>
      </w:r>
    </w:p>
    <w:p w14:paraId="4A4D3803">
      <w:pPr>
        <w:pStyle w:val="14"/>
        <w:rPr>
          <w:rStyle w:val="239"/>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25</w:t>
      </w:r>
      <w:r>
        <w:rPr>
          <w:color w:val="auto"/>
          <w:u w:val="single"/>
        </w:rPr>
        <w:fldChar w:fldCharType="end"/>
      </w:r>
      <w:r>
        <w:rPr>
          <w:rFonts w:hint="eastAsia"/>
          <w:color w:val="auto"/>
          <w:u w:val="single"/>
        </w:rPr>
        <w:t>渣油</w:t>
      </w:r>
      <w:r>
        <w:rPr>
          <w:color w:val="auto"/>
          <w:u w:val="single"/>
        </w:rPr>
        <w:t>溢油</w:t>
      </w:r>
      <w:r>
        <w:rPr>
          <w:rFonts w:hint="eastAsia"/>
          <w:color w:val="auto"/>
          <w:u w:val="single"/>
        </w:rPr>
        <w:t>事故工况</w:t>
      </w:r>
      <w:r>
        <w:rPr>
          <w:color w:val="auto"/>
          <w:u w:val="single"/>
        </w:rPr>
        <w:t>8油膜运动轨迹图</w:t>
      </w:r>
    </w:p>
    <w:p w14:paraId="0F6AA60E">
      <w:pPr>
        <w:pStyle w:val="14"/>
        <w:rPr>
          <w:color w:val="auto"/>
          <w:u w:val="single"/>
        </w:rPr>
      </w:pPr>
      <w:r>
        <w:rPr>
          <w:rStyle w:val="239"/>
          <w:color w:val="auto"/>
          <w:sz w:val="21"/>
          <w:u w:val="single"/>
        </w:rPr>
        <w:t>（大潮</w:t>
      </w:r>
      <w:r>
        <w:rPr>
          <w:rStyle w:val="239"/>
          <w:rFonts w:hint="eastAsia"/>
          <w:color w:val="auto"/>
          <w:sz w:val="21"/>
          <w:u w:val="single"/>
        </w:rPr>
        <w:t>落</w:t>
      </w:r>
      <w:r>
        <w:rPr>
          <w:rStyle w:val="239"/>
          <w:color w:val="auto"/>
          <w:sz w:val="21"/>
          <w:u w:val="single"/>
        </w:rPr>
        <w:t>潮期，</w:t>
      </w:r>
      <w:r>
        <w:rPr>
          <w:rStyle w:val="239"/>
          <w:rFonts w:hint="eastAsia"/>
          <w:color w:val="auto"/>
          <w:sz w:val="21"/>
          <w:u w:val="single"/>
        </w:rPr>
        <w:t>不利SE风、风速</w:t>
      </w:r>
      <w:r>
        <w:rPr>
          <w:rStyle w:val="239"/>
          <w:color w:val="auto"/>
          <w:sz w:val="21"/>
          <w:u w:val="single"/>
        </w:rPr>
        <w:t>13.8m/s，绘制间隔60</w:t>
      </w:r>
      <w:r>
        <w:rPr>
          <w:rStyle w:val="239"/>
          <w:rFonts w:hint="eastAsia"/>
          <w:color w:val="auto"/>
          <w:sz w:val="21"/>
          <w:u w:val="single"/>
        </w:rPr>
        <w:t>min</w:t>
      </w:r>
      <w:r>
        <w:rPr>
          <w:rStyle w:val="239"/>
          <w:color w:val="auto"/>
          <w:sz w:val="21"/>
          <w:u w:val="single"/>
        </w:rPr>
        <w:t>）</w:t>
      </w:r>
    </w:p>
    <w:p w14:paraId="09712E32">
      <w:pPr>
        <w:pStyle w:val="6"/>
        <w:rPr>
          <w:color w:val="auto"/>
        </w:rPr>
      </w:pPr>
      <w:r>
        <w:rPr>
          <w:rFonts w:hint="eastAsia"/>
          <w:color w:val="auto"/>
        </w:rPr>
        <w:t>甲基叔丁基醚（MTBE）化学品泄漏事故预测结果</w:t>
      </w:r>
    </w:p>
    <w:p w14:paraId="142E57CD">
      <w:pPr>
        <w:ind w:firstLine="480"/>
        <w:jc w:val="left"/>
        <w:rPr>
          <w:color w:val="auto"/>
          <w:szCs w:val="21"/>
        </w:rPr>
      </w:pPr>
      <w:r>
        <w:rPr>
          <w:color w:val="auto"/>
          <w:szCs w:val="21"/>
        </w:rPr>
        <w:t>工况</w:t>
      </w:r>
      <w:r>
        <w:rPr>
          <w:rFonts w:hint="eastAsia"/>
          <w:color w:val="auto"/>
          <w:szCs w:val="21"/>
        </w:rPr>
        <w:t>1：</w:t>
      </w:r>
      <w:r>
        <w:rPr>
          <w:color w:val="auto"/>
          <w:szCs w:val="21"/>
        </w:rPr>
        <w:t>溢油事故发生后，</w:t>
      </w:r>
      <w:r>
        <w:rPr>
          <w:rFonts w:hint="eastAsia"/>
          <w:color w:val="auto"/>
          <w:szCs w:val="21"/>
        </w:rPr>
        <w:t>在冬季主导风向N（</w:t>
      </w:r>
      <w:r>
        <w:rPr>
          <w:color w:val="auto"/>
          <w:szCs w:val="21"/>
        </w:rPr>
        <w:t>6.7m</w:t>
      </w:r>
      <w:r>
        <w:rPr>
          <w:rFonts w:hint="eastAsia"/>
          <w:color w:val="auto"/>
          <w:szCs w:val="21"/>
        </w:rPr>
        <w:t>/</w:t>
      </w:r>
      <w:r>
        <w:rPr>
          <w:color w:val="auto"/>
          <w:szCs w:val="21"/>
        </w:rPr>
        <w:t>s</w:t>
      </w:r>
      <w:r>
        <w:rPr>
          <w:rFonts w:hint="eastAsia"/>
          <w:color w:val="auto"/>
          <w:szCs w:val="21"/>
        </w:rPr>
        <w:t>）条件下，</w:t>
      </w:r>
      <w:r>
        <w:rPr>
          <w:color w:val="auto"/>
          <w:szCs w:val="21"/>
        </w:rPr>
        <w:t>油膜</w:t>
      </w:r>
      <w:r>
        <w:rPr>
          <w:rFonts w:hint="eastAsia"/>
          <w:color w:val="auto"/>
          <w:szCs w:val="21"/>
        </w:rPr>
        <w:t>在涨潮流和N</w:t>
      </w:r>
      <w:r>
        <w:rPr>
          <w:color w:val="auto"/>
          <w:szCs w:val="21"/>
        </w:rPr>
        <w:t>风的共同</w:t>
      </w:r>
      <w:r>
        <w:rPr>
          <w:rFonts w:hint="eastAsia"/>
          <w:color w:val="auto"/>
          <w:szCs w:val="21"/>
        </w:rPr>
        <w:t>作用下油膜向西偏南方向扩散。在溢油事故发生5小时</w:t>
      </w:r>
      <w:r>
        <w:rPr>
          <w:color w:val="auto"/>
          <w:szCs w:val="21"/>
        </w:rPr>
        <w:t>40分钟左右，油膜抵达防城港核电站的取水口附近海域</w:t>
      </w:r>
      <w:r>
        <w:rPr>
          <w:rFonts w:hint="eastAsia"/>
          <w:color w:val="auto"/>
          <w:szCs w:val="21"/>
        </w:rPr>
        <w:t>。</w:t>
      </w:r>
      <w:r>
        <w:rPr>
          <w:color w:val="auto"/>
          <w:szCs w:val="21"/>
        </w:rPr>
        <w:t>此后部分油膜向西北方向扩散，并于溢油事故发生约</w:t>
      </w:r>
      <w:r>
        <w:rPr>
          <w:rFonts w:hint="eastAsia"/>
          <w:color w:val="auto"/>
          <w:szCs w:val="21"/>
        </w:rPr>
        <w:t>8小时</w:t>
      </w:r>
      <w:r>
        <w:rPr>
          <w:color w:val="auto"/>
          <w:szCs w:val="21"/>
        </w:rPr>
        <w:t>10分钟后开始影响红树林</w:t>
      </w:r>
      <w:r>
        <w:rPr>
          <w:rFonts w:hint="eastAsia"/>
          <w:color w:val="auto"/>
          <w:szCs w:val="21"/>
        </w:rPr>
        <w:t>3和红树林4；南部的</w:t>
      </w:r>
      <w:r>
        <w:rPr>
          <w:color w:val="auto"/>
          <w:szCs w:val="21"/>
        </w:rPr>
        <w:t>油膜则主要向南偏西方向扩散，并于溢油事故发生约</w:t>
      </w:r>
      <w:r>
        <w:rPr>
          <w:rFonts w:hint="eastAsia"/>
          <w:color w:val="auto"/>
          <w:szCs w:val="21"/>
        </w:rPr>
        <w:t>7小时4</w:t>
      </w:r>
      <w:r>
        <w:rPr>
          <w:color w:val="auto"/>
          <w:szCs w:val="21"/>
        </w:rPr>
        <w:t>0分后抵达防城港核电</w:t>
      </w:r>
      <w:r>
        <w:rPr>
          <w:rFonts w:hint="eastAsia"/>
          <w:color w:val="auto"/>
          <w:szCs w:val="21"/>
        </w:rPr>
        <w:t>排水明渠的东北部沿岸，油膜不断沿排水明渠东北岸向东南方向扩散。在溢油事故发生约1</w:t>
      </w:r>
      <w:r>
        <w:rPr>
          <w:color w:val="auto"/>
          <w:szCs w:val="21"/>
        </w:rPr>
        <w:t>2小时后，油膜开始进入北部湾二长棘鲷长毛对虾国家级种质资源保护区（实验区）。</w:t>
      </w:r>
      <w:r>
        <w:rPr>
          <w:rFonts w:hint="eastAsia"/>
          <w:color w:val="auto"/>
          <w:szCs w:val="21"/>
        </w:rPr>
        <w:t>该工况条件下，油膜</w:t>
      </w:r>
      <w:r>
        <w:rPr>
          <w:color w:val="auto"/>
          <w:szCs w:val="21"/>
        </w:rPr>
        <w:t>12小时内的扫海面积约为27.18</w:t>
      </w:r>
      <w:r>
        <w:rPr>
          <w:rFonts w:hint="eastAsia"/>
          <w:color w:val="auto"/>
          <w:szCs w:val="21"/>
        </w:rPr>
        <w:t>km</w:t>
      </w:r>
      <w:r>
        <w:rPr>
          <w:color w:val="auto"/>
          <w:szCs w:val="21"/>
          <w:vertAlign w:val="superscript"/>
        </w:rPr>
        <w:t>2</w:t>
      </w:r>
      <w:r>
        <w:rPr>
          <w:color w:val="auto"/>
          <w:szCs w:val="21"/>
        </w:rPr>
        <w:t>，</w:t>
      </w:r>
      <w:r>
        <w:rPr>
          <w:rFonts w:hint="eastAsia"/>
          <w:color w:val="auto"/>
          <w:szCs w:val="21"/>
        </w:rPr>
        <w:t>2</w:t>
      </w:r>
      <w:r>
        <w:rPr>
          <w:color w:val="auto"/>
          <w:szCs w:val="21"/>
        </w:rPr>
        <w:t>4小时内的扫海面积约为70.92</w:t>
      </w:r>
      <w:r>
        <w:rPr>
          <w:rFonts w:hint="eastAsia"/>
          <w:color w:val="auto"/>
          <w:szCs w:val="21"/>
        </w:rPr>
        <w:t>km</w:t>
      </w:r>
      <w:r>
        <w:rPr>
          <w:color w:val="auto"/>
          <w:szCs w:val="21"/>
          <w:vertAlign w:val="superscript"/>
        </w:rPr>
        <w:t>2</w:t>
      </w:r>
      <w:r>
        <w:rPr>
          <w:rFonts w:hint="eastAsia"/>
          <w:color w:val="auto"/>
          <w:szCs w:val="21"/>
        </w:rPr>
        <w:t>，</w:t>
      </w:r>
      <w:r>
        <w:rPr>
          <w:color w:val="auto"/>
          <w:szCs w:val="21"/>
        </w:rPr>
        <w:t>72小时内的扫海面积约为175.87</w:t>
      </w:r>
      <w:r>
        <w:rPr>
          <w:rFonts w:hint="eastAsia"/>
          <w:color w:val="auto"/>
          <w:szCs w:val="21"/>
        </w:rPr>
        <w:t>km</w:t>
      </w:r>
      <w:r>
        <w:rPr>
          <w:color w:val="auto"/>
          <w:szCs w:val="21"/>
          <w:vertAlign w:val="superscript"/>
        </w:rPr>
        <w:t>2</w:t>
      </w:r>
      <w:r>
        <w:rPr>
          <w:rFonts w:hint="eastAsia"/>
          <w:color w:val="auto"/>
          <w:szCs w:val="21"/>
        </w:rPr>
        <w:t>。</w:t>
      </w:r>
    </w:p>
    <w:p w14:paraId="50EB012E">
      <w:pPr>
        <w:ind w:firstLine="480"/>
        <w:jc w:val="left"/>
        <w:rPr>
          <w:color w:val="auto"/>
          <w:szCs w:val="21"/>
        </w:rPr>
      </w:pPr>
      <w:r>
        <w:rPr>
          <w:rFonts w:hint="eastAsia"/>
          <w:color w:val="auto"/>
          <w:szCs w:val="21"/>
        </w:rPr>
        <w:t>工况2：在冬季主导风向N（</w:t>
      </w:r>
      <w:r>
        <w:rPr>
          <w:color w:val="auto"/>
          <w:szCs w:val="21"/>
        </w:rPr>
        <w:t>6.7m/s</w:t>
      </w:r>
      <w:r>
        <w:rPr>
          <w:rFonts w:hint="eastAsia"/>
          <w:color w:val="auto"/>
          <w:szCs w:val="21"/>
        </w:rPr>
        <w:t>）和落潮流条件下，油膜开始主要向东南方向扩散，出了湾口之后转而向南偏西方向扩散。在溢油事故发生约7小时2</w:t>
      </w:r>
      <w:r>
        <w:rPr>
          <w:color w:val="auto"/>
          <w:szCs w:val="21"/>
        </w:rPr>
        <w:t>0分钟后，油膜开始进入北部湾二长棘鲷长毛对虾国家级种质资源保护区（实验区）。</w:t>
      </w:r>
      <w:r>
        <w:rPr>
          <w:rFonts w:hint="eastAsia"/>
          <w:color w:val="auto"/>
          <w:szCs w:val="21"/>
        </w:rPr>
        <w:t>统计分析表明，油膜</w:t>
      </w:r>
      <w:r>
        <w:rPr>
          <w:color w:val="auto"/>
          <w:szCs w:val="21"/>
        </w:rPr>
        <w:t>12小时内的扫海面积约为30.88</w:t>
      </w:r>
      <w:r>
        <w:rPr>
          <w:rFonts w:hint="eastAsia"/>
          <w:color w:val="auto"/>
          <w:szCs w:val="21"/>
        </w:rPr>
        <w:t>km</w:t>
      </w:r>
      <w:r>
        <w:rPr>
          <w:color w:val="auto"/>
          <w:szCs w:val="21"/>
          <w:vertAlign w:val="superscript"/>
        </w:rPr>
        <w:t>2</w:t>
      </w:r>
      <w:r>
        <w:rPr>
          <w:rFonts w:hint="eastAsia"/>
          <w:color w:val="auto"/>
          <w:szCs w:val="21"/>
        </w:rPr>
        <w:t>，</w:t>
      </w:r>
      <w:r>
        <w:rPr>
          <w:color w:val="auto"/>
          <w:szCs w:val="21"/>
        </w:rPr>
        <w:t>24小时内的扫海面积约为66.68</w:t>
      </w:r>
      <w:r>
        <w:rPr>
          <w:rFonts w:hint="eastAsia"/>
          <w:color w:val="auto"/>
          <w:szCs w:val="21"/>
        </w:rPr>
        <w:t>km</w:t>
      </w:r>
      <w:r>
        <w:rPr>
          <w:color w:val="auto"/>
          <w:szCs w:val="21"/>
          <w:vertAlign w:val="superscript"/>
        </w:rPr>
        <w:t>2</w:t>
      </w:r>
      <w:r>
        <w:rPr>
          <w:rFonts w:hint="eastAsia"/>
          <w:color w:val="auto"/>
          <w:szCs w:val="21"/>
        </w:rPr>
        <w:t>，</w:t>
      </w:r>
      <w:r>
        <w:rPr>
          <w:color w:val="auto"/>
          <w:szCs w:val="21"/>
        </w:rPr>
        <w:t>48小时内的扫海面积约为156.08</w:t>
      </w:r>
      <w:r>
        <w:rPr>
          <w:rFonts w:hint="eastAsia"/>
          <w:color w:val="auto"/>
          <w:szCs w:val="21"/>
        </w:rPr>
        <w:t>km</w:t>
      </w:r>
      <w:r>
        <w:rPr>
          <w:color w:val="auto"/>
          <w:szCs w:val="21"/>
          <w:vertAlign w:val="superscript"/>
        </w:rPr>
        <w:t>2</w:t>
      </w:r>
      <w:r>
        <w:rPr>
          <w:rFonts w:hint="eastAsia"/>
          <w:color w:val="auto"/>
          <w:szCs w:val="21"/>
        </w:rPr>
        <w:t>，此后，油膜全部扩散出计算区域。</w:t>
      </w:r>
    </w:p>
    <w:p w14:paraId="629913E8">
      <w:pPr>
        <w:ind w:firstLine="480"/>
        <w:jc w:val="left"/>
        <w:rPr>
          <w:color w:val="auto"/>
          <w:szCs w:val="21"/>
        </w:rPr>
      </w:pPr>
      <w:r>
        <w:rPr>
          <w:color w:val="auto"/>
          <w:szCs w:val="21"/>
        </w:rPr>
        <w:t>工况</w:t>
      </w:r>
      <w:r>
        <w:rPr>
          <w:rFonts w:hint="eastAsia"/>
          <w:color w:val="auto"/>
          <w:szCs w:val="21"/>
        </w:rPr>
        <w:t>3：</w:t>
      </w:r>
      <w:r>
        <w:rPr>
          <w:color w:val="auto"/>
          <w:szCs w:val="21"/>
        </w:rPr>
        <w:t>当溢油事故发生在夏季主导风向S（</w:t>
      </w:r>
      <w:r>
        <w:rPr>
          <w:rFonts w:hint="eastAsia"/>
          <w:color w:val="auto"/>
          <w:szCs w:val="21"/>
        </w:rPr>
        <w:t>5</w:t>
      </w:r>
      <w:r>
        <w:rPr>
          <w:color w:val="auto"/>
          <w:szCs w:val="21"/>
        </w:rPr>
        <w:t>.1m/s）</w:t>
      </w:r>
      <w:r>
        <w:rPr>
          <w:rFonts w:hint="eastAsia"/>
          <w:color w:val="auto"/>
          <w:szCs w:val="21"/>
        </w:rPr>
        <w:t>和涨潮期间时，油膜开始在涨潮流和S风的作用下主要沿项目北部沿岸向西北部扩散，在溢油事故发生约3小时后，油膜开始影响蚝排养殖区。此后，部分油膜沿蚝排养殖区北部的水道向东北方向扩散，并于事故发生约</w:t>
      </w:r>
      <w:r>
        <w:rPr>
          <w:color w:val="auto"/>
          <w:szCs w:val="21"/>
        </w:rPr>
        <w:t>3</w:t>
      </w:r>
      <w:r>
        <w:rPr>
          <w:rFonts w:hint="eastAsia"/>
          <w:color w:val="auto"/>
          <w:szCs w:val="21"/>
        </w:rPr>
        <w:t>小时5</w:t>
      </w:r>
      <w:r>
        <w:rPr>
          <w:color w:val="auto"/>
          <w:szCs w:val="21"/>
        </w:rPr>
        <w:t>0分钟后抵达广西茅尾海红树林自治区级自然保护区；部分油膜沿蚝排养殖区西北部的沿岸向西北方向扩散，在事故发生约4</w:t>
      </w:r>
      <w:r>
        <w:rPr>
          <w:rFonts w:hint="eastAsia"/>
          <w:color w:val="auto"/>
          <w:szCs w:val="21"/>
        </w:rPr>
        <w:t>小时5</w:t>
      </w:r>
      <w:r>
        <w:rPr>
          <w:color w:val="auto"/>
          <w:szCs w:val="21"/>
        </w:rPr>
        <w:t>0分钟</w:t>
      </w:r>
      <w:r>
        <w:rPr>
          <w:rFonts w:hint="eastAsia"/>
          <w:color w:val="auto"/>
          <w:szCs w:val="21"/>
        </w:rPr>
        <w:t>后开始影响</w:t>
      </w:r>
      <w:r>
        <w:rPr>
          <w:color w:val="auto"/>
          <w:szCs w:val="21"/>
        </w:rPr>
        <w:t>广西茅尾海红树林自治区级自然保护区。当涨潮流转为落潮流后，油膜开始向东南方向扩散，在事故发生约</w:t>
      </w:r>
      <w:r>
        <w:rPr>
          <w:rFonts w:hint="eastAsia"/>
          <w:color w:val="auto"/>
          <w:szCs w:val="21"/>
        </w:rPr>
        <w:t>1</w:t>
      </w:r>
      <w:r>
        <w:rPr>
          <w:color w:val="auto"/>
          <w:szCs w:val="21"/>
        </w:rPr>
        <w:t>1小时30分钟后，油膜开始进入项目东北部的金鼓江海域。油膜在金鼓江水道内缓慢向北偏东方向扩散，并于事故发生约</w:t>
      </w:r>
      <w:r>
        <w:rPr>
          <w:rFonts w:hint="eastAsia"/>
          <w:color w:val="auto"/>
          <w:szCs w:val="21"/>
        </w:rPr>
        <w:t>1</w:t>
      </w:r>
      <w:r>
        <w:rPr>
          <w:color w:val="auto"/>
          <w:szCs w:val="21"/>
        </w:rPr>
        <w:t>6小时30分钟后开始影响金鼓江上游的红树林</w:t>
      </w:r>
      <w:r>
        <w:rPr>
          <w:rFonts w:hint="eastAsia"/>
          <w:color w:val="auto"/>
          <w:szCs w:val="21"/>
        </w:rPr>
        <w:t>5，1</w:t>
      </w:r>
      <w:r>
        <w:rPr>
          <w:color w:val="auto"/>
          <w:szCs w:val="21"/>
        </w:rPr>
        <w:t>6小时</w:t>
      </w:r>
      <w:r>
        <w:rPr>
          <w:rFonts w:hint="eastAsia"/>
          <w:color w:val="auto"/>
          <w:szCs w:val="21"/>
        </w:rPr>
        <w:t>5</w:t>
      </w:r>
      <w:r>
        <w:rPr>
          <w:color w:val="auto"/>
          <w:szCs w:val="21"/>
        </w:rPr>
        <w:t>0分钟后开始影响红树林</w:t>
      </w:r>
      <w:r>
        <w:rPr>
          <w:rFonts w:hint="eastAsia"/>
          <w:color w:val="auto"/>
          <w:szCs w:val="21"/>
        </w:rPr>
        <w:t>6。该工况条件下，油膜</w:t>
      </w:r>
      <w:r>
        <w:rPr>
          <w:color w:val="auto"/>
          <w:szCs w:val="21"/>
        </w:rPr>
        <w:t>12小时内的扫海面积约为</w:t>
      </w:r>
      <w:r>
        <w:rPr>
          <w:rFonts w:hint="eastAsia"/>
          <w:color w:val="auto"/>
          <w:szCs w:val="21"/>
        </w:rPr>
        <w:t>5</w:t>
      </w:r>
      <w:r>
        <w:rPr>
          <w:color w:val="auto"/>
          <w:szCs w:val="21"/>
        </w:rPr>
        <w:t>.19</w:t>
      </w:r>
      <w:r>
        <w:rPr>
          <w:rFonts w:hint="eastAsia"/>
          <w:color w:val="auto"/>
          <w:szCs w:val="21"/>
        </w:rPr>
        <w:t>km</w:t>
      </w:r>
      <w:r>
        <w:rPr>
          <w:color w:val="auto"/>
          <w:szCs w:val="21"/>
          <w:vertAlign w:val="superscript"/>
        </w:rPr>
        <w:t>2</w:t>
      </w:r>
      <w:r>
        <w:rPr>
          <w:color w:val="auto"/>
          <w:szCs w:val="21"/>
        </w:rPr>
        <w:t>，</w:t>
      </w:r>
      <w:r>
        <w:rPr>
          <w:rFonts w:hint="eastAsia"/>
          <w:color w:val="auto"/>
          <w:szCs w:val="21"/>
        </w:rPr>
        <w:t>2</w:t>
      </w:r>
      <w:r>
        <w:rPr>
          <w:color w:val="auto"/>
          <w:szCs w:val="21"/>
        </w:rPr>
        <w:t>4小时内的扫海面积约为11.97</w:t>
      </w:r>
      <w:r>
        <w:rPr>
          <w:rFonts w:hint="eastAsia"/>
          <w:color w:val="auto"/>
          <w:szCs w:val="21"/>
        </w:rPr>
        <w:t>km</w:t>
      </w:r>
      <w:r>
        <w:rPr>
          <w:color w:val="auto"/>
          <w:szCs w:val="21"/>
          <w:vertAlign w:val="superscript"/>
        </w:rPr>
        <w:t>2</w:t>
      </w:r>
      <w:r>
        <w:rPr>
          <w:rFonts w:hint="eastAsia"/>
          <w:color w:val="auto"/>
          <w:szCs w:val="21"/>
        </w:rPr>
        <w:t>，</w:t>
      </w:r>
      <w:r>
        <w:rPr>
          <w:color w:val="auto"/>
          <w:szCs w:val="21"/>
        </w:rPr>
        <w:t>72小时内的扫海面积约为12.07</w:t>
      </w:r>
      <w:r>
        <w:rPr>
          <w:rFonts w:hint="eastAsia"/>
          <w:color w:val="auto"/>
          <w:szCs w:val="21"/>
        </w:rPr>
        <w:t>km</w:t>
      </w:r>
      <w:r>
        <w:rPr>
          <w:color w:val="auto"/>
          <w:szCs w:val="21"/>
          <w:vertAlign w:val="superscript"/>
        </w:rPr>
        <w:t>2</w:t>
      </w:r>
      <w:r>
        <w:rPr>
          <w:rFonts w:hint="eastAsia"/>
          <w:color w:val="auto"/>
          <w:szCs w:val="21"/>
        </w:rPr>
        <w:t>。</w:t>
      </w:r>
    </w:p>
    <w:p w14:paraId="259D8F16">
      <w:pPr>
        <w:ind w:firstLine="480"/>
        <w:jc w:val="left"/>
        <w:rPr>
          <w:color w:val="auto"/>
          <w:szCs w:val="21"/>
        </w:rPr>
      </w:pPr>
      <w:r>
        <w:rPr>
          <w:color w:val="auto"/>
          <w:szCs w:val="21"/>
        </w:rPr>
        <w:t>工况</w:t>
      </w:r>
      <w:r>
        <w:rPr>
          <w:rFonts w:hint="eastAsia"/>
          <w:color w:val="auto"/>
          <w:szCs w:val="21"/>
        </w:rPr>
        <w:t>4：</w:t>
      </w:r>
      <w:r>
        <w:rPr>
          <w:color w:val="auto"/>
          <w:szCs w:val="21"/>
        </w:rPr>
        <w:t>当溢油事故发生在夏季主导风向S（</w:t>
      </w:r>
      <w:r>
        <w:rPr>
          <w:rFonts w:hint="eastAsia"/>
          <w:color w:val="auto"/>
          <w:szCs w:val="21"/>
        </w:rPr>
        <w:t>5</w:t>
      </w:r>
      <w:r>
        <w:rPr>
          <w:color w:val="auto"/>
          <w:szCs w:val="21"/>
        </w:rPr>
        <w:t>.1m/s）</w:t>
      </w:r>
      <w:r>
        <w:rPr>
          <w:rFonts w:hint="eastAsia"/>
          <w:color w:val="auto"/>
          <w:szCs w:val="21"/>
        </w:rPr>
        <w:t>和落潮期间时，油膜开始在落潮流和S风的作用下主要沿项目北部沿岸向东偏北方向扩散，在溢油事故发生约2小时1</w:t>
      </w:r>
      <w:r>
        <w:rPr>
          <w:color w:val="auto"/>
          <w:szCs w:val="21"/>
        </w:rPr>
        <w:t>0分钟后，油膜开始进入金鼓江。此后，大部分油膜沿金鼓江水道缓慢向其上游扩散，在溢油事故发生约</w:t>
      </w:r>
      <w:r>
        <w:rPr>
          <w:rFonts w:hint="eastAsia"/>
          <w:color w:val="auto"/>
          <w:szCs w:val="21"/>
        </w:rPr>
        <w:t>1</w:t>
      </w:r>
      <w:r>
        <w:rPr>
          <w:color w:val="auto"/>
          <w:szCs w:val="21"/>
        </w:rPr>
        <w:t>0小时20分钟后，油膜开始影响金鼓江上游的红树林</w:t>
      </w:r>
      <w:r>
        <w:rPr>
          <w:rFonts w:hint="eastAsia"/>
          <w:color w:val="auto"/>
          <w:szCs w:val="21"/>
        </w:rPr>
        <w:t>5。该工况条件下，油膜</w:t>
      </w:r>
      <w:r>
        <w:rPr>
          <w:color w:val="auto"/>
          <w:szCs w:val="21"/>
        </w:rPr>
        <w:t>12小时内的扫海面积约为4.47</w:t>
      </w:r>
      <w:r>
        <w:rPr>
          <w:rFonts w:hint="eastAsia"/>
          <w:color w:val="auto"/>
          <w:szCs w:val="21"/>
        </w:rPr>
        <w:t>km</w:t>
      </w:r>
      <w:r>
        <w:rPr>
          <w:color w:val="auto"/>
          <w:szCs w:val="21"/>
          <w:vertAlign w:val="superscript"/>
        </w:rPr>
        <w:t>2</w:t>
      </w:r>
      <w:r>
        <w:rPr>
          <w:color w:val="auto"/>
          <w:szCs w:val="21"/>
        </w:rPr>
        <w:t>，</w:t>
      </w:r>
      <w:r>
        <w:rPr>
          <w:rFonts w:hint="eastAsia"/>
          <w:color w:val="auto"/>
          <w:szCs w:val="21"/>
        </w:rPr>
        <w:t>2</w:t>
      </w:r>
      <w:r>
        <w:rPr>
          <w:color w:val="auto"/>
          <w:szCs w:val="21"/>
        </w:rPr>
        <w:t>4小时内的扫海面积约为5.61</w:t>
      </w:r>
      <w:r>
        <w:rPr>
          <w:rFonts w:hint="eastAsia"/>
          <w:color w:val="auto"/>
          <w:szCs w:val="21"/>
        </w:rPr>
        <w:t>km</w:t>
      </w:r>
      <w:r>
        <w:rPr>
          <w:color w:val="auto"/>
          <w:szCs w:val="21"/>
          <w:vertAlign w:val="superscript"/>
        </w:rPr>
        <w:t>2</w:t>
      </w:r>
      <w:r>
        <w:rPr>
          <w:rFonts w:hint="eastAsia"/>
          <w:color w:val="auto"/>
          <w:szCs w:val="21"/>
        </w:rPr>
        <w:t>，</w:t>
      </w:r>
      <w:r>
        <w:rPr>
          <w:color w:val="auto"/>
          <w:szCs w:val="21"/>
        </w:rPr>
        <w:t>48小时内的扫海面积约为5.72</w:t>
      </w:r>
      <w:r>
        <w:rPr>
          <w:rFonts w:hint="eastAsia"/>
          <w:color w:val="auto"/>
          <w:szCs w:val="21"/>
        </w:rPr>
        <w:t>km</w:t>
      </w:r>
      <w:r>
        <w:rPr>
          <w:color w:val="auto"/>
          <w:szCs w:val="21"/>
          <w:vertAlign w:val="superscript"/>
        </w:rPr>
        <w:t>2</w:t>
      </w:r>
      <w:r>
        <w:rPr>
          <w:rFonts w:hint="eastAsia"/>
          <w:color w:val="auto"/>
          <w:szCs w:val="21"/>
        </w:rPr>
        <w:t>，此后，油膜扫海面积不变。</w:t>
      </w:r>
    </w:p>
    <w:p w14:paraId="0573B82D">
      <w:pPr>
        <w:ind w:firstLine="480"/>
        <w:jc w:val="left"/>
        <w:rPr>
          <w:color w:val="auto"/>
          <w:szCs w:val="21"/>
        </w:rPr>
      </w:pPr>
      <w:r>
        <w:rPr>
          <w:color w:val="auto"/>
          <w:szCs w:val="21"/>
        </w:rPr>
        <w:t>工况5</w:t>
      </w:r>
      <w:r>
        <w:rPr>
          <w:rFonts w:hint="eastAsia"/>
          <w:color w:val="auto"/>
          <w:szCs w:val="21"/>
        </w:rPr>
        <w:t>：</w:t>
      </w:r>
      <w:r>
        <w:rPr>
          <w:color w:val="auto"/>
          <w:szCs w:val="21"/>
        </w:rPr>
        <w:t>当溢油事故发生在</w:t>
      </w:r>
      <w:r>
        <w:rPr>
          <w:rFonts w:hint="eastAsia"/>
          <w:color w:val="auto"/>
          <w:szCs w:val="21"/>
        </w:rPr>
        <w:t>不利</w:t>
      </w:r>
      <w:r>
        <w:rPr>
          <w:color w:val="auto"/>
          <w:szCs w:val="21"/>
        </w:rPr>
        <w:t>风向SE和风速（13.8m/s）</w:t>
      </w:r>
      <w:r>
        <w:rPr>
          <w:rFonts w:hint="eastAsia"/>
          <w:color w:val="auto"/>
          <w:szCs w:val="21"/>
        </w:rPr>
        <w:t>及落潮期间时，油膜开始在涨潮流和SE风的作用下主要沿项目北部沿岸向西北方向扩散，在溢油事故发生约</w:t>
      </w:r>
      <w:r>
        <w:rPr>
          <w:color w:val="auto"/>
          <w:szCs w:val="21"/>
        </w:rPr>
        <w:t>2</w:t>
      </w:r>
      <w:r>
        <w:rPr>
          <w:rFonts w:hint="eastAsia"/>
          <w:color w:val="auto"/>
          <w:szCs w:val="21"/>
        </w:rPr>
        <w:t>小时后，油膜开始影响蚝排养殖区。此后，部分油膜沿蚝排养殖区北部的水道向东北方向缓慢扩散</w:t>
      </w:r>
      <w:r>
        <w:rPr>
          <w:color w:val="auto"/>
          <w:szCs w:val="21"/>
        </w:rPr>
        <w:t>；</w:t>
      </w:r>
      <w:r>
        <w:rPr>
          <w:rFonts w:hint="eastAsia"/>
          <w:color w:val="auto"/>
          <w:szCs w:val="21"/>
        </w:rPr>
        <w:t>其他大部分油膜则</w:t>
      </w:r>
      <w:r>
        <w:rPr>
          <w:color w:val="auto"/>
          <w:szCs w:val="21"/>
        </w:rPr>
        <w:t>沿蚝排养殖区西北部的沿岸向西北方向扩散，在事故发生约4</w:t>
      </w:r>
      <w:r>
        <w:rPr>
          <w:rFonts w:hint="eastAsia"/>
          <w:color w:val="auto"/>
          <w:szCs w:val="21"/>
        </w:rPr>
        <w:t>小时后开始影响钦州</w:t>
      </w:r>
      <w:r>
        <w:rPr>
          <w:color w:val="auto"/>
          <w:szCs w:val="21"/>
        </w:rPr>
        <w:t>茅尾海国家海洋公园</w:t>
      </w:r>
      <w:r>
        <w:rPr>
          <w:rFonts w:hint="eastAsia"/>
          <w:color w:val="auto"/>
          <w:szCs w:val="21"/>
        </w:rPr>
        <w:t>。该工况条件下，油膜</w:t>
      </w:r>
      <w:r>
        <w:rPr>
          <w:color w:val="auto"/>
          <w:szCs w:val="21"/>
        </w:rPr>
        <w:t>12小时内的扫海面积约为23.47</w:t>
      </w:r>
      <w:r>
        <w:rPr>
          <w:rFonts w:hint="eastAsia"/>
          <w:color w:val="auto"/>
          <w:szCs w:val="21"/>
        </w:rPr>
        <w:t>km</w:t>
      </w:r>
      <w:r>
        <w:rPr>
          <w:color w:val="auto"/>
          <w:szCs w:val="21"/>
          <w:vertAlign w:val="superscript"/>
        </w:rPr>
        <w:t>2</w:t>
      </w:r>
      <w:r>
        <w:rPr>
          <w:color w:val="auto"/>
          <w:szCs w:val="21"/>
        </w:rPr>
        <w:t>，</w:t>
      </w:r>
      <w:r>
        <w:rPr>
          <w:rFonts w:hint="eastAsia"/>
          <w:color w:val="auto"/>
          <w:szCs w:val="21"/>
        </w:rPr>
        <w:t>2</w:t>
      </w:r>
      <w:r>
        <w:rPr>
          <w:color w:val="auto"/>
          <w:szCs w:val="21"/>
        </w:rPr>
        <w:t>4小时内的扫海面积约为24.74</w:t>
      </w:r>
      <w:r>
        <w:rPr>
          <w:rFonts w:hint="eastAsia"/>
          <w:color w:val="auto"/>
          <w:szCs w:val="21"/>
        </w:rPr>
        <w:t>km</w:t>
      </w:r>
      <w:r>
        <w:rPr>
          <w:color w:val="auto"/>
          <w:szCs w:val="21"/>
          <w:vertAlign w:val="superscript"/>
        </w:rPr>
        <w:t>2</w:t>
      </w:r>
      <w:r>
        <w:rPr>
          <w:rFonts w:hint="eastAsia"/>
          <w:color w:val="auto"/>
          <w:szCs w:val="21"/>
        </w:rPr>
        <w:t>，</w:t>
      </w:r>
      <w:r>
        <w:rPr>
          <w:color w:val="auto"/>
          <w:szCs w:val="21"/>
        </w:rPr>
        <w:t>72小时内的扫海面积约为25.58</w:t>
      </w:r>
      <w:r>
        <w:rPr>
          <w:rFonts w:hint="eastAsia"/>
          <w:color w:val="auto"/>
          <w:szCs w:val="21"/>
        </w:rPr>
        <w:t>km</w:t>
      </w:r>
      <w:r>
        <w:rPr>
          <w:color w:val="auto"/>
          <w:szCs w:val="21"/>
          <w:vertAlign w:val="superscript"/>
        </w:rPr>
        <w:t>2</w:t>
      </w:r>
      <w:r>
        <w:rPr>
          <w:rFonts w:hint="eastAsia"/>
          <w:color w:val="auto"/>
          <w:szCs w:val="21"/>
        </w:rPr>
        <w:t>。</w:t>
      </w:r>
    </w:p>
    <w:p w14:paraId="436D5A15">
      <w:pPr>
        <w:ind w:firstLine="480"/>
        <w:jc w:val="left"/>
        <w:rPr>
          <w:color w:val="auto"/>
          <w:szCs w:val="21"/>
        </w:rPr>
      </w:pPr>
      <w:r>
        <w:rPr>
          <w:color w:val="auto"/>
          <w:szCs w:val="21"/>
        </w:rPr>
        <w:t>工况6</w:t>
      </w:r>
      <w:r>
        <w:rPr>
          <w:rFonts w:hint="eastAsia"/>
          <w:color w:val="auto"/>
          <w:szCs w:val="21"/>
        </w:rPr>
        <w:t>：</w:t>
      </w:r>
      <w:r>
        <w:rPr>
          <w:color w:val="auto"/>
          <w:szCs w:val="21"/>
        </w:rPr>
        <w:t>在</w:t>
      </w:r>
      <w:r>
        <w:rPr>
          <w:rFonts w:hint="eastAsia"/>
          <w:color w:val="auto"/>
          <w:szCs w:val="21"/>
        </w:rPr>
        <w:t>不利</w:t>
      </w:r>
      <w:r>
        <w:rPr>
          <w:color w:val="auto"/>
          <w:szCs w:val="21"/>
        </w:rPr>
        <w:t>风向SE和风速（13.8m/s）作用下，当溢油事故发生</w:t>
      </w:r>
      <w:r>
        <w:rPr>
          <w:rFonts w:hint="eastAsia"/>
          <w:color w:val="auto"/>
          <w:szCs w:val="21"/>
        </w:rPr>
        <w:t>在落潮期间时，部分油膜开始在SE风作用下沿项目北部沿岸向西北方向扩散，在溢油事故发生约</w:t>
      </w:r>
      <w:r>
        <w:rPr>
          <w:color w:val="auto"/>
          <w:szCs w:val="21"/>
        </w:rPr>
        <w:t>1</w:t>
      </w:r>
      <w:r>
        <w:rPr>
          <w:rFonts w:hint="eastAsia"/>
          <w:color w:val="auto"/>
          <w:szCs w:val="21"/>
        </w:rPr>
        <w:t>小时4</w:t>
      </w:r>
      <w:r>
        <w:rPr>
          <w:color w:val="auto"/>
          <w:szCs w:val="21"/>
        </w:rPr>
        <w:t>0分钟</w:t>
      </w:r>
      <w:r>
        <w:rPr>
          <w:rFonts w:hint="eastAsia"/>
          <w:color w:val="auto"/>
          <w:szCs w:val="21"/>
        </w:rPr>
        <w:t>后，油膜开始影响蚝排养殖区。随着落潮流逐渐变强，油膜则在落潮流和SE风的作用下沿项目北部沿岸向东偏北方向缓慢扩散，在溢油事故发生约</w:t>
      </w:r>
      <w:r>
        <w:rPr>
          <w:color w:val="auto"/>
          <w:szCs w:val="21"/>
        </w:rPr>
        <w:t>3</w:t>
      </w:r>
      <w:r>
        <w:rPr>
          <w:rFonts w:hint="eastAsia"/>
          <w:color w:val="auto"/>
          <w:szCs w:val="21"/>
        </w:rPr>
        <w:t>小时</w:t>
      </w:r>
      <w:r>
        <w:rPr>
          <w:color w:val="auto"/>
          <w:szCs w:val="21"/>
        </w:rPr>
        <w:t>40分钟后，油膜开始进入金鼓江。当落潮流转变为涨潮流时，</w:t>
      </w:r>
      <w:r>
        <w:rPr>
          <w:rFonts w:hint="eastAsia"/>
          <w:color w:val="auto"/>
          <w:szCs w:val="21"/>
        </w:rPr>
        <w:t>油膜在涨潮流和SE风的作用下沿项目北部沿岸向西北方向快速扩散，在溢油事故发生约</w:t>
      </w:r>
      <w:r>
        <w:rPr>
          <w:color w:val="auto"/>
          <w:szCs w:val="21"/>
        </w:rPr>
        <w:t>11</w:t>
      </w:r>
      <w:r>
        <w:rPr>
          <w:rFonts w:hint="eastAsia"/>
          <w:color w:val="auto"/>
          <w:szCs w:val="21"/>
        </w:rPr>
        <w:t>小时</w:t>
      </w:r>
      <w:r>
        <w:rPr>
          <w:color w:val="auto"/>
          <w:szCs w:val="21"/>
        </w:rPr>
        <w:t>40分钟</w:t>
      </w:r>
      <w:r>
        <w:rPr>
          <w:rFonts w:hint="eastAsia"/>
          <w:color w:val="auto"/>
          <w:szCs w:val="21"/>
        </w:rPr>
        <w:t>左右时，部分油膜又快速扫过蚝排养殖区，此后油膜不断扫过该养殖区并向西北方向扩散。在溢油事故发生约</w:t>
      </w:r>
      <w:r>
        <w:rPr>
          <w:color w:val="auto"/>
          <w:szCs w:val="21"/>
        </w:rPr>
        <w:t>13</w:t>
      </w:r>
      <w:r>
        <w:rPr>
          <w:rFonts w:hint="eastAsia"/>
          <w:color w:val="auto"/>
          <w:szCs w:val="21"/>
        </w:rPr>
        <w:t>小时</w:t>
      </w:r>
      <w:r>
        <w:rPr>
          <w:color w:val="auto"/>
          <w:szCs w:val="21"/>
        </w:rPr>
        <w:t>40分钟</w:t>
      </w:r>
      <w:r>
        <w:rPr>
          <w:rFonts w:hint="eastAsia"/>
          <w:color w:val="auto"/>
          <w:szCs w:val="21"/>
        </w:rPr>
        <w:t>后，油膜开始影响钦州</w:t>
      </w:r>
      <w:r>
        <w:rPr>
          <w:color w:val="auto"/>
          <w:szCs w:val="21"/>
        </w:rPr>
        <w:t>茅尾海国家海洋公园</w:t>
      </w:r>
      <w:r>
        <w:rPr>
          <w:rFonts w:hint="eastAsia"/>
          <w:color w:val="auto"/>
          <w:szCs w:val="21"/>
        </w:rPr>
        <w:t>。该工况条件下，油膜</w:t>
      </w:r>
      <w:r>
        <w:rPr>
          <w:color w:val="auto"/>
          <w:szCs w:val="21"/>
        </w:rPr>
        <w:t>12小时内的扫海面积约为1.22</w:t>
      </w:r>
      <w:r>
        <w:rPr>
          <w:rFonts w:hint="eastAsia"/>
          <w:color w:val="auto"/>
          <w:szCs w:val="21"/>
        </w:rPr>
        <w:t>km</w:t>
      </w:r>
      <w:r>
        <w:rPr>
          <w:color w:val="auto"/>
          <w:szCs w:val="21"/>
          <w:vertAlign w:val="superscript"/>
        </w:rPr>
        <w:t>2</w:t>
      </w:r>
      <w:r>
        <w:rPr>
          <w:color w:val="auto"/>
          <w:szCs w:val="21"/>
        </w:rPr>
        <w:t>，</w:t>
      </w:r>
      <w:r>
        <w:rPr>
          <w:rFonts w:hint="eastAsia"/>
          <w:color w:val="auto"/>
          <w:szCs w:val="21"/>
        </w:rPr>
        <w:t>2</w:t>
      </w:r>
      <w:r>
        <w:rPr>
          <w:color w:val="auto"/>
          <w:szCs w:val="21"/>
        </w:rPr>
        <w:t>4小时内的扫海面积约为25.07</w:t>
      </w:r>
      <w:r>
        <w:rPr>
          <w:rFonts w:hint="eastAsia"/>
          <w:color w:val="auto"/>
          <w:szCs w:val="21"/>
        </w:rPr>
        <w:t>km</w:t>
      </w:r>
      <w:r>
        <w:rPr>
          <w:color w:val="auto"/>
          <w:szCs w:val="21"/>
          <w:vertAlign w:val="superscript"/>
        </w:rPr>
        <w:t>2</w:t>
      </w:r>
      <w:r>
        <w:rPr>
          <w:rFonts w:hint="eastAsia"/>
          <w:color w:val="auto"/>
          <w:szCs w:val="21"/>
        </w:rPr>
        <w:t>，</w:t>
      </w:r>
      <w:r>
        <w:rPr>
          <w:color w:val="auto"/>
          <w:szCs w:val="21"/>
        </w:rPr>
        <w:t>72小时内的扫海面积约为26.41</w:t>
      </w:r>
      <w:r>
        <w:rPr>
          <w:rFonts w:hint="eastAsia"/>
          <w:color w:val="auto"/>
          <w:szCs w:val="21"/>
        </w:rPr>
        <w:t>km</w:t>
      </w:r>
      <w:r>
        <w:rPr>
          <w:color w:val="auto"/>
          <w:szCs w:val="21"/>
          <w:vertAlign w:val="superscript"/>
        </w:rPr>
        <w:t>2</w:t>
      </w:r>
      <w:r>
        <w:rPr>
          <w:rFonts w:hint="eastAsia"/>
          <w:color w:val="auto"/>
          <w:szCs w:val="21"/>
        </w:rPr>
        <w:t>。</w:t>
      </w:r>
    </w:p>
    <w:p w14:paraId="23410CD1">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5</w:t>
      </w:r>
      <w:r>
        <w:rPr>
          <w:color w:val="auto"/>
        </w:rPr>
        <w:fldChar w:fldCharType="end"/>
      </w:r>
      <w:r>
        <w:rPr>
          <w:rFonts w:hint="eastAsia"/>
          <w:color w:val="auto"/>
        </w:rPr>
        <w:t>甲基叔丁基醚（</w:t>
      </w:r>
      <w:r>
        <w:rPr>
          <w:color w:val="auto"/>
        </w:rPr>
        <w:t>MTBE）事故油膜到达敏感区和海岸线的时间</w:t>
      </w:r>
      <w:r>
        <w:rPr>
          <w:color w:val="auto"/>
          <w:szCs w:val="24"/>
        </w:rPr>
        <w:t>统计</w:t>
      </w:r>
    </w:p>
    <w:tbl>
      <w:tblPr>
        <w:tblStyle w:val="43"/>
        <w:tblW w:w="90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0"/>
        <w:gridCol w:w="718"/>
        <w:gridCol w:w="700"/>
        <w:gridCol w:w="735"/>
        <w:gridCol w:w="3873"/>
        <w:gridCol w:w="2551"/>
      </w:tblGrid>
      <w:tr w14:paraId="6A2A0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blHeader/>
          <w:jc w:val="center"/>
        </w:trPr>
        <w:tc>
          <w:tcPr>
            <w:tcW w:w="490" w:type="dxa"/>
            <w:vMerge w:val="restart"/>
            <w:vAlign w:val="center"/>
          </w:tcPr>
          <w:p w14:paraId="119580BA">
            <w:pPr>
              <w:pStyle w:val="91"/>
              <w:keepNext w:val="0"/>
              <w:keepLines w:val="0"/>
              <w:suppressLineNumbers w:val="0"/>
              <w:spacing w:before="0" w:beforeAutospacing="0" w:after="0" w:afterAutospacing="0"/>
              <w:ind w:left="0" w:right="0"/>
              <w:rPr>
                <w:rFonts w:hint="default"/>
                <w:b/>
                <w:color w:val="auto"/>
              </w:rPr>
            </w:pPr>
            <w:r>
              <w:rPr>
                <w:rFonts w:hint="eastAsia"/>
                <w:b/>
                <w:color w:val="auto"/>
              </w:rPr>
              <w:t>工况</w:t>
            </w:r>
          </w:p>
        </w:tc>
        <w:tc>
          <w:tcPr>
            <w:tcW w:w="1418" w:type="dxa"/>
            <w:gridSpan w:val="2"/>
            <w:vAlign w:val="center"/>
          </w:tcPr>
          <w:p w14:paraId="2F780808">
            <w:pPr>
              <w:pStyle w:val="91"/>
              <w:keepNext w:val="0"/>
              <w:keepLines w:val="0"/>
              <w:suppressLineNumbers w:val="0"/>
              <w:spacing w:before="0" w:beforeAutospacing="0" w:after="0" w:afterAutospacing="0"/>
              <w:ind w:left="0" w:right="0"/>
              <w:rPr>
                <w:rFonts w:hint="default"/>
                <w:b/>
                <w:color w:val="auto"/>
              </w:rPr>
            </w:pPr>
            <w:r>
              <w:rPr>
                <w:rFonts w:hint="default"/>
                <w:b/>
                <w:color w:val="auto"/>
              </w:rPr>
              <w:t>风况</w:t>
            </w:r>
          </w:p>
        </w:tc>
        <w:tc>
          <w:tcPr>
            <w:tcW w:w="735" w:type="dxa"/>
            <w:vMerge w:val="restart"/>
            <w:vAlign w:val="center"/>
          </w:tcPr>
          <w:p w14:paraId="2AD8F80B">
            <w:pPr>
              <w:pStyle w:val="91"/>
              <w:keepNext w:val="0"/>
              <w:keepLines w:val="0"/>
              <w:suppressLineNumbers w:val="0"/>
              <w:spacing w:before="0" w:beforeAutospacing="0" w:after="0" w:afterAutospacing="0"/>
              <w:ind w:left="0" w:right="0"/>
              <w:rPr>
                <w:rFonts w:hint="default"/>
                <w:b/>
                <w:color w:val="auto"/>
              </w:rPr>
            </w:pPr>
            <w:r>
              <w:rPr>
                <w:rFonts w:hint="eastAsia"/>
                <w:b/>
                <w:color w:val="auto"/>
              </w:rPr>
              <w:t>潮汐</w:t>
            </w:r>
            <w:r>
              <w:rPr>
                <w:rFonts w:hint="default"/>
                <w:b/>
                <w:color w:val="auto"/>
              </w:rPr>
              <w:t>条件</w:t>
            </w:r>
          </w:p>
        </w:tc>
        <w:tc>
          <w:tcPr>
            <w:tcW w:w="3873" w:type="dxa"/>
            <w:vMerge w:val="restart"/>
            <w:vAlign w:val="center"/>
          </w:tcPr>
          <w:p w14:paraId="60B08F5E">
            <w:pPr>
              <w:pStyle w:val="91"/>
              <w:keepNext w:val="0"/>
              <w:keepLines w:val="0"/>
              <w:suppressLineNumbers w:val="0"/>
              <w:spacing w:before="0" w:beforeAutospacing="0" w:after="0" w:afterAutospacing="0"/>
              <w:ind w:left="0" w:right="0"/>
              <w:rPr>
                <w:rFonts w:hint="default"/>
                <w:b/>
                <w:color w:val="auto"/>
              </w:rPr>
            </w:pPr>
            <w:r>
              <w:rPr>
                <w:rFonts w:hint="default"/>
                <w:b/>
                <w:color w:val="auto"/>
              </w:rPr>
              <w:t>到达敏感区时间</w:t>
            </w:r>
          </w:p>
        </w:tc>
        <w:tc>
          <w:tcPr>
            <w:tcW w:w="2551" w:type="dxa"/>
            <w:vMerge w:val="restart"/>
            <w:vAlign w:val="center"/>
          </w:tcPr>
          <w:p w14:paraId="7078ED06">
            <w:pPr>
              <w:pStyle w:val="91"/>
              <w:keepNext w:val="0"/>
              <w:keepLines w:val="0"/>
              <w:suppressLineNumbers w:val="0"/>
              <w:spacing w:before="0" w:beforeAutospacing="0" w:after="0" w:afterAutospacing="0"/>
              <w:ind w:left="0" w:right="0"/>
              <w:rPr>
                <w:rFonts w:hint="default"/>
                <w:b/>
                <w:color w:val="auto"/>
              </w:rPr>
            </w:pPr>
            <w:r>
              <w:rPr>
                <w:rFonts w:hint="default"/>
                <w:b/>
                <w:color w:val="auto"/>
              </w:rPr>
              <w:t>到达海岸线时间</w:t>
            </w:r>
          </w:p>
        </w:tc>
      </w:tr>
      <w:tr w14:paraId="78976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blHeader/>
          <w:jc w:val="center"/>
        </w:trPr>
        <w:tc>
          <w:tcPr>
            <w:tcW w:w="490" w:type="dxa"/>
            <w:vMerge w:val="continue"/>
            <w:vAlign w:val="center"/>
          </w:tcPr>
          <w:p w14:paraId="68F1FBDD">
            <w:pPr>
              <w:pStyle w:val="91"/>
              <w:keepNext w:val="0"/>
              <w:keepLines w:val="0"/>
              <w:suppressLineNumbers w:val="0"/>
              <w:spacing w:before="0" w:beforeAutospacing="0" w:after="0" w:afterAutospacing="0"/>
              <w:ind w:left="0" w:right="0"/>
              <w:rPr>
                <w:rFonts w:hint="default"/>
                <w:color w:val="auto"/>
              </w:rPr>
            </w:pPr>
          </w:p>
        </w:tc>
        <w:tc>
          <w:tcPr>
            <w:tcW w:w="718" w:type="dxa"/>
            <w:vAlign w:val="center"/>
          </w:tcPr>
          <w:p w14:paraId="26584DB7">
            <w:pPr>
              <w:pStyle w:val="91"/>
              <w:keepNext w:val="0"/>
              <w:keepLines w:val="0"/>
              <w:suppressLineNumbers w:val="0"/>
              <w:spacing w:before="0" w:beforeAutospacing="0" w:after="0" w:afterAutospacing="0"/>
              <w:ind w:left="0" w:right="0"/>
              <w:rPr>
                <w:rFonts w:hint="default"/>
                <w:b/>
                <w:color w:val="auto"/>
              </w:rPr>
            </w:pPr>
            <w:r>
              <w:rPr>
                <w:rFonts w:hint="default"/>
                <w:b/>
                <w:color w:val="auto"/>
              </w:rPr>
              <w:t>风向</w:t>
            </w:r>
          </w:p>
        </w:tc>
        <w:tc>
          <w:tcPr>
            <w:tcW w:w="700" w:type="dxa"/>
            <w:vAlign w:val="center"/>
          </w:tcPr>
          <w:p w14:paraId="24AA25B2">
            <w:pPr>
              <w:pStyle w:val="91"/>
              <w:keepNext w:val="0"/>
              <w:keepLines w:val="0"/>
              <w:suppressLineNumbers w:val="0"/>
              <w:spacing w:before="0" w:beforeAutospacing="0" w:after="0" w:afterAutospacing="0"/>
              <w:ind w:left="0" w:right="0"/>
              <w:rPr>
                <w:rFonts w:hint="default"/>
                <w:b/>
                <w:color w:val="auto"/>
              </w:rPr>
            </w:pPr>
            <w:r>
              <w:rPr>
                <w:rFonts w:hint="default"/>
                <w:b/>
                <w:color w:val="auto"/>
              </w:rPr>
              <w:t>风速</w:t>
            </w:r>
          </w:p>
          <w:p w14:paraId="2E74EAB1">
            <w:pPr>
              <w:pStyle w:val="91"/>
              <w:keepNext w:val="0"/>
              <w:keepLines w:val="0"/>
              <w:suppressLineNumbers w:val="0"/>
              <w:spacing w:before="0" w:beforeAutospacing="0" w:after="0" w:afterAutospacing="0"/>
              <w:ind w:left="0" w:right="0"/>
              <w:rPr>
                <w:rFonts w:hint="default"/>
                <w:b/>
                <w:color w:val="auto"/>
              </w:rPr>
            </w:pPr>
            <w:r>
              <w:rPr>
                <w:rFonts w:hint="default"/>
                <w:b/>
                <w:color w:val="auto"/>
              </w:rPr>
              <w:t>(m/s)</w:t>
            </w:r>
          </w:p>
        </w:tc>
        <w:tc>
          <w:tcPr>
            <w:tcW w:w="735" w:type="dxa"/>
            <w:vMerge w:val="continue"/>
            <w:vAlign w:val="center"/>
          </w:tcPr>
          <w:p w14:paraId="565C57A6">
            <w:pPr>
              <w:pStyle w:val="91"/>
              <w:keepNext w:val="0"/>
              <w:keepLines w:val="0"/>
              <w:suppressLineNumbers w:val="0"/>
              <w:spacing w:before="0" w:beforeAutospacing="0" w:after="0" w:afterAutospacing="0"/>
              <w:ind w:left="0" w:right="0"/>
              <w:rPr>
                <w:rFonts w:hint="default"/>
                <w:color w:val="auto"/>
              </w:rPr>
            </w:pPr>
          </w:p>
        </w:tc>
        <w:tc>
          <w:tcPr>
            <w:tcW w:w="3873" w:type="dxa"/>
            <w:vMerge w:val="continue"/>
            <w:vAlign w:val="center"/>
          </w:tcPr>
          <w:p w14:paraId="2F9B62DB">
            <w:pPr>
              <w:pStyle w:val="91"/>
              <w:keepNext w:val="0"/>
              <w:keepLines w:val="0"/>
              <w:suppressLineNumbers w:val="0"/>
              <w:spacing w:before="0" w:beforeAutospacing="0" w:after="0" w:afterAutospacing="0"/>
              <w:ind w:left="0" w:right="0"/>
              <w:rPr>
                <w:rFonts w:hint="default"/>
                <w:color w:val="auto"/>
              </w:rPr>
            </w:pPr>
          </w:p>
        </w:tc>
        <w:tc>
          <w:tcPr>
            <w:tcW w:w="2551" w:type="dxa"/>
            <w:vMerge w:val="continue"/>
            <w:vAlign w:val="center"/>
          </w:tcPr>
          <w:p w14:paraId="772C4672">
            <w:pPr>
              <w:pStyle w:val="91"/>
              <w:keepNext w:val="0"/>
              <w:keepLines w:val="0"/>
              <w:suppressLineNumbers w:val="0"/>
              <w:spacing w:before="0" w:beforeAutospacing="0" w:after="0" w:afterAutospacing="0"/>
              <w:ind w:left="0" w:right="0"/>
              <w:rPr>
                <w:rFonts w:hint="default"/>
                <w:color w:val="auto"/>
              </w:rPr>
            </w:pPr>
          </w:p>
        </w:tc>
      </w:tr>
      <w:tr w14:paraId="666B7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90" w:type="dxa"/>
            <w:vAlign w:val="center"/>
          </w:tcPr>
          <w:p w14:paraId="63C7226D">
            <w:pPr>
              <w:pStyle w:val="91"/>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718" w:type="dxa"/>
            <w:vMerge w:val="restart"/>
            <w:vAlign w:val="center"/>
          </w:tcPr>
          <w:p w14:paraId="6980A981">
            <w:pPr>
              <w:pStyle w:val="91"/>
              <w:keepNext w:val="0"/>
              <w:keepLines w:val="0"/>
              <w:suppressLineNumbers w:val="0"/>
              <w:spacing w:before="0" w:beforeAutospacing="0" w:after="0" w:afterAutospacing="0"/>
              <w:ind w:left="0" w:right="0"/>
              <w:rPr>
                <w:rFonts w:hint="default"/>
                <w:color w:val="auto"/>
              </w:rPr>
            </w:pPr>
            <w:r>
              <w:rPr>
                <w:rFonts w:hint="eastAsia"/>
                <w:color w:val="auto"/>
              </w:rPr>
              <w:t>N</w:t>
            </w:r>
            <w:r>
              <w:rPr>
                <w:rFonts w:hint="default"/>
                <w:color w:val="auto"/>
              </w:rPr>
              <w:t>风</w:t>
            </w:r>
          </w:p>
        </w:tc>
        <w:tc>
          <w:tcPr>
            <w:tcW w:w="700" w:type="dxa"/>
            <w:vMerge w:val="restart"/>
            <w:vAlign w:val="center"/>
          </w:tcPr>
          <w:p w14:paraId="07F3A803">
            <w:pPr>
              <w:pStyle w:val="91"/>
              <w:keepNext w:val="0"/>
              <w:keepLines w:val="0"/>
              <w:suppressLineNumbers w:val="0"/>
              <w:spacing w:before="0" w:beforeAutospacing="0" w:after="0" w:afterAutospacing="0"/>
              <w:ind w:left="0" w:right="0"/>
              <w:rPr>
                <w:rFonts w:hint="default"/>
                <w:color w:val="auto"/>
              </w:rPr>
            </w:pPr>
            <w:r>
              <w:rPr>
                <w:rFonts w:hint="default"/>
                <w:color w:val="auto"/>
              </w:rPr>
              <w:t>6.7</w:t>
            </w:r>
          </w:p>
        </w:tc>
        <w:tc>
          <w:tcPr>
            <w:tcW w:w="735" w:type="dxa"/>
            <w:vAlign w:val="center"/>
          </w:tcPr>
          <w:p w14:paraId="29812F04">
            <w:pPr>
              <w:pStyle w:val="91"/>
              <w:keepNext w:val="0"/>
              <w:keepLines w:val="0"/>
              <w:suppressLineNumbers w:val="0"/>
              <w:spacing w:before="0" w:beforeAutospacing="0" w:after="0" w:afterAutospacing="0"/>
              <w:ind w:left="0" w:right="0"/>
              <w:rPr>
                <w:rFonts w:hint="default"/>
                <w:color w:val="auto"/>
              </w:rPr>
            </w:pPr>
            <w:r>
              <w:rPr>
                <w:rFonts w:hint="default"/>
                <w:color w:val="auto"/>
              </w:rPr>
              <w:t>涨潮</w:t>
            </w:r>
          </w:p>
        </w:tc>
        <w:tc>
          <w:tcPr>
            <w:tcW w:w="3873" w:type="dxa"/>
            <w:vAlign w:val="center"/>
          </w:tcPr>
          <w:p w14:paraId="5BF58192">
            <w:pPr>
              <w:pStyle w:val="91"/>
              <w:keepNext w:val="0"/>
              <w:keepLines w:val="0"/>
              <w:suppressLineNumbers w:val="0"/>
              <w:spacing w:before="0" w:beforeAutospacing="0" w:after="0" w:afterAutospacing="0"/>
              <w:ind w:left="0" w:right="0"/>
              <w:rPr>
                <w:rFonts w:hint="default"/>
                <w:color w:val="auto"/>
              </w:rPr>
            </w:pPr>
            <w:r>
              <w:rPr>
                <w:rFonts w:hint="default"/>
                <w:color w:val="auto"/>
              </w:rPr>
              <w:t>5h4</w:t>
            </w:r>
            <w:r>
              <w:rPr>
                <w:rFonts w:hint="eastAsia"/>
                <w:color w:val="auto"/>
              </w:rPr>
              <w:t>0min到达防城港核电取水口附近；</w:t>
            </w:r>
          </w:p>
          <w:p w14:paraId="7478A510">
            <w:pPr>
              <w:pStyle w:val="91"/>
              <w:keepNext w:val="0"/>
              <w:keepLines w:val="0"/>
              <w:suppressLineNumbers w:val="0"/>
              <w:spacing w:before="0" w:beforeAutospacing="0" w:after="0" w:afterAutospacing="0"/>
              <w:ind w:left="0" w:right="0"/>
              <w:rPr>
                <w:rFonts w:hint="default"/>
                <w:color w:val="auto"/>
              </w:rPr>
            </w:pPr>
            <w:r>
              <w:rPr>
                <w:rFonts w:hint="default"/>
                <w:color w:val="auto"/>
              </w:rPr>
              <w:t>7</w:t>
            </w:r>
            <w:r>
              <w:rPr>
                <w:rFonts w:hint="eastAsia"/>
                <w:color w:val="auto"/>
              </w:rPr>
              <w:t>h</w:t>
            </w:r>
            <w:r>
              <w:rPr>
                <w:rFonts w:hint="default"/>
                <w:color w:val="auto"/>
              </w:rPr>
              <w:t>40min到达防城港核电排水明渠东北部沿岸；</w:t>
            </w:r>
          </w:p>
          <w:p w14:paraId="53614DA6">
            <w:pPr>
              <w:pStyle w:val="91"/>
              <w:keepNext w:val="0"/>
              <w:keepLines w:val="0"/>
              <w:suppressLineNumbers w:val="0"/>
              <w:spacing w:before="0" w:beforeAutospacing="0" w:after="0" w:afterAutospacing="0"/>
              <w:ind w:left="0" w:right="0"/>
              <w:rPr>
                <w:rFonts w:hint="default"/>
                <w:color w:val="auto"/>
              </w:rPr>
            </w:pPr>
            <w:r>
              <w:rPr>
                <w:rFonts w:hint="eastAsia"/>
                <w:color w:val="auto"/>
              </w:rPr>
              <w:t>8h</w:t>
            </w:r>
            <w:r>
              <w:rPr>
                <w:rFonts w:hint="default"/>
                <w:color w:val="auto"/>
              </w:rPr>
              <w:t>10min到达红树林</w:t>
            </w:r>
            <w:r>
              <w:rPr>
                <w:rFonts w:hint="eastAsia"/>
                <w:color w:val="auto"/>
              </w:rPr>
              <w:t>3和红树林4；</w:t>
            </w:r>
          </w:p>
          <w:p w14:paraId="56ECB671">
            <w:pPr>
              <w:pStyle w:val="91"/>
              <w:keepNext w:val="0"/>
              <w:keepLines w:val="0"/>
              <w:suppressLineNumbers w:val="0"/>
              <w:spacing w:before="0" w:beforeAutospacing="0" w:after="0" w:afterAutospacing="0"/>
              <w:ind w:left="0" w:right="0"/>
              <w:rPr>
                <w:rFonts w:hint="default"/>
                <w:color w:val="auto"/>
              </w:rPr>
            </w:pPr>
            <w:r>
              <w:rPr>
                <w:rFonts w:hint="eastAsia"/>
                <w:color w:val="auto"/>
              </w:rPr>
              <w:t>1</w:t>
            </w:r>
            <w:r>
              <w:rPr>
                <w:rFonts w:hint="default"/>
                <w:color w:val="auto"/>
              </w:rPr>
              <w:t>2h10min开始进入北部湾二长棘鲷长毛对虾国家级种质资源保护区（实验区）</w:t>
            </w:r>
          </w:p>
        </w:tc>
        <w:tc>
          <w:tcPr>
            <w:tcW w:w="2551" w:type="dxa"/>
            <w:vAlign w:val="center"/>
          </w:tcPr>
          <w:p w14:paraId="521FDE6C">
            <w:pPr>
              <w:pStyle w:val="91"/>
              <w:keepNext w:val="0"/>
              <w:keepLines w:val="0"/>
              <w:suppressLineNumbers w:val="0"/>
              <w:spacing w:before="0" w:beforeAutospacing="0" w:after="0" w:afterAutospacing="0"/>
              <w:ind w:left="0" w:right="0"/>
              <w:rPr>
                <w:rFonts w:hint="default"/>
                <w:color w:val="auto"/>
              </w:rPr>
            </w:pPr>
            <w:r>
              <w:rPr>
                <w:rFonts w:hint="default"/>
                <w:color w:val="auto"/>
              </w:rPr>
              <w:t>5h4</w:t>
            </w:r>
            <w:r>
              <w:rPr>
                <w:rFonts w:hint="eastAsia"/>
                <w:color w:val="auto"/>
              </w:rPr>
              <w:t>0min在防城港核电取水口附近抵岸；</w:t>
            </w:r>
          </w:p>
          <w:p w14:paraId="2BA4B91E">
            <w:pPr>
              <w:pStyle w:val="91"/>
              <w:keepNext w:val="0"/>
              <w:keepLines w:val="0"/>
              <w:suppressLineNumbers w:val="0"/>
              <w:spacing w:before="0" w:beforeAutospacing="0" w:after="0" w:afterAutospacing="0"/>
              <w:ind w:left="0" w:right="0"/>
              <w:rPr>
                <w:rFonts w:hint="default"/>
                <w:color w:val="auto"/>
              </w:rPr>
            </w:pPr>
            <w:r>
              <w:rPr>
                <w:rFonts w:hint="eastAsia"/>
                <w:color w:val="auto"/>
              </w:rPr>
              <w:t>7h</w:t>
            </w:r>
            <w:r>
              <w:rPr>
                <w:rFonts w:hint="default"/>
                <w:color w:val="auto"/>
              </w:rPr>
              <w:t>40min</w:t>
            </w:r>
            <w:r>
              <w:rPr>
                <w:rFonts w:hint="eastAsia"/>
                <w:color w:val="auto"/>
              </w:rPr>
              <w:t>在</w:t>
            </w:r>
            <w:r>
              <w:rPr>
                <w:rFonts w:hint="default"/>
                <w:color w:val="auto"/>
              </w:rPr>
              <w:t>防城港核电排水明渠东北部沿岸抵岸；</w:t>
            </w:r>
          </w:p>
          <w:p w14:paraId="695E6C3E">
            <w:pPr>
              <w:pStyle w:val="91"/>
              <w:keepNext w:val="0"/>
              <w:keepLines w:val="0"/>
              <w:suppressLineNumbers w:val="0"/>
              <w:spacing w:before="0" w:beforeAutospacing="0" w:after="0" w:afterAutospacing="0"/>
              <w:ind w:left="0" w:right="0"/>
              <w:rPr>
                <w:rFonts w:hint="default"/>
                <w:color w:val="auto"/>
              </w:rPr>
            </w:pPr>
            <w:r>
              <w:rPr>
                <w:rFonts w:hint="eastAsia"/>
                <w:color w:val="auto"/>
              </w:rPr>
              <w:t>8h</w:t>
            </w:r>
            <w:r>
              <w:rPr>
                <w:rFonts w:hint="default"/>
                <w:color w:val="auto"/>
              </w:rPr>
              <w:t>10min</w:t>
            </w:r>
            <w:r>
              <w:rPr>
                <w:rFonts w:hint="eastAsia"/>
                <w:color w:val="auto"/>
              </w:rPr>
              <w:t>在</w:t>
            </w:r>
            <w:r>
              <w:rPr>
                <w:rFonts w:hint="default"/>
                <w:color w:val="auto"/>
              </w:rPr>
              <w:t>红树林</w:t>
            </w:r>
            <w:r>
              <w:rPr>
                <w:rFonts w:hint="eastAsia"/>
                <w:color w:val="auto"/>
              </w:rPr>
              <w:t>3和红树林4抵岸</w:t>
            </w:r>
          </w:p>
        </w:tc>
      </w:tr>
      <w:tr w14:paraId="07DF8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90" w:type="dxa"/>
            <w:vAlign w:val="center"/>
          </w:tcPr>
          <w:p w14:paraId="43C67A24">
            <w:pPr>
              <w:pStyle w:val="91"/>
              <w:keepNext w:val="0"/>
              <w:keepLines w:val="0"/>
              <w:suppressLineNumbers w:val="0"/>
              <w:spacing w:before="0" w:beforeAutospacing="0" w:after="0" w:afterAutospacing="0"/>
              <w:ind w:left="0" w:right="0"/>
              <w:rPr>
                <w:rFonts w:hint="default"/>
                <w:color w:val="auto"/>
              </w:rPr>
            </w:pPr>
            <w:r>
              <w:rPr>
                <w:rFonts w:hint="default"/>
                <w:color w:val="auto"/>
              </w:rPr>
              <w:t>2</w:t>
            </w:r>
          </w:p>
        </w:tc>
        <w:tc>
          <w:tcPr>
            <w:tcW w:w="718" w:type="dxa"/>
            <w:vMerge w:val="continue"/>
            <w:vAlign w:val="center"/>
          </w:tcPr>
          <w:p w14:paraId="30489DA8">
            <w:pPr>
              <w:pStyle w:val="91"/>
              <w:keepNext w:val="0"/>
              <w:keepLines w:val="0"/>
              <w:suppressLineNumbers w:val="0"/>
              <w:spacing w:before="0" w:beforeAutospacing="0" w:after="0" w:afterAutospacing="0"/>
              <w:ind w:left="0" w:right="0"/>
              <w:rPr>
                <w:rFonts w:hint="default"/>
                <w:color w:val="auto"/>
              </w:rPr>
            </w:pPr>
          </w:p>
        </w:tc>
        <w:tc>
          <w:tcPr>
            <w:tcW w:w="700" w:type="dxa"/>
            <w:vMerge w:val="continue"/>
            <w:vAlign w:val="center"/>
          </w:tcPr>
          <w:p w14:paraId="6CD5030E">
            <w:pPr>
              <w:pStyle w:val="91"/>
              <w:keepNext w:val="0"/>
              <w:keepLines w:val="0"/>
              <w:suppressLineNumbers w:val="0"/>
              <w:spacing w:before="0" w:beforeAutospacing="0" w:after="0" w:afterAutospacing="0"/>
              <w:ind w:left="0" w:right="0"/>
              <w:rPr>
                <w:rFonts w:hint="default"/>
                <w:color w:val="auto"/>
              </w:rPr>
            </w:pPr>
          </w:p>
        </w:tc>
        <w:tc>
          <w:tcPr>
            <w:tcW w:w="735" w:type="dxa"/>
            <w:vAlign w:val="center"/>
          </w:tcPr>
          <w:p w14:paraId="42E325CC">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3873" w:type="dxa"/>
            <w:vAlign w:val="center"/>
          </w:tcPr>
          <w:p w14:paraId="1F2DEABD">
            <w:pPr>
              <w:pStyle w:val="91"/>
              <w:keepNext w:val="0"/>
              <w:keepLines w:val="0"/>
              <w:suppressLineNumbers w:val="0"/>
              <w:spacing w:before="0" w:beforeAutospacing="0" w:after="0" w:afterAutospacing="0"/>
              <w:ind w:left="0" w:right="0"/>
              <w:rPr>
                <w:rFonts w:hint="default"/>
                <w:color w:val="auto"/>
              </w:rPr>
            </w:pPr>
            <w:r>
              <w:rPr>
                <w:rFonts w:hint="default"/>
                <w:color w:val="auto"/>
              </w:rPr>
              <w:t>7h20min开始进入北部湾二长棘鲷长毛对虾国家级种质资源保护区（实验区）</w:t>
            </w:r>
          </w:p>
        </w:tc>
        <w:tc>
          <w:tcPr>
            <w:tcW w:w="2551" w:type="dxa"/>
            <w:vAlign w:val="center"/>
          </w:tcPr>
          <w:p w14:paraId="3F931027">
            <w:pPr>
              <w:pStyle w:val="91"/>
              <w:keepNext w:val="0"/>
              <w:keepLines w:val="0"/>
              <w:suppressLineNumbers w:val="0"/>
              <w:spacing w:before="0" w:beforeAutospacing="0" w:after="0" w:afterAutospacing="0"/>
              <w:ind w:left="0" w:right="0"/>
              <w:rPr>
                <w:rFonts w:hint="default"/>
                <w:color w:val="auto"/>
              </w:rPr>
            </w:pPr>
            <w:r>
              <w:rPr>
                <w:rFonts w:hint="eastAsia" w:ascii="宋体"/>
                <w:color w:val="auto"/>
              </w:rPr>
              <w:t>－</w:t>
            </w:r>
          </w:p>
        </w:tc>
      </w:tr>
      <w:tr w14:paraId="3051F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90" w:type="dxa"/>
            <w:vAlign w:val="center"/>
          </w:tcPr>
          <w:p w14:paraId="25D309A8">
            <w:pPr>
              <w:pStyle w:val="91"/>
              <w:keepNext w:val="0"/>
              <w:keepLines w:val="0"/>
              <w:suppressLineNumbers w:val="0"/>
              <w:spacing w:before="0" w:beforeAutospacing="0" w:after="0" w:afterAutospacing="0"/>
              <w:ind w:left="0" w:right="0"/>
              <w:rPr>
                <w:rFonts w:hint="default"/>
                <w:color w:val="auto"/>
              </w:rPr>
            </w:pPr>
            <w:r>
              <w:rPr>
                <w:rFonts w:hint="default"/>
                <w:color w:val="auto"/>
              </w:rPr>
              <w:t>3</w:t>
            </w:r>
          </w:p>
        </w:tc>
        <w:tc>
          <w:tcPr>
            <w:tcW w:w="718" w:type="dxa"/>
            <w:vMerge w:val="restart"/>
            <w:vAlign w:val="center"/>
          </w:tcPr>
          <w:p w14:paraId="2C2641FB">
            <w:pPr>
              <w:pStyle w:val="91"/>
              <w:keepNext w:val="0"/>
              <w:keepLines w:val="0"/>
              <w:suppressLineNumbers w:val="0"/>
              <w:spacing w:before="0" w:beforeAutospacing="0" w:after="0" w:afterAutospacing="0"/>
              <w:ind w:left="0" w:right="0"/>
              <w:rPr>
                <w:rFonts w:hint="default"/>
                <w:color w:val="auto"/>
              </w:rPr>
            </w:pPr>
            <w:r>
              <w:rPr>
                <w:rFonts w:hint="eastAsia"/>
                <w:color w:val="auto"/>
              </w:rPr>
              <w:t>S风</w:t>
            </w:r>
          </w:p>
        </w:tc>
        <w:tc>
          <w:tcPr>
            <w:tcW w:w="700" w:type="dxa"/>
            <w:vMerge w:val="restart"/>
            <w:vAlign w:val="center"/>
          </w:tcPr>
          <w:p w14:paraId="52BE0CC1">
            <w:pPr>
              <w:pStyle w:val="91"/>
              <w:keepNext w:val="0"/>
              <w:keepLines w:val="0"/>
              <w:suppressLineNumbers w:val="0"/>
              <w:spacing w:before="0" w:beforeAutospacing="0" w:after="0" w:afterAutospacing="0"/>
              <w:ind w:left="0" w:right="0"/>
              <w:rPr>
                <w:rFonts w:hint="default"/>
                <w:color w:val="auto"/>
              </w:rPr>
            </w:pPr>
            <w:r>
              <w:rPr>
                <w:rFonts w:hint="default"/>
                <w:color w:val="auto"/>
              </w:rPr>
              <w:t>5.1</w:t>
            </w:r>
          </w:p>
        </w:tc>
        <w:tc>
          <w:tcPr>
            <w:tcW w:w="735" w:type="dxa"/>
            <w:vAlign w:val="center"/>
          </w:tcPr>
          <w:p w14:paraId="5FFC2865">
            <w:pPr>
              <w:pStyle w:val="91"/>
              <w:keepNext w:val="0"/>
              <w:keepLines w:val="0"/>
              <w:suppressLineNumbers w:val="0"/>
              <w:spacing w:before="0" w:beforeAutospacing="0" w:after="0" w:afterAutospacing="0"/>
              <w:ind w:left="0" w:right="0"/>
              <w:rPr>
                <w:rFonts w:hint="default"/>
                <w:color w:val="auto"/>
              </w:rPr>
            </w:pPr>
            <w:r>
              <w:rPr>
                <w:rFonts w:hint="default"/>
                <w:color w:val="auto"/>
              </w:rPr>
              <w:t>涨潮</w:t>
            </w:r>
          </w:p>
        </w:tc>
        <w:tc>
          <w:tcPr>
            <w:tcW w:w="3873" w:type="dxa"/>
            <w:vAlign w:val="center"/>
          </w:tcPr>
          <w:p w14:paraId="67A69430">
            <w:pPr>
              <w:pStyle w:val="91"/>
              <w:keepNext w:val="0"/>
              <w:keepLines w:val="0"/>
              <w:suppressLineNumbers w:val="0"/>
              <w:spacing w:before="0" w:beforeAutospacing="0" w:after="0" w:afterAutospacing="0"/>
              <w:ind w:left="0" w:right="0"/>
              <w:rPr>
                <w:rFonts w:hint="default"/>
                <w:color w:val="auto"/>
              </w:rPr>
            </w:pPr>
            <w:r>
              <w:rPr>
                <w:rFonts w:hint="default"/>
                <w:color w:val="auto"/>
              </w:rPr>
              <w:t>3h开始影响蚝排养殖区；</w:t>
            </w:r>
          </w:p>
          <w:p w14:paraId="7C8FEC0C">
            <w:pPr>
              <w:pStyle w:val="91"/>
              <w:keepNext w:val="0"/>
              <w:keepLines w:val="0"/>
              <w:suppressLineNumbers w:val="0"/>
              <w:spacing w:before="0" w:beforeAutospacing="0" w:after="0" w:afterAutospacing="0"/>
              <w:ind w:left="0" w:right="0"/>
              <w:rPr>
                <w:rFonts w:hint="default"/>
                <w:color w:val="auto"/>
              </w:rPr>
            </w:pPr>
            <w:r>
              <w:rPr>
                <w:rFonts w:hint="default"/>
                <w:color w:val="auto"/>
              </w:rPr>
              <w:t>3</w:t>
            </w:r>
            <w:r>
              <w:rPr>
                <w:rFonts w:hint="eastAsia"/>
                <w:color w:val="auto"/>
              </w:rPr>
              <w:t>h</w:t>
            </w:r>
            <w:r>
              <w:rPr>
                <w:rFonts w:hint="default"/>
                <w:color w:val="auto"/>
              </w:rPr>
              <w:t>50min和4</w:t>
            </w:r>
            <w:r>
              <w:rPr>
                <w:rFonts w:hint="eastAsia"/>
                <w:color w:val="auto"/>
              </w:rPr>
              <w:t>h</w:t>
            </w:r>
            <w:r>
              <w:rPr>
                <w:rFonts w:hint="default"/>
                <w:color w:val="auto"/>
              </w:rPr>
              <w:t>50min</w:t>
            </w:r>
            <w:r>
              <w:rPr>
                <w:rFonts w:hint="eastAsia"/>
                <w:color w:val="auto"/>
              </w:rPr>
              <w:t>后</w:t>
            </w:r>
            <w:r>
              <w:rPr>
                <w:rFonts w:hint="default"/>
                <w:color w:val="auto"/>
              </w:rPr>
              <w:t>开始影响</w:t>
            </w:r>
            <w:r>
              <w:rPr>
                <w:rFonts w:hint="eastAsia"/>
                <w:color w:val="auto"/>
              </w:rPr>
              <w:t>广西茅尾海红树林自治区级自然保护区；</w:t>
            </w:r>
          </w:p>
          <w:p w14:paraId="385F76CE">
            <w:pPr>
              <w:pStyle w:val="91"/>
              <w:keepNext w:val="0"/>
              <w:keepLines w:val="0"/>
              <w:suppressLineNumbers w:val="0"/>
              <w:spacing w:before="0" w:beforeAutospacing="0" w:after="0" w:afterAutospacing="0"/>
              <w:ind w:left="0" w:right="0"/>
              <w:rPr>
                <w:rFonts w:hint="default"/>
                <w:color w:val="auto"/>
              </w:rPr>
            </w:pPr>
            <w:r>
              <w:rPr>
                <w:rFonts w:hint="default"/>
                <w:color w:val="auto"/>
              </w:rPr>
              <w:t>16h30min开始影响</w:t>
            </w:r>
            <w:r>
              <w:rPr>
                <w:rFonts w:hint="eastAsia"/>
                <w:color w:val="auto"/>
              </w:rPr>
              <w:t>金鼓江上游的红树林5，1</w:t>
            </w:r>
            <w:r>
              <w:rPr>
                <w:rFonts w:hint="default"/>
                <w:color w:val="auto"/>
              </w:rPr>
              <w:t>6</w:t>
            </w:r>
            <w:r>
              <w:rPr>
                <w:rFonts w:hint="eastAsia"/>
                <w:color w:val="auto"/>
              </w:rPr>
              <w:t>h</w:t>
            </w:r>
            <w:r>
              <w:rPr>
                <w:rFonts w:hint="default"/>
                <w:color w:val="auto"/>
              </w:rPr>
              <w:t>50min</w:t>
            </w:r>
            <w:r>
              <w:rPr>
                <w:rFonts w:hint="eastAsia"/>
                <w:color w:val="auto"/>
              </w:rPr>
              <w:t>后开始影响红树林6</w:t>
            </w:r>
          </w:p>
        </w:tc>
        <w:tc>
          <w:tcPr>
            <w:tcW w:w="2551" w:type="dxa"/>
            <w:vAlign w:val="center"/>
          </w:tcPr>
          <w:p w14:paraId="415D8CC9">
            <w:pPr>
              <w:pStyle w:val="91"/>
              <w:keepNext w:val="0"/>
              <w:keepLines w:val="0"/>
              <w:suppressLineNumbers w:val="0"/>
              <w:spacing w:before="0" w:beforeAutospacing="0" w:after="0" w:afterAutospacing="0"/>
              <w:ind w:left="0" w:right="0"/>
              <w:rPr>
                <w:rFonts w:hint="default"/>
                <w:color w:val="auto"/>
              </w:rPr>
            </w:pPr>
            <w:r>
              <w:rPr>
                <w:rFonts w:hint="default"/>
                <w:color w:val="auto"/>
              </w:rPr>
              <w:t>3</w:t>
            </w:r>
            <w:r>
              <w:rPr>
                <w:rFonts w:hint="eastAsia"/>
                <w:color w:val="auto"/>
              </w:rPr>
              <w:t>h</w:t>
            </w:r>
            <w:r>
              <w:rPr>
                <w:rFonts w:hint="default"/>
                <w:color w:val="auto"/>
              </w:rPr>
              <w:t>50min和4</w:t>
            </w:r>
            <w:r>
              <w:rPr>
                <w:rFonts w:hint="eastAsia"/>
                <w:color w:val="auto"/>
              </w:rPr>
              <w:t>h</w:t>
            </w:r>
            <w:r>
              <w:rPr>
                <w:rFonts w:hint="default"/>
                <w:color w:val="auto"/>
              </w:rPr>
              <w:t>50min</w:t>
            </w:r>
            <w:r>
              <w:rPr>
                <w:rFonts w:hint="eastAsia"/>
                <w:color w:val="auto"/>
              </w:rPr>
              <w:t>后在广西茅尾海红树林自治区级自然保护区抵岸；</w:t>
            </w:r>
          </w:p>
          <w:p w14:paraId="3CEECD97">
            <w:pPr>
              <w:pStyle w:val="91"/>
              <w:keepNext w:val="0"/>
              <w:keepLines w:val="0"/>
              <w:suppressLineNumbers w:val="0"/>
              <w:spacing w:before="0" w:beforeAutospacing="0" w:after="0" w:afterAutospacing="0"/>
              <w:ind w:left="0" w:right="0"/>
              <w:rPr>
                <w:rFonts w:hint="default"/>
                <w:color w:val="auto"/>
              </w:rPr>
            </w:pPr>
            <w:r>
              <w:rPr>
                <w:rFonts w:hint="default"/>
                <w:color w:val="auto"/>
              </w:rPr>
              <w:t>16h30min</w:t>
            </w:r>
            <w:r>
              <w:rPr>
                <w:rFonts w:hint="eastAsia"/>
                <w:color w:val="auto"/>
              </w:rPr>
              <w:t>在金鼓江上游的红树林5抵岸，1</w:t>
            </w:r>
            <w:r>
              <w:rPr>
                <w:rFonts w:hint="default"/>
                <w:color w:val="auto"/>
              </w:rPr>
              <w:t>6</w:t>
            </w:r>
            <w:r>
              <w:rPr>
                <w:rFonts w:hint="eastAsia"/>
                <w:color w:val="auto"/>
              </w:rPr>
              <w:t>h</w:t>
            </w:r>
            <w:r>
              <w:rPr>
                <w:rFonts w:hint="default"/>
                <w:color w:val="auto"/>
              </w:rPr>
              <w:t>50min</w:t>
            </w:r>
            <w:r>
              <w:rPr>
                <w:rFonts w:hint="eastAsia"/>
                <w:color w:val="auto"/>
              </w:rPr>
              <w:t>后红树林6附近抵岸</w:t>
            </w:r>
          </w:p>
        </w:tc>
      </w:tr>
      <w:tr w14:paraId="2D213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90" w:type="dxa"/>
            <w:vAlign w:val="center"/>
          </w:tcPr>
          <w:p w14:paraId="53F5FA37">
            <w:pPr>
              <w:pStyle w:val="91"/>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718" w:type="dxa"/>
            <w:vMerge w:val="continue"/>
            <w:vAlign w:val="center"/>
          </w:tcPr>
          <w:p w14:paraId="1E8CE03B">
            <w:pPr>
              <w:pStyle w:val="91"/>
              <w:keepNext w:val="0"/>
              <w:keepLines w:val="0"/>
              <w:suppressLineNumbers w:val="0"/>
              <w:spacing w:before="0" w:beforeAutospacing="0" w:after="0" w:afterAutospacing="0"/>
              <w:ind w:left="0" w:right="0"/>
              <w:rPr>
                <w:rFonts w:hint="default"/>
                <w:color w:val="auto"/>
              </w:rPr>
            </w:pPr>
          </w:p>
        </w:tc>
        <w:tc>
          <w:tcPr>
            <w:tcW w:w="700" w:type="dxa"/>
            <w:vMerge w:val="continue"/>
            <w:vAlign w:val="center"/>
          </w:tcPr>
          <w:p w14:paraId="1D82FF84">
            <w:pPr>
              <w:pStyle w:val="91"/>
              <w:keepNext w:val="0"/>
              <w:keepLines w:val="0"/>
              <w:suppressLineNumbers w:val="0"/>
              <w:spacing w:before="0" w:beforeAutospacing="0" w:after="0" w:afterAutospacing="0"/>
              <w:ind w:left="0" w:right="0"/>
              <w:rPr>
                <w:rFonts w:hint="default"/>
                <w:color w:val="auto"/>
              </w:rPr>
            </w:pPr>
          </w:p>
        </w:tc>
        <w:tc>
          <w:tcPr>
            <w:tcW w:w="735" w:type="dxa"/>
            <w:vAlign w:val="center"/>
          </w:tcPr>
          <w:p w14:paraId="45913AC0">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3873" w:type="dxa"/>
            <w:vAlign w:val="center"/>
          </w:tcPr>
          <w:p w14:paraId="6F87C2BF">
            <w:pPr>
              <w:pStyle w:val="91"/>
              <w:keepNext w:val="0"/>
              <w:keepLines w:val="0"/>
              <w:suppressLineNumbers w:val="0"/>
              <w:spacing w:before="0" w:beforeAutospacing="0" w:after="0" w:afterAutospacing="0"/>
              <w:ind w:left="0" w:right="0"/>
              <w:rPr>
                <w:rFonts w:hint="default"/>
                <w:color w:val="auto"/>
              </w:rPr>
            </w:pPr>
            <w:r>
              <w:rPr>
                <w:rFonts w:hint="default"/>
                <w:color w:val="auto"/>
              </w:rPr>
              <w:t>10</w:t>
            </w:r>
            <w:r>
              <w:rPr>
                <w:rFonts w:hint="eastAsia"/>
                <w:color w:val="auto"/>
              </w:rPr>
              <w:t>h</w:t>
            </w:r>
            <w:r>
              <w:rPr>
                <w:rFonts w:hint="default"/>
                <w:color w:val="auto"/>
              </w:rPr>
              <w:t>20min</w:t>
            </w:r>
            <w:r>
              <w:rPr>
                <w:rFonts w:hint="eastAsia"/>
                <w:color w:val="auto"/>
              </w:rPr>
              <w:t>开始</w:t>
            </w:r>
            <w:r>
              <w:rPr>
                <w:rFonts w:hint="default"/>
                <w:color w:val="auto"/>
              </w:rPr>
              <w:t>影响金鼓江上游的红树林</w:t>
            </w:r>
            <w:r>
              <w:rPr>
                <w:rFonts w:hint="eastAsia"/>
                <w:color w:val="auto"/>
              </w:rPr>
              <w:t>5</w:t>
            </w:r>
          </w:p>
        </w:tc>
        <w:tc>
          <w:tcPr>
            <w:tcW w:w="2551" w:type="dxa"/>
            <w:vAlign w:val="center"/>
          </w:tcPr>
          <w:p w14:paraId="464701E9">
            <w:pPr>
              <w:pStyle w:val="91"/>
              <w:keepNext w:val="0"/>
              <w:keepLines w:val="0"/>
              <w:suppressLineNumbers w:val="0"/>
              <w:spacing w:before="0" w:beforeAutospacing="0" w:after="0" w:afterAutospacing="0"/>
              <w:ind w:left="0" w:right="0"/>
              <w:rPr>
                <w:rFonts w:hint="default"/>
                <w:color w:val="auto"/>
              </w:rPr>
            </w:pPr>
            <w:r>
              <w:rPr>
                <w:rFonts w:hint="default"/>
                <w:color w:val="auto"/>
              </w:rPr>
              <w:t>10</w:t>
            </w:r>
            <w:r>
              <w:rPr>
                <w:rFonts w:hint="eastAsia"/>
                <w:color w:val="auto"/>
              </w:rPr>
              <w:t>h</w:t>
            </w:r>
            <w:r>
              <w:rPr>
                <w:rFonts w:hint="default"/>
                <w:color w:val="auto"/>
              </w:rPr>
              <w:t>20min</w:t>
            </w:r>
            <w:r>
              <w:rPr>
                <w:rFonts w:hint="eastAsia"/>
                <w:color w:val="auto"/>
              </w:rPr>
              <w:t>在</w:t>
            </w:r>
            <w:r>
              <w:rPr>
                <w:rFonts w:hint="default"/>
                <w:color w:val="auto"/>
              </w:rPr>
              <w:t>金鼓江上游的红树林</w:t>
            </w:r>
            <w:r>
              <w:rPr>
                <w:rFonts w:hint="eastAsia"/>
                <w:color w:val="auto"/>
              </w:rPr>
              <w:t>5海域抵岸</w:t>
            </w:r>
          </w:p>
        </w:tc>
      </w:tr>
      <w:tr w14:paraId="75ECA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90" w:type="dxa"/>
            <w:vAlign w:val="center"/>
          </w:tcPr>
          <w:p w14:paraId="27E992B2">
            <w:pPr>
              <w:pStyle w:val="91"/>
              <w:keepNext w:val="0"/>
              <w:keepLines w:val="0"/>
              <w:suppressLineNumbers w:val="0"/>
              <w:spacing w:before="0" w:beforeAutospacing="0" w:after="0" w:afterAutospacing="0"/>
              <w:ind w:left="0" w:right="0"/>
              <w:rPr>
                <w:rFonts w:hint="default"/>
                <w:color w:val="auto"/>
              </w:rPr>
            </w:pPr>
            <w:r>
              <w:rPr>
                <w:rFonts w:hint="default"/>
                <w:color w:val="auto"/>
              </w:rPr>
              <w:t>5</w:t>
            </w:r>
          </w:p>
        </w:tc>
        <w:tc>
          <w:tcPr>
            <w:tcW w:w="718" w:type="dxa"/>
            <w:vMerge w:val="restart"/>
            <w:vAlign w:val="center"/>
          </w:tcPr>
          <w:p w14:paraId="46AD7920">
            <w:pPr>
              <w:pStyle w:val="91"/>
              <w:keepNext w:val="0"/>
              <w:keepLines w:val="0"/>
              <w:suppressLineNumbers w:val="0"/>
              <w:spacing w:before="0" w:beforeAutospacing="0" w:after="0" w:afterAutospacing="0"/>
              <w:ind w:left="0" w:right="0"/>
              <w:rPr>
                <w:rFonts w:hint="default"/>
                <w:color w:val="auto"/>
              </w:rPr>
            </w:pPr>
            <w:r>
              <w:rPr>
                <w:rFonts w:hint="default"/>
                <w:color w:val="auto"/>
              </w:rPr>
              <w:t>SE风</w:t>
            </w:r>
          </w:p>
        </w:tc>
        <w:tc>
          <w:tcPr>
            <w:tcW w:w="700" w:type="dxa"/>
            <w:vMerge w:val="restart"/>
            <w:vAlign w:val="center"/>
          </w:tcPr>
          <w:p w14:paraId="080C9EE3">
            <w:pPr>
              <w:pStyle w:val="91"/>
              <w:keepNext w:val="0"/>
              <w:keepLines w:val="0"/>
              <w:suppressLineNumbers w:val="0"/>
              <w:spacing w:before="0" w:beforeAutospacing="0" w:after="0" w:afterAutospacing="0"/>
              <w:ind w:left="0" w:right="0"/>
              <w:rPr>
                <w:rFonts w:hint="default"/>
                <w:color w:val="auto"/>
              </w:rPr>
            </w:pPr>
            <w:r>
              <w:rPr>
                <w:rFonts w:hint="eastAsia"/>
                <w:color w:val="auto"/>
              </w:rPr>
              <w:t>1</w:t>
            </w:r>
            <w:r>
              <w:rPr>
                <w:rFonts w:hint="default"/>
                <w:color w:val="auto"/>
              </w:rPr>
              <w:t>3.8</w:t>
            </w:r>
          </w:p>
        </w:tc>
        <w:tc>
          <w:tcPr>
            <w:tcW w:w="735" w:type="dxa"/>
            <w:vAlign w:val="center"/>
          </w:tcPr>
          <w:p w14:paraId="67383145">
            <w:pPr>
              <w:pStyle w:val="91"/>
              <w:keepNext w:val="0"/>
              <w:keepLines w:val="0"/>
              <w:suppressLineNumbers w:val="0"/>
              <w:spacing w:before="0" w:beforeAutospacing="0" w:after="0" w:afterAutospacing="0"/>
              <w:ind w:left="0" w:right="0"/>
              <w:rPr>
                <w:rFonts w:hint="default"/>
                <w:color w:val="auto"/>
              </w:rPr>
            </w:pPr>
            <w:r>
              <w:rPr>
                <w:rFonts w:hint="eastAsia"/>
                <w:color w:val="auto"/>
              </w:rPr>
              <w:t>涨潮</w:t>
            </w:r>
          </w:p>
        </w:tc>
        <w:tc>
          <w:tcPr>
            <w:tcW w:w="3873" w:type="dxa"/>
            <w:vAlign w:val="center"/>
          </w:tcPr>
          <w:p w14:paraId="71C716DB">
            <w:pPr>
              <w:pStyle w:val="91"/>
              <w:keepNext w:val="0"/>
              <w:keepLines w:val="0"/>
              <w:suppressLineNumbers w:val="0"/>
              <w:spacing w:before="0" w:beforeAutospacing="0" w:after="0" w:afterAutospacing="0"/>
              <w:ind w:left="0" w:right="0"/>
              <w:rPr>
                <w:rFonts w:hint="default"/>
                <w:color w:val="auto"/>
              </w:rPr>
            </w:pPr>
            <w:r>
              <w:rPr>
                <w:rFonts w:hint="default"/>
                <w:color w:val="auto"/>
              </w:rPr>
              <w:t>2h后开始影响蚝排养殖区；</w:t>
            </w:r>
          </w:p>
          <w:p w14:paraId="7DC4B3E2">
            <w:pPr>
              <w:pStyle w:val="91"/>
              <w:keepNext w:val="0"/>
              <w:keepLines w:val="0"/>
              <w:suppressLineNumbers w:val="0"/>
              <w:spacing w:before="0" w:beforeAutospacing="0" w:after="0" w:afterAutospacing="0"/>
              <w:ind w:left="0" w:right="0"/>
              <w:rPr>
                <w:rFonts w:hint="default"/>
                <w:color w:val="auto"/>
              </w:rPr>
            </w:pPr>
            <w:r>
              <w:rPr>
                <w:rFonts w:hint="default"/>
                <w:color w:val="auto"/>
              </w:rPr>
              <w:t>4</w:t>
            </w:r>
            <w:r>
              <w:rPr>
                <w:rFonts w:hint="eastAsia"/>
                <w:color w:val="auto"/>
              </w:rPr>
              <w:t>h</w:t>
            </w:r>
            <w:r>
              <w:rPr>
                <w:rFonts w:hint="default"/>
                <w:color w:val="auto"/>
              </w:rPr>
              <w:t>开始影响</w:t>
            </w:r>
            <w:r>
              <w:rPr>
                <w:rFonts w:hint="eastAsia"/>
                <w:color w:val="auto"/>
              </w:rPr>
              <w:t>钦州茅尾海国家海洋公园</w:t>
            </w:r>
          </w:p>
        </w:tc>
        <w:tc>
          <w:tcPr>
            <w:tcW w:w="2551" w:type="dxa"/>
            <w:vAlign w:val="center"/>
          </w:tcPr>
          <w:p w14:paraId="7E35EDB1">
            <w:pPr>
              <w:pStyle w:val="91"/>
              <w:keepNext w:val="0"/>
              <w:keepLines w:val="0"/>
              <w:suppressLineNumbers w:val="0"/>
              <w:spacing w:before="0" w:beforeAutospacing="0" w:after="0" w:afterAutospacing="0"/>
              <w:ind w:left="0" w:right="0"/>
              <w:rPr>
                <w:rFonts w:hint="default"/>
                <w:color w:val="auto"/>
              </w:rPr>
            </w:pPr>
            <w:r>
              <w:rPr>
                <w:rFonts w:hint="eastAsia"/>
                <w:color w:val="auto"/>
              </w:rPr>
              <w:t>6h</w:t>
            </w:r>
            <w:r>
              <w:rPr>
                <w:rFonts w:hint="default"/>
                <w:color w:val="auto"/>
              </w:rPr>
              <w:t>20min在钦州湾西北部抵岸</w:t>
            </w:r>
          </w:p>
        </w:tc>
      </w:tr>
      <w:tr w14:paraId="1D5C1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90" w:type="dxa"/>
            <w:vAlign w:val="center"/>
          </w:tcPr>
          <w:p w14:paraId="127360D2">
            <w:pPr>
              <w:pStyle w:val="91"/>
              <w:keepNext w:val="0"/>
              <w:keepLines w:val="0"/>
              <w:suppressLineNumbers w:val="0"/>
              <w:spacing w:before="0" w:beforeAutospacing="0" w:after="0" w:afterAutospacing="0"/>
              <w:ind w:left="0" w:right="0"/>
              <w:rPr>
                <w:rFonts w:hint="default"/>
                <w:color w:val="auto"/>
              </w:rPr>
            </w:pPr>
            <w:r>
              <w:rPr>
                <w:rFonts w:hint="default"/>
                <w:color w:val="auto"/>
              </w:rPr>
              <w:t>6</w:t>
            </w:r>
          </w:p>
        </w:tc>
        <w:tc>
          <w:tcPr>
            <w:tcW w:w="718" w:type="dxa"/>
            <w:vMerge w:val="continue"/>
            <w:vAlign w:val="center"/>
          </w:tcPr>
          <w:p w14:paraId="6F5606AB">
            <w:pPr>
              <w:pStyle w:val="91"/>
              <w:keepNext w:val="0"/>
              <w:keepLines w:val="0"/>
              <w:suppressLineNumbers w:val="0"/>
              <w:spacing w:before="0" w:beforeAutospacing="0" w:after="0" w:afterAutospacing="0"/>
              <w:ind w:left="0" w:right="0"/>
              <w:rPr>
                <w:rFonts w:hint="default"/>
                <w:color w:val="auto"/>
              </w:rPr>
            </w:pPr>
          </w:p>
        </w:tc>
        <w:tc>
          <w:tcPr>
            <w:tcW w:w="700" w:type="dxa"/>
            <w:vMerge w:val="continue"/>
            <w:vAlign w:val="center"/>
          </w:tcPr>
          <w:p w14:paraId="524AB8AB">
            <w:pPr>
              <w:pStyle w:val="91"/>
              <w:keepNext w:val="0"/>
              <w:keepLines w:val="0"/>
              <w:suppressLineNumbers w:val="0"/>
              <w:spacing w:before="0" w:beforeAutospacing="0" w:after="0" w:afterAutospacing="0"/>
              <w:ind w:left="0" w:right="0"/>
              <w:rPr>
                <w:rFonts w:hint="default"/>
                <w:color w:val="auto"/>
              </w:rPr>
            </w:pPr>
          </w:p>
        </w:tc>
        <w:tc>
          <w:tcPr>
            <w:tcW w:w="735" w:type="dxa"/>
            <w:vAlign w:val="center"/>
          </w:tcPr>
          <w:p w14:paraId="179B5D5A">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3873" w:type="dxa"/>
            <w:vAlign w:val="center"/>
          </w:tcPr>
          <w:p w14:paraId="3E590862">
            <w:pPr>
              <w:pStyle w:val="91"/>
              <w:keepNext w:val="0"/>
              <w:keepLines w:val="0"/>
              <w:suppressLineNumbers w:val="0"/>
              <w:spacing w:before="0" w:beforeAutospacing="0" w:after="0" w:afterAutospacing="0"/>
              <w:ind w:left="0" w:right="0"/>
              <w:rPr>
                <w:rFonts w:hint="default"/>
                <w:color w:val="auto"/>
              </w:rPr>
            </w:pPr>
            <w:r>
              <w:rPr>
                <w:rFonts w:hint="default"/>
                <w:color w:val="auto"/>
              </w:rPr>
              <w:t>1h40min和11h40min后开始影响蚝排养殖区；</w:t>
            </w:r>
          </w:p>
          <w:p w14:paraId="78A36466">
            <w:pPr>
              <w:pStyle w:val="91"/>
              <w:keepNext w:val="0"/>
              <w:keepLines w:val="0"/>
              <w:suppressLineNumbers w:val="0"/>
              <w:spacing w:before="0" w:beforeAutospacing="0" w:after="0" w:afterAutospacing="0"/>
              <w:ind w:left="0" w:right="0"/>
              <w:rPr>
                <w:rFonts w:hint="default"/>
                <w:color w:val="auto"/>
              </w:rPr>
            </w:pPr>
            <w:r>
              <w:rPr>
                <w:rFonts w:hint="default"/>
                <w:color w:val="auto"/>
              </w:rPr>
              <w:t>13</w:t>
            </w:r>
            <w:r>
              <w:rPr>
                <w:rFonts w:hint="eastAsia"/>
                <w:color w:val="auto"/>
              </w:rPr>
              <w:t>h</w:t>
            </w:r>
            <w:r>
              <w:rPr>
                <w:rFonts w:hint="default"/>
                <w:color w:val="auto"/>
              </w:rPr>
              <w:t>40</w:t>
            </w:r>
            <w:r>
              <w:rPr>
                <w:rFonts w:hint="eastAsia"/>
                <w:color w:val="auto"/>
              </w:rPr>
              <w:t>min</w:t>
            </w:r>
            <w:r>
              <w:rPr>
                <w:rFonts w:hint="default"/>
                <w:color w:val="auto"/>
              </w:rPr>
              <w:t>后开始影响</w:t>
            </w:r>
            <w:r>
              <w:rPr>
                <w:rFonts w:hint="eastAsia"/>
                <w:color w:val="auto"/>
              </w:rPr>
              <w:t>钦州茅尾海国家海洋公园</w:t>
            </w:r>
          </w:p>
        </w:tc>
        <w:tc>
          <w:tcPr>
            <w:tcW w:w="2551" w:type="dxa"/>
            <w:vAlign w:val="center"/>
          </w:tcPr>
          <w:p w14:paraId="2F4FA43A">
            <w:pPr>
              <w:pStyle w:val="91"/>
              <w:keepNext w:val="0"/>
              <w:keepLines w:val="0"/>
              <w:suppressLineNumbers w:val="0"/>
              <w:spacing w:before="0" w:beforeAutospacing="0" w:after="0" w:afterAutospacing="0"/>
              <w:ind w:left="0" w:right="0"/>
              <w:rPr>
                <w:rFonts w:hint="default"/>
                <w:color w:val="auto"/>
              </w:rPr>
            </w:pPr>
            <w:r>
              <w:rPr>
                <w:rFonts w:hint="default"/>
                <w:color w:val="auto"/>
              </w:rPr>
              <w:t>15</w:t>
            </w:r>
            <w:r>
              <w:rPr>
                <w:rFonts w:hint="eastAsia"/>
                <w:color w:val="auto"/>
              </w:rPr>
              <w:t>h</w:t>
            </w:r>
            <w:r>
              <w:rPr>
                <w:rFonts w:hint="default"/>
                <w:color w:val="auto"/>
              </w:rPr>
              <w:t>50min在钦州湾西北部抵岸</w:t>
            </w:r>
          </w:p>
        </w:tc>
      </w:tr>
    </w:tbl>
    <w:p w14:paraId="70433786">
      <w:pPr>
        <w:pStyle w:val="117"/>
        <w:rPr>
          <w:color w:val="auto"/>
        </w:rPr>
      </w:pPr>
    </w:p>
    <w:p w14:paraId="5DB600BF">
      <w:pPr>
        <w:pStyle w:val="14"/>
        <w:rPr>
          <w:color w:val="auto"/>
          <w:szCs w:val="21"/>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5.6</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6</w:t>
      </w:r>
      <w:r>
        <w:rPr>
          <w:color w:val="auto"/>
        </w:rPr>
        <w:fldChar w:fldCharType="end"/>
      </w:r>
      <w:r>
        <w:rPr>
          <w:rFonts w:hint="eastAsia"/>
          <w:color w:val="auto"/>
        </w:rPr>
        <w:t>甲基叔丁基醚（</w:t>
      </w:r>
      <w:r>
        <w:rPr>
          <w:color w:val="auto"/>
        </w:rPr>
        <w:t>MTBE）事故油膜扫海面积统计</w:t>
      </w:r>
    </w:p>
    <w:tbl>
      <w:tblPr>
        <w:tblStyle w:val="190"/>
        <w:tblW w:w="88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3"/>
        <w:gridCol w:w="748"/>
        <w:gridCol w:w="1134"/>
        <w:gridCol w:w="1559"/>
        <w:gridCol w:w="1233"/>
        <w:gridCol w:w="1233"/>
        <w:gridCol w:w="1233"/>
        <w:gridCol w:w="1233"/>
      </w:tblGrid>
      <w:tr w14:paraId="661EA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vMerge w:val="restart"/>
          </w:tcPr>
          <w:p w14:paraId="2A477CF9">
            <w:pPr>
              <w:pStyle w:val="91"/>
              <w:keepNext w:val="0"/>
              <w:keepLines w:val="0"/>
              <w:suppressLineNumbers w:val="0"/>
              <w:spacing w:before="0" w:beforeAutospacing="0" w:after="0" w:afterAutospacing="0"/>
              <w:ind w:left="0" w:right="0"/>
              <w:rPr>
                <w:rFonts w:hint="default"/>
                <w:b/>
                <w:color w:val="auto"/>
              </w:rPr>
            </w:pPr>
            <w:r>
              <w:rPr>
                <w:rFonts w:hint="eastAsia"/>
                <w:b/>
                <w:color w:val="auto"/>
              </w:rPr>
              <w:t>工况</w:t>
            </w:r>
          </w:p>
        </w:tc>
        <w:tc>
          <w:tcPr>
            <w:tcW w:w="748" w:type="dxa"/>
            <w:vMerge w:val="restart"/>
          </w:tcPr>
          <w:p w14:paraId="13923147">
            <w:pPr>
              <w:pStyle w:val="91"/>
              <w:keepNext w:val="0"/>
              <w:keepLines w:val="0"/>
              <w:suppressLineNumbers w:val="0"/>
              <w:spacing w:before="0" w:beforeAutospacing="0" w:after="0" w:afterAutospacing="0"/>
              <w:ind w:left="0" w:right="0"/>
              <w:rPr>
                <w:rFonts w:hint="default"/>
                <w:b/>
                <w:color w:val="auto"/>
              </w:rPr>
            </w:pPr>
            <w:r>
              <w:rPr>
                <w:rFonts w:hint="default"/>
                <w:b/>
                <w:color w:val="auto"/>
              </w:rPr>
              <w:t>潮汐条件</w:t>
            </w:r>
          </w:p>
        </w:tc>
        <w:tc>
          <w:tcPr>
            <w:tcW w:w="2693" w:type="dxa"/>
            <w:gridSpan w:val="2"/>
          </w:tcPr>
          <w:p w14:paraId="6A793BF2">
            <w:pPr>
              <w:pStyle w:val="91"/>
              <w:keepNext w:val="0"/>
              <w:keepLines w:val="0"/>
              <w:suppressLineNumbers w:val="0"/>
              <w:spacing w:before="0" w:beforeAutospacing="0" w:after="0" w:afterAutospacing="0"/>
              <w:ind w:left="0" w:right="0"/>
              <w:rPr>
                <w:rFonts w:hint="default"/>
                <w:b/>
                <w:color w:val="auto"/>
              </w:rPr>
            </w:pPr>
            <w:r>
              <w:rPr>
                <w:rFonts w:hint="default"/>
                <w:b/>
                <w:color w:val="auto"/>
              </w:rPr>
              <w:t>风况条件</w:t>
            </w:r>
          </w:p>
        </w:tc>
        <w:tc>
          <w:tcPr>
            <w:tcW w:w="4932" w:type="dxa"/>
            <w:gridSpan w:val="4"/>
          </w:tcPr>
          <w:p w14:paraId="47FD93DF">
            <w:pPr>
              <w:pStyle w:val="91"/>
              <w:keepNext w:val="0"/>
              <w:keepLines w:val="0"/>
              <w:suppressLineNumbers w:val="0"/>
              <w:spacing w:before="0" w:beforeAutospacing="0" w:after="0" w:afterAutospacing="0"/>
              <w:ind w:left="0" w:right="0"/>
              <w:rPr>
                <w:rFonts w:hint="default"/>
                <w:b/>
                <w:color w:val="auto"/>
              </w:rPr>
            </w:pPr>
            <w:r>
              <w:rPr>
                <w:rFonts w:hint="default"/>
                <w:b/>
                <w:color w:val="auto"/>
              </w:rPr>
              <w:t>扫海面积（km</w:t>
            </w:r>
            <w:r>
              <w:rPr>
                <w:rFonts w:hint="default"/>
                <w:b/>
                <w:color w:val="auto"/>
                <w:vertAlign w:val="superscript"/>
              </w:rPr>
              <w:t>2</w:t>
            </w:r>
            <w:r>
              <w:rPr>
                <w:rFonts w:hint="default"/>
                <w:b/>
                <w:color w:val="auto"/>
              </w:rPr>
              <w:t>）</w:t>
            </w:r>
          </w:p>
        </w:tc>
      </w:tr>
      <w:tr w14:paraId="2C841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vMerge w:val="continue"/>
          </w:tcPr>
          <w:p w14:paraId="41F2D906">
            <w:pPr>
              <w:pStyle w:val="91"/>
              <w:keepNext w:val="0"/>
              <w:keepLines w:val="0"/>
              <w:suppressLineNumbers w:val="0"/>
              <w:spacing w:before="0" w:beforeAutospacing="0" w:after="0" w:afterAutospacing="0"/>
              <w:ind w:left="0" w:right="0"/>
              <w:rPr>
                <w:rFonts w:hint="default"/>
                <w:b/>
                <w:color w:val="auto"/>
              </w:rPr>
            </w:pPr>
          </w:p>
        </w:tc>
        <w:tc>
          <w:tcPr>
            <w:tcW w:w="748" w:type="dxa"/>
            <w:vMerge w:val="continue"/>
          </w:tcPr>
          <w:p w14:paraId="1C7C86A3">
            <w:pPr>
              <w:pStyle w:val="91"/>
              <w:keepNext w:val="0"/>
              <w:keepLines w:val="0"/>
              <w:suppressLineNumbers w:val="0"/>
              <w:spacing w:before="0" w:beforeAutospacing="0" w:after="0" w:afterAutospacing="0"/>
              <w:ind w:left="0" w:right="0"/>
              <w:rPr>
                <w:rFonts w:hint="default"/>
                <w:b/>
                <w:color w:val="auto"/>
              </w:rPr>
            </w:pPr>
          </w:p>
        </w:tc>
        <w:tc>
          <w:tcPr>
            <w:tcW w:w="1134" w:type="dxa"/>
          </w:tcPr>
          <w:p w14:paraId="7045CB51">
            <w:pPr>
              <w:pStyle w:val="91"/>
              <w:keepNext w:val="0"/>
              <w:keepLines w:val="0"/>
              <w:suppressLineNumbers w:val="0"/>
              <w:spacing w:before="0" w:beforeAutospacing="0" w:after="0" w:afterAutospacing="0"/>
              <w:ind w:left="0" w:right="0"/>
              <w:rPr>
                <w:rFonts w:hint="default"/>
                <w:b/>
                <w:color w:val="auto"/>
              </w:rPr>
            </w:pPr>
            <w:r>
              <w:rPr>
                <w:rFonts w:hint="default"/>
                <w:b/>
                <w:color w:val="auto"/>
              </w:rPr>
              <w:t>风向（</w:t>
            </w:r>
            <w:r>
              <w:rPr>
                <w:rFonts w:hint="default"/>
                <w:b/>
                <w:color w:val="auto"/>
                <w:vertAlign w:val="superscript"/>
              </w:rPr>
              <w:t>o</w:t>
            </w:r>
            <w:r>
              <w:rPr>
                <w:rFonts w:hint="default"/>
                <w:b/>
                <w:color w:val="auto"/>
              </w:rPr>
              <w:t>）</w:t>
            </w:r>
          </w:p>
        </w:tc>
        <w:tc>
          <w:tcPr>
            <w:tcW w:w="1559" w:type="dxa"/>
          </w:tcPr>
          <w:p w14:paraId="4095D3CB">
            <w:pPr>
              <w:pStyle w:val="91"/>
              <w:keepNext w:val="0"/>
              <w:keepLines w:val="0"/>
              <w:suppressLineNumbers w:val="0"/>
              <w:spacing w:before="0" w:beforeAutospacing="0" w:after="0" w:afterAutospacing="0"/>
              <w:ind w:left="0" w:right="0"/>
              <w:rPr>
                <w:rFonts w:hint="default"/>
                <w:b/>
                <w:color w:val="auto"/>
              </w:rPr>
            </w:pPr>
            <w:r>
              <w:rPr>
                <w:rFonts w:hint="default"/>
                <w:b/>
                <w:color w:val="auto"/>
              </w:rPr>
              <w:t>风速（m/s）</w:t>
            </w:r>
          </w:p>
        </w:tc>
        <w:tc>
          <w:tcPr>
            <w:tcW w:w="1233" w:type="dxa"/>
          </w:tcPr>
          <w:p w14:paraId="4EEAE5D7">
            <w:pPr>
              <w:pStyle w:val="91"/>
              <w:keepNext w:val="0"/>
              <w:keepLines w:val="0"/>
              <w:suppressLineNumbers w:val="0"/>
              <w:spacing w:before="0" w:beforeAutospacing="0" w:after="0" w:afterAutospacing="0"/>
              <w:ind w:left="0" w:right="0"/>
              <w:rPr>
                <w:rFonts w:hint="default"/>
                <w:b/>
                <w:color w:val="auto"/>
              </w:rPr>
            </w:pPr>
            <w:r>
              <w:rPr>
                <w:rFonts w:hint="default"/>
                <w:b/>
                <w:color w:val="auto"/>
              </w:rPr>
              <w:t>12小时后</w:t>
            </w:r>
          </w:p>
        </w:tc>
        <w:tc>
          <w:tcPr>
            <w:tcW w:w="1233" w:type="dxa"/>
          </w:tcPr>
          <w:p w14:paraId="248053CE">
            <w:pPr>
              <w:pStyle w:val="91"/>
              <w:keepNext w:val="0"/>
              <w:keepLines w:val="0"/>
              <w:suppressLineNumbers w:val="0"/>
              <w:spacing w:before="0" w:beforeAutospacing="0" w:after="0" w:afterAutospacing="0"/>
              <w:ind w:left="0" w:right="0"/>
              <w:rPr>
                <w:rFonts w:hint="default"/>
                <w:b/>
                <w:color w:val="auto"/>
              </w:rPr>
            </w:pPr>
            <w:r>
              <w:rPr>
                <w:rFonts w:hint="default"/>
                <w:b/>
                <w:color w:val="auto"/>
              </w:rPr>
              <w:t>24小时后</w:t>
            </w:r>
          </w:p>
        </w:tc>
        <w:tc>
          <w:tcPr>
            <w:tcW w:w="1233" w:type="dxa"/>
          </w:tcPr>
          <w:p w14:paraId="6A1BD27C">
            <w:pPr>
              <w:pStyle w:val="91"/>
              <w:keepNext w:val="0"/>
              <w:keepLines w:val="0"/>
              <w:suppressLineNumbers w:val="0"/>
              <w:spacing w:before="0" w:beforeAutospacing="0" w:after="0" w:afterAutospacing="0"/>
              <w:ind w:left="0" w:right="0"/>
              <w:rPr>
                <w:rFonts w:hint="default"/>
                <w:b/>
                <w:color w:val="auto"/>
              </w:rPr>
            </w:pPr>
            <w:r>
              <w:rPr>
                <w:rFonts w:hint="default"/>
                <w:b/>
                <w:color w:val="auto"/>
              </w:rPr>
              <w:t>48小时后</w:t>
            </w:r>
          </w:p>
        </w:tc>
        <w:tc>
          <w:tcPr>
            <w:tcW w:w="1233" w:type="dxa"/>
          </w:tcPr>
          <w:p w14:paraId="4866D848">
            <w:pPr>
              <w:pStyle w:val="91"/>
              <w:keepNext w:val="0"/>
              <w:keepLines w:val="0"/>
              <w:suppressLineNumbers w:val="0"/>
              <w:spacing w:before="0" w:beforeAutospacing="0" w:after="0" w:afterAutospacing="0"/>
              <w:ind w:left="0" w:right="0"/>
              <w:rPr>
                <w:rFonts w:hint="default"/>
                <w:b/>
                <w:color w:val="auto"/>
              </w:rPr>
            </w:pPr>
            <w:r>
              <w:rPr>
                <w:rFonts w:hint="default"/>
                <w:b/>
                <w:color w:val="auto"/>
              </w:rPr>
              <w:t>72小时后</w:t>
            </w:r>
          </w:p>
        </w:tc>
      </w:tr>
      <w:tr w14:paraId="55E3D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62979E4A">
            <w:pPr>
              <w:pStyle w:val="91"/>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748" w:type="dxa"/>
          </w:tcPr>
          <w:p w14:paraId="6DA074FE">
            <w:pPr>
              <w:pStyle w:val="91"/>
              <w:keepNext w:val="0"/>
              <w:keepLines w:val="0"/>
              <w:suppressLineNumbers w:val="0"/>
              <w:spacing w:before="0" w:beforeAutospacing="0" w:after="0" w:afterAutospacing="0"/>
              <w:ind w:left="0" w:right="0"/>
              <w:rPr>
                <w:rFonts w:hint="default"/>
                <w:color w:val="auto"/>
              </w:rPr>
            </w:pPr>
            <w:r>
              <w:rPr>
                <w:rFonts w:hint="default"/>
                <w:color w:val="auto"/>
              </w:rPr>
              <w:t>涨潮</w:t>
            </w:r>
          </w:p>
        </w:tc>
        <w:tc>
          <w:tcPr>
            <w:tcW w:w="1134" w:type="dxa"/>
            <w:vMerge w:val="restart"/>
          </w:tcPr>
          <w:p w14:paraId="3FB514A2">
            <w:pPr>
              <w:pStyle w:val="91"/>
              <w:keepNext w:val="0"/>
              <w:keepLines w:val="0"/>
              <w:suppressLineNumbers w:val="0"/>
              <w:spacing w:before="0" w:beforeAutospacing="0" w:after="0" w:afterAutospacing="0"/>
              <w:ind w:left="0" w:right="0"/>
              <w:rPr>
                <w:rFonts w:hint="default"/>
                <w:color w:val="auto"/>
              </w:rPr>
            </w:pPr>
            <w:r>
              <w:rPr>
                <w:rFonts w:hint="eastAsia"/>
                <w:color w:val="auto"/>
              </w:rPr>
              <w:t>N</w:t>
            </w:r>
            <w:r>
              <w:rPr>
                <w:rFonts w:hint="default"/>
                <w:color w:val="auto"/>
              </w:rPr>
              <w:t>风</w:t>
            </w:r>
          </w:p>
        </w:tc>
        <w:tc>
          <w:tcPr>
            <w:tcW w:w="1559" w:type="dxa"/>
            <w:vMerge w:val="restart"/>
          </w:tcPr>
          <w:p w14:paraId="20E5551C">
            <w:pPr>
              <w:pStyle w:val="91"/>
              <w:keepNext w:val="0"/>
              <w:keepLines w:val="0"/>
              <w:suppressLineNumbers w:val="0"/>
              <w:spacing w:before="0" w:beforeAutospacing="0" w:after="0" w:afterAutospacing="0"/>
              <w:ind w:left="0" w:right="0"/>
              <w:rPr>
                <w:rFonts w:hint="default"/>
                <w:color w:val="auto"/>
              </w:rPr>
            </w:pPr>
            <w:r>
              <w:rPr>
                <w:rFonts w:hint="default"/>
                <w:color w:val="auto"/>
              </w:rPr>
              <w:t>6.7</w:t>
            </w:r>
          </w:p>
        </w:tc>
        <w:tc>
          <w:tcPr>
            <w:tcW w:w="1233" w:type="dxa"/>
          </w:tcPr>
          <w:p w14:paraId="18FEC6E0">
            <w:pPr>
              <w:pStyle w:val="91"/>
              <w:keepNext w:val="0"/>
              <w:keepLines w:val="0"/>
              <w:suppressLineNumbers w:val="0"/>
              <w:spacing w:before="0" w:beforeAutospacing="0" w:after="0" w:afterAutospacing="0"/>
              <w:ind w:left="0" w:right="0"/>
              <w:rPr>
                <w:rFonts w:hint="default"/>
                <w:color w:val="auto"/>
              </w:rPr>
            </w:pPr>
            <w:r>
              <w:rPr>
                <w:rFonts w:hint="default"/>
                <w:color w:val="auto"/>
              </w:rPr>
              <w:t>27.18</w:t>
            </w:r>
          </w:p>
        </w:tc>
        <w:tc>
          <w:tcPr>
            <w:tcW w:w="1233" w:type="dxa"/>
          </w:tcPr>
          <w:p w14:paraId="01203F98">
            <w:pPr>
              <w:pStyle w:val="91"/>
              <w:keepNext w:val="0"/>
              <w:keepLines w:val="0"/>
              <w:suppressLineNumbers w:val="0"/>
              <w:spacing w:before="0" w:beforeAutospacing="0" w:after="0" w:afterAutospacing="0"/>
              <w:ind w:left="0" w:right="0"/>
              <w:rPr>
                <w:rFonts w:hint="default"/>
                <w:color w:val="auto"/>
              </w:rPr>
            </w:pPr>
            <w:r>
              <w:rPr>
                <w:rFonts w:hint="default"/>
                <w:color w:val="auto"/>
              </w:rPr>
              <w:t>70.92</w:t>
            </w:r>
          </w:p>
        </w:tc>
        <w:tc>
          <w:tcPr>
            <w:tcW w:w="1233" w:type="dxa"/>
          </w:tcPr>
          <w:p w14:paraId="4D3450E2">
            <w:pPr>
              <w:pStyle w:val="91"/>
              <w:keepNext w:val="0"/>
              <w:keepLines w:val="0"/>
              <w:suppressLineNumbers w:val="0"/>
              <w:spacing w:before="0" w:beforeAutospacing="0" w:after="0" w:afterAutospacing="0"/>
              <w:ind w:left="0" w:right="0"/>
              <w:rPr>
                <w:rFonts w:hint="default"/>
                <w:color w:val="auto"/>
              </w:rPr>
            </w:pPr>
            <w:r>
              <w:rPr>
                <w:rFonts w:hint="default"/>
                <w:color w:val="auto"/>
              </w:rPr>
              <w:t>175.87</w:t>
            </w:r>
          </w:p>
        </w:tc>
        <w:tc>
          <w:tcPr>
            <w:tcW w:w="1233" w:type="dxa"/>
          </w:tcPr>
          <w:p w14:paraId="6B0FBD73">
            <w:pPr>
              <w:pStyle w:val="91"/>
              <w:keepNext w:val="0"/>
              <w:keepLines w:val="0"/>
              <w:suppressLineNumbers w:val="0"/>
              <w:spacing w:before="0" w:beforeAutospacing="0" w:after="0" w:afterAutospacing="0"/>
              <w:ind w:left="0" w:right="0"/>
              <w:rPr>
                <w:rFonts w:hint="default"/>
                <w:color w:val="auto"/>
              </w:rPr>
            </w:pPr>
            <w:r>
              <w:rPr>
                <w:rFonts w:hint="default"/>
                <w:color w:val="auto"/>
              </w:rPr>
              <w:t>175.87</w:t>
            </w:r>
          </w:p>
        </w:tc>
      </w:tr>
      <w:tr w14:paraId="1E09C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20DA59B2">
            <w:pPr>
              <w:pStyle w:val="91"/>
              <w:keepNext w:val="0"/>
              <w:keepLines w:val="0"/>
              <w:suppressLineNumbers w:val="0"/>
              <w:spacing w:before="0" w:beforeAutospacing="0" w:after="0" w:afterAutospacing="0"/>
              <w:ind w:left="0" w:right="0"/>
              <w:rPr>
                <w:rFonts w:hint="default"/>
                <w:color w:val="auto"/>
              </w:rPr>
            </w:pPr>
            <w:r>
              <w:rPr>
                <w:rFonts w:hint="default"/>
                <w:color w:val="auto"/>
              </w:rPr>
              <w:t>2</w:t>
            </w:r>
          </w:p>
        </w:tc>
        <w:tc>
          <w:tcPr>
            <w:tcW w:w="748" w:type="dxa"/>
          </w:tcPr>
          <w:p w14:paraId="73AFB80F">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1134" w:type="dxa"/>
            <w:vMerge w:val="continue"/>
          </w:tcPr>
          <w:p w14:paraId="373512B5">
            <w:pPr>
              <w:pStyle w:val="91"/>
              <w:keepNext w:val="0"/>
              <w:keepLines w:val="0"/>
              <w:suppressLineNumbers w:val="0"/>
              <w:spacing w:before="0" w:beforeAutospacing="0" w:after="0" w:afterAutospacing="0"/>
              <w:ind w:left="0" w:right="0"/>
              <w:rPr>
                <w:rFonts w:hint="default"/>
                <w:color w:val="auto"/>
              </w:rPr>
            </w:pPr>
          </w:p>
        </w:tc>
        <w:tc>
          <w:tcPr>
            <w:tcW w:w="1559" w:type="dxa"/>
            <w:vMerge w:val="continue"/>
          </w:tcPr>
          <w:p w14:paraId="0A1B7BF4">
            <w:pPr>
              <w:pStyle w:val="91"/>
              <w:keepNext w:val="0"/>
              <w:keepLines w:val="0"/>
              <w:suppressLineNumbers w:val="0"/>
              <w:spacing w:before="0" w:beforeAutospacing="0" w:after="0" w:afterAutospacing="0"/>
              <w:ind w:left="0" w:right="0"/>
              <w:rPr>
                <w:rFonts w:hint="default"/>
                <w:color w:val="auto"/>
              </w:rPr>
            </w:pPr>
          </w:p>
        </w:tc>
        <w:tc>
          <w:tcPr>
            <w:tcW w:w="1233" w:type="dxa"/>
          </w:tcPr>
          <w:p w14:paraId="5B6EFD15">
            <w:pPr>
              <w:pStyle w:val="91"/>
              <w:keepNext w:val="0"/>
              <w:keepLines w:val="0"/>
              <w:suppressLineNumbers w:val="0"/>
              <w:spacing w:before="0" w:beforeAutospacing="0" w:after="0" w:afterAutospacing="0"/>
              <w:ind w:left="0" w:right="0"/>
              <w:rPr>
                <w:rFonts w:hint="default"/>
                <w:color w:val="auto"/>
              </w:rPr>
            </w:pPr>
            <w:r>
              <w:rPr>
                <w:rFonts w:hint="default"/>
                <w:color w:val="auto"/>
              </w:rPr>
              <w:t>30.88</w:t>
            </w:r>
          </w:p>
        </w:tc>
        <w:tc>
          <w:tcPr>
            <w:tcW w:w="1233" w:type="dxa"/>
          </w:tcPr>
          <w:p w14:paraId="4BEFE65F">
            <w:pPr>
              <w:pStyle w:val="91"/>
              <w:keepNext w:val="0"/>
              <w:keepLines w:val="0"/>
              <w:suppressLineNumbers w:val="0"/>
              <w:spacing w:before="0" w:beforeAutospacing="0" w:after="0" w:afterAutospacing="0"/>
              <w:ind w:left="0" w:right="0"/>
              <w:rPr>
                <w:rFonts w:hint="default"/>
                <w:color w:val="auto"/>
              </w:rPr>
            </w:pPr>
            <w:r>
              <w:rPr>
                <w:rFonts w:hint="default"/>
                <w:color w:val="auto"/>
              </w:rPr>
              <w:t>66.68</w:t>
            </w:r>
          </w:p>
        </w:tc>
        <w:tc>
          <w:tcPr>
            <w:tcW w:w="1233" w:type="dxa"/>
          </w:tcPr>
          <w:p w14:paraId="4D6598E3">
            <w:pPr>
              <w:pStyle w:val="91"/>
              <w:keepNext w:val="0"/>
              <w:keepLines w:val="0"/>
              <w:suppressLineNumbers w:val="0"/>
              <w:spacing w:before="0" w:beforeAutospacing="0" w:after="0" w:afterAutospacing="0"/>
              <w:ind w:left="0" w:right="0"/>
              <w:rPr>
                <w:rFonts w:hint="default"/>
                <w:color w:val="auto"/>
              </w:rPr>
            </w:pPr>
            <w:r>
              <w:rPr>
                <w:rFonts w:hint="default"/>
                <w:color w:val="auto"/>
              </w:rPr>
              <w:t>156.08</w:t>
            </w:r>
          </w:p>
        </w:tc>
        <w:tc>
          <w:tcPr>
            <w:tcW w:w="1233" w:type="dxa"/>
          </w:tcPr>
          <w:p w14:paraId="4DA71627">
            <w:pPr>
              <w:pStyle w:val="91"/>
              <w:keepNext w:val="0"/>
              <w:keepLines w:val="0"/>
              <w:suppressLineNumbers w:val="0"/>
              <w:spacing w:before="0" w:beforeAutospacing="0" w:after="0" w:afterAutospacing="0"/>
              <w:ind w:left="0" w:right="0"/>
              <w:rPr>
                <w:rFonts w:hint="default"/>
                <w:color w:val="auto"/>
              </w:rPr>
            </w:pPr>
            <w:r>
              <w:rPr>
                <w:rFonts w:hint="default"/>
                <w:color w:val="auto"/>
              </w:rPr>
              <w:t>-</w:t>
            </w:r>
          </w:p>
        </w:tc>
      </w:tr>
      <w:tr w14:paraId="05ABF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7721D255">
            <w:pPr>
              <w:pStyle w:val="91"/>
              <w:keepNext w:val="0"/>
              <w:keepLines w:val="0"/>
              <w:suppressLineNumbers w:val="0"/>
              <w:spacing w:before="0" w:beforeAutospacing="0" w:after="0" w:afterAutospacing="0"/>
              <w:ind w:left="0" w:right="0"/>
              <w:rPr>
                <w:rFonts w:hint="default"/>
                <w:color w:val="auto"/>
              </w:rPr>
            </w:pPr>
            <w:r>
              <w:rPr>
                <w:rFonts w:hint="default"/>
                <w:color w:val="auto"/>
              </w:rPr>
              <w:t>3</w:t>
            </w:r>
          </w:p>
        </w:tc>
        <w:tc>
          <w:tcPr>
            <w:tcW w:w="748" w:type="dxa"/>
          </w:tcPr>
          <w:p w14:paraId="678EFAB7">
            <w:pPr>
              <w:pStyle w:val="91"/>
              <w:keepNext w:val="0"/>
              <w:keepLines w:val="0"/>
              <w:suppressLineNumbers w:val="0"/>
              <w:spacing w:before="0" w:beforeAutospacing="0" w:after="0" w:afterAutospacing="0"/>
              <w:ind w:left="0" w:right="0"/>
              <w:rPr>
                <w:rFonts w:hint="default"/>
                <w:color w:val="auto"/>
              </w:rPr>
            </w:pPr>
            <w:r>
              <w:rPr>
                <w:rFonts w:hint="default"/>
                <w:color w:val="auto"/>
              </w:rPr>
              <w:t>涨潮</w:t>
            </w:r>
          </w:p>
        </w:tc>
        <w:tc>
          <w:tcPr>
            <w:tcW w:w="1134" w:type="dxa"/>
            <w:vMerge w:val="restart"/>
          </w:tcPr>
          <w:p w14:paraId="733537C9">
            <w:pPr>
              <w:pStyle w:val="91"/>
              <w:keepNext w:val="0"/>
              <w:keepLines w:val="0"/>
              <w:suppressLineNumbers w:val="0"/>
              <w:spacing w:before="0" w:beforeAutospacing="0" w:after="0" w:afterAutospacing="0"/>
              <w:ind w:left="0" w:right="0"/>
              <w:rPr>
                <w:rFonts w:hint="default"/>
                <w:color w:val="auto"/>
              </w:rPr>
            </w:pPr>
            <w:r>
              <w:rPr>
                <w:rFonts w:hint="eastAsia"/>
                <w:color w:val="auto"/>
              </w:rPr>
              <w:t>S风</w:t>
            </w:r>
          </w:p>
        </w:tc>
        <w:tc>
          <w:tcPr>
            <w:tcW w:w="1559" w:type="dxa"/>
            <w:vMerge w:val="restart"/>
          </w:tcPr>
          <w:p w14:paraId="5BAA1D25">
            <w:pPr>
              <w:pStyle w:val="91"/>
              <w:keepNext w:val="0"/>
              <w:keepLines w:val="0"/>
              <w:suppressLineNumbers w:val="0"/>
              <w:spacing w:before="0" w:beforeAutospacing="0" w:after="0" w:afterAutospacing="0"/>
              <w:ind w:left="0" w:right="0"/>
              <w:rPr>
                <w:rFonts w:hint="default"/>
                <w:color w:val="auto"/>
              </w:rPr>
            </w:pPr>
            <w:r>
              <w:rPr>
                <w:rFonts w:hint="default"/>
                <w:color w:val="auto"/>
              </w:rPr>
              <w:t>5.1</w:t>
            </w:r>
          </w:p>
        </w:tc>
        <w:tc>
          <w:tcPr>
            <w:tcW w:w="1233" w:type="dxa"/>
          </w:tcPr>
          <w:p w14:paraId="282CE97D">
            <w:pPr>
              <w:pStyle w:val="91"/>
              <w:keepNext w:val="0"/>
              <w:keepLines w:val="0"/>
              <w:suppressLineNumbers w:val="0"/>
              <w:spacing w:before="0" w:beforeAutospacing="0" w:after="0" w:afterAutospacing="0"/>
              <w:ind w:left="0" w:right="0"/>
              <w:rPr>
                <w:rFonts w:hint="default"/>
                <w:color w:val="auto"/>
              </w:rPr>
            </w:pPr>
            <w:r>
              <w:rPr>
                <w:rFonts w:hint="default"/>
                <w:color w:val="auto"/>
              </w:rPr>
              <w:t>5.19</w:t>
            </w:r>
          </w:p>
        </w:tc>
        <w:tc>
          <w:tcPr>
            <w:tcW w:w="1233" w:type="dxa"/>
          </w:tcPr>
          <w:p w14:paraId="5E061A1A">
            <w:pPr>
              <w:pStyle w:val="91"/>
              <w:keepNext w:val="0"/>
              <w:keepLines w:val="0"/>
              <w:suppressLineNumbers w:val="0"/>
              <w:spacing w:before="0" w:beforeAutospacing="0" w:after="0" w:afterAutospacing="0"/>
              <w:ind w:left="0" w:right="0"/>
              <w:rPr>
                <w:rFonts w:hint="default"/>
                <w:color w:val="auto"/>
              </w:rPr>
            </w:pPr>
            <w:r>
              <w:rPr>
                <w:rFonts w:hint="default"/>
                <w:color w:val="auto"/>
              </w:rPr>
              <w:t>11.97</w:t>
            </w:r>
          </w:p>
        </w:tc>
        <w:tc>
          <w:tcPr>
            <w:tcW w:w="1233" w:type="dxa"/>
          </w:tcPr>
          <w:p w14:paraId="2B245267">
            <w:pPr>
              <w:pStyle w:val="91"/>
              <w:keepNext w:val="0"/>
              <w:keepLines w:val="0"/>
              <w:suppressLineNumbers w:val="0"/>
              <w:spacing w:before="0" w:beforeAutospacing="0" w:after="0" w:afterAutospacing="0"/>
              <w:ind w:left="0" w:right="0"/>
              <w:rPr>
                <w:rFonts w:hint="default"/>
                <w:color w:val="auto"/>
              </w:rPr>
            </w:pPr>
            <w:r>
              <w:rPr>
                <w:rFonts w:hint="default"/>
                <w:color w:val="auto"/>
              </w:rPr>
              <w:t>12.03</w:t>
            </w:r>
          </w:p>
        </w:tc>
        <w:tc>
          <w:tcPr>
            <w:tcW w:w="1233" w:type="dxa"/>
          </w:tcPr>
          <w:p w14:paraId="2B7A1608">
            <w:pPr>
              <w:pStyle w:val="91"/>
              <w:keepNext w:val="0"/>
              <w:keepLines w:val="0"/>
              <w:suppressLineNumbers w:val="0"/>
              <w:spacing w:before="0" w:beforeAutospacing="0" w:after="0" w:afterAutospacing="0"/>
              <w:ind w:left="0" w:right="0"/>
              <w:rPr>
                <w:rFonts w:hint="default"/>
                <w:color w:val="auto"/>
              </w:rPr>
            </w:pPr>
            <w:r>
              <w:rPr>
                <w:rFonts w:hint="default"/>
                <w:color w:val="auto"/>
              </w:rPr>
              <w:t>12.07</w:t>
            </w:r>
          </w:p>
        </w:tc>
      </w:tr>
      <w:tr w14:paraId="1692A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3150B3A6">
            <w:pPr>
              <w:pStyle w:val="91"/>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748" w:type="dxa"/>
          </w:tcPr>
          <w:p w14:paraId="0008C365">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1134" w:type="dxa"/>
            <w:vMerge w:val="continue"/>
          </w:tcPr>
          <w:p w14:paraId="6B3CB63B">
            <w:pPr>
              <w:pStyle w:val="91"/>
              <w:keepNext w:val="0"/>
              <w:keepLines w:val="0"/>
              <w:suppressLineNumbers w:val="0"/>
              <w:spacing w:before="0" w:beforeAutospacing="0" w:after="0" w:afterAutospacing="0"/>
              <w:ind w:left="0" w:right="0"/>
              <w:rPr>
                <w:rFonts w:hint="default"/>
                <w:color w:val="auto"/>
              </w:rPr>
            </w:pPr>
          </w:p>
        </w:tc>
        <w:tc>
          <w:tcPr>
            <w:tcW w:w="1559" w:type="dxa"/>
            <w:vMerge w:val="continue"/>
          </w:tcPr>
          <w:p w14:paraId="1327ECA6">
            <w:pPr>
              <w:pStyle w:val="91"/>
              <w:keepNext w:val="0"/>
              <w:keepLines w:val="0"/>
              <w:suppressLineNumbers w:val="0"/>
              <w:spacing w:before="0" w:beforeAutospacing="0" w:after="0" w:afterAutospacing="0"/>
              <w:ind w:left="0" w:right="0"/>
              <w:rPr>
                <w:rFonts w:hint="default"/>
                <w:color w:val="auto"/>
              </w:rPr>
            </w:pPr>
          </w:p>
        </w:tc>
        <w:tc>
          <w:tcPr>
            <w:tcW w:w="1233" w:type="dxa"/>
          </w:tcPr>
          <w:p w14:paraId="7DAE5D1D">
            <w:pPr>
              <w:pStyle w:val="91"/>
              <w:keepNext w:val="0"/>
              <w:keepLines w:val="0"/>
              <w:suppressLineNumbers w:val="0"/>
              <w:spacing w:before="0" w:beforeAutospacing="0" w:after="0" w:afterAutospacing="0"/>
              <w:ind w:left="0" w:right="0"/>
              <w:rPr>
                <w:rFonts w:hint="default"/>
                <w:color w:val="auto"/>
              </w:rPr>
            </w:pPr>
            <w:r>
              <w:rPr>
                <w:rFonts w:hint="default"/>
                <w:color w:val="auto"/>
              </w:rPr>
              <w:t>4.47</w:t>
            </w:r>
          </w:p>
        </w:tc>
        <w:tc>
          <w:tcPr>
            <w:tcW w:w="1233" w:type="dxa"/>
          </w:tcPr>
          <w:p w14:paraId="2537264F">
            <w:pPr>
              <w:pStyle w:val="91"/>
              <w:keepNext w:val="0"/>
              <w:keepLines w:val="0"/>
              <w:suppressLineNumbers w:val="0"/>
              <w:spacing w:before="0" w:beforeAutospacing="0" w:after="0" w:afterAutospacing="0"/>
              <w:ind w:left="0" w:right="0"/>
              <w:rPr>
                <w:rFonts w:hint="default"/>
                <w:b/>
                <w:color w:val="auto"/>
              </w:rPr>
            </w:pPr>
            <w:r>
              <w:rPr>
                <w:rFonts w:hint="default"/>
                <w:color w:val="auto"/>
              </w:rPr>
              <w:t>5.61</w:t>
            </w:r>
          </w:p>
        </w:tc>
        <w:tc>
          <w:tcPr>
            <w:tcW w:w="1233" w:type="dxa"/>
          </w:tcPr>
          <w:p w14:paraId="4FC57971">
            <w:pPr>
              <w:pStyle w:val="91"/>
              <w:keepNext w:val="0"/>
              <w:keepLines w:val="0"/>
              <w:suppressLineNumbers w:val="0"/>
              <w:spacing w:before="0" w:beforeAutospacing="0" w:after="0" w:afterAutospacing="0"/>
              <w:ind w:left="0" w:right="0"/>
              <w:rPr>
                <w:rFonts w:hint="default"/>
                <w:b/>
                <w:color w:val="auto"/>
              </w:rPr>
            </w:pPr>
            <w:r>
              <w:rPr>
                <w:rFonts w:hint="default"/>
                <w:color w:val="auto"/>
              </w:rPr>
              <w:t>5.72</w:t>
            </w:r>
          </w:p>
        </w:tc>
        <w:tc>
          <w:tcPr>
            <w:tcW w:w="1233" w:type="dxa"/>
          </w:tcPr>
          <w:p w14:paraId="65D0CE99">
            <w:pPr>
              <w:pStyle w:val="91"/>
              <w:keepNext w:val="0"/>
              <w:keepLines w:val="0"/>
              <w:suppressLineNumbers w:val="0"/>
              <w:spacing w:before="0" w:beforeAutospacing="0" w:after="0" w:afterAutospacing="0"/>
              <w:ind w:left="0" w:right="0"/>
              <w:rPr>
                <w:rFonts w:hint="default"/>
                <w:b/>
                <w:color w:val="auto"/>
              </w:rPr>
            </w:pPr>
            <w:r>
              <w:rPr>
                <w:rFonts w:hint="default"/>
                <w:color w:val="auto"/>
              </w:rPr>
              <w:t>-</w:t>
            </w:r>
          </w:p>
        </w:tc>
      </w:tr>
      <w:tr w14:paraId="359E2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778DB7D2">
            <w:pPr>
              <w:pStyle w:val="91"/>
              <w:keepNext w:val="0"/>
              <w:keepLines w:val="0"/>
              <w:suppressLineNumbers w:val="0"/>
              <w:spacing w:before="0" w:beforeAutospacing="0" w:after="0" w:afterAutospacing="0"/>
              <w:ind w:left="0" w:right="0"/>
              <w:rPr>
                <w:rFonts w:hint="default"/>
                <w:color w:val="auto"/>
              </w:rPr>
            </w:pPr>
            <w:r>
              <w:rPr>
                <w:rFonts w:hint="default"/>
                <w:color w:val="auto"/>
              </w:rPr>
              <w:t>5</w:t>
            </w:r>
          </w:p>
        </w:tc>
        <w:tc>
          <w:tcPr>
            <w:tcW w:w="748" w:type="dxa"/>
          </w:tcPr>
          <w:p w14:paraId="12D1E868">
            <w:pPr>
              <w:pStyle w:val="91"/>
              <w:keepNext w:val="0"/>
              <w:keepLines w:val="0"/>
              <w:suppressLineNumbers w:val="0"/>
              <w:spacing w:before="0" w:beforeAutospacing="0" w:after="0" w:afterAutospacing="0"/>
              <w:ind w:left="0" w:right="0"/>
              <w:rPr>
                <w:rFonts w:hint="default"/>
                <w:color w:val="auto"/>
              </w:rPr>
            </w:pPr>
            <w:r>
              <w:rPr>
                <w:rFonts w:hint="eastAsia"/>
                <w:color w:val="auto"/>
              </w:rPr>
              <w:t>涨潮</w:t>
            </w:r>
          </w:p>
        </w:tc>
        <w:tc>
          <w:tcPr>
            <w:tcW w:w="1134" w:type="dxa"/>
            <w:vMerge w:val="restart"/>
          </w:tcPr>
          <w:p w14:paraId="19CD8DAA">
            <w:pPr>
              <w:pStyle w:val="91"/>
              <w:keepNext w:val="0"/>
              <w:keepLines w:val="0"/>
              <w:suppressLineNumbers w:val="0"/>
              <w:spacing w:before="0" w:beforeAutospacing="0" w:after="0" w:afterAutospacing="0"/>
              <w:ind w:left="0" w:right="0"/>
              <w:rPr>
                <w:rFonts w:hint="default"/>
                <w:color w:val="auto"/>
              </w:rPr>
            </w:pPr>
            <w:r>
              <w:rPr>
                <w:rFonts w:hint="default"/>
                <w:color w:val="auto"/>
              </w:rPr>
              <w:t>SE风</w:t>
            </w:r>
          </w:p>
        </w:tc>
        <w:tc>
          <w:tcPr>
            <w:tcW w:w="1559" w:type="dxa"/>
            <w:vMerge w:val="restart"/>
          </w:tcPr>
          <w:p w14:paraId="7DC068DA">
            <w:pPr>
              <w:pStyle w:val="91"/>
              <w:keepNext w:val="0"/>
              <w:keepLines w:val="0"/>
              <w:suppressLineNumbers w:val="0"/>
              <w:spacing w:before="0" w:beforeAutospacing="0" w:after="0" w:afterAutospacing="0"/>
              <w:ind w:left="0" w:right="0"/>
              <w:rPr>
                <w:rFonts w:hint="default"/>
                <w:color w:val="auto"/>
              </w:rPr>
            </w:pPr>
            <w:r>
              <w:rPr>
                <w:rFonts w:hint="eastAsia"/>
                <w:color w:val="auto"/>
              </w:rPr>
              <w:t>1</w:t>
            </w:r>
            <w:r>
              <w:rPr>
                <w:rFonts w:hint="default"/>
                <w:color w:val="auto"/>
              </w:rPr>
              <w:t>3.8</w:t>
            </w:r>
          </w:p>
        </w:tc>
        <w:tc>
          <w:tcPr>
            <w:tcW w:w="1233" w:type="dxa"/>
          </w:tcPr>
          <w:p w14:paraId="598378F1">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23.47</w:t>
            </w:r>
          </w:p>
        </w:tc>
        <w:tc>
          <w:tcPr>
            <w:tcW w:w="1233" w:type="dxa"/>
          </w:tcPr>
          <w:p w14:paraId="23C3983C">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24.74</w:t>
            </w:r>
          </w:p>
        </w:tc>
        <w:tc>
          <w:tcPr>
            <w:tcW w:w="1233" w:type="dxa"/>
          </w:tcPr>
          <w:p w14:paraId="21B3F1BE">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25.24</w:t>
            </w:r>
          </w:p>
        </w:tc>
        <w:tc>
          <w:tcPr>
            <w:tcW w:w="1233" w:type="dxa"/>
          </w:tcPr>
          <w:p w14:paraId="0F4DC57E">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25.58</w:t>
            </w:r>
          </w:p>
        </w:tc>
      </w:tr>
      <w:tr w14:paraId="1F3E8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0E50E0E2">
            <w:pPr>
              <w:pStyle w:val="91"/>
              <w:keepNext w:val="0"/>
              <w:keepLines w:val="0"/>
              <w:suppressLineNumbers w:val="0"/>
              <w:spacing w:before="0" w:beforeAutospacing="0" w:after="0" w:afterAutospacing="0"/>
              <w:ind w:left="0" w:right="0"/>
              <w:rPr>
                <w:rFonts w:hint="default"/>
                <w:color w:val="auto"/>
              </w:rPr>
            </w:pPr>
            <w:r>
              <w:rPr>
                <w:rFonts w:hint="default"/>
                <w:color w:val="auto"/>
              </w:rPr>
              <w:t>6</w:t>
            </w:r>
          </w:p>
        </w:tc>
        <w:tc>
          <w:tcPr>
            <w:tcW w:w="748" w:type="dxa"/>
          </w:tcPr>
          <w:p w14:paraId="4FCFFB8B">
            <w:pPr>
              <w:pStyle w:val="91"/>
              <w:keepNext w:val="0"/>
              <w:keepLines w:val="0"/>
              <w:suppressLineNumbers w:val="0"/>
              <w:spacing w:before="0" w:beforeAutospacing="0" w:after="0" w:afterAutospacing="0"/>
              <w:ind w:left="0" w:right="0"/>
              <w:rPr>
                <w:rFonts w:hint="default"/>
                <w:color w:val="auto"/>
              </w:rPr>
            </w:pPr>
            <w:r>
              <w:rPr>
                <w:rFonts w:hint="default"/>
                <w:color w:val="auto"/>
              </w:rPr>
              <w:t>落潮</w:t>
            </w:r>
          </w:p>
        </w:tc>
        <w:tc>
          <w:tcPr>
            <w:tcW w:w="1134" w:type="dxa"/>
            <w:vMerge w:val="continue"/>
          </w:tcPr>
          <w:p w14:paraId="78F1DB3C">
            <w:pPr>
              <w:pStyle w:val="91"/>
              <w:keepNext w:val="0"/>
              <w:keepLines w:val="0"/>
              <w:suppressLineNumbers w:val="0"/>
              <w:spacing w:before="0" w:beforeAutospacing="0" w:after="0" w:afterAutospacing="0"/>
              <w:ind w:left="0" w:right="0"/>
              <w:rPr>
                <w:rFonts w:hint="default"/>
                <w:color w:val="auto"/>
              </w:rPr>
            </w:pPr>
          </w:p>
        </w:tc>
        <w:tc>
          <w:tcPr>
            <w:tcW w:w="1559" w:type="dxa"/>
            <w:vMerge w:val="continue"/>
          </w:tcPr>
          <w:p w14:paraId="71748188">
            <w:pPr>
              <w:pStyle w:val="91"/>
              <w:keepNext w:val="0"/>
              <w:keepLines w:val="0"/>
              <w:suppressLineNumbers w:val="0"/>
              <w:spacing w:before="0" w:beforeAutospacing="0" w:after="0" w:afterAutospacing="0"/>
              <w:ind w:left="0" w:right="0"/>
              <w:rPr>
                <w:rFonts w:hint="default"/>
                <w:color w:val="auto"/>
              </w:rPr>
            </w:pPr>
          </w:p>
        </w:tc>
        <w:tc>
          <w:tcPr>
            <w:tcW w:w="1233" w:type="dxa"/>
          </w:tcPr>
          <w:p w14:paraId="1D9A3E9C">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1.22</w:t>
            </w:r>
          </w:p>
        </w:tc>
        <w:tc>
          <w:tcPr>
            <w:tcW w:w="1233" w:type="dxa"/>
          </w:tcPr>
          <w:p w14:paraId="4160B86B">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25.07</w:t>
            </w:r>
          </w:p>
        </w:tc>
        <w:tc>
          <w:tcPr>
            <w:tcW w:w="1233" w:type="dxa"/>
          </w:tcPr>
          <w:p w14:paraId="368FC13B">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25.90</w:t>
            </w:r>
          </w:p>
        </w:tc>
        <w:tc>
          <w:tcPr>
            <w:tcW w:w="1233" w:type="dxa"/>
          </w:tcPr>
          <w:p w14:paraId="43F4BE8A">
            <w:pPr>
              <w:pStyle w:val="91"/>
              <w:keepNext w:val="0"/>
              <w:keepLines w:val="0"/>
              <w:suppressLineNumbers w:val="0"/>
              <w:spacing w:before="0" w:beforeAutospacing="0" w:after="0" w:afterAutospacing="0"/>
              <w:ind w:left="0" w:right="0"/>
              <w:rPr>
                <w:rFonts w:hint="default"/>
                <w:color w:val="auto"/>
              </w:rPr>
            </w:pPr>
            <w:r>
              <w:rPr>
                <w:rFonts w:hint="eastAsia"/>
                <w:color w:val="auto"/>
                <w:sz w:val="22"/>
                <w:szCs w:val="22"/>
              </w:rPr>
              <w:t>26.41</w:t>
            </w:r>
          </w:p>
        </w:tc>
      </w:tr>
    </w:tbl>
    <w:p w14:paraId="3BCB52CC">
      <w:pPr>
        <w:pStyle w:val="117"/>
        <w:rPr>
          <w:color w:val="auto"/>
        </w:rPr>
      </w:pPr>
      <w:r>
        <w:rPr>
          <w:color w:val="auto"/>
        </w:rPr>
        <w:t>注：1、扫海面积以油膜绘制时间间隔10分钟的轨迹图进行统计；</w:t>
      </w:r>
    </w:p>
    <w:p w14:paraId="02342864">
      <w:pPr>
        <w:pStyle w:val="117"/>
        <w:rPr>
          <w:color w:val="auto"/>
        </w:rPr>
      </w:pPr>
      <w:r>
        <w:rPr>
          <w:color w:val="auto"/>
        </w:rPr>
        <w:t>2、表中“-”表示油膜抵岸且不再运动</w:t>
      </w:r>
      <w:r>
        <w:rPr>
          <w:rFonts w:hint="eastAsia"/>
          <w:color w:val="auto"/>
        </w:rPr>
        <w:t>或扩散出计算区域</w:t>
      </w:r>
      <w:r>
        <w:rPr>
          <w:color w:val="auto"/>
        </w:rPr>
        <w:t>，扫海面积不再增大。</w:t>
      </w:r>
    </w:p>
    <w:p w14:paraId="25FE345C">
      <w:pPr>
        <w:ind w:firstLine="480"/>
        <w:jc w:val="left"/>
        <w:rPr>
          <w:color w:val="auto"/>
          <w:szCs w:val="21"/>
        </w:rPr>
      </w:pPr>
    </w:p>
    <w:p w14:paraId="242B7176">
      <w:pPr>
        <w:ind w:firstLine="480"/>
        <w:jc w:val="center"/>
        <w:rPr>
          <w:b/>
          <w:bCs/>
          <w:color w:val="auto"/>
          <w:szCs w:val="21"/>
          <w:u w:val="single"/>
        </w:rPr>
      </w:pPr>
      <w:r>
        <w:rPr>
          <w:rFonts w:ascii="Times New Roman" w:hAnsi="Times New Roman" w:eastAsia="宋体" w:cs="Times New Roman"/>
          <w:color w:val="auto"/>
          <w:sz w:val="24"/>
          <w:szCs w:val="21"/>
          <w:u w:val="single"/>
        </w:rPr>
        <w:drawing>
          <wp:inline distT="0" distB="0" distL="0" distR="0">
            <wp:extent cx="4032250" cy="3675380"/>
            <wp:effectExtent l="0" t="0" r="3810" b="5080"/>
            <wp:docPr id="78" name="图片 78" descr="F:\My_projects\Dongyou_GX2026\MTBE\Result_0.03_new\GX_spring_Oil_case0_72H_Decoupled_flood_N_case1.m21fm - Result Files\MTBE_flood_N_case1_large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F:\My_projects\Dongyou_GX2026\MTBE\Result_0.03_new\GX_spring_Oil_case0_72H_Decoupled_flood_N_case1.m21fm - Result Files\MTBE_flood_N_case1_large_new.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a:xfrm>
                      <a:off x="0" y="0"/>
                      <a:ext cx="4032250" cy="3675380"/>
                    </a:xfrm>
                    <a:prstGeom prst="rect">
                      <a:avLst/>
                    </a:prstGeom>
                    <a:noFill/>
                    <a:ln>
                      <a:noFill/>
                    </a:ln>
                  </pic:spPr>
                </pic:pic>
              </a:graphicData>
            </a:graphic>
          </wp:inline>
        </w:drawing>
      </w:r>
    </w:p>
    <w:p w14:paraId="31AC83A6">
      <w:pPr>
        <w:pStyle w:val="14"/>
        <w:rPr>
          <w:rStyle w:val="239"/>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26</w:t>
      </w:r>
      <w:r>
        <w:rPr>
          <w:color w:val="auto"/>
          <w:u w:val="single"/>
        </w:rPr>
        <w:fldChar w:fldCharType="end"/>
      </w:r>
      <w:r>
        <w:rPr>
          <w:rFonts w:hint="eastAsia"/>
          <w:color w:val="auto"/>
          <w:u w:val="single"/>
        </w:rPr>
        <w:t>甲基叔丁基醚（</w:t>
      </w:r>
      <w:r>
        <w:rPr>
          <w:color w:val="auto"/>
          <w:u w:val="single"/>
        </w:rPr>
        <w:t>MTBE）泄漏事故</w:t>
      </w:r>
      <w:r>
        <w:rPr>
          <w:rFonts w:hint="eastAsia"/>
          <w:color w:val="auto"/>
          <w:u w:val="single"/>
        </w:rPr>
        <w:t>工况1</w:t>
      </w:r>
      <w:r>
        <w:rPr>
          <w:color w:val="auto"/>
          <w:u w:val="single"/>
        </w:rPr>
        <w:t>油膜运动轨迹图</w:t>
      </w:r>
    </w:p>
    <w:p w14:paraId="42435198">
      <w:pPr>
        <w:pStyle w:val="14"/>
        <w:rPr>
          <w:rStyle w:val="239"/>
          <w:color w:val="auto"/>
          <w:sz w:val="21"/>
          <w:u w:val="single"/>
        </w:rPr>
      </w:pPr>
      <w:r>
        <w:rPr>
          <w:rStyle w:val="239"/>
          <w:color w:val="auto"/>
          <w:sz w:val="21"/>
          <w:u w:val="single"/>
        </w:rPr>
        <w:t>（大潮涨潮期，</w:t>
      </w:r>
      <w:r>
        <w:rPr>
          <w:rStyle w:val="239"/>
          <w:rFonts w:hint="eastAsia"/>
          <w:color w:val="auto"/>
          <w:sz w:val="21"/>
          <w:u w:val="single"/>
        </w:rPr>
        <w:t>冬季N风、风速</w:t>
      </w:r>
      <w:r>
        <w:rPr>
          <w:rStyle w:val="239"/>
          <w:color w:val="auto"/>
          <w:sz w:val="21"/>
          <w:u w:val="single"/>
        </w:rPr>
        <w:t>6.7m/s，绘制间隔60</w:t>
      </w:r>
      <w:r>
        <w:rPr>
          <w:rStyle w:val="239"/>
          <w:rFonts w:hint="eastAsia"/>
          <w:color w:val="auto"/>
          <w:sz w:val="21"/>
          <w:u w:val="single"/>
        </w:rPr>
        <w:t>min</w:t>
      </w:r>
      <w:r>
        <w:rPr>
          <w:rStyle w:val="239"/>
          <w:color w:val="auto"/>
          <w:sz w:val="21"/>
          <w:u w:val="single"/>
        </w:rPr>
        <w:t>）</w:t>
      </w:r>
    </w:p>
    <w:p w14:paraId="2B9E0957">
      <w:pPr>
        <w:pStyle w:val="240"/>
        <w:jc w:val="center"/>
        <w:rPr>
          <w:rStyle w:val="239"/>
          <w:color w:val="auto"/>
          <w:u w:val="single"/>
        </w:rPr>
      </w:pPr>
      <w:r>
        <w:rPr>
          <w:rStyle w:val="239"/>
          <w:color w:val="auto"/>
          <w:u w:val="single"/>
        </w:rPr>
        <w:drawing>
          <wp:inline distT="0" distB="0" distL="0" distR="0">
            <wp:extent cx="4032250" cy="3675380"/>
            <wp:effectExtent l="0" t="0" r="3810" b="5080"/>
            <wp:docPr id="79" name="图片 79" descr="F:\My_projects\Dongyou_GX2026\MTBE\Result_0.03_new\GX_spring_Oil_case0_72H_Decoupled_ebb_N_case2.m21fm - Result Files\MTBE_ebb_N_case2_large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F:\My_projects\Dongyou_GX2026\MTBE\Result_0.03_new\GX_spring_Oil_case0_72H_Decoupled_ebb_N_case2.m21fm - Result Files\MTBE_ebb_N_case2_large_new.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a:xfrm>
                      <a:off x="0" y="0"/>
                      <a:ext cx="4032250" cy="3675380"/>
                    </a:xfrm>
                    <a:prstGeom prst="rect">
                      <a:avLst/>
                    </a:prstGeom>
                    <a:noFill/>
                    <a:ln>
                      <a:noFill/>
                    </a:ln>
                  </pic:spPr>
                </pic:pic>
              </a:graphicData>
            </a:graphic>
          </wp:inline>
        </w:drawing>
      </w:r>
    </w:p>
    <w:p w14:paraId="68D90F44">
      <w:pPr>
        <w:pStyle w:val="14"/>
        <w:rPr>
          <w:rStyle w:val="239"/>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27</w:t>
      </w:r>
      <w:r>
        <w:rPr>
          <w:color w:val="auto"/>
          <w:u w:val="single"/>
        </w:rPr>
        <w:fldChar w:fldCharType="end"/>
      </w:r>
      <w:r>
        <w:rPr>
          <w:rFonts w:hint="eastAsia"/>
          <w:color w:val="auto"/>
          <w:u w:val="single"/>
        </w:rPr>
        <w:t>甲基叔丁基醚（</w:t>
      </w:r>
      <w:r>
        <w:rPr>
          <w:color w:val="auto"/>
          <w:u w:val="single"/>
        </w:rPr>
        <w:t>MTBE）泄漏</w:t>
      </w:r>
      <w:r>
        <w:rPr>
          <w:rFonts w:hint="eastAsia"/>
          <w:color w:val="auto"/>
          <w:u w:val="single"/>
        </w:rPr>
        <w:t>事故工况2</w:t>
      </w:r>
      <w:r>
        <w:rPr>
          <w:color w:val="auto"/>
          <w:u w:val="single"/>
        </w:rPr>
        <w:t>油膜运动轨迹图</w:t>
      </w:r>
    </w:p>
    <w:p w14:paraId="6A2B9A8A">
      <w:pPr>
        <w:pStyle w:val="14"/>
        <w:rPr>
          <w:rStyle w:val="239"/>
          <w:color w:val="auto"/>
          <w:sz w:val="21"/>
          <w:u w:val="single"/>
        </w:rPr>
      </w:pPr>
      <w:r>
        <w:rPr>
          <w:rStyle w:val="239"/>
          <w:color w:val="auto"/>
          <w:sz w:val="21"/>
          <w:u w:val="single"/>
        </w:rPr>
        <w:t>（大潮</w:t>
      </w:r>
      <w:r>
        <w:rPr>
          <w:rStyle w:val="239"/>
          <w:rFonts w:hint="eastAsia"/>
          <w:color w:val="auto"/>
          <w:sz w:val="21"/>
          <w:u w:val="single"/>
        </w:rPr>
        <w:t>落</w:t>
      </w:r>
      <w:r>
        <w:rPr>
          <w:rStyle w:val="239"/>
          <w:color w:val="auto"/>
          <w:sz w:val="21"/>
          <w:u w:val="single"/>
        </w:rPr>
        <w:t>潮期，</w:t>
      </w:r>
      <w:r>
        <w:rPr>
          <w:rStyle w:val="239"/>
          <w:rFonts w:hint="eastAsia"/>
          <w:color w:val="auto"/>
          <w:sz w:val="21"/>
          <w:u w:val="single"/>
        </w:rPr>
        <w:t>冬季N风、风速</w:t>
      </w:r>
      <w:r>
        <w:rPr>
          <w:rStyle w:val="239"/>
          <w:color w:val="auto"/>
          <w:sz w:val="21"/>
          <w:u w:val="single"/>
        </w:rPr>
        <w:t>6.7m/s，绘制间隔60</w:t>
      </w:r>
      <w:r>
        <w:rPr>
          <w:rStyle w:val="239"/>
          <w:rFonts w:hint="eastAsia"/>
          <w:color w:val="auto"/>
          <w:sz w:val="21"/>
          <w:u w:val="single"/>
        </w:rPr>
        <w:t>min</w:t>
      </w:r>
      <w:r>
        <w:rPr>
          <w:rStyle w:val="239"/>
          <w:color w:val="auto"/>
          <w:sz w:val="21"/>
          <w:u w:val="single"/>
        </w:rPr>
        <w:t>）</w:t>
      </w:r>
    </w:p>
    <w:p w14:paraId="25D47D1F">
      <w:pPr>
        <w:pStyle w:val="240"/>
        <w:jc w:val="center"/>
        <w:rPr>
          <w:rStyle w:val="239"/>
          <w:color w:val="auto"/>
          <w:u w:val="single"/>
        </w:rPr>
      </w:pPr>
      <w:r>
        <w:rPr>
          <w:rStyle w:val="239"/>
          <w:color w:val="auto"/>
          <w:u w:val="single"/>
        </w:rPr>
        <w:drawing>
          <wp:inline distT="0" distB="0" distL="0" distR="0">
            <wp:extent cx="4032250" cy="3675380"/>
            <wp:effectExtent l="0" t="0" r="3810" b="5080"/>
            <wp:docPr id="80" name="图片 80" descr="F:\My_projects\Dongyou_GX2026\MTBE\Result_0.03_new\GX_spring_Oil_case0_72H_Decoupled_flood_S_case3.m21fm - Result Files\MTBE_flood_S_case3_large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F:\My_projects\Dongyou_GX2026\MTBE\Result_0.03_new\GX_spring_Oil_case0_72H_Decoupled_flood_S_case3.m21fm - Result Files\MTBE_flood_S_case3_large_new.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a:xfrm>
                      <a:off x="0" y="0"/>
                      <a:ext cx="4032250" cy="3675380"/>
                    </a:xfrm>
                    <a:prstGeom prst="rect">
                      <a:avLst/>
                    </a:prstGeom>
                    <a:noFill/>
                    <a:ln>
                      <a:noFill/>
                    </a:ln>
                  </pic:spPr>
                </pic:pic>
              </a:graphicData>
            </a:graphic>
          </wp:inline>
        </w:drawing>
      </w:r>
    </w:p>
    <w:p w14:paraId="63D0D1B2">
      <w:pPr>
        <w:pStyle w:val="14"/>
        <w:rPr>
          <w:rStyle w:val="239"/>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28</w:t>
      </w:r>
      <w:r>
        <w:rPr>
          <w:color w:val="auto"/>
          <w:u w:val="single"/>
        </w:rPr>
        <w:fldChar w:fldCharType="end"/>
      </w:r>
      <w:r>
        <w:rPr>
          <w:rFonts w:hint="eastAsia"/>
          <w:color w:val="auto"/>
          <w:u w:val="single"/>
        </w:rPr>
        <w:t>甲基叔丁基醚（</w:t>
      </w:r>
      <w:r>
        <w:rPr>
          <w:color w:val="auto"/>
          <w:u w:val="single"/>
        </w:rPr>
        <w:t>MTBE）泄漏</w:t>
      </w:r>
      <w:r>
        <w:rPr>
          <w:rFonts w:hint="eastAsia"/>
          <w:color w:val="auto"/>
          <w:u w:val="single"/>
        </w:rPr>
        <w:t>事故工况3</w:t>
      </w:r>
      <w:r>
        <w:rPr>
          <w:color w:val="auto"/>
          <w:u w:val="single"/>
        </w:rPr>
        <w:t>油膜运动轨迹图</w:t>
      </w:r>
    </w:p>
    <w:p w14:paraId="5D0985C9">
      <w:pPr>
        <w:pStyle w:val="14"/>
        <w:rPr>
          <w:rStyle w:val="239"/>
          <w:color w:val="auto"/>
          <w:sz w:val="21"/>
          <w:u w:val="single"/>
        </w:rPr>
      </w:pPr>
      <w:r>
        <w:rPr>
          <w:rStyle w:val="239"/>
          <w:color w:val="auto"/>
          <w:sz w:val="21"/>
          <w:u w:val="single"/>
        </w:rPr>
        <w:t>（大潮涨潮期，</w:t>
      </w:r>
      <w:r>
        <w:rPr>
          <w:rStyle w:val="239"/>
          <w:rFonts w:hint="eastAsia"/>
          <w:color w:val="auto"/>
          <w:sz w:val="21"/>
          <w:u w:val="single"/>
        </w:rPr>
        <w:t>夏季S风、风速</w:t>
      </w:r>
      <w:r>
        <w:rPr>
          <w:rStyle w:val="239"/>
          <w:color w:val="auto"/>
          <w:sz w:val="21"/>
          <w:u w:val="single"/>
        </w:rPr>
        <w:t>5.1m/s，绘制间隔60</w:t>
      </w:r>
      <w:r>
        <w:rPr>
          <w:rStyle w:val="239"/>
          <w:rFonts w:hint="eastAsia"/>
          <w:color w:val="auto"/>
          <w:sz w:val="21"/>
          <w:u w:val="single"/>
        </w:rPr>
        <w:t>min</w:t>
      </w:r>
      <w:r>
        <w:rPr>
          <w:rStyle w:val="239"/>
          <w:color w:val="auto"/>
          <w:sz w:val="21"/>
          <w:u w:val="single"/>
        </w:rPr>
        <w:t>）</w:t>
      </w:r>
    </w:p>
    <w:p w14:paraId="515E4DFB">
      <w:pPr>
        <w:pStyle w:val="240"/>
        <w:jc w:val="center"/>
        <w:rPr>
          <w:rStyle w:val="239"/>
          <w:color w:val="auto"/>
          <w:u w:val="single"/>
        </w:rPr>
      </w:pPr>
      <w:r>
        <w:rPr>
          <w:rStyle w:val="239"/>
          <w:color w:val="auto"/>
          <w:u w:val="single"/>
        </w:rPr>
        <w:drawing>
          <wp:inline distT="0" distB="0" distL="0" distR="0">
            <wp:extent cx="4032250" cy="3675380"/>
            <wp:effectExtent l="0" t="0" r="3810" b="5080"/>
            <wp:docPr id="81" name="图片 81" descr="F:\My_projects\Dongyou_GX2026\MTBE\Result_0.03_new\GX_spring_Oil_case0_72H_Decoupled_ebb_S_case4.m21fm - Result Files\MTBE_ebb_S_case4_large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F:\My_projects\Dongyou_GX2026\MTBE\Result_0.03_new\GX_spring_Oil_case0_72H_Decoupled_ebb_S_case4.m21fm - Result Files\MTBE_ebb_S_case4_large_new.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a:xfrm>
                      <a:off x="0" y="0"/>
                      <a:ext cx="4032250" cy="3675380"/>
                    </a:xfrm>
                    <a:prstGeom prst="rect">
                      <a:avLst/>
                    </a:prstGeom>
                    <a:noFill/>
                    <a:ln>
                      <a:noFill/>
                    </a:ln>
                  </pic:spPr>
                </pic:pic>
              </a:graphicData>
            </a:graphic>
          </wp:inline>
        </w:drawing>
      </w:r>
    </w:p>
    <w:p w14:paraId="29E2677C">
      <w:pPr>
        <w:pStyle w:val="14"/>
        <w:rPr>
          <w:rStyle w:val="239"/>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29</w:t>
      </w:r>
      <w:r>
        <w:rPr>
          <w:color w:val="auto"/>
          <w:u w:val="single"/>
        </w:rPr>
        <w:fldChar w:fldCharType="end"/>
      </w:r>
      <w:r>
        <w:rPr>
          <w:rFonts w:hint="eastAsia"/>
          <w:color w:val="auto"/>
          <w:u w:val="single"/>
        </w:rPr>
        <w:t>甲基叔丁基醚（</w:t>
      </w:r>
      <w:r>
        <w:rPr>
          <w:color w:val="auto"/>
          <w:u w:val="single"/>
        </w:rPr>
        <w:t>MTBE）泄漏</w:t>
      </w:r>
      <w:r>
        <w:rPr>
          <w:rFonts w:hint="eastAsia"/>
          <w:color w:val="auto"/>
          <w:u w:val="single"/>
        </w:rPr>
        <w:t>事故工况4</w:t>
      </w:r>
      <w:r>
        <w:rPr>
          <w:color w:val="auto"/>
          <w:u w:val="single"/>
        </w:rPr>
        <w:t>油膜运动轨迹图</w:t>
      </w:r>
    </w:p>
    <w:p w14:paraId="6DA8B698">
      <w:pPr>
        <w:pStyle w:val="14"/>
        <w:rPr>
          <w:rStyle w:val="239"/>
          <w:color w:val="auto"/>
          <w:sz w:val="21"/>
          <w:u w:val="single"/>
        </w:rPr>
      </w:pPr>
      <w:r>
        <w:rPr>
          <w:rStyle w:val="239"/>
          <w:color w:val="auto"/>
          <w:sz w:val="21"/>
          <w:u w:val="single"/>
        </w:rPr>
        <w:t>（大潮</w:t>
      </w:r>
      <w:r>
        <w:rPr>
          <w:rStyle w:val="239"/>
          <w:rFonts w:hint="eastAsia"/>
          <w:color w:val="auto"/>
          <w:sz w:val="21"/>
          <w:u w:val="single"/>
        </w:rPr>
        <w:t>落潮</w:t>
      </w:r>
      <w:r>
        <w:rPr>
          <w:rStyle w:val="239"/>
          <w:color w:val="auto"/>
          <w:sz w:val="21"/>
          <w:u w:val="single"/>
        </w:rPr>
        <w:t>期，</w:t>
      </w:r>
      <w:r>
        <w:rPr>
          <w:rStyle w:val="239"/>
          <w:rFonts w:hint="eastAsia"/>
          <w:color w:val="auto"/>
          <w:sz w:val="21"/>
          <w:u w:val="single"/>
        </w:rPr>
        <w:t>夏季S风、风速</w:t>
      </w:r>
      <w:r>
        <w:rPr>
          <w:rStyle w:val="239"/>
          <w:color w:val="auto"/>
          <w:sz w:val="21"/>
          <w:u w:val="single"/>
        </w:rPr>
        <w:t>5.1m/s，绘制间隔60</w:t>
      </w:r>
      <w:r>
        <w:rPr>
          <w:rStyle w:val="239"/>
          <w:rFonts w:hint="eastAsia"/>
          <w:color w:val="auto"/>
          <w:sz w:val="21"/>
          <w:u w:val="single"/>
        </w:rPr>
        <w:t>min</w:t>
      </w:r>
      <w:r>
        <w:rPr>
          <w:rStyle w:val="239"/>
          <w:color w:val="auto"/>
          <w:sz w:val="21"/>
          <w:u w:val="single"/>
        </w:rPr>
        <w:t>）</w:t>
      </w:r>
    </w:p>
    <w:p w14:paraId="75B70D85">
      <w:pPr>
        <w:pStyle w:val="240"/>
        <w:jc w:val="center"/>
        <w:rPr>
          <w:rStyle w:val="239"/>
          <w:color w:val="auto"/>
          <w:u w:val="single"/>
        </w:rPr>
      </w:pPr>
      <w:r>
        <w:rPr>
          <w:rStyle w:val="239"/>
          <w:color w:val="auto"/>
          <w:u w:val="single"/>
        </w:rPr>
        <w:drawing>
          <wp:inline distT="0" distB="0" distL="0" distR="0">
            <wp:extent cx="4032250" cy="3675380"/>
            <wp:effectExtent l="0" t="0" r="3810" b="5080"/>
            <wp:docPr id="82" name="图片 82" descr="F:\My_projects\Dongyou_GX2026\MTBE\Result_0.03_new\GX_spring_Oil_case0_72H_Decoupled_flood_SE_case7.m21fm - Result Files\MTBE_flood_SE_case7_large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F:\My_projects\Dongyou_GX2026\MTBE\Result_0.03_new\GX_spring_Oil_case0_72H_Decoupled_flood_SE_case7.m21fm - Result Files\MTBE_flood_SE_case7_large_new.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a:xfrm>
                      <a:off x="0" y="0"/>
                      <a:ext cx="4032250" cy="3675380"/>
                    </a:xfrm>
                    <a:prstGeom prst="rect">
                      <a:avLst/>
                    </a:prstGeom>
                    <a:noFill/>
                    <a:ln>
                      <a:noFill/>
                    </a:ln>
                  </pic:spPr>
                </pic:pic>
              </a:graphicData>
            </a:graphic>
          </wp:inline>
        </w:drawing>
      </w:r>
    </w:p>
    <w:p w14:paraId="0A8E8C79">
      <w:pPr>
        <w:pStyle w:val="14"/>
        <w:rPr>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30</w:t>
      </w:r>
      <w:r>
        <w:rPr>
          <w:color w:val="auto"/>
          <w:u w:val="single"/>
        </w:rPr>
        <w:fldChar w:fldCharType="end"/>
      </w:r>
      <w:r>
        <w:rPr>
          <w:rFonts w:hint="eastAsia"/>
          <w:color w:val="auto"/>
          <w:u w:val="single"/>
        </w:rPr>
        <w:t>甲基叔丁基醚（</w:t>
      </w:r>
      <w:r>
        <w:rPr>
          <w:color w:val="auto"/>
          <w:u w:val="single"/>
        </w:rPr>
        <w:t>MTBE）泄漏</w:t>
      </w:r>
      <w:r>
        <w:rPr>
          <w:rFonts w:hint="eastAsia"/>
          <w:color w:val="auto"/>
          <w:u w:val="single"/>
        </w:rPr>
        <w:t>事故工况</w:t>
      </w:r>
      <w:r>
        <w:rPr>
          <w:color w:val="auto"/>
          <w:u w:val="single"/>
        </w:rPr>
        <w:t>5油膜运动轨迹图</w:t>
      </w:r>
    </w:p>
    <w:p w14:paraId="19AFB9D4">
      <w:pPr>
        <w:pStyle w:val="14"/>
        <w:rPr>
          <w:rStyle w:val="239"/>
          <w:color w:val="auto"/>
          <w:sz w:val="21"/>
          <w:u w:val="single"/>
        </w:rPr>
      </w:pPr>
      <w:r>
        <w:rPr>
          <w:rStyle w:val="239"/>
          <w:color w:val="auto"/>
          <w:sz w:val="21"/>
          <w:u w:val="single"/>
        </w:rPr>
        <w:t>（大潮</w:t>
      </w:r>
      <w:r>
        <w:rPr>
          <w:rStyle w:val="239"/>
          <w:rFonts w:hint="eastAsia"/>
          <w:color w:val="auto"/>
          <w:sz w:val="21"/>
          <w:u w:val="single"/>
        </w:rPr>
        <w:t>涨</w:t>
      </w:r>
      <w:r>
        <w:rPr>
          <w:rStyle w:val="239"/>
          <w:color w:val="auto"/>
          <w:sz w:val="21"/>
          <w:u w:val="single"/>
        </w:rPr>
        <w:t>潮期，</w:t>
      </w:r>
      <w:r>
        <w:rPr>
          <w:rStyle w:val="239"/>
          <w:rFonts w:hint="eastAsia"/>
          <w:color w:val="auto"/>
          <w:sz w:val="21"/>
          <w:u w:val="single"/>
        </w:rPr>
        <w:t>不利SE风、风速</w:t>
      </w:r>
      <w:r>
        <w:rPr>
          <w:rStyle w:val="239"/>
          <w:color w:val="auto"/>
          <w:sz w:val="21"/>
          <w:u w:val="single"/>
        </w:rPr>
        <w:t>13.8m/s，绘制间隔60</w:t>
      </w:r>
      <w:r>
        <w:rPr>
          <w:rStyle w:val="239"/>
          <w:rFonts w:hint="eastAsia"/>
          <w:color w:val="auto"/>
          <w:sz w:val="21"/>
          <w:u w:val="single"/>
        </w:rPr>
        <w:t>min</w:t>
      </w:r>
      <w:r>
        <w:rPr>
          <w:rStyle w:val="239"/>
          <w:color w:val="auto"/>
          <w:sz w:val="21"/>
          <w:u w:val="single"/>
        </w:rPr>
        <w:t>）</w:t>
      </w:r>
    </w:p>
    <w:p w14:paraId="0578B284">
      <w:pPr>
        <w:pStyle w:val="240"/>
        <w:jc w:val="center"/>
        <w:rPr>
          <w:rStyle w:val="239"/>
          <w:color w:val="auto"/>
          <w:u w:val="single"/>
        </w:rPr>
      </w:pPr>
      <w:r>
        <w:rPr>
          <w:rStyle w:val="239"/>
          <w:color w:val="auto"/>
          <w:u w:val="single"/>
        </w:rPr>
        <w:drawing>
          <wp:inline distT="0" distB="0" distL="0" distR="0">
            <wp:extent cx="4032250" cy="3675380"/>
            <wp:effectExtent l="0" t="0" r="3810" b="5080"/>
            <wp:docPr id="83" name="图片 83" descr="F:\My_projects\Dongyou_GX2026\MTBE\Result_0.03_new\GX_spring_Oil_case0_72H_Decoupled_ebb_SE_case8.m21fm - Result Files\MTBE_ebb_SE_case8_large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F:\My_projects\Dongyou_GX2026\MTBE\Result_0.03_new\GX_spring_Oil_case0_72H_Decoupled_ebb_SE_case8.m21fm - Result Files\MTBE_ebb_SE_case8_large_new.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a:xfrm>
                      <a:off x="0" y="0"/>
                      <a:ext cx="4032250" cy="3675380"/>
                    </a:xfrm>
                    <a:prstGeom prst="rect">
                      <a:avLst/>
                    </a:prstGeom>
                    <a:noFill/>
                    <a:ln>
                      <a:noFill/>
                    </a:ln>
                  </pic:spPr>
                </pic:pic>
              </a:graphicData>
            </a:graphic>
          </wp:inline>
        </w:drawing>
      </w:r>
    </w:p>
    <w:p w14:paraId="026523C9">
      <w:pPr>
        <w:pStyle w:val="14"/>
        <w:rPr>
          <w:rStyle w:val="239"/>
          <w:color w:val="auto"/>
          <w:u w:val="single"/>
        </w:rPr>
      </w:pPr>
      <w:r>
        <w:rPr>
          <w:rFonts w:hint="eastAsia"/>
          <w:color w:val="auto"/>
          <w:u w:val="single"/>
        </w:rPr>
        <w:t>图</w:t>
      </w:r>
      <w:r>
        <w:rPr>
          <w:color w:val="auto"/>
          <w:u w:val="single"/>
        </w:rPr>
        <w:fldChar w:fldCharType="begin"/>
      </w:r>
      <w:r>
        <w:rPr>
          <w:color w:val="auto"/>
          <w:u w:val="single"/>
        </w:rPr>
        <w:instrText xml:space="preserve"> </w:instrText>
      </w:r>
      <w:r>
        <w:rPr>
          <w:rFonts w:hint="eastAsia"/>
          <w:color w:val="auto"/>
          <w:u w:val="single"/>
        </w:rPr>
        <w:instrText xml:space="preserve">STYLEREF 2 \s</w:instrText>
      </w:r>
      <w:r>
        <w:rPr>
          <w:color w:val="auto"/>
          <w:u w:val="single"/>
        </w:rPr>
        <w:instrText xml:space="preserve"> </w:instrText>
      </w:r>
      <w:r>
        <w:rPr>
          <w:color w:val="auto"/>
          <w:u w:val="single"/>
        </w:rPr>
        <w:fldChar w:fldCharType="separate"/>
      </w:r>
      <w:r>
        <w:rPr>
          <w:color w:val="auto"/>
          <w:u w:val="single"/>
        </w:rPr>
        <w:t>5.6</w:t>
      </w:r>
      <w:r>
        <w:rPr>
          <w:color w:val="auto"/>
          <w:u w:val="single"/>
        </w:rPr>
        <w:fldChar w:fldCharType="end"/>
      </w:r>
      <w:r>
        <w:rPr>
          <w:color w:val="auto"/>
          <w:u w:val="single"/>
        </w:rPr>
        <w:noBreakHyphen/>
      </w:r>
      <w:r>
        <w:rPr>
          <w:color w:val="auto"/>
          <w:u w:val="single"/>
        </w:rPr>
        <w:fldChar w:fldCharType="begin"/>
      </w:r>
      <w:r>
        <w:rPr>
          <w:color w:val="auto"/>
          <w:u w:val="single"/>
        </w:rPr>
        <w:instrText xml:space="preserve"> </w:instrText>
      </w:r>
      <w:r>
        <w:rPr>
          <w:rFonts w:hint="eastAsia"/>
          <w:color w:val="auto"/>
          <w:u w:val="single"/>
        </w:rPr>
        <w:instrText xml:space="preserve">SEQ 图 \* ARABIC \s 2</w:instrText>
      </w:r>
      <w:r>
        <w:rPr>
          <w:color w:val="auto"/>
          <w:u w:val="single"/>
        </w:rPr>
        <w:instrText xml:space="preserve"> </w:instrText>
      </w:r>
      <w:r>
        <w:rPr>
          <w:color w:val="auto"/>
          <w:u w:val="single"/>
        </w:rPr>
        <w:fldChar w:fldCharType="separate"/>
      </w:r>
      <w:r>
        <w:rPr>
          <w:rFonts w:hint="eastAsia"/>
          <w:color w:val="auto"/>
          <w:u w:val="single"/>
        </w:rPr>
        <w:t>31</w:t>
      </w:r>
      <w:r>
        <w:rPr>
          <w:color w:val="auto"/>
          <w:u w:val="single"/>
        </w:rPr>
        <w:fldChar w:fldCharType="end"/>
      </w:r>
      <w:r>
        <w:rPr>
          <w:rFonts w:hint="eastAsia"/>
          <w:color w:val="auto"/>
          <w:u w:val="single"/>
        </w:rPr>
        <w:t>甲基叔丁基醚（</w:t>
      </w:r>
      <w:r>
        <w:rPr>
          <w:color w:val="auto"/>
          <w:u w:val="single"/>
        </w:rPr>
        <w:t>MTBE）泄漏</w:t>
      </w:r>
      <w:r>
        <w:rPr>
          <w:rFonts w:hint="eastAsia"/>
          <w:color w:val="auto"/>
          <w:u w:val="single"/>
        </w:rPr>
        <w:t>事故工况</w:t>
      </w:r>
      <w:r>
        <w:rPr>
          <w:color w:val="auto"/>
          <w:u w:val="single"/>
        </w:rPr>
        <w:t>6油膜运动轨迹图</w:t>
      </w:r>
    </w:p>
    <w:p w14:paraId="7D1A8179">
      <w:pPr>
        <w:pStyle w:val="14"/>
        <w:rPr>
          <w:rStyle w:val="239"/>
          <w:color w:val="auto"/>
          <w:sz w:val="21"/>
          <w:u w:val="single"/>
        </w:rPr>
      </w:pPr>
      <w:r>
        <w:rPr>
          <w:rStyle w:val="239"/>
          <w:color w:val="auto"/>
          <w:sz w:val="21"/>
          <w:u w:val="single"/>
        </w:rPr>
        <w:t>（大潮</w:t>
      </w:r>
      <w:r>
        <w:rPr>
          <w:rStyle w:val="239"/>
          <w:rFonts w:hint="eastAsia"/>
          <w:color w:val="auto"/>
          <w:sz w:val="21"/>
          <w:u w:val="single"/>
        </w:rPr>
        <w:t>落</w:t>
      </w:r>
      <w:r>
        <w:rPr>
          <w:rStyle w:val="239"/>
          <w:color w:val="auto"/>
          <w:sz w:val="21"/>
          <w:u w:val="single"/>
        </w:rPr>
        <w:t>潮期，</w:t>
      </w:r>
      <w:r>
        <w:rPr>
          <w:rStyle w:val="239"/>
          <w:rFonts w:hint="eastAsia"/>
          <w:color w:val="auto"/>
          <w:sz w:val="21"/>
          <w:u w:val="single"/>
        </w:rPr>
        <w:t>不利SE风、风速</w:t>
      </w:r>
      <w:r>
        <w:rPr>
          <w:rStyle w:val="239"/>
          <w:color w:val="auto"/>
          <w:sz w:val="21"/>
          <w:u w:val="single"/>
        </w:rPr>
        <w:t>13.8m/s，绘制间隔60</w:t>
      </w:r>
      <w:r>
        <w:rPr>
          <w:rStyle w:val="239"/>
          <w:rFonts w:hint="eastAsia"/>
          <w:color w:val="auto"/>
          <w:sz w:val="21"/>
          <w:u w:val="single"/>
        </w:rPr>
        <w:t>min</w:t>
      </w:r>
      <w:r>
        <w:rPr>
          <w:rStyle w:val="239"/>
          <w:color w:val="auto"/>
          <w:sz w:val="21"/>
          <w:u w:val="single"/>
        </w:rPr>
        <w:t>）</w:t>
      </w:r>
    </w:p>
    <w:p w14:paraId="3E87BA01">
      <w:pPr>
        <w:ind w:firstLine="480"/>
        <w:rPr>
          <w:color w:val="auto"/>
        </w:rPr>
      </w:pPr>
    </w:p>
    <w:p w14:paraId="2252B18A">
      <w:pPr>
        <w:pStyle w:val="6"/>
        <w:rPr>
          <w:color w:val="auto"/>
        </w:rPr>
      </w:pPr>
      <w:r>
        <w:rPr>
          <w:rFonts w:hint="eastAsia"/>
          <w:color w:val="auto"/>
        </w:rPr>
        <w:t>海域</w:t>
      </w:r>
      <w:r>
        <w:rPr>
          <w:color w:val="auto"/>
        </w:rPr>
        <w:t>风险事故预测结果</w:t>
      </w:r>
      <w:r>
        <w:rPr>
          <w:rFonts w:hint="eastAsia"/>
          <w:color w:val="auto"/>
        </w:rPr>
        <w:t>影响</w:t>
      </w:r>
      <w:r>
        <w:rPr>
          <w:color w:val="auto"/>
        </w:rPr>
        <w:t>分析</w:t>
      </w:r>
    </w:p>
    <w:p w14:paraId="16B72B2C">
      <w:pPr>
        <w:ind w:firstLine="480"/>
        <w:rPr>
          <w:color w:val="auto"/>
          <w:kern w:val="0"/>
        </w:rPr>
      </w:pPr>
      <w:r>
        <w:rPr>
          <w:rFonts w:hint="eastAsia"/>
          <w:color w:val="auto"/>
        </w:rPr>
        <w:t>根据石脑油</w:t>
      </w:r>
      <w:r>
        <w:rPr>
          <w:color w:val="auto"/>
        </w:rPr>
        <w:t>、渣油、</w:t>
      </w:r>
      <w:r>
        <w:rPr>
          <w:rFonts w:hint="eastAsia"/>
          <w:color w:val="auto"/>
        </w:rPr>
        <w:t>甲基</w:t>
      </w:r>
      <w:r>
        <w:rPr>
          <w:color w:val="auto"/>
        </w:rPr>
        <w:t>叔丁基醚</w:t>
      </w:r>
      <w:r>
        <w:rPr>
          <w:rFonts w:hint="eastAsia"/>
          <w:color w:val="auto"/>
        </w:rPr>
        <w:t>的</w:t>
      </w:r>
      <w:r>
        <w:rPr>
          <w:color w:val="auto"/>
        </w:rPr>
        <w:t>溢油预测结果</w:t>
      </w:r>
      <w:r>
        <w:rPr>
          <w:rFonts w:hint="eastAsia"/>
          <w:color w:val="auto"/>
        </w:rPr>
        <w:t>，在冬季主导风向、夏季主导风向、不利风向的影响</w:t>
      </w:r>
      <w:r>
        <w:rPr>
          <w:color w:val="auto"/>
        </w:rPr>
        <w:t>下，油膜扩散</w:t>
      </w:r>
      <w:r>
        <w:rPr>
          <w:rFonts w:hint="eastAsia"/>
          <w:color w:val="auto"/>
        </w:rPr>
        <w:t>方向</w:t>
      </w:r>
      <w:r>
        <w:rPr>
          <w:color w:val="auto"/>
        </w:rPr>
        <w:t>大致</w:t>
      </w:r>
      <w:r>
        <w:rPr>
          <w:rFonts w:hint="eastAsia"/>
          <w:color w:val="auto"/>
        </w:rPr>
        <w:t>为：</w:t>
      </w:r>
      <w:r>
        <w:rPr>
          <w:b/>
          <w:color w:val="auto"/>
          <w:kern w:val="0"/>
        </w:rPr>
        <w:t>在</w:t>
      </w:r>
      <w:r>
        <w:rPr>
          <w:rFonts w:hint="eastAsia"/>
          <w:b/>
          <w:color w:val="auto"/>
          <w:kern w:val="0"/>
        </w:rPr>
        <w:t>冬季</w:t>
      </w:r>
      <w:r>
        <w:rPr>
          <w:b/>
          <w:color w:val="auto"/>
          <w:kern w:val="0"/>
        </w:rPr>
        <w:t>主导风向N</w:t>
      </w:r>
      <w:r>
        <w:rPr>
          <w:rFonts w:hint="eastAsia"/>
          <w:b/>
          <w:color w:val="auto"/>
          <w:kern w:val="0"/>
        </w:rPr>
        <w:t>的</w:t>
      </w:r>
      <w:r>
        <w:rPr>
          <w:b/>
          <w:color w:val="auto"/>
          <w:kern w:val="0"/>
        </w:rPr>
        <w:t>条件下</w:t>
      </w:r>
      <w:r>
        <w:rPr>
          <w:color w:val="auto"/>
          <w:kern w:val="0"/>
        </w:rPr>
        <w:t>，</w:t>
      </w:r>
      <w:r>
        <w:rPr>
          <w:rFonts w:hint="eastAsia"/>
          <w:color w:val="auto"/>
          <w:kern w:val="0"/>
        </w:rPr>
        <w:t>大潮涨潮时，油膜在涨潮流和N风的共同作用下油膜向西偏南方向扩散；</w:t>
      </w:r>
      <w:r>
        <w:rPr>
          <w:color w:val="auto"/>
          <w:kern w:val="0"/>
        </w:rPr>
        <w:t>大潮落潮时，</w:t>
      </w:r>
      <w:r>
        <w:rPr>
          <w:rFonts w:hint="eastAsia"/>
          <w:color w:val="auto"/>
          <w:kern w:val="0"/>
        </w:rPr>
        <w:t>油膜主要向东南方向扩散。</w:t>
      </w:r>
      <w:r>
        <w:rPr>
          <w:rFonts w:hint="eastAsia"/>
          <w:b/>
          <w:color w:val="auto"/>
          <w:kern w:val="0"/>
        </w:rPr>
        <w:t>夏季</w:t>
      </w:r>
      <w:r>
        <w:rPr>
          <w:b/>
          <w:color w:val="auto"/>
          <w:kern w:val="0"/>
        </w:rPr>
        <w:t>主导风向</w:t>
      </w:r>
      <w:r>
        <w:rPr>
          <w:rFonts w:hint="eastAsia"/>
          <w:b/>
          <w:color w:val="auto"/>
          <w:kern w:val="0"/>
        </w:rPr>
        <w:t>S条件下</w:t>
      </w:r>
      <w:r>
        <w:rPr>
          <w:color w:val="auto"/>
          <w:kern w:val="0"/>
        </w:rPr>
        <w:t>，涨潮</w:t>
      </w:r>
      <w:r>
        <w:rPr>
          <w:rFonts w:hint="eastAsia"/>
          <w:color w:val="auto"/>
          <w:kern w:val="0"/>
        </w:rPr>
        <w:t>时，</w:t>
      </w:r>
      <w:r>
        <w:rPr>
          <w:rFonts w:hint="eastAsia"/>
          <w:color w:val="auto"/>
          <w:szCs w:val="21"/>
        </w:rPr>
        <w:t>膜开始在涨潮流和S风的作用下主要沿项目北部沿岸向西北部扩散，</w:t>
      </w:r>
      <w:r>
        <w:rPr>
          <w:color w:val="auto"/>
          <w:szCs w:val="21"/>
        </w:rPr>
        <w:t>当涨潮流转为落潮流后，油膜开始向东南方向扩散</w:t>
      </w:r>
      <w:r>
        <w:rPr>
          <w:rFonts w:hint="eastAsia"/>
          <w:color w:val="auto"/>
          <w:szCs w:val="21"/>
        </w:rPr>
        <w:t>；落潮时，油膜开始在落潮流和S风的作用下主要沿项目北部沿岸向东偏北方向扩散</w:t>
      </w:r>
      <w:r>
        <w:rPr>
          <w:color w:val="auto"/>
          <w:szCs w:val="21"/>
        </w:rPr>
        <w:t>。</w:t>
      </w:r>
      <w:r>
        <w:rPr>
          <w:rFonts w:hint="eastAsia"/>
          <w:b/>
          <w:color w:val="auto"/>
          <w:szCs w:val="21"/>
        </w:rPr>
        <w:t>不利</w:t>
      </w:r>
      <w:r>
        <w:rPr>
          <w:b/>
          <w:color w:val="auto"/>
          <w:szCs w:val="21"/>
        </w:rPr>
        <w:t>风向</w:t>
      </w:r>
      <w:r>
        <w:rPr>
          <w:rFonts w:hint="eastAsia"/>
          <w:b/>
          <w:color w:val="auto"/>
          <w:szCs w:val="21"/>
        </w:rPr>
        <w:t>SE条件</w:t>
      </w:r>
      <w:r>
        <w:rPr>
          <w:b/>
          <w:color w:val="auto"/>
          <w:szCs w:val="21"/>
        </w:rPr>
        <w:t>下</w:t>
      </w:r>
      <w:r>
        <w:rPr>
          <w:color w:val="auto"/>
          <w:szCs w:val="21"/>
        </w:rPr>
        <w:t>，</w:t>
      </w:r>
      <w:r>
        <w:rPr>
          <w:rFonts w:hint="eastAsia"/>
          <w:color w:val="auto"/>
          <w:szCs w:val="21"/>
        </w:rPr>
        <w:t>涨潮时，油膜开始在涨潮流和SE风的作用下主要沿项目北部沿岸向西北方向扩散；在落潮时，部分油膜开始在落潮流和SE风的作用下沿项目北部沿岸向西偏北方向缓慢扩散，当落潮流转变为涨潮流时，油膜在涨潮流和SE风的作用下沿项目北部沿岸向西北方向快速扩散。</w:t>
      </w:r>
    </w:p>
    <w:p w14:paraId="2307573E">
      <w:pPr>
        <w:ind w:firstLine="480"/>
        <w:rPr>
          <w:color w:val="auto"/>
          <w:kern w:val="0"/>
        </w:rPr>
      </w:pPr>
      <w:r>
        <w:rPr>
          <w:rFonts w:hint="eastAsia"/>
          <w:color w:val="auto"/>
          <w:kern w:val="0"/>
        </w:rPr>
        <w:t>在冬季主导风向N的条件下，石脑油、</w:t>
      </w:r>
      <w:r>
        <w:rPr>
          <w:color w:val="auto"/>
          <w:kern w:val="0"/>
        </w:rPr>
        <w:t>渣油</w:t>
      </w:r>
      <w:r>
        <w:rPr>
          <w:rFonts w:hint="eastAsia"/>
          <w:color w:val="auto"/>
          <w:kern w:val="0"/>
        </w:rPr>
        <w:t>、</w:t>
      </w:r>
      <w:r>
        <w:rPr>
          <w:color w:val="auto"/>
          <w:kern w:val="0"/>
        </w:rPr>
        <w:t>甲基叔丁基醚</w:t>
      </w:r>
      <w:r>
        <w:rPr>
          <w:rFonts w:hint="eastAsia"/>
          <w:color w:val="auto"/>
          <w:kern w:val="0"/>
        </w:rPr>
        <w:t>发生</w:t>
      </w:r>
      <w:r>
        <w:rPr>
          <w:color w:val="auto"/>
          <w:kern w:val="0"/>
        </w:rPr>
        <w:t>溢油</w:t>
      </w:r>
      <w:r>
        <w:rPr>
          <w:rFonts w:hint="eastAsia"/>
          <w:color w:val="auto"/>
          <w:kern w:val="0"/>
        </w:rPr>
        <w:t>，</w:t>
      </w:r>
      <w:r>
        <w:rPr>
          <w:color w:val="auto"/>
          <w:kern w:val="0"/>
        </w:rPr>
        <w:t>在</w:t>
      </w:r>
      <w:r>
        <w:rPr>
          <w:rFonts w:hint="eastAsia"/>
          <w:color w:val="auto"/>
          <w:kern w:val="0"/>
        </w:rPr>
        <w:t>涨潮</w:t>
      </w:r>
      <w:r>
        <w:rPr>
          <w:color w:val="auto"/>
          <w:kern w:val="0"/>
        </w:rPr>
        <w:t>时主要影响</w:t>
      </w:r>
      <w:r>
        <w:rPr>
          <w:rFonts w:hint="eastAsia"/>
          <w:color w:val="auto"/>
          <w:kern w:val="0"/>
        </w:rPr>
        <w:t>红树林3和红树林4（即防城港茅尾海西侧红树林分布区）和北部湾二长棘鲷长毛对虾国家级种质资源保护区（实验区），</w:t>
      </w:r>
      <w:r>
        <w:rPr>
          <w:color w:val="auto"/>
          <w:kern w:val="0"/>
        </w:rPr>
        <w:t>到达</w:t>
      </w:r>
      <w:r>
        <w:rPr>
          <w:rFonts w:hint="eastAsia"/>
          <w:color w:val="auto"/>
          <w:kern w:val="0"/>
        </w:rPr>
        <w:t>油膜</w:t>
      </w:r>
      <w:r>
        <w:rPr>
          <w:color w:val="auto"/>
          <w:kern w:val="0"/>
        </w:rPr>
        <w:t>厚度在</w:t>
      </w:r>
      <w:r>
        <w:rPr>
          <w:rFonts w:hint="eastAsia"/>
          <w:color w:val="auto"/>
          <w:kern w:val="0"/>
        </w:rPr>
        <w:t>0.4</w:t>
      </w:r>
      <w:r>
        <w:rPr>
          <w:color w:val="auto"/>
          <w:kern w:val="0"/>
        </w:rPr>
        <w:t>mm以下</w:t>
      </w:r>
      <w:r>
        <w:rPr>
          <w:rFonts w:hint="eastAsia"/>
          <w:color w:val="auto"/>
          <w:kern w:val="0"/>
        </w:rPr>
        <w:t>。石脑油、</w:t>
      </w:r>
      <w:r>
        <w:rPr>
          <w:color w:val="auto"/>
          <w:kern w:val="0"/>
        </w:rPr>
        <w:t>渣油</w:t>
      </w:r>
      <w:r>
        <w:rPr>
          <w:rFonts w:hint="eastAsia"/>
          <w:color w:val="auto"/>
          <w:kern w:val="0"/>
        </w:rPr>
        <w:t>、</w:t>
      </w:r>
      <w:r>
        <w:rPr>
          <w:color w:val="auto"/>
          <w:kern w:val="0"/>
        </w:rPr>
        <w:t>甲基叔丁基醚</w:t>
      </w:r>
      <w:r>
        <w:rPr>
          <w:rFonts w:hint="eastAsia"/>
          <w:color w:val="auto"/>
          <w:kern w:val="0"/>
        </w:rPr>
        <w:t>发生</w:t>
      </w:r>
      <w:r>
        <w:rPr>
          <w:color w:val="auto"/>
          <w:kern w:val="0"/>
        </w:rPr>
        <w:t>溢油</w:t>
      </w:r>
      <w:r>
        <w:rPr>
          <w:rFonts w:hint="eastAsia"/>
          <w:color w:val="auto"/>
          <w:kern w:val="0"/>
        </w:rPr>
        <w:t>，在落潮</w:t>
      </w:r>
      <w:r>
        <w:rPr>
          <w:color w:val="auto"/>
          <w:kern w:val="0"/>
        </w:rPr>
        <w:t>时主要影响</w:t>
      </w:r>
      <w:r>
        <w:rPr>
          <w:rFonts w:hint="eastAsia"/>
          <w:color w:val="auto"/>
          <w:kern w:val="0"/>
        </w:rPr>
        <w:t>北部湾二长棘鲷长毛对虾国家级种质资源保护区（实验区），</w:t>
      </w:r>
      <w:r>
        <w:rPr>
          <w:color w:val="auto"/>
          <w:kern w:val="0"/>
        </w:rPr>
        <w:t>到达</w:t>
      </w:r>
      <w:r>
        <w:rPr>
          <w:rFonts w:hint="eastAsia"/>
          <w:color w:val="auto"/>
          <w:kern w:val="0"/>
        </w:rPr>
        <w:t>油膜</w:t>
      </w:r>
      <w:r>
        <w:rPr>
          <w:color w:val="auto"/>
          <w:kern w:val="0"/>
        </w:rPr>
        <w:t>厚度在</w:t>
      </w:r>
      <w:r>
        <w:rPr>
          <w:rFonts w:hint="eastAsia"/>
          <w:color w:val="auto"/>
          <w:kern w:val="0"/>
        </w:rPr>
        <w:t>0.</w:t>
      </w:r>
      <w:r>
        <w:rPr>
          <w:color w:val="auto"/>
          <w:kern w:val="0"/>
        </w:rPr>
        <w:t>6mm以下</w:t>
      </w:r>
      <w:r>
        <w:rPr>
          <w:rFonts w:hint="eastAsia"/>
          <w:color w:val="auto"/>
          <w:kern w:val="0"/>
        </w:rPr>
        <w:t>。</w:t>
      </w:r>
    </w:p>
    <w:p w14:paraId="296640C3">
      <w:pPr>
        <w:ind w:firstLine="480"/>
        <w:rPr>
          <w:color w:val="auto"/>
          <w:kern w:val="0"/>
        </w:rPr>
      </w:pPr>
      <w:r>
        <w:rPr>
          <w:rFonts w:hint="eastAsia"/>
          <w:color w:val="auto"/>
          <w:kern w:val="0"/>
        </w:rPr>
        <w:t>在</w:t>
      </w:r>
      <w:r>
        <w:rPr>
          <w:color w:val="auto"/>
          <w:kern w:val="0"/>
        </w:rPr>
        <w:t>夏季主导风向</w:t>
      </w:r>
      <w:r>
        <w:rPr>
          <w:rFonts w:hint="eastAsia"/>
          <w:color w:val="auto"/>
          <w:kern w:val="0"/>
        </w:rPr>
        <w:t>S的</w:t>
      </w:r>
      <w:r>
        <w:rPr>
          <w:color w:val="auto"/>
          <w:kern w:val="0"/>
        </w:rPr>
        <w:t>条件下，</w:t>
      </w:r>
      <w:r>
        <w:rPr>
          <w:rFonts w:hint="eastAsia"/>
          <w:color w:val="auto"/>
          <w:kern w:val="0"/>
        </w:rPr>
        <w:t>石脑油、</w:t>
      </w:r>
      <w:r>
        <w:rPr>
          <w:color w:val="auto"/>
          <w:kern w:val="0"/>
        </w:rPr>
        <w:t>渣油</w:t>
      </w:r>
      <w:r>
        <w:rPr>
          <w:rFonts w:hint="eastAsia"/>
          <w:color w:val="auto"/>
          <w:kern w:val="0"/>
        </w:rPr>
        <w:t>、</w:t>
      </w:r>
      <w:r>
        <w:rPr>
          <w:color w:val="auto"/>
          <w:kern w:val="0"/>
        </w:rPr>
        <w:t>甲基叔丁基醚</w:t>
      </w:r>
      <w:r>
        <w:rPr>
          <w:rFonts w:hint="eastAsia"/>
          <w:color w:val="auto"/>
          <w:kern w:val="0"/>
        </w:rPr>
        <w:t>发生</w:t>
      </w:r>
      <w:r>
        <w:rPr>
          <w:color w:val="auto"/>
          <w:kern w:val="0"/>
        </w:rPr>
        <w:t>溢油</w:t>
      </w:r>
      <w:r>
        <w:rPr>
          <w:rFonts w:hint="eastAsia"/>
          <w:color w:val="auto"/>
          <w:kern w:val="0"/>
        </w:rPr>
        <w:t>，在</w:t>
      </w:r>
      <w:r>
        <w:rPr>
          <w:color w:val="auto"/>
          <w:kern w:val="0"/>
        </w:rPr>
        <w:t>涨潮时</w:t>
      </w:r>
      <w:r>
        <w:rPr>
          <w:rFonts w:hint="eastAsia"/>
          <w:color w:val="auto"/>
          <w:kern w:val="0"/>
        </w:rPr>
        <w:t>主要</w:t>
      </w:r>
      <w:r>
        <w:rPr>
          <w:color w:val="auto"/>
          <w:kern w:val="0"/>
        </w:rPr>
        <w:t>影响</w:t>
      </w:r>
      <w:r>
        <w:rPr>
          <w:rFonts w:hint="eastAsia"/>
          <w:color w:val="auto"/>
          <w:kern w:val="0"/>
        </w:rPr>
        <w:t>金鼓江上游的红树林和广西茅尾海红树林自治区级自然保护区，到达金鼓江</w:t>
      </w:r>
      <w:r>
        <w:rPr>
          <w:color w:val="auto"/>
          <w:kern w:val="0"/>
        </w:rPr>
        <w:t>上游红树林的油膜厚度在</w:t>
      </w:r>
      <w:r>
        <w:rPr>
          <w:rFonts w:hint="eastAsia"/>
          <w:color w:val="auto"/>
          <w:kern w:val="0"/>
        </w:rPr>
        <w:t>0.2</w:t>
      </w:r>
      <w:r>
        <w:rPr>
          <w:color w:val="auto"/>
          <w:kern w:val="0"/>
        </w:rPr>
        <w:t>mm以下</w:t>
      </w:r>
      <w:r>
        <w:rPr>
          <w:rFonts w:hint="eastAsia"/>
          <w:color w:val="auto"/>
          <w:kern w:val="0"/>
        </w:rPr>
        <w:t>，</w:t>
      </w:r>
      <w:r>
        <w:rPr>
          <w:color w:val="auto"/>
          <w:kern w:val="0"/>
        </w:rPr>
        <w:t>到达</w:t>
      </w:r>
      <w:r>
        <w:rPr>
          <w:rFonts w:hint="eastAsia"/>
          <w:color w:val="auto"/>
          <w:kern w:val="0"/>
        </w:rPr>
        <w:t>广西茅尾海红树林自治区级自然保护区的</w:t>
      </w:r>
      <w:r>
        <w:rPr>
          <w:color w:val="auto"/>
          <w:kern w:val="0"/>
        </w:rPr>
        <w:t>油膜厚度在</w:t>
      </w:r>
      <w:r>
        <w:rPr>
          <w:rFonts w:hint="eastAsia"/>
          <w:color w:val="auto"/>
          <w:kern w:val="0"/>
        </w:rPr>
        <w:t>0.6</w:t>
      </w:r>
      <w:r>
        <w:rPr>
          <w:color w:val="auto"/>
          <w:kern w:val="0"/>
        </w:rPr>
        <w:t>mm以下。</w:t>
      </w:r>
      <w:r>
        <w:rPr>
          <w:rFonts w:hint="eastAsia"/>
          <w:color w:val="auto"/>
          <w:kern w:val="0"/>
        </w:rPr>
        <w:t>石脑油、</w:t>
      </w:r>
      <w:r>
        <w:rPr>
          <w:color w:val="auto"/>
          <w:kern w:val="0"/>
        </w:rPr>
        <w:t>渣油</w:t>
      </w:r>
      <w:r>
        <w:rPr>
          <w:rFonts w:hint="eastAsia"/>
          <w:color w:val="auto"/>
          <w:kern w:val="0"/>
        </w:rPr>
        <w:t>、</w:t>
      </w:r>
      <w:r>
        <w:rPr>
          <w:color w:val="auto"/>
          <w:kern w:val="0"/>
        </w:rPr>
        <w:t>甲基叔丁基醚</w:t>
      </w:r>
      <w:r>
        <w:rPr>
          <w:rFonts w:hint="eastAsia"/>
          <w:color w:val="auto"/>
          <w:kern w:val="0"/>
        </w:rPr>
        <w:t>发生</w:t>
      </w:r>
      <w:r>
        <w:rPr>
          <w:color w:val="auto"/>
          <w:kern w:val="0"/>
        </w:rPr>
        <w:t>溢油</w:t>
      </w:r>
      <w:r>
        <w:rPr>
          <w:rFonts w:hint="eastAsia"/>
          <w:color w:val="auto"/>
          <w:kern w:val="0"/>
        </w:rPr>
        <w:t>，在落潮</w:t>
      </w:r>
      <w:r>
        <w:rPr>
          <w:color w:val="auto"/>
          <w:kern w:val="0"/>
        </w:rPr>
        <w:t>时主要影响</w:t>
      </w:r>
      <w:r>
        <w:rPr>
          <w:rFonts w:hint="eastAsia"/>
          <w:color w:val="auto"/>
          <w:kern w:val="0"/>
        </w:rPr>
        <w:t>金鼓江上游红树林</w:t>
      </w:r>
      <w:r>
        <w:rPr>
          <w:color w:val="auto"/>
          <w:kern w:val="0"/>
        </w:rPr>
        <w:t>，</w:t>
      </w:r>
      <w:r>
        <w:rPr>
          <w:rFonts w:hint="eastAsia"/>
          <w:color w:val="auto"/>
          <w:kern w:val="0"/>
        </w:rPr>
        <w:t>到达</w:t>
      </w:r>
      <w:r>
        <w:rPr>
          <w:color w:val="auto"/>
          <w:kern w:val="0"/>
        </w:rPr>
        <w:t>油膜厚度在</w:t>
      </w:r>
      <w:r>
        <w:rPr>
          <w:rFonts w:hint="eastAsia"/>
          <w:color w:val="auto"/>
          <w:kern w:val="0"/>
        </w:rPr>
        <w:t>0.2</w:t>
      </w:r>
      <w:r>
        <w:rPr>
          <w:color w:val="auto"/>
          <w:kern w:val="0"/>
        </w:rPr>
        <w:t>mm以下</w:t>
      </w:r>
      <w:r>
        <w:rPr>
          <w:rFonts w:hint="eastAsia"/>
          <w:color w:val="auto"/>
          <w:kern w:val="0"/>
        </w:rPr>
        <w:t>。</w:t>
      </w:r>
    </w:p>
    <w:p w14:paraId="1BE7C8C3">
      <w:pPr>
        <w:ind w:firstLine="480"/>
        <w:rPr>
          <w:color w:val="auto"/>
          <w:kern w:val="0"/>
        </w:rPr>
      </w:pPr>
      <w:r>
        <w:rPr>
          <w:rFonts w:hint="eastAsia"/>
          <w:color w:val="auto"/>
          <w:kern w:val="0"/>
        </w:rPr>
        <w:t>在</w:t>
      </w:r>
      <w:r>
        <w:rPr>
          <w:color w:val="auto"/>
          <w:kern w:val="0"/>
        </w:rPr>
        <w:t>不利风向</w:t>
      </w:r>
      <w:r>
        <w:rPr>
          <w:rFonts w:hint="eastAsia"/>
          <w:color w:val="auto"/>
          <w:kern w:val="0"/>
        </w:rPr>
        <w:t>SE的</w:t>
      </w:r>
      <w:r>
        <w:rPr>
          <w:color w:val="auto"/>
          <w:kern w:val="0"/>
        </w:rPr>
        <w:t>条件下，</w:t>
      </w:r>
      <w:r>
        <w:rPr>
          <w:rFonts w:hint="eastAsia"/>
          <w:color w:val="auto"/>
          <w:kern w:val="0"/>
        </w:rPr>
        <w:t>石脑油、</w:t>
      </w:r>
      <w:r>
        <w:rPr>
          <w:color w:val="auto"/>
          <w:kern w:val="0"/>
        </w:rPr>
        <w:t>渣油</w:t>
      </w:r>
      <w:r>
        <w:rPr>
          <w:rFonts w:hint="eastAsia"/>
          <w:color w:val="auto"/>
          <w:kern w:val="0"/>
        </w:rPr>
        <w:t>、</w:t>
      </w:r>
      <w:r>
        <w:rPr>
          <w:color w:val="auto"/>
          <w:kern w:val="0"/>
        </w:rPr>
        <w:t>甲基叔丁基醚</w:t>
      </w:r>
      <w:r>
        <w:rPr>
          <w:rFonts w:hint="eastAsia"/>
          <w:color w:val="auto"/>
          <w:kern w:val="0"/>
        </w:rPr>
        <w:t>发生</w:t>
      </w:r>
      <w:r>
        <w:rPr>
          <w:color w:val="auto"/>
          <w:kern w:val="0"/>
        </w:rPr>
        <w:t>溢油</w:t>
      </w:r>
      <w:r>
        <w:rPr>
          <w:rFonts w:hint="eastAsia"/>
          <w:color w:val="auto"/>
          <w:kern w:val="0"/>
        </w:rPr>
        <w:t>，在</w:t>
      </w:r>
      <w:r>
        <w:rPr>
          <w:color w:val="auto"/>
          <w:kern w:val="0"/>
        </w:rPr>
        <w:t>涨潮</w:t>
      </w:r>
      <w:r>
        <w:rPr>
          <w:rFonts w:hint="eastAsia"/>
          <w:color w:val="auto"/>
          <w:kern w:val="0"/>
        </w:rPr>
        <w:t>和落潮</w:t>
      </w:r>
      <w:r>
        <w:rPr>
          <w:color w:val="auto"/>
          <w:kern w:val="0"/>
        </w:rPr>
        <w:t>时主要影响</w:t>
      </w:r>
      <w:r>
        <w:rPr>
          <w:rFonts w:hint="eastAsia"/>
          <w:color w:val="auto"/>
          <w:kern w:val="0"/>
        </w:rPr>
        <w:t>钦州茅尾海国家海洋公园，涨潮</w:t>
      </w:r>
      <w:r>
        <w:rPr>
          <w:color w:val="auto"/>
          <w:kern w:val="0"/>
        </w:rPr>
        <w:t>时到达的</w:t>
      </w:r>
      <w:r>
        <w:rPr>
          <w:rFonts w:hint="eastAsia"/>
          <w:color w:val="auto"/>
          <w:kern w:val="0"/>
        </w:rPr>
        <w:t>油膜</w:t>
      </w:r>
      <w:r>
        <w:rPr>
          <w:color w:val="auto"/>
          <w:kern w:val="0"/>
        </w:rPr>
        <w:t>厚度</w:t>
      </w:r>
      <w:r>
        <w:rPr>
          <w:rFonts w:hint="eastAsia"/>
          <w:color w:val="auto"/>
          <w:kern w:val="0"/>
        </w:rPr>
        <w:t>在1</w:t>
      </w:r>
      <w:r>
        <w:rPr>
          <w:color w:val="auto"/>
          <w:kern w:val="0"/>
        </w:rPr>
        <w:t>mm</w:t>
      </w:r>
      <w:r>
        <w:rPr>
          <w:rFonts w:hint="eastAsia"/>
          <w:color w:val="auto"/>
          <w:kern w:val="0"/>
        </w:rPr>
        <w:t>以</w:t>
      </w:r>
      <w:r>
        <w:rPr>
          <w:color w:val="auto"/>
          <w:kern w:val="0"/>
        </w:rPr>
        <w:t>下</w:t>
      </w:r>
      <w:r>
        <w:rPr>
          <w:rFonts w:hint="eastAsia"/>
          <w:color w:val="auto"/>
          <w:kern w:val="0"/>
        </w:rPr>
        <w:t>，落潮</w:t>
      </w:r>
      <w:r>
        <w:rPr>
          <w:color w:val="auto"/>
          <w:kern w:val="0"/>
        </w:rPr>
        <w:t>时</w:t>
      </w:r>
      <w:r>
        <w:rPr>
          <w:rFonts w:hint="eastAsia"/>
          <w:color w:val="auto"/>
          <w:kern w:val="0"/>
        </w:rPr>
        <w:t>到达</w:t>
      </w:r>
      <w:r>
        <w:rPr>
          <w:color w:val="auto"/>
          <w:kern w:val="0"/>
        </w:rPr>
        <w:t>的油膜厚度在</w:t>
      </w:r>
      <w:r>
        <w:rPr>
          <w:rFonts w:hint="eastAsia"/>
          <w:color w:val="auto"/>
          <w:kern w:val="0"/>
        </w:rPr>
        <w:t>0.4</w:t>
      </w:r>
      <w:r>
        <w:rPr>
          <w:color w:val="auto"/>
          <w:kern w:val="0"/>
        </w:rPr>
        <w:t>mm以下。</w:t>
      </w:r>
    </w:p>
    <w:p w14:paraId="6F3C04EC">
      <w:pPr>
        <w:ind w:firstLine="480"/>
        <w:rPr>
          <w:color w:val="auto"/>
          <w:kern w:val="0"/>
        </w:rPr>
      </w:pPr>
      <w:r>
        <w:rPr>
          <w:rFonts w:hint="eastAsia"/>
          <w:color w:val="auto"/>
          <w:kern w:val="0"/>
        </w:rPr>
        <w:t>综上</w:t>
      </w:r>
      <w:r>
        <w:rPr>
          <w:color w:val="auto"/>
          <w:kern w:val="0"/>
        </w:rPr>
        <w:t>，扩建项目</w:t>
      </w:r>
      <w:r>
        <w:rPr>
          <w:rFonts w:hint="eastAsia"/>
          <w:color w:val="auto"/>
          <w:kern w:val="0"/>
        </w:rPr>
        <w:t>石脑油、</w:t>
      </w:r>
      <w:r>
        <w:rPr>
          <w:color w:val="auto"/>
          <w:kern w:val="0"/>
        </w:rPr>
        <w:t>渣油</w:t>
      </w:r>
      <w:r>
        <w:rPr>
          <w:rFonts w:hint="eastAsia"/>
          <w:color w:val="auto"/>
          <w:kern w:val="0"/>
        </w:rPr>
        <w:t>、</w:t>
      </w:r>
      <w:r>
        <w:rPr>
          <w:color w:val="auto"/>
          <w:kern w:val="0"/>
        </w:rPr>
        <w:t>甲基叔丁基醚</w:t>
      </w:r>
      <w:r>
        <w:rPr>
          <w:rFonts w:hint="eastAsia"/>
          <w:color w:val="auto"/>
          <w:kern w:val="0"/>
        </w:rPr>
        <w:t>在</w:t>
      </w:r>
      <w:r>
        <w:rPr>
          <w:color w:val="auto"/>
          <w:kern w:val="0"/>
        </w:rPr>
        <w:t>发生溢油的情况下，主要影响的敏感目标为</w:t>
      </w:r>
      <w:r>
        <w:rPr>
          <w:rFonts w:hint="eastAsia"/>
          <w:color w:val="auto"/>
          <w:kern w:val="0"/>
        </w:rPr>
        <w:t>红树林3和红树林4（即防城港茅尾海西侧红树林分布区）、北部湾二长棘鲷长毛对虾国家级种质资源保护区（实验区）、金鼓江</w:t>
      </w:r>
      <w:r>
        <w:rPr>
          <w:color w:val="auto"/>
          <w:kern w:val="0"/>
        </w:rPr>
        <w:t>上游红树林</w:t>
      </w:r>
      <w:r>
        <w:rPr>
          <w:rFonts w:hint="eastAsia"/>
          <w:color w:val="auto"/>
          <w:kern w:val="0"/>
        </w:rPr>
        <w:t>、广西茅尾海红树林自治区级自然保护区、钦州茅尾海国家海洋公园。其中红树林3和红树林4（即防城港茅尾海西侧红树林分布区）、金鼓江上游红树林、广西茅尾海红树林自治区级自然保护区这3个</w:t>
      </w:r>
      <w:r>
        <w:rPr>
          <w:color w:val="auto"/>
          <w:kern w:val="0"/>
        </w:rPr>
        <w:t>生态敏感区主要保护对象为红树林，</w:t>
      </w:r>
      <w:r>
        <w:rPr>
          <w:rFonts w:hint="eastAsia"/>
          <w:color w:val="auto"/>
          <w:kern w:val="0"/>
        </w:rPr>
        <w:t>北部湾二长棘鲷长毛对虾国家级种质资源保护区（实验区）主要保护对象</w:t>
      </w:r>
      <w:r>
        <w:rPr>
          <w:color w:val="auto"/>
          <w:kern w:val="0"/>
        </w:rPr>
        <w:t>为</w:t>
      </w:r>
      <w:r>
        <w:rPr>
          <w:rFonts w:hint="eastAsia"/>
          <w:color w:val="auto"/>
          <w:kern w:val="0"/>
        </w:rPr>
        <w:t>二长棘鲷和长毛对虾，钦州茅尾海国家海洋公园主要</w:t>
      </w:r>
      <w:r>
        <w:rPr>
          <w:color w:val="auto"/>
          <w:kern w:val="0"/>
        </w:rPr>
        <w:t>保护对象为</w:t>
      </w:r>
      <w:r>
        <w:rPr>
          <w:rFonts w:hint="eastAsia"/>
          <w:color w:val="auto"/>
          <w:kern w:val="0"/>
        </w:rPr>
        <w:t>红树林、盐沼生态系统。</w:t>
      </w:r>
    </w:p>
    <w:p w14:paraId="1E752B7A">
      <w:pPr>
        <w:ind w:firstLine="480"/>
        <w:rPr>
          <w:color w:val="auto"/>
        </w:rPr>
      </w:pPr>
      <w:r>
        <w:rPr>
          <w:rFonts w:hint="eastAsia"/>
          <w:color w:val="auto"/>
        </w:rPr>
        <w:t>溢油污染对水生生物的危害主要表现在溶解组分自身的毒性、油膜输移扩散后引起的缺氧窒息以及生态食物链循环等。油膜污染物会黏附覆盖于红树林以及周围的生物体表，堵塞其呼吸和进水系统，导致生物活动能力丧失或减弱，或吸附悬浮物沉降而导致生物幼体失去合适的附着基质。油膜污染物会使水体透明度快速降低，溶解氧降低，直接影响了红树林的呼吸，进一步影响红树林系统的初级生产力；水面被油膜覆盖，阻碍空气和水体的氧交换，将影响浮游植物的光合作用，使其生长受到抑制，浮游植物生物量下降，从而影响以浮游植物为饵料的浮游动物，单位水体的浮游动物生物量必然相应地减少，进而影响整个食物链的各个环节。进入水中的油污黏附在水生生物的呼吸和运动器官上都会导致其因缺氧而窒息死亡，造成水质恶化，生物多样性降低，对红树林生态系统造成影响。油膜污染物对植物的繁殖及红树植物幼苗的更新造成一定影响，造成群落逆向演替甚至退化。破坏红树林植被，将造成生态系统生物量减少，生产力降低，并对区域植被生态系统服务功能造成一定影响。</w:t>
      </w:r>
    </w:p>
    <w:p w14:paraId="1011A032">
      <w:pPr>
        <w:ind w:firstLine="480"/>
        <w:rPr>
          <w:color w:val="auto"/>
        </w:rPr>
      </w:pPr>
      <w:r>
        <w:rPr>
          <w:rFonts w:hint="eastAsia"/>
          <w:color w:val="auto"/>
        </w:rPr>
        <w:t>油膜阻碍树根与水体、土壤的氧交换，会对植株生长产生一定抑制作用，红树林保护区大部分为滩涂，部分油膜吸附在滩涂表面，经过风化等过程直到消失，其余油膜则随着潮涨潮落来回回荡直至消失，短时间内红树林不会因为石油类的毒性或缺氧而死亡。庄铁城等对红树林土壤微生物的研究表明其对柴油有较强的降解力，其降解率是同潮带无红树林土壤微生物的2～3倍。Hashim等研究人员发现红树林微生物对柴油的降解一个月内可达60%以上。在滨海油污的净化处理上，利用红树林微生物对海岸工业油污、船舶油污、原油泄漏等进行处理也取得了很好的效果。赵北北等的研究结果表明（秋茄和桐花对柴油污染修复的研究，硕士论文，2015年），在柴油浓度大于25mg/kg的土壤对红树林的生长会产生明显的抑制作用，红树林的地上和地下生物量对比无柴油污染的下降大概10%—30%左右。由此可见，红树林对石油类具有一定的耐受能力，其根系中的土壤微生物对石油类物质具有较强的降解作用，但同时石油类也会对红树林的生长产生抑制作用，一般情况下不会导致红树林的死亡。</w:t>
      </w:r>
    </w:p>
    <w:p w14:paraId="1B287611">
      <w:pPr>
        <w:ind w:firstLine="480"/>
        <w:rPr>
          <w:color w:val="auto"/>
        </w:rPr>
      </w:pPr>
      <w:r>
        <w:rPr>
          <w:rFonts w:hint="eastAsia"/>
          <w:color w:val="auto"/>
        </w:rPr>
        <w:t>由于溢油事故中无论是溢油量还是溢油时间均有较大的不确定性，为保护红树林生态</w:t>
      </w:r>
      <w:r>
        <w:rPr>
          <w:color w:val="auto"/>
        </w:rPr>
        <w:t>系统、</w:t>
      </w:r>
      <w:r>
        <w:rPr>
          <w:rFonts w:hint="eastAsia"/>
          <w:color w:val="auto"/>
        </w:rPr>
        <w:t>盐沼生态系统以及二长棘鲷和长毛对虾种质资源保护区（实验区）的</w:t>
      </w:r>
      <w:r>
        <w:rPr>
          <w:color w:val="auto"/>
        </w:rPr>
        <w:t>水质，</w:t>
      </w:r>
      <w:r>
        <w:rPr>
          <w:rFonts w:hint="eastAsia"/>
          <w:color w:val="auto"/>
        </w:rPr>
        <w:t>必须通过严格的环境风险防范措施和环境管理措施，尽量杜绝此类事故的发生；并通过建立有关制度、完善设备，提高人员素质和制定溢油应急计划，采取适当的控制溢油事故措施，以控制溢油事故的污染。一旦发生风险事故，应及时启动事故应急预案，最大限度地控制油膜扩散</w:t>
      </w:r>
      <w:r>
        <w:rPr>
          <w:color w:val="auto"/>
        </w:rPr>
        <w:t>，减少溢油对</w:t>
      </w:r>
      <w:r>
        <w:rPr>
          <w:rFonts w:hint="eastAsia"/>
          <w:color w:val="auto"/>
        </w:rPr>
        <w:t>保护</w:t>
      </w:r>
      <w:r>
        <w:rPr>
          <w:color w:val="auto"/>
        </w:rPr>
        <w:t>目标的影响。</w:t>
      </w:r>
    </w:p>
    <w:p w14:paraId="3025E082">
      <w:pPr>
        <w:pStyle w:val="5"/>
        <w:keepNext w:val="0"/>
        <w:keepLines w:val="0"/>
        <w:rPr>
          <w:color w:val="auto"/>
        </w:rPr>
      </w:pPr>
      <w:bookmarkStart w:id="558" w:name="_Toc223258495"/>
      <w:bookmarkStart w:id="559" w:name="_Toc223595785"/>
      <w:r>
        <w:rPr>
          <w:color w:val="auto"/>
        </w:rPr>
        <w:t>风险管理</w:t>
      </w:r>
      <w:bookmarkEnd w:id="558"/>
      <w:bookmarkEnd w:id="559"/>
    </w:p>
    <w:p w14:paraId="382298AC">
      <w:pPr>
        <w:pStyle w:val="4"/>
        <w:rPr>
          <w:color w:val="auto"/>
        </w:rPr>
      </w:pPr>
      <w:r>
        <w:rPr>
          <w:rFonts w:hint="eastAsia"/>
          <w:color w:val="auto"/>
        </w:rPr>
        <w:t>环境风险管理目标</w:t>
      </w:r>
    </w:p>
    <w:p w14:paraId="2247C6DE">
      <w:pPr>
        <w:ind w:firstLine="480"/>
        <w:rPr>
          <w:color w:val="auto"/>
        </w:rPr>
      </w:pPr>
      <w:r>
        <w:rPr>
          <w:rFonts w:hint="eastAsia"/>
          <w:color w:val="auto"/>
        </w:rPr>
        <w:t>环境风险管理目标是采用最低合理可靠原则管控环境风险。采取的环境风险防范措施应与社会经济技术发展水平相适应，运用科学的技术手段和管理方法，对环境风险进行有效</w:t>
      </w:r>
      <w:r>
        <w:rPr>
          <w:rFonts w:hint="eastAsia"/>
          <w:color w:val="auto"/>
          <w:lang w:eastAsia="zh-CN"/>
        </w:rPr>
        <w:t>地</w:t>
      </w:r>
      <w:r>
        <w:rPr>
          <w:rFonts w:hint="eastAsia"/>
          <w:color w:val="auto"/>
        </w:rPr>
        <w:t>预防、监控、响应。</w:t>
      </w:r>
    </w:p>
    <w:p w14:paraId="36A4F7F5">
      <w:pPr>
        <w:pStyle w:val="4"/>
        <w:rPr>
          <w:color w:val="auto"/>
        </w:rPr>
      </w:pPr>
      <w:r>
        <w:rPr>
          <w:rFonts w:hint="eastAsia"/>
          <w:color w:val="auto"/>
        </w:rPr>
        <w:t>现有环境风险防范措施</w:t>
      </w:r>
    </w:p>
    <w:p w14:paraId="52894DFA">
      <w:pPr>
        <w:pStyle w:val="13"/>
        <w:spacing w:line="360" w:lineRule="auto"/>
        <w:ind w:firstLine="480"/>
        <w:rPr>
          <w:rFonts w:hint="eastAsia"/>
          <w:color w:val="auto"/>
          <w:sz w:val="24"/>
        </w:rPr>
      </w:pPr>
      <w:r>
        <w:rPr>
          <w:rFonts w:hint="eastAsia"/>
          <w:color w:val="auto"/>
          <w:sz w:val="24"/>
        </w:rPr>
        <w:t>本项目增加货种装卸，涉及的危险物质及可能发生的环境风险事故，主要新增装卸和储存的危险物质为甲基叔丁基醚（MTBE）、石脑油、蜡油、渣油、异辛烷（烷基化油），主要风险事故为危险货物泄漏和溢油事故。广西东油沥青有限公司于2023年8月发布了突发环境事件应急预案，并已取得钦州市生态环境局备案（预案编号450702-2023-071-M，见附件5）。公司成立突发环境事件应急组织机构。现有环境风险防范措施及应急物资较完善（详见章节</w:t>
      </w:r>
      <w:r>
        <w:rPr>
          <w:color w:val="auto"/>
          <w:sz w:val="24"/>
        </w:rPr>
        <w:t>5.8.6.1</w:t>
      </w:r>
      <w:r>
        <w:rPr>
          <w:rFonts w:hint="eastAsia"/>
          <w:color w:val="auto"/>
          <w:sz w:val="24"/>
        </w:rPr>
        <w:t>），现有应急资源及能力基本满足厂区突发环境事件应急要求。</w:t>
      </w:r>
    </w:p>
    <w:p w14:paraId="3CEAF19C">
      <w:pPr>
        <w:pStyle w:val="4"/>
        <w:rPr>
          <w:color w:val="auto"/>
        </w:rPr>
      </w:pPr>
      <w:r>
        <w:rPr>
          <w:rFonts w:hint="eastAsia"/>
          <w:color w:val="auto"/>
        </w:rPr>
        <w:t>大气风险防范措施</w:t>
      </w:r>
    </w:p>
    <w:p w14:paraId="1C43C93D">
      <w:pPr>
        <w:ind w:firstLine="480"/>
        <w:rPr>
          <w:color w:val="auto"/>
        </w:rPr>
      </w:pPr>
      <w:r>
        <w:rPr>
          <w:rFonts w:hint="eastAsia"/>
          <w:color w:val="auto"/>
        </w:rPr>
        <w:t>（1）现有泄漏防范和泄漏监控措施</w:t>
      </w:r>
    </w:p>
    <w:p w14:paraId="6F8BDB49">
      <w:pPr>
        <w:ind w:firstLine="480"/>
        <w:rPr>
          <w:color w:val="auto"/>
        </w:rPr>
      </w:pPr>
      <w:r>
        <w:rPr>
          <w:rFonts w:hint="eastAsia"/>
          <w:color w:val="auto"/>
        </w:rPr>
        <w:t>①定期检查码头上的装卸臂等设备以及输送管道，定期进行压力管道检测和管道、阀门维护保养，防止输送管道和装卸设备泄漏。</w:t>
      </w:r>
    </w:p>
    <w:p w14:paraId="63686D36">
      <w:pPr>
        <w:ind w:firstLine="480"/>
        <w:rPr>
          <w:rFonts w:hint="eastAsia"/>
          <w:color w:val="auto"/>
        </w:rPr>
      </w:pPr>
      <w:r>
        <w:rPr>
          <w:rFonts w:hint="eastAsia"/>
          <w:color w:val="auto"/>
        </w:rPr>
        <w:t>②码头及</w:t>
      </w:r>
      <w:r>
        <w:rPr>
          <w:color w:val="auto"/>
        </w:rPr>
        <w:t>后方库区</w:t>
      </w:r>
      <w:r>
        <w:rPr>
          <w:rFonts w:hint="eastAsia"/>
          <w:color w:val="auto"/>
        </w:rPr>
        <w:t>现有工程已设有可燃气体监测系统，独立于过程控制系统DCS。GDS系统由控制器，辅助机柜和操作站构成，具备时间顺序记录功能。GDS系统对可燃气体泄漏监测显示和报警，报警信号均送入总控制室内独立的SIS控制系统，并在系统内设立独立显示画面。</w:t>
      </w:r>
    </w:p>
    <w:p w14:paraId="50AE5CCA">
      <w:pPr>
        <w:ind w:firstLine="480"/>
        <w:rPr>
          <w:rFonts w:hint="eastAsia" w:eastAsia="宋体"/>
          <w:color w:val="auto"/>
          <w:u w:val="single"/>
          <w:lang w:eastAsia="zh-CN"/>
        </w:rPr>
      </w:pPr>
      <w:r>
        <w:rPr>
          <w:rFonts w:hint="eastAsia" w:eastAsia="宋体"/>
          <w:color w:val="auto"/>
          <w:u w:val="single"/>
          <w:lang w:eastAsia="zh-CN"/>
        </w:rPr>
        <w:t>③</w:t>
      </w:r>
      <w:r>
        <w:rPr>
          <w:rFonts w:hint="eastAsia"/>
          <w:color w:val="auto"/>
          <w:u w:val="single"/>
          <w:lang w:eastAsia="zh-CN"/>
        </w:rPr>
        <w:t>配备溢油监视报警装置，及时发现溢油情况，在发生溢油时立即报警，以便作业人员及时采取措施。</w:t>
      </w:r>
    </w:p>
    <w:p w14:paraId="3832ADD3">
      <w:pPr>
        <w:ind w:firstLine="480"/>
        <w:rPr>
          <w:color w:val="auto"/>
        </w:rPr>
      </w:pPr>
      <w:r>
        <w:rPr>
          <w:rFonts w:hint="eastAsia"/>
          <w:color w:val="auto"/>
        </w:rPr>
        <w:t>（2）现有物料泄漏应急、救援及减缓措施</w:t>
      </w:r>
    </w:p>
    <w:p w14:paraId="0B433F23">
      <w:pPr>
        <w:ind w:firstLine="480"/>
        <w:rPr>
          <w:color w:val="auto"/>
        </w:rPr>
      </w:pPr>
      <w:r>
        <w:rPr>
          <w:rFonts w:hint="eastAsia"/>
          <w:color w:val="auto"/>
        </w:rPr>
        <w:t>当发生易燃易爆或有毒物料泄漏时，可根据物料性质，选择采取以下措施，防止事态进一步发展：</w:t>
      </w:r>
    </w:p>
    <w:p w14:paraId="2DD9E022">
      <w:pPr>
        <w:ind w:firstLine="480"/>
        <w:rPr>
          <w:color w:val="auto"/>
        </w:rPr>
      </w:pPr>
      <w:r>
        <w:rPr>
          <w:rFonts w:hint="eastAsia"/>
          <w:color w:val="auto"/>
        </w:rPr>
        <w:t>①根据事故级别启动应急预案。</w:t>
      </w:r>
    </w:p>
    <w:p w14:paraId="1A783798">
      <w:pPr>
        <w:ind w:firstLine="480"/>
        <w:rPr>
          <w:color w:val="auto"/>
        </w:rPr>
      </w:pPr>
      <w:r>
        <w:rPr>
          <w:rFonts w:hint="eastAsia"/>
          <w:color w:val="auto"/>
        </w:rPr>
        <w:t>②将无关人员迅速疏散到上风向安全区，对危险区域进行隔离，并严格控制出入，切断火源；根据需要疏散周围居住区人群。</w:t>
      </w:r>
    </w:p>
    <w:p w14:paraId="10F98163">
      <w:pPr>
        <w:ind w:firstLine="480"/>
        <w:rPr>
          <w:color w:val="auto"/>
        </w:rPr>
      </w:pPr>
      <w:r>
        <w:rPr>
          <w:rFonts w:hint="eastAsia"/>
          <w:color w:val="auto"/>
        </w:rPr>
        <w:t>⑥比空气重的易挥发易燃液体泄漏时，用工业覆盖层或吸附/吸收剂盖住泄漏点附近的下水道等地方，防止气体进入。</w:t>
      </w:r>
    </w:p>
    <w:p w14:paraId="4EE56B29">
      <w:pPr>
        <w:ind w:firstLine="480"/>
        <w:rPr>
          <w:color w:val="auto"/>
        </w:rPr>
      </w:pPr>
      <w:r>
        <w:rPr>
          <w:rFonts w:hint="eastAsia"/>
          <w:color w:val="auto"/>
        </w:rPr>
        <w:t>⑦喷雾状水稀释，构筑临时围堤收容产生的大量废水。</w:t>
      </w:r>
    </w:p>
    <w:p w14:paraId="524CE693">
      <w:pPr>
        <w:ind w:firstLine="480"/>
        <w:rPr>
          <w:color w:val="auto"/>
        </w:rPr>
      </w:pPr>
      <w:r>
        <w:rPr>
          <w:rFonts w:hint="eastAsia"/>
          <w:color w:val="auto"/>
        </w:rPr>
        <w:t>⑧小量液体泄漏：用砂土、吸附材料、中和材料吸收或中和，也可以用大量水冲洗，稀释水排入废水系统。大量液体泄漏：构筑临时围堤收容。用泡沫覆盖，降低挥发蒸气灾害。用防爆泵转移至槽车或专用收集器内，运至有资质单位处置。</w:t>
      </w:r>
    </w:p>
    <w:p w14:paraId="6B3677B5">
      <w:pPr>
        <w:ind w:firstLine="480"/>
        <w:rPr>
          <w:color w:val="auto"/>
        </w:rPr>
      </w:pPr>
      <w:r>
        <w:rPr>
          <w:rFonts w:hint="eastAsia"/>
          <w:color w:val="auto"/>
        </w:rPr>
        <w:t>⑨喷雾吸收或中和：对某些可通过物理、化学反应中和或吸收的气体发生泄漏，可喷相关雾状液进行中和或吸收。</w:t>
      </w:r>
    </w:p>
    <w:p w14:paraId="239B4095">
      <w:pPr>
        <w:ind w:firstLine="480"/>
        <w:rPr>
          <w:color w:val="auto"/>
        </w:rPr>
      </w:pPr>
      <w:r>
        <w:rPr>
          <w:rFonts w:hint="eastAsia"/>
          <w:color w:val="auto"/>
        </w:rPr>
        <w:t>（3）现有火灾爆炸防范措施</w:t>
      </w:r>
    </w:p>
    <w:p w14:paraId="16096847">
      <w:pPr>
        <w:tabs>
          <w:tab w:val="left" w:pos="420"/>
        </w:tabs>
        <w:ind w:firstLine="480"/>
        <w:rPr>
          <w:color w:val="auto"/>
        </w:rPr>
      </w:pPr>
      <w:r>
        <w:rPr>
          <w:bCs/>
          <w:color w:val="auto"/>
        </w:rPr>
        <w:t>火灾报警系统</w:t>
      </w:r>
      <w:r>
        <w:rPr>
          <w:rFonts w:hint="eastAsia"/>
          <w:bCs/>
          <w:color w:val="auto"/>
        </w:rPr>
        <w:t>和</w:t>
      </w:r>
      <w:r>
        <w:rPr>
          <w:bCs/>
          <w:color w:val="auto"/>
        </w:rPr>
        <w:t>消防控制系统依托已建系统，满足本项目需要。</w:t>
      </w:r>
    </w:p>
    <w:p w14:paraId="01F21E99">
      <w:pPr>
        <w:ind w:firstLine="480"/>
        <w:rPr>
          <w:color w:val="auto"/>
        </w:rPr>
      </w:pPr>
      <w:r>
        <w:rPr>
          <w:rFonts w:hint="eastAsia"/>
          <w:color w:val="auto"/>
        </w:rPr>
        <w:t>①控制与消除火源。装卸作业过程中可能遇到的火源主要是吸烟、维修用火、电器火灾、静电打火、雷击、撞击火星和自燃发热。为此应采取如下措施：</w:t>
      </w:r>
    </w:p>
    <w:p w14:paraId="408C8CE7">
      <w:pPr>
        <w:ind w:firstLine="480"/>
        <w:rPr>
          <w:color w:val="auto"/>
        </w:rPr>
      </w:pPr>
      <w:r>
        <w:rPr>
          <w:rFonts w:hint="eastAsia"/>
          <w:color w:val="auto"/>
        </w:rPr>
        <w:t>a有火灾爆炸危险的区域严禁吸烟，禁止携带火种、穿戴钉子皮鞋进入；</w:t>
      </w:r>
    </w:p>
    <w:p w14:paraId="6B065209">
      <w:pPr>
        <w:ind w:firstLine="480"/>
        <w:rPr>
          <w:color w:val="auto"/>
        </w:rPr>
      </w:pPr>
      <w:r>
        <w:rPr>
          <w:rFonts w:hint="eastAsia"/>
          <w:color w:val="auto"/>
        </w:rPr>
        <w:t>b进入有火灾爆炸危险的区域的车辆必须佩戴防火罩；</w:t>
      </w:r>
    </w:p>
    <w:p w14:paraId="6C860520">
      <w:pPr>
        <w:ind w:firstLine="480"/>
        <w:rPr>
          <w:color w:val="auto"/>
        </w:rPr>
      </w:pPr>
      <w:r>
        <w:rPr>
          <w:rFonts w:hint="eastAsia"/>
          <w:color w:val="auto"/>
        </w:rPr>
        <w:t>c管线及设备等如需维修动火，必须彻底吹扫、置换泄压和强制通风换气；</w:t>
      </w:r>
    </w:p>
    <w:p w14:paraId="6C7F7F27">
      <w:pPr>
        <w:ind w:firstLine="480"/>
        <w:rPr>
          <w:color w:val="auto"/>
        </w:rPr>
      </w:pPr>
      <w:r>
        <w:rPr>
          <w:rFonts w:hint="eastAsia"/>
          <w:color w:val="auto"/>
        </w:rPr>
        <w:t>d在有火灾爆炸危险的区域使用的工具、手电等应为防爆型；</w:t>
      </w:r>
    </w:p>
    <w:p w14:paraId="723DF5F9">
      <w:pPr>
        <w:ind w:firstLine="480"/>
        <w:rPr>
          <w:color w:val="auto"/>
        </w:rPr>
      </w:pPr>
      <w:r>
        <w:rPr>
          <w:rFonts w:hint="eastAsia"/>
          <w:color w:val="auto"/>
        </w:rPr>
        <w:t>e管线应接地良好、可靠，定期检查，</w:t>
      </w:r>
      <w:r>
        <w:rPr>
          <w:color w:val="auto"/>
        </w:rPr>
        <w:t>管线的防静电接地电阻应＜10Ω</w:t>
      </w:r>
      <w:r>
        <w:rPr>
          <w:rFonts w:hint="eastAsia"/>
          <w:color w:val="auto"/>
        </w:rPr>
        <w:t>。装卸货时应控制流速，防止静电引起事故；</w:t>
      </w:r>
    </w:p>
    <w:p w14:paraId="4E124692">
      <w:pPr>
        <w:ind w:firstLine="480"/>
        <w:rPr>
          <w:color w:val="auto"/>
        </w:rPr>
      </w:pPr>
      <w:r>
        <w:rPr>
          <w:rFonts w:hint="eastAsia"/>
          <w:color w:val="auto"/>
        </w:rPr>
        <w:t>f油抹布、油棉纱等都是易于自燃起火的物质，不能堆积过多，且应远离热源，及时清除，放置于安全地点；</w:t>
      </w:r>
    </w:p>
    <w:p w14:paraId="2E2A2548">
      <w:pPr>
        <w:ind w:firstLine="480"/>
        <w:rPr>
          <w:color w:val="auto"/>
        </w:rPr>
      </w:pPr>
      <w:r>
        <w:rPr>
          <w:rFonts w:hint="eastAsia"/>
          <w:color w:val="auto"/>
        </w:rPr>
        <w:t>g在有火灾爆炸危险的区域设置固定式可燃气体检测报警仪，也可配置一定数量的便携式可燃气体检测报警仪代替固定式检测报警仪。</w:t>
      </w:r>
    </w:p>
    <w:p w14:paraId="21E5179F">
      <w:pPr>
        <w:ind w:firstLine="480"/>
        <w:rPr>
          <w:color w:val="auto"/>
        </w:rPr>
      </w:pPr>
      <w:r>
        <w:rPr>
          <w:rFonts w:hint="eastAsia"/>
          <w:color w:val="auto"/>
        </w:rPr>
        <w:t>②防止泄漏。一旦发生物料因跑、冒、滴、漏，化学品会到处蔓延和扩散，低处积聚是安全生产一大隐患，必须坚持巡回检查，加强设备维修保养，提高设备完好率，努力消除一切隐患。</w:t>
      </w:r>
    </w:p>
    <w:p w14:paraId="6CC7E7C8">
      <w:pPr>
        <w:ind w:firstLine="480"/>
        <w:rPr>
          <w:color w:val="auto"/>
        </w:rPr>
      </w:pPr>
      <w:r>
        <w:rPr>
          <w:rFonts w:hint="eastAsia"/>
          <w:color w:val="auto"/>
        </w:rPr>
        <w:t>③安全作业措施</w:t>
      </w:r>
    </w:p>
    <w:p w14:paraId="4C13C643">
      <w:pPr>
        <w:ind w:firstLine="480"/>
        <w:rPr>
          <w:color w:val="auto"/>
        </w:rPr>
      </w:pPr>
      <w:r>
        <w:rPr>
          <w:rFonts w:hint="eastAsia"/>
          <w:color w:val="auto"/>
        </w:rPr>
        <w:t>a在整个装卸作业期间，船岸双方应派出足够的作业人员、值班人员，这些人员应了解装卸作业过程中存在的危险因素，并具备应急处理能力；</w:t>
      </w:r>
    </w:p>
    <w:p w14:paraId="2DA9D3AE">
      <w:pPr>
        <w:ind w:firstLine="480"/>
        <w:rPr>
          <w:color w:val="auto"/>
        </w:rPr>
      </w:pPr>
      <w:r>
        <w:rPr>
          <w:rFonts w:hint="eastAsia"/>
          <w:color w:val="auto"/>
        </w:rPr>
        <w:t>b装卸作业过程中，应密切注意码头管线和装卸臂的工作状况，防止跑、冒、滴、漏的情况发生；</w:t>
      </w:r>
    </w:p>
    <w:p w14:paraId="672A7DCB">
      <w:pPr>
        <w:ind w:firstLine="480"/>
        <w:rPr>
          <w:color w:val="auto"/>
        </w:rPr>
      </w:pPr>
      <w:r>
        <w:rPr>
          <w:rFonts w:hint="eastAsia"/>
          <w:color w:val="auto"/>
        </w:rPr>
        <w:t>c在作业现场应设置冲洗设施和急救药箱，以便在油品溅到作业人员身体、手、眼时，能及时冲洗并进行药物处理。</w:t>
      </w:r>
    </w:p>
    <w:p w14:paraId="6428CECD">
      <w:pPr>
        <w:ind w:firstLine="480"/>
        <w:rPr>
          <w:color w:val="auto"/>
        </w:rPr>
      </w:pPr>
      <w:r>
        <w:rPr>
          <w:rFonts w:hint="eastAsia"/>
          <w:color w:val="auto"/>
        </w:rPr>
        <w:t>④出现下列情况时，应立即停止装卸作业：</w:t>
      </w:r>
    </w:p>
    <w:p w14:paraId="0C928A8F">
      <w:pPr>
        <w:ind w:firstLine="480"/>
        <w:rPr>
          <w:color w:val="auto"/>
        </w:rPr>
      </w:pPr>
      <w:r>
        <w:rPr>
          <w:rFonts w:hint="eastAsia"/>
          <w:color w:val="auto"/>
        </w:rPr>
        <w:t>a遇有雷电；</w:t>
      </w:r>
    </w:p>
    <w:p w14:paraId="6CDA3BA1">
      <w:pPr>
        <w:ind w:firstLine="480"/>
        <w:rPr>
          <w:color w:val="auto"/>
        </w:rPr>
      </w:pPr>
      <w:r>
        <w:rPr>
          <w:rFonts w:hint="eastAsia"/>
          <w:color w:val="auto"/>
        </w:rPr>
        <w:t>b检测到存在可燃气体或发生液体化工品泄漏事故；</w:t>
      </w:r>
    </w:p>
    <w:p w14:paraId="0B2E8BB9">
      <w:pPr>
        <w:ind w:firstLine="480"/>
        <w:rPr>
          <w:color w:val="auto"/>
        </w:rPr>
      </w:pPr>
      <w:r>
        <w:rPr>
          <w:rFonts w:hint="eastAsia"/>
          <w:color w:val="auto"/>
        </w:rPr>
        <w:t>c接到主管部门下达的终止作业通知；</w:t>
      </w:r>
    </w:p>
    <w:p w14:paraId="13B2F1FB">
      <w:pPr>
        <w:ind w:firstLine="480"/>
        <w:rPr>
          <w:color w:val="auto"/>
        </w:rPr>
      </w:pPr>
      <w:r>
        <w:rPr>
          <w:rFonts w:hint="eastAsia"/>
          <w:color w:val="auto"/>
        </w:rPr>
        <w:t>d船岸双方任何一方认为作业有危险。</w:t>
      </w:r>
    </w:p>
    <w:p w14:paraId="52F9DF62">
      <w:pPr>
        <w:ind w:firstLine="480"/>
        <w:rPr>
          <w:color w:val="auto"/>
        </w:rPr>
      </w:pPr>
      <w:r>
        <w:rPr>
          <w:rFonts w:hint="eastAsia"/>
          <w:color w:val="auto"/>
        </w:rPr>
        <w:t>（4）现有火灾、爆炸应急、减缓措施</w:t>
      </w:r>
    </w:p>
    <w:p w14:paraId="56FB8B17">
      <w:pPr>
        <w:ind w:firstLine="480"/>
        <w:rPr>
          <w:color w:val="auto"/>
        </w:rPr>
      </w:pPr>
      <w:r>
        <w:rPr>
          <w:rFonts w:hint="eastAsia"/>
          <w:color w:val="auto"/>
        </w:rPr>
        <w:t>当发生火灾或爆炸时：</w:t>
      </w:r>
    </w:p>
    <w:p w14:paraId="0B13DF0E">
      <w:pPr>
        <w:ind w:firstLine="480"/>
        <w:rPr>
          <w:color w:val="auto"/>
        </w:rPr>
      </w:pPr>
      <w:r>
        <w:rPr>
          <w:rFonts w:hint="eastAsia"/>
          <w:color w:val="auto"/>
        </w:rPr>
        <w:t>①根据事故级别启动应急预案；</w:t>
      </w:r>
    </w:p>
    <w:p w14:paraId="1460CC91">
      <w:pPr>
        <w:ind w:firstLine="480"/>
        <w:rPr>
          <w:color w:val="auto"/>
        </w:rPr>
      </w:pPr>
      <w:r>
        <w:rPr>
          <w:rFonts w:hint="eastAsia"/>
          <w:color w:val="auto"/>
        </w:rPr>
        <w:t>②根据需要，切断着火设施上、下游物料，防止发生连锁效应；</w:t>
      </w:r>
    </w:p>
    <w:p w14:paraId="60949E28">
      <w:pPr>
        <w:ind w:firstLine="480"/>
        <w:rPr>
          <w:color w:val="auto"/>
        </w:rPr>
      </w:pPr>
      <w:r>
        <w:rPr>
          <w:rFonts w:hint="eastAsia"/>
          <w:color w:val="auto"/>
        </w:rPr>
        <w:t>③救火的同时，采用水幕或喷淋的方法，防止引发继发事故；</w:t>
      </w:r>
    </w:p>
    <w:p w14:paraId="4084494F">
      <w:pPr>
        <w:ind w:firstLine="480"/>
        <w:rPr>
          <w:color w:val="auto"/>
        </w:rPr>
      </w:pPr>
      <w:r>
        <w:rPr>
          <w:rFonts w:hint="eastAsia"/>
          <w:color w:val="auto"/>
        </w:rPr>
        <w:t>④用干粉、二氧化碳、砂土、泡沫等进行灭火；</w:t>
      </w:r>
    </w:p>
    <w:p w14:paraId="2DFD414E">
      <w:pPr>
        <w:ind w:firstLine="480"/>
        <w:rPr>
          <w:color w:val="auto"/>
        </w:rPr>
      </w:pPr>
      <w:r>
        <w:rPr>
          <w:rFonts w:hint="eastAsia"/>
          <w:color w:val="auto"/>
        </w:rPr>
        <w:t>⑤据事故级别疏散周边人员。</w:t>
      </w:r>
    </w:p>
    <w:p w14:paraId="67BF0C80">
      <w:pPr>
        <w:ind w:firstLine="480"/>
        <w:rPr>
          <w:color w:val="auto"/>
        </w:rPr>
      </w:pPr>
      <w:r>
        <w:rPr>
          <w:rFonts w:hint="eastAsia"/>
          <w:color w:val="auto"/>
        </w:rPr>
        <w:t>（5）依托可行性</w:t>
      </w:r>
    </w:p>
    <w:p w14:paraId="274F6910">
      <w:pPr>
        <w:widowControl/>
        <w:ind w:firstLine="480"/>
        <w:rPr>
          <w:color w:val="auto"/>
        </w:rPr>
      </w:pPr>
      <w:r>
        <w:rPr>
          <w:rFonts w:hint="eastAsia" w:cs="宋体"/>
          <w:color w:val="auto"/>
          <w:kern w:val="0"/>
          <w:u w:val="single"/>
          <w:lang w:bidi="ar"/>
        </w:rPr>
        <w:t>项目在现有码头上增加货种，每次作业时仅停靠一艘船，一个货种作业，后方</w:t>
      </w:r>
      <w:r>
        <w:rPr>
          <w:rFonts w:cs="宋体"/>
          <w:color w:val="auto"/>
          <w:kern w:val="0"/>
          <w:u w:val="single"/>
          <w:lang w:bidi="ar"/>
        </w:rPr>
        <w:t>库区设置专用的储罐储存</w:t>
      </w:r>
      <w:r>
        <w:rPr>
          <w:rFonts w:hint="eastAsia" w:cs="宋体"/>
          <w:color w:val="auto"/>
          <w:kern w:val="0"/>
          <w:u w:val="single"/>
          <w:lang w:bidi="ar"/>
        </w:rPr>
        <w:t>新增</w:t>
      </w:r>
      <w:r>
        <w:rPr>
          <w:rFonts w:cs="宋体"/>
          <w:color w:val="auto"/>
          <w:kern w:val="0"/>
          <w:u w:val="single"/>
          <w:lang w:bidi="ar"/>
        </w:rPr>
        <w:t>的货种，</w:t>
      </w:r>
      <w:r>
        <w:rPr>
          <w:rFonts w:hint="eastAsia" w:cs="宋体"/>
          <w:color w:val="auto"/>
          <w:kern w:val="0"/>
          <w:u w:val="single"/>
          <w:lang w:bidi="ar"/>
        </w:rPr>
        <w:t>现有陆域风险管理措施完全满足拟建项目运行时的需求。</w:t>
      </w:r>
      <w:r>
        <w:rPr>
          <w:rFonts w:hint="eastAsia" w:cs="宋体"/>
          <w:color w:val="auto"/>
          <w:kern w:val="0"/>
          <w:lang w:bidi="ar"/>
        </w:rPr>
        <w:t>但</w:t>
      </w:r>
      <w:r>
        <w:rPr>
          <w:rFonts w:hint="eastAsia"/>
          <w:color w:val="auto"/>
        </w:rPr>
        <w:t>后续需根据建设内容、建设单位内部管理规定等特征，</w:t>
      </w:r>
      <w:r>
        <w:rPr>
          <w:color w:val="auto"/>
        </w:rPr>
        <w:t>在投入运营前，修订完善现有的环境风险应急预案并进行报备。</w:t>
      </w:r>
    </w:p>
    <w:p w14:paraId="146A4B23">
      <w:pPr>
        <w:pStyle w:val="4"/>
        <w:rPr>
          <w:color w:val="auto"/>
        </w:rPr>
      </w:pPr>
      <w:r>
        <w:rPr>
          <w:color w:val="auto"/>
        </w:rPr>
        <w:t>海域环境风险防范措施</w:t>
      </w:r>
    </w:p>
    <w:p w14:paraId="4CD14A5E">
      <w:pPr>
        <w:pStyle w:val="6"/>
        <w:rPr>
          <w:color w:val="auto"/>
        </w:rPr>
      </w:pPr>
      <w:r>
        <w:rPr>
          <w:rFonts w:hint="eastAsia"/>
          <w:color w:val="auto"/>
        </w:rPr>
        <w:t>现有</w:t>
      </w:r>
      <w:r>
        <w:rPr>
          <w:color w:val="auto"/>
        </w:rPr>
        <w:t>装卸、运输作业风险防范措施</w:t>
      </w:r>
    </w:p>
    <w:p w14:paraId="141ECB06">
      <w:pPr>
        <w:ind w:firstLine="480"/>
        <w:rPr>
          <w:color w:val="auto"/>
        </w:rPr>
      </w:pPr>
      <w:r>
        <w:rPr>
          <w:color w:val="auto"/>
        </w:rPr>
        <w:t>（1）在装卸作业过程中严格执行《装卸作业规程》和码头有关设备《安全技术操作规程》等制度，密切注意码头面管线和化学品输送臂的工作状况。</w:t>
      </w:r>
    </w:p>
    <w:p w14:paraId="7C5F549B">
      <w:pPr>
        <w:ind w:firstLine="480"/>
        <w:rPr>
          <w:color w:val="auto"/>
        </w:rPr>
      </w:pPr>
      <w:r>
        <w:rPr>
          <w:color w:val="auto"/>
        </w:rPr>
        <w:t>（2）加强作业过程中的现场</w:t>
      </w:r>
      <w:r>
        <w:rPr>
          <w:rFonts w:hint="eastAsia"/>
          <w:color w:val="auto"/>
        </w:rPr>
        <w:t>停</w:t>
      </w:r>
      <w:r>
        <w:rPr>
          <w:color w:val="auto"/>
        </w:rPr>
        <w:t>靠和巡检，公司调度与船方、货主密切联系，码头与船方配备足够的、满足安全生产需要的作业人员。</w:t>
      </w:r>
    </w:p>
    <w:p w14:paraId="703DBDAF">
      <w:pPr>
        <w:ind w:firstLine="480"/>
        <w:rPr>
          <w:color w:val="auto"/>
        </w:rPr>
      </w:pPr>
      <w:r>
        <w:rPr>
          <w:color w:val="auto"/>
        </w:rPr>
        <w:t>（3）严格落实《设备管理办法》，加强设备的</w:t>
      </w:r>
      <w:r>
        <w:rPr>
          <w:rFonts w:hint="eastAsia"/>
          <w:color w:val="auto"/>
        </w:rPr>
        <w:t>“管、用、养、修”</w:t>
      </w:r>
      <w:r>
        <w:rPr>
          <w:color w:val="auto"/>
        </w:rPr>
        <w:t>，防止设备、设施的损坏造成泄漏。保持泄漏监视报警装置的完好有效，发现泄漏及时报告，启动应急预案组织抢险。</w:t>
      </w:r>
    </w:p>
    <w:p w14:paraId="0BA2DAB0">
      <w:pPr>
        <w:ind w:firstLine="480"/>
        <w:rPr>
          <w:color w:val="auto"/>
        </w:rPr>
      </w:pPr>
      <w:r>
        <w:rPr>
          <w:color w:val="auto"/>
        </w:rPr>
        <w:t>（4）落实船岸联检制度，并严格按《船岸安全检查表》的内容要求进行检查和填写，同时应接受海事部门的监督检查。做好与船方必要的沟通与交流，明确作业期间的通讯联络方式及交流语言，并明确规定紧急情况下的应急信号。如果在作业过程中出现通讯中断或联系有误等情况，应停止作业，以免发生误装、冒顶或泄漏等事故。</w:t>
      </w:r>
    </w:p>
    <w:p w14:paraId="01AC4C03">
      <w:pPr>
        <w:ind w:firstLine="480"/>
        <w:rPr>
          <w:color w:val="auto"/>
        </w:rPr>
      </w:pPr>
      <w:r>
        <w:rPr>
          <w:color w:val="auto"/>
        </w:rPr>
        <w:t>（5）对于泵、阀门、法兰等泄漏，应严格按照《船舶接卸安全操作程序》等技术要求操作。操作前，对泵、阀门、法兰等仔细检查，作业时，由专人负责正常巡视，并配备泄漏探测报警设备，发现泄漏及时处理。</w:t>
      </w:r>
    </w:p>
    <w:p w14:paraId="49ECB9CC">
      <w:pPr>
        <w:ind w:firstLine="480"/>
        <w:rPr>
          <w:color w:val="auto"/>
        </w:rPr>
      </w:pPr>
      <w:r>
        <w:rPr>
          <w:color w:val="auto"/>
        </w:rPr>
        <w:t>（6）采用计算机控制系统，将化学品输运、设备报警和应急监控以及消防设备设施操控统一到中控室。一旦发生化学品泄漏或火灾事故，可确保由计算机发出明确信息，向指挥系统和抢险人员提供快速准确的指令，最大限度控制事故影响。</w:t>
      </w:r>
    </w:p>
    <w:p w14:paraId="19A0B57C">
      <w:pPr>
        <w:ind w:firstLine="480"/>
        <w:rPr>
          <w:color w:val="auto"/>
        </w:rPr>
      </w:pPr>
      <w:r>
        <w:rPr>
          <w:color w:val="auto"/>
        </w:rPr>
        <w:t>（7）化学品输送臂配备紧急脱离装置，设可燃性气体检测报警仪，控制和消除火源，按照《装卸油品码头防火设计规范》配备消防设施。</w:t>
      </w:r>
    </w:p>
    <w:p w14:paraId="455F0F84">
      <w:pPr>
        <w:ind w:firstLine="480"/>
        <w:rPr>
          <w:color w:val="auto"/>
        </w:rPr>
      </w:pPr>
      <w:r>
        <w:rPr>
          <w:color w:val="auto"/>
        </w:rPr>
        <w:t>（</w:t>
      </w:r>
      <w:r>
        <w:rPr>
          <w:rFonts w:hint="eastAsia"/>
          <w:color w:val="auto"/>
        </w:rPr>
        <w:t>8</w:t>
      </w:r>
      <w:r>
        <w:rPr>
          <w:color w:val="auto"/>
        </w:rPr>
        <w:t>）</w:t>
      </w:r>
      <w:r>
        <w:rPr>
          <w:rFonts w:hint="eastAsia"/>
          <w:color w:val="auto"/>
        </w:rPr>
        <w:t>在码头平台以及管廊带处设有火灾手动报警按钮和报警器，且均采用防爆结构。码头平台设置消防炮塔5座，炮塔设有固定式电动遥控炮。码头平台消防炮、消防电动阀门的控制由设置在综合用房消防控制室内的消防炮控制柜以及电动阀门控制柜完成。消防炮控制系统采用PLC控制，可以控制消防炮和电动阀门，并与可燃气体检测报警系统和火灾报警系统联锁。</w:t>
      </w:r>
    </w:p>
    <w:p w14:paraId="6AE32101">
      <w:pPr>
        <w:ind w:firstLine="480"/>
        <w:rPr>
          <w:color w:val="auto"/>
        </w:rPr>
      </w:pPr>
      <w:r>
        <w:rPr>
          <w:color w:val="auto"/>
        </w:rPr>
        <w:t>（</w:t>
      </w:r>
      <w:r>
        <w:rPr>
          <w:rFonts w:hint="eastAsia"/>
          <w:color w:val="auto"/>
        </w:rPr>
        <w:t>9</w:t>
      </w:r>
      <w:r>
        <w:rPr>
          <w:color w:val="auto"/>
        </w:rPr>
        <w:t>）对可能释放可燃气体的码头装卸区等部位设置可燃气体检测报警器</w:t>
      </w:r>
      <w:r>
        <w:rPr>
          <w:rFonts w:hint="eastAsia"/>
          <w:color w:val="auto"/>
        </w:rPr>
        <w:t>。已建工程设有可燃气体、有毒气体监测系统（简称GDS）。GDS系统对可燃易爆气体泄漏监测显示和报警，通过网络将数据送至DCS系统并由操作员实时监控。预警浓度满足风险防范和应急要求。</w:t>
      </w:r>
    </w:p>
    <w:p w14:paraId="26760C57">
      <w:pPr>
        <w:ind w:firstLine="480"/>
        <w:rPr>
          <w:color w:val="auto"/>
        </w:rPr>
      </w:pPr>
      <w:r>
        <w:rPr>
          <w:color w:val="auto"/>
        </w:rPr>
        <w:t>（</w:t>
      </w:r>
      <w:r>
        <w:rPr>
          <w:rFonts w:hint="eastAsia"/>
          <w:color w:val="auto"/>
        </w:rPr>
        <w:t>10</w:t>
      </w:r>
      <w:r>
        <w:rPr>
          <w:color w:val="auto"/>
        </w:rPr>
        <w:t>）化学品船应按靠泊标准和作业标准进行作业。出现下列情况时，应立即停止装卸作业：遇有雷电或烟囱冒火星；检测到存在可燃气体或发生化学品泄漏事故；接到主管部门下达的终止作业通知；船岸双方任何一方认为作业有危险。</w:t>
      </w:r>
    </w:p>
    <w:p w14:paraId="19C42B84">
      <w:pPr>
        <w:ind w:firstLine="480"/>
        <w:rPr>
          <w:color w:val="auto"/>
        </w:rPr>
      </w:pPr>
      <w:r>
        <w:rPr>
          <w:color w:val="auto"/>
        </w:rPr>
        <w:t>（</w:t>
      </w:r>
      <w:r>
        <w:rPr>
          <w:rFonts w:hint="eastAsia"/>
          <w:color w:val="auto"/>
        </w:rPr>
        <w:t>11</w:t>
      </w:r>
      <w:r>
        <w:rPr>
          <w:color w:val="auto"/>
        </w:rPr>
        <w:t>）根据《码头油气回收设施建设技术规范》</w:t>
      </w:r>
      <w:r>
        <w:rPr>
          <w:rFonts w:hint="eastAsia"/>
          <w:color w:val="auto"/>
        </w:rPr>
        <w:t>（</w:t>
      </w:r>
      <w:r>
        <w:rPr>
          <w:color w:val="auto"/>
        </w:rPr>
        <w:t>JTS196-12-20</w:t>
      </w:r>
      <w:r>
        <w:rPr>
          <w:rFonts w:hint="eastAsia"/>
          <w:color w:val="auto"/>
        </w:rPr>
        <w:t>23）</w:t>
      </w:r>
      <w:r>
        <w:rPr>
          <w:color w:val="auto"/>
        </w:rPr>
        <w:t>的要求，船岸安全装置需设有紧急切断阀、压力/真空释放阀、气液分离器、防爆轰型阻火器等管件，以及油气浓度、含氧量、压力、温度、流量监测和报警，用于码头装船废气的安全接收。</w:t>
      </w:r>
    </w:p>
    <w:p w14:paraId="15C62C7D">
      <w:pPr>
        <w:ind w:firstLine="480"/>
        <w:rPr>
          <w:color w:val="auto"/>
        </w:rPr>
      </w:pPr>
      <w:r>
        <w:rPr>
          <w:rFonts w:hint="eastAsia"/>
          <w:color w:val="auto"/>
        </w:rPr>
        <w:t>（12）输送软管使用前应先试压确保无泄漏。软管连接、移位、拆卸过程中严禁用叉车拖、拉或推软管，需要移位则拆下法兰螺栓后逐根叉走（软管移位过程中不可与地面接触），对于暂不使用的软管应上好盲板并妥善放置。</w:t>
      </w:r>
    </w:p>
    <w:p w14:paraId="6EA58076">
      <w:pPr>
        <w:ind w:firstLine="480"/>
        <w:rPr>
          <w:color w:val="auto"/>
        </w:rPr>
      </w:pPr>
      <w:r>
        <w:rPr>
          <w:rFonts w:hint="eastAsia"/>
          <w:color w:val="auto"/>
        </w:rPr>
        <w:t>（13）到港船舶靠港期间，应在码头前沿布设围油栏，并注意观察海面情况，发现油污应及时清理。</w:t>
      </w:r>
    </w:p>
    <w:p w14:paraId="5E3E32E4">
      <w:pPr>
        <w:ind w:firstLine="480"/>
        <w:rPr>
          <w:color w:val="auto"/>
        </w:rPr>
      </w:pPr>
      <w:r>
        <w:rPr>
          <w:rFonts w:hint="eastAsia"/>
          <w:color w:val="auto"/>
        </w:rPr>
        <w:t>（14）注重培养危险货物作业人员的安全意识，定期开展安全教育培训；作业时应做到谨慎操作，稳起稳落，严格避免野蛮作业行为。</w:t>
      </w:r>
    </w:p>
    <w:p w14:paraId="133330C5">
      <w:pPr>
        <w:ind w:firstLine="480"/>
        <w:rPr>
          <w:color w:val="auto"/>
        </w:rPr>
      </w:pPr>
      <w:r>
        <w:rPr>
          <w:rFonts w:hint="eastAsia"/>
          <w:color w:val="auto"/>
        </w:rPr>
        <w:t>（15）措施依托可行性</w:t>
      </w:r>
    </w:p>
    <w:p w14:paraId="2DE2A42C">
      <w:pPr>
        <w:ind w:firstLine="480"/>
        <w:rPr>
          <w:rFonts w:cs="宋体"/>
          <w:color w:val="auto"/>
          <w:kern w:val="0"/>
          <w:u w:val="single"/>
          <w:lang w:bidi="ar"/>
        </w:rPr>
      </w:pPr>
      <w:r>
        <w:rPr>
          <w:rFonts w:hint="eastAsia" w:cs="宋体"/>
          <w:color w:val="auto"/>
          <w:kern w:val="0"/>
          <w:u w:val="single"/>
          <w:lang w:bidi="ar"/>
        </w:rPr>
        <w:t>项目在现有码头上增加货种，每次作业时仅停靠一艘船，一个货种作业，现有陆域风险管理措施完全满足拟建项目运行时的需求。</w:t>
      </w:r>
    </w:p>
    <w:p w14:paraId="6AC10512">
      <w:pPr>
        <w:ind w:firstLine="480"/>
        <w:rPr>
          <w:color w:val="auto"/>
        </w:rPr>
      </w:pPr>
      <w:r>
        <w:rPr>
          <w:rFonts w:hint="eastAsia"/>
          <w:color w:val="auto"/>
        </w:rPr>
        <w:t>装船</w:t>
      </w:r>
      <w:r>
        <w:rPr>
          <w:color w:val="auto"/>
        </w:rPr>
        <w:t>作业</w:t>
      </w:r>
      <w:r>
        <w:rPr>
          <w:rFonts w:hint="eastAsia"/>
          <w:color w:val="auto"/>
        </w:rPr>
        <w:t>废气</w:t>
      </w:r>
      <w:r>
        <w:rPr>
          <w:color w:val="auto"/>
        </w:rPr>
        <w:t>回收处理流程如下：</w:t>
      </w:r>
    </w:p>
    <w:p w14:paraId="09EC829F">
      <w:pPr>
        <w:ind w:firstLine="480"/>
        <w:rPr>
          <w:color w:val="auto"/>
        </w:rPr>
      </w:pPr>
      <w:r>
        <w:rPr>
          <w:color w:val="auto"/>
        </w:rPr>
        <w:t>化工品船→双管装卸臂的气相管→船岸安全装置→后方</w:t>
      </w:r>
      <w:r>
        <w:rPr>
          <w:rFonts w:hint="eastAsia"/>
          <w:color w:val="auto"/>
        </w:rPr>
        <w:t>装船油气</w:t>
      </w:r>
      <w:r>
        <w:rPr>
          <w:color w:val="auto"/>
        </w:rPr>
        <w:t>回收系统</w:t>
      </w:r>
      <w:r>
        <w:rPr>
          <w:rFonts w:hint="eastAsia"/>
          <w:color w:val="auto"/>
        </w:rPr>
        <w:t>。</w:t>
      </w:r>
    </w:p>
    <w:p w14:paraId="515BC3A2">
      <w:pPr>
        <w:ind w:firstLine="480"/>
        <w:rPr>
          <w:color w:val="auto"/>
          <w:u w:val="single"/>
        </w:rPr>
      </w:pPr>
      <w:r>
        <w:rPr>
          <w:color w:val="auto"/>
        </w:rPr>
        <w:t>船岸安全装置在进气端、出气端之间的管道上设置有紧急切断阀、压力/真空释放阀、气液分离器、防爆轰型阻火器、紧急充氮接入口、含氧量传感器、VOC测定仪、压力表、温度计等。管道运行压力高于或低于船舶设定的超压或超真空状态规定时，压力/真空释放阀泄压，延时超压时自动关闭切断阀，同时开启电磁阀。管道内油气含氧量体积比高于6%时报警，并同时开启阀门补入惰性气体；含氧量体积比高于8%时，系统自动关闭紧急切断阀，同时开启电磁阀实施紧急排放。船岸安全装置</w:t>
      </w:r>
      <w:r>
        <w:rPr>
          <w:rFonts w:hint="eastAsia"/>
          <w:color w:val="auto"/>
        </w:rPr>
        <w:t>利用</w:t>
      </w:r>
      <w:r>
        <w:rPr>
          <w:color w:val="auto"/>
        </w:rPr>
        <w:t>现场已有设备，本次设计</w:t>
      </w:r>
      <w:r>
        <w:rPr>
          <w:rFonts w:hint="eastAsia"/>
          <w:color w:val="auto"/>
        </w:rPr>
        <w:t>油品装卸臂</w:t>
      </w:r>
      <w:r>
        <w:rPr>
          <w:color w:val="auto"/>
        </w:rPr>
        <w:t>尾气管接至船岸安全装置总管。</w:t>
      </w:r>
      <w:r>
        <w:rPr>
          <w:rFonts w:hint="eastAsia"/>
          <w:color w:val="auto"/>
        </w:rPr>
        <w:t>油气回收装置可行。</w:t>
      </w:r>
    </w:p>
    <w:p w14:paraId="19AB8897">
      <w:pPr>
        <w:pStyle w:val="6"/>
        <w:rPr>
          <w:color w:val="auto"/>
        </w:rPr>
      </w:pPr>
      <w:r>
        <w:rPr>
          <w:rFonts w:hint="eastAsia"/>
          <w:color w:val="auto"/>
        </w:rPr>
        <w:t>事故废水环境风险防范措施</w:t>
      </w:r>
    </w:p>
    <w:p w14:paraId="64A3BAC1">
      <w:pPr>
        <w:widowControl/>
        <w:ind w:firstLine="480"/>
        <w:rPr>
          <w:color w:val="auto"/>
          <w:u w:val="single"/>
        </w:rPr>
      </w:pPr>
      <w:r>
        <w:rPr>
          <w:rFonts w:hint="eastAsia"/>
          <w:color w:val="auto"/>
          <w:u w:val="single"/>
        </w:rPr>
        <w:t>（1）构筑环境风险三级应急防范体系</w:t>
      </w:r>
    </w:p>
    <w:p w14:paraId="78407D43">
      <w:pPr>
        <w:widowControl/>
        <w:ind w:firstLine="480"/>
        <w:rPr>
          <w:color w:val="auto"/>
          <w:u w:val="single"/>
        </w:rPr>
      </w:pPr>
      <w:r>
        <w:rPr>
          <w:rFonts w:hint="eastAsia"/>
          <w:color w:val="auto"/>
          <w:u w:val="single"/>
        </w:rPr>
        <w:t>①第一级防控体系的功能主要是将事故废水控制在事故风险源所在区域单元，该体系主要是由罐组围堰、管道阀门等配套基础设施以及</w:t>
      </w:r>
      <w:r>
        <w:rPr>
          <w:color w:val="auto"/>
          <w:u w:val="single"/>
        </w:rPr>
        <w:t>码头平台和引桥</w:t>
      </w:r>
      <w:r>
        <w:rPr>
          <w:rFonts w:hint="eastAsia"/>
          <w:color w:val="auto"/>
          <w:u w:val="single"/>
        </w:rPr>
        <w:t>外围设置0.2</w:t>
      </w:r>
      <w:r>
        <w:rPr>
          <w:color w:val="auto"/>
          <w:u w:val="single"/>
        </w:rPr>
        <w:t>m高</w:t>
      </w:r>
      <w:r>
        <w:rPr>
          <w:rFonts w:hint="eastAsia"/>
          <w:color w:val="auto"/>
          <w:u w:val="single"/>
        </w:rPr>
        <w:t>护坎组成，码头装卸</w:t>
      </w:r>
      <w:r>
        <w:rPr>
          <w:color w:val="auto"/>
          <w:u w:val="single"/>
        </w:rPr>
        <w:t>平台</w:t>
      </w:r>
      <w:r>
        <w:rPr>
          <w:rFonts w:hint="eastAsia"/>
          <w:color w:val="auto"/>
          <w:u w:val="single"/>
        </w:rPr>
        <w:t>及</w:t>
      </w:r>
      <w:r>
        <w:rPr>
          <w:color w:val="auto"/>
          <w:u w:val="single"/>
        </w:rPr>
        <w:t>引桥</w:t>
      </w:r>
      <w:r>
        <w:rPr>
          <w:rFonts w:hint="eastAsia"/>
          <w:color w:val="auto"/>
          <w:u w:val="single"/>
        </w:rPr>
        <w:t>总</w:t>
      </w:r>
      <w:r>
        <w:rPr>
          <w:color w:val="auto"/>
          <w:u w:val="single"/>
        </w:rPr>
        <w:t>收集面积约</w:t>
      </w:r>
      <w:r>
        <w:rPr>
          <w:rFonts w:hint="eastAsia"/>
          <w:color w:val="auto"/>
          <w:u w:val="single"/>
        </w:rPr>
        <w:t>350</w:t>
      </w:r>
      <w:r>
        <w:rPr>
          <w:color w:val="auto"/>
          <w:u w:val="single"/>
        </w:rPr>
        <w:t>m</w:t>
      </w:r>
      <w:r>
        <w:rPr>
          <w:color w:val="auto"/>
          <w:vertAlign w:val="superscript"/>
        </w:rPr>
        <w:t>3</w:t>
      </w:r>
      <w:r>
        <w:rPr>
          <w:rFonts w:hint="eastAsia"/>
          <w:color w:val="auto"/>
          <w:u w:val="single"/>
        </w:rPr>
        <w:t>。扩建</w:t>
      </w:r>
      <w:r>
        <w:rPr>
          <w:color w:val="auto"/>
          <w:u w:val="single"/>
        </w:rPr>
        <w:t>项目涉及的</w:t>
      </w:r>
      <w:r>
        <w:rPr>
          <w:rFonts w:hint="eastAsia"/>
          <w:color w:val="auto"/>
          <w:u w:val="single"/>
        </w:rPr>
        <w:t>1#原油罐区围堰</w:t>
      </w:r>
      <w:r>
        <w:rPr>
          <w:color w:val="auto"/>
          <w:u w:val="single"/>
        </w:rPr>
        <w:t>高度为</w:t>
      </w:r>
      <w:r>
        <w:rPr>
          <w:rFonts w:hint="eastAsia"/>
          <w:color w:val="auto"/>
          <w:u w:val="single"/>
        </w:rPr>
        <w:t>2.3</w:t>
      </w:r>
      <w:r>
        <w:rPr>
          <w:color w:val="auto"/>
          <w:u w:val="single"/>
        </w:rPr>
        <w:t>m，</w:t>
      </w:r>
      <w:r>
        <w:rPr>
          <w:rFonts w:hint="eastAsia"/>
          <w:color w:val="auto"/>
          <w:u w:val="single"/>
        </w:rPr>
        <w:t>围堰</w:t>
      </w:r>
      <w:r>
        <w:rPr>
          <w:color w:val="auto"/>
          <w:u w:val="single"/>
        </w:rPr>
        <w:t>总容积为38929.8m</w:t>
      </w:r>
      <w:r>
        <w:rPr>
          <w:color w:val="auto"/>
          <w:vertAlign w:val="superscript"/>
        </w:rPr>
        <w:t>3</w:t>
      </w:r>
      <w:r>
        <w:rPr>
          <w:rFonts w:hint="eastAsia"/>
          <w:color w:val="auto"/>
          <w:u w:val="single"/>
        </w:rPr>
        <w:t>；3#汽油</w:t>
      </w:r>
      <w:r>
        <w:rPr>
          <w:color w:val="auto"/>
          <w:u w:val="single"/>
        </w:rPr>
        <w:t>罐组的围堰高度为</w:t>
      </w:r>
      <w:r>
        <w:rPr>
          <w:rFonts w:hint="eastAsia"/>
          <w:color w:val="auto"/>
          <w:u w:val="single"/>
        </w:rPr>
        <w:t>1.1</w:t>
      </w:r>
      <w:r>
        <w:rPr>
          <w:color w:val="auto"/>
          <w:u w:val="single"/>
        </w:rPr>
        <w:t>m</w:t>
      </w:r>
      <w:r>
        <w:rPr>
          <w:rFonts w:hint="eastAsia"/>
          <w:color w:val="auto"/>
          <w:u w:val="single"/>
        </w:rPr>
        <w:t>，围堰</w:t>
      </w:r>
      <w:r>
        <w:rPr>
          <w:color w:val="auto"/>
          <w:u w:val="single"/>
        </w:rPr>
        <w:t>总容积为17164.4m</w:t>
      </w:r>
      <w:r>
        <w:rPr>
          <w:color w:val="auto"/>
          <w:vertAlign w:val="superscript"/>
        </w:rPr>
        <w:t>3</w:t>
      </w:r>
      <w:r>
        <w:rPr>
          <w:rFonts w:hint="eastAsia"/>
          <w:color w:val="auto"/>
          <w:u w:val="single"/>
        </w:rPr>
        <w:t>。</w:t>
      </w:r>
    </w:p>
    <w:p w14:paraId="5D127CE8">
      <w:pPr>
        <w:ind w:firstLine="480"/>
        <w:rPr>
          <w:color w:val="auto"/>
          <w:u w:val="single"/>
        </w:rPr>
      </w:pPr>
      <w:r>
        <w:rPr>
          <w:rFonts w:hint="eastAsia"/>
          <w:color w:val="auto"/>
          <w:u w:val="single"/>
        </w:rPr>
        <w:t>②第二级防控体系由雨排水切断系统、导流沟以及码头</w:t>
      </w:r>
      <w:r>
        <w:rPr>
          <w:color w:val="auto"/>
          <w:u w:val="single"/>
        </w:rPr>
        <w:t>装卸平台</w:t>
      </w:r>
      <w:r>
        <w:rPr>
          <w:rFonts w:hint="eastAsia"/>
          <w:color w:val="auto"/>
          <w:u w:val="single"/>
        </w:rPr>
        <w:t>集水池</w:t>
      </w:r>
      <w:r>
        <w:rPr>
          <w:color w:val="auto"/>
          <w:u w:val="single"/>
        </w:rPr>
        <w:t>组成</w:t>
      </w:r>
      <w:r>
        <w:rPr>
          <w:rFonts w:hint="eastAsia"/>
          <w:color w:val="auto"/>
          <w:u w:val="single"/>
        </w:rPr>
        <w:t>，本项目罐组均设置雨污水截断设施，事故状态下能有效截断，防止事故液外流。</w:t>
      </w:r>
    </w:p>
    <w:p w14:paraId="294EBD01">
      <w:pPr>
        <w:widowControl/>
        <w:ind w:firstLine="480"/>
        <w:rPr>
          <w:color w:val="auto"/>
          <w:u w:val="single"/>
        </w:rPr>
      </w:pPr>
      <w:r>
        <w:rPr>
          <w:rFonts w:hint="eastAsia"/>
          <w:color w:val="auto"/>
          <w:u w:val="single"/>
        </w:rPr>
        <w:t>③第三级防控体系由事故应急池以及码头装卸泊位永久布放型围油栏组成。事故</w:t>
      </w:r>
      <w:r>
        <w:rPr>
          <w:color w:val="auto"/>
          <w:u w:val="single"/>
        </w:rPr>
        <w:t>应急池的容积20000m</w:t>
      </w:r>
      <w:r>
        <w:rPr>
          <w:color w:val="auto"/>
          <w:vertAlign w:val="superscript"/>
        </w:rPr>
        <w:t>3</w:t>
      </w:r>
      <w:r>
        <w:rPr>
          <w:rFonts w:hint="eastAsia"/>
          <w:color w:val="auto"/>
          <w:u w:val="single"/>
        </w:rPr>
        <w:t>，码头永久布放型围油栏长度为800m，高度为800mm。事故</w:t>
      </w:r>
      <w:r>
        <w:rPr>
          <w:color w:val="auto"/>
          <w:u w:val="single"/>
        </w:rPr>
        <w:t>状态下，</w:t>
      </w:r>
      <w:r>
        <w:rPr>
          <w:rFonts w:hint="eastAsia"/>
          <w:color w:val="auto"/>
          <w:u w:val="single"/>
        </w:rPr>
        <w:t>码头</w:t>
      </w:r>
      <w:r>
        <w:rPr>
          <w:color w:val="auto"/>
          <w:u w:val="single"/>
        </w:rPr>
        <w:t>的事故废水通过</w:t>
      </w:r>
      <w:r>
        <w:rPr>
          <w:rFonts w:hint="eastAsia"/>
          <w:color w:val="auto"/>
          <w:u w:val="single"/>
          <w:lang w:eastAsia="zh-CN"/>
        </w:rPr>
        <w:t>事故废水</w:t>
      </w:r>
      <w:r>
        <w:rPr>
          <w:color w:val="auto"/>
          <w:u w:val="single"/>
        </w:rPr>
        <w:t>收集管网进入事故应急池，罐组</w:t>
      </w:r>
      <w:r>
        <w:rPr>
          <w:rFonts w:hint="eastAsia"/>
          <w:color w:val="auto"/>
          <w:u w:val="single"/>
        </w:rPr>
        <w:t>的</w:t>
      </w:r>
      <w:r>
        <w:rPr>
          <w:color w:val="auto"/>
          <w:u w:val="single"/>
        </w:rPr>
        <w:t>切换阀</w:t>
      </w:r>
      <w:r>
        <w:rPr>
          <w:rFonts w:hint="eastAsia"/>
          <w:color w:val="auto"/>
          <w:u w:val="single"/>
        </w:rPr>
        <w:t>将事故</w:t>
      </w:r>
      <w:r>
        <w:rPr>
          <w:color w:val="auto"/>
          <w:u w:val="single"/>
        </w:rPr>
        <w:t>废水输送至事故应急池中</w:t>
      </w:r>
      <w:r>
        <w:rPr>
          <w:rFonts w:hint="eastAsia"/>
          <w:color w:val="auto"/>
          <w:u w:val="single"/>
        </w:rPr>
        <w:t>。事故</w:t>
      </w:r>
      <w:r>
        <w:rPr>
          <w:color w:val="auto"/>
          <w:u w:val="single"/>
        </w:rPr>
        <w:t>应急池中的水</w:t>
      </w:r>
      <w:r>
        <w:rPr>
          <w:rFonts w:hint="eastAsia"/>
          <w:color w:val="auto"/>
          <w:u w:val="single"/>
        </w:rPr>
        <w:t>泵至</w:t>
      </w:r>
      <w:r>
        <w:rPr>
          <w:color w:val="auto"/>
          <w:u w:val="single"/>
        </w:rPr>
        <w:t>库区现有污水处理设施，经过隔油处理后，由罐车分批次</w:t>
      </w:r>
      <w:r>
        <w:rPr>
          <w:rFonts w:hint="eastAsia"/>
          <w:color w:val="auto"/>
          <w:u w:val="single"/>
        </w:rPr>
        <w:t>运回东油沥青厂区后统一通过管网输送至广西石化污水处理场进行处理。海域泄漏</w:t>
      </w:r>
      <w:r>
        <w:rPr>
          <w:color w:val="auto"/>
          <w:u w:val="single"/>
        </w:rPr>
        <w:t>货物由</w:t>
      </w:r>
      <w:r>
        <w:rPr>
          <w:rFonts w:hint="eastAsia"/>
          <w:color w:val="auto"/>
          <w:u w:val="single"/>
        </w:rPr>
        <w:t>永久布放型围油栏控制</w:t>
      </w:r>
      <w:r>
        <w:rPr>
          <w:color w:val="auto"/>
          <w:u w:val="single"/>
        </w:rPr>
        <w:t>在泊位区域范围内。</w:t>
      </w:r>
    </w:p>
    <w:p w14:paraId="4CB59858">
      <w:pPr>
        <w:ind w:firstLine="480"/>
        <w:rPr>
          <w:color w:val="auto"/>
        </w:rPr>
      </w:pPr>
      <w:r>
        <w:rPr>
          <w:color w:val="auto"/>
        </w:rPr>
        <w:t>本次扩建项目</w:t>
      </w:r>
      <w:r>
        <w:rPr>
          <w:rFonts w:hint="eastAsia"/>
          <w:color w:val="auto"/>
        </w:rPr>
        <w:t>新增</w:t>
      </w:r>
      <w:r>
        <w:rPr>
          <w:color w:val="auto"/>
        </w:rPr>
        <w:t>货种后，</w:t>
      </w:r>
      <w:r>
        <w:rPr>
          <w:rFonts w:hint="eastAsia"/>
          <w:color w:val="auto"/>
        </w:rPr>
        <w:t>不</w:t>
      </w:r>
      <w:r>
        <w:rPr>
          <w:color w:val="auto"/>
        </w:rPr>
        <w:t>新增用地和储罐，码头及库区的装卸储存量均不大于现有</w:t>
      </w:r>
      <w:r>
        <w:rPr>
          <w:rFonts w:hint="eastAsia"/>
          <w:color w:val="auto"/>
        </w:rPr>
        <w:t>工程</w:t>
      </w:r>
      <w:r>
        <w:rPr>
          <w:color w:val="auto"/>
        </w:rPr>
        <w:t>的</w:t>
      </w:r>
      <w:r>
        <w:rPr>
          <w:rFonts w:hint="eastAsia"/>
          <w:color w:val="auto"/>
        </w:rPr>
        <w:t>装卸</w:t>
      </w:r>
      <w:r>
        <w:rPr>
          <w:color w:val="auto"/>
        </w:rPr>
        <w:t>储存量</w:t>
      </w:r>
      <w:r>
        <w:rPr>
          <w:rFonts w:hint="eastAsia"/>
          <w:color w:val="auto"/>
        </w:rPr>
        <w:t>。</w:t>
      </w:r>
      <w:r>
        <w:rPr>
          <w:color w:val="auto"/>
        </w:rPr>
        <w:t>事故应急池的容积参考</w:t>
      </w:r>
      <w:r>
        <w:rPr>
          <w:rFonts w:hint="eastAsia"/>
          <w:color w:val="auto"/>
        </w:rPr>
        <w:t>据《石油化工环境保护设计规范》（SH/T3024-2017）进行</w:t>
      </w:r>
      <w:r>
        <w:rPr>
          <w:color w:val="auto"/>
        </w:rPr>
        <w:t>计算</w:t>
      </w:r>
      <w:r>
        <w:rPr>
          <w:rFonts w:hint="eastAsia"/>
          <w:color w:val="auto"/>
        </w:rPr>
        <w:t>，计算</w:t>
      </w:r>
      <w:r>
        <w:rPr>
          <w:color w:val="auto"/>
        </w:rPr>
        <w:t>方法如下：</w:t>
      </w:r>
    </w:p>
    <w:p w14:paraId="6DA23EA9">
      <w:pPr>
        <w:ind w:firstLine="480"/>
        <w:jc w:val="center"/>
        <w:rPr>
          <w:color w:val="auto"/>
        </w:rPr>
      </w:pPr>
      <w:r>
        <w:rPr>
          <w:color w:val="auto"/>
        </w:rPr>
        <w:t>V=（V1+V2-V3)max+V4+V5</w:t>
      </w:r>
    </w:p>
    <w:p w14:paraId="044AB94F">
      <w:pPr>
        <w:ind w:firstLine="480"/>
        <w:rPr>
          <w:color w:val="auto"/>
        </w:rPr>
      </w:pPr>
      <w:r>
        <w:rPr>
          <w:color w:val="auto"/>
        </w:rPr>
        <w:t>注：(V1+V2-V3)max是指对收集系统范围内不同罐组或装置分别计算V1+V2-V3，取其中最大值。</w:t>
      </w:r>
    </w:p>
    <w:p w14:paraId="41B3ABFE">
      <w:pPr>
        <w:ind w:firstLine="480"/>
        <w:rPr>
          <w:color w:val="auto"/>
        </w:rPr>
      </w:pPr>
      <w:r>
        <w:rPr>
          <w:color w:val="auto"/>
        </w:rPr>
        <w:t>V1：收集系统范围内发生事故的一个罐组或一个装置的物料量；取V1=40000m</w:t>
      </w:r>
      <w:r>
        <w:rPr>
          <w:color w:val="auto"/>
          <w:vertAlign w:val="superscript"/>
        </w:rPr>
        <w:t>3</w:t>
      </w:r>
      <w:r>
        <w:rPr>
          <w:color w:val="auto"/>
        </w:rPr>
        <w:t>（最大储罐的泄漏）；</w:t>
      </w:r>
    </w:p>
    <w:p w14:paraId="24DA1421">
      <w:pPr>
        <w:ind w:firstLine="480"/>
        <w:rPr>
          <w:color w:val="auto"/>
        </w:rPr>
      </w:pPr>
      <w:r>
        <w:rPr>
          <w:color w:val="auto"/>
        </w:rPr>
        <w:t>V2：发生事故的储罐或装置的消防水量，m</w:t>
      </w:r>
      <w:r>
        <w:rPr>
          <w:color w:val="auto"/>
          <w:vertAlign w:val="superscript"/>
        </w:rPr>
        <w:t>3</w:t>
      </w:r>
      <w:r>
        <w:rPr>
          <w:color w:val="auto"/>
        </w:rPr>
        <w:t>；</w:t>
      </w:r>
    </w:p>
    <w:p w14:paraId="5D42FC32">
      <w:pPr>
        <w:ind w:firstLine="480"/>
        <w:rPr>
          <w:color w:val="auto"/>
        </w:rPr>
      </w:pPr>
      <w:r>
        <w:rPr>
          <w:color w:val="auto"/>
        </w:rPr>
        <w:t>V2=∑Q消t消</w:t>
      </w:r>
    </w:p>
    <w:p w14:paraId="6DD1EB92">
      <w:pPr>
        <w:ind w:firstLine="480"/>
        <w:rPr>
          <w:color w:val="auto"/>
        </w:rPr>
      </w:pPr>
      <w:r>
        <w:rPr>
          <w:color w:val="auto"/>
        </w:rPr>
        <w:t>Q消：发生事故的储罐或装置的同时使用的消防设施给水流量，m</w:t>
      </w:r>
      <w:r>
        <w:rPr>
          <w:color w:val="auto"/>
          <w:vertAlign w:val="superscript"/>
        </w:rPr>
        <w:t>3</w:t>
      </w:r>
      <w:r>
        <w:rPr>
          <w:color w:val="auto"/>
        </w:rPr>
        <w:t>/h；t消：消防设施对应的设计消防历时，h。罐区设置固定消防冷却水系统和泡沫灭火系统，消防冷却水设计流量为120L/s，根据</w:t>
      </w:r>
      <w:r>
        <w:rPr>
          <w:rFonts w:hint="eastAsia"/>
          <w:color w:val="auto"/>
        </w:rPr>
        <w:t>《消防给水及消火栓系统技术规范》（GB50974-2014）</w:t>
      </w:r>
      <w:r>
        <w:rPr>
          <w:color w:val="auto"/>
        </w:rPr>
        <w:t>，储罐火灾延续时间为6h，</w:t>
      </w:r>
      <w:r>
        <w:rPr>
          <w:rFonts w:hint="eastAsia"/>
          <w:color w:val="auto"/>
        </w:rPr>
        <w:t>码头装卸区火灾延续时间2h。冷却水量为226L/s（连续冷却时间：6h），配置泡沫混合液用水量84L/s（连续供给时间：15min），总水量为310L/s，</w:t>
      </w:r>
      <w:r>
        <w:rPr>
          <w:color w:val="auto"/>
        </w:rPr>
        <w:t>计算出V</w:t>
      </w:r>
      <w:r>
        <w:rPr>
          <w:color w:val="auto"/>
          <w:vertAlign w:val="subscript"/>
        </w:rPr>
        <w:t>2</w:t>
      </w:r>
      <w:r>
        <w:rPr>
          <w:color w:val="auto"/>
        </w:rPr>
        <w:t>为4957.2m</w:t>
      </w:r>
      <w:r>
        <w:rPr>
          <w:color w:val="auto"/>
          <w:vertAlign w:val="superscript"/>
        </w:rPr>
        <w:t>3</w:t>
      </w:r>
      <w:r>
        <w:rPr>
          <w:color w:val="auto"/>
        </w:rPr>
        <w:t>。</w:t>
      </w:r>
    </w:p>
    <w:p w14:paraId="29471EFA">
      <w:pPr>
        <w:ind w:firstLine="480"/>
        <w:rPr>
          <w:color w:val="auto"/>
        </w:rPr>
      </w:pPr>
      <w:r>
        <w:rPr>
          <w:color w:val="auto"/>
        </w:rPr>
        <w:t>V3：发生事故时可以转移到其它储存或处理设施的物料量。</w:t>
      </w:r>
      <w:r>
        <w:rPr>
          <w:rFonts w:hint="eastAsia"/>
          <w:color w:val="auto"/>
        </w:rPr>
        <w:t>按</w:t>
      </w:r>
      <w:r>
        <w:rPr>
          <w:color w:val="auto"/>
        </w:rPr>
        <w:t>泄漏</w:t>
      </w:r>
      <w:r>
        <w:rPr>
          <w:rFonts w:hint="eastAsia"/>
          <w:color w:val="auto"/>
        </w:rPr>
        <w:t>储罐</w:t>
      </w:r>
      <w:r>
        <w:rPr>
          <w:color w:val="auto"/>
        </w:rPr>
        <w:t>所在的</w:t>
      </w:r>
      <w:r>
        <w:rPr>
          <w:rFonts w:hint="eastAsia"/>
          <w:color w:val="auto"/>
        </w:rPr>
        <w:t>原油</w:t>
      </w:r>
      <w:r>
        <w:rPr>
          <w:color w:val="auto"/>
        </w:rPr>
        <w:t>罐区围堰容积计算</w:t>
      </w:r>
      <w:r>
        <w:rPr>
          <w:rFonts w:hint="eastAsia"/>
          <w:color w:val="auto"/>
        </w:rPr>
        <w:t>，</w:t>
      </w:r>
      <w:r>
        <w:rPr>
          <w:color w:val="auto"/>
        </w:rPr>
        <w:t>V3=</w:t>
      </w:r>
      <w:r>
        <w:rPr>
          <w:rFonts w:hint="eastAsia"/>
          <w:color w:val="auto"/>
        </w:rPr>
        <w:t>38929.8</w:t>
      </w:r>
      <w:r>
        <w:rPr>
          <w:color w:val="auto"/>
        </w:rPr>
        <w:t>m</w:t>
      </w:r>
      <w:r>
        <w:rPr>
          <w:color w:val="auto"/>
          <w:vertAlign w:val="superscript"/>
        </w:rPr>
        <w:t>3</w:t>
      </w:r>
      <w:r>
        <w:rPr>
          <w:rFonts w:hint="eastAsia"/>
          <w:color w:val="auto"/>
        </w:rPr>
        <w:t>。</w:t>
      </w:r>
    </w:p>
    <w:p w14:paraId="287C15B1">
      <w:pPr>
        <w:ind w:firstLine="480"/>
        <w:rPr>
          <w:color w:val="auto"/>
        </w:rPr>
      </w:pPr>
      <w:r>
        <w:rPr>
          <w:color w:val="auto"/>
        </w:rPr>
        <w:t>V4：发生事故时必须进入该收集系统的生产废水量。发生事故时厂区停止运营，无生产废水排放，故V4=0m</w:t>
      </w:r>
      <w:r>
        <w:rPr>
          <w:color w:val="auto"/>
          <w:vertAlign w:val="superscript"/>
        </w:rPr>
        <w:t>3</w:t>
      </w:r>
      <w:r>
        <w:rPr>
          <w:color w:val="auto"/>
        </w:rPr>
        <w:t>。</w:t>
      </w:r>
    </w:p>
    <w:p w14:paraId="3B58FBF8">
      <w:pPr>
        <w:ind w:firstLine="480"/>
        <w:rPr>
          <w:color w:val="auto"/>
        </w:rPr>
      </w:pPr>
      <w:r>
        <w:rPr>
          <w:color w:val="auto"/>
        </w:rPr>
        <w:t>V5：发生事故时，可能进入该系统的雨水量。</w:t>
      </w:r>
    </w:p>
    <w:p w14:paraId="5FC73CAC">
      <w:pPr>
        <w:ind w:firstLine="480"/>
        <w:rPr>
          <w:color w:val="auto"/>
        </w:rPr>
      </w:pPr>
      <w:r>
        <w:rPr>
          <w:color w:val="auto"/>
        </w:rPr>
        <w:t>V5=10Qa/n*F</w:t>
      </w:r>
    </w:p>
    <w:p w14:paraId="796F7BAE">
      <w:pPr>
        <w:ind w:firstLine="480"/>
        <w:rPr>
          <w:color w:val="auto"/>
        </w:rPr>
      </w:pPr>
      <w:r>
        <w:rPr>
          <w:color w:val="auto"/>
        </w:rPr>
        <w:t>Qa：年平均降雨量，mm，钦州市年均降雨量2170.9mm；</w:t>
      </w:r>
    </w:p>
    <w:p w14:paraId="44E8C350">
      <w:pPr>
        <w:ind w:firstLine="480"/>
        <w:rPr>
          <w:color w:val="auto"/>
        </w:rPr>
      </w:pPr>
      <w:r>
        <w:rPr>
          <w:color w:val="auto"/>
        </w:rPr>
        <w:t>n：年平均降雨天数，约为175天；</w:t>
      </w:r>
    </w:p>
    <w:p w14:paraId="3099ACB4">
      <w:pPr>
        <w:ind w:firstLine="480"/>
        <w:rPr>
          <w:color w:val="auto"/>
        </w:rPr>
      </w:pPr>
      <w:r>
        <w:rPr>
          <w:color w:val="auto"/>
        </w:rPr>
        <w:t>F：必须进入事故应急池的雨水汇水面积，ha。</w:t>
      </w:r>
      <w:r>
        <w:rPr>
          <w:rFonts w:hint="eastAsia"/>
          <w:color w:val="auto"/>
        </w:rPr>
        <w:t>本项目汇水面积主要为罐组</w:t>
      </w:r>
      <w:r>
        <w:rPr>
          <w:color w:val="auto"/>
        </w:rPr>
        <w:t>、</w:t>
      </w:r>
      <w:r>
        <w:rPr>
          <w:rFonts w:hint="eastAsia"/>
          <w:color w:val="auto"/>
        </w:rPr>
        <w:t>码头围污坎所围成面积，即633</w:t>
      </w:r>
      <w:r>
        <w:rPr>
          <w:color w:val="auto"/>
        </w:rPr>
        <w:t>61+1750=65111m</w:t>
      </w:r>
      <w:r>
        <w:rPr>
          <w:color w:val="auto"/>
          <w:vertAlign w:val="superscript"/>
        </w:rPr>
        <w:t>2</w:t>
      </w:r>
      <w:r>
        <w:rPr>
          <w:rFonts w:hint="eastAsia"/>
          <w:color w:val="auto"/>
        </w:rPr>
        <w:t>（6.5111</w:t>
      </w:r>
      <w:r>
        <w:rPr>
          <w:color w:val="auto"/>
        </w:rPr>
        <w:t>ha</w:t>
      </w:r>
      <w:r>
        <w:rPr>
          <w:rFonts w:hint="eastAsia"/>
          <w:color w:val="auto"/>
        </w:rPr>
        <w:t>）。</w:t>
      </w:r>
      <w:r>
        <w:rPr>
          <w:color w:val="auto"/>
        </w:rPr>
        <w:t>V5=10*2170.9/（175）*6.5111=807.711m</w:t>
      </w:r>
      <w:r>
        <w:rPr>
          <w:color w:val="auto"/>
          <w:vertAlign w:val="superscript"/>
        </w:rPr>
        <w:t>3</w:t>
      </w:r>
      <w:r>
        <w:rPr>
          <w:color w:val="auto"/>
        </w:rPr>
        <w:t>。</w:t>
      </w:r>
    </w:p>
    <w:p w14:paraId="12834AAA">
      <w:pPr>
        <w:ind w:firstLine="480"/>
        <w:rPr>
          <w:color w:val="auto"/>
        </w:rPr>
      </w:pPr>
      <w:r>
        <w:rPr>
          <w:rFonts w:hint="eastAsia"/>
          <w:color w:val="auto"/>
        </w:rPr>
        <w:t>则</w:t>
      </w:r>
      <w:r>
        <w:rPr>
          <w:color w:val="auto"/>
        </w:rPr>
        <w:t>V＝（V1+V2-V3）+V4+V5=（40000+4957.2-38929.8）+0+807.711=6835.111m</w:t>
      </w:r>
      <w:r>
        <w:rPr>
          <w:color w:val="auto"/>
          <w:vertAlign w:val="superscript"/>
        </w:rPr>
        <w:t>3</w:t>
      </w:r>
      <w:r>
        <w:rPr>
          <w:color w:val="auto"/>
        </w:rPr>
        <w:t>。</w:t>
      </w:r>
    </w:p>
    <w:p w14:paraId="51D403FE">
      <w:pPr>
        <w:ind w:firstLine="480"/>
        <w:rPr>
          <w:color w:val="auto"/>
        </w:rPr>
      </w:pPr>
      <w:r>
        <w:rPr>
          <w:color w:val="auto"/>
        </w:rPr>
        <w:t>根据上述计算，本扩建工程需排入消防废水池的最大事故水量约6835.111m</w:t>
      </w:r>
      <w:r>
        <w:rPr>
          <w:color w:val="auto"/>
          <w:vertAlign w:val="superscript"/>
        </w:rPr>
        <w:t>3</w:t>
      </w:r>
      <w:r>
        <w:rPr>
          <w:color w:val="auto"/>
        </w:rPr>
        <w:t>。</w:t>
      </w:r>
      <w:r>
        <w:rPr>
          <w:rFonts w:hint="eastAsia"/>
          <w:color w:val="auto"/>
        </w:rPr>
        <w:t>项目</w:t>
      </w:r>
      <w:r>
        <w:rPr>
          <w:color w:val="auto"/>
        </w:rPr>
        <w:t>事故应急池兼顾初期雨水池的功能，根据现有工程初期雨水计算，码头和库区的初期雨水产生量约为</w:t>
      </w:r>
      <w:r>
        <w:rPr>
          <w:rFonts w:hint="eastAsia"/>
          <w:color w:val="auto"/>
        </w:rPr>
        <w:t>1726.36m</w:t>
      </w:r>
      <w:r>
        <w:rPr>
          <w:rFonts w:hint="eastAsia"/>
          <w:color w:val="auto"/>
          <w:vertAlign w:val="superscript"/>
        </w:rPr>
        <w:t>3</w:t>
      </w:r>
      <w:r>
        <w:rPr>
          <w:rFonts w:hint="eastAsia"/>
          <w:color w:val="auto"/>
        </w:rPr>
        <w:t>/次。事故</w:t>
      </w:r>
      <w:r>
        <w:rPr>
          <w:color w:val="auto"/>
        </w:rPr>
        <w:t>应急池合计</w:t>
      </w:r>
      <w:r>
        <w:rPr>
          <w:rFonts w:hint="eastAsia"/>
          <w:color w:val="auto"/>
        </w:rPr>
        <w:t>储存</w:t>
      </w:r>
      <w:r>
        <w:rPr>
          <w:color w:val="auto"/>
        </w:rPr>
        <w:t>水量约为8561.471</w:t>
      </w:r>
      <w:r>
        <w:rPr>
          <w:rFonts w:hint="eastAsia"/>
          <w:color w:val="auto"/>
        </w:rPr>
        <w:t>m</w:t>
      </w:r>
      <w:r>
        <w:rPr>
          <w:rFonts w:hint="eastAsia"/>
          <w:color w:val="auto"/>
          <w:vertAlign w:val="superscript"/>
        </w:rPr>
        <w:t>3</w:t>
      </w:r>
      <w:r>
        <w:rPr>
          <w:rFonts w:hint="eastAsia"/>
          <w:color w:val="auto"/>
        </w:rPr>
        <w:t>，</w:t>
      </w:r>
      <w:r>
        <w:rPr>
          <w:color w:val="auto"/>
        </w:rPr>
        <w:t>本项目码头设1</w:t>
      </w:r>
      <w:r>
        <w:rPr>
          <w:rFonts w:hint="eastAsia"/>
          <w:color w:val="auto"/>
        </w:rPr>
        <w:t>个</w:t>
      </w:r>
      <w:r>
        <w:rPr>
          <w:color w:val="auto"/>
        </w:rPr>
        <w:t>事故应急池，总</w:t>
      </w:r>
      <w:r>
        <w:rPr>
          <w:rFonts w:hint="eastAsia"/>
          <w:color w:val="auto"/>
        </w:rPr>
        <w:t>容积20</w:t>
      </w:r>
      <w:r>
        <w:rPr>
          <w:color w:val="auto"/>
        </w:rPr>
        <w:t>000m</w:t>
      </w:r>
      <w:r>
        <w:rPr>
          <w:color w:val="auto"/>
          <w:vertAlign w:val="superscript"/>
        </w:rPr>
        <w:t>3</w:t>
      </w:r>
      <w:r>
        <w:rPr>
          <w:color w:val="auto"/>
        </w:rPr>
        <w:t>，能满足本工程消防事故排水要求。</w:t>
      </w:r>
    </w:p>
    <w:p w14:paraId="4DAA15DE">
      <w:pPr>
        <w:widowControl/>
        <w:ind w:firstLine="480"/>
        <w:rPr>
          <w:color w:val="auto"/>
        </w:rPr>
      </w:pPr>
      <w:r>
        <w:rPr>
          <w:rFonts w:hint="eastAsia"/>
          <w:color w:val="auto"/>
        </w:rPr>
        <w:t>事故废水三级防控系统示意图如下</w:t>
      </w:r>
      <w:r>
        <w:rPr>
          <w:color w:val="auto"/>
        </w:rPr>
        <w:t>：</w:t>
      </w:r>
    </w:p>
    <w:tbl>
      <w:tblPr>
        <w:tblStyle w:val="44"/>
        <w:tblW w:w="8613"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17"/>
        <w:gridCol w:w="2410"/>
        <w:gridCol w:w="3118"/>
        <w:gridCol w:w="2268"/>
      </w:tblGrid>
      <w:tr w14:paraId="11ECAD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43" w:hRule="atLeast"/>
        </w:trPr>
        <w:tc>
          <w:tcPr>
            <w:tcW w:w="817" w:type="dxa"/>
            <w:vAlign w:val="center"/>
          </w:tcPr>
          <w:p w14:paraId="1115C363">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区域</w:t>
            </w:r>
          </w:p>
        </w:tc>
        <w:tc>
          <w:tcPr>
            <w:tcW w:w="2410" w:type="dxa"/>
          </w:tcPr>
          <w:p w14:paraId="0AF5695C">
            <w:pPr>
              <w:keepNext w:val="0"/>
              <w:keepLines w:val="0"/>
              <w:suppressLineNumbers w:val="0"/>
              <w:spacing w:before="0" w:beforeAutospacing="0" w:after="0" w:afterAutospacing="0" w:line="240" w:lineRule="auto"/>
              <w:ind w:left="0" w:right="0" w:firstLine="0" w:firstLineChars="0"/>
              <w:rPr>
                <w:rFonts w:hint="default"/>
                <w:color w:val="auto"/>
              </w:rPr>
            </w:pPr>
            <w:r>
              <w:rPr>
                <w:rFonts w:hint="default"/>
                <w:color w:val="auto"/>
              </w:rPr>
              <mc:AlternateContent>
                <mc:Choice Requires="wps">
                  <w:drawing>
                    <wp:anchor distT="0" distB="0" distL="114300" distR="114300" simplePos="0" relativeHeight="251687936" behindDoc="0" locked="0" layoutInCell="1" allowOverlap="1">
                      <wp:simplePos x="0" y="0"/>
                      <wp:positionH relativeFrom="column">
                        <wp:posOffset>932180</wp:posOffset>
                      </wp:positionH>
                      <wp:positionV relativeFrom="paragraph">
                        <wp:posOffset>1040765</wp:posOffset>
                      </wp:positionV>
                      <wp:extent cx="1733550" cy="8255"/>
                      <wp:effectExtent l="0" t="57150" r="38100" b="86995"/>
                      <wp:wrapNone/>
                      <wp:docPr id="2709" name="直接箭头连接符 2709"/>
                      <wp:cNvGraphicFramePr/>
                      <a:graphic xmlns:a="http://schemas.openxmlformats.org/drawingml/2006/main">
                        <a:graphicData uri="http://schemas.microsoft.com/office/word/2010/wordprocessingShape">
                          <wps:wsp>
                            <wps:cNvCnPr/>
                            <wps:spPr>
                              <a:xfrm>
                                <a:off x="0" y="0"/>
                                <a:ext cx="1733636" cy="8276"/>
                              </a:xfrm>
                              <a:prstGeom prst="straightConnector1">
                                <a:avLst/>
                              </a:prstGeom>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3.4pt;margin-top:81.95pt;height:0.65pt;width:136.5pt;z-index:251687936;mso-width-relative:page;mso-height-relative:page;" filled="f" stroked="t" coordsize="21600,21600" o:gfxdata="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GrXOl9kAAAALAQAADwAAAAAAAAABACAAAAAiAAAA&#10;ZHJzL2Rvd25yZXYueG1sUEsBAhQAFAAAAAgAh07iQOnTblQGAgAA0wMAAA4AAAAAAAAAAQAgAAAA&#10;KAEAAGRycy9lMm9Eb2MueG1sUEsFBgAAAAAGAAYAWQEAAKAFAAAAAA==&#10;">
                      <v:fill on="f" focussize="0,0"/>
                      <v:stroke color="#FFC000 [3204]" joinstyle="round" endarrow="block"/>
                      <v:imagedata o:title=""/>
                      <o:lock v:ext="edit" aspectratio="f"/>
                    </v:shape>
                  </w:pict>
                </mc:Fallback>
              </mc:AlternateContent>
            </w:r>
            <w:r>
              <w:rPr>
                <w:rFonts w:hint="default"/>
                <w:color w:val="auto"/>
              </w:rPr>
              <mc:AlternateContent>
                <mc:Choice Requires="wps">
                  <w:drawing>
                    <wp:anchor distT="0" distB="0" distL="114300" distR="114300" simplePos="0" relativeHeight="251682816" behindDoc="0" locked="0" layoutInCell="1" allowOverlap="1">
                      <wp:simplePos x="0" y="0"/>
                      <wp:positionH relativeFrom="column">
                        <wp:posOffset>86360</wp:posOffset>
                      </wp:positionH>
                      <wp:positionV relativeFrom="paragraph">
                        <wp:posOffset>807085</wp:posOffset>
                      </wp:positionV>
                      <wp:extent cx="845185" cy="429260"/>
                      <wp:effectExtent l="0" t="0" r="12065" b="27940"/>
                      <wp:wrapNone/>
                      <wp:docPr id="2703" name="矩形 2703"/>
                      <wp:cNvGraphicFramePr/>
                      <a:graphic xmlns:a="http://schemas.openxmlformats.org/drawingml/2006/main">
                        <a:graphicData uri="http://schemas.microsoft.com/office/word/2010/wordprocessingShape">
                          <wps:wsp>
                            <wps:cNvSpPr/>
                            <wps:spPr>
                              <a:xfrm>
                                <a:off x="0" y="0"/>
                                <a:ext cx="845185" cy="429371"/>
                              </a:xfrm>
                              <a:prstGeom prst="rect">
                                <a:avLst/>
                              </a:prstGeom>
                            </wps:spPr>
                            <wps:style>
                              <a:lnRef idx="2">
                                <a:schemeClr val="dk1"/>
                              </a:lnRef>
                              <a:fillRef idx="1">
                                <a:schemeClr val="lt1"/>
                              </a:fillRef>
                              <a:effectRef idx="0">
                                <a:schemeClr val="dk1"/>
                              </a:effectRef>
                              <a:fontRef idx="minor">
                                <a:schemeClr val="dk1"/>
                              </a:fontRef>
                            </wps:style>
                            <wps:txbx>
                              <w:txbxContent>
                                <w:p w14:paraId="78006A26">
                                  <w:pPr>
                                    <w:spacing w:line="240" w:lineRule="auto"/>
                                    <w:ind w:firstLine="0" w:firstLineChars="0"/>
                                    <w:jc w:val="center"/>
                                  </w:pPr>
                                  <w:r>
                                    <w:rPr>
                                      <w:rFonts w:hint="eastAsia"/>
                                    </w:rPr>
                                    <w:t>码头护坎</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pt;margin-top:63.55pt;height:33.8pt;width:66.55pt;z-index:251682816;v-text-anchor:middle;mso-width-relative:page;mso-height-relative:page;" fillcolor="#FFFFFF [3201]" filled="t" stroked="t" coordsize="21600,21600" o:gfxdata="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rfLup2AAAAAoBAAAPAAAAAAAAAAEAIAAAACIAAABkcnMvZG93bnJldi54&#10;bWxQSwECFAAUAAAACACHTuJASvWgqGwCAADtBAAADgAAAAAAAAABACAAAAAnAQAAZHJzL2Uyb0Rv&#10;Yy54bWxQSwUGAAAAAAYABgBZAQAABQYAAAAA&#10;">
                      <v:fill on="t" focussize="0,0"/>
                      <v:stroke weight="2pt" color="#000000 [3200]" joinstyle="round"/>
                      <v:imagedata o:title=""/>
                      <o:lock v:ext="edit" aspectratio="f"/>
                      <v:textbox>
                        <w:txbxContent>
                          <w:p w14:paraId="78006A26">
                            <w:pPr>
                              <w:spacing w:line="240" w:lineRule="auto"/>
                              <w:ind w:firstLine="0" w:firstLineChars="0"/>
                              <w:jc w:val="center"/>
                            </w:pPr>
                            <w:r>
                              <w:rPr>
                                <w:rFonts w:hint="eastAsia"/>
                              </w:rPr>
                              <w:t>码头护坎</w:t>
                            </w:r>
                          </w:p>
                        </w:txbxContent>
                      </v:textbox>
                    </v:rect>
                  </w:pict>
                </mc:Fallback>
              </mc:AlternateContent>
            </w:r>
            <w:r>
              <w:rPr>
                <w:rFonts w:hint="default"/>
                <w:color w:val="auto"/>
              </w:rPr>
              <mc:AlternateContent>
                <mc:Choice Requires="wps">
                  <w:drawing>
                    <wp:anchor distT="0" distB="0" distL="114300" distR="114300" simplePos="0" relativeHeight="251673600" behindDoc="0" locked="0" layoutInCell="1" allowOverlap="1">
                      <wp:simplePos x="0" y="0"/>
                      <wp:positionH relativeFrom="column">
                        <wp:posOffset>86360</wp:posOffset>
                      </wp:positionH>
                      <wp:positionV relativeFrom="paragraph">
                        <wp:posOffset>205740</wp:posOffset>
                      </wp:positionV>
                      <wp:extent cx="845185" cy="429260"/>
                      <wp:effectExtent l="0" t="0" r="12065" b="27940"/>
                      <wp:wrapNone/>
                      <wp:docPr id="2690" name="矩形 2690"/>
                      <wp:cNvGraphicFramePr/>
                      <a:graphic xmlns:a="http://schemas.openxmlformats.org/drawingml/2006/main">
                        <a:graphicData uri="http://schemas.microsoft.com/office/word/2010/wordprocessingShape">
                          <wps:wsp>
                            <wps:cNvSpPr/>
                            <wps:spPr>
                              <a:xfrm>
                                <a:off x="0" y="0"/>
                                <a:ext cx="845185" cy="429371"/>
                              </a:xfrm>
                              <a:prstGeom prst="rect">
                                <a:avLst/>
                              </a:prstGeom>
                            </wps:spPr>
                            <wps:style>
                              <a:lnRef idx="2">
                                <a:schemeClr val="dk1"/>
                              </a:lnRef>
                              <a:fillRef idx="1">
                                <a:schemeClr val="lt1"/>
                              </a:fillRef>
                              <a:effectRef idx="0">
                                <a:schemeClr val="dk1"/>
                              </a:effectRef>
                              <a:fontRef idx="minor">
                                <a:schemeClr val="dk1"/>
                              </a:fontRef>
                            </wps:style>
                            <wps:txbx>
                              <w:txbxContent>
                                <w:p w14:paraId="42F5203A">
                                  <w:pPr>
                                    <w:spacing w:line="240" w:lineRule="auto"/>
                                    <w:ind w:firstLine="0" w:firstLineChars="0"/>
                                    <w:jc w:val="center"/>
                                  </w:pPr>
                                  <w:r>
                                    <w:rPr>
                                      <w:rFonts w:hint="eastAsia"/>
                                    </w:rPr>
                                    <w:t>罐组围堰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pt;margin-top:16.2pt;height:33.8pt;width:66.55pt;z-index:251673600;v-text-anchor:middle;mso-width-relative:page;mso-height-relative:page;" fillcolor="#FFFFFF [3201]" filled="t" stroked="t" coordsize="21600,21600" o:gfxdata="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t1V0wtYAAAAJAQAADwAAAAAAAAABACAAAAAiAAAAZHJzL2Rvd25yZXYueG1s&#10;UEsBAhQAFAAAAAgAh07iQJGWQPJsAgAA7QQAAA4AAAAAAAAAAQAgAAAAJQEAAGRycy9lMm9Eb2Mu&#10;eG1sUEsFBgAAAAAGAAYAWQEAAAMGAAAAAA==&#10;">
                      <v:fill on="t" focussize="0,0"/>
                      <v:stroke weight="2pt" color="#000000 [3200]" joinstyle="round"/>
                      <v:imagedata o:title=""/>
                      <o:lock v:ext="edit" aspectratio="f"/>
                      <v:textbox>
                        <w:txbxContent>
                          <w:p w14:paraId="42F5203A">
                            <w:pPr>
                              <w:spacing w:line="240" w:lineRule="auto"/>
                              <w:ind w:firstLine="0" w:firstLineChars="0"/>
                              <w:jc w:val="center"/>
                            </w:pPr>
                            <w:r>
                              <w:rPr>
                                <w:rFonts w:hint="eastAsia"/>
                              </w:rPr>
                              <w:t>罐组围堰</w:t>
                            </w:r>
                          </w:p>
                        </w:txbxContent>
                      </v:textbox>
                    </v:rect>
                  </w:pict>
                </mc:Fallback>
              </mc:AlternateContent>
            </w:r>
          </w:p>
        </w:tc>
        <w:tc>
          <w:tcPr>
            <w:tcW w:w="3118" w:type="dxa"/>
          </w:tcPr>
          <w:p w14:paraId="03D7B156">
            <w:pPr>
              <w:keepNext w:val="0"/>
              <w:keepLines w:val="0"/>
              <w:suppressLineNumbers w:val="0"/>
              <w:spacing w:before="0" w:beforeAutospacing="0" w:after="0" w:afterAutospacing="0" w:line="240" w:lineRule="auto"/>
              <w:ind w:left="0" w:right="0" w:firstLine="0" w:firstLineChars="0"/>
              <w:rPr>
                <w:rFonts w:hint="default"/>
                <w:color w:val="auto"/>
              </w:rPr>
            </w:pPr>
            <w:r>
              <w:rPr>
                <w:rFonts w:hint="default"/>
                <w:color w:val="auto"/>
              </w:rPr>
              <mc:AlternateContent>
                <mc:Choice Requires="wps">
                  <w:drawing>
                    <wp:anchor distT="0" distB="0" distL="114300" distR="114300" simplePos="0" relativeHeight="251693056" behindDoc="0" locked="0" layoutInCell="1" allowOverlap="1">
                      <wp:simplePos x="0" y="0"/>
                      <wp:positionH relativeFrom="column">
                        <wp:posOffset>1034415</wp:posOffset>
                      </wp:positionH>
                      <wp:positionV relativeFrom="paragraph">
                        <wp:posOffset>1378585</wp:posOffset>
                      </wp:positionV>
                      <wp:extent cx="1201420" cy="0"/>
                      <wp:effectExtent l="0" t="76200" r="17780" b="95250"/>
                      <wp:wrapNone/>
                      <wp:docPr id="2713" name="直接箭头连接符 2713"/>
                      <wp:cNvGraphicFramePr/>
                      <a:graphic xmlns:a="http://schemas.openxmlformats.org/drawingml/2006/main">
                        <a:graphicData uri="http://schemas.microsoft.com/office/word/2010/wordprocessingShape">
                          <wps:wsp>
                            <wps:cNvCnPr/>
                            <wps:spPr>
                              <a:xfrm>
                                <a:off x="0" y="0"/>
                                <a:ext cx="1201587" cy="0"/>
                              </a:xfrm>
                              <a:prstGeom prst="straightConnector1">
                                <a:avLst/>
                              </a:prstGeom>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81.45pt;margin-top:108.55pt;height:0pt;width:94.6pt;z-index:251693056;mso-width-relative:page;mso-height-relative:page;" filled="f" stroked="t" coordsize="21600,21600" o:gfxdata="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Z+aJXYAAAACwEAAA8AAAAAAAAAAQAgAAAAIgAAAGRycy9kb3du&#10;cmV2LnhtbFBLAQIUABQAAAAIAIdO4kCab8VT/wEAANADAAAOAAAAAAAAAAEAIAAAACcBAABkcnMv&#10;ZTJvRG9jLnhtbFBLBQYAAAAABgAGAFkBAACYBQAAAAA=&#10;">
                      <v:fill on="f" focussize="0,0"/>
                      <v:stroke color="#FFC000 [3204]" joinstyle="round" endarrow="block"/>
                      <v:imagedata o:title=""/>
                      <o:lock v:ext="edit" aspectratio="f"/>
                    </v:shape>
                  </w:pict>
                </mc:Fallback>
              </mc:AlternateContent>
            </w:r>
            <w:r>
              <w:rPr>
                <w:rFonts w:hint="default"/>
                <w:color w:val="auto"/>
              </w:rPr>
              <mc:AlternateContent>
                <mc:Choice Requires="wps">
                  <w:drawing>
                    <wp:anchor distT="0" distB="0" distL="114300" distR="114300" simplePos="0" relativeHeight="251692032" behindDoc="0" locked="0" layoutInCell="1" allowOverlap="1">
                      <wp:simplePos x="0" y="0"/>
                      <wp:positionH relativeFrom="column">
                        <wp:posOffset>1033780</wp:posOffset>
                      </wp:positionH>
                      <wp:positionV relativeFrom="paragraph">
                        <wp:posOffset>1056640</wp:posOffset>
                      </wp:positionV>
                      <wp:extent cx="1270" cy="322580"/>
                      <wp:effectExtent l="0" t="0" r="37465" b="20955"/>
                      <wp:wrapNone/>
                      <wp:docPr id="2712" name="直接连接符 2712"/>
                      <wp:cNvGraphicFramePr/>
                      <a:graphic xmlns:a="http://schemas.openxmlformats.org/drawingml/2006/main">
                        <a:graphicData uri="http://schemas.microsoft.com/office/word/2010/wordprocessingShape">
                          <wps:wsp>
                            <wps:cNvCnPr/>
                            <wps:spPr>
                              <a:xfrm>
                                <a:off x="0" y="0"/>
                                <a:ext cx="991" cy="322479"/>
                              </a:xfrm>
                              <a:prstGeom prst="line">
                                <a:avLst/>
                              </a:prstGeom>
                              <a:ln>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81.4pt;margin-top:83.2pt;height:25.4pt;width:0.1pt;z-index:251692032;mso-width-relative:page;mso-height-relative:page;" filled="f" stroked="t" coordsize="21600,21600" o:gfxdata="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xq+nx1gAAAAsBAAAPAAAA&#10;AAAAAAEAIAAAACIAAABkcnMvZG93bnJldi54bWxQSwECFAAUAAAACACHTuJAmX+10t4BAAChAwAA&#10;DgAAAAAAAAABACAAAAAlAQAAZHJzL2Uyb0RvYy54bWxQSwUGAAAAAAYABgBZAQAAdQUAAAAA&#10;">
                      <v:fill on="f" focussize="0,0"/>
                      <v:stroke color="#FFC000 [3204]" joinstyle="round"/>
                      <v:imagedata o:title=""/>
                      <o:lock v:ext="edit" aspectratio="f"/>
                    </v:line>
                  </w:pict>
                </mc:Fallback>
              </mc:AlternateContent>
            </w:r>
            <w:r>
              <w:rPr>
                <w:rFonts w:hint="default"/>
                <w:color w:val="auto"/>
              </w:rPr>
              <mc:AlternateContent>
                <mc:Choice Requires="wps">
                  <w:drawing>
                    <wp:anchor distT="0" distB="0" distL="114300" distR="114300" simplePos="0" relativeHeight="251691008" behindDoc="0" locked="0" layoutInCell="1" allowOverlap="1">
                      <wp:simplePos x="0" y="0"/>
                      <wp:positionH relativeFrom="column">
                        <wp:posOffset>1515745</wp:posOffset>
                      </wp:positionH>
                      <wp:positionV relativeFrom="paragraph">
                        <wp:posOffset>1056640</wp:posOffset>
                      </wp:positionV>
                      <wp:extent cx="629285" cy="0"/>
                      <wp:effectExtent l="0" t="76200" r="19050" b="95250"/>
                      <wp:wrapNone/>
                      <wp:docPr id="2711" name="直接箭头连接符 2711"/>
                      <wp:cNvGraphicFramePr/>
                      <a:graphic xmlns:a="http://schemas.openxmlformats.org/drawingml/2006/main">
                        <a:graphicData uri="http://schemas.microsoft.com/office/word/2010/wordprocessingShape">
                          <wps:wsp>
                            <wps:cNvCnPr/>
                            <wps:spPr>
                              <a:xfrm>
                                <a:off x="0" y="0"/>
                                <a:ext cx="629199" cy="0"/>
                              </a:xfrm>
                              <a:prstGeom prst="straightConnector1">
                                <a:avLst/>
                              </a:prstGeom>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19.35pt;margin-top:83.2pt;height:0pt;width:49.55pt;z-index:251691008;mso-width-relative:page;mso-height-relative:page;" filled="f" stroked="t" coordsize="21600,21600" o:gfxdata="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N/ZL2nYAAAACwEAAA8AAAAAAAAAAQAgAAAAIgAAAGRycy9kb3du&#10;cmV2LnhtbFBLAQIUABQAAAAIAIdO4kAckuZc/wEAAM8DAAAOAAAAAAAAAAEAIAAAACcBAABkcnMv&#10;ZTJvRG9jLnhtbFBLBQYAAAAABgAGAFkBAACYBQAAAAA=&#10;">
                      <v:fill on="f" focussize="0,0"/>
                      <v:stroke color="#FFC000 [3204]" joinstyle="round" endarrow="block"/>
                      <v:imagedata o:title=""/>
                      <o:lock v:ext="edit" aspectratio="f"/>
                    </v:shape>
                  </w:pict>
                </mc:Fallback>
              </mc:AlternateContent>
            </w:r>
            <w:r>
              <w:rPr>
                <w:rFonts w:hint="default"/>
                <w:color w:val="auto"/>
              </w:rPr>
              <mc:AlternateContent>
                <mc:Choice Requires="wps">
                  <w:drawing>
                    <wp:anchor distT="0" distB="0" distL="114300" distR="114300" simplePos="0" relativeHeight="251689984" behindDoc="0" locked="0" layoutInCell="1" allowOverlap="1">
                      <wp:simplePos x="0" y="0"/>
                      <wp:positionH relativeFrom="column">
                        <wp:posOffset>1135380</wp:posOffset>
                      </wp:positionH>
                      <wp:positionV relativeFrom="paragraph">
                        <wp:posOffset>969645</wp:posOffset>
                      </wp:positionV>
                      <wp:extent cx="380365" cy="194310"/>
                      <wp:effectExtent l="0" t="0" r="19685" b="15240"/>
                      <wp:wrapNone/>
                      <wp:docPr id="2710" name="矩形 2710"/>
                      <wp:cNvGraphicFramePr/>
                      <a:graphic xmlns:a="http://schemas.openxmlformats.org/drawingml/2006/main">
                        <a:graphicData uri="http://schemas.microsoft.com/office/word/2010/wordprocessingShape">
                          <wps:wsp>
                            <wps:cNvSpPr/>
                            <wps:spPr>
                              <a:xfrm>
                                <a:off x="0" y="0"/>
                                <a:ext cx="380365" cy="194577"/>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50E2249D">
                                  <w:pPr>
                                    <w:spacing w:line="240" w:lineRule="auto"/>
                                    <w:ind w:firstLine="0" w:firstLineChars="0"/>
                                    <w:jc w:val="center"/>
                                    <w:rPr>
                                      <w:sz w:val="18"/>
                                      <w:szCs w:val="18"/>
                                    </w:rPr>
                                  </w:pPr>
                                  <w:r>
                                    <w:rPr>
                                      <w:rFonts w:hint="eastAsia"/>
                                      <w:sz w:val="18"/>
                                      <w:szCs w:val="18"/>
                                    </w:rPr>
                                    <w:t>收集池</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89.4pt;margin-top:76.35pt;height:15.3pt;width:29.95pt;z-index:251689984;v-text-anchor:middle;mso-width-relative:page;mso-height-relative:page;" fillcolor="#FFFFFF [3201]" filled="t" stroked="t" coordsize="21600,21600" o:gfxdata="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3v42NcAAAALAQAADwAAAAAAAAABACAAAAAiAAAAZHJzL2Rvd25yZXYueG1sUEsBAhQAFAAA&#10;AAgAh07iQEaRxb1iAgAA3AQAAA4AAAAAAAAAAQAgAAAAJgEAAGRycy9lMm9Eb2MueG1sUEsFBgAA&#10;AAAGAAYAWQEAAPoFAAAAAA==&#10;">
                      <v:fill on="t" focussize="0,0"/>
                      <v:stroke color="#000000 [3200]" joinstyle="round"/>
                      <v:imagedata o:title=""/>
                      <o:lock v:ext="edit" aspectratio="f"/>
                      <v:textbox inset="0mm,0mm,0mm,0mm">
                        <w:txbxContent>
                          <w:p w14:paraId="50E2249D">
                            <w:pPr>
                              <w:spacing w:line="240" w:lineRule="auto"/>
                              <w:ind w:firstLine="0" w:firstLineChars="0"/>
                              <w:jc w:val="center"/>
                              <w:rPr>
                                <w:sz w:val="18"/>
                                <w:szCs w:val="18"/>
                              </w:rPr>
                            </w:pPr>
                            <w:r>
                              <w:rPr>
                                <w:rFonts w:hint="eastAsia"/>
                                <w:sz w:val="18"/>
                                <w:szCs w:val="18"/>
                              </w:rPr>
                              <w:t>收集池</w:t>
                            </w:r>
                          </w:p>
                        </w:txbxContent>
                      </v:textbox>
                    </v:rect>
                  </w:pict>
                </mc:Fallback>
              </mc:AlternateContent>
            </w:r>
            <w:r>
              <w:rPr>
                <w:rFonts w:hint="default"/>
                <w:color w:val="auto"/>
              </w:rPr>
              <mc:AlternateContent>
                <mc:Choice Requires="wps">
                  <w:drawing>
                    <wp:anchor distT="0" distB="0" distL="114300" distR="114300" simplePos="0" relativeHeight="251688960" behindDoc="0" locked="0" layoutInCell="1" allowOverlap="1">
                      <wp:simplePos x="0" y="0"/>
                      <wp:positionH relativeFrom="column">
                        <wp:posOffset>191135</wp:posOffset>
                      </wp:positionH>
                      <wp:positionV relativeFrom="paragraph">
                        <wp:posOffset>950595</wp:posOffset>
                      </wp:positionV>
                      <wp:extent cx="841375" cy="215265"/>
                      <wp:effectExtent l="0" t="0" r="0" b="0"/>
                      <wp:wrapNone/>
                      <wp:docPr id="2704" name="文本框 2704"/>
                      <wp:cNvGraphicFramePr/>
                      <a:graphic xmlns:a="http://schemas.openxmlformats.org/drawingml/2006/main">
                        <a:graphicData uri="http://schemas.microsoft.com/office/word/2010/wordprocessingShape">
                          <wps:wsp>
                            <wps:cNvSpPr txBox="1"/>
                            <wps:spPr>
                              <a:xfrm>
                                <a:off x="0" y="0"/>
                                <a:ext cx="841375" cy="2152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A3892F">
                                  <w:pPr>
                                    <w:spacing w:line="240" w:lineRule="auto"/>
                                    <w:ind w:firstLine="0" w:firstLineChars="0"/>
                                    <w:rPr>
                                      <w:sz w:val="20"/>
                                    </w:rPr>
                                  </w:pPr>
                                  <w:r>
                                    <w:rPr>
                                      <w:rFonts w:hint="eastAsia"/>
                                      <w:sz w:val="20"/>
                                    </w:rPr>
                                    <w:t>初期雨水管网</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15.05pt;margin-top:74.85pt;height:16.95pt;width:66.25pt;z-index:251688960;mso-width-relative:page;mso-height-relative:page;" fillcolor="#FFFFFF [3201]" filled="t" stroked="f" coordsize="21600,21600" o:gfxdata="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ZkTvC9cAAAAK&#10;AQAADwAAAAAAAAABACAAAAAiAAAAZHJzL2Rvd25yZXYueG1sUEsBAhQAFAAAAAgAh07iQAq8UrhW&#10;AgAAoAQAAA4AAAAAAAAAAQAgAAAAJgEAAGRycy9lMm9Eb2MueG1sUEsFBgAAAAAGAAYAWQEAAO4F&#10;AAAAAA==&#10;">
                      <v:fill on="t" focussize="0,0"/>
                      <v:stroke on="f" weight="0.5pt"/>
                      <v:imagedata o:title=""/>
                      <o:lock v:ext="edit" aspectratio="f"/>
                      <v:textbox inset="0.3mm,0.1mm,0.3mm,0.1mm">
                        <w:txbxContent>
                          <w:p w14:paraId="0EA3892F">
                            <w:pPr>
                              <w:spacing w:line="240" w:lineRule="auto"/>
                              <w:ind w:firstLine="0" w:firstLineChars="0"/>
                              <w:rPr>
                                <w:sz w:val="20"/>
                              </w:rPr>
                            </w:pPr>
                            <w:r>
                              <w:rPr>
                                <w:rFonts w:hint="eastAsia"/>
                                <w:sz w:val="20"/>
                              </w:rPr>
                              <w:t>初期雨水管网</w:t>
                            </w:r>
                          </w:p>
                        </w:txbxContent>
                      </v:textbox>
                    </v:shape>
                  </w:pict>
                </mc:Fallback>
              </mc:AlternateContent>
            </w:r>
            <w:r>
              <w:rPr>
                <w:rFonts w:hint="default"/>
                <w:color w:val="auto"/>
              </w:rPr>
              <mc:AlternateContent>
                <mc:Choice Requires="wps">
                  <w:drawing>
                    <wp:anchor distT="0" distB="0" distL="114300" distR="114300" simplePos="0" relativeHeight="251680768" behindDoc="0" locked="0" layoutInCell="1" allowOverlap="1">
                      <wp:simplePos x="0" y="0"/>
                      <wp:positionH relativeFrom="column">
                        <wp:posOffset>-41910</wp:posOffset>
                      </wp:positionH>
                      <wp:positionV relativeFrom="paragraph">
                        <wp:posOffset>220345</wp:posOffset>
                      </wp:positionV>
                      <wp:extent cx="426085" cy="173355"/>
                      <wp:effectExtent l="0" t="0" r="0" b="0"/>
                      <wp:wrapNone/>
                      <wp:docPr id="2698" name="文本框 2698"/>
                      <wp:cNvGraphicFramePr/>
                      <a:graphic xmlns:a="http://schemas.openxmlformats.org/drawingml/2006/main">
                        <a:graphicData uri="http://schemas.microsoft.com/office/word/2010/wordprocessingShape">
                          <wps:wsp>
                            <wps:cNvSpPr txBox="1"/>
                            <wps:spPr>
                              <a:xfrm>
                                <a:off x="0" y="0"/>
                                <a:ext cx="426085" cy="1733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D28400">
                                  <w:pPr>
                                    <w:spacing w:line="240" w:lineRule="auto"/>
                                    <w:ind w:firstLine="0" w:firstLineChars="0"/>
                                    <w:rPr>
                                      <w:sz w:val="18"/>
                                    </w:rPr>
                                  </w:pPr>
                                  <w:r>
                                    <w:rPr>
                                      <w:rFonts w:hint="eastAsia"/>
                                      <w:sz w:val="18"/>
                                    </w:rPr>
                                    <w:t>切换阀</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3.3pt;margin-top:17.35pt;height:13.65pt;width:33.55pt;z-index:251680768;mso-width-relative:page;mso-height-relative:page;" filled="f" stroked="f" coordsize="21600,21600" o:gfxdata="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9yX8DWAAAABwEAAA8AAAAAAAAAAQAgAAAAIgAA&#10;AGRycy9kb3ducmV2LnhtbFBLAQIUABQAAAAIAIdO4kCvXGBiQwIAAHcEAAAOAAAAAAAAAAEAIAAA&#10;ACUBAABkcnMvZTJvRG9jLnhtbFBLBQYAAAAABgAGAFkBAADaBQAAAAA=&#10;">
                      <v:fill on="f" focussize="0,0"/>
                      <v:stroke on="f" weight="0.5pt"/>
                      <v:imagedata o:title=""/>
                      <o:lock v:ext="edit" aspectratio="f"/>
                      <v:textbox inset="0.3mm,0.1mm,0.3mm,0.1mm">
                        <w:txbxContent>
                          <w:p w14:paraId="32D28400">
                            <w:pPr>
                              <w:spacing w:line="240" w:lineRule="auto"/>
                              <w:ind w:firstLine="0" w:firstLineChars="0"/>
                              <w:rPr>
                                <w:sz w:val="18"/>
                              </w:rPr>
                            </w:pPr>
                            <w:r>
                              <w:rPr>
                                <w:rFonts w:hint="eastAsia"/>
                                <w:sz w:val="18"/>
                              </w:rPr>
                              <w:t>切换阀</w:t>
                            </w:r>
                          </w:p>
                        </w:txbxContent>
                      </v:textbox>
                    </v:shape>
                  </w:pict>
                </mc:Fallback>
              </mc:AlternateContent>
            </w:r>
            <w:r>
              <w:rPr>
                <w:rFonts w:hint="default"/>
                <w:color w:val="auto"/>
              </w:rPr>
              <mc:AlternateContent>
                <mc:Choice Requires="wps">
                  <w:drawing>
                    <wp:anchor distT="0" distB="0" distL="114300" distR="114300" simplePos="0" relativeHeight="251686912" behindDoc="0" locked="0" layoutInCell="1" allowOverlap="1">
                      <wp:simplePos x="0" y="0"/>
                      <wp:positionH relativeFrom="column">
                        <wp:posOffset>468630</wp:posOffset>
                      </wp:positionH>
                      <wp:positionV relativeFrom="paragraph">
                        <wp:posOffset>690245</wp:posOffset>
                      </wp:positionV>
                      <wp:extent cx="565150" cy="174625"/>
                      <wp:effectExtent l="0" t="0" r="6350" b="0"/>
                      <wp:wrapNone/>
                      <wp:docPr id="2693" name="文本框 2693"/>
                      <wp:cNvGraphicFramePr/>
                      <a:graphic xmlns:a="http://schemas.openxmlformats.org/drawingml/2006/main">
                        <a:graphicData uri="http://schemas.microsoft.com/office/word/2010/wordprocessingShape">
                          <wps:wsp>
                            <wps:cNvSpPr txBox="1"/>
                            <wps:spPr>
                              <a:xfrm>
                                <a:off x="0" y="0"/>
                                <a:ext cx="565150" cy="17432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1EC91E">
                                  <w:pPr>
                                    <w:spacing w:line="240" w:lineRule="auto"/>
                                    <w:ind w:firstLine="0" w:firstLineChars="0"/>
                                    <w:rPr>
                                      <w:sz w:val="20"/>
                                    </w:rPr>
                                  </w:pPr>
                                  <w:r>
                                    <w:rPr>
                                      <w:rFonts w:hint="eastAsia"/>
                                      <w:sz w:val="20"/>
                                    </w:rPr>
                                    <w:t>雨水管网</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36.9pt;margin-top:54.35pt;height:13.75pt;width:44.5pt;z-index:251686912;mso-width-relative:page;mso-height-relative:page;" fillcolor="#FFFFFF [3201]" filled="t" stroked="f" coordsize="21600,21600" o:gfxdata="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cQEidcAAAAKAQAA&#10;DwAAAAAAAAABACAAAAAiAAAAZHJzL2Rvd25yZXYueG1sUEsBAhQAFAAAAAgAh07iQMu3xIhTAgAA&#10;oAQAAA4AAAAAAAAAAQAgAAAAJgEAAGRycy9lMm9Eb2MueG1sUEsFBgAAAAAGAAYAWQEAAOsFAAAA&#10;AA==&#10;">
                      <v:fill on="t" focussize="0,0"/>
                      <v:stroke on="f" weight="0.5pt"/>
                      <v:imagedata o:title=""/>
                      <o:lock v:ext="edit" aspectratio="f"/>
                      <v:textbox inset="0.3mm,0.1mm,0.3mm,0.1mm">
                        <w:txbxContent>
                          <w:p w14:paraId="511EC91E">
                            <w:pPr>
                              <w:spacing w:line="240" w:lineRule="auto"/>
                              <w:ind w:firstLine="0" w:firstLineChars="0"/>
                              <w:rPr>
                                <w:sz w:val="20"/>
                              </w:rPr>
                            </w:pPr>
                            <w:r>
                              <w:rPr>
                                <w:rFonts w:hint="eastAsia"/>
                                <w:sz w:val="20"/>
                              </w:rPr>
                              <w:t>雨水管网</w:t>
                            </w:r>
                          </w:p>
                        </w:txbxContent>
                      </v:textbox>
                    </v:shape>
                  </w:pict>
                </mc:Fallback>
              </mc:AlternateContent>
            </w:r>
            <w:r>
              <w:rPr>
                <w:rFonts w:hint="default"/>
                <w:color w:val="auto"/>
              </w:rPr>
              <mc:AlternateContent>
                <mc:Choice Requires="wps">
                  <w:drawing>
                    <wp:anchor distT="0" distB="0" distL="114300" distR="114300" simplePos="0" relativeHeight="251685888" behindDoc="0" locked="0" layoutInCell="1" allowOverlap="1">
                      <wp:simplePos x="0" y="0"/>
                      <wp:positionH relativeFrom="column">
                        <wp:posOffset>52705</wp:posOffset>
                      </wp:positionH>
                      <wp:positionV relativeFrom="paragraph">
                        <wp:posOffset>777875</wp:posOffset>
                      </wp:positionV>
                      <wp:extent cx="1414145" cy="5715"/>
                      <wp:effectExtent l="0" t="76200" r="14605" b="89535"/>
                      <wp:wrapNone/>
                      <wp:docPr id="2708" name="直接箭头连接符 2708"/>
                      <wp:cNvGraphicFramePr/>
                      <a:graphic xmlns:a="http://schemas.openxmlformats.org/drawingml/2006/main">
                        <a:graphicData uri="http://schemas.microsoft.com/office/word/2010/wordprocessingShape">
                          <wps:wsp>
                            <wps:cNvCnPr/>
                            <wps:spPr>
                              <a:xfrm flipV="1">
                                <a:off x="0" y="0"/>
                                <a:ext cx="1414198" cy="5957"/>
                              </a:xfrm>
                              <a:prstGeom prst="straightConnector1">
                                <a:avLst/>
                              </a:prstGeom>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4.15pt;margin-top:61.25pt;height:0.45pt;width:111.35pt;z-index:251685888;mso-width-relative:page;mso-height-relative:page;" filled="f" stroked="t" coordsize="21600,21600" o:gfxdata="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wm5vB1wAAAAkBAAAPAAAAAAAAAAEAIAAAACIA&#10;AABkcnMvZG93bnJldi54bWxQSwECFAAUAAAACACHTuJAQUDRoQoCAADdAwAADgAAAAAAAAABACAA&#10;AAAmAQAAZHJzL2Uyb0RvYy54bWxQSwUGAAAAAAYABgBZAQAAogUAAAAA&#10;">
                      <v:fill on="f" focussize="0,0"/>
                      <v:stroke color="#FFC000 [3204]" joinstyle="round" endarrow="block"/>
                      <v:imagedata o:title=""/>
                      <o:lock v:ext="edit" aspectratio="f"/>
                    </v:shape>
                  </w:pict>
                </mc:Fallback>
              </mc:AlternateContent>
            </w:r>
            <w:r>
              <w:rPr>
                <w:rFonts w:hint="default"/>
                <w:color w:val="auto"/>
              </w:rPr>
              <mc:AlternateContent>
                <mc:Choice Requires="wps">
                  <w:drawing>
                    <wp:anchor distT="0" distB="0" distL="114300" distR="114300" simplePos="0" relativeHeight="251679744" behindDoc="0" locked="0" layoutInCell="1" allowOverlap="1">
                      <wp:simplePos x="0" y="0"/>
                      <wp:positionH relativeFrom="column">
                        <wp:posOffset>1467485</wp:posOffset>
                      </wp:positionH>
                      <wp:positionV relativeFrom="paragraph">
                        <wp:posOffset>643255</wp:posOffset>
                      </wp:positionV>
                      <wp:extent cx="380365" cy="280670"/>
                      <wp:effectExtent l="0" t="0" r="19685" b="24765"/>
                      <wp:wrapNone/>
                      <wp:docPr id="2701" name="矩形 2701"/>
                      <wp:cNvGraphicFramePr/>
                      <a:graphic xmlns:a="http://schemas.openxmlformats.org/drawingml/2006/main">
                        <a:graphicData uri="http://schemas.microsoft.com/office/word/2010/wordprocessingShape">
                          <wps:wsp>
                            <wps:cNvSpPr/>
                            <wps:spPr>
                              <a:xfrm>
                                <a:off x="0" y="0"/>
                                <a:ext cx="380365" cy="280657"/>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25166AED">
                                  <w:pPr>
                                    <w:spacing w:line="240" w:lineRule="auto"/>
                                    <w:ind w:firstLine="0" w:firstLineChars="0"/>
                                    <w:jc w:val="center"/>
                                  </w:pPr>
                                  <w:r>
                                    <w:rPr>
                                      <w:rFonts w:hint="eastAsia"/>
                                    </w:rPr>
                                    <w:t>海</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5.55pt;margin-top:50.65pt;height:22.1pt;width:29.95pt;z-index:251679744;v-text-anchor:middle;mso-width-relative:page;mso-height-relative:page;" fillcolor="#FFFFFF [3201]" filled="t" stroked="t" coordsize="21600,21600" o:gfxdata="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9ZiS3NoAAAALAQAADwAAAAAAAAABACAAAAAiAAAAZHJzL2Rvd25yZXYu&#10;eG1sUEsBAhQAFAAAAAgAh07iQDNUnbhrAgAA7AQAAA4AAAAAAAAAAQAgAAAAKQEAAGRycy9lMm9E&#10;b2MueG1sUEsFBgAAAAAGAAYAWQEAAAYGAAAAAA==&#10;">
                      <v:fill on="t" focussize="0,0"/>
                      <v:stroke color="#000000 [3200]" joinstyle="round"/>
                      <v:imagedata o:title=""/>
                      <o:lock v:ext="edit" aspectratio="f"/>
                      <v:textbox>
                        <w:txbxContent>
                          <w:p w14:paraId="25166AED">
                            <w:pPr>
                              <w:spacing w:line="240" w:lineRule="auto"/>
                              <w:ind w:firstLine="0" w:firstLineChars="0"/>
                              <w:jc w:val="center"/>
                            </w:pPr>
                            <w:r>
                              <w:rPr>
                                <w:rFonts w:hint="eastAsia"/>
                              </w:rPr>
                              <w:t>海</w:t>
                            </w:r>
                          </w:p>
                        </w:txbxContent>
                      </v:textbox>
                    </v:rect>
                  </w:pict>
                </mc:Fallback>
              </mc:AlternateContent>
            </w:r>
            <w:r>
              <w:rPr>
                <w:rFonts w:hint="default"/>
                <w:color w:val="auto"/>
              </w:rPr>
              <mc:AlternateContent>
                <mc:Choice Requires="wps">
                  <w:drawing>
                    <wp:anchor distT="0" distB="0" distL="114300" distR="114300" simplePos="0" relativeHeight="251683840" behindDoc="0" locked="0" layoutInCell="1" allowOverlap="1">
                      <wp:simplePos x="0" y="0"/>
                      <wp:positionH relativeFrom="column">
                        <wp:posOffset>2540</wp:posOffset>
                      </wp:positionH>
                      <wp:positionV relativeFrom="paragraph">
                        <wp:posOffset>988695</wp:posOffset>
                      </wp:positionV>
                      <wp:extent cx="103505" cy="137795"/>
                      <wp:effectExtent l="0" t="0" r="10795" b="14605"/>
                      <wp:wrapNone/>
                      <wp:docPr id="2705" name="流程图: 对照 2705"/>
                      <wp:cNvGraphicFramePr/>
                      <a:graphic xmlns:a="http://schemas.openxmlformats.org/drawingml/2006/main">
                        <a:graphicData uri="http://schemas.microsoft.com/office/word/2010/wordprocessingShape">
                          <wps:wsp>
                            <wps:cNvSpPr/>
                            <wps:spPr>
                              <a:xfrm>
                                <a:off x="0" y="0"/>
                                <a:ext cx="103505" cy="137795"/>
                              </a:xfrm>
                              <a:prstGeom prst="flowChartCollate">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0.2pt;margin-top:77.85pt;height:10.85pt;width:8.15pt;z-index:251683840;v-text-anchor:middle;mso-width-relative:page;mso-height-relative:page;" fillcolor="#FF0000" filled="t" stroked="t" coordsize="21600,21600" o:gfxdata="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Ad37yjVAAAABwEAAA8AAAAAAAAAAQAgAAAA&#10;IgAAAGRycy9kb3ducmV2LnhtbFBLAQIUABQAAAAIAIdO4kBz7Dd5gAIAAPgEAAAOAAAAAAAAAAEA&#10;IAAAACQBAABkcnMvZTJvRG9jLnhtbFBLBQYAAAAABgAGAFkBAAAWBgAAAAA=&#10;">
                      <v:fill on="t" focussize="0,0"/>
                      <v:stroke weight="0.5pt" color="#000000 [3213]" joinstyle="round"/>
                      <v:imagedata o:title=""/>
                      <o:lock v:ext="edit" aspectratio="f"/>
                    </v:shape>
                  </w:pict>
                </mc:Fallback>
              </mc:AlternateContent>
            </w:r>
            <w:r>
              <w:rPr>
                <w:rFonts w:hint="default"/>
                <w:color w:val="auto"/>
              </w:rPr>
              <mc:AlternateContent>
                <mc:Choice Requires="wps">
                  <w:drawing>
                    <wp:anchor distT="0" distB="0" distL="114300" distR="114300" simplePos="0" relativeHeight="251676672" behindDoc="0" locked="0" layoutInCell="1" allowOverlap="1">
                      <wp:simplePos x="0" y="0"/>
                      <wp:positionH relativeFrom="column">
                        <wp:posOffset>-6985</wp:posOffset>
                      </wp:positionH>
                      <wp:positionV relativeFrom="paragraph">
                        <wp:posOffset>425450</wp:posOffset>
                      </wp:positionV>
                      <wp:extent cx="103505" cy="137795"/>
                      <wp:effectExtent l="0" t="0" r="10795" b="14605"/>
                      <wp:wrapNone/>
                      <wp:docPr id="2699" name="流程图: 对照 2699"/>
                      <wp:cNvGraphicFramePr/>
                      <a:graphic xmlns:a="http://schemas.openxmlformats.org/drawingml/2006/main">
                        <a:graphicData uri="http://schemas.microsoft.com/office/word/2010/wordprocessingShape">
                          <wps:wsp>
                            <wps:cNvSpPr/>
                            <wps:spPr>
                              <a:xfrm>
                                <a:off x="0" y="0"/>
                                <a:ext cx="103505" cy="137795"/>
                              </a:xfrm>
                              <a:prstGeom prst="flowChartCollate">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0.55pt;margin-top:33.5pt;height:10.85pt;width:8.15pt;z-index:251676672;v-text-anchor:middle;mso-width-relative:page;mso-height-relative:page;" fillcolor="#FF0000" filled="t" stroked="t" coordsize="21600,21600" o:gfxdata="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xs5lC1gAAAAcBAAAPAAAAAAAAAAEAIAAA&#10;ACIAAABkcnMvZG93bnJldi54bWxQSwECFAAUAAAACACHTuJAGjMIL4ACAAD4BAAADgAAAAAAAAAB&#10;ACAAAAAlAQAAZHJzL2Uyb0RvYy54bWxQSwUGAAAAAAYABgBZAQAAFwYAAAAA&#10;">
                      <v:fill on="t" focussize="0,0"/>
                      <v:stroke weight="0.5pt" color="#000000 [3213]" joinstyle="round"/>
                      <v:imagedata o:title=""/>
                      <o:lock v:ext="edit" aspectratio="f"/>
                    </v:shape>
                  </w:pict>
                </mc:Fallback>
              </mc:AlternateContent>
            </w:r>
            <w:r>
              <w:rPr>
                <w:rFonts w:hint="default"/>
                <w:color w:val="auto"/>
              </w:rPr>
              <mc:AlternateContent>
                <mc:Choice Requires="wps">
                  <w:drawing>
                    <wp:anchor distT="0" distB="0" distL="114300" distR="114300" simplePos="0" relativeHeight="251684864" behindDoc="0" locked="0" layoutInCell="1" allowOverlap="1">
                      <wp:simplePos x="0" y="0"/>
                      <wp:positionH relativeFrom="column">
                        <wp:posOffset>45085</wp:posOffset>
                      </wp:positionH>
                      <wp:positionV relativeFrom="paragraph">
                        <wp:posOffset>507365</wp:posOffset>
                      </wp:positionV>
                      <wp:extent cx="9525" cy="550545"/>
                      <wp:effectExtent l="0" t="0" r="28575" b="20955"/>
                      <wp:wrapNone/>
                      <wp:docPr id="2707" name="直接连接符 2707"/>
                      <wp:cNvGraphicFramePr/>
                      <a:graphic xmlns:a="http://schemas.openxmlformats.org/drawingml/2006/main">
                        <a:graphicData uri="http://schemas.microsoft.com/office/word/2010/wordprocessingShape">
                          <wps:wsp>
                            <wps:cNvCnPr/>
                            <wps:spPr>
                              <a:xfrm>
                                <a:off x="0" y="0"/>
                                <a:ext cx="9525" cy="550545"/>
                              </a:xfrm>
                              <a:prstGeom prst="line">
                                <a:avLst/>
                              </a:prstGeom>
                              <a:ln>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55pt;margin-top:39.95pt;height:43.35pt;width:0.75pt;z-index:251684864;mso-width-relative:page;mso-height-relative:page;" filled="f" stroked="t" coordsize="21600,21600" o:gfxdata="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MbDLv0gAAAAYBAAAPAAAAAAAAAAEA&#10;IAAAACIAAABkcnMvZG93bnJldi54bWxQSwECFAAUAAAACACHTuJAVpCZudwBAACiAwAADgAAAAAA&#10;AAABACAAAAAhAQAAZHJzL2Uyb0RvYy54bWxQSwUGAAAAAAYABgBZAQAAbwUAAAAA&#10;">
                      <v:fill on="f" focussize="0,0"/>
                      <v:stroke color="#FFC000 [3204]" joinstyle="round"/>
                      <v:imagedata o:title=""/>
                      <o:lock v:ext="edit" aspectratio="f"/>
                    </v:line>
                  </w:pict>
                </mc:Fallback>
              </mc:AlternateContent>
            </w:r>
            <w:r>
              <w:rPr>
                <w:rFonts w:hint="default"/>
                <w:color w:val="auto"/>
              </w:rPr>
              <mc:AlternateContent>
                <mc:Choice Requires="wps">
                  <w:drawing>
                    <wp:anchor distT="0" distB="0" distL="114300" distR="114300" simplePos="0" relativeHeight="251678720" behindDoc="0" locked="0" layoutInCell="1" allowOverlap="1">
                      <wp:simplePos x="0" y="0"/>
                      <wp:positionH relativeFrom="column">
                        <wp:posOffset>328295</wp:posOffset>
                      </wp:positionH>
                      <wp:positionV relativeFrom="paragraph">
                        <wp:posOffset>403225</wp:posOffset>
                      </wp:positionV>
                      <wp:extent cx="841375" cy="215265"/>
                      <wp:effectExtent l="0" t="0" r="0" b="0"/>
                      <wp:wrapNone/>
                      <wp:docPr id="2694" name="文本框 2694"/>
                      <wp:cNvGraphicFramePr/>
                      <a:graphic xmlns:a="http://schemas.openxmlformats.org/drawingml/2006/main">
                        <a:graphicData uri="http://schemas.microsoft.com/office/word/2010/wordprocessingShape">
                          <wps:wsp>
                            <wps:cNvSpPr txBox="1"/>
                            <wps:spPr>
                              <a:xfrm>
                                <a:off x="0" y="0"/>
                                <a:ext cx="841375" cy="2152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10D692">
                                  <w:pPr>
                                    <w:spacing w:line="240" w:lineRule="auto"/>
                                    <w:ind w:firstLine="0" w:firstLineChars="0"/>
                                    <w:rPr>
                                      <w:sz w:val="20"/>
                                    </w:rPr>
                                  </w:pPr>
                                  <w:r>
                                    <w:rPr>
                                      <w:rFonts w:hint="eastAsia"/>
                                      <w:sz w:val="20"/>
                                    </w:rPr>
                                    <w:t>初期雨水管网</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25.85pt;margin-top:31.75pt;height:16.95pt;width:66.25pt;z-index:251678720;mso-width-relative:page;mso-height-relative:page;" fillcolor="#FFFFFF [3201]" filled="t" stroked="f" coordsize="21600,21600" o:gfxdata="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yvQVr1gAAAAgB&#10;AAAPAAAAAAAAAAEAIAAAACIAAABkcnMvZG93bnJldi54bWxQSwECFAAUAAAACACHTuJATJ2QPFYC&#10;AACgBAAADgAAAAAAAAABACAAAAAlAQAAZHJzL2Uyb0RvYy54bWxQSwUGAAAAAAYABgBZAQAA7QUA&#10;AAAA&#10;">
                      <v:fill on="t" focussize="0,0"/>
                      <v:stroke on="f" weight="0.5pt"/>
                      <v:imagedata o:title=""/>
                      <o:lock v:ext="edit" aspectratio="f"/>
                      <v:textbox inset="0.3mm,0.1mm,0.3mm,0.1mm">
                        <w:txbxContent>
                          <w:p w14:paraId="6810D692">
                            <w:pPr>
                              <w:spacing w:line="240" w:lineRule="auto"/>
                              <w:ind w:firstLine="0" w:firstLineChars="0"/>
                              <w:rPr>
                                <w:sz w:val="20"/>
                              </w:rPr>
                            </w:pPr>
                            <w:r>
                              <w:rPr>
                                <w:rFonts w:hint="eastAsia"/>
                                <w:sz w:val="20"/>
                              </w:rPr>
                              <w:t>初期雨水管网</w:t>
                            </w:r>
                          </w:p>
                        </w:txbxContent>
                      </v:textbox>
                    </v:shape>
                  </w:pict>
                </mc:Fallback>
              </mc:AlternateContent>
            </w:r>
            <w:r>
              <w:rPr>
                <w:rFonts w:hint="default"/>
                <w:color w:val="auto"/>
              </w:rPr>
              <mc:AlternateContent>
                <mc:Choice Requires="wps">
                  <w:drawing>
                    <wp:anchor distT="0" distB="0" distL="114300" distR="114300" simplePos="0" relativeHeight="251674624" behindDoc="0" locked="0" layoutInCell="1" allowOverlap="1">
                      <wp:simplePos x="0" y="0"/>
                      <wp:positionH relativeFrom="column">
                        <wp:posOffset>-595630</wp:posOffset>
                      </wp:positionH>
                      <wp:positionV relativeFrom="paragraph">
                        <wp:posOffset>508000</wp:posOffset>
                      </wp:positionV>
                      <wp:extent cx="2707640" cy="0"/>
                      <wp:effectExtent l="0" t="76200" r="17145" b="95250"/>
                      <wp:wrapNone/>
                      <wp:docPr id="63" name="直接箭头连接符 63"/>
                      <wp:cNvGraphicFramePr/>
                      <a:graphic xmlns:a="http://schemas.openxmlformats.org/drawingml/2006/main">
                        <a:graphicData uri="http://schemas.microsoft.com/office/word/2010/wordprocessingShape">
                          <wps:wsp>
                            <wps:cNvCnPr/>
                            <wps:spPr>
                              <a:xfrm>
                                <a:off x="0" y="0"/>
                                <a:ext cx="2707640" cy="0"/>
                              </a:xfrm>
                              <a:prstGeom prst="straightConnector1">
                                <a:avLst/>
                              </a:prstGeom>
                              <a:ln>
                                <a:solidFill>
                                  <a:srgbClr val="FFC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46.9pt;margin-top:40pt;height:0pt;width:213.2pt;z-index:251674624;mso-width-relative:page;mso-height-relative:page;" filled="f" stroked="t" coordsize="21600,21600" o:gfxdata="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gjtoL9gAAAAJAQAADwAAAAAA&#10;AAABACAAAAAiAAAAZHJzL2Rvd25yZXYueG1sUEsBAhQAFAAAAAgAh07iQLhfsAATAgAACAQAAA4A&#10;AAAAAAAAAQAgAAAAJwEAAGRycy9lMm9Eb2MueG1sUEsFBgAAAAAGAAYAWQEAAKwFAAAAAA==&#10;">
                      <v:fill on="f" focussize="0,0"/>
                      <v:stroke color="#FFC000 [3204]" joinstyle="round" endarrow="block"/>
                      <v:imagedata o:title=""/>
                      <o:lock v:ext="edit" aspectratio="f"/>
                    </v:shape>
                  </w:pict>
                </mc:Fallback>
              </mc:AlternateContent>
            </w:r>
            <w:r>
              <w:rPr>
                <w:rFonts w:hint="default"/>
                <w:color w:val="auto"/>
              </w:rPr>
              <mc:AlternateContent>
                <mc:Choice Requires="wps">
                  <w:drawing>
                    <wp:anchor distT="0" distB="0" distL="114300" distR="114300" simplePos="0" relativeHeight="251675648" behindDoc="0" locked="0" layoutInCell="1" allowOverlap="1">
                      <wp:simplePos x="0" y="0"/>
                      <wp:positionH relativeFrom="column">
                        <wp:posOffset>1670685</wp:posOffset>
                      </wp:positionH>
                      <wp:positionV relativeFrom="paragraph">
                        <wp:posOffset>439420</wp:posOffset>
                      </wp:positionV>
                      <wp:extent cx="248285" cy="215265"/>
                      <wp:effectExtent l="0" t="0" r="0" b="0"/>
                      <wp:wrapNone/>
                      <wp:docPr id="2695" name="文本框 2695"/>
                      <wp:cNvGraphicFramePr/>
                      <a:graphic xmlns:a="http://schemas.openxmlformats.org/drawingml/2006/main">
                        <a:graphicData uri="http://schemas.microsoft.com/office/word/2010/wordprocessingShape">
                          <wps:wsp>
                            <wps:cNvSpPr txBox="1"/>
                            <wps:spPr>
                              <a:xfrm>
                                <a:off x="0" y="0"/>
                                <a:ext cx="248285" cy="215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047C06">
                                  <w:pPr>
                                    <w:ind w:firstLine="480"/>
                                  </w:pPr>
                                  <w:r>
                                    <w:rPr>
                                      <w:rFonts w:hint="eastAsia"/>
                                    </w:rPr>
                                    <w:t>海</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131.55pt;margin-top:34.6pt;height:16.95pt;width:19.55pt;z-index:251675648;mso-width-relative:page;mso-height-relative:page;" filled="f" stroked="f" coordsize="21600,21600" o:gfxdata="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gcbOr2AAAAAoBAAAPAAAAAAAAAAEAIAAAACIA&#10;AABkcnMvZG93bnJldi54bWxQSwECFAAUAAAACACHTuJALlOLf0ICAAB3BAAADgAAAAAAAAABACAA&#10;AAAnAQAAZHJzL2Uyb0RvYy54bWxQSwUGAAAAAAYABgBZAQAA2wUAAAAA&#10;">
                      <v:fill on="f" focussize="0,0"/>
                      <v:stroke on="f" weight="0.5pt"/>
                      <v:imagedata o:title=""/>
                      <o:lock v:ext="edit" aspectratio="f"/>
                      <v:textbox inset="0.3mm,0.1mm,0.3mm,0.1mm">
                        <w:txbxContent>
                          <w:p w14:paraId="69047C06">
                            <w:pPr>
                              <w:ind w:firstLine="480"/>
                            </w:pPr>
                            <w:r>
                              <w:rPr>
                                <w:rFonts w:hint="eastAsia"/>
                              </w:rPr>
                              <w:t>海</w:t>
                            </w:r>
                          </w:p>
                        </w:txbxContent>
                      </v:textbox>
                    </v:shape>
                  </w:pict>
                </mc:Fallback>
              </mc:AlternateContent>
            </w:r>
          </w:p>
        </w:tc>
        <w:tc>
          <w:tcPr>
            <w:tcW w:w="2268" w:type="dxa"/>
          </w:tcPr>
          <w:p w14:paraId="04BAEB97">
            <w:pPr>
              <w:keepNext w:val="0"/>
              <w:keepLines w:val="0"/>
              <w:suppressLineNumbers w:val="0"/>
              <w:spacing w:before="0" w:beforeAutospacing="0" w:after="0" w:afterAutospacing="0" w:line="240" w:lineRule="auto"/>
              <w:ind w:left="0" w:right="0" w:firstLine="0" w:firstLineChars="0"/>
              <w:rPr>
                <w:rFonts w:hint="default"/>
                <w:color w:val="auto"/>
              </w:rPr>
            </w:pPr>
            <w:r>
              <w:rPr>
                <w:rFonts w:hint="default"/>
                <w:color w:val="auto"/>
              </w:rPr>
              <mc:AlternateContent>
                <mc:Choice Requires="wps">
                  <w:drawing>
                    <wp:anchor distT="0" distB="0" distL="114300" distR="114300" simplePos="0" relativeHeight="251681792" behindDoc="0" locked="0" layoutInCell="1" allowOverlap="1">
                      <wp:simplePos x="0" y="0"/>
                      <wp:positionH relativeFrom="column">
                        <wp:posOffset>285750</wp:posOffset>
                      </wp:positionH>
                      <wp:positionV relativeFrom="paragraph">
                        <wp:posOffset>1230630</wp:posOffset>
                      </wp:positionV>
                      <wp:extent cx="647065" cy="456565"/>
                      <wp:effectExtent l="0" t="0" r="635" b="635"/>
                      <wp:wrapNone/>
                      <wp:docPr id="2691" name="文本框 2691"/>
                      <wp:cNvGraphicFramePr/>
                      <a:graphic xmlns:a="http://schemas.openxmlformats.org/drawingml/2006/main">
                        <a:graphicData uri="http://schemas.microsoft.com/office/word/2010/wordprocessingShape">
                          <wps:wsp>
                            <wps:cNvSpPr txBox="1"/>
                            <wps:spPr>
                              <a:xfrm>
                                <a:off x="0" y="0"/>
                                <a:ext cx="647065" cy="45677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16DBFA">
                                  <w:pPr>
                                    <w:spacing w:line="240" w:lineRule="auto"/>
                                    <w:ind w:firstLine="0" w:firstLineChars="0"/>
                                  </w:pPr>
                                  <w:r>
                                    <w:rPr>
                                      <w:rFonts w:hint="eastAsia"/>
                                      <w:sz w:val="21"/>
                                    </w:rPr>
                                    <w:t>永久布放型围油栏</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22.5pt;margin-top:96.9pt;height:35.95pt;width:50.95pt;z-index:251681792;mso-width-relative:page;mso-height-relative:page;" fillcolor="#FFFFFF [3201]" filled="t" stroked="f" coordsize="21600,21600" o:gfxdata="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CPNMmXYAAAA&#10;CgEAAA8AAAAAAAAAAQAgAAAAIgAAAGRycy9kb3ducmV2LnhtbFBLAQIUABQAAAAIAIdO4kA21wod&#10;VgIAAKAEAAAOAAAAAAAAAAEAIAAAACcBAABkcnMvZTJvRG9jLnhtbFBLBQYAAAAABgAGAFkBAADv&#10;BQAAAAA=&#10;">
                      <v:fill on="t" focussize="0,0"/>
                      <v:stroke on="f" weight="0.5pt"/>
                      <v:imagedata o:title=""/>
                      <o:lock v:ext="edit" aspectratio="f"/>
                      <v:textbox inset="0.3mm,0.1mm,0.3mm,0.1mm">
                        <w:txbxContent>
                          <w:p w14:paraId="6C16DBFA">
                            <w:pPr>
                              <w:spacing w:line="240" w:lineRule="auto"/>
                              <w:ind w:firstLine="0" w:firstLineChars="0"/>
                            </w:pPr>
                            <w:r>
                              <w:rPr>
                                <w:rFonts w:hint="eastAsia"/>
                                <w:sz w:val="21"/>
                              </w:rPr>
                              <w:t>永久布放型围油栏</w:t>
                            </w:r>
                          </w:p>
                        </w:txbxContent>
                      </v:textbox>
                    </v:shape>
                  </w:pict>
                </mc:Fallback>
              </mc:AlternateContent>
            </w:r>
            <w:r>
              <w:rPr>
                <w:rFonts w:hint="default"/>
                <w:color w:val="auto"/>
              </w:rPr>
              <mc:AlternateContent>
                <mc:Choice Requires="wps">
                  <w:drawing>
                    <wp:anchor distT="0" distB="0" distL="114300" distR="114300" simplePos="0" relativeHeight="251677696" behindDoc="0" locked="0" layoutInCell="1" allowOverlap="1">
                      <wp:simplePos x="0" y="0"/>
                      <wp:positionH relativeFrom="column">
                        <wp:posOffset>165735</wp:posOffset>
                      </wp:positionH>
                      <wp:positionV relativeFrom="paragraph">
                        <wp:posOffset>396240</wp:posOffset>
                      </wp:positionV>
                      <wp:extent cx="496570" cy="747395"/>
                      <wp:effectExtent l="0" t="0" r="17780" b="14605"/>
                      <wp:wrapNone/>
                      <wp:docPr id="2702" name="矩形 2702"/>
                      <wp:cNvGraphicFramePr/>
                      <a:graphic xmlns:a="http://schemas.openxmlformats.org/drawingml/2006/main">
                        <a:graphicData uri="http://schemas.microsoft.com/office/word/2010/wordprocessingShape">
                          <wps:wsp>
                            <wps:cNvSpPr/>
                            <wps:spPr>
                              <a:xfrm>
                                <a:off x="0" y="0"/>
                                <a:ext cx="496570" cy="747423"/>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4401F1F1">
                                  <w:pPr>
                                    <w:spacing w:line="240" w:lineRule="auto"/>
                                    <w:ind w:firstLine="0" w:firstLineChars="0"/>
                                    <w:jc w:val="center"/>
                                  </w:pPr>
                                  <w:r>
                                    <w:rPr>
                                      <w:rFonts w:hint="eastAsia"/>
                                    </w:rPr>
                                    <w:t>事故应急池</w:t>
                                  </w:r>
                                </w:p>
                              </w:txbxContent>
                            </wps:txbx>
                            <wps:bodyPr rot="0" spcFirstLastPara="0" vertOverflow="overflow" horzOverflow="overflow" vert="horz" wrap="square" lIns="10800" tIns="3600" rIns="10800" bIns="3600" numCol="1" spcCol="0" rtlCol="0" fromWordArt="0" anchor="ctr" anchorCtr="0" forceAA="0" compatLnSpc="1">
                              <a:noAutofit/>
                            </wps:bodyPr>
                          </wps:wsp>
                        </a:graphicData>
                      </a:graphic>
                    </wp:anchor>
                  </w:drawing>
                </mc:Choice>
                <mc:Fallback>
                  <w:pict>
                    <v:rect id="_x0000_s1026" o:spid="_x0000_s1026" o:spt="1" style="position:absolute;left:0pt;margin-left:13.05pt;margin-top:31.2pt;height:58.85pt;width:39.1pt;z-index:251677696;v-text-anchor:middle;mso-width-relative:page;mso-height-relative:page;" fillcolor="#FFFFFF [3201]" filled="t" stroked="t" coordsize="21600,21600" o:gfxdata="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d1aRxtYAAAAJAQAADwAAAAAAAAABACAAAAAiAAAAZHJzL2Rvd25yZXYueG1sUEsB&#10;AhQAFAAAAAgAh07iQBcvHllpAgAA6gQAAA4AAAAAAAAAAQAgAAAAJQEAAGRycy9lMm9Eb2MueG1s&#10;UEsFBgAAAAAGAAYAWQEAAAAGAAAAAA==&#10;">
                      <v:fill on="t" focussize="0,0"/>
                      <v:stroke weight="0.5pt" color="#000000 [3200]" joinstyle="round"/>
                      <v:imagedata o:title=""/>
                      <o:lock v:ext="edit" aspectratio="f"/>
                      <v:textbox inset="0.3mm,0.1mm,0.3mm,0.1mm">
                        <w:txbxContent>
                          <w:p w14:paraId="4401F1F1">
                            <w:pPr>
                              <w:spacing w:line="240" w:lineRule="auto"/>
                              <w:ind w:firstLine="0" w:firstLineChars="0"/>
                              <w:jc w:val="center"/>
                            </w:pPr>
                            <w:r>
                              <w:rPr>
                                <w:rFonts w:hint="eastAsia"/>
                              </w:rPr>
                              <w:t>事故应急池</w:t>
                            </w:r>
                          </w:p>
                        </w:txbxContent>
                      </v:textbox>
                    </v:rect>
                  </w:pict>
                </mc:Fallback>
              </mc:AlternateContent>
            </w:r>
          </w:p>
        </w:tc>
      </w:tr>
      <w:tr w14:paraId="653395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3FD99EDD">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防控级别</w:t>
            </w:r>
          </w:p>
        </w:tc>
        <w:tc>
          <w:tcPr>
            <w:tcW w:w="2410" w:type="dxa"/>
            <w:vAlign w:val="center"/>
          </w:tcPr>
          <w:p w14:paraId="1AB0537D">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一级防控</w:t>
            </w:r>
          </w:p>
        </w:tc>
        <w:tc>
          <w:tcPr>
            <w:tcW w:w="3118" w:type="dxa"/>
            <w:vAlign w:val="center"/>
          </w:tcPr>
          <w:p w14:paraId="797F95A8">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二级防控</w:t>
            </w:r>
          </w:p>
        </w:tc>
        <w:tc>
          <w:tcPr>
            <w:tcW w:w="2268" w:type="dxa"/>
            <w:vAlign w:val="center"/>
          </w:tcPr>
          <w:p w14:paraId="2E9D5787">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三级防控</w:t>
            </w:r>
          </w:p>
        </w:tc>
      </w:tr>
    </w:tbl>
    <w:p w14:paraId="06FB704D">
      <w:pPr>
        <w:pStyle w:val="14"/>
        <w:rPr>
          <w:color w:val="auto"/>
          <w:highlight w:val="yellow"/>
        </w:rPr>
      </w:pPr>
      <w:r>
        <w:rPr>
          <w:rFonts w:hint="eastAsia"/>
          <w:color w:val="auto"/>
        </w:rPr>
        <w:t>图</w:t>
      </w:r>
      <w:r>
        <w:rPr>
          <w:color w:val="auto"/>
        </w:rPr>
        <w:t>5.7</w:t>
      </w:r>
      <w:r>
        <w:rPr>
          <w:color w:val="auto"/>
        </w:rPr>
        <w:noBreakHyphen/>
      </w:r>
      <w:r>
        <w:rPr>
          <w:color w:val="auto"/>
        </w:rPr>
        <w:t>1</w:t>
      </w:r>
      <w:r>
        <w:rPr>
          <w:rFonts w:hint="eastAsia"/>
          <w:color w:val="auto"/>
        </w:rPr>
        <w:t>事故废水三级防控系统示意图</w:t>
      </w:r>
    </w:p>
    <w:p w14:paraId="4EF3E850">
      <w:pPr>
        <w:widowControl/>
        <w:ind w:firstLine="480"/>
        <w:rPr>
          <w:rFonts w:hint="eastAsia"/>
          <w:color w:val="auto"/>
        </w:rPr>
      </w:pPr>
    </w:p>
    <w:p w14:paraId="7ECE6E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lang w:eastAsia="zh-CN"/>
        </w:rPr>
      </w:pPr>
      <w:r>
        <w:rPr>
          <w:color w:val="auto"/>
          <w:sz w:val="24"/>
        </w:rPr>
        <mc:AlternateContent>
          <mc:Choice Requires="wpc">
            <w:drawing>
              <wp:inline distT="0" distB="0" distL="114300" distR="114300">
                <wp:extent cx="5779135" cy="6370955"/>
                <wp:effectExtent l="0" t="0" r="12065" b="10795"/>
                <wp:docPr id="55" name="画布 55"/>
                <wp:cNvGraphicFramePr/>
                <a:graphic xmlns:a="http://schemas.openxmlformats.org/drawingml/2006/main">
                  <a:graphicData uri="http://schemas.microsoft.com/office/word/2010/wordprocessingCanvas">
                    <wpc:wpc>
                      <wpc:bg/>
                      <wpc:whole/>
                      <pic:pic xmlns:pic="http://schemas.openxmlformats.org/drawingml/2006/picture">
                        <pic:nvPicPr>
                          <pic:cNvPr id="57" name="图片 3"/>
                          <pic:cNvPicPr>
                            <a:picLocks noChangeAspect="1"/>
                          </pic:cNvPicPr>
                        </pic:nvPicPr>
                        <pic:blipFill>
                          <a:blip r:embed="rId201"/>
                          <a:stretch>
                            <a:fillRect/>
                          </a:stretch>
                        </pic:blipFill>
                        <pic:spPr>
                          <a:xfrm>
                            <a:off x="0" y="0"/>
                            <a:ext cx="5779135" cy="6367918"/>
                          </a:xfrm>
                          <a:prstGeom prst="rect">
                            <a:avLst/>
                          </a:prstGeom>
                          <a:noFill/>
                          <a:ln>
                            <a:noFill/>
                          </a:ln>
                        </pic:spPr>
                      </pic:pic>
                    </wpc:wpc>
                  </a:graphicData>
                </a:graphic>
              </wp:inline>
            </w:drawing>
          </mc:Choice>
          <mc:Fallback>
            <w:pict>
              <v:group id="_x0000_s1026" o:spid="_x0000_s1026" o:spt="203" style="height:501.65pt;width:455.05pt;" coordsize="5779135,6370955" editas="canvas" o:gfxdata="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">
                <o:lock v:ext="edit" aspectratio="f"/>
                <v:shape id="_x0000_s1026" o:spid="_x0000_s1026" style="position:absolute;left:0;top:0;height:6370955;width:5779135;" filled="f" stroked="f" coordsize="21600,21600" o:gfxdata="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">
                  <v:fill on="f" focussize="0,0"/>
                  <v:stroke on="f"/>
                  <v:imagedata o:title=""/>
                  <o:lock v:ext="edit" aspectratio="f"/>
                </v:shape>
                <v:shape id="图片 3" o:spid="_x0000_s1026" o:spt="75" type="#_x0000_t75" style="position:absolute;left:0;top:0;height:6367918;width:5779135;" filled="f" o:preferrelative="t" stroked="f" coordsize="21600,21600" o:gfxdata="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">
                  <v:fill on="f" focussize="0,0"/>
                  <v:stroke on="f"/>
                  <v:imagedata r:id="rId201" o:title=""/>
                  <o:lock v:ext="edit" aspectratio="t"/>
                </v:shape>
                <w10:wrap type="none"/>
                <w10:anchorlock/>
              </v:group>
            </w:pict>
          </mc:Fallback>
        </mc:AlternateContent>
      </w:r>
    </w:p>
    <w:p w14:paraId="02E85D85">
      <w:pPr>
        <w:pStyle w:val="14"/>
        <w:widowControl/>
        <w:ind w:firstLine="480"/>
        <w:rPr>
          <w:rFonts w:hint="eastAsia"/>
          <w:color w:val="auto"/>
        </w:rPr>
      </w:pPr>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5.7</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r>
        <w:rPr>
          <w:rFonts w:hint="eastAsia"/>
          <w:color w:val="auto"/>
          <w:lang w:val="en-US" w:eastAsia="zh-CN"/>
        </w:rPr>
        <w:t xml:space="preserve"> </w:t>
      </w:r>
      <w:r>
        <w:rPr>
          <w:rFonts w:hint="eastAsia"/>
          <w:color w:val="auto"/>
          <w:u w:val="single"/>
          <w:lang w:val="en-US" w:eastAsia="zh-CN"/>
        </w:rPr>
        <w:t xml:space="preserve"> </w:t>
      </w:r>
      <w:r>
        <w:rPr>
          <w:rFonts w:hint="eastAsia"/>
          <w:color w:val="auto"/>
          <w:u w:val="single"/>
        </w:rPr>
        <w:t>防止废水进入外环境的控制封堵系统图</w:t>
      </w:r>
    </w:p>
    <w:p w14:paraId="15C1770E">
      <w:pPr>
        <w:widowControl/>
        <w:ind w:firstLine="480"/>
        <w:rPr>
          <w:rFonts w:hint="eastAsia" w:eastAsia="宋体"/>
          <w:color w:val="auto"/>
          <w:u w:val="single"/>
          <w:lang w:val="en-US" w:eastAsia="zh-CN"/>
        </w:rPr>
      </w:pPr>
      <w:r>
        <w:rPr>
          <w:rFonts w:hint="eastAsia"/>
          <w:color w:val="auto"/>
          <w:u w:val="single"/>
          <w:lang w:val="en-US" w:eastAsia="zh-CN"/>
        </w:rPr>
        <w:t>（2）事故废水控制措施</w:t>
      </w:r>
    </w:p>
    <w:p w14:paraId="5C76722F">
      <w:pPr>
        <w:widowControl/>
        <w:ind w:firstLine="480"/>
        <w:rPr>
          <w:rFonts w:hint="default" w:eastAsia="宋体"/>
          <w:color w:val="auto"/>
          <w:u w:val="single"/>
          <w:lang w:val="en-US" w:eastAsia="zh-CN"/>
        </w:rPr>
      </w:pPr>
      <w:r>
        <w:rPr>
          <w:rFonts w:hint="eastAsia"/>
          <w:color w:val="auto"/>
          <w:u w:val="single"/>
          <w:lang w:eastAsia="zh-CN"/>
        </w:rPr>
        <w:t>库区共设置</w:t>
      </w:r>
      <w:r>
        <w:rPr>
          <w:rFonts w:hint="eastAsia"/>
          <w:color w:val="auto"/>
          <w:u w:val="single"/>
          <w:lang w:val="en-US" w:eastAsia="zh-CN"/>
        </w:rPr>
        <w:t>5个罐组，每个罐组均设有围堰，厂区雨水排放口阀门常关，发生事故时，事故废水可以控制在罐组围堰内，通过事故废水管网，收集进入事故应急池（容积为20000m</w:t>
      </w:r>
      <w:r>
        <w:rPr>
          <w:rFonts w:hint="eastAsia"/>
          <w:color w:val="auto"/>
          <w:vertAlign w:val="superscript"/>
          <w:lang w:val="en-US" w:eastAsia="zh-CN"/>
        </w:rPr>
        <w:t>3</w:t>
      </w:r>
      <w:r>
        <w:rPr>
          <w:rFonts w:hint="eastAsia"/>
          <w:color w:val="auto"/>
          <w:u w:val="single"/>
          <w:lang w:val="en-US" w:eastAsia="zh-CN"/>
        </w:rPr>
        <w:t>）。码头装卸区设置有围坎，雨水排放口阀门常关，可以将事故废水控制在作业区内，事故废水收集进入码头收集池，达到一定水位后，泵送至事故应急池中。同时，事故应急池配备有2个200m</w:t>
      </w:r>
      <w:r>
        <w:rPr>
          <w:rFonts w:hint="eastAsia"/>
          <w:color w:val="auto"/>
          <w:vertAlign w:val="superscript"/>
          <w:lang w:val="en-US" w:eastAsia="zh-CN"/>
        </w:rPr>
        <w:t>3</w:t>
      </w:r>
      <w:r>
        <w:rPr>
          <w:rFonts w:hint="eastAsia"/>
          <w:color w:val="auto"/>
          <w:u w:val="single"/>
          <w:lang w:val="en-US" w:eastAsia="zh-CN"/>
        </w:rPr>
        <w:t>/h的水泵，在事故应急池储存容积不足时，可通过泵将事故废水泵送至污水处理设施（已停止运行，仅具有隔油功能）中。事故结束后事故废水由罐车分批次运回东油沥青厂区后统一通过管网输送至广西石化污水处理场进行处理。</w:t>
      </w:r>
    </w:p>
    <w:p w14:paraId="770FE5CD">
      <w:pPr>
        <w:widowControl/>
        <w:ind w:firstLine="480"/>
        <w:rPr>
          <w:color w:val="auto"/>
        </w:rPr>
      </w:pPr>
      <w:r>
        <w:rPr>
          <w:rFonts w:hint="eastAsia"/>
          <w:color w:val="auto"/>
        </w:rPr>
        <w:t>（</w:t>
      </w:r>
      <w:r>
        <w:rPr>
          <w:rFonts w:hint="eastAsia"/>
          <w:color w:val="auto"/>
          <w:lang w:val="en-US" w:eastAsia="zh-CN"/>
        </w:rPr>
        <w:t>3</w:t>
      </w:r>
      <w:r>
        <w:rPr>
          <w:rFonts w:hint="eastAsia"/>
          <w:color w:val="auto"/>
        </w:rPr>
        <w:t>）防范措施</w:t>
      </w:r>
    </w:p>
    <w:p w14:paraId="37EFF3A4">
      <w:pPr>
        <w:widowControl/>
        <w:ind w:firstLine="480"/>
        <w:rPr>
          <w:color w:val="auto"/>
        </w:rPr>
      </w:pPr>
      <w:r>
        <w:rPr>
          <w:rFonts w:hint="eastAsia"/>
          <w:color w:val="auto"/>
        </w:rPr>
        <w:t>①储罐要安装液位、温度、压力超限报警设施，贮存区需安装气体泄漏检测报警装置和火灾报警系统。</w:t>
      </w:r>
    </w:p>
    <w:p w14:paraId="0B62B253">
      <w:pPr>
        <w:widowControl/>
        <w:ind w:firstLine="480"/>
        <w:rPr>
          <w:color w:val="auto"/>
        </w:rPr>
      </w:pPr>
      <w:r>
        <w:rPr>
          <w:rFonts w:hint="eastAsia"/>
          <w:color w:val="auto"/>
        </w:rPr>
        <w:t>②贮罐内物料的输入与输出应采用不同的泵，贮罐上应有液位显示，进各生产车间的中转罐上设有进料控制阀，由中转罐上的电子秤计量开关进料阀并与泵联锁，防止过量输料导致溢漏。</w:t>
      </w:r>
    </w:p>
    <w:p w14:paraId="645FC22A">
      <w:pPr>
        <w:widowControl/>
        <w:ind w:firstLine="480"/>
        <w:rPr>
          <w:color w:val="auto"/>
        </w:rPr>
      </w:pPr>
      <w:r>
        <w:rPr>
          <w:rFonts w:hint="eastAsia"/>
          <w:color w:val="auto"/>
        </w:rPr>
        <w:t>③全厂所有装置、管线均设计为密闭系统，包括动设备的轴封、静设备的人孔、法兰、管线的接口处等容易泄漏的地方，在设计选型和选材上按规定特殊考虑。</w:t>
      </w:r>
    </w:p>
    <w:p w14:paraId="48A89EF2">
      <w:pPr>
        <w:widowControl/>
        <w:ind w:firstLine="480"/>
        <w:rPr>
          <w:color w:val="auto"/>
        </w:rPr>
      </w:pPr>
      <w:r>
        <w:rPr>
          <w:rFonts w:hint="eastAsia"/>
          <w:color w:val="auto"/>
        </w:rPr>
        <w:t>④定期检查各安全附件（压力表、安全阀与放空阀、温度计、单向阀等）是否灵活、准确，如有异常要及时汇报，保修。</w:t>
      </w:r>
    </w:p>
    <w:p w14:paraId="07E69404">
      <w:pPr>
        <w:widowControl/>
        <w:ind w:firstLine="480"/>
        <w:rPr>
          <w:color w:val="auto"/>
        </w:rPr>
      </w:pPr>
      <w:r>
        <w:rPr>
          <w:rFonts w:hint="eastAsia"/>
          <w:color w:val="auto"/>
        </w:rPr>
        <w:t>⑤由于罐区物料储存量较大，为防止罐区物料泄漏时扩散至厂区内其他地方，罐组分别设置高于1</w:t>
      </w:r>
      <w:r>
        <w:rPr>
          <w:color w:val="auto"/>
        </w:rPr>
        <w:t>m的围堰</w:t>
      </w:r>
      <w:r>
        <w:rPr>
          <w:rFonts w:hint="eastAsia"/>
          <w:color w:val="auto"/>
        </w:rPr>
        <w:t>，防止事故状态下的废水或废液扩散。</w:t>
      </w:r>
    </w:p>
    <w:p w14:paraId="33C918B9">
      <w:pPr>
        <w:widowControl/>
        <w:ind w:firstLine="480"/>
        <w:rPr>
          <w:color w:val="auto"/>
        </w:rPr>
      </w:pPr>
      <w:r>
        <w:rPr>
          <w:rFonts w:hint="eastAsia"/>
          <w:color w:val="auto"/>
        </w:rPr>
        <w:t>⑥装卸台、罐区放置吸油毡、沙等吸附物质，当员工在操作过程中发生少量的跑、冒、滴、漏现象时，要及时利用吸油毡等吸附物质将现场泄漏物进行覆盖、收容、稀释、处理，使泄漏物得到安全可靠的处置，防止二次事故的发生。吸附之后的吸油毡、沙等作为危险废物，交由有资质的危险废物处理单位处理。</w:t>
      </w:r>
    </w:p>
    <w:p w14:paraId="44C63EAF">
      <w:pPr>
        <w:widowControl/>
        <w:ind w:firstLine="480"/>
        <w:rPr>
          <w:color w:val="auto"/>
        </w:rPr>
      </w:pPr>
      <w:r>
        <w:rPr>
          <w:rFonts w:hint="eastAsia"/>
          <w:color w:val="auto"/>
        </w:rPr>
        <w:t>⑦若发生泄漏，则所有排液均应尽可能收集，集中进行妥善处理，防止随意流散。企业应经常检查管道，定期系统试压、定期检漏。管道施工应按规范要求进行。</w:t>
      </w:r>
    </w:p>
    <w:p w14:paraId="045F9260">
      <w:pPr>
        <w:widowControl/>
        <w:ind w:firstLine="480"/>
        <w:rPr>
          <w:color w:val="auto"/>
        </w:rPr>
      </w:pPr>
      <w:r>
        <w:rPr>
          <w:rFonts w:hint="eastAsia"/>
          <w:color w:val="auto"/>
        </w:rPr>
        <w:t>⑧若罐区、装卸区等发生物料大量泄漏及发生较大火灾事故，会产生事故废水时，需要第一时间关闭雨水排放口阀门，将事故废水和废液控制在厂区内。关闭初期雨水收集阀门，防止废液和事故废水进入污水收集系统。</w:t>
      </w:r>
    </w:p>
    <w:p w14:paraId="617F1556">
      <w:pPr>
        <w:widowControl/>
        <w:ind w:firstLine="480"/>
        <w:rPr>
          <w:color w:val="auto"/>
        </w:rPr>
      </w:pPr>
      <w:r>
        <w:rPr>
          <w:rFonts w:hint="eastAsia"/>
          <w:color w:val="auto"/>
        </w:rPr>
        <w:t>⑨泄漏应急处理：根据液体流动和蒸气扩散的影响区域划定警戒区，无关人员从侧风、上风向撤离至安全区。建议应急处理人员戴正压自给式呼吸器，穿防酸碱服。作业时使用的设备应接地。穿上适当的防护服前严禁接触破裂的容器和泄漏物。尽可能切断泄漏源。防止泄漏物进入水体、下水道、地下室或密闭性空间。喷雾状水抑制蒸气或改变蒸气云流向，避免水流接触泄漏物。</w:t>
      </w:r>
    </w:p>
    <w:p w14:paraId="63626160">
      <w:pPr>
        <w:widowControl/>
        <w:ind w:firstLine="480"/>
        <w:rPr>
          <w:color w:val="auto"/>
        </w:rPr>
      </w:pPr>
      <w:r>
        <w:rPr>
          <w:rFonts w:hint="eastAsia"/>
          <w:color w:val="auto"/>
        </w:rPr>
        <w:t>小量泄漏：用干燥的砂土、吸油毡或</w:t>
      </w:r>
      <w:r>
        <w:rPr>
          <w:rFonts w:hint="eastAsia"/>
          <w:color w:val="auto"/>
          <w:lang w:eastAsia="zh-CN"/>
        </w:rPr>
        <w:t>其他不</w:t>
      </w:r>
      <w:r>
        <w:rPr>
          <w:rFonts w:hint="eastAsia"/>
          <w:color w:val="auto"/>
        </w:rPr>
        <w:t>燃材料覆盖泄漏物。大量泄漏：构筑围堤或挖坑收容。用砂土、石灰粉、吸油毡等吸收。用抗溶性泡沫覆盖，减少蒸发。用耐腐蚀泵转移至槽车或专用收集器内。</w:t>
      </w:r>
    </w:p>
    <w:p w14:paraId="486D0EB2">
      <w:pPr>
        <w:pStyle w:val="6"/>
        <w:rPr>
          <w:color w:val="auto"/>
        </w:rPr>
      </w:pPr>
      <w:r>
        <w:rPr>
          <w:color w:val="auto"/>
        </w:rPr>
        <w:t>船舶交通事故风险防范措施</w:t>
      </w:r>
    </w:p>
    <w:p w14:paraId="1AD98B46">
      <w:pPr>
        <w:adjustRightInd w:val="0"/>
        <w:ind w:firstLine="480"/>
        <w:rPr>
          <w:color w:val="auto"/>
        </w:rPr>
      </w:pPr>
      <w:r>
        <w:rPr>
          <w:rFonts w:hint="eastAsia"/>
          <w:color w:val="auto"/>
        </w:rPr>
        <w:t>1、</w:t>
      </w:r>
      <w:r>
        <w:rPr>
          <w:color w:val="auto"/>
        </w:rPr>
        <w:t>现有船舶助航、导航、其他船舶禁航等安全措施</w:t>
      </w:r>
    </w:p>
    <w:p w14:paraId="26C0B048">
      <w:pPr>
        <w:adjustRightInd w:val="0"/>
        <w:ind w:firstLine="480"/>
        <w:rPr>
          <w:color w:val="auto"/>
        </w:rPr>
      </w:pPr>
      <w:r>
        <w:rPr>
          <w:color w:val="auto"/>
        </w:rPr>
        <w:t>为保障本项目附近水域及进港航道船舶的航行安全，建设单位应接受当地海事局对船舶交通、船舶报告等方面的协调、监督和管理。应加强码头前沿水域和进港航道的维护和管理，确保码头前沿现有助航导航设施的有效性，并根据主管部门的要求，不断完善船舶靠泊、助航导航等安全设施。此外，当大型油轮进港时，应禁止其他船舶在此进港航道通行。</w:t>
      </w:r>
    </w:p>
    <w:p w14:paraId="4937884E">
      <w:pPr>
        <w:adjustRightInd w:val="0"/>
        <w:ind w:firstLine="480"/>
        <w:rPr>
          <w:color w:val="auto"/>
        </w:rPr>
      </w:pPr>
      <w:r>
        <w:rPr>
          <w:rFonts w:hint="eastAsia"/>
          <w:color w:val="auto"/>
        </w:rPr>
        <w:t>2、现有</w:t>
      </w:r>
      <w:r>
        <w:rPr>
          <w:color w:val="auto"/>
        </w:rPr>
        <w:t>督促进出港船舶加强港内航行与靠离泊风险控制</w:t>
      </w:r>
    </w:p>
    <w:p w14:paraId="7275037B">
      <w:pPr>
        <w:adjustRightInd w:val="0"/>
        <w:ind w:firstLine="480"/>
        <w:rPr>
          <w:color w:val="auto"/>
        </w:rPr>
      </w:pPr>
      <w:r>
        <w:rPr>
          <w:rFonts w:hint="eastAsia"/>
          <w:color w:val="auto"/>
        </w:rPr>
        <w:t>（1）</w:t>
      </w:r>
      <w:r>
        <w:rPr>
          <w:color w:val="auto"/>
        </w:rPr>
        <w:t>加强航行组织与进出该项目所在码头水域的准备。到港船舶进出港口前，船长应督促相关人员严格按照检查表中的检查项目清单逐项认真地检查、试验、测试和落实，做好相关记录并签字确认，以确保每一项检查、试验或测试都得到认真落实。</w:t>
      </w:r>
    </w:p>
    <w:p w14:paraId="0E137C26">
      <w:pPr>
        <w:adjustRightInd w:val="0"/>
        <w:ind w:firstLine="480"/>
        <w:rPr>
          <w:color w:val="auto"/>
        </w:rPr>
      </w:pPr>
      <w:r>
        <w:rPr>
          <w:rFonts w:hint="eastAsia"/>
          <w:color w:val="auto"/>
        </w:rPr>
        <w:t>（2）</w:t>
      </w:r>
      <w:r>
        <w:rPr>
          <w:color w:val="auto"/>
        </w:rPr>
        <w:t>督促到港船舶在进出港口、靠离泊前制订周密的航行与操纵计划和程序。</w:t>
      </w:r>
    </w:p>
    <w:p w14:paraId="1C8E7807">
      <w:pPr>
        <w:adjustRightInd w:val="0"/>
        <w:ind w:firstLine="480"/>
        <w:rPr>
          <w:color w:val="auto"/>
        </w:rPr>
      </w:pPr>
      <w:r>
        <w:rPr>
          <w:rFonts w:hint="eastAsia"/>
          <w:color w:val="auto"/>
        </w:rPr>
        <w:t>（3）</w:t>
      </w:r>
      <w:r>
        <w:rPr>
          <w:color w:val="auto"/>
        </w:rPr>
        <w:t>到港船舶应及时掌握最新海图、港口航道、潮汐潮流、水文气象、助航标志、水深底质、船舶密度等通航相关资料，了解并严格遵守有关规章、航行法规和通讯、报告制度，充分考虑环境和自然因素对船舶操纵的影响。</w:t>
      </w:r>
    </w:p>
    <w:p w14:paraId="209F5D31">
      <w:pPr>
        <w:adjustRightInd w:val="0"/>
        <w:ind w:firstLine="480"/>
        <w:rPr>
          <w:color w:val="auto"/>
        </w:rPr>
      </w:pPr>
      <w:r>
        <w:rPr>
          <w:rFonts w:hint="eastAsia"/>
          <w:color w:val="auto"/>
        </w:rPr>
        <w:t>（4）</w:t>
      </w:r>
      <w:r>
        <w:rPr>
          <w:color w:val="auto"/>
        </w:rPr>
        <w:t>船舶应对动力设备工况进行充分分析与评价，根据应急预案做好应急准备措施，做到早检查、早发现、早解决，防止船舶因设备问题造成紧迫局面。必要时请求岸基提供帮助。</w:t>
      </w:r>
    </w:p>
    <w:p w14:paraId="1CC6E091">
      <w:pPr>
        <w:adjustRightInd w:val="0"/>
        <w:ind w:firstLine="480"/>
        <w:rPr>
          <w:color w:val="auto"/>
        </w:rPr>
      </w:pPr>
      <w:r>
        <w:rPr>
          <w:rFonts w:hint="eastAsia"/>
          <w:color w:val="auto"/>
        </w:rPr>
        <w:t>（5）</w:t>
      </w:r>
      <w:r>
        <w:rPr>
          <w:color w:val="auto"/>
        </w:rPr>
        <w:t>充分利用和管理驾驶台资源，合理组织值班船员，明确驾驶台团队各自的位置、角度、常规职责、应急职责、信息沟通交流方式、记录、应急处置、驾驶台工作规程等，做到严守职责，坚守岗位。</w:t>
      </w:r>
    </w:p>
    <w:p w14:paraId="14A1E442">
      <w:pPr>
        <w:adjustRightInd w:val="0"/>
        <w:ind w:firstLine="480"/>
        <w:rPr>
          <w:color w:val="auto"/>
        </w:rPr>
      </w:pPr>
      <w:r>
        <w:rPr>
          <w:rFonts w:hint="eastAsia"/>
          <w:color w:val="auto"/>
        </w:rPr>
        <w:t>（6）</w:t>
      </w:r>
      <w:r>
        <w:rPr>
          <w:color w:val="auto"/>
        </w:rPr>
        <w:t>切实做好通信与沟通工作。VHF应在指定频道收听并保持与港口的控制台、导航雷达站、海上交通指挥中心等有关方面的联系，并听从其指导。</w:t>
      </w:r>
    </w:p>
    <w:p w14:paraId="21BE79B1">
      <w:pPr>
        <w:adjustRightInd w:val="0"/>
        <w:ind w:firstLine="480"/>
        <w:rPr>
          <w:color w:val="auto"/>
        </w:rPr>
      </w:pPr>
      <w:r>
        <w:rPr>
          <w:rFonts w:hint="eastAsia"/>
          <w:color w:val="auto"/>
        </w:rPr>
        <w:t>（7）</w:t>
      </w:r>
      <w:r>
        <w:rPr>
          <w:color w:val="auto"/>
        </w:rPr>
        <w:t>禁止船舶在动力、助导航设备存在隐患的情况下进出港，禁止疲劳驾驶。</w:t>
      </w:r>
    </w:p>
    <w:p w14:paraId="234F3A3E">
      <w:pPr>
        <w:adjustRightInd w:val="0"/>
        <w:ind w:firstLine="480"/>
        <w:rPr>
          <w:color w:val="auto"/>
        </w:rPr>
      </w:pPr>
      <w:r>
        <w:rPr>
          <w:rFonts w:hint="eastAsia"/>
          <w:color w:val="auto"/>
        </w:rPr>
        <w:t>3、</w:t>
      </w:r>
      <w:r>
        <w:rPr>
          <w:color w:val="auto"/>
        </w:rPr>
        <w:t>现有航海人员培训教育，</w:t>
      </w:r>
      <w:r>
        <w:rPr>
          <w:rFonts w:hint="eastAsia"/>
          <w:color w:val="auto"/>
          <w:lang w:eastAsia="zh-CN"/>
        </w:rPr>
        <w:t>增强</w:t>
      </w:r>
      <w:r>
        <w:rPr>
          <w:color w:val="auto"/>
        </w:rPr>
        <w:t>操作技能和安全意识</w:t>
      </w:r>
    </w:p>
    <w:p w14:paraId="317A262E">
      <w:pPr>
        <w:adjustRightInd w:val="0"/>
        <w:ind w:firstLine="480"/>
        <w:rPr>
          <w:color w:val="auto"/>
        </w:rPr>
      </w:pPr>
      <w:r>
        <w:rPr>
          <w:color w:val="auto"/>
        </w:rPr>
        <w:t>海难性事故发生的原因，除恶劣天气人类很难控制外，多数与操作人员的管理密切相关。减少事故的发生，就是要加强操作人员的安全意识及操作技能。船公司要组织经常性的海上安全意识教育和海上安全技能训练，</w:t>
      </w:r>
      <w:r>
        <w:rPr>
          <w:rFonts w:hint="eastAsia"/>
          <w:color w:val="auto"/>
        </w:rPr>
        <w:t>做好</w:t>
      </w:r>
      <w:r>
        <w:rPr>
          <w:color w:val="auto"/>
        </w:rPr>
        <w:t>船舶的定期检查和养护工作，确保各种设备安全有效、性能良好。普及安全知识提高船员素质，加强船员对安全生产知识的了解和对安全技术的熟练掌握。科学合理安排作息时间，避免船员疲劳造成反应迟缓、注意力不集中等现象，减少人为海难因素。</w:t>
      </w:r>
    </w:p>
    <w:p w14:paraId="36177B64">
      <w:pPr>
        <w:ind w:firstLine="480"/>
        <w:rPr>
          <w:color w:val="auto"/>
        </w:rPr>
      </w:pPr>
      <w:r>
        <w:rPr>
          <w:rFonts w:hint="eastAsia"/>
          <w:color w:val="auto"/>
        </w:rPr>
        <w:t>4、上述措施依托可行性</w:t>
      </w:r>
    </w:p>
    <w:p w14:paraId="3DE58C83">
      <w:pPr>
        <w:ind w:firstLine="480"/>
        <w:rPr>
          <w:rFonts w:cs="宋体"/>
          <w:color w:val="auto"/>
          <w:kern w:val="0"/>
          <w:lang w:bidi="ar"/>
        </w:rPr>
      </w:pPr>
      <w:r>
        <w:rPr>
          <w:rFonts w:hint="eastAsia" w:cs="宋体"/>
          <w:color w:val="auto"/>
          <w:kern w:val="0"/>
          <w:lang w:bidi="ar"/>
        </w:rPr>
        <w:t>项目在现有码头上增加货种，每次作业时仅停靠一艘船，一个货种作业，现有陆域风险管理措施完全满足拟建项目运行时的需求。</w:t>
      </w:r>
    </w:p>
    <w:p w14:paraId="139C47B4">
      <w:pPr>
        <w:pStyle w:val="4"/>
        <w:rPr>
          <w:color w:val="auto"/>
          <w:lang w:bidi="ar"/>
        </w:rPr>
      </w:pPr>
      <w:r>
        <w:rPr>
          <w:rFonts w:hint="eastAsia"/>
          <w:color w:val="auto"/>
          <w:lang w:bidi="ar"/>
        </w:rPr>
        <w:t>地下水</w:t>
      </w:r>
      <w:r>
        <w:rPr>
          <w:color w:val="auto"/>
          <w:lang w:bidi="ar"/>
        </w:rPr>
        <w:t>风险防范措施</w:t>
      </w:r>
    </w:p>
    <w:p w14:paraId="4838AA9B">
      <w:pPr>
        <w:ind w:firstLine="480"/>
        <w:rPr>
          <w:color w:val="auto"/>
        </w:rPr>
      </w:pPr>
      <w:r>
        <w:rPr>
          <w:rFonts w:hint="eastAsia"/>
          <w:color w:val="auto"/>
        </w:rPr>
        <w:t>项目场地为填海造陆，场区上覆土层主要为</w:t>
      </w:r>
      <w:r>
        <w:rPr>
          <w:color w:val="auto"/>
          <w:kern w:val="0"/>
          <w:szCs w:val="22"/>
        </w:rPr>
        <w:t>下志留统连滩群第五组（S</w:t>
      </w:r>
      <w:r>
        <w:rPr>
          <w:color w:val="auto"/>
          <w:kern w:val="0"/>
          <w:szCs w:val="22"/>
          <w:vertAlign w:val="subscript"/>
        </w:rPr>
        <w:t>1ln</w:t>
      </w:r>
      <w:r>
        <w:rPr>
          <w:color w:val="auto"/>
          <w:kern w:val="0"/>
          <w:szCs w:val="22"/>
          <w:vertAlign w:val="superscript"/>
        </w:rPr>
        <w:t>e</w:t>
      </w:r>
      <w:r>
        <w:rPr>
          <w:color w:val="auto"/>
          <w:kern w:val="0"/>
          <w:szCs w:val="22"/>
        </w:rPr>
        <w:t>）、现代海相沉积（Q</w:t>
      </w:r>
      <w:r>
        <w:rPr>
          <w:color w:val="auto"/>
          <w:kern w:val="0"/>
          <w:szCs w:val="22"/>
          <w:vertAlign w:val="subscript"/>
        </w:rPr>
        <w:t>4－2</w:t>
      </w:r>
      <w:r>
        <w:rPr>
          <w:color w:val="auto"/>
          <w:kern w:val="0"/>
          <w:szCs w:val="22"/>
          <w:vertAlign w:val="superscript"/>
        </w:rPr>
        <w:t>m</w:t>
      </w:r>
      <w:r>
        <w:rPr>
          <w:color w:val="auto"/>
          <w:kern w:val="0"/>
          <w:szCs w:val="22"/>
        </w:rPr>
        <w:t>）和人工填海堆积（Q</w:t>
      </w:r>
      <w:r>
        <w:rPr>
          <w:color w:val="auto"/>
          <w:kern w:val="0"/>
          <w:szCs w:val="22"/>
          <w:vertAlign w:val="subscript"/>
        </w:rPr>
        <w:t>4</w:t>
      </w:r>
      <w:r>
        <w:rPr>
          <w:color w:val="auto"/>
          <w:kern w:val="0"/>
          <w:szCs w:val="22"/>
          <w:vertAlign w:val="superscript"/>
        </w:rPr>
        <w:t>ml</w:t>
      </w:r>
      <w:r>
        <w:rPr>
          <w:color w:val="auto"/>
          <w:kern w:val="0"/>
          <w:szCs w:val="22"/>
        </w:rPr>
        <w:t>）</w:t>
      </w:r>
      <w:r>
        <w:rPr>
          <w:rFonts w:hint="eastAsia"/>
          <w:color w:val="auto"/>
        </w:rPr>
        <w:t>。</w:t>
      </w:r>
      <w:r>
        <w:rPr>
          <w:color w:val="auto"/>
        </w:rPr>
        <w:t>现有工程罐区采用的防渗措施</w:t>
      </w:r>
      <w:r>
        <w:rPr>
          <w:rFonts w:hint="eastAsia"/>
          <w:color w:val="auto"/>
        </w:rPr>
        <w:t>为“混凝土</w:t>
      </w:r>
      <w:r>
        <w:rPr>
          <w:color w:val="auto"/>
        </w:rPr>
        <w:t>垫层</w:t>
      </w:r>
      <w:r>
        <w:rPr>
          <w:rFonts w:hint="eastAsia"/>
          <w:color w:val="auto"/>
        </w:rPr>
        <w:t>100</w:t>
      </w:r>
      <w:r>
        <w:rPr>
          <w:color w:val="auto"/>
        </w:rPr>
        <w:t>mm+</w:t>
      </w:r>
      <w:r>
        <w:rPr>
          <w:rFonts w:hint="eastAsia"/>
          <w:color w:val="auto"/>
        </w:rPr>
        <w:t>钢筋混凝土承台板+沥青涂层+中粗砂垫层+沥青砂绝缘层+耐热砂浆抹面”，罐区环墙采用C35的抗渗混凝土，表面做≥300μm厚度的环氧沥青涂层。根据公司以往的地下水常规检测报告，未出现</w:t>
      </w:r>
      <w:r>
        <w:rPr>
          <w:color w:val="auto"/>
        </w:rPr>
        <w:t>地下水检测因子未出现超标情况</w:t>
      </w:r>
      <w:r>
        <w:rPr>
          <w:rFonts w:hint="eastAsia"/>
          <w:color w:val="auto"/>
        </w:rPr>
        <w:t>。现有工程建设的储罐、管道、防渗措施等措施较为完善，在采取严格地下水风险防范措施后，项目事故状态下污染物泄露下渗对地下水环境影响不大。</w:t>
      </w:r>
    </w:p>
    <w:p w14:paraId="78814A8E">
      <w:pPr>
        <w:pStyle w:val="4"/>
        <w:keepNext w:val="0"/>
        <w:keepLines w:val="0"/>
        <w:rPr>
          <w:color w:val="auto"/>
        </w:rPr>
      </w:pPr>
      <w:r>
        <w:rPr>
          <w:rFonts w:hint="eastAsia"/>
          <w:color w:val="auto"/>
        </w:rPr>
        <w:t>其他风险</w:t>
      </w:r>
      <w:r>
        <w:rPr>
          <w:color w:val="auto"/>
        </w:rPr>
        <w:t>防范措施</w:t>
      </w:r>
    </w:p>
    <w:p w14:paraId="13162884">
      <w:pPr>
        <w:ind w:firstLine="480"/>
        <w:rPr>
          <w:color w:val="auto"/>
        </w:rPr>
      </w:pPr>
      <w:r>
        <w:rPr>
          <w:rFonts w:hint="eastAsia"/>
          <w:color w:val="auto"/>
        </w:rPr>
        <w:t>拟建工程环境风险防范措施主要是指为了防止事故产生的有毒有害物质进入环境而采取的措施。</w:t>
      </w:r>
    </w:p>
    <w:p w14:paraId="541D1E67">
      <w:pPr>
        <w:pStyle w:val="6"/>
        <w:rPr>
          <w:color w:val="auto"/>
        </w:rPr>
      </w:pPr>
      <w:r>
        <w:rPr>
          <w:rFonts w:hint="eastAsia"/>
          <w:color w:val="auto"/>
        </w:rPr>
        <w:t>监控措施</w:t>
      </w:r>
    </w:p>
    <w:p w14:paraId="7C243612">
      <w:pPr>
        <w:ind w:firstLine="480"/>
        <w:rPr>
          <w:color w:val="auto"/>
        </w:rPr>
      </w:pPr>
      <w:r>
        <w:rPr>
          <w:rFonts w:hint="eastAsia"/>
          <w:color w:val="auto"/>
        </w:rPr>
        <w:t>目前码头及后方库区已有监控措施包括：</w:t>
      </w:r>
    </w:p>
    <w:p w14:paraId="143B5CE2">
      <w:pPr>
        <w:ind w:firstLine="480"/>
        <w:rPr>
          <w:color w:val="auto"/>
        </w:rPr>
      </w:pPr>
      <w:r>
        <w:rPr>
          <w:rFonts w:hint="eastAsia"/>
          <w:color w:val="auto"/>
        </w:rPr>
        <w:t>①设有视频</w:t>
      </w:r>
      <w:r>
        <w:rPr>
          <w:color w:val="auto"/>
        </w:rPr>
        <w:t>监控系统，</w:t>
      </w:r>
      <w:r>
        <w:rPr>
          <w:rFonts w:hint="eastAsia"/>
          <w:color w:val="auto"/>
        </w:rPr>
        <w:t>码头及后方库区安装视频监控装置，覆盖整个码头及后方库区，码头库区安装的视频监控装置25台，汽油罐区2个高清视频，</w:t>
      </w:r>
      <w:r>
        <w:rPr>
          <w:rFonts w:hint="eastAsia"/>
          <w:color w:val="auto"/>
          <w:lang w:eastAsia="zh-CN"/>
        </w:rPr>
        <w:t>其他</w:t>
      </w:r>
      <w:r>
        <w:rPr>
          <w:rFonts w:hint="eastAsia"/>
          <w:color w:val="auto"/>
        </w:rPr>
        <w:t>罐区共5个。码头、值班室等处安装手动</w:t>
      </w:r>
      <w:r>
        <w:rPr>
          <w:color w:val="auto"/>
        </w:rPr>
        <w:t>报警装置，</w:t>
      </w:r>
      <w:r>
        <w:rPr>
          <w:rFonts w:hint="eastAsia"/>
          <w:color w:val="auto"/>
        </w:rPr>
        <w:t>值班</w:t>
      </w:r>
      <w:r>
        <w:rPr>
          <w:color w:val="auto"/>
        </w:rPr>
        <w:t>人员</w:t>
      </w:r>
      <w:r>
        <w:rPr>
          <w:rFonts w:hint="eastAsia"/>
          <w:color w:val="auto"/>
        </w:rPr>
        <w:t>配备</w:t>
      </w:r>
      <w:r>
        <w:rPr>
          <w:color w:val="auto"/>
        </w:rPr>
        <w:t>电话，</w:t>
      </w:r>
      <w:r>
        <w:rPr>
          <w:rFonts w:hint="eastAsia"/>
          <w:color w:val="auto"/>
        </w:rPr>
        <w:t>一旦发生火警可及时和监控中心、消防值班室联络，及时启动应急处理预案。</w:t>
      </w:r>
    </w:p>
    <w:p w14:paraId="446705D2">
      <w:pPr>
        <w:ind w:firstLine="480"/>
        <w:rPr>
          <w:b/>
          <w:bCs/>
          <w:color w:val="auto"/>
        </w:rPr>
      </w:pPr>
      <w:r>
        <w:rPr>
          <w:rFonts w:hint="eastAsia"/>
          <w:color w:val="auto"/>
        </w:rPr>
        <w:t>②设有易燃气体泄漏报警装置，实时监测环境中易燃气体的浓度，一旦浓度超过预设的安全阈值，报警器会立即发出声光警报，从而迅速提醒现场工作人员采取相应的安全措施，防止气体泄漏引发的事故和危害。</w:t>
      </w:r>
    </w:p>
    <w:p w14:paraId="3F571A36">
      <w:pPr>
        <w:ind w:firstLine="480"/>
        <w:rPr>
          <w:rFonts w:hint="eastAsia" w:eastAsia="宋体"/>
          <w:color w:val="auto"/>
          <w:lang w:eastAsia="zh-CN"/>
        </w:rPr>
      </w:pPr>
      <w:r>
        <w:rPr>
          <w:rFonts w:hint="eastAsia"/>
          <w:color w:val="auto"/>
        </w:rPr>
        <w:t>③设有消防灭火系统，具备较完善消防设备、防污染设施和应急救援物资。</w:t>
      </w:r>
    </w:p>
    <w:p w14:paraId="0B956A0E">
      <w:pPr>
        <w:ind w:firstLine="480"/>
        <w:rPr>
          <w:rFonts w:hint="eastAsia"/>
          <w:color w:val="auto"/>
        </w:rPr>
      </w:pPr>
      <w:r>
        <w:rPr>
          <w:rFonts w:hint="eastAsia"/>
          <w:color w:val="auto"/>
        </w:rPr>
        <w:t>④设置火灾报警系统，，该系统由集中报警控制器、区域报警控制器、火灾报警探测器及防爆手动报警按钮组成，以利于自动预警和及时组织灭火扑救。</w:t>
      </w:r>
    </w:p>
    <w:p w14:paraId="1D2563E0">
      <w:pPr>
        <w:ind w:firstLine="480"/>
        <w:rPr>
          <w:rFonts w:hint="eastAsia" w:eastAsia="宋体"/>
          <w:color w:val="auto"/>
          <w:u w:val="single"/>
          <w:lang w:eastAsia="zh-CN"/>
        </w:rPr>
      </w:pPr>
      <w:r>
        <w:rPr>
          <w:rFonts w:hint="eastAsia"/>
          <w:color w:val="auto"/>
          <w:u w:val="single"/>
        </w:rPr>
        <w:t>⑤</w:t>
      </w:r>
      <w:r>
        <w:rPr>
          <w:rFonts w:hint="eastAsia"/>
          <w:color w:val="auto"/>
          <w:u w:val="single"/>
          <w:lang w:eastAsia="zh-CN"/>
        </w:rPr>
        <w:t>设置溢油监视报警装置。</w:t>
      </w:r>
    </w:p>
    <w:p w14:paraId="7E1245CB">
      <w:pPr>
        <w:pStyle w:val="6"/>
        <w:rPr>
          <w:color w:val="auto"/>
        </w:rPr>
      </w:pPr>
      <w:r>
        <w:rPr>
          <w:rFonts w:hint="eastAsia"/>
          <w:color w:val="auto"/>
          <w:lang w:bidi="ar"/>
        </w:rPr>
        <w:t>危险货物管道装卸作业风险防范措施</w:t>
      </w:r>
    </w:p>
    <w:p w14:paraId="1E0C6B1E">
      <w:pPr>
        <w:widowControl/>
        <w:ind w:firstLine="480"/>
        <w:jc w:val="left"/>
        <w:rPr>
          <w:color w:val="auto"/>
        </w:rPr>
      </w:pPr>
      <w:r>
        <w:rPr>
          <w:rFonts w:hint="eastAsia" w:cs="宋体"/>
          <w:color w:val="auto"/>
          <w:kern w:val="0"/>
          <w:lang w:bidi="ar"/>
        </w:rPr>
        <w:t>①货物管道装卸作业，码头作业人员应严格按照装卸船操作工艺规程进行各项装卸船操作。</w:t>
      </w:r>
    </w:p>
    <w:p w14:paraId="5D7626CD">
      <w:pPr>
        <w:widowControl/>
        <w:ind w:firstLine="480"/>
        <w:jc w:val="left"/>
        <w:rPr>
          <w:color w:val="auto"/>
        </w:rPr>
      </w:pPr>
      <w:r>
        <w:rPr>
          <w:rFonts w:hint="eastAsia" w:cs="宋体"/>
          <w:color w:val="auto"/>
          <w:kern w:val="0"/>
          <w:lang w:bidi="ar"/>
        </w:rPr>
        <w:t>②码头员工与当班班长通信必须保持畅通（对讲机或手机），码头员工与船方时刻保持联系，视野可见范围或电话联系。</w:t>
      </w:r>
    </w:p>
    <w:p w14:paraId="18BB7C90">
      <w:pPr>
        <w:widowControl/>
        <w:ind w:firstLine="480"/>
        <w:jc w:val="left"/>
        <w:rPr>
          <w:color w:val="auto"/>
        </w:rPr>
      </w:pPr>
      <w:r>
        <w:rPr>
          <w:rFonts w:hint="eastAsia" w:cs="宋体"/>
          <w:color w:val="auto"/>
          <w:kern w:val="0"/>
          <w:lang w:bidi="ar"/>
        </w:rPr>
        <w:t>③码头操作人员注意潮涨潮落及到港船舶吃水情况，及时调整船岸间输送软管及固定绳的位置及紧度，预防输送软管被船压坏或者拉断，同时加强管路巡查，发现问题及时处理并报告。</w:t>
      </w:r>
    </w:p>
    <w:p w14:paraId="6BA65DFA">
      <w:pPr>
        <w:widowControl/>
        <w:ind w:firstLine="480"/>
        <w:jc w:val="left"/>
        <w:rPr>
          <w:color w:val="auto"/>
        </w:rPr>
      </w:pPr>
      <w:r>
        <w:rPr>
          <w:rFonts w:hint="eastAsia" w:cs="宋体"/>
          <w:color w:val="auto"/>
          <w:kern w:val="0"/>
          <w:lang w:bidi="ar"/>
        </w:rPr>
        <w:t>④班长负责本班码头作业阀门的开启和关闭，对管线各阀门等进行巡视，确保阀门开启和关闭的正确性，杜绝跑、冒、滴、漏等现象的发生，发现问题及时处理并及时报告。</w:t>
      </w:r>
    </w:p>
    <w:p w14:paraId="68702C77">
      <w:pPr>
        <w:widowControl/>
        <w:ind w:firstLine="480"/>
        <w:jc w:val="left"/>
        <w:rPr>
          <w:color w:val="auto"/>
        </w:rPr>
      </w:pPr>
      <w:r>
        <w:rPr>
          <w:rFonts w:hint="eastAsia" w:cs="宋体"/>
          <w:color w:val="auto"/>
          <w:kern w:val="0"/>
          <w:lang w:bidi="ar"/>
        </w:rPr>
        <w:t>⑤输送软管使用前应先试压确保无泄漏。软管连接、移位、拆卸过程中严禁用叉车拖、拉或推软管，需要移位则拆下法兰螺栓后逐根叉走（软管移位过程中不可与地面接触），对于暂不使用的软管应上好盲板并妥善放置。</w:t>
      </w:r>
    </w:p>
    <w:p w14:paraId="3266B9C2">
      <w:pPr>
        <w:widowControl/>
        <w:ind w:firstLine="480"/>
        <w:jc w:val="left"/>
        <w:rPr>
          <w:color w:val="auto"/>
          <w:u w:val="single"/>
        </w:rPr>
      </w:pPr>
      <w:r>
        <w:rPr>
          <w:rFonts w:hint="eastAsia" w:cs="宋体"/>
          <w:color w:val="auto"/>
          <w:kern w:val="0"/>
          <w:lang w:bidi="ar"/>
        </w:rPr>
        <w:t>⑥到港船舶靠港期间，应在码头前沿布设围油栏，并注意观察海面情况，发现油污应及时清理。</w:t>
      </w:r>
    </w:p>
    <w:p w14:paraId="29F109DD">
      <w:pPr>
        <w:ind w:firstLine="480"/>
        <w:rPr>
          <w:color w:val="auto"/>
        </w:rPr>
      </w:pPr>
      <w:r>
        <w:rPr>
          <w:rFonts w:hint="eastAsia" w:cs="宋体"/>
          <w:color w:val="auto"/>
          <w:kern w:val="0"/>
          <w:lang w:bidi="ar"/>
        </w:rPr>
        <w:t>⑦</w:t>
      </w:r>
      <w:r>
        <w:rPr>
          <w:rFonts w:hint="eastAsia"/>
          <w:color w:val="auto"/>
        </w:rPr>
        <w:t>注重培养危险货物作业人员的安全意识，定期开展安全教育培训；作业时应做到谨慎操作，稳起稳落，严格避免野蛮作业行为。</w:t>
      </w:r>
    </w:p>
    <w:p w14:paraId="1F143A94">
      <w:pPr>
        <w:widowControl/>
        <w:ind w:firstLine="480"/>
        <w:jc w:val="left"/>
        <w:rPr>
          <w:rFonts w:cs="宋体"/>
          <w:color w:val="auto"/>
          <w:kern w:val="0"/>
          <w:lang w:bidi="ar"/>
        </w:rPr>
      </w:pPr>
      <w:r>
        <w:rPr>
          <w:rFonts w:hint="eastAsia" w:cs="宋体"/>
          <w:color w:val="auto"/>
          <w:kern w:val="0"/>
          <w:lang w:bidi="ar"/>
        </w:rPr>
        <w:t>⑧严禁烟火，避免接触火焰。</w:t>
      </w:r>
    </w:p>
    <w:p w14:paraId="66180AB1">
      <w:pPr>
        <w:widowControl/>
        <w:ind w:firstLine="480"/>
        <w:jc w:val="left"/>
        <w:rPr>
          <w:rFonts w:cs="宋体"/>
          <w:color w:val="auto"/>
          <w:kern w:val="0"/>
          <w:lang w:bidi="ar"/>
        </w:rPr>
      </w:pPr>
      <w:r>
        <w:rPr>
          <w:rFonts w:hint="eastAsia" w:cs="宋体"/>
          <w:color w:val="auto"/>
          <w:kern w:val="0"/>
          <w:lang w:bidi="ar"/>
        </w:rPr>
        <w:t>⑨不得在雨天装卸。</w:t>
      </w:r>
    </w:p>
    <w:p w14:paraId="435F1AB7">
      <w:pPr>
        <w:pStyle w:val="6"/>
        <w:rPr>
          <w:color w:val="auto"/>
          <w:lang w:bidi="ar"/>
        </w:rPr>
      </w:pPr>
      <w:r>
        <w:rPr>
          <w:rFonts w:hint="eastAsia"/>
          <w:color w:val="auto"/>
          <w:lang w:bidi="ar"/>
        </w:rPr>
        <w:t>危险货物储存风险防范措施</w:t>
      </w:r>
    </w:p>
    <w:p w14:paraId="3290C655">
      <w:pPr>
        <w:widowControl/>
        <w:ind w:firstLine="480"/>
        <w:rPr>
          <w:rFonts w:cs="宋体"/>
          <w:color w:val="auto"/>
          <w:kern w:val="0"/>
          <w:lang w:bidi="ar"/>
        </w:rPr>
      </w:pPr>
      <w:r>
        <w:rPr>
          <w:rFonts w:hint="eastAsia" w:cs="宋体"/>
          <w:color w:val="auto"/>
          <w:kern w:val="0"/>
          <w:lang w:bidi="ar"/>
        </w:rPr>
        <w:t>①在进行</w:t>
      </w:r>
      <w:r>
        <w:rPr>
          <w:rFonts w:cs="宋体"/>
          <w:color w:val="auto"/>
          <w:kern w:val="0"/>
          <w:lang w:bidi="ar"/>
        </w:rPr>
        <w:t>危险货物装卸储存时</w:t>
      </w:r>
      <w:r>
        <w:rPr>
          <w:rFonts w:hint="eastAsia" w:cs="宋体"/>
          <w:color w:val="auto"/>
          <w:kern w:val="0"/>
          <w:lang w:bidi="ar"/>
        </w:rPr>
        <w:t>，实时监控储罐内状态，防止超液位、超温、超压运行，防止在装卸过程中，由于检测系统问题造成储罐内液位过高造成的泄漏等事故。</w:t>
      </w:r>
    </w:p>
    <w:p w14:paraId="77157B46">
      <w:pPr>
        <w:widowControl/>
        <w:ind w:firstLine="480"/>
        <w:rPr>
          <w:rFonts w:cs="宋体"/>
          <w:color w:val="auto"/>
          <w:kern w:val="0"/>
          <w:lang w:bidi="ar"/>
        </w:rPr>
      </w:pPr>
      <w:r>
        <w:rPr>
          <w:rFonts w:hint="eastAsia" w:cs="宋体"/>
          <w:color w:val="auto"/>
          <w:kern w:val="0"/>
          <w:lang w:bidi="ar"/>
        </w:rPr>
        <w:t>②罐组设置围堰或地沟，当发生物料泄漏后，泄漏的物料可以控制</w:t>
      </w:r>
      <w:r>
        <w:rPr>
          <w:rFonts w:cs="宋体"/>
          <w:color w:val="auto"/>
          <w:kern w:val="0"/>
          <w:lang w:bidi="ar"/>
        </w:rPr>
        <w:t>在</w:t>
      </w:r>
      <w:r>
        <w:rPr>
          <w:rFonts w:hint="eastAsia" w:cs="宋体"/>
          <w:color w:val="auto"/>
          <w:kern w:val="0"/>
          <w:lang w:bidi="ar"/>
        </w:rPr>
        <w:t>围堰内。</w:t>
      </w:r>
    </w:p>
    <w:p w14:paraId="0E2728D0">
      <w:pPr>
        <w:widowControl/>
        <w:ind w:firstLine="480"/>
        <w:rPr>
          <w:rFonts w:cs="宋体"/>
          <w:color w:val="auto"/>
          <w:kern w:val="0"/>
          <w:lang w:bidi="ar"/>
        </w:rPr>
      </w:pPr>
      <w:r>
        <w:rPr>
          <w:rFonts w:hint="eastAsia" w:cs="宋体"/>
          <w:color w:val="auto"/>
          <w:kern w:val="0"/>
          <w:lang w:bidi="ar"/>
        </w:rPr>
        <w:t>③定期检查电路、电线，使用符合项目作业环境的安全电压，各易燃易爆场所的电气装置设计严格按《爆炸和火灾危险环境电力装置设计规范》执行。防止因电气设备、静电装置故障引起电气火灾事故。</w:t>
      </w:r>
    </w:p>
    <w:p w14:paraId="0F557B1F">
      <w:pPr>
        <w:widowControl/>
        <w:ind w:firstLine="480"/>
        <w:rPr>
          <w:rFonts w:cs="宋体"/>
          <w:color w:val="auto"/>
          <w:kern w:val="0"/>
          <w:lang w:bidi="ar"/>
        </w:rPr>
      </w:pPr>
      <w:r>
        <w:rPr>
          <w:rFonts w:hint="eastAsia" w:cs="宋体"/>
          <w:color w:val="auto"/>
          <w:kern w:val="0"/>
          <w:lang w:bidi="ar"/>
        </w:rPr>
        <w:t>④定期</w:t>
      </w:r>
      <w:r>
        <w:rPr>
          <w:rFonts w:cs="宋体"/>
          <w:color w:val="auto"/>
          <w:kern w:val="0"/>
          <w:lang w:bidi="ar"/>
        </w:rPr>
        <w:t>对储罐的罐体</w:t>
      </w:r>
      <w:r>
        <w:rPr>
          <w:rFonts w:hint="eastAsia" w:cs="宋体"/>
          <w:color w:val="auto"/>
          <w:kern w:val="0"/>
          <w:lang w:bidi="ar"/>
        </w:rPr>
        <w:t>、阀门</w:t>
      </w:r>
      <w:r>
        <w:rPr>
          <w:rFonts w:cs="宋体"/>
          <w:color w:val="auto"/>
          <w:kern w:val="0"/>
          <w:lang w:bidi="ar"/>
        </w:rPr>
        <w:t>、法兰</w:t>
      </w:r>
      <w:r>
        <w:rPr>
          <w:rFonts w:hint="eastAsia" w:cs="宋体"/>
          <w:color w:val="auto"/>
          <w:kern w:val="0"/>
          <w:lang w:bidi="ar"/>
        </w:rPr>
        <w:t>以及</w:t>
      </w:r>
      <w:r>
        <w:rPr>
          <w:rFonts w:cs="宋体"/>
          <w:color w:val="auto"/>
          <w:kern w:val="0"/>
          <w:lang w:bidi="ar"/>
        </w:rPr>
        <w:t>输送管道的阀门、法兰等连接件进行检查</w:t>
      </w:r>
      <w:r>
        <w:rPr>
          <w:rFonts w:hint="eastAsia" w:cs="宋体"/>
          <w:color w:val="auto"/>
          <w:kern w:val="0"/>
          <w:lang w:bidi="ar"/>
        </w:rPr>
        <w:t>，防止因腐蚀、老化导致泄漏。</w:t>
      </w:r>
    </w:p>
    <w:p w14:paraId="5D6119A5">
      <w:pPr>
        <w:widowControl/>
        <w:ind w:firstLine="480"/>
        <w:rPr>
          <w:rFonts w:cs="宋体"/>
          <w:color w:val="auto"/>
          <w:kern w:val="0"/>
          <w:lang w:bidi="ar"/>
        </w:rPr>
      </w:pPr>
      <w:r>
        <w:rPr>
          <w:rFonts w:hint="eastAsia" w:cs="宋体"/>
          <w:color w:val="auto"/>
          <w:kern w:val="0"/>
          <w:lang w:bidi="ar"/>
        </w:rPr>
        <w:t>⑤码头</w:t>
      </w:r>
      <w:r>
        <w:rPr>
          <w:rFonts w:cs="宋体"/>
          <w:color w:val="auto"/>
          <w:kern w:val="0"/>
          <w:lang w:bidi="ar"/>
        </w:rPr>
        <w:t>库区的</w:t>
      </w:r>
      <w:r>
        <w:rPr>
          <w:rFonts w:hint="eastAsia" w:cs="宋体"/>
          <w:color w:val="auto"/>
          <w:kern w:val="0"/>
          <w:lang w:bidi="ar"/>
        </w:rPr>
        <w:t>管理人员，必须经过专业知识培训，熟悉贮存物品的特性、事故处理办法和防护知识，持证上岗，同时，必须配备有关的个人防护用品。</w:t>
      </w:r>
    </w:p>
    <w:p w14:paraId="7121B06C">
      <w:pPr>
        <w:widowControl/>
        <w:ind w:firstLine="480"/>
        <w:rPr>
          <w:rFonts w:cs="宋体"/>
          <w:color w:val="auto"/>
          <w:kern w:val="0"/>
          <w:lang w:bidi="ar"/>
        </w:rPr>
      </w:pPr>
      <w:r>
        <w:rPr>
          <w:rFonts w:hint="eastAsia" w:cs="宋体"/>
          <w:color w:val="auto"/>
          <w:kern w:val="0"/>
          <w:lang w:bidi="ar"/>
        </w:rPr>
        <w:t>⑥雷电天气禁止装卸、灌料作业，防止雷击引发火灾爆炸。</w:t>
      </w:r>
    </w:p>
    <w:p w14:paraId="347A0523">
      <w:pPr>
        <w:widowControl/>
        <w:ind w:firstLine="480"/>
        <w:rPr>
          <w:rFonts w:ascii="宋体" w:hAnsi="宋体" w:eastAsia="MS Mincho" w:cs="宋体"/>
          <w:color w:val="auto"/>
          <w:kern w:val="0"/>
          <w:lang w:eastAsia="ja-JP" w:bidi="ar"/>
        </w:rPr>
      </w:pPr>
      <w:r>
        <w:rPr>
          <w:rFonts w:hint="eastAsia" w:ascii="宋体" w:hAnsi="宋体" w:cs="宋体"/>
          <w:color w:val="auto"/>
          <w:kern w:val="0"/>
          <w:lang w:eastAsia="ja-JP" w:bidi="ar"/>
        </w:rPr>
        <w:t>⑦储罐区内的灯具、开关、电机等电气设备必须采用符合环境要求的防爆型，避免电火花引发爆炸。</w:t>
      </w:r>
    </w:p>
    <w:p w14:paraId="4823EAC1">
      <w:pPr>
        <w:widowControl/>
        <w:ind w:firstLine="480"/>
        <w:rPr>
          <w:rFonts w:ascii="宋体" w:hAnsi="宋体" w:cs="宋体" w:eastAsiaTheme="minorEastAsia"/>
          <w:color w:val="auto"/>
          <w:kern w:val="0"/>
          <w:lang w:bidi="ar"/>
        </w:rPr>
      </w:pPr>
      <w:r>
        <w:rPr>
          <w:rFonts w:hint="eastAsia" w:ascii="宋体" w:hAnsi="宋体" w:cs="宋体" w:eastAsiaTheme="minorEastAsia"/>
          <w:color w:val="auto"/>
          <w:kern w:val="0"/>
          <w:lang w:bidi="ar"/>
        </w:rPr>
        <w:t>⑧储罐应设有避雷针或避雷带，防雷装置每年至少检测一次，确保完好有效。</w:t>
      </w:r>
    </w:p>
    <w:p w14:paraId="24F1BC31">
      <w:pPr>
        <w:widowControl/>
        <w:ind w:firstLine="480"/>
        <w:rPr>
          <w:rFonts w:cs="宋体"/>
          <w:color w:val="auto"/>
          <w:kern w:val="0"/>
          <w:lang w:bidi="ar"/>
        </w:rPr>
      </w:pPr>
      <w:r>
        <w:rPr>
          <w:rFonts w:hint="eastAsia" w:cs="宋体"/>
          <w:color w:val="auto"/>
          <w:kern w:val="0"/>
          <w:lang w:bidi="ar"/>
        </w:rPr>
        <w:t>⑨危险货物出入库必须检查验收登记，贮存期间定期养护，控制好贮存场所的温度和湿度。</w:t>
      </w:r>
    </w:p>
    <w:p w14:paraId="266566B6">
      <w:pPr>
        <w:pStyle w:val="6"/>
        <w:rPr>
          <w:color w:val="auto"/>
        </w:rPr>
      </w:pPr>
      <w:r>
        <w:rPr>
          <w:color w:val="auto"/>
        </w:rPr>
        <w:t>风险管理措施</w:t>
      </w:r>
    </w:p>
    <w:p w14:paraId="1B2216F5">
      <w:pPr>
        <w:ind w:firstLine="480"/>
        <w:rPr>
          <w:color w:val="auto"/>
        </w:rPr>
      </w:pPr>
      <w:r>
        <w:rPr>
          <w:color w:val="auto"/>
        </w:rPr>
        <w:t>（1）选用优质设备器材。根据</w:t>
      </w:r>
      <w:r>
        <w:rPr>
          <w:rFonts w:hint="eastAsia"/>
          <w:color w:val="auto"/>
        </w:rPr>
        <w:t>装卸物种</w:t>
      </w:r>
      <w:r>
        <w:rPr>
          <w:color w:val="auto"/>
        </w:rPr>
        <w:t>的特点和工艺要求，采用合理的工艺流程，选用高效密封安全可靠的设备材料，做到防止跑、冒、滴、漏、防爆防雷以及防静电。工艺管道应满足输送液体化学品对温度、压力的要求，并满足耐腐蚀的要求。</w:t>
      </w:r>
    </w:p>
    <w:p w14:paraId="05D76962">
      <w:pPr>
        <w:ind w:firstLine="480"/>
        <w:rPr>
          <w:color w:val="auto"/>
        </w:rPr>
      </w:pPr>
      <w:r>
        <w:rPr>
          <w:color w:val="auto"/>
        </w:rPr>
        <w:t>（2）阀门、法兰等按工艺要求选定，安装后生产单位要认真进行核查确认。</w:t>
      </w:r>
    </w:p>
    <w:p w14:paraId="33F286CE">
      <w:pPr>
        <w:ind w:firstLine="480"/>
        <w:rPr>
          <w:color w:val="auto"/>
        </w:rPr>
      </w:pPr>
      <w:r>
        <w:rPr>
          <w:color w:val="auto"/>
        </w:rPr>
        <w:t>（3）所有压力容器、可燃气体检测仪、安全阀以及远距离控制阀等，应按规定周期定期检验，确保安全、灵敏、可靠。</w:t>
      </w:r>
    </w:p>
    <w:p w14:paraId="7A2A5B22">
      <w:pPr>
        <w:ind w:firstLine="480"/>
        <w:rPr>
          <w:bCs/>
          <w:color w:val="auto"/>
        </w:rPr>
      </w:pPr>
      <w:r>
        <w:rPr>
          <w:color w:val="auto"/>
        </w:rPr>
        <w:t>（4）加强对易腐蚀系统的设备和管线的壁厚监测工作，随时掌握壁厚减薄等情况，以利随时更换腐蚀较严重的设施。</w:t>
      </w:r>
      <w:r>
        <w:rPr>
          <w:color w:val="auto"/>
          <w:szCs w:val="28"/>
        </w:rPr>
        <w:t>工艺管道上压力、温度的测量采用就地显示，并设置压力变送器远程显示管道压力。</w:t>
      </w:r>
      <w:r>
        <w:rPr>
          <w:bCs/>
          <w:color w:val="auto"/>
        </w:rPr>
        <w:t>压力的测量采用隔膜压力变送器。本项目依托现有仪表控制室内控制系统，对新增管道紧急切断阀门（气动阀）、压力变送器等进行数据采集和集中控制。</w:t>
      </w:r>
    </w:p>
    <w:p w14:paraId="45F72070">
      <w:pPr>
        <w:ind w:firstLine="480"/>
        <w:rPr>
          <w:color w:val="auto"/>
        </w:rPr>
      </w:pPr>
      <w:r>
        <w:rPr>
          <w:rFonts w:hint="eastAsia"/>
          <w:color w:val="auto"/>
        </w:rPr>
        <w:t>（5）</w:t>
      </w:r>
      <w:r>
        <w:rPr>
          <w:color w:val="auto"/>
        </w:rPr>
        <w:t>对可能释放可燃、有毒气体的码头装卸区等部位设置可燃/有毒气体检测报警器</w:t>
      </w:r>
      <w:r>
        <w:rPr>
          <w:rFonts w:hint="eastAsia"/>
          <w:color w:val="auto"/>
        </w:rPr>
        <w:t>。GDS系统对可燃易爆气体泄漏监测显示和报警，通过网络将数据送至DCS系统并由操作员实时监控。</w:t>
      </w:r>
      <w:r>
        <w:rPr>
          <w:color w:val="auto"/>
        </w:rPr>
        <w:t>采用计算机控制系统，将化学品输运、设备报警和应急监控以及消防设备设施操控统一到中控室。一旦发生化学品泄漏或火灾事故，可确保由计算机发出明确信息，向指挥系统和抢险人员提供快速准确的指令，最大限度</w:t>
      </w:r>
      <w:r>
        <w:rPr>
          <w:rFonts w:hint="eastAsia"/>
          <w:color w:val="auto"/>
        </w:rPr>
        <w:t>地</w:t>
      </w:r>
      <w:r>
        <w:rPr>
          <w:color w:val="auto"/>
        </w:rPr>
        <w:t>控制事故影响。</w:t>
      </w:r>
    </w:p>
    <w:p w14:paraId="34A4308B">
      <w:pPr>
        <w:ind w:firstLine="480"/>
        <w:rPr>
          <w:color w:val="auto"/>
        </w:rPr>
      </w:pPr>
      <w:r>
        <w:rPr>
          <w:color w:val="auto"/>
        </w:rPr>
        <w:t>（</w:t>
      </w:r>
      <w:r>
        <w:rPr>
          <w:rFonts w:hint="eastAsia"/>
          <w:color w:val="auto"/>
        </w:rPr>
        <w:t>6</w:t>
      </w:r>
      <w:r>
        <w:rPr>
          <w:color w:val="auto"/>
        </w:rPr>
        <w:t>）工艺管线设置防静电接地装置，管线应采取防腐措施。</w:t>
      </w:r>
    </w:p>
    <w:p w14:paraId="19E725C1">
      <w:pPr>
        <w:ind w:firstLine="480"/>
        <w:rPr>
          <w:color w:val="auto"/>
        </w:rPr>
      </w:pPr>
      <w:r>
        <w:rPr>
          <w:color w:val="auto"/>
        </w:rPr>
        <w:t>（</w:t>
      </w:r>
      <w:r>
        <w:rPr>
          <w:rFonts w:hint="eastAsia"/>
          <w:color w:val="auto"/>
        </w:rPr>
        <w:t>7</w:t>
      </w:r>
      <w:r>
        <w:rPr>
          <w:color w:val="auto"/>
        </w:rPr>
        <w:t>）在金属软管根部设置的工艺管线紧急切断阀门，当采用电动控制方式时，还应有手动操作功能，并有操作</w:t>
      </w:r>
      <w:r>
        <w:rPr>
          <w:rFonts w:hint="eastAsia"/>
          <w:color w:val="auto"/>
        </w:rPr>
        <w:t>标识牌</w:t>
      </w:r>
      <w:r>
        <w:rPr>
          <w:color w:val="auto"/>
        </w:rPr>
        <w:t>。安装固定可燃报警仪器，并配备便携式可燃气体报警仪。</w:t>
      </w:r>
    </w:p>
    <w:p w14:paraId="53A02E1C">
      <w:pPr>
        <w:ind w:firstLine="480"/>
        <w:rPr>
          <w:color w:val="auto"/>
        </w:rPr>
      </w:pPr>
      <w:r>
        <w:rPr>
          <w:color w:val="auto"/>
        </w:rPr>
        <w:t>（</w:t>
      </w:r>
      <w:r>
        <w:rPr>
          <w:rFonts w:hint="eastAsia"/>
          <w:color w:val="auto"/>
        </w:rPr>
        <w:t>8</w:t>
      </w:r>
      <w:r>
        <w:rPr>
          <w:color w:val="auto"/>
        </w:rPr>
        <w:t>）扫线介质压力应满足扫线作业的要求，并不得大于被扫工艺管道设计的压力。工艺管道的排液和排气口应设置放空阀。</w:t>
      </w:r>
    </w:p>
    <w:p w14:paraId="4315CF93">
      <w:pPr>
        <w:ind w:firstLine="480"/>
        <w:rPr>
          <w:color w:val="auto"/>
        </w:rPr>
      </w:pPr>
      <w:r>
        <w:rPr>
          <w:color w:val="auto"/>
        </w:rPr>
        <w:t>（</w:t>
      </w:r>
      <w:r>
        <w:rPr>
          <w:rFonts w:hint="eastAsia"/>
          <w:color w:val="auto"/>
        </w:rPr>
        <w:t>9</w:t>
      </w:r>
      <w:r>
        <w:rPr>
          <w:color w:val="auto"/>
        </w:rPr>
        <w:t>）建立重大危险源的特征污染物的自动报警和控制系统</w:t>
      </w:r>
      <w:r>
        <w:rPr>
          <w:rFonts w:hint="eastAsia"/>
          <w:color w:val="auto"/>
        </w:rPr>
        <w:t>，并</w:t>
      </w:r>
      <w:r>
        <w:rPr>
          <w:color w:val="auto"/>
        </w:rPr>
        <w:t>配备事故初级救护器材和</w:t>
      </w:r>
      <w:r>
        <w:rPr>
          <w:rFonts w:hint="eastAsia"/>
          <w:color w:val="auto"/>
        </w:rPr>
        <w:t>物资</w:t>
      </w:r>
      <w:r>
        <w:rPr>
          <w:color w:val="auto"/>
        </w:rPr>
        <w:t>。</w:t>
      </w:r>
    </w:p>
    <w:p w14:paraId="36C9075B">
      <w:pPr>
        <w:ind w:firstLine="480"/>
        <w:rPr>
          <w:color w:val="auto"/>
        </w:rPr>
      </w:pPr>
      <w:r>
        <w:rPr>
          <w:color w:val="auto"/>
        </w:rPr>
        <w:t>（</w:t>
      </w:r>
      <w:r>
        <w:rPr>
          <w:rFonts w:hint="eastAsia"/>
          <w:color w:val="auto"/>
        </w:rPr>
        <w:t>10</w:t>
      </w:r>
      <w:r>
        <w:rPr>
          <w:color w:val="auto"/>
        </w:rPr>
        <w:t>）保证所有节点阀门封闭，焊点和管道接头处设置接收盘，收集的化学品应由有危险废物资质的单位处置，不得随意丢弃。</w:t>
      </w:r>
    </w:p>
    <w:p w14:paraId="592BF670">
      <w:pPr>
        <w:ind w:firstLine="480"/>
        <w:rPr>
          <w:color w:val="auto"/>
        </w:rPr>
      </w:pPr>
      <w:r>
        <w:rPr>
          <w:color w:val="auto"/>
        </w:rPr>
        <w:t>（1</w:t>
      </w:r>
      <w:r>
        <w:rPr>
          <w:rFonts w:hint="eastAsia"/>
          <w:color w:val="auto"/>
        </w:rPr>
        <w:t>1</w:t>
      </w:r>
      <w:r>
        <w:rPr>
          <w:color w:val="auto"/>
        </w:rPr>
        <w:t>）规范船舶装卸作业行为。船岸双方应严格落实船岸安全检查制度，认真执行操作规程，遵守安全注意事项，合理控制装卸货物的压力、流速等参数，加强值班和巡视，注意作业现场及周边环境，维护船舶靠泊秩序，合理为船舶积载，确保船岸双方的安全。</w:t>
      </w:r>
    </w:p>
    <w:p w14:paraId="069A125D">
      <w:pPr>
        <w:ind w:firstLine="480"/>
        <w:rPr>
          <w:color w:val="auto"/>
        </w:rPr>
      </w:pPr>
      <w:r>
        <w:rPr>
          <w:color w:val="auto"/>
        </w:rPr>
        <w:t>（1</w:t>
      </w:r>
      <w:r>
        <w:rPr>
          <w:rFonts w:hint="eastAsia"/>
          <w:color w:val="auto"/>
        </w:rPr>
        <w:t>2</w:t>
      </w:r>
      <w:r>
        <w:rPr>
          <w:color w:val="auto"/>
        </w:rPr>
        <w:t>）船舶停靠码头后，在进行装卸作业前，检查管路、阀门等有关设备，使其处于良好状态，检查双方系泊是否安全。</w:t>
      </w:r>
    </w:p>
    <w:p w14:paraId="5FBF2DEF">
      <w:pPr>
        <w:ind w:firstLine="480"/>
        <w:rPr>
          <w:color w:val="auto"/>
        </w:rPr>
      </w:pPr>
      <w:r>
        <w:rPr>
          <w:color w:val="auto"/>
        </w:rPr>
        <w:t>（1</w:t>
      </w:r>
      <w:r>
        <w:rPr>
          <w:rFonts w:hint="eastAsia"/>
          <w:color w:val="auto"/>
        </w:rPr>
        <w:t>3</w:t>
      </w:r>
      <w:r>
        <w:rPr>
          <w:color w:val="auto"/>
        </w:rPr>
        <w:t>）配备与靠泊船舶相适应的消拖轮，消拖轮的功率和消防供水量应满足船舶的应急需要。</w:t>
      </w:r>
    </w:p>
    <w:p w14:paraId="445213D9">
      <w:pPr>
        <w:ind w:firstLine="480"/>
        <w:rPr>
          <w:color w:val="auto"/>
        </w:rPr>
      </w:pPr>
      <w:r>
        <w:rPr>
          <w:color w:val="auto"/>
        </w:rPr>
        <w:t>（1</w:t>
      </w:r>
      <w:r>
        <w:rPr>
          <w:rFonts w:hint="eastAsia"/>
          <w:color w:val="auto"/>
        </w:rPr>
        <w:t>4</w:t>
      </w:r>
      <w:r>
        <w:rPr>
          <w:color w:val="auto"/>
        </w:rPr>
        <w:t>）利用实时监控设备，对船舶靠离泊、装卸作业过程进行实时远程监控，一旦出现险情，及时反应，防止事态扩大。</w:t>
      </w:r>
    </w:p>
    <w:p w14:paraId="1BD0467F">
      <w:pPr>
        <w:ind w:firstLine="480"/>
        <w:rPr>
          <w:color w:val="auto"/>
        </w:rPr>
      </w:pPr>
      <w:r>
        <w:rPr>
          <w:color w:val="auto"/>
        </w:rPr>
        <w:t>（1</w:t>
      </w:r>
      <w:r>
        <w:rPr>
          <w:rFonts w:hint="eastAsia"/>
          <w:color w:val="auto"/>
        </w:rPr>
        <w:t>5</w:t>
      </w:r>
      <w:r>
        <w:rPr>
          <w:color w:val="auto"/>
        </w:rPr>
        <w:t>）建设单位应根据化学品输送管道的特点加强环境健康安全的管理；建立健全的岗位操作规程和管理程序，并确保贯彻执行。调度人员应熟悉管辖范围内的工艺流程和管道的运行情况，能根据管道的输送量、环境条件，确定其输送温度和输送方案；能根据管道运行参数的变化，判断管道运行是否正常，并能够及时采取措施，消除管道的事故隐患。</w:t>
      </w:r>
    </w:p>
    <w:p w14:paraId="202D47BC">
      <w:pPr>
        <w:pStyle w:val="13"/>
        <w:ind w:firstLine="480"/>
        <w:rPr>
          <w:color w:val="auto"/>
          <w:sz w:val="24"/>
        </w:rPr>
      </w:pPr>
      <w:r>
        <w:rPr>
          <w:rFonts w:hint="eastAsia"/>
          <w:color w:val="auto"/>
          <w:sz w:val="24"/>
        </w:rPr>
        <w:t>（16）上述的管理措施完全满足拟建项目的要求。</w:t>
      </w:r>
    </w:p>
    <w:p w14:paraId="0425C9B9">
      <w:pPr>
        <w:pStyle w:val="4"/>
        <w:rPr>
          <w:color w:val="auto"/>
        </w:rPr>
      </w:pPr>
      <w:r>
        <w:rPr>
          <w:color w:val="auto"/>
        </w:rPr>
        <w:t>风险应急措施</w:t>
      </w:r>
    </w:p>
    <w:p w14:paraId="38B86A31">
      <w:pPr>
        <w:pStyle w:val="6"/>
        <w:ind w:left="0"/>
        <w:rPr>
          <w:color w:val="auto"/>
        </w:rPr>
      </w:pPr>
      <w:r>
        <w:rPr>
          <w:color w:val="auto"/>
        </w:rPr>
        <w:t>现有化学品泄漏处置措施</w:t>
      </w:r>
    </w:p>
    <w:p w14:paraId="15CEA52E">
      <w:pPr>
        <w:ind w:firstLine="480"/>
        <w:rPr>
          <w:color w:val="auto"/>
        </w:rPr>
      </w:pPr>
      <w:r>
        <w:rPr>
          <w:color w:val="auto"/>
        </w:rPr>
        <w:t>应急处理方案应当从化学品泄漏行为动态、危险危害特性、事故规模、海况条件、处理设备性能等方面入手，充分考虑应急行动的应急措施的安全性、经济性和有效性，其中化学品泄漏行为动态是首要考虑因素。</w:t>
      </w:r>
    </w:p>
    <w:p w14:paraId="33A3A536">
      <w:pPr>
        <w:ind w:firstLine="480"/>
        <w:rPr>
          <w:color w:val="auto"/>
        </w:rPr>
      </w:pPr>
      <w:r>
        <w:rPr>
          <w:color w:val="auto"/>
        </w:rPr>
        <w:t>（</w:t>
      </w:r>
      <w:r>
        <w:rPr>
          <w:rFonts w:hint="eastAsia"/>
          <w:color w:val="auto"/>
        </w:rPr>
        <w:t>1</w:t>
      </w:r>
      <w:r>
        <w:rPr>
          <w:color w:val="auto"/>
        </w:rPr>
        <w:t>）挥发类化学品</w:t>
      </w:r>
    </w:p>
    <w:p w14:paraId="2805D7BE">
      <w:pPr>
        <w:ind w:firstLine="480"/>
        <w:rPr>
          <w:color w:val="auto"/>
        </w:rPr>
      </w:pPr>
      <w:r>
        <w:rPr>
          <w:color w:val="auto"/>
        </w:rPr>
        <w:t>挥发类化学品泄漏处理难度很大，其造成环境危害的程度主要从有害蒸气浓度及其持续时间两个方面衡量。因此，在处理此类化学品泄漏事故时，应定量描述散化事故中蒸汽危害区（一定浓度的有害蒸气的空间范围）与事故危害期（有害蒸汽持续时间）；对于稳定烟流排放，计算出危害区最大下风向距离及最大横风向危害距离。</w:t>
      </w:r>
    </w:p>
    <w:p w14:paraId="033266AC">
      <w:pPr>
        <w:ind w:firstLine="480"/>
        <w:rPr>
          <w:color w:val="auto"/>
        </w:rPr>
      </w:pPr>
      <w:r>
        <w:rPr>
          <w:color w:val="auto"/>
        </w:rPr>
        <w:t>根据模拟计算结果和有毒蒸气对人员的伤害浓度剂量标准，划定危险区域，对危险区域内的人群实施掩蔽或疏散。在气体和蒸气大量释放的情况下，唯一可行的应对措施是回避。</w:t>
      </w:r>
    </w:p>
    <w:p w14:paraId="3F99955F">
      <w:pPr>
        <w:ind w:firstLine="480"/>
        <w:rPr>
          <w:color w:val="auto"/>
        </w:rPr>
      </w:pPr>
      <w:r>
        <w:rPr>
          <w:color w:val="auto"/>
        </w:rPr>
        <w:t>泄漏蒸发物的另外一个危害在于可能造成火灾爆炸危险。当可燃混合气体的浓度超过爆炸下限（LEL）就会有发生爆炸的危险。一般情况下通过扩散模型计算蒸气大致浓度，并用仪器检测气体浓度是否达到10%LEL，以确定火灾危险区域的外部边界。</w:t>
      </w:r>
    </w:p>
    <w:p w14:paraId="020442E5">
      <w:pPr>
        <w:ind w:firstLine="480"/>
        <w:rPr>
          <w:color w:val="auto"/>
        </w:rPr>
      </w:pPr>
      <w:r>
        <w:rPr>
          <w:color w:val="auto"/>
        </w:rPr>
        <w:t>当泄漏蒸气浓度通过大气或水的消散或稀释而降至可接受的水平时，最终宣布安全。</w:t>
      </w:r>
    </w:p>
    <w:p w14:paraId="78870C73">
      <w:pPr>
        <w:ind w:firstLine="480"/>
        <w:rPr>
          <w:color w:val="auto"/>
        </w:rPr>
      </w:pPr>
      <w:r>
        <w:rPr>
          <w:color w:val="auto"/>
        </w:rPr>
        <w:t>（</w:t>
      </w:r>
      <w:r>
        <w:rPr>
          <w:rFonts w:hint="eastAsia"/>
          <w:color w:val="auto"/>
        </w:rPr>
        <w:t>2</w:t>
      </w:r>
      <w:r>
        <w:rPr>
          <w:color w:val="auto"/>
        </w:rPr>
        <w:t>）漂浮在水面的化学品</w:t>
      </w:r>
    </w:p>
    <w:p w14:paraId="6FF59FFF">
      <w:pPr>
        <w:ind w:firstLine="480"/>
        <w:rPr>
          <w:color w:val="auto"/>
        </w:rPr>
      </w:pPr>
      <w:r>
        <w:rPr>
          <w:color w:val="auto"/>
        </w:rPr>
        <w:t>漂浮在水面的有毒液体物质进入水面后的基本状态有四种：FD类（边漂浮边溶解于水）、FE类（边漂浮边蒸发到空气中）、FED类（边漂浮边蒸发边溶解于水）和F类（既不溶解也不蒸发）。</w:t>
      </w:r>
      <w:r>
        <w:rPr>
          <w:rFonts w:hint="eastAsia"/>
          <w:color w:val="auto"/>
        </w:rPr>
        <w:t>在采用适当的处理剂或吸附剂处理后，可用不同类型的撇油器回收。这类化学品泄漏可借鉴海上溢油的防治技术，加以调整，如下图</w:t>
      </w:r>
      <w:r>
        <w:rPr>
          <w:color w:val="auto"/>
        </w:rPr>
        <w:t>5.</w:t>
      </w:r>
      <w:r>
        <w:rPr>
          <w:rFonts w:hint="eastAsia"/>
          <w:color w:val="auto"/>
        </w:rPr>
        <w:t>7-</w:t>
      </w:r>
      <w:r>
        <w:rPr>
          <w:color w:val="auto"/>
        </w:rPr>
        <w:t>2</w:t>
      </w:r>
      <w:r>
        <w:rPr>
          <w:rFonts w:hint="eastAsia"/>
          <w:color w:val="auto"/>
        </w:rPr>
        <w:t>所示。具体应急措施包括：</w:t>
      </w:r>
    </w:p>
    <w:p w14:paraId="3D07F319">
      <w:pPr>
        <w:spacing w:line="240" w:lineRule="auto"/>
        <w:ind w:firstLine="0" w:firstLineChars="0"/>
        <w:jc w:val="center"/>
        <w:rPr>
          <w:color w:val="auto"/>
          <w:sz w:val="20"/>
          <w:szCs w:val="20"/>
        </w:rPr>
      </w:pPr>
      <w:r>
        <w:rPr>
          <w:color w:val="auto"/>
          <w:sz w:val="20"/>
          <w:szCs w:val="20"/>
        </w:rPr>
        <w:drawing>
          <wp:inline distT="0" distB="0" distL="0" distR="0">
            <wp:extent cx="4105275" cy="2466975"/>
            <wp:effectExtent l="0" t="0" r="9525" b="9525"/>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a:xfrm>
                      <a:off x="0" y="0"/>
                      <a:ext cx="4105275" cy="2466975"/>
                    </a:xfrm>
                    <a:prstGeom prst="rect">
                      <a:avLst/>
                    </a:prstGeom>
                    <a:noFill/>
                    <a:ln>
                      <a:noFill/>
                    </a:ln>
                    <a:effectLst/>
                  </pic:spPr>
                </pic:pic>
              </a:graphicData>
            </a:graphic>
          </wp:inline>
        </w:drawing>
      </w:r>
    </w:p>
    <w:p w14:paraId="7505CA7D">
      <w:pPr>
        <w:pStyle w:val="14"/>
        <w:rPr>
          <w:b w:val="0"/>
          <w:color w:val="auto"/>
        </w:rPr>
      </w:pPr>
      <w:r>
        <w:rPr>
          <w:rFonts w:hint="eastAsia"/>
          <w:color w:val="auto"/>
        </w:rPr>
        <w:t>图</w:t>
      </w:r>
      <w:r>
        <w:rPr>
          <w:color w:val="auto"/>
        </w:rPr>
        <w:t>5.7</w:t>
      </w:r>
      <w:r>
        <w:rPr>
          <w:color w:val="auto"/>
        </w:rPr>
        <w:noBreakHyphen/>
      </w:r>
      <w:r>
        <w:rPr>
          <w:color w:val="auto"/>
        </w:rPr>
        <w:t>2</w:t>
      </w:r>
      <w:r>
        <w:rPr>
          <w:rFonts w:hint="eastAsia"/>
          <w:color w:val="auto"/>
        </w:rPr>
        <w:t>化学品泄漏防治技术流程图</w:t>
      </w:r>
    </w:p>
    <w:p w14:paraId="7A361764">
      <w:pPr>
        <w:ind w:firstLine="480"/>
        <w:rPr>
          <w:color w:val="auto"/>
        </w:rPr>
      </w:pPr>
      <w:r>
        <w:rPr>
          <w:rFonts w:hint="eastAsia" w:cs="宋体"/>
          <w:color w:val="auto"/>
        </w:rPr>
        <w:t>①</w:t>
      </w:r>
      <w:r>
        <w:rPr>
          <w:rFonts w:hint="eastAsia"/>
          <w:color w:val="auto"/>
        </w:rPr>
        <w:t>围油栏围控。为了防止漂浮型危险品的扩散，便于漂浮型危险化学品的清除，而采用的一种能够把危险化学品漂浮层限制在一定范围的方法。</w:t>
      </w:r>
    </w:p>
    <w:p w14:paraId="082C4C72">
      <w:pPr>
        <w:ind w:firstLine="480"/>
        <w:rPr>
          <w:color w:val="auto"/>
        </w:rPr>
      </w:pPr>
      <w:r>
        <w:rPr>
          <w:rFonts w:hint="eastAsia" w:cs="宋体"/>
          <w:color w:val="auto"/>
        </w:rPr>
        <w:t>②</w:t>
      </w:r>
      <w:r>
        <w:rPr>
          <w:rFonts w:hint="eastAsia"/>
          <w:color w:val="auto"/>
        </w:rPr>
        <w:t>分散剂法。喷洒分散剂能使漂浮型危险化学品分散成微小颗粒，使其在波浪或外加搅拌力的作用下分散到水体中，从而加速水上危险化学品被水中微生物降解的过程，达到降低污染的目的。</w:t>
      </w:r>
    </w:p>
    <w:p w14:paraId="267D614C">
      <w:pPr>
        <w:ind w:firstLine="480"/>
        <w:rPr>
          <w:color w:val="auto"/>
        </w:rPr>
      </w:pPr>
      <w:r>
        <w:rPr>
          <w:rFonts w:hint="eastAsia" w:cs="宋体"/>
          <w:color w:val="auto"/>
        </w:rPr>
        <w:t>③</w:t>
      </w:r>
      <w:r>
        <w:rPr>
          <w:rFonts w:hint="eastAsia"/>
          <w:color w:val="auto"/>
        </w:rPr>
        <w:t>机械回收。通过浮油回收器、浮油回收船等作用于水体表面，对漂浮型危险化学品进行回收处理。</w:t>
      </w:r>
    </w:p>
    <w:p w14:paraId="330A56B5">
      <w:pPr>
        <w:ind w:firstLine="480"/>
        <w:rPr>
          <w:color w:val="auto"/>
        </w:rPr>
      </w:pPr>
      <w:r>
        <w:rPr>
          <w:rFonts w:hint="eastAsia" w:cs="宋体"/>
          <w:color w:val="auto"/>
        </w:rPr>
        <w:t>④</w:t>
      </w:r>
      <w:r>
        <w:rPr>
          <w:rFonts w:hint="eastAsia"/>
          <w:color w:val="auto"/>
        </w:rPr>
        <w:t>吸附剂法。对漂浮的液体、或慢慢挥发和溶解的漂浮型泄漏物可采用传统的溢油吸附剂。</w:t>
      </w:r>
    </w:p>
    <w:p w14:paraId="2EAD3D24">
      <w:pPr>
        <w:pStyle w:val="6"/>
        <w:ind w:left="0"/>
        <w:rPr>
          <w:color w:val="auto"/>
        </w:rPr>
      </w:pPr>
      <w:r>
        <w:rPr>
          <w:color w:val="auto"/>
        </w:rPr>
        <w:t>现有装卸、</w:t>
      </w:r>
      <w:r>
        <w:rPr>
          <w:rFonts w:hint="eastAsia"/>
          <w:color w:val="auto"/>
        </w:rPr>
        <w:t>储存</w:t>
      </w:r>
      <w:r>
        <w:rPr>
          <w:color w:val="auto"/>
        </w:rPr>
        <w:t>、运输作业事故处置措施</w:t>
      </w:r>
    </w:p>
    <w:p w14:paraId="470F4A52">
      <w:pPr>
        <w:ind w:firstLine="480"/>
        <w:rPr>
          <w:color w:val="auto"/>
        </w:rPr>
      </w:pPr>
      <w:r>
        <w:rPr>
          <w:color w:val="auto"/>
        </w:rPr>
        <w:t>在装卸作业过程中严格执行《装卸作业规程》和码头有关设备《安全技术操作规程》等制度，密切注意码头管线和化学品输送臂的工作状况，要求化学品船停靠码头期间，与移船有关的设备都保持在待用状态。</w:t>
      </w:r>
    </w:p>
    <w:p w14:paraId="30A30721">
      <w:pPr>
        <w:ind w:firstLine="480"/>
        <w:rPr>
          <w:color w:val="auto"/>
        </w:rPr>
      </w:pPr>
      <w:r>
        <w:rPr>
          <w:color w:val="auto"/>
        </w:rPr>
        <w:t>船舶装卸作业前，严格按《船岸安全检查表》的内容要求进行检查和填写，同时应接受海事部门的监督检查。做好与船方必要的沟通与交流，明确作业期间的通讯联络方式及交流语言，并明确规定紧急情况下的应急信号。如果在作业过程中出现通讯中断或联系有误等情况，应停止作业，以免发生误装、冒顶或泄漏等事故。</w:t>
      </w:r>
    </w:p>
    <w:p w14:paraId="79554092">
      <w:pPr>
        <w:ind w:firstLine="480"/>
        <w:rPr>
          <w:color w:val="auto"/>
        </w:rPr>
      </w:pPr>
      <w:r>
        <w:rPr>
          <w:rFonts w:hint="eastAsia"/>
          <w:color w:val="auto"/>
        </w:rPr>
        <w:t>1、</w:t>
      </w:r>
      <w:r>
        <w:rPr>
          <w:color w:val="auto"/>
        </w:rPr>
        <w:t>一般泄漏事故</w:t>
      </w:r>
    </w:p>
    <w:p w14:paraId="569B1B19">
      <w:pPr>
        <w:ind w:firstLine="480"/>
        <w:rPr>
          <w:color w:val="auto"/>
        </w:rPr>
      </w:pPr>
      <w:r>
        <w:rPr>
          <w:color w:val="auto"/>
        </w:rPr>
        <w:t>对于大型泄漏，</w:t>
      </w:r>
      <w:r>
        <w:rPr>
          <w:rFonts w:hint="eastAsia"/>
          <w:color w:val="auto"/>
        </w:rPr>
        <w:t>可依托</w:t>
      </w:r>
      <w:r>
        <w:rPr>
          <w:color w:val="auto"/>
        </w:rPr>
        <w:t>码头平台</w:t>
      </w:r>
      <w:r>
        <w:rPr>
          <w:rFonts w:hint="eastAsia"/>
          <w:color w:val="auto"/>
        </w:rPr>
        <w:t>/罐组</w:t>
      </w:r>
      <w:r>
        <w:rPr>
          <w:color w:val="auto"/>
        </w:rPr>
        <w:t>现有的雨水管网将</w:t>
      </w:r>
      <w:r>
        <w:rPr>
          <w:rFonts w:hint="eastAsia"/>
          <w:color w:val="auto"/>
        </w:rPr>
        <w:t>泄漏</w:t>
      </w:r>
      <w:r>
        <w:rPr>
          <w:color w:val="auto"/>
        </w:rPr>
        <w:t>的</w:t>
      </w:r>
      <w:r>
        <w:rPr>
          <w:rFonts w:hint="eastAsia"/>
          <w:color w:val="auto"/>
        </w:rPr>
        <w:t>物料</w:t>
      </w:r>
      <w:r>
        <w:rPr>
          <w:color w:val="auto"/>
        </w:rPr>
        <w:t>收集进入事故应急池，</w:t>
      </w:r>
      <w:r>
        <w:rPr>
          <w:rFonts w:hint="eastAsia"/>
          <w:color w:val="auto"/>
        </w:rPr>
        <w:t>再</w:t>
      </w:r>
      <w:r>
        <w:rPr>
          <w:color w:val="auto"/>
        </w:rPr>
        <w:t>将</w:t>
      </w:r>
      <w:r>
        <w:rPr>
          <w:rFonts w:hint="eastAsia"/>
          <w:color w:val="auto"/>
        </w:rPr>
        <w:t>物料</w:t>
      </w:r>
      <w:r>
        <w:rPr>
          <w:color w:val="auto"/>
        </w:rPr>
        <w:t>收集进入槽车内；对于小型泄漏，根据物质特性依托砂土、吸附材料等吸收。</w:t>
      </w:r>
      <w:r>
        <w:rPr>
          <w:rFonts w:hint="eastAsia"/>
          <w:color w:val="auto"/>
        </w:rPr>
        <w:t>废弃物料由防爆泵转移至槽车或专用收集器内，运至有资质单位处置。</w:t>
      </w:r>
    </w:p>
    <w:p w14:paraId="176B63E1">
      <w:pPr>
        <w:ind w:firstLine="480"/>
        <w:rPr>
          <w:color w:val="auto"/>
        </w:rPr>
      </w:pPr>
      <w:r>
        <w:rPr>
          <w:rFonts w:hint="eastAsia"/>
          <w:color w:val="auto"/>
        </w:rPr>
        <w:t>根据物质特性，码头配备的应急物资详见表2</w:t>
      </w:r>
      <w:r>
        <w:rPr>
          <w:color w:val="auto"/>
        </w:rPr>
        <w:t>.1-8</w:t>
      </w:r>
      <w:r>
        <w:rPr>
          <w:rFonts w:hint="eastAsia"/>
          <w:color w:val="auto"/>
        </w:rPr>
        <w:t>。</w:t>
      </w:r>
    </w:p>
    <w:p w14:paraId="0DE36165">
      <w:pPr>
        <w:ind w:firstLine="480"/>
        <w:rPr>
          <w:color w:val="auto"/>
        </w:rPr>
      </w:pPr>
      <w:r>
        <w:rPr>
          <w:rFonts w:hint="eastAsia"/>
          <w:color w:val="auto"/>
        </w:rPr>
        <w:t>码头已配备应急物资基本满足要求，后续应根据实际情况适当完善应急物资配备。</w:t>
      </w:r>
    </w:p>
    <w:p w14:paraId="671C0B13">
      <w:pPr>
        <w:ind w:firstLine="480"/>
        <w:rPr>
          <w:color w:val="auto"/>
        </w:rPr>
      </w:pPr>
      <w:r>
        <w:rPr>
          <w:color w:val="auto"/>
        </w:rPr>
        <w:t>待事故结束后，再依托码头平台废水收集系统将事故冲洗废水和泄漏物质排入</w:t>
      </w:r>
      <w:r>
        <w:rPr>
          <w:rFonts w:hint="eastAsia"/>
          <w:color w:val="auto"/>
        </w:rPr>
        <w:t>事故应急池</w:t>
      </w:r>
      <w:r>
        <w:rPr>
          <w:color w:val="auto"/>
        </w:rPr>
        <w:t>内，</w:t>
      </w:r>
      <w:r>
        <w:rPr>
          <w:rFonts w:hint="eastAsia"/>
          <w:color w:val="auto"/>
        </w:rPr>
        <w:t>泵至库区现有污水处理设施，经过隔油处理后，由罐车分批次运回东油沥青厂区后统一通过管网输送至广西石化污水处理场进行处理。</w:t>
      </w:r>
    </w:p>
    <w:p w14:paraId="39E1B843">
      <w:pPr>
        <w:ind w:firstLine="480"/>
        <w:rPr>
          <w:color w:val="auto"/>
        </w:rPr>
      </w:pPr>
      <w:r>
        <w:rPr>
          <w:rFonts w:hint="eastAsia"/>
          <w:color w:val="auto"/>
        </w:rPr>
        <w:t>2、</w:t>
      </w:r>
      <w:r>
        <w:rPr>
          <w:color w:val="auto"/>
        </w:rPr>
        <w:t>泄漏、火灾事故</w:t>
      </w:r>
    </w:p>
    <w:p w14:paraId="2366AC72">
      <w:pPr>
        <w:ind w:firstLine="480"/>
        <w:rPr>
          <w:color w:val="auto"/>
        </w:rPr>
      </w:pPr>
      <w:r>
        <w:rPr>
          <w:rFonts w:hint="eastAsia"/>
          <w:color w:val="auto"/>
        </w:rPr>
        <w:t>根据码头装卸物料特性，发生泄漏、火灾事故时，采用泡沫为主要灭火介质。水为主要冷却介质，采用雾状水或者喷淋的方式，慢慢冷却，同时确保通风，能有效降低泄漏物质的浓度，减少爆炸的可能性。本项目所在码头后方设置有事故池，</w:t>
      </w:r>
      <w:r>
        <w:rPr>
          <w:color w:val="auto"/>
        </w:rPr>
        <w:t>罐组、码头装卸区设有</w:t>
      </w:r>
      <w:r>
        <w:rPr>
          <w:rFonts w:hint="eastAsia"/>
          <w:color w:val="auto"/>
        </w:rPr>
        <w:t>围堰，收集泄漏液化品及消防废水，码头事故废水已建立污染源头、过程处理和最终排放的“三级防控”机制，发生泄漏事故时，通过采取相应环境风险应急措施，泄漏液态物料会被截留在码头的事故水三级防控设施内，消防废水最终进入广西石化污水处理场</w:t>
      </w:r>
      <w:r>
        <w:rPr>
          <w:rFonts w:hint="eastAsia"/>
          <w:color w:val="auto"/>
          <w:lang w:eastAsia="zh-CN"/>
        </w:rPr>
        <w:t>进行处理</w:t>
      </w:r>
      <w:r>
        <w:rPr>
          <w:rFonts w:hint="eastAsia"/>
          <w:color w:val="auto"/>
        </w:rPr>
        <w:t>。</w:t>
      </w:r>
    </w:p>
    <w:p w14:paraId="34F25D8B">
      <w:pPr>
        <w:ind w:firstLine="480"/>
        <w:rPr>
          <w:color w:val="auto"/>
        </w:rPr>
      </w:pPr>
      <w:r>
        <w:rPr>
          <w:rFonts w:hint="eastAsia"/>
          <w:color w:val="auto"/>
        </w:rPr>
        <w:t>本码头依托码头及后方库区消防设施：码头采取分区收集初期雨水方式，在码头泊位装卸区四周设置围堰（长宽高：</w:t>
      </w:r>
      <w:r>
        <w:rPr>
          <w:color w:val="auto"/>
        </w:rPr>
        <w:t>34</w:t>
      </w:r>
      <w:r>
        <w:rPr>
          <w:rFonts w:hint="eastAsia"/>
          <w:color w:val="auto"/>
        </w:rPr>
        <w:t>m×</w:t>
      </w:r>
      <w:r>
        <w:rPr>
          <w:color w:val="auto"/>
        </w:rPr>
        <w:t>17</w:t>
      </w:r>
      <w:r>
        <w:rPr>
          <w:rFonts w:hint="eastAsia"/>
          <w:color w:val="auto"/>
        </w:rPr>
        <w:t>m×0.2m，有效容积</w:t>
      </w:r>
      <w:r>
        <w:rPr>
          <w:color w:val="auto"/>
        </w:rPr>
        <w:t>350</w:t>
      </w:r>
      <w:r>
        <w:rPr>
          <w:rFonts w:hint="eastAsia"/>
          <w:color w:val="auto"/>
        </w:rPr>
        <w:t>m</w:t>
      </w:r>
      <w:r>
        <w:rPr>
          <w:rFonts w:hint="eastAsia"/>
          <w:color w:val="auto"/>
          <w:vertAlign w:val="superscript"/>
        </w:rPr>
        <w:t>3</w:t>
      </w:r>
      <w:r>
        <w:rPr>
          <w:rFonts w:hint="eastAsia"/>
          <w:color w:val="auto"/>
        </w:rPr>
        <w:t>），码头装卸区设置集污池（有效容积约</w:t>
      </w:r>
      <w:r>
        <w:rPr>
          <w:color w:val="auto"/>
        </w:rPr>
        <w:t>1</w:t>
      </w:r>
      <w:r>
        <w:rPr>
          <w:rFonts w:hint="eastAsia"/>
          <w:color w:val="auto"/>
        </w:rPr>
        <w:t>m</w:t>
      </w:r>
      <w:r>
        <w:rPr>
          <w:rFonts w:hint="eastAsia"/>
          <w:color w:val="auto"/>
          <w:vertAlign w:val="superscript"/>
        </w:rPr>
        <w:t>3</w:t>
      </w:r>
      <w:r>
        <w:rPr>
          <w:rFonts w:hint="eastAsia"/>
          <w:color w:val="auto"/>
        </w:rPr>
        <w:t>）；后方</w:t>
      </w:r>
      <w:r>
        <w:rPr>
          <w:color w:val="auto"/>
        </w:rPr>
        <w:t>库区</w:t>
      </w:r>
      <w:r>
        <w:rPr>
          <w:rFonts w:hint="eastAsia"/>
          <w:color w:val="auto"/>
        </w:rPr>
        <w:t>5个</w:t>
      </w:r>
      <w:r>
        <w:rPr>
          <w:color w:val="auto"/>
        </w:rPr>
        <w:t>罐组均设置高于</w:t>
      </w:r>
      <w:r>
        <w:rPr>
          <w:rFonts w:hint="eastAsia"/>
          <w:color w:val="auto"/>
        </w:rPr>
        <w:t>1</w:t>
      </w:r>
      <w:r>
        <w:rPr>
          <w:color w:val="auto"/>
        </w:rPr>
        <w:t>m的围堰</w:t>
      </w:r>
      <w:r>
        <w:rPr>
          <w:rFonts w:hint="eastAsia"/>
          <w:color w:val="auto"/>
        </w:rPr>
        <w:t>，1个20000</w:t>
      </w:r>
      <w:r>
        <w:rPr>
          <w:color w:val="auto"/>
        </w:rPr>
        <w:t>m</w:t>
      </w:r>
      <w:r>
        <w:rPr>
          <w:color w:val="auto"/>
          <w:vertAlign w:val="superscript"/>
        </w:rPr>
        <w:t>3</w:t>
      </w:r>
      <w:r>
        <w:rPr>
          <w:rFonts w:hint="eastAsia"/>
          <w:color w:val="auto"/>
        </w:rPr>
        <w:t>的</w:t>
      </w:r>
      <w:r>
        <w:rPr>
          <w:color w:val="auto"/>
        </w:rPr>
        <w:t>事故应急池；</w:t>
      </w:r>
      <w:r>
        <w:rPr>
          <w:rFonts w:hint="eastAsia"/>
          <w:color w:val="auto"/>
        </w:rPr>
        <w:t>后方</w:t>
      </w:r>
      <w:r>
        <w:rPr>
          <w:color w:val="auto"/>
        </w:rPr>
        <w:t>库区</w:t>
      </w:r>
      <w:r>
        <w:rPr>
          <w:rFonts w:hint="eastAsia"/>
          <w:color w:val="auto"/>
        </w:rPr>
        <w:t>设置3</w:t>
      </w:r>
      <w:r>
        <w:rPr>
          <w:color w:val="auto"/>
        </w:rPr>
        <w:t>0</w:t>
      </w:r>
      <w:r>
        <w:rPr>
          <w:rFonts w:hint="eastAsia"/>
          <w:color w:val="auto"/>
        </w:rPr>
        <w:t>00m³消防水罐2座，配套消防炮塔、消防水泵、消防栓、消防队伍等。可满足本项目所在码头的消防要求。</w:t>
      </w:r>
    </w:p>
    <w:p w14:paraId="50FB65F3">
      <w:pPr>
        <w:ind w:firstLine="480"/>
        <w:rPr>
          <w:color w:val="auto"/>
        </w:rPr>
      </w:pPr>
      <w:r>
        <w:rPr>
          <w:rFonts w:hint="eastAsia"/>
          <w:color w:val="auto"/>
        </w:rPr>
        <w:t>码头及化工液体船舶发生火情时，现场人员立即按事故报告程序进行报告，切断泄漏源，立即停止附近一切码头作业。随后通过无线或有线电话及控制室的报警系统立即通知后方消防中心，消防中心在接到报警后立即启动消防水泵向码头前方输送压力水，与此同时码头消防控制室内值班人员应立即启动泡沫比例混合器中的泡沫液泵，配制泡沫混合液并根据火灾地点，开启码头水幕、消防水炮及泡沫炮进行消防作业。</w:t>
      </w:r>
    </w:p>
    <w:p w14:paraId="57830DEB">
      <w:pPr>
        <w:ind w:firstLine="480"/>
        <w:rPr>
          <w:color w:val="auto"/>
        </w:rPr>
      </w:pPr>
      <w:r>
        <w:rPr>
          <w:color w:val="auto"/>
        </w:rPr>
        <w:t>冲洗废水、消防水通过码头收集系统引入</w:t>
      </w:r>
      <w:r>
        <w:rPr>
          <w:rFonts w:hint="eastAsia"/>
          <w:color w:val="auto"/>
        </w:rPr>
        <w:t>集污池，</w:t>
      </w:r>
      <w:r>
        <w:rPr>
          <w:color w:val="auto"/>
        </w:rPr>
        <w:t>再进入事故应急池，</w:t>
      </w:r>
      <w:r>
        <w:rPr>
          <w:rFonts w:hint="eastAsia"/>
          <w:color w:val="auto"/>
        </w:rPr>
        <w:t>罐组</w:t>
      </w:r>
      <w:r>
        <w:rPr>
          <w:color w:val="auto"/>
        </w:rPr>
        <w:t>的消防水通过罐组的</w:t>
      </w:r>
      <w:r>
        <w:rPr>
          <w:rFonts w:hint="eastAsia"/>
          <w:color w:val="auto"/>
        </w:rPr>
        <w:t>收集系统</w:t>
      </w:r>
      <w:r>
        <w:rPr>
          <w:color w:val="auto"/>
        </w:rPr>
        <w:t>进入事故应急池，事故应急池中的事故废水经</w:t>
      </w:r>
      <w:r>
        <w:rPr>
          <w:rFonts w:hint="eastAsia"/>
          <w:color w:val="auto"/>
        </w:rPr>
        <w:t>泵至库区现有污水处理设施，经过隔油处理后，由罐车分批次运回东油沥青厂区后统一通过管网输送至广西石化污水处理场进行处理。</w:t>
      </w:r>
    </w:p>
    <w:p w14:paraId="59B9C6C3">
      <w:pPr>
        <w:pStyle w:val="14"/>
        <w:rPr>
          <w:color w:val="auto"/>
        </w:rPr>
      </w:pPr>
      <w:r>
        <w:rPr>
          <w:rFonts w:hint="eastAsia"/>
          <w:color w:val="auto"/>
        </w:rPr>
        <w:t>表</w:t>
      </w:r>
      <w:r>
        <w:rPr>
          <w:color w:val="auto"/>
        </w:rPr>
        <w:t>5.7</w:t>
      </w:r>
      <w:r>
        <w:rPr>
          <w:color w:val="auto"/>
        </w:rPr>
        <w:noBreakHyphen/>
      </w:r>
      <w:r>
        <w:rPr>
          <w:color w:val="auto"/>
        </w:rPr>
        <w:t>1危险化学品突发环境事件的应急措施</w:t>
      </w:r>
    </w:p>
    <w:tbl>
      <w:tblPr>
        <w:tblStyle w:val="43"/>
        <w:tblW w:w="9617" w:type="dxa"/>
        <w:tblInd w:w="-41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570"/>
        <w:gridCol w:w="1050"/>
        <w:gridCol w:w="2205"/>
        <w:gridCol w:w="3195"/>
        <w:gridCol w:w="2597"/>
      </w:tblGrid>
      <w:tr w14:paraId="032FCB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674" w:hRule="atLeast"/>
          <w:tblHeader/>
        </w:trPr>
        <w:tc>
          <w:tcPr>
            <w:tcW w:w="1620" w:type="dxa"/>
            <w:gridSpan w:val="2"/>
            <w:vAlign w:val="center"/>
          </w:tcPr>
          <w:p w14:paraId="470B113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危险化学品类别</w:t>
            </w:r>
          </w:p>
        </w:tc>
        <w:tc>
          <w:tcPr>
            <w:tcW w:w="2205" w:type="dxa"/>
            <w:vAlign w:val="center"/>
          </w:tcPr>
          <w:p w14:paraId="0EA1284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需配备的专用应急器材</w:t>
            </w:r>
          </w:p>
        </w:tc>
        <w:tc>
          <w:tcPr>
            <w:tcW w:w="3195" w:type="dxa"/>
            <w:vAlign w:val="center"/>
          </w:tcPr>
          <w:p w14:paraId="5793F55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泄漏应急行动</w:t>
            </w:r>
          </w:p>
        </w:tc>
        <w:tc>
          <w:tcPr>
            <w:tcW w:w="2597" w:type="dxa"/>
            <w:vAlign w:val="center"/>
          </w:tcPr>
          <w:p w14:paraId="62376BC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火灾（爆炸）应急行动</w:t>
            </w:r>
          </w:p>
        </w:tc>
      </w:tr>
      <w:tr w14:paraId="06F3C0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570" w:type="dxa"/>
            <w:vAlign w:val="center"/>
          </w:tcPr>
          <w:p w14:paraId="5B97206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第3类</w:t>
            </w:r>
          </w:p>
        </w:tc>
        <w:tc>
          <w:tcPr>
            <w:tcW w:w="1050" w:type="dxa"/>
            <w:vAlign w:val="center"/>
          </w:tcPr>
          <w:p w14:paraId="4FC35B6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lang w:eastAsia="zh-CN"/>
              </w:rPr>
              <w:t>其他</w:t>
            </w:r>
            <w:r>
              <w:rPr>
                <w:rFonts w:hint="default"/>
                <w:color w:val="auto"/>
                <w:sz w:val="21"/>
                <w:szCs w:val="21"/>
              </w:rPr>
              <w:t>易燃液体</w:t>
            </w:r>
          </w:p>
        </w:tc>
        <w:tc>
          <w:tcPr>
            <w:tcW w:w="2205" w:type="dxa"/>
            <w:vAlign w:val="center"/>
          </w:tcPr>
          <w:p w14:paraId="14954CB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防护手套和靴子、自给式呼吸器、喷雾水枪</w:t>
            </w:r>
            <w:r>
              <w:rPr>
                <w:rFonts w:hint="eastAsia"/>
                <w:color w:val="auto"/>
                <w:sz w:val="21"/>
                <w:szCs w:val="21"/>
              </w:rPr>
              <w:t>、雾状水幕装置</w:t>
            </w:r>
          </w:p>
        </w:tc>
        <w:tc>
          <w:tcPr>
            <w:tcW w:w="3195" w:type="dxa"/>
            <w:vAlign w:val="center"/>
          </w:tcPr>
          <w:p w14:paraId="3EABDB79">
            <w:pPr>
              <w:keepNext w:val="0"/>
              <w:keepLines w:val="0"/>
              <w:suppressLineNumbers w:val="0"/>
              <w:adjustRightInd w:val="0"/>
              <w:snapToGrid w:val="0"/>
              <w:spacing w:before="0" w:beforeAutospacing="0" w:after="0" w:afterAutospacing="0" w:line="240" w:lineRule="auto"/>
              <w:ind w:left="0" w:right="0" w:firstLine="0" w:firstLineChars="0"/>
              <w:rPr>
                <w:rFonts w:hint="default"/>
                <w:color w:val="auto"/>
                <w:sz w:val="21"/>
                <w:szCs w:val="21"/>
              </w:rPr>
            </w:pPr>
            <w:r>
              <w:rPr>
                <w:rFonts w:hint="default"/>
                <w:color w:val="auto"/>
                <w:sz w:val="21"/>
                <w:szCs w:val="21"/>
              </w:rPr>
              <w:t>及时用砂土覆盖或用松软材料吸附，集中收集后移至空旷安全处销毁。急救时防止液体流入雨水井、海域造成污染，更有可能引起火灾和爆炸</w:t>
            </w:r>
          </w:p>
        </w:tc>
        <w:tc>
          <w:tcPr>
            <w:tcW w:w="2597" w:type="dxa"/>
            <w:vAlign w:val="center"/>
          </w:tcPr>
          <w:p w14:paraId="620F7B22">
            <w:pPr>
              <w:keepNext w:val="0"/>
              <w:keepLines w:val="0"/>
              <w:suppressLineNumbers w:val="0"/>
              <w:adjustRightInd w:val="0"/>
              <w:snapToGrid w:val="0"/>
              <w:spacing w:before="0" w:beforeAutospacing="0" w:after="0" w:afterAutospacing="0" w:line="240" w:lineRule="auto"/>
              <w:ind w:left="0" w:right="0" w:firstLine="0" w:firstLineChars="0"/>
              <w:rPr>
                <w:rFonts w:hint="default"/>
                <w:color w:val="auto"/>
                <w:sz w:val="21"/>
                <w:szCs w:val="21"/>
              </w:rPr>
            </w:pPr>
            <w:r>
              <w:rPr>
                <w:rFonts w:hint="default"/>
                <w:color w:val="auto"/>
                <w:sz w:val="21"/>
                <w:szCs w:val="21"/>
              </w:rPr>
              <w:t>如可能，使水雾、泡沫或干粉灭火（与水相溶或溶于易燃溶剂的特质不能用泡沫）。不能使用水射流。</w:t>
            </w:r>
          </w:p>
        </w:tc>
      </w:tr>
    </w:tbl>
    <w:p w14:paraId="5038AFE5">
      <w:pPr>
        <w:pStyle w:val="6"/>
        <w:ind w:left="0"/>
        <w:rPr>
          <w:color w:val="auto"/>
        </w:rPr>
      </w:pPr>
      <w:r>
        <w:rPr>
          <w:color w:val="auto"/>
        </w:rPr>
        <w:t>现有</w:t>
      </w:r>
      <w:r>
        <w:rPr>
          <w:rFonts w:hint="eastAsia"/>
          <w:color w:val="auto"/>
        </w:rPr>
        <w:t>货种</w:t>
      </w:r>
      <w:r>
        <w:rPr>
          <w:color w:val="auto"/>
        </w:rPr>
        <w:t>及燃料油泄漏处置措施</w:t>
      </w:r>
    </w:p>
    <w:p w14:paraId="29C0D735">
      <w:pPr>
        <w:ind w:firstLine="482"/>
        <w:rPr>
          <w:rFonts w:hint="eastAsia" w:eastAsia="宋体"/>
          <w:b/>
          <w:bCs/>
          <w:color w:val="auto"/>
          <w:lang w:eastAsia="zh-CN"/>
        </w:rPr>
      </w:pPr>
      <w:r>
        <w:rPr>
          <w:rFonts w:hint="eastAsia"/>
          <w:b/>
          <w:bCs/>
          <w:color w:val="auto"/>
        </w:rPr>
        <w:t>（</w:t>
      </w:r>
      <w:r>
        <w:rPr>
          <w:b/>
          <w:bCs/>
          <w:color w:val="auto"/>
        </w:rPr>
        <w:t>1</w:t>
      </w:r>
      <w:r>
        <w:rPr>
          <w:rFonts w:hint="eastAsia"/>
          <w:b/>
          <w:bCs/>
          <w:color w:val="auto"/>
        </w:rPr>
        <w:t>）针对环境敏感区的应急措施</w:t>
      </w:r>
    </w:p>
    <w:p w14:paraId="660CDF1F">
      <w:pPr>
        <w:ind w:firstLine="480"/>
        <w:rPr>
          <w:color w:val="auto"/>
        </w:rPr>
      </w:pPr>
      <w:r>
        <w:rPr>
          <w:rFonts w:hint="eastAsia"/>
          <w:color w:val="auto"/>
        </w:rPr>
        <w:t>一旦发生溢油风险事故</w:t>
      </w:r>
      <w:r>
        <w:rPr>
          <w:rFonts w:hint="eastAsia"/>
          <w:color w:val="auto"/>
          <w:spacing w:val="-24"/>
        </w:rPr>
        <w:t>，</w:t>
      </w:r>
      <w:r>
        <w:rPr>
          <w:rFonts w:hint="eastAsia"/>
          <w:color w:val="auto"/>
        </w:rPr>
        <w:t>应立即采取有效措施封堵泄漏口</w:t>
      </w:r>
      <w:r>
        <w:rPr>
          <w:rFonts w:hint="eastAsia"/>
          <w:color w:val="auto"/>
          <w:spacing w:val="-24"/>
        </w:rPr>
        <w:t>，</w:t>
      </w:r>
      <w:r>
        <w:rPr>
          <w:rFonts w:hint="eastAsia"/>
          <w:color w:val="auto"/>
        </w:rPr>
        <w:t>密切注意是否有发生火灾爆炸的危险</w:t>
      </w:r>
      <w:r>
        <w:rPr>
          <w:rFonts w:hint="eastAsia"/>
          <w:color w:val="auto"/>
          <w:spacing w:val="-24"/>
        </w:rPr>
        <w:t>；</w:t>
      </w:r>
      <w:r>
        <w:rPr>
          <w:rFonts w:hint="eastAsia"/>
          <w:color w:val="auto"/>
        </w:rPr>
        <w:t>事故现场及周边区域全部禁止明火</w:t>
      </w:r>
      <w:r>
        <w:rPr>
          <w:rFonts w:hint="eastAsia"/>
          <w:color w:val="auto"/>
          <w:spacing w:val="-24"/>
        </w:rPr>
        <w:t>，</w:t>
      </w:r>
      <w:r>
        <w:rPr>
          <w:rFonts w:hint="eastAsia"/>
          <w:color w:val="auto"/>
        </w:rPr>
        <w:t>注意消除其他可能诱发火灾爆炸的因素</w:t>
      </w:r>
      <w:r>
        <w:rPr>
          <w:rFonts w:hint="eastAsia"/>
          <w:color w:val="auto"/>
          <w:spacing w:val="-12"/>
        </w:rPr>
        <w:t>；</w:t>
      </w:r>
      <w:r>
        <w:rPr>
          <w:rFonts w:hint="eastAsia"/>
          <w:color w:val="auto"/>
        </w:rPr>
        <w:t>隔离和疏散可能受伤的人员</w:t>
      </w:r>
      <w:r>
        <w:rPr>
          <w:rFonts w:hint="eastAsia"/>
          <w:color w:val="auto"/>
          <w:spacing w:val="-12"/>
        </w:rPr>
        <w:t>，</w:t>
      </w:r>
      <w:r>
        <w:rPr>
          <w:rFonts w:hint="eastAsia"/>
          <w:color w:val="auto"/>
        </w:rPr>
        <w:t>核实遇险人数</w:t>
      </w:r>
      <w:r>
        <w:rPr>
          <w:rFonts w:hint="eastAsia"/>
          <w:color w:val="auto"/>
          <w:spacing w:val="-12"/>
        </w:rPr>
        <w:t>、</w:t>
      </w:r>
      <w:r>
        <w:rPr>
          <w:rFonts w:hint="eastAsia"/>
          <w:color w:val="auto"/>
        </w:rPr>
        <w:t>遇险水域的气象海况</w:t>
      </w:r>
      <w:r>
        <w:rPr>
          <w:rFonts w:hint="eastAsia"/>
          <w:color w:val="auto"/>
          <w:spacing w:val="-12"/>
        </w:rPr>
        <w:t>、</w:t>
      </w:r>
      <w:r>
        <w:rPr>
          <w:rFonts w:hint="eastAsia"/>
          <w:color w:val="auto"/>
        </w:rPr>
        <w:t>水温及救助要求等情况；组织救助遇险人员，对受伤人员进行救护。</w:t>
      </w:r>
    </w:p>
    <w:p w14:paraId="16D8A46C">
      <w:pPr>
        <w:ind w:firstLine="480"/>
        <w:rPr>
          <w:color w:val="auto"/>
        </w:rPr>
      </w:pPr>
      <w:r>
        <w:rPr>
          <w:rFonts w:hint="eastAsia"/>
          <w:color w:val="auto"/>
        </w:rPr>
        <w:t>根据可能受到威胁的环境敏感区的优先保护次序</w:t>
      </w:r>
      <w:r>
        <w:rPr>
          <w:rFonts w:hint="eastAsia"/>
          <w:color w:val="auto"/>
          <w:spacing w:val="-48"/>
        </w:rPr>
        <w:t>，</w:t>
      </w:r>
      <w:r>
        <w:rPr>
          <w:rFonts w:hint="eastAsia"/>
          <w:color w:val="auto"/>
        </w:rPr>
        <w:t>根据不同环境敏感资源的保护内容及特性制定有针对性的溢油应急措施。</w:t>
      </w:r>
    </w:p>
    <w:p w14:paraId="102875E4">
      <w:pPr>
        <w:ind w:firstLine="480"/>
        <w:rPr>
          <w:color w:val="auto"/>
        </w:rPr>
      </w:pPr>
      <w:r>
        <w:rPr>
          <w:rFonts w:hint="eastAsia"/>
          <w:color w:val="auto"/>
        </w:rPr>
        <w:t>溢油事故发生后</w:t>
      </w:r>
      <w:r>
        <w:rPr>
          <w:rFonts w:hint="eastAsia"/>
          <w:color w:val="auto"/>
          <w:spacing w:val="-17"/>
        </w:rPr>
        <w:t>，</w:t>
      </w:r>
      <w:r>
        <w:rPr>
          <w:rFonts w:hint="eastAsia"/>
          <w:color w:val="auto"/>
        </w:rPr>
        <w:t>根据溢油漂移轨迹</w:t>
      </w:r>
      <w:r>
        <w:rPr>
          <w:rFonts w:hint="eastAsia"/>
          <w:color w:val="auto"/>
          <w:spacing w:val="-17"/>
        </w:rPr>
        <w:t>，</w:t>
      </w:r>
      <w:r>
        <w:rPr>
          <w:rFonts w:hint="eastAsia"/>
          <w:color w:val="auto"/>
        </w:rPr>
        <w:t>在可能受影响的保护区附近</w:t>
      </w:r>
      <w:r>
        <w:rPr>
          <w:rFonts w:hint="eastAsia"/>
          <w:color w:val="auto"/>
          <w:spacing w:val="-17"/>
        </w:rPr>
        <w:t>，</w:t>
      </w:r>
      <w:r>
        <w:rPr>
          <w:rFonts w:hint="eastAsia"/>
          <w:color w:val="auto"/>
        </w:rPr>
        <w:t>沿保护区边界</w:t>
      </w:r>
      <w:r>
        <w:rPr>
          <w:rFonts w:hint="eastAsia"/>
          <w:color w:val="auto"/>
          <w:position w:val="-3"/>
        </w:rPr>
        <w:t>线布放一般用途围油栏</w:t>
      </w:r>
      <w:r>
        <w:rPr>
          <w:rFonts w:hint="eastAsia"/>
          <w:color w:val="auto"/>
          <w:spacing w:val="-17"/>
          <w:position w:val="-3"/>
        </w:rPr>
        <w:t>，</w:t>
      </w:r>
      <w:r>
        <w:rPr>
          <w:rFonts w:hint="eastAsia"/>
          <w:color w:val="auto"/>
          <w:position w:val="-3"/>
        </w:rPr>
        <w:t>尽量避免或延缓油膜向保护区扩散</w:t>
      </w:r>
      <w:r>
        <w:rPr>
          <w:rFonts w:hint="eastAsia"/>
          <w:color w:val="auto"/>
          <w:spacing w:val="-17"/>
          <w:position w:val="-3"/>
        </w:rPr>
        <w:t>，</w:t>
      </w:r>
      <w:r>
        <w:rPr>
          <w:rFonts w:hint="eastAsia"/>
          <w:color w:val="auto"/>
          <w:spacing w:val="1"/>
          <w:position w:val="-3"/>
        </w:rPr>
        <w:t>同</w:t>
      </w:r>
      <w:r>
        <w:rPr>
          <w:rFonts w:hint="eastAsia"/>
          <w:color w:val="auto"/>
          <w:position w:val="-3"/>
        </w:rPr>
        <w:t>时用浮油回收船</w:t>
      </w:r>
      <w:r>
        <w:rPr>
          <w:rFonts w:hint="eastAsia"/>
          <w:color w:val="auto"/>
          <w:spacing w:val="-17"/>
          <w:position w:val="-3"/>
        </w:rPr>
        <w:t>、</w:t>
      </w:r>
      <w:r>
        <w:rPr>
          <w:rFonts w:hint="eastAsia"/>
          <w:color w:val="auto"/>
          <w:position w:val="-3"/>
        </w:rPr>
        <w:t>围油</w:t>
      </w:r>
      <w:r>
        <w:rPr>
          <w:rFonts w:hint="eastAsia"/>
          <w:color w:val="auto"/>
          <w:spacing w:val="2"/>
        </w:rPr>
        <w:t>栏布</w:t>
      </w:r>
      <w:r>
        <w:rPr>
          <w:rFonts w:hint="eastAsia"/>
          <w:color w:val="auto"/>
        </w:rPr>
        <w:t>放</w:t>
      </w:r>
      <w:r>
        <w:rPr>
          <w:rFonts w:hint="eastAsia"/>
          <w:color w:val="auto"/>
          <w:spacing w:val="2"/>
        </w:rPr>
        <w:t>艇</w:t>
      </w:r>
      <w:r>
        <w:rPr>
          <w:rFonts w:hint="eastAsia"/>
          <w:color w:val="auto"/>
        </w:rPr>
        <w:t>拖</w:t>
      </w:r>
      <w:r>
        <w:rPr>
          <w:rFonts w:hint="eastAsia"/>
          <w:color w:val="auto"/>
          <w:spacing w:val="2"/>
        </w:rPr>
        <w:t>带</w:t>
      </w:r>
      <w:r>
        <w:rPr>
          <w:rFonts w:hint="eastAsia"/>
          <w:color w:val="auto"/>
        </w:rPr>
        <w:t>导</w:t>
      </w:r>
      <w:r>
        <w:rPr>
          <w:rFonts w:hint="eastAsia"/>
          <w:color w:val="auto"/>
          <w:spacing w:val="2"/>
        </w:rPr>
        <w:t>流</w:t>
      </w:r>
      <w:r>
        <w:rPr>
          <w:rFonts w:hint="eastAsia"/>
          <w:color w:val="auto"/>
        </w:rPr>
        <w:t>型围</w:t>
      </w:r>
      <w:r>
        <w:rPr>
          <w:rFonts w:hint="eastAsia"/>
          <w:color w:val="auto"/>
          <w:spacing w:val="2"/>
        </w:rPr>
        <w:t>油栏</w:t>
      </w:r>
      <w:r>
        <w:rPr>
          <w:rFonts w:hint="eastAsia"/>
          <w:color w:val="auto"/>
        </w:rPr>
        <w:t>组</w:t>
      </w:r>
      <w:r>
        <w:rPr>
          <w:rFonts w:hint="eastAsia"/>
          <w:color w:val="auto"/>
          <w:spacing w:val="5"/>
        </w:rPr>
        <w:t>成</w:t>
      </w:r>
      <w:r>
        <w:rPr>
          <w:color w:val="auto"/>
          <w:spacing w:val="-1"/>
        </w:rPr>
        <w:t>“</w:t>
      </w:r>
      <w:r>
        <w:rPr>
          <w:color w:val="auto"/>
        </w:rPr>
        <w:t>V</w:t>
      </w:r>
      <w:r>
        <w:rPr>
          <w:color w:val="auto"/>
          <w:spacing w:val="1"/>
        </w:rPr>
        <w:t>”</w:t>
      </w:r>
      <w:r>
        <w:rPr>
          <w:rFonts w:hint="eastAsia"/>
          <w:color w:val="auto"/>
          <w:spacing w:val="2"/>
        </w:rPr>
        <w:t>字</w:t>
      </w:r>
      <w:r>
        <w:rPr>
          <w:rFonts w:hint="eastAsia"/>
          <w:color w:val="auto"/>
        </w:rPr>
        <w:t>型</w:t>
      </w:r>
      <w:r>
        <w:rPr>
          <w:rFonts w:hint="eastAsia"/>
          <w:color w:val="auto"/>
          <w:spacing w:val="2"/>
        </w:rPr>
        <w:t>高</w:t>
      </w:r>
      <w:r>
        <w:rPr>
          <w:rFonts w:hint="eastAsia"/>
          <w:color w:val="auto"/>
        </w:rPr>
        <w:t>效</w:t>
      </w:r>
      <w:r>
        <w:rPr>
          <w:rFonts w:hint="eastAsia"/>
          <w:color w:val="auto"/>
          <w:spacing w:val="2"/>
        </w:rPr>
        <w:t>应急</w:t>
      </w:r>
      <w:r>
        <w:rPr>
          <w:rFonts w:hint="eastAsia"/>
          <w:color w:val="auto"/>
        </w:rPr>
        <w:t>组</w:t>
      </w:r>
      <w:r>
        <w:rPr>
          <w:rFonts w:hint="eastAsia"/>
          <w:color w:val="auto"/>
          <w:spacing w:val="2"/>
        </w:rPr>
        <w:t>合</w:t>
      </w:r>
      <w:r>
        <w:rPr>
          <w:rFonts w:hint="eastAsia"/>
          <w:color w:val="auto"/>
        </w:rPr>
        <w:t>，</w:t>
      </w:r>
      <w:r>
        <w:rPr>
          <w:rFonts w:hint="eastAsia"/>
          <w:color w:val="auto"/>
          <w:spacing w:val="2"/>
        </w:rPr>
        <w:t>在</w:t>
      </w:r>
      <w:r>
        <w:rPr>
          <w:rFonts w:hint="eastAsia"/>
          <w:color w:val="auto"/>
        </w:rPr>
        <w:t>溢</w:t>
      </w:r>
      <w:r>
        <w:rPr>
          <w:rFonts w:hint="eastAsia"/>
          <w:color w:val="auto"/>
          <w:spacing w:val="2"/>
        </w:rPr>
        <w:t>油</w:t>
      </w:r>
      <w:r>
        <w:rPr>
          <w:rFonts w:hint="eastAsia"/>
          <w:color w:val="auto"/>
        </w:rPr>
        <w:t>流向</w:t>
      </w:r>
      <w:r>
        <w:rPr>
          <w:rFonts w:hint="eastAsia"/>
          <w:color w:val="auto"/>
          <w:spacing w:val="2"/>
        </w:rPr>
        <w:t>的下</w:t>
      </w:r>
      <w:r>
        <w:rPr>
          <w:rFonts w:hint="eastAsia"/>
          <w:color w:val="auto"/>
        </w:rPr>
        <w:t>风</w:t>
      </w:r>
      <w:r>
        <w:rPr>
          <w:rFonts w:hint="eastAsia"/>
          <w:color w:val="auto"/>
          <w:spacing w:val="2"/>
        </w:rPr>
        <w:t>向</w:t>
      </w:r>
      <w:r>
        <w:rPr>
          <w:rFonts w:hint="eastAsia"/>
          <w:color w:val="auto"/>
        </w:rPr>
        <w:t>，</w:t>
      </w:r>
      <w:r>
        <w:rPr>
          <w:rFonts w:hint="eastAsia"/>
          <w:color w:val="auto"/>
          <w:spacing w:val="2"/>
        </w:rPr>
        <w:t>进行</w:t>
      </w:r>
      <w:r>
        <w:rPr>
          <w:rFonts w:hint="eastAsia"/>
          <w:color w:val="auto"/>
        </w:rPr>
        <w:t>溢油回收处置。</w:t>
      </w:r>
    </w:p>
    <w:p w14:paraId="7B3F5735">
      <w:pPr>
        <w:ind w:firstLine="482"/>
        <w:rPr>
          <w:b/>
          <w:bCs/>
          <w:color w:val="auto"/>
        </w:rPr>
      </w:pPr>
      <w:r>
        <w:rPr>
          <w:rFonts w:hint="eastAsia"/>
          <w:b/>
          <w:bCs/>
          <w:color w:val="auto"/>
        </w:rPr>
        <w:t>（2）在港池内溢油污染的围控和清除</w:t>
      </w:r>
    </w:p>
    <w:p w14:paraId="480192FA">
      <w:pPr>
        <w:ind w:firstLine="480"/>
        <w:rPr>
          <w:color w:val="auto"/>
        </w:rPr>
      </w:pPr>
      <w:r>
        <w:rPr>
          <w:rFonts w:hint="eastAsia"/>
          <w:color w:val="auto"/>
        </w:rPr>
        <w:t>根据溢油量判断，小规模溢油事故可采取主</w:t>
      </w:r>
      <w:r>
        <w:rPr>
          <w:rFonts w:hint="eastAsia"/>
          <w:color w:val="auto"/>
          <w:spacing w:val="1"/>
        </w:rPr>
        <w:t>动</w:t>
      </w:r>
      <w:r>
        <w:rPr>
          <w:rFonts w:hint="eastAsia"/>
          <w:color w:val="auto"/>
        </w:rPr>
        <w:t>围控措施，调用应急设备库围油栏，利用布防艇或拖船对溢油点进行主动围控</w:t>
      </w:r>
      <w:r>
        <w:rPr>
          <w:rFonts w:hint="eastAsia"/>
          <w:color w:val="auto"/>
          <w:spacing w:val="-24"/>
        </w:rPr>
        <w:t>，</w:t>
      </w:r>
      <w:r>
        <w:rPr>
          <w:rFonts w:hint="eastAsia"/>
          <w:color w:val="auto"/>
        </w:rPr>
        <w:t>实现溢油控制在围油栏内</w:t>
      </w:r>
      <w:r>
        <w:rPr>
          <w:rFonts w:hint="eastAsia"/>
          <w:color w:val="auto"/>
          <w:spacing w:val="-24"/>
        </w:rPr>
        <w:t>，再</w:t>
      </w:r>
      <w:r>
        <w:rPr>
          <w:rFonts w:hint="eastAsia"/>
          <w:color w:val="auto"/>
        </w:rPr>
        <w:t>利用吊机将收油机放入围油栏，配以适用动力和储油设备，将溢油回收起来。</w:t>
      </w:r>
    </w:p>
    <w:p w14:paraId="7F704B12">
      <w:pPr>
        <w:ind w:firstLine="480"/>
        <w:rPr>
          <w:color w:val="auto"/>
        </w:rPr>
      </w:pPr>
      <w:r>
        <w:rPr>
          <w:rFonts w:hint="eastAsia"/>
          <w:color w:val="auto"/>
        </w:rPr>
        <w:t>如发生中等规模以上溢油事故，应采取主动围控措施。调用港区所有围油栏设备，采取主动围控同时</w:t>
      </w:r>
      <w:r>
        <w:rPr>
          <w:rFonts w:hint="eastAsia"/>
          <w:color w:val="auto"/>
          <w:spacing w:val="-29"/>
        </w:rPr>
        <w:t>，</w:t>
      </w:r>
      <w:r>
        <w:rPr>
          <w:rFonts w:hint="eastAsia"/>
          <w:color w:val="auto"/>
        </w:rPr>
        <w:t>在易受到污染威胁的敏感资源外围布置</w:t>
      </w:r>
      <w:r>
        <w:rPr>
          <w:color w:val="auto"/>
        </w:rPr>
        <w:t>2~3</w:t>
      </w:r>
      <w:r>
        <w:rPr>
          <w:rFonts w:hint="eastAsia"/>
          <w:color w:val="auto"/>
        </w:rPr>
        <w:t>道封堵围油栏</w:t>
      </w:r>
      <w:r>
        <w:rPr>
          <w:rFonts w:hint="eastAsia"/>
          <w:color w:val="auto"/>
          <w:spacing w:val="-29"/>
        </w:rPr>
        <w:t>，</w:t>
      </w:r>
      <w:r>
        <w:rPr>
          <w:rFonts w:hint="eastAsia"/>
          <w:color w:val="auto"/>
        </w:rPr>
        <w:t>确保溢油可控在港池水域，再利用收油设备，开展溢油回收工作。</w:t>
      </w:r>
    </w:p>
    <w:p w14:paraId="11FCF1F8">
      <w:pPr>
        <w:ind w:firstLine="482"/>
        <w:rPr>
          <w:b/>
          <w:bCs/>
          <w:color w:val="auto"/>
        </w:rPr>
      </w:pPr>
      <w:r>
        <w:rPr>
          <w:rFonts w:hint="eastAsia"/>
          <w:b/>
          <w:bCs/>
          <w:color w:val="auto"/>
        </w:rPr>
        <w:t>（3）航道、锚地溢油污染的围控和清除</w:t>
      </w:r>
    </w:p>
    <w:p w14:paraId="2FDB7775">
      <w:pPr>
        <w:ind w:firstLine="480"/>
        <w:rPr>
          <w:color w:val="auto"/>
        </w:rPr>
      </w:pPr>
      <w:r>
        <w:rPr>
          <w:rFonts w:hint="eastAsia"/>
          <w:color w:val="auto"/>
        </w:rPr>
        <w:t>航道、锚地处溢油由于水流速度大于</w:t>
      </w:r>
      <w:r>
        <w:rPr>
          <w:color w:val="auto"/>
        </w:rPr>
        <w:t>0.7</w:t>
      </w:r>
      <w:r>
        <w:rPr>
          <w:rFonts w:hint="eastAsia"/>
          <w:color w:val="auto"/>
        </w:rPr>
        <w:t>节</w:t>
      </w:r>
      <w:r>
        <w:rPr>
          <w:rFonts w:hint="eastAsia"/>
          <w:color w:val="auto"/>
          <w:spacing w:val="2"/>
        </w:rPr>
        <w:t>，</w:t>
      </w:r>
      <w:r>
        <w:rPr>
          <w:rFonts w:hint="eastAsia"/>
          <w:color w:val="auto"/>
        </w:rPr>
        <w:t>溢油除平潮期间可以短时间围住溢油外</w:t>
      </w:r>
      <w:r>
        <w:rPr>
          <w:rFonts w:hint="eastAsia"/>
          <w:color w:val="auto"/>
          <w:spacing w:val="-12"/>
        </w:rPr>
        <w:t>，</w:t>
      </w:r>
      <w:r>
        <w:rPr>
          <w:rFonts w:hint="eastAsia"/>
          <w:color w:val="auto"/>
        </w:rPr>
        <w:t>公认多数时间是围不住的</w:t>
      </w:r>
      <w:r>
        <w:rPr>
          <w:rFonts w:hint="eastAsia"/>
          <w:color w:val="auto"/>
          <w:spacing w:val="-12"/>
        </w:rPr>
        <w:t>。</w:t>
      </w:r>
      <w:r>
        <w:rPr>
          <w:rFonts w:hint="eastAsia"/>
          <w:color w:val="auto"/>
        </w:rPr>
        <w:t>多数</w:t>
      </w:r>
      <w:r>
        <w:rPr>
          <w:rFonts w:hint="eastAsia"/>
          <w:color w:val="auto"/>
          <w:spacing w:val="1"/>
        </w:rPr>
        <w:t>溢</w:t>
      </w:r>
      <w:r>
        <w:rPr>
          <w:rFonts w:hint="eastAsia"/>
          <w:color w:val="auto"/>
        </w:rPr>
        <w:t>油会从围油栏下部流走</w:t>
      </w:r>
      <w:r>
        <w:rPr>
          <w:rFonts w:hint="eastAsia"/>
          <w:color w:val="auto"/>
          <w:spacing w:val="-12"/>
        </w:rPr>
        <w:t>，</w:t>
      </w:r>
      <w:r>
        <w:rPr>
          <w:rFonts w:hint="eastAsia"/>
          <w:color w:val="auto"/>
        </w:rPr>
        <w:t>如果风力稍大</w:t>
      </w:r>
      <w:r>
        <w:rPr>
          <w:rFonts w:hint="eastAsia"/>
          <w:color w:val="auto"/>
          <w:spacing w:val="-12"/>
        </w:rPr>
        <w:t>，</w:t>
      </w:r>
      <w:r>
        <w:rPr>
          <w:rFonts w:hint="eastAsia"/>
          <w:color w:val="auto"/>
        </w:rPr>
        <w:t>也可能从倾斜的围油栏上部翻过流散。为此，采取下列处理方法：</w:t>
      </w:r>
    </w:p>
    <w:p w14:paraId="11829E78">
      <w:pPr>
        <w:ind w:firstLine="480"/>
        <w:rPr>
          <w:color w:val="auto"/>
        </w:rPr>
      </w:pPr>
      <w:r>
        <w:rPr>
          <w:rFonts w:hint="eastAsia"/>
          <w:color w:val="auto"/>
        </w:rPr>
        <w:t>一旦在航道、锚地海域发生溢油事故，围控设备、清污设备要尽快到达溢油现场。视风和流速情况，能围则围，否则溢油扩散，给后续工作造成更大困难。</w:t>
      </w:r>
    </w:p>
    <w:p w14:paraId="5B0628B3">
      <w:pPr>
        <w:ind w:firstLine="488"/>
        <w:rPr>
          <w:color w:val="auto"/>
        </w:rPr>
      </w:pPr>
      <w:r>
        <w:rPr>
          <w:rFonts w:hint="eastAsia"/>
          <w:color w:val="auto"/>
          <w:spacing w:val="2"/>
        </w:rPr>
        <w:t>用浮</w:t>
      </w:r>
      <w:r>
        <w:rPr>
          <w:rFonts w:hint="eastAsia"/>
          <w:color w:val="auto"/>
        </w:rPr>
        <w:t>油</w:t>
      </w:r>
      <w:r>
        <w:rPr>
          <w:rFonts w:hint="eastAsia"/>
          <w:color w:val="auto"/>
          <w:spacing w:val="2"/>
        </w:rPr>
        <w:t>回</w:t>
      </w:r>
      <w:r>
        <w:rPr>
          <w:rFonts w:hint="eastAsia"/>
          <w:color w:val="auto"/>
        </w:rPr>
        <w:t>收</w:t>
      </w:r>
      <w:r>
        <w:rPr>
          <w:rFonts w:hint="eastAsia"/>
          <w:color w:val="auto"/>
          <w:spacing w:val="2"/>
        </w:rPr>
        <w:t>船</w:t>
      </w:r>
      <w:r>
        <w:rPr>
          <w:rFonts w:hint="eastAsia"/>
          <w:color w:val="auto"/>
        </w:rPr>
        <w:t>、</w:t>
      </w:r>
      <w:r>
        <w:rPr>
          <w:rFonts w:hint="eastAsia"/>
          <w:color w:val="auto"/>
          <w:spacing w:val="2"/>
        </w:rPr>
        <w:t>围油</w:t>
      </w:r>
      <w:r>
        <w:rPr>
          <w:rFonts w:hint="eastAsia"/>
          <w:color w:val="auto"/>
        </w:rPr>
        <w:t>栏</w:t>
      </w:r>
      <w:r>
        <w:rPr>
          <w:rFonts w:hint="eastAsia"/>
          <w:color w:val="auto"/>
          <w:spacing w:val="2"/>
        </w:rPr>
        <w:t>布放</w:t>
      </w:r>
      <w:r>
        <w:rPr>
          <w:rFonts w:hint="eastAsia"/>
          <w:color w:val="auto"/>
        </w:rPr>
        <w:t>艇</w:t>
      </w:r>
      <w:r>
        <w:rPr>
          <w:rFonts w:hint="eastAsia"/>
          <w:color w:val="auto"/>
          <w:spacing w:val="2"/>
        </w:rPr>
        <w:t>拖</w:t>
      </w:r>
      <w:r>
        <w:rPr>
          <w:rFonts w:hint="eastAsia"/>
          <w:color w:val="auto"/>
        </w:rPr>
        <w:t>带</w:t>
      </w:r>
      <w:r>
        <w:rPr>
          <w:rFonts w:hint="eastAsia"/>
          <w:color w:val="auto"/>
          <w:spacing w:val="2"/>
        </w:rPr>
        <w:t>导</w:t>
      </w:r>
      <w:r>
        <w:rPr>
          <w:rFonts w:hint="eastAsia"/>
          <w:color w:val="auto"/>
        </w:rPr>
        <w:t>流</w:t>
      </w:r>
      <w:r>
        <w:rPr>
          <w:rFonts w:hint="eastAsia"/>
          <w:color w:val="auto"/>
          <w:spacing w:val="2"/>
        </w:rPr>
        <w:t>型围</w:t>
      </w:r>
      <w:r>
        <w:rPr>
          <w:rFonts w:hint="eastAsia"/>
          <w:color w:val="auto"/>
        </w:rPr>
        <w:t>油</w:t>
      </w:r>
      <w:r>
        <w:rPr>
          <w:rFonts w:hint="eastAsia"/>
          <w:color w:val="auto"/>
          <w:spacing w:val="2"/>
        </w:rPr>
        <w:t>栏组</w:t>
      </w:r>
      <w:r>
        <w:rPr>
          <w:rFonts w:hint="eastAsia"/>
          <w:color w:val="auto"/>
          <w:spacing w:val="7"/>
        </w:rPr>
        <w:t>成</w:t>
      </w:r>
      <w:r>
        <w:rPr>
          <w:color w:val="auto"/>
          <w:spacing w:val="-1"/>
        </w:rPr>
        <w:t>“</w:t>
      </w:r>
      <w:r>
        <w:rPr>
          <w:color w:val="auto"/>
        </w:rPr>
        <w:t>V</w:t>
      </w:r>
      <w:r>
        <w:rPr>
          <w:color w:val="auto"/>
          <w:spacing w:val="1"/>
        </w:rPr>
        <w:t>”</w:t>
      </w:r>
      <w:r>
        <w:rPr>
          <w:rFonts w:hint="eastAsia"/>
          <w:color w:val="auto"/>
        </w:rPr>
        <w:t>字</w:t>
      </w:r>
      <w:r>
        <w:rPr>
          <w:rFonts w:hint="eastAsia"/>
          <w:color w:val="auto"/>
          <w:spacing w:val="2"/>
        </w:rPr>
        <w:t>型</w:t>
      </w:r>
      <w:r>
        <w:rPr>
          <w:rFonts w:hint="eastAsia"/>
          <w:color w:val="auto"/>
        </w:rPr>
        <w:t>高</w:t>
      </w:r>
      <w:r>
        <w:rPr>
          <w:rFonts w:hint="eastAsia"/>
          <w:color w:val="auto"/>
          <w:spacing w:val="2"/>
        </w:rPr>
        <w:t>效</w:t>
      </w:r>
      <w:r>
        <w:rPr>
          <w:rFonts w:hint="eastAsia"/>
          <w:color w:val="auto"/>
        </w:rPr>
        <w:t>应</w:t>
      </w:r>
      <w:r>
        <w:rPr>
          <w:rFonts w:hint="eastAsia"/>
          <w:color w:val="auto"/>
          <w:spacing w:val="2"/>
        </w:rPr>
        <w:t>急组</w:t>
      </w:r>
      <w:r>
        <w:rPr>
          <w:rFonts w:hint="eastAsia"/>
          <w:color w:val="auto"/>
        </w:rPr>
        <w:t>合</w:t>
      </w:r>
      <w:r>
        <w:rPr>
          <w:rFonts w:hint="eastAsia"/>
          <w:color w:val="auto"/>
          <w:spacing w:val="2"/>
        </w:rPr>
        <w:t>，在</w:t>
      </w:r>
      <w:r>
        <w:rPr>
          <w:rFonts w:hint="eastAsia"/>
          <w:color w:val="auto"/>
        </w:rPr>
        <w:t>溢</w:t>
      </w:r>
      <w:r>
        <w:rPr>
          <w:rFonts w:hint="eastAsia"/>
          <w:color w:val="auto"/>
          <w:spacing w:val="2"/>
        </w:rPr>
        <w:t>油流</w:t>
      </w:r>
      <w:r>
        <w:rPr>
          <w:rFonts w:hint="eastAsia"/>
          <w:color w:val="auto"/>
        </w:rPr>
        <w:t>向</w:t>
      </w:r>
      <w:r>
        <w:rPr>
          <w:rFonts w:hint="eastAsia"/>
          <w:color w:val="auto"/>
          <w:spacing w:val="2"/>
        </w:rPr>
        <w:t>的</w:t>
      </w:r>
      <w:r>
        <w:rPr>
          <w:rFonts w:hint="eastAsia"/>
          <w:color w:val="auto"/>
        </w:rPr>
        <w:t>下</w:t>
      </w:r>
      <w:r>
        <w:rPr>
          <w:rFonts w:hint="eastAsia"/>
          <w:color w:val="auto"/>
          <w:spacing w:val="2"/>
        </w:rPr>
        <w:t>风</w:t>
      </w:r>
      <w:r>
        <w:rPr>
          <w:rFonts w:hint="eastAsia"/>
          <w:color w:val="auto"/>
        </w:rPr>
        <w:t>向</w:t>
      </w:r>
      <w:r>
        <w:rPr>
          <w:rFonts w:hint="eastAsia"/>
          <w:color w:val="auto"/>
          <w:spacing w:val="2"/>
        </w:rPr>
        <w:t>，</w:t>
      </w:r>
      <w:r>
        <w:rPr>
          <w:rFonts w:hint="eastAsia"/>
          <w:color w:val="auto"/>
        </w:rPr>
        <w:t>迎着</w:t>
      </w:r>
      <w:r>
        <w:rPr>
          <w:rFonts w:hint="eastAsia"/>
          <w:color w:val="auto"/>
          <w:spacing w:val="2"/>
        </w:rPr>
        <w:t>回收</w:t>
      </w:r>
      <w:r>
        <w:rPr>
          <w:rFonts w:hint="eastAsia"/>
          <w:color w:val="auto"/>
        </w:rPr>
        <w:t>。</w:t>
      </w:r>
      <w:r>
        <w:rPr>
          <w:rFonts w:hint="eastAsia"/>
          <w:color w:val="auto"/>
          <w:spacing w:val="2"/>
        </w:rPr>
        <w:t>并</w:t>
      </w:r>
      <w:r>
        <w:rPr>
          <w:rFonts w:hint="eastAsia"/>
          <w:color w:val="auto"/>
        </w:rPr>
        <w:t>随</w:t>
      </w:r>
      <w:r>
        <w:rPr>
          <w:rFonts w:hint="eastAsia"/>
          <w:color w:val="auto"/>
          <w:spacing w:val="2"/>
        </w:rPr>
        <w:t>时</w:t>
      </w:r>
      <w:r>
        <w:rPr>
          <w:rFonts w:hint="eastAsia"/>
          <w:color w:val="auto"/>
        </w:rPr>
        <w:t>调</w:t>
      </w:r>
      <w:r>
        <w:rPr>
          <w:rFonts w:hint="eastAsia"/>
          <w:color w:val="auto"/>
          <w:spacing w:val="5"/>
        </w:rPr>
        <w:t>整</w:t>
      </w:r>
      <w:r>
        <w:rPr>
          <w:color w:val="auto"/>
          <w:spacing w:val="-1"/>
        </w:rPr>
        <w:t>“</w:t>
      </w:r>
      <w:r>
        <w:rPr>
          <w:color w:val="auto"/>
        </w:rPr>
        <w:t>V</w:t>
      </w:r>
      <w:r>
        <w:rPr>
          <w:color w:val="auto"/>
          <w:spacing w:val="1"/>
        </w:rPr>
        <w:t>”</w:t>
      </w:r>
      <w:r>
        <w:rPr>
          <w:rFonts w:hint="eastAsia"/>
          <w:color w:val="auto"/>
          <w:spacing w:val="2"/>
        </w:rPr>
        <w:t>的张</w:t>
      </w:r>
      <w:r>
        <w:rPr>
          <w:rFonts w:hint="eastAsia"/>
          <w:color w:val="auto"/>
        </w:rPr>
        <w:t>口</w:t>
      </w:r>
      <w:r>
        <w:rPr>
          <w:rFonts w:hint="eastAsia"/>
          <w:color w:val="auto"/>
          <w:spacing w:val="2"/>
        </w:rPr>
        <w:t>或</w:t>
      </w:r>
      <w:r>
        <w:rPr>
          <w:rFonts w:hint="eastAsia"/>
          <w:color w:val="auto"/>
        </w:rPr>
        <w:t>进</w:t>
      </w:r>
      <w:r>
        <w:rPr>
          <w:rFonts w:hint="eastAsia"/>
          <w:color w:val="auto"/>
          <w:spacing w:val="2"/>
        </w:rPr>
        <w:t>行</w:t>
      </w:r>
      <w:r>
        <w:rPr>
          <w:rFonts w:hint="eastAsia"/>
          <w:color w:val="auto"/>
        </w:rPr>
        <w:t>流</w:t>
      </w:r>
      <w:r>
        <w:rPr>
          <w:rFonts w:hint="eastAsia"/>
          <w:color w:val="auto"/>
          <w:spacing w:val="2"/>
        </w:rPr>
        <w:t>动</w:t>
      </w:r>
      <w:r>
        <w:rPr>
          <w:rFonts w:hint="eastAsia"/>
          <w:color w:val="auto"/>
        </w:rPr>
        <w:t>回收</w:t>
      </w:r>
      <w:r>
        <w:rPr>
          <w:rFonts w:hint="eastAsia"/>
          <w:color w:val="auto"/>
          <w:spacing w:val="2"/>
        </w:rPr>
        <w:t>，哪</w:t>
      </w:r>
      <w:r>
        <w:rPr>
          <w:rFonts w:hint="eastAsia"/>
          <w:color w:val="auto"/>
        </w:rPr>
        <w:t>里</w:t>
      </w:r>
      <w:r>
        <w:rPr>
          <w:rFonts w:hint="eastAsia"/>
          <w:color w:val="auto"/>
          <w:spacing w:val="2"/>
        </w:rPr>
        <w:t>有</w:t>
      </w:r>
      <w:r>
        <w:rPr>
          <w:rFonts w:hint="eastAsia"/>
          <w:color w:val="auto"/>
        </w:rPr>
        <w:t>油</w:t>
      </w:r>
      <w:r>
        <w:rPr>
          <w:rFonts w:hint="eastAsia"/>
          <w:color w:val="auto"/>
          <w:spacing w:val="2"/>
        </w:rPr>
        <w:t>污带</w:t>
      </w:r>
      <w:r>
        <w:rPr>
          <w:rFonts w:hint="eastAsia"/>
          <w:color w:val="auto"/>
        </w:rPr>
        <w:t>就在哪里回收。</w:t>
      </w:r>
    </w:p>
    <w:p w14:paraId="16544355">
      <w:pPr>
        <w:ind w:firstLine="480"/>
        <w:rPr>
          <w:color w:val="auto"/>
        </w:rPr>
      </w:pPr>
      <w:r>
        <w:rPr>
          <w:rFonts w:hint="eastAsia"/>
          <w:color w:val="auto"/>
        </w:rPr>
        <w:t>迅速调动其他或社会清污能力予以支援</w:t>
      </w:r>
      <w:r>
        <w:rPr>
          <w:rFonts w:hint="eastAsia"/>
          <w:color w:val="auto"/>
          <w:spacing w:val="-22"/>
        </w:rPr>
        <w:t>，</w:t>
      </w:r>
      <w:r>
        <w:rPr>
          <w:rFonts w:hint="eastAsia"/>
          <w:color w:val="auto"/>
        </w:rPr>
        <w:t>组织另一</w:t>
      </w:r>
      <w:r>
        <w:rPr>
          <w:rFonts w:hint="eastAsia"/>
          <w:color w:val="auto"/>
          <w:spacing w:val="1"/>
        </w:rPr>
        <w:t>组</w:t>
      </w:r>
      <w:r>
        <w:rPr>
          <w:color w:val="auto"/>
          <w:spacing w:val="-1"/>
        </w:rPr>
        <w:t>“</w:t>
      </w:r>
      <w:r>
        <w:rPr>
          <w:rFonts w:hint="eastAsia"/>
          <w:color w:val="auto"/>
        </w:rPr>
        <w:t>高效应急组合</w:t>
      </w:r>
      <w:r>
        <w:rPr>
          <w:color w:val="auto"/>
          <w:spacing w:val="1"/>
        </w:rPr>
        <w:t>”</w:t>
      </w:r>
      <w:r>
        <w:rPr>
          <w:rFonts w:hint="eastAsia"/>
          <w:color w:val="auto"/>
        </w:rPr>
        <w:t>第二防线的回收作业，而后才组织其他清污处置。</w:t>
      </w:r>
    </w:p>
    <w:p w14:paraId="39A7C15C">
      <w:pPr>
        <w:ind w:firstLine="480"/>
        <w:rPr>
          <w:color w:val="auto"/>
        </w:rPr>
      </w:pPr>
      <w:r>
        <w:rPr>
          <w:rFonts w:hint="eastAsia"/>
          <w:color w:val="auto"/>
        </w:rPr>
        <w:t>吸油材料进行吸附回收，慎用分散剂</w:t>
      </w:r>
      <w:r>
        <w:rPr>
          <w:rFonts w:hint="eastAsia"/>
          <w:color w:val="auto"/>
          <w:spacing w:val="1"/>
        </w:rPr>
        <w:t>，</w:t>
      </w:r>
      <w:r>
        <w:rPr>
          <w:rFonts w:hint="eastAsia"/>
          <w:color w:val="auto"/>
        </w:rPr>
        <w:t>确保周围保护区不受二次污染。</w:t>
      </w:r>
    </w:p>
    <w:p w14:paraId="73B1CA13">
      <w:pPr>
        <w:pStyle w:val="5"/>
        <w:rPr>
          <w:color w:val="auto"/>
        </w:rPr>
      </w:pPr>
      <w:bookmarkStart w:id="560" w:name="_Toc223595786"/>
      <w:bookmarkStart w:id="561" w:name="_Toc223258496"/>
      <w:r>
        <w:rPr>
          <w:color w:val="auto"/>
        </w:rPr>
        <w:t>风险应急预案</w:t>
      </w:r>
      <w:bookmarkEnd w:id="560"/>
      <w:bookmarkEnd w:id="561"/>
    </w:p>
    <w:p w14:paraId="06A22B13">
      <w:pPr>
        <w:pStyle w:val="4"/>
        <w:rPr>
          <w:color w:val="auto"/>
        </w:rPr>
      </w:pPr>
      <w:r>
        <w:rPr>
          <w:rFonts w:hint="eastAsia"/>
          <w:color w:val="auto"/>
        </w:rPr>
        <w:t>应急</w:t>
      </w:r>
      <w:r>
        <w:rPr>
          <w:color w:val="auto"/>
        </w:rPr>
        <w:t>预案的编制及现有的应急措施</w:t>
      </w:r>
    </w:p>
    <w:p w14:paraId="165B283C">
      <w:pPr>
        <w:ind w:firstLine="480"/>
        <w:rPr>
          <w:color w:val="auto"/>
        </w:rPr>
      </w:pPr>
      <w:r>
        <w:rPr>
          <w:rFonts w:hint="eastAsia"/>
          <w:color w:val="auto"/>
        </w:rPr>
        <w:t>（1）项目已编制了《广西东油沥青有限公司突发环境事件应急预案》并备案（备案编号：</w:t>
      </w:r>
      <w:r>
        <w:rPr>
          <w:color w:val="auto"/>
        </w:rPr>
        <w:t>450702-2023-071-M</w:t>
      </w:r>
      <w:r>
        <w:rPr>
          <w:rFonts w:hint="eastAsia"/>
          <w:color w:val="auto"/>
        </w:rPr>
        <w:t>）。本次</w:t>
      </w:r>
      <w:r>
        <w:rPr>
          <w:color w:val="auto"/>
        </w:rPr>
        <w:t>扩建</w:t>
      </w:r>
      <w:r>
        <w:rPr>
          <w:rFonts w:hint="eastAsia"/>
          <w:color w:val="auto"/>
        </w:rPr>
        <w:t>项目新增甲基叔丁基醚（MTBE）、石脑油、蜡油、渣油、异辛烷（烷基化油）的装卸和储存。拟建项目后续需根据建设内容、建设单位内部管理规定等特征，</w:t>
      </w:r>
      <w:r>
        <w:rPr>
          <w:color w:val="auto"/>
        </w:rPr>
        <w:t>在投入运营前，修订完善现有的环境风险应急预案并进行报备。</w:t>
      </w:r>
    </w:p>
    <w:p w14:paraId="42233F58">
      <w:pPr>
        <w:ind w:firstLine="480"/>
        <w:rPr>
          <w:color w:val="auto"/>
        </w:rPr>
      </w:pPr>
      <w:r>
        <w:rPr>
          <w:rFonts w:hint="eastAsia"/>
          <w:color w:val="auto"/>
        </w:rPr>
        <w:t>（2）项目于栈桥</w:t>
      </w:r>
      <w:r>
        <w:rPr>
          <w:color w:val="auto"/>
        </w:rPr>
        <w:t>底部与后方库区连接处设置</w:t>
      </w:r>
      <w:r>
        <w:rPr>
          <w:rFonts w:hint="eastAsia"/>
          <w:color w:val="auto"/>
        </w:rPr>
        <w:t>1个</w:t>
      </w:r>
      <w:r>
        <w:rPr>
          <w:color w:val="auto"/>
        </w:rPr>
        <w:t>事故应急池，</w:t>
      </w:r>
      <w:r>
        <w:rPr>
          <w:rFonts w:hint="eastAsia"/>
          <w:color w:val="auto"/>
        </w:rPr>
        <w:t>容积为</w:t>
      </w:r>
      <w:r>
        <w:rPr>
          <w:color w:val="auto"/>
        </w:rPr>
        <w:t>2000</w:t>
      </w:r>
      <w:r>
        <w:rPr>
          <w:rFonts w:hint="eastAsia"/>
          <w:color w:val="auto"/>
        </w:rPr>
        <w:t>0m</w:t>
      </w:r>
      <w:r>
        <w:rPr>
          <w:rFonts w:hint="eastAsia"/>
          <w:color w:val="auto"/>
          <w:vertAlign w:val="superscript"/>
        </w:rPr>
        <w:t>3</w:t>
      </w:r>
      <w:r>
        <w:rPr>
          <w:rFonts w:hint="eastAsia"/>
          <w:color w:val="auto"/>
        </w:rPr>
        <w:t>。同时，在码头作业平台装卸区设置围堰（长宽高：</w:t>
      </w:r>
      <w:r>
        <w:rPr>
          <w:color w:val="auto"/>
        </w:rPr>
        <w:t>34</w:t>
      </w:r>
      <w:r>
        <w:rPr>
          <w:rFonts w:hint="eastAsia"/>
          <w:color w:val="auto"/>
        </w:rPr>
        <w:t>m×</w:t>
      </w:r>
      <w:r>
        <w:rPr>
          <w:color w:val="auto"/>
        </w:rPr>
        <w:t>17</w:t>
      </w:r>
      <w:r>
        <w:rPr>
          <w:rFonts w:hint="eastAsia"/>
          <w:color w:val="auto"/>
        </w:rPr>
        <w:t>m×0.2m，有效容积</w:t>
      </w:r>
      <w:r>
        <w:rPr>
          <w:color w:val="auto"/>
        </w:rPr>
        <w:t>350</w:t>
      </w:r>
      <w:r>
        <w:rPr>
          <w:rFonts w:hint="eastAsia"/>
          <w:color w:val="auto"/>
        </w:rPr>
        <w:t>m</w:t>
      </w:r>
      <w:r>
        <w:rPr>
          <w:rFonts w:hint="eastAsia"/>
          <w:color w:val="auto"/>
          <w:vertAlign w:val="superscript"/>
        </w:rPr>
        <w:t>3</w:t>
      </w:r>
      <w:r>
        <w:rPr>
          <w:rFonts w:hint="eastAsia"/>
          <w:color w:val="auto"/>
        </w:rPr>
        <w:t>），码头装卸区设置集污池（有效容积约</w:t>
      </w:r>
      <w:r>
        <w:rPr>
          <w:color w:val="auto"/>
        </w:rPr>
        <w:t>1</w:t>
      </w:r>
      <w:r>
        <w:rPr>
          <w:rFonts w:hint="eastAsia"/>
          <w:color w:val="auto"/>
        </w:rPr>
        <w:t>m</w:t>
      </w:r>
      <w:r>
        <w:rPr>
          <w:rFonts w:hint="eastAsia"/>
          <w:color w:val="auto"/>
          <w:vertAlign w:val="superscript"/>
        </w:rPr>
        <w:t>3</w:t>
      </w:r>
      <w:r>
        <w:rPr>
          <w:rFonts w:hint="eastAsia"/>
          <w:color w:val="auto"/>
        </w:rPr>
        <w:t>）；后方</w:t>
      </w:r>
      <w:r>
        <w:rPr>
          <w:color w:val="auto"/>
        </w:rPr>
        <w:t>库区</w:t>
      </w:r>
      <w:r>
        <w:rPr>
          <w:rFonts w:hint="eastAsia"/>
          <w:color w:val="auto"/>
        </w:rPr>
        <w:t>5个</w:t>
      </w:r>
      <w:r>
        <w:rPr>
          <w:color w:val="auto"/>
        </w:rPr>
        <w:t>罐组均设置高于</w:t>
      </w:r>
      <w:r>
        <w:rPr>
          <w:rFonts w:hint="eastAsia"/>
          <w:color w:val="auto"/>
        </w:rPr>
        <w:t>1</w:t>
      </w:r>
      <w:r>
        <w:rPr>
          <w:color w:val="auto"/>
        </w:rPr>
        <w:t>m的围堰</w:t>
      </w:r>
      <w:r>
        <w:rPr>
          <w:rFonts w:hint="eastAsia"/>
          <w:color w:val="auto"/>
        </w:rPr>
        <w:t>。</w:t>
      </w:r>
    </w:p>
    <w:p w14:paraId="31437343">
      <w:pPr>
        <w:ind w:firstLine="480"/>
        <w:rPr>
          <w:color w:val="auto"/>
        </w:rPr>
      </w:pPr>
      <w:r>
        <w:rPr>
          <w:rFonts w:hint="eastAsia"/>
          <w:color w:val="auto"/>
        </w:rPr>
        <w:t>（3）码头后方罐区、事故应急池等重点防渗区域设置防渗涂层；在码头作业区设置围堰和导流设施；危废暂存库采用</w:t>
      </w:r>
      <w:r>
        <w:rPr>
          <w:color w:val="auto"/>
        </w:rPr>
        <w:t>防渗涂层，</w:t>
      </w:r>
      <w:r>
        <w:rPr>
          <w:rFonts w:hint="eastAsia"/>
          <w:color w:val="auto"/>
        </w:rPr>
        <w:t>设置</w:t>
      </w:r>
      <w:r>
        <w:rPr>
          <w:color w:val="auto"/>
        </w:rPr>
        <w:t>收集池和导流沟</w:t>
      </w:r>
      <w:r>
        <w:rPr>
          <w:rFonts w:hint="eastAsia"/>
          <w:color w:val="auto"/>
        </w:rPr>
        <w:t>。</w:t>
      </w:r>
    </w:p>
    <w:p w14:paraId="4246B3FB">
      <w:pPr>
        <w:ind w:firstLine="480"/>
        <w:rPr>
          <w:color w:val="auto"/>
        </w:rPr>
      </w:pPr>
      <w:r>
        <w:rPr>
          <w:rFonts w:hint="eastAsia"/>
          <w:color w:val="auto"/>
        </w:rPr>
        <w:t>（4）项目库区设置2间应急物资库，分别为溢油应急物资库和应急物资库。应急物资库按照《广西东油沥青有限公司突发环境事件应急预案》并备案（备案编号：450702-2023-071-M）中的要求进行环境风险应急物资储备。</w:t>
      </w:r>
    </w:p>
    <w:p w14:paraId="2D736A65">
      <w:pPr>
        <w:ind w:firstLine="480"/>
        <w:rPr>
          <w:color w:val="auto"/>
        </w:rPr>
      </w:pPr>
      <w:r>
        <w:rPr>
          <w:rFonts w:hint="eastAsia"/>
          <w:color w:val="auto"/>
        </w:rPr>
        <w:t>（5）项目在码头装卸区</w:t>
      </w:r>
      <w:r>
        <w:rPr>
          <w:color w:val="auto"/>
        </w:rPr>
        <w:t>、罐组区域</w:t>
      </w:r>
      <w:r>
        <w:rPr>
          <w:rFonts w:hint="eastAsia"/>
          <w:color w:val="auto"/>
        </w:rPr>
        <w:t>设置可燃气体监测仪、紧急阀门，每隔一定距离设置火灾报警按钮。码头前方装卸平台上及</w:t>
      </w:r>
      <w:r>
        <w:rPr>
          <w:color w:val="auto"/>
        </w:rPr>
        <w:t>库区设置</w:t>
      </w:r>
      <w:r>
        <w:rPr>
          <w:rFonts w:hint="eastAsia"/>
          <w:color w:val="auto"/>
        </w:rPr>
        <w:t>工业</w:t>
      </w:r>
      <w:r>
        <w:rPr>
          <w:color w:val="auto"/>
        </w:rPr>
        <w:t>电视监控系统</w:t>
      </w:r>
      <w:r>
        <w:rPr>
          <w:rFonts w:hint="eastAsia"/>
          <w:color w:val="auto"/>
        </w:rPr>
        <w:t>。同时，在码头外侧设置溢油报警、检测器，并在水域设置1段</w:t>
      </w:r>
      <w:r>
        <w:rPr>
          <w:color w:val="auto"/>
        </w:rPr>
        <w:t>80</w:t>
      </w:r>
      <w:r>
        <w:rPr>
          <w:rFonts w:hint="eastAsia"/>
          <w:color w:val="auto"/>
        </w:rPr>
        <w:t>0m长度的永久布放型围油栏，作为防溢油设施将码头区域包围，有效减少事故状态下的污染物外溢。</w:t>
      </w:r>
    </w:p>
    <w:p w14:paraId="11F68E3C">
      <w:pPr>
        <w:ind w:firstLine="480"/>
        <w:rPr>
          <w:color w:val="auto"/>
        </w:rPr>
      </w:pPr>
      <w:r>
        <w:rPr>
          <w:rFonts w:hint="eastAsia"/>
          <w:color w:val="auto"/>
        </w:rPr>
        <w:t>（6）项目在现有码头上新增货种，每次仅停靠一条船，进行单一货种装卸，现有的风险措施及预案，可以满足新增货种的要求。</w:t>
      </w:r>
    </w:p>
    <w:p w14:paraId="3ABB4C98">
      <w:pPr>
        <w:pStyle w:val="4"/>
        <w:rPr>
          <w:color w:val="auto"/>
        </w:rPr>
      </w:pPr>
      <w:r>
        <w:rPr>
          <w:rFonts w:hint="eastAsia"/>
          <w:color w:val="auto"/>
        </w:rPr>
        <w:t>组织</w:t>
      </w:r>
      <w:r>
        <w:rPr>
          <w:color w:val="auto"/>
        </w:rPr>
        <w:t>机构</w:t>
      </w:r>
      <w:r>
        <w:rPr>
          <w:rFonts w:hint="eastAsia"/>
          <w:color w:val="auto"/>
        </w:rPr>
        <w:t>和</w:t>
      </w:r>
      <w:r>
        <w:rPr>
          <w:color w:val="auto"/>
        </w:rPr>
        <w:t>职责</w:t>
      </w:r>
    </w:p>
    <w:p w14:paraId="3E7630EB">
      <w:pPr>
        <w:ind w:left="480" w:firstLine="0" w:firstLineChars="0"/>
        <w:rPr>
          <w:b/>
          <w:color w:val="auto"/>
        </w:rPr>
      </w:pPr>
      <w:r>
        <w:rPr>
          <w:rFonts w:hint="eastAsia"/>
          <w:b/>
          <w:color w:val="auto"/>
        </w:rPr>
        <w:t>（1）组织</w:t>
      </w:r>
      <w:r>
        <w:rPr>
          <w:b/>
          <w:color w:val="auto"/>
        </w:rPr>
        <w:t>机构</w:t>
      </w:r>
    </w:p>
    <w:p w14:paraId="573F8F12">
      <w:pPr>
        <w:ind w:firstLine="480"/>
        <w:rPr>
          <w:color w:val="auto"/>
        </w:rPr>
      </w:pPr>
      <w:r>
        <w:rPr>
          <w:rFonts w:hint="eastAsia"/>
          <w:color w:val="auto"/>
        </w:rPr>
        <w:t>公司应急组织机构由应急领导小组、应急领导小组办公室、应急工作小组、应急处置技术组、应急专家、现场应急指挥部组成，公司应急组织体系如</w:t>
      </w:r>
      <w:r>
        <w:rPr>
          <w:color w:val="auto"/>
        </w:rPr>
        <w:t>下图：</w:t>
      </w:r>
    </w:p>
    <w:p w14:paraId="3C608E5D">
      <w:pPr>
        <w:ind w:firstLine="0" w:firstLineChars="0"/>
        <w:rPr>
          <w:color w:val="auto"/>
        </w:rPr>
      </w:pPr>
      <w:r>
        <w:rPr>
          <w:color w:val="auto"/>
        </w:rPr>
        <w:drawing>
          <wp:inline distT="0" distB="0" distL="0" distR="0">
            <wp:extent cx="5759450" cy="313055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03">
                      <a:extLst>
                        <a:ext uri="{28A0092B-C50C-407E-A947-70E740481C1C}">
                          <a14:useLocalDpi xmlns:a14="http://schemas.microsoft.com/office/drawing/2010/main" val="0"/>
                        </a:ext>
                      </a:extLst>
                    </a:blip>
                    <a:stretch>
                      <a:fillRect/>
                    </a:stretch>
                  </pic:blipFill>
                  <pic:spPr>
                    <a:xfrm>
                      <a:off x="0" y="0"/>
                      <a:ext cx="5759450" cy="3130550"/>
                    </a:xfrm>
                    <a:prstGeom prst="rect">
                      <a:avLst/>
                    </a:prstGeom>
                  </pic:spPr>
                </pic:pic>
              </a:graphicData>
            </a:graphic>
          </wp:inline>
        </w:drawing>
      </w:r>
    </w:p>
    <w:p w14:paraId="5F42640B">
      <w:pPr>
        <w:pStyle w:val="14"/>
        <w:rPr>
          <w:color w:val="auto"/>
        </w:rPr>
      </w:pPr>
      <w:r>
        <w:rPr>
          <w:rFonts w:hint="eastAsia"/>
          <w:color w:val="auto"/>
        </w:rPr>
        <w:t>图</w:t>
      </w:r>
      <w:r>
        <w:rPr>
          <w:color w:val="auto"/>
        </w:rPr>
        <w:t>5.8</w:t>
      </w:r>
      <w:r>
        <w:rPr>
          <w:color w:val="auto"/>
        </w:rPr>
        <w:noBreakHyphen/>
      </w:r>
      <w:r>
        <w:rPr>
          <w:color w:val="auto"/>
        </w:rPr>
        <w:t>1</w:t>
      </w:r>
      <w:r>
        <w:rPr>
          <w:rFonts w:hint="eastAsia"/>
          <w:color w:val="auto"/>
        </w:rPr>
        <w:t>公司应急组织机构图</w:t>
      </w:r>
    </w:p>
    <w:p w14:paraId="1104E72B">
      <w:pPr>
        <w:ind w:firstLine="482"/>
        <w:rPr>
          <w:b/>
          <w:color w:val="auto"/>
        </w:rPr>
      </w:pPr>
      <w:r>
        <w:rPr>
          <w:rFonts w:hint="eastAsia"/>
          <w:b/>
          <w:color w:val="auto"/>
        </w:rPr>
        <w:t>（2）职责</w:t>
      </w:r>
    </w:p>
    <w:p w14:paraId="0425290D">
      <w:pPr>
        <w:ind w:firstLine="480"/>
        <w:rPr>
          <w:color w:val="auto"/>
        </w:rPr>
      </w:pPr>
      <w:r>
        <w:rPr>
          <w:rFonts w:hint="eastAsia"/>
          <w:color w:val="auto"/>
        </w:rPr>
        <w:t>①</w:t>
      </w:r>
      <w:r>
        <w:rPr>
          <w:color w:val="auto"/>
        </w:rPr>
        <w:t>应急领导</w:t>
      </w:r>
      <w:r>
        <w:rPr>
          <w:rFonts w:hint="eastAsia"/>
          <w:color w:val="auto"/>
        </w:rPr>
        <w:t>小组</w:t>
      </w:r>
    </w:p>
    <w:p w14:paraId="20A495B1">
      <w:pPr>
        <w:ind w:firstLine="480"/>
        <w:rPr>
          <w:color w:val="auto"/>
        </w:rPr>
      </w:pPr>
      <w:r>
        <w:rPr>
          <w:rFonts w:hint="eastAsia"/>
          <w:color w:val="auto"/>
        </w:rPr>
        <w:t>应急领导小组由公司主要领导组成，是突发环境事件管理工作的领导机构。</w:t>
      </w:r>
    </w:p>
    <w:p w14:paraId="650F6317">
      <w:pPr>
        <w:ind w:firstLine="480"/>
        <w:rPr>
          <w:color w:val="auto"/>
        </w:rPr>
      </w:pPr>
      <w:r>
        <w:rPr>
          <w:rFonts w:hint="eastAsia"/>
          <w:color w:val="auto"/>
        </w:rPr>
        <w:t>组长：公司主要负责人；成员：公司总经理、副总经理、安全总监。</w:t>
      </w:r>
    </w:p>
    <w:p w14:paraId="1A59679D">
      <w:pPr>
        <w:ind w:firstLine="480"/>
        <w:rPr>
          <w:color w:val="auto"/>
        </w:rPr>
      </w:pPr>
      <w:r>
        <w:rPr>
          <w:rFonts w:hint="eastAsia"/>
          <w:color w:val="auto"/>
        </w:rPr>
        <w:t>负责公司级突发环境事件的应急组织领导和决策指挥工作，下达应急处置指令；必要时，派出现场工作小组指导有关工作。</w:t>
      </w:r>
    </w:p>
    <w:p w14:paraId="72E8A7FB">
      <w:pPr>
        <w:ind w:firstLine="480"/>
        <w:rPr>
          <w:color w:val="auto"/>
        </w:rPr>
      </w:pPr>
      <w:r>
        <w:rPr>
          <w:color w:val="auto"/>
        </w:rPr>
        <w:t>A</w:t>
      </w:r>
      <w:r>
        <w:rPr>
          <w:rFonts w:hint="eastAsia"/>
          <w:color w:val="auto"/>
        </w:rPr>
        <w:t>应急领导小组组长</w:t>
      </w:r>
    </w:p>
    <w:p w14:paraId="62813FFE">
      <w:pPr>
        <w:ind w:firstLine="480"/>
        <w:rPr>
          <w:color w:val="auto"/>
        </w:rPr>
      </w:pPr>
      <w:r>
        <w:rPr>
          <w:rFonts w:hint="eastAsia"/>
          <w:color w:val="auto"/>
        </w:rPr>
        <w:t>领导公司级突发环境事件应急响应和处理工作，担任公司级突发环境事件管理的最高指挥；</w:t>
      </w:r>
    </w:p>
    <w:p w14:paraId="1380DE33">
      <w:pPr>
        <w:ind w:firstLine="480"/>
        <w:rPr>
          <w:color w:val="auto"/>
        </w:rPr>
      </w:pPr>
      <w:r>
        <w:rPr>
          <w:rFonts w:hint="eastAsia"/>
          <w:color w:val="auto"/>
        </w:rPr>
        <w:t>组织审定、签发公司突发环境事件应急预案；</w:t>
      </w:r>
    </w:p>
    <w:p w14:paraId="51D905B8">
      <w:pPr>
        <w:ind w:firstLine="480"/>
        <w:rPr>
          <w:color w:val="auto"/>
        </w:rPr>
      </w:pPr>
      <w:r>
        <w:rPr>
          <w:rFonts w:hint="eastAsia"/>
          <w:color w:val="auto"/>
        </w:rPr>
        <w:t>下达公司级应急启动指令和终止指令；</w:t>
      </w:r>
    </w:p>
    <w:p w14:paraId="0DBD50B8">
      <w:pPr>
        <w:ind w:firstLine="480"/>
        <w:rPr>
          <w:color w:val="auto"/>
        </w:rPr>
      </w:pPr>
      <w:r>
        <w:rPr>
          <w:rFonts w:hint="eastAsia"/>
          <w:color w:val="auto"/>
        </w:rPr>
        <w:t>批准重大应急决策；</w:t>
      </w:r>
    </w:p>
    <w:p w14:paraId="32CE5366">
      <w:pPr>
        <w:ind w:firstLine="480"/>
        <w:rPr>
          <w:color w:val="auto"/>
        </w:rPr>
      </w:pPr>
      <w:r>
        <w:rPr>
          <w:rFonts w:hint="eastAsia"/>
          <w:color w:val="auto"/>
        </w:rPr>
        <w:t>带领或指派现场工作小组，赶赴现场处置突发事件；</w:t>
      </w:r>
    </w:p>
    <w:p w14:paraId="30623E82">
      <w:pPr>
        <w:ind w:firstLine="480"/>
        <w:rPr>
          <w:color w:val="auto"/>
        </w:rPr>
      </w:pPr>
      <w:r>
        <w:rPr>
          <w:rFonts w:hint="eastAsia"/>
          <w:color w:val="auto"/>
        </w:rPr>
        <w:t>决定向上级或政府有关部门报告，审定并签发报告；</w:t>
      </w:r>
    </w:p>
    <w:p w14:paraId="4404BB85">
      <w:pPr>
        <w:ind w:firstLine="480"/>
        <w:rPr>
          <w:color w:val="auto"/>
        </w:rPr>
      </w:pPr>
      <w:r>
        <w:rPr>
          <w:rFonts w:hint="eastAsia"/>
          <w:color w:val="auto"/>
        </w:rPr>
        <w:t>审定应急事件上报材料，根据主管上级部门有关规定授权相关人员协助政府相关部门对外新闻发布工作。</w:t>
      </w:r>
    </w:p>
    <w:p w14:paraId="049AC34C">
      <w:pPr>
        <w:ind w:firstLine="480"/>
        <w:rPr>
          <w:color w:val="auto"/>
        </w:rPr>
      </w:pPr>
      <w:r>
        <w:rPr>
          <w:rFonts w:hint="eastAsia"/>
          <w:color w:val="auto"/>
        </w:rPr>
        <w:t>B应急领导小组成员</w:t>
      </w:r>
    </w:p>
    <w:p w14:paraId="4042F641">
      <w:pPr>
        <w:ind w:firstLine="480"/>
        <w:rPr>
          <w:color w:val="auto"/>
        </w:rPr>
      </w:pPr>
      <w:r>
        <w:rPr>
          <w:rFonts w:hint="eastAsia"/>
          <w:color w:val="auto"/>
        </w:rPr>
        <w:t>协助组长指挥突发环境事件应急工作；根据组长的授权，代行组长职责，实施应急指挥工作；参与编制、审定公司应急预案。</w:t>
      </w:r>
    </w:p>
    <w:p w14:paraId="63EDE591">
      <w:pPr>
        <w:ind w:firstLine="480"/>
        <w:rPr>
          <w:color w:val="auto"/>
        </w:rPr>
      </w:pPr>
      <w:r>
        <w:rPr>
          <w:rFonts w:hint="eastAsia" w:ascii="宋体" w:hAnsi="宋体" w:cs="宋体"/>
          <w:color w:val="auto"/>
          <w:lang w:eastAsia="ja-JP"/>
        </w:rPr>
        <w:t>②</w:t>
      </w:r>
      <w:r>
        <w:rPr>
          <w:rFonts w:hint="eastAsia"/>
          <w:color w:val="auto"/>
        </w:rPr>
        <w:t>应急领导小组办公室</w:t>
      </w:r>
    </w:p>
    <w:p w14:paraId="388CD03B">
      <w:pPr>
        <w:ind w:firstLine="480"/>
        <w:rPr>
          <w:color w:val="auto"/>
        </w:rPr>
      </w:pPr>
      <w:r>
        <w:rPr>
          <w:rFonts w:hint="eastAsia"/>
          <w:color w:val="auto"/>
        </w:rPr>
        <w:t>设立应急领导小组办公室，负责公司日常应急事务管理；应急预案管理；日常应急信息报告与指令的传达，定期组织测试应急通信系统。统筹规划应急平台建设，建立应急资源数据库，做好应急装备的储备及分布配备等工作，协调应急资源，建立健全专兼职应急救援队伍，指导构建畅通的应急信息网络；督导日常应急准备、员工应急培训、应急演练等工作；应急时，根据应急</w:t>
      </w:r>
      <w:r>
        <w:rPr>
          <w:rFonts w:hint="eastAsia"/>
          <w:color w:val="auto"/>
          <w:lang w:eastAsia="zh-CN"/>
        </w:rPr>
        <w:t>工作领导小组</w:t>
      </w:r>
      <w:r>
        <w:rPr>
          <w:rFonts w:hint="eastAsia"/>
          <w:color w:val="auto"/>
        </w:rPr>
        <w:t>安排，组织现场工作小组赴现场指导应急处置工作；跟踪公司应急领导小组工作指令的落实情况。监督公司各部门业务管辖范围内的日常应急管理和准备工作，包括各单位建立健全业务范围内的专项应急预案。</w:t>
      </w:r>
    </w:p>
    <w:p w14:paraId="0D1D3823">
      <w:pPr>
        <w:ind w:firstLine="480"/>
        <w:rPr>
          <w:color w:val="auto"/>
        </w:rPr>
      </w:pPr>
      <w:r>
        <w:rPr>
          <w:rFonts w:hint="eastAsia"/>
          <w:color w:val="auto"/>
        </w:rPr>
        <w:t>③应急</w:t>
      </w:r>
      <w:r>
        <w:rPr>
          <w:color w:val="auto"/>
        </w:rPr>
        <w:t>工作小组</w:t>
      </w:r>
    </w:p>
    <w:p w14:paraId="34FF3BE1">
      <w:pPr>
        <w:ind w:firstLine="480"/>
        <w:rPr>
          <w:color w:val="auto"/>
        </w:rPr>
      </w:pPr>
      <w:r>
        <w:rPr>
          <w:rFonts w:hint="eastAsia"/>
          <w:color w:val="auto"/>
        </w:rPr>
        <w:t>应急工作小组是公司应急指挥机构，具体组织实施应急处置工作。</w:t>
      </w:r>
    </w:p>
    <w:p w14:paraId="3EA9042D">
      <w:pPr>
        <w:ind w:firstLine="480"/>
        <w:rPr>
          <w:color w:val="auto"/>
        </w:rPr>
      </w:pPr>
      <w:r>
        <w:rPr>
          <w:rFonts w:hint="eastAsia"/>
          <w:color w:val="auto"/>
        </w:rPr>
        <w:t>组长：公司安全总监；成员：公司各部门主要负责人。</w:t>
      </w:r>
    </w:p>
    <w:p w14:paraId="7511F93A">
      <w:pPr>
        <w:ind w:firstLine="480"/>
        <w:rPr>
          <w:color w:val="auto"/>
        </w:rPr>
      </w:pPr>
      <w:r>
        <w:rPr>
          <w:rFonts w:hint="eastAsia"/>
          <w:color w:val="auto"/>
        </w:rPr>
        <w:t>主要工作职责：在公司应急领导小组的指挥下负责处置突发环境事件，组织协调突发环境事件的预防预警、应急指挥、应急救援、资源保障、调查评估、信息报告等工作；组织公司级生产突发环境事件善后处理和恢复重建；负责应急领导小组交办的</w:t>
      </w:r>
      <w:r>
        <w:rPr>
          <w:rFonts w:hint="eastAsia"/>
          <w:color w:val="auto"/>
          <w:lang w:eastAsia="zh-CN"/>
        </w:rPr>
        <w:t>其他事项</w:t>
      </w:r>
      <w:r>
        <w:rPr>
          <w:rFonts w:hint="eastAsia"/>
          <w:color w:val="auto"/>
        </w:rPr>
        <w:t>。</w:t>
      </w:r>
    </w:p>
    <w:p w14:paraId="4D931FD4">
      <w:pPr>
        <w:ind w:firstLine="480"/>
        <w:rPr>
          <w:color w:val="auto"/>
        </w:rPr>
      </w:pPr>
      <w:r>
        <w:rPr>
          <w:rFonts w:hint="eastAsia"/>
          <w:color w:val="auto"/>
        </w:rPr>
        <w:t>A应急工作小组组长</w:t>
      </w:r>
    </w:p>
    <w:p w14:paraId="2038E84D">
      <w:pPr>
        <w:ind w:firstLine="480"/>
        <w:rPr>
          <w:color w:val="auto"/>
        </w:rPr>
      </w:pPr>
      <w:r>
        <w:rPr>
          <w:rFonts w:hint="eastAsia"/>
          <w:color w:val="auto"/>
        </w:rPr>
        <w:t>根据应急信息，向应急领导小组组长报告，并提出进入应急状态的建议；</w:t>
      </w:r>
    </w:p>
    <w:p w14:paraId="4234951C">
      <w:pPr>
        <w:ind w:firstLine="480"/>
        <w:rPr>
          <w:color w:val="auto"/>
        </w:rPr>
      </w:pPr>
      <w:r>
        <w:rPr>
          <w:rFonts w:hint="eastAsia"/>
          <w:color w:val="auto"/>
        </w:rPr>
        <w:t>负责与主管上级部门、政府部门和事发单位保持联络，按照应急领导小组组长的要求，及时向主管上级部门和政府部门报告；</w:t>
      </w:r>
    </w:p>
    <w:p w14:paraId="7649236B">
      <w:pPr>
        <w:ind w:firstLine="480"/>
        <w:rPr>
          <w:color w:val="auto"/>
        </w:rPr>
      </w:pPr>
      <w:r>
        <w:rPr>
          <w:rFonts w:hint="eastAsia"/>
          <w:color w:val="auto"/>
        </w:rPr>
        <w:t>建立公司各职能部门之间的信息沟通渠道，适时组织召开相关部门负责人联席会议；</w:t>
      </w:r>
    </w:p>
    <w:p w14:paraId="6EE0AE50">
      <w:pPr>
        <w:ind w:firstLine="480"/>
        <w:rPr>
          <w:color w:val="auto"/>
        </w:rPr>
      </w:pPr>
      <w:r>
        <w:rPr>
          <w:rFonts w:hint="eastAsia"/>
          <w:color w:val="auto"/>
        </w:rPr>
        <w:t>跟踪突发环境事件动态，随时向应急领导小组组长提供进展情况，并传达应急领导小组组长的指令；</w:t>
      </w:r>
    </w:p>
    <w:p w14:paraId="3C8C2960">
      <w:pPr>
        <w:ind w:firstLine="480"/>
        <w:rPr>
          <w:color w:val="auto"/>
        </w:rPr>
      </w:pPr>
      <w:r>
        <w:rPr>
          <w:rFonts w:hint="eastAsia"/>
          <w:color w:val="auto"/>
        </w:rPr>
        <w:t>完成应急领导小组组长交办的</w:t>
      </w:r>
      <w:r>
        <w:rPr>
          <w:rFonts w:hint="eastAsia"/>
          <w:color w:val="auto"/>
          <w:lang w:eastAsia="zh-CN"/>
        </w:rPr>
        <w:t>其他事项</w:t>
      </w:r>
      <w:r>
        <w:rPr>
          <w:rFonts w:hint="eastAsia"/>
          <w:color w:val="auto"/>
        </w:rPr>
        <w:t>。</w:t>
      </w:r>
    </w:p>
    <w:p w14:paraId="681C1A85">
      <w:pPr>
        <w:ind w:firstLine="480"/>
        <w:rPr>
          <w:color w:val="auto"/>
        </w:rPr>
      </w:pPr>
      <w:r>
        <w:rPr>
          <w:color w:val="auto"/>
        </w:rPr>
        <w:t>B</w:t>
      </w:r>
      <w:r>
        <w:rPr>
          <w:rFonts w:hint="eastAsia"/>
          <w:color w:val="auto"/>
        </w:rPr>
        <w:t>应急工作小组成员职责</w:t>
      </w:r>
    </w:p>
    <w:p w14:paraId="19324792">
      <w:pPr>
        <w:ind w:firstLine="480"/>
        <w:rPr>
          <w:color w:val="auto"/>
        </w:rPr>
      </w:pPr>
      <w:r>
        <w:rPr>
          <w:rFonts w:hint="eastAsia"/>
          <w:color w:val="auto"/>
        </w:rPr>
        <w:t>根据突发环境事件应急动态，随时向应急工作小组组长提供进展情况，并传达应急工作小组组长的指令；</w:t>
      </w:r>
    </w:p>
    <w:p w14:paraId="38F06B0E">
      <w:pPr>
        <w:ind w:firstLine="480"/>
        <w:rPr>
          <w:color w:val="auto"/>
        </w:rPr>
      </w:pPr>
      <w:r>
        <w:rPr>
          <w:rFonts w:hint="eastAsia"/>
          <w:color w:val="auto"/>
        </w:rPr>
        <w:t>综合办公室负责人组织建立物资及后勤保障组，保障应急物资及后勤供应，根据应急工作小组组长指令组织应急救援保障物资的转运、供应及发放；</w:t>
      </w:r>
    </w:p>
    <w:p w14:paraId="7A47C8B5">
      <w:pPr>
        <w:ind w:firstLine="480"/>
        <w:rPr>
          <w:color w:val="auto"/>
        </w:rPr>
      </w:pPr>
      <w:r>
        <w:rPr>
          <w:rFonts w:hint="eastAsia"/>
          <w:color w:val="auto"/>
        </w:rPr>
        <w:t>生产技术部负责人组织建立工艺处置组，组织生产厂区相关人员制定工艺应急处置方案，在生产厂区发生应急事件时提供工艺应急技术支持，组织协调环境监测人员对事故现场周边环境有害物质进行检测及实时监测，并及时通报应急领导小组，组织生产工艺处置及恢复，协调应急处置水、气、风等工艺物料供应；</w:t>
      </w:r>
    </w:p>
    <w:p w14:paraId="2EEBB2AE">
      <w:pPr>
        <w:ind w:firstLine="480"/>
        <w:rPr>
          <w:color w:val="auto"/>
        </w:rPr>
      </w:pPr>
      <w:r>
        <w:rPr>
          <w:rFonts w:hint="eastAsia"/>
          <w:color w:val="auto"/>
        </w:rPr>
        <w:t>安全环保部负责人组织建立消防抢险组、安全环保组、治安保卫组，发生应急事件时调动协调消防力量、医疗力量实施应急救援；配合环境监测人员对事故现场环境有害物质进行检测及实时监测，根据检测结果调动和协调保安人员对现场进行安全警戒；组织人员搜救及清点；</w:t>
      </w:r>
    </w:p>
    <w:p w14:paraId="2332787B">
      <w:pPr>
        <w:ind w:firstLine="480"/>
        <w:rPr>
          <w:color w:val="auto"/>
        </w:rPr>
      </w:pPr>
      <w:r>
        <w:rPr>
          <w:rFonts w:hint="eastAsia"/>
          <w:color w:val="auto"/>
        </w:rPr>
        <w:t>设备工程部负责人组织建立工程抢险组，根据应急指挥部指令对事故现场设备、设施进行抢修，负责事故现场应急供电设施保证，负责事故现场应急设备、设施维护，保证运行良好。</w:t>
      </w:r>
    </w:p>
    <w:p w14:paraId="6244D428">
      <w:pPr>
        <w:pStyle w:val="4"/>
        <w:rPr>
          <w:color w:val="auto"/>
        </w:rPr>
      </w:pPr>
      <w:r>
        <w:rPr>
          <w:rFonts w:hint="eastAsia"/>
          <w:color w:val="auto"/>
        </w:rPr>
        <w:t>预防</w:t>
      </w:r>
      <w:r>
        <w:rPr>
          <w:color w:val="auto"/>
        </w:rPr>
        <w:t>和预警</w:t>
      </w:r>
    </w:p>
    <w:p w14:paraId="058BFBB2">
      <w:pPr>
        <w:ind w:firstLine="480"/>
        <w:rPr>
          <w:color w:val="auto"/>
        </w:rPr>
      </w:pPr>
      <w:r>
        <w:rPr>
          <w:rFonts w:hint="eastAsia"/>
          <w:color w:val="auto"/>
        </w:rPr>
        <w:t>（1）环境污染事故危险源监控</w:t>
      </w:r>
    </w:p>
    <w:p w14:paraId="66438420">
      <w:pPr>
        <w:ind w:firstLine="480"/>
        <w:rPr>
          <w:color w:val="auto"/>
        </w:rPr>
      </w:pPr>
      <w:r>
        <w:rPr>
          <w:rFonts w:hint="eastAsia"/>
          <w:color w:val="auto"/>
        </w:rPr>
        <w:t>公司所属区域范围内的容易引发重大突发环境事件的危险源包括公司重大危险源、码头至厂区输油管道，危险源属地单位要对危险源环境风险进行识别、登记、风险评估，并组织进行检查、监控，落实防范措施，对突发事件进行预防。防范措施包括安全防范措施及环境保护防范措施。</w:t>
      </w:r>
    </w:p>
    <w:p w14:paraId="47309CC3">
      <w:pPr>
        <w:ind w:firstLine="480"/>
        <w:rPr>
          <w:color w:val="auto"/>
        </w:rPr>
      </w:pPr>
      <w:r>
        <w:rPr>
          <w:rFonts w:hint="eastAsia"/>
          <w:color w:val="auto"/>
        </w:rPr>
        <w:t>①环境</w:t>
      </w:r>
      <w:r>
        <w:rPr>
          <w:color w:val="auto"/>
        </w:rPr>
        <w:t>监控</w:t>
      </w:r>
    </w:p>
    <w:p w14:paraId="2EFAB637">
      <w:pPr>
        <w:ind w:firstLine="480"/>
        <w:rPr>
          <w:color w:val="auto"/>
        </w:rPr>
      </w:pPr>
      <w:r>
        <w:rPr>
          <w:rFonts w:hint="eastAsia"/>
          <w:color w:val="auto"/>
        </w:rPr>
        <w:t>油品储运和码头库区的日常监测工作，由储运中控室DCS和SIS系统进行监测，并由当班中控人员负责监测数据的存档、上报和日常管理工作。</w:t>
      </w:r>
    </w:p>
    <w:p w14:paraId="632D197F">
      <w:pPr>
        <w:ind w:firstLine="480"/>
        <w:rPr>
          <w:color w:val="auto"/>
        </w:rPr>
      </w:pPr>
      <w:r>
        <w:rPr>
          <w:rFonts w:hint="eastAsia"/>
          <w:color w:val="auto"/>
        </w:rPr>
        <w:t>②危险源监控</w:t>
      </w:r>
    </w:p>
    <w:p w14:paraId="5437FBD8">
      <w:pPr>
        <w:ind w:firstLine="480"/>
        <w:rPr>
          <w:color w:val="auto"/>
        </w:rPr>
      </w:pPr>
      <w:r>
        <w:rPr>
          <w:rFonts w:hint="eastAsia"/>
          <w:color w:val="auto"/>
        </w:rPr>
        <w:t>设有视频</w:t>
      </w:r>
      <w:r>
        <w:rPr>
          <w:color w:val="auto"/>
        </w:rPr>
        <w:t>监控系统，</w:t>
      </w:r>
      <w:r>
        <w:rPr>
          <w:rFonts w:hint="eastAsia"/>
          <w:color w:val="auto"/>
        </w:rPr>
        <w:t>码头及后方库区安装视频监控装置，覆盖整个码头及后方库区，码头库区安装的视频监控装置25台，汽油罐区2个高清视频，</w:t>
      </w:r>
      <w:r>
        <w:rPr>
          <w:rFonts w:hint="eastAsia"/>
          <w:color w:val="auto"/>
          <w:lang w:eastAsia="zh-CN"/>
        </w:rPr>
        <w:t>其他</w:t>
      </w:r>
      <w:r>
        <w:rPr>
          <w:rFonts w:hint="eastAsia"/>
          <w:color w:val="auto"/>
        </w:rPr>
        <w:t>罐区共5个。码头、值班室等处安装手动</w:t>
      </w:r>
      <w:r>
        <w:rPr>
          <w:color w:val="auto"/>
        </w:rPr>
        <w:t>报警装置，</w:t>
      </w:r>
      <w:r>
        <w:rPr>
          <w:rFonts w:hint="eastAsia"/>
          <w:color w:val="auto"/>
        </w:rPr>
        <w:t>由当班中控人员24h对重要部位、关键设备和危险源进行日常监控管理的各项工作。</w:t>
      </w:r>
    </w:p>
    <w:p w14:paraId="02C57E17">
      <w:pPr>
        <w:ind w:firstLine="480"/>
        <w:rPr>
          <w:color w:val="auto"/>
        </w:rPr>
      </w:pPr>
      <w:r>
        <w:rPr>
          <w:rFonts w:hint="eastAsia"/>
          <w:color w:val="auto"/>
        </w:rPr>
        <w:t>设有易燃气体泄漏报警装置，码头相关储存、装卸区域已安装易燃气体泄漏报警装置90台。</w:t>
      </w:r>
    </w:p>
    <w:p w14:paraId="6D82EC0E">
      <w:pPr>
        <w:ind w:firstLine="480"/>
        <w:rPr>
          <w:color w:val="auto"/>
        </w:rPr>
      </w:pPr>
      <w:r>
        <w:rPr>
          <w:rFonts w:hint="eastAsia"/>
          <w:color w:val="auto"/>
        </w:rPr>
        <w:t>防雷、防静电和设备接地管理措施：防雷、防静电、设备接地或接零、监测、</w:t>
      </w:r>
      <w:r>
        <w:rPr>
          <w:rFonts w:hint="eastAsia"/>
          <w:color w:val="auto"/>
          <w:lang w:eastAsia="zh-CN"/>
        </w:rPr>
        <w:t>校验</w:t>
      </w:r>
      <w:r>
        <w:rPr>
          <w:rFonts w:hint="eastAsia"/>
          <w:color w:val="auto"/>
        </w:rPr>
        <w:t>，由服务维修中心电气专业负责和安排，HSE部负责监督。</w:t>
      </w:r>
    </w:p>
    <w:p w14:paraId="52A6BBAA">
      <w:pPr>
        <w:ind w:firstLine="480"/>
        <w:rPr>
          <w:color w:val="auto"/>
        </w:rPr>
      </w:pPr>
      <w:r>
        <w:rPr>
          <w:rFonts w:hint="eastAsia"/>
          <w:color w:val="auto"/>
        </w:rPr>
        <w:t>（2）监测</w:t>
      </w:r>
      <w:r>
        <w:rPr>
          <w:color w:val="auto"/>
        </w:rPr>
        <w:t>与</w:t>
      </w:r>
      <w:r>
        <w:rPr>
          <w:rFonts w:hint="eastAsia"/>
          <w:color w:val="auto"/>
        </w:rPr>
        <w:t>预警</w:t>
      </w:r>
    </w:p>
    <w:p w14:paraId="617A4CC9">
      <w:pPr>
        <w:ind w:firstLine="480"/>
        <w:rPr>
          <w:color w:val="auto"/>
        </w:rPr>
      </w:pPr>
      <w:r>
        <w:rPr>
          <w:rFonts w:hint="eastAsia"/>
          <w:color w:val="auto"/>
        </w:rPr>
        <w:t>当信息系统监测出现以下情况时，预警启动：</w:t>
      </w:r>
    </w:p>
    <w:p w14:paraId="2BE0A7AB">
      <w:pPr>
        <w:pStyle w:val="127"/>
        <w:numPr>
          <w:ilvl w:val="0"/>
          <w:numId w:val="26"/>
        </w:numPr>
        <w:ind w:firstLineChars="0"/>
        <w:rPr>
          <w:color w:val="auto"/>
        </w:rPr>
      </w:pPr>
      <w:r>
        <w:rPr>
          <w:rFonts w:hint="eastAsia"/>
          <w:color w:val="auto"/>
        </w:rPr>
        <w:t>易燃易爆物质有泄漏并有逐步扩大的趋势且短时间内难以控制时；</w:t>
      </w:r>
    </w:p>
    <w:p w14:paraId="648D0D22">
      <w:pPr>
        <w:pStyle w:val="127"/>
        <w:numPr>
          <w:ilvl w:val="0"/>
          <w:numId w:val="26"/>
        </w:numPr>
        <w:ind w:firstLineChars="0"/>
        <w:rPr>
          <w:color w:val="auto"/>
        </w:rPr>
      </w:pPr>
      <w:r>
        <w:rPr>
          <w:rFonts w:hint="eastAsia"/>
          <w:color w:val="auto"/>
        </w:rPr>
        <w:t>高温可燃物质泄漏并有逐步扩大的趋势且短时间内难以控制时；</w:t>
      </w:r>
    </w:p>
    <w:p w14:paraId="123DAC2B">
      <w:pPr>
        <w:pStyle w:val="127"/>
        <w:numPr>
          <w:ilvl w:val="0"/>
          <w:numId w:val="26"/>
        </w:numPr>
        <w:ind w:firstLineChars="0"/>
        <w:rPr>
          <w:color w:val="auto"/>
        </w:rPr>
      </w:pPr>
      <w:r>
        <w:rPr>
          <w:rFonts w:hint="eastAsia"/>
          <w:color w:val="auto"/>
        </w:rPr>
        <w:t>易燃、可燃物质泄漏并有逐步扩大的趋势，易引发着火灾、爆炸时；</w:t>
      </w:r>
    </w:p>
    <w:p w14:paraId="6302A6CA">
      <w:pPr>
        <w:pStyle w:val="127"/>
        <w:numPr>
          <w:ilvl w:val="0"/>
          <w:numId w:val="26"/>
        </w:numPr>
        <w:ind w:firstLineChars="0"/>
        <w:rPr>
          <w:color w:val="auto"/>
        </w:rPr>
      </w:pPr>
      <w:r>
        <w:rPr>
          <w:rFonts w:hint="eastAsia"/>
          <w:color w:val="auto"/>
        </w:rPr>
        <w:t>重要、关键设备设施故障并可能威胁到环境时；</w:t>
      </w:r>
    </w:p>
    <w:p w14:paraId="77C583EC">
      <w:pPr>
        <w:pStyle w:val="127"/>
        <w:numPr>
          <w:ilvl w:val="0"/>
          <w:numId w:val="26"/>
        </w:numPr>
        <w:ind w:firstLineChars="0"/>
        <w:rPr>
          <w:color w:val="auto"/>
        </w:rPr>
      </w:pPr>
      <w:r>
        <w:rPr>
          <w:rFonts w:hint="eastAsia"/>
          <w:color w:val="auto"/>
        </w:rPr>
        <w:t>发现明火且可能引发火灾、爆炸事故造成环境污染的；</w:t>
      </w:r>
    </w:p>
    <w:p w14:paraId="6F62EE31">
      <w:pPr>
        <w:pStyle w:val="127"/>
        <w:numPr>
          <w:ilvl w:val="0"/>
          <w:numId w:val="26"/>
        </w:numPr>
        <w:ind w:firstLineChars="0"/>
        <w:rPr>
          <w:color w:val="auto"/>
        </w:rPr>
      </w:pPr>
      <w:r>
        <w:rPr>
          <w:rFonts w:hint="eastAsia"/>
          <w:color w:val="auto"/>
        </w:rPr>
        <w:t>其他有可能发生环境事件。</w:t>
      </w:r>
    </w:p>
    <w:p w14:paraId="4158B893">
      <w:pPr>
        <w:ind w:firstLine="480"/>
        <w:rPr>
          <w:color w:val="auto"/>
        </w:rPr>
      </w:pPr>
      <w:r>
        <w:rPr>
          <w:rFonts w:hint="eastAsia"/>
          <w:color w:val="auto"/>
        </w:rPr>
        <w:t>预警</w:t>
      </w:r>
      <w:r>
        <w:rPr>
          <w:color w:val="auto"/>
        </w:rPr>
        <w:t>程序：</w:t>
      </w:r>
    </w:p>
    <w:p w14:paraId="03ADB31A">
      <w:pPr>
        <w:pStyle w:val="127"/>
        <w:numPr>
          <w:ilvl w:val="0"/>
          <w:numId w:val="27"/>
        </w:numPr>
        <w:ind w:firstLineChars="0"/>
        <w:rPr>
          <w:color w:val="auto"/>
        </w:rPr>
      </w:pPr>
      <w:r>
        <w:rPr>
          <w:rFonts w:hint="eastAsia"/>
          <w:color w:val="auto"/>
        </w:rPr>
        <w:t>应急工作小组接到现场负责人环境事件报告后发布预警；</w:t>
      </w:r>
    </w:p>
    <w:p w14:paraId="39BC9BCD">
      <w:pPr>
        <w:pStyle w:val="127"/>
        <w:numPr>
          <w:ilvl w:val="0"/>
          <w:numId w:val="27"/>
        </w:numPr>
        <w:ind w:firstLineChars="0"/>
        <w:rPr>
          <w:color w:val="auto"/>
        </w:rPr>
      </w:pPr>
      <w:r>
        <w:rPr>
          <w:rFonts w:hint="eastAsia"/>
          <w:color w:val="auto"/>
        </w:rPr>
        <w:t>应急办公室向突发事件可能涉及的周边单位和相关政府部门、上级公司发布和传递预警信息；</w:t>
      </w:r>
    </w:p>
    <w:p w14:paraId="13B1D986">
      <w:pPr>
        <w:pStyle w:val="127"/>
        <w:numPr>
          <w:ilvl w:val="0"/>
          <w:numId w:val="27"/>
        </w:numPr>
        <w:ind w:firstLineChars="0"/>
        <w:rPr>
          <w:color w:val="auto"/>
        </w:rPr>
      </w:pPr>
      <w:r>
        <w:rPr>
          <w:rFonts w:hint="eastAsia"/>
          <w:color w:val="auto"/>
        </w:rPr>
        <w:t>应急工作小组召开应急准备工作会议，确定具体应急准备工作内容；公司相关部门按照本预案和专项应急预案要求，进入应急响应前的准备状态，做好各项应急响应准备工作；</w:t>
      </w:r>
    </w:p>
    <w:p w14:paraId="28F29930">
      <w:pPr>
        <w:pStyle w:val="127"/>
        <w:numPr>
          <w:ilvl w:val="0"/>
          <w:numId w:val="27"/>
        </w:numPr>
        <w:ind w:firstLineChars="0"/>
        <w:rPr>
          <w:color w:val="auto"/>
        </w:rPr>
      </w:pPr>
      <w:r>
        <w:rPr>
          <w:rFonts w:hint="eastAsia"/>
          <w:color w:val="auto"/>
        </w:rPr>
        <w:t>应急办公室密切跟踪事态发展情况，及时向应急工作小组报告。应急工作小组根据事态发展情况，公司所属单位做好突发事件的防范控制工作；</w:t>
      </w:r>
    </w:p>
    <w:p w14:paraId="7DEB800E">
      <w:pPr>
        <w:pStyle w:val="127"/>
        <w:numPr>
          <w:ilvl w:val="0"/>
          <w:numId w:val="27"/>
        </w:numPr>
        <w:ind w:firstLineChars="0"/>
        <w:rPr>
          <w:color w:val="auto"/>
        </w:rPr>
      </w:pPr>
      <w:r>
        <w:rPr>
          <w:rFonts w:hint="eastAsia"/>
          <w:color w:val="auto"/>
        </w:rPr>
        <w:t>达到突发事件公司级标准时，启动应急响应；</w:t>
      </w:r>
    </w:p>
    <w:p w14:paraId="4E9C8D13">
      <w:pPr>
        <w:pStyle w:val="127"/>
        <w:numPr>
          <w:ilvl w:val="0"/>
          <w:numId w:val="27"/>
        </w:numPr>
        <w:ind w:firstLineChars="0"/>
        <w:rPr>
          <w:color w:val="auto"/>
        </w:rPr>
      </w:pPr>
      <w:r>
        <w:rPr>
          <w:rFonts w:hint="eastAsia"/>
          <w:color w:val="auto"/>
        </w:rPr>
        <w:t>根据已预警突发事件的情况变化，本单位负责人适时宣布预警解除。</w:t>
      </w:r>
    </w:p>
    <w:p w14:paraId="66DCF2A2">
      <w:pPr>
        <w:pStyle w:val="4"/>
        <w:rPr>
          <w:color w:val="auto"/>
        </w:rPr>
      </w:pPr>
      <w:r>
        <w:rPr>
          <w:rFonts w:hint="eastAsia"/>
          <w:color w:val="auto"/>
        </w:rPr>
        <w:t>应急</w:t>
      </w:r>
      <w:r>
        <w:rPr>
          <w:color w:val="auto"/>
        </w:rPr>
        <w:t>响应</w:t>
      </w:r>
    </w:p>
    <w:p w14:paraId="45551DCC">
      <w:pPr>
        <w:ind w:firstLine="480"/>
        <w:rPr>
          <w:color w:val="auto"/>
        </w:rPr>
      </w:pPr>
      <w:r>
        <w:rPr>
          <w:rFonts w:hint="eastAsia"/>
          <w:color w:val="auto"/>
        </w:rPr>
        <w:t>应急响应过程可分为接警、判断响应级别、应急启动、控制及救援行动、扩大应急、应急状态解除等步骤。应针对应急响应分步骤制定应急程序，并按事先制定程序指导各类突发事件应急响应。各类型突发事件应按照公司相关专项预案的要求实施应急处置，在各专项预案中还应明确针对可能发生次生事件的处置方法。</w:t>
      </w:r>
    </w:p>
    <w:p w14:paraId="6D64F8FE">
      <w:pPr>
        <w:ind w:firstLine="480"/>
        <w:rPr>
          <w:color w:val="auto"/>
        </w:rPr>
      </w:pPr>
      <w:r>
        <w:rPr>
          <w:rFonts w:hint="eastAsia"/>
          <w:color w:val="auto"/>
        </w:rPr>
        <w:t>当突发事件的事态无法有效控制时，应按照有关程序向上级公司、政府应急机构请求扩大应急响应。</w:t>
      </w:r>
    </w:p>
    <w:p w14:paraId="55B118F7">
      <w:pPr>
        <w:ind w:firstLine="482"/>
        <w:rPr>
          <w:b/>
          <w:color w:val="auto"/>
        </w:rPr>
      </w:pPr>
      <w:r>
        <w:rPr>
          <w:rFonts w:hint="eastAsia"/>
          <w:b/>
          <w:color w:val="auto"/>
        </w:rPr>
        <w:t>（1）分级</w:t>
      </w:r>
      <w:r>
        <w:rPr>
          <w:b/>
          <w:color w:val="auto"/>
        </w:rPr>
        <w:t>响应</w:t>
      </w:r>
    </w:p>
    <w:p w14:paraId="06179CC4">
      <w:pPr>
        <w:ind w:firstLine="480"/>
        <w:rPr>
          <w:color w:val="auto"/>
        </w:rPr>
      </w:pPr>
      <w:r>
        <w:rPr>
          <w:rFonts w:hint="eastAsia"/>
          <w:color w:val="auto"/>
        </w:rPr>
        <w:t>公司按照有关规定全面负责公司突发环境事件应急处置工作，并坚持属地为主的原则，</w:t>
      </w:r>
      <w:r>
        <w:rPr>
          <w:rFonts w:hint="eastAsia"/>
          <w:color w:val="auto"/>
          <w:u w:val="single"/>
        </w:rPr>
        <w:t>当突发事态扩大超过公司应急能力时，公司应急领导小组及时请求钦州市生态环境局、钦州市钦州港经济技术开发区生态环境局及相关部门等根据情况给予协调支援。</w:t>
      </w:r>
    </w:p>
    <w:p w14:paraId="52E5C74B">
      <w:pPr>
        <w:ind w:firstLine="480"/>
        <w:rPr>
          <w:color w:val="auto"/>
        </w:rPr>
      </w:pPr>
      <w:r>
        <w:rPr>
          <w:rFonts w:hint="eastAsia"/>
          <w:color w:val="auto"/>
        </w:rPr>
        <w:t>按突发环境事件的可控性、严重程度和影响范围，突发环境事件的应急响应分为三级响应：</w:t>
      </w:r>
    </w:p>
    <w:p w14:paraId="541B7C02">
      <w:pPr>
        <w:ind w:firstLine="480"/>
        <w:rPr>
          <w:color w:val="auto"/>
          <w:u w:val="single"/>
        </w:rPr>
      </w:pPr>
      <w:r>
        <w:rPr>
          <w:rFonts w:hint="eastAsia"/>
          <w:color w:val="auto"/>
          <w:u w:val="single"/>
        </w:rPr>
        <w:t>一级应急响应（公司级）：指突然发生，事态较为严重，对员工、相关方的生命安全、设备财产、生产经营和工作秩序造成较为严重的危害或威胁，已经或可能造成人员伤亡、较大财产损失或环境污染和生态破坏，造成社会影响和对企业声誉产生较大影响，需要全公司力量和资源或需要外部应急支援进行应急处置的事件。</w:t>
      </w:r>
    </w:p>
    <w:p w14:paraId="3D714AEB">
      <w:pPr>
        <w:ind w:firstLine="480"/>
        <w:rPr>
          <w:color w:val="auto"/>
          <w:u w:val="single"/>
        </w:rPr>
      </w:pPr>
      <w:r>
        <w:rPr>
          <w:rFonts w:hint="eastAsia"/>
          <w:color w:val="auto"/>
          <w:u w:val="single"/>
        </w:rPr>
        <w:t>二级应急响应（车间级）：指突然发生，对员工、相关方的生命安全、设备财产、生产经营和工作秩序造成一定危害或威胁，可能造成人员伤害、财产损失或环境污染，依靠装置力量和资源就能进行应急处置的事件。</w:t>
      </w:r>
    </w:p>
    <w:p w14:paraId="3E53EC51">
      <w:pPr>
        <w:ind w:firstLine="480"/>
        <w:rPr>
          <w:color w:val="auto"/>
          <w:u w:val="single"/>
        </w:rPr>
      </w:pPr>
      <w:r>
        <w:rPr>
          <w:rFonts w:hint="eastAsia"/>
          <w:color w:val="auto"/>
          <w:u w:val="single"/>
        </w:rPr>
        <w:t>三级应急响应（班组级）：指突然发生，对员工、相关方的生命安全、设备财产、生产经营和工作秩序造成轻微危害或威胁，依靠班组力量和资源就能进行应急处置的事件。</w:t>
      </w:r>
    </w:p>
    <w:p w14:paraId="349DBC30">
      <w:pPr>
        <w:ind w:firstLine="482"/>
        <w:rPr>
          <w:b/>
          <w:color w:val="auto"/>
        </w:rPr>
      </w:pPr>
      <w:r>
        <w:rPr>
          <w:rFonts w:hint="eastAsia"/>
          <w:b/>
          <w:color w:val="auto"/>
        </w:rPr>
        <w:t>（2）信息报告与处置</w:t>
      </w:r>
    </w:p>
    <w:p w14:paraId="22495255">
      <w:pPr>
        <w:ind w:firstLine="480"/>
        <w:rPr>
          <w:color w:val="auto"/>
        </w:rPr>
      </w:pPr>
      <w:r>
        <w:rPr>
          <w:rFonts w:hint="eastAsia"/>
          <w:color w:val="auto"/>
        </w:rPr>
        <w:t>事故发生后，事故现场有关人员应立即向生产调度及单位领导报告。</w:t>
      </w:r>
    </w:p>
    <w:p w14:paraId="71E858FF">
      <w:pPr>
        <w:ind w:firstLine="480"/>
        <w:rPr>
          <w:color w:val="auto"/>
        </w:rPr>
      </w:pPr>
      <w:r>
        <w:rPr>
          <w:rFonts w:hint="eastAsia"/>
          <w:color w:val="auto"/>
        </w:rPr>
        <w:t>事故报告主要内容包括：事故发生单位、时间、地点、伤亡人数、初步原因判断、目前采取措施及控制情况。</w:t>
      </w:r>
    </w:p>
    <w:p w14:paraId="79AB31D5">
      <w:pPr>
        <w:ind w:firstLine="480"/>
        <w:rPr>
          <w:color w:val="auto"/>
        </w:rPr>
      </w:pPr>
      <w:r>
        <w:rPr>
          <w:rFonts w:hint="eastAsia"/>
          <w:color w:val="auto"/>
        </w:rPr>
        <w:t>公司24小时应急值守电话是：3886027（内线86027）、18777724311；若发生火灾事故，应首先报火警。电话：3881119（公司消防）、119（外部消防）。</w:t>
      </w:r>
    </w:p>
    <w:p w14:paraId="37A3BAAE">
      <w:pPr>
        <w:pStyle w:val="4"/>
        <w:rPr>
          <w:color w:val="auto"/>
        </w:rPr>
      </w:pPr>
      <w:r>
        <w:rPr>
          <w:rFonts w:hint="eastAsia"/>
          <w:color w:val="auto"/>
        </w:rPr>
        <w:t>善后</w:t>
      </w:r>
      <w:r>
        <w:rPr>
          <w:color w:val="auto"/>
        </w:rPr>
        <w:t>处置</w:t>
      </w:r>
    </w:p>
    <w:p w14:paraId="1F3D7A42">
      <w:pPr>
        <w:ind w:firstLine="480"/>
        <w:rPr>
          <w:color w:val="auto"/>
        </w:rPr>
      </w:pPr>
      <w:r>
        <w:rPr>
          <w:rFonts w:hint="eastAsia"/>
          <w:color w:val="auto"/>
        </w:rPr>
        <w:t>公司相关对应部门按照下面要求开展好善后处置工作：</w:t>
      </w:r>
    </w:p>
    <w:p w14:paraId="1487EFAD">
      <w:pPr>
        <w:ind w:firstLine="480"/>
        <w:rPr>
          <w:color w:val="auto"/>
        </w:rPr>
      </w:pPr>
      <w:r>
        <w:rPr>
          <w:rFonts w:hint="eastAsia"/>
          <w:color w:val="auto"/>
        </w:rPr>
        <w:t>（1）做好受污染区域内群众的政治思想工作，安定群众情绪；</w:t>
      </w:r>
    </w:p>
    <w:p w14:paraId="3E026E14">
      <w:pPr>
        <w:ind w:firstLine="480"/>
        <w:rPr>
          <w:color w:val="auto"/>
        </w:rPr>
      </w:pPr>
      <w:r>
        <w:rPr>
          <w:rFonts w:hint="eastAsia"/>
          <w:color w:val="auto"/>
        </w:rPr>
        <w:t>（2）做好受灾人员的安置及损失赔偿工作；</w:t>
      </w:r>
    </w:p>
    <w:p w14:paraId="7E45D1E0">
      <w:pPr>
        <w:ind w:firstLine="480"/>
        <w:rPr>
          <w:color w:val="auto"/>
        </w:rPr>
      </w:pPr>
      <w:r>
        <w:rPr>
          <w:rFonts w:hint="eastAsia"/>
          <w:color w:val="auto"/>
        </w:rPr>
        <w:t>（3）组织有关专家对受灾范围以及环境污染事故中长期环境影响进行科学评估，提出补偿和对遭受污染的生态环境进行恢复的建议。建立突发环境事件社会保险机制。对环境应急工作人员办理意外伤害保险。可能引起环境污染的企业事业单位，要依法办理相关责任险或其他险种。</w:t>
      </w:r>
    </w:p>
    <w:p w14:paraId="57916BB2">
      <w:pPr>
        <w:pStyle w:val="4"/>
        <w:rPr>
          <w:color w:val="auto"/>
        </w:rPr>
      </w:pPr>
      <w:r>
        <w:rPr>
          <w:rFonts w:hint="eastAsia"/>
          <w:color w:val="auto"/>
        </w:rPr>
        <w:t>应急</w:t>
      </w:r>
      <w:r>
        <w:rPr>
          <w:color w:val="auto"/>
        </w:rPr>
        <w:t>保障</w:t>
      </w:r>
    </w:p>
    <w:p w14:paraId="5C83B173">
      <w:pPr>
        <w:pStyle w:val="6"/>
        <w:rPr>
          <w:color w:val="auto"/>
        </w:rPr>
      </w:pPr>
      <w:r>
        <w:rPr>
          <w:rFonts w:hint="eastAsia"/>
          <w:color w:val="auto"/>
        </w:rPr>
        <w:t>应急物资情况</w:t>
      </w:r>
    </w:p>
    <w:p w14:paraId="7C552A80">
      <w:pPr>
        <w:ind w:firstLine="480"/>
        <w:rPr>
          <w:color w:val="auto"/>
        </w:rPr>
      </w:pPr>
      <w:r>
        <w:rPr>
          <w:rFonts w:hint="eastAsia"/>
          <w:color w:val="auto"/>
        </w:rPr>
        <w:t>公司的码头及</w:t>
      </w:r>
      <w:r>
        <w:rPr>
          <w:color w:val="auto"/>
        </w:rPr>
        <w:t>后方库区设置了</w:t>
      </w:r>
      <w:r>
        <w:rPr>
          <w:rFonts w:hint="eastAsia"/>
          <w:color w:val="auto"/>
        </w:rPr>
        <w:t>可燃气体检测报警系统、火灾自动报警系统、</w:t>
      </w:r>
      <w:r>
        <w:rPr>
          <w:color w:val="auto"/>
        </w:rPr>
        <w:t>监控系统</w:t>
      </w:r>
      <w:r>
        <w:rPr>
          <w:rFonts w:hint="eastAsia"/>
          <w:color w:val="auto"/>
        </w:rPr>
        <w:t>，</w:t>
      </w:r>
      <w:r>
        <w:rPr>
          <w:color w:val="auto"/>
        </w:rPr>
        <w:t>码头水域设置了</w:t>
      </w:r>
      <w:r>
        <w:rPr>
          <w:rFonts w:hint="eastAsia"/>
          <w:color w:val="auto"/>
        </w:rPr>
        <w:t>永久</w:t>
      </w:r>
      <w:r>
        <w:rPr>
          <w:color w:val="auto"/>
        </w:rPr>
        <w:t>布放型围油栏</w:t>
      </w:r>
      <w:r>
        <w:rPr>
          <w:rFonts w:hint="eastAsia"/>
          <w:color w:val="auto"/>
        </w:rPr>
        <w:t>。库区设有2个3000m</w:t>
      </w:r>
      <w:r>
        <w:rPr>
          <w:rFonts w:hint="eastAsia"/>
          <w:color w:val="auto"/>
          <w:vertAlign w:val="superscript"/>
        </w:rPr>
        <w:t>3</w:t>
      </w:r>
      <w:r>
        <w:rPr>
          <w:rFonts w:hint="eastAsia"/>
          <w:color w:val="auto"/>
        </w:rPr>
        <w:t>的消防水罐，连接库区和码头的消防水管，消防水罐。广西东油沥青有限公司与</w:t>
      </w:r>
      <w:r>
        <w:rPr>
          <w:color w:val="auto"/>
        </w:rPr>
        <w:t>钦州市桂通船舶服务有限公司签订</w:t>
      </w:r>
      <w:r>
        <w:rPr>
          <w:rFonts w:hint="eastAsia"/>
          <w:color w:val="auto"/>
        </w:rPr>
        <w:t>码头</w:t>
      </w:r>
      <w:r>
        <w:rPr>
          <w:color w:val="auto"/>
        </w:rPr>
        <w:t>溢油应急值守服务合同，委托钦州市桂通船舶服务有限公司</w:t>
      </w:r>
      <w:r>
        <w:rPr>
          <w:rFonts w:hint="eastAsia"/>
          <w:color w:val="auto"/>
        </w:rPr>
        <w:t>在</w:t>
      </w:r>
      <w:r>
        <w:rPr>
          <w:color w:val="auto"/>
        </w:rPr>
        <w:t>码头</w:t>
      </w:r>
      <w:r>
        <w:rPr>
          <w:rFonts w:hint="eastAsia"/>
          <w:color w:val="auto"/>
        </w:rPr>
        <w:t>监控</w:t>
      </w:r>
      <w:r>
        <w:rPr>
          <w:color w:val="auto"/>
        </w:rPr>
        <w:t>船舶溢油状况及溢油事故时的应急清除等工作。</w:t>
      </w:r>
      <w:r>
        <w:rPr>
          <w:rFonts w:hint="eastAsia"/>
          <w:color w:val="auto"/>
          <w:u w:val="single"/>
        </w:rPr>
        <w:t>本次</w:t>
      </w:r>
      <w:r>
        <w:rPr>
          <w:color w:val="auto"/>
          <w:u w:val="single"/>
        </w:rPr>
        <w:t>扩建项目主要依托现有工程的应急物资，</w:t>
      </w:r>
      <w:r>
        <w:rPr>
          <w:rFonts w:hint="eastAsia"/>
          <w:color w:val="auto"/>
          <w:u w:val="single"/>
        </w:rPr>
        <w:t>根据</w:t>
      </w:r>
      <w:r>
        <w:rPr>
          <w:color w:val="auto"/>
          <w:u w:val="single"/>
        </w:rPr>
        <w:t>已有的应急物资情况，基本</w:t>
      </w:r>
      <w:r>
        <w:rPr>
          <w:rFonts w:hint="eastAsia"/>
          <w:color w:val="auto"/>
          <w:u w:val="single"/>
        </w:rPr>
        <w:t>满足厂区突发环境事件应急要求。</w:t>
      </w:r>
      <w:r>
        <w:rPr>
          <w:rFonts w:hint="eastAsia"/>
          <w:color w:val="auto"/>
          <w:u w:val="single"/>
          <w:lang w:eastAsia="zh-CN"/>
        </w:rPr>
        <w:t>建议建设单位定时检查应急物资的消耗及时效情况，应急物资数量减少或失效时，及时补充。</w:t>
      </w:r>
      <w:r>
        <w:rPr>
          <w:rFonts w:hint="eastAsia"/>
          <w:color w:val="auto"/>
        </w:rPr>
        <w:t>现有</w:t>
      </w:r>
      <w:r>
        <w:rPr>
          <w:color w:val="auto"/>
        </w:rPr>
        <w:t>应急物资配备见下表。</w:t>
      </w:r>
    </w:p>
    <w:p w14:paraId="61E2376E">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5.8</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rFonts w:hint="eastAsia"/>
          <w:color w:val="auto"/>
        </w:rPr>
        <w:t>应急</w:t>
      </w:r>
      <w:r>
        <w:rPr>
          <w:color w:val="auto"/>
        </w:rPr>
        <w:t>物资配备表</w:t>
      </w:r>
    </w:p>
    <w:tbl>
      <w:tblPr>
        <w:tblStyle w:val="4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29"/>
        <w:gridCol w:w="545"/>
        <w:gridCol w:w="1539"/>
        <w:gridCol w:w="2239"/>
        <w:gridCol w:w="1115"/>
        <w:gridCol w:w="832"/>
        <w:gridCol w:w="1961"/>
      </w:tblGrid>
      <w:tr w14:paraId="4C2B8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restart"/>
            <w:vAlign w:val="center"/>
          </w:tcPr>
          <w:p w14:paraId="3E7556CB">
            <w:pPr>
              <w:pStyle w:val="91"/>
              <w:keepNext w:val="0"/>
              <w:keepLines w:val="0"/>
              <w:suppressLineNumbers w:val="0"/>
              <w:spacing w:before="0" w:beforeAutospacing="0" w:after="0" w:afterAutospacing="0"/>
              <w:ind w:left="0" w:right="0"/>
              <w:rPr>
                <w:rFonts w:hint="default"/>
                <w:color w:val="auto"/>
              </w:rPr>
            </w:pPr>
            <w:r>
              <w:rPr>
                <w:rFonts w:hint="default"/>
                <w:color w:val="auto"/>
              </w:rPr>
              <w:t>应急围控</w:t>
            </w:r>
          </w:p>
          <w:p w14:paraId="368F8FCD">
            <w:pPr>
              <w:pStyle w:val="91"/>
              <w:keepNext w:val="0"/>
              <w:keepLines w:val="0"/>
              <w:suppressLineNumbers w:val="0"/>
              <w:spacing w:before="0" w:beforeAutospacing="0" w:after="0" w:afterAutospacing="0"/>
              <w:ind w:left="0" w:right="0"/>
              <w:rPr>
                <w:rFonts w:hint="default"/>
                <w:color w:val="auto"/>
              </w:rPr>
            </w:pPr>
            <w:r>
              <w:rPr>
                <w:rFonts w:hint="default"/>
                <w:color w:val="auto"/>
              </w:rPr>
              <w:t>设备</w:t>
            </w:r>
          </w:p>
        </w:tc>
        <w:tc>
          <w:tcPr>
            <w:tcW w:w="363" w:type="pct"/>
            <w:vAlign w:val="center"/>
          </w:tcPr>
          <w:p w14:paraId="3C8C6E16">
            <w:pPr>
              <w:pStyle w:val="91"/>
              <w:keepNext w:val="0"/>
              <w:keepLines w:val="0"/>
              <w:suppressLineNumbers w:val="0"/>
              <w:spacing w:before="0" w:beforeAutospacing="0" w:after="0" w:afterAutospacing="0"/>
              <w:ind w:left="0" w:right="0"/>
              <w:rPr>
                <w:rFonts w:hint="default"/>
                <w:b/>
                <w:color w:val="auto"/>
              </w:rPr>
            </w:pPr>
            <w:r>
              <w:rPr>
                <w:rFonts w:hint="default"/>
                <w:b/>
                <w:color w:val="auto"/>
              </w:rPr>
              <w:t>序号</w:t>
            </w:r>
          </w:p>
        </w:tc>
        <w:tc>
          <w:tcPr>
            <w:tcW w:w="894" w:type="pct"/>
            <w:vAlign w:val="center"/>
          </w:tcPr>
          <w:p w14:paraId="726807D3">
            <w:pPr>
              <w:pStyle w:val="91"/>
              <w:keepNext w:val="0"/>
              <w:keepLines w:val="0"/>
              <w:suppressLineNumbers w:val="0"/>
              <w:spacing w:before="0" w:beforeAutospacing="0" w:after="0" w:afterAutospacing="0"/>
              <w:ind w:left="0" w:right="0"/>
              <w:rPr>
                <w:rFonts w:hint="default"/>
                <w:b/>
                <w:color w:val="auto"/>
              </w:rPr>
            </w:pPr>
            <w:r>
              <w:rPr>
                <w:rFonts w:hint="default"/>
                <w:b/>
                <w:color w:val="auto"/>
              </w:rPr>
              <w:t>设备名称</w:t>
            </w:r>
          </w:p>
        </w:tc>
        <w:tc>
          <w:tcPr>
            <w:tcW w:w="766" w:type="pct"/>
            <w:vAlign w:val="center"/>
          </w:tcPr>
          <w:p w14:paraId="1C010E95">
            <w:pPr>
              <w:pStyle w:val="91"/>
              <w:keepNext w:val="0"/>
              <w:keepLines w:val="0"/>
              <w:suppressLineNumbers w:val="0"/>
              <w:spacing w:before="0" w:beforeAutospacing="0" w:after="0" w:afterAutospacing="0"/>
              <w:ind w:left="0" w:right="0"/>
              <w:rPr>
                <w:rFonts w:hint="default"/>
                <w:b/>
                <w:color w:val="auto"/>
              </w:rPr>
            </w:pPr>
            <w:r>
              <w:rPr>
                <w:rFonts w:hint="default"/>
                <w:b/>
                <w:color w:val="auto"/>
              </w:rPr>
              <w:t>型号</w:t>
            </w:r>
          </w:p>
        </w:tc>
        <w:tc>
          <w:tcPr>
            <w:tcW w:w="1183" w:type="pct"/>
            <w:gridSpan w:val="2"/>
            <w:vAlign w:val="center"/>
          </w:tcPr>
          <w:p w14:paraId="6F993761">
            <w:pPr>
              <w:pStyle w:val="91"/>
              <w:keepNext w:val="0"/>
              <w:keepLines w:val="0"/>
              <w:suppressLineNumbers w:val="0"/>
              <w:spacing w:before="0" w:beforeAutospacing="0" w:after="0" w:afterAutospacing="0"/>
              <w:ind w:left="0" w:right="0"/>
              <w:rPr>
                <w:rFonts w:hint="default"/>
                <w:b/>
                <w:color w:val="auto"/>
              </w:rPr>
            </w:pPr>
            <w:r>
              <w:rPr>
                <w:rFonts w:hint="default"/>
                <w:b/>
                <w:color w:val="auto"/>
              </w:rPr>
              <w:t>类型高度（mm）</w:t>
            </w:r>
          </w:p>
        </w:tc>
        <w:tc>
          <w:tcPr>
            <w:tcW w:w="1119" w:type="pct"/>
            <w:vAlign w:val="center"/>
          </w:tcPr>
          <w:p w14:paraId="63EE687E">
            <w:pPr>
              <w:pStyle w:val="91"/>
              <w:keepNext w:val="0"/>
              <w:keepLines w:val="0"/>
              <w:suppressLineNumbers w:val="0"/>
              <w:spacing w:before="0" w:beforeAutospacing="0" w:after="0" w:afterAutospacing="0"/>
              <w:ind w:left="0" w:right="0"/>
              <w:rPr>
                <w:rFonts w:hint="default"/>
                <w:b/>
                <w:color w:val="auto"/>
              </w:rPr>
            </w:pPr>
            <w:r>
              <w:rPr>
                <w:rFonts w:hint="default"/>
                <w:b/>
                <w:color w:val="auto"/>
              </w:rPr>
              <w:t>数量</w:t>
            </w:r>
          </w:p>
        </w:tc>
      </w:tr>
      <w:tr w14:paraId="384BF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675" w:type="pct"/>
            <w:vMerge w:val="continue"/>
            <w:vAlign w:val="center"/>
          </w:tcPr>
          <w:p w14:paraId="3C9E6D1F">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24CD11F5">
            <w:pPr>
              <w:pStyle w:val="91"/>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894" w:type="pct"/>
            <w:vAlign w:val="center"/>
          </w:tcPr>
          <w:p w14:paraId="6A36B9B8">
            <w:pPr>
              <w:pStyle w:val="91"/>
              <w:keepNext w:val="0"/>
              <w:keepLines w:val="0"/>
              <w:suppressLineNumbers w:val="0"/>
              <w:spacing w:before="0" w:beforeAutospacing="0" w:after="0" w:afterAutospacing="0"/>
              <w:ind w:left="0" w:right="0"/>
              <w:rPr>
                <w:rFonts w:hint="default"/>
                <w:color w:val="auto"/>
              </w:rPr>
            </w:pPr>
            <w:r>
              <w:rPr>
                <w:rFonts w:hint="default"/>
                <w:color w:val="auto"/>
              </w:rPr>
              <w:t>永久布放型围</w:t>
            </w:r>
          </w:p>
          <w:p w14:paraId="507FC041">
            <w:pPr>
              <w:pStyle w:val="91"/>
              <w:keepNext w:val="0"/>
              <w:keepLines w:val="0"/>
              <w:suppressLineNumbers w:val="0"/>
              <w:spacing w:before="0" w:beforeAutospacing="0" w:after="0" w:afterAutospacing="0"/>
              <w:ind w:left="0" w:right="0"/>
              <w:rPr>
                <w:rFonts w:hint="default"/>
                <w:color w:val="auto"/>
              </w:rPr>
            </w:pPr>
            <w:r>
              <w:rPr>
                <w:rFonts w:hint="default"/>
                <w:color w:val="auto"/>
              </w:rPr>
              <w:t>油栏</w:t>
            </w:r>
          </w:p>
        </w:tc>
        <w:tc>
          <w:tcPr>
            <w:tcW w:w="766" w:type="pct"/>
            <w:vAlign w:val="center"/>
          </w:tcPr>
          <w:p w14:paraId="4FFF537B">
            <w:pPr>
              <w:pStyle w:val="91"/>
              <w:keepNext w:val="0"/>
              <w:keepLines w:val="0"/>
              <w:suppressLineNumbers w:val="0"/>
              <w:spacing w:before="0" w:beforeAutospacing="0" w:after="0" w:afterAutospacing="0"/>
              <w:ind w:left="0" w:right="0"/>
              <w:rPr>
                <w:rFonts w:hint="default"/>
                <w:color w:val="auto"/>
              </w:rPr>
            </w:pPr>
            <w:r>
              <w:rPr>
                <w:rFonts w:hint="default"/>
                <w:color w:val="auto"/>
              </w:rPr>
              <w:t>WGJ-1100</w:t>
            </w:r>
          </w:p>
        </w:tc>
        <w:tc>
          <w:tcPr>
            <w:tcW w:w="1183" w:type="pct"/>
            <w:gridSpan w:val="2"/>
            <w:vAlign w:val="center"/>
          </w:tcPr>
          <w:p w14:paraId="113275AB">
            <w:pPr>
              <w:pStyle w:val="91"/>
              <w:keepNext w:val="0"/>
              <w:keepLines w:val="0"/>
              <w:suppressLineNumbers w:val="0"/>
              <w:spacing w:before="0" w:beforeAutospacing="0" w:after="0" w:afterAutospacing="0"/>
              <w:ind w:left="0" w:right="0"/>
              <w:rPr>
                <w:rFonts w:hint="default"/>
                <w:color w:val="auto"/>
              </w:rPr>
            </w:pPr>
            <w:r>
              <w:rPr>
                <w:rFonts w:hint="default"/>
                <w:color w:val="auto"/>
              </w:rPr>
              <w:t>固体浮子式800</w:t>
            </w:r>
          </w:p>
        </w:tc>
        <w:tc>
          <w:tcPr>
            <w:tcW w:w="1119" w:type="pct"/>
            <w:vAlign w:val="center"/>
          </w:tcPr>
          <w:p w14:paraId="57D8EEBF">
            <w:pPr>
              <w:pStyle w:val="91"/>
              <w:keepNext w:val="0"/>
              <w:keepLines w:val="0"/>
              <w:suppressLineNumbers w:val="0"/>
              <w:spacing w:before="0" w:beforeAutospacing="0" w:after="0" w:afterAutospacing="0"/>
              <w:ind w:left="0" w:right="0"/>
              <w:rPr>
                <w:rFonts w:hint="default"/>
                <w:color w:val="auto"/>
              </w:rPr>
            </w:pPr>
            <w:r>
              <w:rPr>
                <w:rFonts w:hint="default"/>
                <w:color w:val="auto"/>
              </w:rPr>
              <w:t>800m</w:t>
            </w:r>
          </w:p>
        </w:tc>
      </w:tr>
      <w:tr w14:paraId="47A59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552DC9D8">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58A5415A">
            <w:pPr>
              <w:pStyle w:val="91"/>
              <w:keepNext w:val="0"/>
              <w:keepLines w:val="0"/>
              <w:suppressLineNumbers w:val="0"/>
              <w:spacing w:before="0" w:beforeAutospacing="0" w:after="0" w:afterAutospacing="0"/>
              <w:ind w:left="0" w:right="0"/>
              <w:rPr>
                <w:rFonts w:hint="default"/>
                <w:color w:val="auto"/>
              </w:rPr>
            </w:pPr>
            <w:r>
              <w:rPr>
                <w:rFonts w:hint="default"/>
                <w:color w:val="auto"/>
              </w:rPr>
              <w:t>2</w:t>
            </w:r>
          </w:p>
        </w:tc>
        <w:tc>
          <w:tcPr>
            <w:tcW w:w="894" w:type="pct"/>
            <w:vAlign w:val="center"/>
          </w:tcPr>
          <w:p w14:paraId="56C90A63">
            <w:pPr>
              <w:pStyle w:val="91"/>
              <w:keepNext w:val="0"/>
              <w:keepLines w:val="0"/>
              <w:suppressLineNumbers w:val="0"/>
              <w:spacing w:before="0" w:beforeAutospacing="0" w:after="0" w:afterAutospacing="0"/>
              <w:ind w:left="0" w:right="0"/>
              <w:rPr>
                <w:rFonts w:hint="default"/>
                <w:color w:val="auto"/>
              </w:rPr>
            </w:pPr>
            <w:r>
              <w:rPr>
                <w:rFonts w:hint="default"/>
                <w:color w:val="auto"/>
              </w:rPr>
              <w:t>应急型围油栏</w:t>
            </w:r>
          </w:p>
        </w:tc>
        <w:tc>
          <w:tcPr>
            <w:tcW w:w="766" w:type="pct"/>
            <w:vAlign w:val="center"/>
          </w:tcPr>
          <w:p w14:paraId="79A058FE">
            <w:pPr>
              <w:pStyle w:val="91"/>
              <w:keepNext w:val="0"/>
              <w:keepLines w:val="0"/>
              <w:suppressLineNumbers w:val="0"/>
              <w:spacing w:before="0" w:beforeAutospacing="0" w:after="0" w:afterAutospacing="0"/>
              <w:ind w:left="0" w:right="0"/>
              <w:rPr>
                <w:rFonts w:hint="default"/>
                <w:color w:val="auto"/>
              </w:rPr>
            </w:pPr>
            <w:r>
              <w:rPr>
                <w:rFonts w:hint="default"/>
                <w:color w:val="auto"/>
              </w:rPr>
              <w:t>WGJ-1100</w:t>
            </w:r>
          </w:p>
        </w:tc>
        <w:tc>
          <w:tcPr>
            <w:tcW w:w="1183" w:type="pct"/>
            <w:gridSpan w:val="2"/>
            <w:vAlign w:val="center"/>
          </w:tcPr>
          <w:p w14:paraId="17831118">
            <w:pPr>
              <w:pStyle w:val="91"/>
              <w:keepNext w:val="0"/>
              <w:keepLines w:val="0"/>
              <w:suppressLineNumbers w:val="0"/>
              <w:spacing w:before="0" w:beforeAutospacing="0" w:after="0" w:afterAutospacing="0"/>
              <w:ind w:left="0" w:right="0"/>
              <w:rPr>
                <w:rFonts w:hint="default"/>
                <w:color w:val="auto"/>
              </w:rPr>
            </w:pPr>
            <w:r>
              <w:rPr>
                <w:rFonts w:hint="default"/>
                <w:color w:val="auto"/>
              </w:rPr>
              <w:t>固体浮子式1100</w:t>
            </w:r>
          </w:p>
        </w:tc>
        <w:tc>
          <w:tcPr>
            <w:tcW w:w="1119" w:type="pct"/>
            <w:vAlign w:val="center"/>
          </w:tcPr>
          <w:p w14:paraId="1A339346">
            <w:pPr>
              <w:pStyle w:val="91"/>
              <w:keepNext w:val="0"/>
              <w:keepLines w:val="0"/>
              <w:suppressLineNumbers w:val="0"/>
              <w:spacing w:before="0" w:beforeAutospacing="0" w:after="0" w:afterAutospacing="0"/>
              <w:ind w:left="0" w:right="0"/>
              <w:rPr>
                <w:rFonts w:hint="default"/>
                <w:color w:val="auto"/>
              </w:rPr>
            </w:pPr>
            <w:r>
              <w:rPr>
                <w:rFonts w:hint="default"/>
                <w:color w:val="auto"/>
              </w:rPr>
              <w:t>820m</w:t>
            </w:r>
          </w:p>
        </w:tc>
      </w:tr>
      <w:tr w14:paraId="04A62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restart"/>
            <w:vAlign w:val="center"/>
          </w:tcPr>
          <w:p w14:paraId="36BE9115">
            <w:pPr>
              <w:pStyle w:val="91"/>
              <w:keepNext w:val="0"/>
              <w:keepLines w:val="0"/>
              <w:suppressLineNumbers w:val="0"/>
              <w:spacing w:before="0" w:beforeAutospacing="0" w:after="0" w:afterAutospacing="0"/>
              <w:ind w:left="0" w:right="0"/>
              <w:rPr>
                <w:rFonts w:hint="default"/>
                <w:color w:val="auto"/>
              </w:rPr>
            </w:pPr>
            <w:r>
              <w:rPr>
                <w:rFonts w:hint="default"/>
                <w:color w:val="auto"/>
              </w:rPr>
              <w:t>机械回收设备</w:t>
            </w:r>
          </w:p>
        </w:tc>
        <w:tc>
          <w:tcPr>
            <w:tcW w:w="363" w:type="pct"/>
            <w:vAlign w:val="center"/>
          </w:tcPr>
          <w:p w14:paraId="47D0B024">
            <w:pPr>
              <w:pStyle w:val="91"/>
              <w:keepNext w:val="0"/>
              <w:keepLines w:val="0"/>
              <w:suppressLineNumbers w:val="0"/>
              <w:spacing w:before="0" w:beforeAutospacing="0" w:after="0" w:afterAutospacing="0"/>
              <w:ind w:left="0" w:right="0"/>
              <w:rPr>
                <w:rFonts w:hint="default"/>
                <w:b/>
                <w:color w:val="auto"/>
              </w:rPr>
            </w:pPr>
            <w:r>
              <w:rPr>
                <w:rFonts w:hint="default"/>
                <w:b/>
                <w:color w:val="auto"/>
              </w:rPr>
              <w:t>序号</w:t>
            </w:r>
          </w:p>
        </w:tc>
        <w:tc>
          <w:tcPr>
            <w:tcW w:w="894" w:type="pct"/>
            <w:vAlign w:val="center"/>
          </w:tcPr>
          <w:p w14:paraId="2C0222EE">
            <w:pPr>
              <w:pStyle w:val="91"/>
              <w:keepNext w:val="0"/>
              <w:keepLines w:val="0"/>
              <w:suppressLineNumbers w:val="0"/>
              <w:spacing w:before="0" w:beforeAutospacing="0" w:after="0" w:afterAutospacing="0"/>
              <w:ind w:left="0" w:right="0"/>
              <w:rPr>
                <w:rFonts w:hint="default"/>
                <w:b/>
                <w:color w:val="auto"/>
              </w:rPr>
            </w:pPr>
            <w:r>
              <w:rPr>
                <w:rFonts w:hint="default"/>
                <w:b/>
                <w:color w:val="auto"/>
              </w:rPr>
              <w:t>设备名称</w:t>
            </w:r>
          </w:p>
        </w:tc>
        <w:tc>
          <w:tcPr>
            <w:tcW w:w="766" w:type="pct"/>
            <w:vAlign w:val="center"/>
          </w:tcPr>
          <w:p w14:paraId="6902D3BC">
            <w:pPr>
              <w:pStyle w:val="91"/>
              <w:keepNext w:val="0"/>
              <w:keepLines w:val="0"/>
              <w:suppressLineNumbers w:val="0"/>
              <w:spacing w:before="0" w:beforeAutospacing="0" w:after="0" w:afterAutospacing="0"/>
              <w:ind w:left="0" w:right="0"/>
              <w:rPr>
                <w:rFonts w:hint="default"/>
                <w:b/>
                <w:color w:val="auto"/>
              </w:rPr>
            </w:pPr>
            <w:r>
              <w:rPr>
                <w:rFonts w:hint="default"/>
                <w:b/>
                <w:color w:val="auto"/>
              </w:rPr>
              <w:t>型号</w:t>
            </w:r>
          </w:p>
        </w:tc>
        <w:tc>
          <w:tcPr>
            <w:tcW w:w="667" w:type="pct"/>
            <w:vAlign w:val="center"/>
          </w:tcPr>
          <w:p w14:paraId="2C81B3E2">
            <w:pPr>
              <w:pStyle w:val="91"/>
              <w:keepNext w:val="0"/>
              <w:keepLines w:val="0"/>
              <w:suppressLineNumbers w:val="0"/>
              <w:spacing w:before="0" w:beforeAutospacing="0" w:after="0" w:afterAutospacing="0"/>
              <w:ind w:left="0" w:right="0"/>
              <w:rPr>
                <w:rFonts w:hint="default"/>
                <w:b/>
                <w:color w:val="auto"/>
              </w:rPr>
            </w:pPr>
            <w:r>
              <w:rPr>
                <w:rFonts w:hint="default"/>
                <w:b/>
                <w:color w:val="auto"/>
              </w:rPr>
              <w:t>类型/数量</w:t>
            </w:r>
          </w:p>
        </w:tc>
        <w:tc>
          <w:tcPr>
            <w:tcW w:w="516" w:type="pct"/>
            <w:vAlign w:val="center"/>
          </w:tcPr>
          <w:p w14:paraId="06DE9DC0">
            <w:pPr>
              <w:pStyle w:val="91"/>
              <w:keepNext w:val="0"/>
              <w:keepLines w:val="0"/>
              <w:suppressLineNumbers w:val="0"/>
              <w:spacing w:before="0" w:beforeAutospacing="0" w:after="0" w:afterAutospacing="0"/>
              <w:ind w:left="0" w:right="0"/>
              <w:rPr>
                <w:rFonts w:hint="default"/>
                <w:b/>
                <w:color w:val="auto"/>
              </w:rPr>
            </w:pPr>
            <w:r>
              <w:rPr>
                <w:rFonts w:hint="default"/>
                <w:b/>
                <w:color w:val="auto"/>
              </w:rPr>
              <w:t>适宜油种</w:t>
            </w:r>
          </w:p>
        </w:tc>
        <w:tc>
          <w:tcPr>
            <w:tcW w:w="1119" w:type="pct"/>
            <w:vAlign w:val="center"/>
          </w:tcPr>
          <w:p w14:paraId="25568E84">
            <w:pPr>
              <w:pStyle w:val="91"/>
              <w:keepNext w:val="0"/>
              <w:keepLines w:val="0"/>
              <w:suppressLineNumbers w:val="0"/>
              <w:spacing w:before="0" w:beforeAutospacing="0" w:after="0" w:afterAutospacing="0"/>
              <w:ind w:left="0" w:right="0"/>
              <w:rPr>
                <w:rFonts w:hint="default"/>
                <w:b/>
                <w:color w:val="auto"/>
              </w:rPr>
            </w:pPr>
            <w:r>
              <w:rPr>
                <w:rFonts w:hint="default"/>
                <w:b/>
                <w:color w:val="auto"/>
              </w:rPr>
              <w:t>收油速率（m</w:t>
            </w:r>
            <w:r>
              <w:rPr>
                <w:rFonts w:hint="default"/>
                <w:b/>
                <w:color w:val="auto"/>
                <w:vertAlign w:val="superscript"/>
              </w:rPr>
              <w:t>3</w:t>
            </w:r>
            <w:r>
              <w:rPr>
                <w:rFonts w:hint="default"/>
                <w:b/>
                <w:color w:val="auto"/>
              </w:rPr>
              <w:t>/h）</w:t>
            </w:r>
          </w:p>
        </w:tc>
      </w:tr>
      <w:tr w14:paraId="1F93F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675" w:type="pct"/>
            <w:vMerge w:val="continue"/>
            <w:vAlign w:val="center"/>
          </w:tcPr>
          <w:p w14:paraId="7547747B">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514C77FC">
            <w:pPr>
              <w:pStyle w:val="91"/>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894" w:type="pct"/>
            <w:vAlign w:val="center"/>
          </w:tcPr>
          <w:p w14:paraId="7DA3EE90">
            <w:pPr>
              <w:pStyle w:val="91"/>
              <w:keepNext w:val="0"/>
              <w:keepLines w:val="0"/>
              <w:suppressLineNumbers w:val="0"/>
              <w:spacing w:before="0" w:beforeAutospacing="0" w:after="0" w:afterAutospacing="0"/>
              <w:ind w:left="0" w:right="0"/>
              <w:rPr>
                <w:rFonts w:hint="default"/>
                <w:color w:val="auto"/>
              </w:rPr>
            </w:pPr>
            <w:r>
              <w:rPr>
                <w:rFonts w:hint="default"/>
                <w:color w:val="auto"/>
              </w:rPr>
              <w:t>动态斜面收油</w:t>
            </w:r>
          </w:p>
          <w:p w14:paraId="1503F95C">
            <w:pPr>
              <w:pStyle w:val="91"/>
              <w:keepNext w:val="0"/>
              <w:keepLines w:val="0"/>
              <w:suppressLineNumbers w:val="0"/>
              <w:spacing w:before="0" w:beforeAutospacing="0" w:after="0" w:afterAutospacing="0"/>
              <w:ind w:left="0" w:right="0"/>
              <w:rPr>
                <w:rFonts w:hint="default"/>
                <w:color w:val="auto"/>
              </w:rPr>
            </w:pPr>
            <w:r>
              <w:rPr>
                <w:rFonts w:hint="default"/>
                <w:color w:val="auto"/>
              </w:rPr>
              <w:t>机</w:t>
            </w:r>
          </w:p>
        </w:tc>
        <w:tc>
          <w:tcPr>
            <w:tcW w:w="766" w:type="pct"/>
            <w:vAlign w:val="center"/>
          </w:tcPr>
          <w:p w14:paraId="5481F964">
            <w:pPr>
              <w:pStyle w:val="91"/>
              <w:keepNext w:val="0"/>
              <w:keepLines w:val="0"/>
              <w:suppressLineNumbers w:val="0"/>
              <w:spacing w:before="0" w:beforeAutospacing="0" w:after="0" w:afterAutospacing="0"/>
              <w:ind w:left="0" w:right="0"/>
              <w:rPr>
                <w:rFonts w:hint="default"/>
                <w:color w:val="auto"/>
              </w:rPr>
            </w:pPr>
            <w:r>
              <w:rPr>
                <w:rFonts w:hint="default"/>
                <w:color w:val="auto"/>
              </w:rPr>
              <w:t>DXS30</w:t>
            </w:r>
          </w:p>
        </w:tc>
        <w:tc>
          <w:tcPr>
            <w:tcW w:w="667" w:type="pct"/>
            <w:vAlign w:val="center"/>
          </w:tcPr>
          <w:p w14:paraId="1949494C">
            <w:pPr>
              <w:pStyle w:val="91"/>
              <w:keepNext w:val="0"/>
              <w:keepLines w:val="0"/>
              <w:suppressLineNumbers w:val="0"/>
              <w:spacing w:before="0" w:beforeAutospacing="0" w:after="0" w:afterAutospacing="0"/>
              <w:ind w:left="0" w:right="0"/>
              <w:rPr>
                <w:rFonts w:hint="default"/>
                <w:color w:val="auto"/>
              </w:rPr>
            </w:pPr>
            <w:r>
              <w:rPr>
                <w:rFonts w:hint="default"/>
                <w:color w:val="auto"/>
              </w:rPr>
              <w:t>斜面式</w:t>
            </w:r>
          </w:p>
          <w:p w14:paraId="2B8DA587">
            <w:pPr>
              <w:pStyle w:val="91"/>
              <w:keepNext w:val="0"/>
              <w:keepLines w:val="0"/>
              <w:suppressLineNumbers w:val="0"/>
              <w:spacing w:before="0" w:beforeAutospacing="0" w:after="0" w:afterAutospacing="0"/>
              <w:ind w:left="0" w:right="0"/>
              <w:rPr>
                <w:rFonts w:hint="default"/>
                <w:color w:val="auto"/>
              </w:rPr>
            </w:pPr>
            <w:r>
              <w:rPr>
                <w:rFonts w:hint="default"/>
                <w:color w:val="auto"/>
              </w:rPr>
              <w:t>/1套</w:t>
            </w:r>
          </w:p>
        </w:tc>
        <w:tc>
          <w:tcPr>
            <w:tcW w:w="516" w:type="pct"/>
            <w:vAlign w:val="center"/>
          </w:tcPr>
          <w:p w14:paraId="7413F95E">
            <w:pPr>
              <w:pStyle w:val="91"/>
              <w:keepNext w:val="0"/>
              <w:keepLines w:val="0"/>
              <w:suppressLineNumbers w:val="0"/>
              <w:spacing w:before="0" w:beforeAutospacing="0" w:after="0" w:afterAutospacing="0"/>
              <w:ind w:left="0" w:right="0"/>
              <w:rPr>
                <w:rFonts w:hint="default"/>
                <w:color w:val="auto"/>
              </w:rPr>
            </w:pPr>
            <w:r>
              <w:rPr>
                <w:rFonts w:hint="default"/>
                <w:color w:val="auto"/>
              </w:rPr>
              <w:t>高粘度</w:t>
            </w:r>
          </w:p>
        </w:tc>
        <w:tc>
          <w:tcPr>
            <w:tcW w:w="1119" w:type="pct"/>
            <w:vAlign w:val="center"/>
          </w:tcPr>
          <w:p w14:paraId="3D52765F">
            <w:pPr>
              <w:pStyle w:val="91"/>
              <w:keepNext w:val="0"/>
              <w:keepLines w:val="0"/>
              <w:suppressLineNumbers w:val="0"/>
              <w:spacing w:before="0" w:beforeAutospacing="0" w:after="0" w:afterAutospacing="0"/>
              <w:ind w:left="0" w:right="0"/>
              <w:rPr>
                <w:rFonts w:hint="default"/>
                <w:color w:val="auto"/>
              </w:rPr>
            </w:pPr>
            <w:r>
              <w:rPr>
                <w:rFonts w:hint="default"/>
                <w:color w:val="auto"/>
              </w:rPr>
              <w:t>30</w:t>
            </w:r>
          </w:p>
        </w:tc>
      </w:tr>
      <w:tr w14:paraId="2246A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restart"/>
            <w:vAlign w:val="center"/>
          </w:tcPr>
          <w:p w14:paraId="09AA7707">
            <w:pPr>
              <w:pStyle w:val="91"/>
              <w:keepNext w:val="0"/>
              <w:keepLines w:val="0"/>
              <w:suppressLineNumbers w:val="0"/>
              <w:spacing w:before="0" w:beforeAutospacing="0" w:after="0" w:afterAutospacing="0"/>
              <w:ind w:left="0" w:right="0"/>
              <w:rPr>
                <w:rFonts w:hint="default"/>
                <w:color w:val="auto"/>
              </w:rPr>
            </w:pPr>
            <w:r>
              <w:rPr>
                <w:rFonts w:hint="default"/>
                <w:color w:val="auto"/>
              </w:rPr>
              <w:t>溢油分散物资</w:t>
            </w:r>
          </w:p>
        </w:tc>
        <w:tc>
          <w:tcPr>
            <w:tcW w:w="363" w:type="pct"/>
            <w:vAlign w:val="center"/>
          </w:tcPr>
          <w:p w14:paraId="6BA4F579">
            <w:pPr>
              <w:pStyle w:val="91"/>
              <w:keepNext w:val="0"/>
              <w:keepLines w:val="0"/>
              <w:suppressLineNumbers w:val="0"/>
              <w:spacing w:before="0" w:beforeAutospacing="0" w:after="0" w:afterAutospacing="0"/>
              <w:ind w:left="0" w:right="0"/>
              <w:rPr>
                <w:rFonts w:hint="default"/>
                <w:b/>
                <w:color w:val="auto"/>
              </w:rPr>
            </w:pPr>
            <w:r>
              <w:rPr>
                <w:rFonts w:hint="default"/>
                <w:b/>
                <w:color w:val="auto"/>
              </w:rPr>
              <w:t>序号</w:t>
            </w:r>
          </w:p>
        </w:tc>
        <w:tc>
          <w:tcPr>
            <w:tcW w:w="894" w:type="pct"/>
            <w:vAlign w:val="center"/>
          </w:tcPr>
          <w:p w14:paraId="326A0A0F">
            <w:pPr>
              <w:pStyle w:val="91"/>
              <w:keepNext w:val="0"/>
              <w:keepLines w:val="0"/>
              <w:suppressLineNumbers w:val="0"/>
              <w:spacing w:before="0" w:beforeAutospacing="0" w:after="0" w:afterAutospacing="0"/>
              <w:ind w:left="0" w:right="0"/>
              <w:rPr>
                <w:rFonts w:hint="default"/>
                <w:b/>
                <w:color w:val="auto"/>
              </w:rPr>
            </w:pPr>
            <w:r>
              <w:rPr>
                <w:rFonts w:hint="default"/>
                <w:b/>
                <w:color w:val="auto"/>
              </w:rPr>
              <w:t>设备名称</w:t>
            </w:r>
          </w:p>
        </w:tc>
        <w:tc>
          <w:tcPr>
            <w:tcW w:w="766" w:type="pct"/>
            <w:vAlign w:val="center"/>
          </w:tcPr>
          <w:p w14:paraId="2910B8E4">
            <w:pPr>
              <w:pStyle w:val="91"/>
              <w:keepNext w:val="0"/>
              <w:keepLines w:val="0"/>
              <w:suppressLineNumbers w:val="0"/>
              <w:spacing w:before="0" w:beforeAutospacing="0" w:after="0" w:afterAutospacing="0"/>
              <w:ind w:left="0" w:right="0"/>
              <w:rPr>
                <w:rFonts w:hint="default"/>
                <w:b/>
                <w:color w:val="auto"/>
              </w:rPr>
            </w:pPr>
            <w:r>
              <w:rPr>
                <w:rFonts w:hint="default"/>
                <w:b/>
                <w:color w:val="auto"/>
              </w:rPr>
              <w:t>型号</w:t>
            </w:r>
          </w:p>
        </w:tc>
        <w:tc>
          <w:tcPr>
            <w:tcW w:w="667" w:type="pct"/>
            <w:vAlign w:val="center"/>
          </w:tcPr>
          <w:p w14:paraId="0191DBB2">
            <w:pPr>
              <w:pStyle w:val="91"/>
              <w:keepNext w:val="0"/>
              <w:keepLines w:val="0"/>
              <w:suppressLineNumbers w:val="0"/>
              <w:spacing w:before="0" w:beforeAutospacing="0" w:after="0" w:afterAutospacing="0"/>
              <w:ind w:left="0" w:right="0"/>
              <w:rPr>
                <w:rFonts w:hint="default"/>
                <w:b/>
                <w:color w:val="auto"/>
              </w:rPr>
            </w:pPr>
            <w:r>
              <w:rPr>
                <w:rFonts w:hint="default"/>
                <w:b/>
                <w:color w:val="auto"/>
              </w:rPr>
              <w:t>类型/数量</w:t>
            </w:r>
          </w:p>
        </w:tc>
        <w:tc>
          <w:tcPr>
            <w:tcW w:w="1635" w:type="pct"/>
            <w:gridSpan w:val="2"/>
            <w:vAlign w:val="center"/>
          </w:tcPr>
          <w:p w14:paraId="53A5FF79">
            <w:pPr>
              <w:pStyle w:val="91"/>
              <w:keepNext w:val="0"/>
              <w:keepLines w:val="0"/>
              <w:suppressLineNumbers w:val="0"/>
              <w:spacing w:before="0" w:beforeAutospacing="0" w:after="0" w:afterAutospacing="0"/>
              <w:ind w:left="0" w:right="0"/>
              <w:rPr>
                <w:rFonts w:hint="default"/>
                <w:b/>
                <w:color w:val="auto"/>
              </w:rPr>
            </w:pPr>
            <w:r>
              <w:rPr>
                <w:rFonts w:hint="default"/>
                <w:b/>
                <w:color w:val="auto"/>
              </w:rPr>
              <w:t>生产单位</w:t>
            </w:r>
          </w:p>
        </w:tc>
      </w:tr>
      <w:tr w14:paraId="59331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0C7D1BC6">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369F1FB8">
            <w:pPr>
              <w:pStyle w:val="91"/>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894" w:type="pct"/>
            <w:vAlign w:val="center"/>
          </w:tcPr>
          <w:p w14:paraId="1190B6CE">
            <w:pPr>
              <w:pStyle w:val="91"/>
              <w:keepNext w:val="0"/>
              <w:keepLines w:val="0"/>
              <w:suppressLineNumbers w:val="0"/>
              <w:spacing w:before="0" w:beforeAutospacing="0" w:after="0" w:afterAutospacing="0"/>
              <w:ind w:left="0" w:right="0"/>
              <w:rPr>
                <w:rFonts w:hint="default"/>
                <w:color w:val="auto"/>
              </w:rPr>
            </w:pPr>
            <w:r>
              <w:rPr>
                <w:rFonts w:hint="default"/>
                <w:color w:val="auto"/>
              </w:rPr>
              <w:t>消油剂</w:t>
            </w:r>
          </w:p>
        </w:tc>
        <w:tc>
          <w:tcPr>
            <w:tcW w:w="766" w:type="pct"/>
            <w:vAlign w:val="center"/>
          </w:tcPr>
          <w:p w14:paraId="77C1B1F5">
            <w:pPr>
              <w:pStyle w:val="91"/>
              <w:keepNext w:val="0"/>
              <w:keepLines w:val="0"/>
              <w:suppressLineNumbers w:val="0"/>
              <w:spacing w:before="0" w:beforeAutospacing="0" w:after="0" w:afterAutospacing="0"/>
              <w:ind w:left="0" w:right="0"/>
              <w:rPr>
                <w:rFonts w:hint="default"/>
                <w:color w:val="auto"/>
              </w:rPr>
            </w:pPr>
            <w:r>
              <w:rPr>
                <w:rFonts w:hint="default"/>
                <w:color w:val="auto"/>
              </w:rPr>
              <w:t>GM-2浓缩类</w:t>
            </w:r>
          </w:p>
        </w:tc>
        <w:tc>
          <w:tcPr>
            <w:tcW w:w="667" w:type="pct"/>
            <w:vAlign w:val="center"/>
          </w:tcPr>
          <w:p w14:paraId="5CD4FBE3">
            <w:pPr>
              <w:pStyle w:val="91"/>
              <w:keepNext w:val="0"/>
              <w:keepLines w:val="0"/>
              <w:suppressLineNumbers w:val="0"/>
              <w:spacing w:before="0" w:beforeAutospacing="0" w:after="0" w:afterAutospacing="0"/>
              <w:ind w:left="0" w:right="0"/>
              <w:rPr>
                <w:rFonts w:hint="default"/>
                <w:color w:val="auto"/>
              </w:rPr>
            </w:pPr>
            <w:r>
              <w:rPr>
                <w:rFonts w:hint="default"/>
                <w:color w:val="auto"/>
              </w:rPr>
              <w:t>环保式/2t</w:t>
            </w:r>
          </w:p>
        </w:tc>
        <w:tc>
          <w:tcPr>
            <w:tcW w:w="1635" w:type="pct"/>
            <w:gridSpan w:val="2"/>
            <w:vAlign w:val="center"/>
          </w:tcPr>
          <w:p w14:paraId="71D02547">
            <w:pPr>
              <w:pStyle w:val="91"/>
              <w:keepNext w:val="0"/>
              <w:keepLines w:val="0"/>
              <w:suppressLineNumbers w:val="0"/>
              <w:spacing w:before="0" w:beforeAutospacing="0" w:after="0" w:afterAutospacing="0"/>
              <w:ind w:left="0" w:right="0"/>
              <w:rPr>
                <w:rFonts w:hint="default"/>
                <w:color w:val="auto"/>
              </w:rPr>
            </w:pPr>
            <w:r>
              <w:rPr>
                <w:rFonts w:hint="default"/>
                <w:color w:val="auto"/>
              </w:rPr>
              <w:t>青岛光明环保技术有限公司</w:t>
            </w:r>
          </w:p>
        </w:tc>
      </w:tr>
      <w:tr w14:paraId="0983B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restart"/>
            <w:vAlign w:val="center"/>
          </w:tcPr>
          <w:p w14:paraId="1737F248">
            <w:pPr>
              <w:pStyle w:val="91"/>
              <w:keepNext w:val="0"/>
              <w:keepLines w:val="0"/>
              <w:suppressLineNumbers w:val="0"/>
              <w:spacing w:before="0" w:beforeAutospacing="0" w:after="0" w:afterAutospacing="0"/>
              <w:ind w:left="0" w:right="0"/>
              <w:rPr>
                <w:rFonts w:hint="default"/>
                <w:color w:val="auto"/>
              </w:rPr>
            </w:pPr>
            <w:r>
              <w:rPr>
                <w:rFonts w:hint="default"/>
                <w:color w:val="auto"/>
              </w:rPr>
              <w:t>喷洒设备</w:t>
            </w:r>
          </w:p>
        </w:tc>
        <w:tc>
          <w:tcPr>
            <w:tcW w:w="363" w:type="pct"/>
            <w:vAlign w:val="center"/>
          </w:tcPr>
          <w:p w14:paraId="58566EC0">
            <w:pPr>
              <w:pStyle w:val="91"/>
              <w:keepNext w:val="0"/>
              <w:keepLines w:val="0"/>
              <w:suppressLineNumbers w:val="0"/>
              <w:spacing w:before="0" w:beforeAutospacing="0" w:after="0" w:afterAutospacing="0"/>
              <w:ind w:left="0" w:right="0"/>
              <w:rPr>
                <w:rFonts w:hint="default"/>
                <w:b/>
                <w:color w:val="auto"/>
              </w:rPr>
            </w:pPr>
            <w:r>
              <w:rPr>
                <w:rFonts w:hint="default"/>
                <w:b/>
                <w:color w:val="auto"/>
              </w:rPr>
              <w:t>序号</w:t>
            </w:r>
          </w:p>
        </w:tc>
        <w:tc>
          <w:tcPr>
            <w:tcW w:w="894" w:type="pct"/>
            <w:vAlign w:val="center"/>
          </w:tcPr>
          <w:p w14:paraId="06E3973E">
            <w:pPr>
              <w:pStyle w:val="91"/>
              <w:keepNext w:val="0"/>
              <w:keepLines w:val="0"/>
              <w:suppressLineNumbers w:val="0"/>
              <w:spacing w:before="0" w:beforeAutospacing="0" w:after="0" w:afterAutospacing="0"/>
              <w:ind w:left="0" w:right="0"/>
              <w:rPr>
                <w:rFonts w:hint="default"/>
                <w:b/>
                <w:color w:val="auto"/>
              </w:rPr>
            </w:pPr>
            <w:r>
              <w:rPr>
                <w:rFonts w:hint="default"/>
                <w:b/>
                <w:color w:val="auto"/>
              </w:rPr>
              <w:t>设备名称</w:t>
            </w:r>
          </w:p>
        </w:tc>
        <w:tc>
          <w:tcPr>
            <w:tcW w:w="766" w:type="pct"/>
            <w:vAlign w:val="center"/>
          </w:tcPr>
          <w:p w14:paraId="642DD0AE">
            <w:pPr>
              <w:pStyle w:val="91"/>
              <w:keepNext w:val="0"/>
              <w:keepLines w:val="0"/>
              <w:suppressLineNumbers w:val="0"/>
              <w:spacing w:before="0" w:beforeAutospacing="0" w:after="0" w:afterAutospacing="0"/>
              <w:ind w:left="0" w:right="0"/>
              <w:rPr>
                <w:rFonts w:hint="default"/>
                <w:b/>
                <w:color w:val="auto"/>
              </w:rPr>
            </w:pPr>
            <w:r>
              <w:rPr>
                <w:rFonts w:hint="default"/>
                <w:b/>
                <w:color w:val="auto"/>
              </w:rPr>
              <w:t>型号</w:t>
            </w:r>
          </w:p>
        </w:tc>
        <w:tc>
          <w:tcPr>
            <w:tcW w:w="667" w:type="pct"/>
            <w:vAlign w:val="center"/>
          </w:tcPr>
          <w:p w14:paraId="4CAB9507">
            <w:pPr>
              <w:pStyle w:val="91"/>
              <w:keepNext w:val="0"/>
              <w:keepLines w:val="0"/>
              <w:suppressLineNumbers w:val="0"/>
              <w:spacing w:before="0" w:beforeAutospacing="0" w:after="0" w:afterAutospacing="0"/>
              <w:ind w:left="0" w:right="0"/>
              <w:rPr>
                <w:rFonts w:hint="default"/>
                <w:b/>
                <w:color w:val="auto"/>
              </w:rPr>
            </w:pPr>
            <w:r>
              <w:rPr>
                <w:rFonts w:hint="default"/>
                <w:b/>
                <w:color w:val="auto"/>
              </w:rPr>
              <w:t>类型/数量</w:t>
            </w:r>
          </w:p>
        </w:tc>
        <w:tc>
          <w:tcPr>
            <w:tcW w:w="1635" w:type="pct"/>
            <w:gridSpan w:val="2"/>
            <w:vAlign w:val="center"/>
          </w:tcPr>
          <w:p w14:paraId="6D810402">
            <w:pPr>
              <w:pStyle w:val="91"/>
              <w:keepNext w:val="0"/>
              <w:keepLines w:val="0"/>
              <w:suppressLineNumbers w:val="0"/>
              <w:spacing w:before="0" w:beforeAutospacing="0" w:after="0" w:afterAutospacing="0"/>
              <w:ind w:left="0" w:right="0"/>
              <w:rPr>
                <w:rFonts w:hint="default"/>
                <w:b/>
                <w:color w:val="auto"/>
              </w:rPr>
            </w:pPr>
            <w:r>
              <w:rPr>
                <w:rFonts w:hint="default"/>
                <w:b/>
                <w:color w:val="auto"/>
              </w:rPr>
              <w:t>喷洒速率（m</w:t>
            </w:r>
            <w:r>
              <w:rPr>
                <w:rFonts w:hint="default"/>
                <w:b/>
                <w:color w:val="auto"/>
                <w:vertAlign w:val="superscript"/>
              </w:rPr>
              <w:t>3</w:t>
            </w:r>
            <w:r>
              <w:rPr>
                <w:rFonts w:hint="default"/>
                <w:b/>
                <w:color w:val="auto"/>
              </w:rPr>
              <w:t>/h）</w:t>
            </w:r>
          </w:p>
        </w:tc>
      </w:tr>
      <w:tr w14:paraId="4FAFE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1C5415D1">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60D5B742">
            <w:pPr>
              <w:pStyle w:val="91"/>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894" w:type="pct"/>
            <w:vAlign w:val="center"/>
          </w:tcPr>
          <w:p w14:paraId="01E451FF">
            <w:pPr>
              <w:pStyle w:val="91"/>
              <w:keepNext w:val="0"/>
              <w:keepLines w:val="0"/>
              <w:suppressLineNumbers w:val="0"/>
              <w:spacing w:before="0" w:beforeAutospacing="0" w:after="0" w:afterAutospacing="0"/>
              <w:ind w:left="0" w:right="0"/>
              <w:rPr>
                <w:rFonts w:hint="default"/>
                <w:color w:val="auto"/>
              </w:rPr>
            </w:pPr>
            <w:r>
              <w:rPr>
                <w:rFonts w:hint="default"/>
                <w:color w:val="auto"/>
              </w:rPr>
              <w:t>溢油应急喷洒装置</w:t>
            </w:r>
          </w:p>
        </w:tc>
        <w:tc>
          <w:tcPr>
            <w:tcW w:w="766" w:type="pct"/>
            <w:vAlign w:val="center"/>
          </w:tcPr>
          <w:p w14:paraId="2F2A5025">
            <w:pPr>
              <w:pStyle w:val="91"/>
              <w:keepNext w:val="0"/>
              <w:keepLines w:val="0"/>
              <w:suppressLineNumbers w:val="0"/>
              <w:spacing w:before="0" w:beforeAutospacing="0" w:after="0" w:afterAutospacing="0"/>
              <w:ind w:left="0" w:right="0"/>
              <w:rPr>
                <w:rFonts w:hint="default"/>
                <w:color w:val="auto"/>
              </w:rPr>
            </w:pPr>
            <w:r>
              <w:rPr>
                <w:rFonts w:hint="default"/>
                <w:color w:val="auto"/>
              </w:rPr>
              <w:t>PSC35</w:t>
            </w:r>
          </w:p>
        </w:tc>
        <w:tc>
          <w:tcPr>
            <w:tcW w:w="667" w:type="pct"/>
            <w:vAlign w:val="center"/>
          </w:tcPr>
          <w:p w14:paraId="0551713E">
            <w:pPr>
              <w:pStyle w:val="91"/>
              <w:keepNext w:val="0"/>
              <w:keepLines w:val="0"/>
              <w:suppressLineNumbers w:val="0"/>
              <w:spacing w:before="0" w:beforeAutospacing="0" w:after="0" w:afterAutospacing="0"/>
              <w:ind w:left="0" w:right="0"/>
              <w:rPr>
                <w:rFonts w:hint="default"/>
                <w:color w:val="auto"/>
              </w:rPr>
            </w:pPr>
            <w:r>
              <w:rPr>
                <w:rFonts w:hint="default"/>
                <w:color w:val="auto"/>
              </w:rPr>
              <w:t>便携式/1套</w:t>
            </w:r>
          </w:p>
        </w:tc>
        <w:tc>
          <w:tcPr>
            <w:tcW w:w="1635" w:type="pct"/>
            <w:gridSpan w:val="2"/>
            <w:vAlign w:val="center"/>
          </w:tcPr>
          <w:p w14:paraId="2071FAD1">
            <w:pPr>
              <w:pStyle w:val="91"/>
              <w:keepNext w:val="0"/>
              <w:keepLines w:val="0"/>
              <w:suppressLineNumbers w:val="0"/>
              <w:spacing w:before="0" w:beforeAutospacing="0" w:after="0" w:afterAutospacing="0"/>
              <w:ind w:left="0" w:right="0"/>
              <w:rPr>
                <w:rFonts w:hint="default"/>
                <w:color w:val="auto"/>
              </w:rPr>
            </w:pPr>
            <w:r>
              <w:rPr>
                <w:rFonts w:hint="default"/>
                <w:color w:val="auto"/>
              </w:rPr>
              <w:t>35L/min</w:t>
            </w:r>
          </w:p>
        </w:tc>
      </w:tr>
      <w:tr w14:paraId="53A9C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675" w:type="pct"/>
            <w:vMerge w:val="restart"/>
            <w:vAlign w:val="center"/>
          </w:tcPr>
          <w:p w14:paraId="2B14D77E">
            <w:pPr>
              <w:pStyle w:val="91"/>
              <w:keepNext w:val="0"/>
              <w:keepLines w:val="0"/>
              <w:suppressLineNumbers w:val="0"/>
              <w:spacing w:before="0" w:beforeAutospacing="0" w:after="0" w:afterAutospacing="0"/>
              <w:ind w:left="0" w:right="0"/>
              <w:rPr>
                <w:rFonts w:hint="default"/>
                <w:color w:val="auto"/>
              </w:rPr>
            </w:pPr>
            <w:r>
              <w:rPr>
                <w:rFonts w:hint="default"/>
                <w:color w:val="auto"/>
              </w:rPr>
              <w:t>吸油物资</w:t>
            </w:r>
          </w:p>
        </w:tc>
        <w:tc>
          <w:tcPr>
            <w:tcW w:w="363" w:type="pct"/>
            <w:vAlign w:val="center"/>
          </w:tcPr>
          <w:p w14:paraId="599BC6CD">
            <w:pPr>
              <w:pStyle w:val="91"/>
              <w:keepNext w:val="0"/>
              <w:keepLines w:val="0"/>
              <w:suppressLineNumbers w:val="0"/>
              <w:spacing w:before="0" w:beforeAutospacing="0" w:after="0" w:afterAutospacing="0"/>
              <w:ind w:left="0" w:right="0"/>
              <w:rPr>
                <w:rFonts w:hint="default"/>
                <w:b/>
                <w:color w:val="auto"/>
              </w:rPr>
            </w:pPr>
            <w:r>
              <w:rPr>
                <w:rFonts w:hint="default"/>
                <w:b/>
                <w:color w:val="auto"/>
              </w:rPr>
              <w:t>序号</w:t>
            </w:r>
          </w:p>
        </w:tc>
        <w:tc>
          <w:tcPr>
            <w:tcW w:w="894" w:type="pct"/>
            <w:vAlign w:val="center"/>
          </w:tcPr>
          <w:p w14:paraId="482691FF">
            <w:pPr>
              <w:pStyle w:val="91"/>
              <w:keepNext w:val="0"/>
              <w:keepLines w:val="0"/>
              <w:suppressLineNumbers w:val="0"/>
              <w:spacing w:before="0" w:beforeAutospacing="0" w:after="0" w:afterAutospacing="0"/>
              <w:ind w:left="0" w:right="0"/>
              <w:rPr>
                <w:rFonts w:hint="default"/>
                <w:b/>
                <w:color w:val="auto"/>
              </w:rPr>
            </w:pPr>
            <w:r>
              <w:rPr>
                <w:rFonts w:hint="default"/>
                <w:b/>
                <w:color w:val="auto"/>
              </w:rPr>
              <w:t>设备名称</w:t>
            </w:r>
          </w:p>
        </w:tc>
        <w:tc>
          <w:tcPr>
            <w:tcW w:w="766" w:type="pct"/>
            <w:vAlign w:val="center"/>
          </w:tcPr>
          <w:p w14:paraId="0ABBB038">
            <w:pPr>
              <w:pStyle w:val="91"/>
              <w:keepNext w:val="0"/>
              <w:keepLines w:val="0"/>
              <w:suppressLineNumbers w:val="0"/>
              <w:spacing w:before="0" w:beforeAutospacing="0" w:after="0" w:afterAutospacing="0"/>
              <w:ind w:left="0" w:right="0"/>
              <w:rPr>
                <w:rFonts w:hint="default"/>
                <w:b/>
                <w:color w:val="auto"/>
              </w:rPr>
            </w:pPr>
            <w:r>
              <w:rPr>
                <w:rFonts w:hint="default"/>
                <w:b/>
                <w:color w:val="auto"/>
              </w:rPr>
              <w:t>型号</w:t>
            </w:r>
          </w:p>
        </w:tc>
        <w:tc>
          <w:tcPr>
            <w:tcW w:w="667" w:type="pct"/>
            <w:vAlign w:val="center"/>
          </w:tcPr>
          <w:p w14:paraId="5D63F9E2">
            <w:pPr>
              <w:pStyle w:val="91"/>
              <w:keepNext w:val="0"/>
              <w:keepLines w:val="0"/>
              <w:suppressLineNumbers w:val="0"/>
              <w:spacing w:before="0" w:beforeAutospacing="0" w:after="0" w:afterAutospacing="0"/>
              <w:ind w:left="0" w:right="0"/>
              <w:rPr>
                <w:rFonts w:hint="default"/>
                <w:b/>
                <w:color w:val="auto"/>
              </w:rPr>
            </w:pPr>
            <w:r>
              <w:rPr>
                <w:rFonts w:hint="default"/>
                <w:b/>
                <w:color w:val="auto"/>
              </w:rPr>
              <w:t>数量</w:t>
            </w:r>
          </w:p>
        </w:tc>
        <w:tc>
          <w:tcPr>
            <w:tcW w:w="1635" w:type="pct"/>
            <w:gridSpan w:val="2"/>
            <w:vAlign w:val="center"/>
          </w:tcPr>
          <w:p w14:paraId="5F762D04">
            <w:pPr>
              <w:pStyle w:val="91"/>
              <w:keepNext w:val="0"/>
              <w:keepLines w:val="0"/>
              <w:suppressLineNumbers w:val="0"/>
              <w:spacing w:before="0" w:beforeAutospacing="0" w:after="0" w:afterAutospacing="0"/>
              <w:ind w:left="0" w:right="0"/>
              <w:rPr>
                <w:rFonts w:hint="default"/>
                <w:b/>
                <w:color w:val="auto"/>
              </w:rPr>
            </w:pPr>
            <w:r>
              <w:rPr>
                <w:rFonts w:hint="default"/>
                <w:b/>
                <w:color w:val="auto"/>
              </w:rPr>
              <w:t>吸油倍率（倍）/每小时最小吸油量（kg）</w:t>
            </w:r>
          </w:p>
        </w:tc>
      </w:tr>
      <w:tr w14:paraId="65782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32" w:hRule="atLeast"/>
        </w:trPr>
        <w:tc>
          <w:tcPr>
            <w:tcW w:w="675" w:type="pct"/>
            <w:vMerge w:val="continue"/>
            <w:vAlign w:val="center"/>
          </w:tcPr>
          <w:p w14:paraId="33E12CFD">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6087B482">
            <w:pPr>
              <w:pStyle w:val="91"/>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894" w:type="pct"/>
            <w:vAlign w:val="center"/>
          </w:tcPr>
          <w:p w14:paraId="5124CDD2">
            <w:pPr>
              <w:pStyle w:val="91"/>
              <w:keepNext w:val="0"/>
              <w:keepLines w:val="0"/>
              <w:suppressLineNumbers w:val="0"/>
              <w:spacing w:before="0" w:beforeAutospacing="0" w:after="0" w:afterAutospacing="0"/>
              <w:ind w:left="0" w:right="0"/>
              <w:rPr>
                <w:rFonts w:hint="default"/>
                <w:color w:val="auto"/>
              </w:rPr>
            </w:pPr>
            <w:r>
              <w:rPr>
                <w:rFonts w:hint="default"/>
                <w:color w:val="auto"/>
              </w:rPr>
              <w:t>吸油材料</w:t>
            </w:r>
          </w:p>
        </w:tc>
        <w:tc>
          <w:tcPr>
            <w:tcW w:w="766" w:type="pct"/>
            <w:vAlign w:val="center"/>
          </w:tcPr>
          <w:p w14:paraId="0BF8CF07">
            <w:pPr>
              <w:pStyle w:val="91"/>
              <w:keepNext w:val="0"/>
              <w:keepLines w:val="0"/>
              <w:suppressLineNumbers w:val="0"/>
              <w:spacing w:before="0" w:beforeAutospacing="0" w:after="0" w:afterAutospacing="0"/>
              <w:ind w:left="0" w:right="0"/>
              <w:rPr>
                <w:rFonts w:hint="default"/>
                <w:color w:val="auto"/>
              </w:rPr>
            </w:pPr>
            <w:r>
              <w:rPr>
                <w:rFonts w:hint="default"/>
                <w:color w:val="auto"/>
              </w:rPr>
              <w:t>PP-2</w:t>
            </w:r>
          </w:p>
          <w:p w14:paraId="632AFBEF">
            <w:pPr>
              <w:pStyle w:val="91"/>
              <w:keepNext w:val="0"/>
              <w:keepLines w:val="0"/>
              <w:suppressLineNumbers w:val="0"/>
              <w:spacing w:before="0" w:beforeAutospacing="0" w:after="0" w:afterAutospacing="0"/>
              <w:ind w:left="0" w:right="0"/>
              <w:rPr>
                <w:rFonts w:hint="default"/>
                <w:color w:val="auto"/>
              </w:rPr>
            </w:pPr>
            <w:r>
              <w:rPr>
                <w:rFonts w:hint="default"/>
                <w:color w:val="auto"/>
              </w:rPr>
              <w:t>2000*1000*50</w:t>
            </w:r>
          </w:p>
        </w:tc>
        <w:tc>
          <w:tcPr>
            <w:tcW w:w="667" w:type="pct"/>
            <w:vAlign w:val="center"/>
          </w:tcPr>
          <w:p w14:paraId="030FE91A">
            <w:pPr>
              <w:pStyle w:val="91"/>
              <w:keepNext w:val="0"/>
              <w:keepLines w:val="0"/>
              <w:suppressLineNumbers w:val="0"/>
              <w:spacing w:before="0" w:beforeAutospacing="0" w:after="0" w:afterAutospacing="0"/>
              <w:ind w:left="0" w:right="0"/>
              <w:rPr>
                <w:rFonts w:hint="default"/>
                <w:color w:val="auto"/>
              </w:rPr>
            </w:pPr>
            <w:r>
              <w:rPr>
                <w:rFonts w:hint="default"/>
                <w:color w:val="auto"/>
              </w:rPr>
              <w:t>3t</w:t>
            </w:r>
          </w:p>
        </w:tc>
        <w:tc>
          <w:tcPr>
            <w:tcW w:w="1635" w:type="pct"/>
            <w:gridSpan w:val="2"/>
            <w:vAlign w:val="center"/>
          </w:tcPr>
          <w:p w14:paraId="146E45CB">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5B345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restart"/>
            <w:vAlign w:val="center"/>
          </w:tcPr>
          <w:p w14:paraId="4E0FECB1">
            <w:pPr>
              <w:pStyle w:val="91"/>
              <w:keepNext w:val="0"/>
              <w:keepLines w:val="0"/>
              <w:suppressLineNumbers w:val="0"/>
              <w:spacing w:before="0" w:beforeAutospacing="0" w:after="0" w:afterAutospacing="0"/>
              <w:ind w:left="0" w:right="0"/>
              <w:rPr>
                <w:rFonts w:hint="default"/>
                <w:color w:val="auto"/>
              </w:rPr>
            </w:pPr>
            <w:r>
              <w:rPr>
                <w:rFonts w:hint="default"/>
                <w:color w:val="auto"/>
              </w:rPr>
              <w:t>污油储运设备</w:t>
            </w:r>
          </w:p>
        </w:tc>
        <w:tc>
          <w:tcPr>
            <w:tcW w:w="363" w:type="pct"/>
            <w:vAlign w:val="center"/>
          </w:tcPr>
          <w:p w14:paraId="53F82ECC">
            <w:pPr>
              <w:pStyle w:val="91"/>
              <w:keepNext w:val="0"/>
              <w:keepLines w:val="0"/>
              <w:suppressLineNumbers w:val="0"/>
              <w:spacing w:before="0" w:beforeAutospacing="0" w:after="0" w:afterAutospacing="0"/>
              <w:ind w:left="0" w:right="0"/>
              <w:rPr>
                <w:rFonts w:hint="default"/>
                <w:b/>
                <w:color w:val="auto"/>
              </w:rPr>
            </w:pPr>
            <w:r>
              <w:rPr>
                <w:rFonts w:hint="default"/>
                <w:b/>
                <w:color w:val="auto"/>
              </w:rPr>
              <w:t>序号</w:t>
            </w:r>
          </w:p>
        </w:tc>
        <w:tc>
          <w:tcPr>
            <w:tcW w:w="894" w:type="pct"/>
            <w:vAlign w:val="center"/>
          </w:tcPr>
          <w:p w14:paraId="7328228C">
            <w:pPr>
              <w:pStyle w:val="91"/>
              <w:keepNext w:val="0"/>
              <w:keepLines w:val="0"/>
              <w:suppressLineNumbers w:val="0"/>
              <w:spacing w:before="0" w:beforeAutospacing="0" w:after="0" w:afterAutospacing="0"/>
              <w:ind w:left="0" w:right="0"/>
              <w:rPr>
                <w:rFonts w:hint="default"/>
                <w:b/>
                <w:color w:val="auto"/>
              </w:rPr>
            </w:pPr>
            <w:r>
              <w:rPr>
                <w:rFonts w:hint="default"/>
                <w:b/>
                <w:color w:val="auto"/>
              </w:rPr>
              <w:t>设备名称</w:t>
            </w:r>
          </w:p>
        </w:tc>
        <w:tc>
          <w:tcPr>
            <w:tcW w:w="766" w:type="pct"/>
            <w:vAlign w:val="center"/>
          </w:tcPr>
          <w:p w14:paraId="65C237EA">
            <w:pPr>
              <w:pStyle w:val="91"/>
              <w:keepNext w:val="0"/>
              <w:keepLines w:val="0"/>
              <w:suppressLineNumbers w:val="0"/>
              <w:spacing w:before="0" w:beforeAutospacing="0" w:after="0" w:afterAutospacing="0"/>
              <w:ind w:left="0" w:right="0"/>
              <w:rPr>
                <w:rFonts w:hint="default"/>
                <w:b/>
                <w:color w:val="auto"/>
              </w:rPr>
            </w:pPr>
            <w:r>
              <w:rPr>
                <w:rFonts w:hint="default"/>
                <w:b/>
                <w:color w:val="auto"/>
              </w:rPr>
              <w:t>型号</w:t>
            </w:r>
          </w:p>
        </w:tc>
        <w:tc>
          <w:tcPr>
            <w:tcW w:w="667" w:type="pct"/>
            <w:vAlign w:val="center"/>
          </w:tcPr>
          <w:p w14:paraId="66E7EAF1">
            <w:pPr>
              <w:pStyle w:val="91"/>
              <w:keepNext w:val="0"/>
              <w:keepLines w:val="0"/>
              <w:suppressLineNumbers w:val="0"/>
              <w:spacing w:before="0" w:beforeAutospacing="0" w:after="0" w:afterAutospacing="0"/>
              <w:ind w:left="0" w:right="0"/>
              <w:rPr>
                <w:rFonts w:hint="default"/>
                <w:b/>
                <w:color w:val="auto"/>
              </w:rPr>
            </w:pPr>
            <w:r>
              <w:rPr>
                <w:rFonts w:hint="default"/>
                <w:b/>
                <w:color w:val="auto"/>
              </w:rPr>
              <w:t>数量</w:t>
            </w:r>
          </w:p>
        </w:tc>
        <w:tc>
          <w:tcPr>
            <w:tcW w:w="1635" w:type="pct"/>
            <w:gridSpan w:val="2"/>
            <w:vAlign w:val="center"/>
          </w:tcPr>
          <w:p w14:paraId="6A2CFEB5">
            <w:pPr>
              <w:pStyle w:val="91"/>
              <w:keepNext w:val="0"/>
              <w:keepLines w:val="0"/>
              <w:suppressLineNumbers w:val="0"/>
              <w:spacing w:before="0" w:beforeAutospacing="0" w:after="0" w:afterAutospacing="0"/>
              <w:ind w:left="0" w:right="0"/>
              <w:rPr>
                <w:rFonts w:hint="default"/>
                <w:b/>
                <w:color w:val="auto"/>
              </w:rPr>
            </w:pPr>
            <w:r>
              <w:rPr>
                <w:rFonts w:hint="default"/>
                <w:b/>
                <w:color w:val="auto"/>
              </w:rPr>
              <w:t>容积（立方米/套）</w:t>
            </w:r>
          </w:p>
        </w:tc>
      </w:tr>
      <w:tr w14:paraId="2CCBE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02668EA1">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337A78F3">
            <w:pPr>
              <w:pStyle w:val="91"/>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894" w:type="pct"/>
            <w:vAlign w:val="center"/>
          </w:tcPr>
          <w:p w14:paraId="7C7EE089">
            <w:pPr>
              <w:pStyle w:val="91"/>
              <w:keepNext w:val="0"/>
              <w:keepLines w:val="0"/>
              <w:suppressLineNumbers w:val="0"/>
              <w:spacing w:before="0" w:beforeAutospacing="0" w:after="0" w:afterAutospacing="0"/>
              <w:ind w:left="0" w:right="0"/>
              <w:rPr>
                <w:rFonts w:hint="default"/>
                <w:color w:val="auto"/>
              </w:rPr>
            </w:pPr>
            <w:r>
              <w:rPr>
                <w:rFonts w:hint="default"/>
                <w:color w:val="auto"/>
              </w:rPr>
              <w:t>轻便污油储罐</w:t>
            </w:r>
          </w:p>
        </w:tc>
        <w:tc>
          <w:tcPr>
            <w:tcW w:w="766" w:type="pct"/>
            <w:vAlign w:val="center"/>
          </w:tcPr>
          <w:p w14:paraId="2A78EBF2">
            <w:pPr>
              <w:pStyle w:val="91"/>
              <w:keepNext w:val="0"/>
              <w:keepLines w:val="0"/>
              <w:suppressLineNumbers w:val="0"/>
              <w:spacing w:before="0" w:beforeAutospacing="0" w:after="0" w:afterAutospacing="0"/>
              <w:ind w:left="0" w:right="0"/>
              <w:rPr>
                <w:rFonts w:hint="default"/>
                <w:color w:val="auto"/>
              </w:rPr>
            </w:pPr>
            <w:r>
              <w:rPr>
                <w:rFonts w:hint="default"/>
                <w:color w:val="auto"/>
              </w:rPr>
              <w:t>QG5</w:t>
            </w:r>
          </w:p>
        </w:tc>
        <w:tc>
          <w:tcPr>
            <w:tcW w:w="667" w:type="pct"/>
            <w:vAlign w:val="center"/>
          </w:tcPr>
          <w:p w14:paraId="7C006645">
            <w:pPr>
              <w:pStyle w:val="91"/>
              <w:keepNext w:val="0"/>
              <w:keepLines w:val="0"/>
              <w:suppressLineNumbers w:val="0"/>
              <w:spacing w:before="0" w:beforeAutospacing="0" w:after="0" w:afterAutospacing="0"/>
              <w:ind w:left="0" w:right="0"/>
              <w:rPr>
                <w:rFonts w:hint="default"/>
                <w:color w:val="auto"/>
              </w:rPr>
            </w:pPr>
            <w:r>
              <w:rPr>
                <w:rFonts w:hint="default"/>
                <w:color w:val="auto"/>
              </w:rPr>
              <w:t>7套</w:t>
            </w:r>
          </w:p>
        </w:tc>
        <w:tc>
          <w:tcPr>
            <w:tcW w:w="1635" w:type="pct"/>
            <w:gridSpan w:val="2"/>
            <w:vAlign w:val="center"/>
          </w:tcPr>
          <w:p w14:paraId="36607095">
            <w:pPr>
              <w:pStyle w:val="91"/>
              <w:keepNext w:val="0"/>
              <w:keepLines w:val="0"/>
              <w:suppressLineNumbers w:val="0"/>
              <w:spacing w:before="0" w:beforeAutospacing="0" w:after="0" w:afterAutospacing="0"/>
              <w:ind w:left="0" w:right="0"/>
              <w:rPr>
                <w:rFonts w:hint="default"/>
                <w:color w:val="auto"/>
              </w:rPr>
            </w:pPr>
            <w:r>
              <w:rPr>
                <w:rFonts w:hint="default"/>
                <w:color w:val="auto"/>
              </w:rPr>
              <w:t>5m</w:t>
            </w:r>
            <w:r>
              <w:rPr>
                <w:rFonts w:hint="default"/>
                <w:color w:val="auto"/>
                <w:vertAlign w:val="superscript"/>
              </w:rPr>
              <w:t>3</w:t>
            </w:r>
            <w:r>
              <w:rPr>
                <w:rFonts w:hint="default"/>
                <w:color w:val="auto"/>
              </w:rPr>
              <w:t>/套</w:t>
            </w:r>
          </w:p>
        </w:tc>
      </w:tr>
      <w:tr w14:paraId="7D2BC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restart"/>
            <w:vAlign w:val="center"/>
          </w:tcPr>
          <w:p w14:paraId="25513648">
            <w:pPr>
              <w:pStyle w:val="91"/>
              <w:keepNext w:val="0"/>
              <w:keepLines w:val="0"/>
              <w:suppressLineNumbers w:val="0"/>
              <w:spacing w:before="0" w:beforeAutospacing="0" w:after="0" w:afterAutospacing="0"/>
              <w:ind w:left="0" w:right="0"/>
              <w:rPr>
                <w:rFonts w:hint="default"/>
                <w:color w:val="auto"/>
              </w:rPr>
            </w:pPr>
            <w:r>
              <w:rPr>
                <w:rFonts w:hint="default"/>
                <w:color w:val="auto"/>
              </w:rPr>
              <w:t>其他</w:t>
            </w:r>
          </w:p>
        </w:tc>
        <w:tc>
          <w:tcPr>
            <w:tcW w:w="363" w:type="pct"/>
            <w:vAlign w:val="center"/>
          </w:tcPr>
          <w:p w14:paraId="379C4059">
            <w:pPr>
              <w:pStyle w:val="91"/>
              <w:keepNext w:val="0"/>
              <w:keepLines w:val="0"/>
              <w:suppressLineNumbers w:val="0"/>
              <w:spacing w:before="0" w:beforeAutospacing="0" w:after="0" w:afterAutospacing="0"/>
              <w:ind w:left="0" w:right="0"/>
              <w:rPr>
                <w:rFonts w:hint="default"/>
                <w:b/>
                <w:color w:val="auto"/>
              </w:rPr>
            </w:pPr>
            <w:r>
              <w:rPr>
                <w:rFonts w:hint="default"/>
                <w:b/>
                <w:color w:val="auto"/>
              </w:rPr>
              <w:t>序号</w:t>
            </w:r>
          </w:p>
        </w:tc>
        <w:tc>
          <w:tcPr>
            <w:tcW w:w="894" w:type="pct"/>
            <w:vAlign w:val="center"/>
          </w:tcPr>
          <w:p w14:paraId="005D6828">
            <w:pPr>
              <w:pStyle w:val="91"/>
              <w:keepNext w:val="0"/>
              <w:keepLines w:val="0"/>
              <w:suppressLineNumbers w:val="0"/>
              <w:spacing w:before="0" w:beforeAutospacing="0" w:after="0" w:afterAutospacing="0"/>
              <w:ind w:left="0" w:right="0"/>
              <w:rPr>
                <w:rFonts w:hint="default"/>
                <w:b/>
                <w:color w:val="auto"/>
              </w:rPr>
            </w:pPr>
            <w:r>
              <w:rPr>
                <w:rFonts w:hint="default"/>
                <w:b/>
                <w:color w:val="auto"/>
              </w:rPr>
              <w:t>设备名称</w:t>
            </w:r>
          </w:p>
        </w:tc>
        <w:tc>
          <w:tcPr>
            <w:tcW w:w="766" w:type="pct"/>
            <w:vAlign w:val="center"/>
          </w:tcPr>
          <w:p w14:paraId="1A71877F">
            <w:pPr>
              <w:pStyle w:val="91"/>
              <w:keepNext w:val="0"/>
              <w:keepLines w:val="0"/>
              <w:suppressLineNumbers w:val="0"/>
              <w:spacing w:before="0" w:beforeAutospacing="0" w:after="0" w:afterAutospacing="0"/>
              <w:ind w:left="0" w:right="0"/>
              <w:rPr>
                <w:rFonts w:hint="default"/>
                <w:b/>
                <w:color w:val="auto"/>
              </w:rPr>
            </w:pPr>
            <w:r>
              <w:rPr>
                <w:rFonts w:hint="default"/>
                <w:b/>
                <w:color w:val="auto"/>
              </w:rPr>
              <w:t>型号</w:t>
            </w:r>
          </w:p>
        </w:tc>
        <w:tc>
          <w:tcPr>
            <w:tcW w:w="667" w:type="pct"/>
            <w:vAlign w:val="center"/>
          </w:tcPr>
          <w:p w14:paraId="1067D920">
            <w:pPr>
              <w:pStyle w:val="91"/>
              <w:keepNext w:val="0"/>
              <w:keepLines w:val="0"/>
              <w:suppressLineNumbers w:val="0"/>
              <w:spacing w:before="0" w:beforeAutospacing="0" w:after="0" w:afterAutospacing="0"/>
              <w:ind w:left="0" w:right="0"/>
              <w:rPr>
                <w:rFonts w:hint="default"/>
                <w:b/>
                <w:color w:val="auto"/>
              </w:rPr>
            </w:pPr>
            <w:r>
              <w:rPr>
                <w:rFonts w:hint="default"/>
                <w:b/>
                <w:color w:val="auto"/>
              </w:rPr>
              <w:t>数量</w:t>
            </w:r>
          </w:p>
        </w:tc>
        <w:tc>
          <w:tcPr>
            <w:tcW w:w="1635" w:type="pct"/>
            <w:gridSpan w:val="2"/>
            <w:vAlign w:val="center"/>
          </w:tcPr>
          <w:p w14:paraId="7B015521">
            <w:pPr>
              <w:pStyle w:val="91"/>
              <w:keepNext w:val="0"/>
              <w:keepLines w:val="0"/>
              <w:suppressLineNumbers w:val="0"/>
              <w:spacing w:before="0" w:beforeAutospacing="0" w:after="0" w:afterAutospacing="0"/>
              <w:ind w:left="0" w:right="0"/>
              <w:rPr>
                <w:rFonts w:hint="default"/>
                <w:b/>
                <w:color w:val="auto"/>
              </w:rPr>
            </w:pPr>
            <w:r>
              <w:rPr>
                <w:rFonts w:hint="default"/>
                <w:b/>
                <w:color w:val="auto"/>
              </w:rPr>
              <w:t>技术指标</w:t>
            </w:r>
          </w:p>
        </w:tc>
      </w:tr>
      <w:tr w14:paraId="42096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12A4F74E">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5DB036F0">
            <w:pPr>
              <w:pStyle w:val="91"/>
              <w:keepNext w:val="0"/>
              <w:keepLines w:val="0"/>
              <w:suppressLineNumbers w:val="0"/>
              <w:spacing w:before="0" w:beforeAutospacing="0" w:after="0" w:afterAutospacing="0"/>
              <w:ind w:left="0" w:right="0"/>
              <w:rPr>
                <w:rFonts w:hint="default"/>
                <w:color w:val="auto"/>
              </w:rPr>
            </w:pPr>
            <w:r>
              <w:rPr>
                <w:rFonts w:hint="default"/>
                <w:color w:val="auto"/>
              </w:rPr>
              <w:t>1</w:t>
            </w:r>
          </w:p>
        </w:tc>
        <w:tc>
          <w:tcPr>
            <w:tcW w:w="894" w:type="pct"/>
            <w:vAlign w:val="center"/>
          </w:tcPr>
          <w:p w14:paraId="4C387997">
            <w:pPr>
              <w:pStyle w:val="91"/>
              <w:keepNext w:val="0"/>
              <w:keepLines w:val="0"/>
              <w:suppressLineNumbers w:val="0"/>
              <w:spacing w:before="0" w:beforeAutospacing="0" w:after="0" w:afterAutospacing="0"/>
              <w:ind w:left="0" w:right="0"/>
              <w:rPr>
                <w:rFonts w:hint="default"/>
                <w:color w:val="auto"/>
              </w:rPr>
            </w:pPr>
            <w:r>
              <w:rPr>
                <w:rFonts w:hint="default"/>
                <w:color w:val="auto"/>
              </w:rPr>
              <w:t>油拖网</w:t>
            </w:r>
          </w:p>
        </w:tc>
        <w:tc>
          <w:tcPr>
            <w:tcW w:w="766" w:type="pct"/>
            <w:vAlign w:val="center"/>
          </w:tcPr>
          <w:p w14:paraId="2D9D7EFB">
            <w:pPr>
              <w:pStyle w:val="91"/>
              <w:keepNext w:val="0"/>
              <w:keepLines w:val="0"/>
              <w:suppressLineNumbers w:val="0"/>
              <w:spacing w:before="0" w:beforeAutospacing="0" w:after="0" w:afterAutospacing="0"/>
              <w:ind w:left="0" w:right="0"/>
              <w:rPr>
                <w:rFonts w:hint="default"/>
                <w:color w:val="auto"/>
              </w:rPr>
            </w:pPr>
            <w:r>
              <w:rPr>
                <w:rFonts w:hint="default"/>
                <w:color w:val="auto"/>
              </w:rPr>
              <w:t>4m</w:t>
            </w:r>
            <w:r>
              <w:rPr>
                <w:rFonts w:hint="default"/>
                <w:color w:val="auto"/>
                <w:vertAlign w:val="superscript"/>
              </w:rPr>
              <w:t>3</w:t>
            </w:r>
          </w:p>
        </w:tc>
        <w:tc>
          <w:tcPr>
            <w:tcW w:w="667" w:type="pct"/>
            <w:vAlign w:val="center"/>
          </w:tcPr>
          <w:p w14:paraId="0E1D36F5">
            <w:pPr>
              <w:pStyle w:val="91"/>
              <w:keepNext w:val="0"/>
              <w:keepLines w:val="0"/>
              <w:suppressLineNumbers w:val="0"/>
              <w:spacing w:before="0" w:beforeAutospacing="0" w:after="0" w:afterAutospacing="0"/>
              <w:ind w:left="0" w:right="0"/>
              <w:rPr>
                <w:rFonts w:hint="default"/>
                <w:color w:val="auto"/>
              </w:rPr>
            </w:pPr>
            <w:r>
              <w:rPr>
                <w:rFonts w:hint="default"/>
                <w:color w:val="auto"/>
              </w:rPr>
              <w:t>3套</w:t>
            </w:r>
          </w:p>
        </w:tc>
        <w:tc>
          <w:tcPr>
            <w:tcW w:w="1635" w:type="pct"/>
            <w:gridSpan w:val="2"/>
            <w:vAlign w:val="center"/>
          </w:tcPr>
          <w:p w14:paraId="11D20B54">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39A58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7D38BC4A">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049C65B6">
            <w:pPr>
              <w:pStyle w:val="91"/>
              <w:keepNext w:val="0"/>
              <w:keepLines w:val="0"/>
              <w:suppressLineNumbers w:val="0"/>
              <w:spacing w:before="0" w:beforeAutospacing="0" w:after="0" w:afterAutospacing="0"/>
              <w:ind w:left="0" w:right="0"/>
              <w:rPr>
                <w:rFonts w:hint="default"/>
                <w:color w:val="auto"/>
              </w:rPr>
            </w:pPr>
            <w:r>
              <w:rPr>
                <w:rFonts w:hint="default"/>
                <w:color w:val="auto"/>
              </w:rPr>
              <w:t>2</w:t>
            </w:r>
          </w:p>
        </w:tc>
        <w:tc>
          <w:tcPr>
            <w:tcW w:w="894" w:type="pct"/>
            <w:vAlign w:val="center"/>
          </w:tcPr>
          <w:p w14:paraId="7EF6B049">
            <w:pPr>
              <w:pStyle w:val="91"/>
              <w:keepNext w:val="0"/>
              <w:keepLines w:val="0"/>
              <w:suppressLineNumbers w:val="0"/>
              <w:spacing w:before="0" w:beforeAutospacing="0" w:after="0" w:afterAutospacing="0"/>
              <w:ind w:left="0" w:right="0"/>
              <w:rPr>
                <w:rFonts w:hint="default"/>
                <w:color w:val="auto"/>
              </w:rPr>
            </w:pPr>
            <w:r>
              <w:rPr>
                <w:rFonts w:hint="default"/>
                <w:color w:val="auto"/>
              </w:rPr>
              <w:t>高压清洗机</w:t>
            </w:r>
          </w:p>
        </w:tc>
        <w:tc>
          <w:tcPr>
            <w:tcW w:w="766" w:type="pct"/>
            <w:vAlign w:val="center"/>
          </w:tcPr>
          <w:p w14:paraId="58D5D110">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1DC2260F">
            <w:pPr>
              <w:pStyle w:val="91"/>
              <w:keepNext w:val="0"/>
              <w:keepLines w:val="0"/>
              <w:suppressLineNumbers w:val="0"/>
              <w:spacing w:before="0" w:beforeAutospacing="0" w:after="0" w:afterAutospacing="0"/>
              <w:ind w:left="0" w:right="0"/>
              <w:rPr>
                <w:rFonts w:hint="default"/>
                <w:color w:val="auto"/>
              </w:rPr>
            </w:pPr>
            <w:r>
              <w:rPr>
                <w:rFonts w:hint="default"/>
                <w:color w:val="auto"/>
              </w:rPr>
              <w:t>1台</w:t>
            </w:r>
          </w:p>
        </w:tc>
        <w:tc>
          <w:tcPr>
            <w:tcW w:w="1635" w:type="pct"/>
            <w:gridSpan w:val="2"/>
            <w:vAlign w:val="center"/>
          </w:tcPr>
          <w:p w14:paraId="3C3ADFB9">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44500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1D440105">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54E7EB91">
            <w:pPr>
              <w:pStyle w:val="91"/>
              <w:keepNext w:val="0"/>
              <w:keepLines w:val="0"/>
              <w:suppressLineNumbers w:val="0"/>
              <w:spacing w:before="0" w:beforeAutospacing="0" w:after="0" w:afterAutospacing="0"/>
              <w:ind w:left="0" w:right="0"/>
              <w:rPr>
                <w:rFonts w:hint="default"/>
                <w:color w:val="auto"/>
              </w:rPr>
            </w:pPr>
            <w:r>
              <w:rPr>
                <w:rFonts w:hint="default"/>
                <w:color w:val="auto"/>
              </w:rPr>
              <w:t>3</w:t>
            </w:r>
          </w:p>
        </w:tc>
        <w:tc>
          <w:tcPr>
            <w:tcW w:w="894" w:type="pct"/>
            <w:vAlign w:val="center"/>
          </w:tcPr>
          <w:p w14:paraId="6044EFD7">
            <w:pPr>
              <w:pStyle w:val="91"/>
              <w:keepNext w:val="0"/>
              <w:keepLines w:val="0"/>
              <w:suppressLineNumbers w:val="0"/>
              <w:spacing w:before="0" w:beforeAutospacing="0" w:after="0" w:afterAutospacing="0"/>
              <w:ind w:left="0" w:right="0"/>
              <w:rPr>
                <w:rFonts w:hint="default"/>
                <w:color w:val="auto"/>
              </w:rPr>
            </w:pPr>
            <w:r>
              <w:rPr>
                <w:rFonts w:hint="default"/>
                <w:color w:val="auto"/>
              </w:rPr>
              <w:t>移动泵</w:t>
            </w:r>
          </w:p>
        </w:tc>
        <w:tc>
          <w:tcPr>
            <w:tcW w:w="766" w:type="pct"/>
            <w:vAlign w:val="center"/>
          </w:tcPr>
          <w:p w14:paraId="4FB206F6">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7BC1EEDE">
            <w:pPr>
              <w:pStyle w:val="91"/>
              <w:keepNext w:val="0"/>
              <w:keepLines w:val="0"/>
              <w:suppressLineNumbers w:val="0"/>
              <w:spacing w:before="0" w:beforeAutospacing="0" w:after="0" w:afterAutospacing="0"/>
              <w:ind w:left="0" w:right="0"/>
              <w:rPr>
                <w:rFonts w:hint="default"/>
                <w:color w:val="auto"/>
              </w:rPr>
            </w:pPr>
            <w:r>
              <w:rPr>
                <w:rFonts w:hint="default"/>
                <w:color w:val="auto"/>
              </w:rPr>
              <w:t>1台</w:t>
            </w:r>
          </w:p>
        </w:tc>
        <w:tc>
          <w:tcPr>
            <w:tcW w:w="1635" w:type="pct"/>
            <w:gridSpan w:val="2"/>
            <w:vAlign w:val="center"/>
          </w:tcPr>
          <w:p w14:paraId="59F5C33E">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26BB6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4C2E67AA">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2B4BB276">
            <w:pPr>
              <w:pStyle w:val="91"/>
              <w:keepNext w:val="0"/>
              <w:keepLines w:val="0"/>
              <w:suppressLineNumbers w:val="0"/>
              <w:spacing w:before="0" w:beforeAutospacing="0" w:after="0" w:afterAutospacing="0"/>
              <w:ind w:left="0" w:right="0"/>
              <w:rPr>
                <w:rFonts w:hint="default"/>
                <w:color w:val="auto"/>
              </w:rPr>
            </w:pPr>
            <w:r>
              <w:rPr>
                <w:rFonts w:hint="default"/>
                <w:color w:val="auto"/>
              </w:rPr>
              <w:t>4</w:t>
            </w:r>
          </w:p>
        </w:tc>
        <w:tc>
          <w:tcPr>
            <w:tcW w:w="894" w:type="pct"/>
            <w:vAlign w:val="center"/>
          </w:tcPr>
          <w:p w14:paraId="120A1A35">
            <w:pPr>
              <w:pStyle w:val="91"/>
              <w:keepNext w:val="0"/>
              <w:keepLines w:val="0"/>
              <w:suppressLineNumbers w:val="0"/>
              <w:spacing w:before="0" w:beforeAutospacing="0" w:after="0" w:afterAutospacing="0"/>
              <w:ind w:left="0" w:right="0"/>
              <w:rPr>
                <w:rFonts w:hint="default"/>
                <w:color w:val="auto"/>
              </w:rPr>
            </w:pPr>
            <w:r>
              <w:rPr>
                <w:rFonts w:hint="default"/>
                <w:color w:val="auto"/>
              </w:rPr>
              <w:t>耐油透明胶管</w:t>
            </w:r>
          </w:p>
        </w:tc>
        <w:tc>
          <w:tcPr>
            <w:tcW w:w="766" w:type="pct"/>
            <w:vAlign w:val="center"/>
          </w:tcPr>
          <w:p w14:paraId="289C25B8">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095FBBBE">
            <w:pPr>
              <w:pStyle w:val="91"/>
              <w:keepNext w:val="0"/>
              <w:keepLines w:val="0"/>
              <w:suppressLineNumbers w:val="0"/>
              <w:spacing w:before="0" w:beforeAutospacing="0" w:after="0" w:afterAutospacing="0"/>
              <w:ind w:left="0" w:right="0"/>
              <w:rPr>
                <w:rFonts w:hint="default"/>
                <w:color w:val="auto"/>
              </w:rPr>
            </w:pPr>
            <w:r>
              <w:rPr>
                <w:rFonts w:hint="default"/>
                <w:color w:val="auto"/>
              </w:rPr>
              <w:t>20米</w:t>
            </w:r>
          </w:p>
        </w:tc>
        <w:tc>
          <w:tcPr>
            <w:tcW w:w="1635" w:type="pct"/>
            <w:gridSpan w:val="2"/>
            <w:vAlign w:val="center"/>
          </w:tcPr>
          <w:p w14:paraId="38B22ED5">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64302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7F705C29">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148C996B">
            <w:pPr>
              <w:pStyle w:val="91"/>
              <w:keepNext w:val="0"/>
              <w:keepLines w:val="0"/>
              <w:suppressLineNumbers w:val="0"/>
              <w:spacing w:before="0" w:beforeAutospacing="0" w:after="0" w:afterAutospacing="0"/>
              <w:ind w:left="0" w:right="0"/>
              <w:rPr>
                <w:rFonts w:hint="default"/>
                <w:color w:val="auto"/>
              </w:rPr>
            </w:pPr>
            <w:r>
              <w:rPr>
                <w:rFonts w:hint="default"/>
                <w:color w:val="auto"/>
              </w:rPr>
              <w:t>5</w:t>
            </w:r>
          </w:p>
        </w:tc>
        <w:tc>
          <w:tcPr>
            <w:tcW w:w="894" w:type="pct"/>
            <w:vAlign w:val="center"/>
          </w:tcPr>
          <w:p w14:paraId="70E64F8C">
            <w:pPr>
              <w:pStyle w:val="91"/>
              <w:keepNext w:val="0"/>
              <w:keepLines w:val="0"/>
              <w:suppressLineNumbers w:val="0"/>
              <w:spacing w:before="0" w:beforeAutospacing="0" w:after="0" w:afterAutospacing="0"/>
              <w:ind w:left="0" w:right="0"/>
              <w:rPr>
                <w:rFonts w:hint="default"/>
                <w:color w:val="auto"/>
              </w:rPr>
            </w:pPr>
            <w:r>
              <w:rPr>
                <w:rFonts w:hint="default"/>
                <w:color w:val="auto"/>
              </w:rPr>
              <w:t>电气工程吊车</w:t>
            </w:r>
          </w:p>
        </w:tc>
        <w:tc>
          <w:tcPr>
            <w:tcW w:w="766" w:type="pct"/>
            <w:vAlign w:val="center"/>
          </w:tcPr>
          <w:p w14:paraId="4E86981B">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1C863387">
            <w:pPr>
              <w:pStyle w:val="91"/>
              <w:keepNext w:val="0"/>
              <w:keepLines w:val="0"/>
              <w:suppressLineNumbers w:val="0"/>
              <w:spacing w:before="0" w:beforeAutospacing="0" w:after="0" w:afterAutospacing="0"/>
              <w:ind w:left="0" w:right="0"/>
              <w:rPr>
                <w:rFonts w:hint="default"/>
                <w:color w:val="auto"/>
              </w:rPr>
            </w:pPr>
            <w:r>
              <w:rPr>
                <w:rFonts w:hint="default"/>
                <w:color w:val="auto"/>
              </w:rPr>
              <w:t>1辆</w:t>
            </w:r>
          </w:p>
        </w:tc>
        <w:tc>
          <w:tcPr>
            <w:tcW w:w="1635" w:type="pct"/>
            <w:gridSpan w:val="2"/>
            <w:vAlign w:val="center"/>
          </w:tcPr>
          <w:p w14:paraId="63739536">
            <w:pPr>
              <w:pStyle w:val="91"/>
              <w:keepNext w:val="0"/>
              <w:keepLines w:val="0"/>
              <w:suppressLineNumbers w:val="0"/>
              <w:spacing w:before="0" w:beforeAutospacing="0" w:after="0" w:afterAutospacing="0"/>
              <w:ind w:left="0" w:right="0"/>
              <w:rPr>
                <w:rFonts w:hint="default"/>
                <w:color w:val="auto"/>
              </w:rPr>
            </w:pPr>
            <w:r>
              <w:rPr>
                <w:rFonts w:hint="default"/>
                <w:color w:val="auto"/>
              </w:rPr>
              <w:t>2t</w:t>
            </w:r>
          </w:p>
        </w:tc>
      </w:tr>
      <w:tr w14:paraId="1C8C9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26D2FB0D">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06F5F4F9">
            <w:pPr>
              <w:pStyle w:val="91"/>
              <w:keepNext w:val="0"/>
              <w:keepLines w:val="0"/>
              <w:suppressLineNumbers w:val="0"/>
              <w:spacing w:before="0" w:beforeAutospacing="0" w:after="0" w:afterAutospacing="0"/>
              <w:ind w:left="0" w:right="0"/>
              <w:rPr>
                <w:rFonts w:hint="default"/>
                <w:color w:val="auto"/>
              </w:rPr>
            </w:pPr>
            <w:r>
              <w:rPr>
                <w:rFonts w:hint="default"/>
                <w:color w:val="auto"/>
              </w:rPr>
              <w:t>6</w:t>
            </w:r>
          </w:p>
        </w:tc>
        <w:tc>
          <w:tcPr>
            <w:tcW w:w="894" w:type="pct"/>
            <w:vAlign w:val="center"/>
          </w:tcPr>
          <w:p w14:paraId="24C3A05E">
            <w:pPr>
              <w:pStyle w:val="91"/>
              <w:keepNext w:val="0"/>
              <w:keepLines w:val="0"/>
              <w:suppressLineNumbers w:val="0"/>
              <w:spacing w:before="0" w:beforeAutospacing="0" w:after="0" w:afterAutospacing="0"/>
              <w:ind w:left="0" w:right="0"/>
              <w:rPr>
                <w:rFonts w:hint="default"/>
                <w:color w:val="auto"/>
              </w:rPr>
            </w:pPr>
            <w:r>
              <w:rPr>
                <w:rFonts w:hint="default"/>
                <w:color w:val="auto"/>
              </w:rPr>
              <w:t>小货车</w:t>
            </w:r>
          </w:p>
        </w:tc>
        <w:tc>
          <w:tcPr>
            <w:tcW w:w="766" w:type="pct"/>
            <w:vAlign w:val="center"/>
          </w:tcPr>
          <w:p w14:paraId="7FEBFA8E">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1AF81392">
            <w:pPr>
              <w:pStyle w:val="91"/>
              <w:keepNext w:val="0"/>
              <w:keepLines w:val="0"/>
              <w:suppressLineNumbers w:val="0"/>
              <w:spacing w:before="0" w:beforeAutospacing="0" w:after="0" w:afterAutospacing="0"/>
              <w:ind w:left="0" w:right="0"/>
              <w:rPr>
                <w:rFonts w:hint="default"/>
                <w:color w:val="auto"/>
              </w:rPr>
            </w:pPr>
            <w:r>
              <w:rPr>
                <w:rFonts w:hint="default"/>
                <w:color w:val="auto"/>
              </w:rPr>
              <w:t>1辆</w:t>
            </w:r>
          </w:p>
        </w:tc>
        <w:tc>
          <w:tcPr>
            <w:tcW w:w="1635" w:type="pct"/>
            <w:gridSpan w:val="2"/>
            <w:vAlign w:val="center"/>
          </w:tcPr>
          <w:p w14:paraId="3A1396CA">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757D9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58EB8BB7">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5F5BCEFC">
            <w:pPr>
              <w:pStyle w:val="91"/>
              <w:keepNext w:val="0"/>
              <w:keepLines w:val="0"/>
              <w:suppressLineNumbers w:val="0"/>
              <w:spacing w:before="0" w:beforeAutospacing="0" w:after="0" w:afterAutospacing="0"/>
              <w:ind w:left="0" w:right="0"/>
              <w:rPr>
                <w:rFonts w:hint="default"/>
                <w:color w:val="auto"/>
              </w:rPr>
            </w:pPr>
            <w:r>
              <w:rPr>
                <w:rFonts w:hint="default"/>
                <w:color w:val="auto"/>
              </w:rPr>
              <w:t>7</w:t>
            </w:r>
          </w:p>
        </w:tc>
        <w:tc>
          <w:tcPr>
            <w:tcW w:w="894" w:type="pct"/>
            <w:vAlign w:val="center"/>
          </w:tcPr>
          <w:p w14:paraId="60207BC7">
            <w:pPr>
              <w:pStyle w:val="91"/>
              <w:keepNext w:val="0"/>
              <w:keepLines w:val="0"/>
              <w:suppressLineNumbers w:val="0"/>
              <w:spacing w:before="0" w:beforeAutospacing="0" w:after="0" w:afterAutospacing="0"/>
              <w:ind w:left="0" w:right="0"/>
              <w:rPr>
                <w:rFonts w:hint="default"/>
                <w:color w:val="auto"/>
              </w:rPr>
            </w:pPr>
            <w:r>
              <w:rPr>
                <w:rFonts w:hint="default"/>
                <w:color w:val="auto"/>
              </w:rPr>
              <w:t>叉车</w:t>
            </w:r>
          </w:p>
        </w:tc>
        <w:tc>
          <w:tcPr>
            <w:tcW w:w="766" w:type="pct"/>
            <w:vAlign w:val="center"/>
          </w:tcPr>
          <w:p w14:paraId="59396027">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092A905D">
            <w:pPr>
              <w:pStyle w:val="91"/>
              <w:keepNext w:val="0"/>
              <w:keepLines w:val="0"/>
              <w:suppressLineNumbers w:val="0"/>
              <w:spacing w:before="0" w:beforeAutospacing="0" w:after="0" w:afterAutospacing="0"/>
              <w:ind w:left="0" w:right="0"/>
              <w:rPr>
                <w:rFonts w:hint="default"/>
                <w:color w:val="auto"/>
              </w:rPr>
            </w:pPr>
            <w:r>
              <w:rPr>
                <w:rFonts w:hint="default"/>
                <w:color w:val="auto"/>
              </w:rPr>
              <w:t>1辆</w:t>
            </w:r>
          </w:p>
        </w:tc>
        <w:tc>
          <w:tcPr>
            <w:tcW w:w="1635" w:type="pct"/>
            <w:gridSpan w:val="2"/>
            <w:vAlign w:val="center"/>
          </w:tcPr>
          <w:p w14:paraId="40F0EB3E">
            <w:pPr>
              <w:pStyle w:val="91"/>
              <w:keepNext w:val="0"/>
              <w:keepLines w:val="0"/>
              <w:suppressLineNumbers w:val="0"/>
              <w:spacing w:before="0" w:beforeAutospacing="0" w:after="0" w:afterAutospacing="0"/>
              <w:ind w:left="0" w:right="0"/>
              <w:rPr>
                <w:rFonts w:hint="default"/>
                <w:color w:val="auto"/>
              </w:rPr>
            </w:pPr>
            <w:r>
              <w:rPr>
                <w:rFonts w:hint="default"/>
                <w:color w:val="auto"/>
              </w:rPr>
              <w:t>4t</w:t>
            </w:r>
          </w:p>
        </w:tc>
      </w:tr>
      <w:tr w14:paraId="2AB89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675" w:type="pct"/>
            <w:vMerge w:val="continue"/>
            <w:vAlign w:val="center"/>
          </w:tcPr>
          <w:p w14:paraId="6D2AC12D">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1C41CE5D">
            <w:pPr>
              <w:pStyle w:val="91"/>
              <w:keepNext w:val="0"/>
              <w:keepLines w:val="0"/>
              <w:suppressLineNumbers w:val="0"/>
              <w:spacing w:before="0" w:beforeAutospacing="0" w:after="0" w:afterAutospacing="0"/>
              <w:ind w:left="0" w:right="0"/>
              <w:rPr>
                <w:rFonts w:hint="default"/>
                <w:color w:val="auto"/>
              </w:rPr>
            </w:pPr>
            <w:r>
              <w:rPr>
                <w:rFonts w:hint="default"/>
                <w:color w:val="auto"/>
              </w:rPr>
              <w:t>8</w:t>
            </w:r>
          </w:p>
        </w:tc>
        <w:tc>
          <w:tcPr>
            <w:tcW w:w="894" w:type="pct"/>
            <w:vAlign w:val="center"/>
          </w:tcPr>
          <w:p w14:paraId="239698BC">
            <w:pPr>
              <w:pStyle w:val="91"/>
              <w:keepNext w:val="0"/>
              <w:keepLines w:val="0"/>
              <w:suppressLineNumbers w:val="0"/>
              <w:spacing w:before="0" w:beforeAutospacing="0" w:after="0" w:afterAutospacing="0"/>
              <w:ind w:left="0" w:right="0"/>
              <w:rPr>
                <w:rFonts w:hint="default"/>
                <w:color w:val="auto"/>
              </w:rPr>
            </w:pPr>
            <w:r>
              <w:rPr>
                <w:rFonts w:hint="default"/>
                <w:color w:val="auto"/>
              </w:rPr>
              <w:t>空气呼吸器</w:t>
            </w:r>
          </w:p>
        </w:tc>
        <w:tc>
          <w:tcPr>
            <w:tcW w:w="766" w:type="pct"/>
            <w:vAlign w:val="center"/>
          </w:tcPr>
          <w:p w14:paraId="636E1AB1">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1202F390">
            <w:pPr>
              <w:pStyle w:val="91"/>
              <w:keepNext w:val="0"/>
              <w:keepLines w:val="0"/>
              <w:suppressLineNumbers w:val="0"/>
              <w:spacing w:before="0" w:beforeAutospacing="0" w:after="0" w:afterAutospacing="0"/>
              <w:ind w:left="0" w:right="0"/>
              <w:rPr>
                <w:rFonts w:hint="default"/>
                <w:color w:val="auto"/>
              </w:rPr>
            </w:pPr>
            <w:r>
              <w:rPr>
                <w:rFonts w:hint="default"/>
                <w:color w:val="auto"/>
              </w:rPr>
              <w:t>4套</w:t>
            </w:r>
          </w:p>
        </w:tc>
        <w:tc>
          <w:tcPr>
            <w:tcW w:w="1635" w:type="pct"/>
            <w:gridSpan w:val="2"/>
            <w:vAlign w:val="center"/>
          </w:tcPr>
          <w:p w14:paraId="16468713">
            <w:pPr>
              <w:pStyle w:val="91"/>
              <w:keepNext w:val="0"/>
              <w:keepLines w:val="0"/>
              <w:suppressLineNumbers w:val="0"/>
              <w:spacing w:before="0" w:beforeAutospacing="0" w:after="0" w:afterAutospacing="0"/>
              <w:ind w:left="0" w:right="0"/>
              <w:rPr>
                <w:rFonts w:hint="default"/>
                <w:color w:val="auto"/>
              </w:rPr>
            </w:pPr>
            <w:r>
              <w:rPr>
                <w:rFonts w:hint="default"/>
                <w:color w:val="auto"/>
              </w:rPr>
              <w:t>正压式（码头中控室2套，消防应急库房2套）</w:t>
            </w:r>
          </w:p>
        </w:tc>
      </w:tr>
      <w:tr w14:paraId="45BE8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070730BE">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39E590A9">
            <w:pPr>
              <w:pStyle w:val="91"/>
              <w:keepNext w:val="0"/>
              <w:keepLines w:val="0"/>
              <w:suppressLineNumbers w:val="0"/>
              <w:spacing w:before="0" w:beforeAutospacing="0" w:after="0" w:afterAutospacing="0"/>
              <w:ind w:left="0" w:right="0"/>
              <w:rPr>
                <w:rFonts w:hint="default"/>
                <w:color w:val="auto"/>
              </w:rPr>
            </w:pPr>
            <w:r>
              <w:rPr>
                <w:rFonts w:hint="default"/>
                <w:color w:val="auto"/>
              </w:rPr>
              <w:t>9</w:t>
            </w:r>
          </w:p>
        </w:tc>
        <w:tc>
          <w:tcPr>
            <w:tcW w:w="894" w:type="pct"/>
            <w:vAlign w:val="center"/>
          </w:tcPr>
          <w:p w14:paraId="36EB809B">
            <w:pPr>
              <w:pStyle w:val="91"/>
              <w:keepNext w:val="0"/>
              <w:keepLines w:val="0"/>
              <w:suppressLineNumbers w:val="0"/>
              <w:spacing w:before="0" w:beforeAutospacing="0" w:after="0" w:afterAutospacing="0"/>
              <w:ind w:left="0" w:right="0"/>
              <w:rPr>
                <w:rFonts w:hint="default"/>
                <w:color w:val="auto"/>
              </w:rPr>
            </w:pPr>
            <w:r>
              <w:rPr>
                <w:rFonts w:hint="default"/>
                <w:color w:val="auto"/>
              </w:rPr>
              <w:t>防毒口罩</w:t>
            </w:r>
          </w:p>
        </w:tc>
        <w:tc>
          <w:tcPr>
            <w:tcW w:w="766" w:type="pct"/>
            <w:vAlign w:val="center"/>
          </w:tcPr>
          <w:p w14:paraId="03B192A7">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4E53CA10">
            <w:pPr>
              <w:pStyle w:val="91"/>
              <w:keepNext w:val="0"/>
              <w:keepLines w:val="0"/>
              <w:suppressLineNumbers w:val="0"/>
              <w:spacing w:before="0" w:beforeAutospacing="0" w:after="0" w:afterAutospacing="0"/>
              <w:ind w:left="0" w:right="0"/>
              <w:rPr>
                <w:rFonts w:hint="default"/>
                <w:color w:val="auto"/>
              </w:rPr>
            </w:pPr>
            <w:r>
              <w:rPr>
                <w:rFonts w:hint="default"/>
                <w:color w:val="auto"/>
              </w:rPr>
              <w:t>20个</w:t>
            </w:r>
          </w:p>
        </w:tc>
        <w:tc>
          <w:tcPr>
            <w:tcW w:w="1635" w:type="pct"/>
            <w:gridSpan w:val="2"/>
            <w:vAlign w:val="center"/>
          </w:tcPr>
          <w:p w14:paraId="7F7BA6E5">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00A62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3A18B858">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6164CA0E">
            <w:pPr>
              <w:pStyle w:val="91"/>
              <w:keepNext w:val="0"/>
              <w:keepLines w:val="0"/>
              <w:suppressLineNumbers w:val="0"/>
              <w:spacing w:before="0" w:beforeAutospacing="0" w:after="0" w:afterAutospacing="0"/>
              <w:ind w:left="0" w:right="0"/>
              <w:rPr>
                <w:rFonts w:hint="default"/>
                <w:color w:val="auto"/>
              </w:rPr>
            </w:pPr>
            <w:r>
              <w:rPr>
                <w:rFonts w:hint="default"/>
                <w:color w:val="auto"/>
              </w:rPr>
              <w:t>10</w:t>
            </w:r>
          </w:p>
        </w:tc>
        <w:tc>
          <w:tcPr>
            <w:tcW w:w="894" w:type="pct"/>
            <w:vAlign w:val="center"/>
          </w:tcPr>
          <w:p w14:paraId="72A85CDD">
            <w:pPr>
              <w:pStyle w:val="91"/>
              <w:keepNext w:val="0"/>
              <w:keepLines w:val="0"/>
              <w:suppressLineNumbers w:val="0"/>
              <w:spacing w:before="0" w:beforeAutospacing="0" w:after="0" w:afterAutospacing="0"/>
              <w:ind w:left="0" w:right="0"/>
              <w:rPr>
                <w:rFonts w:hint="default"/>
                <w:color w:val="auto"/>
              </w:rPr>
            </w:pPr>
            <w:r>
              <w:rPr>
                <w:rFonts w:hint="default"/>
                <w:color w:val="auto"/>
              </w:rPr>
              <w:t>救生衣</w:t>
            </w:r>
          </w:p>
        </w:tc>
        <w:tc>
          <w:tcPr>
            <w:tcW w:w="766" w:type="pct"/>
            <w:vAlign w:val="center"/>
          </w:tcPr>
          <w:p w14:paraId="3FFF8C10">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49AD0C5E">
            <w:pPr>
              <w:pStyle w:val="91"/>
              <w:keepNext w:val="0"/>
              <w:keepLines w:val="0"/>
              <w:suppressLineNumbers w:val="0"/>
              <w:spacing w:before="0" w:beforeAutospacing="0" w:after="0" w:afterAutospacing="0"/>
              <w:ind w:left="0" w:right="0"/>
              <w:rPr>
                <w:rFonts w:hint="default"/>
                <w:color w:val="auto"/>
              </w:rPr>
            </w:pPr>
            <w:r>
              <w:rPr>
                <w:rFonts w:hint="default"/>
                <w:color w:val="auto"/>
              </w:rPr>
              <w:t>20套</w:t>
            </w:r>
          </w:p>
        </w:tc>
        <w:tc>
          <w:tcPr>
            <w:tcW w:w="1635" w:type="pct"/>
            <w:gridSpan w:val="2"/>
          </w:tcPr>
          <w:p w14:paraId="0EC041BA">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7E447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01FE5480">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14FC73C4">
            <w:pPr>
              <w:pStyle w:val="91"/>
              <w:keepNext w:val="0"/>
              <w:keepLines w:val="0"/>
              <w:suppressLineNumbers w:val="0"/>
              <w:spacing w:before="0" w:beforeAutospacing="0" w:after="0" w:afterAutospacing="0"/>
              <w:ind w:left="0" w:right="0"/>
              <w:rPr>
                <w:rFonts w:hint="default"/>
                <w:color w:val="auto"/>
              </w:rPr>
            </w:pPr>
            <w:r>
              <w:rPr>
                <w:rFonts w:hint="default"/>
                <w:color w:val="auto"/>
              </w:rPr>
              <w:t>11</w:t>
            </w:r>
          </w:p>
        </w:tc>
        <w:tc>
          <w:tcPr>
            <w:tcW w:w="894" w:type="pct"/>
            <w:vAlign w:val="center"/>
          </w:tcPr>
          <w:p w14:paraId="33F1ED32">
            <w:pPr>
              <w:pStyle w:val="91"/>
              <w:keepNext w:val="0"/>
              <w:keepLines w:val="0"/>
              <w:suppressLineNumbers w:val="0"/>
              <w:spacing w:before="0" w:beforeAutospacing="0" w:after="0" w:afterAutospacing="0"/>
              <w:ind w:left="0" w:right="0"/>
              <w:rPr>
                <w:rFonts w:hint="default"/>
                <w:color w:val="auto"/>
              </w:rPr>
            </w:pPr>
            <w:r>
              <w:rPr>
                <w:rFonts w:hint="default"/>
                <w:color w:val="auto"/>
              </w:rPr>
              <w:t>耐酸碱手套</w:t>
            </w:r>
          </w:p>
        </w:tc>
        <w:tc>
          <w:tcPr>
            <w:tcW w:w="766" w:type="pct"/>
            <w:vAlign w:val="center"/>
          </w:tcPr>
          <w:p w14:paraId="63257130">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2E7434B7">
            <w:pPr>
              <w:pStyle w:val="91"/>
              <w:keepNext w:val="0"/>
              <w:keepLines w:val="0"/>
              <w:suppressLineNumbers w:val="0"/>
              <w:spacing w:before="0" w:beforeAutospacing="0" w:after="0" w:afterAutospacing="0"/>
              <w:ind w:left="0" w:right="0"/>
              <w:rPr>
                <w:rFonts w:hint="default"/>
                <w:color w:val="auto"/>
              </w:rPr>
            </w:pPr>
            <w:r>
              <w:rPr>
                <w:rFonts w:hint="default"/>
                <w:color w:val="auto"/>
              </w:rPr>
              <w:t>10双</w:t>
            </w:r>
          </w:p>
        </w:tc>
        <w:tc>
          <w:tcPr>
            <w:tcW w:w="1635" w:type="pct"/>
            <w:gridSpan w:val="2"/>
          </w:tcPr>
          <w:p w14:paraId="3B170C6C">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4E1C5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22B246E2">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2C561E73">
            <w:pPr>
              <w:pStyle w:val="91"/>
              <w:keepNext w:val="0"/>
              <w:keepLines w:val="0"/>
              <w:suppressLineNumbers w:val="0"/>
              <w:spacing w:before="0" w:beforeAutospacing="0" w:after="0" w:afterAutospacing="0"/>
              <w:ind w:left="0" w:right="0"/>
              <w:rPr>
                <w:rFonts w:hint="default"/>
                <w:color w:val="auto"/>
              </w:rPr>
            </w:pPr>
            <w:r>
              <w:rPr>
                <w:rFonts w:hint="default"/>
                <w:color w:val="auto"/>
              </w:rPr>
              <w:t>12</w:t>
            </w:r>
          </w:p>
        </w:tc>
        <w:tc>
          <w:tcPr>
            <w:tcW w:w="894" w:type="pct"/>
            <w:vAlign w:val="center"/>
          </w:tcPr>
          <w:p w14:paraId="7EDAED27">
            <w:pPr>
              <w:pStyle w:val="91"/>
              <w:keepNext w:val="0"/>
              <w:keepLines w:val="0"/>
              <w:suppressLineNumbers w:val="0"/>
              <w:spacing w:before="0" w:beforeAutospacing="0" w:after="0" w:afterAutospacing="0"/>
              <w:ind w:left="0" w:right="0"/>
              <w:rPr>
                <w:rFonts w:hint="default"/>
                <w:color w:val="auto"/>
              </w:rPr>
            </w:pPr>
            <w:r>
              <w:rPr>
                <w:rFonts w:hint="default"/>
                <w:color w:val="auto"/>
              </w:rPr>
              <w:t>泄漏处理桶</w:t>
            </w:r>
          </w:p>
        </w:tc>
        <w:tc>
          <w:tcPr>
            <w:tcW w:w="766" w:type="pct"/>
            <w:vAlign w:val="center"/>
          </w:tcPr>
          <w:p w14:paraId="2FC8E708">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4953ED1B">
            <w:pPr>
              <w:pStyle w:val="91"/>
              <w:keepNext w:val="0"/>
              <w:keepLines w:val="0"/>
              <w:suppressLineNumbers w:val="0"/>
              <w:spacing w:before="0" w:beforeAutospacing="0" w:after="0" w:afterAutospacing="0"/>
              <w:ind w:left="0" w:right="0"/>
              <w:rPr>
                <w:rFonts w:hint="default"/>
                <w:color w:val="auto"/>
              </w:rPr>
            </w:pPr>
            <w:r>
              <w:rPr>
                <w:rFonts w:hint="default"/>
                <w:color w:val="auto"/>
              </w:rPr>
              <w:t>5个</w:t>
            </w:r>
          </w:p>
        </w:tc>
        <w:tc>
          <w:tcPr>
            <w:tcW w:w="1635" w:type="pct"/>
            <w:gridSpan w:val="2"/>
          </w:tcPr>
          <w:p w14:paraId="33BBFE6D">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6EC14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3076CD8A">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58B7F43C">
            <w:pPr>
              <w:pStyle w:val="91"/>
              <w:keepNext w:val="0"/>
              <w:keepLines w:val="0"/>
              <w:suppressLineNumbers w:val="0"/>
              <w:spacing w:before="0" w:beforeAutospacing="0" w:after="0" w:afterAutospacing="0"/>
              <w:ind w:left="0" w:right="0"/>
              <w:rPr>
                <w:rFonts w:hint="default"/>
                <w:color w:val="auto"/>
              </w:rPr>
            </w:pPr>
            <w:r>
              <w:rPr>
                <w:rFonts w:hint="default"/>
                <w:color w:val="auto"/>
              </w:rPr>
              <w:t>13</w:t>
            </w:r>
          </w:p>
        </w:tc>
        <w:tc>
          <w:tcPr>
            <w:tcW w:w="894" w:type="pct"/>
            <w:vAlign w:val="center"/>
          </w:tcPr>
          <w:p w14:paraId="2421781E">
            <w:pPr>
              <w:pStyle w:val="91"/>
              <w:keepNext w:val="0"/>
              <w:keepLines w:val="0"/>
              <w:suppressLineNumbers w:val="0"/>
              <w:spacing w:before="0" w:beforeAutospacing="0" w:after="0" w:afterAutospacing="0"/>
              <w:ind w:left="0" w:right="0"/>
              <w:rPr>
                <w:rFonts w:hint="default"/>
                <w:color w:val="auto"/>
              </w:rPr>
            </w:pPr>
            <w:r>
              <w:rPr>
                <w:rFonts w:hint="default"/>
                <w:color w:val="auto"/>
              </w:rPr>
              <w:t>塑料软刷</w:t>
            </w:r>
          </w:p>
        </w:tc>
        <w:tc>
          <w:tcPr>
            <w:tcW w:w="766" w:type="pct"/>
            <w:vAlign w:val="center"/>
          </w:tcPr>
          <w:p w14:paraId="3309D3F7">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1B1585FF">
            <w:pPr>
              <w:pStyle w:val="91"/>
              <w:keepNext w:val="0"/>
              <w:keepLines w:val="0"/>
              <w:suppressLineNumbers w:val="0"/>
              <w:spacing w:before="0" w:beforeAutospacing="0" w:after="0" w:afterAutospacing="0"/>
              <w:ind w:left="0" w:right="0"/>
              <w:rPr>
                <w:rFonts w:hint="default"/>
                <w:color w:val="auto"/>
              </w:rPr>
            </w:pPr>
            <w:r>
              <w:rPr>
                <w:rFonts w:hint="default"/>
                <w:color w:val="auto"/>
              </w:rPr>
              <w:t>5个</w:t>
            </w:r>
          </w:p>
        </w:tc>
        <w:tc>
          <w:tcPr>
            <w:tcW w:w="1635" w:type="pct"/>
            <w:gridSpan w:val="2"/>
          </w:tcPr>
          <w:p w14:paraId="23C24441">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486BD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082AD64F">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6E6C43FA">
            <w:pPr>
              <w:pStyle w:val="91"/>
              <w:keepNext w:val="0"/>
              <w:keepLines w:val="0"/>
              <w:suppressLineNumbers w:val="0"/>
              <w:spacing w:before="0" w:beforeAutospacing="0" w:after="0" w:afterAutospacing="0"/>
              <w:ind w:left="0" w:right="0"/>
              <w:rPr>
                <w:rFonts w:hint="default"/>
                <w:color w:val="auto"/>
              </w:rPr>
            </w:pPr>
            <w:r>
              <w:rPr>
                <w:rFonts w:hint="default"/>
                <w:color w:val="auto"/>
              </w:rPr>
              <w:t>14</w:t>
            </w:r>
          </w:p>
        </w:tc>
        <w:tc>
          <w:tcPr>
            <w:tcW w:w="894" w:type="pct"/>
            <w:vAlign w:val="center"/>
          </w:tcPr>
          <w:p w14:paraId="4A78BF43">
            <w:pPr>
              <w:pStyle w:val="91"/>
              <w:keepNext w:val="0"/>
              <w:keepLines w:val="0"/>
              <w:suppressLineNumbers w:val="0"/>
              <w:spacing w:before="0" w:beforeAutospacing="0" w:after="0" w:afterAutospacing="0"/>
              <w:ind w:left="0" w:right="0"/>
              <w:rPr>
                <w:rFonts w:hint="default"/>
                <w:color w:val="auto"/>
              </w:rPr>
            </w:pPr>
            <w:r>
              <w:rPr>
                <w:rFonts w:hint="default"/>
                <w:color w:val="auto"/>
              </w:rPr>
              <w:t>塑料簸箕</w:t>
            </w:r>
          </w:p>
        </w:tc>
        <w:tc>
          <w:tcPr>
            <w:tcW w:w="766" w:type="pct"/>
            <w:vAlign w:val="center"/>
          </w:tcPr>
          <w:p w14:paraId="154E477B">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771900DD">
            <w:pPr>
              <w:pStyle w:val="91"/>
              <w:keepNext w:val="0"/>
              <w:keepLines w:val="0"/>
              <w:suppressLineNumbers w:val="0"/>
              <w:spacing w:before="0" w:beforeAutospacing="0" w:after="0" w:afterAutospacing="0"/>
              <w:ind w:left="0" w:right="0"/>
              <w:rPr>
                <w:rFonts w:hint="default"/>
                <w:color w:val="auto"/>
              </w:rPr>
            </w:pPr>
            <w:r>
              <w:rPr>
                <w:rFonts w:hint="default"/>
                <w:color w:val="auto"/>
              </w:rPr>
              <w:t>5个</w:t>
            </w:r>
          </w:p>
        </w:tc>
        <w:tc>
          <w:tcPr>
            <w:tcW w:w="1635" w:type="pct"/>
            <w:gridSpan w:val="2"/>
          </w:tcPr>
          <w:p w14:paraId="15430D8E">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57A9E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6B262A99">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323D181C">
            <w:pPr>
              <w:pStyle w:val="91"/>
              <w:keepNext w:val="0"/>
              <w:keepLines w:val="0"/>
              <w:suppressLineNumbers w:val="0"/>
              <w:spacing w:before="0" w:beforeAutospacing="0" w:after="0" w:afterAutospacing="0"/>
              <w:ind w:left="0" w:right="0"/>
              <w:rPr>
                <w:rFonts w:hint="default"/>
                <w:color w:val="auto"/>
              </w:rPr>
            </w:pPr>
            <w:r>
              <w:rPr>
                <w:rFonts w:hint="default"/>
                <w:color w:val="auto"/>
              </w:rPr>
              <w:t>15</w:t>
            </w:r>
          </w:p>
        </w:tc>
        <w:tc>
          <w:tcPr>
            <w:tcW w:w="894" w:type="pct"/>
            <w:vAlign w:val="center"/>
          </w:tcPr>
          <w:p w14:paraId="6CD2ACA2">
            <w:pPr>
              <w:pStyle w:val="91"/>
              <w:keepNext w:val="0"/>
              <w:keepLines w:val="0"/>
              <w:suppressLineNumbers w:val="0"/>
              <w:spacing w:before="0" w:beforeAutospacing="0" w:after="0" w:afterAutospacing="0"/>
              <w:ind w:left="0" w:right="0"/>
              <w:rPr>
                <w:rFonts w:hint="default"/>
                <w:color w:val="auto"/>
              </w:rPr>
            </w:pPr>
            <w:r>
              <w:rPr>
                <w:rFonts w:hint="default"/>
                <w:color w:val="auto"/>
              </w:rPr>
              <w:t>肥皂</w:t>
            </w:r>
          </w:p>
        </w:tc>
        <w:tc>
          <w:tcPr>
            <w:tcW w:w="766" w:type="pct"/>
            <w:vAlign w:val="center"/>
          </w:tcPr>
          <w:p w14:paraId="6935A11C">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49729C7E">
            <w:pPr>
              <w:pStyle w:val="91"/>
              <w:keepNext w:val="0"/>
              <w:keepLines w:val="0"/>
              <w:suppressLineNumbers w:val="0"/>
              <w:spacing w:before="0" w:beforeAutospacing="0" w:after="0" w:afterAutospacing="0"/>
              <w:ind w:left="0" w:right="0"/>
              <w:rPr>
                <w:rFonts w:hint="default"/>
                <w:color w:val="auto"/>
              </w:rPr>
            </w:pPr>
            <w:r>
              <w:rPr>
                <w:rFonts w:hint="default"/>
                <w:color w:val="auto"/>
              </w:rPr>
              <w:t>5个</w:t>
            </w:r>
          </w:p>
        </w:tc>
        <w:tc>
          <w:tcPr>
            <w:tcW w:w="1635" w:type="pct"/>
            <w:gridSpan w:val="2"/>
          </w:tcPr>
          <w:p w14:paraId="4CEA6823">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4801A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2B6EB561">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51311B16">
            <w:pPr>
              <w:pStyle w:val="91"/>
              <w:keepNext w:val="0"/>
              <w:keepLines w:val="0"/>
              <w:suppressLineNumbers w:val="0"/>
              <w:spacing w:before="0" w:beforeAutospacing="0" w:after="0" w:afterAutospacing="0"/>
              <w:ind w:left="0" w:right="0"/>
              <w:rPr>
                <w:rFonts w:hint="default"/>
                <w:color w:val="auto"/>
              </w:rPr>
            </w:pPr>
            <w:r>
              <w:rPr>
                <w:rFonts w:hint="default"/>
                <w:color w:val="auto"/>
              </w:rPr>
              <w:t>16</w:t>
            </w:r>
          </w:p>
        </w:tc>
        <w:tc>
          <w:tcPr>
            <w:tcW w:w="894" w:type="pct"/>
            <w:vAlign w:val="center"/>
          </w:tcPr>
          <w:p w14:paraId="63E8F474">
            <w:pPr>
              <w:pStyle w:val="91"/>
              <w:keepNext w:val="0"/>
              <w:keepLines w:val="0"/>
              <w:suppressLineNumbers w:val="0"/>
              <w:spacing w:before="0" w:beforeAutospacing="0" w:after="0" w:afterAutospacing="0"/>
              <w:ind w:left="0" w:right="0"/>
              <w:rPr>
                <w:rFonts w:hint="default"/>
                <w:color w:val="auto"/>
              </w:rPr>
            </w:pPr>
            <w:r>
              <w:rPr>
                <w:rFonts w:hint="default"/>
                <w:color w:val="auto"/>
              </w:rPr>
              <w:t>急救药箱</w:t>
            </w:r>
          </w:p>
        </w:tc>
        <w:tc>
          <w:tcPr>
            <w:tcW w:w="766" w:type="pct"/>
            <w:vAlign w:val="center"/>
          </w:tcPr>
          <w:p w14:paraId="7AF701B2">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7108F7A8">
            <w:pPr>
              <w:pStyle w:val="91"/>
              <w:keepNext w:val="0"/>
              <w:keepLines w:val="0"/>
              <w:suppressLineNumbers w:val="0"/>
              <w:spacing w:before="0" w:beforeAutospacing="0" w:after="0" w:afterAutospacing="0"/>
              <w:ind w:left="0" w:right="0"/>
              <w:rPr>
                <w:rFonts w:hint="default"/>
                <w:color w:val="auto"/>
              </w:rPr>
            </w:pPr>
            <w:r>
              <w:rPr>
                <w:rFonts w:hint="default"/>
                <w:color w:val="auto"/>
              </w:rPr>
              <w:t>1个</w:t>
            </w:r>
          </w:p>
        </w:tc>
        <w:tc>
          <w:tcPr>
            <w:tcW w:w="1635" w:type="pct"/>
            <w:gridSpan w:val="2"/>
          </w:tcPr>
          <w:p w14:paraId="0011DAC0">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388E1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039C9B8A">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2A07B7CE">
            <w:pPr>
              <w:pStyle w:val="91"/>
              <w:keepNext w:val="0"/>
              <w:keepLines w:val="0"/>
              <w:suppressLineNumbers w:val="0"/>
              <w:spacing w:before="0" w:beforeAutospacing="0" w:after="0" w:afterAutospacing="0"/>
              <w:ind w:left="0" w:right="0"/>
              <w:rPr>
                <w:rFonts w:hint="default"/>
                <w:color w:val="auto"/>
              </w:rPr>
            </w:pPr>
            <w:r>
              <w:rPr>
                <w:rFonts w:hint="default"/>
                <w:color w:val="auto"/>
              </w:rPr>
              <w:t>17</w:t>
            </w:r>
          </w:p>
        </w:tc>
        <w:tc>
          <w:tcPr>
            <w:tcW w:w="894" w:type="pct"/>
            <w:vAlign w:val="center"/>
          </w:tcPr>
          <w:p w14:paraId="052315EF">
            <w:pPr>
              <w:pStyle w:val="91"/>
              <w:keepNext w:val="0"/>
              <w:keepLines w:val="0"/>
              <w:suppressLineNumbers w:val="0"/>
              <w:spacing w:before="0" w:beforeAutospacing="0" w:after="0" w:afterAutospacing="0"/>
              <w:ind w:left="0" w:right="0"/>
              <w:rPr>
                <w:rFonts w:hint="default"/>
                <w:color w:val="auto"/>
              </w:rPr>
            </w:pPr>
            <w:r>
              <w:rPr>
                <w:rFonts w:hint="default"/>
                <w:color w:val="auto"/>
              </w:rPr>
              <w:t>担架</w:t>
            </w:r>
          </w:p>
        </w:tc>
        <w:tc>
          <w:tcPr>
            <w:tcW w:w="766" w:type="pct"/>
            <w:vAlign w:val="center"/>
          </w:tcPr>
          <w:p w14:paraId="2E0D18DD">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477FA21D">
            <w:pPr>
              <w:pStyle w:val="91"/>
              <w:keepNext w:val="0"/>
              <w:keepLines w:val="0"/>
              <w:suppressLineNumbers w:val="0"/>
              <w:spacing w:before="0" w:beforeAutospacing="0" w:after="0" w:afterAutospacing="0"/>
              <w:ind w:left="0" w:right="0"/>
              <w:rPr>
                <w:rFonts w:hint="default"/>
                <w:color w:val="auto"/>
              </w:rPr>
            </w:pPr>
            <w:r>
              <w:rPr>
                <w:rFonts w:hint="default"/>
                <w:color w:val="auto"/>
              </w:rPr>
              <w:t>1副</w:t>
            </w:r>
          </w:p>
        </w:tc>
        <w:tc>
          <w:tcPr>
            <w:tcW w:w="1635" w:type="pct"/>
            <w:gridSpan w:val="2"/>
          </w:tcPr>
          <w:p w14:paraId="067B057C">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7FDED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3EE6164F">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1BF2A6D3">
            <w:pPr>
              <w:pStyle w:val="91"/>
              <w:keepNext w:val="0"/>
              <w:keepLines w:val="0"/>
              <w:suppressLineNumbers w:val="0"/>
              <w:spacing w:before="0" w:beforeAutospacing="0" w:after="0" w:afterAutospacing="0"/>
              <w:ind w:left="0" w:right="0"/>
              <w:rPr>
                <w:rFonts w:hint="default"/>
                <w:color w:val="auto"/>
              </w:rPr>
            </w:pPr>
            <w:r>
              <w:rPr>
                <w:rFonts w:hint="default"/>
                <w:color w:val="auto"/>
              </w:rPr>
              <w:t>18</w:t>
            </w:r>
          </w:p>
        </w:tc>
        <w:tc>
          <w:tcPr>
            <w:tcW w:w="894" w:type="pct"/>
            <w:vAlign w:val="center"/>
          </w:tcPr>
          <w:p w14:paraId="46F6A320">
            <w:pPr>
              <w:pStyle w:val="91"/>
              <w:keepNext w:val="0"/>
              <w:keepLines w:val="0"/>
              <w:suppressLineNumbers w:val="0"/>
              <w:spacing w:before="0" w:beforeAutospacing="0" w:after="0" w:afterAutospacing="0"/>
              <w:ind w:left="0" w:right="0"/>
              <w:rPr>
                <w:rFonts w:hint="default"/>
                <w:color w:val="auto"/>
              </w:rPr>
            </w:pPr>
            <w:r>
              <w:rPr>
                <w:rFonts w:hint="default"/>
                <w:color w:val="auto"/>
              </w:rPr>
              <w:t>铁铲</w:t>
            </w:r>
          </w:p>
        </w:tc>
        <w:tc>
          <w:tcPr>
            <w:tcW w:w="766" w:type="pct"/>
            <w:vAlign w:val="center"/>
          </w:tcPr>
          <w:p w14:paraId="7EDCDE7C">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7A502F68">
            <w:pPr>
              <w:pStyle w:val="91"/>
              <w:keepNext w:val="0"/>
              <w:keepLines w:val="0"/>
              <w:suppressLineNumbers w:val="0"/>
              <w:spacing w:before="0" w:beforeAutospacing="0" w:after="0" w:afterAutospacing="0"/>
              <w:ind w:left="0" w:right="0"/>
              <w:rPr>
                <w:rFonts w:hint="default"/>
                <w:color w:val="auto"/>
              </w:rPr>
            </w:pPr>
            <w:r>
              <w:rPr>
                <w:rFonts w:hint="default"/>
                <w:color w:val="auto"/>
              </w:rPr>
              <w:t>30把</w:t>
            </w:r>
          </w:p>
        </w:tc>
        <w:tc>
          <w:tcPr>
            <w:tcW w:w="1635" w:type="pct"/>
            <w:gridSpan w:val="2"/>
          </w:tcPr>
          <w:p w14:paraId="7137AC6D">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4B78A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22F82DA7">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25FC1BB0">
            <w:pPr>
              <w:pStyle w:val="91"/>
              <w:keepNext w:val="0"/>
              <w:keepLines w:val="0"/>
              <w:suppressLineNumbers w:val="0"/>
              <w:spacing w:before="0" w:beforeAutospacing="0" w:after="0" w:afterAutospacing="0"/>
              <w:ind w:left="0" w:right="0"/>
              <w:rPr>
                <w:rFonts w:hint="default"/>
                <w:color w:val="auto"/>
              </w:rPr>
            </w:pPr>
            <w:r>
              <w:rPr>
                <w:rFonts w:hint="default"/>
                <w:color w:val="auto"/>
              </w:rPr>
              <w:t>19</w:t>
            </w:r>
          </w:p>
        </w:tc>
        <w:tc>
          <w:tcPr>
            <w:tcW w:w="894" w:type="pct"/>
            <w:vAlign w:val="center"/>
          </w:tcPr>
          <w:p w14:paraId="53BEF55F">
            <w:pPr>
              <w:pStyle w:val="91"/>
              <w:keepNext w:val="0"/>
              <w:keepLines w:val="0"/>
              <w:suppressLineNumbers w:val="0"/>
              <w:spacing w:before="0" w:beforeAutospacing="0" w:after="0" w:afterAutospacing="0"/>
              <w:ind w:left="0" w:right="0"/>
              <w:rPr>
                <w:rFonts w:hint="default"/>
                <w:color w:val="auto"/>
              </w:rPr>
            </w:pPr>
            <w:r>
              <w:rPr>
                <w:rFonts w:hint="default"/>
                <w:color w:val="auto"/>
              </w:rPr>
              <w:t>铝桶</w:t>
            </w:r>
          </w:p>
        </w:tc>
        <w:tc>
          <w:tcPr>
            <w:tcW w:w="766" w:type="pct"/>
            <w:vAlign w:val="center"/>
          </w:tcPr>
          <w:p w14:paraId="5FD80D75">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7E893A6F">
            <w:pPr>
              <w:pStyle w:val="91"/>
              <w:keepNext w:val="0"/>
              <w:keepLines w:val="0"/>
              <w:suppressLineNumbers w:val="0"/>
              <w:spacing w:before="0" w:beforeAutospacing="0" w:after="0" w:afterAutospacing="0"/>
              <w:ind w:left="0" w:right="0"/>
              <w:rPr>
                <w:rFonts w:hint="default"/>
                <w:color w:val="auto"/>
              </w:rPr>
            </w:pPr>
            <w:r>
              <w:rPr>
                <w:rFonts w:hint="default"/>
                <w:color w:val="auto"/>
              </w:rPr>
              <w:t>20只</w:t>
            </w:r>
          </w:p>
        </w:tc>
        <w:tc>
          <w:tcPr>
            <w:tcW w:w="1635" w:type="pct"/>
            <w:gridSpan w:val="2"/>
          </w:tcPr>
          <w:p w14:paraId="7193BAF8">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6A16A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6E786869">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1C4A7570">
            <w:pPr>
              <w:pStyle w:val="91"/>
              <w:keepNext w:val="0"/>
              <w:keepLines w:val="0"/>
              <w:suppressLineNumbers w:val="0"/>
              <w:spacing w:before="0" w:beforeAutospacing="0" w:after="0" w:afterAutospacing="0"/>
              <w:ind w:left="0" w:right="0"/>
              <w:rPr>
                <w:rFonts w:hint="default"/>
                <w:color w:val="auto"/>
              </w:rPr>
            </w:pPr>
            <w:r>
              <w:rPr>
                <w:rFonts w:hint="default"/>
                <w:color w:val="auto"/>
              </w:rPr>
              <w:t>20</w:t>
            </w:r>
          </w:p>
        </w:tc>
        <w:tc>
          <w:tcPr>
            <w:tcW w:w="894" w:type="pct"/>
            <w:vAlign w:val="center"/>
          </w:tcPr>
          <w:p w14:paraId="6F8815BD">
            <w:pPr>
              <w:pStyle w:val="91"/>
              <w:keepNext w:val="0"/>
              <w:keepLines w:val="0"/>
              <w:suppressLineNumbers w:val="0"/>
              <w:spacing w:before="0" w:beforeAutospacing="0" w:after="0" w:afterAutospacing="0"/>
              <w:ind w:left="0" w:right="0"/>
              <w:rPr>
                <w:rFonts w:hint="default"/>
                <w:color w:val="auto"/>
              </w:rPr>
            </w:pPr>
            <w:r>
              <w:rPr>
                <w:rFonts w:hint="default"/>
                <w:color w:val="auto"/>
              </w:rPr>
              <w:t>编织袋</w:t>
            </w:r>
          </w:p>
        </w:tc>
        <w:tc>
          <w:tcPr>
            <w:tcW w:w="766" w:type="pct"/>
            <w:vAlign w:val="center"/>
          </w:tcPr>
          <w:p w14:paraId="52B6DB83">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4C100123">
            <w:pPr>
              <w:pStyle w:val="91"/>
              <w:keepNext w:val="0"/>
              <w:keepLines w:val="0"/>
              <w:suppressLineNumbers w:val="0"/>
              <w:spacing w:before="0" w:beforeAutospacing="0" w:after="0" w:afterAutospacing="0"/>
              <w:ind w:left="0" w:right="0"/>
              <w:rPr>
                <w:rFonts w:hint="default"/>
                <w:color w:val="auto"/>
              </w:rPr>
            </w:pPr>
            <w:r>
              <w:rPr>
                <w:rFonts w:hint="default"/>
                <w:color w:val="auto"/>
              </w:rPr>
              <w:t>100只</w:t>
            </w:r>
          </w:p>
        </w:tc>
        <w:tc>
          <w:tcPr>
            <w:tcW w:w="1635" w:type="pct"/>
            <w:gridSpan w:val="2"/>
            <w:vAlign w:val="center"/>
          </w:tcPr>
          <w:p w14:paraId="1D087FAC">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34DE5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675" w:type="pct"/>
            <w:vMerge w:val="continue"/>
            <w:vAlign w:val="center"/>
          </w:tcPr>
          <w:p w14:paraId="0256869C">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4C76C2BF">
            <w:pPr>
              <w:pStyle w:val="91"/>
              <w:keepNext w:val="0"/>
              <w:keepLines w:val="0"/>
              <w:suppressLineNumbers w:val="0"/>
              <w:spacing w:before="0" w:beforeAutospacing="0" w:after="0" w:afterAutospacing="0"/>
              <w:ind w:left="0" w:right="0"/>
              <w:rPr>
                <w:rFonts w:hint="default"/>
                <w:color w:val="auto"/>
              </w:rPr>
            </w:pPr>
            <w:r>
              <w:rPr>
                <w:rFonts w:hint="default"/>
                <w:color w:val="auto"/>
              </w:rPr>
              <w:t>21</w:t>
            </w:r>
          </w:p>
        </w:tc>
        <w:tc>
          <w:tcPr>
            <w:tcW w:w="894" w:type="pct"/>
            <w:vAlign w:val="center"/>
          </w:tcPr>
          <w:p w14:paraId="0319FC73">
            <w:pPr>
              <w:pStyle w:val="91"/>
              <w:keepNext w:val="0"/>
              <w:keepLines w:val="0"/>
              <w:suppressLineNumbers w:val="0"/>
              <w:spacing w:before="0" w:beforeAutospacing="0" w:after="0" w:afterAutospacing="0"/>
              <w:ind w:left="0" w:right="0"/>
              <w:rPr>
                <w:rFonts w:hint="default"/>
                <w:color w:val="auto"/>
              </w:rPr>
            </w:pPr>
            <w:r>
              <w:rPr>
                <w:rFonts w:hint="default"/>
                <w:color w:val="auto"/>
              </w:rPr>
              <w:t>便携式硫化氢报警器</w:t>
            </w:r>
          </w:p>
        </w:tc>
        <w:tc>
          <w:tcPr>
            <w:tcW w:w="766" w:type="pct"/>
            <w:vAlign w:val="center"/>
          </w:tcPr>
          <w:p w14:paraId="16F670D7">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0753B044">
            <w:pPr>
              <w:pStyle w:val="91"/>
              <w:keepNext w:val="0"/>
              <w:keepLines w:val="0"/>
              <w:suppressLineNumbers w:val="0"/>
              <w:spacing w:before="0" w:beforeAutospacing="0" w:after="0" w:afterAutospacing="0"/>
              <w:ind w:left="0" w:right="0"/>
              <w:rPr>
                <w:rFonts w:hint="default"/>
                <w:color w:val="auto"/>
              </w:rPr>
            </w:pPr>
            <w:r>
              <w:rPr>
                <w:rFonts w:hint="default"/>
                <w:color w:val="auto"/>
              </w:rPr>
              <w:t>12台</w:t>
            </w:r>
          </w:p>
        </w:tc>
        <w:tc>
          <w:tcPr>
            <w:tcW w:w="1635" w:type="pct"/>
            <w:gridSpan w:val="2"/>
            <w:vAlign w:val="center"/>
          </w:tcPr>
          <w:p w14:paraId="309DE81C">
            <w:pPr>
              <w:pStyle w:val="91"/>
              <w:keepNext w:val="0"/>
              <w:keepLines w:val="0"/>
              <w:suppressLineNumbers w:val="0"/>
              <w:spacing w:before="0" w:beforeAutospacing="0" w:after="0" w:afterAutospacing="0"/>
              <w:ind w:left="0" w:right="0"/>
              <w:rPr>
                <w:rFonts w:hint="default"/>
                <w:color w:val="auto"/>
              </w:rPr>
            </w:pPr>
            <w:r>
              <w:rPr>
                <w:rFonts w:hint="default"/>
                <w:color w:val="auto"/>
              </w:rPr>
              <w:t>当班人员每人一台</w:t>
            </w:r>
          </w:p>
        </w:tc>
      </w:tr>
      <w:tr w14:paraId="52D8C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50E221E8">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0E3BA670">
            <w:pPr>
              <w:pStyle w:val="91"/>
              <w:keepNext w:val="0"/>
              <w:keepLines w:val="0"/>
              <w:suppressLineNumbers w:val="0"/>
              <w:spacing w:before="0" w:beforeAutospacing="0" w:after="0" w:afterAutospacing="0"/>
              <w:ind w:left="0" w:right="0"/>
              <w:rPr>
                <w:rFonts w:hint="default"/>
                <w:color w:val="auto"/>
              </w:rPr>
            </w:pPr>
            <w:r>
              <w:rPr>
                <w:rFonts w:hint="default"/>
                <w:color w:val="auto"/>
              </w:rPr>
              <w:t>22</w:t>
            </w:r>
          </w:p>
        </w:tc>
        <w:tc>
          <w:tcPr>
            <w:tcW w:w="894" w:type="pct"/>
            <w:vAlign w:val="center"/>
          </w:tcPr>
          <w:p w14:paraId="216CD268">
            <w:pPr>
              <w:pStyle w:val="91"/>
              <w:keepNext w:val="0"/>
              <w:keepLines w:val="0"/>
              <w:suppressLineNumbers w:val="0"/>
              <w:spacing w:before="0" w:beforeAutospacing="0" w:after="0" w:afterAutospacing="0"/>
              <w:ind w:left="0" w:right="0"/>
              <w:rPr>
                <w:rFonts w:hint="default"/>
                <w:color w:val="auto"/>
              </w:rPr>
            </w:pPr>
            <w:r>
              <w:rPr>
                <w:rFonts w:hint="default"/>
                <w:color w:val="auto"/>
              </w:rPr>
              <w:t>防高温手套</w:t>
            </w:r>
          </w:p>
        </w:tc>
        <w:tc>
          <w:tcPr>
            <w:tcW w:w="766" w:type="pct"/>
            <w:vAlign w:val="center"/>
          </w:tcPr>
          <w:p w14:paraId="66D0B0B4">
            <w:pPr>
              <w:pStyle w:val="91"/>
              <w:keepNext w:val="0"/>
              <w:keepLines w:val="0"/>
              <w:suppressLineNumbers w:val="0"/>
              <w:spacing w:before="0" w:beforeAutospacing="0" w:after="0" w:afterAutospacing="0"/>
              <w:ind w:left="0" w:right="0"/>
              <w:rPr>
                <w:rFonts w:hint="default"/>
                <w:color w:val="auto"/>
              </w:rPr>
            </w:pPr>
          </w:p>
        </w:tc>
        <w:tc>
          <w:tcPr>
            <w:tcW w:w="667" w:type="pct"/>
            <w:vAlign w:val="center"/>
          </w:tcPr>
          <w:p w14:paraId="6F17C9D2">
            <w:pPr>
              <w:pStyle w:val="91"/>
              <w:keepNext w:val="0"/>
              <w:keepLines w:val="0"/>
              <w:suppressLineNumbers w:val="0"/>
              <w:spacing w:before="0" w:beforeAutospacing="0" w:after="0" w:afterAutospacing="0"/>
              <w:ind w:left="0" w:right="0"/>
              <w:rPr>
                <w:rFonts w:hint="default"/>
                <w:color w:val="auto"/>
              </w:rPr>
            </w:pPr>
            <w:r>
              <w:rPr>
                <w:rFonts w:hint="default"/>
                <w:color w:val="auto"/>
              </w:rPr>
              <w:t>6双</w:t>
            </w:r>
          </w:p>
        </w:tc>
        <w:tc>
          <w:tcPr>
            <w:tcW w:w="1635" w:type="pct"/>
            <w:gridSpan w:val="2"/>
            <w:vAlign w:val="center"/>
          </w:tcPr>
          <w:p w14:paraId="7EA674B9">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602F1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restart"/>
            <w:vAlign w:val="center"/>
          </w:tcPr>
          <w:p w14:paraId="620C7569">
            <w:pPr>
              <w:pStyle w:val="91"/>
              <w:keepNext w:val="0"/>
              <w:keepLines w:val="0"/>
              <w:suppressLineNumbers w:val="0"/>
              <w:spacing w:before="0" w:beforeAutospacing="0" w:after="0" w:afterAutospacing="0"/>
              <w:ind w:left="0" w:right="0"/>
              <w:rPr>
                <w:rFonts w:hint="default"/>
                <w:color w:val="auto"/>
              </w:rPr>
            </w:pPr>
            <w:r>
              <w:rPr>
                <w:rFonts w:hint="eastAsia"/>
                <w:color w:val="auto"/>
              </w:rPr>
              <w:t>拦截/</w:t>
            </w:r>
            <w:r>
              <w:rPr>
                <w:rFonts w:hint="default"/>
                <w:color w:val="auto"/>
              </w:rPr>
              <w:t>收集</w:t>
            </w:r>
          </w:p>
        </w:tc>
        <w:tc>
          <w:tcPr>
            <w:tcW w:w="363" w:type="pct"/>
            <w:vAlign w:val="center"/>
          </w:tcPr>
          <w:p w14:paraId="13012AFE">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w:t>
            </w:r>
          </w:p>
        </w:tc>
        <w:tc>
          <w:tcPr>
            <w:tcW w:w="894" w:type="pct"/>
            <w:vAlign w:val="center"/>
          </w:tcPr>
          <w:p w14:paraId="2EDB10B1">
            <w:pPr>
              <w:pStyle w:val="167"/>
              <w:keepNext w:val="0"/>
              <w:keepLines w:val="0"/>
              <w:suppressLineNumbers w:val="0"/>
              <w:spacing w:before="0" w:beforeAutospacing="0" w:after="0" w:afterAutospacing="0" w:line="240" w:lineRule="auto"/>
              <w:ind w:right="0"/>
              <w:rPr>
                <w:rFonts w:hint="default"/>
                <w:color w:val="auto"/>
              </w:rPr>
            </w:pPr>
            <w:r>
              <w:rPr>
                <w:rFonts w:hint="eastAsia"/>
                <w:color w:val="auto"/>
              </w:rPr>
              <w:t>1#原油</w:t>
            </w:r>
            <w:r>
              <w:rPr>
                <w:rFonts w:hint="default"/>
                <w:color w:val="auto"/>
              </w:rPr>
              <w:t>罐区</w:t>
            </w:r>
          </w:p>
        </w:tc>
        <w:tc>
          <w:tcPr>
            <w:tcW w:w="766" w:type="pct"/>
            <w:vAlign w:val="center"/>
          </w:tcPr>
          <w:p w14:paraId="251C158B">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217m×78m×2.3m</w:t>
            </w:r>
          </w:p>
        </w:tc>
        <w:tc>
          <w:tcPr>
            <w:tcW w:w="667" w:type="pct"/>
            <w:vAlign w:val="center"/>
          </w:tcPr>
          <w:p w14:paraId="417334A9">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38929.8</w:t>
            </w:r>
            <w:r>
              <w:rPr>
                <w:rFonts w:hint="default"/>
                <w:color w:val="auto"/>
              </w:rPr>
              <w:t>m</w:t>
            </w:r>
            <w:r>
              <w:rPr>
                <w:rFonts w:hint="default"/>
                <w:color w:val="auto"/>
                <w:vertAlign w:val="superscript"/>
              </w:rPr>
              <w:t>3</w:t>
            </w:r>
          </w:p>
        </w:tc>
        <w:tc>
          <w:tcPr>
            <w:tcW w:w="1635" w:type="pct"/>
            <w:gridSpan w:val="2"/>
            <w:vAlign w:val="center"/>
          </w:tcPr>
          <w:p w14:paraId="7BB815F3">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围堰</w:t>
            </w:r>
          </w:p>
        </w:tc>
      </w:tr>
      <w:tr w14:paraId="47258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092B702C">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627B0E6A">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w:t>
            </w:r>
          </w:p>
        </w:tc>
        <w:tc>
          <w:tcPr>
            <w:tcW w:w="894" w:type="pct"/>
            <w:vAlign w:val="center"/>
          </w:tcPr>
          <w:p w14:paraId="25E4EED2">
            <w:pPr>
              <w:pStyle w:val="167"/>
              <w:keepNext w:val="0"/>
              <w:keepLines w:val="0"/>
              <w:suppressLineNumbers w:val="0"/>
              <w:spacing w:before="0" w:beforeAutospacing="0" w:after="0" w:afterAutospacing="0" w:line="240" w:lineRule="auto"/>
              <w:ind w:right="0"/>
              <w:rPr>
                <w:rFonts w:hint="default"/>
                <w:color w:val="auto"/>
              </w:rPr>
            </w:pPr>
            <w:r>
              <w:rPr>
                <w:rFonts w:hint="eastAsia"/>
                <w:color w:val="auto"/>
              </w:rPr>
              <w:t>2#重油</w:t>
            </w:r>
            <w:r>
              <w:rPr>
                <w:rFonts w:hint="default"/>
                <w:color w:val="auto"/>
              </w:rPr>
              <w:t>罐区</w:t>
            </w:r>
          </w:p>
        </w:tc>
        <w:tc>
          <w:tcPr>
            <w:tcW w:w="766" w:type="pct"/>
            <w:vAlign w:val="center"/>
          </w:tcPr>
          <w:p w14:paraId="5AAAC0DC">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97m×41m×1.85m</w:t>
            </w:r>
          </w:p>
        </w:tc>
        <w:tc>
          <w:tcPr>
            <w:tcW w:w="667" w:type="pct"/>
            <w:vAlign w:val="center"/>
          </w:tcPr>
          <w:p w14:paraId="63B5983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7357.45</w:t>
            </w:r>
            <w:r>
              <w:rPr>
                <w:rFonts w:hint="default"/>
                <w:color w:val="auto"/>
              </w:rPr>
              <w:t>m</w:t>
            </w:r>
            <w:r>
              <w:rPr>
                <w:rFonts w:hint="default"/>
                <w:color w:val="auto"/>
                <w:vertAlign w:val="superscript"/>
              </w:rPr>
              <w:t>3</w:t>
            </w:r>
          </w:p>
        </w:tc>
        <w:tc>
          <w:tcPr>
            <w:tcW w:w="1635" w:type="pct"/>
            <w:gridSpan w:val="2"/>
            <w:vAlign w:val="center"/>
          </w:tcPr>
          <w:p w14:paraId="489CEC64">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围堰</w:t>
            </w:r>
          </w:p>
        </w:tc>
      </w:tr>
      <w:tr w14:paraId="27106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05F55DDA">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311E1DA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3</w:t>
            </w:r>
          </w:p>
        </w:tc>
        <w:tc>
          <w:tcPr>
            <w:tcW w:w="894" w:type="pct"/>
            <w:vAlign w:val="center"/>
          </w:tcPr>
          <w:p w14:paraId="6B63947C">
            <w:pPr>
              <w:pStyle w:val="167"/>
              <w:keepNext w:val="0"/>
              <w:keepLines w:val="0"/>
              <w:suppressLineNumbers w:val="0"/>
              <w:spacing w:before="0" w:beforeAutospacing="0" w:after="0" w:afterAutospacing="0" w:line="240" w:lineRule="auto"/>
              <w:ind w:right="0"/>
              <w:rPr>
                <w:rFonts w:hint="default"/>
                <w:color w:val="auto"/>
              </w:rPr>
            </w:pPr>
            <w:r>
              <w:rPr>
                <w:rFonts w:hint="eastAsia"/>
                <w:color w:val="auto"/>
              </w:rPr>
              <w:t>3</w:t>
            </w:r>
            <w:r>
              <w:rPr>
                <w:rFonts w:hint="default"/>
                <w:color w:val="auto"/>
              </w:rPr>
              <w:t>#汽油罐区</w:t>
            </w:r>
          </w:p>
        </w:tc>
        <w:tc>
          <w:tcPr>
            <w:tcW w:w="766" w:type="pct"/>
            <w:vAlign w:val="center"/>
          </w:tcPr>
          <w:p w14:paraId="6644419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166m×94m×1.1m</w:t>
            </w:r>
          </w:p>
        </w:tc>
        <w:tc>
          <w:tcPr>
            <w:tcW w:w="667" w:type="pct"/>
            <w:vAlign w:val="center"/>
          </w:tcPr>
          <w:p w14:paraId="639466D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17164.4</w:t>
            </w:r>
            <w:r>
              <w:rPr>
                <w:rFonts w:hint="default"/>
                <w:color w:val="auto"/>
              </w:rPr>
              <w:t>m</w:t>
            </w:r>
            <w:r>
              <w:rPr>
                <w:rFonts w:hint="default"/>
                <w:color w:val="auto"/>
                <w:vertAlign w:val="superscript"/>
              </w:rPr>
              <w:t>3</w:t>
            </w:r>
          </w:p>
        </w:tc>
        <w:tc>
          <w:tcPr>
            <w:tcW w:w="1635" w:type="pct"/>
            <w:gridSpan w:val="2"/>
            <w:vAlign w:val="center"/>
          </w:tcPr>
          <w:p w14:paraId="4F3B0A8B">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围堰</w:t>
            </w:r>
          </w:p>
        </w:tc>
      </w:tr>
      <w:tr w14:paraId="2DDD9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3ACC638C">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4E13D63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4</w:t>
            </w:r>
          </w:p>
        </w:tc>
        <w:tc>
          <w:tcPr>
            <w:tcW w:w="894" w:type="pct"/>
            <w:vAlign w:val="center"/>
          </w:tcPr>
          <w:p w14:paraId="6A0CD197">
            <w:pPr>
              <w:pStyle w:val="167"/>
              <w:keepNext w:val="0"/>
              <w:keepLines w:val="0"/>
              <w:suppressLineNumbers w:val="0"/>
              <w:spacing w:before="0" w:beforeAutospacing="0" w:after="0" w:afterAutospacing="0" w:line="240" w:lineRule="auto"/>
              <w:ind w:right="0"/>
              <w:rPr>
                <w:rFonts w:hint="default"/>
                <w:color w:val="auto"/>
              </w:rPr>
            </w:pPr>
            <w:r>
              <w:rPr>
                <w:rFonts w:hint="default"/>
                <w:color w:val="auto"/>
              </w:rPr>
              <w:t>4#</w:t>
            </w:r>
            <w:r>
              <w:rPr>
                <w:rFonts w:hint="eastAsia"/>
                <w:color w:val="auto"/>
              </w:rPr>
              <w:t>柴油</w:t>
            </w:r>
            <w:r>
              <w:rPr>
                <w:rFonts w:hint="default"/>
                <w:color w:val="auto"/>
              </w:rPr>
              <w:t>罐区</w:t>
            </w:r>
          </w:p>
        </w:tc>
        <w:tc>
          <w:tcPr>
            <w:tcW w:w="766" w:type="pct"/>
            <w:vAlign w:val="center"/>
          </w:tcPr>
          <w:p w14:paraId="08D18C1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166m×94m×1.47m</w:t>
            </w:r>
          </w:p>
        </w:tc>
        <w:tc>
          <w:tcPr>
            <w:tcW w:w="667" w:type="pct"/>
            <w:vAlign w:val="center"/>
          </w:tcPr>
          <w:p w14:paraId="69F8EA7B">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22937.88</w:t>
            </w:r>
            <w:r>
              <w:rPr>
                <w:rFonts w:hint="default"/>
                <w:color w:val="auto"/>
              </w:rPr>
              <w:t>m</w:t>
            </w:r>
            <w:r>
              <w:rPr>
                <w:rFonts w:hint="default"/>
                <w:color w:val="auto"/>
                <w:vertAlign w:val="superscript"/>
              </w:rPr>
              <w:t>3</w:t>
            </w:r>
          </w:p>
        </w:tc>
        <w:tc>
          <w:tcPr>
            <w:tcW w:w="1635" w:type="pct"/>
            <w:gridSpan w:val="2"/>
            <w:vAlign w:val="center"/>
          </w:tcPr>
          <w:p w14:paraId="0D48687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围堰</w:t>
            </w:r>
          </w:p>
        </w:tc>
      </w:tr>
      <w:tr w14:paraId="7E6C1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289B725A">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6E7EB152">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5</w:t>
            </w:r>
          </w:p>
        </w:tc>
        <w:tc>
          <w:tcPr>
            <w:tcW w:w="894" w:type="pct"/>
            <w:vAlign w:val="center"/>
          </w:tcPr>
          <w:p w14:paraId="0D6593B3">
            <w:pPr>
              <w:pStyle w:val="167"/>
              <w:keepNext w:val="0"/>
              <w:keepLines w:val="0"/>
              <w:suppressLineNumbers w:val="0"/>
              <w:spacing w:before="0" w:beforeAutospacing="0" w:after="0" w:afterAutospacing="0" w:line="240" w:lineRule="auto"/>
              <w:ind w:right="0"/>
              <w:rPr>
                <w:rFonts w:hint="default"/>
                <w:color w:val="auto"/>
              </w:rPr>
            </w:pPr>
            <w:r>
              <w:rPr>
                <w:rFonts w:hint="default"/>
                <w:color w:val="auto"/>
              </w:rPr>
              <w:t>5#</w:t>
            </w:r>
            <w:r>
              <w:rPr>
                <w:rFonts w:hint="eastAsia"/>
                <w:color w:val="auto"/>
              </w:rPr>
              <w:t>混合</w:t>
            </w:r>
            <w:r>
              <w:rPr>
                <w:rFonts w:hint="default"/>
                <w:color w:val="auto"/>
              </w:rPr>
              <w:t>罐区</w:t>
            </w:r>
          </w:p>
        </w:tc>
        <w:tc>
          <w:tcPr>
            <w:tcW w:w="766" w:type="pct"/>
            <w:vAlign w:val="center"/>
          </w:tcPr>
          <w:p w14:paraId="0CDFE5B7">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125m×90m×1.32m</w:t>
            </w:r>
          </w:p>
        </w:tc>
        <w:tc>
          <w:tcPr>
            <w:tcW w:w="667" w:type="pct"/>
            <w:vAlign w:val="center"/>
          </w:tcPr>
          <w:p w14:paraId="047C4CF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14850</w:t>
            </w:r>
            <w:r>
              <w:rPr>
                <w:rFonts w:hint="default"/>
                <w:color w:val="auto"/>
              </w:rPr>
              <w:t>m</w:t>
            </w:r>
            <w:r>
              <w:rPr>
                <w:rFonts w:hint="default"/>
                <w:color w:val="auto"/>
                <w:vertAlign w:val="superscript"/>
              </w:rPr>
              <w:t>3</w:t>
            </w:r>
          </w:p>
        </w:tc>
        <w:tc>
          <w:tcPr>
            <w:tcW w:w="1635" w:type="pct"/>
            <w:gridSpan w:val="2"/>
            <w:vAlign w:val="center"/>
          </w:tcPr>
          <w:p w14:paraId="2FA23F88">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围堰</w:t>
            </w:r>
          </w:p>
        </w:tc>
      </w:tr>
      <w:tr w14:paraId="634DC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75" w:type="pct"/>
            <w:vMerge w:val="continue"/>
            <w:vAlign w:val="center"/>
          </w:tcPr>
          <w:p w14:paraId="12FC9DA4">
            <w:pPr>
              <w:pStyle w:val="91"/>
              <w:keepNext w:val="0"/>
              <w:keepLines w:val="0"/>
              <w:suppressLineNumbers w:val="0"/>
              <w:spacing w:before="0" w:beforeAutospacing="0" w:after="0" w:afterAutospacing="0"/>
              <w:ind w:left="0" w:right="0"/>
              <w:rPr>
                <w:rFonts w:hint="default"/>
                <w:color w:val="auto"/>
              </w:rPr>
            </w:pPr>
          </w:p>
        </w:tc>
        <w:tc>
          <w:tcPr>
            <w:tcW w:w="363" w:type="pct"/>
            <w:vAlign w:val="center"/>
          </w:tcPr>
          <w:p w14:paraId="0038633D">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6</w:t>
            </w:r>
          </w:p>
        </w:tc>
        <w:tc>
          <w:tcPr>
            <w:tcW w:w="894" w:type="pct"/>
            <w:vAlign w:val="center"/>
          </w:tcPr>
          <w:p w14:paraId="0E43D9A7">
            <w:pPr>
              <w:pStyle w:val="167"/>
              <w:keepNext w:val="0"/>
              <w:keepLines w:val="0"/>
              <w:suppressLineNumbers w:val="0"/>
              <w:spacing w:before="0" w:beforeAutospacing="0" w:after="0" w:afterAutospacing="0" w:line="240" w:lineRule="auto"/>
              <w:ind w:right="0"/>
              <w:rPr>
                <w:rFonts w:hint="default"/>
                <w:color w:val="auto"/>
              </w:rPr>
            </w:pPr>
            <w:r>
              <w:rPr>
                <w:rFonts w:hint="eastAsia"/>
                <w:color w:val="auto"/>
              </w:rPr>
              <w:t>码头</w:t>
            </w:r>
            <w:r>
              <w:rPr>
                <w:rFonts w:hint="default"/>
                <w:color w:val="auto"/>
              </w:rPr>
              <w:t>事故应急池</w:t>
            </w:r>
          </w:p>
        </w:tc>
        <w:tc>
          <w:tcPr>
            <w:tcW w:w="766" w:type="pct"/>
            <w:vAlign w:val="center"/>
          </w:tcPr>
          <w:p w14:paraId="5C01A1E0">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60m×20.8m×3.6m×5m</w:t>
            </w:r>
          </w:p>
        </w:tc>
        <w:tc>
          <w:tcPr>
            <w:tcW w:w="667" w:type="pct"/>
            <w:vAlign w:val="center"/>
          </w:tcPr>
          <w:p w14:paraId="45ABFE2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20000</w:t>
            </w:r>
            <w:r>
              <w:rPr>
                <w:rFonts w:hint="default"/>
                <w:color w:val="auto"/>
              </w:rPr>
              <w:t>m</w:t>
            </w:r>
            <w:r>
              <w:rPr>
                <w:rFonts w:hint="default"/>
                <w:color w:val="auto"/>
                <w:vertAlign w:val="superscript"/>
              </w:rPr>
              <w:t>3</w:t>
            </w:r>
          </w:p>
        </w:tc>
        <w:tc>
          <w:tcPr>
            <w:tcW w:w="1635" w:type="pct"/>
            <w:gridSpan w:val="2"/>
            <w:vAlign w:val="center"/>
          </w:tcPr>
          <w:p w14:paraId="7241D9CF">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围堰</w:t>
            </w:r>
          </w:p>
        </w:tc>
      </w:tr>
    </w:tbl>
    <w:p w14:paraId="00DD661B">
      <w:pPr>
        <w:pStyle w:val="6"/>
        <w:rPr>
          <w:color w:val="auto"/>
        </w:rPr>
      </w:pPr>
      <w:r>
        <w:rPr>
          <w:color w:val="auto"/>
        </w:rPr>
        <w:t>船舶污染应急资源</w:t>
      </w:r>
    </w:p>
    <w:p w14:paraId="48A2D680">
      <w:pPr>
        <w:ind w:firstLine="480"/>
        <w:rPr>
          <w:color w:val="auto"/>
        </w:rPr>
      </w:pPr>
      <w:r>
        <w:rPr>
          <w:color w:val="auto"/>
        </w:rPr>
        <w:t>钦州市现有船舶污染应急资源主要由钦州溢油应急设备库、船舶污染清除作业单位和港口企业建设的应急设备库组成。根据广西海事局统计资料，钦州市现有应急资源主要包括浮油回收船6艘、辅助船舶18艘、围油栏28250</w:t>
      </w:r>
      <w:r>
        <w:rPr>
          <w:rFonts w:hint="eastAsia"/>
          <w:color w:val="auto"/>
        </w:rPr>
        <w:t>m</w:t>
      </w:r>
      <w:r>
        <w:rPr>
          <w:color w:val="auto"/>
        </w:rPr>
        <w:t>、收油机21台、清洗机12台、喷洒装置29台、应急卸载泵5台、临时储存装置4603</w:t>
      </w:r>
      <w:r>
        <w:rPr>
          <w:rFonts w:hint="eastAsia"/>
          <w:color w:val="auto"/>
        </w:rPr>
        <w:t>m</w:t>
      </w:r>
      <w:r>
        <w:rPr>
          <w:rFonts w:hint="eastAsia"/>
          <w:color w:val="auto"/>
          <w:vertAlign w:val="superscript"/>
        </w:rPr>
        <w:t>3</w:t>
      </w:r>
      <w:r>
        <w:rPr>
          <w:color w:val="auto"/>
        </w:rPr>
        <w:t>、吸油毡53</w:t>
      </w:r>
      <w:r>
        <w:rPr>
          <w:rFonts w:hint="eastAsia"/>
          <w:color w:val="auto"/>
        </w:rPr>
        <w:t>t</w:t>
      </w:r>
      <w:r>
        <w:rPr>
          <w:color w:val="auto"/>
        </w:rPr>
        <w:t>、吸油拖栏12200</w:t>
      </w:r>
      <w:r>
        <w:rPr>
          <w:rFonts w:hint="eastAsia"/>
          <w:color w:val="auto"/>
        </w:rPr>
        <w:t>m</w:t>
      </w:r>
      <w:r>
        <w:rPr>
          <w:color w:val="auto"/>
        </w:rPr>
        <w:t>和消油剂55</w:t>
      </w:r>
      <w:r>
        <w:rPr>
          <w:rFonts w:hint="eastAsia"/>
          <w:color w:val="auto"/>
        </w:rPr>
        <w:t>t。</w:t>
      </w:r>
    </w:p>
    <w:p w14:paraId="2A0BCB4A">
      <w:pPr>
        <w:ind w:firstLine="480"/>
        <w:rPr>
          <w:color w:val="auto"/>
        </w:rPr>
      </w:pPr>
      <w:r>
        <w:rPr>
          <w:rFonts w:hint="eastAsia"/>
          <w:color w:val="auto"/>
        </w:rPr>
        <w:t>（1）钦州溢油应急设备库</w:t>
      </w:r>
    </w:p>
    <w:p w14:paraId="21828C35">
      <w:pPr>
        <w:ind w:firstLine="480"/>
        <w:rPr>
          <w:color w:val="auto"/>
        </w:rPr>
      </w:pPr>
      <w:r>
        <w:rPr>
          <w:rFonts w:hint="eastAsia"/>
          <w:color w:val="auto"/>
        </w:rPr>
        <w:t>钦州溢油应急设备库是由交通运输部投资建设的国家中型应急设备库，按照一次综合溢油清除控制能力500t标准建设。</w:t>
      </w:r>
    </w:p>
    <w:p w14:paraId="28499B2E">
      <w:pPr>
        <w:ind w:firstLine="480"/>
        <w:rPr>
          <w:color w:val="auto"/>
        </w:rPr>
      </w:pPr>
      <w:r>
        <w:rPr>
          <w:color w:val="auto"/>
        </w:rPr>
        <w:t>根据交通运输部《关于广西海事局钦州溢油应急设备库工程可行性研究报告的批复》（交规划发</w:t>
      </w:r>
      <w:r>
        <w:rPr>
          <w:rFonts w:hint="eastAsia"/>
          <w:color w:val="auto"/>
        </w:rPr>
        <w:t>〔2009〕507号</w:t>
      </w:r>
      <w:r>
        <w:rPr>
          <w:color w:val="auto"/>
        </w:rPr>
        <w:t>），设备库建设面积1000m</w:t>
      </w:r>
      <w:r>
        <w:rPr>
          <w:color w:val="auto"/>
          <w:vertAlign w:val="superscript"/>
        </w:rPr>
        <w:t>2</w:t>
      </w:r>
      <w:r>
        <w:rPr>
          <w:color w:val="auto"/>
        </w:rPr>
        <w:t>，设备操作训练场所2592m</w:t>
      </w:r>
      <w:r>
        <w:rPr>
          <w:color w:val="auto"/>
          <w:vertAlign w:val="superscript"/>
        </w:rPr>
        <w:t>2</w:t>
      </w:r>
      <w:r>
        <w:rPr>
          <w:color w:val="auto"/>
        </w:rPr>
        <w:t>，配备应急卸载、围控、回收、储运等应急设备（表</w:t>
      </w:r>
      <w:r>
        <w:rPr>
          <w:rFonts w:hint="eastAsia"/>
          <w:color w:val="auto"/>
        </w:rPr>
        <w:t>5.8-1</w:t>
      </w:r>
      <w:r>
        <w:rPr>
          <w:color w:val="auto"/>
        </w:rPr>
        <w:t>）总投资3300万元。该设备库位于钦州海巡基地（钦州港金谷港区勒沟作业区），地理位置有利于应急出海作业，相关设备设施已完成采购。</w:t>
      </w:r>
    </w:p>
    <w:p w14:paraId="2AD309F4">
      <w:pPr>
        <w:ind w:firstLine="480"/>
        <w:rPr>
          <w:color w:val="auto"/>
        </w:rPr>
      </w:pPr>
      <w:r>
        <w:rPr>
          <w:color w:val="auto"/>
        </w:rPr>
        <w:t>2012年4月，交通运输部投资6500万元建造的</w:t>
      </w:r>
      <w:r>
        <w:rPr>
          <w:rFonts w:hint="eastAsia"/>
          <w:color w:val="auto"/>
        </w:rPr>
        <w:t>“</w:t>
      </w:r>
      <w:r>
        <w:rPr>
          <w:color w:val="auto"/>
        </w:rPr>
        <w:t>海巡1002</w:t>
      </w:r>
      <w:r>
        <w:rPr>
          <w:rFonts w:hint="eastAsia"/>
          <w:color w:val="auto"/>
        </w:rPr>
        <w:t>”</w:t>
      </w:r>
      <w:r>
        <w:rPr>
          <w:color w:val="auto"/>
        </w:rPr>
        <w:t>在钦州应急反应基地列编。</w:t>
      </w:r>
      <w:r>
        <w:rPr>
          <w:rFonts w:hint="eastAsia"/>
          <w:color w:val="auto"/>
        </w:rPr>
        <w:t>“</w:t>
      </w:r>
      <w:r>
        <w:rPr>
          <w:color w:val="auto"/>
        </w:rPr>
        <w:t>海巡1002</w:t>
      </w:r>
      <w:r>
        <w:rPr>
          <w:rFonts w:hint="eastAsia"/>
          <w:color w:val="auto"/>
        </w:rPr>
        <w:t>”</w:t>
      </w:r>
      <w:r>
        <w:rPr>
          <w:color w:val="auto"/>
        </w:rPr>
        <w:t>主要用于广西沿海近岸海域船舶溢油事故的应急处置，包括溢油回收（回收舱舱容639</w:t>
      </w:r>
      <w:r>
        <w:rPr>
          <w:rFonts w:hint="eastAsia"/>
          <w:color w:val="auto"/>
        </w:rPr>
        <w:t>m</w:t>
      </w:r>
      <w:r>
        <w:rPr>
          <w:rFonts w:hint="eastAsia"/>
          <w:color w:val="auto"/>
          <w:vertAlign w:val="superscript"/>
        </w:rPr>
        <w:t>3</w:t>
      </w:r>
      <w:r>
        <w:rPr>
          <w:color w:val="auto"/>
        </w:rPr>
        <w:t>，回收能力200</w:t>
      </w:r>
      <w:r>
        <w:rPr>
          <w:rFonts w:hint="eastAsia"/>
          <w:color w:val="auto"/>
        </w:rPr>
        <w:t>m</w:t>
      </w:r>
      <w:r>
        <w:rPr>
          <w:rFonts w:hint="eastAsia"/>
          <w:color w:val="auto"/>
          <w:vertAlign w:val="superscript"/>
        </w:rPr>
        <w:t>3</w:t>
      </w:r>
      <w:r>
        <w:rPr>
          <w:color w:val="auto"/>
        </w:rPr>
        <w:t>/</w:t>
      </w:r>
      <w:r>
        <w:rPr>
          <w:rFonts w:hint="eastAsia"/>
          <w:color w:val="auto"/>
        </w:rPr>
        <w:t>h</w:t>
      </w:r>
      <w:r>
        <w:rPr>
          <w:color w:val="auto"/>
        </w:rPr>
        <w:t>）、临时储存、处理等，并兼顾溢油围控、消油剂喷洒、应急辅助卸载、溢油监视和重点污染源监护等功能。</w:t>
      </w:r>
    </w:p>
    <w:p w14:paraId="7D31B219">
      <w:pPr>
        <w:ind w:firstLine="480"/>
        <w:rPr>
          <w:color w:val="auto"/>
        </w:rPr>
      </w:pPr>
      <w:r>
        <w:rPr>
          <w:color w:val="auto"/>
        </w:rPr>
        <w:t>钦州市海事局已配备围油栏2600</w:t>
      </w:r>
      <w:r>
        <w:rPr>
          <w:rFonts w:hint="eastAsia"/>
          <w:color w:val="auto"/>
        </w:rPr>
        <w:t>m</w:t>
      </w:r>
      <w:r>
        <w:rPr>
          <w:color w:val="auto"/>
        </w:rPr>
        <w:t>、收油机3台、吸油毡19</w:t>
      </w:r>
      <w:r>
        <w:rPr>
          <w:rFonts w:hint="eastAsia"/>
          <w:color w:val="auto"/>
        </w:rPr>
        <w:t>t</w:t>
      </w:r>
      <w:r>
        <w:rPr>
          <w:color w:val="auto"/>
        </w:rPr>
        <w:t>、吸油拖栏5600</w:t>
      </w:r>
      <w:r>
        <w:rPr>
          <w:rFonts w:hint="eastAsia"/>
          <w:color w:val="auto"/>
        </w:rPr>
        <w:t>m</w:t>
      </w:r>
      <w:r>
        <w:rPr>
          <w:color w:val="auto"/>
        </w:rPr>
        <w:t>等应急设备</w:t>
      </w:r>
      <w:r>
        <w:rPr>
          <w:rFonts w:hint="eastAsia"/>
          <w:color w:val="auto"/>
        </w:rPr>
        <w:t>。</w:t>
      </w:r>
    </w:p>
    <w:p w14:paraId="768A6ED3">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5.8</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2</w:t>
      </w:r>
      <w:r>
        <w:rPr>
          <w:color w:val="auto"/>
        </w:rPr>
        <w:fldChar w:fldCharType="end"/>
      </w:r>
      <w:r>
        <w:rPr>
          <w:color w:val="auto"/>
        </w:rPr>
        <w:t>广西海事局钦州溢油应急设备库设备配备情况</w:t>
      </w:r>
    </w:p>
    <w:tbl>
      <w:tblPr>
        <w:tblStyle w:val="43"/>
        <w:tblW w:w="4951"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1009"/>
        <w:gridCol w:w="4888"/>
        <w:gridCol w:w="1286"/>
        <w:gridCol w:w="2192"/>
      </w:tblGrid>
      <w:tr w14:paraId="19619D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tblHeader/>
          <w:jc w:val="center"/>
        </w:trPr>
        <w:tc>
          <w:tcPr>
            <w:tcW w:w="3145" w:type="pct"/>
            <w:gridSpan w:val="2"/>
            <w:vAlign w:val="center"/>
          </w:tcPr>
          <w:p w14:paraId="37CA9DB2">
            <w:pPr>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应急设备名称</w:t>
            </w:r>
          </w:p>
        </w:tc>
        <w:tc>
          <w:tcPr>
            <w:tcW w:w="686" w:type="pct"/>
            <w:vAlign w:val="center"/>
          </w:tcPr>
          <w:p w14:paraId="7310980B">
            <w:pPr>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单位</w:t>
            </w:r>
          </w:p>
        </w:tc>
        <w:tc>
          <w:tcPr>
            <w:tcW w:w="1168" w:type="pct"/>
            <w:vAlign w:val="center"/>
          </w:tcPr>
          <w:p w14:paraId="5EA5CACA">
            <w:pPr>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rPr>
            </w:pPr>
            <w:r>
              <w:rPr>
                <w:rFonts w:hint="default"/>
                <w:b/>
                <w:color w:val="auto"/>
                <w:sz w:val="21"/>
                <w:szCs w:val="21"/>
              </w:rPr>
              <w:t>数量</w:t>
            </w:r>
          </w:p>
        </w:tc>
      </w:tr>
      <w:tr w14:paraId="76D646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000" w:type="pct"/>
            <w:gridSpan w:val="4"/>
            <w:vAlign w:val="center"/>
          </w:tcPr>
          <w:p w14:paraId="50EB883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一、应急卸载设备</w:t>
            </w:r>
          </w:p>
        </w:tc>
      </w:tr>
      <w:tr w14:paraId="2E950C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154B56C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1.1</w:t>
            </w:r>
          </w:p>
        </w:tc>
        <w:tc>
          <w:tcPr>
            <w:tcW w:w="2607" w:type="pct"/>
            <w:vAlign w:val="center"/>
          </w:tcPr>
          <w:p w14:paraId="064C6D7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大型防腐蚀离心泵</w:t>
            </w:r>
          </w:p>
        </w:tc>
        <w:tc>
          <w:tcPr>
            <w:tcW w:w="686" w:type="pct"/>
            <w:vAlign w:val="center"/>
          </w:tcPr>
          <w:p w14:paraId="3D0FC33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套</w:t>
            </w:r>
          </w:p>
        </w:tc>
        <w:tc>
          <w:tcPr>
            <w:tcW w:w="1168" w:type="pct"/>
            <w:vAlign w:val="center"/>
          </w:tcPr>
          <w:p w14:paraId="20C1318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p>
        </w:tc>
      </w:tr>
      <w:tr w14:paraId="71F304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271B3C7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1.2</w:t>
            </w:r>
          </w:p>
        </w:tc>
        <w:tc>
          <w:tcPr>
            <w:tcW w:w="2607" w:type="pct"/>
            <w:vAlign w:val="center"/>
          </w:tcPr>
          <w:p w14:paraId="5AEACA2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大型螺杆卸载泵</w:t>
            </w:r>
          </w:p>
        </w:tc>
        <w:tc>
          <w:tcPr>
            <w:tcW w:w="686" w:type="pct"/>
            <w:vAlign w:val="center"/>
          </w:tcPr>
          <w:p w14:paraId="7C5A848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套</w:t>
            </w:r>
          </w:p>
        </w:tc>
        <w:tc>
          <w:tcPr>
            <w:tcW w:w="1168" w:type="pct"/>
            <w:vAlign w:val="center"/>
          </w:tcPr>
          <w:p w14:paraId="379BE02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p>
        </w:tc>
      </w:tr>
      <w:tr w14:paraId="191762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12F5C03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1.3</w:t>
            </w:r>
          </w:p>
        </w:tc>
        <w:tc>
          <w:tcPr>
            <w:tcW w:w="2607" w:type="pct"/>
            <w:vAlign w:val="center"/>
          </w:tcPr>
          <w:p w14:paraId="78DB0EB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中型螺杆卸载泵</w:t>
            </w:r>
          </w:p>
        </w:tc>
        <w:tc>
          <w:tcPr>
            <w:tcW w:w="686" w:type="pct"/>
            <w:vAlign w:val="center"/>
          </w:tcPr>
          <w:p w14:paraId="06D0401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套</w:t>
            </w:r>
          </w:p>
        </w:tc>
        <w:tc>
          <w:tcPr>
            <w:tcW w:w="1168" w:type="pct"/>
            <w:vAlign w:val="center"/>
          </w:tcPr>
          <w:p w14:paraId="7E36D85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p>
        </w:tc>
      </w:tr>
      <w:tr w14:paraId="79DA95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311FD0B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1.4</w:t>
            </w:r>
          </w:p>
        </w:tc>
        <w:tc>
          <w:tcPr>
            <w:tcW w:w="2607" w:type="pct"/>
            <w:vAlign w:val="center"/>
          </w:tcPr>
          <w:p w14:paraId="2C95E1A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小型螺杆卸载泵</w:t>
            </w:r>
          </w:p>
        </w:tc>
        <w:tc>
          <w:tcPr>
            <w:tcW w:w="686" w:type="pct"/>
            <w:vAlign w:val="center"/>
          </w:tcPr>
          <w:p w14:paraId="0CFF9FB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套</w:t>
            </w:r>
          </w:p>
        </w:tc>
        <w:tc>
          <w:tcPr>
            <w:tcW w:w="1168" w:type="pct"/>
            <w:vAlign w:val="center"/>
          </w:tcPr>
          <w:p w14:paraId="459ED83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p>
        </w:tc>
      </w:tr>
      <w:tr w14:paraId="07E545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000" w:type="pct"/>
            <w:gridSpan w:val="4"/>
            <w:vAlign w:val="center"/>
          </w:tcPr>
          <w:p w14:paraId="519979D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二、溢油围控设备</w:t>
            </w:r>
          </w:p>
        </w:tc>
      </w:tr>
      <w:tr w14:paraId="4F432D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01A99DB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2.1</w:t>
            </w:r>
          </w:p>
        </w:tc>
        <w:tc>
          <w:tcPr>
            <w:tcW w:w="2607" w:type="pct"/>
            <w:vAlign w:val="center"/>
          </w:tcPr>
          <w:p w14:paraId="631371F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海洋型充气式围油栏</w:t>
            </w:r>
          </w:p>
        </w:tc>
        <w:tc>
          <w:tcPr>
            <w:tcW w:w="686" w:type="pct"/>
            <w:vAlign w:val="center"/>
          </w:tcPr>
          <w:p w14:paraId="7C088C7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m</w:t>
            </w:r>
          </w:p>
        </w:tc>
        <w:tc>
          <w:tcPr>
            <w:tcW w:w="1168" w:type="pct"/>
            <w:vAlign w:val="center"/>
          </w:tcPr>
          <w:p w14:paraId="6F0288B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800</w:t>
            </w:r>
          </w:p>
        </w:tc>
      </w:tr>
      <w:tr w14:paraId="5853DF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5F332FF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2.2</w:t>
            </w:r>
          </w:p>
        </w:tc>
        <w:tc>
          <w:tcPr>
            <w:tcW w:w="2607" w:type="pct"/>
            <w:vAlign w:val="center"/>
          </w:tcPr>
          <w:p w14:paraId="49C4613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防火围油栏</w:t>
            </w:r>
          </w:p>
        </w:tc>
        <w:tc>
          <w:tcPr>
            <w:tcW w:w="686" w:type="pct"/>
            <w:vAlign w:val="center"/>
          </w:tcPr>
          <w:p w14:paraId="0DD1405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m</w:t>
            </w:r>
          </w:p>
        </w:tc>
        <w:tc>
          <w:tcPr>
            <w:tcW w:w="1168" w:type="pct"/>
            <w:vAlign w:val="center"/>
          </w:tcPr>
          <w:p w14:paraId="2F9DEB2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500</w:t>
            </w:r>
          </w:p>
        </w:tc>
      </w:tr>
      <w:tr w14:paraId="320BB4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000" w:type="pct"/>
            <w:gridSpan w:val="4"/>
            <w:vAlign w:val="center"/>
          </w:tcPr>
          <w:p w14:paraId="24A6E77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三、溢油回收设备</w:t>
            </w:r>
          </w:p>
        </w:tc>
      </w:tr>
      <w:tr w14:paraId="76831D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061A4EA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3.1</w:t>
            </w:r>
          </w:p>
        </w:tc>
        <w:tc>
          <w:tcPr>
            <w:tcW w:w="2607" w:type="pct"/>
            <w:vAlign w:val="center"/>
          </w:tcPr>
          <w:p w14:paraId="3A4836C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大型收油机</w:t>
            </w:r>
          </w:p>
        </w:tc>
        <w:tc>
          <w:tcPr>
            <w:tcW w:w="686" w:type="pct"/>
            <w:vAlign w:val="center"/>
          </w:tcPr>
          <w:p w14:paraId="7F6B6A6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套</w:t>
            </w:r>
          </w:p>
        </w:tc>
        <w:tc>
          <w:tcPr>
            <w:tcW w:w="1168" w:type="pct"/>
            <w:vAlign w:val="center"/>
          </w:tcPr>
          <w:p w14:paraId="56DCFA8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p>
        </w:tc>
      </w:tr>
      <w:tr w14:paraId="5E8456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1EFD5A2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3.2</w:t>
            </w:r>
          </w:p>
        </w:tc>
        <w:tc>
          <w:tcPr>
            <w:tcW w:w="2607" w:type="pct"/>
            <w:vAlign w:val="center"/>
          </w:tcPr>
          <w:p w14:paraId="787958D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中型收油机</w:t>
            </w:r>
          </w:p>
        </w:tc>
        <w:tc>
          <w:tcPr>
            <w:tcW w:w="686" w:type="pct"/>
            <w:vAlign w:val="center"/>
          </w:tcPr>
          <w:p w14:paraId="62534BC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套</w:t>
            </w:r>
          </w:p>
        </w:tc>
        <w:tc>
          <w:tcPr>
            <w:tcW w:w="1168" w:type="pct"/>
            <w:vAlign w:val="center"/>
          </w:tcPr>
          <w:p w14:paraId="308E4F4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p>
        </w:tc>
      </w:tr>
      <w:tr w14:paraId="40E45D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15E4E7F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3.3</w:t>
            </w:r>
          </w:p>
        </w:tc>
        <w:tc>
          <w:tcPr>
            <w:tcW w:w="2607" w:type="pct"/>
            <w:vAlign w:val="center"/>
          </w:tcPr>
          <w:p w14:paraId="09A4BD8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小型收油机</w:t>
            </w:r>
          </w:p>
        </w:tc>
        <w:tc>
          <w:tcPr>
            <w:tcW w:w="686" w:type="pct"/>
            <w:vAlign w:val="center"/>
          </w:tcPr>
          <w:p w14:paraId="100713F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套</w:t>
            </w:r>
          </w:p>
        </w:tc>
        <w:tc>
          <w:tcPr>
            <w:tcW w:w="1168" w:type="pct"/>
            <w:vAlign w:val="center"/>
          </w:tcPr>
          <w:p w14:paraId="7A94FE1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p>
        </w:tc>
      </w:tr>
      <w:tr w14:paraId="38EF38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13DBF53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3.4</w:t>
            </w:r>
          </w:p>
        </w:tc>
        <w:tc>
          <w:tcPr>
            <w:tcW w:w="2607" w:type="pct"/>
            <w:vAlign w:val="center"/>
          </w:tcPr>
          <w:p w14:paraId="785B193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自航式收油机</w:t>
            </w:r>
          </w:p>
        </w:tc>
        <w:tc>
          <w:tcPr>
            <w:tcW w:w="686" w:type="pct"/>
            <w:vAlign w:val="center"/>
          </w:tcPr>
          <w:p w14:paraId="59E2615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套</w:t>
            </w:r>
          </w:p>
        </w:tc>
        <w:tc>
          <w:tcPr>
            <w:tcW w:w="1168" w:type="pct"/>
            <w:vAlign w:val="center"/>
          </w:tcPr>
          <w:p w14:paraId="5CBC254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p>
        </w:tc>
      </w:tr>
      <w:tr w14:paraId="4DF3C6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000" w:type="pct"/>
            <w:gridSpan w:val="4"/>
            <w:vAlign w:val="center"/>
          </w:tcPr>
          <w:p w14:paraId="4C5AAEE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四、油污储运设备</w:t>
            </w:r>
          </w:p>
        </w:tc>
      </w:tr>
      <w:tr w14:paraId="699D71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1C05ACE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4.1</w:t>
            </w:r>
          </w:p>
        </w:tc>
        <w:tc>
          <w:tcPr>
            <w:tcW w:w="2607" w:type="pct"/>
            <w:vAlign w:val="center"/>
          </w:tcPr>
          <w:p w14:paraId="20C6A82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轻便储油囊</w:t>
            </w:r>
          </w:p>
        </w:tc>
        <w:tc>
          <w:tcPr>
            <w:tcW w:w="686" w:type="pct"/>
            <w:vAlign w:val="center"/>
          </w:tcPr>
          <w:p w14:paraId="002DCDA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个</w:t>
            </w:r>
          </w:p>
        </w:tc>
        <w:tc>
          <w:tcPr>
            <w:tcW w:w="1168" w:type="pct"/>
            <w:vAlign w:val="center"/>
          </w:tcPr>
          <w:p w14:paraId="7836CE8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w:t>
            </w:r>
          </w:p>
        </w:tc>
      </w:tr>
      <w:tr w14:paraId="67872A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000" w:type="pct"/>
            <w:gridSpan w:val="4"/>
            <w:vAlign w:val="center"/>
          </w:tcPr>
          <w:p w14:paraId="5823913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五、溢油分散物质</w:t>
            </w:r>
          </w:p>
        </w:tc>
      </w:tr>
      <w:tr w14:paraId="5A117A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4764EF3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5.1</w:t>
            </w:r>
          </w:p>
        </w:tc>
        <w:tc>
          <w:tcPr>
            <w:tcW w:w="2607" w:type="pct"/>
            <w:vAlign w:val="center"/>
          </w:tcPr>
          <w:p w14:paraId="063AF20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浓缩分散剂</w:t>
            </w:r>
          </w:p>
        </w:tc>
        <w:tc>
          <w:tcPr>
            <w:tcW w:w="686" w:type="pct"/>
            <w:vAlign w:val="center"/>
          </w:tcPr>
          <w:p w14:paraId="1E6465A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吨</w:t>
            </w:r>
          </w:p>
        </w:tc>
        <w:tc>
          <w:tcPr>
            <w:tcW w:w="1168" w:type="pct"/>
            <w:vAlign w:val="center"/>
          </w:tcPr>
          <w:p w14:paraId="0C9C0FA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4</w:t>
            </w:r>
          </w:p>
        </w:tc>
      </w:tr>
      <w:tr w14:paraId="08AE7C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6B82F16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5.2</w:t>
            </w:r>
          </w:p>
        </w:tc>
        <w:tc>
          <w:tcPr>
            <w:tcW w:w="2607" w:type="pct"/>
            <w:vAlign w:val="center"/>
          </w:tcPr>
          <w:p w14:paraId="1974B3B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船用喷洒装置</w:t>
            </w:r>
          </w:p>
        </w:tc>
        <w:tc>
          <w:tcPr>
            <w:tcW w:w="686" w:type="pct"/>
            <w:vAlign w:val="center"/>
          </w:tcPr>
          <w:p w14:paraId="2D20757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套</w:t>
            </w:r>
          </w:p>
        </w:tc>
        <w:tc>
          <w:tcPr>
            <w:tcW w:w="1168" w:type="pct"/>
            <w:vAlign w:val="center"/>
          </w:tcPr>
          <w:p w14:paraId="5146155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w:t>
            </w:r>
          </w:p>
        </w:tc>
      </w:tr>
      <w:tr w14:paraId="653B2E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000" w:type="pct"/>
            <w:gridSpan w:val="4"/>
            <w:vAlign w:val="center"/>
          </w:tcPr>
          <w:p w14:paraId="28DDEF8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六、溢油吸附材料</w:t>
            </w:r>
          </w:p>
        </w:tc>
      </w:tr>
      <w:tr w14:paraId="6F7A5C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2A83A02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6.1</w:t>
            </w:r>
          </w:p>
        </w:tc>
        <w:tc>
          <w:tcPr>
            <w:tcW w:w="2607" w:type="pct"/>
            <w:vAlign w:val="center"/>
          </w:tcPr>
          <w:p w14:paraId="16A497A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吸油毡</w:t>
            </w:r>
          </w:p>
        </w:tc>
        <w:tc>
          <w:tcPr>
            <w:tcW w:w="686" w:type="pct"/>
            <w:vAlign w:val="center"/>
          </w:tcPr>
          <w:p w14:paraId="435B533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吨</w:t>
            </w:r>
          </w:p>
        </w:tc>
        <w:tc>
          <w:tcPr>
            <w:tcW w:w="1168" w:type="pct"/>
            <w:vAlign w:val="center"/>
          </w:tcPr>
          <w:p w14:paraId="2195160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5</w:t>
            </w:r>
          </w:p>
        </w:tc>
      </w:tr>
      <w:tr w14:paraId="3589D6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443CDFB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6.2</w:t>
            </w:r>
          </w:p>
        </w:tc>
        <w:tc>
          <w:tcPr>
            <w:tcW w:w="2607" w:type="pct"/>
            <w:vAlign w:val="center"/>
          </w:tcPr>
          <w:p w14:paraId="6E604C1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吸油拖栏</w:t>
            </w:r>
          </w:p>
        </w:tc>
        <w:tc>
          <w:tcPr>
            <w:tcW w:w="686" w:type="pct"/>
            <w:vAlign w:val="center"/>
          </w:tcPr>
          <w:p w14:paraId="7F5521C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套</w:t>
            </w:r>
          </w:p>
        </w:tc>
        <w:tc>
          <w:tcPr>
            <w:tcW w:w="1168" w:type="pct"/>
            <w:vAlign w:val="center"/>
          </w:tcPr>
          <w:p w14:paraId="7FFD5A9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400</w:t>
            </w:r>
          </w:p>
        </w:tc>
      </w:tr>
      <w:tr w14:paraId="6F2B0E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000" w:type="pct"/>
            <w:gridSpan w:val="4"/>
            <w:vAlign w:val="center"/>
          </w:tcPr>
          <w:p w14:paraId="03FBD51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七、配套设备</w:t>
            </w:r>
          </w:p>
        </w:tc>
      </w:tr>
      <w:tr w14:paraId="6B3CD3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61D920D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7.1</w:t>
            </w:r>
          </w:p>
        </w:tc>
        <w:tc>
          <w:tcPr>
            <w:tcW w:w="2607" w:type="pct"/>
            <w:vAlign w:val="center"/>
          </w:tcPr>
          <w:p w14:paraId="61CDC32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高压热水清洗机</w:t>
            </w:r>
          </w:p>
        </w:tc>
        <w:tc>
          <w:tcPr>
            <w:tcW w:w="686" w:type="pct"/>
            <w:vAlign w:val="center"/>
          </w:tcPr>
          <w:p w14:paraId="2DC584D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台</w:t>
            </w:r>
          </w:p>
        </w:tc>
        <w:tc>
          <w:tcPr>
            <w:tcW w:w="1168" w:type="pct"/>
            <w:vAlign w:val="center"/>
          </w:tcPr>
          <w:p w14:paraId="0D8610B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w:t>
            </w:r>
          </w:p>
        </w:tc>
      </w:tr>
      <w:tr w14:paraId="1070A3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179C722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7.2</w:t>
            </w:r>
          </w:p>
        </w:tc>
        <w:tc>
          <w:tcPr>
            <w:tcW w:w="2607" w:type="pct"/>
            <w:vAlign w:val="center"/>
          </w:tcPr>
          <w:p w14:paraId="67D3869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防护用品1</w:t>
            </w:r>
          </w:p>
        </w:tc>
        <w:tc>
          <w:tcPr>
            <w:tcW w:w="686" w:type="pct"/>
            <w:vAlign w:val="center"/>
          </w:tcPr>
          <w:p w14:paraId="38DF8C4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套</w:t>
            </w:r>
          </w:p>
        </w:tc>
        <w:tc>
          <w:tcPr>
            <w:tcW w:w="1168" w:type="pct"/>
            <w:vAlign w:val="center"/>
          </w:tcPr>
          <w:p w14:paraId="73153A7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20</w:t>
            </w:r>
          </w:p>
        </w:tc>
      </w:tr>
      <w:tr w14:paraId="766FD7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4C3674B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7.3</w:t>
            </w:r>
          </w:p>
        </w:tc>
        <w:tc>
          <w:tcPr>
            <w:tcW w:w="2607" w:type="pct"/>
            <w:vAlign w:val="center"/>
          </w:tcPr>
          <w:p w14:paraId="6027F72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防护用品2</w:t>
            </w:r>
          </w:p>
        </w:tc>
        <w:tc>
          <w:tcPr>
            <w:tcW w:w="686" w:type="pct"/>
            <w:vAlign w:val="center"/>
          </w:tcPr>
          <w:p w14:paraId="7841843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套</w:t>
            </w:r>
          </w:p>
        </w:tc>
        <w:tc>
          <w:tcPr>
            <w:tcW w:w="1168" w:type="pct"/>
            <w:vAlign w:val="center"/>
          </w:tcPr>
          <w:p w14:paraId="047ACF5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15</w:t>
            </w:r>
          </w:p>
        </w:tc>
      </w:tr>
      <w:tr w14:paraId="268B82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0" w:hRule="atLeast"/>
          <w:jc w:val="center"/>
        </w:trPr>
        <w:tc>
          <w:tcPr>
            <w:tcW w:w="538" w:type="pct"/>
            <w:vAlign w:val="center"/>
          </w:tcPr>
          <w:p w14:paraId="3BAD0B7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7.4</w:t>
            </w:r>
          </w:p>
        </w:tc>
        <w:tc>
          <w:tcPr>
            <w:tcW w:w="2607" w:type="pct"/>
            <w:vAlign w:val="center"/>
          </w:tcPr>
          <w:p w14:paraId="789EE7D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后勤保障用品</w:t>
            </w:r>
          </w:p>
        </w:tc>
        <w:tc>
          <w:tcPr>
            <w:tcW w:w="686" w:type="pct"/>
            <w:vAlign w:val="center"/>
          </w:tcPr>
          <w:p w14:paraId="03321C9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套</w:t>
            </w:r>
          </w:p>
        </w:tc>
        <w:tc>
          <w:tcPr>
            <w:tcW w:w="1168" w:type="pct"/>
            <w:vAlign w:val="center"/>
          </w:tcPr>
          <w:p w14:paraId="347FD14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p>
        </w:tc>
      </w:tr>
    </w:tbl>
    <w:p w14:paraId="5128E188">
      <w:pPr>
        <w:ind w:firstLine="480"/>
        <w:rPr>
          <w:color w:val="auto"/>
        </w:rPr>
      </w:pPr>
      <w:r>
        <w:rPr>
          <w:rFonts w:hint="eastAsia"/>
          <w:color w:val="auto"/>
        </w:rPr>
        <w:t>（2）船舶污染清除单位</w:t>
      </w:r>
    </w:p>
    <w:p w14:paraId="2860F88C">
      <w:pPr>
        <w:ind w:firstLine="480"/>
        <w:rPr>
          <w:color w:val="auto"/>
        </w:rPr>
      </w:pPr>
      <w:r>
        <w:rPr>
          <w:rFonts w:hint="eastAsia"/>
          <w:color w:val="auto"/>
        </w:rPr>
        <w:t>钦州辖区现有钦州市桂通船舶服务有限公司、广西鑫丰海洋科技环保有限公司、钦州市苏南船舶服务有限公司3家专业船舶污染清除单位，共配备应急处置船6艘、辅助船舶18艘、围油栏18800m、收油机12台、喷洒装置24台、应急卸载泵5台、临时储存装置4602m</w:t>
      </w:r>
      <w:r>
        <w:rPr>
          <w:rFonts w:hint="eastAsia"/>
          <w:color w:val="auto"/>
          <w:vertAlign w:val="superscript"/>
        </w:rPr>
        <w:t>3</w:t>
      </w:r>
      <w:r>
        <w:rPr>
          <w:rFonts w:hint="eastAsia"/>
          <w:color w:val="auto"/>
        </w:rPr>
        <w:t>、吸油毡24t、高压清洗机12台、吸油拖栏6000m、消油剂44t。公司</w:t>
      </w:r>
      <w:r>
        <w:rPr>
          <w:color w:val="auto"/>
        </w:rPr>
        <w:t>与</w:t>
      </w:r>
      <w:r>
        <w:rPr>
          <w:rFonts w:hint="eastAsia"/>
          <w:color w:val="auto"/>
        </w:rPr>
        <w:t>钦州市桂通船舶服务有限公司签订码头</w:t>
      </w:r>
      <w:r>
        <w:rPr>
          <w:color w:val="auto"/>
        </w:rPr>
        <w:t>溢油</w:t>
      </w:r>
      <w:r>
        <w:rPr>
          <w:rFonts w:hint="eastAsia"/>
          <w:color w:val="auto"/>
        </w:rPr>
        <w:t>应急</w:t>
      </w:r>
      <w:r>
        <w:rPr>
          <w:color w:val="auto"/>
        </w:rPr>
        <w:t>值守服务合同，</w:t>
      </w:r>
      <w:r>
        <w:rPr>
          <w:rFonts w:hint="eastAsia"/>
          <w:color w:val="auto"/>
        </w:rPr>
        <w:t>负责</w:t>
      </w:r>
      <w:r>
        <w:rPr>
          <w:color w:val="auto"/>
        </w:rPr>
        <w:t>在码头监护、监视</w:t>
      </w:r>
      <w:r>
        <w:rPr>
          <w:rFonts w:hint="eastAsia"/>
          <w:color w:val="auto"/>
        </w:rPr>
        <w:t>船舶</w:t>
      </w:r>
      <w:r>
        <w:rPr>
          <w:color w:val="auto"/>
        </w:rPr>
        <w:t>溢油状况及发生溢油事故时的应急</w:t>
      </w:r>
      <w:r>
        <w:rPr>
          <w:rFonts w:hint="eastAsia"/>
          <w:color w:val="auto"/>
        </w:rPr>
        <w:t>清除</w:t>
      </w:r>
      <w:r>
        <w:rPr>
          <w:color w:val="auto"/>
        </w:rPr>
        <w:t>作业</w:t>
      </w:r>
      <w:r>
        <w:rPr>
          <w:rFonts w:hint="eastAsia"/>
          <w:color w:val="auto"/>
        </w:rPr>
        <w:t>。</w:t>
      </w:r>
    </w:p>
    <w:p w14:paraId="2B2BDA0B">
      <w:pPr>
        <w:ind w:firstLine="480"/>
        <w:rPr>
          <w:color w:val="auto"/>
        </w:rPr>
      </w:pPr>
      <w:r>
        <w:rPr>
          <w:rFonts w:hint="eastAsia"/>
          <w:color w:val="auto"/>
        </w:rPr>
        <w:t>综上，本项目所在钦州港域社会力量和港口码头企业应急资源较丰富，应急能力较强，而且距离本项目较近，可以及时为本项目提供有效应急支持，减轻溢油进入海域。</w:t>
      </w:r>
    </w:p>
    <w:p w14:paraId="50DB1707">
      <w:pPr>
        <w:pStyle w:val="6"/>
        <w:rPr>
          <w:color w:val="auto"/>
        </w:rPr>
      </w:pPr>
      <w:r>
        <w:rPr>
          <w:rFonts w:hint="eastAsia"/>
          <w:color w:val="auto"/>
        </w:rPr>
        <w:t>可协调的外部应急救援资源</w:t>
      </w:r>
    </w:p>
    <w:p w14:paraId="08BC1261">
      <w:pPr>
        <w:ind w:firstLine="480"/>
        <w:rPr>
          <w:rFonts w:hint="eastAsia" w:eastAsia="宋体"/>
          <w:color w:val="auto"/>
          <w:u w:val="single"/>
          <w:lang w:eastAsia="zh-CN"/>
        </w:rPr>
      </w:pPr>
      <w:r>
        <w:rPr>
          <w:rFonts w:hint="eastAsia"/>
          <w:color w:val="auto"/>
          <w:u w:val="single"/>
        </w:rPr>
        <w:t>周边可协调的外部应急救援资源主要有中国石油广西石化公司码头库区等单位。</w:t>
      </w:r>
      <w:r>
        <w:rPr>
          <w:rFonts w:hint="eastAsia"/>
          <w:color w:val="auto"/>
          <w:u w:val="single"/>
          <w:lang w:eastAsia="zh-CN"/>
        </w:rPr>
        <w:t>当溢油影响范围较大时，可协调北部湾港规划建设的应急设备库和应急处置中心，帮助控制及处置溢油影响。</w:t>
      </w:r>
    </w:p>
    <w:p w14:paraId="5F21FF02">
      <w:pPr>
        <w:ind w:firstLine="480"/>
        <w:rPr>
          <w:rFonts w:hint="eastAsia" w:eastAsia="宋体"/>
          <w:color w:val="auto"/>
          <w:u w:val="single"/>
          <w:lang w:eastAsia="zh-CN"/>
        </w:rPr>
      </w:pPr>
      <w:r>
        <w:rPr>
          <w:rFonts w:hint="eastAsia"/>
          <w:color w:val="auto"/>
          <w:u w:val="single"/>
          <w:lang w:eastAsia="zh-CN"/>
        </w:rPr>
        <w:t>（</w:t>
      </w:r>
      <w:r>
        <w:rPr>
          <w:rFonts w:hint="eastAsia"/>
          <w:color w:val="auto"/>
          <w:u w:val="single"/>
          <w:lang w:val="en-US" w:eastAsia="zh-CN"/>
        </w:rPr>
        <w:t>1</w:t>
      </w:r>
      <w:r>
        <w:rPr>
          <w:rFonts w:hint="eastAsia"/>
          <w:color w:val="auto"/>
          <w:u w:val="single"/>
          <w:lang w:eastAsia="zh-CN"/>
        </w:rPr>
        <w:t>）北部湾港</w:t>
      </w:r>
    </w:p>
    <w:p w14:paraId="47DEA06D">
      <w:pPr>
        <w:ind w:firstLine="480"/>
        <w:rPr>
          <w:rFonts w:hint="eastAsia" w:eastAsia="宋体"/>
          <w:color w:val="auto"/>
          <w:u w:val="single"/>
          <w:lang w:eastAsia="zh-CN"/>
        </w:rPr>
      </w:pPr>
      <w:r>
        <w:rPr>
          <w:rFonts w:hint="eastAsia"/>
          <w:color w:val="auto"/>
          <w:u w:val="single"/>
          <w:lang w:eastAsia="zh-CN"/>
        </w:rPr>
        <w:t>根据《北部湾港总体规划（</w:t>
      </w:r>
      <w:r>
        <w:rPr>
          <w:rFonts w:hint="eastAsia"/>
          <w:color w:val="auto"/>
          <w:u w:val="single"/>
          <w:lang w:val="en-US" w:eastAsia="zh-CN"/>
        </w:rPr>
        <w:t>2035年</w:t>
      </w:r>
      <w:r>
        <w:rPr>
          <w:rFonts w:hint="eastAsia"/>
          <w:color w:val="auto"/>
          <w:u w:val="single"/>
          <w:lang w:eastAsia="zh-CN"/>
        </w:rPr>
        <w:t>）》的配套设施规划，规划在渔满、大榄坪、铁山西等港区布置港口支持系统区。结合港区布局建设溢油应急设备库，建立港口搜救、防污、应急综合联动体系，建设覆盖广西北部湾的搜救应急指挥系统和船舶交通管理系统等，统一规划、同步实施。港航支持系统包括安全监管系统、巡航救助装备配备、海事基地、航道养护、引航工作基地、溢油监视及应急设施、危化品监视及应急设施、导助航设施等。其中，溢油监视及应急设施规划在北海和防城港建设中型船舶溢油应急设备库，配置溢油应急卸载、围控、回收、清除、储运转运和溢油分散、吸附等设备和物资一批，配套建设应急队伍演练、生活服务配套、管理用房、道路、管网和绿化等设施。</w:t>
      </w:r>
    </w:p>
    <w:p w14:paraId="4037B76E">
      <w:pPr>
        <w:ind w:firstLine="480"/>
        <w:rPr>
          <w:rFonts w:hint="eastAsia"/>
          <w:color w:val="auto"/>
          <w:u w:val="single"/>
        </w:rPr>
      </w:pPr>
      <w:r>
        <w:rPr>
          <w:rFonts w:hint="eastAsia"/>
          <w:color w:val="auto"/>
          <w:u w:val="single"/>
        </w:rPr>
        <w:t>危化品监视及应急设施</w:t>
      </w:r>
      <w:r>
        <w:rPr>
          <w:rFonts w:hint="eastAsia"/>
          <w:color w:val="auto"/>
          <w:u w:val="single"/>
          <w:lang w:eastAsia="zh-CN"/>
        </w:rPr>
        <w:t>规划</w:t>
      </w:r>
      <w:r>
        <w:rPr>
          <w:rFonts w:hint="eastAsia"/>
          <w:color w:val="auto"/>
          <w:u w:val="single"/>
        </w:rPr>
        <w:t>在钦州港区建设广西北部湾危险化学品应急处置中心，在防城港和北海港区建设危险化学品应急处置站点，配套建设危化品作业管理调度室和危险化学品应急物资仓库，组建应急救援队伍，满足日常监视监控和事故时应急指挥功能。配备正压式空气呼吸器、化学防护服、过滤式防毒面具、气体浓度检测仪、通讯对讲机、急救包、吸附堵漏材料、洗消设施设备等应急处置物资。组建应急救援队伍，并配备适当的防护装备。建设危险化学品应急物资仓库，配备匹配的应急救援车辆及相关配套物资。</w:t>
      </w:r>
    </w:p>
    <w:p w14:paraId="67851928">
      <w:pPr>
        <w:ind w:firstLine="480"/>
        <w:rPr>
          <w:color w:val="auto"/>
        </w:rPr>
      </w:pPr>
      <w:r>
        <w:rPr>
          <w:rFonts w:hint="eastAsia"/>
          <w:color w:val="auto"/>
        </w:rPr>
        <w:t>（</w:t>
      </w:r>
      <w:r>
        <w:rPr>
          <w:rFonts w:hint="eastAsia"/>
          <w:color w:val="auto"/>
          <w:lang w:val="en-US" w:eastAsia="zh-CN"/>
        </w:rPr>
        <w:t>2</w:t>
      </w:r>
      <w:r>
        <w:rPr>
          <w:rFonts w:hint="eastAsia"/>
          <w:color w:val="auto"/>
        </w:rPr>
        <w:t>）中国石油广西石化公司</w:t>
      </w:r>
    </w:p>
    <w:p w14:paraId="7822F370">
      <w:pPr>
        <w:ind w:firstLine="480"/>
        <w:rPr>
          <w:b/>
          <w:bCs/>
          <w:color w:val="auto"/>
        </w:rPr>
      </w:pPr>
      <w:r>
        <w:rPr>
          <w:rFonts w:hint="eastAsia"/>
          <w:color w:val="auto"/>
        </w:rPr>
        <w:t>中国石油广西石化公司码头库区应急资源情况详见表5.7-4、表5.8-3所示。</w:t>
      </w:r>
    </w:p>
    <w:p w14:paraId="6FE20A58">
      <w:pPr>
        <w:pStyle w:val="14"/>
        <w:rPr>
          <w:color w:val="auto"/>
        </w:rPr>
      </w:pPr>
      <w:r>
        <w:rPr>
          <w:rFonts w:hint="eastAsia"/>
          <w:color w:val="auto"/>
        </w:rPr>
        <w:t>表</w:t>
      </w:r>
      <w:r>
        <w:rPr>
          <w:color w:val="auto"/>
        </w:rPr>
        <w:t>5.8</w:t>
      </w:r>
      <w:r>
        <w:rPr>
          <w:color w:val="auto"/>
        </w:rPr>
        <w:noBreakHyphen/>
      </w:r>
      <w:r>
        <w:rPr>
          <w:color w:val="auto"/>
        </w:rPr>
        <w:t>2中国石油广西石化公司码头溢油应急物资清单</w:t>
      </w:r>
    </w:p>
    <w:tbl>
      <w:tblPr>
        <w:tblStyle w:val="43"/>
        <w:tblW w:w="4889" w:type="pct"/>
        <w:tblInd w:w="102"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67"/>
        <w:gridCol w:w="2619"/>
        <w:gridCol w:w="2599"/>
        <w:gridCol w:w="1818"/>
        <w:gridCol w:w="1255"/>
      </w:tblGrid>
      <w:tr w14:paraId="75BDDC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blHeader/>
        </w:trPr>
        <w:tc>
          <w:tcPr>
            <w:tcW w:w="570" w:type="pct"/>
            <w:vAlign w:val="center"/>
          </w:tcPr>
          <w:p w14:paraId="4DB3B92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kern w:val="0"/>
                <w:sz w:val="21"/>
                <w:szCs w:val="21"/>
              </w:rPr>
            </w:pPr>
            <w:r>
              <w:rPr>
                <w:rFonts w:hint="default"/>
                <w:b/>
                <w:bCs/>
                <w:color w:val="auto"/>
                <w:kern w:val="0"/>
                <w:sz w:val="21"/>
                <w:szCs w:val="21"/>
              </w:rPr>
              <w:t>序号</w:t>
            </w:r>
          </w:p>
        </w:tc>
        <w:tc>
          <w:tcPr>
            <w:tcW w:w="1399" w:type="pct"/>
            <w:vAlign w:val="center"/>
          </w:tcPr>
          <w:p w14:paraId="02D29EE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kern w:val="0"/>
                <w:sz w:val="21"/>
                <w:szCs w:val="21"/>
              </w:rPr>
            </w:pPr>
            <w:r>
              <w:rPr>
                <w:rFonts w:hint="default"/>
                <w:b/>
                <w:bCs/>
                <w:color w:val="auto"/>
                <w:kern w:val="0"/>
                <w:sz w:val="21"/>
                <w:szCs w:val="21"/>
              </w:rPr>
              <w:t>应急物资名称</w:t>
            </w:r>
          </w:p>
        </w:tc>
        <w:tc>
          <w:tcPr>
            <w:tcW w:w="1388" w:type="pct"/>
            <w:vAlign w:val="center"/>
          </w:tcPr>
          <w:p w14:paraId="6527C5C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kern w:val="0"/>
                <w:sz w:val="21"/>
                <w:szCs w:val="21"/>
              </w:rPr>
            </w:pPr>
            <w:r>
              <w:rPr>
                <w:rFonts w:hint="default"/>
                <w:b/>
                <w:bCs/>
                <w:color w:val="auto"/>
                <w:kern w:val="0"/>
                <w:sz w:val="21"/>
                <w:szCs w:val="21"/>
              </w:rPr>
              <w:t>规格（型号）/主要参数</w:t>
            </w:r>
          </w:p>
        </w:tc>
        <w:tc>
          <w:tcPr>
            <w:tcW w:w="971" w:type="pct"/>
            <w:vAlign w:val="center"/>
          </w:tcPr>
          <w:p w14:paraId="41DC7CA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kern w:val="0"/>
                <w:sz w:val="21"/>
                <w:szCs w:val="21"/>
              </w:rPr>
            </w:pPr>
            <w:r>
              <w:rPr>
                <w:rFonts w:hint="default"/>
                <w:b/>
                <w:bCs/>
                <w:color w:val="auto"/>
                <w:kern w:val="0"/>
                <w:sz w:val="21"/>
                <w:szCs w:val="21"/>
              </w:rPr>
              <w:t>存放地点</w:t>
            </w:r>
          </w:p>
        </w:tc>
        <w:tc>
          <w:tcPr>
            <w:tcW w:w="670" w:type="pct"/>
            <w:vAlign w:val="center"/>
          </w:tcPr>
          <w:p w14:paraId="42A6029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color w:val="auto"/>
                <w:kern w:val="0"/>
                <w:sz w:val="21"/>
                <w:szCs w:val="21"/>
              </w:rPr>
            </w:pPr>
            <w:r>
              <w:rPr>
                <w:rFonts w:hint="default"/>
                <w:b/>
                <w:bCs/>
                <w:color w:val="auto"/>
                <w:kern w:val="0"/>
                <w:sz w:val="21"/>
                <w:szCs w:val="21"/>
              </w:rPr>
              <w:t>数量</w:t>
            </w:r>
          </w:p>
        </w:tc>
      </w:tr>
      <w:tr w14:paraId="0913AF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0FC6DA4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w:t>
            </w:r>
          </w:p>
        </w:tc>
        <w:tc>
          <w:tcPr>
            <w:tcW w:w="1399" w:type="pct"/>
            <w:vAlign w:val="center"/>
          </w:tcPr>
          <w:p w14:paraId="5AB1512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叉车</w:t>
            </w:r>
          </w:p>
        </w:tc>
        <w:tc>
          <w:tcPr>
            <w:tcW w:w="1388" w:type="pct"/>
            <w:vAlign w:val="center"/>
          </w:tcPr>
          <w:p w14:paraId="5F8414B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8吨</w:t>
            </w:r>
          </w:p>
        </w:tc>
        <w:tc>
          <w:tcPr>
            <w:tcW w:w="971" w:type="pct"/>
            <w:vAlign w:val="center"/>
          </w:tcPr>
          <w:p w14:paraId="691AD95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库区门口</w:t>
            </w:r>
          </w:p>
        </w:tc>
        <w:tc>
          <w:tcPr>
            <w:tcW w:w="670" w:type="pct"/>
            <w:vAlign w:val="center"/>
          </w:tcPr>
          <w:p w14:paraId="4610AEE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1辆</w:t>
            </w:r>
          </w:p>
        </w:tc>
      </w:tr>
      <w:tr w14:paraId="0073B3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5341004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w:t>
            </w:r>
          </w:p>
        </w:tc>
        <w:tc>
          <w:tcPr>
            <w:tcW w:w="1399" w:type="pct"/>
            <w:vAlign w:val="center"/>
          </w:tcPr>
          <w:p w14:paraId="7FB41C1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吸油毡</w:t>
            </w:r>
          </w:p>
        </w:tc>
        <w:tc>
          <w:tcPr>
            <w:tcW w:w="1388" w:type="pct"/>
            <w:vAlign w:val="center"/>
          </w:tcPr>
          <w:p w14:paraId="3BA5E9E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pp-1、pp-2</w:t>
            </w:r>
          </w:p>
        </w:tc>
        <w:tc>
          <w:tcPr>
            <w:tcW w:w="971" w:type="pct"/>
            <w:vAlign w:val="center"/>
          </w:tcPr>
          <w:p w14:paraId="670B3D6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354057C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4吨</w:t>
            </w:r>
          </w:p>
        </w:tc>
      </w:tr>
      <w:tr w14:paraId="172979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71BAF3C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3</w:t>
            </w:r>
          </w:p>
        </w:tc>
        <w:tc>
          <w:tcPr>
            <w:tcW w:w="1399" w:type="pct"/>
            <w:vAlign w:val="center"/>
          </w:tcPr>
          <w:p w14:paraId="2C27A3F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石棉布</w:t>
            </w:r>
          </w:p>
        </w:tc>
        <w:tc>
          <w:tcPr>
            <w:tcW w:w="1388" w:type="pct"/>
            <w:vAlign w:val="center"/>
          </w:tcPr>
          <w:p w14:paraId="07CA0B6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JC210-2000</w:t>
            </w:r>
          </w:p>
        </w:tc>
        <w:tc>
          <w:tcPr>
            <w:tcW w:w="971" w:type="pct"/>
            <w:vAlign w:val="center"/>
          </w:tcPr>
          <w:p w14:paraId="6D25467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4A0E06D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3包</w:t>
            </w:r>
          </w:p>
        </w:tc>
      </w:tr>
      <w:tr w14:paraId="2E1C75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2D3214B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4</w:t>
            </w:r>
          </w:p>
        </w:tc>
        <w:tc>
          <w:tcPr>
            <w:tcW w:w="1399" w:type="pct"/>
            <w:vAlign w:val="center"/>
          </w:tcPr>
          <w:p w14:paraId="7552BF7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充气式围油栏</w:t>
            </w:r>
          </w:p>
        </w:tc>
        <w:tc>
          <w:tcPr>
            <w:tcW w:w="1388" w:type="pct"/>
            <w:vAlign w:val="center"/>
          </w:tcPr>
          <w:p w14:paraId="028867D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XPW-1100</w:t>
            </w:r>
          </w:p>
        </w:tc>
        <w:tc>
          <w:tcPr>
            <w:tcW w:w="971" w:type="pct"/>
            <w:vAlign w:val="center"/>
          </w:tcPr>
          <w:p w14:paraId="46055A2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565FA3D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800m</w:t>
            </w:r>
          </w:p>
        </w:tc>
      </w:tr>
      <w:tr w14:paraId="0787D3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14C60B3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5</w:t>
            </w:r>
          </w:p>
        </w:tc>
        <w:tc>
          <w:tcPr>
            <w:tcW w:w="1399" w:type="pct"/>
            <w:vAlign w:val="center"/>
          </w:tcPr>
          <w:p w14:paraId="0CA823F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溢油分散剂</w:t>
            </w:r>
          </w:p>
        </w:tc>
        <w:tc>
          <w:tcPr>
            <w:tcW w:w="1388" w:type="pct"/>
            <w:vAlign w:val="center"/>
          </w:tcPr>
          <w:p w14:paraId="29790B1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浓缩型</w:t>
            </w:r>
          </w:p>
        </w:tc>
        <w:tc>
          <w:tcPr>
            <w:tcW w:w="971" w:type="pct"/>
            <w:vAlign w:val="center"/>
          </w:tcPr>
          <w:p w14:paraId="23ABEA1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15415C8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5吨</w:t>
            </w:r>
          </w:p>
        </w:tc>
      </w:tr>
      <w:tr w14:paraId="585A71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00BF41A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6</w:t>
            </w:r>
          </w:p>
        </w:tc>
        <w:tc>
          <w:tcPr>
            <w:tcW w:w="1399" w:type="pct"/>
            <w:vAlign w:val="center"/>
          </w:tcPr>
          <w:p w14:paraId="44462E2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快速布防围油栏</w:t>
            </w:r>
          </w:p>
        </w:tc>
        <w:tc>
          <w:tcPr>
            <w:tcW w:w="1388" w:type="pct"/>
            <w:vAlign w:val="center"/>
          </w:tcPr>
          <w:p w14:paraId="53659ED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WGV1200R</w:t>
            </w:r>
          </w:p>
        </w:tc>
        <w:tc>
          <w:tcPr>
            <w:tcW w:w="971" w:type="pct"/>
            <w:vAlign w:val="center"/>
          </w:tcPr>
          <w:p w14:paraId="7C8C133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24C944A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600m</w:t>
            </w:r>
          </w:p>
        </w:tc>
      </w:tr>
      <w:tr w14:paraId="1624D1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20C0873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7</w:t>
            </w:r>
          </w:p>
        </w:tc>
        <w:tc>
          <w:tcPr>
            <w:tcW w:w="1399" w:type="pct"/>
            <w:vAlign w:val="center"/>
          </w:tcPr>
          <w:p w14:paraId="150F919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防火围油栏</w:t>
            </w:r>
          </w:p>
        </w:tc>
        <w:tc>
          <w:tcPr>
            <w:tcW w:w="1388" w:type="pct"/>
            <w:vAlign w:val="center"/>
          </w:tcPr>
          <w:p w14:paraId="1151DE9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FW1100</w:t>
            </w:r>
          </w:p>
        </w:tc>
        <w:tc>
          <w:tcPr>
            <w:tcW w:w="971" w:type="pct"/>
            <w:vAlign w:val="center"/>
          </w:tcPr>
          <w:p w14:paraId="0CD54DA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6E10D0B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200m</w:t>
            </w:r>
          </w:p>
        </w:tc>
      </w:tr>
      <w:tr w14:paraId="251FD6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1D73E8D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8</w:t>
            </w:r>
          </w:p>
        </w:tc>
        <w:tc>
          <w:tcPr>
            <w:tcW w:w="1399" w:type="pct"/>
            <w:vAlign w:val="center"/>
          </w:tcPr>
          <w:p w14:paraId="02B7434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手持溢油分散剂喷洒装置</w:t>
            </w:r>
          </w:p>
        </w:tc>
        <w:tc>
          <w:tcPr>
            <w:tcW w:w="1388" w:type="pct"/>
            <w:vAlign w:val="center"/>
          </w:tcPr>
          <w:p w14:paraId="4B9D2B8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PS40</w:t>
            </w:r>
          </w:p>
        </w:tc>
        <w:tc>
          <w:tcPr>
            <w:tcW w:w="971" w:type="pct"/>
            <w:vAlign w:val="center"/>
          </w:tcPr>
          <w:p w14:paraId="679C868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7AE1023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4套</w:t>
            </w:r>
          </w:p>
        </w:tc>
      </w:tr>
      <w:tr w14:paraId="2E9181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516BF58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9</w:t>
            </w:r>
          </w:p>
        </w:tc>
        <w:tc>
          <w:tcPr>
            <w:tcW w:w="1399" w:type="pct"/>
            <w:vAlign w:val="center"/>
          </w:tcPr>
          <w:p w14:paraId="35B6009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轻便储油罐</w:t>
            </w:r>
          </w:p>
        </w:tc>
        <w:tc>
          <w:tcPr>
            <w:tcW w:w="1388" w:type="pct"/>
            <w:vAlign w:val="center"/>
          </w:tcPr>
          <w:p w14:paraId="2240CF6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QG-V10</w:t>
            </w:r>
          </w:p>
        </w:tc>
        <w:tc>
          <w:tcPr>
            <w:tcW w:w="971" w:type="pct"/>
            <w:vAlign w:val="center"/>
          </w:tcPr>
          <w:p w14:paraId="2B61B7F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5EDBBA9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7台</w:t>
            </w:r>
          </w:p>
        </w:tc>
      </w:tr>
      <w:tr w14:paraId="015B06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1F23EA7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10</w:t>
            </w:r>
          </w:p>
        </w:tc>
        <w:tc>
          <w:tcPr>
            <w:tcW w:w="1399" w:type="pct"/>
            <w:vAlign w:val="center"/>
          </w:tcPr>
          <w:p w14:paraId="3FE7CFA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收油机</w:t>
            </w:r>
          </w:p>
        </w:tc>
        <w:tc>
          <w:tcPr>
            <w:tcW w:w="1388" w:type="pct"/>
            <w:vAlign w:val="center"/>
          </w:tcPr>
          <w:p w14:paraId="3B16C28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DXS40</w:t>
            </w:r>
          </w:p>
        </w:tc>
        <w:tc>
          <w:tcPr>
            <w:tcW w:w="971" w:type="pct"/>
            <w:vAlign w:val="center"/>
          </w:tcPr>
          <w:p w14:paraId="733205C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6115188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3台</w:t>
            </w:r>
          </w:p>
        </w:tc>
      </w:tr>
      <w:tr w14:paraId="789328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1C23A7A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11</w:t>
            </w:r>
          </w:p>
        </w:tc>
        <w:tc>
          <w:tcPr>
            <w:tcW w:w="1399" w:type="pct"/>
            <w:vAlign w:val="center"/>
          </w:tcPr>
          <w:p w14:paraId="1EE46BB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环保作业回收船</w:t>
            </w:r>
          </w:p>
        </w:tc>
        <w:tc>
          <w:tcPr>
            <w:tcW w:w="1388" w:type="pct"/>
            <w:vAlign w:val="center"/>
          </w:tcPr>
          <w:p w14:paraId="3C04547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p>
        </w:tc>
        <w:tc>
          <w:tcPr>
            <w:tcW w:w="971" w:type="pct"/>
            <w:vAlign w:val="center"/>
          </w:tcPr>
          <w:p w14:paraId="0D28E4F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轮驳公司</w:t>
            </w:r>
          </w:p>
        </w:tc>
        <w:tc>
          <w:tcPr>
            <w:tcW w:w="670" w:type="pct"/>
            <w:vAlign w:val="center"/>
          </w:tcPr>
          <w:p w14:paraId="74E4621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1艘</w:t>
            </w:r>
          </w:p>
        </w:tc>
      </w:tr>
      <w:tr w14:paraId="658E37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4095E49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12</w:t>
            </w:r>
          </w:p>
        </w:tc>
        <w:tc>
          <w:tcPr>
            <w:tcW w:w="1399" w:type="pct"/>
            <w:vAlign w:val="center"/>
          </w:tcPr>
          <w:p w14:paraId="516F3C4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围油栏布放艇</w:t>
            </w:r>
          </w:p>
        </w:tc>
        <w:tc>
          <w:tcPr>
            <w:tcW w:w="1388" w:type="pct"/>
            <w:vAlign w:val="center"/>
          </w:tcPr>
          <w:p w14:paraId="3367B42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p>
        </w:tc>
        <w:tc>
          <w:tcPr>
            <w:tcW w:w="971" w:type="pct"/>
            <w:vAlign w:val="center"/>
          </w:tcPr>
          <w:p w14:paraId="2C76FF8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轮驳公司</w:t>
            </w:r>
          </w:p>
        </w:tc>
        <w:tc>
          <w:tcPr>
            <w:tcW w:w="670" w:type="pct"/>
            <w:vAlign w:val="center"/>
          </w:tcPr>
          <w:p w14:paraId="6C35C33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1艘</w:t>
            </w:r>
          </w:p>
        </w:tc>
      </w:tr>
      <w:tr w14:paraId="7FBC43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1BEA3CE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13</w:t>
            </w:r>
          </w:p>
        </w:tc>
        <w:tc>
          <w:tcPr>
            <w:tcW w:w="1399" w:type="pct"/>
            <w:vAlign w:val="center"/>
          </w:tcPr>
          <w:p w14:paraId="042E918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油拖网</w:t>
            </w:r>
          </w:p>
        </w:tc>
        <w:tc>
          <w:tcPr>
            <w:tcW w:w="1388" w:type="pct"/>
            <w:vAlign w:val="center"/>
          </w:tcPr>
          <w:p w14:paraId="0990CED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TYT-3m</w:t>
            </w:r>
            <w:r>
              <w:rPr>
                <w:rFonts w:hint="default"/>
                <w:bCs/>
                <w:color w:val="auto"/>
                <w:kern w:val="0"/>
                <w:sz w:val="21"/>
                <w:szCs w:val="21"/>
                <w:vertAlign w:val="superscript"/>
              </w:rPr>
              <w:t>3</w:t>
            </w:r>
          </w:p>
        </w:tc>
        <w:tc>
          <w:tcPr>
            <w:tcW w:w="971" w:type="pct"/>
            <w:vAlign w:val="center"/>
          </w:tcPr>
          <w:p w14:paraId="135AF04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22C1CC0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4套</w:t>
            </w:r>
          </w:p>
        </w:tc>
      </w:tr>
      <w:tr w14:paraId="088EAB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746C652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14</w:t>
            </w:r>
          </w:p>
        </w:tc>
        <w:tc>
          <w:tcPr>
            <w:tcW w:w="1399" w:type="pct"/>
            <w:vAlign w:val="center"/>
          </w:tcPr>
          <w:p w14:paraId="7D7296C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固体橡胶围油栏</w:t>
            </w:r>
          </w:p>
        </w:tc>
        <w:tc>
          <w:tcPr>
            <w:tcW w:w="1388" w:type="pct"/>
            <w:vAlign w:val="center"/>
          </w:tcPr>
          <w:p w14:paraId="3010823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CWJ1100</w:t>
            </w:r>
          </w:p>
        </w:tc>
        <w:tc>
          <w:tcPr>
            <w:tcW w:w="971" w:type="pct"/>
            <w:vAlign w:val="center"/>
          </w:tcPr>
          <w:p w14:paraId="045FDA3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6C44055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4145m</w:t>
            </w:r>
          </w:p>
        </w:tc>
      </w:tr>
      <w:tr w14:paraId="272D70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644CE12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15</w:t>
            </w:r>
          </w:p>
        </w:tc>
        <w:tc>
          <w:tcPr>
            <w:tcW w:w="1399" w:type="pct"/>
            <w:vAlign w:val="center"/>
          </w:tcPr>
          <w:p w14:paraId="7466C81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液压动力站及充气机</w:t>
            </w:r>
          </w:p>
        </w:tc>
        <w:tc>
          <w:tcPr>
            <w:tcW w:w="1388" w:type="pct"/>
            <w:vAlign w:val="center"/>
          </w:tcPr>
          <w:p w14:paraId="261737A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p>
        </w:tc>
        <w:tc>
          <w:tcPr>
            <w:tcW w:w="971" w:type="pct"/>
            <w:vAlign w:val="center"/>
          </w:tcPr>
          <w:p w14:paraId="63BDFF8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0B00579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2套</w:t>
            </w:r>
          </w:p>
        </w:tc>
      </w:tr>
      <w:tr w14:paraId="570F02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155341D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16</w:t>
            </w:r>
          </w:p>
        </w:tc>
        <w:tc>
          <w:tcPr>
            <w:tcW w:w="1399" w:type="pct"/>
            <w:vAlign w:val="center"/>
          </w:tcPr>
          <w:p w14:paraId="3610CE7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吸油索</w:t>
            </w:r>
          </w:p>
        </w:tc>
        <w:tc>
          <w:tcPr>
            <w:tcW w:w="1388" w:type="pct"/>
            <w:vAlign w:val="center"/>
          </w:tcPr>
          <w:p w14:paraId="3DCD4F0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76mm*1200mm</w:t>
            </w:r>
          </w:p>
        </w:tc>
        <w:tc>
          <w:tcPr>
            <w:tcW w:w="971" w:type="pct"/>
            <w:vAlign w:val="center"/>
          </w:tcPr>
          <w:p w14:paraId="085E527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258E16D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660m</w:t>
            </w:r>
          </w:p>
        </w:tc>
      </w:tr>
      <w:tr w14:paraId="6F026B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75E99F5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17</w:t>
            </w:r>
          </w:p>
        </w:tc>
        <w:tc>
          <w:tcPr>
            <w:tcW w:w="1399" w:type="pct"/>
            <w:vAlign w:val="center"/>
          </w:tcPr>
          <w:p w14:paraId="1E92EF2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溢油回收装置</w:t>
            </w:r>
          </w:p>
        </w:tc>
        <w:tc>
          <w:tcPr>
            <w:tcW w:w="1388" w:type="pct"/>
            <w:vAlign w:val="center"/>
          </w:tcPr>
          <w:p w14:paraId="05EC77B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10m</w:t>
            </w:r>
            <w:r>
              <w:rPr>
                <w:rFonts w:hint="default"/>
                <w:bCs/>
                <w:color w:val="auto"/>
                <w:kern w:val="0"/>
                <w:sz w:val="21"/>
                <w:szCs w:val="21"/>
                <w:vertAlign w:val="superscript"/>
              </w:rPr>
              <w:t>3</w:t>
            </w:r>
          </w:p>
        </w:tc>
        <w:tc>
          <w:tcPr>
            <w:tcW w:w="971" w:type="pct"/>
            <w:vAlign w:val="center"/>
          </w:tcPr>
          <w:p w14:paraId="5BB9803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7677DA6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7个</w:t>
            </w:r>
          </w:p>
        </w:tc>
      </w:tr>
      <w:tr w14:paraId="30502F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4AF21F4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18</w:t>
            </w:r>
          </w:p>
        </w:tc>
        <w:tc>
          <w:tcPr>
            <w:tcW w:w="1399" w:type="pct"/>
            <w:vAlign w:val="center"/>
          </w:tcPr>
          <w:p w14:paraId="45A801E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长管呼吸器</w:t>
            </w:r>
          </w:p>
        </w:tc>
        <w:tc>
          <w:tcPr>
            <w:tcW w:w="1388" w:type="pct"/>
            <w:vAlign w:val="center"/>
          </w:tcPr>
          <w:p w14:paraId="595EADF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正压式</w:t>
            </w:r>
          </w:p>
        </w:tc>
        <w:tc>
          <w:tcPr>
            <w:tcW w:w="971" w:type="pct"/>
            <w:vAlign w:val="center"/>
          </w:tcPr>
          <w:p w14:paraId="2045113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14B2F43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2个</w:t>
            </w:r>
          </w:p>
        </w:tc>
      </w:tr>
      <w:tr w14:paraId="0124ED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0F2FF1C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19</w:t>
            </w:r>
          </w:p>
        </w:tc>
        <w:tc>
          <w:tcPr>
            <w:tcW w:w="1399" w:type="pct"/>
            <w:vAlign w:val="center"/>
          </w:tcPr>
          <w:p w14:paraId="3D5C0E6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收油机</w:t>
            </w:r>
          </w:p>
        </w:tc>
        <w:tc>
          <w:tcPr>
            <w:tcW w:w="1388" w:type="pct"/>
            <w:vAlign w:val="center"/>
          </w:tcPr>
          <w:p w14:paraId="0FA06EF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多功能收油机，收油速率不小于20-50m</w:t>
            </w:r>
            <w:r>
              <w:rPr>
                <w:rFonts w:hint="default"/>
                <w:bCs/>
                <w:color w:val="auto"/>
                <w:kern w:val="0"/>
                <w:sz w:val="21"/>
                <w:szCs w:val="21"/>
                <w:vertAlign w:val="superscript"/>
              </w:rPr>
              <w:t>3</w:t>
            </w:r>
            <w:r>
              <w:rPr>
                <w:rFonts w:hint="default"/>
                <w:bCs/>
                <w:color w:val="auto"/>
                <w:kern w:val="0"/>
                <w:sz w:val="21"/>
                <w:szCs w:val="21"/>
              </w:rPr>
              <w:t>/h。</w:t>
            </w:r>
          </w:p>
        </w:tc>
        <w:tc>
          <w:tcPr>
            <w:tcW w:w="971" w:type="pct"/>
            <w:vAlign w:val="center"/>
          </w:tcPr>
          <w:p w14:paraId="18CDB76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27018A5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2个</w:t>
            </w:r>
          </w:p>
        </w:tc>
      </w:tr>
      <w:tr w14:paraId="5844CE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00BCA13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20</w:t>
            </w:r>
          </w:p>
        </w:tc>
        <w:tc>
          <w:tcPr>
            <w:tcW w:w="1399" w:type="pct"/>
            <w:vAlign w:val="center"/>
          </w:tcPr>
          <w:p w14:paraId="5F81742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围油栏</w:t>
            </w:r>
          </w:p>
        </w:tc>
        <w:tc>
          <w:tcPr>
            <w:tcW w:w="1388" w:type="pct"/>
            <w:vAlign w:val="center"/>
          </w:tcPr>
          <w:p w14:paraId="0451D1D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高度600-1200。</w:t>
            </w:r>
          </w:p>
        </w:tc>
        <w:tc>
          <w:tcPr>
            <w:tcW w:w="971" w:type="pct"/>
            <w:vAlign w:val="center"/>
          </w:tcPr>
          <w:p w14:paraId="51EC3C9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6EDE112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2000米</w:t>
            </w:r>
          </w:p>
        </w:tc>
      </w:tr>
      <w:tr w14:paraId="555B0E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62C21D3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21</w:t>
            </w:r>
          </w:p>
        </w:tc>
        <w:tc>
          <w:tcPr>
            <w:tcW w:w="1399" w:type="pct"/>
            <w:vAlign w:val="center"/>
          </w:tcPr>
          <w:p w14:paraId="4BE730F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小型履带吊</w:t>
            </w:r>
          </w:p>
        </w:tc>
        <w:tc>
          <w:tcPr>
            <w:tcW w:w="1388" w:type="pct"/>
            <w:vAlign w:val="center"/>
          </w:tcPr>
          <w:p w14:paraId="7F4DCB0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额定起重能力小于3-6吨。</w:t>
            </w:r>
          </w:p>
        </w:tc>
        <w:tc>
          <w:tcPr>
            <w:tcW w:w="971" w:type="pct"/>
            <w:vAlign w:val="center"/>
          </w:tcPr>
          <w:p w14:paraId="66734CF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705DB0F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一辆</w:t>
            </w:r>
          </w:p>
        </w:tc>
      </w:tr>
      <w:tr w14:paraId="695206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213DDC4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22</w:t>
            </w:r>
          </w:p>
        </w:tc>
        <w:tc>
          <w:tcPr>
            <w:tcW w:w="1399" w:type="pct"/>
            <w:vAlign w:val="center"/>
          </w:tcPr>
          <w:p w14:paraId="5D3775E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多功能组合艇</w:t>
            </w:r>
          </w:p>
        </w:tc>
        <w:tc>
          <w:tcPr>
            <w:tcW w:w="1388" w:type="pct"/>
            <w:vAlign w:val="center"/>
          </w:tcPr>
          <w:p w14:paraId="33B2823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p>
        </w:tc>
        <w:tc>
          <w:tcPr>
            <w:tcW w:w="971" w:type="pct"/>
            <w:vAlign w:val="center"/>
          </w:tcPr>
          <w:p w14:paraId="623A88B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7A9CB82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一套</w:t>
            </w:r>
          </w:p>
        </w:tc>
      </w:tr>
      <w:tr w14:paraId="1C8DE9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0AD4897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23</w:t>
            </w:r>
          </w:p>
        </w:tc>
        <w:tc>
          <w:tcPr>
            <w:tcW w:w="1399" w:type="pct"/>
            <w:vAlign w:val="center"/>
          </w:tcPr>
          <w:p w14:paraId="16AB025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导油泵</w:t>
            </w:r>
          </w:p>
        </w:tc>
        <w:tc>
          <w:tcPr>
            <w:tcW w:w="1388" w:type="pct"/>
            <w:vAlign w:val="center"/>
          </w:tcPr>
          <w:p w14:paraId="3986529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p>
        </w:tc>
        <w:tc>
          <w:tcPr>
            <w:tcW w:w="971" w:type="pct"/>
            <w:vAlign w:val="center"/>
          </w:tcPr>
          <w:p w14:paraId="711C776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6C1C810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2台</w:t>
            </w:r>
          </w:p>
        </w:tc>
      </w:tr>
      <w:tr w14:paraId="391387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0B37D0F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24</w:t>
            </w:r>
          </w:p>
        </w:tc>
        <w:tc>
          <w:tcPr>
            <w:tcW w:w="1399" w:type="pct"/>
            <w:vAlign w:val="center"/>
          </w:tcPr>
          <w:p w14:paraId="7757AD1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照明设备</w:t>
            </w:r>
          </w:p>
        </w:tc>
        <w:tc>
          <w:tcPr>
            <w:tcW w:w="1388" w:type="pct"/>
            <w:vAlign w:val="center"/>
          </w:tcPr>
          <w:p w14:paraId="7997B7F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p>
        </w:tc>
        <w:tc>
          <w:tcPr>
            <w:tcW w:w="971" w:type="pct"/>
            <w:vAlign w:val="center"/>
          </w:tcPr>
          <w:p w14:paraId="4C78BD7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4F09767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3台</w:t>
            </w:r>
          </w:p>
        </w:tc>
      </w:tr>
      <w:tr w14:paraId="2DBE33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3D49EC9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25</w:t>
            </w:r>
          </w:p>
        </w:tc>
        <w:tc>
          <w:tcPr>
            <w:tcW w:w="1399" w:type="pct"/>
            <w:vAlign w:val="center"/>
          </w:tcPr>
          <w:p w14:paraId="5807364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轻型储油槽</w:t>
            </w:r>
          </w:p>
        </w:tc>
        <w:tc>
          <w:tcPr>
            <w:tcW w:w="1388" w:type="pct"/>
            <w:vAlign w:val="center"/>
          </w:tcPr>
          <w:p w14:paraId="27BA033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5m</w:t>
            </w:r>
            <w:r>
              <w:rPr>
                <w:rFonts w:hint="default"/>
                <w:bCs/>
                <w:color w:val="auto"/>
                <w:kern w:val="0"/>
                <w:sz w:val="21"/>
                <w:szCs w:val="21"/>
                <w:vertAlign w:val="superscript"/>
              </w:rPr>
              <w:t>3</w:t>
            </w:r>
          </w:p>
        </w:tc>
        <w:tc>
          <w:tcPr>
            <w:tcW w:w="971" w:type="pct"/>
            <w:vAlign w:val="center"/>
          </w:tcPr>
          <w:p w14:paraId="2619D1A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478E00B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10个</w:t>
            </w:r>
          </w:p>
        </w:tc>
      </w:tr>
      <w:tr w14:paraId="65FB5F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74D0C9A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26</w:t>
            </w:r>
          </w:p>
        </w:tc>
        <w:tc>
          <w:tcPr>
            <w:tcW w:w="1399" w:type="pct"/>
            <w:vAlign w:val="center"/>
          </w:tcPr>
          <w:p w14:paraId="08D54E7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吸附材料</w:t>
            </w:r>
          </w:p>
        </w:tc>
        <w:tc>
          <w:tcPr>
            <w:tcW w:w="1388" w:type="pct"/>
            <w:vAlign w:val="center"/>
          </w:tcPr>
          <w:p w14:paraId="7A30A8B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p>
        </w:tc>
        <w:tc>
          <w:tcPr>
            <w:tcW w:w="971" w:type="pct"/>
            <w:vAlign w:val="center"/>
          </w:tcPr>
          <w:p w14:paraId="37C53AC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246C335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140箱</w:t>
            </w:r>
          </w:p>
        </w:tc>
      </w:tr>
      <w:tr w14:paraId="5167B0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778CE20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27</w:t>
            </w:r>
          </w:p>
        </w:tc>
        <w:tc>
          <w:tcPr>
            <w:tcW w:w="1399" w:type="pct"/>
            <w:vAlign w:val="center"/>
          </w:tcPr>
          <w:p w14:paraId="72C94AB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吸油棉</w:t>
            </w:r>
          </w:p>
        </w:tc>
        <w:tc>
          <w:tcPr>
            <w:tcW w:w="1388" w:type="pct"/>
            <w:vAlign w:val="center"/>
          </w:tcPr>
          <w:p w14:paraId="2F45271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ACF-TM-500</w:t>
            </w:r>
          </w:p>
        </w:tc>
        <w:tc>
          <w:tcPr>
            <w:tcW w:w="971" w:type="pct"/>
            <w:vAlign w:val="center"/>
          </w:tcPr>
          <w:p w14:paraId="0AF8EBD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0A7BFB6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70箱</w:t>
            </w:r>
          </w:p>
        </w:tc>
      </w:tr>
      <w:tr w14:paraId="297A1E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11EAE66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28</w:t>
            </w:r>
          </w:p>
        </w:tc>
        <w:tc>
          <w:tcPr>
            <w:tcW w:w="1399" w:type="pct"/>
            <w:vAlign w:val="center"/>
          </w:tcPr>
          <w:p w14:paraId="7B96F22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吸附剂</w:t>
            </w:r>
          </w:p>
        </w:tc>
        <w:tc>
          <w:tcPr>
            <w:tcW w:w="1388" w:type="pct"/>
            <w:vAlign w:val="center"/>
          </w:tcPr>
          <w:p w14:paraId="68D5E85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CF33</w:t>
            </w:r>
          </w:p>
        </w:tc>
        <w:tc>
          <w:tcPr>
            <w:tcW w:w="971" w:type="pct"/>
            <w:vAlign w:val="center"/>
          </w:tcPr>
          <w:p w14:paraId="713E2CF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应急仓库</w:t>
            </w:r>
          </w:p>
        </w:tc>
        <w:tc>
          <w:tcPr>
            <w:tcW w:w="670" w:type="pct"/>
            <w:vAlign w:val="center"/>
          </w:tcPr>
          <w:p w14:paraId="7950BD4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80箱</w:t>
            </w:r>
          </w:p>
        </w:tc>
      </w:tr>
      <w:tr w14:paraId="6A46A0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4CFDF40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29</w:t>
            </w:r>
          </w:p>
        </w:tc>
        <w:tc>
          <w:tcPr>
            <w:tcW w:w="1399" w:type="pct"/>
            <w:vAlign w:val="center"/>
          </w:tcPr>
          <w:p w14:paraId="4588575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环保回收船</w:t>
            </w:r>
          </w:p>
        </w:tc>
        <w:tc>
          <w:tcPr>
            <w:tcW w:w="1388" w:type="pct"/>
            <w:vAlign w:val="center"/>
          </w:tcPr>
          <w:p w14:paraId="1A8A619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3000P</w:t>
            </w:r>
          </w:p>
        </w:tc>
        <w:tc>
          <w:tcPr>
            <w:tcW w:w="971" w:type="pct"/>
            <w:vAlign w:val="center"/>
          </w:tcPr>
          <w:p w14:paraId="49CDD8C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轮驳公司码头</w:t>
            </w:r>
          </w:p>
        </w:tc>
        <w:tc>
          <w:tcPr>
            <w:tcW w:w="670" w:type="pct"/>
            <w:vAlign w:val="center"/>
          </w:tcPr>
          <w:p w14:paraId="79025A1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1艘</w:t>
            </w:r>
          </w:p>
        </w:tc>
      </w:tr>
      <w:tr w14:paraId="202680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570" w:type="pct"/>
            <w:vAlign w:val="center"/>
          </w:tcPr>
          <w:p w14:paraId="3297D6F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30</w:t>
            </w:r>
          </w:p>
        </w:tc>
        <w:tc>
          <w:tcPr>
            <w:tcW w:w="1399" w:type="pct"/>
            <w:vAlign w:val="center"/>
          </w:tcPr>
          <w:p w14:paraId="061FD20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消拖两用船</w:t>
            </w:r>
          </w:p>
        </w:tc>
        <w:tc>
          <w:tcPr>
            <w:tcW w:w="1388" w:type="pct"/>
            <w:vAlign w:val="center"/>
          </w:tcPr>
          <w:p w14:paraId="0DC809E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4000P</w:t>
            </w:r>
          </w:p>
        </w:tc>
        <w:tc>
          <w:tcPr>
            <w:tcW w:w="971" w:type="pct"/>
            <w:vAlign w:val="center"/>
          </w:tcPr>
          <w:p w14:paraId="4E312D8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轮驳公司码头</w:t>
            </w:r>
          </w:p>
        </w:tc>
        <w:tc>
          <w:tcPr>
            <w:tcW w:w="670" w:type="pct"/>
            <w:vAlign w:val="center"/>
          </w:tcPr>
          <w:p w14:paraId="4FAC4D8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Cs/>
                <w:color w:val="auto"/>
                <w:kern w:val="0"/>
                <w:sz w:val="21"/>
                <w:szCs w:val="21"/>
              </w:rPr>
            </w:pPr>
            <w:r>
              <w:rPr>
                <w:rFonts w:hint="default"/>
                <w:bCs/>
                <w:color w:val="auto"/>
                <w:kern w:val="0"/>
                <w:sz w:val="21"/>
                <w:szCs w:val="21"/>
              </w:rPr>
              <w:t>2艘</w:t>
            </w:r>
          </w:p>
        </w:tc>
      </w:tr>
    </w:tbl>
    <w:p w14:paraId="0021FC8F">
      <w:pPr>
        <w:pStyle w:val="14"/>
        <w:rPr>
          <w:color w:val="auto"/>
        </w:rPr>
      </w:pPr>
    </w:p>
    <w:p w14:paraId="7DECA158">
      <w:pPr>
        <w:rPr>
          <w:color w:val="auto"/>
        </w:rPr>
      </w:pPr>
    </w:p>
    <w:p w14:paraId="32E2996C">
      <w:pPr>
        <w:pStyle w:val="14"/>
        <w:rPr>
          <w:color w:val="auto"/>
        </w:rPr>
      </w:pPr>
      <w:r>
        <w:rPr>
          <w:rFonts w:hint="eastAsia"/>
          <w:color w:val="auto"/>
        </w:rPr>
        <w:t>表</w:t>
      </w:r>
      <w:r>
        <w:rPr>
          <w:color w:val="auto"/>
        </w:rPr>
        <w:t>5.8</w:t>
      </w:r>
      <w:r>
        <w:rPr>
          <w:color w:val="auto"/>
        </w:rPr>
        <w:noBreakHyphen/>
      </w:r>
      <w:r>
        <w:rPr>
          <w:color w:val="auto"/>
        </w:rPr>
        <w:t>3</w:t>
      </w:r>
      <w:r>
        <w:rPr>
          <w:rFonts w:hint="eastAsia"/>
          <w:color w:val="auto"/>
        </w:rPr>
        <w:t>中国石油广西石化公司消防队车辆配备一览表</w:t>
      </w:r>
    </w:p>
    <w:tbl>
      <w:tblPr>
        <w:tblStyle w:val="43"/>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39"/>
        <w:gridCol w:w="3825"/>
        <w:gridCol w:w="1059"/>
        <w:gridCol w:w="1004"/>
        <w:gridCol w:w="2344"/>
      </w:tblGrid>
      <w:tr w14:paraId="607CA5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839" w:type="dxa"/>
            <w:tcMar>
              <w:top w:w="17" w:type="dxa"/>
              <w:bottom w:w="17" w:type="dxa"/>
            </w:tcMar>
            <w:vAlign w:val="center"/>
          </w:tcPr>
          <w:p w14:paraId="3A2482C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kern w:val="0"/>
                <w:sz w:val="21"/>
                <w:szCs w:val="21"/>
              </w:rPr>
            </w:pPr>
            <w:r>
              <w:rPr>
                <w:rFonts w:hint="eastAsia"/>
                <w:b/>
                <w:color w:val="auto"/>
                <w:kern w:val="0"/>
                <w:sz w:val="21"/>
                <w:szCs w:val="21"/>
              </w:rPr>
              <w:t>序号</w:t>
            </w:r>
          </w:p>
        </w:tc>
        <w:tc>
          <w:tcPr>
            <w:tcW w:w="3825" w:type="dxa"/>
            <w:tcMar>
              <w:top w:w="17" w:type="dxa"/>
              <w:bottom w:w="17" w:type="dxa"/>
            </w:tcMar>
            <w:vAlign w:val="center"/>
          </w:tcPr>
          <w:p w14:paraId="25BACE0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kern w:val="0"/>
                <w:sz w:val="21"/>
                <w:szCs w:val="21"/>
              </w:rPr>
            </w:pPr>
            <w:r>
              <w:rPr>
                <w:rFonts w:hint="eastAsia"/>
                <w:b/>
                <w:color w:val="auto"/>
                <w:kern w:val="0"/>
                <w:sz w:val="21"/>
                <w:szCs w:val="21"/>
              </w:rPr>
              <w:t>车辆名称</w:t>
            </w:r>
          </w:p>
        </w:tc>
        <w:tc>
          <w:tcPr>
            <w:tcW w:w="1059" w:type="dxa"/>
            <w:tcMar>
              <w:top w:w="17" w:type="dxa"/>
              <w:bottom w:w="17" w:type="dxa"/>
            </w:tcMar>
            <w:vAlign w:val="center"/>
          </w:tcPr>
          <w:p w14:paraId="0A7F07C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kern w:val="0"/>
                <w:sz w:val="21"/>
                <w:szCs w:val="21"/>
              </w:rPr>
            </w:pPr>
            <w:r>
              <w:rPr>
                <w:rFonts w:hint="eastAsia"/>
                <w:b/>
                <w:color w:val="auto"/>
                <w:kern w:val="0"/>
                <w:sz w:val="21"/>
                <w:szCs w:val="21"/>
              </w:rPr>
              <w:t>产地</w:t>
            </w:r>
          </w:p>
        </w:tc>
        <w:tc>
          <w:tcPr>
            <w:tcW w:w="1004" w:type="dxa"/>
            <w:tcMar>
              <w:top w:w="17" w:type="dxa"/>
              <w:bottom w:w="17" w:type="dxa"/>
            </w:tcMar>
            <w:vAlign w:val="center"/>
          </w:tcPr>
          <w:p w14:paraId="46598B2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kern w:val="0"/>
                <w:sz w:val="21"/>
                <w:szCs w:val="21"/>
              </w:rPr>
            </w:pPr>
            <w:r>
              <w:rPr>
                <w:rFonts w:hint="eastAsia"/>
                <w:b/>
                <w:color w:val="auto"/>
                <w:kern w:val="0"/>
                <w:sz w:val="21"/>
                <w:szCs w:val="21"/>
              </w:rPr>
              <w:t>数量</w:t>
            </w:r>
          </w:p>
        </w:tc>
        <w:tc>
          <w:tcPr>
            <w:tcW w:w="2344" w:type="dxa"/>
            <w:tcMar>
              <w:top w:w="17" w:type="dxa"/>
              <w:bottom w:w="17" w:type="dxa"/>
            </w:tcMar>
            <w:vAlign w:val="center"/>
          </w:tcPr>
          <w:p w14:paraId="743CEDD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color w:val="auto"/>
                <w:kern w:val="0"/>
                <w:sz w:val="21"/>
                <w:szCs w:val="21"/>
              </w:rPr>
            </w:pPr>
            <w:r>
              <w:rPr>
                <w:rFonts w:hint="eastAsia"/>
                <w:b/>
                <w:color w:val="auto"/>
                <w:kern w:val="0"/>
                <w:sz w:val="21"/>
                <w:szCs w:val="21"/>
              </w:rPr>
              <w:t>灭火剂</w:t>
            </w:r>
          </w:p>
        </w:tc>
      </w:tr>
      <w:tr w14:paraId="3C1A8C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9" w:type="dxa"/>
            <w:tcMar>
              <w:top w:w="17" w:type="dxa"/>
              <w:bottom w:w="17" w:type="dxa"/>
            </w:tcMar>
            <w:vAlign w:val="center"/>
          </w:tcPr>
          <w:p w14:paraId="28E5DE11">
            <w:pPr>
              <w:pStyle w:val="127"/>
              <w:keepNext w:val="0"/>
              <w:keepLines w:val="0"/>
              <w:numPr>
                <w:ilvl w:val="0"/>
                <w:numId w:val="28"/>
              </w:numPr>
              <w:suppressLineNumbers w:val="0"/>
              <w:adjustRightInd w:val="0"/>
              <w:snapToGrid w:val="0"/>
              <w:spacing w:before="0" w:beforeAutospacing="0" w:after="0" w:afterAutospacing="0" w:line="240" w:lineRule="auto"/>
              <w:ind w:right="0" w:firstLineChars="0"/>
              <w:jc w:val="center"/>
              <w:rPr>
                <w:rFonts w:hint="default"/>
                <w:color w:val="auto"/>
                <w:kern w:val="0"/>
                <w:sz w:val="21"/>
                <w:szCs w:val="21"/>
              </w:rPr>
            </w:pPr>
          </w:p>
        </w:tc>
        <w:tc>
          <w:tcPr>
            <w:tcW w:w="3825" w:type="dxa"/>
            <w:tcMar>
              <w:top w:w="17" w:type="dxa"/>
              <w:bottom w:w="17" w:type="dxa"/>
            </w:tcMar>
            <w:vAlign w:val="center"/>
          </w:tcPr>
          <w:p w14:paraId="1584FF5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通信</w:t>
            </w:r>
            <w:r>
              <w:rPr>
                <w:rFonts w:hint="default"/>
                <w:color w:val="auto"/>
                <w:kern w:val="0"/>
                <w:sz w:val="21"/>
                <w:szCs w:val="21"/>
              </w:rPr>
              <w:t>指挥车</w:t>
            </w:r>
          </w:p>
        </w:tc>
        <w:tc>
          <w:tcPr>
            <w:tcW w:w="1059" w:type="dxa"/>
            <w:tcMar>
              <w:top w:w="17" w:type="dxa"/>
              <w:bottom w:w="17" w:type="dxa"/>
            </w:tcMar>
            <w:vAlign w:val="center"/>
          </w:tcPr>
          <w:p w14:paraId="2A44FCF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国产</w:t>
            </w:r>
          </w:p>
        </w:tc>
        <w:tc>
          <w:tcPr>
            <w:tcW w:w="1004" w:type="dxa"/>
            <w:tcMar>
              <w:top w:w="17" w:type="dxa"/>
              <w:bottom w:w="17" w:type="dxa"/>
            </w:tcMar>
            <w:vAlign w:val="center"/>
          </w:tcPr>
          <w:p w14:paraId="33AA087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1</w:t>
            </w:r>
          </w:p>
        </w:tc>
        <w:tc>
          <w:tcPr>
            <w:tcW w:w="2344" w:type="dxa"/>
            <w:tcMar>
              <w:top w:w="17" w:type="dxa"/>
              <w:bottom w:w="17" w:type="dxa"/>
            </w:tcMar>
            <w:vAlign w:val="center"/>
          </w:tcPr>
          <w:p w14:paraId="1D14A56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w:t>
            </w:r>
          </w:p>
        </w:tc>
      </w:tr>
      <w:tr w14:paraId="181742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9" w:type="dxa"/>
            <w:tcMar>
              <w:top w:w="17" w:type="dxa"/>
              <w:bottom w:w="17" w:type="dxa"/>
            </w:tcMar>
            <w:vAlign w:val="center"/>
          </w:tcPr>
          <w:p w14:paraId="6190D984">
            <w:pPr>
              <w:pStyle w:val="127"/>
              <w:keepNext w:val="0"/>
              <w:keepLines w:val="0"/>
              <w:numPr>
                <w:ilvl w:val="0"/>
                <w:numId w:val="28"/>
              </w:numPr>
              <w:suppressLineNumbers w:val="0"/>
              <w:adjustRightInd w:val="0"/>
              <w:snapToGrid w:val="0"/>
              <w:spacing w:before="0" w:beforeAutospacing="0" w:after="0" w:afterAutospacing="0" w:line="240" w:lineRule="auto"/>
              <w:ind w:right="0" w:firstLineChars="0"/>
              <w:jc w:val="center"/>
              <w:rPr>
                <w:rFonts w:hint="default"/>
                <w:color w:val="auto"/>
                <w:kern w:val="0"/>
                <w:sz w:val="21"/>
                <w:szCs w:val="21"/>
              </w:rPr>
            </w:pPr>
          </w:p>
        </w:tc>
        <w:tc>
          <w:tcPr>
            <w:tcW w:w="3825" w:type="dxa"/>
            <w:tcMar>
              <w:top w:w="17" w:type="dxa"/>
              <w:bottom w:w="17" w:type="dxa"/>
            </w:tcMar>
            <w:vAlign w:val="center"/>
          </w:tcPr>
          <w:p w14:paraId="0CF59A8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抢险救援车</w:t>
            </w:r>
          </w:p>
        </w:tc>
        <w:tc>
          <w:tcPr>
            <w:tcW w:w="1059" w:type="dxa"/>
            <w:tcMar>
              <w:top w:w="17" w:type="dxa"/>
              <w:bottom w:w="17" w:type="dxa"/>
            </w:tcMar>
            <w:vAlign w:val="center"/>
          </w:tcPr>
          <w:p w14:paraId="45363DB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国产</w:t>
            </w:r>
          </w:p>
        </w:tc>
        <w:tc>
          <w:tcPr>
            <w:tcW w:w="1004" w:type="dxa"/>
            <w:tcMar>
              <w:top w:w="17" w:type="dxa"/>
              <w:bottom w:w="17" w:type="dxa"/>
            </w:tcMar>
            <w:vAlign w:val="center"/>
          </w:tcPr>
          <w:p w14:paraId="4CEAFF1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2344" w:type="dxa"/>
            <w:tcMar>
              <w:top w:w="17" w:type="dxa"/>
              <w:bottom w:w="17" w:type="dxa"/>
            </w:tcMar>
            <w:vAlign w:val="center"/>
          </w:tcPr>
          <w:p w14:paraId="6E49964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p>
        </w:tc>
      </w:tr>
      <w:tr w14:paraId="5D488D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9" w:type="dxa"/>
            <w:tcMar>
              <w:top w:w="17" w:type="dxa"/>
              <w:bottom w:w="17" w:type="dxa"/>
            </w:tcMar>
            <w:vAlign w:val="center"/>
          </w:tcPr>
          <w:p w14:paraId="4F5CAD4F">
            <w:pPr>
              <w:pStyle w:val="127"/>
              <w:keepNext w:val="0"/>
              <w:keepLines w:val="0"/>
              <w:numPr>
                <w:ilvl w:val="0"/>
                <w:numId w:val="28"/>
              </w:numPr>
              <w:suppressLineNumbers w:val="0"/>
              <w:adjustRightInd w:val="0"/>
              <w:snapToGrid w:val="0"/>
              <w:spacing w:before="0" w:beforeAutospacing="0" w:after="0" w:afterAutospacing="0" w:line="240" w:lineRule="auto"/>
              <w:ind w:right="0" w:firstLineChars="0"/>
              <w:jc w:val="center"/>
              <w:rPr>
                <w:rFonts w:hint="default"/>
                <w:color w:val="auto"/>
                <w:kern w:val="0"/>
                <w:sz w:val="21"/>
                <w:szCs w:val="21"/>
              </w:rPr>
            </w:pPr>
          </w:p>
        </w:tc>
        <w:tc>
          <w:tcPr>
            <w:tcW w:w="3825" w:type="dxa"/>
            <w:tcMar>
              <w:top w:w="17" w:type="dxa"/>
              <w:bottom w:w="17" w:type="dxa"/>
            </w:tcMar>
            <w:vAlign w:val="center"/>
          </w:tcPr>
          <w:p w14:paraId="31719BB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泡沫消防车</w:t>
            </w:r>
          </w:p>
        </w:tc>
        <w:tc>
          <w:tcPr>
            <w:tcW w:w="1059" w:type="dxa"/>
            <w:tcMar>
              <w:top w:w="17" w:type="dxa"/>
              <w:bottom w:w="17" w:type="dxa"/>
            </w:tcMar>
            <w:vAlign w:val="center"/>
          </w:tcPr>
          <w:p w14:paraId="6E70C56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进口</w:t>
            </w:r>
          </w:p>
        </w:tc>
        <w:tc>
          <w:tcPr>
            <w:tcW w:w="1004" w:type="dxa"/>
            <w:tcMar>
              <w:top w:w="17" w:type="dxa"/>
              <w:bottom w:w="17" w:type="dxa"/>
            </w:tcMar>
            <w:vAlign w:val="center"/>
          </w:tcPr>
          <w:p w14:paraId="7750EFA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2</w:t>
            </w:r>
          </w:p>
        </w:tc>
        <w:tc>
          <w:tcPr>
            <w:tcW w:w="2344" w:type="dxa"/>
            <w:tcMar>
              <w:top w:w="17" w:type="dxa"/>
              <w:bottom w:w="17" w:type="dxa"/>
            </w:tcMar>
            <w:vAlign w:val="center"/>
          </w:tcPr>
          <w:p w14:paraId="7706DC9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泡沫和水各</w:t>
            </w:r>
            <w:r>
              <w:rPr>
                <w:rFonts w:hint="default"/>
                <w:color w:val="auto"/>
                <w:kern w:val="0"/>
                <w:sz w:val="21"/>
                <w:szCs w:val="21"/>
              </w:rPr>
              <w:t>6</w:t>
            </w:r>
            <w:r>
              <w:rPr>
                <w:rFonts w:hint="eastAsia"/>
                <w:color w:val="auto"/>
                <w:kern w:val="0"/>
                <w:sz w:val="21"/>
                <w:szCs w:val="21"/>
              </w:rPr>
              <w:t>吨</w:t>
            </w:r>
          </w:p>
        </w:tc>
      </w:tr>
      <w:tr w14:paraId="2131B2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9" w:type="dxa"/>
            <w:tcMar>
              <w:top w:w="17" w:type="dxa"/>
              <w:bottom w:w="17" w:type="dxa"/>
            </w:tcMar>
            <w:vAlign w:val="center"/>
          </w:tcPr>
          <w:p w14:paraId="435A03F9">
            <w:pPr>
              <w:pStyle w:val="127"/>
              <w:keepNext w:val="0"/>
              <w:keepLines w:val="0"/>
              <w:numPr>
                <w:ilvl w:val="0"/>
                <w:numId w:val="28"/>
              </w:numPr>
              <w:suppressLineNumbers w:val="0"/>
              <w:adjustRightInd w:val="0"/>
              <w:snapToGrid w:val="0"/>
              <w:spacing w:before="0" w:beforeAutospacing="0" w:after="0" w:afterAutospacing="0" w:line="240" w:lineRule="auto"/>
              <w:ind w:right="0" w:firstLineChars="0"/>
              <w:jc w:val="center"/>
              <w:rPr>
                <w:rFonts w:hint="default"/>
                <w:color w:val="auto"/>
                <w:kern w:val="0"/>
                <w:sz w:val="21"/>
                <w:szCs w:val="21"/>
              </w:rPr>
            </w:pPr>
          </w:p>
        </w:tc>
        <w:tc>
          <w:tcPr>
            <w:tcW w:w="3825" w:type="dxa"/>
            <w:tcMar>
              <w:top w:w="17" w:type="dxa"/>
              <w:bottom w:w="17" w:type="dxa"/>
            </w:tcMar>
            <w:vAlign w:val="center"/>
          </w:tcPr>
          <w:p w14:paraId="6F57460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干粉车</w:t>
            </w:r>
          </w:p>
        </w:tc>
        <w:tc>
          <w:tcPr>
            <w:tcW w:w="1059" w:type="dxa"/>
            <w:tcMar>
              <w:top w:w="17" w:type="dxa"/>
              <w:bottom w:w="17" w:type="dxa"/>
            </w:tcMar>
            <w:vAlign w:val="center"/>
          </w:tcPr>
          <w:p w14:paraId="0225EA2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进口</w:t>
            </w:r>
          </w:p>
        </w:tc>
        <w:tc>
          <w:tcPr>
            <w:tcW w:w="1004" w:type="dxa"/>
            <w:tcMar>
              <w:top w:w="17" w:type="dxa"/>
              <w:bottom w:w="17" w:type="dxa"/>
            </w:tcMar>
            <w:vAlign w:val="center"/>
          </w:tcPr>
          <w:p w14:paraId="0393FCB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2344" w:type="dxa"/>
            <w:tcMar>
              <w:top w:w="17" w:type="dxa"/>
              <w:bottom w:w="17" w:type="dxa"/>
            </w:tcMar>
            <w:vAlign w:val="center"/>
          </w:tcPr>
          <w:p w14:paraId="5F537EB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6</w:t>
            </w:r>
            <w:r>
              <w:rPr>
                <w:rFonts w:hint="eastAsia"/>
                <w:color w:val="auto"/>
                <w:kern w:val="0"/>
                <w:sz w:val="21"/>
                <w:szCs w:val="21"/>
              </w:rPr>
              <w:t>吨干粉</w:t>
            </w:r>
          </w:p>
        </w:tc>
      </w:tr>
      <w:tr w14:paraId="6F2ACC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9" w:type="dxa"/>
            <w:tcMar>
              <w:top w:w="17" w:type="dxa"/>
              <w:bottom w:w="17" w:type="dxa"/>
            </w:tcMar>
            <w:vAlign w:val="center"/>
          </w:tcPr>
          <w:p w14:paraId="0AA81BF6">
            <w:pPr>
              <w:pStyle w:val="127"/>
              <w:keepNext w:val="0"/>
              <w:keepLines w:val="0"/>
              <w:numPr>
                <w:ilvl w:val="0"/>
                <w:numId w:val="28"/>
              </w:numPr>
              <w:suppressLineNumbers w:val="0"/>
              <w:adjustRightInd w:val="0"/>
              <w:snapToGrid w:val="0"/>
              <w:spacing w:before="0" w:beforeAutospacing="0" w:after="0" w:afterAutospacing="0" w:line="240" w:lineRule="auto"/>
              <w:ind w:right="0" w:firstLineChars="0"/>
              <w:jc w:val="center"/>
              <w:rPr>
                <w:rFonts w:hint="default"/>
                <w:color w:val="auto"/>
                <w:kern w:val="0"/>
                <w:sz w:val="21"/>
                <w:szCs w:val="21"/>
              </w:rPr>
            </w:pPr>
          </w:p>
        </w:tc>
        <w:tc>
          <w:tcPr>
            <w:tcW w:w="3825" w:type="dxa"/>
            <w:tcMar>
              <w:top w:w="17" w:type="dxa"/>
              <w:bottom w:w="17" w:type="dxa"/>
            </w:tcMar>
            <w:vAlign w:val="center"/>
          </w:tcPr>
          <w:p w14:paraId="6E45650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42</w:t>
            </w:r>
            <w:r>
              <w:rPr>
                <w:rFonts w:hint="eastAsia"/>
                <w:color w:val="auto"/>
                <w:kern w:val="0"/>
                <w:sz w:val="21"/>
                <w:szCs w:val="21"/>
              </w:rPr>
              <w:t>米云梯消防车</w:t>
            </w:r>
          </w:p>
        </w:tc>
        <w:tc>
          <w:tcPr>
            <w:tcW w:w="1059" w:type="dxa"/>
            <w:tcMar>
              <w:top w:w="17" w:type="dxa"/>
              <w:bottom w:w="17" w:type="dxa"/>
            </w:tcMar>
            <w:vAlign w:val="center"/>
          </w:tcPr>
          <w:p w14:paraId="77410A3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进口</w:t>
            </w:r>
          </w:p>
        </w:tc>
        <w:tc>
          <w:tcPr>
            <w:tcW w:w="1004" w:type="dxa"/>
            <w:tcMar>
              <w:top w:w="17" w:type="dxa"/>
              <w:bottom w:w="17" w:type="dxa"/>
            </w:tcMar>
            <w:vAlign w:val="center"/>
          </w:tcPr>
          <w:p w14:paraId="1531D00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2344" w:type="dxa"/>
            <w:tcMar>
              <w:top w:w="17" w:type="dxa"/>
              <w:bottom w:w="17" w:type="dxa"/>
            </w:tcMar>
            <w:vAlign w:val="center"/>
          </w:tcPr>
          <w:p w14:paraId="330558C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泡沫和水各</w:t>
            </w:r>
            <w:r>
              <w:rPr>
                <w:rFonts w:hint="default"/>
                <w:color w:val="auto"/>
                <w:kern w:val="0"/>
                <w:sz w:val="21"/>
                <w:szCs w:val="21"/>
              </w:rPr>
              <w:t>3</w:t>
            </w:r>
            <w:r>
              <w:rPr>
                <w:rFonts w:hint="eastAsia"/>
                <w:color w:val="auto"/>
                <w:kern w:val="0"/>
                <w:sz w:val="21"/>
                <w:szCs w:val="21"/>
              </w:rPr>
              <w:t>吨</w:t>
            </w:r>
          </w:p>
        </w:tc>
      </w:tr>
      <w:tr w14:paraId="3C3609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9" w:type="dxa"/>
            <w:tcMar>
              <w:top w:w="17" w:type="dxa"/>
              <w:bottom w:w="17" w:type="dxa"/>
            </w:tcMar>
            <w:vAlign w:val="center"/>
          </w:tcPr>
          <w:p w14:paraId="57EB129C">
            <w:pPr>
              <w:pStyle w:val="127"/>
              <w:keepNext w:val="0"/>
              <w:keepLines w:val="0"/>
              <w:numPr>
                <w:ilvl w:val="0"/>
                <w:numId w:val="28"/>
              </w:numPr>
              <w:suppressLineNumbers w:val="0"/>
              <w:adjustRightInd w:val="0"/>
              <w:snapToGrid w:val="0"/>
              <w:spacing w:before="0" w:beforeAutospacing="0" w:after="0" w:afterAutospacing="0" w:line="240" w:lineRule="auto"/>
              <w:ind w:right="0" w:firstLineChars="0"/>
              <w:jc w:val="center"/>
              <w:rPr>
                <w:rFonts w:hint="default"/>
                <w:color w:val="auto"/>
                <w:kern w:val="0"/>
                <w:sz w:val="21"/>
                <w:szCs w:val="21"/>
              </w:rPr>
            </w:pPr>
          </w:p>
        </w:tc>
        <w:tc>
          <w:tcPr>
            <w:tcW w:w="3825" w:type="dxa"/>
            <w:tcMar>
              <w:top w:w="17" w:type="dxa"/>
              <w:bottom w:w="17" w:type="dxa"/>
            </w:tcMar>
            <w:vAlign w:val="center"/>
          </w:tcPr>
          <w:p w14:paraId="7035D6A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干粉</w:t>
            </w:r>
            <w:r>
              <w:rPr>
                <w:rFonts w:hint="default"/>
                <w:color w:val="auto"/>
                <w:kern w:val="0"/>
                <w:sz w:val="21"/>
                <w:szCs w:val="21"/>
              </w:rPr>
              <w:t>/</w:t>
            </w:r>
            <w:r>
              <w:rPr>
                <w:rFonts w:hint="eastAsia"/>
                <w:color w:val="auto"/>
                <w:kern w:val="0"/>
                <w:sz w:val="21"/>
                <w:szCs w:val="21"/>
              </w:rPr>
              <w:t>泡沫联用车</w:t>
            </w:r>
          </w:p>
        </w:tc>
        <w:tc>
          <w:tcPr>
            <w:tcW w:w="1059" w:type="dxa"/>
            <w:tcMar>
              <w:top w:w="17" w:type="dxa"/>
              <w:bottom w:w="17" w:type="dxa"/>
            </w:tcMar>
            <w:vAlign w:val="center"/>
          </w:tcPr>
          <w:p w14:paraId="5C7847F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国产</w:t>
            </w:r>
          </w:p>
        </w:tc>
        <w:tc>
          <w:tcPr>
            <w:tcW w:w="1004" w:type="dxa"/>
            <w:tcMar>
              <w:top w:w="17" w:type="dxa"/>
              <w:bottom w:w="17" w:type="dxa"/>
            </w:tcMar>
            <w:vAlign w:val="center"/>
          </w:tcPr>
          <w:p w14:paraId="0D6DA84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2344" w:type="dxa"/>
            <w:tcMar>
              <w:top w:w="17" w:type="dxa"/>
              <w:bottom w:w="17" w:type="dxa"/>
            </w:tcMar>
            <w:vAlign w:val="center"/>
          </w:tcPr>
          <w:p w14:paraId="42DD3B3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干粉、泡沫和水各</w:t>
            </w:r>
            <w:r>
              <w:rPr>
                <w:rFonts w:hint="default"/>
                <w:color w:val="auto"/>
                <w:kern w:val="0"/>
                <w:sz w:val="21"/>
                <w:szCs w:val="21"/>
              </w:rPr>
              <w:t>3</w:t>
            </w:r>
            <w:r>
              <w:rPr>
                <w:rFonts w:hint="eastAsia"/>
                <w:color w:val="auto"/>
                <w:kern w:val="0"/>
                <w:sz w:val="21"/>
                <w:szCs w:val="21"/>
              </w:rPr>
              <w:t>吨</w:t>
            </w:r>
          </w:p>
        </w:tc>
      </w:tr>
      <w:tr w14:paraId="025ACC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9" w:type="dxa"/>
            <w:tcMar>
              <w:top w:w="17" w:type="dxa"/>
              <w:bottom w:w="17" w:type="dxa"/>
            </w:tcMar>
            <w:vAlign w:val="center"/>
          </w:tcPr>
          <w:p w14:paraId="002855A5">
            <w:pPr>
              <w:pStyle w:val="127"/>
              <w:keepNext w:val="0"/>
              <w:keepLines w:val="0"/>
              <w:numPr>
                <w:ilvl w:val="0"/>
                <w:numId w:val="28"/>
              </w:numPr>
              <w:suppressLineNumbers w:val="0"/>
              <w:adjustRightInd w:val="0"/>
              <w:snapToGrid w:val="0"/>
              <w:spacing w:before="0" w:beforeAutospacing="0" w:after="0" w:afterAutospacing="0" w:line="240" w:lineRule="auto"/>
              <w:ind w:right="0" w:firstLineChars="0"/>
              <w:jc w:val="center"/>
              <w:rPr>
                <w:rFonts w:hint="default"/>
                <w:color w:val="auto"/>
                <w:kern w:val="0"/>
                <w:sz w:val="21"/>
                <w:szCs w:val="21"/>
              </w:rPr>
            </w:pPr>
          </w:p>
        </w:tc>
        <w:tc>
          <w:tcPr>
            <w:tcW w:w="3825" w:type="dxa"/>
            <w:tcMar>
              <w:top w:w="17" w:type="dxa"/>
              <w:bottom w:w="17" w:type="dxa"/>
            </w:tcMar>
            <w:vAlign w:val="center"/>
          </w:tcPr>
          <w:p w14:paraId="266A4E6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16</w:t>
            </w:r>
            <w:r>
              <w:rPr>
                <w:rFonts w:hint="eastAsia"/>
                <w:color w:val="auto"/>
                <w:kern w:val="0"/>
                <w:sz w:val="21"/>
                <w:szCs w:val="21"/>
              </w:rPr>
              <w:t>米举高喷射消防车</w:t>
            </w:r>
          </w:p>
        </w:tc>
        <w:tc>
          <w:tcPr>
            <w:tcW w:w="1059" w:type="dxa"/>
            <w:tcMar>
              <w:top w:w="17" w:type="dxa"/>
              <w:bottom w:w="17" w:type="dxa"/>
            </w:tcMar>
            <w:vAlign w:val="center"/>
          </w:tcPr>
          <w:p w14:paraId="574F308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国产</w:t>
            </w:r>
          </w:p>
        </w:tc>
        <w:tc>
          <w:tcPr>
            <w:tcW w:w="1004" w:type="dxa"/>
            <w:tcMar>
              <w:top w:w="17" w:type="dxa"/>
              <w:bottom w:w="17" w:type="dxa"/>
            </w:tcMar>
            <w:vAlign w:val="center"/>
          </w:tcPr>
          <w:p w14:paraId="14062C4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2344" w:type="dxa"/>
            <w:tcMar>
              <w:top w:w="17" w:type="dxa"/>
              <w:bottom w:w="17" w:type="dxa"/>
            </w:tcMar>
            <w:vAlign w:val="center"/>
          </w:tcPr>
          <w:p w14:paraId="4BDD42D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泡沫和水各</w:t>
            </w:r>
            <w:r>
              <w:rPr>
                <w:rFonts w:hint="default"/>
                <w:color w:val="auto"/>
                <w:kern w:val="0"/>
                <w:sz w:val="21"/>
                <w:szCs w:val="21"/>
              </w:rPr>
              <w:t>3</w:t>
            </w:r>
            <w:r>
              <w:rPr>
                <w:rFonts w:hint="eastAsia"/>
                <w:color w:val="auto"/>
                <w:kern w:val="0"/>
                <w:sz w:val="21"/>
                <w:szCs w:val="21"/>
              </w:rPr>
              <w:t>吨</w:t>
            </w:r>
          </w:p>
        </w:tc>
      </w:tr>
      <w:tr w14:paraId="4D6B4C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9" w:type="dxa"/>
            <w:tcMar>
              <w:top w:w="17" w:type="dxa"/>
              <w:bottom w:w="17" w:type="dxa"/>
            </w:tcMar>
            <w:vAlign w:val="center"/>
          </w:tcPr>
          <w:p w14:paraId="705348FE">
            <w:pPr>
              <w:pStyle w:val="127"/>
              <w:keepNext w:val="0"/>
              <w:keepLines w:val="0"/>
              <w:numPr>
                <w:ilvl w:val="0"/>
                <w:numId w:val="28"/>
              </w:numPr>
              <w:suppressLineNumbers w:val="0"/>
              <w:adjustRightInd w:val="0"/>
              <w:snapToGrid w:val="0"/>
              <w:spacing w:before="0" w:beforeAutospacing="0" w:after="0" w:afterAutospacing="0" w:line="240" w:lineRule="auto"/>
              <w:ind w:right="0" w:firstLineChars="0"/>
              <w:jc w:val="center"/>
              <w:rPr>
                <w:rFonts w:hint="default"/>
                <w:color w:val="auto"/>
                <w:kern w:val="0"/>
                <w:sz w:val="21"/>
                <w:szCs w:val="21"/>
              </w:rPr>
            </w:pPr>
          </w:p>
        </w:tc>
        <w:tc>
          <w:tcPr>
            <w:tcW w:w="3825" w:type="dxa"/>
            <w:tcMar>
              <w:top w:w="17" w:type="dxa"/>
              <w:bottom w:w="17" w:type="dxa"/>
            </w:tcMar>
            <w:vAlign w:val="center"/>
          </w:tcPr>
          <w:p w14:paraId="4624278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56</w:t>
            </w:r>
            <w:r>
              <w:rPr>
                <w:rFonts w:hint="eastAsia"/>
                <w:color w:val="auto"/>
                <w:kern w:val="0"/>
                <w:sz w:val="21"/>
                <w:szCs w:val="21"/>
              </w:rPr>
              <w:t>米举高喷射消防车</w:t>
            </w:r>
          </w:p>
        </w:tc>
        <w:tc>
          <w:tcPr>
            <w:tcW w:w="1059" w:type="dxa"/>
            <w:tcMar>
              <w:top w:w="17" w:type="dxa"/>
              <w:bottom w:w="17" w:type="dxa"/>
            </w:tcMar>
            <w:vAlign w:val="center"/>
          </w:tcPr>
          <w:p w14:paraId="740DE63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国产</w:t>
            </w:r>
          </w:p>
        </w:tc>
        <w:tc>
          <w:tcPr>
            <w:tcW w:w="1004" w:type="dxa"/>
            <w:tcMar>
              <w:top w:w="17" w:type="dxa"/>
              <w:bottom w:w="17" w:type="dxa"/>
            </w:tcMar>
            <w:vAlign w:val="center"/>
          </w:tcPr>
          <w:p w14:paraId="5445F3A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2344" w:type="dxa"/>
            <w:tcMar>
              <w:top w:w="17" w:type="dxa"/>
              <w:bottom w:w="17" w:type="dxa"/>
            </w:tcMar>
            <w:vAlign w:val="center"/>
          </w:tcPr>
          <w:p w14:paraId="1AA1D4B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p>
        </w:tc>
      </w:tr>
      <w:tr w14:paraId="3CF0FF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9" w:type="dxa"/>
            <w:tcMar>
              <w:top w:w="17" w:type="dxa"/>
              <w:bottom w:w="17" w:type="dxa"/>
            </w:tcMar>
            <w:vAlign w:val="center"/>
          </w:tcPr>
          <w:p w14:paraId="2871DF29">
            <w:pPr>
              <w:pStyle w:val="127"/>
              <w:keepNext w:val="0"/>
              <w:keepLines w:val="0"/>
              <w:numPr>
                <w:ilvl w:val="0"/>
                <w:numId w:val="28"/>
              </w:numPr>
              <w:suppressLineNumbers w:val="0"/>
              <w:adjustRightInd w:val="0"/>
              <w:snapToGrid w:val="0"/>
              <w:spacing w:before="0" w:beforeAutospacing="0" w:after="0" w:afterAutospacing="0" w:line="240" w:lineRule="auto"/>
              <w:ind w:right="0" w:firstLineChars="0"/>
              <w:jc w:val="center"/>
              <w:rPr>
                <w:rFonts w:hint="default"/>
                <w:color w:val="auto"/>
                <w:kern w:val="0"/>
                <w:sz w:val="21"/>
                <w:szCs w:val="21"/>
              </w:rPr>
            </w:pPr>
          </w:p>
        </w:tc>
        <w:tc>
          <w:tcPr>
            <w:tcW w:w="3825" w:type="dxa"/>
            <w:tcMar>
              <w:top w:w="17" w:type="dxa"/>
              <w:bottom w:w="17" w:type="dxa"/>
            </w:tcMar>
            <w:vAlign w:val="center"/>
          </w:tcPr>
          <w:p w14:paraId="338AE5F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气防抢险车</w:t>
            </w:r>
          </w:p>
        </w:tc>
        <w:tc>
          <w:tcPr>
            <w:tcW w:w="1059" w:type="dxa"/>
            <w:tcMar>
              <w:top w:w="17" w:type="dxa"/>
              <w:bottom w:w="17" w:type="dxa"/>
            </w:tcMar>
            <w:vAlign w:val="center"/>
          </w:tcPr>
          <w:p w14:paraId="72A3EAF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国产</w:t>
            </w:r>
          </w:p>
        </w:tc>
        <w:tc>
          <w:tcPr>
            <w:tcW w:w="1004" w:type="dxa"/>
            <w:tcMar>
              <w:top w:w="17" w:type="dxa"/>
              <w:bottom w:w="17" w:type="dxa"/>
            </w:tcMar>
            <w:vAlign w:val="center"/>
          </w:tcPr>
          <w:p w14:paraId="1579400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2344" w:type="dxa"/>
            <w:tcMar>
              <w:top w:w="17" w:type="dxa"/>
              <w:bottom w:w="17" w:type="dxa"/>
            </w:tcMar>
            <w:vAlign w:val="center"/>
          </w:tcPr>
          <w:p w14:paraId="679AE93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p>
        </w:tc>
      </w:tr>
      <w:tr w14:paraId="25A1D1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9" w:type="dxa"/>
            <w:vAlign w:val="center"/>
          </w:tcPr>
          <w:p w14:paraId="04747D8C">
            <w:pPr>
              <w:pStyle w:val="127"/>
              <w:keepNext w:val="0"/>
              <w:keepLines w:val="0"/>
              <w:numPr>
                <w:ilvl w:val="0"/>
                <w:numId w:val="28"/>
              </w:numPr>
              <w:suppressLineNumbers w:val="0"/>
              <w:adjustRightInd w:val="0"/>
              <w:snapToGrid w:val="0"/>
              <w:spacing w:before="0" w:beforeAutospacing="0" w:after="0" w:afterAutospacing="0" w:line="240" w:lineRule="auto"/>
              <w:ind w:right="0" w:firstLineChars="0"/>
              <w:jc w:val="center"/>
              <w:rPr>
                <w:rFonts w:hint="default"/>
                <w:color w:val="auto"/>
                <w:kern w:val="0"/>
                <w:sz w:val="21"/>
                <w:szCs w:val="21"/>
              </w:rPr>
            </w:pPr>
          </w:p>
        </w:tc>
        <w:tc>
          <w:tcPr>
            <w:tcW w:w="3825" w:type="dxa"/>
            <w:tcMar>
              <w:left w:w="51" w:type="dxa"/>
              <w:right w:w="51" w:type="dxa"/>
            </w:tcMar>
            <w:vAlign w:val="center"/>
          </w:tcPr>
          <w:p w14:paraId="04011AB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涡喷消防车</w:t>
            </w:r>
          </w:p>
        </w:tc>
        <w:tc>
          <w:tcPr>
            <w:tcW w:w="1059" w:type="dxa"/>
            <w:tcMar>
              <w:left w:w="51" w:type="dxa"/>
              <w:right w:w="51" w:type="dxa"/>
            </w:tcMar>
            <w:vAlign w:val="center"/>
          </w:tcPr>
          <w:p w14:paraId="396A6A1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国产</w:t>
            </w:r>
          </w:p>
        </w:tc>
        <w:tc>
          <w:tcPr>
            <w:tcW w:w="1004" w:type="dxa"/>
            <w:tcMar>
              <w:left w:w="51" w:type="dxa"/>
              <w:right w:w="51" w:type="dxa"/>
            </w:tcMar>
            <w:vAlign w:val="center"/>
          </w:tcPr>
          <w:p w14:paraId="4274FA7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2344" w:type="dxa"/>
            <w:tcMar>
              <w:left w:w="51" w:type="dxa"/>
              <w:right w:w="51" w:type="dxa"/>
            </w:tcMar>
            <w:vAlign w:val="center"/>
          </w:tcPr>
          <w:p w14:paraId="1CB9F96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p>
        </w:tc>
      </w:tr>
      <w:tr w14:paraId="435324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9" w:type="dxa"/>
            <w:tcMar>
              <w:top w:w="17" w:type="dxa"/>
              <w:bottom w:w="17" w:type="dxa"/>
            </w:tcMar>
            <w:vAlign w:val="center"/>
          </w:tcPr>
          <w:p w14:paraId="4BEF7A69">
            <w:pPr>
              <w:pStyle w:val="127"/>
              <w:keepNext w:val="0"/>
              <w:keepLines w:val="0"/>
              <w:numPr>
                <w:ilvl w:val="0"/>
                <w:numId w:val="28"/>
              </w:numPr>
              <w:suppressLineNumbers w:val="0"/>
              <w:adjustRightInd w:val="0"/>
              <w:snapToGrid w:val="0"/>
              <w:spacing w:before="0" w:beforeAutospacing="0" w:after="0" w:afterAutospacing="0" w:line="240" w:lineRule="auto"/>
              <w:ind w:right="0" w:firstLineChars="0"/>
              <w:jc w:val="center"/>
              <w:rPr>
                <w:rFonts w:hint="default"/>
                <w:color w:val="auto"/>
                <w:kern w:val="0"/>
                <w:sz w:val="21"/>
                <w:szCs w:val="21"/>
              </w:rPr>
            </w:pPr>
          </w:p>
        </w:tc>
        <w:tc>
          <w:tcPr>
            <w:tcW w:w="3825" w:type="dxa"/>
            <w:tcMar>
              <w:top w:w="17" w:type="dxa"/>
              <w:bottom w:w="17" w:type="dxa"/>
            </w:tcMar>
            <w:vAlign w:val="center"/>
          </w:tcPr>
          <w:p w14:paraId="3D37F69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18</w:t>
            </w:r>
            <w:r>
              <w:rPr>
                <w:rFonts w:hint="default"/>
                <w:color w:val="auto"/>
                <w:kern w:val="0"/>
                <w:sz w:val="21"/>
                <w:szCs w:val="21"/>
              </w:rPr>
              <w:t>m</w:t>
            </w:r>
            <w:r>
              <w:rPr>
                <w:rFonts w:hint="eastAsia"/>
                <w:color w:val="auto"/>
                <w:kern w:val="0"/>
                <w:sz w:val="21"/>
                <w:szCs w:val="21"/>
              </w:rPr>
              <w:t>举高喷射消防车</w:t>
            </w:r>
          </w:p>
        </w:tc>
        <w:tc>
          <w:tcPr>
            <w:tcW w:w="1059" w:type="dxa"/>
            <w:tcMar>
              <w:top w:w="17" w:type="dxa"/>
              <w:bottom w:w="17" w:type="dxa"/>
            </w:tcMar>
            <w:vAlign w:val="center"/>
          </w:tcPr>
          <w:p w14:paraId="26FC070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国产</w:t>
            </w:r>
          </w:p>
        </w:tc>
        <w:tc>
          <w:tcPr>
            <w:tcW w:w="1004" w:type="dxa"/>
            <w:tcMar>
              <w:top w:w="17" w:type="dxa"/>
              <w:bottom w:w="17" w:type="dxa"/>
            </w:tcMar>
            <w:vAlign w:val="center"/>
          </w:tcPr>
          <w:p w14:paraId="2DA5666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2344" w:type="dxa"/>
            <w:tcMar>
              <w:top w:w="17" w:type="dxa"/>
              <w:left w:w="45" w:type="dxa"/>
              <w:bottom w:w="17" w:type="dxa"/>
              <w:right w:w="45" w:type="dxa"/>
            </w:tcMar>
            <w:vAlign w:val="center"/>
          </w:tcPr>
          <w:p w14:paraId="3D56BB1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p>
        </w:tc>
      </w:tr>
      <w:tr w14:paraId="478271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9" w:type="dxa"/>
            <w:tcMar>
              <w:top w:w="17" w:type="dxa"/>
              <w:bottom w:w="17" w:type="dxa"/>
            </w:tcMar>
            <w:vAlign w:val="center"/>
          </w:tcPr>
          <w:p w14:paraId="67A7C00E">
            <w:pPr>
              <w:pStyle w:val="127"/>
              <w:keepNext w:val="0"/>
              <w:keepLines w:val="0"/>
              <w:numPr>
                <w:ilvl w:val="0"/>
                <w:numId w:val="28"/>
              </w:numPr>
              <w:suppressLineNumbers w:val="0"/>
              <w:adjustRightInd w:val="0"/>
              <w:snapToGrid w:val="0"/>
              <w:spacing w:before="0" w:beforeAutospacing="0" w:after="0" w:afterAutospacing="0" w:line="240" w:lineRule="auto"/>
              <w:ind w:right="0" w:firstLineChars="0"/>
              <w:jc w:val="center"/>
              <w:rPr>
                <w:rFonts w:hint="default"/>
                <w:color w:val="auto"/>
                <w:kern w:val="0"/>
                <w:sz w:val="21"/>
                <w:szCs w:val="21"/>
              </w:rPr>
            </w:pPr>
          </w:p>
        </w:tc>
        <w:tc>
          <w:tcPr>
            <w:tcW w:w="3825" w:type="dxa"/>
            <w:tcMar>
              <w:top w:w="17" w:type="dxa"/>
              <w:bottom w:w="17" w:type="dxa"/>
            </w:tcMar>
            <w:vAlign w:val="center"/>
          </w:tcPr>
          <w:p w14:paraId="297FCDF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移动供气消防车</w:t>
            </w:r>
          </w:p>
        </w:tc>
        <w:tc>
          <w:tcPr>
            <w:tcW w:w="1059" w:type="dxa"/>
            <w:tcMar>
              <w:top w:w="17" w:type="dxa"/>
              <w:bottom w:w="17" w:type="dxa"/>
            </w:tcMar>
            <w:vAlign w:val="center"/>
          </w:tcPr>
          <w:p w14:paraId="270DB11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国产</w:t>
            </w:r>
          </w:p>
        </w:tc>
        <w:tc>
          <w:tcPr>
            <w:tcW w:w="1004" w:type="dxa"/>
            <w:tcMar>
              <w:top w:w="17" w:type="dxa"/>
              <w:bottom w:w="17" w:type="dxa"/>
            </w:tcMar>
            <w:vAlign w:val="center"/>
          </w:tcPr>
          <w:p w14:paraId="534F547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2344" w:type="dxa"/>
            <w:tcMar>
              <w:top w:w="17" w:type="dxa"/>
              <w:bottom w:w="17" w:type="dxa"/>
            </w:tcMar>
            <w:vAlign w:val="center"/>
          </w:tcPr>
          <w:p w14:paraId="2568FB6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p>
        </w:tc>
      </w:tr>
      <w:tr w14:paraId="0E9988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9" w:type="dxa"/>
            <w:tcMar>
              <w:top w:w="17" w:type="dxa"/>
              <w:bottom w:w="17" w:type="dxa"/>
            </w:tcMar>
            <w:vAlign w:val="center"/>
          </w:tcPr>
          <w:p w14:paraId="7244FFA3">
            <w:pPr>
              <w:pStyle w:val="127"/>
              <w:keepNext w:val="0"/>
              <w:keepLines w:val="0"/>
              <w:numPr>
                <w:ilvl w:val="0"/>
                <w:numId w:val="28"/>
              </w:numPr>
              <w:suppressLineNumbers w:val="0"/>
              <w:adjustRightInd w:val="0"/>
              <w:snapToGrid w:val="0"/>
              <w:spacing w:before="0" w:beforeAutospacing="0" w:after="0" w:afterAutospacing="0" w:line="240" w:lineRule="auto"/>
              <w:ind w:right="0" w:firstLineChars="0"/>
              <w:jc w:val="center"/>
              <w:rPr>
                <w:rFonts w:hint="default"/>
                <w:color w:val="auto"/>
                <w:kern w:val="0"/>
                <w:sz w:val="21"/>
                <w:szCs w:val="21"/>
              </w:rPr>
            </w:pPr>
          </w:p>
        </w:tc>
        <w:tc>
          <w:tcPr>
            <w:tcW w:w="3825" w:type="dxa"/>
            <w:tcMar>
              <w:top w:w="17" w:type="dxa"/>
              <w:bottom w:w="17" w:type="dxa"/>
            </w:tcMar>
            <w:vAlign w:val="center"/>
          </w:tcPr>
          <w:p w14:paraId="5C10092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雷达通讯车</w:t>
            </w:r>
          </w:p>
        </w:tc>
        <w:tc>
          <w:tcPr>
            <w:tcW w:w="1059" w:type="dxa"/>
            <w:tcMar>
              <w:top w:w="17" w:type="dxa"/>
              <w:bottom w:w="17" w:type="dxa"/>
            </w:tcMar>
            <w:vAlign w:val="center"/>
          </w:tcPr>
          <w:p w14:paraId="6E3BD73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国产</w:t>
            </w:r>
          </w:p>
        </w:tc>
        <w:tc>
          <w:tcPr>
            <w:tcW w:w="1004" w:type="dxa"/>
            <w:tcMar>
              <w:top w:w="17" w:type="dxa"/>
              <w:bottom w:w="17" w:type="dxa"/>
            </w:tcMar>
            <w:vAlign w:val="center"/>
          </w:tcPr>
          <w:p w14:paraId="08BD103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default"/>
                <w:color w:val="auto"/>
                <w:kern w:val="0"/>
                <w:sz w:val="21"/>
                <w:szCs w:val="21"/>
              </w:rPr>
              <w:t>1</w:t>
            </w:r>
          </w:p>
        </w:tc>
        <w:tc>
          <w:tcPr>
            <w:tcW w:w="2344" w:type="dxa"/>
            <w:tcMar>
              <w:top w:w="17" w:type="dxa"/>
              <w:bottom w:w="17" w:type="dxa"/>
            </w:tcMar>
            <w:vAlign w:val="center"/>
          </w:tcPr>
          <w:p w14:paraId="582495F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p>
        </w:tc>
      </w:tr>
      <w:tr w14:paraId="0D003A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9" w:type="dxa"/>
            <w:tcMar>
              <w:top w:w="17" w:type="dxa"/>
              <w:bottom w:w="17" w:type="dxa"/>
            </w:tcMar>
            <w:vAlign w:val="center"/>
          </w:tcPr>
          <w:p w14:paraId="3312E4A9">
            <w:pPr>
              <w:pStyle w:val="127"/>
              <w:keepNext w:val="0"/>
              <w:keepLines w:val="0"/>
              <w:numPr>
                <w:ilvl w:val="0"/>
                <w:numId w:val="28"/>
              </w:numPr>
              <w:suppressLineNumbers w:val="0"/>
              <w:adjustRightInd w:val="0"/>
              <w:snapToGrid w:val="0"/>
              <w:spacing w:before="0" w:beforeAutospacing="0" w:after="0" w:afterAutospacing="0" w:line="240" w:lineRule="auto"/>
              <w:ind w:right="0" w:firstLineChars="0"/>
              <w:jc w:val="center"/>
              <w:rPr>
                <w:rFonts w:hint="default"/>
                <w:color w:val="auto"/>
                <w:kern w:val="0"/>
                <w:sz w:val="21"/>
                <w:szCs w:val="21"/>
              </w:rPr>
            </w:pPr>
          </w:p>
        </w:tc>
        <w:tc>
          <w:tcPr>
            <w:tcW w:w="3825" w:type="dxa"/>
            <w:tcMar>
              <w:top w:w="17" w:type="dxa"/>
              <w:bottom w:w="17" w:type="dxa"/>
            </w:tcMar>
            <w:vAlign w:val="center"/>
          </w:tcPr>
          <w:p w14:paraId="76DAE9E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危险化学品救援车</w:t>
            </w:r>
          </w:p>
        </w:tc>
        <w:tc>
          <w:tcPr>
            <w:tcW w:w="1059" w:type="dxa"/>
            <w:tcMar>
              <w:top w:w="17" w:type="dxa"/>
              <w:bottom w:w="17" w:type="dxa"/>
            </w:tcMar>
            <w:vAlign w:val="center"/>
          </w:tcPr>
          <w:p w14:paraId="474D34B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国产</w:t>
            </w:r>
          </w:p>
        </w:tc>
        <w:tc>
          <w:tcPr>
            <w:tcW w:w="1004" w:type="dxa"/>
            <w:tcMar>
              <w:top w:w="17" w:type="dxa"/>
              <w:bottom w:w="17" w:type="dxa"/>
            </w:tcMar>
            <w:vAlign w:val="center"/>
          </w:tcPr>
          <w:p w14:paraId="77EB2D0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r>
              <w:rPr>
                <w:rFonts w:hint="eastAsia"/>
                <w:color w:val="auto"/>
                <w:kern w:val="0"/>
                <w:sz w:val="21"/>
                <w:szCs w:val="21"/>
              </w:rPr>
              <w:t>1</w:t>
            </w:r>
          </w:p>
        </w:tc>
        <w:tc>
          <w:tcPr>
            <w:tcW w:w="2344" w:type="dxa"/>
            <w:tcMar>
              <w:top w:w="17" w:type="dxa"/>
              <w:bottom w:w="17" w:type="dxa"/>
            </w:tcMar>
            <w:vAlign w:val="center"/>
          </w:tcPr>
          <w:p w14:paraId="142C929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auto"/>
                <w:kern w:val="0"/>
                <w:sz w:val="21"/>
                <w:szCs w:val="21"/>
              </w:rPr>
            </w:pPr>
          </w:p>
        </w:tc>
      </w:tr>
    </w:tbl>
    <w:p w14:paraId="5C01263D">
      <w:pPr>
        <w:pStyle w:val="4"/>
        <w:rPr>
          <w:color w:val="auto"/>
        </w:rPr>
      </w:pPr>
      <w:bookmarkStart w:id="562" w:name="_Toc216620656"/>
      <w:bookmarkStart w:id="563" w:name="_Toc223258497"/>
      <w:r>
        <w:rPr>
          <w:color w:val="auto"/>
        </w:rPr>
        <w:t>环境风险事故</w:t>
      </w:r>
      <w:r>
        <w:rPr>
          <w:rFonts w:hint="eastAsia"/>
          <w:color w:val="auto"/>
        </w:rPr>
        <w:t>应急</w:t>
      </w:r>
      <w:r>
        <w:rPr>
          <w:color w:val="auto"/>
        </w:rPr>
        <w:t>监测计划</w:t>
      </w:r>
      <w:bookmarkEnd w:id="562"/>
    </w:p>
    <w:p w14:paraId="3324D3DE">
      <w:pPr>
        <w:ind w:firstLine="480"/>
        <w:rPr>
          <w:color w:val="auto"/>
        </w:rPr>
      </w:pPr>
      <w:r>
        <w:rPr>
          <w:color w:val="auto"/>
        </w:rPr>
        <w:t>建设单位应按照《突发环境事件应急监测技术规范》（HJ589-2021）制定应急监测计划。应配备应急设备及人员，随时</w:t>
      </w:r>
      <w:r>
        <w:rPr>
          <w:rFonts w:hint="eastAsia"/>
          <w:color w:val="auto"/>
          <w:lang w:eastAsia="zh-CN"/>
        </w:rPr>
        <w:t>接收</w:t>
      </w:r>
      <w:r>
        <w:rPr>
          <w:color w:val="auto"/>
        </w:rPr>
        <w:t>来自项目总调度室、各部门及社会人员的污染事故信息，及时采取应急监测方案，出动应急监测人员和分析人员，配合生态环境部门进行事故污染源的调查与处置。公司内部不能完成监测时应委托有资质的监测机构实施应急监测。</w:t>
      </w:r>
    </w:p>
    <w:p w14:paraId="26E0C018">
      <w:pPr>
        <w:ind w:firstLine="480"/>
        <w:rPr>
          <w:color w:val="auto"/>
        </w:rPr>
      </w:pPr>
      <w:r>
        <w:rPr>
          <w:color w:val="auto"/>
        </w:rPr>
        <w:t>在发生环境事故时，首先启动应急预案。监测人员应携带大气和水质等监测必要设备及时到达现场，对受污染影响的大气环境及相关水体进行监测。根据事故类型，对相关地点进行紧急高频次监测，根据事故情况选择检测项目，随时监测事故源动态和周围环境变化状况，为应急指挥提供依据。</w:t>
      </w:r>
    </w:p>
    <w:p w14:paraId="17362765">
      <w:pPr>
        <w:ind w:firstLine="480"/>
        <w:rPr>
          <w:color w:val="auto"/>
        </w:rPr>
      </w:pPr>
      <w:r>
        <w:rPr>
          <w:color w:val="auto"/>
        </w:rPr>
        <w:t>突发环境事件应急监测结果应以电话、传真、监测快报等形式立即上报，跟踪监测结果以监测简报形式监测次日报送。事故处理完毕后，应出具应急监测报告，上报当地生态环境部门监管，重大和特大突发环境事故还应报上一级环境监测部门。</w:t>
      </w:r>
    </w:p>
    <w:p w14:paraId="13921CE5">
      <w:pPr>
        <w:ind w:firstLine="480"/>
        <w:rPr>
          <w:color w:val="auto"/>
        </w:rPr>
      </w:pPr>
      <w:r>
        <w:rPr>
          <w:color w:val="auto"/>
        </w:rPr>
        <w:t>根据本项目特点，可能发生的事故为</w:t>
      </w:r>
      <w:r>
        <w:rPr>
          <w:rFonts w:hint="eastAsia"/>
          <w:color w:val="auto"/>
        </w:rPr>
        <w:t>储罐</w:t>
      </w:r>
      <w:r>
        <w:rPr>
          <w:color w:val="auto"/>
        </w:rPr>
        <w:t>泄漏</w:t>
      </w:r>
      <w:r>
        <w:rPr>
          <w:rFonts w:hint="eastAsia"/>
          <w:color w:val="auto"/>
        </w:rPr>
        <w:t>、</w:t>
      </w:r>
      <w:r>
        <w:rPr>
          <w:color w:val="auto"/>
        </w:rPr>
        <w:t>船舶事故溢油</w:t>
      </w:r>
      <w:r>
        <w:rPr>
          <w:rFonts w:hint="eastAsia"/>
          <w:color w:val="auto"/>
        </w:rPr>
        <w:t>、船舶化学品泄漏</w:t>
      </w:r>
      <w:r>
        <w:rPr>
          <w:color w:val="auto"/>
        </w:rPr>
        <w:t>和管道泄漏，制定如下监测计划：</w:t>
      </w:r>
    </w:p>
    <w:p w14:paraId="0B04126E">
      <w:pPr>
        <w:ind w:firstLine="480"/>
        <w:rPr>
          <w:color w:val="auto"/>
        </w:rPr>
      </w:pPr>
    </w:p>
    <w:p w14:paraId="676B3071">
      <w:pPr>
        <w:pStyle w:val="14"/>
        <w:rPr>
          <w:color w:val="auto"/>
        </w:rPr>
      </w:pPr>
      <w:r>
        <w:rPr>
          <w:rFonts w:hint="eastAsia"/>
          <w:color w:val="auto"/>
        </w:rPr>
        <w:t>表</w:t>
      </w:r>
      <w:r>
        <w:rPr>
          <w:color w:val="auto"/>
        </w:rPr>
        <w:t>8.3</w:t>
      </w:r>
      <w:r>
        <w:rPr>
          <w:color w:val="auto"/>
        </w:rPr>
        <w:noBreakHyphen/>
      </w:r>
      <w:r>
        <w:rPr>
          <w:color w:val="auto"/>
        </w:rPr>
        <w:t>2事故应急监测计划表</w:t>
      </w:r>
    </w:p>
    <w:tbl>
      <w:tblPr>
        <w:tblStyle w:val="43"/>
        <w:tblW w:w="881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09"/>
        <w:gridCol w:w="1273"/>
        <w:gridCol w:w="2832"/>
        <w:gridCol w:w="1652"/>
        <w:gridCol w:w="1652"/>
      </w:tblGrid>
      <w:tr w14:paraId="786E78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09" w:type="dxa"/>
            <w:vAlign w:val="center"/>
          </w:tcPr>
          <w:p w14:paraId="162E422F">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事故</w:t>
            </w:r>
          </w:p>
        </w:tc>
        <w:tc>
          <w:tcPr>
            <w:tcW w:w="1273" w:type="dxa"/>
            <w:vAlign w:val="center"/>
          </w:tcPr>
          <w:p w14:paraId="07ADC478">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环境要素</w:t>
            </w:r>
          </w:p>
        </w:tc>
        <w:tc>
          <w:tcPr>
            <w:tcW w:w="2832" w:type="dxa"/>
            <w:vAlign w:val="center"/>
          </w:tcPr>
          <w:p w14:paraId="3056D655">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监测项目</w:t>
            </w:r>
          </w:p>
        </w:tc>
        <w:tc>
          <w:tcPr>
            <w:tcW w:w="1652" w:type="dxa"/>
            <w:vAlign w:val="center"/>
          </w:tcPr>
          <w:p w14:paraId="0E695133">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监测点位</w:t>
            </w:r>
          </w:p>
        </w:tc>
        <w:tc>
          <w:tcPr>
            <w:tcW w:w="1652" w:type="dxa"/>
            <w:vAlign w:val="center"/>
          </w:tcPr>
          <w:p w14:paraId="795CCE97">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监测频次</w:t>
            </w:r>
          </w:p>
        </w:tc>
      </w:tr>
      <w:tr w14:paraId="381E58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09" w:type="dxa"/>
            <w:vAlign w:val="center"/>
          </w:tcPr>
          <w:p w14:paraId="4110E9D0">
            <w:pPr>
              <w:pStyle w:val="77"/>
              <w:keepNext w:val="0"/>
              <w:keepLines w:val="0"/>
              <w:suppressLineNumbers w:val="0"/>
              <w:spacing w:before="0" w:beforeAutospacing="0" w:after="0" w:afterAutospacing="0"/>
              <w:ind w:left="0" w:right="0"/>
              <w:rPr>
                <w:rFonts w:hint="default"/>
                <w:color w:val="auto"/>
              </w:rPr>
            </w:pPr>
            <w:r>
              <w:rPr>
                <w:rFonts w:hint="default"/>
                <w:color w:val="auto"/>
              </w:rPr>
              <w:t>船舶溢油</w:t>
            </w:r>
            <w:r>
              <w:rPr>
                <w:rFonts w:hint="eastAsia"/>
                <w:color w:val="auto"/>
              </w:rPr>
              <w:t>、</w:t>
            </w:r>
            <w:r>
              <w:rPr>
                <w:rFonts w:hint="default"/>
                <w:color w:val="auto"/>
              </w:rPr>
              <w:t>化学品泄漏</w:t>
            </w:r>
          </w:p>
        </w:tc>
        <w:tc>
          <w:tcPr>
            <w:tcW w:w="1273" w:type="dxa"/>
            <w:vAlign w:val="center"/>
          </w:tcPr>
          <w:p w14:paraId="40E6B664">
            <w:pPr>
              <w:pStyle w:val="77"/>
              <w:keepNext w:val="0"/>
              <w:keepLines w:val="0"/>
              <w:suppressLineNumbers w:val="0"/>
              <w:spacing w:before="0" w:beforeAutospacing="0" w:after="0" w:afterAutospacing="0"/>
              <w:ind w:left="0" w:right="0"/>
              <w:rPr>
                <w:rFonts w:hint="default"/>
                <w:color w:val="auto"/>
              </w:rPr>
            </w:pPr>
            <w:r>
              <w:rPr>
                <w:rFonts w:hint="default"/>
                <w:color w:val="auto"/>
              </w:rPr>
              <w:t>水质</w:t>
            </w:r>
          </w:p>
        </w:tc>
        <w:tc>
          <w:tcPr>
            <w:tcW w:w="2832" w:type="dxa"/>
            <w:vAlign w:val="center"/>
          </w:tcPr>
          <w:p w14:paraId="6DEFEE65">
            <w:pPr>
              <w:pStyle w:val="77"/>
              <w:keepNext w:val="0"/>
              <w:keepLines w:val="0"/>
              <w:suppressLineNumbers w:val="0"/>
              <w:spacing w:before="0" w:beforeAutospacing="0" w:after="0" w:afterAutospacing="0"/>
              <w:ind w:left="0" w:right="0"/>
              <w:rPr>
                <w:rFonts w:hint="default"/>
                <w:color w:val="auto"/>
              </w:rPr>
            </w:pPr>
            <w:r>
              <w:rPr>
                <w:rFonts w:hint="default"/>
                <w:color w:val="auto"/>
              </w:rPr>
              <w:t>COD、DO、石油类、泄漏化学物</w:t>
            </w:r>
          </w:p>
        </w:tc>
        <w:tc>
          <w:tcPr>
            <w:tcW w:w="1652" w:type="dxa"/>
            <w:vAlign w:val="center"/>
          </w:tcPr>
          <w:p w14:paraId="28999141">
            <w:pPr>
              <w:pStyle w:val="77"/>
              <w:keepNext w:val="0"/>
              <w:keepLines w:val="0"/>
              <w:suppressLineNumbers w:val="0"/>
              <w:spacing w:before="0" w:beforeAutospacing="0" w:after="0" w:afterAutospacing="0"/>
              <w:ind w:left="0" w:right="0"/>
              <w:rPr>
                <w:rFonts w:hint="default"/>
                <w:color w:val="auto"/>
              </w:rPr>
            </w:pPr>
            <w:r>
              <w:rPr>
                <w:rFonts w:hint="default"/>
                <w:color w:val="auto"/>
              </w:rPr>
              <w:t>事故区周围设6个监测点</w:t>
            </w:r>
          </w:p>
        </w:tc>
        <w:tc>
          <w:tcPr>
            <w:tcW w:w="1652" w:type="dxa"/>
            <w:vAlign w:val="center"/>
          </w:tcPr>
          <w:p w14:paraId="26662822">
            <w:pPr>
              <w:pStyle w:val="77"/>
              <w:keepNext w:val="0"/>
              <w:keepLines w:val="0"/>
              <w:suppressLineNumbers w:val="0"/>
              <w:spacing w:before="0" w:beforeAutospacing="0" w:after="0" w:afterAutospacing="0"/>
              <w:ind w:left="0" w:right="0"/>
              <w:rPr>
                <w:rFonts w:hint="default"/>
                <w:color w:val="auto"/>
              </w:rPr>
            </w:pPr>
            <w:r>
              <w:rPr>
                <w:rFonts w:hint="default"/>
                <w:color w:val="auto"/>
              </w:rPr>
              <w:t>每4小时采样一次直至达标</w:t>
            </w:r>
          </w:p>
        </w:tc>
      </w:tr>
      <w:tr w14:paraId="7D302C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09" w:type="dxa"/>
            <w:vAlign w:val="center"/>
          </w:tcPr>
          <w:p w14:paraId="7F3D9547">
            <w:pPr>
              <w:pStyle w:val="77"/>
              <w:keepNext w:val="0"/>
              <w:keepLines w:val="0"/>
              <w:suppressLineNumbers w:val="0"/>
              <w:spacing w:before="0" w:beforeAutospacing="0" w:after="0" w:afterAutospacing="0"/>
              <w:ind w:left="0" w:right="0"/>
              <w:rPr>
                <w:rFonts w:hint="default"/>
                <w:color w:val="auto"/>
              </w:rPr>
            </w:pPr>
            <w:r>
              <w:rPr>
                <w:rFonts w:hint="default"/>
                <w:color w:val="auto"/>
              </w:rPr>
              <w:t>化学品泄漏</w:t>
            </w:r>
          </w:p>
        </w:tc>
        <w:tc>
          <w:tcPr>
            <w:tcW w:w="1273" w:type="dxa"/>
            <w:vAlign w:val="center"/>
          </w:tcPr>
          <w:p w14:paraId="7894C538">
            <w:pPr>
              <w:pStyle w:val="77"/>
              <w:keepNext w:val="0"/>
              <w:keepLines w:val="0"/>
              <w:suppressLineNumbers w:val="0"/>
              <w:spacing w:before="0" w:beforeAutospacing="0" w:after="0" w:afterAutospacing="0"/>
              <w:ind w:left="0" w:right="0"/>
              <w:rPr>
                <w:rFonts w:hint="default"/>
                <w:color w:val="auto"/>
              </w:rPr>
            </w:pPr>
            <w:r>
              <w:rPr>
                <w:rFonts w:hint="default"/>
                <w:color w:val="auto"/>
              </w:rPr>
              <w:t>环境空气</w:t>
            </w:r>
          </w:p>
        </w:tc>
        <w:tc>
          <w:tcPr>
            <w:tcW w:w="2832" w:type="dxa"/>
            <w:vAlign w:val="center"/>
          </w:tcPr>
          <w:p w14:paraId="7E5EDC11">
            <w:pPr>
              <w:pStyle w:val="77"/>
              <w:keepNext w:val="0"/>
              <w:keepLines w:val="0"/>
              <w:suppressLineNumbers w:val="0"/>
              <w:spacing w:before="0" w:beforeAutospacing="0" w:after="0" w:afterAutospacing="0"/>
              <w:ind w:left="0" w:right="0"/>
              <w:rPr>
                <w:rFonts w:hint="default"/>
                <w:color w:val="auto"/>
              </w:rPr>
            </w:pPr>
            <w:r>
              <w:rPr>
                <w:rFonts w:hint="default"/>
                <w:color w:val="auto"/>
              </w:rPr>
              <w:t>非甲烷总烃、泄漏化学物</w:t>
            </w:r>
          </w:p>
        </w:tc>
        <w:tc>
          <w:tcPr>
            <w:tcW w:w="1652" w:type="dxa"/>
            <w:vAlign w:val="center"/>
          </w:tcPr>
          <w:p w14:paraId="182D7994">
            <w:pPr>
              <w:pStyle w:val="77"/>
              <w:keepNext w:val="0"/>
              <w:keepLines w:val="0"/>
              <w:suppressLineNumbers w:val="0"/>
              <w:spacing w:before="0" w:beforeAutospacing="0" w:after="0" w:afterAutospacing="0"/>
              <w:ind w:left="0" w:right="0"/>
              <w:rPr>
                <w:rFonts w:hint="default"/>
                <w:color w:val="auto"/>
              </w:rPr>
            </w:pPr>
            <w:r>
              <w:rPr>
                <w:rFonts w:hint="default"/>
                <w:color w:val="auto"/>
              </w:rPr>
              <w:t>事故区周围设3个监测点</w:t>
            </w:r>
          </w:p>
        </w:tc>
        <w:tc>
          <w:tcPr>
            <w:tcW w:w="1652" w:type="dxa"/>
            <w:vAlign w:val="center"/>
          </w:tcPr>
          <w:p w14:paraId="239DF0EB">
            <w:pPr>
              <w:pStyle w:val="77"/>
              <w:keepNext w:val="0"/>
              <w:keepLines w:val="0"/>
              <w:suppressLineNumbers w:val="0"/>
              <w:spacing w:before="0" w:beforeAutospacing="0" w:after="0" w:afterAutospacing="0"/>
              <w:ind w:left="0" w:right="0"/>
              <w:rPr>
                <w:rFonts w:hint="default"/>
                <w:color w:val="auto"/>
              </w:rPr>
            </w:pPr>
            <w:r>
              <w:rPr>
                <w:rFonts w:hint="default"/>
                <w:color w:val="auto"/>
              </w:rPr>
              <w:t>每小时采样1次直至达标</w:t>
            </w:r>
          </w:p>
        </w:tc>
      </w:tr>
      <w:tr w14:paraId="706D32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09" w:type="dxa"/>
            <w:vAlign w:val="center"/>
          </w:tcPr>
          <w:p w14:paraId="3C1ACAA1">
            <w:pPr>
              <w:pStyle w:val="77"/>
              <w:keepNext w:val="0"/>
              <w:keepLines w:val="0"/>
              <w:suppressLineNumbers w:val="0"/>
              <w:spacing w:before="0" w:beforeAutospacing="0" w:after="0" w:afterAutospacing="0"/>
              <w:ind w:left="0" w:right="0"/>
              <w:rPr>
                <w:rFonts w:hint="default"/>
                <w:color w:val="auto"/>
              </w:rPr>
            </w:pPr>
            <w:r>
              <w:rPr>
                <w:rFonts w:hint="eastAsia"/>
                <w:color w:val="auto"/>
              </w:rPr>
              <w:t>储罐</w:t>
            </w:r>
            <w:r>
              <w:rPr>
                <w:rFonts w:hint="default"/>
                <w:color w:val="auto"/>
              </w:rPr>
              <w:t>泄漏</w:t>
            </w:r>
          </w:p>
        </w:tc>
        <w:tc>
          <w:tcPr>
            <w:tcW w:w="1273" w:type="dxa"/>
            <w:vAlign w:val="center"/>
          </w:tcPr>
          <w:p w14:paraId="6ADC6312">
            <w:pPr>
              <w:pStyle w:val="77"/>
              <w:keepNext w:val="0"/>
              <w:keepLines w:val="0"/>
              <w:suppressLineNumbers w:val="0"/>
              <w:spacing w:before="0" w:beforeAutospacing="0" w:after="0" w:afterAutospacing="0"/>
              <w:ind w:left="0" w:right="0"/>
              <w:rPr>
                <w:rFonts w:hint="default"/>
                <w:color w:val="auto"/>
              </w:rPr>
            </w:pPr>
            <w:r>
              <w:rPr>
                <w:rFonts w:hint="eastAsia"/>
                <w:color w:val="auto"/>
              </w:rPr>
              <w:t>地下水</w:t>
            </w:r>
            <w:r>
              <w:rPr>
                <w:rFonts w:hint="default"/>
                <w:color w:val="auto"/>
              </w:rPr>
              <w:t>水质</w:t>
            </w:r>
          </w:p>
        </w:tc>
        <w:tc>
          <w:tcPr>
            <w:tcW w:w="2832" w:type="dxa"/>
            <w:vAlign w:val="center"/>
          </w:tcPr>
          <w:p w14:paraId="23D1888D">
            <w:pPr>
              <w:pStyle w:val="77"/>
              <w:keepNext w:val="0"/>
              <w:keepLines w:val="0"/>
              <w:suppressLineNumbers w:val="0"/>
              <w:spacing w:before="0" w:beforeAutospacing="0" w:after="0" w:afterAutospacing="0"/>
              <w:ind w:left="0" w:right="0"/>
              <w:rPr>
                <w:rFonts w:hint="default"/>
                <w:color w:val="auto"/>
              </w:rPr>
            </w:pPr>
            <w:r>
              <w:rPr>
                <w:rFonts w:hint="eastAsia"/>
                <w:color w:val="auto"/>
              </w:rPr>
              <w:t>石油类</w:t>
            </w:r>
            <w:r>
              <w:rPr>
                <w:rFonts w:hint="default"/>
                <w:color w:val="auto"/>
              </w:rPr>
              <w:t>、</w:t>
            </w:r>
            <w:r>
              <w:rPr>
                <w:rFonts w:hint="eastAsia"/>
                <w:color w:val="auto"/>
              </w:rPr>
              <w:t>COD、</w:t>
            </w:r>
            <w:r>
              <w:rPr>
                <w:rFonts w:hint="default"/>
                <w:color w:val="auto"/>
              </w:rPr>
              <w:t>泄漏化学物</w:t>
            </w:r>
          </w:p>
        </w:tc>
        <w:tc>
          <w:tcPr>
            <w:tcW w:w="1652" w:type="dxa"/>
            <w:vAlign w:val="center"/>
          </w:tcPr>
          <w:p w14:paraId="387048FD">
            <w:pPr>
              <w:pStyle w:val="77"/>
              <w:keepNext w:val="0"/>
              <w:keepLines w:val="0"/>
              <w:suppressLineNumbers w:val="0"/>
              <w:spacing w:before="0" w:beforeAutospacing="0" w:after="0" w:afterAutospacing="0"/>
              <w:ind w:left="0" w:right="0"/>
              <w:rPr>
                <w:rFonts w:hint="default"/>
                <w:color w:val="auto"/>
              </w:rPr>
            </w:pPr>
            <w:r>
              <w:rPr>
                <w:rFonts w:hint="eastAsia"/>
                <w:color w:val="auto"/>
              </w:rPr>
              <w:t>地下水</w:t>
            </w:r>
            <w:r>
              <w:rPr>
                <w:rFonts w:hint="default"/>
                <w:color w:val="auto"/>
              </w:rPr>
              <w:t>监测井</w:t>
            </w:r>
            <w:r>
              <w:rPr>
                <w:rFonts w:hint="eastAsia"/>
                <w:color w:val="auto"/>
              </w:rPr>
              <w:t>3#、</w:t>
            </w:r>
            <w:r>
              <w:rPr>
                <w:rFonts w:hint="default"/>
                <w:color w:val="auto"/>
              </w:rPr>
              <w:t>4#</w:t>
            </w:r>
          </w:p>
        </w:tc>
        <w:tc>
          <w:tcPr>
            <w:tcW w:w="1652" w:type="dxa"/>
            <w:vAlign w:val="center"/>
          </w:tcPr>
          <w:p w14:paraId="46ACDB7D">
            <w:pPr>
              <w:pStyle w:val="77"/>
              <w:keepNext w:val="0"/>
              <w:keepLines w:val="0"/>
              <w:suppressLineNumbers w:val="0"/>
              <w:spacing w:before="0" w:beforeAutospacing="0" w:after="0" w:afterAutospacing="0"/>
              <w:ind w:left="0" w:right="0"/>
              <w:rPr>
                <w:rFonts w:hint="default"/>
                <w:color w:val="auto"/>
              </w:rPr>
            </w:pPr>
            <w:r>
              <w:rPr>
                <w:rFonts w:hint="default"/>
                <w:color w:val="auto"/>
              </w:rPr>
              <w:t>每4小时采样一次直至达标</w:t>
            </w:r>
          </w:p>
        </w:tc>
      </w:tr>
    </w:tbl>
    <w:p w14:paraId="5CE2F197">
      <w:pPr>
        <w:pStyle w:val="5"/>
        <w:keepNext w:val="0"/>
        <w:keepLines w:val="0"/>
        <w:rPr>
          <w:color w:val="auto"/>
        </w:rPr>
      </w:pPr>
      <w:bookmarkStart w:id="564" w:name="_Toc223595787"/>
      <w:r>
        <w:rPr>
          <w:rFonts w:hint="eastAsia"/>
          <w:color w:val="auto"/>
        </w:rPr>
        <w:t>环境风险评价结论</w:t>
      </w:r>
      <w:bookmarkEnd w:id="563"/>
      <w:bookmarkEnd w:id="564"/>
    </w:p>
    <w:p w14:paraId="095B2239">
      <w:pPr>
        <w:ind w:firstLine="480"/>
        <w:rPr>
          <w:color w:val="auto"/>
        </w:rPr>
      </w:pPr>
      <w:r>
        <w:rPr>
          <w:rFonts w:hint="eastAsia"/>
          <w:color w:val="auto"/>
        </w:rPr>
        <w:t>（1）环境敏感性及事故环境影响</w:t>
      </w:r>
    </w:p>
    <w:p w14:paraId="083C9B8F">
      <w:pPr>
        <w:ind w:firstLine="480"/>
        <w:rPr>
          <w:color w:val="auto"/>
        </w:rPr>
      </w:pPr>
      <w:r>
        <w:rPr>
          <w:rFonts w:hint="eastAsia"/>
          <w:color w:val="auto"/>
        </w:rPr>
        <w:t>本项目</w:t>
      </w:r>
      <w:r>
        <w:rPr>
          <w:color w:val="auto"/>
        </w:rPr>
        <w:t>厂址周边500m范围内</w:t>
      </w:r>
      <w:r>
        <w:rPr>
          <w:rFonts w:hint="eastAsia"/>
          <w:color w:val="auto"/>
        </w:rPr>
        <w:t>无居民区分布。</w:t>
      </w:r>
    </w:p>
    <w:p w14:paraId="18286EEE">
      <w:pPr>
        <w:ind w:firstLine="480"/>
        <w:rPr>
          <w:rFonts w:cs="宋体"/>
          <w:color w:val="auto"/>
          <w:kern w:val="0"/>
        </w:rPr>
      </w:pPr>
      <w:r>
        <w:rPr>
          <w:rFonts w:hint="eastAsia" w:cs="宋体"/>
          <w:color w:val="auto"/>
          <w:kern w:val="0"/>
        </w:rPr>
        <w:t>（2）海域事故影响</w:t>
      </w:r>
    </w:p>
    <w:p w14:paraId="623459DB">
      <w:pPr>
        <w:ind w:firstLine="480"/>
        <w:rPr>
          <w:color w:val="auto"/>
          <w:kern w:val="0"/>
        </w:rPr>
      </w:pPr>
      <w:r>
        <w:rPr>
          <w:rFonts w:hint="eastAsia"/>
          <w:color w:val="auto"/>
          <w:kern w:val="0"/>
        </w:rPr>
        <w:t>根据预测结果，</w:t>
      </w:r>
      <w:r>
        <w:rPr>
          <w:color w:val="auto"/>
          <w:kern w:val="0"/>
        </w:rPr>
        <w:t>石脑油、渣油、甲基叔丁基醚的预测结果在不同工况条件下</w:t>
      </w:r>
      <w:r>
        <w:rPr>
          <w:rFonts w:hint="eastAsia"/>
          <w:color w:val="auto"/>
          <w:kern w:val="0"/>
        </w:rPr>
        <w:t>，</w:t>
      </w:r>
      <w:r>
        <w:rPr>
          <w:color w:val="auto"/>
          <w:kern w:val="0"/>
        </w:rPr>
        <w:t>油膜的</w:t>
      </w:r>
      <w:r>
        <w:rPr>
          <w:rFonts w:hint="eastAsia"/>
          <w:color w:val="auto"/>
          <w:kern w:val="0"/>
        </w:rPr>
        <w:t>扩散</w:t>
      </w:r>
      <w:r>
        <w:rPr>
          <w:color w:val="auto"/>
          <w:kern w:val="0"/>
        </w:rPr>
        <w:t>方向基本一致</w:t>
      </w:r>
      <w:r>
        <w:rPr>
          <w:rFonts w:hint="eastAsia"/>
          <w:color w:val="auto"/>
          <w:kern w:val="0"/>
        </w:rPr>
        <w:t>，</w:t>
      </w:r>
      <w:r>
        <w:rPr>
          <w:color w:val="auto"/>
          <w:kern w:val="0"/>
        </w:rPr>
        <w:t>不同的是</w:t>
      </w:r>
      <w:r>
        <w:rPr>
          <w:rFonts w:hint="eastAsia"/>
          <w:color w:val="auto"/>
          <w:kern w:val="0"/>
        </w:rPr>
        <w:t>部分</w:t>
      </w:r>
      <w:r>
        <w:rPr>
          <w:color w:val="auto"/>
          <w:kern w:val="0"/>
        </w:rPr>
        <w:t>到达</w:t>
      </w:r>
      <w:r>
        <w:rPr>
          <w:rFonts w:hint="eastAsia"/>
          <w:color w:val="auto"/>
          <w:kern w:val="0"/>
        </w:rPr>
        <w:t>环境</w:t>
      </w:r>
      <w:r>
        <w:rPr>
          <w:color w:val="auto"/>
          <w:kern w:val="0"/>
        </w:rPr>
        <w:t>敏感目标的时间</w:t>
      </w:r>
      <w:r>
        <w:rPr>
          <w:rFonts w:hint="eastAsia"/>
          <w:color w:val="auto"/>
          <w:kern w:val="0"/>
        </w:rPr>
        <w:t>稍微</w:t>
      </w:r>
      <w:r>
        <w:rPr>
          <w:color w:val="auto"/>
          <w:kern w:val="0"/>
        </w:rPr>
        <w:t>有点差别</w:t>
      </w:r>
      <w:r>
        <w:rPr>
          <w:rFonts w:hint="eastAsia"/>
          <w:color w:val="auto"/>
          <w:kern w:val="0"/>
        </w:rPr>
        <w:t>。不同</w:t>
      </w:r>
      <w:r>
        <w:rPr>
          <w:color w:val="auto"/>
          <w:kern w:val="0"/>
        </w:rPr>
        <w:t>工况油膜扩散方向</w:t>
      </w:r>
      <w:r>
        <w:rPr>
          <w:rFonts w:hint="eastAsia"/>
          <w:color w:val="auto"/>
          <w:kern w:val="0"/>
        </w:rPr>
        <w:t>及</w:t>
      </w:r>
      <w:r>
        <w:rPr>
          <w:color w:val="auto"/>
          <w:kern w:val="0"/>
        </w:rPr>
        <w:t>到达敏感</w:t>
      </w:r>
      <w:r>
        <w:rPr>
          <w:rFonts w:hint="eastAsia"/>
          <w:color w:val="auto"/>
          <w:kern w:val="0"/>
        </w:rPr>
        <w:t>目标</w:t>
      </w:r>
      <w:r>
        <w:rPr>
          <w:color w:val="auto"/>
          <w:kern w:val="0"/>
        </w:rPr>
        <w:t>时间情况如下：</w:t>
      </w:r>
    </w:p>
    <w:p w14:paraId="7EF153CE">
      <w:pPr>
        <w:ind w:firstLine="482"/>
        <w:rPr>
          <w:color w:val="auto"/>
          <w:kern w:val="0"/>
        </w:rPr>
      </w:pPr>
      <w:r>
        <w:rPr>
          <w:b/>
          <w:color w:val="auto"/>
          <w:kern w:val="0"/>
        </w:rPr>
        <w:t>在</w:t>
      </w:r>
      <w:r>
        <w:rPr>
          <w:rFonts w:hint="eastAsia"/>
          <w:b/>
          <w:color w:val="auto"/>
          <w:kern w:val="0"/>
        </w:rPr>
        <w:t>冬季</w:t>
      </w:r>
      <w:r>
        <w:rPr>
          <w:b/>
          <w:color w:val="auto"/>
          <w:kern w:val="0"/>
        </w:rPr>
        <w:t>主导风向N</w:t>
      </w:r>
      <w:r>
        <w:rPr>
          <w:rFonts w:hint="eastAsia"/>
          <w:b/>
          <w:color w:val="auto"/>
          <w:kern w:val="0"/>
        </w:rPr>
        <w:t>的</w:t>
      </w:r>
      <w:r>
        <w:rPr>
          <w:b/>
          <w:color w:val="auto"/>
          <w:kern w:val="0"/>
        </w:rPr>
        <w:t>条件下</w:t>
      </w:r>
      <w:r>
        <w:rPr>
          <w:color w:val="auto"/>
          <w:kern w:val="0"/>
        </w:rPr>
        <w:t>，</w:t>
      </w:r>
      <w:r>
        <w:rPr>
          <w:rFonts w:hint="eastAsia"/>
          <w:color w:val="auto"/>
          <w:kern w:val="0"/>
        </w:rPr>
        <w:t>大潮涨潮时，油膜在涨潮流和N风的共同作用下油膜向西偏南方向扩散，石脑油、</w:t>
      </w:r>
      <w:r>
        <w:rPr>
          <w:color w:val="auto"/>
          <w:kern w:val="0"/>
        </w:rPr>
        <w:t>渣油</w:t>
      </w:r>
      <w:r>
        <w:rPr>
          <w:rFonts w:hint="eastAsia"/>
          <w:color w:val="auto"/>
          <w:kern w:val="0"/>
        </w:rPr>
        <w:t>、</w:t>
      </w:r>
      <w:r>
        <w:rPr>
          <w:color w:val="auto"/>
          <w:kern w:val="0"/>
        </w:rPr>
        <w:t>甲基叔丁基醚</w:t>
      </w:r>
      <w:r>
        <w:rPr>
          <w:rFonts w:hint="eastAsia"/>
          <w:color w:val="auto"/>
          <w:kern w:val="0"/>
        </w:rPr>
        <w:t>在</w:t>
      </w:r>
      <w:r>
        <w:rPr>
          <w:rFonts w:hint="eastAsia"/>
          <w:color w:val="auto"/>
        </w:rPr>
        <w:t>溢油事故发生约8h后开始影响红树林3和红树林4，在溢油事故发生约12h后，油膜开始进入北部湾二长棘鲷长毛对虾国家级种质资源保护区（实验区），油膜</w:t>
      </w:r>
      <w:r>
        <w:rPr>
          <w:color w:val="auto"/>
        </w:rPr>
        <w:t>厚度</w:t>
      </w:r>
      <w:r>
        <w:rPr>
          <w:rFonts w:hint="eastAsia"/>
          <w:color w:val="auto"/>
        </w:rPr>
        <w:t>均</w:t>
      </w:r>
      <w:r>
        <w:rPr>
          <w:color w:val="auto"/>
        </w:rPr>
        <w:t>在</w:t>
      </w:r>
      <w:r>
        <w:rPr>
          <w:rFonts w:hint="eastAsia"/>
          <w:color w:val="auto"/>
        </w:rPr>
        <w:t>0.4</w:t>
      </w:r>
      <w:r>
        <w:rPr>
          <w:color w:val="auto"/>
        </w:rPr>
        <w:t>mm以下</w:t>
      </w:r>
      <w:r>
        <w:rPr>
          <w:rFonts w:hint="eastAsia"/>
          <w:color w:val="auto"/>
        </w:rPr>
        <w:t>。</w:t>
      </w:r>
      <w:r>
        <w:rPr>
          <w:color w:val="auto"/>
          <w:kern w:val="0"/>
        </w:rPr>
        <w:t>大潮落潮时，</w:t>
      </w:r>
      <w:r>
        <w:rPr>
          <w:rFonts w:hint="eastAsia"/>
          <w:color w:val="auto"/>
          <w:kern w:val="0"/>
        </w:rPr>
        <w:t>油膜主要向东南方向扩散，石脑油、</w:t>
      </w:r>
      <w:r>
        <w:rPr>
          <w:color w:val="auto"/>
          <w:kern w:val="0"/>
        </w:rPr>
        <w:t>渣油</w:t>
      </w:r>
      <w:r>
        <w:rPr>
          <w:rFonts w:hint="eastAsia"/>
          <w:color w:val="auto"/>
          <w:kern w:val="0"/>
        </w:rPr>
        <w:t>、</w:t>
      </w:r>
      <w:r>
        <w:rPr>
          <w:color w:val="auto"/>
          <w:kern w:val="0"/>
        </w:rPr>
        <w:t>甲基叔丁基醚</w:t>
      </w:r>
      <w:r>
        <w:rPr>
          <w:rFonts w:hint="eastAsia"/>
          <w:color w:val="auto"/>
          <w:kern w:val="0"/>
        </w:rPr>
        <w:t>在溢油事故发生约</w:t>
      </w:r>
      <w:r>
        <w:rPr>
          <w:color w:val="auto"/>
          <w:kern w:val="0"/>
        </w:rPr>
        <w:t>7</w:t>
      </w:r>
      <w:r>
        <w:rPr>
          <w:rFonts w:hint="eastAsia"/>
          <w:color w:val="auto"/>
          <w:kern w:val="0"/>
        </w:rPr>
        <w:t>h后，油膜开始进入北部湾二长棘鲷长毛对虾国家级种质资源保护区（实验区），</w:t>
      </w:r>
      <w:r>
        <w:rPr>
          <w:rFonts w:hint="eastAsia"/>
          <w:color w:val="auto"/>
        </w:rPr>
        <w:t>油膜</w:t>
      </w:r>
      <w:r>
        <w:rPr>
          <w:color w:val="auto"/>
        </w:rPr>
        <w:t>厚度</w:t>
      </w:r>
      <w:r>
        <w:rPr>
          <w:rFonts w:hint="eastAsia"/>
          <w:color w:val="auto"/>
        </w:rPr>
        <w:t>均</w:t>
      </w:r>
      <w:r>
        <w:rPr>
          <w:color w:val="auto"/>
        </w:rPr>
        <w:t>在</w:t>
      </w:r>
      <w:r>
        <w:rPr>
          <w:rFonts w:hint="eastAsia"/>
          <w:color w:val="auto"/>
        </w:rPr>
        <w:t>0.</w:t>
      </w:r>
      <w:r>
        <w:rPr>
          <w:color w:val="auto"/>
        </w:rPr>
        <w:t>6mm以下</w:t>
      </w:r>
      <w:r>
        <w:rPr>
          <w:rFonts w:hint="eastAsia"/>
          <w:color w:val="auto"/>
          <w:kern w:val="0"/>
        </w:rPr>
        <w:t>。</w:t>
      </w:r>
    </w:p>
    <w:p w14:paraId="44EFE47C">
      <w:pPr>
        <w:ind w:firstLine="482"/>
        <w:rPr>
          <w:color w:val="auto"/>
          <w:szCs w:val="21"/>
        </w:rPr>
      </w:pPr>
      <w:r>
        <w:rPr>
          <w:rFonts w:hint="eastAsia"/>
          <w:b/>
          <w:color w:val="auto"/>
          <w:kern w:val="0"/>
        </w:rPr>
        <w:t>夏季</w:t>
      </w:r>
      <w:r>
        <w:rPr>
          <w:b/>
          <w:color w:val="auto"/>
          <w:kern w:val="0"/>
        </w:rPr>
        <w:t>主导风向</w:t>
      </w:r>
      <w:r>
        <w:rPr>
          <w:rFonts w:hint="eastAsia"/>
          <w:b/>
          <w:color w:val="auto"/>
          <w:kern w:val="0"/>
        </w:rPr>
        <w:t>S条件下</w:t>
      </w:r>
      <w:r>
        <w:rPr>
          <w:color w:val="auto"/>
          <w:kern w:val="0"/>
        </w:rPr>
        <w:t>，涨潮</w:t>
      </w:r>
      <w:r>
        <w:rPr>
          <w:rFonts w:hint="eastAsia"/>
          <w:color w:val="auto"/>
          <w:kern w:val="0"/>
        </w:rPr>
        <w:t>时，</w:t>
      </w:r>
      <w:r>
        <w:rPr>
          <w:rFonts w:hint="eastAsia"/>
          <w:color w:val="auto"/>
          <w:szCs w:val="21"/>
        </w:rPr>
        <w:t>膜开始在涨潮流和S风的作用下主要沿项目北部沿岸向西北部扩散，甲基叔丁基醚4</w:t>
      </w:r>
      <w:r>
        <w:rPr>
          <w:color w:val="auto"/>
          <w:szCs w:val="21"/>
        </w:rPr>
        <w:t>h后影响广西茅尾海红树林自治区级自然保护区</w:t>
      </w:r>
      <w:r>
        <w:rPr>
          <w:rFonts w:hint="eastAsia"/>
          <w:color w:val="auto"/>
          <w:szCs w:val="21"/>
        </w:rPr>
        <w:t>，石脑油</w:t>
      </w:r>
      <w:r>
        <w:rPr>
          <w:color w:val="auto"/>
          <w:szCs w:val="21"/>
        </w:rPr>
        <w:t>、</w:t>
      </w:r>
      <w:r>
        <w:rPr>
          <w:rFonts w:hint="eastAsia"/>
          <w:color w:val="auto"/>
          <w:szCs w:val="21"/>
        </w:rPr>
        <w:t>渣油5小时后开始影响</w:t>
      </w:r>
      <w:r>
        <w:rPr>
          <w:color w:val="auto"/>
          <w:szCs w:val="21"/>
        </w:rPr>
        <w:t>广西茅尾海红树林自治区级自然保护区。当涨潮流转为落潮流后，油膜开始向东南方向扩散，在事故发生约</w:t>
      </w:r>
      <w:r>
        <w:rPr>
          <w:rFonts w:hint="eastAsia"/>
          <w:color w:val="auto"/>
          <w:szCs w:val="21"/>
        </w:rPr>
        <w:t>1</w:t>
      </w:r>
      <w:r>
        <w:rPr>
          <w:color w:val="auto"/>
          <w:szCs w:val="21"/>
        </w:rPr>
        <w:t>0</w:t>
      </w:r>
      <w:r>
        <w:rPr>
          <w:rFonts w:hint="eastAsia"/>
          <w:color w:val="auto"/>
          <w:szCs w:val="21"/>
        </w:rPr>
        <w:t>h</w:t>
      </w:r>
      <w:r>
        <w:rPr>
          <w:color w:val="auto"/>
          <w:szCs w:val="21"/>
        </w:rPr>
        <w:t>后，油膜开始进入项目东北部的金鼓江海域</w:t>
      </w:r>
      <w:r>
        <w:rPr>
          <w:rFonts w:hint="eastAsia"/>
          <w:color w:val="auto"/>
          <w:szCs w:val="21"/>
        </w:rPr>
        <w:t>，1</w:t>
      </w:r>
      <w:r>
        <w:rPr>
          <w:color w:val="auto"/>
          <w:szCs w:val="21"/>
        </w:rPr>
        <w:t>6h后影响金鼓江海域的红树林</w:t>
      </w:r>
      <w:r>
        <w:rPr>
          <w:rFonts w:hint="eastAsia"/>
          <w:color w:val="auto"/>
          <w:szCs w:val="21"/>
        </w:rPr>
        <w:t>；落潮时，油膜开始在落潮流和S风的作用下主要沿项目北部沿岸向东偏北方向扩散，石脑油1</w:t>
      </w:r>
      <w:r>
        <w:rPr>
          <w:color w:val="auto"/>
          <w:szCs w:val="21"/>
        </w:rPr>
        <w:t>2h后影响金鼓江海域的红树林</w:t>
      </w:r>
      <w:r>
        <w:rPr>
          <w:rFonts w:hint="eastAsia"/>
          <w:color w:val="auto"/>
          <w:szCs w:val="21"/>
        </w:rPr>
        <w:t>，甲基</w:t>
      </w:r>
      <w:r>
        <w:rPr>
          <w:color w:val="auto"/>
          <w:szCs w:val="21"/>
        </w:rPr>
        <w:t>叔丁基醚</w:t>
      </w:r>
      <w:r>
        <w:rPr>
          <w:rFonts w:hint="eastAsia"/>
          <w:color w:val="auto"/>
          <w:szCs w:val="21"/>
        </w:rPr>
        <w:t>、</w:t>
      </w:r>
      <w:r>
        <w:rPr>
          <w:color w:val="auto"/>
          <w:szCs w:val="21"/>
        </w:rPr>
        <w:t>渣油</w:t>
      </w:r>
      <w:r>
        <w:rPr>
          <w:rFonts w:hint="eastAsia"/>
          <w:color w:val="auto"/>
          <w:szCs w:val="21"/>
        </w:rPr>
        <w:t>1</w:t>
      </w:r>
      <w:r>
        <w:rPr>
          <w:color w:val="auto"/>
          <w:szCs w:val="21"/>
        </w:rPr>
        <w:t>0h后影响金鼓江海域的红树林。</w:t>
      </w:r>
    </w:p>
    <w:p w14:paraId="42BC781C">
      <w:pPr>
        <w:ind w:firstLine="482"/>
        <w:rPr>
          <w:color w:val="auto"/>
          <w:kern w:val="0"/>
        </w:rPr>
      </w:pPr>
      <w:r>
        <w:rPr>
          <w:rFonts w:hint="eastAsia"/>
          <w:b/>
          <w:color w:val="auto"/>
          <w:szCs w:val="21"/>
        </w:rPr>
        <w:t>不利</w:t>
      </w:r>
      <w:r>
        <w:rPr>
          <w:b/>
          <w:color w:val="auto"/>
          <w:szCs w:val="21"/>
        </w:rPr>
        <w:t>风向</w:t>
      </w:r>
      <w:r>
        <w:rPr>
          <w:rFonts w:hint="eastAsia"/>
          <w:b/>
          <w:color w:val="auto"/>
          <w:szCs w:val="21"/>
        </w:rPr>
        <w:t>SE条件</w:t>
      </w:r>
      <w:r>
        <w:rPr>
          <w:b/>
          <w:color w:val="auto"/>
          <w:szCs w:val="21"/>
        </w:rPr>
        <w:t>下</w:t>
      </w:r>
      <w:r>
        <w:rPr>
          <w:color w:val="auto"/>
          <w:szCs w:val="21"/>
        </w:rPr>
        <w:t>，</w:t>
      </w:r>
      <w:r>
        <w:rPr>
          <w:rFonts w:hint="eastAsia"/>
          <w:color w:val="auto"/>
          <w:szCs w:val="21"/>
        </w:rPr>
        <w:t>涨潮时，油膜开始在涨潮流和SE风的作用下主要沿项目北部沿岸向西北方向扩散，石脑油</w:t>
      </w:r>
      <w:r>
        <w:rPr>
          <w:color w:val="auto"/>
          <w:szCs w:val="21"/>
        </w:rPr>
        <w:t>、渣油</w:t>
      </w:r>
      <w:r>
        <w:rPr>
          <w:rFonts w:hint="eastAsia"/>
          <w:color w:val="auto"/>
          <w:szCs w:val="21"/>
        </w:rPr>
        <w:t>、</w:t>
      </w:r>
      <w:r>
        <w:rPr>
          <w:color w:val="auto"/>
          <w:szCs w:val="21"/>
        </w:rPr>
        <w:t>甲基叔丁基醚4</w:t>
      </w:r>
      <w:r>
        <w:rPr>
          <w:rFonts w:hint="eastAsia"/>
          <w:color w:val="auto"/>
          <w:szCs w:val="21"/>
        </w:rPr>
        <w:t>h后开始影响钦州</w:t>
      </w:r>
      <w:r>
        <w:rPr>
          <w:color w:val="auto"/>
          <w:szCs w:val="21"/>
        </w:rPr>
        <w:t>茅尾海国家海洋公园</w:t>
      </w:r>
      <w:r>
        <w:rPr>
          <w:rFonts w:hint="eastAsia"/>
          <w:color w:val="auto"/>
          <w:szCs w:val="21"/>
        </w:rPr>
        <w:t>；在落潮时，部分油膜开始在落潮流和SE风的作用下沿项目北部沿岸向西偏北方向缓慢扩散，当落潮流转变为涨潮流时，油膜在涨潮流和SE风的作用下沿项目北部沿岸向西北方向快速扩散，石脑油、甲基叔丁基醚在</w:t>
      </w:r>
      <w:r>
        <w:rPr>
          <w:color w:val="auto"/>
          <w:szCs w:val="21"/>
        </w:rPr>
        <w:t>溢油13</w:t>
      </w:r>
      <w:r>
        <w:rPr>
          <w:rFonts w:hint="eastAsia"/>
          <w:color w:val="auto"/>
          <w:szCs w:val="21"/>
        </w:rPr>
        <w:t>h后油膜开始影响钦州</w:t>
      </w:r>
      <w:r>
        <w:rPr>
          <w:color w:val="auto"/>
          <w:szCs w:val="21"/>
        </w:rPr>
        <w:t>茅尾海国家海洋公园</w:t>
      </w:r>
      <w:r>
        <w:rPr>
          <w:rFonts w:hint="eastAsia"/>
          <w:color w:val="auto"/>
          <w:szCs w:val="21"/>
        </w:rPr>
        <w:t>，</w:t>
      </w:r>
      <w:r>
        <w:rPr>
          <w:color w:val="auto"/>
          <w:szCs w:val="21"/>
        </w:rPr>
        <w:t>渣油</w:t>
      </w:r>
      <w:r>
        <w:rPr>
          <w:rFonts w:hint="eastAsia"/>
          <w:color w:val="auto"/>
          <w:szCs w:val="21"/>
        </w:rPr>
        <w:t>在</w:t>
      </w:r>
      <w:r>
        <w:rPr>
          <w:color w:val="auto"/>
          <w:szCs w:val="21"/>
        </w:rPr>
        <w:t>溢油12</w:t>
      </w:r>
      <w:r>
        <w:rPr>
          <w:rFonts w:hint="eastAsia"/>
          <w:color w:val="auto"/>
          <w:szCs w:val="21"/>
        </w:rPr>
        <w:t>h后油膜开始影响钦州</w:t>
      </w:r>
      <w:r>
        <w:rPr>
          <w:color w:val="auto"/>
          <w:szCs w:val="21"/>
        </w:rPr>
        <w:t>茅尾海国家海洋公园</w:t>
      </w:r>
      <w:r>
        <w:rPr>
          <w:rFonts w:hint="eastAsia"/>
          <w:color w:val="auto"/>
          <w:szCs w:val="21"/>
        </w:rPr>
        <w:t>。</w:t>
      </w:r>
    </w:p>
    <w:p w14:paraId="0A208FCE">
      <w:pPr>
        <w:ind w:firstLine="480"/>
        <w:rPr>
          <w:color w:val="auto"/>
          <w:kern w:val="0"/>
        </w:rPr>
      </w:pPr>
      <w:r>
        <w:rPr>
          <w:color w:val="auto"/>
          <w:kern w:val="0"/>
        </w:rPr>
        <w:t>因此需要加强管理，强化风险应急设施，以杜绝该类事故的发生。</w:t>
      </w:r>
    </w:p>
    <w:p w14:paraId="1E3986E3">
      <w:pPr>
        <w:ind w:firstLine="480"/>
        <w:rPr>
          <w:color w:val="auto"/>
          <w:kern w:val="0"/>
        </w:rPr>
      </w:pPr>
      <w:r>
        <w:rPr>
          <w:color w:val="auto"/>
          <w:kern w:val="0"/>
        </w:rPr>
        <w:t>（</w:t>
      </w:r>
      <w:r>
        <w:rPr>
          <w:rFonts w:hint="eastAsia"/>
          <w:color w:val="auto"/>
          <w:kern w:val="0"/>
        </w:rPr>
        <w:t>3</w:t>
      </w:r>
      <w:r>
        <w:rPr>
          <w:color w:val="auto"/>
          <w:kern w:val="0"/>
        </w:rPr>
        <w:t>）陆域事故影响</w:t>
      </w:r>
    </w:p>
    <w:p w14:paraId="31D3C760">
      <w:pPr>
        <w:ind w:firstLine="480"/>
        <w:rPr>
          <w:color w:val="auto"/>
        </w:rPr>
      </w:pPr>
      <w:r>
        <w:rPr>
          <w:color w:val="auto"/>
        </w:rPr>
        <w:t>针对</w:t>
      </w:r>
      <w:r>
        <w:rPr>
          <w:rFonts w:hint="eastAsia"/>
          <w:color w:val="auto"/>
        </w:rPr>
        <w:t>陆域化学品</w:t>
      </w:r>
      <w:r>
        <w:rPr>
          <w:color w:val="auto"/>
        </w:rPr>
        <w:t>泄漏事故影响预测结果可知，在最不利气象条件（F类稳定度，1.5m/s风速，温度25</w:t>
      </w:r>
      <w:r>
        <w:rPr>
          <w:rFonts w:hint="eastAsia" w:cs="宋体"/>
          <w:color w:val="auto"/>
        </w:rPr>
        <w:t>℃</w:t>
      </w:r>
      <w:r>
        <w:rPr>
          <w:color w:val="auto"/>
        </w:rPr>
        <w:t>，相对湿度50%）下，</w:t>
      </w:r>
      <w:r>
        <w:rPr>
          <w:rFonts w:hint="eastAsia"/>
          <w:color w:val="auto"/>
        </w:rPr>
        <w:t>甲基叔丁基醚（MTBE）</w:t>
      </w:r>
      <w:r>
        <w:rPr>
          <w:color w:val="auto"/>
        </w:rPr>
        <w:t>超过毒性终点浓度-1</w:t>
      </w:r>
      <w:r>
        <w:rPr>
          <w:rFonts w:hint="eastAsia"/>
          <w:color w:val="auto"/>
        </w:rPr>
        <w:t>，</w:t>
      </w:r>
      <w:r>
        <w:rPr>
          <w:color w:val="auto"/>
        </w:rPr>
        <w:t>未超过毒性终点浓度-2，最远距离为6m；</w:t>
      </w:r>
      <w:r>
        <w:rPr>
          <w:rFonts w:hint="eastAsia"/>
          <w:color w:val="auto"/>
        </w:rPr>
        <w:t>异辛烷（烷基化油）未超过毒性</w:t>
      </w:r>
      <w:r>
        <w:rPr>
          <w:color w:val="auto"/>
        </w:rPr>
        <w:t>终点浓度-2</w:t>
      </w:r>
      <w:r>
        <w:rPr>
          <w:rFonts w:hint="eastAsia"/>
          <w:color w:val="auto"/>
        </w:rPr>
        <w:t>，最远距离为</w:t>
      </w:r>
      <w:r>
        <w:rPr>
          <w:color w:val="auto"/>
        </w:rPr>
        <w:t>260</w:t>
      </w:r>
      <w:r>
        <w:rPr>
          <w:rFonts w:hint="eastAsia"/>
          <w:color w:val="auto"/>
        </w:rPr>
        <w:t>m；石脑油</w:t>
      </w:r>
      <w:r>
        <w:rPr>
          <w:color w:val="auto"/>
        </w:rPr>
        <w:t>未超过毒性终点浓度-1</w:t>
      </w:r>
      <w:r>
        <w:rPr>
          <w:rFonts w:hint="eastAsia"/>
          <w:color w:val="auto"/>
        </w:rPr>
        <w:t>和</w:t>
      </w:r>
      <w:r>
        <w:rPr>
          <w:color w:val="auto"/>
        </w:rPr>
        <w:t>毒性终点浓度-2</w:t>
      </w:r>
      <w:r>
        <w:rPr>
          <w:rFonts w:hint="eastAsia"/>
          <w:color w:val="auto"/>
        </w:rPr>
        <w:t>；</w:t>
      </w:r>
      <w:r>
        <w:rPr>
          <w:color w:val="auto"/>
        </w:rPr>
        <w:t>CO超过毒性终点浓度-1和毒性终点浓度-2，最远距离分别为2</w:t>
      </w:r>
      <w:r>
        <w:rPr>
          <w:rFonts w:hint="eastAsia"/>
          <w:color w:val="auto"/>
        </w:rPr>
        <w:t>0</w:t>
      </w:r>
      <w:r>
        <w:rPr>
          <w:color w:val="auto"/>
        </w:rPr>
        <w:t>m、7</w:t>
      </w:r>
      <w:r>
        <w:rPr>
          <w:rFonts w:hint="eastAsia"/>
          <w:color w:val="auto"/>
        </w:rPr>
        <w:t>0</w:t>
      </w:r>
      <w:r>
        <w:rPr>
          <w:color w:val="auto"/>
        </w:rPr>
        <w:t>m</w:t>
      </w:r>
      <w:r>
        <w:rPr>
          <w:rFonts w:hint="eastAsia"/>
          <w:color w:val="auto"/>
        </w:rPr>
        <w:t>；</w:t>
      </w:r>
      <w:r>
        <w:rPr>
          <w:color w:val="auto"/>
        </w:rPr>
        <w:t>SO</w:t>
      </w:r>
      <w:r>
        <w:rPr>
          <w:color w:val="auto"/>
          <w:vertAlign w:val="subscript"/>
        </w:rPr>
        <w:t>2</w:t>
      </w:r>
      <w:r>
        <w:rPr>
          <w:color w:val="auto"/>
        </w:rPr>
        <w:t>超过毒性终点浓度-1和毒性终点浓度-2，最远距离分别为60m、1970m</w:t>
      </w:r>
      <w:r>
        <w:rPr>
          <w:rFonts w:hint="eastAsia"/>
          <w:color w:val="auto"/>
        </w:rPr>
        <w:t>，</w:t>
      </w:r>
      <w:r>
        <w:rPr>
          <w:color w:val="auto"/>
        </w:rPr>
        <w:t>厚福沙</w:t>
      </w:r>
      <w:r>
        <w:rPr>
          <w:rFonts w:hint="eastAsia"/>
          <w:color w:val="auto"/>
        </w:rPr>
        <w:t>村</w:t>
      </w:r>
      <w:r>
        <w:rPr>
          <w:color w:val="auto"/>
        </w:rPr>
        <w:t>和果子山村在SO</w:t>
      </w:r>
      <w:r>
        <w:rPr>
          <w:color w:val="auto"/>
          <w:vertAlign w:val="subscript"/>
        </w:rPr>
        <w:t>2</w:t>
      </w:r>
      <w:r>
        <w:rPr>
          <w:color w:val="auto"/>
        </w:rPr>
        <w:t>毒性终点浓度-2的</w:t>
      </w:r>
      <w:r>
        <w:rPr>
          <w:rFonts w:hint="eastAsia"/>
          <w:color w:val="auto"/>
        </w:rPr>
        <w:t>影响</w:t>
      </w:r>
      <w:r>
        <w:rPr>
          <w:color w:val="auto"/>
        </w:rPr>
        <w:t>范围内</w:t>
      </w:r>
      <w:r>
        <w:rPr>
          <w:rFonts w:hint="eastAsia"/>
          <w:color w:val="auto"/>
        </w:rPr>
        <w:t>。</w:t>
      </w:r>
    </w:p>
    <w:p w14:paraId="24948D8F">
      <w:pPr>
        <w:ind w:firstLine="480"/>
        <w:rPr>
          <w:color w:val="auto"/>
        </w:rPr>
      </w:pPr>
      <w:r>
        <w:rPr>
          <w:color w:val="auto"/>
        </w:rPr>
        <w:t>根据预测的结果，物料泄漏</w:t>
      </w:r>
      <w:r>
        <w:rPr>
          <w:rFonts w:hint="eastAsia"/>
          <w:color w:val="auto"/>
        </w:rPr>
        <w:t>、</w:t>
      </w:r>
      <w:r>
        <w:rPr>
          <w:color w:val="auto"/>
        </w:rPr>
        <w:t>火灾的情况下，</w:t>
      </w:r>
      <w:r>
        <w:rPr>
          <w:rFonts w:hint="eastAsia"/>
          <w:color w:val="auto"/>
        </w:rPr>
        <w:t>在</w:t>
      </w:r>
      <w:r>
        <w:rPr>
          <w:color w:val="auto"/>
        </w:rPr>
        <w:t>毒性终点范围内，位于项目下风向</w:t>
      </w:r>
      <w:r>
        <w:rPr>
          <w:rFonts w:hint="eastAsia"/>
          <w:color w:val="auto"/>
        </w:rPr>
        <w:t>有2个</w:t>
      </w:r>
      <w:r>
        <w:rPr>
          <w:color w:val="auto"/>
        </w:rPr>
        <w:t>环境敏感目标，通过加强货种储存、输送等过程的管理，安装可燃气体报警装置等，可有效降低</w:t>
      </w:r>
      <w:r>
        <w:rPr>
          <w:rFonts w:hint="eastAsia"/>
          <w:color w:val="auto"/>
        </w:rPr>
        <w:t>储存</w:t>
      </w:r>
      <w:r>
        <w:rPr>
          <w:color w:val="auto"/>
        </w:rPr>
        <w:t>货种的</w:t>
      </w:r>
      <w:r>
        <w:rPr>
          <w:rFonts w:hint="eastAsia"/>
          <w:color w:val="auto"/>
        </w:rPr>
        <w:t>泄漏、</w:t>
      </w:r>
      <w:r>
        <w:rPr>
          <w:color w:val="auto"/>
        </w:rPr>
        <w:t>燃烧事故的发生。若发生事故应立即通知相关部门组织附近居民撤离。</w:t>
      </w:r>
    </w:p>
    <w:p w14:paraId="43A5EA6C">
      <w:pPr>
        <w:ind w:firstLine="480"/>
        <w:rPr>
          <w:color w:val="auto"/>
        </w:rPr>
      </w:pPr>
      <w:r>
        <w:rPr>
          <w:rFonts w:hint="eastAsia"/>
          <w:color w:val="auto"/>
        </w:rPr>
        <w:t>（4）环境风险防范措施和应急预案</w:t>
      </w:r>
    </w:p>
    <w:p w14:paraId="4F1EFFC2">
      <w:pPr>
        <w:ind w:firstLine="480"/>
        <w:rPr>
          <w:color w:val="auto"/>
        </w:rPr>
      </w:pPr>
      <w:r>
        <w:rPr>
          <w:rFonts w:hint="eastAsia"/>
          <w:color w:val="auto"/>
        </w:rPr>
        <w:t>本项目现有工程风险防范措施及应急预案合理、可行，应急预案应在企业现有应急预案的基础上，应急预案的重点关注内容应包括完整的环境风险应急体系、监控与预警、应急疏散救援以及应急监测等，纳入园区环境风险防控体系和管理的衔接要求，实现厂内与园区环境风险防控设施及管理的有效联动，有效防控环境风险。建设单位应及时修订环境风险应急预案，将本项目内容纳入企业现有整体环境风险应急预案体系中。</w:t>
      </w:r>
    </w:p>
    <w:p w14:paraId="73469D19">
      <w:pPr>
        <w:pStyle w:val="13"/>
        <w:spacing w:line="360" w:lineRule="auto"/>
        <w:ind w:firstLine="480"/>
        <w:rPr>
          <w:color w:val="auto"/>
          <w:sz w:val="24"/>
        </w:rPr>
      </w:pPr>
      <w:r>
        <w:rPr>
          <w:rFonts w:hint="eastAsia"/>
          <w:color w:val="auto"/>
          <w:sz w:val="24"/>
        </w:rPr>
        <w:t>拟建项目后续需根据建设内容、建设单位内部管理规定等特征，</w:t>
      </w:r>
      <w:r>
        <w:rPr>
          <w:color w:val="auto"/>
          <w:sz w:val="24"/>
        </w:rPr>
        <w:t>在投入运营前，修订完善现有的环境风险应急预案并进行报备。</w:t>
      </w:r>
    </w:p>
    <w:p w14:paraId="7705D04C">
      <w:pPr>
        <w:ind w:firstLine="480"/>
        <w:rPr>
          <w:color w:val="auto"/>
        </w:rPr>
      </w:pPr>
      <w:r>
        <w:rPr>
          <w:rFonts w:hint="eastAsia"/>
          <w:color w:val="auto"/>
        </w:rPr>
        <w:t>（5）环境风险评价结论</w:t>
      </w:r>
    </w:p>
    <w:p w14:paraId="3514FC81">
      <w:pPr>
        <w:ind w:firstLine="480"/>
        <w:rPr>
          <w:color w:val="auto"/>
        </w:rPr>
      </w:pPr>
      <w:r>
        <w:rPr>
          <w:rFonts w:hint="eastAsia"/>
          <w:color w:val="auto"/>
        </w:rPr>
        <w:t>在落实各项环保措施和本评价所列出的各项环境风险防范措施、有效的环境风险应急预案，加强风险管理的条件下，本项目的大气、地表水环境风险是可防可控的。</w:t>
      </w:r>
    </w:p>
    <w:p w14:paraId="0127B550">
      <w:pPr>
        <w:ind w:firstLine="480"/>
        <w:rPr>
          <w:color w:val="auto"/>
        </w:rPr>
      </w:pPr>
    </w:p>
    <w:p w14:paraId="42E3210A">
      <w:pPr>
        <w:rPr>
          <w:color w:val="auto"/>
        </w:rPr>
      </w:pPr>
      <w:bookmarkStart w:id="565" w:name="_Hlk130845577"/>
    </w:p>
    <w:p w14:paraId="1E774970">
      <w:pPr>
        <w:ind w:firstLine="480"/>
        <w:rPr>
          <w:color w:val="auto"/>
        </w:rPr>
        <w:sectPr>
          <w:headerReference r:id="rId39" w:type="default"/>
          <w:pgSz w:w="11906" w:h="16838"/>
          <w:pgMar w:top="1440" w:right="1134" w:bottom="1440" w:left="1418" w:header="851" w:footer="680" w:gutter="0"/>
          <w:cols w:space="720" w:num="1"/>
          <w:docGrid w:type="lines" w:linePitch="326" w:charSpace="0"/>
        </w:sectPr>
      </w:pPr>
    </w:p>
    <w:bookmarkEnd w:id="565"/>
    <w:p w14:paraId="61490821">
      <w:pPr>
        <w:pStyle w:val="3"/>
        <w:rPr>
          <w:color w:val="auto"/>
        </w:rPr>
      </w:pPr>
      <w:bookmarkStart w:id="566" w:name="_Toc223258498"/>
      <w:bookmarkStart w:id="567" w:name="_Toc223595788"/>
      <w:r>
        <w:rPr>
          <w:color w:val="auto"/>
        </w:rPr>
        <w:t>环境保护措施及其可行性</w:t>
      </w:r>
      <w:bookmarkEnd w:id="566"/>
      <w:bookmarkEnd w:id="567"/>
      <w:r>
        <w:rPr>
          <w:rFonts w:hint="eastAsia"/>
          <w:color w:val="auto"/>
        </w:rPr>
        <w:t>分析</w:t>
      </w:r>
    </w:p>
    <w:p w14:paraId="49C9CDE7">
      <w:pPr>
        <w:pStyle w:val="5"/>
        <w:rPr>
          <w:color w:val="auto"/>
        </w:rPr>
      </w:pPr>
      <w:bookmarkStart w:id="568" w:name="_Toc223595789"/>
      <w:bookmarkStart w:id="569" w:name="_Toc223258499"/>
      <w:bookmarkStart w:id="570" w:name="_Toc216103471"/>
      <w:bookmarkStart w:id="571" w:name="_Toc136878560"/>
      <w:bookmarkStart w:id="572" w:name="_Toc216620630"/>
      <w:r>
        <w:rPr>
          <w:color w:val="auto"/>
        </w:rPr>
        <w:t>大气环境保护措施</w:t>
      </w:r>
      <w:bookmarkEnd w:id="568"/>
      <w:bookmarkEnd w:id="569"/>
      <w:bookmarkEnd w:id="570"/>
      <w:bookmarkEnd w:id="571"/>
      <w:bookmarkEnd w:id="572"/>
    </w:p>
    <w:p w14:paraId="5DECF0AE">
      <w:pPr>
        <w:pStyle w:val="4"/>
        <w:rPr>
          <w:color w:val="auto"/>
        </w:rPr>
      </w:pPr>
      <w:bookmarkStart w:id="573" w:name="_Toc135090293"/>
      <w:bookmarkStart w:id="574" w:name="_Toc26910080"/>
      <w:bookmarkStart w:id="575" w:name="_Toc25437034"/>
      <w:bookmarkStart w:id="576" w:name="_Toc29131893"/>
      <w:r>
        <w:rPr>
          <w:color w:val="auto"/>
        </w:rPr>
        <w:t>到港船舶燃料废气污染防治措施</w:t>
      </w:r>
      <w:bookmarkEnd w:id="573"/>
      <w:bookmarkEnd w:id="574"/>
      <w:bookmarkEnd w:id="575"/>
      <w:bookmarkEnd w:id="576"/>
    </w:p>
    <w:p w14:paraId="65DA3447">
      <w:pPr>
        <w:ind w:firstLine="480"/>
        <w:rPr>
          <w:color w:val="auto"/>
        </w:rPr>
      </w:pPr>
      <w:r>
        <w:rPr>
          <w:color w:val="auto"/>
        </w:rPr>
        <w:t>（1）船舶废气污染物，严格按照《Marpol73/78公约》附则VI的规定执行；</w:t>
      </w:r>
    </w:p>
    <w:p w14:paraId="7F14654D">
      <w:pPr>
        <w:ind w:firstLine="480"/>
        <w:rPr>
          <w:color w:val="auto"/>
        </w:rPr>
      </w:pPr>
      <w:r>
        <w:rPr>
          <w:color w:val="auto"/>
        </w:rPr>
        <w:t>（2）选用含硫量低的燃料，控制燃料的含硫量；</w:t>
      </w:r>
    </w:p>
    <w:p w14:paraId="4C7F2F30">
      <w:pPr>
        <w:ind w:firstLine="480"/>
        <w:rPr>
          <w:color w:val="auto"/>
        </w:rPr>
      </w:pPr>
      <w:r>
        <w:rPr>
          <w:color w:val="auto"/>
        </w:rPr>
        <w:t>（3）尽可能降低辅机运转负荷，停泊时尽量启用单辅机发电，减少耗油量；</w:t>
      </w:r>
    </w:p>
    <w:p w14:paraId="464213C9">
      <w:pPr>
        <w:ind w:firstLine="480"/>
        <w:rPr>
          <w:color w:val="auto"/>
        </w:rPr>
      </w:pPr>
      <w:r>
        <w:rPr>
          <w:color w:val="auto"/>
        </w:rPr>
        <w:t>（4）船舶应优先选用功率大、转速快的发动机</w:t>
      </w:r>
      <w:r>
        <w:rPr>
          <w:rFonts w:hint="eastAsia"/>
          <w:color w:val="auto"/>
        </w:rPr>
        <w:t>。</w:t>
      </w:r>
    </w:p>
    <w:p w14:paraId="6FFDED91">
      <w:pPr>
        <w:pStyle w:val="4"/>
        <w:rPr>
          <w:color w:val="auto"/>
        </w:rPr>
      </w:pPr>
      <w:r>
        <w:rPr>
          <w:rFonts w:hint="eastAsia"/>
          <w:color w:val="auto"/>
        </w:rPr>
        <w:t>装船废气</w:t>
      </w:r>
      <w:r>
        <w:rPr>
          <w:color w:val="auto"/>
        </w:rPr>
        <w:t>污染防治措施</w:t>
      </w:r>
    </w:p>
    <w:p w14:paraId="7B8FD4EC">
      <w:pPr>
        <w:ind w:firstLine="480"/>
        <w:rPr>
          <w:color w:val="auto"/>
        </w:rPr>
      </w:pPr>
      <w:r>
        <w:rPr>
          <w:rFonts w:hint="eastAsia"/>
          <w:color w:val="auto"/>
        </w:rPr>
        <w:t>扩建</w:t>
      </w:r>
      <w:r>
        <w:rPr>
          <w:color w:val="auto"/>
        </w:rPr>
        <w:t>项目</w:t>
      </w:r>
      <w:r>
        <w:rPr>
          <w:rFonts w:hint="eastAsia"/>
          <w:color w:val="auto"/>
        </w:rPr>
        <w:t>甲基叔丁基醚（MTBE）装船</w:t>
      </w:r>
      <w:r>
        <w:rPr>
          <w:color w:val="auto"/>
        </w:rPr>
        <w:t>采用</w:t>
      </w:r>
      <w:r>
        <w:rPr>
          <w:rFonts w:hint="eastAsia"/>
          <w:color w:val="auto"/>
        </w:rPr>
        <w:t>顶部浸没式</w:t>
      </w:r>
      <w:r>
        <w:rPr>
          <w:color w:val="auto"/>
        </w:rPr>
        <w:t>装载的方式</w:t>
      </w:r>
      <w:r>
        <w:rPr>
          <w:rFonts w:hint="eastAsia"/>
          <w:color w:val="auto"/>
        </w:rPr>
        <w:t>，</w:t>
      </w:r>
      <w:r>
        <w:rPr>
          <w:color w:val="auto"/>
        </w:rPr>
        <w:t>新增的</w:t>
      </w:r>
      <w:r>
        <w:rPr>
          <w:rFonts w:hint="eastAsia"/>
          <w:color w:val="auto"/>
        </w:rPr>
        <w:t>甲基叔丁基醚（MTBE）装船过程</w:t>
      </w:r>
      <w:r>
        <w:rPr>
          <w:color w:val="auto"/>
        </w:rPr>
        <w:t>中，随着物料进入船舱，船舱</w:t>
      </w:r>
      <w:r>
        <w:rPr>
          <w:rFonts w:hint="eastAsia"/>
          <w:color w:val="auto"/>
        </w:rPr>
        <w:t>中</w:t>
      </w:r>
      <w:r>
        <w:rPr>
          <w:color w:val="auto"/>
        </w:rPr>
        <w:t>的油蒸汽</w:t>
      </w:r>
      <w:r>
        <w:rPr>
          <w:rFonts w:hint="eastAsia"/>
          <w:color w:val="auto"/>
        </w:rPr>
        <w:t>会排入空气中，回收系统就是用导管将逃逸的油气收集输送至油气回收装置，减少油气向外界逸散。甲基叔丁基醚（MTBE）装船时</w:t>
      </w:r>
      <w:r>
        <w:rPr>
          <w:color w:val="auto"/>
        </w:rPr>
        <w:t>，通过输油臂的</w:t>
      </w:r>
      <w:r>
        <w:rPr>
          <w:rFonts w:hint="eastAsia"/>
          <w:color w:val="auto"/>
        </w:rPr>
        <w:t>油气回收</w:t>
      </w:r>
      <w:r>
        <w:rPr>
          <w:color w:val="auto"/>
        </w:rPr>
        <w:t>管道，将产生的废气收集进入汽油装船油气回收设施处理后排放。</w:t>
      </w:r>
    </w:p>
    <w:p w14:paraId="57E86EAC">
      <w:pPr>
        <w:ind w:firstLine="0" w:firstLineChars="0"/>
        <w:rPr>
          <w:color w:val="auto"/>
        </w:rPr>
      </w:pPr>
      <w:r>
        <w:rPr>
          <w:color w:val="auto"/>
        </w:rPr>
        <w:object>
          <v:shape id="_x0000_i1071" o:spt="75" type="#_x0000_t75" style="height:30.75pt;width:454.5pt;" o:ole="t" filled="f" o:preferrelative="t" stroked="f" coordsize="21600,21600">
            <v:path/>
            <v:fill on="f" focussize="0,0"/>
            <v:stroke on="f" joinstyle="miter"/>
            <v:imagedata r:id="rId205" o:title=""/>
            <o:lock v:ext="edit" aspectratio="t"/>
            <w10:wrap type="none"/>
            <w10:anchorlock/>
          </v:shape>
          <o:OLEObject Type="Embed" ProgID="Visio.Drawing.15" ShapeID="_x0000_i1071" DrawAspect="Content" ObjectID="_1468075771" r:id="rId204">
            <o:LockedField>false</o:LockedField>
          </o:OLEObject>
        </w:object>
      </w:r>
    </w:p>
    <w:p w14:paraId="0AEAAFF4">
      <w:pPr>
        <w:pStyle w:val="14"/>
        <w:rPr>
          <w:color w:val="auto"/>
          <w:highlight w:val="yellow"/>
        </w:rPr>
      </w:pPr>
      <w:r>
        <w:rPr>
          <w:rFonts w:hint="eastAsia"/>
          <w:color w:val="auto"/>
        </w:rPr>
        <w:t>图</w:t>
      </w:r>
      <w:r>
        <w:rPr>
          <w:color w:val="auto"/>
        </w:rPr>
        <w:t>6.1</w:t>
      </w:r>
      <w:r>
        <w:rPr>
          <w:color w:val="auto"/>
        </w:rPr>
        <w:noBreakHyphen/>
      </w:r>
      <w:r>
        <w:rPr>
          <w:color w:val="auto"/>
        </w:rPr>
        <w:t>1</w:t>
      </w:r>
      <w:r>
        <w:rPr>
          <w:rFonts w:hint="eastAsia"/>
          <w:color w:val="auto"/>
        </w:rPr>
        <w:t>装船油气回收工艺流程图</w:t>
      </w:r>
    </w:p>
    <w:p w14:paraId="686CD398">
      <w:pPr>
        <w:ind w:firstLine="480"/>
        <w:rPr>
          <w:color w:val="auto"/>
        </w:rPr>
      </w:pPr>
      <w:r>
        <w:rPr>
          <w:rFonts w:hint="eastAsia"/>
          <w:color w:val="auto"/>
        </w:rPr>
        <w:t>油气回收至油气回收系统后经过冷凝进行气液分离，分离的液体进入油气</w:t>
      </w:r>
      <w:r>
        <w:rPr>
          <w:color w:val="auto"/>
        </w:rPr>
        <w:t>回收设施</w:t>
      </w:r>
      <w:r>
        <w:rPr>
          <w:rFonts w:hint="eastAsia"/>
          <w:color w:val="auto"/>
        </w:rPr>
        <w:t>配备</w:t>
      </w:r>
      <w:r>
        <w:rPr>
          <w:color w:val="auto"/>
        </w:rPr>
        <w:t>的收集装置中</w:t>
      </w:r>
      <w:r>
        <w:rPr>
          <w:rFonts w:hint="eastAsia"/>
          <w:color w:val="auto"/>
        </w:rPr>
        <w:t>，气体进入吸附单元，采用活性炭进行吸附，最后油气通过排气筒进行排放。</w:t>
      </w:r>
    </w:p>
    <w:p w14:paraId="31FE51A6">
      <w:pPr>
        <w:ind w:firstLine="480"/>
        <w:rPr>
          <w:color w:val="auto"/>
        </w:rPr>
      </w:pPr>
      <w:r>
        <w:rPr>
          <w:rFonts w:hint="eastAsia"/>
          <w:color w:val="auto"/>
        </w:rPr>
        <w:t>冷凝单元的基本原理：回收的油气进入冷凝单元中，温度降低，当气体与低于其结露露点温度的表面接触时即会发生相变之结露冷凝作用，使其中的绝大部分油气组分冷凝为液体，气体本身的体积也减少，从而降低油气的排放，冷凝后的尾气进入吸附单元吸附。</w:t>
      </w:r>
    </w:p>
    <w:p w14:paraId="048F2892">
      <w:pPr>
        <w:ind w:firstLine="480"/>
        <w:rPr>
          <w:color w:val="auto"/>
        </w:rPr>
      </w:pPr>
      <w:r>
        <w:rPr>
          <w:rFonts w:hint="eastAsia"/>
          <w:color w:val="auto"/>
        </w:rPr>
        <w:t>回收吸附单元：以活性炭作为吸附材料，活性炭的特性是单位体积有着极大的表面积，可以有效地吸附油气中的烃。</w:t>
      </w:r>
    </w:p>
    <w:p w14:paraId="031425A9">
      <w:pPr>
        <w:ind w:firstLine="480"/>
        <w:rPr>
          <w:color w:val="auto"/>
        </w:rPr>
      </w:pPr>
      <w:r>
        <w:rPr>
          <w:rFonts w:hint="eastAsia"/>
          <w:color w:val="auto"/>
        </w:rPr>
        <w:t>参考《排污许可证申请与核发技术规范石化工业》（HJ</w:t>
      </w:r>
      <w:r>
        <w:rPr>
          <w:color w:val="auto"/>
        </w:rPr>
        <w:t>853</w:t>
      </w:r>
      <w:r>
        <w:rPr>
          <w:rFonts w:hint="eastAsia"/>
          <w:color w:val="auto"/>
        </w:rPr>
        <w:t>-20</w:t>
      </w:r>
      <w:r>
        <w:rPr>
          <w:color w:val="auto"/>
        </w:rPr>
        <w:t>17</w:t>
      </w:r>
      <w:r>
        <w:rPr>
          <w:rFonts w:hint="eastAsia"/>
          <w:color w:val="auto"/>
        </w:rPr>
        <w:t>）表</w:t>
      </w:r>
      <w:r>
        <w:rPr>
          <w:color w:val="auto"/>
        </w:rPr>
        <w:t>5</w:t>
      </w:r>
      <w:r>
        <w:rPr>
          <w:rFonts w:hint="eastAsia"/>
          <w:color w:val="auto"/>
        </w:rPr>
        <w:t>，装载污染可行</w:t>
      </w:r>
      <w:r>
        <w:rPr>
          <w:color w:val="auto"/>
        </w:rPr>
        <w:t>技术</w:t>
      </w:r>
      <w:r>
        <w:rPr>
          <w:rFonts w:hint="eastAsia"/>
          <w:color w:val="auto"/>
        </w:rPr>
        <w:t>为顶部浸没式或底部装载方式+油气回收或燃烧净化。本项目装船采用顶部浸没式装载</w:t>
      </w:r>
      <w:r>
        <w:rPr>
          <w:color w:val="auto"/>
        </w:rPr>
        <w:t>以及装船油气回收设施处理方式</w:t>
      </w:r>
      <w:r>
        <w:rPr>
          <w:rFonts w:hint="eastAsia"/>
          <w:color w:val="auto"/>
        </w:rPr>
        <w:t>，</w:t>
      </w:r>
      <w:r>
        <w:rPr>
          <w:color w:val="auto"/>
        </w:rPr>
        <w:t>装船产生的非甲烷总烃</w:t>
      </w:r>
      <w:r>
        <w:rPr>
          <w:rFonts w:hint="eastAsia"/>
          <w:color w:val="auto"/>
        </w:rPr>
        <w:t>经过汽油</w:t>
      </w:r>
      <w:r>
        <w:rPr>
          <w:color w:val="auto"/>
        </w:rPr>
        <w:t>装船</w:t>
      </w:r>
      <w:r>
        <w:rPr>
          <w:rFonts w:hint="eastAsia"/>
          <w:color w:val="auto"/>
        </w:rPr>
        <w:t>油气回收设施回收后经“冷凝+吸附”处理后有组织排放，符合《排污许可证申请与核发技术规范石化工业》（HJ853-2017）表2所列的装载污染防治可行技术。</w:t>
      </w:r>
    </w:p>
    <w:p w14:paraId="1831976C">
      <w:pPr>
        <w:ind w:firstLine="480"/>
        <w:rPr>
          <w:rFonts w:ascii="宋体" w:hAnsi="宋体"/>
          <w:color w:val="auto"/>
        </w:rPr>
      </w:pPr>
      <w:r>
        <w:rPr>
          <w:rFonts w:hint="eastAsia" w:ascii="宋体" w:hAnsi="宋体"/>
          <w:color w:val="auto"/>
        </w:rPr>
        <w:t>根据</w:t>
      </w:r>
      <w:r>
        <w:rPr>
          <w:rFonts w:hint="eastAsia"/>
          <w:color w:val="auto"/>
        </w:rPr>
        <w:t>《广西东油沥青有限公司5万吨级油气码头油库新建汽油装船油气回收系统项目环境保护设施竣工验收监测报告表》（20</w:t>
      </w:r>
      <w:r>
        <w:rPr>
          <w:color w:val="auto"/>
        </w:rPr>
        <w:t>21</w:t>
      </w:r>
      <w:r>
        <w:rPr>
          <w:rFonts w:hint="eastAsia"/>
          <w:color w:val="auto"/>
        </w:rPr>
        <w:t>年10月）中2021年9月19日~20日对</w:t>
      </w:r>
      <w:r>
        <w:rPr>
          <w:color w:val="auto"/>
        </w:rPr>
        <w:t>汽油</w:t>
      </w:r>
      <w:r>
        <w:rPr>
          <w:rFonts w:hint="eastAsia"/>
          <w:color w:val="auto"/>
        </w:rPr>
        <w:t>装船</w:t>
      </w:r>
      <w:r>
        <w:rPr>
          <w:color w:val="auto"/>
        </w:rPr>
        <w:t>油气回收设施</w:t>
      </w:r>
      <w:r>
        <w:rPr>
          <w:rFonts w:hint="eastAsia"/>
          <w:color w:val="auto"/>
        </w:rPr>
        <w:t>的</w:t>
      </w:r>
      <w:r>
        <w:rPr>
          <w:color w:val="auto"/>
        </w:rPr>
        <w:t>监测结果</w:t>
      </w:r>
      <w:r>
        <w:rPr>
          <w:rFonts w:hint="eastAsia"/>
          <w:color w:val="auto"/>
        </w:rPr>
        <w:t>，汽油装船油气</w:t>
      </w:r>
      <w:r>
        <w:rPr>
          <w:color w:val="auto"/>
        </w:rPr>
        <w:t>回收设施</w:t>
      </w:r>
      <w:r>
        <w:rPr>
          <w:rFonts w:hint="eastAsia"/>
          <w:color w:val="auto"/>
        </w:rPr>
        <w:t>排气筒</w:t>
      </w:r>
      <w:r>
        <w:rPr>
          <w:color w:val="auto"/>
        </w:rPr>
        <w:t>（</w:t>
      </w:r>
      <w:r>
        <w:rPr>
          <w:rFonts w:hint="eastAsia"/>
          <w:color w:val="auto"/>
        </w:rPr>
        <w:t>DA00</w:t>
      </w:r>
      <w:r>
        <w:rPr>
          <w:color w:val="auto"/>
        </w:rPr>
        <w:t>3）</w:t>
      </w:r>
      <w:r>
        <w:rPr>
          <w:rFonts w:hint="eastAsia"/>
          <w:color w:val="auto"/>
        </w:rPr>
        <w:t>排放</w:t>
      </w:r>
      <w:r>
        <w:rPr>
          <w:color w:val="auto"/>
        </w:rPr>
        <w:t>的非甲烷总烃均可达到</w:t>
      </w:r>
      <w:r>
        <w:rPr>
          <w:rFonts w:hint="eastAsia"/>
          <w:color w:val="auto"/>
        </w:rPr>
        <w:t>《石油炼制工业污染物排放标准》（GB31570-2015，含2024年修改单）表3大气污染物排放限值要求。</w:t>
      </w:r>
    </w:p>
    <w:p w14:paraId="5F0339EB">
      <w:pPr>
        <w:pStyle w:val="4"/>
        <w:rPr>
          <w:color w:val="auto"/>
        </w:rPr>
      </w:pPr>
      <w:r>
        <w:rPr>
          <w:color w:val="auto"/>
        </w:rPr>
        <w:t>无组织</w:t>
      </w:r>
      <w:r>
        <w:rPr>
          <w:rFonts w:hint="eastAsia"/>
          <w:color w:val="auto"/>
        </w:rPr>
        <w:t>排放控制</w:t>
      </w:r>
      <w:r>
        <w:rPr>
          <w:color w:val="auto"/>
        </w:rPr>
        <w:t>措施</w:t>
      </w:r>
    </w:p>
    <w:p w14:paraId="19D1CDC8">
      <w:pPr>
        <w:ind w:firstLine="480"/>
        <w:rPr>
          <w:color w:val="auto"/>
        </w:rPr>
      </w:pPr>
      <w:r>
        <w:rPr>
          <w:color w:val="auto"/>
        </w:rPr>
        <w:t>（1）加强设备维护保养，严格执行操作规程。所有管道、阀门等连接部位，运转部位和静密封点部位都应连接牢固，做到严密、不渗、不漏、不跑气；做到定期检查、清洗和校验</w:t>
      </w:r>
      <w:r>
        <w:rPr>
          <w:rFonts w:hint="eastAsia"/>
          <w:color w:val="auto"/>
        </w:rPr>
        <w:t>。</w:t>
      </w:r>
    </w:p>
    <w:p w14:paraId="20D0413B">
      <w:pPr>
        <w:ind w:firstLine="480"/>
        <w:rPr>
          <w:color w:val="auto"/>
        </w:rPr>
      </w:pPr>
      <w:r>
        <w:rPr>
          <w:color w:val="auto"/>
        </w:rPr>
        <w:t>（2）加强管理、控制操作工艺</w:t>
      </w:r>
      <w:r>
        <w:rPr>
          <w:rFonts w:hint="eastAsia"/>
          <w:color w:val="auto"/>
        </w:rPr>
        <w:t>，</w:t>
      </w:r>
      <w:r>
        <w:rPr>
          <w:color w:val="auto"/>
        </w:rPr>
        <w:t>严格按照《危险化学品码头安全管理制度》等规定或标准的要求</w:t>
      </w:r>
      <w:r>
        <w:rPr>
          <w:rFonts w:hint="eastAsia"/>
          <w:color w:val="auto"/>
        </w:rPr>
        <w:t>。</w:t>
      </w:r>
    </w:p>
    <w:p w14:paraId="70634A86">
      <w:pPr>
        <w:ind w:firstLine="480"/>
        <w:rPr>
          <w:color w:val="auto"/>
        </w:rPr>
      </w:pPr>
      <w:r>
        <w:rPr>
          <w:color w:val="auto"/>
        </w:rPr>
        <w:t>（3）定期检查管道、阀门及所有监控设备的工作状况，一旦发现有损坏的，应及时更换，保证系统正常安全运行。</w:t>
      </w:r>
    </w:p>
    <w:p w14:paraId="2C2EEB92">
      <w:pPr>
        <w:ind w:firstLine="480"/>
        <w:rPr>
          <w:color w:val="auto"/>
        </w:rPr>
      </w:pPr>
      <w:r>
        <w:rPr>
          <w:rFonts w:hint="eastAsia"/>
          <w:color w:val="auto"/>
        </w:rPr>
        <w:t>（4）</w:t>
      </w:r>
      <w:r>
        <w:rPr>
          <w:color w:val="auto"/>
        </w:rPr>
        <w:t>加强对本工程各类生产设施的维护和管理，减少由于“跑、冒、滴、漏”而产生的有机废气污染。</w:t>
      </w:r>
    </w:p>
    <w:p w14:paraId="1F10014E">
      <w:pPr>
        <w:ind w:firstLine="480"/>
        <w:rPr>
          <w:color w:val="auto"/>
        </w:rPr>
      </w:pPr>
      <w:r>
        <w:rPr>
          <w:rFonts w:hint="eastAsia"/>
          <w:color w:val="auto"/>
        </w:rPr>
        <w:t>（5）本次</w:t>
      </w:r>
      <w:r>
        <w:rPr>
          <w:color w:val="auto"/>
        </w:rPr>
        <w:t>扩建项目新增的</w:t>
      </w:r>
      <w:r>
        <w:rPr>
          <w:rFonts w:hint="eastAsia"/>
          <w:color w:val="auto"/>
        </w:rPr>
        <w:t>甲基叔丁基醚（MTBE）、石脑油、异辛烷（烷基化油）采用</w:t>
      </w:r>
      <w:r>
        <w:rPr>
          <w:color w:val="auto"/>
        </w:rPr>
        <w:t>内浮顶罐储存，</w:t>
      </w:r>
      <w:r>
        <w:rPr>
          <w:rFonts w:hint="eastAsia"/>
          <w:color w:val="auto"/>
        </w:rPr>
        <w:t>蜡油、渣油采用外浮顶罐</w:t>
      </w:r>
      <w:r>
        <w:rPr>
          <w:color w:val="auto"/>
        </w:rPr>
        <w:t>储存</w:t>
      </w:r>
      <w:r>
        <w:rPr>
          <w:rFonts w:hint="eastAsia"/>
          <w:color w:val="auto"/>
        </w:rPr>
        <w:t>。储罐均采用氮封措施，当罐内压力升至高于泄氮阀压力设定值时，泄氮阀打开，向外界释放氮气，使罐内压力下降，降至泄氮阀压力设定点时，自动关闭。</w:t>
      </w:r>
    </w:p>
    <w:p w14:paraId="440EC8D4">
      <w:pPr>
        <w:ind w:firstLine="480"/>
        <w:rPr>
          <w:color w:val="auto"/>
        </w:rPr>
      </w:pPr>
      <w:r>
        <w:rPr>
          <w:rFonts w:hint="eastAsia"/>
          <w:color w:val="auto"/>
        </w:rPr>
        <w:t>（6）扩建项目货种的装卸等过程均采用密闭管道进行输送，装载方式均为浸没式装载，出料管口与槽（罐）底部高度应小于200mm。且在装卸过程中采取气相平衡系统。</w:t>
      </w:r>
    </w:p>
    <w:p w14:paraId="063B4F66">
      <w:pPr>
        <w:pStyle w:val="5"/>
        <w:rPr>
          <w:color w:val="auto"/>
        </w:rPr>
      </w:pPr>
      <w:bookmarkStart w:id="577" w:name="_Toc216620631"/>
      <w:bookmarkStart w:id="578" w:name="_Toc136878561"/>
      <w:bookmarkStart w:id="579" w:name="_Toc223258500"/>
      <w:bookmarkStart w:id="580" w:name="_Toc223595790"/>
      <w:bookmarkStart w:id="581" w:name="_Toc216103472"/>
      <w:r>
        <w:rPr>
          <w:color w:val="auto"/>
        </w:rPr>
        <w:t>水环境保护措施</w:t>
      </w:r>
      <w:bookmarkEnd w:id="577"/>
      <w:bookmarkEnd w:id="578"/>
      <w:bookmarkEnd w:id="579"/>
      <w:bookmarkEnd w:id="580"/>
      <w:bookmarkEnd w:id="581"/>
    </w:p>
    <w:p w14:paraId="2C61C27D">
      <w:pPr>
        <w:pStyle w:val="4"/>
        <w:rPr>
          <w:color w:val="auto"/>
        </w:rPr>
      </w:pPr>
      <w:bookmarkStart w:id="582" w:name="_Toc135090296"/>
      <w:bookmarkStart w:id="583" w:name="_Toc25437037"/>
      <w:bookmarkStart w:id="584" w:name="_Toc29131896"/>
      <w:bookmarkStart w:id="585" w:name="_Toc26910083"/>
      <w:r>
        <w:rPr>
          <w:color w:val="auto"/>
        </w:rPr>
        <w:t>船舶废水</w:t>
      </w:r>
      <w:bookmarkEnd w:id="582"/>
      <w:bookmarkEnd w:id="583"/>
      <w:bookmarkEnd w:id="584"/>
      <w:bookmarkEnd w:id="585"/>
    </w:p>
    <w:p w14:paraId="3D6F055C">
      <w:pPr>
        <w:adjustRightInd w:val="0"/>
        <w:snapToGrid w:val="0"/>
        <w:ind w:firstLine="480"/>
        <w:rPr>
          <w:color w:val="auto"/>
        </w:rPr>
      </w:pPr>
      <w:r>
        <w:rPr>
          <w:color w:val="auto"/>
        </w:rPr>
        <w:t>船舶废水包括船舶舱底油污水和船舶生活污水，由海事部门监督管理。根据《MARPOL73/78防污公约》，船舶应配备机舱油污水处理系统和生活污水处理设施，船舶废水严禁在钦州港水域范围内排放（含处理后的生活污水），须委托具有资质的船舶污染物接收单位接收处理。</w:t>
      </w:r>
    </w:p>
    <w:p w14:paraId="672D6CFE">
      <w:pPr>
        <w:pStyle w:val="4"/>
        <w:rPr>
          <w:color w:val="auto"/>
        </w:rPr>
      </w:pPr>
      <w:bookmarkStart w:id="586" w:name="_Toc29131897"/>
      <w:bookmarkStart w:id="587" w:name="_Toc25437038"/>
      <w:bookmarkStart w:id="588" w:name="_Toc135090297"/>
      <w:bookmarkStart w:id="589" w:name="_Toc26910084"/>
      <w:r>
        <w:rPr>
          <w:rFonts w:hint="eastAsia"/>
          <w:color w:val="auto"/>
        </w:rPr>
        <w:t>陆域</w:t>
      </w:r>
      <w:r>
        <w:rPr>
          <w:color w:val="auto"/>
        </w:rPr>
        <w:t>生产废水</w:t>
      </w:r>
      <w:bookmarkEnd w:id="586"/>
      <w:bookmarkEnd w:id="587"/>
      <w:bookmarkEnd w:id="588"/>
      <w:bookmarkEnd w:id="589"/>
    </w:p>
    <w:p w14:paraId="057B726D">
      <w:pPr>
        <w:autoSpaceDE w:val="0"/>
        <w:ind w:firstLine="480"/>
        <w:rPr>
          <w:color w:val="auto"/>
        </w:rPr>
      </w:pPr>
      <w:r>
        <w:rPr>
          <w:rFonts w:hint="eastAsia" w:ascii="宋体" w:hAnsi="宋体"/>
          <w:color w:val="auto"/>
        </w:rPr>
        <w:t>本项目无新增员工，运营期废水主要来自码头冲洗废水、初期雨水、生活</w:t>
      </w:r>
      <w:r>
        <w:rPr>
          <w:rFonts w:ascii="宋体" w:hAnsi="宋体"/>
          <w:color w:val="auto"/>
        </w:rPr>
        <w:t>污水</w:t>
      </w:r>
      <w:r>
        <w:rPr>
          <w:rFonts w:hint="eastAsia" w:ascii="宋体" w:hAnsi="宋体"/>
          <w:color w:val="auto"/>
        </w:rPr>
        <w:t>。本项目仅在</w:t>
      </w:r>
      <w:r>
        <w:rPr>
          <w:color w:val="auto"/>
        </w:rPr>
        <w:t>6#</w:t>
      </w:r>
      <w:r>
        <w:rPr>
          <w:rFonts w:hint="eastAsia" w:ascii="宋体" w:hAnsi="宋体"/>
          <w:color w:val="auto"/>
        </w:rPr>
        <w:t>泊位上进行新增</w:t>
      </w:r>
      <w:r>
        <w:rPr>
          <w:rFonts w:ascii="宋体" w:hAnsi="宋体"/>
          <w:color w:val="auto"/>
        </w:rPr>
        <w:t>货种，</w:t>
      </w:r>
      <w:r>
        <w:rPr>
          <w:rFonts w:hint="eastAsia" w:ascii="宋体" w:hAnsi="宋体"/>
          <w:color w:val="auto"/>
        </w:rPr>
        <w:t>不改变项目原有总平面布置，不</w:t>
      </w:r>
      <w:r>
        <w:rPr>
          <w:rFonts w:ascii="宋体" w:hAnsi="宋体"/>
          <w:color w:val="auto"/>
        </w:rPr>
        <w:t>新增产污设施</w:t>
      </w:r>
      <w:r>
        <w:rPr>
          <w:rFonts w:hint="eastAsia" w:ascii="宋体" w:hAnsi="宋体"/>
          <w:color w:val="auto"/>
          <w:lang w:eastAsia="zh-CN"/>
        </w:rPr>
        <w:t>。</w:t>
      </w:r>
      <w:r>
        <w:rPr>
          <w:rFonts w:hint="eastAsia" w:ascii="宋体" w:hAnsi="宋体"/>
          <w:color w:val="auto"/>
          <w:u w:val="single"/>
          <w:lang w:eastAsia="zh-CN"/>
        </w:rPr>
        <w:t>由于装卸货种变化，初期雨水和码头冲洗废水产生变化，货种均采用密闭管道进行装卸，废水中的污染物变化较小。储罐更换货种储存不进行洗罐，无洗罐废水产生。</w:t>
      </w:r>
      <w:r>
        <w:rPr>
          <w:color w:val="auto"/>
        </w:rPr>
        <w:t>降雨后期地面洁净雨水经阀门切换至雨水排水管网，排至海域。</w:t>
      </w:r>
    </w:p>
    <w:p w14:paraId="6BE17EFC">
      <w:pPr>
        <w:autoSpaceDE w:val="0"/>
        <w:ind w:firstLine="480"/>
        <w:rPr>
          <w:rFonts w:ascii="宋体" w:hAnsi="宋体"/>
          <w:color w:val="auto"/>
        </w:rPr>
      </w:pPr>
      <w:r>
        <w:rPr>
          <w:rFonts w:hint="eastAsia" w:ascii="宋体" w:hAnsi="宋体"/>
          <w:color w:val="auto"/>
        </w:rPr>
        <w:t>根据现场调查的情况，码头冲洗废水、初期雨水和生活污水的收集和处理情况如下：</w:t>
      </w:r>
    </w:p>
    <w:p w14:paraId="44D17D03">
      <w:pPr>
        <w:autoSpaceDE w:val="0"/>
        <w:ind w:firstLine="480"/>
        <w:rPr>
          <w:rFonts w:ascii="宋体" w:hAnsi="宋体"/>
          <w:color w:val="auto"/>
        </w:rPr>
      </w:pPr>
      <w:r>
        <w:rPr>
          <w:rFonts w:hint="eastAsia" w:ascii="宋体" w:hAnsi="宋体"/>
          <w:color w:val="auto"/>
        </w:rPr>
        <w:t>1、码头冲洗废水和码头初期雨水</w:t>
      </w:r>
    </w:p>
    <w:p w14:paraId="7DF2A38B">
      <w:pPr>
        <w:autoSpaceDE w:val="0"/>
        <w:ind w:firstLine="480"/>
        <w:rPr>
          <w:color w:val="auto"/>
        </w:rPr>
      </w:pPr>
      <w:r>
        <w:rPr>
          <w:color w:val="auto"/>
        </w:rPr>
        <w:t>码头装卸区四周设置围堰（长宽高：34m×17m×0.2m，有效容积350m</w:t>
      </w:r>
      <w:r>
        <w:rPr>
          <w:color w:val="auto"/>
          <w:vertAlign w:val="superscript"/>
        </w:rPr>
        <w:t>3</w:t>
      </w:r>
      <w:r>
        <w:rPr>
          <w:color w:val="auto"/>
        </w:rPr>
        <w:t>），围堰内设置集污池</w:t>
      </w:r>
      <w:r>
        <w:rPr>
          <w:rFonts w:hint="eastAsia"/>
          <w:color w:val="auto"/>
        </w:rPr>
        <w:t>。码头冲洗废水和码头</w:t>
      </w:r>
      <w:r>
        <w:rPr>
          <w:rFonts w:hint="eastAsia" w:ascii="宋体" w:hAnsi="宋体"/>
          <w:color w:val="auto"/>
        </w:rPr>
        <w:t>初期雨</w:t>
      </w:r>
      <w:r>
        <w:rPr>
          <w:color w:val="auto"/>
        </w:rPr>
        <w:t>水经码头装卸区四周围坎收集到集污池</w:t>
      </w:r>
      <w:r>
        <w:rPr>
          <w:rFonts w:hint="eastAsia"/>
          <w:color w:val="auto"/>
        </w:rPr>
        <w:t>（容积约2m</w:t>
      </w:r>
      <w:r>
        <w:rPr>
          <w:rFonts w:hint="eastAsia"/>
          <w:color w:val="auto"/>
          <w:vertAlign w:val="superscript"/>
        </w:rPr>
        <w:t>3</w:t>
      </w:r>
      <w:r>
        <w:rPr>
          <w:rFonts w:hint="eastAsia"/>
          <w:color w:val="auto"/>
        </w:rPr>
        <w:t>）</w:t>
      </w:r>
      <w:r>
        <w:rPr>
          <w:color w:val="auto"/>
        </w:rPr>
        <w:t>，</w:t>
      </w:r>
      <w:r>
        <w:rPr>
          <w:rFonts w:hint="eastAsia"/>
          <w:color w:val="auto"/>
        </w:rPr>
        <w:t>经过</w:t>
      </w:r>
      <w:r>
        <w:rPr>
          <w:color w:val="auto"/>
        </w:rPr>
        <w:t>提升泵，泵送至引桥</w:t>
      </w:r>
      <w:r>
        <w:rPr>
          <w:rFonts w:hint="eastAsia"/>
          <w:color w:val="auto"/>
        </w:rPr>
        <w:t>与</w:t>
      </w:r>
      <w:r>
        <w:rPr>
          <w:color w:val="auto"/>
        </w:rPr>
        <w:t>库区连接处</w:t>
      </w:r>
      <w:r>
        <w:rPr>
          <w:rFonts w:hint="eastAsia"/>
          <w:color w:val="auto"/>
        </w:rPr>
        <w:t>左侧</w:t>
      </w:r>
      <w:r>
        <w:rPr>
          <w:color w:val="auto"/>
        </w:rPr>
        <w:t>的事故应急池</w:t>
      </w:r>
      <w:r>
        <w:rPr>
          <w:rFonts w:hint="eastAsia"/>
          <w:color w:val="auto"/>
        </w:rPr>
        <w:t>（容积20000</w:t>
      </w:r>
      <w:r>
        <w:rPr>
          <w:color w:val="auto"/>
        </w:rPr>
        <w:t>m</w:t>
      </w:r>
      <w:r>
        <w:rPr>
          <w:color w:val="auto"/>
          <w:vertAlign w:val="superscript"/>
        </w:rPr>
        <w:t>3</w:t>
      </w:r>
      <w:r>
        <w:rPr>
          <w:rFonts w:hint="eastAsia"/>
          <w:color w:val="auto"/>
        </w:rPr>
        <w:t>）</w:t>
      </w:r>
      <w:r>
        <w:rPr>
          <w:color w:val="auto"/>
        </w:rPr>
        <w:t>中，现有工程事故应急池兼顾初期雨水池的功能。再</w:t>
      </w:r>
      <w:r>
        <w:rPr>
          <w:rFonts w:hint="eastAsia"/>
          <w:color w:val="auto"/>
        </w:rPr>
        <w:t>经过</w:t>
      </w:r>
      <w:r>
        <w:rPr>
          <w:color w:val="auto"/>
        </w:rPr>
        <w:t>泵将水抽送至</w:t>
      </w:r>
      <w:r>
        <w:rPr>
          <w:rFonts w:hint="eastAsia"/>
          <w:color w:val="auto"/>
        </w:rPr>
        <w:t>库区</w:t>
      </w:r>
      <w:r>
        <w:rPr>
          <w:color w:val="auto"/>
        </w:rPr>
        <w:t>污水处理</w:t>
      </w:r>
      <w:r>
        <w:rPr>
          <w:rFonts w:hint="eastAsia"/>
          <w:color w:val="auto"/>
        </w:rPr>
        <w:t>设施</w:t>
      </w:r>
      <w:r>
        <w:rPr>
          <w:color w:val="auto"/>
        </w:rPr>
        <w:t>，由罐车</w:t>
      </w:r>
      <w:r>
        <w:rPr>
          <w:rFonts w:hint="eastAsia"/>
          <w:color w:val="auto"/>
        </w:rPr>
        <w:t>运回东油沥青厂区后统一通过管网输送至广西石化污水处理场进行处理。</w:t>
      </w:r>
    </w:p>
    <w:p w14:paraId="5C8D0315">
      <w:pPr>
        <w:autoSpaceDE w:val="0"/>
        <w:ind w:firstLine="480"/>
        <w:rPr>
          <w:color w:val="auto"/>
        </w:rPr>
      </w:pPr>
      <w:r>
        <w:rPr>
          <w:rFonts w:hint="eastAsia"/>
          <w:color w:val="auto"/>
        </w:rPr>
        <w:t>2、罐区初期雨水</w:t>
      </w:r>
    </w:p>
    <w:p w14:paraId="3C03284D">
      <w:pPr>
        <w:ind w:firstLine="480" w:firstLineChars="0"/>
        <w:rPr>
          <w:color w:val="auto"/>
        </w:rPr>
      </w:pPr>
      <w:r>
        <w:rPr>
          <w:rFonts w:hint="eastAsia"/>
          <w:color w:val="auto"/>
        </w:rPr>
        <w:t>罐组内的初期雨水通过雨水管网收集后，排至事故应急池，</w:t>
      </w:r>
      <w:r>
        <w:rPr>
          <w:color w:val="auto"/>
        </w:rPr>
        <w:t>现有工程事故应急池兼顾初期雨水池的功能</w:t>
      </w:r>
      <w:r>
        <w:rPr>
          <w:rFonts w:hint="eastAsia"/>
          <w:color w:val="auto"/>
        </w:rPr>
        <w:t>。</w:t>
      </w:r>
      <w:r>
        <w:rPr>
          <w:color w:val="auto"/>
        </w:rPr>
        <w:t>再</w:t>
      </w:r>
      <w:r>
        <w:rPr>
          <w:rFonts w:hint="eastAsia"/>
          <w:color w:val="auto"/>
        </w:rPr>
        <w:t>经过</w:t>
      </w:r>
      <w:r>
        <w:rPr>
          <w:color w:val="auto"/>
        </w:rPr>
        <w:t>泵将水抽送至</w:t>
      </w:r>
      <w:r>
        <w:rPr>
          <w:rFonts w:hint="eastAsia"/>
          <w:color w:val="auto"/>
        </w:rPr>
        <w:t>库区</w:t>
      </w:r>
      <w:r>
        <w:rPr>
          <w:color w:val="auto"/>
        </w:rPr>
        <w:t>污水处理</w:t>
      </w:r>
      <w:r>
        <w:rPr>
          <w:rFonts w:hint="eastAsia"/>
          <w:color w:val="auto"/>
        </w:rPr>
        <w:t>设施</w:t>
      </w:r>
      <w:r>
        <w:rPr>
          <w:color w:val="auto"/>
        </w:rPr>
        <w:t>，由罐车</w:t>
      </w:r>
      <w:r>
        <w:rPr>
          <w:rFonts w:hint="eastAsia"/>
          <w:color w:val="auto"/>
        </w:rPr>
        <w:t>运回东油沥青厂区后统一通过管网输送至广西石化污水处理场进行处理。</w:t>
      </w:r>
    </w:p>
    <w:p w14:paraId="28BC13C6">
      <w:pPr>
        <w:autoSpaceDE w:val="0"/>
        <w:ind w:firstLine="480"/>
        <w:rPr>
          <w:color w:val="auto"/>
        </w:rPr>
      </w:pPr>
      <w:r>
        <w:rPr>
          <w:rFonts w:hint="eastAsia"/>
          <w:color w:val="auto"/>
        </w:rPr>
        <w:t>3、</w:t>
      </w:r>
      <w:r>
        <w:rPr>
          <w:color w:val="auto"/>
        </w:rPr>
        <w:t>洗罐废水</w:t>
      </w:r>
    </w:p>
    <w:p w14:paraId="2E0EB4EB">
      <w:pPr>
        <w:autoSpaceDE w:val="0"/>
        <w:ind w:firstLine="480"/>
        <w:rPr>
          <w:rFonts w:ascii="宋体" w:hAnsi="宋体"/>
          <w:color w:val="auto"/>
        </w:rPr>
      </w:pPr>
      <w:r>
        <w:rPr>
          <w:rFonts w:hint="eastAsia" w:ascii="宋体" w:hAnsi="宋体"/>
          <w:color w:val="auto"/>
        </w:rPr>
        <w:t>洗罐废水经收集后进入现有污水处理设施进行隔油处理，废水由罐车运至广西东油沥青有限公司沥青厂区后统一通过管网输送至广西石化污水处理场进行处理。</w:t>
      </w:r>
    </w:p>
    <w:p w14:paraId="2E62FC90">
      <w:pPr>
        <w:ind w:firstLine="480"/>
        <w:rPr>
          <w:color w:val="auto"/>
        </w:rPr>
      </w:pPr>
      <w:r>
        <w:rPr>
          <w:rFonts w:hint="eastAsia"/>
          <w:color w:val="auto"/>
        </w:rPr>
        <w:t>4、陆域</w:t>
      </w:r>
      <w:r>
        <w:rPr>
          <w:color w:val="auto"/>
        </w:rPr>
        <w:t>生活污水</w:t>
      </w:r>
    </w:p>
    <w:p w14:paraId="267FE6F9">
      <w:pPr>
        <w:ind w:firstLine="480"/>
        <w:rPr>
          <w:color w:val="auto"/>
        </w:rPr>
      </w:pPr>
      <w:r>
        <w:rPr>
          <w:rFonts w:hint="eastAsia"/>
          <w:color w:val="auto"/>
        </w:rPr>
        <w:t>陆域</w:t>
      </w:r>
      <w:r>
        <w:rPr>
          <w:color w:val="auto"/>
        </w:rPr>
        <w:t>生活污水</w:t>
      </w:r>
      <w:r>
        <w:rPr>
          <w:rFonts w:hint="eastAsia"/>
          <w:color w:val="auto"/>
        </w:rPr>
        <w:t>进入</w:t>
      </w:r>
      <w:r>
        <w:rPr>
          <w:color w:val="auto"/>
        </w:rPr>
        <w:t>化粪池后，</w:t>
      </w:r>
      <w:r>
        <w:rPr>
          <w:rFonts w:hint="eastAsia"/>
          <w:color w:val="auto"/>
        </w:rPr>
        <w:t>由吸污车运至东油沥青厂后，统一通过管网输送至广西石化污水处理场进行处理。</w:t>
      </w:r>
    </w:p>
    <w:p w14:paraId="55AC03CE">
      <w:pPr>
        <w:autoSpaceDE w:val="0"/>
        <w:ind w:firstLine="480"/>
        <w:rPr>
          <w:color w:val="auto"/>
        </w:rPr>
      </w:pPr>
      <w:r>
        <w:rPr>
          <w:color w:val="auto"/>
        </w:rPr>
        <w:t>降雨后期地面洁净雨水经阀门切换至雨水排水管网，排至海域。</w:t>
      </w:r>
    </w:p>
    <w:p w14:paraId="431ADE5C">
      <w:pPr>
        <w:pStyle w:val="4"/>
        <w:rPr>
          <w:color w:val="auto"/>
        </w:rPr>
      </w:pPr>
      <w:r>
        <w:rPr>
          <w:rFonts w:hint="eastAsia"/>
          <w:color w:val="auto"/>
        </w:rPr>
        <w:t>污水依托处理可行性分析</w:t>
      </w:r>
    </w:p>
    <w:p w14:paraId="7ACC6725">
      <w:pPr>
        <w:ind w:firstLine="480"/>
        <w:rPr>
          <w:color w:val="auto"/>
        </w:rPr>
      </w:pPr>
      <w:r>
        <w:rPr>
          <w:rFonts w:hint="eastAsia"/>
          <w:color w:val="auto"/>
        </w:rPr>
        <w:t>本项目码头冲洗</w:t>
      </w:r>
      <w:r>
        <w:rPr>
          <w:color w:val="auto"/>
        </w:rPr>
        <w:t>废水、洗罐</w:t>
      </w:r>
      <w:r>
        <w:rPr>
          <w:rFonts w:hint="eastAsia"/>
          <w:color w:val="auto"/>
        </w:rPr>
        <w:t>废水、初期雨水和生活污水均由罐车清运至东油沥青厂区污水收集池后通过管道输送至广西石化厂区进行处理。</w:t>
      </w:r>
    </w:p>
    <w:p w14:paraId="78D1582B">
      <w:pPr>
        <w:ind w:firstLine="480"/>
        <w:rPr>
          <w:color w:val="auto"/>
        </w:rPr>
      </w:pPr>
      <w:r>
        <w:rPr>
          <w:color w:val="auto"/>
        </w:rPr>
        <w:t>东油沥青厂于2016</w:t>
      </w:r>
      <w:r>
        <w:rPr>
          <w:rFonts w:hint="eastAsia"/>
          <w:color w:val="auto"/>
        </w:rPr>
        <w:t>年5月3</w:t>
      </w:r>
      <w:r>
        <w:rPr>
          <w:color w:val="auto"/>
        </w:rPr>
        <w:t>1</w:t>
      </w:r>
      <w:r>
        <w:rPr>
          <w:rFonts w:hint="eastAsia"/>
          <w:color w:val="auto"/>
        </w:rPr>
        <w:t>日取得《广西东油沥青有限公司</w:t>
      </w:r>
      <w:r>
        <w:rPr>
          <w:color w:val="auto"/>
        </w:rPr>
        <w:t>沥青厂</w:t>
      </w:r>
      <w:r>
        <w:rPr>
          <w:rFonts w:hint="eastAsia"/>
          <w:color w:val="auto"/>
        </w:rPr>
        <w:t>污水处理及动力燃料变更环境影响</w:t>
      </w:r>
      <w:r>
        <w:rPr>
          <w:color w:val="auto"/>
        </w:rPr>
        <w:t>分析报告</w:t>
      </w:r>
      <w:r>
        <w:rPr>
          <w:rFonts w:hint="eastAsia"/>
          <w:color w:val="auto"/>
        </w:rPr>
        <w:t>》</w:t>
      </w:r>
      <w:r>
        <w:rPr>
          <w:color w:val="auto"/>
        </w:rPr>
        <w:t>的批复</w:t>
      </w:r>
      <w:r>
        <w:rPr>
          <w:rFonts w:hint="eastAsia"/>
          <w:color w:val="auto"/>
        </w:rPr>
        <w:t>，</w:t>
      </w:r>
      <w:r>
        <w:rPr>
          <w:color w:val="auto"/>
        </w:rPr>
        <w:t>批文号</w:t>
      </w:r>
      <w:r>
        <w:rPr>
          <w:rFonts w:hint="eastAsia"/>
          <w:color w:val="auto"/>
        </w:rPr>
        <w:t>：钦</w:t>
      </w:r>
      <w:r>
        <w:rPr>
          <w:color w:val="auto"/>
        </w:rPr>
        <w:t>港环管字</w:t>
      </w:r>
      <w:r>
        <w:rPr>
          <w:rFonts w:hint="eastAsia"/>
          <w:color w:val="auto"/>
        </w:rPr>
        <w:t>〔2016〕12号</w:t>
      </w:r>
      <w:r>
        <w:rPr>
          <w:color w:val="auto"/>
        </w:rPr>
        <w:t>，并于2017</w:t>
      </w:r>
      <w:r>
        <w:rPr>
          <w:rFonts w:hint="eastAsia"/>
          <w:color w:val="auto"/>
        </w:rPr>
        <w:t>年12月17日完成</w:t>
      </w:r>
      <w:r>
        <w:rPr>
          <w:color w:val="auto"/>
        </w:rPr>
        <w:t>竣工环境保护验收。</w:t>
      </w:r>
      <w:r>
        <w:rPr>
          <w:rFonts w:hint="eastAsia"/>
          <w:color w:val="auto"/>
        </w:rPr>
        <w:t>2016年</w:t>
      </w:r>
      <w:r>
        <w:rPr>
          <w:color w:val="auto"/>
        </w:rPr>
        <w:t>东油沥青厂</w:t>
      </w:r>
      <w:r>
        <w:rPr>
          <w:rFonts w:hint="eastAsia"/>
          <w:color w:val="auto"/>
        </w:rPr>
        <w:t>环评</w:t>
      </w:r>
      <w:r>
        <w:rPr>
          <w:color w:val="auto"/>
        </w:rPr>
        <w:t>批复后，东油沥青厂的污水通过</w:t>
      </w:r>
      <w:r>
        <w:rPr>
          <w:rFonts w:hint="eastAsia"/>
          <w:color w:val="auto"/>
        </w:rPr>
        <w:t>原有</w:t>
      </w:r>
      <w:r>
        <w:rPr>
          <w:color w:val="auto"/>
        </w:rPr>
        <w:t>的污水管网直接将污水泵送至</w:t>
      </w:r>
      <w:r>
        <w:rPr>
          <w:rFonts w:hint="eastAsia"/>
          <w:color w:val="auto"/>
        </w:rPr>
        <w:t>广西石化分公司污水处理厂进行处理</w:t>
      </w:r>
      <w:r>
        <w:rPr>
          <w:color w:val="auto"/>
        </w:rPr>
        <w:t>，不</w:t>
      </w:r>
      <w:r>
        <w:rPr>
          <w:rFonts w:hint="eastAsia"/>
          <w:color w:val="auto"/>
        </w:rPr>
        <w:t>在东油</w:t>
      </w:r>
      <w:r>
        <w:rPr>
          <w:color w:val="auto"/>
        </w:rPr>
        <w:t>沥青厂处理污水。</w:t>
      </w:r>
    </w:p>
    <w:p w14:paraId="12306747">
      <w:pPr>
        <w:ind w:firstLine="480"/>
        <w:rPr>
          <w:rFonts w:ascii="宋体" w:hAnsi="宋体"/>
          <w:color w:val="auto"/>
        </w:rPr>
      </w:pPr>
      <w:r>
        <w:rPr>
          <w:rFonts w:hint="eastAsia" w:ascii="宋体" w:hAnsi="宋体"/>
          <w:color w:val="auto"/>
        </w:rPr>
        <w:t>广西石化分公司污水处理场是中国石油广西石化1000万吨/年炼油项目的配套项目，设计处理污水能为1000m</w:t>
      </w:r>
      <w:r>
        <w:rPr>
          <w:rFonts w:hint="eastAsia" w:ascii="宋体" w:hAnsi="宋体"/>
          <w:color w:val="auto"/>
          <w:vertAlign w:val="superscript"/>
        </w:rPr>
        <w:t>3</w:t>
      </w:r>
      <w:r>
        <w:rPr>
          <w:rFonts w:hint="eastAsia" w:ascii="宋体" w:hAnsi="宋体"/>
          <w:color w:val="auto"/>
        </w:rPr>
        <w:t>/h。主要</w:t>
      </w:r>
      <w:r>
        <w:rPr>
          <w:rFonts w:ascii="宋体" w:hAnsi="宋体"/>
          <w:color w:val="auto"/>
        </w:rPr>
        <w:t>服务</w:t>
      </w:r>
      <w:r>
        <w:rPr>
          <w:rFonts w:hint="eastAsia" w:ascii="宋体" w:hAnsi="宋体"/>
          <w:color w:val="auto"/>
        </w:rPr>
        <w:t>广西石化公司产生</w:t>
      </w:r>
      <w:r>
        <w:rPr>
          <w:rFonts w:ascii="宋体" w:hAnsi="宋体"/>
          <w:color w:val="auto"/>
        </w:rPr>
        <w:t>的生产废水</w:t>
      </w:r>
      <w:r>
        <w:rPr>
          <w:rFonts w:hint="eastAsia" w:ascii="宋体" w:hAnsi="宋体"/>
          <w:color w:val="auto"/>
        </w:rPr>
        <w:t>、</w:t>
      </w:r>
      <w:r>
        <w:rPr>
          <w:rFonts w:ascii="宋体" w:hAnsi="宋体"/>
          <w:color w:val="auto"/>
        </w:rPr>
        <w:t>生活污水以及广西东油</w:t>
      </w:r>
      <w:r>
        <w:rPr>
          <w:rFonts w:hint="eastAsia" w:ascii="宋体" w:hAnsi="宋体"/>
          <w:color w:val="auto"/>
        </w:rPr>
        <w:t>沥青</w:t>
      </w:r>
      <w:r>
        <w:rPr>
          <w:rFonts w:ascii="宋体" w:hAnsi="宋体"/>
          <w:color w:val="auto"/>
        </w:rPr>
        <w:t>有限公司产生的</w:t>
      </w:r>
      <w:r>
        <w:rPr>
          <w:rFonts w:hint="eastAsia" w:ascii="宋体" w:hAnsi="宋体"/>
          <w:color w:val="auto"/>
        </w:rPr>
        <w:t>生产</w:t>
      </w:r>
      <w:r>
        <w:rPr>
          <w:rFonts w:ascii="宋体" w:hAnsi="宋体"/>
          <w:color w:val="auto"/>
        </w:rPr>
        <w:t>废水及生活污水。</w:t>
      </w:r>
    </w:p>
    <w:p w14:paraId="65F6D9CB">
      <w:pPr>
        <w:ind w:firstLine="480"/>
        <w:rPr>
          <w:color w:val="auto"/>
        </w:rPr>
      </w:pPr>
      <w:r>
        <w:rPr>
          <w:rFonts w:hint="eastAsia" w:ascii="宋体" w:hAnsi="宋体"/>
          <w:color w:val="auto"/>
        </w:rPr>
        <w:t>根据</w:t>
      </w:r>
      <w:r>
        <w:rPr>
          <w:rFonts w:hint="eastAsia"/>
          <w:color w:val="auto"/>
        </w:rPr>
        <w:t>《广西东油沥青有限公司</w:t>
      </w:r>
      <w:r>
        <w:rPr>
          <w:color w:val="auto"/>
        </w:rPr>
        <w:t>沥青厂</w:t>
      </w:r>
      <w:r>
        <w:rPr>
          <w:rFonts w:hint="eastAsia"/>
          <w:color w:val="auto"/>
        </w:rPr>
        <w:t>污水处理及动力燃料变更项目</w:t>
      </w:r>
      <w:r>
        <w:rPr>
          <w:color w:val="auto"/>
        </w:rPr>
        <w:t>验收报告》（</w:t>
      </w:r>
      <w:r>
        <w:rPr>
          <w:rFonts w:hint="eastAsia"/>
          <w:color w:val="auto"/>
        </w:rPr>
        <w:t>中检环监测验字[2017]第004号</w:t>
      </w:r>
      <w:r>
        <w:rPr>
          <w:color w:val="auto"/>
        </w:rPr>
        <w:t>）</w:t>
      </w:r>
      <w:r>
        <w:rPr>
          <w:rFonts w:hint="eastAsia"/>
          <w:color w:val="auto"/>
        </w:rPr>
        <w:t>，</w:t>
      </w:r>
      <w:r>
        <w:rPr>
          <w:rFonts w:hint="eastAsia" w:ascii="宋体" w:hAnsi="宋体"/>
          <w:color w:val="auto"/>
        </w:rPr>
        <w:t>广西东油沥青有限公司沥青厂废水</w:t>
      </w:r>
      <w:r>
        <w:rPr>
          <w:rFonts w:ascii="宋体" w:hAnsi="宋体"/>
          <w:color w:val="auto"/>
        </w:rPr>
        <w:t>外排量</w:t>
      </w:r>
      <w:r>
        <w:rPr>
          <w:color w:val="auto"/>
        </w:rPr>
        <w:t>为41.05m</w:t>
      </w:r>
      <w:r>
        <w:rPr>
          <w:color w:val="auto"/>
          <w:vertAlign w:val="superscript"/>
        </w:rPr>
        <w:t>3</w:t>
      </w:r>
      <w:r>
        <w:rPr>
          <w:color w:val="auto"/>
        </w:rPr>
        <w:t>/h，</w:t>
      </w:r>
      <w:r>
        <w:rPr>
          <w:rFonts w:hint="eastAsia" w:ascii="宋体" w:hAnsi="宋体"/>
          <w:color w:val="auto"/>
        </w:rPr>
        <w:t>中国石油广西石化公司废水</w:t>
      </w:r>
      <w:r>
        <w:rPr>
          <w:rFonts w:ascii="宋体" w:hAnsi="宋体"/>
          <w:color w:val="auto"/>
        </w:rPr>
        <w:t>量</w:t>
      </w:r>
      <w:r>
        <w:rPr>
          <w:color w:val="auto"/>
        </w:rPr>
        <w:t>为327.5m</w:t>
      </w:r>
      <w:r>
        <w:rPr>
          <w:color w:val="auto"/>
          <w:vertAlign w:val="superscript"/>
        </w:rPr>
        <w:t>3</w:t>
      </w:r>
      <w:r>
        <w:rPr>
          <w:color w:val="auto"/>
        </w:rPr>
        <w:t>/h</w:t>
      </w:r>
      <w:r>
        <w:rPr>
          <w:rFonts w:hint="eastAsia"/>
          <w:color w:val="auto"/>
        </w:rPr>
        <w:t>。根据</w:t>
      </w:r>
      <w:r>
        <w:rPr>
          <w:color w:val="auto"/>
        </w:rPr>
        <w:t>现有工程计算，</w:t>
      </w:r>
      <w:r>
        <w:rPr>
          <w:rFonts w:hint="eastAsia"/>
          <w:color w:val="auto"/>
        </w:rPr>
        <w:t>广西东油沥青有限公司码头</w:t>
      </w:r>
      <w:r>
        <w:rPr>
          <w:color w:val="auto"/>
        </w:rPr>
        <w:t>及库区现有</w:t>
      </w:r>
      <w:r>
        <w:rPr>
          <w:rFonts w:hint="eastAsia"/>
          <w:color w:val="auto"/>
        </w:rPr>
        <w:t>工程废水</w:t>
      </w:r>
      <w:r>
        <w:rPr>
          <w:color w:val="auto"/>
        </w:rPr>
        <w:t>产生量约</w:t>
      </w:r>
      <w:r>
        <w:rPr>
          <w:rFonts w:hint="eastAsia"/>
          <w:color w:val="auto"/>
        </w:rPr>
        <w:t>3418.9</w:t>
      </w:r>
      <w:r>
        <w:rPr>
          <w:color w:val="auto"/>
        </w:rPr>
        <w:t>m</w:t>
      </w:r>
      <w:r>
        <w:rPr>
          <w:color w:val="auto"/>
          <w:vertAlign w:val="superscript"/>
        </w:rPr>
        <w:t>3</w:t>
      </w:r>
      <w:r>
        <w:rPr>
          <w:color w:val="auto"/>
        </w:rPr>
        <w:t>/a</w:t>
      </w:r>
      <w:r>
        <w:rPr>
          <w:rFonts w:hint="eastAsia"/>
          <w:color w:val="auto"/>
        </w:rPr>
        <w:t>（1.3</w:t>
      </w:r>
      <w:r>
        <w:rPr>
          <w:color w:val="auto"/>
        </w:rPr>
        <w:t>m</w:t>
      </w:r>
      <w:r>
        <w:rPr>
          <w:color w:val="auto"/>
          <w:vertAlign w:val="superscript"/>
        </w:rPr>
        <w:t>3</w:t>
      </w:r>
      <w:r>
        <w:rPr>
          <w:color w:val="auto"/>
        </w:rPr>
        <w:t>/h</w:t>
      </w:r>
      <w:r>
        <w:rPr>
          <w:rFonts w:hint="eastAsia"/>
          <w:color w:val="auto"/>
        </w:rPr>
        <w:t>）</w:t>
      </w:r>
      <w:r>
        <w:rPr>
          <w:color w:val="auto"/>
        </w:rPr>
        <w:t>，</w:t>
      </w:r>
      <w:r>
        <w:rPr>
          <w:rFonts w:hint="eastAsia"/>
          <w:color w:val="auto"/>
        </w:rPr>
        <w:t>合计</w:t>
      </w:r>
      <w:r>
        <w:rPr>
          <w:color w:val="auto"/>
        </w:rPr>
        <w:t>废水处理量为</w:t>
      </w:r>
      <w:r>
        <w:rPr>
          <w:rFonts w:hint="eastAsia"/>
          <w:color w:val="auto"/>
        </w:rPr>
        <w:t>369.85</w:t>
      </w:r>
      <w:r>
        <w:rPr>
          <w:color w:val="auto"/>
        </w:rPr>
        <w:t>m</w:t>
      </w:r>
      <w:r>
        <w:rPr>
          <w:color w:val="auto"/>
          <w:vertAlign w:val="superscript"/>
        </w:rPr>
        <w:t>3</w:t>
      </w:r>
      <w:r>
        <w:rPr>
          <w:color w:val="auto"/>
        </w:rPr>
        <w:t>/h</w:t>
      </w:r>
      <w:r>
        <w:rPr>
          <w:rFonts w:hint="eastAsia"/>
          <w:color w:val="auto"/>
        </w:rPr>
        <w:t>，</w:t>
      </w:r>
      <w:r>
        <w:rPr>
          <w:color w:val="auto"/>
        </w:rPr>
        <w:t>小于处理能力</w:t>
      </w:r>
      <w:r>
        <w:rPr>
          <w:rFonts w:hint="eastAsia"/>
          <w:color w:val="auto"/>
        </w:rPr>
        <w:t>100</w:t>
      </w:r>
      <w:r>
        <w:rPr>
          <w:color w:val="auto"/>
        </w:rPr>
        <w:t>0m</w:t>
      </w:r>
      <w:r>
        <w:rPr>
          <w:color w:val="auto"/>
          <w:vertAlign w:val="superscript"/>
        </w:rPr>
        <w:t>3</w:t>
      </w:r>
      <w:r>
        <w:rPr>
          <w:color w:val="auto"/>
        </w:rPr>
        <w:t>/h</w:t>
      </w:r>
      <w:r>
        <w:rPr>
          <w:rFonts w:hint="eastAsia"/>
          <w:color w:val="auto"/>
        </w:rPr>
        <w:t>，</w:t>
      </w:r>
      <w:r>
        <w:rPr>
          <w:color w:val="auto"/>
        </w:rPr>
        <w:t>废水处理</w:t>
      </w:r>
      <w:r>
        <w:rPr>
          <w:rFonts w:hint="eastAsia"/>
          <w:color w:val="auto"/>
        </w:rPr>
        <w:t>量方面</w:t>
      </w:r>
      <w:r>
        <w:rPr>
          <w:color w:val="auto"/>
        </w:rPr>
        <w:t>依托广西石化污水处理场</w:t>
      </w:r>
      <w:r>
        <w:rPr>
          <w:rFonts w:hint="eastAsia"/>
          <w:color w:val="auto"/>
        </w:rPr>
        <w:t>是</w:t>
      </w:r>
      <w:r>
        <w:rPr>
          <w:color w:val="auto"/>
        </w:rPr>
        <w:t>可行</w:t>
      </w:r>
      <w:r>
        <w:rPr>
          <w:rFonts w:hint="eastAsia"/>
          <w:color w:val="auto"/>
        </w:rPr>
        <w:t>。</w:t>
      </w:r>
    </w:p>
    <w:p w14:paraId="52F15CFA">
      <w:pPr>
        <w:ind w:firstLine="480"/>
        <w:rPr>
          <w:color w:val="auto"/>
        </w:rPr>
      </w:pPr>
      <w:r>
        <w:rPr>
          <w:rFonts w:hint="eastAsia"/>
          <w:color w:val="auto"/>
        </w:rPr>
        <w:t>根据</w:t>
      </w:r>
      <w:r>
        <w:rPr>
          <w:color w:val="auto"/>
        </w:rPr>
        <w:t>广西东油</w:t>
      </w:r>
      <w:r>
        <w:rPr>
          <w:rFonts w:hint="eastAsia"/>
          <w:color w:val="auto"/>
        </w:rPr>
        <w:t>沥青</w:t>
      </w:r>
      <w:r>
        <w:rPr>
          <w:color w:val="auto"/>
        </w:rPr>
        <w:t>有限公司</w:t>
      </w:r>
      <w:r>
        <w:rPr>
          <w:rFonts w:hint="eastAsia"/>
          <w:color w:val="auto"/>
        </w:rPr>
        <w:t>12月份对</w:t>
      </w:r>
      <w:r>
        <w:rPr>
          <w:color w:val="auto"/>
        </w:rPr>
        <w:t>污水池出口</w:t>
      </w:r>
      <w:r>
        <w:rPr>
          <w:rFonts w:hint="eastAsia"/>
          <w:color w:val="auto"/>
        </w:rPr>
        <w:t>4次的</w:t>
      </w:r>
      <w:r>
        <w:rPr>
          <w:color w:val="auto"/>
        </w:rPr>
        <w:t>自行</w:t>
      </w:r>
      <w:r>
        <w:rPr>
          <w:rFonts w:hint="eastAsia"/>
          <w:color w:val="auto"/>
        </w:rPr>
        <w:t>监测</w:t>
      </w:r>
      <w:r>
        <w:rPr>
          <w:color w:val="auto"/>
        </w:rPr>
        <w:t>结果，</w:t>
      </w:r>
      <w:r>
        <w:rPr>
          <w:rFonts w:hint="eastAsia"/>
          <w:color w:val="auto"/>
        </w:rPr>
        <w:t>各污染物</w:t>
      </w:r>
      <w:r>
        <w:rPr>
          <w:color w:val="auto"/>
        </w:rPr>
        <w:t>排放浓度为：</w:t>
      </w:r>
      <w:r>
        <w:rPr>
          <w:rFonts w:hint="eastAsia"/>
          <w:color w:val="auto"/>
        </w:rPr>
        <w:t>COD</w:t>
      </w:r>
      <w:r>
        <w:rPr>
          <w:color w:val="auto"/>
        </w:rPr>
        <w:t>358.75mg/L</w:t>
      </w:r>
      <w:r>
        <w:rPr>
          <w:rFonts w:hint="eastAsia"/>
          <w:color w:val="auto"/>
        </w:rPr>
        <w:t>、氨氮2.33</w:t>
      </w:r>
      <w:r>
        <w:rPr>
          <w:color w:val="auto"/>
        </w:rPr>
        <w:t>mg/L</w:t>
      </w:r>
      <w:r>
        <w:rPr>
          <w:rFonts w:hint="eastAsia"/>
          <w:color w:val="auto"/>
        </w:rPr>
        <w:t>、石油类27.83</w:t>
      </w:r>
      <w:r>
        <w:rPr>
          <w:color w:val="auto"/>
        </w:rPr>
        <w:t>mg/L</w:t>
      </w:r>
      <w:r>
        <w:rPr>
          <w:rFonts w:hint="eastAsia"/>
          <w:color w:val="auto"/>
        </w:rPr>
        <w:t>、</w:t>
      </w:r>
      <w:r>
        <w:rPr>
          <w:color w:val="auto"/>
        </w:rPr>
        <w:t>pH</w:t>
      </w:r>
      <w:r>
        <w:rPr>
          <w:rFonts w:hint="eastAsia"/>
          <w:color w:val="auto"/>
        </w:rPr>
        <w:t>值7.2、硫化物3.31</w:t>
      </w:r>
      <w:r>
        <w:rPr>
          <w:color w:val="auto"/>
        </w:rPr>
        <w:t>mg/L</w:t>
      </w:r>
      <w:r>
        <w:rPr>
          <w:rFonts w:hint="eastAsia"/>
          <w:color w:val="auto"/>
        </w:rPr>
        <w:t>。均</w:t>
      </w:r>
      <w:r>
        <w:rPr>
          <w:color w:val="auto"/>
        </w:rPr>
        <w:t>满足</w:t>
      </w:r>
      <w:r>
        <w:rPr>
          <w:rFonts w:hint="eastAsia"/>
          <w:color w:val="auto"/>
        </w:rPr>
        <w:t>广西石化污水处理场的纳管标准（</w:t>
      </w:r>
      <w:r>
        <w:rPr>
          <w:color w:val="auto"/>
        </w:rPr>
        <w:t>COD</w:t>
      </w:r>
      <w:r>
        <w:rPr>
          <w:rFonts w:hint="eastAsia"/>
          <w:color w:val="auto"/>
        </w:rPr>
        <w:t>≦1000</w:t>
      </w:r>
      <w:r>
        <w:rPr>
          <w:color w:val="auto"/>
        </w:rPr>
        <w:t>mg/L</w:t>
      </w:r>
      <w:r>
        <w:rPr>
          <w:rFonts w:hint="eastAsia"/>
          <w:color w:val="auto"/>
        </w:rPr>
        <w:t>，氨氮≦30</w:t>
      </w:r>
      <w:r>
        <w:rPr>
          <w:color w:val="auto"/>
        </w:rPr>
        <w:t>mg/L</w:t>
      </w:r>
      <w:r>
        <w:rPr>
          <w:rFonts w:hint="eastAsia"/>
          <w:color w:val="auto"/>
        </w:rPr>
        <w:t>，石油类≦150mg/L，</w:t>
      </w:r>
      <w:r>
        <w:rPr>
          <w:color w:val="auto"/>
        </w:rPr>
        <w:t>pH</w:t>
      </w:r>
      <w:r>
        <w:rPr>
          <w:rFonts w:hint="eastAsia"/>
          <w:color w:val="auto"/>
        </w:rPr>
        <w:t>值6-9，</w:t>
      </w:r>
      <w:r>
        <w:rPr>
          <w:color w:val="auto"/>
        </w:rPr>
        <w:t>硫化物</w:t>
      </w:r>
      <w:r>
        <w:rPr>
          <w:rFonts w:hint="eastAsia"/>
          <w:color w:val="auto"/>
        </w:rPr>
        <w:t>≦25</w:t>
      </w:r>
      <w:r>
        <w:rPr>
          <w:color w:val="auto"/>
        </w:rPr>
        <w:t>mg/L</w:t>
      </w:r>
      <w:r>
        <w:rPr>
          <w:rFonts w:hint="eastAsia"/>
          <w:color w:val="auto"/>
        </w:rPr>
        <w:t>）。</w:t>
      </w:r>
    </w:p>
    <w:p w14:paraId="4A0E3A21">
      <w:pPr>
        <w:ind w:firstLine="480"/>
        <w:rPr>
          <w:color w:val="auto"/>
        </w:rPr>
      </w:pPr>
      <w:r>
        <w:rPr>
          <w:color w:val="auto"/>
        </w:rPr>
        <w:t>广西石化污水处理场</w:t>
      </w:r>
      <w:r>
        <w:rPr>
          <w:rFonts w:hint="eastAsia"/>
          <w:color w:val="auto"/>
        </w:rPr>
        <w:t>废水</w:t>
      </w:r>
      <w:r>
        <w:rPr>
          <w:color w:val="auto"/>
        </w:rPr>
        <w:t>处理</w:t>
      </w:r>
      <w:r>
        <w:rPr>
          <w:rFonts w:hint="eastAsia"/>
          <w:color w:val="auto"/>
        </w:rPr>
        <w:t>达到《石油炼制工业污染物排放标准》（GB31570</w:t>
      </w:r>
      <w:r>
        <w:rPr>
          <w:color w:val="auto"/>
        </w:rPr>
        <w:t>-</w:t>
      </w:r>
      <w:r>
        <w:rPr>
          <w:rFonts w:hint="eastAsia"/>
          <w:color w:val="auto"/>
        </w:rPr>
        <w:t>2015）表1水污染物排放限值后部分通过</w:t>
      </w:r>
      <w:r>
        <w:rPr>
          <w:rFonts w:hint="eastAsia"/>
          <w:color w:val="auto"/>
          <w:u w:val="single"/>
        </w:rPr>
        <w:t>A1排放区</w:t>
      </w:r>
      <w:r>
        <w:rPr>
          <w:rFonts w:hint="eastAsia"/>
          <w:color w:val="auto"/>
          <w:u w:val="single"/>
          <w:lang w:eastAsia="zh-CN"/>
        </w:rPr>
        <w:t>排放</w:t>
      </w:r>
      <w:r>
        <w:rPr>
          <w:rFonts w:hint="eastAsia"/>
          <w:color w:val="auto"/>
        </w:rPr>
        <w:t>，部分污水提升至回用水单元处理，作为循环水的补水使用。经在</w:t>
      </w:r>
      <w:r>
        <w:rPr>
          <w:color w:val="auto"/>
        </w:rPr>
        <w:t>“</w:t>
      </w:r>
      <w:r>
        <w:rPr>
          <w:rFonts w:hint="eastAsia"/>
          <w:color w:val="auto"/>
        </w:rPr>
        <w:t>全国</w:t>
      </w:r>
      <w:r>
        <w:rPr>
          <w:color w:val="auto"/>
        </w:rPr>
        <w:t>排污许可</w:t>
      </w:r>
      <w:r>
        <w:rPr>
          <w:rFonts w:hint="eastAsia"/>
          <w:color w:val="auto"/>
        </w:rPr>
        <w:t>证</w:t>
      </w:r>
      <w:r>
        <w:rPr>
          <w:color w:val="auto"/>
        </w:rPr>
        <w:t>管理信息平台”查询</w:t>
      </w:r>
      <w:r>
        <w:rPr>
          <w:rFonts w:hint="eastAsia"/>
          <w:color w:val="auto"/>
        </w:rPr>
        <w:t>2025年</w:t>
      </w:r>
      <w:r>
        <w:rPr>
          <w:color w:val="auto"/>
        </w:rPr>
        <w:t>排污许可证执行报告</w:t>
      </w:r>
      <w:r>
        <w:rPr>
          <w:rFonts w:hint="eastAsia"/>
          <w:color w:val="auto"/>
        </w:rPr>
        <w:t>年报</w:t>
      </w:r>
      <w:r>
        <w:rPr>
          <w:color w:val="auto"/>
        </w:rPr>
        <w:t>可知，</w:t>
      </w:r>
      <w:r>
        <w:rPr>
          <w:rFonts w:hint="eastAsia"/>
          <w:color w:val="auto"/>
        </w:rPr>
        <w:t>2025年</w:t>
      </w:r>
      <w:r>
        <w:rPr>
          <w:color w:val="auto"/>
        </w:rPr>
        <w:t>废水排放口未出现污染物超标排放的情况。</w:t>
      </w:r>
    </w:p>
    <w:p w14:paraId="1ED8E7B8">
      <w:pPr>
        <w:ind w:firstLine="480"/>
        <w:rPr>
          <w:color w:val="auto"/>
        </w:rPr>
      </w:pPr>
      <w:r>
        <w:rPr>
          <w:rFonts w:hint="eastAsia" w:ascii="宋体" w:hAnsi="宋体"/>
          <w:color w:val="auto"/>
        </w:rPr>
        <w:t>项目不新增占地，不新增初期雨水、</w:t>
      </w:r>
      <w:r>
        <w:rPr>
          <w:rFonts w:ascii="宋体" w:hAnsi="宋体"/>
          <w:color w:val="auto"/>
        </w:rPr>
        <w:t>码头冲洗废水</w:t>
      </w:r>
      <w:r>
        <w:rPr>
          <w:rFonts w:hint="eastAsia" w:ascii="宋体" w:hAnsi="宋体"/>
          <w:color w:val="auto"/>
        </w:rPr>
        <w:t>；</w:t>
      </w:r>
      <w:r>
        <w:rPr>
          <w:rFonts w:hint="eastAsia"/>
          <w:color w:val="auto"/>
        </w:rPr>
        <w:t>依托项目现有人员，不新增生活污水；</w:t>
      </w:r>
      <w:r>
        <w:rPr>
          <w:color w:val="auto"/>
        </w:rPr>
        <w:t>项目</w:t>
      </w:r>
      <w:r>
        <w:rPr>
          <w:rFonts w:hint="eastAsia"/>
          <w:color w:val="auto"/>
        </w:rPr>
        <w:t>货种</w:t>
      </w:r>
      <w:r>
        <w:rPr>
          <w:color w:val="auto"/>
        </w:rPr>
        <w:t>依托现有储罐储存，储罐更换储存货种不进行洗罐，不新增洗罐废水。完全依托处理措施完全可行。</w:t>
      </w:r>
    </w:p>
    <w:p w14:paraId="023E4E9F">
      <w:pPr>
        <w:pStyle w:val="5"/>
        <w:rPr>
          <w:color w:val="auto"/>
        </w:rPr>
      </w:pPr>
      <w:bookmarkStart w:id="590" w:name="_Toc216620632"/>
      <w:bookmarkStart w:id="591" w:name="_Toc223595791"/>
      <w:bookmarkStart w:id="592" w:name="_Toc216103473"/>
      <w:bookmarkStart w:id="593" w:name="_Toc223258501"/>
      <w:bookmarkStart w:id="594" w:name="_Toc136878564"/>
      <w:r>
        <w:rPr>
          <w:color w:val="auto"/>
        </w:rPr>
        <w:t>运营期噪声污染防治措施</w:t>
      </w:r>
      <w:bookmarkEnd w:id="590"/>
      <w:bookmarkEnd w:id="591"/>
      <w:bookmarkEnd w:id="592"/>
      <w:bookmarkEnd w:id="593"/>
      <w:bookmarkEnd w:id="594"/>
    </w:p>
    <w:p w14:paraId="37791F5A">
      <w:pPr>
        <w:autoSpaceDE w:val="0"/>
        <w:ind w:firstLine="480"/>
        <w:rPr>
          <w:rFonts w:ascii="宋体" w:hAnsi="宋体"/>
          <w:color w:val="auto"/>
        </w:rPr>
      </w:pPr>
      <w:r>
        <w:rPr>
          <w:rFonts w:hint="eastAsia" w:ascii="宋体" w:hAnsi="宋体"/>
          <w:color w:val="auto"/>
        </w:rPr>
        <w:t>本项目周边200米范围无居民点、文教办公区等声环境保护目标，因此本项目排放的噪声对周围环境基本无影响，但为确保项目厂界噪声排放达标，本项目采取的噪声控制措施如下：</w:t>
      </w:r>
    </w:p>
    <w:p w14:paraId="2B5AD5E5">
      <w:pPr>
        <w:autoSpaceDE w:val="0"/>
        <w:ind w:firstLine="480"/>
        <w:rPr>
          <w:color w:val="auto"/>
        </w:rPr>
      </w:pPr>
      <w:r>
        <w:rPr>
          <w:rFonts w:ascii="宋体" w:hAnsi="宋体"/>
          <w:color w:val="auto"/>
        </w:rPr>
        <w:t>（</w:t>
      </w:r>
      <w:r>
        <w:rPr>
          <w:color w:val="auto"/>
        </w:rPr>
        <w:t>1</w:t>
      </w:r>
      <w:r>
        <w:rPr>
          <w:rFonts w:ascii="宋体" w:hAnsi="宋体"/>
          <w:color w:val="auto"/>
        </w:rPr>
        <w:t>）使用先进的、噪声小的装卸机械和泵设备，并对噪声、振动较大的设备采取消声、减震措施。</w:t>
      </w:r>
    </w:p>
    <w:p w14:paraId="56CC8B82">
      <w:pPr>
        <w:autoSpaceDE w:val="0"/>
        <w:ind w:firstLine="480"/>
        <w:rPr>
          <w:color w:val="auto"/>
        </w:rPr>
      </w:pPr>
      <w:r>
        <w:rPr>
          <w:rFonts w:ascii="宋体" w:hAnsi="宋体"/>
          <w:color w:val="auto"/>
        </w:rPr>
        <w:t>（</w:t>
      </w:r>
      <w:r>
        <w:rPr>
          <w:color w:val="auto"/>
        </w:rPr>
        <w:t>2</w:t>
      </w:r>
      <w:r>
        <w:rPr>
          <w:rFonts w:ascii="宋体" w:hAnsi="宋体"/>
          <w:color w:val="auto"/>
        </w:rPr>
        <w:t>）靠港船舶只开动辅机，关闭主机。通过加强管理，有效降低船舶噪声强度。</w:t>
      </w:r>
    </w:p>
    <w:p w14:paraId="0010D87E">
      <w:pPr>
        <w:autoSpaceDE w:val="0"/>
        <w:ind w:firstLine="480"/>
        <w:rPr>
          <w:color w:val="auto"/>
        </w:rPr>
      </w:pPr>
      <w:r>
        <w:rPr>
          <w:rFonts w:ascii="宋体" w:hAnsi="宋体"/>
          <w:color w:val="auto"/>
        </w:rPr>
        <w:t>（</w:t>
      </w:r>
      <w:r>
        <w:rPr>
          <w:color w:val="auto"/>
        </w:rPr>
        <w:t>3</w:t>
      </w:r>
      <w:r>
        <w:rPr>
          <w:rFonts w:ascii="宋体" w:hAnsi="宋体"/>
          <w:color w:val="auto"/>
        </w:rPr>
        <w:t>）加强机械、设备的保养维修，保持正常运行、正常运转，降低噪声。</w:t>
      </w:r>
    </w:p>
    <w:p w14:paraId="214DFA38">
      <w:pPr>
        <w:autoSpaceDE w:val="0"/>
        <w:ind w:firstLine="480"/>
        <w:rPr>
          <w:color w:val="auto"/>
        </w:rPr>
      </w:pPr>
      <w:r>
        <w:rPr>
          <w:rFonts w:ascii="宋体" w:hAnsi="宋体"/>
          <w:color w:val="auto"/>
        </w:rPr>
        <w:t>（</w:t>
      </w:r>
      <w:r>
        <w:rPr>
          <w:color w:val="auto"/>
        </w:rPr>
        <w:t>4</w:t>
      </w:r>
      <w:r>
        <w:rPr>
          <w:rFonts w:ascii="宋体" w:hAnsi="宋体"/>
          <w:color w:val="auto"/>
        </w:rPr>
        <w:t>）根据有关环境噪声管理条例规定，船舶进入市区禁止使用汽笛，合理使用风笛、电笛。随着航道管理措施的进一步现代化，建议航运管理部门应逐步取消以鸣号作为船舶运行、联系、调度信号的手段，最终达到全面禁鸣。</w:t>
      </w:r>
    </w:p>
    <w:p w14:paraId="478502C6">
      <w:pPr>
        <w:pStyle w:val="5"/>
        <w:rPr>
          <w:color w:val="auto"/>
        </w:rPr>
      </w:pPr>
      <w:bookmarkStart w:id="595" w:name="_Toc223258502"/>
      <w:bookmarkStart w:id="596" w:name="_Toc223595792"/>
      <w:bookmarkStart w:id="597" w:name="_Toc136878565"/>
      <w:bookmarkStart w:id="598" w:name="_Toc216103474"/>
      <w:bookmarkStart w:id="599" w:name="_Toc216620633"/>
      <w:r>
        <w:rPr>
          <w:color w:val="auto"/>
        </w:rPr>
        <w:t>固体废物环境保护措施</w:t>
      </w:r>
      <w:bookmarkEnd w:id="595"/>
      <w:bookmarkEnd w:id="596"/>
      <w:bookmarkEnd w:id="597"/>
      <w:bookmarkEnd w:id="598"/>
      <w:bookmarkEnd w:id="599"/>
    </w:p>
    <w:p w14:paraId="54C83188">
      <w:pPr>
        <w:pStyle w:val="4"/>
        <w:rPr>
          <w:color w:val="auto"/>
        </w:rPr>
      </w:pPr>
      <w:bookmarkStart w:id="600" w:name="_Toc26910089"/>
      <w:bookmarkStart w:id="601" w:name="_Toc135090300"/>
      <w:bookmarkStart w:id="602" w:name="_Toc29131902"/>
      <w:bookmarkStart w:id="603" w:name="_Toc25437042"/>
      <w:r>
        <w:rPr>
          <w:rFonts w:hint="eastAsia"/>
          <w:color w:val="auto"/>
        </w:rPr>
        <w:t>船舶</w:t>
      </w:r>
      <w:r>
        <w:rPr>
          <w:color w:val="auto"/>
        </w:rPr>
        <w:t>固废</w:t>
      </w:r>
      <w:bookmarkEnd w:id="600"/>
      <w:bookmarkEnd w:id="601"/>
      <w:bookmarkEnd w:id="602"/>
      <w:bookmarkEnd w:id="603"/>
    </w:p>
    <w:p w14:paraId="52DB7853">
      <w:pPr>
        <w:ind w:firstLine="480"/>
        <w:rPr>
          <w:color w:val="auto"/>
        </w:rPr>
      </w:pPr>
      <w:r>
        <w:rPr>
          <w:rFonts w:hint="eastAsia"/>
          <w:color w:val="auto"/>
        </w:rPr>
        <w:t>船舶固废包括船舶维修固废和船舶生活垃圾。到港船舶生活垃圾用密封式袋或桶盛装，统一收集上岸交由环卫部门清运；船舶保养产生的</w:t>
      </w:r>
      <w:r>
        <w:rPr>
          <w:rFonts w:hint="eastAsia"/>
          <w:color w:val="auto"/>
          <w:lang w:eastAsia="zh-CN"/>
        </w:rPr>
        <w:t>固体废物</w:t>
      </w:r>
      <w:r>
        <w:rPr>
          <w:rFonts w:hint="eastAsia"/>
          <w:color w:val="auto"/>
        </w:rPr>
        <w:t>交由有资质单位接收处理，禁止在港区钦州湾附近水域内丢弃垃圾。</w:t>
      </w:r>
    </w:p>
    <w:p w14:paraId="3577BC07">
      <w:pPr>
        <w:pStyle w:val="4"/>
        <w:rPr>
          <w:color w:val="auto"/>
        </w:rPr>
      </w:pPr>
      <w:r>
        <w:rPr>
          <w:rFonts w:hint="eastAsia"/>
          <w:color w:val="auto"/>
        </w:rPr>
        <w:t>陆域</w:t>
      </w:r>
      <w:r>
        <w:rPr>
          <w:color w:val="auto"/>
        </w:rPr>
        <w:t>生活垃圾</w:t>
      </w:r>
    </w:p>
    <w:p w14:paraId="5138C96C">
      <w:pPr>
        <w:ind w:firstLine="480"/>
        <w:rPr>
          <w:color w:val="auto"/>
        </w:rPr>
      </w:pPr>
      <w:r>
        <w:rPr>
          <w:rFonts w:hint="eastAsia"/>
          <w:color w:val="auto"/>
        </w:rPr>
        <w:t>陆域生活垃圾主要是码头工作人员日常工作产生的生活垃圾。生活垃圾由垃圾桶分类收集后交环卫部门统一清运。</w:t>
      </w:r>
    </w:p>
    <w:p w14:paraId="0A94022A">
      <w:pPr>
        <w:pStyle w:val="4"/>
        <w:rPr>
          <w:color w:val="auto"/>
        </w:rPr>
      </w:pPr>
      <w:bookmarkStart w:id="604" w:name="_Toc29131904"/>
      <w:bookmarkStart w:id="605" w:name="_Toc25437044"/>
      <w:bookmarkStart w:id="606" w:name="_Toc135090301"/>
      <w:bookmarkStart w:id="607" w:name="_Toc26910091"/>
      <w:r>
        <w:rPr>
          <w:color w:val="auto"/>
        </w:rPr>
        <w:t>危废</w:t>
      </w:r>
      <w:bookmarkEnd w:id="604"/>
      <w:bookmarkEnd w:id="605"/>
      <w:bookmarkEnd w:id="606"/>
      <w:bookmarkEnd w:id="607"/>
      <w:r>
        <w:rPr>
          <w:rFonts w:hint="eastAsia"/>
          <w:color w:val="auto"/>
        </w:rPr>
        <w:t>废物</w:t>
      </w:r>
    </w:p>
    <w:p w14:paraId="0925A198">
      <w:pPr>
        <w:ind w:firstLine="480"/>
        <w:rPr>
          <w:rFonts w:hint="default" w:eastAsia="宋体"/>
          <w:color w:val="auto"/>
          <w:u w:val="single"/>
          <w:lang w:val="en-US" w:eastAsia="zh-CN"/>
        </w:rPr>
      </w:pPr>
      <w:r>
        <w:rPr>
          <w:rFonts w:hint="eastAsia"/>
          <w:color w:val="auto"/>
        </w:rPr>
        <w:t>库区设置1间危废暂存间，占地面积约40m</w:t>
      </w:r>
      <w:r>
        <w:rPr>
          <w:rFonts w:hint="eastAsia"/>
          <w:color w:val="auto"/>
          <w:vertAlign w:val="superscript"/>
        </w:rPr>
        <w:t>2</w:t>
      </w:r>
      <w:r>
        <w:rPr>
          <w:rFonts w:hint="eastAsia"/>
          <w:color w:val="auto"/>
        </w:rPr>
        <w:t>，位于3#汽油罐区左侧。</w:t>
      </w:r>
      <w:r>
        <w:rPr>
          <w:rFonts w:hint="eastAsia"/>
          <w:color w:val="auto"/>
          <w:lang w:val="en-US" w:eastAsia="zh-CN"/>
        </w:rPr>
        <w:t>扩建项目新增</w:t>
      </w:r>
      <w:r>
        <w:rPr>
          <w:rFonts w:hint="eastAsia"/>
          <w:color w:val="auto"/>
        </w:rPr>
        <w:t>含油废布及棉纱（0.05t/a）</w:t>
      </w:r>
      <w:r>
        <w:rPr>
          <w:rFonts w:hint="eastAsia"/>
          <w:color w:val="auto"/>
          <w:lang w:eastAsia="zh-CN"/>
        </w:rPr>
        <w:t>、油气回收装置冷凝的有机物</w:t>
      </w:r>
      <w:r>
        <w:rPr>
          <w:rFonts w:hint="eastAsia"/>
          <w:color w:val="auto"/>
          <w:lang w:val="en-US" w:eastAsia="zh-CN"/>
        </w:rPr>
        <w:t>20t、废活性炭、含油废滤芯21.74t/a。</w:t>
      </w:r>
      <w:r>
        <w:rPr>
          <w:rFonts w:hint="eastAsia"/>
          <w:color w:val="auto"/>
          <w:u w:val="single"/>
          <w:lang w:val="en-US" w:eastAsia="zh-CN"/>
        </w:rPr>
        <w:t>油气回收装置冷凝的有机物经油气回收装置的油罐收集后，送入物料储罐中，与储罐中储存的物料一起输送利用，不作为危废处理；含油废布及棉纱、废活性炭、含油废滤芯</w:t>
      </w:r>
      <w:r>
        <w:rPr>
          <w:rFonts w:hint="eastAsia"/>
          <w:color w:val="auto"/>
          <w:u w:val="single"/>
        </w:rPr>
        <w:t>依托现有危废暂存库暂存，定期交由有资质的单位接收处理。储罐更换储存货种不进行清罐，</w:t>
      </w:r>
      <w:r>
        <w:rPr>
          <w:rFonts w:hint="eastAsia"/>
          <w:color w:val="auto"/>
          <w:u w:val="single"/>
          <w:lang w:val="en-US" w:eastAsia="zh-CN"/>
        </w:rPr>
        <w:t>储罐按原有的清罐频次进行清罐，本次扩建项目不新增储罐含油污泥。</w:t>
      </w:r>
    </w:p>
    <w:p w14:paraId="6B23B522">
      <w:pPr>
        <w:ind w:firstLine="470" w:firstLineChars="196"/>
        <w:rPr>
          <w:color w:val="auto"/>
        </w:rPr>
      </w:pPr>
      <w:r>
        <w:rPr>
          <w:rFonts w:hint="eastAsia"/>
          <w:color w:val="auto"/>
        </w:rPr>
        <w:t>码头</w:t>
      </w:r>
      <w:r>
        <w:rPr>
          <w:color w:val="auto"/>
        </w:rPr>
        <w:t>及库区危险废物产生</w:t>
      </w:r>
      <w:r>
        <w:rPr>
          <w:rFonts w:hint="eastAsia"/>
          <w:color w:val="auto"/>
        </w:rPr>
        <w:t>情况</w:t>
      </w:r>
      <w:r>
        <w:rPr>
          <w:color w:val="auto"/>
        </w:rPr>
        <w:t>见下表</w:t>
      </w:r>
      <w:r>
        <w:rPr>
          <w:rFonts w:hint="eastAsia"/>
          <w:color w:val="auto"/>
        </w:rPr>
        <w:t>。</w:t>
      </w:r>
    </w:p>
    <w:p w14:paraId="569CF0F5">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6.4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color w:val="auto"/>
        </w:rPr>
        <w:t>危废暂存</w:t>
      </w:r>
      <w:r>
        <w:rPr>
          <w:rFonts w:hint="eastAsia"/>
          <w:color w:val="auto"/>
        </w:rPr>
        <w:t>库</w:t>
      </w:r>
      <w:r>
        <w:rPr>
          <w:color w:val="auto"/>
        </w:rPr>
        <w:t>基本情况</w:t>
      </w:r>
    </w:p>
    <w:tbl>
      <w:tblPr>
        <w:tblStyle w:val="43"/>
        <w:tblW w:w="9179" w:type="dxa"/>
        <w:tblInd w:w="12"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682"/>
        <w:gridCol w:w="1568"/>
        <w:gridCol w:w="1022"/>
        <w:gridCol w:w="1361"/>
        <w:gridCol w:w="706"/>
        <w:gridCol w:w="871"/>
        <w:gridCol w:w="1034"/>
        <w:gridCol w:w="1244"/>
        <w:gridCol w:w="691"/>
      </w:tblGrid>
      <w:tr w14:paraId="727E67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13" w:hRule="atLeast"/>
        </w:trPr>
        <w:tc>
          <w:tcPr>
            <w:tcW w:w="682" w:type="dxa"/>
            <w:vAlign w:val="center"/>
          </w:tcPr>
          <w:p w14:paraId="1C3074AE">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贮存场所</w:t>
            </w:r>
          </w:p>
        </w:tc>
        <w:tc>
          <w:tcPr>
            <w:tcW w:w="1568" w:type="dxa"/>
            <w:vAlign w:val="center"/>
          </w:tcPr>
          <w:p w14:paraId="09F8EC1D">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危废名称</w:t>
            </w:r>
          </w:p>
        </w:tc>
        <w:tc>
          <w:tcPr>
            <w:tcW w:w="1022" w:type="dxa"/>
            <w:vAlign w:val="center"/>
          </w:tcPr>
          <w:p w14:paraId="2D86D127">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危险废物类别</w:t>
            </w:r>
          </w:p>
        </w:tc>
        <w:tc>
          <w:tcPr>
            <w:tcW w:w="1361" w:type="dxa"/>
            <w:vAlign w:val="center"/>
          </w:tcPr>
          <w:p w14:paraId="28129CFC">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危险废物代码</w:t>
            </w:r>
          </w:p>
        </w:tc>
        <w:tc>
          <w:tcPr>
            <w:tcW w:w="706" w:type="dxa"/>
            <w:vAlign w:val="center"/>
          </w:tcPr>
          <w:p w14:paraId="6D1D44E3">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占地面积</w:t>
            </w:r>
          </w:p>
        </w:tc>
        <w:tc>
          <w:tcPr>
            <w:tcW w:w="871" w:type="dxa"/>
            <w:vAlign w:val="center"/>
          </w:tcPr>
          <w:p w14:paraId="16E8B466">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贮存方式</w:t>
            </w:r>
          </w:p>
        </w:tc>
        <w:tc>
          <w:tcPr>
            <w:tcW w:w="1034" w:type="dxa"/>
            <w:vAlign w:val="center"/>
          </w:tcPr>
          <w:p w14:paraId="785D7150">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贮存</w:t>
            </w:r>
            <w:r>
              <w:rPr>
                <w:rFonts w:hint="eastAsia"/>
                <w:b/>
                <w:bCs/>
                <w:color w:val="auto"/>
              </w:rPr>
              <w:t>量</w:t>
            </w:r>
          </w:p>
        </w:tc>
        <w:tc>
          <w:tcPr>
            <w:tcW w:w="1244" w:type="dxa"/>
            <w:vAlign w:val="center"/>
          </w:tcPr>
          <w:p w14:paraId="33D0F61C">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贮存周期</w:t>
            </w:r>
          </w:p>
        </w:tc>
        <w:tc>
          <w:tcPr>
            <w:tcW w:w="691" w:type="dxa"/>
          </w:tcPr>
          <w:p w14:paraId="1C959AC7">
            <w:pPr>
              <w:pStyle w:val="77"/>
              <w:keepNext w:val="0"/>
              <w:keepLines w:val="0"/>
              <w:suppressLineNumbers w:val="0"/>
              <w:spacing w:before="0" w:beforeAutospacing="0" w:after="0" w:afterAutospacing="0"/>
              <w:ind w:left="0" w:right="0"/>
              <w:rPr>
                <w:rFonts w:hint="default"/>
                <w:b/>
                <w:bCs/>
                <w:color w:val="auto"/>
              </w:rPr>
            </w:pPr>
            <w:r>
              <w:rPr>
                <w:rFonts w:hint="eastAsia"/>
                <w:b/>
                <w:bCs/>
                <w:color w:val="auto"/>
              </w:rPr>
              <w:t>备注</w:t>
            </w:r>
          </w:p>
        </w:tc>
      </w:tr>
      <w:tr w14:paraId="69C2893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09" w:hRule="atLeast"/>
        </w:trPr>
        <w:tc>
          <w:tcPr>
            <w:tcW w:w="682" w:type="dxa"/>
            <w:vMerge w:val="restart"/>
            <w:vAlign w:val="center"/>
          </w:tcPr>
          <w:p w14:paraId="764E4B6A">
            <w:pPr>
              <w:pStyle w:val="77"/>
              <w:keepNext w:val="0"/>
              <w:keepLines w:val="0"/>
              <w:suppressLineNumbers w:val="0"/>
              <w:spacing w:before="0" w:beforeAutospacing="0" w:after="0" w:afterAutospacing="0"/>
              <w:ind w:left="0" w:right="0"/>
              <w:rPr>
                <w:rFonts w:hint="default"/>
                <w:color w:val="auto"/>
              </w:rPr>
            </w:pPr>
            <w:r>
              <w:rPr>
                <w:rFonts w:hint="eastAsia"/>
                <w:color w:val="auto"/>
              </w:rPr>
              <w:t>危废暂存库</w:t>
            </w:r>
          </w:p>
        </w:tc>
        <w:tc>
          <w:tcPr>
            <w:tcW w:w="1568" w:type="dxa"/>
            <w:vAlign w:val="center"/>
          </w:tcPr>
          <w:p w14:paraId="34B01C51">
            <w:pPr>
              <w:pStyle w:val="77"/>
              <w:keepNext w:val="0"/>
              <w:keepLines w:val="0"/>
              <w:suppressLineNumbers w:val="0"/>
              <w:spacing w:before="0" w:beforeAutospacing="0" w:after="0" w:afterAutospacing="0"/>
              <w:ind w:left="0" w:right="0"/>
              <w:rPr>
                <w:rFonts w:hint="default"/>
                <w:color w:val="auto"/>
              </w:rPr>
            </w:pPr>
            <w:r>
              <w:rPr>
                <w:rFonts w:hint="eastAsia"/>
                <w:color w:val="auto"/>
              </w:rPr>
              <w:t>含油废物（废布及</w:t>
            </w:r>
            <w:r>
              <w:rPr>
                <w:rFonts w:hint="default"/>
                <w:color w:val="auto"/>
              </w:rPr>
              <w:t>棉纱</w:t>
            </w:r>
            <w:r>
              <w:rPr>
                <w:rFonts w:hint="eastAsia"/>
                <w:color w:val="auto"/>
              </w:rPr>
              <w:t>等）</w:t>
            </w:r>
          </w:p>
        </w:tc>
        <w:tc>
          <w:tcPr>
            <w:tcW w:w="1022" w:type="dxa"/>
            <w:vAlign w:val="center"/>
          </w:tcPr>
          <w:p w14:paraId="633B1E2C">
            <w:pPr>
              <w:pStyle w:val="77"/>
              <w:keepNext w:val="0"/>
              <w:keepLines w:val="0"/>
              <w:suppressLineNumbers w:val="0"/>
              <w:spacing w:before="0" w:beforeAutospacing="0" w:after="0" w:afterAutospacing="0"/>
              <w:ind w:left="0" w:right="0"/>
              <w:rPr>
                <w:rFonts w:hint="default"/>
                <w:color w:val="auto"/>
              </w:rPr>
            </w:pPr>
            <w:r>
              <w:rPr>
                <w:rFonts w:hint="default"/>
                <w:color w:val="auto"/>
              </w:rPr>
              <w:t>HW</w:t>
            </w:r>
            <w:r>
              <w:rPr>
                <w:rFonts w:hint="eastAsia"/>
                <w:color w:val="auto"/>
              </w:rPr>
              <w:t>08</w:t>
            </w:r>
          </w:p>
        </w:tc>
        <w:tc>
          <w:tcPr>
            <w:tcW w:w="1361" w:type="dxa"/>
            <w:vAlign w:val="center"/>
          </w:tcPr>
          <w:p w14:paraId="6E017A83">
            <w:pPr>
              <w:pStyle w:val="77"/>
              <w:keepNext w:val="0"/>
              <w:keepLines w:val="0"/>
              <w:suppressLineNumbers w:val="0"/>
              <w:spacing w:before="0" w:beforeAutospacing="0" w:after="0" w:afterAutospacing="0"/>
              <w:ind w:left="0" w:right="0"/>
              <w:rPr>
                <w:rFonts w:hint="default"/>
                <w:color w:val="auto"/>
              </w:rPr>
            </w:pPr>
            <w:r>
              <w:rPr>
                <w:rFonts w:hint="default"/>
                <w:color w:val="auto"/>
              </w:rPr>
              <w:t>900-</w:t>
            </w:r>
            <w:r>
              <w:rPr>
                <w:rFonts w:hint="eastAsia"/>
                <w:color w:val="auto"/>
              </w:rPr>
              <w:t>249</w:t>
            </w:r>
            <w:r>
              <w:rPr>
                <w:rFonts w:hint="default"/>
                <w:color w:val="auto"/>
              </w:rPr>
              <w:t>-</w:t>
            </w:r>
            <w:r>
              <w:rPr>
                <w:rFonts w:hint="eastAsia"/>
                <w:color w:val="auto"/>
              </w:rPr>
              <w:t>08</w:t>
            </w:r>
          </w:p>
        </w:tc>
        <w:tc>
          <w:tcPr>
            <w:tcW w:w="706" w:type="dxa"/>
            <w:vMerge w:val="restart"/>
            <w:vAlign w:val="center"/>
          </w:tcPr>
          <w:p w14:paraId="49C5EF72">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40m</w:t>
            </w:r>
            <w:r>
              <w:rPr>
                <w:rFonts w:hint="default"/>
                <w:color w:val="auto"/>
                <w:u w:val="single"/>
                <w:vertAlign w:val="superscript"/>
              </w:rPr>
              <w:t>2</w:t>
            </w:r>
          </w:p>
        </w:tc>
        <w:tc>
          <w:tcPr>
            <w:tcW w:w="871" w:type="dxa"/>
            <w:vAlign w:val="center"/>
          </w:tcPr>
          <w:p w14:paraId="497FCBFE">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桶装</w:t>
            </w:r>
          </w:p>
        </w:tc>
        <w:tc>
          <w:tcPr>
            <w:tcW w:w="1034" w:type="dxa"/>
            <w:vAlign w:val="center"/>
          </w:tcPr>
          <w:p w14:paraId="46C1B879">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0.</w:t>
            </w:r>
            <w:r>
              <w:rPr>
                <w:rFonts w:hint="default"/>
                <w:color w:val="auto"/>
                <w:u w:val="single"/>
              </w:rPr>
              <w:t>2</w:t>
            </w:r>
            <w:r>
              <w:rPr>
                <w:rFonts w:hint="eastAsia"/>
                <w:color w:val="auto"/>
                <w:u w:val="single"/>
              </w:rPr>
              <w:t>5</w:t>
            </w:r>
            <w:r>
              <w:rPr>
                <w:rFonts w:hint="default"/>
                <w:color w:val="auto"/>
                <w:u w:val="single"/>
              </w:rPr>
              <w:t>t/a</w:t>
            </w:r>
          </w:p>
        </w:tc>
        <w:tc>
          <w:tcPr>
            <w:tcW w:w="1244" w:type="dxa"/>
            <w:vAlign w:val="center"/>
          </w:tcPr>
          <w:p w14:paraId="10CED4B3">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1</w:t>
            </w:r>
            <w:r>
              <w:rPr>
                <w:rFonts w:hint="default"/>
                <w:color w:val="auto"/>
                <w:u w:val="single"/>
              </w:rPr>
              <w:t>个月</w:t>
            </w:r>
          </w:p>
        </w:tc>
        <w:tc>
          <w:tcPr>
            <w:tcW w:w="691" w:type="dxa"/>
          </w:tcPr>
          <w:p w14:paraId="150980A7">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0.05</w:t>
            </w:r>
            <w:r>
              <w:rPr>
                <w:rFonts w:hint="default"/>
                <w:color w:val="auto"/>
                <w:u w:val="single"/>
              </w:rPr>
              <w:t>t为新增</w:t>
            </w:r>
          </w:p>
        </w:tc>
      </w:tr>
      <w:tr w14:paraId="035749D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09" w:hRule="atLeast"/>
        </w:trPr>
        <w:tc>
          <w:tcPr>
            <w:tcW w:w="682" w:type="dxa"/>
            <w:vMerge w:val="continue"/>
            <w:vAlign w:val="center"/>
          </w:tcPr>
          <w:p w14:paraId="67176ABB">
            <w:pPr>
              <w:pStyle w:val="77"/>
              <w:keepNext w:val="0"/>
              <w:keepLines w:val="0"/>
              <w:suppressLineNumbers w:val="0"/>
              <w:spacing w:before="0" w:beforeAutospacing="0" w:after="0" w:afterAutospacing="0"/>
              <w:ind w:left="0" w:right="0"/>
              <w:rPr>
                <w:rFonts w:hint="default"/>
                <w:color w:val="auto"/>
                <w:u w:val="single"/>
              </w:rPr>
            </w:pPr>
          </w:p>
        </w:tc>
        <w:tc>
          <w:tcPr>
            <w:tcW w:w="1568" w:type="dxa"/>
            <w:vAlign w:val="center"/>
          </w:tcPr>
          <w:p w14:paraId="08668105">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储罐含油污泥</w:t>
            </w:r>
          </w:p>
        </w:tc>
        <w:tc>
          <w:tcPr>
            <w:tcW w:w="1022" w:type="dxa"/>
            <w:vAlign w:val="center"/>
          </w:tcPr>
          <w:p w14:paraId="5F7064AC">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HW</w:t>
            </w:r>
            <w:r>
              <w:rPr>
                <w:rFonts w:hint="eastAsia"/>
                <w:color w:val="auto"/>
                <w:u w:val="single"/>
              </w:rPr>
              <w:t>08</w:t>
            </w:r>
          </w:p>
        </w:tc>
        <w:tc>
          <w:tcPr>
            <w:tcW w:w="1361" w:type="dxa"/>
            <w:vAlign w:val="center"/>
          </w:tcPr>
          <w:p w14:paraId="75D2FBBD">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251-001-08</w:t>
            </w:r>
          </w:p>
        </w:tc>
        <w:tc>
          <w:tcPr>
            <w:tcW w:w="706" w:type="dxa"/>
            <w:vMerge w:val="continue"/>
            <w:vAlign w:val="center"/>
          </w:tcPr>
          <w:p w14:paraId="3A107906">
            <w:pPr>
              <w:pStyle w:val="77"/>
              <w:keepNext w:val="0"/>
              <w:keepLines w:val="0"/>
              <w:suppressLineNumbers w:val="0"/>
              <w:spacing w:before="0" w:beforeAutospacing="0" w:after="0" w:afterAutospacing="0"/>
              <w:ind w:left="0" w:right="0"/>
              <w:rPr>
                <w:rFonts w:hint="default"/>
                <w:color w:val="auto"/>
                <w:u w:val="single"/>
              </w:rPr>
            </w:pPr>
          </w:p>
        </w:tc>
        <w:tc>
          <w:tcPr>
            <w:tcW w:w="871" w:type="dxa"/>
            <w:vAlign w:val="center"/>
          </w:tcPr>
          <w:p w14:paraId="24FF9C4B">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桶装</w:t>
            </w:r>
          </w:p>
        </w:tc>
        <w:tc>
          <w:tcPr>
            <w:tcW w:w="1034" w:type="dxa"/>
            <w:vAlign w:val="center"/>
          </w:tcPr>
          <w:p w14:paraId="7D1BBD2A">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1.2</w:t>
            </w:r>
            <w:r>
              <w:rPr>
                <w:rFonts w:hint="default"/>
                <w:color w:val="auto"/>
                <w:u w:val="single"/>
              </w:rPr>
              <w:t>t/</w:t>
            </w:r>
            <w:r>
              <w:rPr>
                <w:rFonts w:hint="eastAsia"/>
                <w:color w:val="auto"/>
                <w:u w:val="single"/>
              </w:rPr>
              <w:t>个</w:t>
            </w:r>
          </w:p>
        </w:tc>
        <w:tc>
          <w:tcPr>
            <w:tcW w:w="1244" w:type="dxa"/>
            <w:vAlign w:val="center"/>
          </w:tcPr>
          <w:p w14:paraId="2C34DEE2">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1</w:t>
            </w:r>
            <w:r>
              <w:rPr>
                <w:rFonts w:hint="default"/>
                <w:color w:val="auto"/>
                <w:u w:val="single"/>
              </w:rPr>
              <w:t>个月</w:t>
            </w:r>
          </w:p>
        </w:tc>
        <w:tc>
          <w:tcPr>
            <w:tcW w:w="691" w:type="dxa"/>
          </w:tcPr>
          <w:p w14:paraId="1B861607">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不新增</w:t>
            </w:r>
          </w:p>
        </w:tc>
      </w:tr>
      <w:tr w14:paraId="6953A60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09" w:hRule="atLeast"/>
        </w:trPr>
        <w:tc>
          <w:tcPr>
            <w:tcW w:w="682" w:type="dxa"/>
            <w:vMerge w:val="continue"/>
            <w:vAlign w:val="center"/>
          </w:tcPr>
          <w:p w14:paraId="7B47A61E">
            <w:pPr>
              <w:pStyle w:val="77"/>
              <w:keepNext w:val="0"/>
              <w:keepLines w:val="0"/>
              <w:suppressLineNumbers w:val="0"/>
              <w:spacing w:before="0" w:beforeAutospacing="0" w:after="0" w:afterAutospacing="0"/>
              <w:ind w:left="0" w:right="0"/>
              <w:rPr>
                <w:rFonts w:hint="default"/>
                <w:color w:val="auto"/>
                <w:u w:val="single"/>
              </w:rPr>
            </w:pPr>
          </w:p>
        </w:tc>
        <w:tc>
          <w:tcPr>
            <w:tcW w:w="1568" w:type="dxa"/>
            <w:vAlign w:val="center"/>
          </w:tcPr>
          <w:p w14:paraId="06BCD0A0">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废活性炭</w:t>
            </w:r>
          </w:p>
        </w:tc>
        <w:tc>
          <w:tcPr>
            <w:tcW w:w="1022" w:type="dxa"/>
            <w:vAlign w:val="center"/>
          </w:tcPr>
          <w:p w14:paraId="149C4A31">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HW49</w:t>
            </w:r>
          </w:p>
        </w:tc>
        <w:tc>
          <w:tcPr>
            <w:tcW w:w="1361" w:type="dxa"/>
            <w:vAlign w:val="center"/>
          </w:tcPr>
          <w:p w14:paraId="4AD6F8E4">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900-039-49</w:t>
            </w:r>
          </w:p>
        </w:tc>
        <w:tc>
          <w:tcPr>
            <w:tcW w:w="706" w:type="dxa"/>
            <w:vMerge w:val="continue"/>
            <w:vAlign w:val="center"/>
          </w:tcPr>
          <w:p w14:paraId="34171A6C">
            <w:pPr>
              <w:pStyle w:val="77"/>
              <w:keepNext w:val="0"/>
              <w:keepLines w:val="0"/>
              <w:suppressLineNumbers w:val="0"/>
              <w:spacing w:before="0" w:beforeAutospacing="0" w:after="0" w:afterAutospacing="0"/>
              <w:ind w:left="0" w:right="0"/>
              <w:rPr>
                <w:rFonts w:hint="default"/>
                <w:color w:val="auto"/>
                <w:u w:val="single"/>
              </w:rPr>
            </w:pPr>
          </w:p>
        </w:tc>
        <w:tc>
          <w:tcPr>
            <w:tcW w:w="871" w:type="dxa"/>
            <w:vAlign w:val="center"/>
          </w:tcPr>
          <w:p w14:paraId="755D61AB">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桶装</w:t>
            </w:r>
          </w:p>
        </w:tc>
        <w:tc>
          <w:tcPr>
            <w:tcW w:w="1034" w:type="dxa"/>
            <w:vAlign w:val="center"/>
          </w:tcPr>
          <w:p w14:paraId="1A78E56B">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lang w:val="en-US" w:eastAsia="zh-CN"/>
              </w:rPr>
              <w:t>23.24</w:t>
            </w:r>
            <w:r>
              <w:rPr>
                <w:rFonts w:hint="default"/>
                <w:color w:val="auto"/>
                <w:u w:val="single"/>
              </w:rPr>
              <w:t>t</w:t>
            </w:r>
          </w:p>
        </w:tc>
        <w:tc>
          <w:tcPr>
            <w:tcW w:w="1244" w:type="dxa"/>
            <w:vAlign w:val="center"/>
          </w:tcPr>
          <w:p w14:paraId="2B05FCEF">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1</w:t>
            </w:r>
            <w:r>
              <w:rPr>
                <w:rFonts w:hint="default"/>
                <w:color w:val="auto"/>
                <w:u w:val="single"/>
              </w:rPr>
              <w:t>个月</w:t>
            </w:r>
          </w:p>
        </w:tc>
        <w:tc>
          <w:tcPr>
            <w:tcW w:w="691" w:type="dxa"/>
          </w:tcPr>
          <w:p w14:paraId="1FC5261B">
            <w:pPr>
              <w:pStyle w:val="77"/>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21.74t为新增</w:t>
            </w:r>
          </w:p>
        </w:tc>
      </w:tr>
      <w:tr w14:paraId="4B89DFC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09" w:hRule="atLeast"/>
        </w:trPr>
        <w:tc>
          <w:tcPr>
            <w:tcW w:w="682" w:type="dxa"/>
            <w:vMerge w:val="continue"/>
            <w:vAlign w:val="center"/>
          </w:tcPr>
          <w:p w14:paraId="716EDAE8">
            <w:pPr>
              <w:pStyle w:val="77"/>
              <w:keepNext w:val="0"/>
              <w:keepLines w:val="0"/>
              <w:suppressLineNumbers w:val="0"/>
              <w:spacing w:before="0" w:beforeAutospacing="0" w:after="0" w:afterAutospacing="0"/>
              <w:ind w:left="0" w:right="0"/>
              <w:rPr>
                <w:rFonts w:hint="default"/>
                <w:color w:val="auto"/>
                <w:u w:val="single"/>
              </w:rPr>
            </w:pPr>
          </w:p>
        </w:tc>
        <w:tc>
          <w:tcPr>
            <w:tcW w:w="1568" w:type="dxa"/>
            <w:vAlign w:val="center"/>
          </w:tcPr>
          <w:p w14:paraId="44D0E4E0">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含油废滤芯</w:t>
            </w:r>
          </w:p>
        </w:tc>
        <w:tc>
          <w:tcPr>
            <w:tcW w:w="1022" w:type="dxa"/>
            <w:vAlign w:val="center"/>
          </w:tcPr>
          <w:p w14:paraId="1CE9431D">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HW49</w:t>
            </w:r>
          </w:p>
        </w:tc>
        <w:tc>
          <w:tcPr>
            <w:tcW w:w="1361" w:type="dxa"/>
            <w:vAlign w:val="center"/>
          </w:tcPr>
          <w:p w14:paraId="3BC06BEE">
            <w:pPr>
              <w:pStyle w:val="77"/>
              <w:keepNext w:val="0"/>
              <w:keepLines w:val="0"/>
              <w:suppressLineNumbers w:val="0"/>
              <w:spacing w:before="0" w:beforeAutospacing="0" w:after="0" w:afterAutospacing="0"/>
              <w:ind w:left="0" w:right="0"/>
              <w:rPr>
                <w:rFonts w:hint="default"/>
                <w:color w:val="auto"/>
                <w:u w:val="single"/>
              </w:rPr>
            </w:pPr>
            <w:r>
              <w:rPr>
                <w:rFonts w:hint="default"/>
                <w:color w:val="auto"/>
                <w:u w:val="single"/>
              </w:rPr>
              <w:t>900-041-49</w:t>
            </w:r>
          </w:p>
        </w:tc>
        <w:tc>
          <w:tcPr>
            <w:tcW w:w="706" w:type="dxa"/>
            <w:vMerge w:val="continue"/>
            <w:vAlign w:val="center"/>
          </w:tcPr>
          <w:p w14:paraId="5FF94C5F">
            <w:pPr>
              <w:pStyle w:val="77"/>
              <w:keepNext w:val="0"/>
              <w:keepLines w:val="0"/>
              <w:suppressLineNumbers w:val="0"/>
              <w:spacing w:before="0" w:beforeAutospacing="0" w:after="0" w:afterAutospacing="0"/>
              <w:ind w:left="0" w:right="0"/>
              <w:rPr>
                <w:rFonts w:hint="default"/>
                <w:color w:val="auto"/>
                <w:u w:val="single"/>
              </w:rPr>
            </w:pPr>
          </w:p>
        </w:tc>
        <w:tc>
          <w:tcPr>
            <w:tcW w:w="871" w:type="dxa"/>
            <w:vAlign w:val="center"/>
          </w:tcPr>
          <w:p w14:paraId="79F3BA37">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桶装</w:t>
            </w:r>
          </w:p>
        </w:tc>
        <w:tc>
          <w:tcPr>
            <w:tcW w:w="1034" w:type="dxa"/>
            <w:vAlign w:val="center"/>
          </w:tcPr>
          <w:p w14:paraId="163BCACA">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0.</w:t>
            </w:r>
            <w:r>
              <w:rPr>
                <w:rFonts w:hint="eastAsia"/>
                <w:color w:val="auto"/>
                <w:u w:val="single"/>
                <w:lang w:val="en-US" w:eastAsia="zh-CN"/>
              </w:rPr>
              <w:t>5</w:t>
            </w:r>
            <w:r>
              <w:rPr>
                <w:rFonts w:hint="default"/>
                <w:color w:val="auto"/>
                <w:u w:val="single"/>
              </w:rPr>
              <w:t>t</w:t>
            </w:r>
          </w:p>
        </w:tc>
        <w:tc>
          <w:tcPr>
            <w:tcW w:w="1244" w:type="dxa"/>
            <w:vAlign w:val="center"/>
          </w:tcPr>
          <w:p w14:paraId="0EDF7623">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1</w:t>
            </w:r>
            <w:r>
              <w:rPr>
                <w:rFonts w:hint="default"/>
                <w:color w:val="auto"/>
                <w:u w:val="single"/>
              </w:rPr>
              <w:t>个月</w:t>
            </w:r>
          </w:p>
        </w:tc>
        <w:tc>
          <w:tcPr>
            <w:tcW w:w="691" w:type="dxa"/>
          </w:tcPr>
          <w:p w14:paraId="2DC3CC85">
            <w:pPr>
              <w:pStyle w:val="77"/>
              <w:keepNext w:val="0"/>
              <w:keepLines w:val="0"/>
              <w:suppressLineNumbers w:val="0"/>
              <w:spacing w:before="0" w:beforeAutospacing="0" w:after="0" w:afterAutospacing="0"/>
              <w:ind w:left="0" w:right="0"/>
              <w:rPr>
                <w:rFonts w:hint="default" w:eastAsia="宋体"/>
                <w:color w:val="auto"/>
                <w:u w:val="single"/>
                <w:lang w:val="en-US" w:eastAsia="zh-CN"/>
              </w:rPr>
            </w:pPr>
            <w:r>
              <w:rPr>
                <w:rFonts w:hint="eastAsia"/>
                <w:color w:val="auto"/>
                <w:u w:val="single"/>
                <w:lang w:val="en-US" w:eastAsia="zh-CN"/>
              </w:rPr>
              <w:t>0.2t为新增</w:t>
            </w:r>
          </w:p>
        </w:tc>
      </w:tr>
    </w:tbl>
    <w:p w14:paraId="53E8DC2D">
      <w:pPr>
        <w:pStyle w:val="6"/>
        <w:rPr>
          <w:color w:val="auto"/>
        </w:rPr>
      </w:pPr>
      <w:r>
        <w:rPr>
          <w:color w:val="auto"/>
        </w:rPr>
        <w:t>依托危废措施可行性</w:t>
      </w:r>
    </w:p>
    <w:p w14:paraId="6AA76384">
      <w:pPr>
        <w:ind w:firstLine="470" w:firstLineChars="196"/>
        <w:rPr>
          <w:rFonts w:hint="default" w:eastAsia="宋体"/>
          <w:color w:val="auto"/>
          <w:u w:val="single"/>
          <w:lang w:val="en-US" w:eastAsia="zh-CN"/>
        </w:rPr>
      </w:pPr>
      <w:r>
        <w:rPr>
          <w:color w:val="auto"/>
          <w:u w:val="single"/>
        </w:rPr>
        <w:t>根据《</w:t>
      </w:r>
      <w:r>
        <w:rPr>
          <w:rFonts w:hint="eastAsia"/>
          <w:color w:val="auto"/>
          <w:u w:val="single"/>
        </w:rPr>
        <w:t>广西东油沥青有限公司排污许可证</w:t>
      </w:r>
      <w:r>
        <w:rPr>
          <w:color w:val="auto"/>
          <w:u w:val="single"/>
        </w:rPr>
        <w:t>》</w:t>
      </w:r>
      <w:r>
        <w:rPr>
          <w:rFonts w:hint="eastAsia"/>
          <w:color w:val="auto"/>
          <w:u w:val="single"/>
        </w:rPr>
        <w:t>（证书编号：91450700739966997P001R）</w:t>
      </w:r>
      <w:r>
        <w:rPr>
          <w:color w:val="auto"/>
          <w:u w:val="single"/>
        </w:rPr>
        <w:t>，危废暂存库</w:t>
      </w:r>
      <w:r>
        <w:rPr>
          <w:rFonts w:hint="eastAsia"/>
          <w:color w:val="auto"/>
          <w:u w:val="single"/>
        </w:rPr>
        <w:t>面</w:t>
      </w:r>
      <w:r>
        <w:rPr>
          <w:color w:val="auto"/>
          <w:u w:val="single"/>
        </w:rPr>
        <w:t>积约4</w:t>
      </w:r>
      <w:r>
        <w:rPr>
          <w:rFonts w:hint="eastAsia"/>
          <w:color w:val="auto"/>
          <w:u w:val="single"/>
        </w:rPr>
        <w:t>0m</w:t>
      </w:r>
      <w:r>
        <w:rPr>
          <w:rFonts w:hint="eastAsia"/>
          <w:color w:val="auto"/>
          <w:vertAlign w:val="superscript"/>
        </w:rPr>
        <w:t>3</w:t>
      </w:r>
      <w:r>
        <w:rPr>
          <w:rFonts w:hint="eastAsia"/>
          <w:color w:val="auto"/>
          <w:u w:val="single"/>
        </w:rPr>
        <w:t>，自行</w:t>
      </w:r>
      <w:r>
        <w:rPr>
          <w:color w:val="auto"/>
          <w:u w:val="single"/>
        </w:rPr>
        <w:t>储存能力为</w:t>
      </w:r>
      <w:r>
        <w:rPr>
          <w:rFonts w:hint="eastAsia"/>
          <w:color w:val="auto"/>
          <w:u w:val="single"/>
        </w:rPr>
        <w:t>10</w:t>
      </w:r>
      <w:r>
        <w:rPr>
          <w:color w:val="auto"/>
          <w:u w:val="single"/>
        </w:rPr>
        <w:t>t，</w:t>
      </w:r>
      <w:r>
        <w:rPr>
          <w:rFonts w:hint="eastAsia"/>
          <w:color w:val="auto"/>
          <w:u w:val="single"/>
        </w:rPr>
        <w:t>设施功能完善，现有工程总</w:t>
      </w:r>
      <w:r>
        <w:rPr>
          <w:color w:val="auto"/>
          <w:u w:val="single"/>
        </w:rPr>
        <w:t>的</w:t>
      </w:r>
      <w:r>
        <w:rPr>
          <w:rFonts w:hint="eastAsia"/>
          <w:color w:val="auto"/>
          <w:u w:val="single"/>
        </w:rPr>
        <w:t>危废</w:t>
      </w:r>
      <w:r>
        <w:rPr>
          <w:color w:val="auto"/>
          <w:u w:val="single"/>
        </w:rPr>
        <w:t>产生量为</w:t>
      </w:r>
      <w:r>
        <w:rPr>
          <w:rFonts w:hint="eastAsia"/>
          <w:color w:val="auto"/>
          <w:u w:val="single"/>
        </w:rPr>
        <w:t>2</w:t>
      </w:r>
      <w:r>
        <w:rPr>
          <w:color w:val="auto"/>
          <w:u w:val="single"/>
        </w:rPr>
        <w:t>t/a</w:t>
      </w:r>
      <w:r>
        <w:rPr>
          <w:rFonts w:hint="eastAsia"/>
          <w:color w:val="auto"/>
          <w:u w:val="single"/>
        </w:rPr>
        <w:t>，扩建项目年产生量</w:t>
      </w:r>
      <w:r>
        <w:rPr>
          <w:rFonts w:hint="eastAsia"/>
          <w:color w:val="auto"/>
          <w:u w:val="single"/>
          <w:lang w:val="en-US" w:eastAsia="zh-CN"/>
        </w:rPr>
        <w:t>21.99</w:t>
      </w:r>
      <w:r>
        <w:rPr>
          <w:rFonts w:hint="eastAsia"/>
          <w:color w:val="auto"/>
          <w:u w:val="single"/>
        </w:rPr>
        <w:t>t/a，</w:t>
      </w:r>
      <w:r>
        <w:rPr>
          <w:rFonts w:hint="eastAsia"/>
          <w:color w:val="auto"/>
          <w:u w:val="single"/>
          <w:lang w:val="en-US" w:eastAsia="zh-CN"/>
        </w:rPr>
        <w:t>危废废物在危废贮存库贮存一定量后，建设单位联系危废单位到厂转运，项目危废不同时产生，在及时转运的情况下，现有危废贮存库的自行储存能力满足危废贮存要求。</w:t>
      </w:r>
    </w:p>
    <w:p w14:paraId="4ADD6D48">
      <w:pPr>
        <w:pStyle w:val="5"/>
        <w:rPr>
          <w:color w:val="auto"/>
        </w:rPr>
      </w:pPr>
      <w:bookmarkStart w:id="608" w:name="_Toc223258503"/>
      <w:bookmarkStart w:id="609" w:name="_Toc223595793"/>
      <w:r>
        <w:rPr>
          <w:color w:val="auto"/>
        </w:rPr>
        <w:t>生态环境保护措施</w:t>
      </w:r>
      <w:bookmarkEnd w:id="608"/>
      <w:bookmarkEnd w:id="609"/>
    </w:p>
    <w:p w14:paraId="2BB63641">
      <w:pPr>
        <w:ind w:firstLine="480"/>
        <w:rPr>
          <w:color w:val="auto"/>
        </w:rPr>
      </w:pPr>
      <w:r>
        <w:rPr>
          <w:color w:val="auto"/>
        </w:rPr>
        <w:t>发生危险事故溢油或化学品泄漏时，会对局部水域水生生物产生较大影响，对此提出以下生态环境保护措施：</w:t>
      </w:r>
    </w:p>
    <w:p w14:paraId="084C1FF4">
      <w:pPr>
        <w:ind w:firstLine="480"/>
        <w:rPr>
          <w:color w:val="auto"/>
        </w:rPr>
      </w:pPr>
      <w:r>
        <w:rPr>
          <w:color w:val="auto"/>
        </w:rPr>
        <w:t>（1）保护好项目影响水域水质，避免对该水域生境产生明显不利影响。严防事故排放，对水生生物造成直接伤害。</w:t>
      </w:r>
    </w:p>
    <w:p w14:paraId="6B7279ED">
      <w:pPr>
        <w:ind w:firstLine="480"/>
        <w:rPr>
          <w:color w:val="auto"/>
        </w:rPr>
      </w:pPr>
      <w:r>
        <w:rPr>
          <w:color w:val="auto"/>
        </w:rPr>
        <w:t>（2）禁止在项目附近水域直接排污，避免污染钦州湾水质。</w:t>
      </w:r>
    </w:p>
    <w:p w14:paraId="21BC7255">
      <w:pPr>
        <w:ind w:firstLine="480"/>
        <w:rPr>
          <w:color w:val="auto"/>
        </w:rPr>
      </w:pPr>
      <w:r>
        <w:rPr>
          <w:color w:val="auto"/>
        </w:rPr>
        <w:t>（3）加强管理，禁止捕捞濒危保护水生生物并设置水生生物保护警示牌，增强人员的环保意识。</w:t>
      </w:r>
    </w:p>
    <w:p w14:paraId="557AFCD2">
      <w:pPr>
        <w:ind w:firstLine="480"/>
        <w:rPr>
          <w:color w:val="auto"/>
        </w:rPr>
      </w:pPr>
      <w:r>
        <w:rPr>
          <w:color w:val="auto"/>
        </w:rPr>
        <w:t>（4）严格执行本报告提出的风险防范与应急措施，杜绝溢油和化学品泄漏事故发生，制定应急预案，一旦发生风险事故，及时实施油膜的拦截收集工作，尽量减少油膜扩散范围。</w:t>
      </w:r>
    </w:p>
    <w:p w14:paraId="6A41EB3D">
      <w:pPr>
        <w:ind w:firstLine="439" w:firstLineChars="183"/>
        <w:rPr>
          <w:color w:val="auto"/>
        </w:rPr>
      </w:pPr>
      <w:r>
        <w:rPr>
          <w:color w:val="auto"/>
        </w:rPr>
        <w:t>（5）风险事故造成钦州湾水生生物资源及生态造成损害的，应由事故责任人负责相关渔业损失费用。并在当地渔业主管部门的指导下采取必要修复措施，投放一些该流域常见鱼苗，对受损的水生生物资源、水产资源进行补偿。</w:t>
      </w:r>
    </w:p>
    <w:p w14:paraId="0E1ACAA9">
      <w:pPr>
        <w:pStyle w:val="5"/>
        <w:rPr>
          <w:color w:val="auto"/>
        </w:rPr>
      </w:pPr>
      <w:bookmarkStart w:id="610" w:name="_Toc223595794"/>
      <w:bookmarkStart w:id="611" w:name="_Toc223258505"/>
      <w:r>
        <w:rPr>
          <w:color w:val="auto"/>
        </w:rPr>
        <w:t>工程环保投资一览表</w:t>
      </w:r>
      <w:bookmarkEnd w:id="610"/>
      <w:bookmarkEnd w:id="611"/>
    </w:p>
    <w:p w14:paraId="34DD65CD">
      <w:pPr>
        <w:ind w:firstLine="480"/>
        <w:rPr>
          <w:color w:val="auto"/>
          <w:u w:val="single"/>
        </w:rPr>
      </w:pPr>
      <w:r>
        <w:rPr>
          <w:color w:val="auto"/>
          <w:u w:val="single"/>
        </w:rPr>
        <w:t>本项目环保投资为</w:t>
      </w:r>
      <w:r>
        <w:rPr>
          <w:rFonts w:hint="eastAsia"/>
          <w:color w:val="auto"/>
          <w:u w:val="single"/>
          <w:lang w:val="en-US" w:eastAsia="zh-CN"/>
        </w:rPr>
        <w:t>4</w:t>
      </w:r>
      <w:r>
        <w:rPr>
          <w:color w:val="auto"/>
          <w:u w:val="single"/>
        </w:rPr>
        <w:t>1</w:t>
      </w:r>
      <w:r>
        <w:rPr>
          <w:rFonts w:hint="eastAsia"/>
          <w:color w:val="auto"/>
          <w:u w:val="single"/>
        </w:rPr>
        <w:t>.0</w:t>
      </w:r>
      <w:r>
        <w:rPr>
          <w:color w:val="auto"/>
          <w:u w:val="single"/>
        </w:rPr>
        <w:t>万元，占项目总投资10</w:t>
      </w:r>
      <w:r>
        <w:rPr>
          <w:rFonts w:hint="eastAsia"/>
          <w:color w:val="auto"/>
          <w:u w:val="single"/>
        </w:rPr>
        <w:t>0</w:t>
      </w:r>
      <w:r>
        <w:rPr>
          <w:color w:val="auto"/>
          <w:u w:val="single"/>
        </w:rPr>
        <w:t>万元的</w:t>
      </w:r>
      <w:r>
        <w:rPr>
          <w:rFonts w:hint="eastAsia"/>
          <w:color w:val="auto"/>
          <w:u w:val="single"/>
          <w:lang w:val="en-US" w:eastAsia="zh-CN"/>
        </w:rPr>
        <w:t>4</w:t>
      </w:r>
      <w:r>
        <w:rPr>
          <w:color w:val="auto"/>
          <w:u w:val="single"/>
        </w:rPr>
        <w:t>1%。</w:t>
      </w:r>
    </w:p>
    <w:p w14:paraId="23051B6B">
      <w:pPr>
        <w:ind w:firstLine="480"/>
        <w:rPr>
          <w:color w:val="auto"/>
          <w:u w:val="single"/>
        </w:rPr>
      </w:pPr>
    </w:p>
    <w:p w14:paraId="75D9A507">
      <w:pPr>
        <w:ind w:firstLine="480"/>
        <w:rPr>
          <w:color w:val="auto"/>
          <w:u w:val="single"/>
        </w:rPr>
      </w:pPr>
    </w:p>
    <w:p w14:paraId="3A260849">
      <w:pPr>
        <w:ind w:firstLine="480"/>
        <w:rPr>
          <w:color w:val="auto"/>
          <w:u w:val="single"/>
        </w:rPr>
      </w:pPr>
    </w:p>
    <w:p w14:paraId="2C9729FD">
      <w:pPr>
        <w:pStyle w:val="14"/>
        <w:rPr>
          <w:color w:val="auto"/>
        </w:rPr>
      </w:pPr>
      <w:r>
        <w:rPr>
          <w:rFonts w:hint="eastAsia"/>
          <w:color w:val="auto"/>
        </w:rPr>
        <w:t>表</w:t>
      </w:r>
      <w:r>
        <w:rPr>
          <w:color w:val="auto"/>
        </w:rPr>
        <w:t>6.7</w:t>
      </w:r>
      <w:r>
        <w:rPr>
          <w:color w:val="auto"/>
        </w:rPr>
        <w:noBreakHyphen/>
      </w:r>
      <w:r>
        <w:rPr>
          <w:color w:val="auto"/>
        </w:rPr>
        <w:t>1环保措施投资估算</w:t>
      </w:r>
    </w:p>
    <w:tbl>
      <w:tblPr>
        <w:tblStyle w:val="43"/>
        <w:tblW w:w="943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57"/>
        <w:gridCol w:w="2022"/>
        <w:gridCol w:w="2551"/>
        <w:gridCol w:w="1413"/>
        <w:gridCol w:w="1413"/>
        <w:gridCol w:w="1375"/>
      </w:tblGrid>
      <w:tr w14:paraId="342FAF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2679" w:type="dxa"/>
            <w:gridSpan w:val="2"/>
            <w:vAlign w:val="center"/>
          </w:tcPr>
          <w:p w14:paraId="3E329172">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项目</w:t>
            </w:r>
          </w:p>
        </w:tc>
        <w:tc>
          <w:tcPr>
            <w:tcW w:w="2551" w:type="dxa"/>
            <w:tcMar>
              <w:left w:w="28" w:type="dxa"/>
              <w:right w:w="28" w:type="dxa"/>
            </w:tcMar>
            <w:vAlign w:val="center"/>
          </w:tcPr>
          <w:p w14:paraId="3502A7A5">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内容或估算方法</w:t>
            </w:r>
          </w:p>
        </w:tc>
        <w:tc>
          <w:tcPr>
            <w:tcW w:w="1413" w:type="dxa"/>
          </w:tcPr>
          <w:p w14:paraId="35673FDC">
            <w:pPr>
              <w:pStyle w:val="77"/>
              <w:keepNext w:val="0"/>
              <w:keepLines w:val="0"/>
              <w:suppressLineNumbers w:val="0"/>
              <w:spacing w:before="0" w:beforeAutospacing="0" w:after="0" w:afterAutospacing="0"/>
              <w:ind w:left="0" w:right="0"/>
              <w:rPr>
                <w:rFonts w:hint="default"/>
                <w:b/>
                <w:bCs/>
                <w:color w:val="auto"/>
              </w:rPr>
            </w:pPr>
            <w:r>
              <w:rPr>
                <w:rFonts w:hint="eastAsia"/>
                <w:b/>
                <w:bCs/>
                <w:color w:val="auto"/>
              </w:rPr>
              <w:t>现有</w:t>
            </w:r>
            <w:r>
              <w:rPr>
                <w:rFonts w:hint="default"/>
                <w:b/>
                <w:bCs/>
                <w:color w:val="auto"/>
              </w:rPr>
              <w:t>工程环保投资（万元）</w:t>
            </w:r>
          </w:p>
        </w:tc>
        <w:tc>
          <w:tcPr>
            <w:tcW w:w="1413" w:type="dxa"/>
            <w:tcMar>
              <w:left w:w="28" w:type="dxa"/>
              <w:right w:w="28" w:type="dxa"/>
            </w:tcMar>
            <w:vAlign w:val="center"/>
          </w:tcPr>
          <w:p w14:paraId="41E627A1">
            <w:pPr>
              <w:pStyle w:val="77"/>
              <w:keepNext w:val="0"/>
              <w:keepLines w:val="0"/>
              <w:suppressLineNumbers w:val="0"/>
              <w:spacing w:before="0" w:beforeAutospacing="0" w:after="0" w:afterAutospacing="0"/>
              <w:ind w:left="0" w:right="0"/>
              <w:rPr>
                <w:rFonts w:hint="default"/>
                <w:b/>
                <w:bCs/>
                <w:color w:val="auto"/>
              </w:rPr>
            </w:pPr>
            <w:r>
              <w:rPr>
                <w:rFonts w:hint="eastAsia"/>
                <w:b/>
                <w:bCs/>
                <w:color w:val="auto"/>
              </w:rPr>
              <w:t>扩建</w:t>
            </w:r>
            <w:r>
              <w:rPr>
                <w:rFonts w:hint="default"/>
                <w:b/>
                <w:bCs/>
                <w:color w:val="auto"/>
              </w:rPr>
              <w:t>项目新增</w:t>
            </w:r>
            <w:r>
              <w:rPr>
                <w:rFonts w:hint="eastAsia"/>
                <w:b/>
                <w:bCs/>
                <w:color w:val="auto"/>
              </w:rPr>
              <w:t>环保</w:t>
            </w:r>
            <w:r>
              <w:rPr>
                <w:rFonts w:hint="default"/>
                <w:b/>
                <w:bCs/>
                <w:color w:val="auto"/>
              </w:rPr>
              <w:t>投资（万元）</w:t>
            </w:r>
          </w:p>
        </w:tc>
        <w:tc>
          <w:tcPr>
            <w:tcW w:w="1375" w:type="dxa"/>
            <w:tcMar>
              <w:left w:w="28" w:type="dxa"/>
              <w:right w:w="28" w:type="dxa"/>
            </w:tcMar>
            <w:vAlign w:val="center"/>
          </w:tcPr>
          <w:p w14:paraId="358B184A">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备注</w:t>
            </w:r>
          </w:p>
        </w:tc>
      </w:tr>
      <w:tr w14:paraId="4837A0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restart"/>
            <w:vAlign w:val="center"/>
          </w:tcPr>
          <w:p w14:paraId="2473E6DB">
            <w:pPr>
              <w:pStyle w:val="77"/>
              <w:keepNext w:val="0"/>
              <w:keepLines w:val="0"/>
              <w:suppressLineNumbers w:val="0"/>
              <w:spacing w:before="0" w:beforeAutospacing="0" w:after="0" w:afterAutospacing="0"/>
              <w:ind w:left="0" w:right="0"/>
              <w:rPr>
                <w:rFonts w:hint="default"/>
                <w:color w:val="auto"/>
              </w:rPr>
            </w:pPr>
            <w:r>
              <w:rPr>
                <w:rFonts w:hint="default"/>
                <w:color w:val="auto"/>
              </w:rPr>
              <w:t>大气</w:t>
            </w:r>
          </w:p>
        </w:tc>
        <w:tc>
          <w:tcPr>
            <w:tcW w:w="2022" w:type="dxa"/>
            <w:tcMar>
              <w:left w:w="28" w:type="dxa"/>
              <w:right w:w="28" w:type="dxa"/>
            </w:tcMar>
            <w:vAlign w:val="center"/>
          </w:tcPr>
          <w:p w14:paraId="0D6C12F6">
            <w:pPr>
              <w:pStyle w:val="77"/>
              <w:keepNext w:val="0"/>
              <w:keepLines w:val="0"/>
              <w:suppressLineNumbers w:val="0"/>
              <w:spacing w:before="0" w:beforeAutospacing="0" w:after="0" w:afterAutospacing="0"/>
              <w:ind w:left="0" w:right="0"/>
              <w:rPr>
                <w:rFonts w:hint="default"/>
                <w:color w:val="auto"/>
              </w:rPr>
            </w:pPr>
            <w:r>
              <w:rPr>
                <w:rFonts w:hint="eastAsia"/>
                <w:color w:val="auto"/>
              </w:rPr>
              <w:t>装车</w:t>
            </w:r>
            <w:r>
              <w:rPr>
                <w:rFonts w:hint="default"/>
                <w:color w:val="auto"/>
              </w:rPr>
              <w:t>废气</w:t>
            </w:r>
          </w:p>
        </w:tc>
        <w:tc>
          <w:tcPr>
            <w:tcW w:w="2551" w:type="dxa"/>
            <w:tcMar>
              <w:left w:w="28" w:type="dxa"/>
              <w:right w:w="28" w:type="dxa"/>
            </w:tcMar>
            <w:vAlign w:val="center"/>
          </w:tcPr>
          <w:p w14:paraId="06203213">
            <w:pPr>
              <w:pStyle w:val="77"/>
              <w:keepNext w:val="0"/>
              <w:keepLines w:val="0"/>
              <w:suppressLineNumbers w:val="0"/>
              <w:spacing w:before="0" w:beforeAutospacing="0" w:after="0" w:afterAutospacing="0"/>
              <w:ind w:left="0" w:right="0"/>
              <w:rPr>
                <w:rFonts w:hint="default"/>
                <w:color w:val="auto"/>
              </w:rPr>
            </w:pPr>
            <w:r>
              <w:rPr>
                <w:rFonts w:hint="eastAsia"/>
                <w:color w:val="auto"/>
              </w:rPr>
              <w:t>甲醇装车油气回收设施处理、汽油装车油气回收设施处理</w:t>
            </w:r>
          </w:p>
        </w:tc>
        <w:tc>
          <w:tcPr>
            <w:tcW w:w="1413" w:type="dxa"/>
            <w:vAlign w:val="center"/>
          </w:tcPr>
          <w:p w14:paraId="6EDEA03A">
            <w:pPr>
              <w:pStyle w:val="77"/>
              <w:keepNext w:val="0"/>
              <w:keepLines w:val="0"/>
              <w:suppressLineNumbers w:val="0"/>
              <w:spacing w:before="0" w:beforeAutospacing="0" w:after="0" w:afterAutospacing="0"/>
              <w:ind w:left="0" w:right="0"/>
              <w:jc w:val="center"/>
              <w:rPr>
                <w:rFonts w:hint="default"/>
                <w:color w:val="auto"/>
              </w:rPr>
            </w:pPr>
            <w:r>
              <w:rPr>
                <w:rFonts w:hint="eastAsia"/>
                <w:color w:val="auto"/>
              </w:rPr>
              <w:t>1</w:t>
            </w:r>
            <w:r>
              <w:rPr>
                <w:rFonts w:hint="default"/>
                <w:color w:val="auto"/>
              </w:rPr>
              <w:t>2</w:t>
            </w:r>
            <w:r>
              <w:rPr>
                <w:rFonts w:hint="eastAsia"/>
                <w:color w:val="auto"/>
              </w:rPr>
              <w:t>00</w:t>
            </w:r>
          </w:p>
        </w:tc>
        <w:tc>
          <w:tcPr>
            <w:tcW w:w="1413" w:type="dxa"/>
            <w:tcMar>
              <w:left w:w="28" w:type="dxa"/>
              <w:right w:w="28" w:type="dxa"/>
            </w:tcMar>
            <w:vAlign w:val="center"/>
          </w:tcPr>
          <w:p w14:paraId="1C2DBA0D">
            <w:pPr>
              <w:pStyle w:val="77"/>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1375" w:type="dxa"/>
            <w:tcMar>
              <w:left w:w="28" w:type="dxa"/>
              <w:right w:w="28" w:type="dxa"/>
            </w:tcMar>
            <w:vAlign w:val="center"/>
          </w:tcPr>
          <w:p w14:paraId="21475293">
            <w:pPr>
              <w:pStyle w:val="77"/>
              <w:keepNext w:val="0"/>
              <w:keepLines w:val="0"/>
              <w:suppressLineNumbers w:val="0"/>
              <w:spacing w:before="0" w:beforeAutospacing="0" w:after="0" w:afterAutospacing="0"/>
              <w:ind w:left="0" w:right="0"/>
              <w:rPr>
                <w:rFonts w:hint="default"/>
                <w:color w:val="auto"/>
              </w:rPr>
            </w:pPr>
            <w:r>
              <w:rPr>
                <w:rFonts w:hint="eastAsia"/>
                <w:color w:val="auto"/>
              </w:rPr>
              <w:t>扩建</w:t>
            </w:r>
            <w:r>
              <w:rPr>
                <w:rFonts w:hint="default"/>
                <w:color w:val="auto"/>
              </w:rPr>
              <w:t>项目不涉及</w:t>
            </w:r>
          </w:p>
        </w:tc>
      </w:tr>
      <w:tr w14:paraId="02AE2C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3FE056D2">
            <w:pPr>
              <w:pStyle w:val="77"/>
              <w:keepNext w:val="0"/>
              <w:keepLines w:val="0"/>
              <w:suppressLineNumbers w:val="0"/>
              <w:spacing w:before="0" w:beforeAutospacing="0" w:after="0" w:afterAutospacing="0"/>
              <w:ind w:left="0" w:right="0"/>
              <w:rPr>
                <w:rFonts w:hint="default"/>
                <w:color w:val="auto"/>
              </w:rPr>
            </w:pPr>
          </w:p>
        </w:tc>
        <w:tc>
          <w:tcPr>
            <w:tcW w:w="2022" w:type="dxa"/>
            <w:tcMar>
              <w:left w:w="28" w:type="dxa"/>
              <w:right w:w="28" w:type="dxa"/>
            </w:tcMar>
            <w:vAlign w:val="center"/>
          </w:tcPr>
          <w:p w14:paraId="1C6F83D8">
            <w:pPr>
              <w:pStyle w:val="77"/>
              <w:keepNext w:val="0"/>
              <w:keepLines w:val="0"/>
              <w:suppressLineNumbers w:val="0"/>
              <w:spacing w:before="0" w:beforeAutospacing="0" w:after="0" w:afterAutospacing="0"/>
              <w:ind w:left="0" w:right="0"/>
              <w:rPr>
                <w:rFonts w:hint="default"/>
                <w:color w:val="auto"/>
              </w:rPr>
            </w:pPr>
            <w:r>
              <w:rPr>
                <w:rFonts w:hint="eastAsia"/>
                <w:color w:val="auto"/>
              </w:rPr>
              <w:t>装船废气</w:t>
            </w:r>
          </w:p>
        </w:tc>
        <w:tc>
          <w:tcPr>
            <w:tcW w:w="2551" w:type="dxa"/>
            <w:tcMar>
              <w:left w:w="28" w:type="dxa"/>
              <w:right w:w="28" w:type="dxa"/>
            </w:tcMar>
            <w:vAlign w:val="center"/>
          </w:tcPr>
          <w:p w14:paraId="7D21A8DE">
            <w:pPr>
              <w:pStyle w:val="77"/>
              <w:keepNext w:val="0"/>
              <w:keepLines w:val="0"/>
              <w:suppressLineNumbers w:val="0"/>
              <w:spacing w:before="0" w:beforeAutospacing="0" w:after="0" w:afterAutospacing="0"/>
              <w:ind w:left="0" w:right="0"/>
              <w:rPr>
                <w:rFonts w:hint="default"/>
                <w:color w:val="auto"/>
              </w:rPr>
            </w:pPr>
            <w:r>
              <w:rPr>
                <w:rFonts w:hint="eastAsia"/>
                <w:color w:val="auto"/>
              </w:rPr>
              <w:t>汽油装船油气回收设施</w:t>
            </w:r>
          </w:p>
        </w:tc>
        <w:tc>
          <w:tcPr>
            <w:tcW w:w="1413" w:type="dxa"/>
            <w:vAlign w:val="center"/>
          </w:tcPr>
          <w:p w14:paraId="0F583DB8">
            <w:pPr>
              <w:pStyle w:val="77"/>
              <w:keepNext w:val="0"/>
              <w:keepLines w:val="0"/>
              <w:suppressLineNumbers w:val="0"/>
              <w:spacing w:before="0" w:beforeAutospacing="0" w:after="0" w:afterAutospacing="0"/>
              <w:ind w:left="0" w:right="0"/>
              <w:jc w:val="center"/>
              <w:rPr>
                <w:rFonts w:hint="default"/>
                <w:color w:val="auto"/>
              </w:rPr>
            </w:pPr>
            <w:r>
              <w:rPr>
                <w:rFonts w:hint="eastAsia"/>
                <w:color w:val="auto"/>
              </w:rPr>
              <w:t>800</w:t>
            </w:r>
          </w:p>
        </w:tc>
        <w:tc>
          <w:tcPr>
            <w:tcW w:w="1413" w:type="dxa"/>
            <w:tcMar>
              <w:left w:w="28" w:type="dxa"/>
              <w:right w:w="28" w:type="dxa"/>
            </w:tcMar>
            <w:vAlign w:val="center"/>
          </w:tcPr>
          <w:p w14:paraId="47447311">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375" w:type="dxa"/>
            <w:tcMar>
              <w:left w:w="28" w:type="dxa"/>
              <w:right w:w="28" w:type="dxa"/>
            </w:tcMar>
            <w:vAlign w:val="center"/>
          </w:tcPr>
          <w:p w14:paraId="27FF27FF">
            <w:pPr>
              <w:pStyle w:val="77"/>
              <w:keepNext w:val="0"/>
              <w:keepLines w:val="0"/>
              <w:suppressLineNumbers w:val="0"/>
              <w:spacing w:before="0" w:beforeAutospacing="0" w:after="0" w:afterAutospacing="0"/>
              <w:ind w:left="0" w:right="0"/>
              <w:rPr>
                <w:rFonts w:hint="default"/>
                <w:color w:val="auto"/>
              </w:rPr>
            </w:pPr>
            <w:r>
              <w:rPr>
                <w:rFonts w:hint="eastAsia"/>
                <w:color w:val="auto"/>
              </w:rPr>
              <w:t>依托现有</w:t>
            </w:r>
            <w:r>
              <w:rPr>
                <w:rFonts w:hint="default"/>
                <w:color w:val="auto"/>
              </w:rPr>
              <w:t>工程</w:t>
            </w:r>
          </w:p>
        </w:tc>
      </w:tr>
      <w:tr w14:paraId="09330B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4" w:hRule="atLeast"/>
          <w:jc w:val="center"/>
        </w:trPr>
        <w:tc>
          <w:tcPr>
            <w:tcW w:w="657" w:type="dxa"/>
            <w:vMerge w:val="continue"/>
            <w:vAlign w:val="center"/>
          </w:tcPr>
          <w:p w14:paraId="191BED6F">
            <w:pPr>
              <w:pStyle w:val="77"/>
              <w:keepNext w:val="0"/>
              <w:keepLines w:val="0"/>
              <w:suppressLineNumbers w:val="0"/>
              <w:spacing w:before="0" w:beforeAutospacing="0" w:after="0" w:afterAutospacing="0"/>
              <w:ind w:left="0" w:right="0"/>
              <w:rPr>
                <w:rFonts w:hint="default"/>
                <w:color w:val="auto"/>
              </w:rPr>
            </w:pPr>
          </w:p>
        </w:tc>
        <w:tc>
          <w:tcPr>
            <w:tcW w:w="2022" w:type="dxa"/>
            <w:tcMar>
              <w:left w:w="28" w:type="dxa"/>
              <w:right w:w="28" w:type="dxa"/>
            </w:tcMar>
            <w:vAlign w:val="center"/>
          </w:tcPr>
          <w:p w14:paraId="5F7073F8">
            <w:pPr>
              <w:pStyle w:val="77"/>
              <w:keepNext w:val="0"/>
              <w:keepLines w:val="0"/>
              <w:suppressLineNumbers w:val="0"/>
              <w:spacing w:before="0" w:beforeAutospacing="0" w:after="0" w:afterAutospacing="0"/>
              <w:ind w:left="0" w:right="0"/>
              <w:rPr>
                <w:rFonts w:hint="default"/>
                <w:color w:val="auto"/>
              </w:rPr>
            </w:pPr>
            <w:r>
              <w:rPr>
                <w:rFonts w:hint="default"/>
                <w:color w:val="auto"/>
              </w:rPr>
              <w:t>扫线管道</w:t>
            </w:r>
          </w:p>
        </w:tc>
        <w:tc>
          <w:tcPr>
            <w:tcW w:w="2551" w:type="dxa"/>
            <w:tcMar>
              <w:left w:w="28" w:type="dxa"/>
              <w:right w:w="28" w:type="dxa"/>
            </w:tcMar>
            <w:vAlign w:val="center"/>
          </w:tcPr>
          <w:p w14:paraId="781DD738">
            <w:pPr>
              <w:pStyle w:val="77"/>
              <w:keepNext w:val="0"/>
              <w:keepLines w:val="0"/>
              <w:suppressLineNumbers w:val="0"/>
              <w:spacing w:before="0" w:beforeAutospacing="0" w:after="0" w:afterAutospacing="0"/>
              <w:ind w:left="0" w:right="0"/>
              <w:rPr>
                <w:rFonts w:hint="default"/>
                <w:color w:val="auto"/>
              </w:rPr>
            </w:pPr>
            <w:r>
              <w:rPr>
                <w:rFonts w:hint="eastAsia"/>
                <w:color w:val="auto"/>
              </w:rPr>
              <w:t>氮气扫线</w:t>
            </w:r>
          </w:p>
        </w:tc>
        <w:tc>
          <w:tcPr>
            <w:tcW w:w="1413" w:type="dxa"/>
            <w:vAlign w:val="center"/>
          </w:tcPr>
          <w:p w14:paraId="71782FA1">
            <w:pPr>
              <w:pStyle w:val="77"/>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1413" w:type="dxa"/>
            <w:tcMar>
              <w:left w:w="28" w:type="dxa"/>
              <w:right w:w="28" w:type="dxa"/>
            </w:tcMar>
            <w:vAlign w:val="center"/>
          </w:tcPr>
          <w:p w14:paraId="2BD66F4A">
            <w:pPr>
              <w:pStyle w:val="77"/>
              <w:keepNext w:val="0"/>
              <w:keepLines w:val="0"/>
              <w:suppressLineNumbers w:val="0"/>
              <w:spacing w:before="0" w:beforeAutospacing="0" w:after="0" w:afterAutospacing="0"/>
              <w:ind w:left="0" w:right="0"/>
              <w:rPr>
                <w:rFonts w:hint="default"/>
                <w:color w:val="auto"/>
              </w:rPr>
            </w:pPr>
            <w:r>
              <w:rPr>
                <w:rFonts w:hint="default"/>
                <w:color w:val="auto"/>
              </w:rPr>
              <w:t>2</w:t>
            </w:r>
          </w:p>
        </w:tc>
        <w:tc>
          <w:tcPr>
            <w:tcW w:w="1375" w:type="dxa"/>
            <w:tcMar>
              <w:left w:w="28" w:type="dxa"/>
              <w:right w:w="28" w:type="dxa"/>
            </w:tcMar>
            <w:vAlign w:val="center"/>
          </w:tcPr>
          <w:p w14:paraId="5C782BBE">
            <w:pPr>
              <w:pStyle w:val="77"/>
              <w:keepNext w:val="0"/>
              <w:keepLines w:val="0"/>
              <w:suppressLineNumbers w:val="0"/>
              <w:spacing w:before="0" w:beforeAutospacing="0" w:after="0" w:afterAutospacing="0"/>
              <w:ind w:left="0" w:right="0"/>
              <w:rPr>
                <w:rFonts w:hint="default"/>
                <w:color w:val="auto"/>
              </w:rPr>
            </w:pPr>
            <w:r>
              <w:rPr>
                <w:rFonts w:hint="eastAsia"/>
                <w:color w:val="auto"/>
              </w:rPr>
              <w:t>依托现有</w:t>
            </w:r>
            <w:r>
              <w:rPr>
                <w:rFonts w:hint="default"/>
                <w:color w:val="auto"/>
              </w:rPr>
              <w:t>工程</w:t>
            </w:r>
          </w:p>
        </w:tc>
      </w:tr>
      <w:tr w14:paraId="24E215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4" w:hRule="atLeast"/>
          <w:jc w:val="center"/>
        </w:trPr>
        <w:tc>
          <w:tcPr>
            <w:tcW w:w="657" w:type="dxa"/>
            <w:vMerge w:val="continue"/>
            <w:vAlign w:val="center"/>
          </w:tcPr>
          <w:p w14:paraId="0643F11F">
            <w:pPr>
              <w:pStyle w:val="77"/>
              <w:keepNext w:val="0"/>
              <w:keepLines w:val="0"/>
              <w:suppressLineNumbers w:val="0"/>
              <w:spacing w:before="0" w:beforeAutospacing="0" w:after="0" w:afterAutospacing="0"/>
              <w:ind w:left="0" w:right="0"/>
              <w:rPr>
                <w:rFonts w:hint="default"/>
                <w:color w:val="auto"/>
              </w:rPr>
            </w:pPr>
          </w:p>
        </w:tc>
        <w:tc>
          <w:tcPr>
            <w:tcW w:w="2022" w:type="dxa"/>
            <w:tcMar>
              <w:left w:w="28" w:type="dxa"/>
              <w:right w:w="28" w:type="dxa"/>
            </w:tcMar>
            <w:vAlign w:val="center"/>
          </w:tcPr>
          <w:p w14:paraId="7785D553">
            <w:pPr>
              <w:pStyle w:val="77"/>
              <w:keepNext w:val="0"/>
              <w:keepLines w:val="0"/>
              <w:suppressLineNumbers w:val="0"/>
              <w:spacing w:before="0" w:beforeAutospacing="0" w:after="0" w:afterAutospacing="0"/>
              <w:ind w:left="0" w:right="0"/>
              <w:rPr>
                <w:rFonts w:hint="default"/>
                <w:color w:val="auto"/>
              </w:rPr>
            </w:pPr>
            <w:r>
              <w:rPr>
                <w:rFonts w:hint="eastAsia"/>
                <w:color w:val="auto"/>
              </w:rPr>
              <w:t>储罐</w:t>
            </w:r>
            <w:r>
              <w:rPr>
                <w:rFonts w:hint="default"/>
                <w:color w:val="auto"/>
              </w:rPr>
              <w:t>呼吸</w:t>
            </w:r>
          </w:p>
        </w:tc>
        <w:tc>
          <w:tcPr>
            <w:tcW w:w="2551" w:type="dxa"/>
            <w:tcMar>
              <w:left w:w="28" w:type="dxa"/>
              <w:right w:w="28" w:type="dxa"/>
            </w:tcMar>
            <w:vAlign w:val="center"/>
          </w:tcPr>
          <w:p w14:paraId="6455D1A7">
            <w:pPr>
              <w:pStyle w:val="77"/>
              <w:keepNext w:val="0"/>
              <w:keepLines w:val="0"/>
              <w:suppressLineNumbers w:val="0"/>
              <w:spacing w:before="0" w:beforeAutospacing="0" w:after="0" w:afterAutospacing="0"/>
              <w:ind w:left="0" w:right="0"/>
              <w:rPr>
                <w:rFonts w:hint="default"/>
                <w:color w:val="auto"/>
              </w:rPr>
            </w:pPr>
            <w:r>
              <w:rPr>
                <w:rFonts w:hint="eastAsia"/>
                <w:color w:val="auto"/>
              </w:rPr>
              <w:t>氮封、</w:t>
            </w:r>
            <w:r>
              <w:rPr>
                <w:rFonts w:hint="default"/>
                <w:color w:val="auto"/>
              </w:rPr>
              <w:t>顶部浸没式装载</w:t>
            </w:r>
          </w:p>
        </w:tc>
        <w:tc>
          <w:tcPr>
            <w:tcW w:w="1413" w:type="dxa"/>
            <w:vAlign w:val="center"/>
          </w:tcPr>
          <w:p w14:paraId="58EA934B">
            <w:pPr>
              <w:pStyle w:val="77"/>
              <w:keepNext w:val="0"/>
              <w:keepLines w:val="0"/>
              <w:suppressLineNumbers w:val="0"/>
              <w:spacing w:before="0" w:beforeAutospacing="0" w:after="0" w:afterAutospacing="0"/>
              <w:ind w:left="0" w:right="0"/>
              <w:jc w:val="center"/>
              <w:rPr>
                <w:rFonts w:hint="default"/>
                <w:color w:val="auto"/>
              </w:rPr>
            </w:pPr>
            <w:r>
              <w:rPr>
                <w:rFonts w:hint="default"/>
                <w:color w:val="auto"/>
              </w:rPr>
              <w:t>20</w:t>
            </w:r>
          </w:p>
        </w:tc>
        <w:tc>
          <w:tcPr>
            <w:tcW w:w="1413" w:type="dxa"/>
            <w:tcMar>
              <w:left w:w="28" w:type="dxa"/>
              <w:right w:w="28" w:type="dxa"/>
            </w:tcMar>
            <w:vAlign w:val="center"/>
          </w:tcPr>
          <w:p w14:paraId="4B58E14A">
            <w:pPr>
              <w:pStyle w:val="77"/>
              <w:keepNext w:val="0"/>
              <w:keepLines w:val="0"/>
              <w:suppressLineNumbers w:val="0"/>
              <w:spacing w:before="0" w:beforeAutospacing="0" w:after="0" w:afterAutospacing="0"/>
              <w:ind w:left="0" w:right="0"/>
              <w:rPr>
                <w:rFonts w:hint="default"/>
                <w:color w:val="auto"/>
              </w:rPr>
            </w:pPr>
            <w:r>
              <w:rPr>
                <w:rFonts w:hint="eastAsia"/>
                <w:color w:val="auto"/>
              </w:rPr>
              <w:t>2</w:t>
            </w:r>
          </w:p>
        </w:tc>
        <w:tc>
          <w:tcPr>
            <w:tcW w:w="1375" w:type="dxa"/>
            <w:tcMar>
              <w:left w:w="28" w:type="dxa"/>
              <w:right w:w="28" w:type="dxa"/>
            </w:tcMar>
            <w:vAlign w:val="center"/>
          </w:tcPr>
          <w:p w14:paraId="2BC7A3C2">
            <w:pPr>
              <w:pStyle w:val="77"/>
              <w:keepNext w:val="0"/>
              <w:keepLines w:val="0"/>
              <w:suppressLineNumbers w:val="0"/>
              <w:spacing w:before="0" w:beforeAutospacing="0" w:after="0" w:afterAutospacing="0"/>
              <w:ind w:left="0" w:right="0"/>
              <w:rPr>
                <w:rFonts w:hint="default"/>
                <w:color w:val="auto"/>
              </w:rPr>
            </w:pPr>
            <w:r>
              <w:rPr>
                <w:rFonts w:hint="eastAsia"/>
                <w:color w:val="auto"/>
              </w:rPr>
              <w:t>储罐及</w:t>
            </w:r>
            <w:r>
              <w:rPr>
                <w:rFonts w:hint="default"/>
                <w:color w:val="auto"/>
              </w:rPr>
              <w:t>氮气均依托现有工程</w:t>
            </w:r>
          </w:p>
        </w:tc>
      </w:tr>
      <w:tr w14:paraId="0E48AD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Align w:val="center"/>
          </w:tcPr>
          <w:p w14:paraId="104F84AC">
            <w:pPr>
              <w:pStyle w:val="77"/>
              <w:keepNext w:val="0"/>
              <w:keepLines w:val="0"/>
              <w:suppressLineNumbers w:val="0"/>
              <w:spacing w:before="0" w:beforeAutospacing="0" w:after="0" w:afterAutospacing="0"/>
              <w:ind w:left="0" w:right="0"/>
              <w:rPr>
                <w:rFonts w:hint="default"/>
                <w:color w:val="auto"/>
              </w:rPr>
            </w:pPr>
            <w:r>
              <w:rPr>
                <w:rFonts w:hint="default"/>
                <w:color w:val="auto"/>
              </w:rPr>
              <w:t>噪声</w:t>
            </w:r>
          </w:p>
        </w:tc>
        <w:tc>
          <w:tcPr>
            <w:tcW w:w="2022" w:type="dxa"/>
            <w:tcMar>
              <w:left w:w="28" w:type="dxa"/>
              <w:right w:w="28" w:type="dxa"/>
            </w:tcMar>
            <w:vAlign w:val="center"/>
          </w:tcPr>
          <w:p w14:paraId="55A17D3F">
            <w:pPr>
              <w:pStyle w:val="77"/>
              <w:keepNext w:val="0"/>
              <w:keepLines w:val="0"/>
              <w:suppressLineNumbers w:val="0"/>
              <w:spacing w:before="0" w:beforeAutospacing="0" w:after="0" w:afterAutospacing="0"/>
              <w:ind w:left="0" w:right="0"/>
              <w:rPr>
                <w:rFonts w:hint="default"/>
                <w:color w:val="auto"/>
              </w:rPr>
            </w:pPr>
            <w:r>
              <w:rPr>
                <w:rFonts w:hint="default"/>
                <w:color w:val="auto"/>
              </w:rPr>
              <w:t>营运期固定设备降噪</w:t>
            </w:r>
          </w:p>
        </w:tc>
        <w:tc>
          <w:tcPr>
            <w:tcW w:w="2551" w:type="dxa"/>
            <w:tcMar>
              <w:left w:w="28" w:type="dxa"/>
              <w:right w:w="28" w:type="dxa"/>
            </w:tcMar>
            <w:vAlign w:val="center"/>
          </w:tcPr>
          <w:p w14:paraId="2F4EADA8">
            <w:pPr>
              <w:pStyle w:val="77"/>
              <w:keepNext w:val="0"/>
              <w:keepLines w:val="0"/>
              <w:suppressLineNumbers w:val="0"/>
              <w:spacing w:before="0" w:beforeAutospacing="0" w:after="0" w:afterAutospacing="0"/>
              <w:ind w:left="0" w:right="0"/>
              <w:rPr>
                <w:rFonts w:hint="default"/>
                <w:color w:val="auto"/>
              </w:rPr>
            </w:pPr>
            <w:r>
              <w:rPr>
                <w:rFonts w:hint="default"/>
                <w:color w:val="auto"/>
              </w:rPr>
              <w:t>消声</w:t>
            </w:r>
            <w:r>
              <w:rPr>
                <w:rFonts w:hint="eastAsia"/>
                <w:color w:val="auto"/>
              </w:rPr>
              <w:t>垫等</w:t>
            </w:r>
          </w:p>
        </w:tc>
        <w:tc>
          <w:tcPr>
            <w:tcW w:w="1413" w:type="dxa"/>
            <w:vAlign w:val="center"/>
          </w:tcPr>
          <w:p w14:paraId="35335E08">
            <w:pPr>
              <w:pStyle w:val="77"/>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1413" w:type="dxa"/>
            <w:tcMar>
              <w:left w:w="28" w:type="dxa"/>
              <w:right w:w="28" w:type="dxa"/>
            </w:tcMar>
            <w:vAlign w:val="center"/>
          </w:tcPr>
          <w:p w14:paraId="7868E2B7">
            <w:pPr>
              <w:pStyle w:val="77"/>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1375" w:type="dxa"/>
            <w:tcMar>
              <w:left w:w="28" w:type="dxa"/>
              <w:right w:w="28" w:type="dxa"/>
            </w:tcMar>
            <w:vAlign w:val="center"/>
          </w:tcPr>
          <w:p w14:paraId="6ACE7AC4">
            <w:pPr>
              <w:pStyle w:val="77"/>
              <w:keepNext w:val="0"/>
              <w:keepLines w:val="0"/>
              <w:suppressLineNumbers w:val="0"/>
              <w:spacing w:before="0" w:beforeAutospacing="0" w:after="0" w:afterAutospacing="0"/>
              <w:ind w:left="0" w:right="0"/>
              <w:rPr>
                <w:rFonts w:hint="default"/>
                <w:color w:val="auto"/>
              </w:rPr>
            </w:pPr>
            <w:r>
              <w:rPr>
                <w:rFonts w:hint="eastAsia"/>
                <w:color w:val="auto"/>
              </w:rPr>
              <w:t>依托现有</w:t>
            </w:r>
            <w:r>
              <w:rPr>
                <w:rFonts w:hint="default"/>
                <w:color w:val="auto"/>
              </w:rPr>
              <w:t>工程</w:t>
            </w:r>
          </w:p>
        </w:tc>
      </w:tr>
      <w:tr w14:paraId="33262F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restart"/>
            <w:vAlign w:val="center"/>
          </w:tcPr>
          <w:p w14:paraId="1244270F">
            <w:pPr>
              <w:pStyle w:val="77"/>
              <w:keepNext w:val="0"/>
              <w:keepLines w:val="0"/>
              <w:suppressLineNumbers w:val="0"/>
              <w:spacing w:before="0" w:beforeAutospacing="0" w:after="0" w:afterAutospacing="0"/>
              <w:ind w:left="0" w:right="0"/>
              <w:rPr>
                <w:rFonts w:hint="default"/>
                <w:color w:val="auto"/>
              </w:rPr>
            </w:pPr>
            <w:r>
              <w:rPr>
                <w:rFonts w:hint="default"/>
                <w:color w:val="auto"/>
              </w:rPr>
              <w:t>废水</w:t>
            </w:r>
          </w:p>
        </w:tc>
        <w:tc>
          <w:tcPr>
            <w:tcW w:w="2022" w:type="dxa"/>
            <w:tcMar>
              <w:left w:w="28" w:type="dxa"/>
              <w:right w:w="28" w:type="dxa"/>
            </w:tcMar>
            <w:vAlign w:val="center"/>
          </w:tcPr>
          <w:p w14:paraId="5B9B2A23">
            <w:pPr>
              <w:pStyle w:val="77"/>
              <w:keepNext w:val="0"/>
              <w:keepLines w:val="0"/>
              <w:suppressLineNumbers w:val="0"/>
              <w:spacing w:before="0" w:beforeAutospacing="0" w:after="0" w:afterAutospacing="0"/>
              <w:ind w:left="0" w:right="0"/>
              <w:rPr>
                <w:rFonts w:hint="default"/>
                <w:color w:val="auto"/>
              </w:rPr>
            </w:pPr>
            <w:r>
              <w:rPr>
                <w:rFonts w:hint="eastAsia"/>
                <w:color w:val="auto"/>
              </w:rPr>
              <w:t>码头</w:t>
            </w:r>
            <w:r>
              <w:rPr>
                <w:rFonts w:hint="default"/>
                <w:color w:val="auto"/>
              </w:rPr>
              <w:t>冲洗</w:t>
            </w:r>
            <w:r>
              <w:rPr>
                <w:rFonts w:hint="eastAsia"/>
                <w:color w:val="auto"/>
              </w:rPr>
              <w:t>废水</w:t>
            </w:r>
            <w:r>
              <w:rPr>
                <w:rFonts w:hint="default"/>
                <w:color w:val="auto"/>
              </w:rPr>
              <w:t>、初期雨水</w:t>
            </w:r>
          </w:p>
        </w:tc>
        <w:tc>
          <w:tcPr>
            <w:tcW w:w="2551" w:type="dxa"/>
            <w:tcMar>
              <w:left w:w="28" w:type="dxa"/>
              <w:right w:w="28" w:type="dxa"/>
            </w:tcMar>
            <w:vAlign w:val="center"/>
          </w:tcPr>
          <w:p w14:paraId="6AAC69B0">
            <w:pPr>
              <w:pStyle w:val="77"/>
              <w:keepNext w:val="0"/>
              <w:keepLines w:val="0"/>
              <w:suppressLineNumbers w:val="0"/>
              <w:spacing w:before="0" w:beforeAutospacing="0" w:after="0" w:afterAutospacing="0"/>
              <w:ind w:left="0" w:right="0"/>
              <w:rPr>
                <w:rFonts w:hint="default"/>
                <w:color w:val="auto"/>
              </w:rPr>
            </w:pPr>
            <w:r>
              <w:rPr>
                <w:rFonts w:hint="eastAsia"/>
                <w:color w:val="auto"/>
              </w:rPr>
              <w:t>污水</w:t>
            </w:r>
            <w:r>
              <w:rPr>
                <w:rFonts w:hint="default"/>
                <w:color w:val="auto"/>
              </w:rPr>
              <w:t>收集池、事故应急池（</w:t>
            </w:r>
            <w:r>
              <w:rPr>
                <w:rFonts w:hint="eastAsia"/>
                <w:color w:val="auto"/>
              </w:rPr>
              <w:t>兼做</w:t>
            </w:r>
            <w:r>
              <w:rPr>
                <w:rFonts w:hint="default"/>
                <w:color w:val="auto"/>
              </w:rPr>
              <w:t>初期雨水池）</w:t>
            </w:r>
            <w:r>
              <w:rPr>
                <w:rFonts w:hint="eastAsia"/>
                <w:color w:val="auto"/>
              </w:rPr>
              <w:t>、污水</w:t>
            </w:r>
            <w:r>
              <w:rPr>
                <w:rFonts w:hint="default"/>
                <w:color w:val="auto"/>
              </w:rPr>
              <w:t>处理设施（</w:t>
            </w:r>
            <w:r>
              <w:rPr>
                <w:rFonts w:hint="eastAsia"/>
                <w:color w:val="auto"/>
              </w:rPr>
              <w:t>已</w:t>
            </w:r>
            <w:r>
              <w:rPr>
                <w:rFonts w:hint="default"/>
                <w:color w:val="auto"/>
              </w:rPr>
              <w:t>停运，</w:t>
            </w:r>
            <w:r>
              <w:rPr>
                <w:rFonts w:hint="eastAsia"/>
                <w:color w:val="auto"/>
                <w:lang w:eastAsia="zh-CN"/>
              </w:rPr>
              <w:t>用作</w:t>
            </w:r>
            <w:r>
              <w:rPr>
                <w:rFonts w:hint="default"/>
                <w:color w:val="auto"/>
              </w:rPr>
              <w:t>储存）</w:t>
            </w:r>
            <w:r>
              <w:rPr>
                <w:rFonts w:hint="eastAsia"/>
                <w:color w:val="auto"/>
              </w:rPr>
              <w:t>、</w:t>
            </w:r>
            <w:r>
              <w:rPr>
                <w:rFonts w:hint="default"/>
                <w:color w:val="auto"/>
              </w:rPr>
              <w:t>泵及管网</w:t>
            </w:r>
            <w:r>
              <w:rPr>
                <w:rFonts w:hint="eastAsia"/>
                <w:color w:val="auto"/>
              </w:rPr>
              <w:t>，</w:t>
            </w:r>
            <w:r>
              <w:rPr>
                <w:rFonts w:hint="default"/>
                <w:color w:val="auto"/>
              </w:rPr>
              <w:t>罐车运送至东油沥青厂</w:t>
            </w:r>
          </w:p>
        </w:tc>
        <w:tc>
          <w:tcPr>
            <w:tcW w:w="1413" w:type="dxa"/>
            <w:vAlign w:val="center"/>
          </w:tcPr>
          <w:p w14:paraId="735F7122">
            <w:pPr>
              <w:pStyle w:val="77"/>
              <w:keepNext w:val="0"/>
              <w:keepLines w:val="0"/>
              <w:suppressLineNumbers w:val="0"/>
              <w:spacing w:before="0" w:beforeAutospacing="0" w:after="0" w:afterAutospacing="0"/>
              <w:ind w:left="0" w:right="0"/>
              <w:jc w:val="center"/>
              <w:rPr>
                <w:rFonts w:hint="default"/>
                <w:color w:val="auto"/>
              </w:rPr>
            </w:pPr>
            <w:r>
              <w:rPr>
                <w:rFonts w:hint="default"/>
                <w:color w:val="auto"/>
              </w:rPr>
              <w:t>200</w:t>
            </w:r>
          </w:p>
        </w:tc>
        <w:tc>
          <w:tcPr>
            <w:tcW w:w="1413" w:type="dxa"/>
            <w:tcMar>
              <w:left w:w="28" w:type="dxa"/>
              <w:right w:w="28" w:type="dxa"/>
            </w:tcMar>
            <w:vAlign w:val="center"/>
          </w:tcPr>
          <w:p w14:paraId="2F840A48">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375" w:type="dxa"/>
            <w:vMerge w:val="restart"/>
            <w:tcMar>
              <w:left w:w="28" w:type="dxa"/>
              <w:right w:w="28" w:type="dxa"/>
            </w:tcMar>
            <w:vAlign w:val="center"/>
          </w:tcPr>
          <w:p w14:paraId="778B3967">
            <w:pPr>
              <w:pStyle w:val="77"/>
              <w:keepNext w:val="0"/>
              <w:keepLines w:val="0"/>
              <w:suppressLineNumbers w:val="0"/>
              <w:spacing w:before="0" w:beforeAutospacing="0" w:after="0" w:afterAutospacing="0"/>
              <w:ind w:left="0" w:right="0"/>
              <w:rPr>
                <w:rFonts w:hint="default"/>
                <w:color w:val="auto"/>
              </w:rPr>
            </w:pPr>
            <w:r>
              <w:rPr>
                <w:rFonts w:hint="eastAsia"/>
                <w:color w:val="auto"/>
              </w:rPr>
              <w:t>扩建</w:t>
            </w:r>
            <w:r>
              <w:rPr>
                <w:rFonts w:hint="default"/>
                <w:color w:val="auto"/>
              </w:rPr>
              <w:t>项目</w:t>
            </w:r>
            <w:r>
              <w:rPr>
                <w:rFonts w:hint="eastAsia"/>
                <w:color w:val="auto"/>
              </w:rPr>
              <w:t>不新增，依托现有</w:t>
            </w:r>
            <w:r>
              <w:rPr>
                <w:rFonts w:hint="default"/>
                <w:color w:val="auto"/>
              </w:rPr>
              <w:t>工程</w:t>
            </w:r>
          </w:p>
        </w:tc>
      </w:tr>
      <w:tr w14:paraId="6CFCA6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5B55AB85">
            <w:pPr>
              <w:pStyle w:val="77"/>
              <w:keepNext w:val="0"/>
              <w:keepLines w:val="0"/>
              <w:suppressLineNumbers w:val="0"/>
              <w:spacing w:before="0" w:beforeAutospacing="0" w:after="0" w:afterAutospacing="0"/>
              <w:ind w:left="0" w:right="0"/>
              <w:rPr>
                <w:rFonts w:hint="default"/>
                <w:color w:val="auto"/>
              </w:rPr>
            </w:pPr>
          </w:p>
        </w:tc>
        <w:tc>
          <w:tcPr>
            <w:tcW w:w="2022" w:type="dxa"/>
            <w:tcMar>
              <w:left w:w="28" w:type="dxa"/>
              <w:right w:w="28" w:type="dxa"/>
            </w:tcMar>
            <w:vAlign w:val="center"/>
          </w:tcPr>
          <w:p w14:paraId="00A1F2EC">
            <w:pPr>
              <w:pStyle w:val="77"/>
              <w:keepNext w:val="0"/>
              <w:keepLines w:val="0"/>
              <w:suppressLineNumbers w:val="0"/>
              <w:spacing w:before="0" w:beforeAutospacing="0" w:after="0" w:afterAutospacing="0"/>
              <w:ind w:left="0" w:right="0"/>
              <w:rPr>
                <w:rFonts w:hint="default"/>
                <w:color w:val="auto"/>
              </w:rPr>
            </w:pPr>
            <w:r>
              <w:rPr>
                <w:rFonts w:hint="eastAsia"/>
                <w:color w:val="auto"/>
              </w:rPr>
              <w:t>洗罐</w:t>
            </w:r>
            <w:r>
              <w:rPr>
                <w:rFonts w:hint="default"/>
                <w:color w:val="auto"/>
              </w:rPr>
              <w:t>废水</w:t>
            </w:r>
          </w:p>
        </w:tc>
        <w:tc>
          <w:tcPr>
            <w:tcW w:w="2551" w:type="dxa"/>
            <w:tcMar>
              <w:left w:w="28" w:type="dxa"/>
              <w:right w:w="28" w:type="dxa"/>
            </w:tcMar>
            <w:vAlign w:val="center"/>
          </w:tcPr>
          <w:p w14:paraId="5FF106E6">
            <w:pPr>
              <w:pStyle w:val="77"/>
              <w:keepNext w:val="0"/>
              <w:keepLines w:val="0"/>
              <w:suppressLineNumbers w:val="0"/>
              <w:spacing w:before="0" w:beforeAutospacing="0" w:after="0" w:afterAutospacing="0"/>
              <w:ind w:left="0" w:right="0"/>
              <w:rPr>
                <w:rFonts w:hint="default"/>
                <w:color w:val="auto"/>
              </w:rPr>
            </w:pPr>
            <w:r>
              <w:rPr>
                <w:rFonts w:hint="eastAsia"/>
                <w:color w:val="auto"/>
              </w:rPr>
              <w:t>污水</w:t>
            </w:r>
            <w:r>
              <w:rPr>
                <w:rFonts w:hint="default"/>
                <w:color w:val="auto"/>
              </w:rPr>
              <w:t>处理设施（</w:t>
            </w:r>
            <w:r>
              <w:rPr>
                <w:rFonts w:hint="eastAsia"/>
                <w:color w:val="auto"/>
              </w:rPr>
              <w:t>已</w:t>
            </w:r>
            <w:r>
              <w:rPr>
                <w:rFonts w:hint="default"/>
                <w:color w:val="auto"/>
              </w:rPr>
              <w:t>停运，</w:t>
            </w:r>
            <w:r>
              <w:rPr>
                <w:rFonts w:hint="eastAsia"/>
                <w:color w:val="auto"/>
                <w:lang w:eastAsia="zh-CN"/>
              </w:rPr>
              <w:t>用作</w:t>
            </w:r>
            <w:r>
              <w:rPr>
                <w:rFonts w:hint="default"/>
                <w:color w:val="auto"/>
              </w:rPr>
              <w:t>储存）</w:t>
            </w:r>
            <w:r>
              <w:rPr>
                <w:rFonts w:hint="eastAsia"/>
                <w:color w:val="auto"/>
              </w:rPr>
              <w:t>、</w:t>
            </w:r>
            <w:r>
              <w:rPr>
                <w:rFonts w:hint="default"/>
                <w:color w:val="auto"/>
              </w:rPr>
              <w:t>泵及管网</w:t>
            </w:r>
            <w:r>
              <w:rPr>
                <w:rFonts w:hint="eastAsia"/>
                <w:color w:val="auto"/>
              </w:rPr>
              <w:t>，</w:t>
            </w:r>
            <w:r>
              <w:rPr>
                <w:rFonts w:hint="default"/>
                <w:color w:val="auto"/>
              </w:rPr>
              <w:t>罐车运送至东油沥青厂</w:t>
            </w:r>
          </w:p>
        </w:tc>
        <w:tc>
          <w:tcPr>
            <w:tcW w:w="1413" w:type="dxa"/>
            <w:vAlign w:val="center"/>
          </w:tcPr>
          <w:p w14:paraId="3CA2841E">
            <w:pPr>
              <w:pStyle w:val="77"/>
              <w:keepNext w:val="0"/>
              <w:keepLines w:val="0"/>
              <w:suppressLineNumbers w:val="0"/>
              <w:spacing w:before="0" w:beforeAutospacing="0" w:after="0" w:afterAutospacing="0"/>
              <w:ind w:left="0" w:right="0"/>
              <w:jc w:val="center"/>
              <w:rPr>
                <w:rFonts w:hint="default"/>
                <w:color w:val="auto"/>
              </w:rPr>
            </w:pPr>
            <w:r>
              <w:rPr>
                <w:rFonts w:hint="eastAsia"/>
                <w:color w:val="auto"/>
              </w:rPr>
              <w:t>5</w:t>
            </w:r>
          </w:p>
        </w:tc>
        <w:tc>
          <w:tcPr>
            <w:tcW w:w="1413" w:type="dxa"/>
            <w:tcMar>
              <w:left w:w="28" w:type="dxa"/>
              <w:right w:w="28" w:type="dxa"/>
            </w:tcMar>
            <w:vAlign w:val="center"/>
          </w:tcPr>
          <w:p w14:paraId="41B33AAE">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375" w:type="dxa"/>
            <w:vMerge w:val="continue"/>
            <w:tcMar>
              <w:left w:w="28" w:type="dxa"/>
              <w:right w:w="28" w:type="dxa"/>
            </w:tcMar>
            <w:vAlign w:val="center"/>
          </w:tcPr>
          <w:p w14:paraId="13DEFF81">
            <w:pPr>
              <w:pStyle w:val="77"/>
              <w:keepNext w:val="0"/>
              <w:keepLines w:val="0"/>
              <w:suppressLineNumbers w:val="0"/>
              <w:spacing w:before="0" w:beforeAutospacing="0" w:after="0" w:afterAutospacing="0"/>
              <w:ind w:left="0" w:right="0"/>
              <w:rPr>
                <w:rFonts w:hint="default"/>
                <w:color w:val="auto"/>
              </w:rPr>
            </w:pPr>
          </w:p>
        </w:tc>
      </w:tr>
      <w:tr w14:paraId="112F9C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659E9C16">
            <w:pPr>
              <w:pStyle w:val="77"/>
              <w:keepNext w:val="0"/>
              <w:keepLines w:val="0"/>
              <w:suppressLineNumbers w:val="0"/>
              <w:spacing w:before="0" w:beforeAutospacing="0" w:after="0" w:afterAutospacing="0"/>
              <w:ind w:left="0" w:right="0"/>
              <w:rPr>
                <w:rFonts w:hint="default"/>
                <w:color w:val="auto"/>
              </w:rPr>
            </w:pPr>
          </w:p>
        </w:tc>
        <w:tc>
          <w:tcPr>
            <w:tcW w:w="2022" w:type="dxa"/>
            <w:tcMar>
              <w:left w:w="28" w:type="dxa"/>
              <w:right w:w="28" w:type="dxa"/>
            </w:tcMar>
            <w:vAlign w:val="center"/>
          </w:tcPr>
          <w:p w14:paraId="10D6E22B">
            <w:pPr>
              <w:pStyle w:val="77"/>
              <w:keepNext w:val="0"/>
              <w:keepLines w:val="0"/>
              <w:suppressLineNumbers w:val="0"/>
              <w:spacing w:before="0" w:beforeAutospacing="0" w:after="0" w:afterAutospacing="0"/>
              <w:ind w:left="0" w:right="0"/>
              <w:rPr>
                <w:rFonts w:hint="default"/>
                <w:color w:val="auto"/>
              </w:rPr>
            </w:pPr>
            <w:r>
              <w:rPr>
                <w:rFonts w:hint="eastAsia"/>
                <w:color w:val="auto"/>
              </w:rPr>
              <w:t>陆域生活</w:t>
            </w:r>
            <w:r>
              <w:rPr>
                <w:rFonts w:hint="default"/>
                <w:color w:val="auto"/>
              </w:rPr>
              <w:t>污水</w:t>
            </w:r>
          </w:p>
        </w:tc>
        <w:tc>
          <w:tcPr>
            <w:tcW w:w="2551" w:type="dxa"/>
            <w:tcMar>
              <w:left w:w="28" w:type="dxa"/>
              <w:right w:w="28" w:type="dxa"/>
            </w:tcMar>
            <w:vAlign w:val="center"/>
          </w:tcPr>
          <w:p w14:paraId="1EAF4DDC">
            <w:pPr>
              <w:pStyle w:val="77"/>
              <w:keepNext w:val="0"/>
              <w:keepLines w:val="0"/>
              <w:suppressLineNumbers w:val="0"/>
              <w:spacing w:before="0" w:beforeAutospacing="0" w:after="0" w:afterAutospacing="0"/>
              <w:ind w:left="0" w:right="0"/>
              <w:rPr>
                <w:rFonts w:hint="default"/>
                <w:color w:val="auto"/>
              </w:rPr>
            </w:pPr>
            <w:r>
              <w:rPr>
                <w:rFonts w:hint="eastAsia"/>
                <w:color w:val="auto"/>
              </w:rPr>
              <w:t>化粪池</w:t>
            </w:r>
            <w:r>
              <w:rPr>
                <w:rFonts w:hint="default"/>
                <w:color w:val="auto"/>
              </w:rPr>
              <w:t>、</w:t>
            </w:r>
            <w:r>
              <w:rPr>
                <w:rFonts w:hint="eastAsia"/>
                <w:color w:val="auto"/>
              </w:rPr>
              <w:t>吸污车</w:t>
            </w:r>
            <w:r>
              <w:rPr>
                <w:rFonts w:hint="default"/>
                <w:color w:val="auto"/>
              </w:rPr>
              <w:t>运送至东油沥青厂</w:t>
            </w:r>
          </w:p>
        </w:tc>
        <w:tc>
          <w:tcPr>
            <w:tcW w:w="1413" w:type="dxa"/>
            <w:vAlign w:val="center"/>
          </w:tcPr>
          <w:p w14:paraId="464ABA47">
            <w:pPr>
              <w:pStyle w:val="77"/>
              <w:keepNext w:val="0"/>
              <w:keepLines w:val="0"/>
              <w:suppressLineNumbers w:val="0"/>
              <w:spacing w:before="0" w:beforeAutospacing="0" w:after="0" w:afterAutospacing="0"/>
              <w:ind w:left="0" w:right="0"/>
              <w:jc w:val="center"/>
              <w:rPr>
                <w:rFonts w:hint="default"/>
                <w:color w:val="auto"/>
              </w:rPr>
            </w:pPr>
            <w:r>
              <w:rPr>
                <w:rFonts w:hint="eastAsia"/>
                <w:color w:val="auto"/>
              </w:rPr>
              <w:t>10</w:t>
            </w:r>
          </w:p>
        </w:tc>
        <w:tc>
          <w:tcPr>
            <w:tcW w:w="1413" w:type="dxa"/>
            <w:tcMar>
              <w:left w:w="28" w:type="dxa"/>
              <w:right w:w="28" w:type="dxa"/>
            </w:tcMar>
            <w:vAlign w:val="center"/>
          </w:tcPr>
          <w:p w14:paraId="3BD908F7">
            <w:pPr>
              <w:pStyle w:val="77"/>
              <w:keepNext w:val="0"/>
              <w:keepLines w:val="0"/>
              <w:suppressLineNumbers w:val="0"/>
              <w:spacing w:before="0" w:beforeAutospacing="0" w:after="0" w:afterAutospacing="0"/>
              <w:ind w:left="0" w:right="0"/>
              <w:rPr>
                <w:rFonts w:hint="default"/>
                <w:color w:val="auto"/>
              </w:rPr>
            </w:pPr>
          </w:p>
        </w:tc>
        <w:tc>
          <w:tcPr>
            <w:tcW w:w="1375" w:type="dxa"/>
            <w:vMerge w:val="continue"/>
            <w:tcMar>
              <w:left w:w="28" w:type="dxa"/>
              <w:right w:w="28" w:type="dxa"/>
            </w:tcMar>
            <w:vAlign w:val="center"/>
          </w:tcPr>
          <w:p w14:paraId="1039B709">
            <w:pPr>
              <w:pStyle w:val="77"/>
              <w:keepNext w:val="0"/>
              <w:keepLines w:val="0"/>
              <w:suppressLineNumbers w:val="0"/>
              <w:spacing w:before="0" w:beforeAutospacing="0" w:after="0" w:afterAutospacing="0"/>
              <w:ind w:left="0" w:right="0"/>
              <w:rPr>
                <w:rFonts w:hint="default"/>
                <w:color w:val="auto"/>
              </w:rPr>
            </w:pPr>
          </w:p>
        </w:tc>
      </w:tr>
      <w:tr w14:paraId="4EE180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1540BABD">
            <w:pPr>
              <w:pStyle w:val="77"/>
              <w:keepNext w:val="0"/>
              <w:keepLines w:val="0"/>
              <w:suppressLineNumbers w:val="0"/>
              <w:spacing w:before="0" w:beforeAutospacing="0" w:after="0" w:afterAutospacing="0"/>
              <w:ind w:left="0" w:right="0"/>
              <w:rPr>
                <w:rFonts w:hint="default"/>
                <w:color w:val="auto"/>
              </w:rPr>
            </w:pPr>
          </w:p>
        </w:tc>
        <w:tc>
          <w:tcPr>
            <w:tcW w:w="2022" w:type="dxa"/>
            <w:tcMar>
              <w:left w:w="28" w:type="dxa"/>
              <w:right w:w="28" w:type="dxa"/>
            </w:tcMar>
            <w:vAlign w:val="center"/>
          </w:tcPr>
          <w:p w14:paraId="6F48A4A5">
            <w:pPr>
              <w:pStyle w:val="77"/>
              <w:keepNext w:val="0"/>
              <w:keepLines w:val="0"/>
              <w:suppressLineNumbers w:val="0"/>
              <w:spacing w:before="0" w:beforeAutospacing="0" w:after="0" w:afterAutospacing="0"/>
              <w:ind w:left="0" w:right="0"/>
              <w:rPr>
                <w:rFonts w:hint="default"/>
                <w:color w:val="auto"/>
              </w:rPr>
            </w:pPr>
            <w:r>
              <w:rPr>
                <w:rFonts w:hint="default"/>
                <w:color w:val="auto"/>
              </w:rPr>
              <w:t>船舶废水</w:t>
            </w:r>
          </w:p>
        </w:tc>
        <w:tc>
          <w:tcPr>
            <w:tcW w:w="2551" w:type="dxa"/>
            <w:tcMar>
              <w:left w:w="28" w:type="dxa"/>
              <w:right w:w="28" w:type="dxa"/>
            </w:tcMar>
            <w:vAlign w:val="center"/>
          </w:tcPr>
          <w:p w14:paraId="50E152CA">
            <w:pPr>
              <w:pStyle w:val="77"/>
              <w:keepNext w:val="0"/>
              <w:keepLines w:val="0"/>
              <w:suppressLineNumbers w:val="0"/>
              <w:spacing w:before="0" w:beforeAutospacing="0" w:after="0" w:afterAutospacing="0"/>
              <w:ind w:left="0" w:right="0"/>
              <w:rPr>
                <w:rFonts w:hint="default"/>
                <w:color w:val="auto"/>
              </w:rPr>
            </w:pPr>
            <w:r>
              <w:rPr>
                <w:rFonts w:hint="default"/>
                <w:color w:val="auto"/>
              </w:rPr>
              <w:t>船舶污水</w:t>
            </w:r>
            <w:r>
              <w:rPr>
                <w:rFonts w:hint="eastAsia"/>
                <w:color w:val="auto"/>
              </w:rPr>
              <w:t>交由</w:t>
            </w:r>
            <w:r>
              <w:rPr>
                <w:rFonts w:hint="default"/>
                <w:color w:val="auto"/>
              </w:rPr>
              <w:t>有</w:t>
            </w:r>
            <w:r>
              <w:rPr>
                <w:rFonts w:hint="eastAsia"/>
                <w:color w:val="auto"/>
              </w:rPr>
              <w:t>资质</w:t>
            </w:r>
            <w:r>
              <w:rPr>
                <w:rFonts w:hint="default"/>
                <w:color w:val="auto"/>
              </w:rPr>
              <w:t>单位处理</w:t>
            </w:r>
          </w:p>
        </w:tc>
        <w:tc>
          <w:tcPr>
            <w:tcW w:w="1413" w:type="dxa"/>
            <w:vAlign w:val="center"/>
          </w:tcPr>
          <w:p w14:paraId="57370D09">
            <w:pPr>
              <w:pStyle w:val="77"/>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c>
          <w:tcPr>
            <w:tcW w:w="1413" w:type="dxa"/>
            <w:tcMar>
              <w:left w:w="28" w:type="dxa"/>
              <w:right w:w="28" w:type="dxa"/>
            </w:tcMar>
            <w:vAlign w:val="center"/>
          </w:tcPr>
          <w:p w14:paraId="6F31EB2B">
            <w:pPr>
              <w:pStyle w:val="77"/>
              <w:keepNext w:val="0"/>
              <w:keepLines w:val="0"/>
              <w:suppressLineNumbers w:val="0"/>
              <w:spacing w:before="0" w:beforeAutospacing="0" w:after="0" w:afterAutospacing="0"/>
              <w:ind w:left="0" w:right="0"/>
              <w:rPr>
                <w:rFonts w:hint="default"/>
                <w:color w:val="auto"/>
              </w:rPr>
            </w:pPr>
            <w:r>
              <w:rPr>
                <w:rFonts w:hint="default"/>
                <w:color w:val="auto"/>
              </w:rPr>
              <w:t>/</w:t>
            </w:r>
          </w:p>
        </w:tc>
        <w:tc>
          <w:tcPr>
            <w:tcW w:w="1375" w:type="dxa"/>
            <w:tcMar>
              <w:left w:w="28" w:type="dxa"/>
              <w:right w:w="28" w:type="dxa"/>
            </w:tcMar>
            <w:vAlign w:val="center"/>
          </w:tcPr>
          <w:p w14:paraId="6917BE04">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117C8E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9" w:hRule="atLeast"/>
          <w:jc w:val="center"/>
        </w:trPr>
        <w:tc>
          <w:tcPr>
            <w:tcW w:w="657" w:type="dxa"/>
            <w:vMerge w:val="restart"/>
            <w:vAlign w:val="center"/>
          </w:tcPr>
          <w:p w14:paraId="617CD1DE">
            <w:pPr>
              <w:pStyle w:val="77"/>
              <w:keepNext w:val="0"/>
              <w:keepLines w:val="0"/>
              <w:suppressLineNumbers w:val="0"/>
              <w:spacing w:before="0" w:beforeAutospacing="0" w:after="0" w:afterAutospacing="0"/>
              <w:ind w:left="0" w:right="0"/>
              <w:rPr>
                <w:rFonts w:hint="default"/>
                <w:color w:val="auto"/>
              </w:rPr>
            </w:pPr>
            <w:r>
              <w:rPr>
                <w:rFonts w:hint="default"/>
                <w:color w:val="auto"/>
              </w:rPr>
              <w:t>固废</w:t>
            </w:r>
          </w:p>
        </w:tc>
        <w:tc>
          <w:tcPr>
            <w:tcW w:w="2022" w:type="dxa"/>
            <w:tcMar>
              <w:left w:w="28" w:type="dxa"/>
              <w:right w:w="28" w:type="dxa"/>
            </w:tcMar>
          </w:tcPr>
          <w:p w14:paraId="0C8C1861">
            <w:pPr>
              <w:pStyle w:val="77"/>
              <w:keepNext w:val="0"/>
              <w:keepLines w:val="0"/>
              <w:suppressLineNumbers w:val="0"/>
              <w:spacing w:before="0" w:beforeAutospacing="0" w:after="0" w:afterAutospacing="0"/>
              <w:ind w:left="0" w:right="0"/>
              <w:rPr>
                <w:rFonts w:hint="default"/>
                <w:color w:val="auto"/>
              </w:rPr>
            </w:pPr>
            <w:r>
              <w:rPr>
                <w:rFonts w:hint="eastAsia"/>
                <w:color w:val="auto"/>
              </w:rPr>
              <w:t>船舶、</w:t>
            </w:r>
            <w:r>
              <w:rPr>
                <w:rFonts w:hint="default"/>
                <w:color w:val="auto"/>
              </w:rPr>
              <w:t>陆域生活</w:t>
            </w:r>
            <w:r>
              <w:rPr>
                <w:rFonts w:hint="eastAsia"/>
                <w:color w:val="auto"/>
              </w:rPr>
              <w:t>垃圾</w:t>
            </w:r>
          </w:p>
        </w:tc>
        <w:tc>
          <w:tcPr>
            <w:tcW w:w="2551" w:type="dxa"/>
            <w:tcMar>
              <w:left w:w="28" w:type="dxa"/>
              <w:right w:w="28" w:type="dxa"/>
            </w:tcMar>
            <w:vAlign w:val="center"/>
          </w:tcPr>
          <w:p w14:paraId="758FF5D6">
            <w:pPr>
              <w:pStyle w:val="77"/>
              <w:keepNext w:val="0"/>
              <w:keepLines w:val="0"/>
              <w:suppressLineNumbers w:val="0"/>
              <w:spacing w:before="0" w:beforeAutospacing="0" w:after="0" w:afterAutospacing="0"/>
              <w:ind w:left="0" w:right="0"/>
              <w:rPr>
                <w:rFonts w:hint="default"/>
                <w:color w:val="auto"/>
              </w:rPr>
            </w:pPr>
            <w:r>
              <w:rPr>
                <w:rFonts w:hint="default"/>
                <w:color w:val="auto"/>
              </w:rPr>
              <w:t>垃圾桶，垃圾清运</w:t>
            </w:r>
          </w:p>
        </w:tc>
        <w:tc>
          <w:tcPr>
            <w:tcW w:w="1413" w:type="dxa"/>
            <w:vAlign w:val="center"/>
          </w:tcPr>
          <w:p w14:paraId="586CBFB4">
            <w:pPr>
              <w:pStyle w:val="77"/>
              <w:keepNext w:val="0"/>
              <w:keepLines w:val="0"/>
              <w:suppressLineNumbers w:val="0"/>
              <w:spacing w:before="0" w:beforeAutospacing="0" w:after="0" w:afterAutospacing="0"/>
              <w:ind w:left="0" w:right="0"/>
              <w:jc w:val="center"/>
              <w:rPr>
                <w:rFonts w:hint="default"/>
                <w:color w:val="auto"/>
              </w:rPr>
            </w:pPr>
            <w:r>
              <w:rPr>
                <w:rFonts w:hint="eastAsia"/>
                <w:color w:val="auto"/>
              </w:rPr>
              <w:t>5</w:t>
            </w:r>
          </w:p>
        </w:tc>
        <w:tc>
          <w:tcPr>
            <w:tcW w:w="1413" w:type="dxa"/>
            <w:tcMar>
              <w:left w:w="28" w:type="dxa"/>
              <w:right w:w="28" w:type="dxa"/>
            </w:tcMar>
            <w:vAlign w:val="center"/>
          </w:tcPr>
          <w:p w14:paraId="2ED70037">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375" w:type="dxa"/>
            <w:tcMar>
              <w:left w:w="28" w:type="dxa"/>
              <w:right w:w="28" w:type="dxa"/>
            </w:tcMar>
            <w:vAlign w:val="center"/>
          </w:tcPr>
          <w:p w14:paraId="092FFFFF">
            <w:pPr>
              <w:pStyle w:val="77"/>
              <w:keepNext w:val="0"/>
              <w:keepLines w:val="0"/>
              <w:suppressLineNumbers w:val="0"/>
              <w:spacing w:before="0" w:beforeAutospacing="0" w:after="0" w:afterAutospacing="0"/>
              <w:ind w:left="0" w:right="0"/>
              <w:rPr>
                <w:rFonts w:hint="default"/>
                <w:color w:val="auto"/>
              </w:rPr>
            </w:pPr>
            <w:r>
              <w:rPr>
                <w:rFonts w:hint="eastAsia"/>
                <w:color w:val="auto"/>
              </w:rPr>
              <w:t>依托</w:t>
            </w:r>
          </w:p>
        </w:tc>
      </w:tr>
      <w:tr w14:paraId="6716BB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9" w:hRule="atLeast"/>
          <w:jc w:val="center"/>
        </w:trPr>
        <w:tc>
          <w:tcPr>
            <w:tcW w:w="657" w:type="dxa"/>
            <w:vMerge w:val="continue"/>
            <w:vAlign w:val="center"/>
          </w:tcPr>
          <w:p w14:paraId="18968C3C">
            <w:pPr>
              <w:pStyle w:val="77"/>
              <w:keepNext w:val="0"/>
              <w:keepLines w:val="0"/>
              <w:suppressLineNumbers w:val="0"/>
              <w:spacing w:before="0" w:beforeAutospacing="0" w:after="0" w:afterAutospacing="0"/>
              <w:ind w:left="0" w:right="0"/>
              <w:rPr>
                <w:rFonts w:hint="default"/>
                <w:color w:val="auto"/>
              </w:rPr>
            </w:pPr>
          </w:p>
        </w:tc>
        <w:tc>
          <w:tcPr>
            <w:tcW w:w="2022" w:type="dxa"/>
            <w:tcMar>
              <w:left w:w="28" w:type="dxa"/>
              <w:right w:w="28" w:type="dxa"/>
            </w:tcMar>
            <w:vAlign w:val="center"/>
          </w:tcPr>
          <w:p w14:paraId="628E88DA">
            <w:pPr>
              <w:pStyle w:val="77"/>
              <w:keepNext w:val="0"/>
              <w:keepLines w:val="0"/>
              <w:suppressLineNumbers w:val="0"/>
              <w:spacing w:before="0" w:beforeAutospacing="0" w:after="0" w:afterAutospacing="0"/>
              <w:ind w:left="0" w:right="0"/>
              <w:rPr>
                <w:rFonts w:hint="default"/>
                <w:color w:val="auto"/>
              </w:rPr>
            </w:pPr>
            <w:r>
              <w:rPr>
                <w:rFonts w:hint="default"/>
                <w:color w:val="auto"/>
              </w:rPr>
              <w:t>危废</w:t>
            </w:r>
          </w:p>
        </w:tc>
        <w:tc>
          <w:tcPr>
            <w:tcW w:w="2551" w:type="dxa"/>
            <w:tcMar>
              <w:left w:w="28" w:type="dxa"/>
              <w:right w:w="28" w:type="dxa"/>
            </w:tcMar>
            <w:vAlign w:val="center"/>
          </w:tcPr>
          <w:p w14:paraId="1124EFBC">
            <w:pPr>
              <w:pStyle w:val="77"/>
              <w:keepNext w:val="0"/>
              <w:keepLines w:val="0"/>
              <w:suppressLineNumbers w:val="0"/>
              <w:spacing w:before="0" w:beforeAutospacing="0" w:after="0" w:afterAutospacing="0"/>
              <w:ind w:left="0" w:right="0"/>
              <w:rPr>
                <w:rFonts w:hint="default"/>
                <w:color w:val="auto"/>
              </w:rPr>
            </w:pPr>
            <w:r>
              <w:rPr>
                <w:rFonts w:hint="default"/>
                <w:color w:val="auto"/>
              </w:rPr>
              <w:t>危废贮存间</w:t>
            </w:r>
            <w:r>
              <w:rPr>
                <w:rFonts w:hint="eastAsia"/>
                <w:color w:val="auto"/>
              </w:rPr>
              <w:t>、</w:t>
            </w:r>
            <w:r>
              <w:rPr>
                <w:rFonts w:hint="default"/>
                <w:color w:val="auto"/>
              </w:rPr>
              <w:t>危废清运</w:t>
            </w:r>
          </w:p>
        </w:tc>
        <w:tc>
          <w:tcPr>
            <w:tcW w:w="1413" w:type="dxa"/>
            <w:vAlign w:val="center"/>
          </w:tcPr>
          <w:p w14:paraId="510DBF49">
            <w:pPr>
              <w:pStyle w:val="77"/>
              <w:keepNext w:val="0"/>
              <w:keepLines w:val="0"/>
              <w:suppressLineNumbers w:val="0"/>
              <w:spacing w:before="0" w:beforeAutospacing="0" w:after="0" w:afterAutospacing="0"/>
              <w:ind w:left="0" w:right="0"/>
              <w:jc w:val="center"/>
              <w:rPr>
                <w:rFonts w:hint="default"/>
                <w:color w:val="auto"/>
              </w:rPr>
            </w:pPr>
            <w:r>
              <w:rPr>
                <w:rFonts w:hint="eastAsia"/>
                <w:color w:val="auto"/>
              </w:rPr>
              <w:t>30</w:t>
            </w:r>
          </w:p>
        </w:tc>
        <w:tc>
          <w:tcPr>
            <w:tcW w:w="1413" w:type="dxa"/>
            <w:tcMar>
              <w:left w:w="28" w:type="dxa"/>
              <w:right w:w="28" w:type="dxa"/>
            </w:tcMar>
            <w:vAlign w:val="center"/>
          </w:tcPr>
          <w:p w14:paraId="17703202">
            <w:pPr>
              <w:pStyle w:val="77"/>
              <w:keepNext w:val="0"/>
              <w:keepLines w:val="0"/>
              <w:suppressLineNumbers w:val="0"/>
              <w:spacing w:before="0" w:beforeAutospacing="0" w:after="0" w:afterAutospacing="0"/>
              <w:ind w:left="0" w:right="0"/>
              <w:rPr>
                <w:rFonts w:hint="default"/>
                <w:color w:val="auto"/>
              </w:rPr>
            </w:pPr>
            <w:r>
              <w:rPr>
                <w:rFonts w:hint="eastAsia"/>
                <w:color w:val="auto"/>
              </w:rPr>
              <w:t>2</w:t>
            </w:r>
          </w:p>
        </w:tc>
        <w:tc>
          <w:tcPr>
            <w:tcW w:w="1375" w:type="dxa"/>
            <w:tcMar>
              <w:left w:w="28" w:type="dxa"/>
              <w:right w:w="28" w:type="dxa"/>
            </w:tcMar>
            <w:vAlign w:val="center"/>
          </w:tcPr>
          <w:p w14:paraId="463B2C13">
            <w:pPr>
              <w:pStyle w:val="77"/>
              <w:keepNext w:val="0"/>
              <w:keepLines w:val="0"/>
              <w:suppressLineNumbers w:val="0"/>
              <w:spacing w:before="0" w:beforeAutospacing="0" w:after="0" w:afterAutospacing="0"/>
              <w:ind w:left="0" w:right="0"/>
              <w:rPr>
                <w:rFonts w:hint="default"/>
                <w:color w:val="auto"/>
              </w:rPr>
            </w:pPr>
            <w:r>
              <w:rPr>
                <w:rFonts w:hint="eastAsia"/>
                <w:color w:val="auto"/>
              </w:rPr>
              <w:t>依托</w:t>
            </w:r>
            <w:r>
              <w:rPr>
                <w:rFonts w:hint="default"/>
                <w:color w:val="auto"/>
              </w:rPr>
              <w:t>，新增</w:t>
            </w:r>
            <w:r>
              <w:rPr>
                <w:rFonts w:hint="eastAsia"/>
                <w:color w:val="auto"/>
              </w:rPr>
              <w:t>危废</w:t>
            </w:r>
            <w:r>
              <w:rPr>
                <w:rFonts w:hint="default"/>
                <w:color w:val="auto"/>
              </w:rPr>
              <w:t>清运量</w:t>
            </w:r>
          </w:p>
        </w:tc>
      </w:tr>
      <w:tr w14:paraId="1D0E1B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restart"/>
            <w:vAlign w:val="center"/>
          </w:tcPr>
          <w:p w14:paraId="4C8D7ABA">
            <w:pPr>
              <w:pStyle w:val="77"/>
              <w:keepNext w:val="0"/>
              <w:keepLines w:val="0"/>
              <w:suppressLineNumbers w:val="0"/>
              <w:spacing w:before="0" w:beforeAutospacing="0" w:after="0" w:afterAutospacing="0"/>
              <w:ind w:left="0" w:right="0"/>
              <w:rPr>
                <w:rFonts w:hint="default"/>
                <w:color w:val="auto"/>
              </w:rPr>
            </w:pPr>
            <w:r>
              <w:rPr>
                <w:rFonts w:hint="default"/>
                <w:color w:val="auto"/>
              </w:rPr>
              <w:t>风险防范</w:t>
            </w:r>
          </w:p>
        </w:tc>
        <w:tc>
          <w:tcPr>
            <w:tcW w:w="2022" w:type="dxa"/>
            <w:tcMar>
              <w:left w:w="28" w:type="dxa"/>
              <w:right w:w="28" w:type="dxa"/>
            </w:tcMar>
            <w:vAlign w:val="center"/>
          </w:tcPr>
          <w:p w14:paraId="6AAA0437">
            <w:pPr>
              <w:pStyle w:val="77"/>
              <w:keepNext w:val="0"/>
              <w:keepLines w:val="0"/>
              <w:suppressLineNumbers w:val="0"/>
              <w:spacing w:before="0" w:beforeAutospacing="0" w:after="0" w:afterAutospacing="0"/>
              <w:ind w:left="0" w:right="0"/>
              <w:rPr>
                <w:rFonts w:hint="default"/>
                <w:color w:val="auto"/>
              </w:rPr>
            </w:pPr>
            <w:r>
              <w:rPr>
                <w:rFonts w:hint="default"/>
                <w:color w:val="auto"/>
              </w:rPr>
              <w:t>溢液事故应急设备</w:t>
            </w:r>
          </w:p>
        </w:tc>
        <w:tc>
          <w:tcPr>
            <w:tcW w:w="2551" w:type="dxa"/>
            <w:tcMar>
              <w:left w:w="28" w:type="dxa"/>
              <w:right w:w="28" w:type="dxa"/>
            </w:tcMar>
            <w:vAlign w:val="center"/>
          </w:tcPr>
          <w:p w14:paraId="1770993C">
            <w:pPr>
              <w:pStyle w:val="77"/>
              <w:keepNext w:val="0"/>
              <w:keepLines w:val="0"/>
              <w:suppressLineNumbers w:val="0"/>
              <w:spacing w:before="0" w:beforeAutospacing="0" w:after="0" w:afterAutospacing="0"/>
              <w:ind w:left="0" w:right="0"/>
              <w:rPr>
                <w:rFonts w:hint="default"/>
                <w:color w:val="auto"/>
              </w:rPr>
            </w:pPr>
            <w:r>
              <w:rPr>
                <w:rFonts w:hint="default"/>
                <w:color w:val="auto"/>
              </w:rPr>
              <w:t>围油栏、收油机等相应风险应急设施等</w:t>
            </w:r>
            <w:r>
              <w:rPr>
                <w:rFonts w:hint="eastAsia"/>
                <w:color w:val="auto"/>
              </w:rPr>
              <w:t>，码头溢油应急值守服务</w:t>
            </w:r>
          </w:p>
        </w:tc>
        <w:tc>
          <w:tcPr>
            <w:tcW w:w="1413" w:type="dxa"/>
            <w:vAlign w:val="center"/>
          </w:tcPr>
          <w:p w14:paraId="7A700A08">
            <w:pPr>
              <w:pStyle w:val="77"/>
              <w:keepNext w:val="0"/>
              <w:keepLines w:val="0"/>
              <w:suppressLineNumbers w:val="0"/>
              <w:spacing w:before="0" w:beforeAutospacing="0" w:after="0" w:afterAutospacing="0"/>
              <w:ind w:left="0" w:right="0"/>
              <w:jc w:val="center"/>
              <w:rPr>
                <w:rFonts w:hint="default"/>
                <w:color w:val="auto"/>
              </w:rPr>
            </w:pPr>
            <w:r>
              <w:rPr>
                <w:rFonts w:hint="default"/>
                <w:color w:val="auto"/>
              </w:rPr>
              <w:t>50</w:t>
            </w:r>
          </w:p>
        </w:tc>
        <w:tc>
          <w:tcPr>
            <w:tcW w:w="1413" w:type="dxa"/>
            <w:tcMar>
              <w:left w:w="28" w:type="dxa"/>
              <w:right w:w="28" w:type="dxa"/>
            </w:tcMar>
            <w:vAlign w:val="center"/>
          </w:tcPr>
          <w:p w14:paraId="55B351D0">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375" w:type="dxa"/>
            <w:tcMar>
              <w:left w:w="28" w:type="dxa"/>
              <w:right w:w="28" w:type="dxa"/>
            </w:tcMar>
            <w:vAlign w:val="center"/>
          </w:tcPr>
          <w:p w14:paraId="5B56692F">
            <w:pPr>
              <w:pStyle w:val="77"/>
              <w:keepNext w:val="0"/>
              <w:keepLines w:val="0"/>
              <w:suppressLineNumbers w:val="0"/>
              <w:spacing w:before="0" w:beforeAutospacing="0" w:after="0" w:afterAutospacing="0"/>
              <w:ind w:left="0" w:right="0"/>
              <w:rPr>
                <w:rFonts w:hint="default"/>
                <w:color w:val="auto"/>
              </w:rPr>
            </w:pPr>
            <w:r>
              <w:rPr>
                <w:rFonts w:hint="default"/>
                <w:color w:val="auto"/>
              </w:rPr>
              <w:t>依托现有</w:t>
            </w:r>
          </w:p>
        </w:tc>
      </w:tr>
      <w:tr w14:paraId="333998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067A28A2">
            <w:pPr>
              <w:pStyle w:val="77"/>
              <w:keepNext w:val="0"/>
              <w:keepLines w:val="0"/>
              <w:suppressLineNumbers w:val="0"/>
              <w:spacing w:before="0" w:beforeAutospacing="0" w:after="0" w:afterAutospacing="0"/>
              <w:ind w:left="0" w:right="0"/>
              <w:rPr>
                <w:rFonts w:hint="default"/>
                <w:color w:val="auto"/>
              </w:rPr>
            </w:pPr>
          </w:p>
        </w:tc>
        <w:tc>
          <w:tcPr>
            <w:tcW w:w="2022" w:type="dxa"/>
            <w:tcMar>
              <w:left w:w="28" w:type="dxa"/>
              <w:right w:w="28" w:type="dxa"/>
            </w:tcMar>
            <w:vAlign w:val="center"/>
          </w:tcPr>
          <w:p w14:paraId="17757990">
            <w:pPr>
              <w:pStyle w:val="77"/>
              <w:keepNext w:val="0"/>
              <w:keepLines w:val="0"/>
              <w:suppressLineNumbers w:val="0"/>
              <w:spacing w:before="0" w:beforeAutospacing="0" w:after="0" w:afterAutospacing="0"/>
              <w:ind w:left="0" w:right="0"/>
              <w:rPr>
                <w:rFonts w:hint="default"/>
                <w:color w:val="auto"/>
              </w:rPr>
            </w:pPr>
            <w:r>
              <w:rPr>
                <w:rFonts w:hint="eastAsia"/>
                <w:color w:val="auto"/>
              </w:rPr>
              <w:t>其他应急物资</w:t>
            </w:r>
          </w:p>
        </w:tc>
        <w:tc>
          <w:tcPr>
            <w:tcW w:w="2551" w:type="dxa"/>
            <w:tcMar>
              <w:left w:w="28" w:type="dxa"/>
              <w:right w:w="28" w:type="dxa"/>
            </w:tcMar>
            <w:vAlign w:val="center"/>
          </w:tcPr>
          <w:p w14:paraId="10C55152">
            <w:pPr>
              <w:pStyle w:val="77"/>
              <w:keepNext w:val="0"/>
              <w:keepLines w:val="0"/>
              <w:suppressLineNumbers w:val="0"/>
              <w:spacing w:before="0" w:beforeAutospacing="0" w:after="0" w:afterAutospacing="0"/>
              <w:ind w:left="0" w:right="0"/>
              <w:rPr>
                <w:rFonts w:hint="default"/>
                <w:color w:val="auto"/>
              </w:rPr>
            </w:pPr>
            <w:r>
              <w:rPr>
                <w:rFonts w:hint="eastAsia"/>
                <w:color w:val="auto"/>
              </w:rPr>
              <w:t>消防</w:t>
            </w:r>
            <w:r>
              <w:rPr>
                <w:rFonts w:hint="default"/>
                <w:color w:val="auto"/>
              </w:rPr>
              <w:t>水罐、泡沫</w:t>
            </w:r>
            <w:r>
              <w:rPr>
                <w:rFonts w:hint="eastAsia"/>
                <w:color w:val="auto"/>
              </w:rPr>
              <w:t>消防</w:t>
            </w:r>
            <w:r>
              <w:rPr>
                <w:rFonts w:hint="default"/>
                <w:color w:val="auto"/>
              </w:rPr>
              <w:t>设施、管道</w:t>
            </w:r>
            <w:r>
              <w:rPr>
                <w:rFonts w:hint="eastAsia"/>
                <w:color w:val="auto"/>
              </w:rPr>
              <w:t>、</w:t>
            </w:r>
            <w:r>
              <w:rPr>
                <w:rFonts w:hint="default"/>
                <w:color w:val="auto"/>
              </w:rPr>
              <w:t>灭火器</w:t>
            </w:r>
            <w:r>
              <w:rPr>
                <w:rFonts w:hint="eastAsia"/>
                <w:color w:val="auto"/>
              </w:rPr>
              <w:t>、</w:t>
            </w:r>
            <w:r>
              <w:rPr>
                <w:rFonts w:hint="default"/>
                <w:color w:val="auto"/>
              </w:rPr>
              <w:t>砂土</w:t>
            </w:r>
            <w:r>
              <w:rPr>
                <w:rFonts w:hint="eastAsia"/>
                <w:color w:val="auto"/>
              </w:rPr>
              <w:t>、事故</w:t>
            </w:r>
            <w:r>
              <w:rPr>
                <w:rFonts w:hint="default"/>
                <w:color w:val="auto"/>
              </w:rPr>
              <w:t>应急池等</w:t>
            </w:r>
          </w:p>
        </w:tc>
        <w:tc>
          <w:tcPr>
            <w:tcW w:w="1413" w:type="dxa"/>
            <w:vAlign w:val="center"/>
          </w:tcPr>
          <w:p w14:paraId="7CCD7F9E">
            <w:pPr>
              <w:pStyle w:val="77"/>
              <w:keepNext w:val="0"/>
              <w:keepLines w:val="0"/>
              <w:suppressLineNumbers w:val="0"/>
              <w:spacing w:before="0" w:beforeAutospacing="0" w:after="0" w:afterAutospacing="0"/>
              <w:ind w:left="0" w:right="0"/>
              <w:jc w:val="center"/>
              <w:rPr>
                <w:rFonts w:hint="default"/>
                <w:color w:val="auto"/>
              </w:rPr>
            </w:pPr>
            <w:r>
              <w:rPr>
                <w:rFonts w:hint="default"/>
                <w:color w:val="auto"/>
              </w:rPr>
              <w:t>80</w:t>
            </w:r>
          </w:p>
        </w:tc>
        <w:tc>
          <w:tcPr>
            <w:tcW w:w="1413" w:type="dxa"/>
            <w:tcMar>
              <w:left w:w="28" w:type="dxa"/>
              <w:right w:w="28" w:type="dxa"/>
            </w:tcMar>
            <w:vAlign w:val="center"/>
          </w:tcPr>
          <w:p w14:paraId="72A5BF84">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375" w:type="dxa"/>
            <w:tcMar>
              <w:left w:w="28" w:type="dxa"/>
              <w:right w:w="28" w:type="dxa"/>
            </w:tcMar>
            <w:vAlign w:val="center"/>
          </w:tcPr>
          <w:p w14:paraId="5BB1132D">
            <w:pPr>
              <w:pStyle w:val="77"/>
              <w:keepNext w:val="0"/>
              <w:keepLines w:val="0"/>
              <w:suppressLineNumbers w:val="0"/>
              <w:spacing w:before="0" w:beforeAutospacing="0" w:after="0" w:afterAutospacing="0"/>
              <w:ind w:left="0" w:right="0"/>
              <w:rPr>
                <w:rFonts w:hint="default"/>
                <w:color w:val="auto"/>
              </w:rPr>
            </w:pPr>
            <w:r>
              <w:rPr>
                <w:rFonts w:hint="default"/>
                <w:color w:val="auto"/>
              </w:rPr>
              <w:t>依托现有</w:t>
            </w:r>
          </w:p>
        </w:tc>
      </w:tr>
      <w:tr w14:paraId="73C441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restart"/>
            <w:vAlign w:val="center"/>
          </w:tcPr>
          <w:p w14:paraId="48629FF6">
            <w:pPr>
              <w:pStyle w:val="77"/>
              <w:keepNext w:val="0"/>
              <w:keepLines w:val="0"/>
              <w:suppressLineNumbers w:val="0"/>
              <w:spacing w:before="0" w:beforeAutospacing="0" w:after="0" w:afterAutospacing="0"/>
              <w:ind w:left="0" w:right="0"/>
              <w:rPr>
                <w:rFonts w:hint="default"/>
                <w:color w:val="auto"/>
              </w:rPr>
            </w:pPr>
            <w:r>
              <w:rPr>
                <w:rFonts w:hint="default"/>
                <w:color w:val="auto"/>
              </w:rPr>
              <w:t>环境管理</w:t>
            </w:r>
          </w:p>
        </w:tc>
        <w:tc>
          <w:tcPr>
            <w:tcW w:w="2022" w:type="dxa"/>
            <w:tcMar>
              <w:left w:w="28" w:type="dxa"/>
              <w:right w:w="28" w:type="dxa"/>
            </w:tcMar>
            <w:vAlign w:val="center"/>
          </w:tcPr>
          <w:p w14:paraId="0A9F6AB3">
            <w:pPr>
              <w:pStyle w:val="77"/>
              <w:keepNext w:val="0"/>
              <w:keepLines w:val="0"/>
              <w:suppressLineNumbers w:val="0"/>
              <w:spacing w:before="0" w:beforeAutospacing="0" w:after="0" w:afterAutospacing="0"/>
              <w:ind w:left="0" w:right="0"/>
              <w:rPr>
                <w:rFonts w:hint="default"/>
                <w:color w:val="auto"/>
              </w:rPr>
            </w:pPr>
            <w:r>
              <w:rPr>
                <w:rFonts w:hint="default"/>
                <w:color w:val="auto"/>
              </w:rPr>
              <w:t>运营期环境监测</w:t>
            </w:r>
          </w:p>
        </w:tc>
        <w:tc>
          <w:tcPr>
            <w:tcW w:w="2551" w:type="dxa"/>
            <w:tcMar>
              <w:left w:w="28" w:type="dxa"/>
              <w:right w:w="28" w:type="dxa"/>
            </w:tcMar>
            <w:vAlign w:val="center"/>
          </w:tcPr>
          <w:p w14:paraId="20CD0FB3">
            <w:pPr>
              <w:pStyle w:val="77"/>
              <w:keepNext w:val="0"/>
              <w:keepLines w:val="0"/>
              <w:suppressLineNumbers w:val="0"/>
              <w:spacing w:before="0" w:beforeAutospacing="0" w:after="0" w:afterAutospacing="0"/>
              <w:ind w:left="0" w:right="0"/>
              <w:rPr>
                <w:rFonts w:hint="default"/>
                <w:color w:val="auto"/>
              </w:rPr>
            </w:pPr>
            <w:r>
              <w:rPr>
                <w:rFonts w:hint="default"/>
                <w:color w:val="auto"/>
              </w:rPr>
              <w:t>水环境、声环境、</w:t>
            </w:r>
            <w:r>
              <w:rPr>
                <w:rFonts w:hint="eastAsia"/>
                <w:color w:val="auto"/>
              </w:rPr>
              <w:t>大气</w:t>
            </w:r>
            <w:r>
              <w:rPr>
                <w:rFonts w:hint="eastAsia"/>
                <w:color w:val="auto"/>
                <w:lang w:eastAsia="zh-CN"/>
              </w:rPr>
              <w:t>、海洋</w:t>
            </w:r>
            <w:r>
              <w:rPr>
                <w:rFonts w:hint="default"/>
                <w:color w:val="auto"/>
              </w:rPr>
              <w:t>监测</w:t>
            </w:r>
          </w:p>
        </w:tc>
        <w:tc>
          <w:tcPr>
            <w:tcW w:w="1413" w:type="dxa"/>
            <w:vAlign w:val="center"/>
          </w:tcPr>
          <w:p w14:paraId="27E6A580">
            <w:pPr>
              <w:pStyle w:val="77"/>
              <w:keepNext w:val="0"/>
              <w:keepLines w:val="0"/>
              <w:suppressLineNumbers w:val="0"/>
              <w:spacing w:before="0" w:beforeAutospacing="0" w:after="0" w:afterAutospacing="0"/>
              <w:ind w:left="0" w:right="0"/>
              <w:jc w:val="center"/>
              <w:rPr>
                <w:rFonts w:hint="default"/>
                <w:color w:val="auto"/>
              </w:rPr>
            </w:pPr>
            <w:r>
              <w:rPr>
                <w:rFonts w:hint="default"/>
                <w:color w:val="auto"/>
              </w:rPr>
              <w:t>20</w:t>
            </w:r>
          </w:p>
        </w:tc>
        <w:tc>
          <w:tcPr>
            <w:tcW w:w="1413" w:type="dxa"/>
            <w:tcMar>
              <w:left w:w="28" w:type="dxa"/>
              <w:right w:w="28" w:type="dxa"/>
            </w:tcMar>
            <w:vAlign w:val="center"/>
          </w:tcPr>
          <w:p w14:paraId="75E0021E">
            <w:pPr>
              <w:pStyle w:val="77"/>
              <w:keepNext w:val="0"/>
              <w:keepLines w:val="0"/>
              <w:suppressLineNumbers w:val="0"/>
              <w:spacing w:before="0" w:beforeAutospacing="0" w:after="0" w:afterAutospacing="0"/>
              <w:ind w:left="0" w:right="0"/>
              <w:rPr>
                <w:rFonts w:hint="default" w:eastAsia="宋体"/>
                <w:color w:val="auto"/>
                <w:lang w:val="en-US" w:eastAsia="zh-CN"/>
              </w:rPr>
            </w:pPr>
            <w:r>
              <w:rPr>
                <w:rFonts w:hint="eastAsia"/>
                <w:color w:val="auto"/>
                <w:u w:val="single"/>
                <w:lang w:val="en-US" w:eastAsia="zh-CN"/>
              </w:rPr>
              <w:t>20</w:t>
            </w:r>
          </w:p>
        </w:tc>
        <w:tc>
          <w:tcPr>
            <w:tcW w:w="1375" w:type="dxa"/>
            <w:tcMar>
              <w:left w:w="28" w:type="dxa"/>
              <w:right w:w="28" w:type="dxa"/>
            </w:tcMar>
            <w:vAlign w:val="center"/>
          </w:tcPr>
          <w:p w14:paraId="2DBE2CAA">
            <w:pPr>
              <w:pStyle w:val="77"/>
              <w:keepNext w:val="0"/>
              <w:keepLines w:val="0"/>
              <w:suppressLineNumbers w:val="0"/>
              <w:spacing w:before="0" w:beforeAutospacing="0" w:after="0" w:afterAutospacing="0"/>
              <w:ind w:left="0" w:right="0"/>
              <w:rPr>
                <w:rFonts w:hint="default"/>
                <w:color w:val="auto"/>
              </w:rPr>
            </w:pPr>
            <w:r>
              <w:rPr>
                <w:rFonts w:hint="default"/>
                <w:color w:val="auto"/>
              </w:rPr>
              <w:t>新增</w:t>
            </w:r>
          </w:p>
        </w:tc>
      </w:tr>
      <w:tr w14:paraId="541481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4B17CA4F">
            <w:pPr>
              <w:pStyle w:val="77"/>
              <w:keepNext w:val="0"/>
              <w:keepLines w:val="0"/>
              <w:suppressLineNumbers w:val="0"/>
              <w:spacing w:before="0" w:beforeAutospacing="0" w:after="0" w:afterAutospacing="0"/>
              <w:ind w:left="0" w:right="0"/>
              <w:rPr>
                <w:rFonts w:hint="default"/>
                <w:color w:val="auto"/>
              </w:rPr>
            </w:pPr>
          </w:p>
        </w:tc>
        <w:tc>
          <w:tcPr>
            <w:tcW w:w="2022" w:type="dxa"/>
            <w:tcMar>
              <w:left w:w="28" w:type="dxa"/>
              <w:right w:w="28" w:type="dxa"/>
            </w:tcMar>
            <w:vAlign w:val="center"/>
          </w:tcPr>
          <w:p w14:paraId="6AB91156">
            <w:pPr>
              <w:pStyle w:val="77"/>
              <w:keepNext w:val="0"/>
              <w:keepLines w:val="0"/>
              <w:suppressLineNumbers w:val="0"/>
              <w:spacing w:before="0" w:beforeAutospacing="0" w:after="0" w:afterAutospacing="0"/>
              <w:ind w:left="0" w:right="0"/>
              <w:rPr>
                <w:rFonts w:hint="default"/>
                <w:color w:val="auto"/>
              </w:rPr>
            </w:pPr>
            <w:r>
              <w:rPr>
                <w:rFonts w:hint="default"/>
                <w:color w:val="auto"/>
              </w:rPr>
              <w:t>竣工环保验收</w:t>
            </w:r>
          </w:p>
        </w:tc>
        <w:tc>
          <w:tcPr>
            <w:tcW w:w="2551" w:type="dxa"/>
            <w:tcMar>
              <w:left w:w="28" w:type="dxa"/>
              <w:right w:w="28" w:type="dxa"/>
            </w:tcMar>
            <w:vAlign w:val="center"/>
          </w:tcPr>
          <w:p w14:paraId="58DB0BDF">
            <w:pPr>
              <w:pStyle w:val="77"/>
              <w:keepNext w:val="0"/>
              <w:keepLines w:val="0"/>
              <w:suppressLineNumbers w:val="0"/>
              <w:spacing w:before="0" w:beforeAutospacing="0" w:after="0" w:afterAutospacing="0"/>
              <w:ind w:left="0" w:right="0"/>
              <w:rPr>
                <w:rFonts w:hint="default"/>
                <w:color w:val="auto"/>
              </w:rPr>
            </w:pPr>
            <w:r>
              <w:rPr>
                <w:rFonts w:hint="default"/>
                <w:color w:val="auto"/>
              </w:rPr>
              <w:t>组织环保设施及其监测竣工验收</w:t>
            </w:r>
          </w:p>
        </w:tc>
        <w:tc>
          <w:tcPr>
            <w:tcW w:w="1413" w:type="dxa"/>
            <w:vAlign w:val="center"/>
          </w:tcPr>
          <w:p w14:paraId="694364E9">
            <w:pPr>
              <w:pStyle w:val="77"/>
              <w:keepNext w:val="0"/>
              <w:keepLines w:val="0"/>
              <w:suppressLineNumbers w:val="0"/>
              <w:spacing w:before="0" w:beforeAutospacing="0" w:after="0" w:afterAutospacing="0"/>
              <w:ind w:left="0" w:right="0"/>
              <w:jc w:val="center"/>
              <w:rPr>
                <w:rFonts w:hint="default"/>
                <w:color w:val="auto"/>
              </w:rPr>
            </w:pPr>
            <w:r>
              <w:rPr>
                <w:rFonts w:hint="eastAsia"/>
                <w:color w:val="auto"/>
              </w:rPr>
              <w:t>/</w:t>
            </w:r>
          </w:p>
        </w:tc>
        <w:tc>
          <w:tcPr>
            <w:tcW w:w="1413" w:type="dxa"/>
            <w:tcMar>
              <w:left w:w="28" w:type="dxa"/>
              <w:right w:w="28" w:type="dxa"/>
            </w:tcMar>
            <w:vAlign w:val="center"/>
          </w:tcPr>
          <w:p w14:paraId="66635EF9">
            <w:pPr>
              <w:pStyle w:val="77"/>
              <w:keepNext w:val="0"/>
              <w:keepLines w:val="0"/>
              <w:suppressLineNumbers w:val="0"/>
              <w:spacing w:before="0" w:beforeAutospacing="0" w:after="0" w:afterAutospacing="0"/>
              <w:ind w:left="0" w:right="0"/>
              <w:rPr>
                <w:rFonts w:hint="default"/>
                <w:color w:val="auto"/>
              </w:rPr>
            </w:pPr>
            <w:r>
              <w:rPr>
                <w:rFonts w:hint="default"/>
                <w:color w:val="auto"/>
              </w:rPr>
              <w:t>15</w:t>
            </w:r>
          </w:p>
        </w:tc>
        <w:tc>
          <w:tcPr>
            <w:tcW w:w="1375" w:type="dxa"/>
            <w:tcMar>
              <w:left w:w="28" w:type="dxa"/>
              <w:right w:w="28" w:type="dxa"/>
            </w:tcMar>
            <w:vAlign w:val="center"/>
          </w:tcPr>
          <w:p w14:paraId="0D3F650E">
            <w:pPr>
              <w:pStyle w:val="77"/>
              <w:keepNext w:val="0"/>
              <w:keepLines w:val="0"/>
              <w:suppressLineNumbers w:val="0"/>
              <w:spacing w:before="0" w:beforeAutospacing="0" w:after="0" w:afterAutospacing="0"/>
              <w:ind w:left="0" w:right="0"/>
              <w:rPr>
                <w:rFonts w:hint="default"/>
                <w:color w:val="auto"/>
              </w:rPr>
            </w:pPr>
            <w:r>
              <w:rPr>
                <w:rFonts w:hint="default"/>
                <w:color w:val="auto"/>
              </w:rPr>
              <w:t>新增</w:t>
            </w:r>
          </w:p>
        </w:tc>
      </w:tr>
      <w:tr w14:paraId="563F80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30" w:type="dxa"/>
            <w:gridSpan w:val="3"/>
            <w:vAlign w:val="center"/>
          </w:tcPr>
          <w:p w14:paraId="31B74843">
            <w:pPr>
              <w:pStyle w:val="77"/>
              <w:keepNext w:val="0"/>
              <w:keepLines w:val="0"/>
              <w:suppressLineNumbers w:val="0"/>
              <w:spacing w:before="0" w:beforeAutospacing="0" w:after="0" w:afterAutospacing="0"/>
              <w:ind w:left="0" w:right="0"/>
              <w:rPr>
                <w:rFonts w:hint="default"/>
                <w:color w:val="auto"/>
              </w:rPr>
            </w:pPr>
            <w:r>
              <w:rPr>
                <w:rFonts w:hint="default"/>
                <w:color w:val="auto"/>
              </w:rPr>
              <w:t>合计</w:t>
            </w:r>
          </w:p>
        </w:tc>
        <w:tc>
          <w:tcPr>
            <w:tcW w:w="1413" w:type="dxa"/>
          </w:tcPr>
          <w:p w14:paraId="19628FC7">
            <w:pPr>
              <w:pStyle w:val="77"/>
              <w:keepNext w:val="0"/>
              <w:keepLines w:val="0"/>
              <w:suppressLineNumbers w:val="0"/>
              <w:spacing w:before="0" w:beforeAutospacing="0" w:after="0" w:afterAutospacing="0"/>
              <w:ind w:left="0" w:right="0"/>
              <w:rPr>
                <w:rFonts w:hint="default"/>
                <w:b/>
                <w:color w:val="auto"/>
              </w:rPr>
            </w:pPr>
            <w:r>
              <w:rPr>
                <w:rFonts w:hint="eastAsia"/>
                <w:b/>
                <w:color w:val="auto"/>
              </w:rPr>
              <w:t>2440</w:t>
            </w:r>
          </w:p>
        </w:tc>
        <w:tc>
          <w:tcPr>
            <w:tcW w:w="1413" w:type="dxa"/>
            <w:tcMar>
              <w:left w:w="28" w:type="dxa"/>
              <w:right w:w="28" w:type="dxa"/>
            </w:tcMar>
            <w:vAlign w:val="center"/>
          </w:tcPr>
          <w:p w14:paraId="5F5BF540">
            <w:pPr>
              <w:pStyle w:val="77"/>
              <w:keepNext w:val="0"/>
              <w:keepLines w:val="0"/>
              <w:suppressLineNumbers w:val="0"/>
              <w:spacing w:before="0" w:beforeAutospacing="0" w:after="0" w:afterAutospacing="0"/>
              <w:ind w:left="0" w:right="0"/>
              <w:rPr>
                <w:rFonts w:hint="default"/>
                <w:b/>
                <w:color w:val="auto"/>
              </w:rPr>
            </w:pPr>
            <w:r>
              <w:rPr>
                <w:rFonts w:hint="eastAsia"/>
                <w:b/>
                <w:color w:val="auto"/>
                <w:lang w:val="en-US" w:eastAsia="zh-CN"/>
              </w:rPr>
              <w:t>4</w:t>
            </w:r>
            <w:r>
              <w:rPr>
                <w:rFonts w:hint="default"/>
                <w:b/>
                <w:color w:val="auto"/>
              </w:rPr>
              <w:t>1</w:t>
            </w:r>
          </w:p>
        </w:tc>
        <w:tc>
          <w:tcPr>
            <w:tcW w:w="1375" w:type="dxa"/>
            <w:tcMar>
              <w:left w:w="28" w:type="dxa"/>
              <w:right w:w="28" w:type="dxa"/>
            </w:tcMar>
            <w:vAlign w:val="center"/>
          </w:tcPr>
          <w:p w14:paraId="65DC79F4">
            <w:pPr>
              <w:pStyle w:val="77"/>
              <w:keepNext w:val="0"/>
              <w:keepLines w:val="0"/>
              <w:suppressLineNumbers w:val="0"/>
              <w:spacing w:before="0" w:beforeAutospacing="0" w:after="0" w:afterAutospacing="0"/>
              <w:ind w:left="0" w:right="0"/>
              <w:rPr>
                <w:rFonts w:hint="default"/>
                <w:color w:val="auto"/>
              </w:rPr>
            </w:pPr>
            <w:r>
              <w:rPr>
                <w:rFonts w:hint="eastAsia"/>
                <w:color w:val="auto"/>
              </w:rPr>
              <w:t>/</w:t>
            </w:r>
          </w:p>
        </w:tc>
      </w:tr>
    </w:tbl>
    <w:p w14:paraId="5D2F8A73">
      <w:pPr>
        <w:ind w:firstLine="480"/>
        <w:rPr>
          <w:color w:val="auto"/>
        </w:rPr>
      </w:pPr>
    </w:p>
    <w:p w14:paraId="03DF5358">
      <w:pPr>
        <w:ind w:firstLine="480"/>
        <w:rPr>
          <w:color w:val="auto"/>
        </w:rPr>
        <w:sectPr>
          <w:headerReference r:id="rId40" w:type="default"/>
          <w:pgSz w:w="11906" w:h="16838"/>
          <w:pgMar w:top="1440" w:right="1134" w:bottom="1440" w:left="1418" w:header="851" w:footer="680" w:gutter="0"/>
          <w:cols w:space="720" w:num="1"/>
          <w:docGrid w:type="lines" w:linePitch="326" w:charSpace="0"/>
        </w:sectPr>
      </w:pPr>
    </w:p>
    <w:p w14:paraId="298D0A39">
      <w:pPr>
        <w:ind w:firstLine="480"/>
        <w:rPr>
          <w:color w:val="auto"/>
        </w:rPr>
      </w:pPr>
    </w:p>
    <w:p w14:paraId="22CDE97A">
      <w:pPr>
        <w:ind w:firstLine="480"/>
        <w:rPr>
          <w:color w:val="auto"/>
        </w:rPr>
      </w:pPr>
      <w:r>
        <w:rPr>
          <w:color w:val="auto"/>
        </w:rPr>
        <w:br w:type="page"/>
      </w:r>
    </w:p>
    <w:p w14:paraId="5082ACB5">
      <w:pPr>
        <w:pStyle w:val="3"/>
        <w:rPr>
          <w:color w:val="auto"/>
        </w:rPr>
      </w:pPr>
      <w:bookmarkStart w:id="612" w:name="_Toc223595795"/>
      <w:bookmarkStart w:id="613" w:name="_Toc223258506"/>
      <w:r>
        <w:rPr>
          <w:color w:val="auto"/>
        </w:rPr>
        <w:t>环境经济损益分析</w:t>
      </w:r>
      <w:bookmarkEnd w:id="612"/>
      <w:bookmarkEnd w:id="613"/>
    </w:p>
    <w:p w14:paraId="40288F38">
      <w:pPr>
        <w:ind w:firstLine="480"/>
        <w:rPr>
          <w:color w:val="auto"/>
        </w:rPr>
      </w:pPr>
      <w:r>
        <w:rPr>
          <w:rFonts w:hint="eastAsia"/>
          <w:color w:val="auto"/>
        </w:rPr>
        <w:t>环境影响经济损益分析是环境影响评价的一项重要工作内容，它是从整体社会的角度衡量建设项目需要投入的环保投资，以及所起到的经济和环境效益，充分体现建设项目经济效益、社会效益与环境效益对立统一的关系。通过分析经济收益水平、环保投资及其运转费用与可能取得效益间的关系，说明项目的环保综合效益状况。本项目采用专业判断法和调查评价法，从经济效益、环境效益和社会效益</w:t>
      </w:r>
      <w:r>
        <w:rPr>
          <w:rFonts w:hint="eastAsia"/>
          <w:color w:val="auto"/>
          <w:lang w:eastAsia="zh-CN"/>
        </w:rPr>
        <w:t>三个</w:t>
      </w:r>
      <w:r>
        <w:rPr>
          <w:rFonts w:hint="eastAsia"/>
          <w:color w:val="auto"/>
        </w:rPr>
        <w:t>方面，分析本项目状况，进行环境经济损益估算。</w:t>
      </w:r>
    </w:p>
    <w:p w14:paraId="6F0B2DA9">
      <w:pPr>
        <w:pStyle w:val="5"/>
        <w:rPr>
          <w:color w:val="auto"/>
        </w:rPr>
      </w:pPr>
      <w:bookmarkStart w:id="614" w:name="_Toc135090305"/>
      <w:bookmarkStart w:id="615" w:name="_Toc223258507"/>
      <w:bookmarkStart w:id="616" w:name="_Toc223595796"/>
      <w:r>
        <w:rPr>
          <w:color w:val="auto"/>
        </w:rPr>
        <w:t>经济效益</w:t>
      </w:r>
      <w:bookmarkEnd w:id="614"/>
      <w:bookmarkEnd w:id="615"/>
      <w:bookmarkEnd w:id="616"/>
    </w:p>
    <w:p w14:paraId="1AE38FD4">
      <w:pPr>
        <w:ind w:firstLine="480"/>
        <w:rPr>
          <w:color w:val="auto"/>
        </w:rPr>
      </w:pPr>
      <w:r>
        <w:rPr>
          <w:color w:val="auto"/>
        </w:rPr>
        <w:t>本项目能促进钦州市、钦州港腹地工业快速发展，促进广西的石油化工产业中长期规划，可以充分发挥水运经济的优势，适应节能减排、环保和低碳经济的要求，如能发挥港区的规模能力，实现规模生产优势，本项目的效益将会更好。故本项目就经济而言是可行的。</w:t>
      </w:r>
    </w:p>
    <w:p w14:paraId="27116CFE">
      <w:pPr>
        <w:pStyle w:val="5"/>
        <w:rPr>
          <w:color w:val="auto"/>
        </w:rPr>
      </w:pPr>
      <w:bookmarkStart w:id="617" w:name="_Toc223258508"/>
      <w:bookmarkStart w:id="618" w:name="_Toc135090306"/>
      <w:bookmarkStart w:id="619" w:name="_Toc223595797"/>
      <w:r>
        <w:rPr>
          <w:color w:val="auto"/>
        </w:rPr>
        <w:t>社会效益</w:t>
      </w:r>
      <w:bookmarkEnd w:id="617"/>
      <w:bookmarkEnd w:id="618"/>
      <w:bookmarkEnd w:id="619"/>
    </w:p>
    <w:p w14:paraId="628F0FDB">
      <w:pPr>
        <w:ind w:firstLine="480"/>
        <w:rPr>
          <w:color w:val="auto"/>
        </w:rPr>
      </w:pPr>
      <w:r>
        <w:rPr>
          <w:rFonts w:hint="eastAsia"/>
          <w:color w:val="auto"/>
        </w:rPr>
        <w:t>本项目的建设可充分利用港区配套设施和码头在建设施，以期达到或接近码头总设计能力，降低运营成本，促进企业自身发展。对打造国家级钦州石化产业基地、形成北部湾石化产业集群具有积极意义；对推动北部湾经济区快速增长、加快实现千亿石化产业园目标有着重大意义。</w:t>
      </w:r>
    </w:p>
    <w:p w14:paraId="25603E9E">
      <w:pPr>
        <w:ind w:firstLine="480"/>
        <w:rPr>
          <w:color w:val="auto"/>
        </w:rPr>
      </w:pPr>
      <w:r>
        <w:rPr>
          <w:color w:val="auto"/>
        </w:rPr>
        <w:t>本项目建成后，由于项目投资规模的扩大使得对广西北部湾区域经济影响层次影响范围也逐渐扩大，社会影响区域的范围包括对社会收入分配、市场竞争格局、地方财政收支、周边环境等方面带来一定程度的影响。影响区域内受项目影响的机构和人群包括港口服务的相关生产企业、运输企业和个人</w:t>
      </w:r>
      <w:r>
        <w:rPr>
          <w:rFonts w:hint="eastAsia"/>
          <w:color w:val="auto"/>
        </w:rPr>
        <w:t>、</w:t>
      </w:r>
      <w:r>
        <w:rPr>
          <w:color w:val="auto"/>
        </w:rPr>
        <w:t>地方政府财税部门和周边居住的居民等。</w:t>
      </w:r>
    </w:p>
    <w:p w14:paraId="784F091D">
      <w:pPr>
        <w:ind w:firstLine="480"/>
        <w:rPr>
          <w:color w:val="auto"/>
        </w:rPr>
      </w:pPr>
      <w:r>
        <w:rPr>
          <w:color w:val="auto"/>
        </w:rPr>
        <w:t>项目可能导致的各种社会影响效果分为直接影响效果和间接影响</w:t>
      </w:r>
      <w:r>
        <w:rPr>
          <w:rFonts w:hint="eastAsia"/>
          <w:color w:val="auto"/>
        </w:rPr>
        <w:t>效</w:t>
      </w:r>
      <w:r>
        <w:rPr>
          <w:color w:val="auto"/>
        </w:rPr>
        <w:t>果，直接影响</w:t>
      </w:r>
      <w:r>
        <w:rPr>
          <w:rFonts w:hint="eastAsia"/>
          <w:color w:val="auto"/>
        </w:rPr>
        <w:t>效果</w:t>
      </w:r>
      <w:r>
        <w:rPr>
          <w:color w:val="auto"/>
        </w:rPr>
        <w:t>包括每年可为钦州石化产业园企业节省大量的装卸费用和运输费用，为地方创造一定数量的就业机会，为当地创造可观的税收益，由于项目征地所带来的一系列安置和环境问题，以及由于码头施工对周边环境和居民的影响等；间接影响效果由于项目的</w:t>
      </w:r>
      <w:r>
        <w:rPr>
          <w:rFonts w:hint="eastAsia"/>
          <w:color w:val="auto"/>
        </w:rPr>
        <w:t>实施</w:t>
      </w:r>
      <w:r>
        <w:rPr>
          <w:color w:val="auto"/>
        </w:rPr>
        <w:t>所带动的企业劳动力培训、职工社会保障投入增加、卫生保健和社区服务等。</w:t>
      </w:r>
    </w:p>
    <w:p w14:paraId="0B1D95F3">
      <w:pPr>
        <w:pStyle w:val="5"/>
        <w:rPr>
          <w:color w:val="auto"/>
        </w:rPr>
      </w:pPr>
      <w:bookmarkStart w:id="620" w:name="_Toc135090307"/>
      <w:bookmarkStart w:id="621" w:name="_Toc223595798"/>
      <w:bookmarkStart w:id="622" w:name="_Toc223258509"/>
      <w:r>
        <w:rPr>
          <w:color w:val="auto"/>
        </w:rPr>
        <w:t>环境效益</w:t>
      </w:r>
      <w:bookmarkEnd w:id="620"/>
      <w:bookmarkEnd w:id="621"/>
      <w:bookmarkEnd w:id="622"/>
    </w:p>
    <w:p w14:paraId="090E3ADC">
      <w:pPr>
        <w:ind w:firstLine="480"/>
        <w:rPr>
          <w:color w:val="auto"/>
        </w:rPr>
      </w:pPr>
      <w:r>
        <w:rPr>
          <w:color w:val="auto"/>
        </w:rPr>
        <w:t>（1）减少化工液体装卸过程中的损耗和挥发排放量，减轻大气环境影响</w:t>
      </w:r>
      <w:r>
        <w:rPr>
          <w:rFonts w:hint="eastAsia"/>
          <w:color w:val="auto"/>
        </w:rPr>
        <w:t>，</w:t>
      </w:r>
      <w:r>
        <w:rPr>
          <w:color w:val="auto"/>
        </w:rPr>
        <w:t>目前化工液体最好的运输方式就是采用已被全球广泛应用的安全、稳定、高效的管道运输，本项目以管道输送代替铁路、公路运输，从而消除铁路、公路运输过程中产生的一定量大气污染物，如汽车尾气、二次扬尘等，由于管道输送采用密闭输送方式，运输过程中几乎没有物料损耗，有利于环境和生态保护，具有较好的环境效益。</w:t>
      </w:r>
    </w:p>
    <w:p w14:paraId="01F4CA84">
      <w:pPr>
        <w:ind w:firstLine="480"/>
        <w:rPr>
          <w:color w:val="auto"/>
        </w:rPr>
      </w:pPr>
      <w:r>
        <w:rPr>
          <w:color w:val="auto"/>
        </w:rPr>
        <w:t>管道输送成品油与铁路、公路运输方式相比，挥发损耗要低很多，即管道运输方式散发到空气中烃类的量明显比铁路、公路少。因此，本项目在减少大气污染物排放，减轻大气环境影响方面效益显著。</w:t>
      </w:r>
    </w:p>
    <w:p w14:paraId="2709CD19">
      <w:pPr>
        <w:ind w:firstLine="480"/>
        <w:rPr>
          <w:color w:val="auto"/>
        </w:rPr>
      </w:pPr>
      <w:r>
        <w:rPr>
          <w:color w:val="auto"/>
        </w:rPr>
        <w:t>（2）节省因交通运输而污染大气的治理费用</w:t>
      </w:r>
    </w:p>
    <w:p w14:paraId="3E0DF2D4">
      <w:pPr>
        <w:ind w:firstLine="480"/>
        <w:rPr>
          <w:color w:val="auto"/>
        </w:rPr>
      </w:pPr>
      <w:r>
        <w:rPr>
          <w:color w:val="auto"/>
        </w:rPr>
        <w:t>本项目的运输方式，减少了交通工具运输过程中排放的大气污染物，从而节省了因此带来的排污治理</w:t>
      </w:r>
      <w:r>
        <w:rPr>
          <w:rFonts w:hint="eastAsia"/>
          <w:color w:val="auto"/>
          <w:lang w:eastAsia="zh-CN"/>
        </w:rPr>
        <w:t>费用</w:t>
      </w:r>
      <w:r>
        <w:rPr>
          <w:color w:val="auto"/>
        </w:rPr>
        <w:t>。</w:t>
      </w:r>
    </w:p>
    <w:p w14:paraId="38298915">
      <w:pPr>
        <w:ind w:firstLine="480"/>
        <w:rPr>
          <w:color w:val="auto"/>
        </w:rPr>
      </w:pPr>
      <w:r>
        <w:rPr>
          <w:color w:val="auto"/>
        </w:rPr>
        <w:t>（3）事故风险低</w:t>
      </w:r>
    </w:p>
    <w:p w14:paraId="2C7CAAD8">
      <w:pPr>
        <w:ind w:firstLine="480"/>
        <w:rPr>
          <w:color w:val="auto"/>
        </w:rPr>
      </w:pPr>
      <w:r>
        <w:rPr>
          <w:color w:val="auto"/>
        </w:rPr>
        <w:t>据资料介绍，陆地管线可以接受的事故概率范围为10</w:t>
      </w:r>
      <w:r>
        <w:rPr>
          <w:color w:val="auto"/>
          <w:vertAlign w:val="superscript"/>
        </w:rPr>
        <w:t>-4</w:t>
      </w:r>
      <w:r>
        <w:rPr>
          <w:color w:val="auto"/>
        </w:rPr>
        <w:t>数量级，现有的管道都采用了先进的防腐和保护措施，因此，与铁路、公路等运输方式相比，运输安全性高。</w:t>
      </w:r>
    </w:p>
    <w:p w14:paraId="45B2ED7F">
      <w:pPr>
        <w:ind w:firstLine="480"/>
        <w:rPr>
          <w:color w:val="auto"/>
        </w:rPr>
      </w:pPr>
      <w:r>
        <w:rPr>
          <w:color w:val="auto"/>
        </w:rPr>
        <w:t>（4）降低由环境空气污染引起的疾病</w:t>
      </w:r>
    </w:p>
    <w:p w14:paraId="7C4DF07C">
      <w:pPr>
        <w:ind w:firstLine="480"/>
        <w:rPr>
          <w:color w:val="auto"/>
        </w:rPr>
      </w:pPr>
      <w:r>
        <w:rPr>
          <w:color w:val="auto"/>
        </w:rPr>
        <w:t>根据国内外统计资料介绍，环境空气污染可导致的疾病主要有慢性气管炎、哮喘、肺癌等。污染区（按二氧化硫超过国家二级标准计）比清洁区慢性气管炎发病率高9.4‰，肺、心病发病率高11‰。采用管道运输可减少交通运输排污，空气污染减轻，由此引发的发病率降低，因而相应减少治疗的医疗费及误工费。</w:t>
      </w:r>
    </w:p>
    <w:p w14:paraId="550FAC99">
      <w:pPr>
        <w:pStyle w:val="5"/>
        <w:rPr>
          <w:color w:val="auto"/>
        </w:rPr>
      </w:pPr>
      <w:bookmarkStart w:id="623" w:name="_Toc223595799"/>
      <w:bookmarkStart w:id="624" w:name="_Toc135090308"/>
      <w:bookmarkStart w:id="625" w:name="_Toc223258510"/>
      <w:r>
        <w:rPr>
          <w:color w:val="auto"/>
        </w:rPr>
        <w:t>小结</w:t>
      </w:r>
      <w:bookmarkEnd w:id="623"/>
      <w:bookmarkEnd w:id="624"/>
      <w:bookmarkEnd w:id="625"/>
    </w:p>
    <w:p w14:paraId="555D449E">
      <w:pPr>
        <w:ind w:firstLine="480"/>
        <w:rPr>
          <w:color w:val="auto"/>
        </w:rPr>
        <w:sectPr>
          <w:headerReference r:id="rId41" w:type="default"/>
          <w:type w:val="continuous"/>
          <w:pgSz w:w="11906" w:h="16838"/>
          <w:pgMar w:top="1440" w:right="1134" w:bottom="1440" w:left="1418" w:header="851" w:footer="680" w:gutter="0"/>
          <w:cols w:space="720" w:num="1"/>
          <w:docGrid w:type="lines" w:linePitch="326" w:charSpace="0"/>
        </w:sectPr>
      </w:pPr>
      <w:r>
        <w:rPr>
          <w:color w:val="auto"/>
        </w:rPr>
        <w:t>本项目环保投资为31万元，占项目总投资10</w:t>
      </w:r>
      <w:r>
        <w:rPr>
          <w:rFonts w:hint="eastAsia"/>
          <w:color w:val="auto"/>
        </w:rPr>
        <w:t>0</w:t>
      </w:r>
      <w:r>
        <w:rPr>
          <w:color w:val="auto"/>
        </w:rPr>
        <w:t>万元的31%。综合</w:t>
      </w:r>
      <w:r>
        <w:rPr>
          <w:rFonts w:hint="eastAsia"/>
          <w:color w:val="auto"/>
          <w:lang w:eastAsia="zh-CN"/>
        </w:rPr>
        <w:t>考虑其他</w:t>
      </w:r>
      <w:r>
        <w:rPr>
          <w:color w:val="auto"/>
        </w:rPr>
        <w:t>无法用货币表征的环境效益和社会效益，本项目环保投资经济合理，所采取的环保措施在经济上是合理可行的，各项环保措施不仅较大程度</w:t>
      </w:r>
      <w:r>
        <w:rPr>
          <w:rFonts w:hint="eastAsia"/>
          <w:color w:val="auto"/>
          <w:lang w:eastAsia="zh-CN"/>
        </w:rPr>
        <w:t>地</w:t>
      </w:r>
      <w:r>
        <w:rPr>
          <w:color w:val="auto"/>
        </w:rPr>
        <w:t>减缓项目对环境产生的不利影响，还可以产生经济效益，其环境效益较显著。从环境经济观点的角度看，项目环保措施是合理可行的。</w:t>
      </w:r>
    </w:p>
    <w:p w14:paraId="761E55D6">
      <w:pPr>
        <w:pStyle w:val="3"/>
        <w:rPr>
          <w:color w:val="auto"/>
        </w:rPr>
      </w:pPr>
      <w:bookmarkStart w:id="626" w:name="_Toc223595800"/>
      <w:bookmarkStart w:id="627" w:name="_Toc223258511"/>
      <w:r>
        <w:rPr>
          <w:color w:val="auto"/>
        </w:rPr>
        <w:t>环境管理与监测计划</w:t>
      </w:r>
      <w:bookmarkEnd w:id="626"/>
      <w:bookmarkEnd w:id="627"/>
    </w:p>
    <w:p w14:paraId="04CFD6ED">
      <w:pPr>
        <w:pStyle w:val="5"/>
        <w:rPr>
          <w:color w:val="auto"/>
        </w:rPr>
      </w:pPr>
      <w:bookmarkStart w:id="628" w:name="_Toc223595801"/>
      <w:bookmarkStart w:id="629" w:name="_Toc223258512"/>
      <w:r>
        <w:rPr>
          <w:color w:val="auto"/>
        </w:rPr>
        <w:t>环境管理</w:t>
      </w:r>
      <w:bookmarkEnd w:id="628"/>
      <w:bookmarkEnd w:id="629"/>
    </w:p>
    <w:p w14:paraId="3474F008">
      <w:pPr>
        <w:pStyle w:val="4"/>
        <w:rPr>
          <w:color w:val="auto"/>
        </w:rPr>
      </w:pPr>
      <w:bookmarkStart w:id="630" w:name="_Toc26910104"/>
      <w:bookmarkStart w:id="631" w:name="_Toc25437057"/>
      <w:bookmarkStart w:id="632" w:name="_Toc29131917"/>
      <w:bookmarkStart w:id="633" w:name="_Toc216103485"/>
      <w:bookmarkStart w:id="634" w:name="_Toc216620644"/>
      <w:bookmarkStart w:id="635" w:name="_Toc135090311"/>
      <w:bookmarkStart w:id="636" w:name="_Toc136878575"/>
      <w:r>
        <w:rPr>
          <w:color w:val="auto"/>
        </w:rPr>
        <w:t>环境</w:t>
      </w:r>
      <w:bookmarkEnd w:id="630"/>
      <w:bookmarkEnd w:id="631"/>
      <w:bookmarkEnd w:id="632"/>
      <w:r>
        <w:rPr>
          <w:color w:val="auto"/>
        </w:rPr>
        <w:t>保护管理体系</w:t>
      </w:r>
      <w:bookmarkEnd w:id="633"/>
      <w:bookmarkEnd w:id="634"/>
      <w:bookmarkEnd w:id="635"/>
      <w:bookmarkEnd w:id="636"/>
    </w:p>
    <w:p w14:paraId="052923A6">
      <w:pPr>
        <w:pStyle w:val="81"/>
        <w:rPr>
          <w:color w:val="auto"/>
        </w:rPr>
      </w:pPr>
      <w:r>
        <w:rPr>
          <w:color w:val="auto"/>
        </w:rPr>
        <w:t>项目运营单位负责本项目污染措施的监督管理，组织制定和实施整个现场环境保护管理工作，组织安排环境监测工作。设置专门的环境保护管理机构，负责组织、落实、监督本企业的环境保护工作：设置1名负责人分管环保工作，设安全环保部门负责安全生产及环境保护管理工作。至少配备2名环保工作人员，其中管理人员1人，设备维修、巡回检查人员1人，负责企业的环保监测管理工作。</w:t>
      </w:r>
    </w:p>
    <w:p w14:paraId="16494863">
      <w:pPr>
        <w:pStyle w:val="81"/>
        <w:rPr>
          <w:color w:val="auto"/>
        </w:rPr>
      </w:pPr>
      <w:r>
        <w:rPr>
          <w:color w:val="auto"/>
        </w:rPr>
        <w:t>为做好环境保护工作，减轻项目在运营期对海洋环境的影响，建设单位应高度重视海洋环境保护工作，成立专门机构进行环境保护工作。</w:t>
      </w:r>
    </w:p>
    <w:p w14:paraId="146AB078">
      <w:pPr>
        <w:pStyle w:val="4"/>
        <w:rPr>
          <w:color w:val="auto"/>
        </w:rPr>
      </w:pPr>
      <w:bookmarkStart w:id="637" w:name="_Toc216103486"/>
      <w:bookmarkStart w:id="638" w:name="_Toc135090312"/>
      <w:bookmarkStart w:id="639" w:name="_Toc136878576"/>
      <w:bookmarkStart w:id="640" w:name="_Toc216620645"/>
      <w:r>
        <w:rPr>
          <w:color w:val="auto"/>
        </w:rPr>
        <w:t>环境管理制度</w:t>
      </w:r>
      <w:bookmarkEnd w:id="637"/>
      <w:bookmarkEnd w:id="638"/>
      <w:bookmarkEnd w:id="639"/>
      <w:bookmarkEnd w:id="640"/>
    </w:p>
    <w:p w14:paraId="5C00AF67">
      <w:pPr>
        <w:ind w:firstLine="480"/>
        <w:rPr>
          <w:color w:val="auto"/>
        </w:rPr>
      </w:pPr>
      <w:r>
        <w:rPr>
          <w:color w:val="auto"/>
        </w:rPr>
        <w:t>为了落实各项污染防治措施，加强环境保护管理工作，应根据实际特点，制定各种类型的环保制度，并以文件形式规定，形成一套公司级环境管理制度体系，如：</w:t>
      </w:r>
    </w:p>
    <w:p w14:paraId="2155EB05">
      <w:pPr>
        <w:ind w:firstLine="480"/>
        <w:rPr>
          <w:color w:val="auto"/>
        </w:rPr>
      </w:pPr>
      <w:r>
        <w:rPr>
          <w:color w:val="auto"/>
        </w:rPr>
        <w:t>1、环境保护职责管理条例；</w:t>
      </w:r>
    </w:p>
    <w:p w14:paraId="7825E82B">
      <w:pPr>
        <w:ind w:firstLine="480"/>
        <w:rPr>
          <w:color w:val="auto"/>
        </w:rPr>
      </w:pPr>
      <w:r>
        <w:rPr>
          <w:color w:val="auto"/>
        </w:rPr>
        <w:t>2、建设项目“三同时”管理制度；</w:t>
      </w:r>
    </w:p>
    <w:p w14:paraId="6148B327">
      <w:pPr>
        <w:ind w:firstLine="480"/>
        <w:rPr>
          <w:color w:val="auto"/>
        </w:rPr>
      </w:pPr>
      <w:r>
        <w:rPr>
          <w:color w:val="auto"/>
        </w:rPr>
        <w:t>3、各种环保装置运行操作规程；</w:t>
      </w:r>
    </w:p>
    <w:p w14:paraId="3D0DD0FC">
      <w:pPr>
        <w:ind w:firstLine="480"/>
        <w:rPr>
          <w:color w:val="auto"/>
        </w:rPr>
      </w:pPr>
      <w:r>
        <w:rPr>
          <w:color w:val="auto"/>
        </w:rPr>
        <w:t>4、各种污染防治对策控制工艺参数；</w:t>
      </w:r>
    </w:p>
    <w:p w14:paraId="56172A03">
      <w:pPr>
        <w:ind w:firstLine="480"/>
        <w:rPr>
          <w:color w:val="auto"/>
        </w:rPr>
      </w:pPr>
      <w:r>
        <w:rPr>
          <w:color w:val="auto"/>
        </w:rPr>
        <w:t>5、各种环保设施检查、维护、保养规定；</w:t>
      </w:r>
    </w:p>
    <w:p w14:paraId="51B3A675">
      <w:pPr>
        <w:ind w:firstLine="480"/>
        <w:rPr>
          <w:color w:val="auto"/>
        </w:rPr>
      </w:pPr>
      <w:r>
        <w:rPr>
          <w:color w:val="auto"/>
        </w:rPr>
        <w:t>6、环境保护工作实施计划；</w:t>
      </w:r>
    </w:p>
    <w:p w14:paraId="7405A986">
      <w:pPr>
        <w:ind w:firstLine="480"/>
        <w:rPr>
          <w:color w:val="auto"/>
        </w:rPr>
      </w:pPr>
      <w:r>
        <w:rPr>
          <w:color w:val="auto"/>
        </w:rPr>
        <w:t>7、固废综合利用管理办法；</w:t>
      </w:r>
    </w:p>
    <w:p w14:paraId="18455D69">
      <w:pPr>
        <w:ind w:firstLine="480"/>
        <w:rPr>
          <w:color w:val="auto"/>
        </w:rPr>
      </w:pPr>
      <w:r>
        <w:rPr>
          <w:color w:val="auto"/>
        </w:rPr>
        <w:t>8、污染事故应急预案；</w:t>
      </w:r>
    </w:p>
    <w:p w14:paraId="381D55FE">
      <w:pPr>
        <w:ind w:firstLine="480"/>
        <w:rPr>
          <w:color w:val="auto"/>
        </w:rPr>
      </w:pPr>
      <w:r>
        <w:rPr>
          <w:color w:val="auto"/>
        </w:rPr>
        <w:t>9、绿化工作年度计划；</w:t>
      </w:r>
    </w:p>
    <w:p w14:paraId="5878CABD">
      <w:pPr>
        <w:ind w:firstLine="480"/>
        <w:rPr>
          <w:color w:val="auto"/>
        </w:rPr>
      </w:pPr>
      <w:r>
        <w:rPr>
          <w:color w:val="auto"/>
        </w:rPr>
        <w:t>10、环境保护指标考核管理办法；</w:t>
      </w:r>
    </w:p>
    <w:p w14:paraId="2D0689DB">
      <w:pPr>
        <w:ind w:firstLine="480"/>
        <w:rPr>
          <w:color w:val="auto"/>
        </w:rPr>
      </w:pPr>
      <w:r>
        <w:rPr>
          <w:color w:val="auto"/>
        </w:rPr>
        <w:t>11、规范化排污口建设管理规定；</w:t>
      </w:r>
    </w:p>
    <w:p w14:paraId="6EE35E30">
      <w:pPr>
        <w:ind w:firstLine="480"/>
        <w:rPr>
          <w:color w:val="auto"/>
        </w:rPr>
      </w:pPr>
      <w:r>
        <w:rPr>
          <w:color w:val="auto"/>
        </w:rPr>
        <w:t>12、环保宣传及教育制度。</w:t>
      </w:r>
    </w:p>
    <w:p w14:paraId="23A14A28">
      <w:pPr>
        <w:pStyle w:val="4"/>
        <w:rPr>
          <w:color w:val="auto"/>
        </w:rPr>
      </w:pPr>
      <w:bookmarkStart w:id="641" w:name="_Toc135090313"/>
      <w:bookmarkStart w:id="642" w:name="_Toc136878577"/>
      <w:bookmarkStart w:id="643" w:name="_Toc216620646"/>
      <w:bookmarkStart w:id="644" w:name="_Toc216103487"/>
      <w:r>
        <w:rPr>
          <w:rFonts w:hint="eastAsia"/>
          <w:color w:val="auto"/>
        </w:rPr>
        <w:t>运营期</w:t>
      </w:r>
      <w:r>
        <w:rPr>
          <w:color w:val="auto"/>
        </w:rPr>
        <w:t>环境管理</w:t>
      </w:r>
      <w:bookmarkEnd w:id="641"/>
      <w:bookmarkEnd w:id="642"/>
      <w:bookmarkEnd w:id="643"/>
      <w:bookmarkEnd w:id="644"/>
    </w:p>
    <w:p w14:paraId="7DA6979A">
      <w:pPr>
        <w:ind w:firstLine="480"/>
        <w:rPr>
          <w:color w:val="auto"/>
        </w:rPr>
      </w:pPr>
      <w:r>
        <w:rPr>
          <w:color w:val="auto"/>
        </w:rPr>
        <w:t>本项目建设单位应监管各项环保设施的正常运营，杜绝违法向环境排放污染物</w:t>
      </w:r>
      <w:r>
        <w:rPr>
          <w:rFonts w:hint="eastAsia"/>
          <w:color w:val="auto"/>
        </w:rPr>
        <w:t>。</w:t>
      </w:r>
    </w:p>
    <w:p w14:paraId="7B12DC30">
      <w:pPr>
        <w:pStyle w:val="14"/>
        <w:rPr>
          <w:b w:val="0"/>
          <w:color w:val="auto"/>
        </w:rPr>
      </w:pPr>
      <w:r>
        <w:rPr>
          <w:rFonts w:hint="eastAsia"/>
          <w:color w:val="auto"/>
        </w:rPr>
        <w:t>表</w:t>
      </w:r>
      <w:r>
        <w:rPr>
          <w:color w:val="auto"/>
        </w:rPr>
        <w:t>8.1</w:t>
      </w:r>
      <w:r>
        <w:rPr>
          <w:color w:val="auto"/>
        </w:rPr>
        <w:noBreakHyphen/>
      </w:r>
      <w:r>
        <w:rPr>
          <w:color w:val="auto"/>
        </w:rPr>
        <w:t>1运营期环境管理</w:t>
      </w:r>
    </w:p>
    <w:tbl>
      <w:tblPr>
        <w:tblStyle w:val="43"/>
        <w:tblW w:w="5013"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22"/>
        <w:gridCol w:w="7018"/>
        <w:gridCol w:w="1048"/>
      </w:tblGrid>
      <w:tr w14:paraId="28AC0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trPr>
        <w:tc>
          <w:tcPr>
            <w:tcW w:w="704" w:type="pct"/>
            <w:vAlign w:val="center"/>
          </w:tcPr>
          <w:p w14:paraId="1D961759">
            <w:pPr>
              <w:pStyle w:val="167"/>
              <w:keepNext w:val="0"/>
              <w:keepLines w:val="0"/>
              <w:suppressLineNumbers w:val="0"/>
              <w:spacing w:before="0" w:beforeAutospacing="0" w:after="0" w:afterAutospacing="0"/>
              <w:ind w:right="0"/>
              <w:rPr>
                <w:rFonts w:hint="default"/>
                <w:color w:val="auto"/>
              </w:rPr>
            </w:pPr>
            <w:r>
              <w:rPr>
                <w:rFonts w:hint="default"/>
                <w:color w:val="auto"/>
              </w:rPr>
              <w:t>影响因素</w:t>
            </w:r>
          </w:p>
        </w:tc>
        <w:tc>
          <w:tcPr>
            <w:tcW w:w="3738" w:type="pct"/>
            <w:vAlign w:val="center"/>
          </w:tcPr>
          <w:p w14:paraId="220A7931">
            <w:pPr>
              <w:pStyle w:val="167"/>
              <w:keepNext w:val="0"/>
              <w:keepLines w:val="0"/>
              <w:suppressLineNumbers w:val="0"/>
              <w:spacing w:before="0" w:beforeAutospacing="0" w:after="0" w:afterAutospacing="0"/>
              <w:ind w:right="0"/>
              <w:rPr>
                <w:rFonts w:hint="default"/>
                <w:color w:val="auto"/>
              </w:rPr>
            </w:pPr>
            <w:r>
              <w:rPr>
                <w:rFonts w:hint="default"/>
                <w:color w:val="auto"/>
              </w:rPr>
              <w:t>防治措施及建议</w:t>
            </w:r>
          </w:p>
        </w:tc>
        <w:tc>
          <w:tcPr>
            <w:tcW w:w="558" w:type="pct"/>
            <w:vAlign w:val="center"/>
          </w:tcPr>
          <w:p w14:paraId="06D807B3">
            <w:pPr>
              <w:pStyle w:val="167"/>
              <w:keepNext w:val="0"/>
              <w:keepLines w:val="0"/>
              <w:suppressLineNumbers w:val="0"/>
              <w:spacing w:before="0" w:beforeAutospacing="0" w:after="0" w:afterAutospacing="0"/>
              <w:ind w:right="0"/>
              <w:rPr>
                <w:rFonts w:hint="default"/>
                <w:color w:val="auto"/>
              </w:rPr>
            </w:pPr>
            <w:r>
              <w:rPr>
                <w:rFonts w:hint="default"/>
                <w:color w:val="auto"/>
              </w:rPr>
              <w:t>实施机构</w:t>
            </w:r>
          </w:p>
        </w:tc>
      </w:tr>
      <w:tr w14:paraId="0A591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09" w:hRule="atLeast"/>
        </w:trPr>
        <w:tc>
          <w:tcPr>
            <w:tcW w:w="704" w:type="pct"/>
            <w:vAlign w:val="center"/>
          </w:tcPr>
          <w:p w14:paraId="6AD522CB">
            <w:pPr>
              <w:pStyle w:val="167"/>
              <w:keepNext w:val="0"/>
              <w:keepLines w:val="0"/>
              <w:suppressLineNumbers w:val="0"/>
              <w:spacing w:before="0" w:beforeAutospacing="0" w:after="0" w:afterAutospacing="0"/>
              <w:ind w:right="0"/>
              <w:rPr>
                <w:rFonts w:hint="default"/>
                <w:color w:val="auto"/>
              </w:rPr>
            </w:pPr>
            <w:r>
              <w:rPr>
                <w:rFonts w:hint="default"/>
                <w:color w:val="auto"/>
              </w:rPr>
              <w:t>废水</w:t>
            </w:r>
          </w:p>
        </w:tc>
        <w:tc>
          <w:tcPr>
            <w:tcW w:w="3738" w:type="pct"/>
            <w:vAlign w:val="center"/>
          </w:tcPr>
          <w:p w14:paraId="0DA4B910">
            <w:pPr>
              <w:pStyle w:val="167"/>
              <w:keepNext w:val="0"/>
              <w:keepLines w:val="0"/>
              <w:suppressLineNumbers w:val="0"/>
              <w:spacing w:before="0" w:beforeAutospacing="0" w:after="0" w:afterAutospacing="0"/>
              <w:ind w:right="0"/>
              <w:rPr>
                <w:rFonts w:hint="default"/>
                <w:color w:val="auto"/>
              </w:rPr>
            </w:pPr>
            <w:r>
              <w:rPr>
                <w:rFonts w:hint="default"/>
                <w:color w:val="auto"/>
              </w:rPr>
              <w:t>运营期生产废水</w:t>
            </w:r>
            <w:r>
              <w:rPr>
                <w:rFonts w:hint="eastAsia"/>
                <w:color w:val="auto"/>
              </w:rPr>
              <w:t>、</w:t>
            </w:r>
            <w:r>
              <w:rPr>
                <w:rFonts w:hint="default"/>
                <w:color w:val="auto"/>
              </w:rPr>
              <w:t>生活污水</w:t>
            </w:r>
            <w:r>
              <w:rPr>
                <w:rFonts w:hint="eastAsia"/>
                <w:color w:val="auto"/>
              </w:rPr>
              <w:t>经收集后由罐车运回东油沥青厂区后统一通过管网输送至广西石化污水处理场进行处理</w:t>
            </w:r>
            <w:r>
              <w:rPr>
                <w:rFonts w:hint="default"/>
                <w:color w:val="auto"/>
              </w:rPr>
              <w:t>；船舶废水委托</w:t>
            </w:r>
            <w:r>
              <w:rPr>
                <w:rFonts w:hint="eastAsia"/>
                <w:color w:val="auto"/>
              </w:rPr>
              <w:t>有资质</w:t>
            </w:r>
            <w:r>
              <w:rPr>
                <w:rFonts w:hint="default"/>
                <w:color w:val="auto"/>
              </w:rPr>
              <w:t>单位处理</w:t>
            </w:r>
            <w:r>
              <w:rPr>
                <w:rFonts w:hint="eastAsia"/>
                <w:color w:val="auto"/>
              </w:rPr>
              <w:t>。</w:t>
            </w:r>
          </w:p>
        </w:tc>
        <w:tc>
          <w:tcPr>
            <w:tcW w:w="558" w:type="pct"/>
            <w:vMerge w:val="restart"/>
            <w:vAlign w:val="center"/>
          </w:tcPr>
          <w:p w14:paraId="035C6346">
            <w:pPr>
              <w:pStyle w:val="167"/>
              <w:keepNext w:val="0"/>
              <w:keepLines w:val="0"/>
              <w:suppressLineNumbers w:val="0"/>
              <w:spacing w:before="0" w:beforeAutospacing="0" w:after="0" w:afterAutospacing="0"/>
              <w:ind w:right="0"/>
              <w:rPr>
                <w:rFonts w:hint="default"/>
                <w:color w:val="auto"/>
              </w:rPr>
            </w:pPr>
            <w:r>
              <w:rPr>
                <w:rFonts w:hint="eastAsia"/>
                <w:color w:val="auto"/>
              </w:rPr>
              <w:t>建设单位</w:t>
            </w:r>
          </w:p>
        </w:tc>
      </w:tr>
      <w:tr w14:paraId="7373F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8" w:hRule="atLeast"/>
        </w:trPr>
        <w:tc>
          <w:tcPr>
            <w:tcW w:w="704" w:type="pct"/>
            <w:vAlign w:val="center"/>
          </w:tcPr>
          <w:p w14:paraId="1754785D">
            <w:pPr>
              <w:pStyle w:val="167"/>
              <w:keepNext w:val="0"/>
              <w:keepLines w:val="0"/>
              <w:suppressLineNumbers w:val="0"/>
              <w:spacing w:before="0" w:beforeAutospacing="0" w:after="0" w:afterAutospacing="0"/>
              <w:ind w:right="0"/>
              <w:rPr>
                <w:rFonts w:hint="default"/>
                <w:color w:val="auto"/>
              </w:rPr>
            </w:pPr>
            <w:r>
              <w:rPr>
                <w:rFonts w:hint="eastAsia"/>
                <w:color w:val="auto"/>
              </w:rPr>
              <w:t>废气</w:t>
            </w:r>
          </w:p>
        </w:tc>
        <w:tc>
          <w:tcPr>
            <w:tcW w:w="3738" w:type="pct"/>
            <w:vAlign w:val="center"/>
          </w:tcPr>
          <w:p w14:paraId="1E9A4BD3">
            <w:pPr>
              <w:pStyle w:val="167"/>
              <w:keepNext w:val="0"/>
              <w:keepLines w:val="0"/>
              <w:suppressLineNumbers w:val="0"/>
              <w:spacing w:before="0" w:beforeAutospacing="0" w:after="0" w:afterAutospacing="0"/>
              <w:ind w:right="0"/>
              <w:rPr>
                <w:rFonts w:hint="default"/>
                <w:color w:val="auto"/>
              </w:rPr>
            </w:pPr>
            <w:r>
              <w:rPr>
                <w:rFonts w:hint="default"/>
                <w:color w:val="auto"/>
              </w:rPr>
              <w:t>全线采用全密闭输送流程，采用管道泄漏自动检测技术，减少化学品消耗，同时加强管理，发现问题及时检修。</w:t>
            </w:r>
            <w:r>
              <w:rPr>
                <w:rFonts w:hint="eastAsia"/>
                <w:color w:val="auto"/>
              </w:rPr>
              <w:t>储罐</w:t>
            </w:r>
            <w:r>
              <w:rPr>
                <w:rFonts w:hint="default"/>
                <w:color w:val="auto"/>
              </w:rPr>
              <w:t>采用</w:t>
            </w:r>
            <w:r>
              <w:rPr>
                <w:rFonts w:hint="eastAsia"/>
                <w:color w:val="auto"/>
              </w:rPr>
              <w:t>浮顶罐</w:t>
            </w:r>
            <w:r>
              <w:rPr>
                <w:rFonts w:hint="default"/>
                <w:color w:val="auto"/>
              </w:rPr>
              <w:t>，并采取氮封措施</w:t>
            </w:r>
            <w:r>
              <w:rPr>
                <w:rFonts w:hint="eastAsia"/>
                <w:color w:val="auto"/>
              </w:rPr>
              <w:t>；装卸</w:t>
            </w:r>
            <w:r>
              <w:rPr>
                <w:rFonts w:hint="default"/>
                <w:color w:val="auto"/>
              </w:rPr>
              <w:t>过程采用顶部浸没式装载</w:t>
            </w:r>
            <w:r>
              <w:rPr>
                <w:rFonts w:hint="eastAsia"/>
                <w:color w:val="auto"/>
              </w:rPr>
              <w:t>；</w:t>
            </w:r>
            <w:r>
              <w:rPr>
                <w:rFonts w:hint="default"/>
                <w:color w:val="auto"/>
              </w:rPr>
              <w:t>装船在用汽油装船油气回收设施回收处理装船废气；</w:t>
            </w:r>
          </w:p>
        </w:tc>
        <w:tc>
          <w:tcPr>
            <w:tcW w:w="558" w:type="pct"/>
            <w:vMerge w:val="continue"/>
            <w:vAlign w:val="center"/>
          </w:tcPr>
          <w:p w14:paraId="205B8E6F">
            <w:pPr>
              <w:pStyle w:val="167"/>
              <w:keepNext w:val="0"/>
              <w:keepLines w:val="0"/>
              <w:suppressLineNumbers w:val="0"/>
              <w:spacing w:before="0" w:beforeAutospacing="0" w:after="0" w:afterAutospacing="0"/>
              <w:ind w:right="0"/>
              <w:rPr>
                <w:rFonts w:hint="default"/>
                <w:color w:val="auto"/>
              </w:rPr>
            </w:pPr>
          </w:p>
        </w:tc>
      </w:tr>
      <w:tr w14:paraId="56088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trPr>
        <w:tc>
          <w:tcPr>
            <w:tcW w:w="704" w:type="pct"/>
            <w:vAlign w:val="center"/>
          </w:tcPr>
          <w:p w14:paraId="4296F8B8">
            <w:pPr>
              <w:pStyle w:val="167"/>
              <w:keepNext w:val="0"/>
              <w:keepLines w:val="0"/>
              <w:suppressLineNumbers w:val="0"/>
              <w:spacing w:before="0" w:beforeAutospacing="0" w:after="0" w:afterAutospacing="0"/>
              <w:ind w:right="0"/>
              <w:rPr>
                <w:rFonts w:hint="default"/>
                <w:color w:val="auto"/>
              </w:rPr>
            </w:pPr>
            <w:r>
              <w:rPr>
                <w:rFonts w:hint="default"/>
                <w:color w:val="auto"/>
              </w:rPr>
              <w:t>固体废物</w:t>
            </w:r>
          </w:p>
        </w:tc>
        <w:tc>
          <w:tcPr>
            <w:tcW w:w="3738" w:type="pct"/>
            <w:vAlign w:val="center"/>
          </w:tcPr>
          <w:p w14:paraId="34D09205">
            <w:pPr>
              <w:pStyle w:val="167"/>
              <w:keepNext w:val="0"/>
              <w:keepLines w:val="0"/>
              <w:suppressLineNumbers w:val="0"/>
              <w:spacing w:before="0" w:beforeAutospacing="0" w:after="0" w:afterAutospacing="0"/>
              <w:ind w:right="0"/>
              <w:rPr>
                <w:rFonts w:hint="default"/>
                <w:color w:val="auto"/>
              </w:rPr>
            </w:pPr>
            <w:r>
              <w:rPr>
                <w:rFonts w:hint="default"/>
                <w:color w:val="auto"/>
              </w:rPr>
              <w:t>生</w:t>
            </w:r>
            <w:r>
              <w:rPr>
                <w:rFonts w:hint="default"/>
                <w:color w:val="auto"/>
                <w:u w:val="single"/>
              </w:rPr>
              <w:t>活垃圾集中收集，按照当地环卫部门要求统一处理</w:t>
            </w:r>
            <w:r>
              <w:rPr>
                <w:rFonts w:hint="eastAsia"/>
                <w:color w:val="auto"/>
                <w:u w:val="single"/>
              </w:rPr>
              <w:t>。</w:t>
            </w:r>
            <w:r>
              <w:rPr>
                <w:rFonts w:hint="eastAsia"/>
                <w:color w:val="auto"/>
                <w:szCs w:val="16"/>
                <w:u w:val="single"/>
              </w:rPr>
              <w:t>运营期产生的危险废物主要包括含油废布及棉纱、</w:t>
            </w:r>
            <w:r>
              <w:rPr>
                <w:rFonts w:hint="eastAsia"/>
                <w:color w:val="auto"/>
                <w:szCs w:val="16"/>
                <w:u w:val="single"/>
                <w:lang w:eastAsia="zh-CN"/>
              </w:rPr>
              <w:t>废活性炭、废滤芯</w:t>
            </w:r>
            <w:r>
              <w:rPr>
                <w:rFonts w:hint="eastAsia"/>
                <w:color w:val="auto"/>
                <w:szCs w:val="16"/>
                <w:u w:val="single"/>
              </w:rPr>
              <w:t>，在危废暂存库储存，交由</w:t>
            </w:r>
            <w:r>
              <w:rPr>
                <w:rFonts w:hint="default"/>
                <w:color w:val="auto"/>
                <w:szCs w:val="16"/>
                <w:u w:val="single"/>
              </w:rPr>
              <w:t>有资质的单位</w:t>
            </w:r>
            <w:r>
              <w:rPr>
                <w:rFonts w:hint="eastAsia"/>
                <w:color w:val="auto"/>
                <w:szCs w:val="16"/>
                <w:u w:val="single"/>
              </w:rPr>
              <w:t>接收处理。船舶维修废物</w:t>
            </w:r>
            <w:r>
              <w:rPr>
                <w:rFonts w:hint="eastAsia"/>
                <w:color w:val="auto"/>
                <w:szCs w:val="16"/>
                <w:u w:val="single"/>
                <w:lang w:eastAsia="zh-CN"/>
              </w:rPr>
              <w:t>由船舶公司</w:t>
            </w:r>
            <w:r>
              <w:rPr>
                <w:rFonts w:hint="eastAsia"/>
                <w:color w:val="auto"/>
                <w:szCs w:val="16"/>
                <w:u w:val="single"/>
              </w:rPr>
              <w:t>交由有资质单位处理</w:t>
            </w:r>
            <w:r>
              <w:rPr>
                <w:rFonts w:hint="eastAsia"/>
                <w:color w:val="auto"/>
                <w:szCs w:val="16"/>
              </w:rPr>
              <w:t>。</w:t>
            </w:r>
          </w:p>
        </w:tc>
        <w:tc>
          <w:tcPr>
            <w:tcW w:w="558" w:type="pct"/>
            <w:vMerge w:val="continue"/>
            <w:vAlign w:val="center"/>
          </w:tcPr>
          <w:p w14:paraId="407EA83A">
            <w:pPr>
              <w:pStyle w:val="167"/>
              <w:keepNext w:val="0"/>
              <w:keepLines w:val="0"/>
              <w:suppressLineNumbers w:val="0"/>
              <w:spacing w:before="0" w:beforeAutospacing="0" w:after="0" w:afterAutospacing="0"/>
              <w:ind w:right="0"/>
              <w:rPr>
                <w:rFonts w:hint="default"/>
                <w:color w:val="auto"/>
              </w:rPr>
            </w:pPr>
          </w:p>
        </w:tc>
      </w:tr>
      <w:tr w14:paraId="3756C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8" w:hRule="atLeast"/>
        </w:trPr>
        <w:tc>
          <w:tcPr>
            <w:tcW w:w="704" w:type="pct"/>
            <w:vAlign w:val="center"/>
          </w:tcPr>
          <w:p w14:paraId="21354F1D">
            <w:pPr>
              <w:pStyle w:val="167"/>
              <w:keepNext w:val="0"/>
              <w:keepLines w:val="0"/>
              <w:suppressLineNumbers w:val="0"/>
              <w:spacing w:before="0" w:beforeAutospacing="0" w:after="0" w:afterAutospacing="0"/>
              <w:ind w:right="0"/>
              <w:rPr>
                <w:rFonts w:hint="default"/>
                <w:color w:val="auto"/>
              </w:rPr>
            </w:pPr>
            <w:r>
              <w:rPr>
                <w:rFonts w:hint="default"/>
                <w:color w:val="auto"/>
              </w:rPr>
              <w:t>噪声</w:t>
            </w:r>
          </w:p>
        </w:tc>
        <w:tc>
          <w:tcPr>
            <w:tcW w:w="3738" w:type="pct"/>
            <w:vAlign w:val="center"/>
          </w:tcPr>
          <w:p w14:paraId="1528CA41">
            <w:pPr>
              <w:pStyle w:val="167"/>
              <w:keepNext w:val="0"/>
              <w:keepLines w:val="0"/>
              <w:suppressLineNumbers w:val="0"/>
              <w:spacing w:before="0" w:beforeAutospacing="0" w:after="0" w:afterAutospacing="0"/>
              <w:ind w:right="0"/>
              <w:rPr>
                <w:rFonts w:hint="default"/>
                <w:color w:val="auto"/>
              </w:rPr>
            </w:pPr>
            <w:r>
              <w:rPr>
                <w:rFonts w:hint="default"/>
                <w:color w:val="auto"/>
              </w:rPr>
              <w:t>选用同类产品中的低噪声</w:t>
            </w:r>
            <w:r>
              <w:rPr>
                <w:rFonts w:hint="eastAsia"/>
                <w:color w:val="auto"/>
              </w:rPr>
              <w:t>设备</w:t>
            </w:r>
            <w:r>
              <w:rPr>
                <w:rFonts w:hint="default"/>
                <w:color w:val="auto"/>
              </w:rPr>
              <w:t>，采用减振等综合治理措施，管道之间采用柔性连接</w:t>
            </w:r>
            <w:r>
              <w:rPr>
                <w:rFonts w:hint="eastAsia"/>
                <w:color w:val="auto"/>
              </w:rPr>
              <w:t>。</w:t>
            </w:r>
          </w:p>
        </w:tc>
        <w:tc>
          <w:tcPr>
            <w:tcW w:w="558" w:type="pct"/>
            <w:vMerge w:val="continue"/>
            <w:vAlign w:val="center"/>
          </w:tcPr>
          <w:p w14:paraId="58E3D45D">
            <w:pPr>
              <w:pStyle w:val="167"/>
              <w:keepNext w:val="0"/>
              <w:keepLines w:val="0"/>
              <w:suppressLineNumbers w:val="0"/>
              <w:spacing w:before="0" w:beforeAutospacing="0" w:after="0" w:afterAutospacing="0"/>
              <w:ind w:right="0"/>
              <w:rPr>
                <w:rFonts w:hint="default"/>
                <w:color w:val="auto"/>
              </w:rPr>
            </w:pPr>
          </w:p>
        </w:tc>
      </w:tr>
      <w:tr w14:paraId="16B7B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704" w:type="pct"/>
            <w:vAlign w:val="center"/>
          </w:tcPr>
          <w:p w14:paraId="17634D14">
            <w:pPr>
              <w:pStyle w:val="167"/>
              <w:keepNext w:val="0"/>
              <w:keepLines w:val="0"/>
              <w:suppressLineNumbers w:val="0"/>
              <w:spacing w:before="0" w:beforeAutospacing="0" w:after="0" w:afterAutospacing="0"/>
              <w:ind w:right="0"/>
              <w:rPr>
                <w:rFonts w:hint="default"/>
                <w:color w:val="auto"/>
              </w:rPr>
            </w:pPr>
            <w:r>
              <w:rPr>
                <w:rFonts w:hint="default"/>
                <w:color w:val="auto"/>
              </w:rPr>
              <w:t>事故风险</w:t>
            </w:r>
          </w:p>
        </w:tc>
        <w:tc>
          <w:tcPr>
            <w:tcW w:w="3738" w:type="pct"/>
            <w:vAlign w:val="center"/>
          </w:tcPr>
          <w:p w14:paraId="5790A67F">
            <w:pPr>
              <w:pStyle w:val="167"/>
              <w:keepNext w:val="0"/>
              <w:keepLines w:val="0"/>
              <w:suppressLineNumbers w:val="0"/>
              <w:spacing w:before="0" w:beforeAutospacing="0" w:after="0" w:afterAutospacing="0"/>
              <w:ind w:right="0"/>
              <w:rPr>
                <w:rFonts w:hint="default"/>
                <w:color w:val="auto"/>
              </w:rPr>
            </w:pPr>
            <w:r>
              <w:rPr>
                <w:rFonts w:hint="eastAsia"/>
                <w:color w:val="auto"/>
              </w:rPr>
              <w:t>制定和实施码头应急预案，配备适当数量的应急设备，应急预案应在企业现有应急预案的基础上，纳入园区环境风险防控体系和管理的衔接要求，实现厂内与园区环境风险防控设施及管理的有效联动，有效防控环境风险。建设单位应及时修订环境风险应急预案，将本项目内容纳入企业现有整体环境风险应急预案体系中。</w:t>
            </w:r>
          </w:p>
        </w:tc>
        <w:tc>
          <w:tcPr>
            <w:tcW w:w="558" w:type="pct"/>
            <w:vMerge w:val="continue"/>
            <w:vAlign w:val="center"/>
          </w:tcPr>
          <w:p w14:paraId="635032BF">
            <w:pPr>
              <w:pStyle w:val="167"/>
              <w:keepNext w:val="0"/>
              <w:keepLines w:val="0"/>
              <w:suppressLineNumbers w:val="0"/>
              <w:spacing w:before="0" w:beforeAutospacing="0" w:after="0" w:afterAutospacing="0"/>
              <w:ind w:right="0"/>
              <w:rPr>
                <w:rFonts w:hint="default"/>
                <w:color w:val="auto"/>
              </w:rPr>
            </w:pPr>
          </w:p>
        </w:tc>
      </w:tr>
    </w:tbl>
    <w:p w14:paraId="20E9181F">
      <w:pPr>
        <w:pStyle w:val="5"/>
        <w:rPr>
          <w:color w:val="auto"/>
        </w:rPr>
      </w:pPr>
      <w:bookmarkStart w:id="645" w:name="_Toc223595802"/>
      <w:bookmarkStart w:id="646" w:name="_Toc223258513"/>
      <w:r>
        <w:rPr>
          <w:color w:val="auto"/>
        </w:rPr>
        <w:t>排污管理要求</w:t>
      </w:r>
      <w:bookmarkEnd w:id="645"/>
      <w:bookmarkEnd w:id="646"/>
    </w:p>
    <w:p w14:paraId="294F12FD">
      <w:pPr>
        <w:pStyle w:val="4"/>
        <w:rPr>
          <w:color w:val="auto"/>
        </w:rPr>
      </w:pPr>
      <w:bookmarkStart w:id="647" w:name="_Toc216103490"/>
      <w:bookmarkStart w:id="648" w:name="_Toc136878580"/>
      <w:bookmarkStart w:id="649" w:name="_Toc25437061"/>
      <w:bookmarkStart w:id="650" w:name="_Toc26910108"/>
      <w:bookmarkStart w:id="651" w:name="_Toc29131921"/>
      <w:bookmarkStart w:id="652" w:name="_Toc216620649"/>
      <w:bookmarkStart w:id="653" w:name="_Toc135090316"/>
      <w:r>
        <w:rPr>
          <w:color w:val="auto"/>
        </w:rPr>
        <w:t>污染物排放清单</w:t>
      </w:r>
      <w:bookmarkEnd w:id="647"/>
      <w:bookmarkEnd w:id="648"/>
      <w:bookmarkEnd w:id="649"/>
      <w:bookmarkEnd w:id="650"/>
      <w:bookmarkEnd w:id="651"/>
      <w:bookmarkEnd w:id="652"/>
      <w:bookmarkEnd w:id="653"/>
    </w:p>
    <w:p w14:paraId="536F9DF5">
      <w:pPr>
        <w:ind w:firstLine="480"/>
        <w:rPr>
          <w:color w:val="auto"/>
        </w:rPr>
      </w:pPr>
      <w:r>
        <w:rPr>
          <w:color w:val="auto"/>
        </w:rPr>
        <w:t>本项目污染物排放清单见表8.2-1。</w:t>
      </w:r>
    </w:p>
    <w:p w14:paraId="59983073">
      <w:pPr>
        <w:pStyle w:val="14"/>
        <w:rPr>
          <w:color w:val="auto"/>
        </w:rPr>
      </w:pPr>
      <w:r>
        <w:rPr>
          <w:rFonts w:hint="eastAsia"/>
          <w:color w:val="auto"/>
        </w:rPr>
        <w:t>表</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8.2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rFonts w:hint="eastAsia"/>
          <w:color w:val="auto"/>
        </w:rPr>
        <w:t>1</w:t>
      </w:r>
      <w:r>
        <w:rPr>
          <w:color w:val="auto"/>
        </w:rPr>
        <w:fldChar w:fldCharType="end"/>
      </w:r>
      <w:r>
        <w:rPr>
          <w:rFonts w:hint="eastAsia"/>
          <w:color w:val="auto"/>
        </w:rPr>
        <w:t>扩建</w:t>
      </w:r>
      <w:r>
        <w:rPr>
          <w:color w:val="auto"/>
        </w:rPr>
        <w:t>项目污染物排放情况表</w:t>
      </w:r>
    </w:p>
    <w:tbl>
      <w:tblPr>
        <w:tblStyle w:val="43"/>
        <w:tblW w:w="89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562"/>
        <w:gridCol w:w="1276"/>
        <w:gridCol w:w="1390"/>
        <w:gridCol w:w="1587"/>
        <w:gridCol w:w="1124"/>
        <w:gridCol w:w="2136"/>
        <w:gridCol w:w="851"/>
      </w:tblGrid>
      <w:tr w14:paraId="60EB8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blHeader/>
        </w:trPr>
        <w:tc>
          <w:tcPr>
            <w:tcW w:w="562" w:type="dxa"/>
            <w:tcBorders>
              <w:top w:val="single" w:color="auto" w:sz="4" w:space="0"/>
              <w:left w:val="single" w:color="auto" w:sz="4" w:space="0"/>
              <w:bottom w:val="single" w:color="auto" w:sz="4" w:space="0"/>
              <w:right w:val="single" w:color="auto" w:sz="4" w:space="0"/>
            </w:tcBorders>
            <w:vAlign w:val="center"/>
          </w:tcPr>
          <w:p w14:paraId="3E87A2FD">
            <w:pPr>
              <w:pStyle w:val="91"/>
              <w:keepNext w:val="0"/>
              <w:keepLines w:val="0"/>
              <w:suppressLineNumbers w:val="0"/>
              <w:spacing w:before="0" w:beforeAutospacing="0" w:after="0" w:afterAutospacing="0"/>
              <w:ind w:left="0" w:right="0"/>
              <w:rPr>
                <w:rFonts w:hint="default"/>
                <w:b/>
                <w:color w:val="auto"/>
              </w:rPr>
            </w:pPr>
            <w:r>
              <w:rPr>
                <w:rFonts w:hint="eastAsia"/>
                <w:b/>
                <w:color w:val="auto"/>
              </w:rPr>
              <w:t>类别</w:t>
            </w:r>
          </w:p>
        </w:tc>
        <w:tc>
          <w:tcPr>
            <w:tcW w:w="1276" w:type="dxa"/>
            <w:tcBorders>
              <w:top w:val="single" w:color="auto" w:sz="4" w:space="0"/>
              <w:left w:val="single" w:color="auto" w:sz="4" w:space="0"/>
              <w:bottom w:val="single" w:color="auto" w:sz="4" w:space="0"/>
              <w:right w:val="single" w:color="auto" w:sz="4" w:space="0"/>
            </w:tcBorders>
            <w:vAlign w:val="center"/>
          </w:tcPr>
          <w:p w14:paraId="74849D5F">
            <w:pPr>
              <w:pStyle w:val="91"/>
              <w:keepNext w:val="0"/>
              <w:keepLines w:val="0"/>
              <w:suppressLineNumbers w:val="0"/>
              <w:spacing w:before="0" w:beforeAutospacing="0" w:after="0" w:afterAutospacing="0"/>
              <w:ind w:left="0" w:right="0"/>
              <w:rPr>
                <w:rFonts w:hint="default"/>
                <w:b/>
                <w:color w:val="auto"/>
              </w:rPr>
            </w:pPr>
            <w:r>
              <w:rPr>
                <w:rFonts w:hint="eastAsia"/>
                <w:b/>
                <w:color w:val="auto"/>
              </w:rPr>
              <w:t>污染源</w:t>
            </w:r>
          </w:p>
        </w:tc>
        <w:tc>
          <w:tcPr>
            <w:tcW w:w="1390" w:type="dxa"/>
            <w:tcBorders>
              <w:top w:val="single" w:color="auto" w:sz="4" w:space="0"/>
              <w:left w:val="single" w:color="auto" w:sz="4" w:space="0"/>
              <w:bottom w:val="single" w:color="auto" w:sz="4" w:space="0"/>
              <w:right w:val="single" w:color="auto" w:sz="4" w:space="0"/>
            </w:tcBorders>
            <w:vAlign w:val="center"/>
          </w:tcPr>
          <w:p w14:paraId="1E964112">
            <w:pPr>
              <w:pStyle w:val="91"/>
              <w:keepNext w:val="0"/>
              <w:keepLines w:val="0"/>
              <w:suppressLineNumbers w:val="0"/>
              <w:spacing w:before="0" w:beforeAutospacing="0" w:after="0" w:afterAutospacing="0"/>
              <w:ind w:left="0" w:right="0"/>
              <w:rPr>
                <w:rFonts w:hint="default"/>
                <w:b/>
                <w:color w:val="auto"/>
              </w:rPr>
            </w:pPr>
            <w:r>
              <w:rPr>
                <w:rFonts w:hint="eastAsia"/>
                <w:b/>
                <w:color w:val="auto"/>
              </w:rPr>
              <w:t>污染物</w:t>
            </w:r>
          </w:p>
        </w:tc>
        <w:tc>
          <w:tcPr>
            <w:tcW w:w="1587" w:type="dxa"/>
            <w:tcBorders>
              <w:top w:val="single" w:color="auto" w:sz="4" w:space="0"/>
              <w:left w:val="single" w:color="auto" w:sz="4" w:space="0"/>
              <w:bottom w:val="single" w:color="auto" w:sz="4" w:space="0"/>
              <w:right w:val="single" w:color="auto" w:sz="4" w:space="0"/>
            </w:tcBorders>
            <w:vAlign w:val="center"/>
          </w:tcPr>
          <w:p w14:paraId="054B1740">
            <w:pPr>
              <w:pStyle w:val="91"/>
              <w:keepNext w:val="0"/>
              <w:keepLines w:val="0"/>
              <w:suppressLineNumbers w:val="0"/>
              <w:spacing w:before="0" w:beforeAutospacing="0" w:after="0" w:afterAutospacing="0"/>
              <w:ind w:left="0" w:right="0"/>
              <w:rPr>
                <w:rFonts w:hint="default"/>
                <w:b/>
                <w:color w:val="auto"/>
              </w:rPr>
            </w:pPr>
            <w:r>
              <w:rPr>
                <w:rFonts w:hint="eastAsia"/>
                <w:b/>
                <w:color w:val="auto"/>
              </w:rPr>
              <w:t>治理措施</w:t>
            </w:r>
          </w:p>
        </w:tc>
        <w:tc>
          <w:tcPr>
            <w:tcW w:w="1124" w:type="dxa"/>
            <w:tcBorders>
              <w:top w:val="single" w:color="auto" w:sz="4" w:space="0"/>
              <w:left w:val="single" w:color="auto" w:sz="4" w:space="0"/>
              <w:bottom w:val="single" w:color="auto" w:sz="4" w:space="0"/>
              <w:right w:val="single" w:color="auto" w:sz="4" w:space="0"/>
            </w:tcBorders>
            <w:vAlign w:val="center"/>
          </w:tcPr>
          <w:p w14:paraId="2CC79F35">
            <w:pPr>
              <w:pStyle w:val="91"/>
              <w:keepNext w:val="0"/>
              <w:keepLines w:val="0"/>
              <w:suppressLineNumbers w:val="0"/>
              <w:spacing w:before="0" w:beforeAutospacing="0" w:after="0" w:afterAutospacing="0"/>
              <w:ind w:left="0" w:right="0"/>
              <w:rPr>
                <w:rFonts w:hint="default"/>
                <w:b/>
                <w:color w:val="auto"/>
              </w:rPr>
            </w:pPr>
            <w:r>
              <w:rPr>
                <w:rFonts w:hint="eastAsia"/>
                <w:b/>
                <w:color w:val="auto"/>
              </w:rPr>
              <w:t>排放量t/a</w:t>
            </w:r>
          </w:p>
        </w:tc>
        <w:tc>
          <w:tcPr>
            <w:tcW w:w="2136" w:type="dxa"/>
            <w:tcBorders>
              <w:top w:val="single" w:color="auto" w:sz="4" w:space="0"/>
              <w:left w:val="single" w:color="auto" w:sz="4" w:space="0"/>
              <w:bottom w:val="single" w:color="auto" w:sz="4" w:space="0"/>
              <w:right w:val="single" w:color="auto" w:sz="4" w:space="0"/>
            </w:tcBorders>
            <w:vAlign w:val="center"/>
          </w:tcPr>
          <w:p w14:paraId="01338D7F">
            <w:pPr>
              <w:pStyle w:val="91"/>
              <w:keepNext w:val="0"/>
              <w:keepLines w:val="0"/>
              <w:suppressLineNumbers w:val="0"/>
              <w:spacing w:before="0" w:beforeAutospacing="0" w:after="0" w:afterAutospacing="0"/>
              <w:ind w:left="0" w:right="0"/>
              <w:rPr>
                <w:rFonts w:hint="default"/>
                <w:b/>
                <w:color w:val="auto"/>
              </w:rPr>
            </w:pPr>
            <w:r>
              <w:rPr>
                <w:rFonts w:hint="eastAsia"/>
                <w:b/>
                <w:color w:val="auto"/>
              </w:rPr>
              <w:t>执行标准</w:t>
            </w:r>
          </w:p>
        </w:tc>
        <w:tc>
          <w:tcPr>
            <w:tcW w:w="851" w:type="dxa"/>
            <w:tcBorders>
              <w:top w:val="single" w:color="auto" w:sz="4" w:space="0"/>
              <w:left w:val="single" w:color="auto" w:sz="4" w:space="0"/>
              <w:bottom w:val="single" w:color="auto" w:sz="4" w:space="0"/>
              <w:right w:val="single" w:color="auto" w:sz="4" w:space="0"/>
            </w:tcBorders>
            <w:vAlign w:val="center"/>
          </w:tcPr>
          <w:p w14:paraId="31C8016D">
            <w:pPr>
              <w:pStyle w:val="91"/>
              <w:keepNext w:val="0"/>
              <w:keepLines w:val="0"/>
              <w:suppressLineNumbers w:val="0"/>
              <w:spacing w:before="0" w:beforeAutospacing="0" w:after="0" w:afterAutospacing="0"/>
              <w:ind w:left="0" w:right="0"/>
              <w:rPr>
                <w:rFonts w:hint="default"/>
                <w:b/>
                <w:color w:val="auto"/>
              </w:rPr>
            </w:pPr>
            <w:r>
              <w:rPr>
                <w:rFonts w:hint="eastAsia"/>
                <w:b/>
                <w:color w:val="auto"/>
              </w:rPr>
              <w:t>排放方式</w:t>
            </w:r>
          </w:p>
        </w:tc>
      </w:tr>
      <w:tr w14:paraId="1BAA6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restart"/>
            <w:tcBorders>
              <w:top w:val="single" w:color="auto" w:sz="4" w:space="0"/>
              <w:left w:val="single" w:color="auto" w:sz="4" w:space="0"/>
              <w:right w:val="single" w:color="auto" w:sz="4" w:space="0"/>
            </w:tcBorders>
            <w:vAlign w:val="center"/>
          </w:tcPr>
          <w:p w14:paraId="46974BF3">
            <w:pPr>
              <w:pStyle w:val="91"/>
              <w:keepNext w:val="0"/>
              <w:keepLines w:val="0"/>
              <w:suppressLineNumbers w:val="0"/>
              <w:spacing w:before="0" w:beforeAutospacing="0" w:after="0" w:afterAutospacing="0"/>
              <w:ind w:left="0" w:right="0"/>
              <w:rPr>
                <w:rFonts w:hint="default"/>
                <w:color w:val="auto"/>
              </w:rPr>
            </w:pPr>
            <w:r>
              <w:rPr>
                <w:rFonts w:hint="eastAsia"/>
                <w:color w:val="auto"/>
              </w:rPr>
              <w:t>大气</w:t>
            </w:r>
          </w:p>
        </w:tc>
        <w:tc>
          <w:tcPr>
            <w:tcW w:w="1276" w:type="dxa"/>
            <w:tcBorders>
              <w:top w:val="single" w:color="auto" w:sz="4" w:space="0"/>
              <w:left w:val="single" w:color="auto" w:sz="4" w:space="0"/>
              <w:bottom w:val="single" w:color="auto" w:sz="4" w:space="0"/>
              <w:right w:val="single" w:color="auto" w:sz="4" w:space="0"/>
            </w:tcBorders>
            <w:vAlign w:val="center"/>
          </w:tcPr>
          <w:p w14:paraId="35497974">
            <w:pPr>
              <w:pStyle w:val="91"/>
              <w:keepNext w:val="0"/>
              <w:keepLines w:val="0"/>
              <w:suppressLineNumbers w:val="0"/>
              <w:spacing w:before="0" w:beforeAutospacing="0" w:after="0" w:afterAutospacing="0"/>
              <w:ind w:left="0" w:right="0"/>
              <w:rPr>
                <w:rFonts w:hint="default"/>
                <w:color w:val="auto"/>
              </w:rPr>
            </w:pPr>
            <w:r>
              <w:rPr>
                <w:rFonts w:hint="eastAsia"/>
                <w:color w:val="auto"/>
              </w:rPr>
              <w:t>装船</w:t>
            </w:r>
            <w:r>
              <w:rPr>
                <w:rFonts w:hint="default"/>
                <w:color w:val="auto"/>
              </w:rPr>
              <w:t>废气</w:t>
            </w:r>
          </w:p>
        </w:tc>
        <w:tc>
          <w:tcPr>
            <w:tcW w:w="1390" w:type="dxa"/>
            <w:tcBorders>
              <w:top w:val="single" w:color="auto" w:sz="4" w:space="0"/>
              <w:left w:val="single" w:color="auto" w:sz="4" w:space="0"/>
              <w:bottom w:val="single" w:color="auto" w:sz="4" w:space="0"/>
              <w:right w:val="single" w:color="auto" w:sz="4" w:space="0"/>
            </w:tcBorders>
            <w:vAlign w:val="center"/>
          </w:tcPr>
          <w:p w14:paraId="5EC51840">
            <w:pPr>
              <w:pStyle w:val="91"/>
              <w:keepNext w:val="0"/>
              <w:keepLines w:val="0"/>
              <w:suppressLineNumbers w:val="0"/>
              <w:spacing w:before="0" w:beforeAutospacing="0" w:after="0" w:afterAutospacing="0"/>
              <w:ind w:left="0" w:right="0"/>
              <w:rPr>
                <w:rFonts w:hint="default"/>
                <w:color w:val="auto"/>
              </w:rPr>
            </w:pPr>
            <w:r>
              <w:rPr>
                <w:rFonts w:hint="eastAsia"/>
                <w:color w:val="auto"/>
              </w:rPr>
              <w:t>非甲烷总烃</w:t>
            </w:r>
          </w:p>
        </w:tc>
        <w:tc>
          <w:tcPr>
            <w:tcW w:w="1587" w:type="dxa"/>
            <w:tcBorders>
              <w:top w:val="single" w:color="auto" w:sz="4" w:space="0"/>
              <w:left w:val="single" w:color="auto" w:sz="4" w:space="0"/>
              <w:bottom w:val="single" w:color="auto" w:sz="4" w:space="0"/>
              <w:right w:val="single" w:color="auto" w:sz="4" w:space="0"/>
            </w:tcBorders>
            <w:vAlign w:val="center"/>
          </w:tcPr>
          <w:p w14:paraId="4A404988">
            <w:pPr>
              <w:pStyle w:val="91"/>
              <w:keepNext w:val="0"/>
              <w:keepLines w:val="0"/>
              <w:suppressLineNumbers w:val="0"/>
              <w:spacing w:before="0" w:beforeAutospacing="0" w:after="0" w:afterAutospacing="0"/>
              <w:ind w:left="0" w:right="0"/>
              <w:rPr>
                <w:rFonts w:hint="default"/>
                <w:color w:val="auto"/>
              </w:rPr>
            </w:pPr>
            <w:r>
              <w:rPr>
                <w:rFonts w:hint="eastAsia"/>
                <w:color w:val="auto"/>
              </w:rPr>
              <w:t>装船油气回收设施</w:t>
            </w:r>
          </w:p>
        </w:tc>
        <w:tc>
          <w:tcPr>
            <w:tcW w:w="1124" w:type="dxa"/>
            <w:tcBorders>
              <w:top w:val="single" w:color="auto" w:sz="4" w:space="0"/>
              <w:left w:val="single" w:color="auto" w:sz="4" w:space="0"/>
              <w:bottom w:val="single" w:color="auto" w:sz="4" w:space="0"/>
              <w:right w:val="single" w:color="auto" w:sz="4" w:space="0"/>
            </w:tcBorders>
            <w:vAlign w:val="center"/>
          </w:tcPr>
          <w:p w14:paraId="1F51D108">
            <w:pPr>
              <w:pStyle w:val="91"/>
              <w:keepNext w:val="0"/>
              <w:keepLines w:val="0"/>
              <w:suppressLineNumbers w:val="0"/>
              <w:spacing w:before="0" w:beforeAutospacing="0" w:after="0" w:afterAutospacing="0"/>
              <w:ind w:left="0" w:right="0"/>
              <w:rPr>
                <w:rFonts w:hint="default"/>
                <w:color w:val="auto"/>
              </w:rPr>
            </w:pPr>
            <w:r>
              <w:rPr>
                <w:rFonts w:hint="eastAsia"/>
                <w:color w:val="auto"/>
              </w:rPr>
              <w:t>1.26</w:t>
            </w:r>
          </w:p>
        </w:tc>
        <w:tc>
          <w:tcPr>
            <w:tcW w:w="2136" w:type="dxa"/>
            <w:tcBorders>
              <w:top w:val="single" w:color="auto" w:sz="4" w:space="0"/>
              <w:left w:val="single" w:color="auto" w:sz="4" w:space="0"/>
              <w:bottom w:val="single" w:color="auto" w:sz="4" w:space="0"/>
              <w:right w:val="single" w:color="auto" w:sz="4" w:space="0"/>
            </w:tcBorders>
            <w:vAlign w:val="center"/>
          </w:tcPr>
          <w:p w14:paraId="20CCE597">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《储油库大气污染物排放标准》（GB20950-2020）表1油气排放浓度限值要求</w:t>
            </w:r>
          </w:p>
        </w:tc>
        <w:tc>
          <w:tcPr>
            <w:tcW w:w="851" w:type="dxa"/>
            <w:tcBorders>
              <w:top w:val="single" w:color="auto" w:sz="4" w:space="0"/>
              <w:left w:val="single" w:color="auto" w:sz="4" w:space="0"/>
              <w:bottom w:val="single" w:color="auto" w:sz="4" w:space="0"/>
              <w:right w:val="single" w:color="auto" w:sz="4" w:space="0"/>
            </w:tcBorders>
            <w:vAlign w:val="center"/>
          </w:tcPr>
          <w:p w14:paraId="6F90A8D8">
            <w:pPr>
              <w:pStyle w:val="91"/>
              <w:keepNext w:val="0"/>
              <w:keepLines w:val="0"/>
              <w:suppressLineNumbers w:val="0"/>
              <w:spacing w:before="0" w:beforeAutospacing="0" w:after="0" w:afterAutospacing="0"/>
              <w:ind w:left="0" w:right="0"/>
              <w:rPr>
                <w:rFonts w:hint="default"/>
                <w:color w:val="auto"/>
              </w:rPr>
            </w:pPr>
            <w:r>
              <w:rPr>
                <w:rFonts w:hint="eastAsia"/>
                <w:color w:val="auto"/>
              </w:rPr>
              <w:t>有组织</w:t>
            </w:r>
            <w:r>
              <w:rPr>
                <w:rFonts w:hint="default"/>
                <w:color w:val="auto"/>
              </w:rPr>
              <w:t>排放</w:t>
            </w:r>
          </w:p>
        </w:tc>
      </w:tr>
      <w:tr w14:paraId="1A9EA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right w:val="single" w:color="auto" w:sz="4" w:space="0"/>
            </w:tcBorders>
            <w:vAlign w:val="center"/>
          </w:tcPr>
          <w:p w14:paraId="72880DC9">
            <w:pPr>
              <w:pStyle w:val="91"/>
              <w:keepNext w:val="0"/>
              <w:keepLines w:val="0"/>
              <w:suppressLineNumbers w:val="0"/>
              <w:spacing w:before="0" w:beforeAutospacing="0" w:after="0" w:afterAutospacing="0"/>
              <w:ind w:left="0" w:right="0"/>
              <w:rPr>
                <w:rFonts w:hint="default"/>
                <w:color w:val="auto"/>
              </w:rPr>
            </w:pPr>
          </w:p>
        </w:tc>
        <w:tc>
          <w:tcPr>
            <w:tcW w:w="1276" w:type="dxa"/>
            <w:tcBorders>
              <w:top w:val="single" w:color="auto" w:sz="4" w:space="0"/>
              <w:left w:val="single" w:color="auto" w:sz="4" w:space="0"/>
              <w:bottom w:val="single" w:color="auto" w:sz="4" w:space="0"/>
              <w:right w:val="single" w:color="auto" w:sz="4" w:space="0"/>
            </w:tcBorders>
            <w:vAlign w:val="center"/>
          </w:tcPr>
          <w:p w14:paraId="6885BE5F">
            <w:pPr>
              <w:pStyle w:val="91"/>
              <w:keepNext w:val="0"/>
              <w:keepLines w:val="0"/>
              <w:suppressLineNumbers w:val="0"/>
              <w:spacing w:before="0" w:beforeAutospacing="0" w:after="0" w:afterAutospacing="0"/>
              <w:ind w:left="0" w:right="0"/>
              <w:rPr>
                <w:rFonts w:hint="default"/>
                <w:color w:val="auto"/>
              </w:rPr>
            </w:pPr>
            <w:r>
              <w:rPr>
                <w:rFonts w:hint="eastAsia"/>
                <w:color w:val="auto"/>
              </w:rPr>
              <w:t>管线</w:t>
            </w:r>
            <w:r>
              <w:rPr>
                <w:rFonts w:hint="default"/>
                <w:color w:val="auto"/>
              </w:rPr>
              <w:t>密封点溢出废气</w:t>
            </w:r>
          </w:p>
        </w:tc>
        <w:tc>
          <w:tcPr>
            <w:tcW w:w="1390" w:type="dxa"/>
            <w:tcBorders>
              <w:top w:val="single" w:color="auto" w:sz="4" w:space="0"/>
              <w:left w:val="single" w:color="auto" w:sz="4" w:space="0"/>
              <w:bottom w:val="single" w:color="auto" w:sz="4" w:space="0"/>
              <w:right w:val="single" w:color="auto" w:sz="4" w:space="0"/>
            </w:tcBorders>
            <w:vAlign w:val="center"/>
          </w:tcPr>
          <w:p w14:paraId="6DE52125">
            <w:pPr>
              <w:pStyle w:val="91"/>
              <w:keepNext w:val="0"/>
              <w:keepLines w:val="0"/>
              <w:suppressLineNumbers w:val="0"/>
              <w:spacing w:before="0" w:beforeAutospacing="0" w:after="0" w:afterAutospacing="0"/>
              <w:ind w:left="0" w:right="0"/>
              <w:rPr>
                <w:rFonts w:hint="default"/>
                <w:color w:val="auto"/>
              </w:rPr>
            </w:pPr>
            <w:r>
              <w:rPr>
                <w:rFonts w:hint="eastAsia"/>
                <w:color w:val="auto"/>
              </w:rPr>
              <w:t>非甲烷总烃</w:t>
            </w:r>
          </w:p>
        </w:tc>
        <w:tc>
          <w:tcPr>
            <w:tcW w:w="1587" w:type="dxa"/>
            <w:tcBorders>
              <w:top w:val="single" w:color="auto" w:sz="4" w:space="0"/>
              <w:left w:val="single" w:color="auto" w:sz="4" w:space="0"/>
              <w:bottom w:val="single" w:color="auto" w:sz="4" w:space="0"/>
              <w:right w:val="single" w:color="auto" w:sz="4" w:space="0"/>
            </w:tcBorders>
            <w:vAlign w:val="center"/>
          </w:tcPr>
          <w:p w14:paraId="0A357218">
            <w:pPr>
              <w:pStyle w:val="91"/>
              <w:keepNext w:val="0"/>
              <w:keepLines w:val="0"/>
              <w:suppressLineNumbers w:val="0"/>
              <w:spacing w:before="0" w:beforeAutospacing="0" w:after="0" w:afterAutospacing="0"/>
              <w:ind w:left="0" w:right="0"/>
              <w:rPr>
                <w:rFonts w:hint="default"/>
                <w:color w:val="auto"/>
              </w:rPr>
            </w:pPr>
            <w:r>
              <w:rPr>
                <w:rFonts w:hint="eastAsia"/>
                <w:color w:val="auto"/>
              </w:rPr>
              <w:t>管道密闭，定期维护和保养</w:t>
            </w:r>
          </w:p>
        </w:tc>
        <w:tc>
          <w:tcPr>
            <w:tcW w:w="1124" w:type="dxa"/>
            <w:tcBorders>
              <w:top w:val="single" w:color="auto" w:sz="4" w:space="0"/>
              <w:left w:val="single" w:color="auto" w:sz="4" w:space="0"/>
              <w:bottom w:val="single" w:color="auto" w:sz="4" w:space="0"/>
              <w:right w:val="single" w:color="auto" w:sz="4" w:space="0"/>
            </w:tcBorders>
            <w:vAlign w:val="center"/>
          </w:tcPr>
          <w:p w14:paraId="3F66BAB1">
            <w:pPr>
              <w:pStyle w:val="91"/>
              <w:keepNext w:val="0"/>
              <w:keepLines w:val="0"/>
              <w:suppressLineNumbers w:val="0"/>
              <w:spacing w:before="0" w:beforeAutospacing="0" w:after="0" w:afterAutospacing="0"/>
              <w:ind w:left="0" w:right="0"/>
              <w:rPr>
                <w:rFonts w:hint="default"/>
                <w:color w:val="auto"/>
              </w:rPr>
            </w:pPr>
            <w:r>
              <w:rPr>
                <w:rFonts w:hint="eastAsia"/>
                <w:color w:val="auto"/>
              </w:rPr>
              <w:t>0.</w:t>
            </w:r>
            <w:r>
              <w:rPr>
                <w:rFonts w:hint="default"/>
                <w:color w:val="auto"/>
              </w:rPr>
              <w:t>904</w:t>
            </w:r>
          </w:p>
        </w:tc>
        <w:tc>
          <w:tcPr>
            <w:tcW w:w="2136" w:type="dxa"/>
            <w:vMerge w:val="restart"/>
            <w:tcBorders>
              <w:top w:val="single" w:color="auto" w:sz="4" w:space="0"/>
              <w:left w:val="single" w:color="auto" w:sz="4" w:space="0"/>
              <w:right w:val="single" w:color="auto" w:sz="4" w:space="0"/>
            </w:tcBorders>
            <w:vAlign w:val="center"/>
          </w:tcPr>
          <w:p w14:paraId="6314E613">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《储油库大气污染物排放标准》（GB20950-2020）企业边界任意1小时非甲烷总烃平均浓度值限值要求</w:t>
            </w:r>
          </w:p>
        </w:tc>
        <w:tc>
          <w:tcPr>
            <w:tcW w:w="851" w:type="dxa"/>
            <w:vMerge w:val="restart"/>
            <w:tcBorders>
              <w:top w:val="single" w:color="auto" w:sz="4" w:space="0"/>
              <w:left w:val="single" w:color="auto" w:sz="4" w:space="0"/>
              <w:right w:val="single" w:color="auto" w:sz="4" w:space="0"/>
            </w:tcBorders>
            <w:vAlign w:val="center"/>
          </w:tcPr>
          <w:p w14:paraId="33CB5593">
            <w:pPr>
              <w:pStyle w:val="91"/>
              <w:keepNext w:val="0"/>
              <w:keepLines w:val="0"/>
              <w:suppressLineNumbers w:val="0"/>
              <w:spacing w:before="0" w:beforeAutospacing="0" w:after="0" w:afterAutospacing="0"/>
              <w:ind w:left="0" w:right="0"/>
              <w:rPr>
                <w:rFonts w:hint="default"/>
                <w:color w:val="auto"/>
              </w:rPr>
            </w:pPr>
            <w:r>
              <w:rPr>
                <w:rFonts w:hint="eastAsia"/>
                <w:color w:val="auto"/>
              </w:rPr>
              <w:t>无组织</w:t>
            </w:r>
            <w:r>
              <w:rPr>
                <w:rFonts w:hint="default"/>
                <w:color w:val="auto"/>
              </w:rPr>
              <w:t>排放</w:t>
            </w:r>
          </w:p>
        </w:tc>
      </w:tr>
      <w:tr w14:paraId="42C8A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right w:val="single" w:color="auto" w:sz="4" w:space="0"/>
            </w:tcBorders>
            <w:vAlign w:val="center"/>
          </w:tcPr>
          <w:p w14:paraId="536FA5A8">
            <w:pPr>
              <w:pStyle w:val="91"/>
              <w:keepNext w:val="0"/>
              <w:keepLines w:val="0"/>
              <w:suppressLineNumbers w:val="0"/>
              <w:spacing w:before="0" w:beforeAutospacing="0" w:after="0" w:afterAutospacing="0"/>
              <w:ind w:left="0" w:right="0"/>
              <w:rPr>
                <w:rFonts w:hint="default"/>
                <w:color w:val="auto"/>
              </w:rPr>
            </w:pPr>
          </w:p>
        </w:tc>
        <w:tc>
          <w:tcPr>
            <w:tcW w:w="1276" w:type="dxa"/>
            <w:tcBorders>
              <w:top w:val="single" w:color="auto" w:sz="4" w:space="0"/>
              <w:left w:val="single" w:color="auto" w:sz="4" w:space="0"/>
              <w:bottom w:val="single" w:color="auto" w:sz="4" w:space="0"/>
              <w:right w:val="single" w:color="auto" w:sz="4" w:space="0"/>
            </w:tcBorders>
            <w:vAlign w:val="center"/>
          </w:tcPr>
          <w:p w14:paraId="7D3307AD">
            <w:pPr>
              <w:pStyle w:val="91"/>
              <w:keepNext w:val="0"/>
              <w:keepLines w:val="0"/>
              <w:suppressLineNumbers w:val="0"/>
              <w:spacing w:before="0" w:beforeAutospacing="0" w:after="0" w:afterAutospacing="0"/>
              <w:ind w:left="0" w:right="0"/>
              <w:rPr>
                <w:rFonts w:hint="default"/>
                <w:color w:val="auto"/>
              </w:rPr>
            </w:pPr>
            <w:r>
              <w:rPr>
                <w:rFonts w:hint="eastAsia"/>
                <w:color w:val="auto"/>
              </w:rPr>
              <w:t>储罐</w:t>
            </w:r>
            <w:r>
              <w:rPr>
                <w:rFonts w:hint="default"/>
                <w:color w:val="auto"/>
              </w:rPr>
              <w:t>呼吸</w:t>
            </w:r>
          </w:p>
        </w:tc>
        <w:tc>
          <w:tcPr>
            <w:tcW w:w="1390" w:type="dxa"/>
            <w:tcBorders>
              <w:top w:val="single" w:color="auto" w:sz="4" w:space="0"/>
              <w:left w:val="single" w:color="auto" w:sz="4" w:space="0"/>
              <w:bottom w:val="single" w:color="auto" w:sz="4" w:space="0"/>
              <w:right w:val="single" w:color="auto" w:sz="4" w:space="0"/>
            </w:tcBorders>
            <w:vAlign w:val="center"/>
          </w:tcPr>
          <w:p w14:paraId="29BA7C66">
            <w:pPr>
              <w:pStyle w:val="91"/>
              <w:keepNext w:val="0"/>
              <w:keepLines w:val="0"/>
              <w:suppressLineNumbers w:val="0"/>
              <w:spacing w:before="0" w:beforeAutospacing="0" w:after="0" w:afterAutospacing="0"/>
              <w:ind w:left="0" w:right="0"/>
              <w:rPr>
                <w:rFonts w:hint="default"/>
                <w:color w:val="auto"/>
              </w:rPr>
            </w:pPr>
            <w:r>
              <w:rPr>
                <w:rFonts w:hint="eastAsia"/>
                <w:color w:val="auto"/>
              </w:rPr>
              <w:t>非甲烷总烃</w:t>
            </w:r>
          </w:p>
        </w:tc>
        <w:tc>
          <w:tcPr>
            <w:tcW w:w="1587" w:type="dxa"/>
            <w:tcBorders>
              <w:top w:val="single" w:color="auto" w:sz="4" w:space="0"/>
              <w:left w:val="single" w:color="auto" w:sz="4" w:space="0"/>
              <w:bottom w:val="single" w:color="auto" w:sz="4" w:space="0"/>
              <w:right w:val="single" w:color="auto" w:sz="4" w:space="0"/>
            </w:tcBorders>
            <w:vAlign w:val="center"/>
          </w:tcPr>
          <w:p w14:paraId="724314F7">
            <w:pPr>
              <w:pStyle w:val="91"/>
              <w:keepNext w:val="0"/>
              <w:keepLines w:val="0"/>
              <w:suppressLineNumbers w:val="0"/>
              <w:spacing w:before="0" w:beforeAutospacing="0" w:after="0" w:afterAutospacing="0"/>
              <w:ind w:left="0" w:right="0"/>
              <w:rPr>
                <w:rFonts w:hint="default"/>
                <w:color w:val="auto"/>
              </w:rPr>
            </w:pPr>
            <w:r>
              <w:rPr>
                <w:rFonts w:hint="eastAsia"/>
                <w:color w:val="auto"/>
              </w:rPr>
              <w:t>顶部</w:t>
            </w:r>
            <w:r>
              <w:rPr>
                <w:rFonts w:hint="default"/>
                <w:color w:val="auto"/>
              </w:rPr>
              <w:t>浸没式装载</w:t>
            </w:r>
            <w:r>
              <w:rPr>
                <w:rFonts w:hint="eastAsia"/>
                <w:color w:val="auto"/>
              </w:rPr>
              <w:t>、</w:t>
            </w:r>
            <w:r>
              <w:rPr>
                <w:rFonts w:hint="default"/>
                <w:color w:val="auto"/>
              </w:rPr>
              <w:t>氮封</w:t>
            </w:r>
          </w:p>
        </w:tc>
        <w:tc>
          <w:tcPr>
            <w:tcW w:w="1124" w:type="dxa"/>
            <w:tcBorders>
              <w:top w:val="single" w:color="auto" w:sz="4" w:space="0"/>
              <w:left w:val="single" w:color="auto" w:sz="4" w:space="0"/>
              <w:bottom w:val="single" w:color="auto" w:sz="4" w:space="0"/>
              <w:right w:val="single" w:color="auto" w:sz="4" w:space="0"/>
            </w:tcBorders>
            <w:vAlign w:val="center"/>
          </w:tcPr>
          <w:p w14:paraId="1288459D">
            <w:pPr>
              <w:pStyle w:val="91"/>
              <w:keepNext w:val="0"/>
              <w:keepLines w:val="0"/>
              <w:suppressLineNumbers w:val="0"/>
              <w:spacing w:before="0" w:beforeAutospacing="0" w:after="0" w:afterAutospacing="0"/>
              <w:ind w:left="0" w:right="0"/>
              <w:rPr>
                <w:rFonts w:hint="default"/>
                <w:color w:val="auto"/>
              </w:rPr>
            </w:pPr>
            <w:r>
              <w:rPr>
                <w:rFonts w:hint="default"/>
                <w:color w:val="auto"/>
              </w:rPr>
              <w:t>4.23</w:t>
            </w:r>
          </w:p>
        </w:tc>
        <w:tc>
          <w:tcPr>
            <w:tcW w:w="2136" w:type="dxa"/>
            <w:vMerge w:val="continue"/>
            <w:tcBorders>
              <w:left w:val="single" w:color="auto" w:sz="4" w:space="0"/>
              <w:bottom w:val="single" w:color="auto" w:sz="4" w:space="0"/>
              <w:right w:val="single" w:color="auto" w:sz="4" w:space="0"/>
            </w:tcBorders>
            <w:vAlign w:val="center"/>
          </w:tcPr>
          <w:p w14:paraId="10E35182">
            <w:pPr>
              <w:pStyle w:val="91"/>
              <w:keepNext w:val="0"/>
              <w:keepLines w:val="0"/>
              <w:suppressLineNumbers w:val="0"/>
              <w:spacing w:before="0" w:beforeAutospacing="0" w:after="0" w:afterAutospacing="0"/>
              <w:ind w:left="0" w:right="0"/>
              <w:rPr>
                <w:rFonts w:hint="default"/>
                <w:color w:val="auto"/>
              </w:rPr>
            </w:pPr>
          </w:p>
        </w:tc>
        <w:tc>
          <w:tcPr>
            <w:tcW w:w="851" w:type="dxa"/>
            <w:vMerge w:val="continue"/>
            <w:tcBorders>
              <w:left w:val="single" w:color="auto" w:sz="4" w:space="0"/>
              <w:right w:val="single" w:color="auto" w:sz="4" w:space="0"/>
            </w:tcBorders>
            <w:vAlign w:val="center"/>
          </w:tcPr>
          <w:p w14:paraId="7BBAA7EA">
            <w:pPr>
              <w:pStyle w:val="91"/>
              <w:keepNext w:val="0"/>
              <w:keepLines w:val="0"/>
              <w:suppressLineNumbers w:val="0"/>
              <w:spacing w:before="0" w:beforeAutospacing="0" w:after="0" w:afterAutospacing="0"/>
              <w:ind w:left="0" w:right="0"/>
              <w:rPr>
                <w:rFonts w:hint="default"/>
                <w:color w:val="auto"/>
              </w:rPr>
            </w:pPr>
          </w:p>
        </w:tc>
      </w:tr>
      <w:tr w14:paraId="106E1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right w:val="single" w:color="auto" w:sz="4" w:space="0"/>
            </w:tcBorders>
            <w:vAlign w:val="center"/>
          </w:tcPr>
          <w:p w14:paraId="266E1D75">
            <w:pPr>
              <w:pStyle w:val="91"/>
              <w:keepNext w:val="0"/>
              <w:keepLines w:val="0"/>
              <w:suppressLineNumbers w:val="0"/>
              <w:spacing w:before="0" w:beforeAutospacing="0" w:after="0" w:afterAutospacing="0"/>
              <w:ind w:left="0" w:right="0"/>
              <w:rPr>
                <w:rFonts w:hint="default"/>
                <w:color w:val="auto"/>
              </w:rPr>
            </w:pPr>
          </w:p>
        </w:tc>
        <w:tc>
          <w:tcPr>
            <w:tcW w:w="1276" w:type="dxa"/>
            <w:vMerge w:val="restart"/>
            <w:tcBorders>
              <w:top w:val="single" w:color="auto" w:sz="4" w:space="0"/>
              <w:left w:val="single" w:color="auto" w:sz="4" w:space="0"/>
              <w:right w:val="single" w:color="auto" w:sz="4" w:space="0"/>
            </w:tcBorders>
            <w:vAlign w:val="center"/>
          </w:tcPr>
          <w:p w14:paraId="696CD709">
            <w:pPr>
              <w:pStyle w:val="91"/>
              <w:keepNext w:val="0"/>
              <w:keepLines w:val="0"/>
              <w:suppressLineNumbers w:val="0"/>
              <w:spacing w:before="0" w:beforeAutospacing="0" w:after="0" w:afterAutospacing="0"/>
              <w:ind w:left="0" w:right="0"/>
              <w:rPr>
                <w:rFonts w:hint="default"/>
                <w:color w:val="auto"/>
              </w:rPr>
            </w:pPr>
            <w:r>
              <w:rPr>
                <w:rFonts w:hint="eastAsia"/>
                <w:color w:val="auto"/>
              </w:rPr>
              <w:t>船舶</w:t>
            </w:r>
            <w:r>
              <w:rPr>
                <w:rFonts w:hint="default"/>
                <w:color w:val="auto"/>
              </w:rPr>
              <w:t>废气</w:t>
            </w:r>
          </w:p>
        </w:tc>
        <w:tc>
          <w:tcPr>
            <w:tcW w:w="1390" w:type="dxa"/>
            <w:tcBorders>
              <w:top w:val="single" w:color="auto" w:sz="4" w:space="0"/>
              <w:left w:val="single" w:color="auto" w:sz="4" w:space="0"/>
              <w:bottom w:val="single" w:color="auto" w:sz="4" w:space="0"/>
              <w:right w:val="single" w:color="auto" w:sz="4" w:space="0"/>
            </w:tcBorders>
            <w:vAlign w:val="center"/>
          </w:tcPr>
          <w:p w14:paraId="0F8263B1">
            <w:pPr>
              <w:pStyle w:val="91"/>
              <w:keepNext w:val="0"/>
              <w:keepLines w:val="0"/>
              <w:suppressLineNumbers w:val="0"/>
              <w:spacing w:before="0" w:beforeAutospacing="0" w:after="0" w:afterAutospacing="0"/>
              <w:ind w:left="0" w:right="0"/>
              <w:rPr>
                <w:rFonts w:hint="default"/>
                <w:color w:val="auto"/>
              </w:rPr>
            </w:pPr>
            <w:r>
              <w:rPr>
                <w:rFonts w:hint="default"/>
                <w:color w:val="auto"/>
              </w:rPr>
              <w:t>SO</w:t>
            </w:r>
            <w:r>
              <w:rPr>
                <w:rFonts w:hint="default"/>
                <w:color w:val="auto"/>
                <w:vertAlign w:val="subscript"/>
              </w:rPr>
              <w:t>2</w:t>
            </w:r>
          </w:p>
        </w:tc>
        <w:tc>
          <w:tcPr>
            <w:tcW w:w="1587" w:type="dxa"/>
            <w:tcBorders>
              <w:top w:val="single" w:color="auto" w:sz="4" w:space="0"/>
              <w:left w:val="single" w:color="auto" w:sz="4" w:space="0"/>
              <w:bottom w:val="single" w:color="auto" w:sz="4" w:space="0"/>
              <w:right w:val="single" w:color="auto" w:sz="4" w:space="0"/>
            </w:tcBorders>
            <w:vAlign w:val="center"/>
          </w:tcPr>
          <w:p w14:paraId="1837349A">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124" w:type="dxa"/>
            <w:tcBorders>
              <w:top w:val="single" w:color="auto" w:sz="4" w:space="0"/>
              <w:left w:val="single" w:color="auto" w:sz="4" w:space="0"/>
              <w:bottom w:val="single" w:color="auto" w:sz="4" w:space="0"/>
              <w:right w:val="single" w:color="auto" w:sz="4" w:space="0"/>
            </w:tcBorders>
            <w:vAlign w:val="center"/>
          </w:tcPr>
          <w:p w14:paraId="18E9AD5F">
            <w:pPr>
              <w:pStyle w:val="91"/>
              <w:keepNext w:val="0"/>
              <w:keepLines w:val="0"/>
              <w:suppressLineNumbers w:val="0"/>
              <w:spacing w:before="0" w:beforeAutospacing="0" w:after="0" w:afterAutospacing="0"/>
              <w:ind w:left="0" w:right="0"/>
              <w:rPr>
                <w:rFonts w:hint="default"/>
                <w:color w:val="auto"/>
              </w:rPr>
            </w:pPr>
            <w:r>
              <w:rPr>
                <w:rFonts w:hint="eastAsia" w:eastAsia="等线"/>
                <w:color w:val="auto"/>
              </w:rPr>
              <w:t>0.428</w:t>
            </w:r>
          </w:p>
        </w:tc>
        <w:tc>
          <w:tcPr>
            <w:tcW w:w="2136" w:type="dxa"/>
            <w:vMerge w:val="restart"/>
            <w:tcBorders>
              <w:top w:val="single" w:color="auto" w:sz="4" w:space="0"/>
              <w:left w:val="single" w:color="auto" w:sz="4" w:space="0"/>
              <w:right w:val="single" w:color="auto" w:sz="4" w:space="0"/>
            </w:tcBorders>
            <w:vAlign w:val="center"/>
          </w:tcPr>
          <w:p w14:paraId="57ACDC8B">
            <w:pPr>
              <w:pStyle w:val="91"/>
              <w:keepNext w:val="0"/>
              <w:keepLines w:val="0"/>
              <w:suppressLineNumbers w:val="0"/>
              <w:spacing w:before="0" w:beforeAutospacing="0" w:after="0" w:afterAutospacing="0"/>
              <w:ind w:left="0" w:right="0"/>
              <w:rPr>
                <w:rFonts w:hint="default"/>
                <w:color w:val="auto"/>
              </w:rPr>
            </w:pPr>
            <w:r>
              <w:rPr>
                <w:rFonts w:hint="eastAsia"/>
                <w:color w:val="auto"/>
              </w:rPr>
              <w:t>《船舶发动机排气污染物排放限值及测量方法（中国第一、第二阶段）》（GB15097－2016）第二阶段标准</w:t>
            </w:r>
          </w:p>
        </w:tc>
        <w:tc>
          <w:tcPr>
            <w:tcW w:w="851" w:type="dxa"/>
            <w:vMerge w:val="continue"/>
            <w:tcBorders>
              <w:left w:val="single" w:color="auto" w:sz="4" w:space="0"/>
              <w:right w:val="single" w:color="auto" w:sz="4" w:space="0"/>
            </w:tcBorders>
            <w:vAlign w:val="center"/>
          </w:tcPr>
          <w:p w14:paraId="1D95A1D5">
            <w:pPr>
              <w:pStyle w:val="91"/>
              <w:keepNext w:val="0"/>
              <w:keepLines w:val="0"/>
              <w:suppressLineNumbers w:val="0"/>
              <w:spacing w:before="0" w:beforeAutospacing="0" w:after="0" w:afterAutospacing="0"/>
              <w:ind w:left="0" w:right="0"/>
              <w:rPr>
                <w:rFonts w:hint="default"/>
                <w:color w:val="auto"/>
              </w:rPr>
            </w:pPr>
          </w:p>
        </w:tc>
      </w:tr>
      <w:tr w14:paraId="7DDBA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bottom w:val="single" w:color="auto" w:sz="4" w:space="0"/>
              <w:right w:val="single" w:color="auto" w:sz="4" w:space="0"/>
            </w:tcBorders>
            <w:vAlign w:val="center"/>
          </w:tcPr>
          <w:p w14:paraId="6AE79576">
            <w:pPr>
              <w:pStyle w:val="91"/>
              <w:keepNext w:val="0"/>
              <w:keepLines w:val="0"/>
              <w:suppressLineNumbers w:val="0"/>
              <w:spacing w:before="0" w:beforeAutospacing="0" w:after="0" w:afterAutospacing="0"/>
              <w:ind w:left="0" w:right="0"/>
              <w:rPr>
                <w:rFonts w:hint="default"/>
                <w:color w:val="auto"/>
              </w:rPr>
            </w:pPr>
          </w:p>
        </w:tc>
        <w:tc>
          <w:tcPr>
            <w:tcW w:w="1276" w:type="dxa"/>
            <w:vMerge w:val="continue"/>
            <w:tcBorders>
              <w:left w:val="single" w:color="auto" w:sz="4" w:space="0"/>
              <w:bottom w:val="single" w:color="auto" w:sz="4" w:space="0"/>
              <w:right w:val="single" w:color="auto" w:sz="4" w:space="0"/>
            </w:tcBorders>
            <w:vAlign w:val="center"/>
          </w:tcPr>
          <w:p w14:paraId="515DC38E">
            <w:pPr>
              <w:pStyle w:val="91"/>
              <w:keepNext w:val="0"/>
              <w:keepLines w:val="0"/>
              <w:suppressLineNumbers w:val="0"/>
              <w:spacing w:before="0" w:beforeAutospacing="0" w:after="0" w:afterAutospacing="0"/>
              <w:ind w:left="0" w:right="0"/>
              <w:rPr>
                <w:rFonts w:hint="default"/>
                <w:color w:val="auto"/>
              </w:rPr>
            </w:pPr>
          </w:p>
        </w:tc>
        <w:tc>
          <w:tcPr>
            <w:tcW w:w="1390" w:type="dxa"/>
            <w:tcBorders>
              <w:top w:val="single" w:color="auto" w:sz="4" w:space="0"/>
              <w:left w:val="single" w:color="auto" w:sz="4" w:space="0"/>
              <w:bottom w:val="single" w:color="auto" w:sz="4" w:space="0"/>
              <w:right w:val="single" w:color="auto" w:sz="4" w:space="0"/>
            </w:tcBorders>
            <w:vAlign w:val="center"/>
          </w:tcPr>
          <w:p w14:paraId="152409D0">
            <w:pPr>
              <w:pStyle w:val="91"/>
              <w:keepNext w:val="0"/>
              <w:keepLines w:val="0"/>
              <w:suppressLineNumbers w:val="0"/>
              <w:spacing w:before="0" w:beforeAutospacing="0" w:after="0" w:afterAutospacing="0"/>
              <w:ind w:left="0" w:right="0"/>
              <w:rPr>
                <w:rFonts w:hint="default"/>
                <w:color w:val="auto"/>
              </w:rPr>
            </w:pPr>
            <w:r>
              <w:rPr>
                <w:rFonts w:hint="default"/>
                <w:color w:val="auto"/>
              </w:rPr>
              <w:t>NO</w:t>
            </w:r>
            <w:r>
              <w:rPr>
                <w:rFonts w:hint="default"/>
                <w:color w:val="auto"/>
                <w:vertAlign w:val="subscript"/>
              </w:rPr>
              <w:t>X</w:t>
            </w:r>
          </w:p>
        </w:tc>
        <w:tc>
          <w:tcPr>
            <w:tcW w:w="1587" w:type="dxa"/>
            <w:tcBorders>
              <w:top w:val="single" w:color="auto" w:sz="4" w:space="0"/>
              <w:left w:val="single" w:color="auto" w:sz="4" w:space="0"/>
              <w:bottom w:val="single" w:color="auto" w:sz="4" w:space="0"/>
              <w:right w:val="single" w:color="auto" w:sz="4" w:space="0"/>
            </w:tcBorders>
            <w:vAlign w:val="center"/>
          </w:tcPr>
          <w:p w14:paraId="22992145">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124" w:type="dxa"/>
            <w:tcBorders>
              <w:top w:val="single" w:color="auto" w:sz="4" w:space="0"/>
              <w:left w:val="single" w:color="auto" w:sz="4" w:space="0"/>
              <w:bottom w:val="single" w:color="auto" w:sz="4" w:space="0"/>
              <w:right w:val="single" w:color="auto" w:sz="4" w:space="0"/>
            </w:tcBorders>
            <w:vAlign w:val="center"/>
          </w:tcPr>
          <w:p w14:paraId="679E0A16">
            <w:pPr>
              <w:pStyle w:val="91"/>
              <w:keepNext w:val="0"/>
              <w:keepLines w:val="0"/>
              <w:suppressLineNumbers w:val="0"/>
              <w:spacing w:before="0" w:beforeAutospacing="0" w:after="0" w:afterAutospacing="0"/>
              <w:ind w:left="0" w:right="0"/>
              <w:rPr>
                <w:rFonts w:hint="default"/>
                <w:color w:val="auto"/>
              </w:rPr>
            </w:pPr>
            <w:r>
              <w:rPr>
                <w:rFonts w:hint="eastAsia" w:eastAsia="等线"/>
                <w:color w:val="auto"/>
              </w:rPr>
              <w:t>1.41</w:t>
            </w:r>
          </w:p>
        </w:tc>
        <w:tc>
          <w:tcPr>
            <w:tcW w:w="2136" w:type="dxa"/>
            <w:vMerge w:val="continue"/>
            <w:tcBorders>
              <w:left w:val="single" w:color="auto" w:sz="4" w:space="0"/>
              <w:bottom w:val="single" w:color="auto" w:sz="4" w:space="0"/>
              <w:right w:val="single" w:color="auto" w:sz="4" w:space="0"/>
            </w:tcBorders>
            <w:vAlign w:val="center"/>
          </w:tcPr>
          <w:p w14:paraId="34F5ECC6">
            <w:pPr>
              <w:pStyle w:val="91"/>
              <w:keepNext w:val="0"/>
              <w:keepLines w:val="0"/>
              <w:suppressLineNumbers w:val="0"/>
              <w:spacing w:before="0" w:beforeAutospacing="0" w:after="0" w:afterAutospacing="0"/>
              <w:ind w:left="0" w:right="0"/>
              <w:rPr>
                <w:rFonts w:hint="default"/>
                <w:color w:val="auto"/>
              </w:rPr>
            </w:pPr>
          </w:p>
        </w:tc>
        <w:tc>
          <w:tcPr>
            <w:tcW w:w="851" w:type="dxa"/>
            <w:vMerge w:val="continue"/>
            <w:tcBorders>
              <w:left w:val="single" w:color="auto" w:sz="4" w:space="0"/>
              <w:bottom w:val="single" w:color="auto" w:sz="4" w:space="0"/>
              <w:right w:val="single" w:color="auto" w:sz="4" w:space="0"/>
            </w:tcBorders>
            <w:vAlign w:val="center"/>
          </w:tcPr>
          <w:p w14:paraId="5989284B">
            <w:pPr>
              <w:pStyle w:val="91"/>
              <w:keepNext w:val="0"/>
              <w:keepLines w:val="0"/>
              <w:suppressLineNumbers w:val="0"/>
              <w:spacing w:before="0" w:beforeAutospacing="0" w:after="0" w:afterAutospacing="0"/>
              <w:ind w:left="0" w:right="0"/>
              <w:rPr>
                <w:rFonts w:hint="default"/>
                <w:color w:val="auto"/>
              </w:rPr>
            </w:pPr>
          </w:p>
        </w:tc>
      </w:tr>
      <w:tr w14:paraId="0CF6D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restart"/>
            <w:tcBorders>
              <w:top w:val="single" w:color="auto" w:sz="4" w:space="0"/>
              <w:left w:val="single" w:color="auto" w:sz="4" w:space="0"/>
              <w:right w:val="single" w:color="auto" w:sz="4" w:space="0"/>
            </w:tcBorders>
            <w:vAlign w:val="center"/>
          </w:tcPr>
          <w:p w14:paraId="6D9DFEB9">
            <w:pPr>
              <w:pStyle w:val="91"/>
              <w:keepNext w:val="0"/>
              <w:keepLines w:val="0"/>
              <w:suppressLineNumbers w:val="0"/>
              <w:spacing w:before="0" w:beforeAutospacing="0" w:after="0" w:afterAutospacing="0"/>
              <w:ind w:left="0" w:right="0"/>
              <w:rPr>
                <w:rFonts w:hint="default"/>
                <w:color w:val="auto"/>
              </w:rPr>
            </w:pPr>
            <w:r>
              <w:rPr>
                <w:rFonts w:hint="eastAsia"/>
                <w:color w:val="auto"/>
              </w:rPr>
              <w:t>废水</w:t>
            </w:r>
          </w:p>
        </w:tc>
        <w:tc>
          <w:tcPr>
            <w:tcW w:w="1276" w:type="dxa"/>
            <w:vMerge w:val="restart"/>
            <w:tcBorders>
              <w:top w:val="single" w:color="auto" w:sz="4" w:space="0"/>
              <w:left w:val="single" w:color="auto" w:sz="4" w:space="0"/>
              <w:right w:val="single" w:color="auto" w:sz="4" w:space="0"/>
            </w:tcBorders>
            <w:vAlign w:val="center"/>
          </w:tcPr>
          <w:p w14:paraId="6141E795">
            <w:pPr>
              <w:pStyle w:val="91"/>
              <w:keepNext w:val="0"/>
              <w:keepLines w:val="0"/>
              <w:suppressLineNumbers w:val="0"/>
              <w:spacing w:before="0" w:beforeAutospacing="0" w:after="0" w:afterAutospacing="0"/>
              <w:ind w:left="0" w:right="0"/>
              <w:rPr>
                <w:rFonts w:hint="default"/>
                <w:color w:val="auto"/>
              </w:rPr>
            </w:pPr>
            <w:r>
              <w:rPr>
                <w:rFonts w:hint="eastAsia"/>
                <w:color w:val="auto"/>
              </w:rPr>
              <w:t>船舱油污水</w:t>
            </w:r>
          </w:p>
        </w:tc>
        <w:tc>
          <w:tcPr>
            <w:tcW w:w="1390" w:type="dxa"/>
            <w:tcBorders>
              <w:top w:val="single" w:color="auto" w:sz="4" w:space="0"/>
              <w:left w:val="single" w:color="auto" w:sz="4" w:space="0"/>
              <w:bottom w:val="single" w:color="auto" w:sz="4" w:space="0"/>
              <w:right w:val="single" w:color="auto" w:sz="4" w:space="0"/>
            </w:tcBorders>
            <w:vAlign w:val="center"/>
          </w:tcPr>
          <w:p w14:paraId="385E1A05">
            <w:pPr>
              <w:pStyle w:val="91"/>
              <w:keepNext w:val="0"/>
              <w:keepLines w:val="0"/>
              <w:suppressLineNumbers w:val="0"/>
              <w:spacing w:before="0" w:beforeAutospacing="0" w:after="0" w:afterAutospacing="0"/>
              <w:ind w:left="0" w:right="0"/>
              <w:rPr>
                <w:rFonts w:hint="default"/>
                <w:color w:val="auto"/>
              </w:rPr>
            </w:pPr>
            <w:r>
              <w:rPr>
                <w:rFonts w:hint="default"/>
                <w:color w:val="auto"/>
              </w:rPr>
              <w:t>废水量</w:t>
            </w:r>
          </w:p>
        </w:tc>
        <w:tc>
          <w:tcPr>
            <w:tcW w:w="1587" w:type="dxa"/>
            <w:vMerge w:val="restart"/>
            <w:tcBorders>
              <w:top w:val="single" w:color="auto" w:sz="4" w:space="0"/>
              <w:left w:val="single" w:color="auto" w:sz="4" w:space="0"/>
              <w:right w:val="single" w:color="auto" w:sz="4" w:space="0"/>
            </w:tcBorders>
            <w:vAlign w:val="center"/>
          </w:tcPr>
          <w:p w14:paraId="0D18F1F5">
            <w:pPr>
              <w:pStyle w:val="91"/>
              <w:keepNext w:val="0"/>
              <w:keepLines w:val="0"/>
              <w:suppressLineNumbers w:val="0"/>
              <w:spacing w:before="0" w:beforeAutospacing="0" w:after="0" w:afterAutospacing="0"/>
              <w:ind w:left="0" w:right="0"/>
              <w:rPr>
                <w:rFonts w:hint="default"/>
                <w:color w:val="auto"/>
              </w:rPr>
            </w:pPr>
            <w:r>
              <w:rPr>
                <w:rFonts w:hint="eastAsia"/>
                <w:color w:val="auto"/>
              </w:rPr>
              <w:t>委托有资质单位接收处置</w:t>
            </w:r>
          </w:p>
        </w:tc>
        <w:tc>
          <w:tcPr>
            <w:tcW w:w="1124" w:type="dxa"/>
            <w:tcBorders>
              <w:top w:val="single" w:color="auto" w:sz="4" w:space="0"/>
              <w:left w:val="single" w:color="auto" w:sz="4" w:space="0"/>
              <w:bottom w:val="single" w:color="auto" w:sz="4" w:space="0"/>
              <w:right w:val="single" w:color="auto" w:sz="4" w:space="0"/>
            </w:tcBorders>
            <w:vAlign w:val="center"/>
          </w:tcPr>
          <w:p w14:paraId="11070A11">
            <w:pPr>
              <w:pStyle w:val="91"/>
              <w:keepNext w:val="0"/>
              <w:keepLines w:val="0"/>
              <w:suppressLineNumbers w:val="0"/>
              <w:spacing w:before="0" w:beforeAutospacing="0" w:after="0" w:afterAutospacing="0"/>
              <w:ind w:left="0" w:right="0"/>
              <w:rPr>
                <w:rFonts w:hint="default"/>
                <w:color w:val="auto"/>
              </w:rPr>
            </w:pPr>
            <w:r>
              <w:rPr>
                <w:rFonts w:hint="default"/>
                <w:color w:val="auto"/>
              </w:rPr>
              <w:t>214.28</w:t>
            </w:r>
            <w:r>
              <w:rPr>
                <w:rFonts w:hint="eastAsia"/>
                <w:color w:val="auto"/>
              </w:rPr>
              <w:t>m</w:t>
            </w:r>
            <w:r>
              <w:rPr>
                <w:rFonts w:hint="eastAsia"/>
                <w:color w:val="auto"/>
                <w:vertAlign w:val="superscript"/>
              </w:rPr>
              <w:t>3</w:t>
            </w:r>
            <w:r>
              <w:rPr>
                <w:rFonts w:hint="eastAsia"/>
                <w:color w:val="auto"/>
              </w:rPr>
              <w:t>/a</w:t>
            </w:r>
          </w:p>
        </w:tc>
        <w:tc>
          <w:tcPr>
            <w:tcW w:w="2136" w:type="dxa"/>
            <w:vMerge w:val="restart"/>
            <w:tcBorders>
              <w:top w:val="single" w:color="auto" w:sz="4" w:space="0"/>
              <w:left w:val="single" w:color="auto" w:sz="4" w:space="0"/>
              <w:right w:val="single" w:color="auto" w:sz="4" w:space="0"/>
            </w:tcBorders>
            <w:vAlign w:val="center"/>
          </w:tcPr>
          <w:p w14:paraId="5619DB48">
            <w:pPr>
              <w:pStyle w:val="91"/>
              <w:keepNext w:val="0"/>
              <w:keepLines w:val="0"/>
              <w:suppressLineNumbers w:val="0"/>
              <w:spacing w:before="0" w:beforeAutospacing="0" w:after="0" w:afterAutospacing="0"/>
              <w:ind w:left="0" w:right="0"/>
              <w:rPr>
                <w:rFonts w:hint="default"/>
                <w:color w:val="auto"/>
              </w:rPr>
            </w:pPr>
            <w:r>
              <w:rPr>
                <w:rFonts w:hint="eastAsia"/>
                <w:color w:val="auto"/>
              </w:rPr>
              <w:t>《船舶水污染物排放控制标准》（GB3552-2018）</w:t>
            </w:r>
            <w:r>
              <w:rPr>
                <w:rFonts w:hint="default"/>
                <w:color w:val="auto"/>
              </w:rPr>
              <w:t>，不得</w:t>
            </w:r>
            <w:r>
              <w:rPr>
                <w:rFonts w:hint="eastAsia"/>
                <w:color w:val="auto"/>
              </w:rPr>
              <w:t>直接</w:t>
            </w:r>
            <w:r>
              <w:rPr>
                <w:rFonts w:hint="default"/>
                <w:color w:val="auto"/>
              </w:rPr>
              <w:t>排入海域</w:t>
            </w:r>
          </w:p>
        </w:tc>
        <w:tc>
          <w:tcPr>
            <w:tcW w:w="851" w:type="dxa"/>
            <w:vMerge w:val="restart"/>
            <w:tcBorders>
              <w:top w:val="single" w:color="auto" w:sz="4" w:space="0"/>
              <w:left w:val="single" w:color="auto" w:sz="4" w:space="0"/>
              <w:right w:val="single" w:color="auto" w:sz="4" w:space="0"/>
            </w:tcBorders>
            <w:vAlign w:val="center"/>
          </w:tcPr>
          <w:p w14:paraId="38FE4055">
            <w:pPr>
              <w:pStyle w:val="91"/>
              <w:keepNext w:val="0"/>
              <w:keepLines w:val="0"/>
              <w:suppressLineNumbers w:val="0"/>
              <w:spacing w:before="0" w:beforeAutospacing="0" w:after="0" w:afterAutospacing="0"/>
              <w:ind w:left="0" w:right="0"/>
              <w:rPr>
                <w:rFonts w:hint="default"/>
                <w:color w:val="auto"/>
              </w:rPr>
            </w:pPr>
            <w:r>
              <w:rPr>
                <w:rFonts w:hint="eastAsia"/>
                <w:color w:val="auto"/>
              </w:rPr>
              <w:t>不排放</w:t>
            </w:r>
          </w:p>
        </w:tc>
      </w:tr>
      <w:tr w14:paraId="275A5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right w:val="single" w:color="auto" w:sz="4" w:space="0"/>
            </w:tcBorders>
            <w:vAlign w:val="center"/>
          </w:tcPr>
          <w:p w14:paraId="75477AA0">
            <w:pPr>
              <w:pStyle w:val="91"/>
              <w:keepNext w:val="0"/>
              <w:keepLines w:val="0"/>
              <w:suppressLineNumbers w:val="0"/>
              <w:spacing w:before="0" w:beforeAutospacing="0" w:after="0" w:afterAutospacing="0"/>
              <w:ind w:left="0" w:right="0"/>
              <w:rPr>
                <w:rFonts w:hint="default"/>
                <w:color w:val="auto"/>
              </w:rPr>
            </w:pPr>
          </w:p>
        </w:tc>
        <w:tc>
          <w:tcPr>
            <w:tcW w:w="1276" w:type="dxa"/>
            <w:vMerge w:val="continue"/>
            <w:tcBorders>
              <w:left w:val="single" w:color="auto" w:sz="4" w:space="0"/>
              <w:bottom w:val="single" w:color="auto" w:sz="4" w:space="0"/>
              <w:right w:val="single" w:color="auto" w:sz="4" w:space="0"/>
            </w:tcBorders>
            <w:vAlign w:val="center"/>
          </w:tcPr>
          <w:p w14:paraId="523836AC">
            <w:pPr>
              <w:pStyle w:val="91"/>
              <w:keepNext w:val="0"/>
              <w:keepLines w:val="0"/>
              <w:suppressLineNumbers w:val="0"/>
              <w:spacing w:before="0" w:beforeAutospacing="0" w:after="0" w:afterAutospacing="0"/>
              <w:ind w:left="0" w:right="0"/>
              <w:rPr>
                <w:rFonts w:hint="default"/>
                <w:color w:val="auto"/>
              </w:rPr>
            </w:pPr>
          </w:p>
        </w:tc>
        <w:tc>
          <w:tcPr>
            <w:tcW w:w="1390" w:type="dxa"/>
            <w:tcBorders>
              <w:top w:val="single" w:color="auto" w:sz="4" w:space="0"/>
              <w:left w:val="single" w:color="auto" w:sz="4" w:space="0"/>
              <w:bottom w:val="single" w:color="auto" w:sz="4" w:space="0"/>
              <w:right w:val="single" w:color="auto" w:sz="4" w:space="0"/>
            </w:tcBorders>
            <w:vAlign w:val="center"/>
          </w:tcPr>
          <w:p w14:paraId="519649B6">
            <w:pPr>
              <w:pStyle w:val="91"/>
              <w:keepNext w:val="0"/>
              <w:keepLines w:val="0"/>
              <w:suppressLineNumbers w:val="0"/>
              <w:spacing w:before="0" w:beforeAutospacing="0" w:after="0" w:afterAutospacing="0"/>
              <w:ind w:left="0" w:right="0"/>
              <w:rPr>
                <w:rFonts w:hint="default"/>
                <w:color w:val="auto"/>
              </w:rPr>
            </w:pPr>
            <w:r>
              <w:rPr>
                <w:rFonts w:hint="default"/>
                <w:color w:val="auto"/>
              </w:rPr>
              <w:t>石油类</w:t>
            </w:r>
          </w:p>
        </w:tc>
        <w:tc>
          <w:tcPr>
            <w:tcW w:w="1587" w:type="dxa"/>
            <w:vMerge w:val="continue"/>
            <w:tcBorders>
              <w:left w:val="single" w:color="auto" w:sz="4" w:space="0"/>
              <w:right w:val="single" w:color="auto" w:sz="4" w:space="0"/>
            </w:tcBorders>
            <w:vAlign w:val="center"/>
          </w:tcPr>
          <w:p w14:paraId="0D96B42C">
            <w:pPr>
              <w:pStyle w:val="91"/>
              <w:keepNext w:val="0"/>
              <w:keepLines w:val="0"/>
              <w:suppressLineNumbers w:val="0"/>
              <w:spacing w:before="0" w:beforeAutospacing="0" w:after="0" w:afterAutospacing="0"/>
              <w:ind w:left="0" w:right="0"/>
              <w:rPr>
                <w:rFonts w:hint="default"/>
                <w:color w:val="auto"/>
              </w:rPr>
            </w:pPr>
          </w:p>
        </w:tc>
        <w:tc>
          <w:tcPr>
            <w:tcW w:w="1124" w:type="dxa"/>
            <w:tcBorders>
              <w:top w:val="single" w:color="auto" w:sz="4" w:space="0"/>
              <w:left w:val="single" w:color="auto" w:sz="4" w:space="0"/>
              <w:bottom w:val="single" w:color="auto" w:sz="4" w:space="0"/>
              <w:right w:val="single" w:color="auto" w:sz="4" w:space="0"/>
            </w:tcBorders>
            <w:vAlign w:val="center"/>
          </w:tcPr>
          <w:p w14:paraId="698AA26C">
            <w:pPr>
              <w:pStyle w:val="91"/>
              <w:keepNext w:val="0"/>
              <w:keepLines w:val="0"/>
              <w:suppressLineNumbers w:val="0"/>
              <w:spacing w:before="0" w:beforeAutospacing="0" w:after="0" w:afterAutospacing="0"/>
              <w:ind w:left="0" w:right="0"/>
              <w:rPr>
                <w:rFonts w:hint="default"/>
                <w:color w:val="auto"/>
              </w:rPr>
            </w:pPr>
            <w:r>
              <w:rPr>
                <w:rFonts w:hint="default"/>
                <w:color w:val="auto"/>
              </w:rPr>
              <w:t>2.14</w:t>
            </w:r>
          </w:p>
        </w:tc>
        <w:tc>
          <w:tcPr>
            <w:tcW w:w="2136" w:type="dxa"/>
            <w:vMerge w:val="continue"/>
            <w:tcBorders>
              <w:left w:val="single" w:color="auto" w:sz="4" w:space="0"/>
              <w:right w:val="single" w:color="auto" w:sz="4" w:space="0"/>
            </w:tcBorders>
            <w:vAlign w:val="center"/>
          </w:tcPr>
          <w:p w14:paraId="0685EA0C">
            <w:pPr>
              <w:pStyle w:val="91"/>
              <w:keepNext w:val="0"/>
              <w:keepLines w:val="0"/>
              <w:suppressLineNumbers w:val="0"/>
              <w:spacing w:before="0" w:beforeAutospacing="0" w:after="0" w:afterAutospacing="0"/>
              <w:ind w:left="0" w:right="0"/>
              <w:rPr>
                <w:rFonts w:hint="default"/>
                <w:color w:val="auto"/>
              </w:rPr>
            </w:pPr>
          </w:p>
        </w:tc>
        <w:tc>
          <w:tcPr>
            <w:tcW w:w="851" w:type="dxa"/>
            <w:vMerge w:val="continue"/>
            <w:tcBorders>
              <w:left w:val="single" w:color="auto" w:sz="4" w:space="0"/>
              <w:right w:val="single" w:color="auto" w:sz="4" w:space="0"/>
            </w:tcBorders>
            <w:vAlign w:val="center"/>
          </w:tcPr>
          <w:p w14:paraId="5A70758C">
            <w:pPr>
              <w:pStyle w:val="91"/>
              <w:keepNext w:val="0"/>
              <w:keepLines w:val="0"/>
              <w:suppressLineNumbers w:val="0"/>
              <w:spacing w:before="0" w:beforeAutospacing="0" w:after="0" w:afterAutospacing="0"/>
              <w:ind w:left="0" w:right="0"/>
              <w:rPr>
                <w:rFonts w:hint="default"/>
                <w:color w:val="auto"/>
              </w:rPr>
            </w:pPr>
          </w:p>
        </w:tc>
      </w:tr>
      <w:tr w14:paraId="29357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right w:val="single" w:color="auto" w:sz="4" w:space="0"/>
            </w:tcBorders>
            <w:vAlign w:val="center"/>
          </w:tcPr>
          <w:p w14:paraId="4F93A5D4">
            <w:pPr>
              <w:pStyle w:val="91"/>
              <w:keepNext w:val="0"/>
              <w:keepLines w:val="0"/>
              <w:suppressLineNumbers w:val="0"/>
              <w:spacing w:before="0" w:beforeAutospacing="0" w:after="0" w:afterAutospacing="0"/>
              <w:ind w:left="0" w:right="0"/>
              <w:rPr>
                <w:rFonts w:hint="default"/>
                <w:color w:val="auto"/>
              </w:rPr>
            </w:pPr>
          </w:p>
        </w:tc>
        <w:tc>
          <w:tcPr>
            <w:tcW w:w="1276" w:type="dxa"/>
            <w:vMerge w:val="restart"/>
            <w:tcBorders>
              <w:top w:val="single" w:color="auto" w:sz="4" w:space="0"/>
              <w:left w:val="single" w:color="auto" w:sz="4" w:space="0"/>
              <w:right w:val="single" w:color="auto" w:sz="4" w:space="0"/>
            </w:tcBorders>
            <w:vAlign w:val="center"/>
          </w:tcPr>
          <w:p w14:paraId="6E4D9386">
            <w:pPr>
              <w:pStyle w:val="91"/>
              <w:keepNext w:val="0"/>
              <w:keepLines w:val="0"/>
              <w:suppressLineNumbers w:val="0"/>
              <w:spacing w:before="0" w:beforeAutospacing="0" w:after="0" w:afterAutospacing="0"/>
              <w:ind w:left="0" w:right="0"/>
              <w:rPr>
                <w:rFonts w:hint="default"/>
                <w:color w:val="auto"/>
              </w:rPr>
            </w:pPr>
            <w:r>
              <w:rPr>
                <w:rFonts w:hint="default"/>
                <w:color w:val="auto"/>
              </w:rPr>
              <w:t>船舶生活污水</w:t>
            </w:r>
          </w:p>
        </w:tc>
        <w:tc>
          <w:tcPr>
            <w:tcW w:w="1390" w:type="dxa"/>
            <w:tcBorders>
              <w:top w:val="single" w:color="auto" w:sz="4" w:space="0"/>
              <w:left w:val="single" w:color="auto" w:sz="4" w:space="0"/>
              <w:bottom w:val="single" w:color="auto" w:sz="4" w:space="0"/>
              <w:right w:val="single" w:color="auto" w:sz="4" w:space="0"/>
            </w:tcBorders>
            <w:vAlign w:val="center"/>
          </w:tcPr>
          <w:p w14:paraId="31216FE5">
            <w:pPr>
              <w:pStyle w:val="91"/>
              <w:keepNext w:val="0"/>
              <w:keepLines w:val="0"/>
              <w:suppressLineNumbers w:val="0"/>
              <w:spacing w:before="0" w:beforeAutospacing="0" w:after="0" w:afterAutospacing="0"/>
              <w:ind w:left="0" w:right="0"/>
              <w:rPr>
                <w:rFonts w:hint="default"/>
                <w:color w:val="auto"/>
              </w:rPr>
            </w:pPr>
            <w:r>
              <w:rPr>
                <w:rFonts w:hint="default"/>
                <w:color w:val="auto"/>
              </w:rPr>
              <w:t>废水量</w:t>
            </w:r>
          </w:p>
        </w:tc>
        <w:tc>
          <w:tcPr>
            <w:tcW w:w="1587" w:type="dxa"/>
            <w:vMerge w:val="continue"/>
            <w:tcBorders>
              <w:left w:val="single" w:color="auto" w:sz="4" w:space="0"/>
              <w:right w:val="single" w:color="auto" w:sz="4" w:space="0"/>
            </w:tcBorders>
            <w:vAlign w:val="center"/>
          </w:tcPr>
          <w:p w14:paraId="6ACE738A">
            <w:pPr>
              <w:pStyle w:val="91"/>
              <w:keepNext w:val="0"/>
              <w:keepLines w:val="0"/>
              <w:suppressLineNumbers w:val="0"/>
              <w:spacing w:before="0" w:beforeAutospacing="0" w:after="0" w:afterAutospacing="0"/>
              <w:ind w:left="0" w:right="0"/>
              <w:rPr>
                <w:rFonts w:hint="default"/>
                <w:color w:val="auto"/>
              </w:rPr>
            </w:pPr>
          </w:p>
        </w:tc>
        <w:tc>
          <w:tcPr>
            <w:tcW w:w="1124" w:type="dxa"/>
            <w:tcBorders>
              <w:top w:val="single" w:color="auto" w:sz="4" w:space="0"/>
              <w:left w:val="single" w:color="auto" w:sz="4" w:space="0"/>
              <w:bottom w:val="single" w:color="auto" w:sz="4" w:space="0"/>
              <w:right w:val="single" w:color="auto" w:sz="4" w:space="0"/>
            </w:tcBorders>
            <w:vAlign w:val="center"/>
          </w:tcPr>
          <w:p w14:paraId="0D335CB0">
            <w:pPr>
              <w:pStyle w:val="91"/>
              <w:keepNext w:val="0"/>
              <w:keepLines w:val="0"/>
              <w:suppressLineNumbers w:val="0"/>
              <w:spacing w:before="0" w:beforeAutospacing="0" w:after="0" w:afterAutospacing="0"/>
              <w:ind w:left="0" w:right="0"/>
              <w:rPr>
                <w:rFonts w:hint="default"/>
                <w:color w:val="auto"/>
              </w:rPr>
            </w:pPr>
            <w:r>
              <w:rPr>
                <w:rFonts w:hint="default"/>
                <w:color w:val="auto"/>
              </w:rPr>
              <w:t>168</w:t>
            </w:r>
            <w:r>
              <w:rPr>
                <w:rFonts w:hint="eastAsia"/>
                <w:color w:val="auto"/>
              </w:rPr>
              <w:t>m</w:t>
            </w:r>
            <w:r>
              <w:rPr>
                <w:rFonts w:hint="eastAsia"/>
                <w:color w:val="auto"/>
                <w:vertAlign w:val="superscript"/>
              </w:rPr>
              <w:t>3</w:t>
            </w:r>
            <w:r>
              <w:rPr>
                <w:rFonts w:hint="eastAsia"/>
                <w:color w:val="auto"/>
              </w:rPr>
              <w:t>/a</w:t>
            </w:r>
          </w:p>
        </w:tc>
        <w:tc>
          <w:tcPr>
            <w:tcW w:w="2136" w:type="dxa"/>
            <w:vMerge w:val="continue"/>
            <w:tcBorders>
              <w:left w:val="single" w:color="auto" w:sz="4" w:space="0"/>
              <w:right w:val="single" w:color="auto" w:sz="4" w:space="0"/>
            </w:tcBorders>
            <w:vAlign w:val="center"/>
          </w:tcPr>
          <w:p w14:paraId="0677809E">
            <w:pPr>
              <w:pStyle w:val="91"/>
              <w:keepNext w:val="0"/>
              <w:keepLines w:val="0"/>
              <w:suppressLineNumbers w:val="0"/>
              <w:spacing w:before="0" w:beforeAutospacing="0" w:after="0" w:afterAutospacing="0"/>
              <w:ind w:left="0" w:right="0"/>
              <w:rPr>
                <w:rFonts w:hint="default"/>
                <w:color w:val="auto"/>
              </w:rPr>
            </w:pPr>
          </w:p>
        </w:tc>
        <w:tc>
          <w:tcPr>
            <w:tcW w:w="851" w:type="dxa"/>
            <w:vMerge w:val="continue"/>
            <w:tcBorders>
              <w:left w:val="single" w:color="auto" w:sz="4" w:space="0"/>
              <w:right w:val="single" w:color="auto" w:sz="4" w:space="0"/>
            </w:tcBorders>
            <w:vAlign w:val="center"/>
          </w:tcPr>
          <w:p w14:paraId="318DD51D">
            <w:pPr>
              <w:pStyle w:val="91"/>
              <w:keepNext w:val="0"/>
              <w:keepLines w:val="0"/>
              <w:suppressLineNumbers w:val="0"/>
              <w:spacing w:before="0" w:beforeAutospacing="0" w:after="0" w:afterAutospacing="0"/>
              <w:ind w:left="0" w:right="0"/>
              <w:rPr>
                <w:rFonts w:hint="default"/>
                <w:color w:val="auto"/>
              </w:rPr>
            </w:pPr>
          </w:p>
        </w:tc>
      </w:tr>
      <w:tr w14:paraId="4B40D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right w:val="single" w:color="auto" w:sz="4" w:space="0"/>
            </w:tcBorders>
            <w:vAlign w:val="center"/>
          </w:tcPr>
          <w:p w14:paraId="03308BEB">
            <w:pPr>
              <w:pStyle w:val="91"/>
              <w:keepNext w:val="0"/>
              <w:keepLines w:val="0"/>
              <w:suppressLineNumbers w:val="0"/>
              <w:spacing w:before="0" w:beforeAutospacing="0" w:after="0" w:afterAutospacing="0"/>
              <w:ind w:left="0" w:right="0"/>
              <w:rPr>
                <w:rFonts w:hint="default"/>
                <w:color w:val="auto"/>
              </w:rPr>
            </w:pPr>
          </w:p>
        </w:tc>
        <w:tc>
          <w:tcPr>
            <w:tcW w:w="1276" w:type="dxa"/>
            <w:vMerge w:val="continue"/>
            <w:tcBorders>
              <w:left w:val="single" w:color="auto" w:sz="4" w:space="0"/>
              <w:right w:val="single" w:color="auto" w:sz="4" w:space="0"/>
            </w:tcBorders>
            <w:vAlign w:val="center"/>
          </w:tcPr>
          <w:p w14:paraId="78747023">
            <w:pPr>
              <w:pStyle w:val="91"/>
              <w:keepNext w:val="0"/>
              <w:keepLines w:val="0"/>
              <w:suppressLineNumbers w:val="0"/>
              <w:spacing w:before="0" w:beforeAutospacing="0" w:after="0" w:afterAutospacing="0"/>
              <w:ind w:left="0" w:right="0"/>
              <w:rPr>
                <w:rFonts w:hint="default"/>
                <w:color w:val="auto"/>
              </w:rPr>
            </w:pPr>
          </w:p>
        </w:tc>
        <w:tc>
          <w:tcPr>
            <w:tcW w:w="1390" w:type="dxa"/>
            <w:tcBorders>
              <w:top w:val="single" w:color="auto" w:sz="4" w:space="0"/>
              <w:left w:val="single" w:color="auto" w:sz="4" w:space="0"/>
              <w:bottom w:val="single" w:color="auto" w:sz="4" w:space="0"/>
              <w:right w:val="single" w:color="auto" w:sz="4" w:space="0"/>
            </w:tcBorders>
          </w:tcPr>
          <w:p w14:paraId="25FEF0A5">
            <w:pPr>
              <w:pStyle w:val="91"/>
              <w:keepNext w:val="0"/>
              <w:keepLines w:val="0"/>
              <w:suppressLineNumbers w:val="0"/>
              <w:spacing w:before="0" w:beforeAutospacing="0" w:after="0" w:afterAutospacing="0"/>
              <w:ind w:left="0" w:right="0"/>
              <w:rPr>
                <w:rFonts w:hint="default"/>
                <w:color w:val="auto"/>
              </w:rPr>
            </w:pPr>
            <w:r>
              <w:rPr>
                <w:rFonts w:hint="default"/>
                <w:color w:val="auto"/>
              </w:rPr>
              <w:t>SS</w:t>
            </w:r>
          </w:p>
        </w:tc>
        <w:tc>
          <w:tcPr>
            <w:tcW w:w="1587" w:type="dxa"/>
            <w:vMerge w:val="continue"/>
            <w:tcBorders>
              <w:left w:val="single" w:color="auto" w:sz="4" w:space="0"/>
              <w:right w:val="single" w:color="auto" w:sz="4" w:space="0"/>
            </w:tcBorders>
            <w:vAlign w:val="center"/>
          </w:tcPr>
          <w:p w14:paraId="4062B326">
            <w:pPr>
              <w:pStyle w:val="91"/>
              <w:keepNext w:val="0"/>
              <w:keepLines w:val="0"/>
              <w:suppressLineNumbers w:val="0"/>
              <w:spacing w:before="0" w:beforeAutospacing="0" w:after="0" w:afterAutospacing="0"/>
              <w:ind w:left="0" w:right="0"/>
              <w:rPr>
                <w:rFonts w:hint="default"/>
                <w:color w:val="auto"/>
              </w:rPr>
            </w:pPr>
          </w:p>
        </w:tc>
        <w:tc>
          <w:tcPr>
            <w:tcW w:w="1124" w:type="dxa"/>
            <w:tcBorders>
              <w:top w:val="single" w:color="auto" w:sz="4" w:space="0"/>
              <w:left w:val="single" w:color="auto" w:sz="4" w:space="0"/>
              <w:bottom w:val="single" w:color="auto" w:sz="4" w:space="0"/>
              <w:right w:val="single" w:color="auto" w:sz="4" w:space="0"/>
            </w:tcBorders>
          </w:tcPr>
          <w:p w14:paraId="257F7E0A">
            <w:pPr>
              <w:pStyle w:val="91"/>
              <w:keepNext w:val="0"/>
              <w:keepLines w:val="0"/>
              <w:suppressLineNumbers w:val="0"/>
              <w:spacing w:before="0" w:beforeAutospacing="0" w:after="0" w:afterAutospacing="0"/>
              <w:ind w:left="0" w:right="0"/>
              <w:rPr>
                <w:rFonts w:hint="default"/>
                <w:color w:val="auto"/>
              </w:rPr>
            </w:pPr>
            <w:r>
              <w:rPr>
                <w:rFonts w:hint="default"/>
                <w:color w:val="auto"/>
              </w:rPr>
              <w:t>0.084</w:t>
            </w:r>
          </w:p>
        </w:tc>
        <w:tc>
          <w:tcPr>
            <w:tcW w:w="2136" w:type="dxa"/>
            <w:vMerge w:val="continue"/>
            <w:tcBorders>
              <w:left w:val="single" w:color="auto" w:sz="4" w:space="0"/>
              <w:right w:val="single" w:color="auto" w:sz="4" w:space="0"/>
            </w:tcBorders>
            <w:vAlign w:val="center"/>
          </w:tcPr>
          <w:p w14:paraId="2713192E">
            <w:pPr>
              <w:pStyle w:val="91"/>
              <w:keepNext w:val="0"/>
              <w:keepLines w:val="0"/>
              <w:suppressLineNumbers w:val="0"/>
              <w:spacing w:before="0" w:beforeAutospacing="0" w:after="0" w:afterAutospacing="0"/>
              <w:ind w:left="0" w:right="0"/>
              <w:rPr>
                <w:rFonts w:hint="default"/>
                <w:color w:val="auto"/>
              </w:rPr>
            </w:pPr>
          </w:p>
        </w:tc>
        <w:tc>
          <w:tcPr>
            <w:tcW w:w="851" w:type="dxa"/>
            <w:vMerge w:val="continue"/>
            <w:tcBorders>
              <w:left w:val="single" w:color="auto" w:sz="4" w:space="0"/>
              <w:right w:val="single" w:color="auto" w:sz="4" w:space="0"/>
            </w:tcBorders>
            <w:vAlign w:val="center"/>
          </w:tcPr>
          <w:p w14:paraId="22B9C17F">
            <w:pPr>
              <w:pStyle w:val="91"/>
              <w:keepNext w:val="0"/>
              <w:keepLines w:val="0"/>
              <w:suppressLineNumbers w:val="0"/>
              <w:spacing w:before="0" w:beforeAutospacing="0" w:after="0" w:afterAutospacing="0"/>
              <w:ind w:left="0" w:right="0"/>
              <w:rPr>
                <w:rFonts w:hint="default"/>
                <w:color w:val="auto"/>
              </w:rPr>
            </w:pPr>
          </w:p>
        </w:tc>
      </w:tr>
      <w:tr w14:paraId="5FA62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right w:val="single" w:color="auto" w:sz="4" w:space="0"/>
            </w:tcBorders>
            <w:vAlign w:val="center"/>
          </w:tcPr>
          <w:p w14:paraId="11D40FEF">
            <w:pPr>
              <w:pStyle w:val="91"/>
              <w:keepNext w:val="0"/>
              <w:keepLines w:val="0"/>
              <w:suppressLineNumbers w:val="0"/>
              <w:spacing w:before="0" w:beforeAutospacing="0" w:after="0" w:afterAutospacing="0"/>
              <w:ind w:left="0" w:right="0"/>
              <w:rPr>
                <w:rFonts w:hint="default"/>
                <w:color w:val="auto"/>
              </w:rPr>
            </w:pPr>
          </w:p>
        </w:tc>
        <w:tc>
          <w:tcPr>
            <w:tcW w:w="1276" w:type="dxa"/>
            <w:vMerge w:val="continue"/>
            <w:tcBorders>
              <w:left w:val="single" w:color="auto" w:sz="4" w:space="0"/>
              <w:right w:val="single" w:color="auto" w:sz="4" w:space="0"/>
            </w:tcBorders>
            <w:vAlign w:val="center"/>
          </w:tcPr>
          <w:p w14:paraId="0F74047E">
            <w:pPr>
              <w:pStyle w:val="91"/>
              <w:keepNext w:val="0"/>
              <w:keepLines w:val="0"/>
              <w:suppressLineNumbers w:val="0"/>
              <w:spacing w:before="0" w:beforeAutospacing="0" w:after="0" w:afterAutospacing="0"/>
              <w:ind w:left="0" w:right="0"/>
              <w:rPr>
                <w:rFonts w:hint="default"/>
                <w:color w:val="auto"/>
              </w:rPr>
            </w:pPr>
          </w:p>
        </w:tc>
        <w:tc>
          <w:tcPr>
            <w:tcW w:w="1390" w:type="dxa"/>
            <w:tcBorders>
              <w:top w:val="single" w:color="auto" w:sz="4" w:space="0"/>
              <w:left w:val="single" w:color="auto" w:sz="4" w:space="0"/>
              <w:bottom w:val="single" w:color="auto" w:sz="4" w:space="0"/>
              <w:right w:val="single" w:color="auto" w:sz="4" w:space="0"/>
            </w:tcBorders>
          </w:tcPr>
          <w:p w14:paraId="70DCFFE1">
            <w:pPr>
              <w:pStyle w:val="91"/>
              <w:keepNext w:val="0"/>
              <w:keepLines w:val="0"/>
              <w:suppressLineNumbers w:val="0"/>
              <w:spacing w:before="0" w:beforeAutospacing="0" w:after="0" w:afterAutospacing="0"/>
              <w:ind w:left="0" w:right="0"/>
              <w:rPr>
                <w:rFonts w:hint="default"/>
                <w:color w:val="auto"/>
              </w:rPr>
            </w:pPr>
            <w:r>
              <w:rPr>
                <w:rFonts w:hint="default"/>
                <w:color w:val="auto"/>
              </w:rPr>
              <w:t>COD</w:t>
            </w:r>
          </w:p>
        </w:tc>
        <w:tc>
          <w:tcPr>
            <w:tcW w:w="1587" w:type="dxa"/>
            <w:vMerge w:val="continue"/>
            <w:tcBorders>
              <w:left w:val="single" w:color="auto" w:sz="4" w:space="0"/>
              <w:right w:val="single" w:color="auto" w:sz="4" w:space="0"/>
            </w:tcBorders>
            <w:vAlign w:val="center"/>
          </w:tcPr>
          <w:p w14:paraId="69515E16">
            <w:pPr>
              <w:pStyle w:val="91"/>
              <w:keepNext w:val="0"/>
              <w:keepLines w:val="0"/>
              <w:suppressLineNumbers w:val="0"/>
              <w:spacing w:before="0" w:beforeAutospacing="0" w:after="0" w:afterAutospacing="0"/>
              <w:ind w:left="0" w:right="0"/>
              <w:rPr>
                <w:rFonts w:hint="default"/>
                <w:color w:val="auto"/>
              </w:rPr>
            </w:pPr>
          </w:p>
        </w:tc>
        <w:tc>
          <w:tcPr>
            <w:tcW w:w="1124" w:type="dxa"/>
            <w:tcBorders>
              <w:top w:val="single" w:color="auto" w:sz="4" w:space="0"/>
              <w:left w:val="single" w:color="auto" w:sz="4" w:space="0"/>
              <w:bottom w:val="single" w:color="auto" w:sz="4" w:space="0"/>
              <w:right w:val="single" w:color="auto" w:sz="4" w:space="0"/>
            </w:tcBorders>
          </w:tcPr>
          <w:p w14:paraId="71935BDD">
            <w:pPr>
              <w:pStyle w:val="91"/>
              <w:keepNext w:val="0"/>
              <w:keepLines w:val="0"/>
              <w:suppressLineNumbers w:val="0"/>
              <w:spacing w:before="0" w:beforeAutospacing="0" w:after="0" w:afterAutospacing="0"/>
              <w:ind w:left="0" w:right="0"/>
              <w:rPr>
                <w:rFonts w:hint="default"/>
                <w:color w:val="auto"/>
              </w:rPr>
            </w:pPr>
            <w:r>
              <w:rPr>
                <w:rFonts w:hint="default"/>
                <w:color w:val="auto"/>
              </w:rPr>
              <w:t>0.050</w:t>
            </w:r>
          </w:p>
        </w:tc>
        <w:tc>
          <w:tcPr>
            <w:tcW w:w="2136" w:type="dxa"/>
            <w:vMerge w:val="continue"/>
            <w:tcBorders>
              <w:left w:val="single" w:color="auto" w:sz="4" w:space="0"/>
              <w:right w:val="single" w:color="auto" w:sz="4" w:space="0"/>
            </w:tcBorders>
            <w:vAlign w:val="center"/>
          </w:tcPr>
          <w:p w14:paraId="3D382060">
            <w:pPr>
              <w:pStyle w:val="91"/>
              <w:keepNext w:val="0"/>
              <w:keepLines w:val="0"/>
              <w:suppressLineNumbers w:val="0"/>
              <w:spacing w:before="0" w:beforeAutospacing="0" w:after="0" w:afterAutospacing="0"/>
              <w:ind w:left="0" w:right="0"/>
              <w:rPr>
                <w:rFonts w:hint="default"/>
                <w:color w:val="auto"/>
              </w:rPr>
            </w:pPr>
          </w:p>
        </w:tc>
        <w:tc>
          <w:tcPr>
            <w:tcW w:w="851" w:type="dxa"/>
            <w:vMerge w:val="continue"/>
            <w:tcBorders>
              <w:left w:val="single" w:color="auto" w:sz="4" w:space="0"/>
              <w:right w:val="single" w:color="auto" w:sz="4" w:space="0"/>
            </w:tcBorders>
            <w:vAlign w:val="center"/>
          </w:tcPr>
          <w:p w14:paraId="2D3EDCB7">
            <w:pPr>
              <w:pStyle w:val="91"/>
              <w:keepNext w:val="0"/>
              <w:keepLines w:val="0"/>
              <w:suppressLineNumbers w:val="0"/>
              <w:spacing w:before="0" w:beforeAutospacing="0" w:after="0" w:afterAutospacing="0"/>
              <w:ind w:left="0" w:right="0"/>
              <w:rPr>
                <w:rFonts w:hint="default"/>
                <w:color w:val="auto"/>
              </w:rPr>
            </w:pPr>
          </w:p>
        </w:tc>
      </w:tr>
      <w:tr w14:paraId="63926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right w:val="single" w:color="auto" w:sz="4" w:space="0"/>
            </w:tcBorders>
            <w:vAlign w:val="center"/>
          </w:tcPr>
          <w:p w14:paraId="04ABF390">
            <w:pPr>
              <w:pStyle w:val="91"/>
              <w:keepNext w:val="0"/>
              <w:keepLines w:val="0"/>
              <w:suppressLineNumbers w:val="0"/>
              <w:spacing w:before="0" w:beforeAutospacing="0" w:after="0" w:afterAutospacing="0"/>
              <w:ind w:left="0" w:right="0"/>
              <w:rPr>
                <w:rFonts w:hint="default"/>
                <w:color w:val="auto"/>
              </w:rPr>
            </w:pPr>
          </w:p>
        </w:tc>
        <w:tc>
          <w:tcPr>
            <w:tcW w:w="1276" w:type="dxa"/>
            <w:vMerge w:val="continue"/>
            <w:tcBorders>
              <w:left w:val="single" w:color="auto" w:sz="4" w:space="0"/>
              <w:right w:val="single" w:color="auto" w:sz="4" w:space="0"/>
            </w:tcBorders>
            <w:vAlign w:val="center"/>
          </w:tcPr>
          <w:p w14:paraId="53AB832C">
            <w:pPr>
              <w:pStyle w:val="91"/>
              <w:keepNext w:val="0"/>
              <w:keepLines w:val="0"/>
              <w:suppressLineNumbers w:val="0"/>
              <w:spacing w:before="0" w:beforeAutospacing="0" w:after="0" w:afterAutospacing="0"/>
              <w:ind w:left="0" w:right="0"/>
              <w:rPr>
                <w:rFonts w:hint="default"/>
                <w:color w:val="auto"/>
              </w:rPr>
            </w:pPr>
          </w:p>
        </w:tc>
        <w:tc>
          <w:tcPr>
            <w:tcW w:w="1390" w:type="dxa"/>
            <w:tcBorders>
              <w:top w:val="single" w:color="auto" w:sz="4" w:space="0"/>
              <w:left w:val="single" w:color="auto" w:sz="4" w:space="0"/>
              <w:bottom w:val="single" w:color="auto" w:sz="4" w:space="0"/>
              <w:right w:val="single" w:color="auto" w:sz="4" w:space="0"/>
            </w:tcBorders>
          </w:tcPr>
          <w:p w14:paraId="75D42119">
            <w:pPr>
              <w:pStyle w:val="91"/>
              <w:keepNext w:val="0"/>
              <w:keepLines w:val="0"/>
              <w:suppressLineNumbers w:val="0"/>
              <w:spacing w:before="0" w:beforeAutospacing="0" w:after="0" w:afterAutospacing="0"/>
              <w:ind w:left="0" w:right="0"/>
              <w:rPr>
                <w:rFonts w:hint="default"/>
                <w:color w:val="auto"/>
              </w:rPr>
            </w:pPr>
            <w:r>
              <w:rPr>
                <w:rFonts w:hint="default"/>
                <w:color w:val="auto"/>
              </w:rPr>
              <w:t>BOD</w:t>
            </w:r>
          </w:p>
        </w:tc>
        <w:tc>
          <w:tcPr>
            <w:tcW w:w="1587" w:type="dxa"/>
            <w:vMerge w:val="continue"/>
            <w:tcBorders>
              <w:left w:val="single" w:color="auto" w:sz="4" w:space="0"/>
              <w:right w:val="single" w:color="auto" w:sz="4" w:space="0"/>
            </w:tcBorders>
            <w:vAlign w:val="center"/>
          </w:tcPr>
          <w:p w14:paraId="6606AE6C">
            <w:pPr>
              <w:pStyle w:val="91"/>
              <w:keepNext w:val="0"/>
              <w:keepLines w:val="0"/>
              <w:suppressLineNumbers w:val="0"/>
              <w:spacing w:before="0" w:beforeAutospacing="0" w:after="0" w:afterAutospacing="0"/>
              <w:ind w:left="0" w:right="0"/>
              <w:rPr>
                <w:rFonts w:hint="default"/>
                <w:color w:val="auto"/>
              </w:rPr>
            </w:pPr>
          </w:p>
        </w:tc>
        <w:tc>
          <w:tcPr>
            <w:tcW w:w="1124" w:type="dxa"/>
            <w:tcBorders>
              <w:top w:val="single" w:color="auto" w:sz="4" w:space="0"/>
              <w:left w:val="single" w:color="auto" w:sz="4" w:space="0"/>
              <w:bottom w:val="single" w:color="auto" w:sz="4" w:space="0"/>
              <w:right w:val="single" w:color="auto" w:sz="4" w:space="0"/>
            </w:tcBorders>
          </w:tcPr>
          <w:p w14:paraId="295E4645">
            <w:pPr>
              <w:pStyle w:val="91"/>
              <w:keepNext w:val="0"/>
              <w:keepLines w:val="0"/>
              <w:suppressLineNumbers w:val="0"/>
              <w:spacing w:before="0" w:beforeAutospacing="0" w:after="0" w:afterAutospacing="0"/>
              <w:ind w:left="0" w:right="0"/>
              <w:rPr>
                <w:rFonts w:hint="default"/>
                <w:color w:val="auto"/>
              </w:rPr>
            </w:pPr>
            <w:r>
              <w:rPr>
                <w:rFonts w:hint="default"/>
                <w:color w:val="auto"/>
              </w:rPr>
              <w:t>0.025</w:t>
            </w:r>
          </w:p>
        </w:tc>
        <w:tc>
          <w:tcPr>
            <w:tcW w:w="2136" w:type="dxa"/>
            <w:vMerge w:val="continue"/>
            <w:tcBorders>
              <w:left w:val="single" w:color="auto" w:sz="4" w:space="0"/>
              <w:right w:val="single" w:color="auto" w:sz="4" w:space="0"/>
            </w:tcBorders>
            <w:vAlign w:val="center"/>
          </w:tcPr>
          <w:p w14:paraId="20BA8129">
            <w:pPr>
              <w:pStyle w:val="91"/>
              <w:keepNext w:val="0"/>
              <w:keepLines w:val="0"/>
              <w:suppressLineNumbers w:val="0"/>
              <w:spacing w:before="0" w:beforeAutospacing="0" w:after="0" w:afterAutospacing="0"/>
              <w:ind w:left="0" w:right="0"/>
              <w:rPr>
                <w:rFonts w:hint="default"/>
                <w:color w:val="auto"/>
              </w:rPr>
            </w:pPr>
          </w:p>
        </w:tc>
        <w:tc>
          <w:tcPr>
            <w:tcW w:w="851" w:type="dxa"/>
            <w:vMerge w:val="continue"/>
            <w:tcBorders>
              <w:left w:val="single" w:color="auto" w:sz="4" w:space="0"/>
              <w:right w:val="single" w:color="auto" w:sz="4" w:space="0"/>
            </w:tcBorders>
            <w:vAlign w:val="center"/>
          </w:tcPr>
          <w:p w14:paraId="2DF9CF4C">
            <w:pPr>
              <w:pStyle w:val="91"/>
              <w:keepNext w:val="0"/>
              <w:keepLines w:val="0"/>
              <w:suppressLineNumbers w:val="0"/>
              <w:spacing w:before="0" w:beforeAutospacing="0" w:after="0" w:afterAutospacing="0"/>
              <w:ind w:left="0" w:right="0"/>
              <w:rPr>
                <w:rFonts w:hint="default"/>
                <w:color w:val="auto"/>
              </w:rPr>
            </w:pPr>
          </w:p>
        </w:tc>
      </w:tr>
      <w:tr w14:paraId="4805E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right w:val="single" w:color="auto" w:sz="4" w:space="0"/>
            </w:tcBorders>
            <w:vAlign w:val="center"/>
          </w:tcPr>
          <w:p w14:paraId="01D735A3">
            <w:pPr>
              <w:pStyle w:val="91"/>
              <w:keepNext w:val="0"/>
              <w:keepLines w:val="0"/>
              <w:suppressLineNumbers w:val="0"/>
              <w:spacing w:before="0" w:beforeAutospacing="0" w:after="0" w:afterAutospacing="0"/>
              <w:ind w:left="0" w:right="0"/>
              <w:rPr>
                <w:rFonts w:hint="default"/>
                <w:color w:val="auto"/>
              </w:rPr>
            </w:pPr>
          </w:p>
        </w:tc>
        <w:tc>
          <w:tcPr>
            <w:tcW w:w="1276" w:type="dxa"/>
            <w:vMerge w:val="continue"/>
            <w:tcBorders>
              <w:left w:val="single" w:color="auto" w:sz="4" w:space="0"/>
              <w:bottom w:val="single" w:color="auto" w:sz="4" w:space="0"/>
              <w:right w:val="single" w:color="auto" w:sz="4" w:space="0"/>
            </w:tcBorders>
            <w:vAlign w:val="center"/>
          </w:tcPr>
          <w:p w14:paraId="3831649D">
            <w:pPr>
              <w:pStyle w:val="91"/>
              <w:keepNext w:val="0"/>
              <w:keepLines w:val="0"/>
              <w:suppressLineNumbers w:val="0"/>
              <w:spacing w:before="0" w:beforeAutospacing="0" w:after="0" w:afterAutospacing="0"/>
              <w:ind w:left="0" w:right="0"/>
              <w:rPr>
                <w:rFonts w:hint="default"/>
                <w:color w:val="auto"/>
              </w:rPr>
            </w:pPr>
          </w:p>
        </w:tc>
        <w:tc>
          <w:tcPr>
            <w:tcW w:w="1390" w:type="dxa"/>
            <w:tcBorders>
              <w:top w:val="single" w:color="auto" w:sz="4" w:space="0"/>
              <w:left w:val="single" w:color="auto" w:sz="4" w:space="0"/>
              <w:bottom w:val="single" w:color="auto" w:sz="4" w:space="0"/>
              <w:right w:val="single" w:color="auto" w:sz="4" w:space="0"/>
            </w:tcBorders>
          </w:tcPr>
          <w:p w14:paraId="59EDAFEE">
            <w:pPr>
              <w:pStyle w:val="91"/>
              <w:keepNext w:val="0"/>
              <w:keepLines w:val="0"/>
              <w:suppressLineNumbers w:val="0"/>
              <w:spacing w:before="0" w:beforeAutospacing="0" w:after="0" w:afterAutospacing="0"/>
              <w:ind w:left="0" w:right="0"/>
              <w:rPr>
                <w:rFonts w:hint="default"/>
                <w:color w:val="auto"/>
              </w:rPr>
            </w:pPr>
            <w:r>
              <w:rPr>
                <w:rFonts w:hint="eastAsia"/>
                <w:color w:val="auto"/>
              </w:rPr>
              <w:t>氨氮</w:t>
            </w:r>
          </w:p>
        </w:tc>
        <w:tc>
          <w:tcPr>
            <w:tcW w:w="1587" w:type="dxa"/>
            <w:vMerge w:val="continue"/>
            <w:tcBorders>
              <w:left w:val="single" w:color="auto" w:sz="4" w:space="0"/>
              <w:bottom w:val="single" w:color="auto" w:sz="4" w:space="0"/>
              <w:right w:val="single" w:color="auto" w:sz="4" w:space="0"/>
            </w:tcBorders>
            <w:vAlign w:val="center"/>
          </w:tcPr>
          <w:p w14:paraId="0E832697">
            <w:pPr>
              <w:pStyle w:val="91"/>
              <w:keepNext w:val="0"/>
              <w:keepLines w:val="0"/>
              <w:suppressLineNumbers w:val="0"/>
              <w:spacing w:before="0" w:beforeAutospacing="0" w:after="0" w:afterAutospacing="0"/>
              <w:ind w:left="0" w:right="0"/>
              <w:rPr>
                <w:rFonts w:hint="default"/>
                <w:color w:val="auto"/>
              </w:rPr>
            </w:pPr>
          </w:p>
        </w:tc>
        <w:tc>
          <w:tcPr>
            <w:tcW w:w="1124" w:type="dxa"/>
            <w:tcBorders>
              <w:top w:val="single" w:color="auto" w:sz="4" w:space="0"/>
              <w:left w:val="single" w:color="auto" w:sz="4" w:space="0"/>
              <w:bottom w:val="single" w:color="auto" w:sz="4" w:space="0"/>
              <w:right w:val="single" w:color="auto" w:sz="4" w:space="0"/>
            </w:tcBorders>
          </w:tcPr>
          <w:p w14:paraId="586C1C43">
            <w:pPr>
              <w:pStyle w:val="91"/>
              <w:keepNext w:val="0"/>
              <w:keepLines w:val="0"/>
              <w:suppressLineNumbers w:val="0"/>
              <w:spacing w:before="0" w:beforeAutospacing="0" w:after="0" w:afterAutospacing="0"/>
              <w:ind w:left="0" w:right="0"/>
              <w:rPr>
                <w:rFonts w:hint="default"/>
                <w:color w:val="auto"/>
              </w:rPr>
            </w:pPr>
            <w:r>
              <w:rPr>
                <w:rFonts w:hint="default"/>
                <w:color w:val="auto"/>
              </w:rPr>
              <w:t>0.006</w:t>
            </w:r>
          </w:p>
        </w:tc>
        <w:tc>
          <w:tcPr>
            <w:tcW w:w="2136" w:type="dxa"/>
            <w:vMerge w:val="continue"/>
            <w:tcBorders>
              <w:left w:val="single" w:color="auto" w:sz="4" w:space="0"/>
              <w:bottom w:val="single" w:color="auto" w:sz="4" w:space="0"/>
              <w:right w:val="single" w:color="auto" w:sz="4" w:space="0"/>
            </w:tcBorders>
            <w:vAlign w:val="center"/>
          </w:tcPr>
          <w:p w14:paraId="46851307">
            <w:pPr>
              <w:pStyle w:val="91"/>
              <w:keepNext w:val="0"/>
              <w:keepLines w:val="0"/>
              <w:suppressLineNumbers w:val="0"/>
              <w:spacing w:before="0" w:beforeAutospacing="0" w:after="0" w:afterAutospacing="0"/>
              <w:ind w:left="0" w:right="0"/>
              <w:rPr>
                <w:rFonts w:hint="default"/>
                <w:color w:val="auto"/>
              </w:rPr>
            </w:pPr>
          </w:p>
        </w:tc>
        <w:tc>
          <w:tcPr>
            <w:tcW w:w="851" w:type="dxa"/>
            <w:vMerge w:val="continue"/>
            <w:tcBorders>
              <w:left w:val="single" w:color="auto" w:sz="4" w:space="0"/>
              <w:bottom w:val="single" w:color="auto" w:sz="4" w:space="0"/>
              <w:right w:val="single" w:color="auto" w:sz="4" w:space="0"/>
            </w:tcBorders>
            <w:vAlign w:val="center"/>
          </w:tcPr>
          <w:p w14:paraId="7A37C177">
            <w:pPr>
              <w:pStyle w:val="91"/>
              <w:keepNext w:val="0"/>
              <w:keepLines w:val="0"/>
              <w:suppressLineNumbers w:val="0"/>
              <w:spacing w:before="0" w:beforeAutospacing="0" w:after="0" w:afterAutospacing="0"/>
              <w:ind w:left="0" w:right="0"/>
              <w:rPr>
                <w:rFonts w:hint="default"/>
                <w:color w:val="auto"/>
              </w:rPr>
            </w:pPr>
          </w:p>
        </w:tc>
      </w:tr>
      <w:tr w14:paraId="258F2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bottom w:val="single" w:color="auto" w:sz="4" w:space="0"/>
              <w:right w:val="single" w:color="auto" w:sz="4" w:space="0"/>
            </w:tcBorders>
            <w:vAlign w:val="center"/>
          </w:tcPr>
          <w:p w14:paraId="26A86448">
            <w:pPr>
              <w:pStyle w:val="91"/>
              <w:keepNext w:val="0"/>
              <w:keepLines w:val="0"/>
              <w:suppressLineNumbers w:val="0"/>
              <w:spacing w:before="0" w:beforeAutospacing="0" w:after="0" w:afterAutospacing="0"/>
              <w:ind w:left="0" w:right="0"/>
              <w:rPr>
                <w:rFonts w:hint="default"/>
                <w:color w:val="auto"/>
              </w:rPr>
            </w:pPr>
          </w:p>
        </w:tc>
        <w:tc>
          <w:tcPr>
            <w:tcW w:w="1276" w:type="dxa"/>
            <w:tcBorders>
              <w:top w:val="single" w:color="auto" w:sz="4" w:space="0"/>
              <w:left w:val="single" w:color="auto" w:sz="4" w:space="0"/>
              <w:bottom w:val="single" w:color="auto" w:sz="4" w:space="0"/>
              <w:right w:val="single" w:color="auto" w:sz="4" w:space="0"/>
            </w:tcBorders>
            <w:vAlign w:val="center"/>
          </w:tcPr>
          <w:p w14:paraId="251BDE26">
            <w:pPr>
              <w:pStyle w:val="91"/>
              <w:keepNext w:val="0"/>
              <w:keepLines w:val="0"/>
              <w:suppressLineNumbers w:val="0"/>
              <w:spacing w:before="0" w:beforeAutospacing="0" w:after="0" w:afterAutospacing="0"/>
              <w:ind w:left="0" w:right="0"/>
              <w:rPr>
                <w:rFonts w:hint="default"/>
                <w:color w:val="auto"/>
              </w:rPr>
            </w:pPr>
            <w:r>
              <w:rPr>
                <w:rFonts w:hint="eastAsia"/>
                <w:color w:val="auto"/>
              </w:rPr>
              <w:t>陆域</w:t>
            </w:r>
            <w:r>
              <w:rPr>
                <w:rFonts w:hint="default"/>
                <w:color w:val="auto"/>
              </w:rPr>
              <w:t>生活污水、</w:t>
            </w:r>
            <w:r>
              <w:rPr>
                <w:rFonts w:hint="eastAsia"/>
                <w:color w:val="auto"/>
              </w:rPr>
              <w:t>初期</w:t>
            </w:r>
            <w:r>
              <w:rPr>
                <w:rFonts w:hint="default"/>
                <w:color w:val="auto"/>
              </w:rPr>
              <w:t>雨水、洗罐废水</w:t>
            </w:r>
            <w:r>
              <w:rPr>
                <w:rFonts w:hint="eastAsia"/>
                <w:color w:val="auto"/>
              </w:rPr>
              <w:t>、</w:t>
            </w:r>
            <w:r>
              <w:rPr>
                <w:rFonts w:hint="default"/>
                <w:color w:val="auto"/>
              </w:rPr>
              <w:t>码头冲洗废水</w:t>
            </w:r>
          </w:p>
        </w:tc>
        <w:tc>
          <w:tcPr>
            <w:tcW w:w="4101" w:type="dxa"/>
            <w:gridSpan w:val="3"/>
            <w:tcBorders>
              <w:top w:val="single" w:color="auto" w:sz="4" w:space="0"/>
              <w:left w:val="single" w:color="auto" w:sz="4" w:space="0"/>
              <w:bottom w:val="single" w:color="auto" w:sz="4" w:space="0"/>
              <w:right w:val="single" w:color="auto" w:sz="4" w:space="0"/>
            </w:tcBorders>
            <w:vAlign w:val="center"/>
          </w:tcPr>
          <w:p w14:paraId="39260FED">
            <w:pPr>
              <w:pStyle w:val="91"/>
              <w:keepNext w:val="0"/>
              <w:keepLines w:val="0"/>
              <w:suppressLineNumbers w:val="0"/>
              <w:spacing w:before="0" w:beforeAutospacing="0" w:after="0" w:afterAutospacing="0"/>
              <w:ind w:left="0" w:right="0"/>
              <w:rPr>
                <w:rFonts w:hint="default"/>
                <w:color w:val="auto"/>
              </w:rPr>
            </w:pPr>
            <w:r>
              <w:rPr>
                <w:rFonts w:hint="eastAsia"/>
                <w:color w:val="auto"/>
              </w:rPr>
              <w:t>不新增，由汽车罐车拉运至广西东油沥青有限公司厂区内，达到纳管标准后通过管道输送至广西石化污水处理场进行处理</w:t>
            </w:r>
          </w:p>
        </w:tc>
        <w:tc>
          <w:tcPr>
            <w:tcW w:w="2136" w:type="dxa"/>
            <w:tcBorders>
              <w:top w:val="single" w:color="auto" w:sz="4" w:space="0"/>
              <w:left w:val="single" w:color="auto" w:sz="4" w:space="0"/>
              <w:bottom w:val="single" w:color="auto" w:sz="4" w:space="0"/>
              <w:right w:val="single" w:color="auto" w:sz="4" w:space="0"/>
            </w:tcBorders>
            <w:vAlign w:val="center"/>
          </w:tcPr>
          <w:p w14:paraId="043DD2D0">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851" w:type="dxa"/>
            <w:tcBorders>
              <w:top w:val="single" w:color="auto" w:sz="4" w:space="0"/>
              <w:left w:val="single" w:color="auto" w:sz="4" w:space="0"/>
              <w:bottom w:val="single" w:color="auto" w:sz="4" w:space="0"/>
              <w:right w:val="single" w:color="auto" w:sz="4" w:space="0"/>
            </w:tcBorders>
            <w:vAlign w:val="center"/>
          </w:tcPr>
          <w:p w14:paraId="52CD35A0">
            <w:pPr>
              <w:pStyle w:val="91"/>
              <w:keepNext w:val="0"/>
              <w:keepLines w:val="0"/>
              <w:suppressLineNumbers w:val="0"/>
              <w:spacing w:before="0" w:beforeAutospacing="0" w:after="0" w:afterAutospacing="0"/>
              <w:ind w:left="0" w:right="0"/>
              <w:rPr>
                <w:rFonts w:hint="default"/>
                <w:color w:val="auto"/>
              </w:rPr>
            </w:pPr>
            <w:r>
              <w:rPr>
                <w:rFonts w:hint="eastAsia"/>
                <w:color w:val="auto"/>
              </w:rPr>
              <w:t>不排放</w:t>
            </w:r>
          </w:p>
        </w:tc>
      </w:tr>
      <w:tr w14:paraId="1322D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tcBorders>
              <w:top w:val="single" w:color="auto" w:sz="4" w:space="0"/>
              <w:left w:val="single" w:color="auto" w:sz="4" w:space="0"/>
              <w:bottom w:val="single" w:color="auto" w:sz="4" w:space="0"/>
              <w:right w:val="single" w:color="auto" w:sz="4" w:space="0"/>
            </w:tcBorders>
            <w:vAlign w:val="center"/>
          </w:tcPr>
          <w:p w14:paraId="7EE1A55A">
            <w:pPr>
              <w:pStyle w:val="91"/>
              <w:keepNext w:val="0"/>
              <w:keepLines w:val="0"/>
              <w:suppressLineNumbers w:val="0"/>
              <w:spacing w:before="0" w:beforeAutospacing="0" w:after="0" w:afterAutospacing="0"/>
              <w:ind w:left="0" w:right="0"/>
              <w:rPr>
                <w:rFonts w:hint="default"/>
                <w:color w:val="auto"/>
              </w:rPr>
            </w:pPr>
            <w:r>
              <w:rPr>
                <w:rFonts w:hint="eastAsia"/>
                <w:color w:val="auto"/>
              </w:rPr>
              <w:t>噪声</w:t>
            </w:r>
          </w:p>
        </w:tc>
        <w:tc>
          <w:tcPr>
            <w:tcW w:w="2666" w:type="dxa"/>
            <w:gridSpan w:val="2"/>
            <w:tcBorders>
              <w:top w:val="single" w:color="auto" w:sz="4" w:space="0"/>
              <w:left w:val="single" w:color="auto" w:sz="4" w:space="0"/>
              <w:bottom w:val="single" w:color="auto" w:sz="4" w:space="0"/>
              <w:right w:val="single" w:color="auto" w:sz="4" w:space="0"/>
            </w:tcBorders>
            <w:vAlign w:val="center"/>
          </w:tcPr>
          <w:p w14:paraId="31917ADD">
            <w:pPr>
              <w:pStyle w:val="91"/>
              <w:keepNext w:val="0"/>
              <w:keepLines w:val="0"/>
              <w:suppressLineNumbers w:val="0"/>
              <w:spacing w:before="0" w:beforeAutospacing="0" w:after="0" w:afterAutospacing="0"/>
              <w:ind w:left="0" w:right="0"/>
              <w:rPr>
                <w:rFonts w:hint="default"/>
                <w:color w:val="auto"/>
              </w:rPr>
            </w:pPr>
            <w:r>
              <w:rPr>
                <w:rFonts w:hint="eastAsia"/>
                <w:color w:val="auto"/>
              </w:rPr>
              <w:t>设备</w:t>
            </w:r>
            <w:r>
              <w:rPr>
                <w:rFonts w:hint="default"/>
                <w:color w:val="auto"/>
              </w:rPr>
              <w:t>噪声</w:t>
            </w:r>
          </w:p>
        </w:tc>
        <w:tc>
          <w:tcPr>
            <w:tcW w:w="1587" w:type="dxa"/>
            <w:tcBorders>
              <w:top w:val="single" w:color="auto" w:sz="4" w:space="0"/>
              <w:left w:val="single" w:color="auto" w:sz="4" w:space="0"/>
              <w:bottom w:val="single" w:color="auto" w:sz="4" w:space="0"/>
              <w:right w:val="single" w:color="auto" w:sz="4" w:space="0"/>
            </w:tcBorders>
            <w:vAlign w:val="center"/>
          </w:tcPr>
          <w:p w14:paraId="35232BDB">
            <w:pPr>
              <w:pStyle w:val="91"/>
              <w:keepNext w:val="0"/>
              <w:keepLines w:val="0"/>
              <w:suppressLineNumbers w:val="0"/>
              <w:spacing w:before="0" w:beforeAutospacing="0" w:after="0" w:afterAutospacing="0"/>
              <w:ind w:left="0" w:right="0"/>
              <w:rPr>
                <w:rFonts w:hint="default"/>
                <w:color w:val="auto"/>
              </w:rPr>
            </w:pPr>
            <w:r>
              <w:rPr>
                <w:rFonts w:hint="eastAsia"/>
                <w:color w:val="auto"/>
              </w:rPr>
              <w:t>消声垫</w:t>
            </w:r>
            <w:r>
              <w:rPr>
                <w:rFonts w:hint="default"/>
                <w:color w:val="auto"/>
              </w:rPr>
              <w:t>等</w:t>
            </w:r>
          </w:p>
        </w:tc>
        <w:tc>
          <w:tcPr>
            <w:tcW w:w="1124" w:type="dxa"/>
            <w:tcBorders>
              <w:top w:val="single" w:color="auto" w:sz="4" w:space="0"/>
              <w:left w:val="single" w:color="auto" w:sz="4" w:space="0"/>
              <w:bottom w:val="single" w:color="auto" w:sz="4" w:space="0"/>
              <w:right w:val="single" w:color="auto" w:sz="4" w:space="0"/>
            </w:tcBorders>
            <w:vAlign w:val="center"/>
          </w:tcPr>
          <w:p w14:paraId="2156338C">
            <w:pPr>
              <w:pStyle w:val="91"/>
              <w:keepNext w:val="0"/>
              <w:keepLines w:val="0"/>
              <w:suppressLineNumbers w:val="0"/>
              <w:spacing w:before="0" w:beforeAutospacing="0" w:after="0" w:afterAutospacing="0"/>
              <w:ind w:left="0" w:right="0"/>
              <w:rPr>
                <w:rFonts w:hint="default"/>
                <w:color w:val="auto"/>
              </w:rPr>
            </w:pPr>
            <w:r>
              <w:rPr>
                <w:rFonts w:hint="eastAsia"/>
                <w:color w:val="auto"/>
              </w:rPr>
              <w:t>75</w:t>
            </w:r>
            <w:r>
              <w:rPr>
                <w:rFonts w:hint="default"/>
                <w:color w:val="auto"/>
              </w:rPr>
              <w:t>dB</w:t>
            </w:r>
            <w:r>
              <w:rPr>
                <w:rFonts w:hint="eastAsia"/>
                <w:color w:val="auto"/>
              </w:rPr>
              <w:t>（A）</w:t>
            </w:r>
          </w:p>
        </w:tc>
        <w:tc>
          <w:tcPr>
            <w:tcW w:w="2136" w:type="dxa"/>
            <w:tcBorders>
              <w:top w:val="single" w:color="auto" w:sz="4" w:space="0"/>
              <w:left w:val="single" w:color="auto" w:sz="4" w:space="0"/>
              <w:bottom w:val="single" w:color="auto" w:sz="4" w:space="0"/>
              <w:right w:val="single" w:color="auto" w:sz="4" w:space="0"/>
            </w:tcBorders>
            <w:vAlign w:val="center"/>
          </w:tcPr>
          <w:p w14:paraId="0304442D">
            <w:pPr>
              <w:pStyle w:val="91"/>
              <w:keepNext w:val="0"/>
              <w:keepLines w:val="0"/>
              <w:suppressLineNumbers w:val="0"/>
              <w:spacing w:before="0" w:beforeAutospacing="0" w:after="0" w:afterAutospacing="0"/>
              <w:ind w:left="0" w:right="0"/>
              <w:rPr>
                <w:rFonts w:hint="default"/>
                <w:color w:val="auto"/>
              </w:rPr>
            </w:pPr>
            <w:r>
              <w:rPr>
                <w:rFonts w:hint="eastAsia"/>
                <w:color w:val="auto"/>
              </w:rPr>
              <w:t>《工业企业场界环境噪声排放标准》（GB12348-2008）中的3类标准</w:t>
            </w:r>
          </w:p>
        </w:tc>
        <w:tc>
          <w:tcPr>
            <w:tcW w:w="851" w:type="dxa"/>
            <w:tcBorders>
              <w:top w:val="single" w:color="auto" w:sz="4" w:space="0"/>
              <w:left w:val="single" w:color="auto" w:sz="4" w:space="0"/>
              <w:bottom w:val="single" w:color="auto" w:sz="4" w:space="0"/>
              <w:right w:val="single" w:color="auto" w:sz="4" w:space="0"/>
            </w:tcBorders>
            <w:vAlign w:val="center"/>
          </w:tcPr>
          <w:p w14:paraId="55B81C4E">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6DEC0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restart"/>
            <w:tcBorders>
              <w:top w:val="single" w:color="auto" w:sz="4" w:space="0"/>
              <w:left w:val="single" w:color="auto" w:sz="4" w:space="0"/>
              <w:right w:val="single" w:color="auto" w:sz="4" w:space="0"/>
            </w:tcBorders>
            <w:vAlign w:val="center"/>
          </w:tcPr>
          <w:p w14:paraId="39D5956E">
            <w:pPr>
              <w:pStyle w:val="91"/>
              <w:keepNext w:val="0"/>
              <w:keepLines w:val="0"/>
              <w:suppressLineNumbers w:val="0"/>
              <w:spacing w:before="0" w:beforeAutospacing="0" w:after="0" w:afterAutospacing="0"/>
              <w:ind w:left="0" w:right="0"/>
              <w:rPr>
                <w:rFonts w:hint="default"/>
                <w:color w:val="auto"/>
              </w:rPr>
            </w:pPr>
            <w:r>
              <w:rPr>
                <w:rFonts w:hint="eastAsia"/>
                <w:color w:val="auto"/>
              </w:rPr>
              <w:t>固体</w:t>
            </w:r>
            <w:r>
              <w:rPr>
                <w:rFonts w:hint="default"/>
                <w:color w:val="auto"/>
              </w:rPr>
              <w:t>废物</w:t>
            </w:r>
          </w:p>
        </w:tc>
        <w:tc>
          <w:tcPr>
            <w:tcW w:w="2666" w:type="dxa"/>
            <w:gridSpan w:val="2"/>
            <w:tcBorders>
              <w:top w:val="single" w:color="auto" w:sz="4" w:space="0"/>
              <w:left w:val="single" w:color="auto" w:sz="4" w:space="0"/>
              <w:bottom w:val="single" w:color="auto" w:sz="4" w:space="0"/>
              <w:right w:val="single" w:color="auto" w:sz="4" w:space="0"/>
            </w:tcBorders>
            <w:vAlign w:val="center"/>
          </w:tcPr>
          <w:p w14:paraId="51D27F44">
            <w:pPr>
              <w:pStyle w:val="91"/>
              <w:keepNext w:val="0"/>
              <w:keepLines w:val="0"/>
              <w:suppressLineNumbers w:val="0"/>
              <w:spacing w:before="0" w:beforeAutospacing="0" w:after="0" w:afterAutospacing="0"/>
              <w:ind w:left="0" w:right="0"/>
              <w:rPr>
                <w:rFonts w:hint="default"/>
                <w:color w:val="auto"/>
              </w:rPr>
            </w:pPr>
            <w:r>
              <w:rPr>
                <w:rFonts w:hint="eastAsia"/>
                <w:color w:val="auto"/>
              </w:rPr>
              <w:t>船舶生活垃圾</w:t>
            </w:r>
          </w:p>
        </w:tc>
        <w:tc>
          <w:tcPr>
            <w:tcW w:w="1587" w:type="dxa"/>
            <w:tcBorders>
              <w:top w:val="single" w:color="auto" w:sz="4" w:space="0"/>
              <w:left w:val="single" w:color="auto" w:sz="4" w:space="0"/>
              <w:bottom w:val="single" w:color="auto" w:sz="4" w:space="0"/>
              <w:right w:val="single" w:color="auto" w:sz="4" w:space="0"/>
            </w:tcBorders>
            <w:vAlign w:val="center"/>
          </w:tcPr>
          <w:p w14:paraId="13693989">
            <w:pPr>
              <w:pStyle w:val="91"/>
              <w:keepNext w:val="0"/>
              <w:keepLines w:val="0"/>
              <w:suppressLineNumbers w:val="0"/>
              <w:spacing w:before="0" w:beforeAutospacing="0" w:after="0" w:afterAutospacing="0"/>
              <w:ind w:left="0" w:right="0"/>
              <w:rPr>
                <w:rFonts w:hint="default"/>
                <w:color w:val="auto"/>
              </w:rPr>
            </w:pPr>
            <w:r>
              <w:rPr>
                <w:rFonts w:hint="eastAsia"/>
                <w:color w:val="auto"/>
              </w:rPr>
              <w:t>统一收集上岸交由环卫部门清运</w:t>
            </w:r>
          </w:p>
        </w:tc>
        <w:tc>
          <w:tcPr>
            <w:tcW w:w="1124" w:type="dxa"/>
            <w:tcBorders>
              <w:top w:val="single" w:color="auto" w:sz="4" w:space="0"/>
              <w:left w:val="single" w:color="auto" w:sz="4" w:space="0"/>
              <w:bottom w:val="single" w:color="auto" w:sz="4" w:space="0"/>
              <w:right w:val="single" w:color="auto" w:sz="4" w:space="0"/>
            </w:tcBorders>
            <w:vAlign w:val="center"/>
          </w:tcPr>
          <w:p w14:paraId="46D0EA7A">
            <w:pPr>
              <w:pStyle w:val="91"/>
              <w:keepNext w:val="0"/>
              <w:keepLines w:val="0"/>
              <w:suppressLineNumbers w:val="0"/>
              <w:spacing w:before="0" w:beforeAutospacing="0" w:after="0" w:afterAutospacing="0"/>
              <w:ind w:left="0" w:right="0"/>
              <w:rPr>
                <w:rFonts w:hint="default"/>
                <w:color w:val="auto"/>
              </w:rPr>
            </w:pPr>
            <w:r>
              <w:rPr>
                <w:rFonts w:hint="default"/>
                <w:color w:val="auto"/>
              </w:rPr>
              <w:t>3.15</w:t>
            </w:r>
          </w:p>
        </w:tc>
        <w:tc>
          <w:tcPr>
            <w:tcW w:w="2136" w:type="dxa"/>
            <w:tcBorders>
              <w:top w:val="single" w:color="auto" w:sz="4" w:space="0"/>
              <w:left w:val="single" w:color="auto" w:sz="4" w:space="0"/>
              <w:bottom w:val="single" w:color="auto" w:sz="4" w:space="0"/>
              <w:right w:val="single" w:color="auto" w:sz="4" w:space="0"/>
            </w:tcBorders>
            <w:vAlign w:val="center"/>
          </w:tcPr>
          <w:p w14:paraId="57C01C84">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851" w:type="dxa"/>
            <w:tcBorders>
              <w:top w:val="single" w:color="auto" w:sz="4" w:space="0"/>
              <w:left w:val="single" w:color="auto" w:sz="4" w:space="0"/>
              <w:bottom w:val="single" w:color="auto" w:sz="4" w:space="0"/>
              <w:right w:val="single" w:color="auto" w:sz="4" w:space="0"/>
            </w:tcBorders>
            <w:vAlign w:val="center"/>
          </w:tcPr>
          <w:p w14:paraId="0012D7C3">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29D7F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right w:val="single" w:color="auto" w:sz="4" w:space="0"/>
            </w:tcBorders>
            <w:vAlign w:val="center"/>
          </w:tcPr>
          <w:p w14:paraId="129103B9">
            <w:pPr>
              <w:pStyle w:val="91"/>
              <w:keepNext w:val="0"/>
              <w:keepLines w:val="0"/>
              <w:suppressLineNumbers w:val="0"/>
              <w:spacing w:before="0" w:beforeAutospacing="0" w:after="0" w:afterAutospacing="0"/>
              <w:ind w:left="0" w:right="0"/>
              <w:rPr>
                <w:rFonts w:hint="default"/>
                <w:color w:val="auto"/>
              </w:rPr>
            </w:pPr>
          </w:p>
        </w:tc>
        <w:tc>
          <w:tcPr>
            <w:tcW w:w="2666" w:type="dxa"/>
            <w:gridSpan w:val="2"/>
            <w:tcBorders>
              <w:top w:val="single" w:color="auto" w:sz="4" w:space="0"/>
              <w:left w:val="single" w:color="auto" w:sz="4" w:space="0"/>
              <w:bottom w:val="single" w:color="auto" w:sz="4" w:space="0"/>
              <w:right w:val="single" w:color="auto" w:sz="4" w:space="0"/>
            </w:tcBorders>
            <w:vAlign w:val="center"/>
          </w:tcPr>
          <w:p w14:paraId="60489151">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含油废布及棉纱</w:t>
            </w:r>
          </w:p>
        </w:tc>
        <w:tc>
          <w:tcPr>
            <w:tcW w:w="1587" w:type="dxa"/>
            <w:vMerge w:val="restart"/>
            <w:tcBorders>
              <w:top w:val="single" w:color="auto" w:sz="4" w:space="0"/>
              <w:left w:val="single" w:color="auto" w:sz="4" w:space="0"/>
              <w:right w:val="single" w:color="auto" w:sz="4" w:space="0"/>
            </w:tcBorders>
            <w:vAlign w:val="center"/>
          </w:tcPr>
          <w:p w14:paraId="5AFBCAB5">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暂存在危废暂存库，定期委托有资质的单位处理</w:t>
            </w:r>
          </w:p>
        </w:tc>
        <w:tc>
          <w:tcPr>
            <w:tcW w:w="1124" w:type="dxa"/>
            <w:tcBorders>
              <w:top w:val="single" w:color="auto" w:sz="4" w:space="0"/>
              <w:left w:val="single" w:color="auto" w:sz="4" w:space="0"/>
              <w:bottom w:val="single" w:color="auto" w:sz="4" w:space="0"/>
              <w:right w:val="single" w:color="auto" w:sz="4" w:space="0"/>
            </w:tcBorders>
            <w:vAlign w:val="center"/>
          </w:tcPr>
          <w:p w14:paraId="089C6C61">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0.05</w:t>
            </w:r>
          </w:p>
        </w:tc>
        <w:tc>
          <w:tcPr>
            <w:tcW w:w="2136" w:type="dxa"/>
            <w:tcBorders>
              <w:top w:val="single" w:color="auto" w:sz="4" w:space="0"/>
              <w:left w:val="single" w:color="auto" w:sz="4" w:space="0"/>
              <w:bottom w:val="single" w:color="auto" w:sz="4" w:space="0"/>
              <w:right w:val="single" w:color="auto" w:sz="4" w:space="0"/>
            </w:tcBorders>
            <w:vAlign w:val="center"/>
          </w:tcPr>
          <w:p w14:paraId="73F68AEB">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851" w:type="dxa"/>
            <w:tcBorders>
              <w:top w:val="single" w:color="auto" w:sz="4" w:space="0"/>
              <w:left w:val="single" w:color="auto" w:sz="4" w:space="0"/>
              <w:bottom w:val="single" w:color="auto" w:sz="4" w:space="0"/>
              <w:right w:val="single" w:color="auto" w:sz="4" w:space="0"/>
            </w:tcBorders>
            <w:vAlign w:val="center"/>
          </w:tcPr>
          <w:p w14:paraId="543C56BA">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74876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right w:val="single" w:color="auto" w:sz="4" w:space="0"/>
            </w:tcBorders>
            <w:vAlign w:val="center"/>
          </w:tcPr>
          <w:p w14:paraId="0D91F9CB">
            <w:pPr>
              <w:pStyle w:val="91"/>
              <w:keepNext w:val="0"/>
              <w:keepLines w:val="0"/>
              <w:suppressLineNumbers w:val="0"/>
              <w:spacing w:before="0" w:beforeAutospacing="0" w:after="0" w:afterAutospacing="0"/>
              <w:ind w:left="0" w:right="0"/>
              <w:rPr>
                <w:rFonts w:hint="default"/>
                <w:color w:val="auto"/>
              </w:rPr>
            </w:pPr>
          </w:p>
        </w:tc>
        <w:tc>
          <w:tcPr>
            <w:tcW w:w="2666" w:type="dxa"/>
            <w:gridSpan w:val="2"/>
            <w:tcBorders>
              <w:top w:val="single" w:color="auto" w:sz="4" w:space="0"/>
              <w:left w:val="single" w:color="auto" w:sz="4" w:space="0"/>
              <w:bottom w:val="single" w:color="auto" w:sz="4" w:space="0"/>
              <w:right w:val="single" w:color="auto" w:sz="4" w:space="0"/>
            </w:tcBorders>
            <w:vAlign w:val="center"/>
          </w:tcPr>
          <w:p w14:paraId="21DF6AE7">
            <w:pPr>
              <w:pStyle w:val="91"/>
              <w:keepNext w:val="0"/>
              <w:keepLines w:val="0"/>
              <w:suppressLineNumbers w:val="0"/>
              <w:spacing w:before="0" w:beforeAutospacing="0" w:after="0" w:afterAutospacing="0"/>
              <w:ind w:left="0" w:right="0"/>
              <w:rPr>
                <w:rFonts w:hint="eastAsia"/>
                <w:color w:val="auto"/>
                <w:u w:val="single"/>
              </w:rPr>
            </w:pPr>
            <w:r>
              <w:rPr>
                <w:rFonts w:hint="eastAsia"/>
                <w:color w:val="auto"/>
                <w:u w:val="single"/>
              </w:rPr>
              <w:t>废活性炭、含油废滤芯</w:t>
            </w:r>
          </w:p>
        </w:tc>
        <w:tc>
          <w:tcPr>
            <w:tcW w:w="1587" w:type="dxa"/>
            <w:vMerge w:val="continue"/>
            <w:tcBorders>
              <w:left w:val="single" w:color="auto" w:sz="4" w:space="0"/>
              <w:right w:val="single" w:color="auto" w:sz="4" w:space="0"/>
            </w:tcBorders>
            <w:vAlign w:val="center"/>
          </w:tcPr>
          <w:p w14:paraId="5569FED5">
            <w:pPr>
              <w:pStyle w:val="91"/>
              <w:keepNext w:val="0"/>
              <w:keepLines w:val="0"/>
              <w:suppressLineNumbers w:val="0"/>
              <w:spacing w:before="0" w:beforeAutospacing="0" w:after="0" w:afterAutospacing="0"/>
              <w:ind w:left="0" w:right="0"/>
              <w:rPr>
                <w:rFonts w:hint="eastAsia"/>
                <w:color w:val="auto"/>
                <w:u w:val="single"/>
              </w:rPr>
            </w:pPr>
          </w:p>
        </w:tc>
        <w:tc>
          <w:tcPr>
            <w:tcW w:w="1124" w:type="dxa"/>
            <w:tcBorders>
              <w:top w:val="single" w:color="auto" w:sz="4" w:space="0"/>
              <w:left w:val="single" w:color="auto" w:sz="4" w:space="0"/>
              <w:bottom w:val="single" w:color="auto" w:sz="4" w:space="0"/>
              <w:right w:val="single" w:color="auto" w:sz="4" w:space="0"/>
            </w:tcBorders>
            <w:vAlign w:val="center"/>
          </w:tcPr>
          <w:p w14:paraId="3BB7C371">
            <w:pPr>
              <w:pStyle w:val="91"/>
              <w:keepNext w:val="0"/>
              <w:keepLines w:val="0"/>
              <w:suppressLineNumbers w:val="0"/>
              <w:spacing w:before="0" w:beforeAutospacing="0" w:after="0" w:afterAutospacing="0"/>
              <w:ind w:left="0" w:right="0"/>
              <w:rPr>
                <w:rFonts w:hint="default"/>
                <w:color w:val="auto"/>
                <w:u w:val="single"/>
              </w:rPr>
            </w:pPr>
            <w:r>
              <w:rPr>
                <w:rFonts w:hint="default"/>
                <w:color w:val="auto"/>
                <w:u w:val="single"/>
              </w:rPr>
              <w:t>21.74</w:t>
            </w:r>
          </w:p>
        </w:tc>
        <w:tc>
          <w:tcPr>
            <w:tcW w:w="2136" w:type="dxa"/>
            <w:tcBorders>
              <w:top w:val="single" w:color="auto" w:sz="4" w:space="0"/>
              <w:left w:val="single" w:color="auto" w:sz="4" w:space="0"/>
              <w:bottom w:val="single" w:color="auto" w:sz="4" w:space="0"/>
              <w:right w:val="single" w:color="auto" w:sz="4" w:space="0"/>
            </w:tcBorders>
            <w:vAlign w:val="center"/>
          </w:tcPr>
          <w:p w14:paraId="71428AC1">
            <w:pPr>
              <w:pStyle w:val="91"/>
              <w:keepNext w:val="0"/>
              <w:keepLines w:val="0"/>
              <w:suppressLineNumbers w:val="0"/>
              <w:spacing w:before="0" w:beforeAutospacing="0" w:after="0" w:afterAutospacing="0"/>
              <w:ind w:left="0" w:right="0"/>
              <w:rPr>
                <w:rFonts w:hint="eastAsia"/>
                <w:color w:val="auto"/>
              </w:rPr>
            </w:pPr>
          </w:p>
        </w:tc>
        <w:tc>
          <w:tcPr>
            <w:tcW w:w="851" w:type="dxa"/>
            <w:tcBorders>
              <w:top w:val="single" w:color="auto" w:sz="4" w:space="0"/>
              <w:left w:val="single" w:color="auto" w:sz="4" w:space="0"/>
              <w:bottom w:val="single" w:color="auto" w:sz="4" w:space="0"/>
              <w:right w:val="single" w:color="auto" w:sz="4" w:space="0"/>
            </w:tcBorders>
            <w:vAlign w:val="center"/>
          </w:tcPr>
          <w:p w14:paraId="7A87FCA9">
            <w:pPr>
              <w:pStyle w:val="91"/>
              <w:keepNext w:val="0"/>
              <w:keepLines w:val="0"/>
              <w:suppressLineNumbers w:val="0"/>
              <w:spacing w:before="0" w:beforeAutospacing="0" w:after="0" w:afterAutospacing="0"/>
              <w:ind w:left="0" w:right="0"/>
              <w:rPr>
                <w:rFonts w:hint="eastAsia"/>
                <w:color w:val="auto"/>
              </w:rPr>
            </w:pPr>
          </w:p>
        </w:tc>
      </w:tr>
      <w:tr w14:paraId="603A1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bottom w:val="single" w:color="auto" w:sz="4" w:space="0"/>
              <w:right w:val="single" w:color="auto" w:sz="4" w:space="0"/>
            </w:tcBorders>
            <w:vAlign w:val="center"/>
          </w:tcPr>
          <w:p w14:paraId="04344457">
            <w:pPr>
              <w:pStyle w:val="91"/>
              <w:keepNext w:val="0"/>
              <w:keepLines w:val="0"/>
              <w:suppressLineNumbers w:val="0"/>
              <w:spacing w:before="0" w:beforeAutospacing="0" w:after="0" w:afterAutospacing="0"/>
              <w:ind w:left="0" w:right="0"/>
              <w:rPr>
                <w:rFonts w:hint="default"/>
                <w:color w:val="auto"/>
              </w:rPr>
            </w:pPr>
          </w:p>
        </w:tc>
        <w:tc>
          <w:tcPr>
            <w:tcW w:w="2666" w:type="dxa"/>
            <w:gridSpan w:val="2"/>
            <w:tcBorders>
              <w:top w:val="single" w:color="auto" w:sz="4" w:space="0"/>
              <w:left w:val="single" w:color="auto" w:sz="4" w:space="0"/>
              <w:bottom w:val="single" w:color="auto" w:sz="4" w:space="0"/>
              <w:right w:val="single" w:color="auto" w:sz="4" w:space="0"/>
            </w:tcBorders>
            <w:vAlign w:val="center"/>
          </w:tcPr>
          <w:p w14:paraId="4A7155A8">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油气回收装置冷凝的有机物</w:t>
            </w:r>
          </w:p>
        </w:tc>
        <w:tc>
          <w:tcPr>
            <w:tcW w:w="1587" w:type="dxa"/>
            <w:tcBorders>
              <w:left w:val="single" w:color="auto" w:sz="4" w:space="0"/>
              <w:bottom w:val="single" w:color="auto" w:sz="4" w:space="0"/>
              <w:right w:val="single" w:color="auto" w:sz="4" w:space="0"/>
            </w:tcBorders>
            <w:vAlign w:val="center"/>
          </w:tcPr>
          <w:p w14:paraId="78EFECE3">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rPr>
              <w:t>送入物料储罐中，与储罐中储存的物料一起输送利用，不作为危废处理</w:t>
            </w:r>
          </w:p>
        </w:tc>
        <w:tc>
          <w:tcPr>
            <w:tcW w:w="1124" w:type="dxa"/>
            <w:tcBorders>
              <w:top w:val="single" w:color="auto" w:sz="4" w:space="0"/>
              <w:left w:val="single" w:color="auto" w:sz="4" w:space="0"/>
              <w:bottom w:val="single" w:color="auto" w:sz="4" w:space="0"/>
              <w:right w:val="single" w:color="auto" w:sz="4" w:space="0"/>
            </w:tcBorders>
            <w:vAlign w:val="center"/>
          </w:tcPr>
          <w:p w14:paraId="275FBF05">
            <w:pPr>
              <w:pStyle w:val="91"/>
              <w:keepNext w:val="0"/>
              <w:keepLines w:val="0"/>
              <w:suppressLineNumbers w:val="0"/>
              <w:spacing w:before="0" w:beforeAutospacing="0" w:after="0" w:afterAutospacing="0"/>
              <w:ind w:left="0" w:right="0"/>
              <w:rPr>
                <w:rFonts w:hint="default"/>
                <w:color w:val="auto"/>
                <w:u w:val="single"/>
              </w:rPr>
            </w:pPr>
            <w:r>
              <w:rPr>
                <w:rFonts w:hint="eastAsia"/>
                <w:color w:val="auto"/>
                <w:u w:val="single"/>
                <w:lang w:val="en-US" w:eastAsia="zh-CN"/>
              </w:rPr>
              <w:t>20</w:t>
            </w:r>
          </w:p>
        </w:tc>
        <w:tc>
          <w:tcPr>
            <w:tcW w:w="2136" w:type="dxa"/>
            <w:tcBorders>
              <w:top w:val="single" w:color="auto" w:sz="4" w:space="0"/>
              <w:left w:val="single" w:color="auto" w:sz="4" w:space="0"/>
              <w:bottom w:val="single" w:color="auto" w:sz="4" w:space="0"/>
              <w:right w:val="single" w:color="auto" w:sz="4" w:space="0"/>
            </w:tcBorders>
            <w:vAlign w:val="center"/>
          </w:tcPr>
          <w:p w14:paraId="1F2FF4B7">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851" w:type="dxa"/>
            <w:tcBorders>
              <w:top w:val="single" w:color="auto" w:sz="4" w:space="0"/>
              <w:left w:val="single" w:color="auto" w:sz="4" w:space="0"/>
              <w:bottom w:val="single" w:color="auto" w:sz="4" w:space="0"/>
              <w:right w:val="single" w:color="auto" w:sz="4" w:space="0"/>
            </w:tcBorders>
            <w:vAlign w:val="center"/>
          </w:tcPr>
          <w:p w14:paraId="0DCBD86A">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bl>
    <w:p w14:paraId="305F3564">
      <w:pPr>
        <w:pStyle w:val="4"/>
        <w:rPr>
          <w:color w:val="auto"/>
        </w:rPr>
      </w:pPr>
      <w:bookmarkStart w:id="654" w:name="_Toc135090317"/>
      <w:bookmarkStart w:id="655" w:name="_Toc26910109"/>
      <w:bookmarkStart w:id="656" w:name="_Toc216620650"/>
      <w:bookmarkStart w:id="657" w:name="_Toc29131922"/>
      <w:bookmarkStart w:id="658" w:name="_Toc216103491"/>
      <w:bookmarkStart w:id="659" w:name="_Toc136878581"/>
      <w:bookmarkStart w:id="660" w:name="_Toc25437062"/>
      <w:r>
        <w:rPr>
          <w:color w:val="auto"/>
        </w:rPr>
        <w:t>污染物总量控制指标</w:t>
      </w:r>
      <w:bookmarkEnd w:id="654"/>
      <w:bookmarkEnd w:id="655"/>
      <w:bookmarkEnd w:id="656"/>
      <w:bookmarkEnd w:id="657"/>
      <w:bookmarkEnd w:id="658"/>
      <w:bookmarkEnd w:id="659"/>
    </w:p>
    <w:p w14:paraId="4F8FFEBD">
      <w:pPr>
        <w:ind w:firstLine="480"/>
        <w:rPr>
          <w:color w:val="auto"/>
        </w:rPr>
      </w:pPr>
      <w:r>
        <w:rPr>
          <w:color w:val="auto"/>
        </w:rPr>
        <w:t>根据中华人民共和国生态环境部办公厅《关于印发</w:t>
      </w:r>
      <w:r>
        <w:rPr>
          <w:rFonts w:hint="eastAsia"/>
          <w:color w:val="auto"/>
        </w:rPr>
        <w:t>＜</w:t>
      </w:r>
      <w:r>
        <w:rPr>
          <w:color w:val="auto"/>
        </w:rPr>
        <w:t>主要污染物总量减排核算技术指南(2022年修订)</w:t>
      </w:r>
      <w:r>
        <w:rPr>
          <w:rFonts w:hint="eastAsia"/>
          <w:color w:val="auto"/>
        </w:rPr>
        <w:t>＞</w:t>
      </w:r>
      <w:r>
        <w:rPr>
          <w:color w:val="auto"/>
        </w:rPr>
        <w:t>的通知》（环办综合函〔2022〕350号），实施总量控制的主要污染物是指的化学需氧量(COD)、氨氮(NH</w:t>
      </w:r>
      <w:r>
        <w:rPr>
          <w:color w:val="auto"/>
          <w:vertAlign w:val="subscript"/>
        </w:rPr>
        <w:t>3</w:t>
      </w:r>
      <w:r>
        <w:rPr>
          <w:color w:val="auto"/>
        </w:rPr>
        <w:t>-N)、氮氧化物(NO</w:t>
      </w:r>
      <w:r>
        <w:rPr>
          <w:color w:val="auto"/>
          <w:vertAlign w:val="subscript"/>
        </w:rPr>
        <w:t>x</w:t>
      </w:r>
      <w:r>
        <w:rPr>
          <w:color w:val="auto"/>
        </w:rPr>
        <w:t>)、挥发性有机物(VOCs)等4项污染物。</w:t>
      </w:r>
    </w:p>
    <w:p w14:paraId="622C8874">
      <w:pPr>
        <w:ind w:firstLine="480"/>
        <w:rPr>
          <w:color w:val="auto"/>
        </w:rPr>
      </w:pPr>
      <w:r>
        <w:rPr>
          <w:color w:val="auto"/>
        </w:rPr>
        <w:t>本项目</w:t>
      </w:r>
      <w:r>
        <w:rPr>
          <w:rFonts w:hint="eastAsia"/>
          <w:color w:val="auto"/>
        </w:rPr>
        <w:t>不新增劳动定员、不新增生活污水</w:t>
      </w:r>
      <w:r>
        <w:rPr>
          <w:color w:val="auto"/>
        </w:rPr>
        <w:t>，项目不提出废水总量控制指标；</w:t>
      </w:r>
      <w:r>
        <w:rPr>
          <w:rFonts w:hint="eastAsia"/>
          <w:color w:val="auto"/>
        </w:rPr>
        <w:t>氮氧化物为到港船舶排放尾气，排放量极少，不提出氮氧化物总量控制指标；</w:t>
      </w:r>
      <w:r>
        <w:rPr>
          <w:color w:val="auto"/>
        </w:rPr>
        <w:t>因此本项目仅对</w:t>
      </w:r>
      <w:r>
        <w:rPr>
          <w:rFonts w:hint="eastAsia"/>
          <w:color w:val="auto"/>
        </w:rPr>
        <w:t>新增</w:t>
      </w:r>
      <w:r>
        <w:rPr>
          <w:color w:val="auto"/>
        </w:rPr>
        <w:t>主要污染物VOCs提出总量控制指标，即</w:t>
      </w:r>
      <w:r>
        <w:rPr>
          <w:rFonts w:hint="eastAsia"/>
          <w:color w:val="auto"/>
        </w:rPr>
        <w:t>新增</w:t>
      </w:r>
      <w:r>
        <w:rPr>
          <w:color w:val="auto"/>
        </w:rPr>
        <w:t>VOCs总量控制指标为6.394t/a</w:t>
      </w:r>
      <w:r>
        <w:rPr>
          <w:rFonts w:hint="eastAsia"/>
          <w:color w:val="auto"/>
        </w:rPr>
        <w:t>，</w:t>
      </w:r>
      <w:r>
        <w:rPr>
          <w:color w:val="auto"/>
        </w:rPr>
        <w:t>以新带老削减量为</w:t>
      </w:r>
      <w:r>
        <w:rPr>
          <w:rFonts w:hint="eastAsia"/>
          <w:color w:val="auto"/>
        </w:rPr>
        <w:t>16.8</w:t>
      </w:r>
      <w:r>
        <w:rPr>
          <w:color w:val="auto"/>
        </w:rPr>
        <w:t>t/a</w:t>
      </w:r>
      <w:r>
        <w:rPr>
          <w:rFonts w:hint="eastAsia"/>
          <w:color w:val="auto"/>
        </w:rPr>
        <w:t>，</w:t>
      </w:r>
      <w:r>
        <w:rPr>
          <w:color w:val="auto"/>
        </w:rPr>
        <w:t>最终</w:t>
      </w:r>
      <w:r>
        <w:rPr>
          <w:rFonts w:hint="eastAsia"/>
          <w:color w:val="auto"/>
        </w:rPr>
        <w:t>VOC</w:t>
      </w:r>
      <w:r>
        <w:rPr>
          <w:color w:val="auto"/>
        </w:rPr>
        <w:t>s排放增减量为</w:t>
      </w:r>
      <w:r>
        <w:rPr>
          <w:rFonts w:hint="eastAsia"/>
          <w:color w:val="auto"/>
        </w:rPr>
        <w:t>-</w:t>
      </w:r>
      <w:r>
        <w:rPr>
          <w:color w:val="auto"/>
        </w:rPr>
        <w:t>10.406t/a，无需新增申请</w:t>
      </w:r>
      <w:r>
        <w:rPr>
          <w:rFonts w:hint="eastAsia"/>
          <w:color w:val="auto"/>
        </w:rPr>
        <w:t>VOC</w:t>
      </w:r>
      <w:r>
        <w:rPr>
          <w:color w:val="auto"/>
        </w:rPr>
        <w:t>s总量控制。</w:t>
      </w:r>
    </w:p>
    <w:p w14:paraId="617BA447">
      <w:pPr>
        <w:pStyle w:val="4"/>
        <w:keepNext w:val="0"/>
        <w:keepLines w:val="0"/>
        <w:rPr>
          <w:color w:val="auto"/>
        </w:rPr>
      </w:pPr>
      <w:bookmarkStart w:id="661" w:name="_Toc135090318"/>
      <w:bookmarkStart w:id="662" w:name="_Toc136878582"/>
      <w:bookmarkStart w:id="663" w:name="_Toc216620651"/>
      <w:bookmarkStart w:id="664" w:name="_Toc216103492"/>
      <w:r>
        <w:rPr>
          <w:color w:val="auto"/>
        </w:rPr>
        <w:t>排污许可相关要求</w:t>
      </w:r>
      <w:bookmarkEnd w:id="661"/>
      <w:bookmarkEnd w:id="662"/>
      <w:bookmarkEnd w:id="663"/>
      <w:bookmarkEnd w:id="664"/>
    </w:p>
    <w:p w14:paraId="5F5A2556">
      <w:pPr>
        <w:pStyle w:val="81"/>
        <w:rPr>
          <w:color w:val="auto"/>
        </w:rPr>
      </w:pPr>
      <w:r>
        <w:rPr>
          <w:color w:val="auto"/>
        </w:rPr>
        <w:t>根据《国务院办公厅关于印发控制污染物排放许可制实施方案的通知》（国办发[2016]81号）、《固定污染源排污许可分类管理名录（2019年版）》等相关文件要求，企业事业单位和其他生产经营者应该按照名录的规定，在实施时限内申请排污许可证。</w:t>
      </w:r>
    </w:p>
    <w:p w14:paraId="20574383">
      <w:pPr>
        <w:pStyle w:val="81"/>
        <w:rPr>
          <w:color w:val="auto"/>
        </w:rPr>
      </w:pPr>
      <w:r>
        <w:rPr>
          <w:color w:val="auto"/>
        </w:rPr>
        <w:t>根据《固定污染源排污许可分类管理名录（2019年版）》，本项目属于“四十四、装卸搬运和仓储业·102危险品仓储-总容量10万立方米及以上的油库（含油品码头后方配套油库，不含储备油库）”，本项目应根据环保要求申请办理排污许可证。</w:t>
      </w:r>
    </w:p>
    <w:p w14:paraId="4EC5C850">
      <w:pPr>
        <w:pStyle w:val="81"/>
        <w:rPr>
          <w:color w:val="auto"/>
        </w:rPr>
      </w:pPr>
      <w:r>
        <w:rPr>
          <w:rFonts w:hint="eastAsia"/>
          <w:color w:val="auto"/>
        </w:rPr>
        <w:t>企业现有工程</w:t>
      </w:r>
      <w:r>
        <w:rPr>
          <w:color w:val="auto"/>
        </w:rPr>
        <w:t>已按规定申请</w:t>
      </w:r>
      <w:r>
        <w:rPr>
          <w:rFonts w:hint="eastAsia"/>
          <w:color w:val="auto"/>
        </w:rPr>
        <w:t>排污</w:t>
      </w:r>
      <w:r>
        <w:rPr>
          <w:color w:val="auto"/>
        </w:rPr>
        <w:t>许可证（</w:t>
      </w:r>
      <w:r>
        <w:rPr>
          <w:rFonts w:hint="eastAsia"/>
          <w:color w:val="auto"/>
        </w:rPr>
        <w:t>证书编号：91450700739966997P001R</w:t>
      </w:r>
      <w:r>
        <w:rPr>
          <w:color w:val="auto"/>
        </w:rPr>
        <w:t>）</w:t>
      </w:r>
      <w:r>
        <w:rPr>
          <w:rFonts w:hint="eastAsia"/>
          <w:color w:val="auto"/>
        </w:rPr>
        <w:t>，对照</w:t>
      </w:r>
      <w:r>
        <w:rPr>
          <w:color w:val="auto"/>
        </w:rPr>
        <w:t>《</w:t>
      </w:r>
      <w:r>
        <w:rPr>
          <w:rFonts w:hint="eastAsia"/>
          <w:color w:val="auto"/>
        </w:rPr>
        <w:t>排污</w:t>
      </w:r>
      <w:r>
        <w:rPr>
          <w:color w:val="auto"/>
        </w:rPr>
        <w:t>许可管理条例》</w:t>
      </w:r>
      <w:r>
        <w:rPr>
          <w:rFonts w:hint="eastAsia"/>
          <w:color w:val="auto"/>
        </w:rPr>
        <w:t>（中华人民共和国国务院令第736号）第</w:t>
      </w:r>
      <w:r>
        <w:rPr>
          <w:color w:val="auto"/>
        </w:rPr>
        <w:t>十五条</w:t>
      </w:r>
      <w:r>
        <w:rPr>
          <w:rFonts w:hint="eastAsia"/>
          <w:color w:val="auto"/>
        </w:rPr>
        <w:t>、</w:t>
      </w:r>
      <w:r>
        <w:rPr>
          <w:color w:val="auto"/>
        </w:rPr>
        <w:t>第十六</w:t>
      </w:r>
      <w:r>
        <w:rPr>
          <w:rFonts w:hint="eastAsia"/>
          <w:color w:val="auto"/>
        </w:rPr>
        <w:t>条</w:t>
      </w:r>
      <w:r>
        <w:rPr>
          <w:color w:val="auto"/>
        </w:rPr>
        <w:t>规定的情形</w:t>
      </w:r>
      <w:r>
        <w:rPr>
          <w:rFonts w:hint="eastAsia"/>
          <w:color w:val="auto"/>
        </w:rPr>
        <w:t>，本次</w:t>
      </w:r>
      <w:r>
        <w:rPr>
          <w:color w:val="auto"/>
        </w:rPr>
        <w:t>扩建项目不涉及排污许可证重新申请</w:t>
      </w:r>
      <w:r>
        <w:rPr>
          <w:rFonts w:hint="eastAsia"/>
          <w:color w:val="auto"/>
        </w:rPr>
        <w:t>及</w:t>
      </w:r>
      <w:r>
        <w:rPr>
          <w:color w:val="auto"/>
        </w:rPr>
        <w:t>变更，扩建项目无需重新申请排污许可证</w:t>
      </w:r>
      <w:r>
        <w:rPr>
          <w:rFonts w:hint="eastAsia"/>
          <w:color w:val="auto"/>
        </w:rPr>
        <w:t>。</w:t>
      </w:r>
    </w:p>
    <w:bookmarkEnd w:id="660"/>
    <w:p w14:paraId="14A28918">
      <w:pPr>
        <w:pStyle w:val="4"/>
        <w:rPr>
          <w:color w:val="auto"/>
        </w:rPr>
      </w:pPr>
      <w:bookmarkStart w:id="665" w:name="_Toc216620652"/>
      <w:bookmarkStart w:id="666" w:name="_Toc135090319"/>
      <w:bookmarkStart w:id="667" w:name="_Toc25437063"/>
      <w:bookmarkStart w:id="668" w:name="_Toc216103493"/>
      <w:bookmarkStart w:id="669" w:name="_Toc29131924"/>
      <w:bookmarkStart w:id="670" w:name="_Toc136878583"/>
      <w:bookmarkStart w:id="671" w:name="_Toc26910111"/>
      <w:r>
        <w:rPr>
          <w:color w:val="auto"/>
        </w:rPr>
        <w:t>应向社会公开的信息</w:t>
      </w:r>
      <w:bookmarkEnd w:id="665"/>
      <w:bookmarkEnd w:id="666"/>
      <w:bookmarkEnd w:id="667"/>
      <w:bookmarkEnd w:id="668"/>
      <w:bookmarkEnd w:id="669"/>
      <w:bookmarkEnd w:id="670"/>
      <w:bookmarkEnd w:id="671"/>
    </w:p>
    <w:p w14:paraId="3A722401">
      <w:pPr>
        <w:ind w:firstLine="480"/>
        <w:rPr>
          <w:color w:val="auto"/>
        </w:rPr>
      </w:pPr>
      <w:r>
        <w:rPr>
          <w:color w:val="auto"/>
        </w:rPr>
        <w:t>根据《企业事业单位环境信息公开办法》（环境保护部令第31号），建设单位应向社会公开如下环境信息：</w:t>
      </w:r>
    </w:p>
    <w:p w14:paraId="47DBFC60">
      <w:pPr>
        <w:ind w:firstLine="480"/>
        <w:rPr>
          <w:color w:val="auto"/>
        </w:rPr>
      </w:pPr>
      <w:r>
        <w:rPr>
          <w:color w:val="auto"/>
        </w:rPr>
        <w:t>（1）基础信息，包括单位名称、组织机构代码、法定代表人、生产地址、联系方式，以及生产经营和管理服务的主要内容、产品及规模；</w:t>
      </w:r>
    </w:p>
    <w:p w14:paraId="5D6DC9B0">
      <w:pPr>
        <w:ind w:firstLine="480"/>
        <w:rPr>
          <w:color w:val="auto"/>
        </w:rPr>
      </w:pPr>
      <w:r>
        <w:rPr>
          <w:color w:val="auto"/>
        </w:rPr>
        <w:t>（2）排污信息，包括主要污染物及特征污染物的名称、排放方式、排放口数量和分布情况、排放浓度和总量、超标情况，以及执行的污染物排放标准、核定的排放总量；</w:t>
      </w:r>
    </w:p>
    <w:p w14:paraId="57DF4478">
      <w:pPr>
        <w:ind w:firstLine="480"/>
        <w:rPr>
          <w:color w:val="auto"/>
        </w:rPr>
      </w:pPr>
      <w:r>
        <w:rPr>
          <w:color w:val="auto"/>
        </w:rPr>
        <w:t>（3）防治污染设施的建设和运行情况；</w:t>
      </w:r>
    </w:p>
    <w:p w14:paraId="2B52A023">
      <w:pPr>
        <w:ind w:firstLine="480"/>
        <w:rPr>
          <w:color w:val="auto"/>
        </w:rPr>
      </w:pPr>
      <w:r>
        <w:rPr>
          <w:color w:val="auto"/>
        </w:rPr>
        <w:t>（4）建设项目环境影响评价及其他环境保护行政许可情况；</w:t>
      </w:r>
    </w:p>
    <w:p w14:paraId="1BD631D0">
      <w:pPr>
        <w:ind w:firstLine="480"/>
        <w:rPr>
          <w:color w:val="auto"/>
        </w:rPr>
      </w:pPr>
      <w:r>
        <w:rPr>
          <w:color w:val="auto"/>
        </w:rPr>
        <w:t>（5）突发环境事件应急预案；</w:t>
      </w:r>
    </w:p>
    <w:p w14:paraId="0341BCE7">
      <w:pPr>
        <w:ind w:firstLine="480"/>
        <w:rPr>
          <w:color w:val="auto"/>
        </w:rPr>
      </w:pPr>
      <w:r>
        <w:rPr>
          <w:color w:val="auto"/>
        </w:rPr>
        <w:t>（6）其他应当公开的环境信息。</w:t>
      </w:r>
    </w:p>
    <w:p w14:paraId="0BF89036">
      <w:pPr>
        <w:pStyle w:val="5"/>
        <w:rPr>
          <w:color w:val="auto"/>
        </w:rPr>
      </w:pPr>
      <w:bookmarkStart w:id="672" w:name="_Toc223258514"/>
      <w:bookmarkStart w:id="673" w:name="_Toc223595803"/>
      <w:r>
        <w:rPr>
          <w:color w:val="auto"/>
        </w:rPr>
        <w:t>环境监测</w:t>
      </w:r>
      <w:bookmarkEnd w:id="672"/>
      <w:bookmarkEnd w:id="673"/>
    </w:p>
    <w:p w14:paraId="59C11420">
      <w:pPr>
        <w:ind w:firstLine="480"/>
        <w:rPr>
          <w:color w:val="auto"/>
        </w:rPr>
      </w:pPr>
      <w:r>
        <w:rPr>
          <w:color w:val="auto"/>
        </w:rPr>
        <w:t>实施环境监测的目的是为了及时了解建设项目在其施工期和运营期对所在区域的环境质量影响，以便对可能产生较大环境影响的关键环节事先进行制度性的监测，使可能造成环境影响的因素得以及时发现，为项目环境管理提供科学依据。同时，实施环境监测也是企业制定环境保护规划、判断环境治理效果、开展有效的环境管理的重要依据。</w:t>
      </w:r>
    </w:p>
    <w:p w14:paraId="5F2DFC69">
      <w:pPr>
        <w:pStyle w:val="4"/>
        <w:rPr>
          <w:color w:val="auto"/>
        </w:rPr>
      </w:pPr>
      <w:bookmarkStart w:id="674" w:name="_Toc26910114"/>
      <w:bookmarkStart w:id="675" w:name="_Toc25437066"/>
      <w:bookmarkStart w:id="676" w:name="_Toc216103496"/>
      <w:bookmarkStart w:id="677" w:name="_Toc135090322"/>
      <w:bookmarkStart w:id="678" w:name="_Toc136878586"/>
      <w:bookmarkStart w:id="679" w:name="_Toc216620655"/>
      <w:bookmarkStart w:id="680" w:name="_Toc29131927"/>
      <w:r>
        <w:rPr>
          <w:color w:val="auto"/>
        </w:rPr>
        <w:t>运营期环境监测计划</w:t>
      </w:r>
      <w:bookmarkEnd w:id="674"/>
      <w:bookmarkEnd w:id="675"/>
      <w:bookmarkEnd w:id="676"/>
      <w:bookmarkEnd w:id="677"/>
      <w:bookmarkEnd w:id="678"/>
      <w:bookmarkEnd w:id="679"/>
      <w:bookmarkEnd w:id="680"/>
    </w:p>
    <w:p w14:paraId="02392F2D">
      <w:pPr>
        <w:ind w:firstLine="480"/>
        <w:rPr>
          <w:color w:val="auto"/>
        </w:rPr>
      </w:pPr>
      <w:bookmarkStart w:id="681" w:name="_Toc26910115"/>
      <w:bookmarkStart w:id="682" w:name="_Toc25437067"/>
      <w:bookmarkStart w:id="683" w:name="_Toc29131928"/>
      <w:bookmarkStart w:id="684" w:name="_Toc135090323"/>
      <w:bookmarkStart w:id="685" w:name="_Toc216103497"/>
      <w:bookmarkStart w:id="686" w:name="_Toc136878587"/>
      <w:r>
        <w:rPr>
          <w:rFonts w:hint="eastAsia"/>
          <w:color w:val="auto"/>
        </w:rPr>
        <w:t>根据现有工程自行监测方案，现有工程在码头布设3个</w:t>
      </w:r>
      <w:r>
        <w:rPr>
          <w:color w:val="auto"/>
        </w:rPr>
        <w:t>有组织</w:t>
      </w:r>
      <w:r>
        <w:rPr>
          <w:rFonts w:hint="eastAsia"/>
          <w:color w:val="auto"/>
        </w:rPr>
        <w:t>监测</w:t>
      </w:r>
      <w:r>
        <w:rPr>
          <w:color w:val="auto"/>
        </w:rPr>
        <w:t>点，</w:t>
      </w:r>
      <w:r>
        <w:rPr>
          <w:rFonts w:hint="eastAsia"/>
          <w:color w:val="auto"/>
        </w:rPr>
        <w:t>每月监测1次；地下水布设2个</w:t>
      </w:r>
      <w:r>
        <w:rPr>
          <w:color w:val="auto"/>
        </w:rPr>
        <w:t>监测点</w:t>
      </w:r>
      <w:r>
        <w:rPr>
          <w:rFonts w:hint="eastAsia"/>
          <w:color w:val="auto"/>
        </w:rPr>
        <w:t>，</w:t>
      </w:r>
      <w:r>
        <w:rPr>
          <w:color w:val="auto"/>
        </w:rPr>
        <w:t>半年监测</w:t>
      </w:r>
      <w:r>
        <w:rPr>
          <w:rFonts w:hint="eastAsia"/>
          <w:color w:val="auto"/>
        </w:rPr>
        <w:t>1次。参考《排污单位自行监测技术指南</w:t>
      </w:r>
      <w:r>
        <w:rPr>
          <w:rFonts w:hint="eastAsia"/>
          <w:color w:val="auto"/>
          <w:lang w:val="en-US" w:eastAsia="zh-CN"/>
        </w:rPr>
        <w:t xml:space="preserve"> </w:t>
      </w:r>
      <w:r>
        <w:rPr>
          <w:rFonts w:hint="eastAsia"/>
          <w:color w:val="auto"/>
        </w:rPr>
        <w:t>总则》（HJ819-2017）、《排污许可证申请与核发技术规范</w:t>
      </w:r>
      <w:r>
        <w:rPr>
          <w:rFonts w:hint="eastAsia"/>
          <w:color w:val="auto"/>
          <w:lang w:val="en-US" w:eastAsia="zh-CN"/>
        </w:rPr>
        <w:t xml:space="preserve"> </w:t>
      </w:r>
      <w:r>
        <w:rPr>
          <w:rFonts w:hint="eastAsia"/>
          <w:color w:val="auto"/>
        </w:rPr>
        <w:t>码头》（HJ1107-2020）、《排污许可证申请与核发技术规范</w:t>
      </w:r>
      <w:r>
        <w:rPr>
          <w:rFonts w:hint="eastAsia"/>
          <w:color w:val="auto"/>
          <w:lang w:val="en-US" w:eastAsia="zh-CN"/>
        </w:rPr>
        <w:t xml:space="preserve"> </w:t>
      </w:r>
      <w:r>
        <w:rPr>
          <w:rFonts w:hint="eastAsia"/>
          <w:color w:val="auto"/>
        </w:rPr>
        <w:t>石化工业》（HJ853-2017），</w:t>
      </w:r>
      <w:r>
        <w:rPr>
          <w:color w:val="auto"/>
        </w:rPr>
        <w:t>现有工程有组织</w:t>
      </w:r>
      <w:r>
        <w:rPr>
          <w:rFonts w:hint="eastAsia"/>
          <w:color w:val="auto"/>
        </w:rPr>
        <w:t>废气</w:t>
      </w:r>
      <w:r>
        <w:rPr>
          <w:color w:val="auto"/>
        </w:rPr>
        <w:t>、地下水监测计划已</w:t>
      </w:r>
      <w:r>
        <w:rPr>
          <w:rFonts w:hint="eastAsia"/>
          <w:color w:val="auto"/>
        </w:rPr>
        <w:t>符合</w:t>
      </w:r>
      <w:r>
        <w:rPr>
          <w:color w:val="auto"/>
        </w:rPr>
        <w:t>规范要求</w:t>
      </w:r>
      <w:r>
        <w:rPr>
          <w:rFonts w:hint="eastAsia"/>
          <w:color w:val="auto"/>
        </w:rPr>
        <w:t>。</w:t>
      </w:r>
    </w:p>
    <w:p w14:paraId="66D37B75">
      <w:pPr>
        <w:ind w:firstLine="480"/>
        <w:rPr>
          <w:color w:val="auto"/>
        </w:rPr>
      </w:pPr>
      <w:r>
        <w:rPr>
          <w:rFonts w:hint="eastAsia"/>
          <w:color w:val="auto"/>
        </w:rPr>
        <w:t>本项目无组织废气污染物为非甲烷总烃，项目产生的污水经收集后由罐车运回东油沥青厂区后统一通过管网输送至广西石化污水处理场进行处理。参考监测</w:t>
      </w:r>
      <w:r>
        <w:rPr>
          <w:color w:val="auto"/>
        </w:rPr>
        <w:t>技术指南、技术规范的</w:t>
      </w:r>
      <w:r>
        <w:rPr>
          <w:rFonts w:hint="eastAsia"/>
          <w:color w:val="auto"/>
        </w:rPr>
        <w:t>相关要求，</w:t>
      </w:r>
      <w:r>
        <w:rPr>
          <w:color w:val="auto"/>
        </w:rPr>
        <w:t>结合本项目运营期对环境的影响，</w:t>
      </w:r>
      <w:r>
        <w:rPr>
          <w:rFonts w:hint="eastAsia"/>
          <w:color w:val="auto"/>
        </w:rPr>
        <w:t>在</w:t>
      </w:r>
      <w:r>
        <w:rPr>
          <w:color w:val="auto"/>
        </w:rPr>
        <w:t>现有</w:t>
      </w:r>
      <w:r>
        <w:rPr>
          <w:rFonts w:hint="eastAsia"/>
          <w:color w:val="auto"/>
        </w:rPr>
        <w:t>的检测计划上</w:t>
      </w:r>
      <w:r>
        <w:rPr>
          <w:color w:val="auto"/>
        </w:rPr>
        <w:t>对</w:t>
      </w:r>
      <w:r>
        <w:rPr>
          <w:rFonts w:hint="eastAsia"/>
          <w:color w:val="auto"/>
        </w:rPr>
        <w:t>运营期补充</w:t>
      </w:r>
      <w:r>
        <w:rPr>
          <w:color w:val="auto"/>
        </w:rPr>
        <w:t>的监测</w:t>
      </w:r>
      <w:r>
        <w:rPr>
          <w:rFonts w:hint="eastAsia"/>
          <w:color w:val="auto"/>
        </w:rPr>
        <w:t>计划</w:t>
      </w:r>
      <w:r>
        <w:rPr>
          <w:color w:val="auto"/>
        </w:rPr>
        <w:t>。监测计划见表8.3-1。</w:t>
      </w:r>
    </w:p>
    <w:p w14:paraId="5A34147E">
      <w:pPr>
        <w:pStyle w:val="14"/>
        <w:rPr>
          <w:color w:val="auto"/>
        </w:rPr>
      </w:pPr>
      <w:r>
        <w:rPr>
          <w:rFonts w:hint="eastAsia"/>
          <w:color w:val="auto"/>
        </w:rPr>
        <w:t>表</w:t>
      </w:r>
      <w:r>
        <w:rPr>
          <w:color w:val="auto"/>
        </w:rPr>
        <w:t>8.3</w:t>
      </w:r>
      <w:r>
        <w:rPr>
          <w:color w:val="auto"/>
        </w:rPr>
        <w:noBreakHyphen/>
      </w:r>
      <w:r>
        <w:rPr>
          <w:color w:val="auto"/>
        </w:rPr>
        <w:t>1运营期环境监测计划</w:t>
      </w:r>
    </w:p>
    <w:tbl>
      <w:tblPr>
        <w:tblStyle w:val="43"/>
        <w:tblW w:w="854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119"/>
        <w:gridCol w:w="3402"/>
        <w:gridCol w:w="2964"/>
        <w:gridCol w:w="1059"/>
      </w:tblGrid>
      <w:tr w14:paraId="11C5E3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tblHeader/>
          <w:jc w:val="center"/>
        </w:trPr>
        <w:tc>
          <w:tcPr>
            <w:tcW w:w="1119" w:type="dxa"/>
            <w:vAlign w:val="center"/>
          </w:tcPr>
          <w:p w14:paraId="1B030037">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类别</w:t>
            </w:r>
          </w:p>
        </w:tc>
        <w:tc>
          <w:tcPr>
            <w:tcW w:w="3402" w:type="dxa"/>
            <w:vAlign w:val="center"/>
          </w:tcPr>
          <w:p w14:paraId="5D2BFAAC">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监测站位</w:t>
            </w:r>
          </w:p>
        </w:tc>
        <w:tc>
          <w:tcPr>
            <w:tcW w:w="2964" w:type="dxa"/>
            <w:vAlign w:val="center"/>
          </w:tcPr>
          <w:p w14:paraId="7B3C7744">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监测项目</w:t>
            </w:r>
          </w:p>
        </w:tc>
        <w:tc>
          <w:tcPr>
            <w:tcW w:w="1059" w:type="dxa"/>
            <w:vAlign w:val="center"/>
          </w:tcPr>
          <w:p w14:paraId="59B8634A">
            <w:pPr>
              <w:pStyle w:val="77"/>
              <w:keepNext w:val="0"/>
              <w:keepLines w:val="0"/>
              <w:suppressLineNumbers w:val="0"/>
              <w:spacing w:before="0" w:beforeAutospacing="0" w:after="0" w:afterAutospacing="0"/>
              <w:ind w:left="0" w:right="0"/>
              <w:rPr>
                <w:rFonts w:hint="default"/>
                <w:b/>
                <w:bCs/>
                <w:color w:val="auto"/>
              </w:rPr>
            </w:pPr>
            <w:r>
              <w:rPr>
                <w:rFonts w:hint="default"/>
                <w:b/>
                <w:bCs/>
                <w:color w:val="auto"/>
              </w:rPr>
              <w:t>监测频次</w:t>
            </w:r>
          </w:p>
        </w:tc>
      </w:tr>
      <w:tr w14:paraId="59FE37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119" w:type="dxa"/>
            <w:vAlign w:val="center"/>
          </w:tcPr>
          <w:p w14:paraId="6FC1FC9A">
            <w:pPr>
              <w:pStyle w:val="77"/>
              <w:keepNext w:val="0"/>
              <w:keepLines w:val="0"/>
              <w:suppressLineNumbers w:val="0"/>
              <w:spacing w:before="0" w:beforeAutospacing="0" w:after="0" w:afterAutospacing="0"/>
              <w:ind w:left="0" w:right="0"/>
              <w:rPr>
                <w:rFonts w:hint="default"/>
                <w:color w:val="auto"/>
              </w:rPr>
            </w:pPr>
            <w:r>
              <w:rPr>
                <w:rFonts w:hint="default"/>
                <w:color w:val="auto"/>
              </w:rPr>
              <w:t>无组织大气</w:t>
            </w:r>
          </w:p>
        </w:tc>
        <w:tc>
          <w:tcPr>
            <w:tcW w:w="3402" w:type="dxa"/>
            <w:vAlign w:val="center"/>
          </w:tcPr>
          <w:p w14:paraId="00048FD1">
            <w:pPr>
              <w:pStyle w:val="77"/>
              <w:keepNext w:val="0"/>
              <w:keepLines w:val="0"/>
              <w:suppressLineNumbers w:val="0"/>
              <w:spacing w:before="0" w:beforeAutospacing="0" w:after="0" w:afterAutospacing="0"/>
              <w:ind w:left="0" w:right="0"/>
              <w:rPr>
                <w:rFonts w:hint="default"/>
                <w:color w:val="auto"/>
              </w:rPr>
            </w:pPr>
            <w:r>
              <w:rPr>
                <w:rFonts w:hint="eastAsia"/>
                <w:color w:val="auto"/>
              </w:rPr>
              <w:t>项目</w:t>
            </w:r>
            <w:r>
              <w:rPr>
                <w:rFonts w:hint="default"/>
                <w:color w:val="auto"/>
              </w:rPr>
              <w:t>厂界</w:t>
            </w:r>
            <w:r>
              <w:rPr>
                <w:rFonts w:hint="eastAsia"/>
                <w:color w:val="auto"/>
              </w:rPr>
              <w:t>上风向1个</w:t>
            </w:r>
            <w:r>
              <w:rPr>
                <w:rFonts w:hint="default"/>
                <w:color w:val="auto"/>
              </w:rPr>
              <w:t>、下风向</w:t>
            </w:r>
            <w:r>
              <w:rPr>
                <w:rFonts w:hint="eastAsia"/>
                <w:color w:val="auto"/>
              </w:rPr>
              <w:t>3个</w:t>
            </w:r>
          </w:p>
        </w:tc>
        <w:tc>
          <w:tcPr>
            <w:tcW w:w="2964" w:type="dxa"/>
            <w:vAlign w:val="center"/>
          </w:tcPr>
          <w:p w14:paraId="4A0DFFBF">
            <w:pPr>
              <w:pStyle w:val="77"/>
              <w:keepNext w:val="0"/>
              <w:keepLines w:val="0"/>
              <w:suppressLineNumbers w:val="0"/>
              <w:spacing w:before="0" w:beforeAutospacing="0" w:after="0" w:afterAutospacing="0"/>
              <w:ind w:left="0" w:right="0"/>
              <w:rPr>
                <w:rFonts w:hint="default"/>
                <w:color w:val="auto"/>
              </w:rPr>
            </w:pPr>
            <w:r>
              <w:rPr>
                <w:rFonts w:hint="default"/>
                <w:snapToGrid w:val="0"/>
                <w:color w:val="auto"/>
                <w:kern w:val="0"/>
              </w:rPr>
              <w:t>非甲烷总烃</w:t>
            </w:r>
          </w:p>
        </w:tc>
        <w:tc>
          <w:tcPr>
            <w:tcW w:w="1059" w:type="dxa"/>
            <w:vAlign w:val="center"/>
          </w:tcPr>
          <w:p w14:paraId="16190C6C">
            <w:pPr>
              <w:pStyle w:val="77"/>
              <w:keepNext w:val="0"/>
              <w:keepLines w:val="0"/>
              <w:suppressLineNumbers w:val="0"/>
              <w:spacing w:before="0" w:beforeAutospacing="0" w:after="0" w:afterAutospacing="0"/>
              <w:ind w:left="0" w:right="0"/>
              <w:rPr>
                <w:rFonts w:hint="default"/>
                <w:color w:val="auto"/>
              </w:rPr>
            </w:pPr>
            <w:r>
              <w:rPr>
                <w:rFonts w:hint="default"/>
                <w:color w:val="auto"/>
              </w:rPr>
              <w:t>1次/</w:t>
            </w:r>
            <w:r>
              <w:rPr>
                <w:rFonts w:hint="eastAsia"/>
                <w:color w:val="auto"/>
              </w:rPr>
              <w:t>季度</w:t>
            </w:r>
          </w:p>
        </w:tc>
      </w:tr>
      <w:tr w14:paraId="7D23E3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119" w:type="dxa"/>
            <w:vAlign w:val="center"/>
          </w:tcPr>
          <w:p w14:paraId="08B30990">
            <w:pPr>
              <w:pStyle w:val="77"/>
              <w:keepNext w:val="0"/>
              <w:keepLines w:val="0"/>
              <w:suppressLineNumbers w:val="0"/>
              <w:spacing w:before="0" w:beforeAutospacing="0" w:after="0" w:afterAutospacing="0"/>
              <w:ind w:left="0" w:right="0"/>
              <w:rPr>
                <w:rFonts w:hint="default"/>
                <w:color w:val="auto"/>
              </w:rPr>
            </w:pPr>
            <w:r>
              <w:rPr>
                <w:rFonts w:hint="eastAsia"/>
                <w:color w:val="auto"/>
              </w:rPr>
              <w:t>厂界</w:t>
            </w:r>
            <w:r>
              <w:rPr>
                <w:rFonts w:hint="default"/>
                <w:color w:val="auto"/>
              </w:rPr>
              <w:t>噪声</w:t>
            </w:r>
          </w:p>
        </w:tc>
        <w:tc>
          <w:tcPr>
            <w:tcW w:w="3402" w:type="dxa"/>
            <w:vAlign w:val="center"/>
          </w:tcPr>
          <w:p w14:paraId="578283B9">
            <w:pPr>
              <w:pStyle w:val="77"/>
              <w:keepNext w:val="0"/>
              <w:keepLines w:val="0"/>
              <w:suppressLineNumbers w:val="0"/>
              <w:spacing w:before="0" w:beforeAutospacing="0" w:after="0" w:afterAutospacing="0"/>
              <w:ind w:left="0" w:right="0"/>
              <w:rPr>
                <w:rFonts w:hint="default"/>
                <w:color w:val="auto"/>
              </w:rPr>
            </w:pPr>
            <w:r>
              <w:rPr>
                <w:rFonts w:hint="eastAsia"/>
                <w:color w:val="auto"/>
              </w:rPr>
              <w:t>项目东面厂界外1m、项目南面厂界外1m、项目西面厂界外1m、项目北面厂界外1m</w:t>
            </w:r>
          </w:p>
        </w:tc>
        <w:tc>
          <w:tcPr>
            <w:tcW w:w="2964" w:type="dxa"/>
            <w:vAlign w:val="center"/>
          </w:tcPr>
          <w:p w14:paraId="450422B4">
            <w:pPr>
              <w:pStyle w:val="77"/>
              <w:keepNext w:val="0"/>
              <w:keepLines w:val="0"/>
              <w:suppressLineNumbers w:val="0"/>
              <w:spacing w:before="0" w:beforeAutospacing="0" w:after="0" w:afterAutospacing="0"/>
              <w:ind w:left="0" w:right="0"/>
              <w:rPr>
                <w:rFonts w:hint="default"/>
                <w:color w:val="auto"/>
              </w:rPr>
            </w:pPr>
            <w:r>
              <w:rPr>
                <w:rFonts w:hint="eastAsia"/>
                <w:color w:val="auto"/>
              </w:rPr>
              <w:t>昼夜噪声（等效连续A声级Leq）</w:t>
            </w:r>
          </w:p>
        </w:tc>
        <w:tc>
          <w:tcPr>
            <w:tcW w:w="1059" w:type="dxa"/>
            <w:vAlign w:val="center"/>
          </w:tcPr>
          <w:p w14:paraId="4AB42CB4">
            <w:pPr>
              <w:pStyle w:val="77"/>
              <w:keepNext w:val="0"/>
              <w:keepLines w:val="0"/>
              <w:suppressLineNumbers w:val="0"/>
              <w:spacing w:before="0" w:beforeAutospacing="0" w:after="0" w:afterAutospacing="0"/>
              <w:ind w:left="0" w:right="0"/>
              <w:rPr>
                <w:rFonts w:hint="default"/>
                <w:color w:val="auto"/>
              </w:rPr>
            </w:pPr>
            <w:r>
              <w:rPr>
                <w:rFonts w:hint="default"/>
                <w:color w:val="auto"/>
              </w:rPr>
              <w:t>1次/</w:t>
            </w:r>
            <w:r>
              <w:rPr>
                <w:rFonts w:hint="eastAsia"/>
                <w:color w:val="auto"/>
              </w:rPr>
              <w:t>季度</w:t>
            </w:r>
          </w:p>
        </w:tc>
      </w:tr>
      <w:tr w14:paraId="759547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119" w:type="dxa"/>
            <w:vAlign w:val="center"/>
          </w:tcPr>
          <w:p w14:paraId="75C9244F">
            <w:pPr>
              <w:pStyle w:val="77"/>
              <w:keepNext w:val="0"/>
              <w:keepLines w:val="0"/>
              <w:suppressLineNumbers w:val="0"/>
              <w:spacing w:before="0" w:beforeAutospacing="0" w:after="0" w:afterAutospacing="0"/>
              <w:ind w:left="0" w:right="0"/>
              <w:rPr>
                <w:rFonts w:hint="eastAsia" w:eastAsia="宋体"/>
                <w:color w:val="auto"/>
                <w:u w:val="single"/>
                <w:lang w:eastAsia="zh-CN"/>
              </w:rPr>
            </w:pPr>
            <w:bookmarkStart w:id="687" w:name="_Toc223258515"/>
            <w:bookmarkStart w:id="688" w:name="_Toc223595804"/>
            <w:bookmarkStart w:id="689" w:name="_Toc25437068"/>
            <w:r>
              <w:rPr>
                <w:rFonts w:hint="eastAsia"/>
                <w:color w:val="auto"/>
                <w:u w:val="single"/>
                <w:lang w:eastAsia="zh-CN"/>
              </w:rPr>
              <w:t>海洋生态</w:t>
            </w:r>
          </w:p>
        </w:tc>
        <w:tc>
          <w:tcPr>
            <w:tcW w:w="3402" w:type="dxa"/>
            <w:vAlign w:val="center"/>
          </w:tcPr>
          <w:p w14:paraId="497C3E34">
            <w:pPr>
              <w:pStyle w:val="77"/>
              <w:keepNext w:val="0"/>
              <w:keepLines w:val="0"/>
              <w:suppressLineNumbers w:val="0"/>
              <w:spacing w:before="0" w:beforeAutospacing="0" w:after="0" w:afterAutospacing="0"/>
              <w:ind w:left="0" w:right="0"/>
              <w:rPr>
                <w:rFonts w:hint="eastAsia" w:eastAsia="宋体"/>
                <w:color w:val="auto"/>
                <w:u w:val="single"/>
                <w:lang w:eastAsia="zh-CN"/>
              </w:rPr>
            </w:pPr>
            <w:r>
              <w:rPr>
                <w:rFonts w:hint="eastAsia"/>
                <w:color w:val="auto"/>
                <w:u w:val="single"/>
                <w:lang w:eastAsia="zh-CN"/>
              </w:rPr>
              <w:t>水质监测</w:t>
            </w:r>
          </w:p>
        </w:tc>
        <w:tc>
          <w:tcPr>
            <w:tcW w:w="2964" w:type="dxa"/>
            <w:vAlign w:val="center"/>
          </w:tcPr>
          <w:p w14:paraId="180138A9">
            <w:pPr>
              <w:pStyle w:val="77"/>
              <w:keepNext w:val="0"/>
              <w:keepLines w:val="0"/>
              <w:suppressLineNumbers w:val="0"/>
              <w:spacing w:before="0" w:beforeAutospacing="0" w:after="0" w:afterAutospacing="0"/>
              <w:ind w:left="0" w:right="0"/>
              <w:rPr>
                <w:rFonts w:hint="eastAsia"/>
                <w:color w:val="auto"/>
                <w:u w:val="single"/>
              </w:rPr>
            </w:pPr>
            <w:r>
              <w:rPr>
                <w:rFonts w:hint="eastAsia"/>
                <w:color w:val="auto"/>
                <w:u w:val="single"/>
              </w:rPr>
              <w:t>盐度、悬浮物、pH、化学需氧量、无机氮、活性磷酸盐、石油类、铜、铅、镉、总铬、汞、砷</w:t>
            </w:r>
          </w:p>
        </w:tc>
        <w:tc>
          <w:tcPr>
            <w:tcW w:w="1059" w:type="dxa"/>
            <w:vAlign w:val="center"/>
          </w:tcPr>
          <w:p w14:paraId="7B645B6B">
            <w:pPr>
              <w:pStyle w:val="77"/>
              <w:keepNext w:val="0"/>
              <w:keepLines w:val="0"/>
              <w:suppressLineNumbers w:val="0"/>
              <w:spacing w:before="0" w:beforeAutospacing="0" w:after="0" w:afterAutospacing="0"/>
              <w:ind w:left="0" w:right="0"/>
              <w:rPr>
                <w:rFonts w:hint="default"/>
                <w:color w:val="auto"/>
                <w:u w:val="single"/>
              </w:rPr>
            </w:pPr>
            <w:r>
              <w:rPr>
                <w:rFonts w:hint="eastAsia"/>
                <w:color w:val="auto"/>
                <w:u w:val="single"/>
              </w:rPr>
              <w:t>每年春、秋两季进行调查</w:t>
            </w:r>
          </w:p>
        </w:tc>
      </w:tr>
      <w:bookmarkEnd w:id="681"/>
      <w:bookmarkEnd w:id="682"/>
      <w:bookmarkEnd w:id="683"/>
      <w:bookmarkEnd w:id="684"/>
      <w:bookmarkEnd w:id="685"/>
      <w:bookmarkEnd w:id="686"/>
    </w:tbl>
    <w:p w14:paraId="6A406FFA">
      <w:pPr>
        <w:pStyle w:val="5"/>
        <w:rPr>
          <w:color w:val="auto"/>
        </w:rPr>
      </w:pPr>
      <w:r>
        <w:rPr>
          <w:color w:val="auto"/>
        </w:rPr>
        <w:t>环境保护“三同时”验收一览表</w:t>
      </w:r>
      <w:bookmarkEnd w:id="687"/>
      <w:bookmarkEnd w:id="688"/>
      <w:bookmarkEnd w:id="689"/>
    </w:p>
    <w:p w14:paraId="4514B5A4">
      <w:pPr>
        <w:ind w:firstLine="480"/>
        <w:rPr>
          <w:color w:val="auto"/>
        </w:rPr>
      </w:pPr>
      <w:r>
        <w:rPr>
          <w:color w:val="auto"/>
        </w:rPr>
        <w:t>根据《关于发布《建设项目竣工环境保护验收暂行办法》的公告》（国环规环评〔2017〕4号）、《建设项目竣工环境保护验收技术规范港口》（HJ436-2008），项目建设中应严格执行环境保护“三同时”制度，并进行环境保护设施验收。</w:t>
      </w:r>
    </w:p>
    <w:p w14:paraId="46893D07">
      <w:pPr>
        <w:pStyle w:val="14"/>
        <w:rPr>
          <w:color w:val="auto"/>
        </w:rPr>
      </w:pPr>
      <w:r>
        <w:rPr>
          <w:rFonts w:hint="eastAsia"/>
          <w:color w:val="auto"/>
        </w:rPr>
        <w:t>表</w:t>
      </w:r>
      <w:r>
        <w:rPr>
          <w:color w:val="auto"/>
        </w:rPr>
        <w:t>8.4</w:t>
      </w:r>
      <w:r>
        <w:rPr>
          <w:color w:val="auto"/>
        </w:rPr>
        <w:noBreakHyphen/>
      </w:r>
      <w:r>
        <w:rPr>
          <w:color w:val="auto"/>
        </w:rPr>
        <w:t>1环保设施竣工验收一览表</w:t>
      </w:r>
    </w:p>
    <w:tbl>
      <w:tblPr>
        <w:tblStyle w:val="43"/>
        <w:tblW w:w="92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562"/>
        <w:gridCol w:w="1701"/>
        <w:gridCol w:w="2410"/>
        <w:gridCol w:w="1701"/>
        <w:gridCol w:w="2835"/>
      </w:tblGrid>
      <w:tr w14:paraId="2754D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blHeader/>
        </w:trPr>
        <w:tc>
          <w:tcPr>
            <w:tcW w:w="562" w:type="dxa"/>
            <w:tcBorders>
              <w:top w:val="single" w:color="auto" w:sz="4" w:space="0"/>
              <w:left w:val="single" w:color="auto" w:sz="4" w:space="0"/>
              <w:bottom w:val="single" w:color="auto" w:sz="4" w:space="0"/>
              <w:right w:val="single" w:color="auto" w:sz="4" w:space="0"/>
            </w:tcBorders>
            <w:vAlign w:val="center"/>
          </w:tcPr>
          <w:p w14:paraId="19F71754">
            <w:pPr>
              <w:pStyle w:val="91"/>
              <w:keepNext w:val="0"/>
              <w:keepLines w:val="0"/>
              <w:suppressLineNumbers w:val="0"/>
              <w:spacing w:before="0" w:beforeAutospacing="0" w:after="0" w:afterAutospacing="0"/>
              <w:ind w:left="0" w:right="0"/>
              <w:rPr>
                <w:rFonts w:hint="default"/>
                <w:b/>
                <w:color w:val="auto"/>
              </w:rPr>
            </w:pPr>
            <w:r>
              <w:rPr>
                <w:rFonts w:hint="eastAsia"/>
                <w:b/>
                <w:color w:val="auto"/>
              </w:rPr>
              <w:t>类别</w:t>
            </w:r>
          </w:p>
        </w:tc>
        <w:tc>
          <w:tcPr>
            <w:tcW w:w="1701" w:type="dxa"/>
            <w:tcBorders>
              <w:top w:val="single" w:color="auto" w:sz="4" w:space="0"/>
              <w:left w:val="single" w:color="auto" w:sz="4" w:space="0"/>
              <w:bottom w:val="single" w:color="auto" w:sz="4" w:space="0"/>
              <w:right w:val="single" w:color="auto" w:sz="4" w:space="0"/>
            </w:tcBorders>
            <w:vAlign w:val="center"/>
          </w:tcPr>
          <w:p w14:paraId="3746A691">
            <w:pPr>
              <w:pStyle w:val="91"/>
              <w:keepNext w:val="0"/>
              <w:keepLines w:val="0"/>
              <w:suppressLineNumbers w:val="0"/>
              <w:spacing w:before="0" w:beforeAutospacing="0" w:after="0" w:afterAutospacing="0"/>
              <w:ind w:left="0" w:right="0"/>
              <w:rPr>
                <w:rFonts w:hint="default"/>
                <w:b/>
                <w:color w:val="auto"/>
              </w:rPr>
            </w:pPr>
            <w:r>
              <w:rPr>
                <w:rFonts w:hint="eastAsia"/>
                <w:b/>
                <w:color w:val="auto"/>
              </w:rPr>
              <w:t>污染源</w:t>
            </w:r>
          </w:p>
        </w:tc>
        <w:tc>
          <w:tcPr>
            <w:tcW w:w="2410" w:type="dxa"/>
            <w:tcBorders>
              <w:top w:val="single" w:color="auto" w:sz="4" w:space="0"/>
              <w:left w:val="single" w:color="auto" w:sz="4" w:space="0"/>
              <w:bottom w:val="single" w:color="auto" w:sz="4" w:space="0"/>
              <w:right w:val="single" w:color="auto" w:sz="4" w:space="0"/>
            </w:tcBorders>
            <w:vAlign w:val="center"/>
          </w:tcPr>
          <w:p w14:paraId="2C70D33B">
            <w:pPr>
              <w:pStyle w:val="91"/>
              <w:keepNext w:val="0"/>
              <w:keepLines w:val="0"/>
              <w:suppressLineNumbers w:val="0"/>
              <w:spacing w:before="0" w:beforeAutospacing="0" w:after="0" w:afterAutospacing="0"/>
              <w:ind w:left="0" w:right="0"/>
              <w:rPr>
                <w:rFonts w:hint="default"/>
                <w:b/>
                <w:color w:val="auto"/>
              </w:rPr>
            </w:pPr>
            <w:r>
              <w:rPr>
                <w:rFonts w:hint="eastAsia"/>
                <w:b/>
                <w:color w:val="auto"/>
              </w:rPr>
              <w:t>治理措施</w:t>
            </w:r>
          </w:p>
        </w:tc>
        <w:tc>
          <w:tcPr>
            <w:tcW w:w="1701" w:type="dxa"/>
            <w:tcBorders>
              <w:top w:val="single" w:color="auto" w:sz="4" w:space="0"/>
              <w:left w:val="single" w:color="auto" w:sz="4" w:space="0"/>
              <w:bottom w:val="single" w:color="auto" w:sz="4" w:space="0"/>
              <w:right w:val="single" w:color="auto" w:sz="4" w:space="0"/>
            </w:tcBorders>
          </w:tcPr>
          <w:p w14:paraId="7F644E01">
            <w:pPr>
              <w:pStyle w:val="91"/>
              <w:keepNext w:val="0"/>
              <w:keepLines w:val="0"/>
              <w:suppressLineNumbers w:val="0"/>
              <w:spacing w:before="0" w:beforeAutospacing="0" w:after="0" w:afterAutospacing="0"/>
              <w:ind w:left="0" w:right="0"/>
              <w:rPr>
                <w:rFonts w:hint="default"/>
                <w:b/>
                <w:color w:val="auto"/>
              </w:rPr>
            </w:pPr>
            <w:r>
              <w:rPr>
                <w:rFonts w:hint="eastAsia"/>
                <w:b/>
                <w:color w:val="auto"/>
              </w:rPr>
              <w:t>措施</w:t>
            </w:r>
            <w:r>
              <w:rPr>
                <w:rFonts w:hint="default"/>
                <w:b/>
                <w:color w:val="auto"/>
              </w:rPr>
              <w:t>效果</w:t>
            </w:r>
          </w:p>
        </w:tc>
        <w:tc>
          <w:tcPr>
            <w:tcW w:w="2835" w:type="dxa"/>
            <w:tcBorders>
              <w:top w:val="single" w:color="auto" w:sz="4" w:space="0"/>
              <w:left w:val="single" w:color="auto" w:sz="4" w:space="0"/>
              <w:bottom w:val="single" w:color="auto" w:sz="4" w:space="0"/>
              <w:right w:val="single" w:color="auto" w:sz="4" w:space="0"/>
            </w:tcBorders>
            <w:vAlign w:val="center"/>
          </w:tcPr>
          <w:p w14:paraId="461178D2">
            <w:pPr>
              <w:pStyle w:val="91"/>
              <w:keepNext w:val="0"/>
              <w:keepLines w:val="0"/>
              <w:suppressLineNumbers w:val="0"/>
              <w:spacing w:before="0" w:beforeAutospacing="0" w:after="0" w:afterAutospacing="0"/>
              <w:ind w:left="0" w:right="0"/>
              <w:rPr>
                <w:rFonts w:hint="default"/>
                <w:b/>
                <w:color w:val="auto"/>
              </w:rPr>
            </w:pPr>
            <w:r>
              <w:rPr>
                <w:rFonts w:hint="eastAsia"/>
                <w:b/>
                <w:color w:val="auto"/>
              </w:rPr>
              <w:t>验收要求</w:t>
            </w:r>
          </w:p>
        </w:tc>
      </w:tr>
      <w:tr w14:paraId="55A16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restart"/>
            <w:tcBorders>
              <w:top w:val="single" w:color="auto" w:sz="4" w:space="0"/>
              <w:left w:val="single" w:color="auto" w:sz="4" w:space="0"/>
              <w:right w:val="single" w:color="auto" w:sz="4" w:space="0"/>
            </w:tcBorders>
            <w:vAlign w:val="center"/>
          </w:tcPr>
          <w:p w14:paraId="7DF7990E">
            <w:pPr>
              <w:pStyle w:val="91"/>
              <w:keepNext w:val="0"/>
              <w:keepLines w:val="0"/>
              <w:suppressLineNumbers w:val="0"/>
              <w:spacing w:before="0" w:beforeAutospacing="0" w:after="0" w:afterAutospacing="0"/>
              <w:ind w:left="0" w:right="0"/>
              <w:rPr>
                <w:rFonts w:hint="default"/>
                <w:color w:val="auto"/>
              </w:rPr>
            </w:pPr>
            <w:r>
              <w:rPr>
                <w:rFonts w:hint="eastAsia"/>
                <w:color w:val="auto"/>
              </w:rPr>
              <w:t>大气</w:t>
            </w:r>
          </w:p>
        </w:tc>
        <w:tc>
          <w:tcPr>
            <w:tcW w:w="1701" w:type="dxa"/>
            <w:tcBorders>
              <w:top w:val="single" w:color="auto" w:sz="4" w:space="0"/>
              <w:left w:val="single" w:color="auto" w:sz="4" w:space="0"/>
              <w:bottom w:val="single" w:color="auto" w:sz="4" w:space="0"/>
              <w:right w:val="single" w:color="auto" w:sz="4" w:space="0"/>
            </w:tcBorders>
            <w:vAlign w:val="center"/>
          </w:tcPr>
          <w:p w14:paraId="1EB7B230">
            <w:pPr>
              <w:pStyle w:val="91"/>
              <w:keepNext w:val="0"/>
              <w:keepLines w:val="0"/>
              <w:suppressLineNumbers w:val="0"/>
              <w:spacing w:before="0" w:beforeAutospacing="0" w:after="0" w:afterAutospacing="0"/>
              <w:ind w:left="0" w:right="0"/>
              <w:rPr>
                <w:rFonts w:hint="default"/>
                <w:color w:val="auto"/>
              </w:rPr>
            </w:pPr>
            <w:r>
              <w:rPr>
                <w:rFonts w:hint="eastAsia"/>
                <w:color w:val="auto"/>
              </w:rPr>
              <w:t>装船</w:t>
            </w:r>
            <w:r>
              <w:rPr>
                <w:rFonts w:hint="default"/>
                <w:color w:val="auto"/>
              </w:rPr>
              <w:t>废气</w:t>
            </w:r>
          </w:p>
        </w:tc>
        <w:tc>
          <w:tcPr>
            <w:tcW w:w="2410" w:type="dxa"/>
            <w:tcBorders>
              <w:top w:val="single" w:color="auto" w:sz="4" w:space="0"/>
              <w:left w:val="single" w:color="auto" w:sz="4" w:space="0"/>
              <w:bottom w:val="single" w:color="auto" w:sz="4" w:space="0"/>
              <w:right w:val="single" w:color="auto" w:sz="4" w:space="0"/>
            </w:tcBorders>
            <w:vAlign w:val="center"/>
          </w:tcPr>
          <w:p w14:paraId="083B97E9">
            <w:pPr>
              <w:pStyle w:val="91"/>
              <w:keepNext w:val="0"/>
              <w:keepLines w:val="0"/>
              <w:suppressLineNumbers w:val="0"/>
              <w:spacing w:before="0" w:beforeAutospacing="0" w:after="0" w:afterAutospacing="0"/>
              <w:ind w:left="0" w:right="0"/>
              <w:rPr>
                <w:rFonts w:hint="default"/>
                <w:color w:val="auto"/>
              </w:rPr>
            </w:pPr>
            <w:r>
              <w:rPr>
                <w:rFonts w:hint="eastAsia"/>
                <w:color w:val="auto"/>
              </w:rPr>
              <w:t>装船油气回收设施</w:t>
            </w:r>
          </w:p>
        </w:tc>
        <w:tc>
          <w:tcPr>
            <w:tcW w:w="1701" w:type="dxa"/>
            <w:tcBorders>
              <w:top w:val="single" w:color="auto" w:sz="4" w:space="0"/>
              <w:left w:val="single" w:color="auto" w:sz="4" w:space="0"/>
              <w:bottom w:val="single" w:color="auto" w:sz="4" w:space="0"/>
              <w:right w:val="single" w:color="auto" w:sz="4" w:space="0"/>
            </w:tcBorders>
          </w:tcPr>
          <w:p w14:paraId="713F6928">
            <w:pPr>
              <w:pStyle w:val="91"/>
              <w:keepNext w:val="0"/>
              <w:keepLines w:val="0"/>
              <w:suppressLineNumbers w:val="0"/>
              <w:spacing w:before="0" w:beforeAutospacing="0" w:after="0" w:afterAutospacing="0"/>
              <w:ind w:left="0" w:right="0"/>
              <w:rPr>
                <w:rFonts w:hint="default"/>
                <w:color w:val="auto"/>
              </w:rPr>
            </w:pPr>
            <w:r>
              <w:rPr>
                <w:rFonts w:hint="eastAsia"/>
                <w:color w:val="auto"/>
              </w:rPr>
              <w:t>综合废气处理效率为95%。</w:t>
            </w:r>
          </w:p>
        </w:tc>
        <w:tc>
          <w:tcPr>
            <w:tcW w:w="2835" w:type="dxa"/>
            <w:tcBorders>
              <w:top w:val="single" w:color="auto" w:sz="4" w:space="0"/>
              <w:left w:val="single" w:color="auto" w:sz="4" w:space="0"/>
              <w:bottom w:val="single" w:color="auto" w:sz="4" w:space="0"/>
              <w:right w:val="single" w:color="auto" w:sz="4" w:space="0"/>
            </w:tcBorders>
            <w:vAlign w:val="center"/>
          </w:tcPr>
          <w:p w14:paraId="28B2277B">
            <w:pPr>
              <w:pStyle w:val="91"/>
              <w:keepNext w:val="0"/>
              <w:keepLines w:val="0"/>
              <w:suppressLineNumbers w:val="0"/>
              <w:spacing w:before="0" w:beforeAutospacing="0" w:after="0" w:afterAutospacing="0"/>
              <w:ind w:left="0" w:right="0"/>
              <w:rPr>
                <w:rFonts w:hint="default"/>
                <w:color w:val="auto"/>
              </w:rPr>
            </w:pPr>
            <w:r>
              <w:rPr>
                <w:rFonts w:hint="eastAsia"/>
                <w:color w:val="auto"/>
              </w:rPr>
              <w:t>《石油炼制工业污染物排放标准》（GB31570-2015，含2024年修改单）表3大气污染物排放限值要求</w:t>
            </w:r>
          </w:p>
        </w:tc>
      </w:tr>
      <w:tr w14:paraId="47B8A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right w:val="single" w:color="auto" w:sz="4" w:space="0"/>
            </w:tcBorders>
            <w:vAlign w:val="center"/>
          </w:tcPr>
          <w:p w14:paraId="2D1BF5E3">
            <w:pPr>
              <w:pStyle w:val="91"/>
              <w:keepNext w:val="0"/>
              <w:keepLines w:val="0"/>
              <w:suppressLineNumbers w:val="0"/>
              <w:spacing w:before="0" w:beforeAutospacing="0" w:after="0" w:afterAutospacing="0"/>
              <w:ind w:left="0" w:right="0"/>
              <w:rPr>
                <w:rFonts w:hint="default"/>
                <w:color w:val="auto"/>
              </w:rPr>
            </w:pPr>
          </w:p>
        </w:tc>
        <w:tc>
          <w:tcPr>
            <w:tcW w:w="1701" w:type="dxa"/>
            <w:tcBorders>
              <w:top w:val="single" w:color="auto" w:sz="4" w:space="0"/>
              <w:left w:val="single" w:color="auto" w:sz="4" w:space="0"/>
              <w:bottom w:val="single" w:color="auto" w:sz="4" w:space="0"/>
              <w:right w:val="single" w:color="auto" w:sz="4" w:space="0"/>
            </w:tcBorders>
            <w:vAlign w:val="center"/>
          </w:tcPr>
          <w:p w14:paraId="24B4E24E">
            <w:pPr>
              <w:pStyle w:val="91"/>
              <w:keepNext w:val="0"/>
              <w:keepLines w:val="0"/>
              <w:suppressLineNumbers w:val="0"/>
              <w:spacing w:before="0" w:beforeAutospacing="0" w:after="0" w:afterAutospacing="0"/>
              <w:ind w:left="0" w:right="0"/>
              <w:rPr>
                <w:rFonts w:hint="default"/>
                <w:color w:val="auto"/>
              </w:rPr>
            </w:pPr>
            <w:r>
              <w:rPr>
                <w:rFonts w:hint="eastAsia"/>
                <w:color w:val="auto"/>
              </w:rPr>
              <w:t>管线</w:t>
            </w:r>
            <w:r>
              <w:rPr>
                <w:rFonts w:hint="default"/>
                <w:color w:val="auto"/>
              </w:rPr>
              <w:t>密封点溢出废气</w:t>
            </w:r>
          </w:p>
        </w:tc>
        <w:tc>
          <w:tcPr>
            <w:tcW w:w="2410" w:type="dxa"/>
            <w:tcBorders>
              <w:top w:val="single" w:color="auto" w:sz="4" w:space="0"/>
              <w:left w:val="single" w:color="auto" w:sz="4" w:space="0"/>
              <w:bottom w:val="single" w:color="auto" w:sz="4" w:space="0"/>
              <w:right w:val="single" w:color="auto" w:sz="4" w:space="0"/>
            </w:tcBorders>
            <w:vAlign w:val="center"/>
          </w:tcPr>
          <w:p w14:paraId="4A5A7FD6">
            <w:pPr>
              <w:pStyle w:val="91"/>
              <w:keepNext w:val="0"/>
              <w:keepLines w:val="0"/>
              <w:suppressLineNumbers w:val="0"/>
              <w:spacing w:before="0" w:beforeAutospacing="0" w:after="0" w:afterAutospacing="0"/>
              <w:ind w:left="0" w:right="0"/>
              <w:rPr>
                <w:rFonts w:hint="default"/>
                <w:color w:val="auto"/>
              </w:rPr>
            </w:pPr>
            <w:r>
              <w:rPr>
                <w:rFonts w:hint="eastAsia"/>
                <w:color w:val="auto"/>
              </w:rPr>
              <w:t>管道密闭，定期维护和保养</w:t>
            </w:r>
          </w:p>
        </w:tc>
        <w:tc>
          <w:tcPr>
            <w:tcW w:w="1701" w:type="dxa"/>
            <w:vMerge w:val="restart"/>
            <w:tcBorders>
              <w:top w:val="single" w:color="auto" w:sz="4" w:space="0"/>
              <w:left w:val="single" w:color="auto" w:sz="4" w:space="0"/>
              <w:right w:val="single" w:color="auto" w:sz="4" w:space="0"/>
            </w:tcBorders>
          </w:tcPr>
          <w:p w14:paraId="0CE702BF">
            <w:pPr>
              <w:pStyle w:val="91"/>
              <w:keepNext w:val="0"/>
              <w:keepLines w:val="0"/>
              <w:suppressLineNumbers w:val="0"/>
              <w:spacing w:before="0" w:beforeAutospacing="0" w:after="0" w:afterAutospacing="0"/>
              <w:ind w:left="0" w:right="0"/>
              <w:rPr>
                <w:rFonts w:hint="default"/>
                <w:color w:val="auto"/>
              </w:rPr>
            </w:pPr>
            <w:r>
              <w:rPr>
                <w:rFonts w:hint="eastAsia"/>
                <w:color w:val="auto"/>
              </w:rPr>
              <w:t>厂界</w:t>
            </w:r>
            <w:r>
              <w:rPr>
                <w:rFonts w:hint="default"/>
                <w:color w:val="auto"/>
              </w:rPr>
              <w:t>废气达标排放</w:t>
            </w:r>
          </w:p>
        </w:tc>
        <w:tc>
          <w:tcPr>
            <w:tcW w:w="2835" w:type="dxa"/>
            <w:vMerge w:val="restart"/>
            <w:tcBorders>
              <w:top w:val="single" w:color="auto" w:sz="4" w:space="0"/>
              <w:left w:val="single" w:color="auto" w:sz="4" w:space="0"/>
              <w:right w:val="single" w:color="auto" w:sz="4" w:space="0"/>
            </w:tcBorders>
            <w:vAlign w:val="center"/>
          </w:tcPr>
          <w:p w14:paraId="1561103D">
            <w:pPr>
              <w:pStyle w:val="91"/>
              <w:keepNext w:val="0"/>
              <w:keepLines w:val="0"/>
              <w:suppressLineNumbers w:val="0"/>
              <w:spacing w:before="0" w:beforeAutospacing="0" w:after="0" w:afterAutospacing="0"/>
              <w:ind w:left="0" w:right="0"/>
              <w:rPr>
                <w:rFonts w:hint="default"/>
                <w:color w:val="auto"/>
              </w:rPr>
            </w:pPr>
            <w:r>
              <w:rPr>
                <w:rFonts w:hint="eastAsia"/>
                <w:color w:val="auto"/>
              </w:rPr>
              <w:t>《石油炼制工业污染物排放标准》（GB31570-2015，含2024年修改单）表5企业边界大气污染物浓度限值要求</w:t>
            </w:r>
          </w:p>
        </w:tc>
      </w:tr>
      <w:tr w14:paraId="131FD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right w:val="single" w:color="auto" w:sz="4" w:space="0"/>
            </w:tcBorders>
            <w:vAlign w:val="center"/>
          </w:tcPr>
          <w:p w14:paraId="11CA6C7A">
            <w:pPr>
              <w:pStyle w:val="91"/>
              <w:keepNext w:val="0"/>
              <w:keepLines w:val="0"/>
              <w:suppressLineNumbers w:val="0"/>
              <w:spacing w:before="0" w:beforeAutospacing="0" w:after="0" w:afterAutospacing="0"/>
              <w:ind w:left="0" w:right="0"/>
              <w:rPr>
                <w:rFonts w:hint="default"/>
                <w:color w:val="auto"/>
              </w:rPr>
            </w:pPr>
          </w:p>
        </w:tc>
        <w:tc>
          <w:tcPr>
            <w:tcW w:w="1701" w:type="dxa"/>
            <w:tcBorders>
              <w:top w:val="single" w:color="auto" w:sz="4" w:space="0"/>
              <w:left w:val="single" w:color="auto" w:sz="4" w:space="0"/>
              <w:bottom w:val="single" w:color="auto" w:sz="4" w:space="0"/>
              <w:right w:val="single" w:color="auto" w:sz="4" w:space="0"/>
            </w:tcBorders>
            <w:vAlign w:val="center"/>
          </w:tcPr>
          <w:p w14:paraId="1DB03D0B">
            <w:pPr>
              <w:pStyle w:val="91"/>
              <w:keepNext w:val="0"/>
              <w:keepLines w:val="0"/>
              <w:suppressLineNumbers w:val="0"/>
              <w:spacing w:before="0" w:beforeAutospacing="0" w:after="0" w:afterAutospacing="0"/>
              <w:ind w:left="0" w:right="0"/>
              <w:rPr>
                <w:rFonts w:hint="default"/>
                <w:color w:val="auto"/>
              </w:rPr>
            </w:pPr>
            <w:r>
              <w:rPr>
                <w:rFonts w:hint="eastAsia"/>
                <w:color w:val="auto"/>
              </w:rPr>
              <w:t>储罐</w:t>
            </w:r>
            <w:r>
              <w:rPr>
                <w:rFonts w:hint="default"/>
                <w:color w:val="auto"/>
              </w:rPr>
              <w:t>呼吸</w:t>
            </w:r>
          </w:p>
        </w:tc>
        <w:tc>
          <w:tcPr>
            <w:tcW w:w="2410" w:type="dxa"/>
            <w:tcBorders>
              <w:top w:val="single" w:color="auto" w:sz="4" w:space="0"/>
              <w:left w:val="single" w:color="auto" w:sz="4" w:space="0"/>
              <w:bottom w:val="single" w:color="auto" w:sz="4" w:space="0"/>
              <w:right w:val="single" w:color="auto" w:sz="4" w:space="0"/>
            </w:tcBorders>
            <w:vAlign w:val="center"/>
          </w:tcPr>
          <w:p w14:paraId="0D2295BB">
            <w:pPr>
              <w:pStyle w:val="91"/>
              <w:keepNext w:val="0"/>
              <w:keepLines w:val="0"/>
              <w:suppressLineNumbers w:val="0"/>
              <w:spacing w:before="0" w:beforeAutospacing="0" w:after="0" w:afterAutospacing="0"/>
              <w:ind w:left="0" w:right="0"/>
              <w:rPr>
                <w:rFonts w:hint="default"/>
                <w:color w:val="auto"/>
              </w:rPr>
            </w:pPr>
            <w:r>
              <w:rPr>
                <w:rFonts w:hint="eastAsia"/>
                <w:color w:val="auto"/>
              </w:rPr>
              <w:t>顶部</w:t>
            </w:r>
            <w:r>
              <w:rPr>
                <w:rFonts w:hint="default"/>
                <w:color w:val="auto"/>
              </w:rPr>
              <w:t>浸没式装载</w:t>
            </w:r>
            <w:r>
              <w:rPr>
                <w:rFonts w:hint="eastAsia"/>
                <w:color w:val="auto"/>
              </w:rPr>
              <w:t>、</w:t>
            </w:r>
            <w:r>
              <w:rPr>
                <w:rFonts w:hint="default"/>
                <w:color w:val="auto"/>
              </w:rPr>
              <w:t>氮封</w:t>
            </w:r>
          </w:p>
        </w:tc>
        <w:tc>
          <w:tcPr>
            <w:tcW w:w="1701" w:type="dxa"/>
            <w:vMerge w:val="continue"/>
            <w:tcBorders>
              <w:left w:val="single" w:color="auto" w:sz="4" w:space="0"/>
              <w:bottom w:val="single" w:color="auto" w:sz="4" w:space="0"/>
              <w:right w:val="single" w:color="auto" w:sz="4" w:space="0"/>
            </w:tcBorders>
          </w:tcPr>
          <w:p w14:paraId="02D6EC65">
            <w:pPr>
              <w:pStyle w:val="91"/>
              <w:keepNext w:val="0"/>
              <w:keepLines w:val="0"/>
              <w:suppressLineNumbers w:val="0"/>
              <w:spacing w:before="0" w:beforeAutospacing="0" w:after="0" w:afterAutospacing="0"/>
              <w:ind w:left="0" w:right="0"/>
              <w:rPr>
                <w:rFonts w:hint="default"/>
                <w:color w:val="auto"/>
              </w:rPr>
            </w:pPr>
          </w:p>
        </w:tc>
        <w:tc>
          <w:tcPr>
            <w:tcW w:w="2835" w:type="dxa"/>
            <w:vMerge w:val="continue"/>
            <w:tcBorders>
              <w:left w:val="single" w:color="auto" w:sz="4" w:space="0"/>
              <w:bottom w:val="single" w:color="auto" w:sz="4" w:space="0"/>
              <w:right w:val="single" w:color="auto" w:sz="4" w:space="0"/>
            </w:tcBorders>
            <w:vAlign w:val="center"/>
          </w:tcPr>
          <w:p w14:paraId="0A37A0C8">
            <w:pPr>
              <w:pStyle w:val="91"/>
              <w:keepNext w:val="0"/>
              <w:keepLines w:val="0"/>
              <w:suppressLineNumbers w:val="0"/>
              <w:spacing w:before="0" w:beforeAutospacing="0" w:after="0" w:afterAutospacing="0"/>
              <w:ind w:left="0" w:right="0"/>
              <w:rPr>
                <w:rFonts w:hint="default"/>
                <w:color w:val="auto"/>
              </w:rPr>
            </w:pPr>
          </w:p>
        </w:tc>
      </w:tr>
      <w:tr w14:paraId="481DB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right w:val="single" w:color="auto" w:sz="4" w:space="0"/>
            </w:tcBorders>
            <w:vAlign w:val="center"/>
          </w:tcPr>
          <w:p w14:paraId="4717CF4F">
            <w:pPr>
              <w:pStyle w:val="91"/>
              <w:keepNext w:val="0"/>
              <w:keepLines w:val="0"/>
              <w:suppressLineNumbers w:val="0"/>
              <w:spacing w:before="0" w:beforeAutospacing="0" w:after="0" w:afterAutospacing="0"/>
              <w:ind w:left="0" w:right="0"/>
              <w:rPr>
                <w:rFonts w:hint="default"/>
                <w:color w:val="auto"/>
              </w:rPr>
            </w:pPr>
          </w:p>
        </w:tc>
        <w:tc>
          <w:tcPr>
            <w:tcW w:w="1701" w:type="dxa"/>
            <w:tcBorders>
              <w:top w:val="single" w:color="auto" w:sz="4" w:space="0"/>
              <w:left w:val="single" w:color="auto" w:sz="4" w:space="0"/>
              <w:right w:val="single" w:color="auto" w:sz="4" w:space="0"/>
            </w:tcBorders>
            <w:vAlign w:val="center"/>
          </w:tcPr>
          <w:p w14:paraId="7778E24D">
            <w:pPr>
              <w:pStyle w:val="91"/>
              <w:keepNext w:val="0"/>
              <w:keepLines w:val="0"/>
              <w:suppressLineNumbers w:val="0"/>
              <w:spacing w:before="0" w:beforeAutospacing="0" w:after="0" w:afterAutospacing="0"/>
              <w:ind w:left="0" w:right="0"/>
              <w:rPr>
                <w:rFonts w:hint="default"/>
                <w:color w:val="auto"/>
              </w:rPr>
            </w:pPr>
            <w:r>
              <w:rPr>
                <w:rFonts w:hint="eastAsia"/>
                <w:color w:val="auto"/>
              </w:rPr>
              <w:t>船舶</w:t>
            </w:r>
            <w:r>
              <w:rPr>
                <w:rFonts w:hint="default"/>
                <w:color w:val="auto"/>
              </w:rPr>
              <w:t>废气</w:t>
            </w:r>
          </w:p>
        </w:tc>
        <w:tc>
          <w:tcPr>
            <w:tcW w:w="2410" w:type="dxa"/>
            <w:tcBorders>
              <w:top w:val="single" w:color="auto" w:sz="4" w:space="0"/>
              <w:left w:val="single" w:color="auto" w:sz="4" w:space="0"/>
              <w:bottom w:val="single" w:color="auto" w:sz="4" w:space="0"/>
              <w:right w:val="single" w:color="auto" w:sz="4" w:space="0"/>
            </w:tcBorders>
            <w:vAlign w:val="center"/>
          </w:tcPr>
          <w:p w14:paraId="738E88F9">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1701" w:type="dxa"/>
            <w:tcBorders>
              <w:top w:val="single" w:color="auto" w:sz="4" w:space="0"/>
              <w:left w:val="single" w:color="auto" w:sz="4" w:space="0"/>
              <w:right w:val="single" w:color="auto" w:sz="4" w:space="0"/>
            </w:tcBorders>
          </w:tcPr>
          <w:p w14:paraId="3E29B2F7">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2835" w:type="dxa"/>
            <w:tcBorders>
              <w:top w:val="single" w:color="auto" w:sz="4" w:space="0"/>
              <w:left w:val="single" w:color="auto" w:sz="4" w:space="0"/>
              <w:right w:val="single" w:color="auto" w:sz="4" w:space="0"/>
            </w:tcBorders>
            <w:vAlign w:val="center"/>
          </w:tcPr>
          <w:p w14:paraId="60C386F8">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61997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41" w:hRule="atLeast"/>
        </w:trPr>
        <w:tc>
          <w:tcPr>
            <w:tcW w:w="562" w:type="dxa"/>
            <w:vMerge w:val="restart"/>
            <w:tcBorders>
              <w:top w:val="single" w:color="auto" w:sz="4" w:space="0"/>
              <w:left w:val="single" w:color="auto" w:sz="4" w:space="0"/>
              <w:right w:val="single" w:color="auto" w:sz="4" w:space="0"/>
            </w:tcBorders>
            <w:vAlign w:val="center"/>
          </w:tcPr>
          <w:p w14:paraId="382B7962">
            <w:pPr>
              <w:pStyle w:val="91"/>
              <w:keepNext w:val="0"/>
              <w:keepLines w:val="0"/>
              <w:suppressLineNumbers w:val="0"/>
              <w:spacing w:before="0" w:beforeAutospacing="0" w:after="0" w:afterAutospacing="0"/>
              <w:ind w:left="0" w:right="0"/>
              <w:rPr>
                <w:rFonts w:hint="default"/>
                <w:color w:val="auto"/>
              </w:rPr>
            </w:pPr>
            <w:r>
              <w:rPr>
                <w:rFonts w:hint="eastAsia"/>
                <w:color w:val="auto"/>
              </w:rPr>
              <w:t>废水</w:t>
            </w:r>
          </w:p>
        </w:tc>
        <w:tc>
          <w:tcPr>
            <w:tcW w:w="1701" w:type="dxa"/>
            <w:tcBorders>
              <w:top w:val="single" w:color="auto" w:sz="4" w:space="0"/>
              <w:left w:val="single" w:color="auto" w:sz="4" w:space="0"/>
              <w:right w:val="single" w:color="auto" w:sz="4" w:space="0"/>
            </w:tcBorders>
            <w:vAlign w:val="center"/>
          </w:tcPr>
          <w:p w14:paraId="76DC6FD4">
            <w:pPr>
              <w:pStyle w:val="91"/>
              <w:keepNext w:val="0"/>
              <w:keepLines w:val="0"/>
              <w:suppressLineNumbers w:val="0"/>
              <w:spacing w:before="0" w:beforeAutospacing="0" w:after="0" w:afterAutospacing="0"/>
              <w:ind w:left="0" w:right="0"/>
              <w:rPr>
                <w:rFonts w:hint="default"/>
                <w:color w:val="auto"/>
              </w:rPr>
            </w:pPr>
            <w:r>
              <w:rPr>
                <w:rFonts w:hint="eastAsia"/>
                <w:color w:val="auto"/>
              </w:rPr>
              <w:t>船舱油污水、船舶生活污水</w:t>
            </w:r>
          </w:p>
        </w:tc>
        <w:tc>
          <w:tcPr>
            <w:tcW w:w="2410" w:type="dxa"/>
            <w:tcBorders>
              <w:top w:val="single" w:color="auto" w:sz="4" w:space="0"/>
              <w:left w:val="single" w:color="auto" w:sz="4" w:space="0"/>
              <w:right w:val="single" w:color="auto" w:sz="4" w:space="0"/>
            </w:tcBorders>
            <w:vAlign w:val="center"/>
          </w:tcPr>
          <w:p w14:paraId="01BAFFF2">
            <w:pPr>
              <w:pStyle w:val="91"/>
              <w:keepNext w:val="0"/>
              <w:keepLines w:val="0"/>
              <w:suppressLineNumbers w:val="0"/>
              <w:spacing w:before="0" w:beforeAutospacing="0" w:after="0" w:afterAutospacing="0"/>
              <w:ind w:left="0" w:right="0"/>
              <w:rPr>
                <w:rFonts w:hint="default"/>
                <w:color w:val="auto"/>
              </w:rPr>
            </w:pPr>
            <w:r>
              <w:rPr>
                <w:rFonts w:hint="eastAsia"/>
                <w:color w:val="auto"/>
              </w:rPr>
              <w:t>委托有资质单位接收处置</w:t>
            </w:r>
          </w:p>
        </w:tc>
        <w:tc>
          <w:tcPr>
            <w:tcW w:w="1701" w:type="dxa"/>
            <w:tcBorders>
              <w:top w:val="single" w:color="auto" w:sz="4" w:space="0"/>
              <w:left w:val="single" w:color="auto" w:sz="4" w:space="0"/>
              <w:right w:val="single" w:color="auto" w:sz="4" w:space="0"/>
            </w:tcBorders>
          </w:tcPr>
          <w:p w14:paraId="7DF997FD">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2835" w:type="dxa"/>
            <w:tcBorders>
              <w:top w:val="single" w:color="auto" w:sz="4" w:space="0"/>
              <w:left w:val="single" w:color="auto" w:sz="4" w:space="0"/>
              <w:right w:val="single" w:color="auto" w:sz="4" w:space="0"/>
            </w:tcBorders>
            <w:vAlign w:val="center"/>
          </w:tcPr>
          <w:p w14:paraId="6B48C423">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5CD3B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bottom w:val="single" w:color="auto" w:sz="4" w:space="0"/>
              <w:right w:val="single" w:color="auto" w:sz="4" w:space="0"/>
            </w:tcBorders>
            <w:vAlign w:val="center"/>
          </w:tcPr>
          <w:p w14:paraId="5702B14E">
            <w:pPr>
              <w:pStyle w:val="91"/>
              <w:keepNext w:val="0"/>
              <w:keepLines w:val="0"/>
              <w:suppressLineNumbers w:val="0"/>
              <w:spacing w:before="0" w:beforeAutospacing="0" w:after="0" w:afterAutospacing="0"/>
              <w:ind w:left="0" w:right="0"/>
              <w:rPr>
                <w:rFonts w:hint="default"/>
                <w:color w:val="auto"/>
              </w:rPr>
            </w:pPr>
          </w:p>
        </w:tc>
        <w:tc>
          <w:tcPr>
            <w:tcW w:w="1701" w:type="dxa"/>
            <w:tcBorders>
              <w:top w:val="single" w:color="auto" w:sz="4" w:space="0"/>
              <w:left w:val="single" w:color="auto" w:sz="4" w:space="0"/>
              <w:bottom w:val="single" w:color="auto" w:sz="4" w:space="0"/>
              <w:right w:val="single" w:color="auto" w:sz="4" w:space="0"/>
            </w:tcBorders>
            <w:vAlign w:val="center"/>
          </w:tcPr>
          <w:p w14:paraId="1D58F0BA">
            <w:pPr>
              <w:pStyle w:val="91"/>
              <w:keepNext w:val="0"/>
              <w:keepLines w:val="0"/>
              <w:suppressLineNumbers w:val="0"/>
              <w:spacing w:before="0" w:beforeAutospacing="0" w:after="0" w:afterAutospacing="0"/>
              <w:ind w:left="0" w:right="0"/>
              <w:rPr>
                <w:rFonts w:hint="default"/>
                <w:color w:val="auto"/>
              </w:rPr>
            </w:pPr>
            <w:r>
              <w:rPr>
                <w:rFonts w:hint="eastAsia"/>
                <w:color w:val="auto"/>
              </w:rPr>
              <w:t>陆域</w:t>
            </w:r>
            <w:r>
              <w:rPr>
                <w:rFonts w:hint="default"/>
                <w:color w:val="auto"/>
              </w:rPr>
              <w:t>生活污水、</w:t>
            </w:r>
            <w:r>
              <w:rPr>
                <w:rFonts w:hint="eastAsia"/>
                <w:color w:val="auto"/>
              </w:rPr>
              <w:t>初期</w:t>
            </w:r>
            <w:r>
              <w:rPr>
                <w:rFonts w:hint="default"/>
                <w:color w:val="auto"/>
              </w:rPr>
              <w:t>雨水、洗罐废水</w:t>
            </w:r>
            <w:r>
              <w:rPr>
                <w:rFonts w:hint="eastAsia"/>
                <w:color w:val="auto"/>
              </w:rPr>
              <w:t>、</w:t>
            </w:r>
            <w:r>
              <w:rPr>
                <w:rFonts w:hint="default"/>
                <w:color w:val="auto"/>
              </w:rPr>
              <w:t>码头冲洗废水</w:t>
            </w:r>
          </w:p>
        </w:tc>
        <w:tc>
          <w:tcPr>
            <w:tcW w:w="2410" w:type="dxa"/>
            <w:tcBorders>
              <w:top w:val="single" w:color="auto" w:sz="4" w:space="0"/>
              <w:left w:val="single" w:color="auto" w:sz="4" w:space="0"/>
              <w:bottom w:val="single" w:color="auto" w:sz="4" w:space="0"/>
              <w:right w:val="single" w:color="auto" w:sz="4" w:space="0"/>
            </w:tcBorders>
            <w:vAlign w:val="center"/>
          </w:tcPr>
          <w:p w14:paraId="7817DEEB">
            <w:pPr>
              <w:pStyle w:val="91"/>
              <w:keepNext w:val="0"/>
              <w:keepLines w:val="0"/>
              <w:suppressLineNumbers w:val="0"/>
              <w:spacing w:before="0" w:beforeAutospacing="0" w:after="0" w:afterAutospacing="0"/>
              <w:ind w:left="0" w:right="0"/>
              <w:rPr>
                <w:rFonts w:hint="default"/>
                <w:color w:val="auto"/>
              </w:rPr>
            </w:pPr>
            <w:r>
              <w:rPr>
                <w:rFonts w:hint="eastAsia"/>
                <w:color w:val="auto"/>
              </w:rPr>
              <w:t>不新增，由汽车罐车拉运至广西东油沥青有限公司厂区内，达到纳管标准后通过管道输送至广西石化污水处理场进行处理</w:t>
            </w:r>
          </w:p>
        </w:tc>
        <w:tc>
          <w:tcPr>
            <w:tcW w:w="1701" w:type="dxa"/>
            <w:tcBorders>
              <w:top w:val="single" w:color="auto" w:sz="4" w:space="0"/>
              <w:left w:val="single" w:color="auto" w:sz="4" w:space="0"/>
              <w:bottom w:val="single" w:color="auto" w:sz="4" w:space="0"/>
              <w:right w:val="single" w:color="auto" w:sz="4" w:space="0"/>
            </w:tcBorders>
          </w:tcPr>
          <w:p w14:paraId="46CFC4EC">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c>
          <w:tcPr>
            <w:tcW w:w="2835" w:type="dxa"/>
            <w:tcBorders>
              <w:top w:val="single" w:color="auto" w:sz="4" w:space="0"/>
              <w:left w:val="single" w:color="auto" w:sz="4" w:space="0"/>
              <w:bottom w:val="single" w:color="auto" w:sz="4" w:space="0"/>
              <w:right w:val="single" w:color="auto" w:sz="4" w:space="0"/>
            </w:tcBorders>
            <w:vAlign w:val="center"/>
          </w:tcPr>
          <w:p w14:paraId="2BC26CC6">
            <w:pPr>
              <w:pStyle w:val="91"/>
              <w:keepNext w:val="0"/>
              <w:keepLines w:val="0"/>
              <w:suppressLineNumbers w:val="0"/>
              <w:spacing w:before="0" w:beforeAutospacing="0" w:after="0" w:afterAutospacing="0"/>
              <w:ind w:left="0" w:right="0"/>
              <w:rPr>
                <w:rFonts w:hint="default"/>
                <w:color w:val="auto"/>
              </w:rPr>
            </w:pPr>
            <w:r>
              <w:rPr>
                <w:rFonts w:hint="eastAsia"/>
                <w:color w:val="auto"/>
              </w:rPr>
              <w:t>定期</w:t>
            </w:r>
            <w:r>
              <w:rPr>
                <w:rFonts w:hint="default"/>
                <w:color w:val="auto"/>
              </w:rPr>
              <w:t>清运，转运台账</w:t>
            </w:r>
          </w:p>
        </w:tc>
      </w:tr>
      <w:tr w14:paraId="75903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tcBorders>
              <w:top w:val="single" w:color="auto" w:sz="4" w:space="0"/>
              <w:left w:val="single" w:color="auto" w:sz="4" w:space="0"/>
              <w:bottom w:val="single" w:color="auto" w:sz="4" w:space="0"/>
              <w:right w:val="single" w:color="auto" w:sz="4" w:space="0"/>
            </w:tcBorders>
            <w:vAlign w:val="center"/>
          </w:tcPr>
          <w:p w14:paraId="40FA288B">
            <w:pPr>
              <w:pStyle w:val="91"/>
              <w:keepNext w:val="0"/>
              <w:keepLines w:val="0"/>
              <w:suppressLineNumbers w:val="0"/>
              <w:spacing w:before="0" w:beforeAutospacing="0" w:after="0" w:afterAutospacing="0"/>
              <w:ind w:left="0" w:right="0"/>
              <w:rPr>
                <w:rFonts w:hint="default"/>
                <w:color w:val="auto"/>
              </w:rPr>
            </w:pPr>
            <w:r>
              <w:rPr>
                <w:rFonts w:hint="eastAsia"/>
                <w:color w:val="auto"/>
              </w:rPr>
              <w:t>噪声</w:t>
            </w:r>
          </w:p>
        </w:tc>
        <w:tc>
          <w:tcPr>
            <w:tcW w:w="1701" w:type="dxa"/>
            <w:tcBorders>
              <w:top w:val="single" w:color="auto" w:sz="4" w:space="0"/>
              <w:left w:val="single" w:color="auto" w:sz="4" w:space="0"/>
              <w:bottom w:val="single" w:color="auto" w:sz="4" w:space="0"/>
              <w:right w:val="single" w:color="auto" w:sz="4" w:space="0"/>
            </w:tcBorders>
            <w:vAlign w:val="center"/>
          </w:tcPr>
          <w:p w14:paraId="57F230B7">
            <w:pPr>
              <w:pStyle w:val="91"/>
              <w:keepNext w:val="0"/>
              <w:keepLines w:val="0"/>
              <w:suppressLineNumbers w:val="0"/>
              <w:spacing w:before="0" w:beforeAutospacing="0" w:after="0" w:afterAutospacing="0"/>
              <w:ind w:left="0" w:right="0"/>
              <w:rPr>
                <w:rFonts w:hint="default"/>
                <w:color w:val="auto"/>
              </w:rPr>
            </w:pPr>
            <w:r>
              <w:rPr>
                <w:rFonts w:hint="eastAsia"/>
                <w:color w:val="auto"/>
              </w:rPr>
              <w:t>设备</w:t>
            </w:r>
            <w:r>
              <w:rPr>
                <w:rFonts w:hint="default"/>
                <w:color w:val="auto"/>
              </w:rPr>
              <w:t>噪声</w:t>
            </w:r>
          </w:p>
        </w:tc>
        <w:tc>
          <w:tcPr>
            <w:tcW w:w="2410" w:type="dxa"/>
            <w:tcBorders>
              <w:top w:val="single" w:color="auto" w:sz="4" w:space="0"/>
              <w:left w:val="single" w:color="auto" w:sz="4" w:space="0"/>
              <w:bottom w:val="single" w:color="auto" w:sz="4" w:space="0"/>
              <w:right w:val="single" w:color="auto" w:sz="4" w:space="0"/>
            </w:tcBorders>
            <w:vAlign w:val="center"/>
          </w:tcPr>
          <w:p w14:paraId="0143BC9E">
            <w:pPr>
              <w:pStyle w:val="91"/>
              <w:keepNext w:val="0"/>
              <w:keepLines w:val="0"/>
              <w:suppressLineNumbers w:val="0"/>
              <w:spacing w:before="0" w:beforeAutospacing="0" w:after="0" w:afterAutospacing="0"/>
              <w:ind w:left="0" w:right="0"/>
              <w:rPr>
                <w:rFonts w:hint="default"/>
                <w:color w:val="auto"/>
              </w:rPr>
            </w:pPr>
            <w:r>
              <w:rPr>
                <w:rFonts w:hint="eastAsia"/>
                <w:color w:val="auto"/>
              </w:rPr>
              <w:t>消声垫</w:t>
            </w:r>
            <w:r>
              <w:rPr>
                <w:rFonts w:hint="default"/>
                <w:color w:val="auto"/>
              </w:rPr>
              <w:t>等</w:t>
            </w:r>
          </w:p>
        </w:tc>
        <w:tc>
          <w:tcPr>
            <w:tcW w:w="1701" w:type="dxa"/>
            <w:tcBorders>
              <w:top w:val="single" w:color="auto" w:sz="4" w:space="0"/>
              <w:left w:val="single" w:color="auto" w:sz="4" w:space="0"/>
              <w:bottom w:val="single" w:color="auto" w:sz="4" w:space="0"/>
              <w:right w:val="single" w:color="auto" w:sz="4" w:space="0"/>
            </w:tcBorders>
          </w:tcPr>
          <w:p w14:paraId="1EA7AE9A">
            <w:pPr>
              <w:pStyle w:val="91"/>
              <w:keepNext w:val="0"/>
              <w:keepLines w:val="0"/>
              <w:suppressLineNumbers w:val="0"/>
              <w:spacing w:before="0" w:beforeAutospacing="0" w:after="0" w:afterAutospacing="0"/>
              <w:ind w:left="0" w:right="0"/>
              <w:rPr>
                <w:rFonts w:hint="default"/>
                <w:color w:val="auto"/>
              </w:rPr>
            </w:pPr>
            <w:r>
              <w:rPr>
                <w:rFonts w:hint="eastAsia"/>
                <w:color w:val="auto"/>
              </w:rPr>
              <w:t>厂界</w:t>
            </w:r>
            <w:r>
              <w:rPr>
                <w:rFonts w:hint="default"/>
                <w:color w:val="auto"/>
              </w:rPr>
              <w:t>噪声达标</w:t>
            </w:r>
          </w:p>
        </w:tc>
        <w:tc>
          <w:tcPr>
            <w:tcW w:w="2835" w:type="dxa"/>
            <w:tcBorders>
              <w:top w:val="single" w:color="auto" w:sz="4" w:space="0"/>
              <w:left w:val="single" w:color="auto" w:sz="4" w:space="0"/>
              <w:bottom w:val="single" w:color="auto" w:sz="4" w:space="0"/>
              <w:right w:val="single" w:color="auto" w:sz="4" w:space="0"/>
            </w:tcBorders>
            <w:vAlign w:val="center"/>
          </w:tcPr>
          <w:p w14:paraId="21E1FC13">
            <w:pPr>
              <w:pStyle w:val="91"/>
              <w:keepNext w:val="0"/>
              <w:keepLines w:val="0"/>
              <w:suppressLineNumbers w:val="0"/>
              <w:spacing w:before="0" w:beforeAutospacing="0" w:after="0" w:afterAutospacing="0"/>
              <w:ind w:left="0" w:right="0"/>
              <w:rPr>
                <w:rFonts w:hint="default"/>
                <w:color w:val="auto"/>
              </w:rPr>
            </w:pPr>
            <w:r>
              <w:rPr>
                <w:rFonts w:hint="eastAsia"/>
                <w:color w:val="auto"/>
              </w:rPr>
              <w:t>《工业企业场界环境噪声排放标准》（GB12348-2008）中的3类标准</w:t>
            </w:r>
          </w:p>
        </w:tc>
      </w:tr>
      <w:tr w14:paraId="70797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restart"/>
            <w:tcBorders>
              <w:top w:val="single" w:color="auto" w:sz="4" w:space="0"/>
              <w:left w:val="single" w:color="auto" w:sz="4" w:space="0"/>
              <w:right w:val="single" w:color="auto" w:sz="4" w:space="0"/>
            </w:tcBorders>
            <w:vAlign w:val="center"/>
          </w:tcPr>
          <w:p w14:paraId="38B70CCA">
            <w:pPr>
              <w:pStyle w:val="91"/>
              <w:keepNext w:val="0"/>
              <w:keepLines w:val="0"/>
              <w:suppressLineNumbers w:val="0"/>
              <w:spacing w:before="0" w:beforeAutospacing="0" w:after="0" w:afterAutospacing="0"/>
              <w:ind w:left="0" w:right="0"/>
              <w:rPr>
                <w:rFonts w:hint="default"/>
                <w:color w:val="auto"/>
              </w:rPr>
            </w:pPr>
            <w:r>
              <w:rPr>
                <w:rFonts w:hint="eastAsia"/>
                <w:color w:val="auto"/>
              </w:rPr>
              <w:t>固体</w:t>
            </w:r>
            <w:r>
              <w:rPr>
                <w:rFonts w:hint="default"/>
                <w:color w:val="auto"/>
              </w:rPr>
              <w:t>废物</w:t>
            </w:r>
          </w:p>
        </w:tc>
        <w:tc>
          <w:tcPr>
            <w:tcW w:w="1701" w:type="dxa"/>
            <w:tcBorders>
              <w:top w:val="single" w:color="auto" w:sz="4" w:space="0"/>
              <w:left w:val="single" w:color="auto" w:sz="4" w:space="0"/>
              <w:bottom w:val="single" w:color="auto" w:sz="4" w:space="0"/>
              <w:right w:val="single" w:color="auto" w:sz="4" w:space="0"/>
            </w:tcBorders>
            <w:vAlign w:val="center"/>
          </w:tcPr>
          <w:p w14:paraId="61726963">
            <w:pPr>
              <w:pStyle w:val="91"/>
              <w:keepNext w:val="0"/>
              <w:keepLines w:val="0"/>
              <w:suppressLineNumbers w:val="0"/>
              <w:spacing w:before="0" w:beforeAutospacing="0" w:after="0" w:afterAutospacing="0"/>
              <w:ind w:left="0" w:right="0"/>
              <w:rPr>
                <w:rFonts w:hint="default"/>
                <w:color w:val="auto"/>
              </w:rPr>
            </w:pPr>
            <w:r>
              <w:rPr>
                <w:rFonts w:hint="eastAsia"/>
                <w:color w:val="auto"/>
              </w:rPr>
              <w:t>船舶生活垃圾</w:t>
            </w:r>
          </w:p>
        </w:tc>
        <w:tc>
          <w:tcPr>
            <w:tcW w:w="2410" w:type="dxa"/>
            <w:tcBorders>
              <w:top w:val="single" w:color="auto" w:sz="4" w:space="0"/>
              <w:left w:val="single" w:color="auto" w:sz="4" w:space="0"/>
              <w:bottom w:val="single" w:color="auto" w:sz="4" w:space="0"/>
              <w:right w:val="single" w:color="auto" w:sz="4" w:space="0"/>
            </w:tcBorders>
            <w:vAlign w:val="center"/>
          </w:tcPr>
          <w:p w14:paraId="7D41EA28">
            <w:pPr>
              <w:pStyle w:val="91"/>
              <w:keepNext w:val="0"/>
              <w:keepLines w:val="0"/>
              <w:suppressLineNumbers w:val="0"/>
              <w:spacing w:before="0" w:beforeAutospacing="0" w:after="0" w:afterAutospacing="0"/>
              <w:ind w:left="0" w:right="0"/>
              <w:rPr>
                <w:rFonts w:hint="default"/>
                <w:color w:val="auto"/>
              </w:rPr>
            </w:pPr>
            <w:r>
              <w:rPr>
                <w:rFonts w:hint="eastAsia"/>
                <w:color w:val="auto"/>
              </w:rPr>
              <w:t>统一收集上岸交由环卫部门清运</w:t>
            </w:r>
          </w:p>
        </w:tc>
        <w:tc>
          <w:tcPr>
            <w:tcW w:w="1701" w:type="dxa"/>
            <w:vMerge w:val="restart"/>
            <w:tcBorders>
              <w:top w:val="single" w:color="auto" w:sz="4" w:space="0"/>
              <w:left w:val="single" w:color="auto" w:sz="4" w:space="0"/>
              <w:right w:val="single" w:color="auto" w:sz="4" w:space="0"/>
            </w:tcBorders>
            <w:vAlign w:val="center"/>
          </w:tcPr>
          <w:p w14:paraId="64C0EFA6">
            <w:pPr>
              <w:pStyle w:val="91"/>
              <w:keepNext w:val="0"/>
              <w:keepLines w:val="0"/>
              <w:suppressLineNumbers w:val="0"/>
              <w:spacing w:before="0" w:beforeAutospacing="0" w:after="0" w:afterAutospacing="0"/>
              <w:ind w:left="0" w:right="0"/>
              <w:jc w:val="center"/>
              <w:rPr>
                <w:rFonts w:hint="default"/>
                <w:color w:val="auto"/>
              </w:rPr>
            </w:pPr>
            <w:r>
              <w:rPr>
                <w:rFonts w:hint="eastAsia"/>
                <w:color w:val="auto"/>
              </w:rPr>
              <w:t>固体</w:t>
            </w:r>
            <w:r>
              <w:rPr>
                <w:rFonts w:hint="default"/>
                <w:color w:val="auto"/>
              </w:rPr>
              <w:t>废物均按要求处理</w:t>
            </w:r>
          </w:p>
        </w:tc>
        <w:tc>
          <w:tcPr>
            <w:tcW w:w="2835" w:type="dxa"/>
            <w:tcBorders>
              <w:top w:val="single" w:color="auto" w:sz="4" w:space="0"/>
              <w:left w:val="single" w:color="auto" w:sz="4" w:space="0"/>
              <w:bottom w:val="single" w:color="auto" w:sz="4" w:space="0"/>
              <w:right w:val="single" w:color="auto" w:sz="4" w:space="0"/>
            </w:tcBorders>
            <w:vAlign w:val="center"/>
          </w:tcPr>
          <w:p w14:paraId="58B69B87">
            <w:pPr>
              <w:pStyle w:val="91"/>
              <w:keepNext w:val="0"/>
              <w:keepLines w:val="0"/>
              <w:suppressLineNumbers w:val="0"/>
              <w:spacing w:before="0" w:beforeAutospacing="0" w:after="0" w:afterAutospacing="0"/>
              <w:ind w:left="0" w:right="0"/>
              <w:rPr>
                <w:rFonts w:hint="default"/>
                <w:color w:val="auto"/>
              </w:rPr>
            </w:pPr>
            <w:r>
              <w:rPr>
                <w:rFonts w:hint="eastAsia"/>
                <w:color w:val="auto"/>
              </w:rPr>
              <w:t>/</w:t>
            </w:r>
          </w:p>
        </w:tc>
      </w:tr>
      <w:tr w14:paraId="4BA70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right w:val="single" w:color="auto" w:sz="4" w:space="0"/>
            </w:tcBorders>
            <w:vAlign w:val="center"/>
          </w:tcPr>
          <w:p w14:paraId="7FC81AEE">
            <w:pPr>
              <w:pStyle w:val="91"/>
              <w:keepNext w:val="0"/>
              <w:keepLines w:val="0"/>
              <w:suppressLineNumbers w:val="0"/>
              <w:spacing w:before="0" w:beforeAutospacing="0" w:after="0" w:afterAutospacing="0"/>
              <w:ind w:left="0" w:right="0"/>
              <w:rPr>
                <w:rFonts w:hint="default"/>
                <w:color w:val="auto"/>
              </w:rPr>
            </w:pPr>
          </w:p>
        </w:tc>
        <w:tc>
          <w:tcPr>
            <w:tcW w:w="1701" w:type="dxa"/>
            <w:tcBorders>
              <w:top w:val="single" w:color="auto" w:sz="4" w:space="0"/>
              <w:left w:val="single" w:color="auto" w:sz="4" w:space="0"/>
              <w:bottom w:val="single" w:color="auto" w:sz="4" w:space="0"/>
              <w:right w:val="single" w:color="auto" w:sz="4" w:space="0"/>
            </w:tcBorders>
            <w:vAlign w:val="center"/>
          </w:tcPr>
          <w:p w14:paraId="3ABE0C54">
            <w:pPr>
              <w:pStyle w:val="91"/>
              <w:keepNext w:val="0"/>
              <w:keepLines w:val="0"/>
              <w:suppressLineNumbers w:val="0"/>
              <w:spacing w:before="0" w:beforeAutospacing="0" w:after="0" w:afterAutospacing="0"/>
              <w:ind w:left="0" w:right="0"/>
              <w:rPr>
                <w:rFonts w:hint="default"/>
                <w:color w:val="auto"/>
              </w:rPr>
            </w:pPr>
            <w:r>
              <w:rPr>
                <w:rFonts w:hint="eastAsia"/>
                <w:color w:val="auto"/>
              </w:rPr>
              <w:t>含油废布及棉纱</w:t>
            </w:r>
          </w:p>
        </w:tc>
        <w:tc>
          <w:tcPr>
            <w:tcW w:w="2410" w:type="dxa"/>
            <w:vMerge w:val="restart"/>
            <w:tcBorders>
              <w:top w:val="single" w:color="auto" w:sz="4" w:space="0"/>
              <w:left w:val="single" w:color="auto" w:sz="4" w:space="0"/>
              <w:right w:val="single" w:color="auto" w:sz="4" w:space="0"/>
            </w:tcBorders>
            <w:vAlign w:val="center"/>
          </w:tcPr>
          <w:p w14:paraId="27EBD3B3">
            <w:pPr>
              <w:pStyle w:val="91"/>
              <w:keepNext w:val="0"/>
              <w:keepLines w:val="0"/>
              <w:suppressLineNumbers w:val="0"/>
              <w:spacing w:before="0" w:beforeAutospacing="0" w:after="0" w:afterAutospacing="0"/>
              <w:ind w:left="0" w:right="0"/>
              <w:rPr>
                <w:rFonts w:hint="default"/>
                <w:color w:val="auto"/>
              </w:rPr>
            </w:pPr>
            <w:r>
              <w:rPr>
                <w:rFonts w:hint="eastAsia"/>
                <w:color w:val="auto"/>
              </w:rPr>
              <w:t>暂存在危废暂存库，定期委托有资质的单位处理</w:t>
            </w:r>
          </w:p>
        </w:tc>
        <w:tc>
          <w:tcPr>
            <w:tcW w:w="1701" w:type="dxa"/>
            <w:vMerge w:val="continue"/>
            <w:tcBorders>
              <w:left w:val="single" w:color="auto" w:sz="4" w:space="0"/>
              <w:right w:val="single" w:color="auto" w:sz="4" w:space="0"/>
            </w:tcBorders>
          </w:tcPr>
          <w:p w14:paraId="1D25440F">
            <w:pPr>
              <w:pStyle w:val="91"/>
              <w:keepNext w:val="0"/>
              <w:keepLines w:val="0"/>
              <w:suppressLineNumbers w:val="0"/>
              <w:spacing w:before="0" w:beforeAutospacing="0" w:after="0" w:afterAutospacing="0"/>
              <w:ind w:left="0" w:right="0"/>
              <w:rPr>
                <w:rFonts w:hint="default"/>
                <w:color w:val="auto"/>
              </w:rPr>
            </w:pPr>
          </w:p>
        </w:tc>
        <w:tc>
          <w:tcPr>
            <w:tcW w:w="2835" w:type="dxa"/>
            <w:vMerge w:val="restart"/>
            <w:tcBorders>
              <w:top w:val="single" w:color="auto" w:sz="4" w:space="0"/>
              <w:left w:val="single" w:color="auto" w:sz="4" w:space="0"/>
              <w:right w:val="single" w:color="auto" w:sz="4" w:space="0"/>
            </w:tcBorders>
            <w:vAlign w:val="center"/>
          </w:tcPr>
          <w:p w14:paraId="39B0B89C">
            <w:pPr>
              <w:pStyle w:val="91"/>
              <w:keepNext w:val="0"/>
              <w:keepLines w:val="0"/>
              <w:suppressLineNumbers w:val="0"/>
              <w:spacing w:before="0" w:beforeAutospacing="0" w:after="0" w:afterAutospacing="0"/>
              <w:ind w:left="0" w:right="0"/>
              <w:rPr>
                <w:rFonts w:hint="default"/>
                <w:color w:val="auto"/>
              </w:rPr>
            </w:pPr>
            <w:r>
              <w:rPr>
                <w:rFonts w:hint="eastAsia"/>
                <w:color w:val="auto"/>
              </w:rPr>
              <w:t>危废</w:t>
            </w:r>
            <w:r>
              <w:rPr>
                <w:rFonts w:hint="default"/>
                <w:color w:val="auto"/>
              </w:rPr>
              <w:t>协议</w:t>
            </w:r>
          </w:p>
        </w:tc>
      </w:tr>
      <w:tr w14:paraId="36EA2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562" w:type="dxa"/>
            <w:vMerge w:val="continue"/>
            <w:tcBorders>
              <w:left w:val="single" w:color="auto" w:sz="4" w:space="0"/>
              <w:right w:val="single" w:color="auto" w:sz="4" w:space="0"/>
            </w:tcBorders>
            <w:vAlign w:val="center"/>
          </w:tcPr>
          <w:p w14:paraId="61813427">
            <w:pPr>
              <w:pStyle w:val="91"/>
              <w:keepNext w:val="0"/>
              <w:keepLines w:val="0"/>
              <w:suppressLineNumbers w:val="0"/>
              <w:spacing w:before="0" w:beforeAutospacing="0" w:after="0" w:afterAutospacing="0"/>
              <w:ind w:left="0" w:right="0"/>
              <w:rPr>
                <w:rFonts w:hint="default"/>
                <w:color w:val="auto"/>
              </w:rPr>
            </w:pPr>
          </w:p>
        </w:tc>
        <w:tc>
          <w:tcPr>
            <w:tcW w:w="1701" w:type="dxa"/>
            <w:tcBorders>
              <w:top w:val="single" w:color="auto" w:sz="4" w:space="0"/>
              <w:left w:val="single" w:color="auto" w:sz="4" w:space="0"/>
              <w:bottom w:val="single" w:color="auto" w:sz="4" w:space="0"/>
              <w:right w:val="single" w:color="auto" w:sz="4" w:space="0"/>
            </w:tcBorders>
            <w:vAlign w:val="center"/>
          </w:tcPr>
          <w:p w14:paraId="34BA9615">
            <w:pPr>
              <w:pStyle w:val="91"/>
              <w:keepNext w:val="0"/>
              <w:keepLines w:val="0"/>
              <w:suppressLineNumbers w:val="0"/>
              <w:spacing w:before="0" w:beforeAutospacing="0" w:after="0" w:afterAutospacing="0"/>
              <w:ind w:left="0" w:right="0"/>
              <w:rPr>
                <w:rFonts w:hint="default"/>
                <w:color w:val="auto"/>
              </w:rPr>
            </w:pPr>
            <w:r>
              <w:rPr>
                <w:rFonts w:hint="eastAsia"/>
                <w:color w:val="auto"/>
              </w:rPr>
              <w:t>含油污泥</w:t>
            </w:r>
          </w:p>
        </w:tc>
        <w:tc>
          <w:tcPr>
            <w:tcW w:w="2410" w:type="dxa"/>
            <w:vMerge w:val="continue"/>
            <w:tcBorders>
              <w:left w:val="single" w:color="auto" w:sz="4" w:space="0"/>
              <w:right w:val="single" w:color="auto" w:sz="4" w:space="0"/>
            </w:tcBorders>
            <w:vAlign w:val="center"/>
          </w:tcPr>
          <w:p w14:paraId="751C7C44">
            <w:pPr>
              <w:pStyle w:val="91"/>
              <w:keepNext w:val="0"/>
              <w:keepLines w:val="0"/>
              <w:suppressLineNumbers w:val="0"/>
              <w:spacing w:before="0" w:beforeAutospacing="0" w:after="0" w:afterAutospacing="0"/>
              <w:ind w:left="0" w:right="0"/>
              <w:rPr>
                <w:rFonts w:hint="default"/>
                <w:color w:val="auto"/>
              </w:rPr>
            </w:pPr>
          </w:p>
        </w:tc>
        <w:tc>
          <w:tcPr>
            <w:tcW w:w="1701" w:type="dxa"/>
            <w:vMerge w:val="continue"/>
            <w:tcBorders>
              <w:left w:val="single" w:color="auto" w:sz="4" w:space="0"/>
              <w:right w:val="single" w:color="auto" w:sz="4" w:space="0"/>
            </w:tcBorders>
          </w:tcPr>
          <w:p w14:paraId="60D83855">
            <w:pPr>
              <w:pStyle w:val="91"/>
              <w:keepNext w:val="0"/>
              <w:keepLines w:val="0"/>
              <w:suppressLineNumbers w:val="0"/>
              <w:spacing w:before="0" w:beforeAutospacing="0" w:after="0" w:afterAutospacing="0"/>
              <w:ind w:left="0" w:right="0"/>
              <w:rPr>
                <w:rFonts w:hint="default"/>
                <w:color w:val="auto"/>
              </w:rPr>
            </w:pPr>
          </w:p>
        </w:tc>
        <w:tc>
          <w:tcPr>
            <w:tcW w:w="2835" w:type="dxa"/>
            <w:vMerge w:val="continue"/>
            <w:tcBorders>
              <w:left w:val="single" w:color="auto" w:sz="4" w:space="0"/>
              <w:bottom w:val="single" w:color="auto" w:sz="4" w:space="0"/>
              <w:right w:val="single" w:color="auto" w:sz="4" w:space="0"/>
            </w:tcBorders>
            <w:vAlign w:val="center"/>
          </w:tcPr>
          <w:p w14:paraId="61F609FD">
            <w:pPr>
              <w:pStyle w:val="91"/>
              <w:keepNext w:val="0"/>
              <w:keepLines w:val="0"/>
              <w:suppressLineNumbers w:val="0"/>
              <w:spacing w:before="0" w:beforeAutospacing="0" w:after="0" w:afterAutospacing="0"/>
              <w:ind w:left="0" w:right="0"/>
              <w:rPr>
                <w:rFonts w:hint="default"/>
                <w:color w:val="auto"/>
              </w:rPr>
            </w:pPr>
          </w:p>
        </w:tc>
      </w:tr>
    </w:tbl>
    <w:p w14:paraId="5091638B">
      <w:pPr>
        <w:ind w:firstLine="480"/>
        <w:rPr>
          <w:color w:val="auto"/>
        </w:rPr>
      </w:pPr>
    </w:p>
    <w:p w14:paraId="74A4AEFF">
      <w:pPr>
        <w:ind w:firstLine="480"/>
        <w:rPr>
          <w:color w:val="auto"/>
        </w:rPr>
        <w:sectPr>
          <w:headerReference r:id="rId42" w:type="default"/>
          <w:pgSz w:w="11906" w:h="16838"/>
          <w:pgMar w:top="1440" w:right="1134" w:bottom="1440" w:left="1418" w:header="851" w:footer="680" w:gutter="0"/>
          <w:cols w:space="720" w:num="1"/>
          <w:docGrid w:type="lines" w:linePitch="326" w:charSpace="0"/>
        </w:sectPr>
      </w:pPr>
    </w:p>
    <w:p w14:paraId="6CDA753B">
      <w:pPr>
        <w:pStyle w:val="3"/>
        <w:rPr>
          <w:color w:val="auto"/>
        </w:rPr>
      </w:pPr>
      <w:bookmarkStart w:id="690" w:name="_Toc223258516"/>
      <w:bookmarkStart w:id="691" w:name="_Toc22716725"/>
      <w:bookmarkStart w:id="692" w:name="_Toc223595805"/>
      <w:r>
        <w:rPr>
          <w:color w:val="auto"/>
        </w:rPr>
        <w:t>环境影响评价结论</w:t>
      </w:r>
      <w:bookmarkEnd w:id="690"/>
      <w:bookmarkEnd w:id="691"/>
      <w:bookmarkEnd w:id="692"/>
    </w:p>
    <w:p w14:paraId="13D0375F">
      <w:pPr>
        <w:pStyle w:val="5"/>
        <w:rPr>
          <w:color w:val="auto"/>
        </w:rPr>
      </w:pPr>
      <w:bookmarkStart w:id="693" w:name="_Toc223595806"/>
      <w:bookmarkStart w:id="694" w:name="_Toc25437070"/>
      <w:bookmarkStart w:id="695" w:name="_Toc22716726"/>
      <w:bookmarkStart w:id="696" w:name="_Toc223258517"/>
      <w:r>
        <w:rPr>
          <w:color w:val="auto"/>
        </w:rPr>
        <w:t>项目概况</w:t>
      </w:r>
      <w:bookmarkEnd w:id="693"/>
      <w:bookmarkEnd w:id="694"/>
      <w:bookmarkEnd w:id="695"/>
      <w:bookmarkEnd w:id="696"/>
    </w:p>
    <w:p w14:paraId="35E8F062">
      <w:pPr>
        <w:ind w:firstLine="480"/>
        <w:rPr>
          <w:iCs/>
          <w:color w:val="auto"/>
          <w:szCs w:val="28"/>
        </w:rPr>
      </w:pPr>
      <w:r>
        <w:rPr>
          <w:rFonts w:hint="eastAsia"/>
          <w:color w:val="auto"/>
          <w:szCs w:val="28"/>
        </w:rPr>
        <w:t>广西东油沥青有限公司5万吨级油气码头增加货种项目广西东油沥青有限公司5万吨级油气码头</w:t>
      </w:r>
      <w:r>
        <w:rPr>
          <w:iCs/>
          <w:color w:val="auto"/>
          <w:szCs w:val="28"/>
        </w:rPr>
        <w:t>。</w:t>
      </w:r>
    </w:p>
    <w:p w14:paraId="5F3D76C0">
      <w:pPr>
        <w:autoSpaceDE w:val="0"/>
        <w:autoSpaceDN w:val="0"/>
        <w:ind w:firstLine="480"/>
        <w:rPr>
          <w:color w:val="auto"/>
        </w:rPr>
      </w:pPr>
      <w:r>
        <w:rPr>
          <w:rFonts w:hint="eastAsia"/>
          <w:iCs/>
          <w:color w:val="auto"/>
          <w:szCs w:val="28"/>
        </w:rPr>
        <w:t>扩建项目不改变码头水工建筑的类型和结构，后方库区不新增占地面积。新增甲基叔丁基醚（MTBE）、石脑油、蜡油、渣油、异辛烷（烷基化油）5个货种的装卸和储存，吞吐量为50万吨/年，均利用现有的装卸和储存设施。货种调整后不会突破121万吨/年的设计吞吐量。</w:t>
      </w:r>
      <w:r>
        <w:rPr>
          <w:rFonts w:hint="eastAsia"/>
          <w:color w:val="auto"/>
        </w:rPr>
        <w:t>其中，石脑油需从本项目库区通过管道直接输送到广西石化罐区，因此从本项目库区汽油泵棚输送泵P301/1、2泵出口处新增一条DN150管道跨接至厂内柴油长输线（DN150），长度约</w:t>
      </w:r>
      <w:r>
        <w:rPr>
          <w:color w:val="auto"/>
        </w:rPr>
        <w:t>5</w:t>
      </w:r>
      <w:r>
        <w:rPr>
          <w:rFonts w:hint="eastAsia"/>
          <w:color w:val="auto"/>
        </w:rPr>
        <w:t>7</w:t>
      </w:r>
      <w:r>
        <w:rPr>
          <w:color w:val="auto"/>
        </w:rPr>
        <w:t>m</w:t>
      </w:r>
      <w:r>
        <w:rPr>
          <w:rFonts w:hint="eastAsia"/>
          <w:color w:val="auto"/>
        </w:rPr>
        <w:t>。</w:t>
      </w:r>
    </w:p>
    <w:p w14:paraId="534D0924">
      <w:pPr>
        <w:ind w:firstLine="480"/>
        <w:rPr>
          <w:iCs/>
          <w:color w:val="auto"/>
          <w:szCs w:val="28"/>
        </w:rPr>
      </w:pPr>
      <w:r>
        <w:rPr>
          <w:color w:val="auto"/>
        </w:rPr>
        <w:t>建设内容：</w:t>
      </w:r>
      <w:r>
        <w:rPr>
          <w:rFonts w:hint="eastAsia"/>
          <w:color w:val="auto"/>
          <w:szCs w:val="28"/>
        </w:rPr>
        <w:t>本项目码头前沿的装卸臂、管线等装卸设施均依托现有工程。新增货种的储存均依托后方库区的现有储罐。因此码头前沿和罐区均无新增和改造工程，仅在库区汽油泵棚新增一段57米的输油管线，输油管线于2026年2月已经建设完成。</w:t>
      </w:r>
    </w:p>
    <w:p w14:paraId="4D6484D1">
      <w:pPr>
        <w:ind w:firstLine="480"/>
        <w:rPr>
          <w:color w:val="auto"/>
        </w:rPr>
      </w:pPr>
      <w:r>
        <w:rPr>
          <w:color w:val="auto"/>
        </w:rPr>
        <w:t>工程总投资100万元，环保设施投资</w:t>
      </w:r>
      <w:r>
        <w:rPr>
          <w:rFonts w:hint="eastAsia"/>
          <w:color w:val="auto"/>
          <w:lang w:val="en-US" w:eastAsia="zh-CN"/>
        </w:rPr>
        <w:t>4</w:t>
      </w:r>
      <w:r>
        <w:rPr>
          <w:color w:val="auto"/>
        </w:rPr>
        <w:t>1</w:t>
      </w:r>
      <w:r>
        <w:rPr>
          <w:rFonts w:hint="eastAsia"/>
          <w:color w:val="auto"/>
        </w:rPr>
        <w:t>.0</w:t>
      </w:r>
      <w:r>
        <w:rPr>
          <w:color w:val="auto"/>
        </w:rPr>
        <w:t>万元，环保投资占总投资的比例为</w:t>
      </w:r>
      <w:r>
        <w:rPr>
          <w:rFonts w:hint="eastAsia"/>
          <w:color w:val="auto"/>
          <w:lang w:val="en-US" w:eastAsia="zh-CN"/>
        </w:rPr>
        <w:t>4</w:t>
      </w:r>
      <w:r>
        <w:rPr>
          <w:rFonts w:hint="eastAsia"/>
          <w:color w:val="auto"/>
        </w:rPr>
        <w:t>1</w:t>
      </w:r>
      <w:r>
        <w:rPr>
          <w:color w:val="auto"/>
        </w:rPr>
        <w:t>%。</w:t>
      </w:r>
    </w:p>
    <w:p w14:paraId="24481E7E">
      <w:pPr>
        <w:pStyle w:val="5"/>
        <w:rPr>
          <w:color w:val="auto"/>
        </w:rPr>
      </w:pPr>
      <w:bookmarkStart w:id="697" w:name="_Toc223258518"/>
      <w:bookmarkStart w:id="698" w:name="_Toc223595807"/>
      <w:bookmarkStart w:id="699" w:name="_Toc25437071"/>
      <w:bookmarkStart w:id="700" w:name="_Toc22716727"/>
      <w:r>
        <w:rPr>
          <w:color w:val="auto"/>
        </w:rPr>
        <w:t>环境质量现状</w:t>
      </w:r>
      <w:bookmarkEnd w:id="697"/>
      <w:bookmarkEnd w:id="698"/>
      <w:bookmarkEnd w:id="699"/>
      <w:bookmarkEnd w:id="700"/>
    </w:p>
    <w:p w14:paraId="7DC69612">
      <w:pPr>
        <w:pStyle w:val="4"/>
        <w:rPr>
          <w:color w:val="auto"/>
        </w:rPr>
      </w:pPr>
      <w:bookmarkStart w:id="701" w:name="_Toc216620661"/>
      <w:bookmarkStart w:id="702" w:name="_Toc29131933"/>
      <w:bookmarkStart w:id="703" w:name="_Toc136878592"/>
      <w:bookmarkStart w:id="704" w:name="_Toc216103502"/>
      <w:bookmarkStart w:id="705" w:name="_Toc135090328"/>
      <w:bookmarkStart w:id="706" w:name="_Toc26910120"/>
      <w:bookmarkStart w:id="707" w:name="_Toc25437072"/>
      <w:r>
        <w:rPr>
          <w:color w:val="auto"/>
        </w:rPr>
        <w:t>环境空气质量现状</w:t>
      </w:r>
      <w:bookmarkEnd w:id="701"/>
      <w:bookmarkEnd w:id="702"/>
      <w:bookmarkEnd w:id="703"/>
      <w:bookmarkEnd w:id="704"/>
      <w:bookmarkEnd w:id="705"/>
      <w:bookmarkEnd w:id="706"/>
      <w:bookmarkEnd w:id="707"/>
    </w:p>
    <w:p w14:paraId="467829A0">
      <w:pPr>
        <w:ind w:firstLine="480"/>
        <w:rPr>
          <w:color w:val="auto"/>
        </w:rPr>
      </w:pPr>
      <w:r>
        <w:rPr>
          <w:color w:val="auto"/>
        </w:rPr>
        <w:t>根据《自治区生态环境厅关于通报202</w:t>
      </w:r>
      <w:r>
        <w:rPr>
          <w:rFonts w:hint="eastAsia"/>
          <w:color w:val="auto"/>
        </w:rPr>
        <w:t>4</w:t>
      </w:r>
      <w:r>
        <w:rPr>
          <w:color w:val="auto"/>
        </w:rPr>
        <w:t>年设区城市及各县（市、区）环境空气质量的函》（桂环函〔202</w:t>
      </w:r>
      <w:r>
        <w:rPr>
          <w:rFonts w:hint="eastAsia"/>
          <w:color w:val="auto"/>
        </w:rPr>
        <w:t>5</w:t>
      </w:r>
      <w:r>
        <w:rPr>
          <w:color w:val="auto"/>
        </w:rPr>
        <w:t>〕</w:t>
      </w:r>
      <w:r>
        <w:rPr>
          <w:rFonts w:hint="eastAsia"/>
          <w:color w:val="auto"/>
        </w:rPr>
        <w:t>66</w:t>
      </w:r>
      <w:r>
        <w:rPr>
          <w:color w:val="auto"/>
        </w:rPr>
        <w:t>号）中，</w:t>
      </w:r>
      <w:r>
        <w:rPr>
          <w:rFonts w:hint="eastAsia"/>
          <w:color w:val="auto"/>
          <w:lang w:bidi="zh-CN"/>
        </w:rPr>
        <w:t>项目所在区域钦州市SO</w:t>
      </w:r>
      <w:r>
        <w:rPr>
          <w:rFonts w:hint="eastAsia"/>
          <w:color w:val="auto"/>
          <w:vertAlign w:val="subscript"/>
          <w:lang w:bidi="zh-CN"/>
        </w:rPr>
        <w:t>2</w:t>
      </w:r>
      <w:r>
        <w:rPr>
          <w:rFonts w:hint="eastAsia"/>
          <w:color w:val="auto"/>
          <w:lang w:bidi="zh-CN"/>
        </w:rPr>
        <w:t>、NO</w:t>
      </w:r>
      <w:r>
        <w:rPr>
          <w:rFonts w:hint="eastAsia"/>
          <w:color w:val="auto"/>
          <w:vertAlign w:val="subscript"/>
          <w:lang w:bidi="zh-CN"/>
        </w:rPr>
        <w:t>2</w:t>
      </w:r>
      <w:r>
        <w:rPr>
          <w:rFonts w:hint="eastAsia"/>
          <w:color w:val="auto"/>
          <w:lang w:bidi="zh-CN"/>
        </w:rPr>
        <w:t>、PM</w:t>
      </w:r>
      <w:r>
        <w:rPr>
          <w:rFonts w:hint="eastAsia"/>
          <w:color w:val="auto"/>
          <w:vertAlign w:val="subscript"/>
          <w:lang w:bidi="zh-CN"/>
        </w:rPr>
        <w:t>10</w:t>
      </w:r>
      <w:r>
        <w:rPr>
          <w:rFonts w:hint="eastAsia"/>
          <w:color w:val="auto"/>
          <w:lang w:bidi="zh-CN"/>
        </w:rPr>
        <w:t>、PM</w:t>
      </w:r>
      <w:r>
        <w:rPr>
          <w:rFonts w:hint="eastAsia"/>
          <w:color w:val="auto"/>
          <w:vertAlign w:val="subscript"/>
          <w:lang w:bidi="zh-CN"/>
        </w:rPr>
        <w:t>2.5</w:t>
      </w:r>
      <w:r>
        <w:rPr>
          <w:rFonts w:hint="eastAsia"/>
          <w:color w:val="auto"/>
          <w:lang w:bidi="zh-CN"/>
        </w:rPr>
        <w:t>、CO、O</w:t>
      </w:r>
      <w:r>
        <w:rPr>
          <w:rFonts w:hint="eastAsia"/>
          <w:color w:val="auto"/>
          <w:vertAlign w:val="subscript"/>
          <w:lang w:bidi="zh-CN"/>
        </w:rPr>
        <w:t>3</w:t>
      </w:r>
      <w:r>
        <w:rPr>
          <w:rFonts w:hint="eastAsia"/>
          <w:color w:val="auto"/>
          <w:lang w:bidi="zh-CN"/>
        </w:rPr>
        <w:t>环境质量现状均满足《环境空气质量标准》(GB3095-2012)中的二级标准，项目区域环境空气质量为达标区</w:t>
      </w:r>
      <w:r>
        <w:rPr>
          <w:color w:val="auto"/>
          <w:lang w:bidi="zh-CN"/>
        </w:rPr>
        <w:t>。</w:t>
      </w:r>
    </w:p>
    <w:p w14:paraId="0AE1A6FC">
      <w:pPr>
        <w:ind w:firstLine="480"/>
        <w:rPr>
          <w:color w:val="auto"/>
        </w:rPr>
      </w:pPr>
      <w:r>
        <w:rPr>
          <w:color w:val="auto"/>
        </w:rPr>
        <w:t>根据补充监测结果，</w:t>
      </w:r>
      <w:r>
        <w:rPr>
          <w:rFonts w:hint="eastAsia"/>
          <w:color w:val="auto"/>
        </w:rPr>
        <w:t>非甲烷总烃监测结果满足《大气污染物综合排放标准详解》中非甲烷总烃的一次浓度限值要求。</w:t>
      </w:r>
    </w:p>
    <w:p w14:paraId="0DCFCC72">
      <w:pPr>
        <w:pStyle w:val="4"/>
        <w:rPr>
          <w:color w:val="auto"/>
        </w:rPr>
      </w:pPr>
      <w:bookmarkStart w:id="708" w:name="_Toc26910122"/>
      <w:bookmarkStart w:id="709" w:name="_Toc25437074"/>
      <w:bookmarkStart w:id="710" w:name="_Toc216103503"/>
      <w:bookmarkStart w:id="711" w:name="_Toc136878593"/>
      <w:bookmarkStart w:id="712" w:name="_Toc135090330"/>
      <w:bookmarkStart w:id="713" w:name="_Toc216620662"/>
      <w:bookmarkStart w:id="714" w:name="_Toc29131935"/>
      <w:bookmarkStart w:id="715" w:name="_Toc26910121"/>
      <w:bookmarkStart w:id="716" w:name="_Toc135090329"/>
      <w:bookmarkStart w:id="717" w:name="_Toc25437073"/>
      <w:bookmarkStart w:id="718" w:name="_Toc29131934"/>
      <w:r>
        <w:rPr>
          <w:color w:val="auto"/>
        </w:rPr>
        <w:t>地下水环境质量现状</w:t>
      </w:r>
      <w:bookmarkEnd w:id="708"/>
      <w:bookmarkEnd w:id="709"/>
      <w:bookmarkEnd w:id="710"/>
      <w:bookmarkEnd w:id="711"/>
      <w:bookmarkEnd w:id="712"/>
      <w:bookmarkEnd w:id="713"/>
      <w:bookmarkEnd w:id="714"/>
    </w:p>
    <w:p w14:paraId="77E2DC0C">
      <w:pPr>
        <w:ind w:firstLine="480"/>
        <w:rPr>
          <w:color w:val="auto"/>
        </w:rPr>
      </w:pPr>
      <w:r>
        <w:rPr>
          <w:rFonts w:hint="eastAsia"/>
          <w:color w:val="auto"/>
        </w:rPr>
        <w:t>地下水共</w:t>
      </w:r>
      <w:r>
        <w:rPr>
          <w:color w:val="auto"/>
        </w:rPr>
        <w:t>有</w:t>
      </w:r>
      <w:r>
        <w:rPr>
          <w:rFonts w:hint="eastAsia"/>
          <w:color w:val="auto"/>
        </w:rPr>
        <w:t>3个水质</w:t>
      </w:r>
      <w:r>
        <w:rPr>
          <w:color w:val="auto"/>
        </w:rPr>
        <w:t>监测点位，其中2处水质监测点位</w:t>
      </w:r>
      <w:r>
        <w:rPr>
          <w:rFonts w:hint="eastAsia"/>
          <w:color w:val="auto"/>
        </w:rPr>
        <w:t>为</w:t>
      </w:r>
      <w:r>
        <w:rPr>
          <w:color w:val="auto"/>
        </w:rPr>
        <w:t>监测</w:t>
      </w:r>
      <w:r>
        <w:rPr>
          <w:rFonts w:hint="eastAsia"/>
          <w:color w:val="auto"/>
        </w:rPr>
        <w:t>，位于</w:t>
      </w:r>
      <w:r>
        <w:rPr>
          <w:color w:val="auto"/>
        </w:rPr>
        <w:t>项目范围内；</w:t>
      </w:r>
      <w:r>
        <w:rPr>
          <w:rFonts w:hint="eastAsia"/>
          <w:color w:val="auto"/>
        </w:rPr>
        <w:t>1个</w:t>
      </w:r>
      <w:r>
        <w:rPr>
          <w:color w:val="auto"/>
        </w:rPr>
        <w:t>水质监测点位引用</w:t>
      </w:r>
      <w:r>
        <w:rPr>
          <w:rFonts w:hint="eastAsia"/>
          <w:color w:val="auto"/>
        </w:rPr>
        <w:t>《北部湾港钦州港域金谷港区金鼓江作业区14号泊位扩建工程（新增液、乙等装卸设施）环境影响报告书》的</w:t>
      </w:r>
      <w:r>
        <w:rPr>
          <w:color w:val="auto"/>
        </w:rPr>
        <w:t>地下水监测点位</w:t>
      </w:r>
      <w:r>
        <w:rPr>
          <w:rFonts w:hint="eastAsia"/>
          <w:color w:val="auto"/>
        </w:rPr>
        <w:t>。</w:t>
      </w:r>
      <w:r>
        <w:rPr>
          <w:color w:val="auto"/>
        </w:rPr>
        <w:t>由地下水监测结果可知：</w:t>
      </w:r>
      <w:r>
        <w:rPr>
          <w:rFonts w:hint="eastAsia"/>
          <w:color w:val="auto"/>
        </w:rPr>
        <w:t>D1监测点出现氟化物超标现象，其余监测指标均能满足《地下水质量标准》（GB/T14848-2017）Ⅲ类标准要求。3</w:t>
      </w:r>
      <w:r>
        <w:rPr>
          <w:color w:val="auto"/>
        </w:rPr>
        <w:t>#</w:t>
      </w:r>
      <w:r>
        <w:rPr>
          <w:rFonts w:hint="eastAsia"/>
          <w:color w:val="auto"/>
        </w:rPr>
        <w:t>监测点</w:t>
      </w:r>
      <w:r>
        <w:rPr>
          <w:color w:val="auto"/>
        </w:rPr>
        <w:t>的</w:t>
      </w:r>
      <w:r>
        <w:rPr>
          <w:rFonts w:hint="eastAsia"/>
          <w:color w:val="auto"/>
        </w:rPr>
        <w:t>监测</w:t>
      </w:r>
      <w:r>
        <w:rPr>
          <w:color w:val="auto"/>
        </w:rPr>
        <w:t>因子均能满足</w:t>
      </w:r>
      <w:r>
        <w:rPr>
          <w:rFonts w:hint="eastAsia"/>
          <w:color w:val="auto"/>
        </w:rPr>
        <w:t>《地下水质量标准》（GB/T14848-2017）Ⅲ类标准要求。4</w:t>
      </w:r>
      <w:r>
        <w:rPr>
          <w:color w:val="auto"/>
        </w:rPr>
        <w:t>#</w:t>
      </w:r>
      <w:r>
        <w:rPr>
          <w:rFonts w:hint="eastAsia"/>
          <w:color w:val="auto"/>
        </w:rPr>
        <w:t>监测点除</w:t>
      </w:r>
      <w:r>
        <w:rPr>
          <w:color w:val="auto"/>
        </w:rPr>
        <w:t>Cl</w:t>
      </w:r>
      <w:r>
        <w:rPr>
          <w:color w:val="auto"/>
          <w:vertAlign w:val="superscript"/>
        </w:rPr>
        <w:t>-</w:t>
      </w:r>
      <w:r>
        <w:rPr>
          <w:rFonts w:hint="eastAsia"/>
          <w:color w:val="auto"/>
        </w:rPr>
        <w:t>、总硬度</w:t>
      </w:r>
      <w:r>
        <w:rPr>
          <w:color w:val="auto"/>
        </w:rPr>
        <w:t>、溶解性总固体外，</w:t>
      </w:r>
      <w:r>
        <w:rPr>
          <w:rFonts w:hint="eastAsia"/>
          <w:color w:val="auto"/>
        </w:rPr>
        <w:t>其余监测指标均能满足《地下水质量标准》（GB/T14848-2017）Ⅲ类标准要求。</w:t>
      </w:r>
    </w:p>
    <w:p w14:paraId="55209FC2">
      <w:pPr>
        <w:pStyle w:val="4"/>
        <w:rPr>
          <w:color w:val="auto"/>
        </w:rPr>
      </w:pPr>
      <w:bookmarkStart w:id="719" w:name="_Toc25437075"/>
      <w:bookmarkStart w:id="720" w:name="_Toc26910123"/>
      <w:bookmarkStart w:id="721" w:name="_Toc216103504"/>
      <w:bookmarkStart w:id="722" w:name="_Toc136878594"/>
      <w:bookmarkStart w:id="723" w:name="_Toc29131936"/>
      <w:bookmarkStart w:id="724" w:name="_Toc135090331"/>
      <w:bookmarkStart w:id="725" w:name="_Toc216620663"/>
      <w:r>
        <w:rPr>
          <w:color w:val="auto"/>
        </w:rPr>
        <w:t>声环境质量现状</w:t>
      </w:r>
      <w:bookmarkEnd w:id="719"/>
      <w:bookmarkEnd w:id="720"/>
      <w:bookmarkEnd w:id="721"/>
      <w:bookmarkEnd w:id="722"/>
      <w:bookmarkEnd w:id="723"/>
      <w:bookmarkEnd w:id="724"/>
      <w:bookmarkEnd w:id="725"/>
    </w:p>
    <w:p w14:paraId="5F9DC8CA">
      <w:pPr>
        <w:ind w:firstLine="480"/>
        <w:rPr>
          <w:color w:val="auto"/>
        </w:rPr>
      </w:pPr>
      <w:r>
        <w:rPr>
          <w:color w:val="auto"/>
        </w:rPr>
        <w:t>由声环境监测结果可知：</w:t>
      </w:r>
      <w:r>
        <w:rPr>
          <w:color w:val="auto"/>
          <w:kern w:val="0"/>
          <w:szCs w:val="22"/>
        </w:rPr>
        <w:t>本项目厂界噪声监测点的昼间、夜间监测值均达到</w:t>
      </w:r>
      <w:r>
        <w:rPr>
          <w:color w:val="auto"/>
        </w:rPr>
        <w:t>《</w:t>
      </w:r>
      <w:r>
        <w:rPr>
          <w:rFonts w:hint="eastAsia"/>
          <w:color w:val="auto"/>
        </w:rPr>
        <w:t>声环境质量</w:t>
      </w:r>
      <w:r>
        <w:rPr>
          <w:color w:val="auto"/>
        </w:rPr>
        <w:t>标准》（GB</w:t>
      </w:r>
      <w:r>
        <w:rPr>
          <w:rFonts w:hint="eastAsia"/>
          <w:color w:val="auto"/>
        </w:rPr>
        <w:t>/T15190</w:t>
      </w:r>
      <w:r>
        <w:rPr>
          <w:color w:val="auto"/>
        </w:rPr>
        <w:t>-20</w:t>
      </w:r>
      <w:r>
        <w:rPr>
          <w:rFonts w:hint="eastAsia"/>
          <w:color w:val="auto"/>
        </w:rPr>
        <w:t>14</w:t>
      </w:r>
      <w:r>
        <w:rPr>
          <w:color w:val="auto"/>
        </w:rPr>
        <w:t>）</w:t>
      </w:r>
      <w:r>
        <w:rPr>
          <w:color w:val="auto"/>
          <w:kern w:val="0"/>
          <w:szCs w:val="22"/>
        </w:rPr>
        <w:t>中3类标准</w:t>
      </w:r>
      <w:r>
        <w:rPr>
          <w:color w:val="auto"/>
        </w:rPr>
        <w:t>。</w:t>
      </w:r>
    </w:p>
    <w:p w14:paraId="432CDC21">
      <w:pPr>
        <w:pStyle w:val="4"/>
        <w:rPr>
          <w:color w:val="auto"/>
        </w:rPr>
      </w:pPr>
      <w:bookmarkStart w:id="726" w:name="_Toc216103505"/>
      <w:bookmarkStart w:id="727" w:name="_Toc136878595"/>
      <w:bookmarkStart w:id="728" w:name="_Toc216620664"/>
      <w:r>
        <w:rPr>
          <w:color w:val="auto"/>
        </w:rPr>
        <w:t>土壤环境质量现状</w:t>
      </w:r>
      <w:bookmarkEnd w:id="726"/>
      <w:bookmarkEnd w:id="727"/>
      <w:bookmarkEnd w:id="728"/>
    </w:p>
    <w:p w14:paraId="2B05A34C">
      <w:pPr>
        <w:ind w:firstLine="480"/>
        <w:rPr>
          <w:color w:val="auto"/>
        </w:rPr>
      </w:pPr>
      <w:r>
        <w:rPr>
          <w:color w:val="auto"/>
        </w:rPr>
        <w:t>根据土壤环境现状监测统计结果，项目土壤现状各指标均满足《土壤环境质量建设用地土壤污染风险管控标准（试行）》（GB36600-2018）中第二类用地筛选值限制要求。</w:t>
      </w:r>
    </w:p>
    <w:p w14:paraId="12567520">
      <w:pPr>
        <w:pStyle w:val="4"/>
        <w:rPr>
          <w:color w:val="auto"/>
        </w:rPr>
      </w:pPr>
      <w:bookmarkStart w:id="729" w:name="_Toc216103506"/>
      <w:bookmarkStart w:id="730" w:name="_Toc136878596"/>
      <w:bookmarkStart w:id="731" w:name="_Toc216620665"/>
      <w:r>
        <w:rPr>
          <w:color w:val="auto"/>
        </w:rPr>
        <w:t>海洋环境质量现状</w:t>
      </w:r>
      <w:bookmarkEnd w:id="715"/>
      <w:bookmarkEnd w:id="716"/>
      <w:bookmarkEnd w:id="717"/>
      <w:bookmarkEnd w:id="718"/>
      <w:bookmarkEnd w:id="729"/>
      <w:bookmarkEnd w:id="730"/>
      <w:bookmarkEnd w:id="731"/>
    </w:p>
    <w:p w14:paraId="19D8104A">
      <w:pPr>
        <w:pStyle w:val="6"/>
        <w:rPr>
          <w:color w:val="auto"/>
        </w:rPr>
      </w:pPr>
      <w:r>
        <w:rPr>
          <w:color w:val="auto"/>
        </w:rPr>
        <w:t>海洋水质</w:t>
      </w:r>
    </w:p>
    <w:p w14:paraId="10F59B30">
      <w:pPr>
        <w:ind w:firstLine="480"/>
        <w:rPr>
          <w:color w:val="auto"/>
          <w:lang w:bidi="zh-CN"/>
        </w:rPr>
      </w:pPr>
      <w:r>
        <w:rPr>
          <w:rFonts w:hint="eastAsia"/>
          <w:color w:val="auto"/>
          <w:lang w:val="zh-CN" w:bidi="zh-CN"/>
        </w:rPr>
        <w:t>根据海水水质监测结果，区域海水水质除S1、S2、S5点位的活性磷酸盐，S5点位的无机氮指标超标外，其余指标均能满足《海水水质标准》（GB3097-1997）相应标准限值。</w:t>
      </w:r>
    </w:p>
    <w:p w14:paraId="394F2BAC">
      <w:pPr>
        <w:pStyle w:val="6"/>
        <w:rPr>
          <w:color w:val="auto"/>
        </w:rPr>
      </w:pPr>
      <w:r>
        <w:rPr>
          <w:color w:val="auto"/>
        </w:rPr>
        <w:t>海洋沉积物</w:t>
      </w:r>
    </w:p>
    <w:p w14:paraId="2D4B37E8">
      <w:pPr>
        <w:ind w:firstLine="480"/>
        <w:rPr>
          <w:color w:val="auto"/>
        </w:rPr>
      </w:pPr>
      <w:r>
        <w:rPr>
          <w:rFonts w:hint="eastAsia"/>
          <w:color w:val="auto"/>
        </w:rPr>
        <w:t>根据监测，测站的铜、铅、锌、镉、铬、砷、油类、有机碳、硫化物等评价因子的标准指数小于1，各测站海洋沉积物环境质量现状均符合《海洋沉积物质量》（GB18668-2002）中的第一类或第三类（35#、40#测站）评价标准。S4、S5站位汞出现超标，汞超标站位均为一类海域，其水质要求较高，受内陆河流带入污染物后容易出现超标现象。符合相应环境功能区环境保护目标要求。</w:t>
      </w:r>
    </w:p>
    <w:p w14:paraId="39AC91A1">
      <w:pPr>
        <w:pStyle w:val="6"/>
        <w:rPr>
          <w:color w:val="auto"/>
        </w:rPr>
      </w:pPr>
      <w:r>
        <w:rPr>
          <w:color w:val="auto"/>
        </w:rPr>
        <w:t>海洋生物质量</w:t>
      </w:r>
    </w:p>
    <w:p w14:paraId="2C5B98DE">
      <w:pPr>
        <w:pStyle w:val="20"/>
        <w:ind w:firstLine="480"/>
        <w:rPr>
          <w:color w:val="auto"/>
          <w:lang w:val="zh-CN" w:bidi="zh-CN"/>
        </w:rPr>
      </w:pPr>
      <w:r>
        <w:rPr>
          <w:rFonts w:hint="eastAsia"/>
          <w:color w:val="auto"/>
          <w:lang w:val="zh-CN" w:bidi="zh-CN"/>
        </w:rPr>
        <w:t>1、浮游植物调查结果</w:t>
      </w:r>
    </w:p>
    <w:p w14:paraId="51044C26">
      <w:pPr>
        <w:pStyle w:val="20"/>
        <w:ind w:firstLine="480"/>
        <w:rPr>
          <w:color w:val="auto"/>
          <w:lang w:val="zh-CN" w:bidi="zh-CN"/>
        </w:rPr>
      </w:pPr>
      <w:r>
        <w:rPr>
          <w:rFonts w:hint="eastAsia"/>
          <w:color w:val="auto"/>
          <w:lang w:val="zh-CN" w:bidi="zh-CN"/>
        </w:rPr>
        <w:t>调查海域的5个站位中，浮游植物的种数最多的是S3站，为34种；S1站和S4站次之，均为32种；最少的是S2站和S5站，均为26种。根据各站位物种密度累加计算，调查海域5个站位的浮游植物平均密度为172,983.4个/L。最高密度站位：S4站密度最高，总密度达705,400个/L（主要由旋链角毛藻和柔弱管藻</w:t>
      </w:r>
      <w:r>
        <w:rPr>
          <w:rFonts w:hint="eastAsia"/>
          <w:color w:val="auto"/>
          <w:lang w:bidi="zh-CN"/>
        </w:rPr>
        <w:t>贡</w:t>
      </w:r>
      <w:r>
        <w:rPr>
          <w:rFonts w:hint="eastAsia"/>
          <w:color w:val="auto"/>
          <w:lang w:val="zh-CN" w:bidi="zh-CN"/>
        </w:rPr>
        <w:t>献）。S5站密度最低，总密度为20,339个/L。S1站为57,560个/L，S3站为52,618个/L，S2站为29,000个/L。单个物种的密度变化范围为175个/L（如S5站的多个物种）至284,000个/L（S4站的旋链角毛藻）。</w:t>
      </w:r>
    </w:p>
    <w:p w14:paraId="2CEA1CEE">
      <w:pPr>
        <w:pStyle w:val="20"/>
        <w:ind w:firstLine="480"/>
        <w:rPr>
          <w:bCs/>
          <w:color w:val="auto"/>
          <w:lang w:bidi="zh-CN"/>
        </w:rPr>
      </w:pPr>
      <w:r>
        <w:rPr>
          <w:rFonts w:hint="eastAsia"/>
          <w:bCs/>
          <w:color w:val="auto"/>
          <w:lang w:bidi="zh-CN"/>
        </w:rPr>
        <w:t>2、</w:t>
      </w:r>
      <w:r>
        <w:rPr>
          <w:bCs/>
          <w:color w:val="auto"/>
          <w:lang w:bidi="zh-CN"/>
        </w:rPr>
        <w:t>浮游动物</w:t>
      </w:r>
    </w:p>
    <w:p w14:paraId="2C64A91C">
      <w:pPr>
        <w:pStyle w:val="20"/>
        <w:ind w:firstLine="480"/>
        <w:rPr>
          <w:color w:val="auto"/>
          <w:szCs w:val="21"/>
        </w:rPr>
      </w:pPr>
      <w:r>
        <w:rPr>
          <w:rFonts w:hint="eastAsia"/>
          <w:color w:val="auto"/>
        </w:rPr>
        <w:t>本次调查共鉴定出浮游动物成体16种，浮游幼体3类，其中桡足类种类最多（10种），其次为毛颚类（2种）。各测站浮游动物种类数在6～15种之间。其中S4站种类数最多，为15种；S1站次之，为14种；S2、S5站种类数最少，均为6种。调查期间，各测站浮游动物的总密度介于935.9~2067.2个/m³之间，总体平均密度为1355.2个/m³。最高密度出现在S4站，为2067.2个/m³；最低密度出现在S2站，为935.9个/</w:t>
      </w:r>
      <w:r>
        <w:rPr>
          <w:color w:val="auto"/>
        </w:rPr>
        <w:t>m</w:t>
      </w:r>
      <w:r>
        <w:rPr>
          <w:color w:val="auto"/>
          <w:vertAlign w:val="superscript"/>
        </w:rPr>
        <w:t>3</w:t>
      </w:r>
      <w:r>
        <w:rPr>
          <w:rFonts w:hint="eastAsia"/>
          <w:color w:val="auto"/>
        </w:rPr>
        <w:t>。调查期间，各测站浮游动物生物量变化范围为95.8~345mg/m³，平均值为188.76mg/</w:t>
      </w:r>
      <w:r>
        <w:rPr>
          <w:color w:val="auto"/>
        </w:rPr>
        <w:t>m</w:t>
      </w:r>
      <w:r>
        <w:rPr>
          <w:color w:val="auto"/>
          <w:vertAlign w:val="superscript"/>
        </w:rPr>
        <w:t>3</w:t>
      </w:r>
      <w:r>
        <w:rPr>
          <w:rFonts w:hint="eastAsia"/>
          <w:color w:val="auto"/>
        </w:rPr>
        <w:t>。最大值出现在S4站（345mg/m³）；最小值出现在S2站（95.8mg/m³）。</w:t>
      </w:r>
    </w:p>
    <w:p w14:paraId="2CB85810">
      <w:pPr>
        <w:pStyle w:val="20"/>
        <w:ind w:firstLine="480"/>
        <w:rPr>
          <w:color w:val="auto"/>
          <w:lang w:bidi="zh-CN"/>
        </w:rPr>
      </w:pPr>
      <w:r>
        <w:rPr>
          <w:rFonts w:hint="eastAsia"/>
          <w:color w:val="auto"/>
          <w:lang w:bidi="zh-CN"/>
        </w:rPr>
        <w:t>3、</w:t>
      </w:r>
      <w:r>
        <w:rPr>
          <w:color w:val="auto"/>
          <w:lang w:bidi="zh-CN"/>
        </w:rPr>
        <w:t>大型底栖动物</w:t>
      </w:r>
    </w:p>
    <w:p w14:paraId="37171CD4">
      <w:pPr>
        <w:pStyle w:val="20"/>
        <w:ind w:firstLine="480"/>
        <w:rPr>
          <w:color w:val="auto"/>
        </w:rPr>
      </w:pPr>
      <w:r>
        <w:rPr>
          <w:rFonts w:hint="eastAsia"/>
          <w:color w:val="auto"/>
        </w:rPr>
        <w:t>本次调查共鉴定出底栖生物4大类群（环节动物多毛类、软体动物、脊索动物、棘皮动物），其中，多毛类种类数最多（8种/类）。调查海域5个测站中，S5站采集到的底栖生物种类数最多，为4种；S1、S2站次之，均采集到3种；S3、S4站最少，均仅采集到1种。调查海域底栖生物的总密度变化范围为3.0~43.0个/m²，平均密度为19.6个/m²。密度最高站位为S4站，为43.0个/m²；密度最低的站位为S3站，为3.0个/</w:t>
      </w:r>
      <w:r>
        <w:rPr>
          <w:color w:val="auto"/>
        </w:rPr>
        <w:t>m</w:t>
      </w:r>
      <w:r>
        <w:rPr>
          <w:color w:val="auto"/>
          <w:vertAlign w:val="superscript"/>
        </w:rPr>
        <w:t>2</w:t>
      </w:r>
      <w:r>
        <w:rPr>
          <w:rFonts w:hint="eastAsia"/>
          <w:color w:val="auto"/>
        </w:rPr>
        <w:t>。调查海域底栖生物的总生物量变化范围为0.27~2.80g/m²，平均生物量为1.24g/m²。生物量最高的站位为S1站，为2.80g/m²；生物量最低的站位：S3站，为0.27g/m²。</w:t>
      </w:r>
    </w:p>
    <w:p w14:paraId="0CB9C1A4">
      <w:pPr>
        <w:pStyle w:val="20"/>
        <w:ind w:firstLine="480"/>
        <w:rPr>
          <w:color w:val="auto"/>
          <w:lang w:bidi="zh-CN"/>
        </w:rPr>
      </w:pPr>
      <w:r>
        <w:rPr>
          <w:rFonts w:hint="eastAsia"/>
          <w:color w:val="auto"/>
          <w:lang w:bidi="zh-CN"/>
        </w:rPr>
        <w:t>4、游泳动物</w:t>
      </w:r>
    </w:p>
    <w:p w14:paraId="4D467523">
      <w:pPr>
        <w:pStyle w:val="20"/>
        <w:ind w:firstLine="480"/>
        <w:rPr>
          <w:color w:val="auto"/>
          <w:lang w:val="zh-CN" w:bidi="zh-CN"/>
        </w:rPr>
      </w:pPr>
      <w:r>
        <w:rPr>
          <w:color w:val="auto"/>
        </w:rPr>
        <w:t>本次调查</w:t>
      </w:r>
      <w:r>
        <w:rPr>
          <w:rFonts w:hint="eastAsia"/>
          <w:color w:val="auto"/>
        </w:rPr>
        <w:t>共采集到渔获物18种，其中鱼类14种，蟹类3种，头足类1种。</w:t>
      </w:r>
    </w:p>
    <w:p w14:paraId="2308A146">
      <w:pPr>
        <w:pStyle w:val="5"/>
        <w:rPr>
          <w:color w:val="auto"/>
        </w:rPr>
      </w:pPr>
      <w:bookmarkStart w:id="732" w:name="_Toc22716728"/>
      <w:bookmarkStart w:id="733" w:name="_Toc223258519"/>
      <w:bookmarkStart w:id="734" w:name="_Toc223595808"/>
      <w:r>
        <w:rPr>
          <w:color w:val="auto"/>
        </w:rPr>
        <w:t>环境影响</w:t>
      </w:r>
      <w:bookmarkEnd w:id="732"/>
      <w:r>
        <w:rPr>
          <w:color w:val="auto"/>
        </w:rPr>
        <w:t>预测与评价结论</w:t>
      </w:r>
      <w:bookmarkEnd w:id="733"/>
      <w:bookmarkEnd w:id="734"/>
    </w:p>
    <w:p w14:paraId="1D1FC0F1">
      <w:pPr>
        <w:pStyle w:val="4"/>
        <w:rPr>
          <w:color w:val="auto"/>
        </w:rPr>
      </w:pPr>
      <w:bookmarkStart w:id="735" w:name="_Toc216620667"/>
      <w:bookmarkStart w:id="736" w:name="_Toc135090333"/>
      <w:bookmarkStart w:id="737" w:name="_Toc25437077"/>
      <w:bookmarkStart w:id="738" w:name="_Toc26910125"/>
      <w:bookmarkStart w:id="739" w:name="_Toc29131938"/>
      <w:bookmarkStart w:id="740" w:name="_Toc135090341"/>
      <w:bookmarkStart w:id="741" w:name="_Toc216103515"/>
      <w:bookmarkStart w:id="742" w:name="_Toc26910133"/>
      <w:bookmarkStart w:id="743" w:name="_Toc136878605"/>
      <w:bookmarkStart w:id="744" w:name="_Toc29131946"/>
      <w:r>
        <w:rPr>
          <w:color w:val="auto"/>
        </w:rPr>
        <w:t>水环境影响分析</w:t>
      </w:r>
      <w:bookmarkEnd w:id="735"/>
    </w:p>
    <w:p w14:paraId="088CB707">
      <w:pPr>
        <w:ind w:firstLine="480"/>
        <w:rPr>
          <w:color w:val="auto"/>
        </w:rPr>
      </w:pPr>
      <w:r>
        <w:rPr>
          <w:rFonts w:hint="eastAsia"/>
          <w:color w:val="auto"/>
        </w:rPr>
        <w:t>本项目无新增定员，不增加生活污水。</w:t>
      </w:r>
    </w:p>
    <w:p w14:paraId="19562B23">
      <w:pPr>
        <w:ind w:firstLine="480"/>
        <w:rPr>
          <w:color w:val="auto"/>
        </w:rPr>
      </w:pPr>
      <w:r>
        <w:rPr>
          <w:rFonts w:hint="eastAsia"/>
          <w:color w:val="auto"/>
        </w:rPr>
        <w:t>本项目无新增面积和</w:t>
      </w:r>
      <w:r>
        <w:rPr>
          <w:color w:val="auto"/>
        </w:rPr>
        <w:t>储罐</w:t>
      </w:r>
      <w:r>
        <w:rPr>
          <w:rFonts w:hint="eastAsia"/>
          <w:color w:val="auto"/>
        </w:rPr>
        <w:t>，不新增初期雨水、码头冲洗废水以及</w:t>
      </w:r>
      <w:r>
        <w:rPr>
          <w:color w:val="auto"/>
        </w:rPr>
        <w:t>洗罐废水</w:t>
      </w:r>
      <w:r>
        <w:rPr>
          <w:rFonts w:hint="eastAsia"/>
          <w:color w:val="auto"/>
        </w:rPr>
        <w:t>，码头冲洗废水和初期雨水经</w:t>
      </w:r>
      <w:r>
        <w:rPr>
          <w:color w:val="auto"/>
        </w:rPr>
        <w:t>围堰内设置集污池（有效容积2m</w:t>
      </w:r>
      <w:r>
        <w:rPr>
          <w:color w:val="auto"/>
          <w:vertAlign w:val="superscript"/>
        </w:rPr>
        <w:t>3</w:t>
      </w:r>
      <w:r>
        <w:rPr>
          <w:color w:val="auto"/>
        </w:rPr>
        <w:t>），</w:t>
      </w:r>
      <w:r>
        <w:rPr>
          <w:rFonts w:hint="eastAsia"/>
          <w:color w:val="auto"/>
        </w:rPr>
        <w:t>通过提升泵泵送至</w:t>
      </w:r>
      <w:r>
        <w:rPr>
          <w:color w:val="auto"/>
        </w:rPr>
        <w:t>引桥</w:t>
      </w:r>
      <w:r>
        <w:rPr>
          <w:rFonts w:hint="eastAsia"/>
          <w:color w:val="auto"/>
        </w:rPr>
        <w:t>与</w:t>
      </w:r>
      <w:r>
        <w:rPr>
          <w:color w:val="auto"/>
        </w:rPr>
        <w:t>库区连接处</w:t>
      </w:r>
      <w:r>
        <w:rPr>
          <w:rFonts w:hint="eastAsia"/>
          <w:color w:val="auto"/>
        </w:rPr>
        <w:t>左侧</w:t>
      </w:r>
      <w:r>
        <w:rPr>
          <w:color w:val="auto"/>
        </w:rPr>
        <w:t>的事故应急池</w:t>
      </w:r>
      <w:r>
        <w:rPr>
          <w:rFonts w:hint="eastAsia"/>
          <w:color w:val="auto"/>
        </w:rPr>
        <w:t>（容积20000</w:t>
      </w:r>
      <w:r>
        <w:rPr>
          <w:color w:val="auto"/>
        </w:rPr>
        <w:t>m</w:t>
      </w:r>
      <w:r>
        <w:rPr>
          <w:color w:val="auto"/>
          <w:vertAlign w:val="superscript"/>
        </w:rPr>
        <w:t>3</w:t>
      </w:r>
      <w:r>
        <w:rPr>
          <w:rFonts w:hint="eastAsia"/>
          <w:color w:val="auto"/>
        </w:rPr>
        <w:t>）</w:t>
      </w:r>
      <w:r>
        <w:rPr>
          <w:color w:val="auto"/>
        </w:rPr>
        <w:t>中</w:t>
      </w:r>
      <w:r>
        <w:rPr>
          <w:rFonts w:hint="eastAsia"/>
          <w:color w:val="auto"/>
        </w:rPr>
        <w:t>；罐组内的初期雨水通过雨水管网收集后，排至事故应急池，</w:t>
      </w:r>
      <w:r>
        <w:rPr>
          <w:color w:val="auto"/>
        </w:rPr>
        <w:t>现有工程事故应急池兼顾初期雨水池的功能再</w:t>
      </w:r>
      <w:r>
        <w:rPr>
          <w:rFonts w:hint="eastAsia"/>
          <w:color w:val="auto"/>
        </w:rPr>
        <w:t>经过</w:t>
      </w:r>
      <w:r>
        <w:rPr>
          <w:color w:val="auto"/>
        </w:rPr>
        <w:t>泵将水抽送至</w:t>
      </w:r>
      <w:r>
        <w:rPr>
          <w:rFonts w:hint="eastAsia"/>
          <w:color w:val="auto"/>
        </w:rPr>
        <w:t>库区</w:t>
      </w:r>
      <w:r>
        <w:rPr>
          <w:color w:val="auto"/>
        </w:rPr>
        <w:t>污水处理</w:t>
      </w:r>
      <w:r>
        <w:rPr>
          <w:rFonts w:hint="eastAsia"/>
          <w:color w:val="auto"/>
        </w:rPr>
        <w:t>设施；洗罐</w:t>
      </w:r>
      <w:r>
        <w:rPr>
          <w:color w:val="auto"/>
        </w:rPr>
        <w:t>废水经收集后进入现有污水处理设施进行隔油处理</w:t>
      </w:r>
      <w:r>
        <w:rPr>
          <w:rFonts w:hint="eastAsia"/>
          <w:color w:val="auto"/>
        </w:rPr>
        <w:t>；初期雨水、码头冲洗废水以及</w:t>
      </w:r>
      <w:r>
        <w:rPr>
          <w:color w:val="auto"/>
        </w:rPr>
        <w:t>洗罐废水</w:t>
      </w:r>
      <w:r>
        <w:rPr>
          <w:rFonts w:hint="eastAsia"/>
          <w:color w:val="auto"/>
        </w:rPr>
        <w:t>由罐车统一运回东油沥青厂区后统一通过管网输送至广西石化污水处理场进行处理。陆域生活污水进入化粪池后，由吸污车运至东油沥青厂后，统一通过管网输送至广西石化污水处理场进行处理。到港船舶生活污水和机舱油污水由有资质</w:t>
      </w:r>
      <w:r>
        <w:rPr>
          <w:color w:val="auto"/>
        </w:rPr>
        <w:t>单位</w:t>
      </w:r>
      <w:r>
        <w:rPr>
          <w:rFonts w:hint="eastAsia"/>
          <w:color w:val="auto"/>
        </w:rPr>
        <w:t>接收处置。</w:t>
      </w:r>
    </w:p>
    <w:p w14:paraId="19C19BE8">
      <w:pPr>
        <w:pStyle w:val="4"/>
        <w:rPr>
          <w:color w:val="auto"/>
        </w:rPr>
      </w:pPr>
      <w:bookmarkStart w:id="745" w:name="_Toc216620668"/>
      <w:bookmarkStart w:id="746" w:name="_Toc136878599"/>
      <w:r>
        <w:rPr>
          <w:color w:val="auto"/>
        </w:rPr>
        <w:t>大气环境影响</w:t>
      </w:r>
      <w:bookmarkEnd w:id="736"/>
      <w:bookmarkEnd w:id="737"/>
      <w:bookmarkEnd w:id="738"/>
      <w:bookmarkEnd w:id="739"/>
      <w:r>
        <w:rPr>
          <w:color w:val="auto"/>
        </w:rPr>
        <w:t>评价</w:t>
      </w:r>
      <w:bookmarkEnd w:id="745"/>
      <w:bookmarkEnd w:id="746"/>
    </w:p>
    <w:p w14:paraId="2659A09E">
      <w:pPr>
        <w:ind w:firstLine="480"/>
        <w:rPr>
          <w:color w:val="auto"/>
        </w:rPr>
      </w:pPr>
      <w:r>
        <w:rPr>
          <w:rFonts w:hint="eastAsia"/>
          <w:color w:val="auto"/>
        </w:rPr>
        <w:t>扩建项目废气污染物主要有装卸管线的动静密封点溢出废气、扫线废气、装船废气、储罐呼吸废气、到港船舶废气。</w:t>
      </w:r>
      <w:r>
        <w:rPr>
          <w:rFonts w:hint="eastAsia"/>
          <w:bCs/>
          <w:color w:val="auto"/>
        </w:rPr>
        <w:t>装船</w:t>
      </w:r>
      <w:r>
        <w:rPr>
          <w:bCs/>
          <w:color w:val="auto"/>
        </w:rPr>
        <w:t>产生</w:t>
      </w:r>
      <w:r>
        <w:rPr>
          <w:rFonts w:hint="eastAsia"/>
          <w:bCs/>
          <w:color w:val="auto"/>
        </w:rPr>
        <w:t>的</w:t>
      </w:r>
      <w:r>
        <w:rPr>
          <w:bCs/>
          <w:color w:val="auto"/>
        </w:rPr>
        <w:t>废气</w:t>
      </w:r>
      <w:r>
        <w:rPr>
          <w:rFonts w:hint="eastAsia"/>
          <w:bCs/>
          <w:color w:val="auto"/>
        </w:rPr>
        <w:t>依托现有</w:t>
      </w:r>
      <w:r>
        <w:rPr>
          <w:bCs/>
          <w:color w:val="auto"/>
        </w:rPr>
        <w:t>工程的</w:t>
      </w:r>
      <w:r>
        <w:rPr>
          <w:rFonts w:hint="eastAsia"/>
          <w:bCs/>
          <w:color w:val="auto"/>
        </w:rPr>
        <w:t>油气管线</w:t>
      </w:r>
      <w:r>
        <w:rPr>
          <w:bCs/>
          <w:color w:val="auto"/>
        </w:rPr>
        <w:t>回收至汽油装船油气回收设施处理后经</w:t>
      </w:r>
      <w:r>
        <w:rPr>
          <w:rFonts w:hint="eastAsia"/>
          <w:bCs/>
          <w:color w:val="auto"/>
        </w:rPr>
        <w:t>15</w:t>
      </w:r>
      <w:r>
        <w:rPr>
          <w:bCs/>
          <w:color w:val="auto"/>
        </w:rPr>
        <w:t>m高排气筒排放</w:t>
      </w:r>
      <w:r>
        <w:rPr>
          <w:rFonts w:hint="eastAsia"/>
          <w:bCs/>
          <w:color w:val="auto"/>
        </w:rPr>
        <w:t>，有组织</w:t>
      </w:r>
      <w:r>
        <w:rPr>
          <w:bCs/>
          <w:color w:val="auto"/>
        </w:rPr>
        <w:t>废气排放可达到</w:t>
      </w:r>
      <w:r>
        <w:rPr>
          <w:rFonts w:hint="eastAsia"/>
          <w:color w:val="auto"/>
        </w:rPr>
        <w:t>《石油炼制工业污染物排放标准》（GB31570-2015，含2024年修改单）表3大气污染物排放限值要求。</w:t>
      </w:r>
    </w:p>
    <w:p w14:paraId="0E381EB5">
      <w:pPr>
        <w:ind w:firstLine="480"/>
        <w:rPr>
          <w:color w:val="auto"/>
        </w:rPr>
      </w:pPr>
      <w:r>
        <w:rPr>
          <w:rFonts w:hint="eastAsia" w:cs="宋体"/>
          <w:bCs/>
          <w:color w:val="auto"/>
        </w:rPr>
        <w:t>扩建项目无组织</w:t>
      </w:r>
      <w:r>
        <w:rPr>
          <w:rFonts w:cs="宋体"/>
          <w:bCs/>
          <w:color w:val="auto"/>
        </w:rPr>
        <w:t>排放的</w:t>
      </w:r>
      <w:r>
        <w:rPr>
          <w:rFonts w:hint="eastAsia" w:cs="宋体"/>
          <w:bCs/>
          <w:color w:val="auto"/>
        </w:rPr>
        <w:t>非甲烷总烃经过</w:t>
      </w:r>
      <w:r>
        <w:rPr>
          <w:rFonts w:cs="宋体"/>
          <w:bCs/>
          <w:color w:val="auto"/>
        </w:rPr>
        <w:t>场外扩散后最大落地浓度19.1μ</w:t>
      </w:r>
      <w:r>
        <w:rPr>
          <w:rFonts w:hint="eastAsia"/>
          <w:color w:val="auto"/>
        </w:rPr>
        <w:t>g/m</w:t>
      </w:r>
      <w:r>
        <w:rPr>
          <w:rFonts w:hint="eastAsia"/>
          <w:color w:val="auto"/>
          <w:vertAlign w:val="superscript"/>
        </w:rPr>
        <w:t>3</w:t>
      </w:r>
      <w:r>
        <w:rPr>
          <w:rFonts w:hint="eastAsia"/>
          <w:color w:val="auto"/>
        </w:rPr>
        <w:t>，</w:t>
      </w:r>
      <w:r>
        <w:rPr>
          <w:color w:val="auto"/>
        </w:rPr>
        <w:t>项目厂界</w:t>
      </w:r>
      <w:r>
        <w:rPr>
          <w:rFonts w:hint="eastAsia"/>
          <w:color w:val="auto"/>
        </w:rPr>
        <w:t>非甲烷总烃</w:t>
      </w:r>
      <w:r>
        <w:rPr>
          <w:color w:val="auto"/>
        </w:rPr>
        <w:t>浓度</w:t>
      </w:r>
      <w:r>
        <w:rPr>
          <w:rFonts w:hint="eastAsia" w:cs="宋体"/>
          <w:bCs/>
          <w:color w:val="auto"/>
        </w:rPr>
        <w:t>均可</w:t>
      </w:r>
      <w:r>
        <w:rPr>
          <w:rFonts w:cs="宋体"/>
          <w:bCs/>
          <w:color w:val="auto"/>
        </w:rPr>
        <w:t>达到</w:t>
      </w:r>
      <w:r>
        <w:rPr>
          <w:rFonts w:hint="eastAsia"/>
          <w:color w:val="auto"/>
        </w:rPr>
        <w:t>《石油炼制工业污染物排放标准》（GB31570-2015，含2024年修改单）表5企业</w:t>
      </w:r>
      <w:r>
        <w:rPr>
          <w:color w:val="auto"/>
        </w:rPr>
        <w:t>边界</w:t>
      </w:r>
      <w:r>
        <w:rPr>
          <w:rFonts w:hint="eastAsia"/>
          <w:color w:val="auto"/>
        </w:rPr>
        <w:t>大气污染物浓度限值要求。</w:t>
      </w:r>
    </w:p>
    <w:p w14:paraId="6D9CBAFD">
      <w:pPr>
        <w:pStyle w:val="4"/>
        <w:rPr>
          <w:color w:val="auto"/>
        </w:rPr>
      </w:pPr>
      <w:bookmarkStart w:id="747" w:name="_Toc26910128"/>
      <w:bookmarkStart w:id="748" w:name="_Toc135090336"/>
      <w:bookmarkStart w:id="749" w:name="_Toc29131941"/>
      <w:bookmarkStart w:id="750" w:name="_Toc25437080"/>
      <w:bookmarkStart w:id="751" w:name="_Toc216620669"/>
      <w:bookmarkStart w:id="752" w:name="_Toc136878600"/>
      <w:r>
        <w:rPr>
          <w:color w:val="auto"/>
        </w:rPr>
        <w:t>噪声环境影响</w:t>
      </w:r>
      <w:bookmarkEnd w:id="747"/>
      <w:bookmarkEnd w:id="748"/>
      <w:bookmarkEnd w:id="749"/>
      <w:bookmarkEnd w:id="750"/>
      <w:r>
        <w:rPr>
          <w:color w:val="auto"/>
        </w:rPr>
        <w:t>评价</w:t>
      </w:r>
      <w:bookmarkEnd w:id="751"/>
      <w:bookmarkEnd w:id="752"/>
    </w:p>
    <w:p w14:paraId="30BE5C1F">
      <w:pPr>
        <w:ind w:firstLine="480"/>
        <w:rPr>
          <w:color w:val="auto"/>
        </w:rPr>
      </w:pPr>
      <w:r>
        <w:rPr>
          <w:color w:val="auto"/>
        </w:rPr>
        <w:t>本项目运营期厂界噪声预测贡献值</w:t>
      </w:r>
      <w:r>
        <w:rPr>
          <w:rFonts w:hint="eastAsia"/>
          <w:color w:val="auto"/>
        </w:rPr>
        <w:t>均</w:t>
      </w:r>
      <w:r>
        <w:rPr>
          <w:color w:val="auto"/>
        </w:rPr>
        <w:t>可以达到《工业企业厂界环境噪声排放标准》（GB12348-2008）3类噪声排放限值要求，噪声评价范围内无敏感点，噪声排放对周围环境影响不大。</w:t>
      </w:r>
    </w:p>
    <w:p w14:paraId="11E0CD6F">
      <w:pPr>
        <w:pStyle w:val="4"/>
        <w:rPr>
          <w:color w:val="auto"/>
        </w:rPr>
      </w:pPr>
      <w:bookmarkStart w:id="753" w:name="_Toc29131942"/>
      <w:bookmarkStart w:id="754" w:name="_Toc26910129"/>
      <w:bookmarkStart w:id="755" w:name="_Toc135090337"/>
      <w:bookmarkStart w:id="756" w:name="_Toc25437081"/>
      <w:bookmarkStart w:id="757" w:name="_Toc136878601"/>
      <w:bookmarkStart w:id="758" w:name="_Toc216620670"/>
      <w:r>
        <w:rPr>
          <w:color w:val="auto"/>
        </w:rPr>
        <w:t>固体</w:t>
      </w:r>
      <w:bookmarkEnd w:id="753"/>
      <w:bookmarkEnd w:id="754"/>
      <w:bookmarkEnd w:id="755"/>
      <w:bookmarkEnd w:id="756"/>
      <w:r>
        <w:rPr>
          <w:color w:val="auto"/>
        </w:rPr>
        <w:t>废物影响评价</w:t>
      </w:r>
      <w:bookmarkEnd w:id="757"/>
      <w:bookmarkEnd w:id="758"/>
    </w:p>
    <w:p w14:paraId="7835C954">
      <w:pPr>
        <w:ind w:firstLine="480"/>
        <w:rPr>
          <w:color w:val="auto"/>
        </w:rPr>
      </w:pPr>
      <w:r>
        <w:rPr>
          <w:color w:val="auto"/>
        </w:rPr>
        <w:t>项目船舶污染物交资质单位接收处置；生活垃圾由环卫部门统一清运。危险废物暂存在危废暂存库，</w:t>
      </w:r>
      <w:r>
        <w:rPr>
          <w:rFonts w:hint="eastAsia"/>
          <w:color w:val="auto"/>
          <w:lang w:eastAsia="zh-CN"/>
        </w:rPr>
        <w:t>交由</w:t>
      </w:r>
      <w:r>
        <w:rPr>
          <w:color w:val="auto"/>
        </w:rPr>
        <w:t>资质单位定期转运处置。项目产生的固废</w:t>
      </w:r>
      <w:r>
        <w:rPr>
          <w:rFonts w:hint="eastAsia"/>
          <w:color w:val="auto"/>
        </w:rPr>
        <w:t>经</w:t>
      </w:r>
      <w:r>
        <w:rPr>
          <w:color w:val="auto"/>
        </w:rPr>
        <w:t>妥善处置，</w:t>
      </w:r>
      <w:r>
        <w:rPr>
          <w:rFonts w:hint="eastAsia"/>
          <w:color w:val="auto"/>
        </w:rPr>
        <w:t>对</w:t>
      </w:r>
      <w:r>
        <w:rPr>
          <w:color w:val="auto"/>
        </w:rPr>
        <w:t>环境影响不大。</w:t>
      </w:r>
    </w:p>
    <w:p w14:paraId="5B51D682">
      <w:pPr>
        <w:pStyle w:val="5"/>
        <w:rPr>
          <w:color w:val="auto"/>
        </w:rPr>
      </w:pPr>
      <w:bookmarkStart w:id="759" w:name="_Toc223595809"/>
      <w:bookmarkStart w:id="760" w:name="_Toc22716729"/>
      <w:bookmarkStart w:id="761" w:name="_Toc25433663"/>
      <w:bookmarkStart w:id="762" w:name="_Toc223258520"/>
      <w:bookmarkStart w:id="763" w:name="_Toc136878603"/>
      <w:r>
        <w:rPr>
          <w:color w:val="auto"/>
        </w:rPr>
        <w:t>环境保护措施</w:t>
      </w:r>
      <w:bookmarkEnd w:id="759"/>
      <w:bookmarkEnd w:id="760"/>
      <w:bookmarkEnd w:id="761"/>
      <w:bookmarkEnd w:id="762"/>
      <w:bookmarkEnd w:id="763"/>
    </w:p>
    <w:p w14:paraId="6D9F1A7B">
      <w:pPr>
        <w:pStyle w:val="4"/>
        <w:rPr>
          <w:color w:val="auto"/>
        </w:rPr>
      </w:pPr>
      <w:bookmarkStart w:id="764" w:name="_Toc26910132"/>
      <w:bookmarkStart w:id="765" w:name="_Toc216620673"/>
      <w:bookmarkStart w:id="766" w:name="_Toc135090340"/>
      <w:bookmarkStart w:id="767" w:name="_Toc136878604"/>
      <w:bookmarkStart w:id="768" w:name="_Toc29131945"/>
      <w:r>
        <w:rPr>
          <w:color w:val="auto"/>
        </w:rPr>
        <w:t>大气污染防治措施</w:t>
      </w:r>
      <w:bookmarkEnd w:id="764"/>
      <w:bookmarkEnd w:id="765"/>
      <w:bookmarkEnd w:id="766"/>
      <w:bookmarkEnd w:id="767"/>
      <w:bookmarkEnd w:id="768"/>
    </w:p>
    <w:p w14:paraId="0BC7D80C">
      <w:pPr>
        <w:numPr>
          <w:ilvl w:val="0"/>
          <w:numId w:val="29"/>
        </w:numPr>
        <w:ind w:firstLine="480"/>
        <w:rPr>
          <w:color w:val="auto"/>
        </w:rPr>
      </w:pPr>
      <w:r>
        <w:rPr>
          <w:color w:val="auto"/>
        </w:rPr>
        <w:t>船舶废气</w:t>
      </w:r>
    </w:p>
    <w:p w14:paraId="0CB8057A">
      <w:pPr>
        <w:ind w:firstLine="480"/>
        <w:rPr>
          <w:color w:val="auto"/>
        </w:rPr>
      </w:pPr>
      <w:r>
        <w:rPr>
          <w:color w:val="auto"/>
        </w:rPr>
        <w:t>污染物严格按照《Marpol73/78公约》附则VI的规定执行；选用含硫量低的燃料，控制燃料的含硫量；尽可能降低辅机运转负荷，停泊时尽量启用单辅机发电，减少耗油量；船舶应优先选用功率大、转速快的发动机。</w:t>
      </w:r>
    </w:p>
    <w:p w14:paraId="0B3B566A">
      <w:pPr>
        <w:ind w:firstLine="480"/>
        <w:rPr>
          <w:color w:val="auto"/>
        </w:rPr>
      </w:pPr>
      <w:r>
        <w:rPr>
          <w:rFonts w:hint="eastAsia"/>
          <w:color w:val="auto"/>
        </w:rPr>
        <w:t>2、</w:t>
      </w:r>
      <w:r>
        <w:rPr>
          <w:color w:val="auto"/>
        </w:rPr>
        <w:t>装船废气污染防治措施</w:t>
      </w:r>
    </w:p>
    <w:p w14:paraId="0221680B">
      <w:pPr>
        <w:ind w:firstLine="480"/>
        <w:rPr>
          <w:color w:val="auto"/>
        </w:rPr>
      </w:pPr>
      <w:r>
        <w:rPr>
          <w:rFonts w:hint="eastAsia"/>
          <w:color w:val="auto"/>
        </w:rPr>
        <w:t>装船产生的废气依托现有</w:t>
      </w:r>
      <w:r>
        <w:rPr>
          <w:color w:val="auto"/>
        </w:rPr>
        <w:t>工程的</w:t>
      </w:r>
      <w:r>
        <w:rPr>
          <w:rFonts w:hint="eastAsia"/>
          <w:color w:val="auto"/>
        </w:rPr>
        <w:t>油气管线回收至汽油装船油气回收设施处理后经15m高排气筒排放。</w:t>
      </w:r>
    </w:p>
    <w:p w14:paraId="0AB6C6E1">
      <w:pPr>
        <w:ind w:firstLine="480"/>
        <w:rPr>
          <w:snapToGrid w:val="0"/>
          <w:color w:val="auto"/>
        </w:rPr>
      </w:pPr>
      <w:r>
        <w:rPr>
          <w:color w:val="auto"/>
        </w:rPr>
        <w:t>2、</w:t>
      </w:r>
      <w:r>
        <w:rPr>
          <w:rFonts w:hint="eastAsia"/>
          <w:snapToGrid w:val="0"/>
          <w:color w:val="auto"/>
        </w:rPr>
        <w:t>无组织废气</w:t>
      </w:r>
    </w:p>
    <w:p w14:paraId="70098869">
      <w:pPr>
        <w:ind w:firstLine="480"/>
        <w:rPr>
          <w:color w:val="auto"/>
        </w:rPr>
      </w:pPr>
      <w:r>
        <w:rPr>
          <w:rFonts w:hint="eastAsia"/>
          <w:color w:val="auto"/>
        </w:rPr>
        <w:t>扩建</w:t>
      </w:r>
      <w:r>
        <w:rPr>
          <w:color w:val="auto"/>
        </w:rPr>
        <w:t>项目无组织废气控制措施主要为：加强设备维护保养，定期检查、校验</w:t>
      </w:r>
      <w:r>
        <w:rPr>
          <w:rFonts w:hint="eastAsia"/>
          <w:color w:val="auto"/>
        </w:rPr>
        <w:t>；</w:t>
      </w:r>
      <w:r>
        <w:rPr>
          <w:color w:val="auto"/>
        </w:rPr>
        <w:t>加强管理</w:t>
      </w:r>
      <w:r>
        <w:rPr>
          <w:rFonts w:hint="eastAsia"/>
          <w:color w:val="auto"/>
        </w:rPr>
        <w:t>；甲基叔丁基醚（MTBE）、石脑油、异辛烷（烷基化油）采用内浮顶罐储存，蜡油、渣油采用外浮顶罐储存。储罐均采用氮封措施；采用密闭管道进行输送，装载方式均为浸没式装载。</w:t>
      </w:r>
    </w:p>
    <w:p w14:paraId="00D4A5C6">
      <w:pPr>
        <w:pStyle w:val="4"/>
        <w:rPr>
          <w:color w:val="auto"/>
        </w:rPr>
      </w:pPr>
      <w:bookmarkStart w:id="769" w:name="_Toc216620674"/>
      <w:r>
        <w:rPr>
          <w:color w:val="auto"/>
        </w:rPr>
        <w:t>地表水污染防治措施</w:t>
      </w:r>
      <w:bookmarkEnd w:id="740"/>
      <w:bookmarkEnd w:id="741"/>
      <w:bookmarkEnd w:id="742"/>
      <w:bookmarkEnd w:id="743"/>
      <w:bookmarkEnd w:id="744"/>
      <w:bookmarkEnd w:id="769"/>
    </w:p>
    <w:p w14:paraId="78E84A09">
      <w:pPr>
        <w:ind w:firstLine="480"/>
        <w:rPr>
          <w:color w:val="auto"/>
        </w:rPr>
      </w:pPr>
      <w:r>
        <w:rPr>
          <w:color w:val="auto"/>
        </w:rPr>
        <w:t>船舶污水由资质单位接收处置。</w:t>
      </w:r>
      <w:r>
        <w:rPr>
          <w:rFonts w:hint="eastAsia"/>
          <w:color w:val="auto"/>
        </w:rPr>
        <w:t>不新增</w:t>
      </w:r>
      <w:r>
        <w:rPr>
          <w:color w:val="auto"/>
        </w:rPr>
        <w:t>生活污水</w:t>
      </w:r>
      <w:r>
        <w:rPr>
          <w:rFonts w:hint="eastAsia"/>
          <w:color w:val="auto"/>
        </w:rPr>
        <w:t>、</w:t>
      </w:r>
      <w:r>
        <w:rPr>
          <w:color w:val="auto"/>
        </w:rPr>
        <w:t>冲洗废水</w:t>
      </w:r>
      <w:r>
        <w:rPr>
          <w:rFonts w:hint="eastAsia"/>
          <w:color w:val="auto"/>
        </w:rPr>
        <w:t>、</w:t>
      </w:r>
      <w:r>
        <w:rPr>
          <w:color w:val="auto"/>
        </w:rPr>
        <w:t>初期雨水</w:t>
      </w:r>
      <w:r>
        <w:rPr>
          <w:rFonts w:hint="eastAsia"/>
          <w:color w:val="auto"/>
        </w:rPr>
        <w:t>、</w:t>
      </w:r>
      <w:r>
        <w:rPr>
          <w:color w:val="auto"/>
        </w:rPr>
        <w:t>洗罐废水</w:t>
      </w:r>
      <w:r>
        <w:rPr>
          <w:rFonts w:hint="eastAsia"/>
          <w:color w:val="auto"/>
        </w:rPr>
        <w:t>，初期雨水、码头冲洗废水以及</w:t>
      </w:r>
      <w:r>
        <w:rPr>
          <w:color w:val="auto"/>
        </w:rPr>
        <w:t>洗罐废水</w:t>
      </w:r>
      <w:r>
        <w:rPr>
          <w:rFonts w:hint="eastAsia"/>
          <w:color w:val="auto"/>
        </w:rPr>
        <w:t>由罐车统一运回东油沥青厂区后统一通过管网输送至广西石化污水处理场进行处理。陆域生活污水进入化粪池后，由吸污车运至东油沥青厂后，统一通过管网输送至广西石化污水处理场进行处理。最终达到《石油炼制工业污染物排放标准》（GB31570</w:t>
      </w:r>
      <w:r>
        <w:rPr>
          <w:color w:val="auto"/>
        </w:rPr>
        <w:t>-</w:t>
      </w:r>
      <w:r>
        <w:rPr>
          <w:rFonts w:hint="eastAsia"/>
          <w:color w:val="auto"/>
        </w:rPr>
        <w:t>2015）中表1水污染物直接</w:t>
      </w:r>
      <w:r>
        <w:rPr>
          <w:color w:val="auto"/>
        </w:rPr>
        <w:t>排放限值</w:t>
      </w:r>
      <w:r>
        <w:rPr>
          <w:rFonts w:hint="eastAsia"/>
          <w:color w:val="auto"/>
        </w:rPr>
        <w:t>标准后</w:t>
      </w:r>
      <w:r>
        <w:rPr>
          <w:color w:val="auto"/>
        </w:rPr>
        <w:t>排放。</w:t>
      </w:r>
    </w:p>
    <w:p w14:paraId="026D2273">
      <w:pPr>
        <w:pStyle w:val="4"/>
        <w:rPr>
          <w:color w:val="auto"/>
        </w:rPr>
      </w:pPr>
      <w:bookmarkStart w:id="770" w:name="_Toc26910134"/>
      <w:bookmarkStart w:id="771" w:name="_Toc216620675"/>
      <w:bookmarkStart w:id="772" w:name="_Toc29131947"/>
      <w:bookmarkStart w:id="773" w:name="_Toc135090342"/>
      <w:bookmarkStart w:id="774" w:name="_Toc136878606"/>
      <w:bookmarkStart w:id="775" w:name="_Toc216103516"/>
      <w:r>
        <w:rPr>
          <w:color w:val="auto"/>
        </w:rPr>
        <w:t>噪声污染防治措施</w:t>
      </w:r>
      <w:bookmarkEnd w:id="770"/>
      <w:bookmarkEnd w:id="771"/>
      <w:bookmarkEnd w:id="772"/>
      <w:bookmarkEnd w:id="773"/>
      <w:bookmarkEnd w:id="774"/>
      <w:bookmarkEnd w:id="775"/>
    </w:p>
    <w:p w14:paraId="2FCF5970">
      <w:pPr>
        <w:ind w:firstLine="480"/>
        <w:rPr>
          <w:color w:val="auto"/>
        </w:rPr>
      </w:pPr>
      <w:r>
        <w:rPr>
          <w:color w:val="auto"/>
        </w:rPr>
        <w:t>尽可能选择低噪设备或有降噪设计的设备，并采用吸声、隔声、减振等技术措施，控制机械、动力设备噪声；加强机械设备的维护，减少因不良运行产生的噪声。</w:t>
      </w:r>
    </w:p>
    <w:p w14:paraId="40A6F85A">
      <w:pPr>
        <w:pStyle w:val="4"/>
        <w:rPr>
          <w:color w:val="auto"/>
        </w:rPr>
      </w:pPr>
      <w:bookmarkStart w:id="776" w:name="_Toc26910135"/>
      <w:bookmarkStart w:id="777" w:name="_Toc216620676"/>
      <w:bookmarkStart w:id="778" w:name="_Toc135090343"/>
      <w:bookmarkStart w:id="779" w:name="_Toc216103517"/>
      <w:bookmarkStart w:id="780" w:name="_Toc136878607"/>
      <w:bookmarkStart w:id="781" w:name="_Toc29131948"/>
      <w:r>
        <w:rPr>
          <w:color w:val="auto"/>
        </w:rPr>
        <w:t>固体废物污染防治措施</w:t>
      </w:r>
      <w:bookmarkEnd w:id="776"/>
      <w:bookmarkEnd w:id="777"/>
      <w:bookmarkEnd w:id="778"/>
      <w:bookmarkEnd w:id="779"/>
      <w:bookmarkEnd w:id="780"/>
      <w:bookmarkEnd w:id="781"/>
    </w:p>
    <w:p w14:paraId="60927D4B">
      <w:pPr>
        <w:ind w:firstLine="480"/>
        <w:rPr>
          <w:color w:val="auto"/>
        </w:rPr>
      </w:pPr>
      <w:r>
        <w:rPr>
          <w:color w:val="auto"/>
        </w:rPr>
        <w:t>船舶垃圾由有资质单位接收处理。</w:t>
      </w:r>
      <w:r>
        <w:rPr>
          <w:rFonts w:hint="eastAsia"/>
          <w:color w:val="auto"/>
        </w:rPr>
        <w:t>生活</w:t>
      </w:r>
      <w:r>
        <w:rPr>
          <w:color w:val="auto"/>
        </w:rPr>
        <w:t>垃圾交由环卫部门清运，项目产生的危险废物统一收集后暂存在项目危废暂存库，由有资质的单位进厂回收。</w:t>
      </w:r>
    </w:p>
    <w:p w14:paraId="6EDD95F6">
      <w:pPr>
        <w:pStyle w:val="5"/>
        <w:rPr>
          <w:color w:val="auto"/>
        </w:rPr>
      </w:pPr>
      <w:bookmarkStart w:id="782" w:name="_Toc223258521"/>
      <w:bookmarkStart w:id="783" w:name="_Toc22716730"/>
      <w:bookmarkStart w:id="784" w:name="_Toc223595810"/>
      <w:r>
        <w:rPr>
          <w:color w:val="auto"/>
        </w:rPr>
        <w:t>环境风险评价结论</w:t>
      </w:r>
      <w:bookmarkEnd w:id="782"/>
      <w:bookmarkEnd w:id="783"/>
      <w:bookmarkEnd w:id="784"/>
    </w:p>
    <w:p w14:paraId="45CEF7E7">
      <w:pPr>
        <w:ind w:firstLine="480"/>
        <w:rPr>
          <w:color w:val="auto"/>
        </w:rPr>
      </w:pPr>
      <w:bookmarkStart w:id="785" w:name="_Toc22716731"/>
      <w:r>
        <w:rPr>
          <w:color w:val="auto"/>
        </w:rPr>
        <w:t>项目风险防范措施及应急预案合理、可行，应急预案应在企业现有应急预案的基础上，应急预案的重点关注内容应包括完整的环境风险应急体系、监控与预警、应急疏散救援以及应急监测等，纳入园区环境风险防控体系和管理的衔接要求，实现厂内与园区环境风险防控设施及管理的有效联动，有效防控环境风险。本项目的重点防范区域为码头区，重点应急区域为码头职工区域以及周边环境敏感点等区域。</w:t>
      </w:r>
    </w:p>
    <w:p w14:paraId="3009245F">
      <w:pPr>
        <w:ind w:firstLine="480"/>
        <w:rPr>
          <w:color w:val="auto"/>
        </w:rPr>
      </w:pPr>
      <w:r>
        <w:rPr>
          <w:color w:val="auto"/>
        </w:rPr>
        <w:t>企业在严格执行的同时仍需认真做好对其他可能出现的风险的防范，以期尽可能</w:t>
      </w:r>
      <w:r>
        <w:rPr>
          <w:rFonts w:hint="eastAsia"/>
          <w:color w:val="auto"/>
          <w:lang w:eastAsia="zh-CN"/>
        </w:rPr>
        <w:t>地</w:t>
      </w:r>
      <w:r>
        <w:rPr>
          <w:color w:val="auto"/>
        </w:rPr>
        <w:t>避免风险事故的发生。</w:t>
      </w:r>
    </w:p>
    <w:p w14:paraId="69C526FA">
      <w:pPr>
        <w:pStyle w:val="5"/>
        <w:rPr>
          <w:color w:val="auto"/>
        </w:rPr>
      </w:pPr>
      <w:bookmarkStart w:id="786" w:name="_Toc223595811"/>
      <w:bookmarkStart w:id="787" w:name="_Toc223258522"/>
      <w:r>
        <w:rPr>
          <w:color w:val="auto"/>
        </w:rPr>
        <w:t>环境影响经济损益分析</w:t>
      </w:r>
      <w:bookmarkEnd w:id="785"/>
      <w:bookmarkEnd w:id="786"/>
      <w:bookmarkEnd w:id="787"/>
    </w:p>
    <w:p w14:paraId="4B753630">
      <w:pPr>
        <w:ind w:firstLine="480"/>
        <w:rPr>
          <w:color w:val="auto"/>
        </w:rPr>
      </w:pPr>
      <w:r>
        <w:rPr>
          <w:color w:val="auto"/>
        </w:rPr>
        <w:t>本项目环保投资经济合理，所采取的环保措施在经济上是合理可行的，各项环保措施不仅较大程度</w:t>
      </w:r>
      <w:r>
        <w:rPr>
          <w:rFonts w:hint="eastAsia"/>
          <w:color w:val="auto"/>
          <w:lang w:eastAsia="zh-CN"/>
        </w:rPr>
        <w:t>地</w:t>
      </w:r>
      <w:r>
        <w:rPr>
          <w:color w:val="auto"/>
        </w:rPr>
        <w:t>减缓项目对环境产生的不利影响，还可以产生经济效益，其环境效益较显著。从环境经济观点的角度看，项目环保措施是合理可行的。</w:t>
      </w:r>
    </w:p>
    <w:p w14:paraId="6AACA275">
      <w:pPr>
        <w:pStyle w:val="5"/>
        <w:rPr>
          <w:color w:val="auto"/>
        </w:rPr>
      </w:pPr>
      <w:bookmarkStart w:id="788" w:name="_Toc223595812"/>
      <w:bookmarkStart w:id="789" w:name="_Toc22716732"/>
      <w:bookmarkStart w:id="790" w:name="_Toc223258523"/>
      <w:r>
        <w:rPr>
          <w:color w:val="auto"/>
        </w:rPr>
        <w:t>环境管理与监测计划</w:t>
      </w:r>
      <w:bookmarkEnd w:id="788"/>
      <w:bookmarkEnd w:id="789"/>
      <w:bookmarkEnd w:id="790"/>
    </w:p>
    <w:p w14:paraId="00E3FA99">
      <w:pPr>
        <w:ind w:firstLine="480"/>
        <w:rPr>
          <w:color w:val="auto"/>
        </w:rPr>
      </w:pPr>
      <w:r>
        <w:rPr>
          <w:rFonts w:hint="eastAsia"/>
          <w:color w:val="auto"/>
        </w:rPr>
        <w:t>本项目运营期均可能对环境产生不利影响，通过开展环境管理手段，预防或减轻不利环境影响。主要有：</w:t>
      </w:r>
      <w:bookmarkStart w:id="791" w:name="_Hlk150354788"/>
      <w:r>
        <w:rPr>
          <w:rFonts w:hint="eastAsia"/>
          <w:color w:val="auto"/>
        </w:rPr>
        <w:t>建立</w:t>
      </w:r>
      <w:r>
        <w:rPr>
          <w:color w:val="auto"/>
        </w:rPr>
        <w:t>环境保护管理体系，</w:t>
      </w:r>
      <w:r>
        <w:rPr>
          <w:rFonts w:hint="eastAsia"/>
          <w:color w:val="auto"/>
        </w:rPr>
        <w:t>明确</w:t>
      </w:r>
      <w:r>
        <w:rPr>
          <w:color w:val="auto"/>
        </w:rPr>
        <w:t>环境</w:t>
      </w:r>
      <w:r>
        <w:rPr>
          <w:rFonts w:hint="eastAsia"/>
          <w:color w:val="auto"/>
        </w:rPr>
        <w:t>管理</w:t>
      </w:r>
      <w:r>
        <w:rPr>
          <w:color w:val="auto"/>
        </w:rPr>
        <w:t>制度，</w:t>
      </w:r>
      <w:r>
        <w:rPr>
          <w:rFonts w:hint="eastAsia"/>
          <w:color w:val="auto"/>
        </w:rPr>
        <w:t>根据</w:t>
      </w:r>
      <w:r>
        <w:rPr>
          <w:color w:val="auto"/>
        </w:rPr>
        <w:t>本项目提出的环境保护措施，落实环境管理</w:t>
      </w:r>
      <w:r>
        <w:rPr>
          <w:rFonts w:hint="eastAsia"/>
          <w:color w:val="auto"/>
        </w:rPr>
        <w:t>要求</w:t>
      </w:r>
      <w:r>
        <w:rPr>
          <w:color w:val="auto"/>
        </w:rPr>
        <w:t>。</w:t>
      </w:r>
      <w:bookmarkEnd w:id="791"/>
      <w:r>
        <w:rPr>
          <w:rFonts w:hint="eastAsia"/>
          <w:color w:val="auto"/>
        </w:rPr>
        <w:t>制定有相应的运营期监测计划，以便能够及时掌握项目周边的环境质量变化情况；依法接受环境保护主管部门的监督检查。</w:t>
      </w:r>
    </w:p>
    <w:p w14:paraId="0C503C93">
      <w:pPr>
        <w:pStyle w:val="5"/>
        <w:rPr>
          <w:color w:val="auto"/>
        </w:rPr>
      </w:pPr>
      <w:bookmarkStart w:id="792" w:name="_Toc223258524"/>
      <w:bookmarkStart w:id="793" w:name="_Toc22716733"/>
      <w:bookmarkStart w:id="794" w:name="_Toc223595813"/>
      <w:r>
        <w:rPr>
          <w:color w:val="auto"/>
        </w:rPr>
        <w:t>公众意见采纳情况</w:t>
      </w:r>
      <w:bookmarkEnd w:id="792"/>
      <w:bookmarkEnd w:id="793"/>
      <w:bookmarkEnd w:id="794"/>
    </w:p>
    <w:p w14:paraId="489F43D3">
      <w:pPr>
        <w:ind w:firstLine="480"/>
        <w:rPr>
          <w:color w:val="auto"/>
        </w:rPr>
      </w:pPr>
      <w:r>
        <w:rPr>
          <w:rFonts w:hint="eastAsia"/>
          <w:color w:val="auto"/>
        </w:rPr>
        <w:t>本项目在网站第一次公示、网站第二次公示、报纸刊登、现场公示张贴期间，建设单位及报告编制单位均未收到公众以电话、信件或电子邮件等形式的反馈意见，无人反对本项目建设。本评价认为企业运营过程中，应加强风险防范措施，按报告要求落实好防范与应急措施，同时重视营运过程中的环保问题，加强管理，以实现环境效益、社会效益、经济效益的统一。</w:t>
      </w:r>
    </w:p>
    <w:p w14:paraId="20F9DB2F">
      <w:pPr>
        <w:pStyle w:val="5"/>
        <w:rPr>
          <w:color w:val="auto"/>
        </w:rPr>
      </w:pPr>
      <w:bookmarkStart w:id="795" w:name="_Toc223595814"/>
      <w:bookmarkStart w:id="796" w:name="_Toc22716734"/>
      <w:bookmarkStart w:id="797" w:name="_Toc223258525"/>
      <w:r>
        <w:rPr>
          <w:color w:val="auto"/>
        </w:rPr>
        <w:t>结论与建议</w:t>
      </w:r>
      <w:bookmarkEnd w:id="795"/>
      <w:bookmarkEnd w:id="796"/>
      <w:bookmarkEnd w:id="797"/>
    </w:p>
    <w:p w14:paraId="2C5A5246">
      <w:pPr>
        <w:ind w:firstLine="480"/>
        <w:rPr>
          <w:color w:val="auto"/>
        </w:rPr>
      </w:pPr>
      <w:r>
        <w:rPr>
          <w:rFonts w:hint="eastAsia"/>
          <w:color w:val="auto"/>
        </w:rPr>
        <w:t>广西东油沥青有限公司5万吨级油气码头增加货种项目</w:t>
      </w:r>
      <w:r>
        <w:rPr>
          <w:color w:val="auto"/>
        </w:rPr>
        <w:t>符合国家产业政策，符合</w:t>
      </w:r>
      <w:r>
        <w:rPr>
          <w:rFonts w:hint="eastAsia"/>
          <w:color w:val="auto"/>
        </w:rPr>
        <w:t>《北部湾港总体规划（</w:t>
      </w:r>
      <w:r>
        <w:rPr>
          <w:color w:val="auto"/>
        </w:rPr>
        <w:t>2035</w:t>
      </w:r>
      <w:r>
        <w:rPr>
          <w:rFonts w:hint="eastAsia"/>
          <w:color w:val="auto"/>
        </w:rPr>
        <w:t>年）》《广西钦州石化产业园总体发展规划（2020-2035）》《钦州市国土空间总体规划（2021-2035年）》等</w:t>
      </w:r>
      <w:r>
        <w:rPr>
          <w:color w:val="auto"/>
        </w:rPr>
        <w:t>规划要求</w:t>
      </w:r>
      <w:r>
        <w:rPr>
          <w:rFonts w:hint="eastAsia"/>
          <w:color w:val="auto"/>
        </w:rPr>
        <w:t>，</w:t>
      </w:r>
      <w:r>
        <w:rPr>
          <w:color w:val="auto"/>
        </w:rPr>
        <w:t>且符合</w:t>
      </w:r>
      <w:r>
        <w:rPr>
          <w:rFonts w:hint="eastAsia"/>
          <w:color w:val="auto"/>
        </w:rPr>
        <w:t>生态环境分区管控的</w:t>
      </w:r>
      <w:r>
        <w:rPr>
          <w:color w:val="auto"/>
        </w:rPr>
        <w:t>管理</w:t>
      </w:r>
      <w:r>
        <w:rPr>
          <w:rFonts w:hint="eastAsia"/>
          <w:color w:val="auto"/>
        </w:rPr>
        <w:t>规定。</w:t>
      </w:r>
      <w:r>
        <w:rPr>
          <w:color w:val="auto"/>
        </w:rPr>
        <w:t>项目实施后具有明显的社会经济效益，</w:t>
      </w:r>
      <w:r>
        <w:rPr>
          <w:rFonts w:hint="eastAsia"/>
          <w:color w:val="auto"/>
        </w:rPr>
        <w:t>对打造国家级钦州石化产业基地、形成北部湾石化产业集群、推动北部湾经济区快速增长有着重大意义。</w:t>
      </w:r>
    </w:p>
    <w:p w14:paraId="148398B2">
      <w:pPr>
        <w:ind w:firstLine="480"/>
        <w:rPr>
          <w:color w:val="auto"/>
        </w:rPr>
      </w:pPr>
      <w:r>
        <w:rPr>
          <w:color w:val="auto"/>
        </w:rPr>
        <w:t>项目运营期不可避免</w:t>
      </w:r>
      <w:r>
        <w:rPr>
          <w:rFonts w:hint="eastAsia"/>
          <w:color w:val="auto"/>
        </w:rPr>
        <w:t>地</w:t>
      </w:r>
      <w:r>
        <w:rPr>
          <w:color w:val="auto"/>
        </w:rPr>
        <w:t>对该码头有限范围的生态环境、水环境、声环境、环境空气产生一定程度的干扰和负面影响，在运行过程中存在一定的环境风险，</w:t>
      </w:r>
      <w:r>
        <w:rPr>
          <w:rFonts w:hint="eastAsia"/>
          <w:color w:val="auto"/>
        </w:rPr>
        <w:t>在</w:t>
      </w:r>
      <w:r>
        <w:rPr>
          <w:color w:val="auto"/>
        </w:rPr>
        <w:t>采取措施后，其影响和风险是可以接受的。只要在建设和生产过程中切实做好</w:t>
      </w:r>
      <w:r>
        <w:rPr>
          <w:rFonts w:hint="eastAsia"/>
          <w:color w:val="auto"/>
        </w:rPr>
        <w:t>“</w:t>
      </w:r>
      <w:r>
        <w:rPr>
          <w:color w:val="auto"/>
        </w:rPr>
        <w:t>三同时</w:t>
      </w:r>
      <w:r>
        <w:rPr>
          <w:rFonts w:hint="eastAsia"/>
          <w:color w:val="auto"/>
        </w:rPr>
        <w:t>”</w:t>
      </w:r>
      <w:r>
        <w:rPr>
          <w:color w:val="auto"/>
        </w:rPr>
        <w:t>工作，认真落实评价中提出的生态环境保护措施、污染防治措施、事故预防措施及应急预案，就可以将本工程对环境的不利影响降到最低程度，实现经济、社会和环境的可持续发展。因此，在落实各项污染防治措施、生态保护措施及风险控制措施和应急预案后，从环境保护角度考虑，本项目是可行的。</w:t>
      </w:r>
    </w:p>
    <w:bookmarkEnd w:id="6"/>
    <w:p w14:paraId="3B0E7597">
      <w:pPr>
        <w:pStyle w:val="14"/>
        <w:rPr>
          <w:rFonts w:hint="eastAsia" w:eastAsia="宋体"/>
          <w:color w:val="auto"/>
          <w:lang w:eastAsia="zh-CN"/>
        </w:rPr>
      </w:pPr>
    </w:p>
    <w:sectPr>
      <w:headerReference r:id="rId43" w:type="default"/>
      <w:pgSz w:w="11906" w:h="16838"/>
      <w:pgMar w:top="1418" w:right="1134" w:bottom="1418" w:left="1440" w:header="851" w:footer="680" w:gutter="0"/>
      <w:cols w:space="720"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CIDFont+F1">
    <w:altName w:val="Cambria"/>
    <w:panose1 w:val="00000000000000000000"/>
    <w:charset w:val="00"/>
    <w:family w:val="roman"/>
    <w:pitch w:val="default"/>
    <w:sig w:usb0="00000000" w:usb1="00000000" w:usb2="00000000" w:usb3="00000000" w:csb0="00000000" w:csb1="00000000"/>
  </w:font>
  <w:font w:name="CIDFont+F2">
    <w:altName w:val="Cambria"/>
    <w:panose1 w:val="00000000000000000000"/>
    <w:charset w:val="00"/>
    <w:family w:val="roman"/>
    <w:pitch w:val="default"/>
    <w:sig w:usb0="00000000" w:usb1="00000000" w:usb2="00000000" w:usb3="00000000" w:csb0="00000000" w:csb1="00000000"/>
  </w:font>
  <w:font w:name="Tahoma">
    <w:panose1 w:val="020B0604030504040204"/>
    <w:charset w:val="00"/>
    <w:family w:val="swiss"/>
    <w:pitch w:val="default"/>
    <w:sig w:usb0="E1002EFF" w:usb1="C000605B" w:usb2="00000029" w:usb3="00000000" w:csb0="200101FF" w:csb1="20280000"/>
  </w:font>
  <w:font w:name="仿宋_GB2312">
    <w:altName w:val="仿宋"/>
    <w:panose1 w:val="02010609030101010101"/>
    <w:charset w:val="86"/>
    <w:family w:val="modern"/>
    <w:pitch w:val="default"/>
    <w:sig w:usb0="00000000" w:usb1="00000000" w:usb2="00000000" w:usb3="00000000" w:csb0="00040000" w:csb1="00000000"/>
  </w:font>
  <w:font w:name="华文中宋">
    <w:altName w:val="宋体"/>
    <w:panose1 w:val="02010600040101010101"/>
    <w:charset w:val="86"/>
    <w:family w:val="auto"/>
    <w:pitch w:val="default"/>
    <w:sig w:usb0="00000000" w:usb1="00000000" w:usb2="00000000" w:usb3="00000000" w:csb0="0004009F" w:csb1="DFD70000"/>
  </w:font>
  <w:font w:name="方正大标宋简体">
    <w:altName w:val="微软雅黑"/>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华文行楷">
    <w:altName w:val="微软雅黑"/>
    <w:panose1 w:val="02010800040101010101"/>
    <w:charset w:val="86"/>
    <w:family w:val="auto"/>
    <w:pitch w:val="default"/>
    <w:sig w:usb0="00000000" w:usb1="00000000" w:usb2="00000000" w:usb3="00000000" w:csb0="00040000" w:csb1="00000000"/>
  </w:font>
  <w:font w:name="华文楷体">
    <w:altName w:val="宋体"/>
    <w:panose1 w:val="02010600040101010101"/>
    <w:charset w:val="86"/>
    <w:family w:val="auto"/>
    <w:pitch w:val="default"/>
    <w:sig w:usb0="00000000" w:usb1="00000000" w:usb2="00000000" w:usb3="00000000" w:csb0="0004009F" w:csb1="DFD70000"/>
  </w:font>
  <w:font w:name="华文新魏">
    <w:altName w:val="宋体"/>
    <w:panose1 w:val="02010800040101010101"/>
    <w:charset w:val="86"/>
    <w:family w:val="auto"/>
    <w:pitch w:val="default"/>
    <w:sig w:usb0="00000000" w:usb1="00000000" w:usb2="00000000" w:usb3="00000000" w:csb0="00040000" w:csb1="00000000"/>
  </w:font>
  <w:font w:name="FZFSK--GBK1-0">
    <w:altName w:val="Cambria"/>
    <w:panose1 w:val="00000000000000000000"/>
    <w:charset w:val="00"/>
    <w:family w:val="roman"/>
    <w:pitch w:val="default"/>
    <w:sig w:usb0="00000000" w:usb1="00000000" w:usb2="00000000" w:usb3="00000000" w:csb0="00000000" w:csb1="00000000"/>
  </w:font>
  <w:font w:name="MS Mincho">
    <w:panose1 w:val="02020609040205080304"/>
    <w:charset w:val="80"/>
    <w:family w:val="modern"/>
    <w:pitch w:val="default"/>
    <w:sig w:usb0="E00002FF" w:usb1="6AC7FDFB" w:usb2="00000012" w:usb3="00000000" w:csb0="4002009F" w:csb1="DFD70000"/>
  </w:font>
  <w:font w:name="Cambria Math">
    <w:panose1 w:val="02040503050406030204"/>
    <w:charset w:val="00"/>
    <w:family w:val="roman"/>
    <w:pitch w:val="default"/>
    <w:sig w:usb0="E00002FF" w:usb1="420024FF" w:usb2="00000000" w:usb3="00000000" w:csb0="2000019F" w:csb1="00000000"/>
  </w:font>
  <w:font w:name="Wingdings 2">
    <w:altName w:val="Wingdings"/>
    <w:panose1 w:val="05020102010507070707"/>
    <w:charset w:val="02"/>
    <w:family w:val="roman"/>
    <w:pitch w:val="default"/>
    <w:sig w:usb0="00000000" w:usb1="00000000" w:usb2="00000000" w:usb3="00000000" w:csb0="80000000" w:csb1="00000000"/>
  </w:font>
  <w:font w:name="瀹嬩綋">
    <w:altName w:val="微软雅黑"/>
    <w:panose1 w:val="00000000000000000000"/>
    <w:charset w:val="00"/>
    <w:family w:val="auto"/>
    <w:pitch w:val="default"/>
    <w:sig w:usb0="00000000" w:usb1="00000000" w:usb2="00000000" w:usb3="00000000" w:csb0="00040001" w:csb1="00000000"/>
  </w:font>
  <w:font w:name="等线">
    <w:altName w:val="微软雅黑"/>
    <w:panose1 w:val="02010600030101010101"/>
    <w:charset w:val="86"/>
    <w:family w:val="auto"/>
    <w:pitch w:val="default"/>
    <w:sig w:usb0="00000000" w:usb1="00000000" w:usb2="00000016" w:usb3="00000000" w:csb0="0004000F" w:csb1="0000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0BA6FC">
    <w:pPr>
      <w:pStyle w:val="29"/>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90249620"/>
      <w:docPartObj>
        <w:docPartGallery w:val="autotext"/>
      </w:docPartObj>
    </w:sdtPr>
    <w:sdtContent>
      <w:p w14:paraId="0C65E99B">
        <w:pPr>
          <w:pStyle w:val="29"/>
          <w:tabs>
            <w:tab w:val="left" w:pos="5176"/>
            <w:tab w:val="center" w:pos="7007"/>
          </w:tabs>
          <w:jc w:val="center"/>
        </w:pPr>
        <w:r>
          <w:fldChar w:fldCharType="begin"/>
        </w:r>
        <w:r>
          <w:instrText xml:space="preserve">PAGE   \* MERGEFORMAT</w:instrText>
        </w:r>
        <w:r>
          <w:fldChar w:fldCharType="separate"/>
        </w:r>
        <w:r>
          <w:t>248</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69611366"/>
      <w:docPartObj>
        <w:docPartGallery w:val="autotext"/>
      </w:docPartObj>
    </w:sdtPr>
    <w:sdtContent>
      <w:p w14:paraId="6FB7AF35">
        <w:pPr>
          <w:pStyle w:val="29"/>
          <w:jc w:val="center"/>
        </w:pPr>
        <w:r>
          <w:fldChar w:fldCharType="begin"/>
        </w:r>
        <w:r>
          <w:instrText xml:space="preserve">PAGE   \* MERGEFORMAT</w:instrText>
        </w:r>
        <w:r>
          <w:fldChar w:fldCharType="separate"/>
        </w:r>
        <w:r>
          <w:t>XVI</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85041735"/>
      <w:docPartObj>
        <w:docPartGallery w:val="autotext"/>
      </w:docPartObj>
    </w:sdtPr>
    <w:sdtContent>
      <w:p w14:paraId="2DAC552D">
        <w:pPr>
          <w:pStyle w:val="29"/>
          <w:jc w:val="center"/>
        </w:pPr>
        <w:r>
          <w:fldChar w:fldCharType="begin"/>
        </w:r>
        <w:r>
          <w:instrText xml:space="preserve">PAGE   \* MERGEFORMAT</w:instrText>
        </w:r>
        <w:r>
          <w:fldChar w:fldCharType="separate"/>
        </w:r>
        <w:r>
          <w:t>v</w:t>
        </w:r>
        <w:r>
          <w:fldChar w:fldCharType="end"/>
        </w:r>
      </w:p>
    </w:sdtContent>
  </w:sdt>
  <w:p w14:paraId="472C5B18">
    <w:pPr>
      <w:pStyle w:val="29"/>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98927529"/>
      <w:docPartObj>
        <w:docPartGallery w:val="autotext"/>
      </w:docPartObj>
    </w:sdtPr>
    <w:sdtContent>
      <w:p w14:paraId="0CF52FE6">
        <w:pPr>
          <w:pStyle w:val="29"/>
          <w:tabs>
            <w:tab w:val="left" w:pos="5176"/>
            <w:tab w:val="center" w:pos="7007"/>
          </w:tabs>
          <w:jc w:val="center"/>
        </w:pPr>
        <w:r>
          <w:fldChar w:fldCharType="begin"/>
        </w:r>
        <w:r>
          <w:instrText xml:space="preserve">PAGE   \* MERGEFORMAT</w:instrText>
        </w:r>
        <w:r>
          <w:fldChar w:fldCharType="separate"/>
        </w:r>
        <w:r>
          <w:t>47</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1BD78B">
    <w:pPr>
      <w:ind w:firstLine="48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F1FAC3">
    <w:pPr>
      <w:ind w:firstLine="48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04920089"/>
      <w:docPartObj>
        <w:docPartGallery w:val="autotext"/>
      </w:docPartObj>
    </w:sdtPr>
    <w:sdtContent>
      <w:p w14:paraId="184061E8">
        <w:pPr>
          <w:pStyle w:val="29"/>
          <w:tabs>
            <w:tab w:val="left" w:pos="5176"/>
            <w:tab w:val="center" w:pos="7007"/>
          </w:tabs>
          <w:jc w:val="center"/>
        </w:pPr>
        <w:r>
          <w:fldChar w:fldCharType="begin"/>
        </w:r>
        <w:r>
          <w:instrText xml:space="preserve">PAGE   \* MERGEFORMAT</w:instrText>
        </w:r>
        <w:r>
          <w:fldChar w:fldCharType="separate"/>
        </w:r>
        <w:r>
          <w:t>98</w:t>
        </w:r>
        <w: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08DB90">
    <w:pPr>
      <w:tabs>
        <w:tab w:val="center" w:pos="4153"/>
        <w:tab w:val="right" w:pos="8306"/>
      </w:tabs>
      <w:ind w:firstLine="48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5351E9">
    <w:pPr>
      <w:tabs>
        <w:tab w:val="center" w:pos="4153"/>
        <w:tab w:val="right" w:pos="8306"/>
      </w:tabs>
      <w:ind w:firstLine="48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77928A">
    <w:pPr>
      <w:pStyle w:val="30"/>
      <w:pBdr>
        <w:bottom w:val="double" w:color="auto" w:sz="4" w:space="1"/>
      </w:pBdr>
    </w:pPr>
    <w:r>
      <w:rPr>
        <w:rFonts w:hint="eastAsia"/>
      </w:rPr>
      <w:t>广西东油沥青有限公司5万吨级油气码头增加货种项目环境影响报告书</w:t>
    </w:r>
    <w:r>
      <w:rPr>
        <w:rFonts w:hint="eastAsia"/>
        <w:lang w:val="en-US" w:eastAsia="zh-CN"/>
      </w:rPr>
      <w:t xml:space="preserve">                                    </w:t>
    </w:r>
    <w:r>
      <w:rPr>
        <w:rFonts w:hint="eastAsia"/>
      </w:rPr>
      <w:t>概述</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52D0CA">
    <w:pPr>
      <w:ind w:firstLine="48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749DDF">
    <w:pPr>
      <w:pStyle w:val="30"/>
      <w:pBdr>
        <w:bottom w:val="double" w:color="auto" w:sz="4" w:space="1"/>
      </w:pBdr>
      <w:rPr>
        <w:lang w:val="en-US"/>
      </w:rPr>
    </w:pPr>
    <w:bookmarkStart w:id="798" w:name="OLE_LINK8"/>
    <w:r>
      <w:rPr>
        <w:rFonts w:hint="eastAsia"/>
      </w:rPr>
      <w:t>广西东油沥青有限公司5万吨级油气码头增加货种项目环境</w:t>
    </w:r>
    <w:r>
      <w:t>影响报告书</w:t>
    </w:r>
    <w:bookmarkEnd w:id="798"/>
    <w:r>
      <w:rPr>
        <w:rFonts w:hint="eastAsia"/>
        <w:lang w:val="en-US"/>
      </w:rPr>
      <w:t>3环境现状调查与评价</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83096E">
    <w:pPr>
      <w:pStyle w:val="30"/>
      <w:pBdr>
        <w:bottom w:val="double" w:color="auto" w:sz="4" w:space="1"/>
      </w:pBdr>
      <w:rPr>
        <w:lang w:val="en-US"/>
      </w:rPr>
    </w:pPr>
    <w:r>
      <w:rPr>
        <w:rFonts w:hint="eastAsia"/>
      </w:rPr>
      <w:t>广西东油沥青有限公司5万吨级油气码头增加货种项目环境</w:t>
    </w:r>
    <w:r>
      <w:t>影响报告书</w:t>
    </w:r>
    <w:r>
      <w:rPr>
        <w:rFonts w:hint="eastAsia"/>
        <w:lang w:val="en-US"/>
      </w:rPr>
      <w:t>3环境现状调查与评价</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CDB2EC">
    <w:pPr>
      <w:pStyle w:val="30"/>
      <w:pBdr>
        <w:bottom w:val="double" w:color="auto" w:sz="4" w:space="1"/>
      </w:pBdr>
      <w:rPr>
        <w:lang w:val="en-US"/>
      </w:rPr>
    </w:pPr>
    <w:r>
      <w:rPr>
        <w:rFonts w:hint="eastAsia"/>
      </w:rPr>
      <w:t>广西东油沥青有限公司5万吨级油气码头增加货种项目环境影响报告书</w:t>
    </w:r>
    <w:r>
      <w:rPr>
        <w:rFonts w:hint="eastAsia"/>
        <w:lang w:val="en-US"/>
      </w:rPr>
      <w:t>3环境现状调查与评价</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E30901">
    <w:pPr>
      <w:tabs>
        <w:tab w:val="center" w:pos="4153"/>
        <w:tab w:val="right" w:pos="8306"/>
      </w:tabs>
      <w:ind w:firstLine="480"/>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5AB50A">
    <w:pPr>
      <w:tabs>
        <w:tab w:val="center" w:pos="4153"/>
        <w:tab w:val="right" w:pos="8306"/>
      </w:tabs>
      <w:ind w:firstLine="480"/>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6F4065">
    <w:pPr>
      <w:pStyle w:val="30"/>
      <w:pBdr>
        <w:bottom w:val="double" w:color="auto" w:sz="4" w:space="1"/>
      </w:pBdr>
      <w:rPr>
        <w:lang w:val="en-US"/>
      </w:rPr>
    </w:pPr>
    <w:r>
      <w:rPr>
        <w:rFonts w:hint="eastAsia"/>
      </w:rPr>
      <w:t>广西东油沥青有限公司5万吨级油气码头增加货种项目环境影响报告书</w:t>
    </w:r>
    <w:r>
      <w:rPr>
        <w:rFonts w:hint="eastAsia"/>
        <w:lang w:val="en-US"/>
      </w:rPr>
      <w:t>3环境现状调查与评价</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A584D9">
    <w:pPr>
      <w:pStyle w:val="30"/>
      <w:pBdr>
        <w:bottom w:val="double" w:color="auto" w:sz="4" w:space="1"/>
      </w:pBdr>
      <w:rPr>
        <w:lang w:val="en-US"/>
      </w:rPr>
    </w:pPr>
    <w:r>
      <w:rPr>
        <w:rFonts w:hint="eastAsia"/>
      </w:rPr>
      <w:t>广西东油沥青有限公司5万吨级油气码头增加货种项目环境影响报告书</w:t>
    </w:r>
    <w:r>
      <w:rPr>
        <w:rFonts w:hint="eastAsia"/>
        <w:lang w:val="en-US"/>
      </w:rPr>
      <w:t>3环境现状调查与评价</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1D52B1">
    <w:pPr>
      <w:pStyle w:val="30"/>
      <w:pBdr>
        <w:bottom w:val="double" w:color="auto" w:sz="4" w:space="1"/>
      </w:pBdr>
      <w:rPr>
        <w:lang w:val="en-US"/>
      </w:rPr>
    </w:pPr>
    <w:r>
      <w:rPr>
        <w:rFonts w:hint="eastAsia"/>
      </w:rPr>
      <w:t>广西东油沥青有限公司5万吨级油气码头增加货种项目环境影响报告书</w:t>
    </w:r>
    <w:r>
      <w:rPr>
        <w:rFonts w:hint="eastAsia"/>
        <w:lang w:val="en-US"/>
      </w:rPr>
      <w:t>4环境影响预测与评价</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B5C18B">
    <w:pPr>
      <w:pStyle w:val="30"/>
      <w:pBdr>
        <w:bottom w:val="double" w:color="auto" w:sz="4" w:space="1"/>
      </w:pBdr>
    </w:pPr>
    <w:r>
      <w:rPr>
        <w:rFonts w:hint="eastAsia"/>
      </w:rPr>
      <w:t>广西东油沥青有限公司5万吨级油气码头增加货种项目环境影响报告书5环境风险评价</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9859E2">
    <w:pPr>
      <w:pStyle w:val="30"/>
      <w:pBdr>
        <w:bottom w:val="double" w:color="auto" w:sz="4" w:space="1"/>
      </w:pBdr>
    </w:pPr>
    <w:r>
      <w:rPr>
        <w:rFonts w:hint="eastAsia"/>
      </w:rPr>
      <w:t>广西东油沥青有限公司5万吨级油气码头增加货种项目环境影响报告书目录</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128761">
    <w:pPr>
      <w:pStyle w:val="30"/>
      <w:pBdr>
        <w:bottom w:val="double" w:color="auto" w:sz="4" w:space="1"/>
      </w:pBdr>
    </w:pPr>
    <w:r>
      <w:rPr>
        <w:rFonts w:hint="eastAsia"/>
      </w:rPr>
      <w:t>广西东油沥青有限公司5万吨级油气码头增加货种项目环境影响报告书5环境风险评价</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BA5A35">
    <w:pPr>
      <w:pStyle w:val="30"/>
      <w:pBdr>
        <w:bottom w:val="double" w:color="auto" w:sz="4" w:space="1"/>
      </w:pBdr>
    </w:pPr>
    <w:r>
      <w:rPr>
        <w:rFonts w:hint="eastAsia"/>
      </w:rPr>
      <w:t>广西东油沥青有限公司5万吨级油气码头增加货种项目环境影响报告书5环境风险评价</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9EBBA1">
    <w:pPr>
      <w:pStyle w:val="30"/>
      <w:pBdr>
        <w:bottom w:val="double" w:color="auto" w:sz="4" w:space="1"/>
      </w:pBdr>
    </w:pPr>
    <w:r>
      <w:rPr>
        <w:rFonts w:hint="eastAsia"/>
      </w:rPr>
      <w:t>广西东油沥青有限公司5万吨级油气码头增加货种项目环境影响报告书5环境风险评价</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9853BA">
    <w:pPr>
      <w:pStyle w:val="30"/>
      <w:pBdr>
        <w:bottom w:val="double" w:color="auto" w:sz="4" w:space="1"/>
      </w:pBdr>
    </w:pPr>
    <w:r>
      <w:rPr>
        <w:rFonts w:hint="eastAsia"/>
      </w:rPr>
      <w:t>广西东油沥青有限公司5万吨级油气码头增加货种项目环境影响报告书5环境风险评价</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16AEB5">
    <w:pPr>
      <w:pStyle w:val="30"/>
      <w:pBdr>
        <w:bottom w:val="double" w:color="auto" w:sz="4" w:space="1"/>
      </w:pBdr>
    </w:pPr>
    <w:r>
      <w:rPr>
        <w:rFonts w:hint="eastAsia"/>
      </w:rPr>
      <w:t>广西东油沥青有限公司5万吨级油气码头增加货种项目环境影响报告书5环境风险评价</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0BBA7C">
    <w:pPr>
      <w:pStyle w:val="30"/>
      <w:pBdr>
        <w:bottom w:val="double" w:color="auto" w:sz="4" w:space="1"/>
      </w:pBdr>
    </w:pPr>
    <w:r>
      <w:rPr>
        <w:rFonts w:hint="eastAsia"/>
      </w:rPr>
      <w:t>广西东油沥青有限公司5万吨级油气码头增加货种项目环境影响报告书5环境风险评价</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9F5267">
    <w:pPr>
      <w:pStyle w:val="30"/>
      <w:pBdr>
        <w:bottom w:val="double" w:color="auto" w:sz="4" w:space="1"/>
      </w:pBdr>
      <w:rPr>
        <w:sz w:val="15"/>
        <w:szCs w:val="15"/>
      </w:rPr>
    </w:pPr>
    <w:r>
      <w:rPr>
        <w:rFonts w:hint="eastAsia"/>
      </w:rPr>
      <w:t>广西东油沥青有限公司5万吨级油气码头增加货种项目环境影响报告书6环境保护措施及其可行性分析</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5110A4">
    <w:pPr>
      <w:pStyle w:val="30"/>
      <w:pBdr>
        <w:bottom w:val="double" w:color="auto" w:sz="4" w:space="1"/>
      </w:pBdr>
      <w:rPr>
        <w:sz w:val="15"/>
        <w:szCs w:val="15"/>
      </w:rPr>
    </w:pPr>
    <w:r>
      <w:rPr>
        <w:rFonts w:hint="eastAsia"/>
      </w:rPr>
      <w:t>广西东油沥青有限公司5万吨级油气码头增加货种项目环境影响报告书7环境保经济损益分析</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963A61">
    <w:pPr>
      <w:pStyle w:val="30"/>
      <w:pBdr>
        <w:bottom w:val="double" w:color="auto" w:sz="4" w:space="1"/>
      </w:pBdr>
      <w:rPr>
        <w:sz w:val="15"/>
        <w:szCs w:val="15"/>
      </w:rPr>
    </w:pPr>
    <w:r>
      <w:rPr>
        <w:rFonts w:hint="eastAsia"/>
      </w:rPr>
      <w:t>广西东油沥青有限公司5万吨级油气码头增加货种项目环境影响报告书</w:t>
    </w:r>
    <w:r>
      <w:rPr>
        <w:rFonts w:hint="eastAsia"/>
        <w:sz w:val="15"/>
        <w:szCs w:val="15"/>
      </w:rPr>
      <w:t>8环境管理与监测计划</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CE30B7">
    <w:pPr>
      <w:pStyle w:val="30"/>
      <w:pBdr>
        <w:bottom w:val="double" w:color="auto" w:sz="4" w:space="1"/>
      </w:pBdr>
      <w:rPr>
        <w:sz w:val="15"/>
        <w:szCs w:val="15"/>
      </w:rPr>
    </w:pPr>
    <w:r>
      <w:rPr>
        <w:rFonts w:hint="eastAsia"/>
      </w:rPr>
      <w:t>广西东油沥青有限公司5万吨级油气码头增加货种项目环境影响报告书</w:t>
    </w:r>
    <w:r>
      <w:rPr>
        <w:rFonts w:hint="eastAsia"/>
        <w:sz w:val="15"/>
        <w:szCs w:val="15"/>
      </w:rPr>
      <w:t>9环境影响评价结论</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598843">
    <w:pPr>
      <w:pStyle w:val="30"/>
      <w:pBdr>
        <w:bottom w:val="double" w:color="auto" w:sz="4" w:space="1"/>
      </w:pBdr>
      <w:rPr>
        <w:lang w:val="en-US"/>
      </w:rPr>
    </w:pPr>
    <w:r>
      <w:rPr>
        <w:rFonts w:hint="eastAsia"/>
      </w:rPr>
      <w:t>广西东油沥青有限公司5万吨级油气码头增加货种项目环境影响</w:t>
    </w:r>
    <w:r>
      <w:t>报告书</w:t>
    </w:r>
    <w:r>
      <w:rPr>
        <w:lang w:val="en-US"/>
      </w:rPr>
      <w:fldChar w:fldCharType="begin"/>
    </w:r>
    <w:r>
      <w:rPr>
        <w:lang w:val="en-US"/>
      </w:rPr>
      <w:instrText xml:space="preserve"> REF _Ref220490306 \r \h </w:instrText>
    </w:r>
    <w:r>
      <w:rPr>
        <w:lang w:val="en-US"/>
      </w:rPr>
      <w:fldChar w:fldCharType="separate"/>
    </w:r>
    <w:r>
      <w:rPr>
        <w:lang w:val="en-US"/>
      </w:rPr>
      <w:t>1</w:t>
    </w:r>
    <w:r>
      <w:rPr>
        <w:lang w:val="en-US"/>
      </w:rPr>
      <w:fldChar w:fldCharType="end"/>
    </w:r>
    <w:r>
      <w:rPr>
        <w:lang w:val="en-US"/>
      </w:rPr>
      <w:fldChar w:fldCharType="begin"/>
    </w:r>
    <w:r>
      <w:rPr>
        <w:lang w:val="en-US"/>
      </w:rPr>
      <w:instrText xml:space="preserve"> REF _Ref220490306 \h </w:instrText>
    </w:r>
    <w:r>
      <w:rPr>
        <w:lang w:val="en-US"/>
      </w:rPr>
      <w:fldChar w:fldCharType="separate"/>
    </w:r>
    <w:r>
      <w:t>总则</w:t>
    </w:r>
    <w:r>
      <w:rPr>
        <w:lang w:val="en-US"/>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FA6B8">
    <w:pPr>
      <w:pStyle w:val="30"/>
      <w:pBdr>
        <w:bottom w:val="double" w:color="auto" w:sz="4" w:space="1"/>
      </w:pBdr>
      <w:rPr>
        <w:lang w:val="en-US"/>
      </w:rPr>
    </w:pPr>
    <w:r>
      <w:rPr>
        <w:rFonts w:hint="eastAsia"/>
      </w:rPr>
      <w:t>广西东油沥青有限公司5万吨级油气码头增加货种项目环境影响</w:t>
    </w:r>
    <w:r>
      <w:t>报告书</w:t>
    </w:r>
    <w:r>
      <w:rPr>
        <w:lang w:val="en-US"/>
      </w:rPr>
      <w:fldChar w:fldCharType="begin"/>
    </w:r>
    <w:r>
      <w:rPr>
        <w:lang w:val="en-US"/>
      </w:rPr>
      <w:instrText xml:space="preserve"> REF _Ref220688409 \r \h </w:instrText>
    </w:r>
    <w:r>
      <w:rPr>
        <w:lang w:val="en-US"/>
      </w:rPr>
      <w:fldChar w:fldCharType="separate"/>
    </w:r>
    <w:r>
      <w:rPr>
        <w:lang w:val="en-US"/>
      </w:rPr>
      <w:t>2</w:t>
    </w:r>
    <w:r>
      <w:rPr>
        <w:lang w:val="en-US"/>
      </w:rPr>
      <w:fldChar w:fldCharType="end"/>
    </w:r>
    <w:r>
      <w:rPr>
        <w:lang w:val="en-US"/>
      </w:rPr>
      <w:fldChar w:fldCharType="begin"/>
    </w:r>
    <w:r>
      <w:rPr>
        <w:lang w:val="en-US"/>
      </w:rPr>
      <w:instrText xml:space="preserve"> REF _Ref220688409 \h </w:instrText>
    </w:r>
    <w:r>
      <w:rPr>
        <w:lang w:val="en-US"/>
      </w:rPr>
      <w:fldChar w:fldCharType="separate"/>
    </w:r>
    <w:r>
      <w:t>建设项目概况与工程分析</w:t>
    </w:r>
    <w:r>
      <w:rPr>
        <w:lang w:val="en-US"/>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F82884">
    <w:pPr>
      <w:pStyle w:val="30"/>
      <w:pBdr>
        <w:bottom w:val="double" w:color="auto" w:sz="4" w:space="1"/>
      </w:pBdr>
      <w:rPr>
        <w:lang w:val="en-US"/>
      </w:rPr>
    </w:pPr>
    <w:r>
      <w:rPr>
        <w:rFonts w:hint="eastAsia"/>
      </w:rPr>
      <w:t>广西东油沥青有限公司5万吨级油气码头增加货种项目环境影响</w:t>
    </w:r>
    <w:r>
      <w:t>报告书</w:t>
    </w:r>
    <w:r>
      <w:rPr>
        <w:lang w:val="en-US"/>
      </w:rPr>
      <w:fldChar w:fldCharType="begin"/>
    </w:r>
    <w:r>
      <w:rPr>
        <w:lang w:val="en-US"/>
      </w:rPr>
      <w:instrText xml:space="preserve"> REF _Ref220688409 \r \h </w:instrText>
    </w:r>
    <w:r>
      <w:rPr>
        <w:lang w:val="en-US"/>
      </w:rPr>
      <w:fldChar w:fldCharType="separate"/>
    </w:r>
    <w:r>
      <w:rPr>
        <w:lang w:val="en-US"/>
      </w:rPr>
      <w:t>2</w:t>
    </w:r>
    <w:r>
      <w:rPr>
        <w:lang w:val="en-US"/>
      </w:rPr>
      <w:fldChar w:fldCharType="end"/>
    </w:r>
    <w:r>
      <w:rPr>
        <w:lang w:val="en-US"/>
      </w:rPr>
      <w:fldChar w:fldCharType="begin"/>
    </w:r>
    <w:r>
      <w:rPr>
        <w:lang w:val="en-US"/>
      </w:rPr>
      <w:instrText xml:space="preserve"> REF _Ref220688409 \h </w:instrText>
    </w:r>
    <w:r>
      <w:rPr>
        <w:lang w:val="en-US"/>
      </w:rPr>
      <w:fldChar w:fldCharType="separate"/>
    </w:r>
    <w:r>
      <w:t>建设项目概况与工程分析</w:t>
    </w:r>
    <w:r>
      <w:rPr>
        <w:lang w:val="en-US"/>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EE9020">
    <w:pPr>
      <w:pStyle w:val="30"/>
      <w:pBdr>
        <w:bottom w:val="double" w:color="auto" w:sz="4" w:space="1"/>
      </w:pBdr>
      <w:rPr>
        <w:lang w:val="en-US"/>
      </w:rPr>
    </w:pPr>
    <w:r>
      <w:rPr>
        <w:rFonts w:hint="eastAsia"/>
      </w:rPr>
      <w:t>广西东油沥青有限公司5万吨级油气码头增加货种项目环境影响</w:t>
    </w:r>
    <w:r>
      <w:t>报告书</w:t>
    </w:r>
    <w:r>
      <w:rPr>
        <w:lang w:val="en-US"/>
      </w:rPr>
      <w:fldChar w:fldCharType="begin"/>
    </w:r>
    <w:r>
      <w:rPr>
        <w:lang w:val="en-US"/>
      </w:rPr>
      <w:instrText xml:space="preserve"> REF _Ref220688409 \r \h </w:instrText>
    </w:r>
    <w:r>
      <w:rPr>
        <w:lang w:val="en-US"/>
      </w:rPr>
      <w:fldChar w:fldCharType="separate"/>
    </w:r>
    <w:r>
      <w:rPr>
        <w:lang w:val="en-US"/>
      </w:rPr>
      <w:t>2</w:t>
    </w:r>
    <w:r>
      <w:rPr>
        <w:lang w:val="en-US"/>
      </w:rPr>
      <w:fldChar w:fldCharType="end"/>
    </w:r>
    <w:r>
      <w:rPr>
        <w:lang w:val="en-US"/>
      </w:rPr>
      <w:fldChar w:fldCharType="begin"/>
    </w:r>
    <w:r>
      <w:rPr>
        <w:lang w:val="en-US"/>
      </w:rPr>
      <w:instrText xml:space="preserve"> REF _Ref220688409 \h </w:instrText>
    </w:r>
    <w:r>
      <w:rPr>
        <w:lang w:val="en-US"/>
      </w:rPr>
      <w:fldChar w:fldCharType="separate"/>
    </w:r>
    <w:r>
      <w:t>建设项目概况与工程分析</w:t>
    </w:r>
    <w:r>
      <w:rPr>
        <w:lang w:val="en-US"/>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EFA459">
    <w:pPr>
      <w:pStyle w:val="30"/>
      <w:pBdr>
        <w:bottom w:val="double" w:color="auto" w:sz="4" w:space="1"/>
      </w:pBdr>
    </w:pPr>
    <w:r>
      <w:rPr>
        <w:rFonts w:hint="eastAsia"/>
      </w:rPr>
      <w:t>广西东油沥青有限公司5万吨级油气码头增加货种项目环境影响报告书2建设项目概况与工程分析</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9499A4">
    <w:pPr>
      <w:pStyle w:val="30"/>
      <w:pBdr>
        <w:bottom w:val="double" w:color="auto" w:sz="4" w:space="1"/>
      </w:pBdr>
    </w:pPr>
    <w:r>
      <w:rPr>
        <w:rFonts w:hint="eastAsia"/>
      </w:rPr>
      <w:t>广西东油沥青有限公司5万吨级油气码头增加货种项目环境影响报告书2建设项目概况与工程分析</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D64E4A">
    <w:pPr>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DE194C"/>
    <w:multiLevelType w:val="singleLevel"/>
    <w:tmpl w:val="8BDE194C"/>
    <w:lvl w:ilvl="0" w:tentative="0">
      <w:start w:val="1"/>
      <w:numFmt w:val="decimal"/>
      <w:suff w:val="nothing"/>
      <w:lvlText w:val="%1、"/>
      <w:lvlJc w:val="left"/>
    </w:lvl>
  </w:abstractNum>
  <w:abstractNum w:abstractNumId="1">
    <w:nsid w:val="CE666903"/>
    <w:multiLevelType w:val="singleLevel"/>
    <w:tmpl w:val="CE666903"/>
    <w:lvl w:ilvl="0" w:tentative="0">
      <w:start w:val="1"/>
      <w:numFmt w:val="decimal"/>
      <w:suff w:val="nothing"/>
      <w:lvlText w:val="（%1）"/>
      <w:lvlJc w:val="left"/>
    </w:lvl>
  </w:abstractNum>
  <w:abstractNum w:abstractNumId="2">
    <w:nsid w:val="00CC30E4"/>
    <w:multiLevelType w:val="multilevel"/>
    <w:tmpl w:val="00CC30E4"/>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45302B2"/>
    <w:multiLevelType w:val="singleLevel"/>
    <w:tmpl w:val="045302B2"/>
    <w:lvl w:ilvl="0" w:tentative="0">
      <w:start w:val="1"/>
      <w:numFmt w:val="decimal"/>
      <w:suff w:val="nothing"/>
      <w:lvlText w:val="（%1）"/>
      <w:lvlJc w:val="left"/>
    </w:lvl>
  </w:abstractNum>
  <w:abstractNum w:abstractNumId="4">
    <w:nsid w:val="07AC07E5"/>
    <w:multiLevelType w:val="multilevel"/>
    <w:tmpl w:val="07AC07E5"/>
    <w:lvl w:ilvl="0" w:tentative="0">
      <w:start w:val="1"/>
      <w:numFmt w:val="decimal"/>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2F500C9"/>
    <w:multiLevelType w:val="multilevel"/>
    <w:tmpl w:val="12F500C9"/>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
    <w:nsid w:val="14C616C2"/>
    <w:multiLevelType w:val="multilevel"/>
    <w:tmpl w:val="14C616C2"/>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20970A4E"/>
    <w:multiLevelType w:val="multilevel"/>
    <w:tmpl w:val="20970A4E"/>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29DC4AB9"/>
    <w:multiLevelType w:val="multilevel"/>
    <w:tmpl w:val="29DC4AB9"/>
    <w:lvl w:ilvl="0" w:tentative="0">
      <w:start w:val="1"/>
      <w:numFmt w:val="decimal"/>
      <w:pStyle w:val="3"/>
      <w:suff w:val="space"/>
      <w:lvlText w:val="%1"/>
      <w:lvlJc w:val="left"/>
      <w:pPr>
        <w:ind w:left="0" w:firstLine="0"/>
      </w:pPr>
      <w:rPr>
        <w:rFonts w:hint="default" w:ascii="Times New Roman" w:hAnsi="Times New Roman" w:eastAsia="宋体" w:cs="Times New Roman"/>
        <w:b w:val="0"/>
        <w:bCs w:val="0"/>
        <w:i w:val="0"/>
        <w:sz w:val="32"/>
        <w:szCs w:val="32"/>
      </w:rPr>
    </w:lvl>
    <w:lvl w:ilvl="1" w:tentative="0">
      <w:start w:val="1"/>
      <w:numFmt w:val="decimal"/>
      <w:pStyle w:val="5"/>
      <w:suff w:val="space"/>
      <w:lvlText w:val="%1.%2"/>
      <w:lvlJc w:val="left"/>
      <w:pPr>
        <w:ind w:left="0" w:firstLine="0"/>
      </w:pPr>
      <w:rPr>
        <w:rFonts w:hint="default" w:ascii="Times New Roman" w:hAnsi="Times New Roman" w:eastAsia="黑体" w:cs="Times New Roman"/>
        <w:b/>
        <w:bCs/>
        <w:sz w:val="30"/>
        <w:szCs w:val="30"/>
      </w:rPr>
    </w:lvl>
    <w:lvl w:ilvl="2" w:tentative="0">
      <w:start w:val="1"/>
      <w:numFmt w:val="decimal"/>
      <w:pStyle w:val="4"/>
      <w:suff w:val="space"/>
      <w:lvlText w:val="%1.%2.%3"/>
      <w:lvlJc w:val="left"/>
      <w:pPr>
        <w:ind w:left="0" w:firstLine="0"/>
      </w:pPr>
      <w:rPr>
        <w:rFonts w:hint="default" w:ascii="Times New Roman" w:hAnsi="Times New Roman" w:eastAsia="黑体" w:cs="Times New Roman"/>
        <w:b/>
        <w:bCs/>
        <w:sz w:val="28"/>
        <w:szCs w:val="28"/>
      </w:rPr>
    </w:lvl>
    <w:lvl w:ilvl="3" w:tentative="0">
      <w:start w:val="1"/>
      <w:numFmt w:val="decimal"/>
      <w:pStyle w:val="6"/>
      <w:suff w:val="space"/>
      <w:lvlText w:val="%1.%2.%3.%4"/>
      <w:lvlJc w:val="left"/>
      <w:pPr>
        <w:ind w:left="284" w:firstLine="0"/>
      </w:pPr>
      <w:rPr>
        <w:rFonts w:hint="eastAsia"/>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4" w:tentative="0">
      <w:start w:val="1"/>
      <w:numFmt w:val="decimal"/>
      <w:lvlRestart w:val="2"/>
      <w:pStyle w:val="7"/>
      <w:suff w:val="space"/>
      <w:lvlText w:val="表%1.%2-%5"/>
      <w:lvlJc w:val="left"/>
      <w:pPr>
        <w:ind w:left="4537" w:firstLine="0"/>
      </w:pPr>
      <w:rPr>
        <w:rFonts w:hint="default" w:ascii="Times New Roman" w:hAnsi="Times New Roman" w:cs="Times New Roman"/>
        <w:b w:val="0"/>
        <w:bCs w:val="0"/>
        <w:i w:val="0"/>
        <w:iCs w:val="0"/>
        <w:caps w:val="0"/>
        <w:smallCaps w:val="0"/>
        <w:strike w:val="0"/>
        <w:dstrike w:val="0"/>
        <w:vanish w:val="0"/>
        <w:color w:val="000000"/>
        <w:spacing w:val="0"/>
        <w:position w:val="0"/>
        <w:sz w:val="24"/>
        <w:szCs w:val="24"/>
        <w:u w:val="none"/>
        <w:vertAlign w:val="baseline"/>
        <w:lang w:val="en-US"/>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5" w:tentative="0">
      <w:start w:val="1"/>
      <w:numFmt w:val="decimal"/>
      <w:lvlRestart w:val="2"/>
      <w:pStyle w:val="8"/>
      <w:suff w:val="space"/>
      <w:lvlText w:val="图%1.%2-%6"/>
      <w:lvlJc w:val="left"/>
      <w:pPr>
        <w:ind w:left="0" w:firstLine="0"/>
      </w:pPr>
      <w:rPr>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9">
    <w:nsid w:val="2ED738EA"/>
    <w:multiLevelType w:val="multilevel"/>
    <w:tmpl w:val="2ED738EA"/>
    <w:lvl w:ilvl="0" w:tentative="0">
      <w:start w:val="1"/>
      <w:numFmt w:val="decimal"/>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343F1112"/>
    <w:multiLevelType w:val="multilevel"/>
    <w:tmpl w:val="343F1112"/>
    <w:lvl w:ilvl="0" w:tentative="0">
      <w:start w:val="1"/>
      <w:numFmt w:val="decimal"/>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3834637E"/>
    <w:multiLevelType w:val="multilevel"/>
    <w:tmpl w:val="3834637E"/>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2">
    <w:nsid w:val="3DEF32DD"/>
    <w:multiLevelType w:val="multilevel"/>
    <w:tmpl w:val="3DEF32DD"/>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447B6658"/>
    <w:multiLevelType w:val="multilevel"/>
    <w:tmpl w:val="447B6658"/>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4">
    <w:nsid w:val="48292338"/>
    <w:multiLevelType w:val="multilevel"/>
    <w:tmpl w:val="48292338"/>
    <w:lvl w:ilvl="0" w:tentative="0">
      <w:start w:val="1"/>
      <w:numFmt w:val="decimal"/>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5">
    <w:nsid w:val="48D26531"/>
    <w:multiLevelType w:val="multilevel"/>
    <w:tmpl w:val="48D26531"/>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6">
    <w:nsid w:val="4E5DF3DF"/>
    <w:multiLevelType w:val="singleLevel"/>
    <w:tmpl w:val="4E5DF3DF"/>
    <w:lvl w:ilvl="0" w:tentative="0">
      <w:start w:val="1"/>
      <w:numFmt w:val="decimal"/>
      <w:suff w:val="nothing"/>
      <w:lvlText w:val="（%1）"/>
      <w:lvlJc w:val="left"/>
    </w:lvl>
  </w:abstractNum>
  <w:abstractNum w:abstractNumId="17">
    <w:nsid w:val="4FD033F2"/>
    <w:multiLevelType w:val="multilevel"/>
    <w:tmpl w:val="4FD033F2"/>
    <w:lvl w:ilvl="0" w:tentative="0">
      <w:start w:val="1"/>
      <w:numFmt w:val="decimal"/>
      <w:suff w:val="nothing"/>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8">
    <w:nsid w:val="53FF1A8F"/>
    <w:multiLevelType w:val="multilevel"/>
    <w:tmpl w:val="53FF1A8F"/>
    <w:lvl w:ilvl="0" w:tentative="0">
      <w:start w:val="1"/>
      <w:numFmt w:val="decimal"/>
      <w:suff w:val="space"/>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55957A93"/>
    <w:multiLevelType w:val="multilevel"/>
    <w:tmpl w:val="55957A93"/>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5DD042E1"/>
    <w:multiLevelType w:val="multilevel"/>
    <w:tmpl w:val="5DD042E1"/>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613748A1"/>
    <w:multiLevelType w:val="multilevel"/>
    <w:tmpl w:val="613748A1"/>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61CB7BA0"/>
    <w:multiLevelType w:val="multilevel"/>
    <w:tmpl w:val="61CB7BA0"/>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66F50652"/>
    <w:multiLevelType w:val="multilevel"/>
    <w:tmpl w:val="66F50652"/>
    <w:lvl w:ilvl="0" w:tentative="0">
      <w:start w:val="1"/>
      <w:numFmt w:val="decimal"/>
      <w:suff w:val="nothing"/>
      <w:lvlText w:val="（%1）"/>
      <w:lvlJc w:val="left"/>
      <w:pPr>
        <w:ind w:left="0" w:firstLine="0"/>
      </w:pPr>
      <w:rPr>
        <w:rFonts w:hint="eastAsia"/>
        <w:lang w:val="en-US"/>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4">
    <w:nsid w:val="69DF669F"/>
    <w:multiLevelType w:val="multilevel"/>
    <w:tmpl w:val="69DF669F"/>
    <w:lvl w:ilvl="0" w:tentative="0">
      <w:start w:val="1"/>
      <w:numFmt w:val="decimal"/>
      <w:suff w:val="nothing"/>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5">
    <w:nsid w:val="6B586835"/>
    <w:multiLevelType w:val="multilevel"/>
    <w:tmpl w:val="6B586835"/>
    <w:lvl w:ilvl="0" w:tentative="0">
      <w:start w:val="1"/>
      <w:numFmt w:val="decimal"/>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78E40FBD"/>
    <w:multiLevelType w:val="multilevel"/>
    <w:tmpl w:val="78E40FBD"/>
    <w:lvl w:ilvl="0" w:tentative="0">
      <w:start w:val="1"/>
      <w:numFmt w:val="decimal"/>
      <w:suff w:val="nothing"/>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7E671541"/>
    <w:multiLevelType w:val="multilevel"/>
    <w:tmpl w:val="7E671541"/>
    <w:lvl w:ilvl="0" w:tentative="0">
      <w:start w:val="1"/>
      <w:numFmt w:val="decimal"/>
      <w:suff w:val="nothing"/>
      <w:lvlText w:val="%1"/>
      <w:lvlJc w:val="left"/>
      <w:pPr>
        <w:ind w:left="0" w:firstLine="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8"/>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1"/>
  </w:num>
  <w:num w:numId="4">
    <w:abstractNumId w:val="17"/>
  </w:num>
  <w:num w:numId="5">
    <w:abstractNumId w:val="23"/>
  </w:num>
  <w:num w:numId="6">
    <w:abstractNumId w:val="24"/>
  </w:num>
  <w:num w:numId="7">
    <w:abstractNumId w:val="18"/>
  </w:num>
  <w:num w:numId="8">
    <w:abstractNumId w:val="25"/>
  </w:num>
  <w:num w:numId="9">
    <w:abstractNumId w:val="27"/>
  </w:num>
  <w:num w:numId="10">
    <w:abstractNumId w:val="10"/>
  </w:num>
  <w:num w:numId="11">
    <w:abstractNumId w:val="19"/>
  </w:num>
  <w:num w:numId="12">
    <w:abstractNumId w:val="22"/>
  </w:num>
  <w:num w:numId="13">
    <w:abstractNumId w:val="4"/>
  </w:num>
  <w:num w:numId="14">
    <w:abstractNumId w:val="20"/>
  </w:num>
  <w:num w:numId="15">
    <w:abstractNumId w:val="2"/>
  </w:num>
  <w:num w:numId="16">
    <w:abstractNumId w:val="26"/>
  </w:num>
  <w:num w:numId="17">
    <w:abstractNumId w:val="13"/>
  </w:num>
  <w:num w:numId="18">
    <w:abstractNumId w:val="11"/>
  </w:num>
  <w:num w:numId="19">
    <w:abstractNumId w:val="1"/>
  </w:num>
  <w:num w:numId="20">
    <w:abstractNumId w:val="9"/>
  </w:num>
  <w:num w:numId="21">
    <w:abstractNumId w:val="3"/>
  </w:num>
  <w:num w:numId="22">
    <w:abstractNumId w:val="16"/>
  </w:num>
  <w:num w:numId="23">
    <w:abstractNumId w:val="14"/>
  </w:num>
  <w:num w:numId="24">
    <w:abstractNumId w:val="6"/>
  </w:num>
  <w:num w:numId="25">
    <w:abstractNumId w:val="12"/>
  </w:num>
  <w:num w:numId="26">
    <w:abstractNumId w:val="5"/>
  </w:num>
  <w:num w:numId="27">
    <w:abstractNumId w:val="15"/>
  </w:num>
  <w:num w:numId="28">
    <w:abstractNumId w:val="7"/>
  </w:num>
  <w:num w:numId="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documentProtection w:edit="forms" w:enforcement="0"/>
  <w:defaultTabStop w:val="420"/>
  <w:drawingGridHorizontalSpacing w:val="120"/>
  <w:drawingGridVerticalSpacing w:val="163"/>
  <w:displayHorizontalDrawingGridEvery w:val="1"/>
  <w:displayVerticalDrawingGridEvery w:val="1"/>
  <w:doNotShadeFormData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cyNWY0MWI5YmE4ZjQyZTdmZWM2NWM5YjI2YmFjZjIifQ=="/>
  </w:docVars>
  <w:rsids>
    <w:rsidRoot w:val="00172A27"/>
    <w:rsid w:val="00002218"/>
    <w:rsid w:val="00002526"/>
    <w:rsid w:val="00003B58"/>
    <w:rsid w:val="00005972"/>
    <w:rsid w:val="00005C00"/>
    <w:rsid w:val="00007371"/>
    <w:rsid w:val="0001037C"/>
    <w:rsid w:val="000131B2"/>
    <w:rsid w:val="0001322C"/>
    <w:rsid w:val="000144F7"/>
    <w:rsid w:val="000154FA"/>
    <w:rsid w:val="00015F38"/>
    <w:rsid w:val="00016518"/>
    <w:rsid w:val="000172DF"/>
    <w:rsid w:val="000175C2"/>
    <w:rsid w:val="0002008F"/>
    <w:rsid w:val="000207EA"/>
    <w:rsid w:val="00020B16"/>
    <w:rsid w:val="00022E49"/>
    <w:rsid w:val="00022EDC"/>
    <w:rsid w:val="00024C0A"/>
    <w:rsid w:val="00024F06"/>
    <w:rsid w:val="00026D0E"/>
    <w:rsid w:val="00027FC9"/>
    <w:rsid w:val="00030596"/>
    <w:rsid w:val="0003094B"/>
    <w:rsid w:val="00031C00"/>
    <w:rsid w:val="000326C9"/>
    <w:rsid w:val="0003284D"/>
    <w:rsid w:val="00032B6C"/>
    <w:rsid w:val="00032F3E"/>
    <w:rsid w:val="00033866"/>
    <w:rsid w:val="000344AD"/>
    <w:rsid w:val="00034BEA"/>
    <w:rsid w:val="000350DB"/>
    <w:rsid w:val="00035311"/>
    <w:rsid w:val="00036505"/>
    <w:rsid w:val="000365BE"/>
    <w:rsid w:val="000373C2"/>
    <w:rsid w:val="00037539"/>
    <w:rsid w:val="00037E27"/>
    <w:rsid w:val="00040210"/>
    <w:rsid w:val="00042116"/>
    <w:rsid w:val="00043110"/>
    <w:rsid w:val="00043E96"/>
    <w:rsid w:val="00044FB5"/>
    <w:rsid w:val="00045226"/>
    <w:rsid w:val="000455B9"/>
    <w:rsid w:val="00047322"/>
    <w:rsid w:val="00050206"/>
    <w:rsid w:val="00051E7B"/>
    <w:rsid w:val="00052BF7"/>
    <w:rsid w:val="000531E4"/>
    <w:rsid w:val="0005328B"/>
    <w:rsid w:val="00053ADB"/>
    <w:rsid w:val="000547BC"/>
    <w:rsid w:val="00056040"/>
    <w:rsid w:val="00056438"/>
    <w:rsid w:val="00056DEE"/>
    <w:rsid w:val="000606AD"/>
    <w:rsid w:val="00060D28"/>
    <w:rsid w:val="0006175E"/>
    <w:rsid w:val="000618BD"/>
    <w:rsid w:val="0006305F"/>
    <w:rsid w:val="0006331D"/>
    <w:rsid w:val="00064456"/>
    <w:rsid w:val="00064C09"/>
    <w:rsid w:val="00065C37"/>
    <w:rsid w:val="00066336"/>
    <w:rsid w:val="00067607"/>
    <w:rsid w:val="00067C66"/>
    <w:rsid w:val="000701AC"/>
    <w:rsid w:val="000720EC"/>
    <w:rsid w:val="00073974"/>
    <w:rsid w:val="00073A08"/>
    <w:rsid w:val="0007417C"/>
    <w:rsid w:val="000747E3"/>
    <w:rsid w:val="00074884"/>
    <w:rsid w:val="00075B87"/>
    <w:rsid w:val="00076A0C"/>
    <w:rsid w:val="00076E9A"/>
    <w:rsid w:val="0008089F"/>
    <w:rsid w:val="00081B52"/>
    <w:rsid w:val="0008201D"/>
    <w:rsid w:val="00083B12"/>
    <w:rsid w:val="0008534F"/>
    <w:rsid w:val="0008544E"/>
    <w:rsid w:val="00086538"/>
    <w:rsid w:val="000865CC"/>
    <w:rsid w:val="00086ABC"/>
    <w:rsid w:val="00086CBD"/>
    <w:rsid w:val="00086D99"/>
    <w:rsid w:val="00087223"/>
    <w:rsid w:val="00087461"/>
    <w:rsid w:val="000904F4"/>
    <w:rsid w:val="0009293D"/>
    <w:rsid w:val="000934A0"/>
    <w:rsid w:val="00093B2D"/>
    <w:rsid w:val="00093DC7"/>
    <w:rsid w:val="00094087"/>
    <w:rsid w:val="0009457D"/>
    <w:rsid w:val="00096B09"/>
    <w:rsid w:val="00097413"/>
    <w:rsid w:val="00097F93"/>
    <w:rsid w:val="000A0AF1"/>
    <w:rsid w:val="000A210A"/>
    <w:rsid w:val="000A3CF2"/>
    <w:rsid w:val="000A542B"/>
    <w:rsid w:val="000A5F57"/>
    <w:rsid w:val="000A65B2"/>
    <w:rsid w:val="000A66C7"/>
    <w:rsid w:val="000A702A"/>
    <w:rsid w:val="000A752D"/>
    <w:rsid w:val="000A7A21"/>
    <w:rsid w:val="000B015E"/>
    <w:rsid w:val="000B125A"/>
    <w:rsid w:val="000B1779"/>
    <w:rsid w:val="000B1CB1"/>
    <w:rsid w:val="000B24FE"/>
    <w:rsid w:val="000B29D3"/>
    <w:rsid w:val="000B2C1E"/>
    <w:rsid w:val="000B2FED"/>
    <w:rsid w:val="000B3EB9"/>
    <w:rsid w:val="000B44CD"/>
    <w:rsid w:val="000B4690"/>
    <w:rsid w:val="000B5966"/>
    <w:rsid w:val="000B62FE"/>
    <w:rsid w:val="000C09D4"/>
    <w:rsid w:val="000C0B16"/>
    <w:rsid w:val="000C0C99"/>
    <w:rsid w:val="000C0D8E"/>
    <w:rsid w:val="000C1BD4"/>
    <w:rsid w:val="000C260D"/>
    <w:rsid w:val="000C46A9"/>
    <w:rsid w:val="000C5119"/>
    <w:rsid w:val="000C6051"/>
    <w:rsid w:val="000C6732"/>
    <w:rsid w:val="000C6A3E"/>
    <w:rsid w:val="000D0595"/>
    <w:rsid w:val="000D0688"/>
    <w:rsid w:val="000D093B"/>
    <w:rsid w:val="000D0B7C"/>
    <w:rsid w:val="000D0D86"/>
    <w:rsid w:val="000D117E"/>
    <w:rsid w:val="000D1B9E"/>
    <w:rsid w:val="000D3AD2"/>
    <w:rsid w:val="000D4C47"/>
    <w:rsid w:val="000D576C"/>
    <w:rsid w:val="000D57CE"/>
    <w:rsid w:val="000D7303"/>
    <w:rsid w:val="000D75EA"/>
    <w:rsid w:val="000D7DE3"/>
    <w:rsid w:val="000E058A"/>
    <w:rsid w:val="000E0D0A"/>
    <w:rsid w:val="000E1FC6"/>
    <w:rsid w:val="000E344B"/>
    <w:rsid w:val="000E39AC"/>
    <w:rsid w:val="000E40C5"/>
    <w:rsid w:val="000E5776"/>
    <w:rsid w:val="000F185C"/>
    <w:rsid w:val="000F1F5E"/>
    <w:rsid w:val="000F2BF3"/>
    <w:rsid w:val="000F2D8F"/>
    <w:rsid w:val="000F37F6"/>
    <w:rsid w:val="000F3858"/>
    <w:rsid w:val="000F3B3C"/>
    <w:rsid w:val="000F4C10"/>
    <w:rsid w:val="000F50AE"/>
    <w:rsid w:val="000F5A29"/>
    <w:rsid w:val="000F638E"/>
    <w:rsid w:val="000F679A"/>
    <w:rsid w:val="000F7853"/>
    <w:rsid w:val="000F7BD2"/>
    <w:rsid w:val="000F7CF7"/>
    <w:rsid w:val="00100109"/>
    <w:rsid w:val="0010041F"/>
    <w:rsid w:val="00100B63"/>
    <w:rsid w:val="00100D02"/>
    <w:rsid w:val="00101DCB"/>
    <w:rsid w:val="00102534"/>
    <w:rsid w:val="00104A77"/>
    <w:rsid w:val="0010506D"/>
    <w:rsid w:val="00106674"/>
    <w:rsid w:val="0010725B"/>
    <w:rsid w:val="0010759A"/>
    <w:rsid w:val="00107746"/>
    <w:rsid w:val="00107FCC"/>
    <w:rsid w:val="00110B6E"/>
    <w:rsid w:val="00111632"/>
    <w:rsid w:val="00112013"/>
    <w:rsid w:val="00112400"/>
    <w:rsid w:val="0011248F"/>
    <w:rsid w:val="00112C34"/>
    <w:rsid w:val="00112FCA"/>
    <w:rsid w:val="001146CB"/>
    <w:rsid w:val="00114751"/>
    <w:rsid w:val="00116BEC"/>
    <w:rsid w:val="00120D19"/>
    <w:rsid w:val="00121006"/>
    <w:rsid w:val="00122DA2"/>
    <w:rsid w:val="00122FE7"/>
    <w:rsid w:val="0012364D"/>
    <w:rsid w:val="00123DD0"/>
    <w:rsid w:val="00124AD8"/>
    <w:rsid w:val="0012522D"/>
    <w:rsid w:val="001253B0"/>
    <w:rsid w:val="00125616"/>
    <w:rsid w:val="001263CD"/>
    <w:rsid w:val="00127F98"/>
    <w:rsid w:val="00130B7F"/>
    <w:rsid w:val="001325FF"/>
    <w:rsid w:val="00133398"/>
    <w:rsid w:val="00133C09"/>
    <w:rsid w:val="00133E7F"/>
    <w:rsid w:val="00134FEE"/>
    <w:rsid w:val="00135911"/>
    <w:rsid w:val="00135C10"/>
    <w:rsid w:val="001370B6"/>
    <w:rsid w:val="001375E2"/>
    <w:rsid w:val="00141DF5"/>
    <w:rsid w:val="0014200C"/>
    <w:rsid w:val="001430E3"/>
    <w:rsid w:val="00143616"/>
    <w:rsid w:val="00144105"/>
    <w:rsid w:val="00144F27"/>
    <w:rsid w:val="001455F1"/>
    <w:rsid w:val="0014570A"/>
    <w:rsid w:val="001457A7"/>
    <w:rsid w:val="00146384"/>
    <w:rsid w:val="001463CA"/>
    <w:rsid w:val="00147D0F"/>
    <w:rsid w:val="001507F8"/>
    <w:rsid w:val="00150BBA"/>
    <w:rsid w:val="00150D49"/>
    <w:rsid w:val="00152311"/>
    <w:rsid w:val="001524BF"/>
    <w:rsid w:val="00152DD2"/>
    <w:rsid w:val="001534D8"/>
    <w:rsid w:val="001540AC"/>
    <w:rsid w:val="001562CE"/>
    <w:rsid w:val="0015636C"/>
    <w:rsid w:val="00157825"/>
    <w:rsid w:val="00157D57"/>
    <w:rsid w:val="00160F12"/>
    <w:rsid w:val="00161820"/>
    <w:rsid w:val="0016198D"/>
    <w:rsid w:val="00161C64"/>
    <w:rsid w:val="00162D52"/>
    <w:rsid w:val="001630D3"/>
    <w:rsid w:val="00163EC5"/>
    <w:rsid w:val="0016428B"/>
    <w:rsid w:val="00164940"/>
    <w:rsid w:val="001650A6"/>
    <w:rsid w:val="00165291"/>
    <w:rsid w:val="00165E1F"/>
    <w:rsid w:val="0016617B"/>
    <w:rsid w:val="00166901"/>
    <w:rsid w:val="00166929"/>
    <w:rsid w:val="00166F49"/>
    <w:rsid w:val="001670A7"/>
    <w:rsid w:val="00170E43"/>
    <w:rsid w:val="00170FFB"/>
    <w:rsid w:val="0017128B"/>
    <w:rsid w:val="001715AE"/>
    <w:rsid w:val="00171A4C"/>
    <w:rsid w:val="001721F3"/>
    <w:rsid w:val="00172A27"/>
    <w:rsid w:val="00172C53"/>
    <w:rsid w:val="0017331F"/>
    <w:rsid w:val="0017359C"/>
    <w:rsid w:val="00173831"/>
    <w:rsid w:val="00173CBC"/>
    <w:rsid w:val="00174F2E"/>
    <w:rsid w:val="0017570D"/>
    <w:rsid w:val="0017636A"/>
    <w:rsid w:val="00177602"/>
    <w:rsid w:val="001802B9"/>
    <w:rsid w:val="0018030E"/>
    <w:rsid w:val="001803CC"/>
    <w:rsid w:val="0018103B"/>
    <w:rsid w:val="00181543"/>
    <w:rsid w:val="00181D7B"/>
    <w:rsid w:val="001825EC"/>
    <w:rsid w:val="00183C84"/>
    <w:rsid w:val="00183D97"/>
    <w:rsid w:val="0018404B"/>
    <w:rsid w:val="0018448F"/>
    <w:rsid w:val="00185FDA"/>
    <w:rsid w:val="001865EB"/>
    <w:rsid w:val="00186A17"/>
    <w:rsid w:val="0018702C"/>
    <w:rsid w:val="00187635"/>
    <w:rsid w:val="00190D76"/>
    <w:rsid w:val="00190EA7"/>
    <w:rsid w:val="001910BA"/>
    <w:rsid w:val="00192C15"/>
    <w:rsid w:val="001942E8"/>
    <w:rsid w:val="00195EB7"/>
    <w:rsid w:val="00196181"/>
    <w:rsid w:val="0019631D"/>
    <w:rsid w:val="00196C6A"/>
    <w:rsid w:val="00197B33"/>
    <w:rsid w:val="00197DA0"/>
    <w:rsid w:val="00197DD0"/>
    <w:rsid w:val="001A0F04"/>
    <w:rsid w:val="001A1BF3"/>
    <w:rsid w:val="001A276C"/>
    <w:rsid w:val="001A2EA3"/>
    <w:rsid w:val="001A3B2D"/>
    <w:rsid w:val="001A3E5D"/>
    <w:rsid w:val="001A3E85"/>
    <w:rsid w:val="001A4B34"/>
    <w:rsid w:val="001A53D1"/>
    <w:rsid w:val="001A61D6"/>
    <w:rsid w:val="001A63A4"/>
    <w:rsid w:val="001A64C9"/>
    <w:rsid w:val="001A6C45"/>
    <w:rsid w:val="001A7325"/>
    <w:rsid w:val="001A73AD"/>
    <w:rsid w:val="001A73D5"/>
    <w:rsid w:val="001A7807"/>
    <w:rsid w:val="001B01A0"/>
    <w:rsid w:val="001B07CA"/>
    <w:rsid w:val="001B099F"/>
    <w:rsid w:val="001B1662"/>
    <w:rsid w:val="001B1C4D"/>
    <w:rsid w:val="001B1D43"/>
    <w:rsid w:val="001B2AEF"/>
    <w:rsid w:val="001B2DFC"/>
    <w:rsid w:val="001B3BD1"/>
    <w:rsid w:val="001B41EB"/>
    <w:rsid w:val="001B4486"/>
    <w:rsid w:val="001B44A4"/>
    <w:rsid w:val="001B487B"/>
    <w:rsid w:val="001B4A0C"/>
    <w:rsid w:val="001B51ED"/>
    <w:rsid w:val="001B5915"/>
    <w:rsid w:val="001B733B"/>
    <w:rsid w:val="001B79EE"/>
    <w:rsid w:val="001B7B3D"/>
    <w:rsid w:val="001C03C9"/>
    <w:rsid w:val="001C0FD4"/>
    <w:rsid w:val="001C1B83"/>
    <w:rsid w:val="001C212C"/>
    <w:rsid w:val="001C3AB4"/>
    <w:rsid w:val="001C3C09"/>
    <w:rsid w:val="001C6892"/>
    <w:rsid w:val="001C68A2"/>
    <w:rsid w:val="001C6A23"/>
    <w:rsid w:val="001C6B36"/>
    <w:rsid w:val="001C6B3D"/>
    <w:rsid w:val="001C70EB"/>
    <w:rsid w:val="001C728A"/>
    <w:rsid w:val="001C7F78"/>
    <w:rsid w:val="001D053A"/>
    <w:rsid w:val="001D0E44"/>
    <w:rsid w:val="001D1A9E"/>
    <w:rsid w:val="001D1E05"/>
    <w:rsid w:val="001D3349"/>
    <w:rsid w:val="001D3669"/>
    <w:rsid w:val="001D38FD"/>
    <w:rsid w:val="001D3DD5"/>
    <w:rsid w:val="001D3E07"/>
    <w:rsid w:val="001D3E76"/>
    <w:rsid w:val="001D411C"/>
    <w:rsid w:val="001D45EF"/>
    <w:rsid w:val="001D5164"/>
    <w:rsid w:val="001D552F"/>
    <w:rsid w:val="001D6160"/>
    <w:rsid w:val="001D633B"/>
    <w:rsid w:val="001D6C37"/>
    <w:rsid w:val="001D750A"/>
    <w:rsid w:val="001E0033"/>
    <w:rsid w:val="001E04BE"/>
    <w:rsid w:val="001E0C1A"/>
    <w:rsid w:val="001E33BA"/>
    <w:rsid w:val="001E3ECC"/>
    <w:rsid w:val="001E4BCA"/>
    <w:rsid w:val="001E5302"/>
    <w:rsid w:val="001E54D2"/>
    <w:rsid w:val="001E6805"/>
    <w:rsid w:val="001E69CA"/>
    <w:rsid w:val="001E79C8"/>
    <w:rsid w:val="001F0224"/>
    <w:rsid w:val="001F1EC5"/>
    <w:rsid w:val="001F242F"/>
    <w:rsid w:val="001F413A"/>
    <w:rsid w:val="001F4672"/>
    <w:rsid w:val="001F48F8"/>
    <w:rsid w:val="001F49E8"/>
    <w:rsid w:val="001F71A2"/>
    <w:rsid w:val="002000DB"/>
    <w:rsid w:val="00200C91"/>
    <w:rsid w:val="002021A4"/>
    <w:rsid w:val="00202708"/>
    <w:rsid w:val="00202F70"/>
    <w:rsid w:val="00203978"/>
    <w:rsid w:val="00204E20"/>
    <w:rsid w:val="00205AC5"/>
    <w:rsid w:val="00205ADF"/>
    <w:rsid w:val="0020676B"/>
    <w:rsid w:val="00206EC3"/>
    <w:rsid w:val="002071B7"/>
    <w:rsid w:val="002072F5"/>
    <w:rsid w:val="00210570"/>
    <w:rsid w:val="002107A1"/>
    <w:rsid w:val="00210A63"/>
    <w:rsid w:val="00211781"/>
    <w:rsid w:val="002134D0"/>
    <w:rsid w:val="00213C70"/>
    <w:rsid w:val="002161B6"/>
    <w:rsid w:val="002162B5"/>
    <w:rsid w:val="0021655F"/>
    <w:rsid w:val="002173A5"/>
    <w:rsid w:val="00220C96"/>
    <w:rsid w:val="00220CBE"/>
    <w:rsid w:val="0022279D"/>
    <w:rsid w:val="00222F07"/>
    <w:rsid w:val="00224150"/>
    <w:rsid w:val="00224FA7"/>
    <w:rsid w:val="00225783"/>
    <w:rsid w:val="00226430"/>
    <w:rsid w:val="002273E9"/>
    <w:rsid w:val="00227626"/>
    <w:rsid w:val="00227762"/>
    <w:rsid w:val="00230881"/>
    <w:rsid w:val="00230885"/>
    <w:rsid w:val="00230FA9"/>
    <w:rsid w:val="0023113E"/>
    <w:rsid w:val="0023262D"/>
    <w:rsid w:val="00233218"/>
    <w:rsid w:val="002337D2"/>
    <w:rsid w:val="0023421D"/>
    <w:rsid w:val="00235271"/>
    <w:rsid w:val="0023558C"/>
    <w:rsid w:val="0023677C"/>
    <w:rsid w:val="00236C31"/>
    <w:rsid w:val="0023773C"/>
    <w:rsid w:val="002379A2"/>
    <w:rsid w:val="00240438"/>
    <w:rsid w:val="00243911"/>
    <w:rsid w:val="00245148"/>
    <w:rsid w:val="002454AC"/>
    <w:rsid w:val="002455E4"/>
    <w:rsid w:val="00245AE2"/>
    <w:rsid w:val="002461BD"/>
    <w:rsid w:val="00246B8E"/>
    <w:rsid w:val="00247598"/>
    <w:rsid w:val="0024783C"/>
    <w:rsid w:val="002479C7"/>
    <w:rsid w:val="002506CB"/>
    <w:rsid w:val="00251158"/>
    <w:rsid w:val="002511A8"/>
    <w:rsid w:val="00251CFA"/>
    <w:rsid w:val="00251ED9"/>
    <w:rsid w:val="00252974"/>
    <w:rsid w:val="00252CB4"/>
    <w:rsid w:val="00254A2D"/>
    <w:rsid w:val="00254CFB"/>
    <w:rsid w:val="00254E0B"/>
    <w:rsid w:val="00255386"/>
    <w:rsid w:val="002561EE"/>
    <w:rsid w:val="00256806"/>
    <w:rsid w:val="00260585"/>
    <w:rsid w:val="00260CA9"/>
    <w:rsid w:val="00261129"/>
    <w:rsid w:val="0026118C"/>
    <w:rsid w:val="00261A43"/>
    <w:rsid w:val="00261B17"/>
    <w:rsid w:val="002623DC"/>
    <w:rsid w:val="00262A17"/>
    <w:rsid w:val="0026313F"/>
    <w:rsid w:val="00263646"/>
    <w:rsid w:val="00263B7C"/>
    <w:rsid w:val="0026451F"/>
    <w:rsid w:val="00265C9C"/>
    <w:rsid w:val="0026615E"/>
    <w:rsid w:val="00266BB2"/>
    <w:rsid w:val="00266F8A"/>
    <w:rsid w:val="0026782E"/>
    <w:rsid w:val="00267B5D"/>
    <w:rsid w:val="00267F2C"/>
    <w:rsid w:val="00267F50"/>
    <w:rsid w:val="002706EB"/>
    <w:rsid w:val="00270BE5"/>
    <w:rsid w:val="00271706"/>
    <w:rsid w:val="002722A1"/>
    <w:rsid w:val="002726FA"/>
    <w:rsid w:val="002730BD"/>
    <w:rsid w:val="002730D0"/>
    <w:rsid w:val="00275059"/>
    <w:rsid w:val="00275309"/>
    <w:rsid w:val="00275811"/>
    <w:rsid w:val="00276122"/>
    <w:rsid w:val="0027784E"/>
    <w:rsid w:val="00277E76"/>
    <w:rsid w:val="00277F3F"/>
    <w:rsid w:val="002804BC"/>
    <w:rsid w:val="002813CE"/>
    <w:rsid w:val="00281D79"/>
    <w:rsid w:val="00282183"/>
    <w:rsid w:val="00284A42"/>
    <w:rsid w:val="00284AAB"/>
    <w:rsid w:val="00291C00"/>
    <w:rsid w:val="00291FFB"/>
    <w:rsid w:val="002927D9"/>
    <w:rsid w:val="00292B60"/>
    <w:rsid w:val="002937C3"/>
    <w:rsid w:val="00293A69"/>
    <w:rsid w:val="002960A6"/>
    <w:rsid w:val="002971F7"/>
    <w:rsid w:val="00297CE4"/>
    <w:rsid w:val="002A0CDC"/>
    <w:rsid w:val="002A1B69"/>
    <w:rsid w:val="002A4BA3"/>
    <w:rsid w:val="002A550C"/>
    <w:rsid w:val="002B0564"/>
    <w:rsid w:val="002B101E"/>
    <w:rsid w:val="002B234F"/>
    <w:rsid w:val="002B26B6"/>
    <w:rsid w:val="002B2CF0"/>
    <w:rsid w:val="002B3523"/>
    <w:rsid w:val="002B3932"/>
    <w:rsid w:val="002B3E0F"/>
    <w:rsid w:val="002B55AB"/>
    <w:rsid w:val="002B6018"/>
    <w:rsid w:val="002B6421"/>
    <w:rsid w:val="002B65CA"/>
    <w:rsid w:val="002B6BB9"/>
    <w:rsid w:val="002B6CF8"/>
    <w:rsid w:val="002B6E98"/>
    <w:rsid w:val="002B7CD1"/>
    <w:rsid w:val="002C0240"/>
    <w:rsid w:val="002C0ED4"/>
    <w:rsid w:val="002C123D"/>
    <w:rsid w:val="002C1C4B"/>
    <w:rsid w:val="002C240D"/>
    <w:rsid w:val="002C24FD"/>
    <w:rsid w:val="002C2A14"/>
    <w:rsid w:val="002C3436"/>
    <w:rsid w:val="002C3519"/>
    <w:rsid w:val="002C4302"/>
    <w:rsid w:val="002C441C"/>
    <w:rsid w:val="002C469B"/>
    <w:rsid w:val="002C63AB"/>
    <w:rsid w:val="002C7EDB"/>
    <w:rsid w:val="002D07D1"/>
    <w:rsid w:val="002D0B46"/>
    <w:rsid w:val="002D1ECF"/>
    <w:rsid w:val="002D1F8F"/>
    <w:rsid w:val="002D281D"/>
    <w:rsid w:val="002D2F1F"/>
    <w:rsid w:val="002D5099"/>
    <w:rsid w:val="002D6990"/>
    <w:rsid w:val="002D6C9D"/>
    <w:rsid w:val="002D77EC"/>
    <w:rsid w:val="002E01D2"/>
    <w:rsid w:val="002E0BD0"/>
    <w:rsid w:val="002E108B"/>
    <w:rsid w:val="002E1FE6"/>
    <w:rsid w:val="002E34FF"/>
    <w:rsid w:val="002E434A"/>
    <w:rsid w:val="002E48A0"/>
    <w:rsid w:val="002E5B6A"/>
    <w:rsid w:val="002F14D3"/>
    <w:rsid w:val="002F1D69"/>
    <w:rsid w:val="002F3657"/>
    <w:rsid w:val="002F4CE3"/>
    <w:rsid w:val="002F516C"/>
    <w:rsid w:val="002F55EF"/>
    <w:rsid w:val="002F58CC"/>
    <w:rsid w:val="002F67B4"/>
    <w:rsid w:val="002F6CF4"/>
    <w:rsid w:val="002F7B19"/>
    <w:rsid w:val="002F7CC1"/>
    <w:rsid w:val="00300215"/>
    <w:rsid w:val="0030047E"/>
    <w:rsid w:val="00300DDB"/>
    <w:rsid w:val="003019F1"/>
    <w:rsid w:val="0030261F"/>
    <w:rsid w:val="003037DF"/>
    <w:rsid w:val="00304604"/>
    <w:rsid w:val="00304829"/>
    <w:rsid w:val="00305147"/>
    <w:rsid w:val="00305395"/>
    <w:rsid w:val="003054E5"/>
    <w:rsid w:val="00305906"/>
    <w:rsid w:val="003060E3"/>
    <w:rsid w:val="00310A03"/>
    <w:rsid w:val="00311537"/>
    <w:rsid w:val="00312B06"/>
    <w:rsid w:val="00313481"/>
    <w:rsid w:val="003153E2"/>
    <w:rsid w:val="0031639D"/>
    <w:rsid w:val="00316639"/>
    <w:rsid w:val="00317EDA"/>
    <w:rsid w:val="0032028E"/>
    <w:rsid w:val="003219BF"/>
    <w:rsid w:val="003229E3"/>
    <w:rsid w:val="00323187"/>
    <w:rsid w:val="00324114"/>
    <w:rsid w:val="00324BAB"/>
    <w:rsid w:val="00324DED"/>
    <w:rsid w:val="0032635F"/>
    <w:rsid w:val="003273BB"/>
    <w:rsid w:val="00327CBF"/>
    <w:rsid w:val="003303E5"/>
    <w:rsid w:val="00331F15"/>
    <w:rsid w:val="003327B1"/>
    <w:rsid w:val="00332A65"/>
    <w:rsid w:val="00333182"/>
    <w:rsid w:val="003343A0"/>
    <w:rsid w:val="00334B17"/>
    <w:rsid w:val="00334BE1"/>
    <w:rsid w:val="00335092"/>
    <w:rsid w:val="00335149"/>
    <w:rsid w:val="0033583A"/>
    <w:rsid w:val="00336822"/>
    <w:rsid w:val="0033784E"/>
    <w:rsid w:val="0033788F"/>
    <w:rsid w:val="00337F23"/>
    <w:rsid w:val="00340062"/>
    <w:rsid w:val="00340E46"/>
    <w:rsid w:val="003411AC"/>
    <w:rsid w:val="00341685"/>
    <w:rsid w:val="00341E67"/>
    <w:rsid w:val="00343924"/>
    <w:rsid w:val="00343D1D"/>
    <w:rsid w:val="00344EF9"/>
    <w:rsid w:val="003458A6"/>
    <w:rsid w:val="00345D45"/>
    <w:rsid w:val="003464C4"/>
    <w:rsid w:val="003476C3"/>
    <w:rsid w:val="00352CD1"/>
    <w:rsid w:val="00352ECB"/>
    <w:rsid w:val="00353126"/>
    <w:rsid w:val="00353A61"/>
    <w:rsid w:val="00354FD2"/>
    <w:rsid w:val="00355144"/>
    <w:rsid w:val="00355B70"/>
    <w:rsid w:val="00355E63"/>
    <w:rsid w:val="003562F5"/>
    <w:rsid w:val="00356F65"/>
    <w:rsid w:val="0035755B"/>
    <w:rsid w:val="00360FDC"/>
    <w:rsid w:val="00361793"/>
    <w:rsid w:val="00362417"/>
    <w:rsid w:val="003643AF"/>
    <w:rsid w:val="00364E83"/>
    <w:rsid w:val="00365914"/>
    <w:rsid w:val="0036671E"/>
    <w:rsid w:val="003677E2"/>
    <w:rsid w:val="003700CB"/>
    <w:rsid w:val="0037051D"/>
    <w:rsid w:val="00370AFE"/>
    <w:rsid w:val="003714E1"/>
    <w:rsid w:val="00371973"/>
    <w:rsid w:val="00371ADC"/>
    <w:rsid w:val="00371CD0"/>
    <w:rsid w:val="00372A55"/>
    <w:rsid w:val="00372B40"/>
    <w:rsid w:val="00372CCE"/>
    <w:rsid w:val="0037329C"/>
    <w:rsid w:val="00375C03"/>
    <w:rsid w:val="003777C2"/>
    <w:rsid w:val="0037784A"/>
    <w:rsid w:val="00377EF4"/>
    <w:rsid w:val="00380095"/>
    <w:rsid w:val="00380EC1"/>
    <w:rsid w:val="0038192E"/>
    <w:rsid w:val="00381FC5"/>
    <w:rsid w:val="003829BA"/>
    <w:rsid w:val="00384176"/>
    <w:rsid w:val="00384E36"/>
    <w:rsid w:val="00384FA9"/>
    <w:rsid w:val="0038582A"/>
    <w:rsid w:val="0038643F"/>
    <w:rsid w:val="00387B6A"/>
    <w:rsid w:val="00390B95"/>
    <w:rsid w:val="00390E09"/>
    <w:rsid w:val="00391943"/>
    <w:rsid w:val="00391B07"/>
    <w:rsid w:val="0039276C"/>
    <w:rsid w:val="00393CDB"/>
    <w:rsid w:val="00393E4C"/>
    <w:rsid w:val="003941DB"/>
    <w:rsid w:val="003942CF"/>
    <w:rsid w:val="00394DC6"/>
    <w:rsid w:val="00395C81"/>
    <w:rsid w:val="003963D6"/>
    <w:rsid w:val="00396A6E"/>
    <w:rsid w:val="00396C2C"/>
    <w:rsid w:val="00396FDC"/>
    <w:rsid w:val="003970D5"/>
    <w:rsid w:val="0039790A"/>
    <w:rsid w:val="003A06C5"/>
    <w:rsid w:val="003A100F"/>
    <w:rsid w:val="003A1010"/>
    <w:rsid w:val="003A12A8"/>
    <w:rsid w:val="003A1648"/>
    <w:rsid w:val="003A1670"/>
    <w:rsid w:val="003A22E8"/>
    <w:rsid w:val="003A237B"/>
    <w:rsid w:val="003A2907"/>
    <w:rsid w:val="003A2E18"/>
    <w:rsid w:val="003A3284"/>
    <w:rsid w:val="003A3B8F"/>
    <w:rsid w:val="003A434A"/>
    <w:rsid w:val="003A473D"/>
    <w:rsid w:val="003A4B3D"/>
    <w:rsid w:val="003A4D22"/>
    <w:rsid w:val="003A5932"/>
    <w:rsid w:val="003A5E5D"/>
    <w:rsid w:val="003A76E8"/>
    <w:rsid w:val="003B0891"/>
    <w:rsid w:val="003B20AE"/>
    <w:rsid w:val="003B2821"/>
    <w:rsid w:val="003B31C6"/>
    <w:rsid w:val="003B3498"/>
    <w:rsid w:val="003B3E52"/>
    <w:rsid w:val="003B47BF"/>
    <w:rsid w:val="003B53DB"/>
    <w:rsid w:val="003B53E2"/>
    <w:rsid w:val="003B6482"/>
    <w:rsid w:val="003B73E2"/>
    <w:rsid w:val="003B76FC"/>
    <w:rsid w:val="003C01E6"/>
    <w:rsid w:val="003C0955"/>
    <w:rsid w:val="003C09ED"/>
    <w:rsid w:val="003C16F2"/>
    <w:rsid w:val="003C20F2"/>
    <w:rsid w:val="003C3070"/>
    <w:rsid w:val="003C347D"/>
    <w:rsid w:val="003C3984"/>
    <w:rsid w:val="003C41C0"/>
    <w:rsid w:val="003C4951"/>
    <w:rsid w:val="003C5351"/>
    <w:rsid w:val="003C5869"/>
    <w:rsid w:val="003C5A9D"/>
    <w:rsid w:val="003D0404"/>
    <w:rsid w:val="003D0A2C"/>
    <w:rsid w:val="003D0D7E"/>
    <w:rsid w:val="003D0F85"/>
    <w:rsid w:val="003D26CE"/>
    <w:rsid w:val="003D2C37"/>
    <w:rsid w:val="003D35ED"/>
    <w:rsid w:val="003D3837"/>
    <w:rsid w:val="003D417D"/>
    <w:rsid w:val="003D4CEC"/>
    <w:rsid w:val="003D501B"/>
    <w:rsid w:val="003D58FF"/>
    <w:rsid w:val="003D692C"/>
    <w:rsid w:val="003E0D7B"/>
    <w:rsid w:val="003E1B5D"/>
    <w:rsid w:val="003E20C7"/>
    <w:rsid w:val="003E28FD"/>
    <w:rsid w:val="003E32FF"/>
    <w:rsid w:val="003E3973"/>
    <w:rsid w:val="003E5416"/>
    <w:rsid w:val="003E5435"/>
    <w:rsid w:val="003E5692"/>
    <w:rsid w:val="003E66E7"/>
    <w:rsid w:val="003E6D60"/>
    <w:rsid w:val="003E7C57"/>
    <w:rsid w:val="003F044D"/>
    <w:rsid w:val="003F068A"/>
    <w:rsid w:val="003F26BD"/>
    <w:rsid w:val="003F5485"/>
    <w:rsid w:val="003F5DC2"/>
    <w:rsid w:val="003F6A74"/>
    <w:rsid w:val="003F70C7"/>
    <w:rsid w:val="003F7711"/>
    <w:rsid w:val="003F784F"/>
    <w:rsid w:val="003F7F09"/>
    <w:rsid w:val="0040093B"/>
    <w:rsid w:val="00400C06"/>
    <w:rsid w:val="00402B3C"/>
    <w:rsid w:val="004033B2"/>
    <w:rsid w:val="00403B47"/>
    <w:rsid w:val="0040606F"/>
    <w:rsid w:val="0040709A"/>
    <w:rsid w:val="004070F6"/>
    <w:rsid w:val="00407130"/>
    <w:rsid w:val="00407994"/>
    <w:rsid w:val="00410512"/>
    <w:rsid w:val="004108E9"/>
    <w:rsid w:val="00411BE3"/>
    <w:rsid w:val="004124F1"/>
    <w:rsid w:val="0041292E"/>
    <w:rsid w:val="004133C6"/>
    <w:rsid w:val="00415718"/>
    <w:rsid w:val="00416242"/>
    <w:rsid w:val="004168E2"/>
    <w:rsid w:val="00416F6B"/>
    <w:rsid w:val="00416FB6"/>
    <w:rsid w:val="00416FC8"/>
    <w:rsid w:val="004174B3"/>
    <w:rsid w:val="00422561"/>
    <w:rsid w:val="00423E90"/>
    <w:rsid w:val="00424343"/>
    <w:rsid w:val="0042457F"/>
    <w:rsid w:val="0042557E"/>
    <w:rsid w:val="0042574E"/>
    <w:rsid w:val="0042672D"/>
    <w:rsid w:val="00426B42"/>
    <w:rsid w:val="00426C35"/>
    <w:rsid w:val="00426FCB"/>
    <w:rsid w:val="00430B08"/>
    <w:rsid w:val="00432BC1"/>
    <w:rsid w:val="0043390E"/>
    <w:rsid w:val="00433A2C"/>
    <w:rsid w:val="00434248"/>
    <w:rsid w:val="004362B0"/>
    <w:rsid w:val="0043754B"/>
    <w:rsid w:val="004375C1"/>
    <w:rsid w:val="004401F4"/>
    <w:rsid w:val="004427F7"/>
    <w:rsid w:val="00443708"/>
    <w:rsid w:val="00443857"/>
    <w:rsid w:val="00443DA9"/>
    <w:rsid w:val="00444B85"/>
    <w:rsid w:val="00444E7D"/>
    <w:rsid w:val="00446163"/>
    <w:rsid w:val="00446341"/>
    <w:rsid w:val="004469CD"/>
    <w:rsid w:val="00447234"/>
    <w:rsid w:val="00447C2E"/>
    <w:rsid w:val="00450C2D"/>
    <w:rsid w:val="00450D9E"/>
    <w:rsid w:val="00451D20"/>
    <w:rsid w:val="0045239D"/>
    <w:rsid w:val="00452504"/>
    <w:rsid w:val="00452FE7"/>
    <w:rsid w:val="0045334C"/>
    <w:rsid w:val="004538EC"/>
    <w:rsid w:val="004548F3"/>
    <w:rsid w:val="00455046"/>
    <w:rsid w:val="00455070"/>
    <w:rsid w:val="0045570A"/>
    <w:rsid w:val="00456323"/>
    <w:rsid w:val="00456E29"/>
    <w:rsid w:val="00457FD2"/>
    <w:rsid w:val="004606F8"/>
    <w:rsid w:val="0046183B"/>
    <w:rsid w:val="004619D7"/>
    <w:rsid w:val="00461FA5"/>
    <w:rsid w:val="004638E0"/>
    <w:rsid w:val="00463CCC"/>
    <w:rsid w:val="00463E08"/>
    <w:rsid w:val="004652FB"/>
    <w:rsid w:val="00465DCE"/>
    <w:rsid w:val="0046725C"/>
    <w:rsid w:val="00467B6C"/>
    <w:rsid w:val="0047241C"/>
    <w:rsid w:val="004731D5"/>
    <w:rsid w:val="00473599"/>
    <w:rsid w:val="00475EF0"/>
    <w:rsid w:val="0047622D"/>
    <w:rsid w:val="00476472"/>
    <w:rsid w:val="00476FB9"/>
    <w:rsid w:val="00477D65"/>
    <w:rsid w:val="0048012E"/>
    <w:rsid w:val="00481135"/>
    <w:rsid w:val="00481A0E"/>
    <w:rsid w:val="00481B41"/>
    <w:rsid w:val="00481C68"/>
    <w:rsid w:val="00483001"/>
    <w:rsid w:val="004860B9"/>
    <w:rsid w:val="0048619C"/>
    <w:rsid w:val="0048714A"/>
    <w:rsid w:val="00487835"/>
    <w:rsid w:val="00487966"/>
    <w:rsid w:val="00490741"/>
    <w:rsid w:val="00490814"/>
    <w:rsid w:val="00490959"/>
    <w:rsid w:val="00491946"/>
    <w:rsid w:val="00493C12"/>
    <w:rsid w:val="004958EF"/>
    <w:rsid w:val="00497471"/>
    <w:rsid w:val="00497877"/>
    <w:rsid w:val="004A2A8A"/>
    <w:rsid w:val="004A2CDD"/>
    <w:rsid w:val="004A32D7"/>
    <w:rsid w:val="004A343C"/>
    <w:rsid w:val="004A3534"/>
    <w:rsid w:val="004A371A"/>
    <w:rsid w:val="004A44A8"/>
    <w:rsid w:val="004A4EC7"/>
    <w:rsid w:val="004A52E4"/>
    <w:rsid w:val="004A7428"/>
    <w:rsid w:val="004A7EF2"/>
    <w:rsid w:val="004B0C33"/>
    <w:rsid w:val="004B1B79"/>
    <w:rsid w:val="004B2E2A"/>
    <w:rsid w:val="004B40B3"/>
    <w:rsid w:val="004B47F9"/>
    <w:rsid w:val="004B4A23"/>
    <w:rsid w:val="004B6068"/>
    <w:rsid w:val="004B61AB"/>
    <w:rsid w:val="004B6C36"/>
    <w:rsid w:val="004B6DFD"/>
    <w:rsid w:val="004B7578"/>
    <w:rsid w:val="004B773D"/>
    <w:rsid w:val="004C03DD"/>
    <w:rsid w:val="004C073B"/>
    <w:rsid w:val="004C1304"/>
    <w:rsid w:val="004C1B69"/>
    <w:rsid w:val="004C2FA9"/>
    <w:rsid w:val="004C4446"/>
    <w:rsid w:val="004C5497"/>
    <w:rsid w:val="004C5F9B"/>
    <w:rsid w:val="004D0082"/>
    <w:rsid w:val="004D0AB8"/>
    <w:rsid w:val="004D0D0B"/>
    <w:rsid w:val="004D3AD0"/>
    <w:rsid w:val="004D4211"/>
    <w:rsid w:val="004D4737"/>
    <w:rsid w:val="004D4ACA"/>
    <w:rsid w:val="004D4BB4"/>
    <w:rsid w:val="004D602A"/>
    <w:rsid w:val="004D62E7"/>
    <w:rsid w:val="004D647F"/>
    <w:rsid w:val="004E048D"/>
    <w:rsid w:val="004E04A5"/>
    <w:rsid w:val="004E0596"/>
    <w:rsid w:val="004E1CA8"/>
    <w:rsid w:val="004E211A"/>
    <w:rsid w:val="004E345A"/>
    <w:rsid w:val="004E347A"/>
    <w:rsid w:val="004E4017"/>
    <w:rsid w:val="004E42C3"/>
    <w:rsid w:val="004E5AA5"/>
    <w:rsid w:val="004E5FD0"/>
    <w:rsid w:val="004E613B"/>
    <w:rsid w:val="004E6D7C"/>
    <w:rsid w:val="004E6DC2"/>
    <w:rsid w:val="004E6F76"/>
    <w:rsid w:val="004E779C"/>
    <w:rsid w:val="004F00AA"/>
    <w:rsid w:val="004F0850"/>
    <w:rsid w:val="004F1A19"/>
    <w:rsid w:val="004F2129"/>
    <w:rsid w:val="004F320E"/>
    <w:rsid w:val="004F3B84"/>
    <w:rsid w:val="004F4B00"/>
    <w:rsid w:val="004F4CC2"/>
    <w:rsid w:val="004F50C2"/>
    <w:rsid w:val="004F62F0"/>
    <w:rsid w:val="004F7151"/>
    <w:rsid w:val="004F77BC"/>
    <w:rsid w:val="00500C75"/>
    <w:rsid w:val="00501A8C"/>
    <w:rsid w:val="00501ABE"/>
    <w:rsid w:val="00501D8F"/>
    <w:rsid w:val="00502EE3"/>
    <w:rsid w:val="00503E9D"/>
    <w:rsid w:val="00507201"/>
    <w:rsid w:val="005107BA"/>
    <w:rsid w:val="0051183B"/>
    <w:rsid w:val="0051248B"/>
    <w:rsid w:val="0051321C"/>
    <w:rsid w:val="00513EFC"/>
    <w:rsid w:val="00514028"/>
    <w:rsid w:val="00515450"/>
    <w:rsid w:val="00516493"/>
    <w:rsid w:val="005167C2"/>
    <w:rsid w:val="00522D65"/>
    <w:rsid w:val="005230F5"/>
    <w:rsid w:val="00523620"/>
    <w:rsid w:val="0052395E"/>
    <w:rsid w:val="005243DF"/>
    <w:rsid w:val="00524403"/>
    <w:rsid w:val="00524D02"/>
    <w:rsid w:val="00525B32"/>
    <w:rsid w:val="00525E03"/>
    <w:rsid w:val="00526221"/>
    <w:rsid w:val="00526E23"/>
    <w:rsid w:val="00526EA5"/>
    <w:rsid w:val="00527E35"/>
    <w:rsid w:val="005314DD"/>
    <w:rsid w:val="00531510"/>
    <w:rsid w:val="00531A34"/>
    <w:rsid w:val="0053201F"/>
    <w:rsid w:val="00532806"/>
    <w:rsid w:val="00532C57"/>
    <w:rsid w:val="005340ED"/>
    <w:rsid w:val="00534162"/>
    <w:rsid w:val="00535FEE"/>
    <w:rsid w:val="005360F1"/>
    <w:rsid w:val="00537853"/>
    <w:rsid w:val="005408BD"/>
    <w:rsid w:val="00540C79"/>
    <w:rsid w:val="00540CEF"/>
    <w:rsid w:val="00541267"/>
    <w:rsid w:val="005414DB"/>
    <w:rsid w:val="005415B4"/>
    <w:rsid w:val="005418D1"/>
    <w:rsid w:val="005419A1"/>
    <w:rsid w:val="00541F69"/>
    <w:rsid w:val="0054286B"/>
    <w:rsid w:val="00543166"/>
    <w:rsid w:val="005431C2"/>
    <w:rsid w:val="00544489"/>
    <w:rsid w:val="005445F9"/>
    <w:rsid w:val="005449F4"/>
    <w:rsid w:val="00544BAC"/>
    <w:rsid w:val="00545DB4"/>
    <w:rsid w:val="005461A6"/>
    <w:rsid w:val="005463FA"/>
    <w:rsid w:val="005466AB"/>
    <w:rsid w:val="00546F8C"/>
    <w:rsid w:val="005470C4"/>
    <w:rsid w:val="00547184"/>
    <w:rsid w:val="0054726C"/>
    <w:rsid w:val="00547EEE"/>
    <w:rsid w:val="00550DA7"/>
    <w:rsid w:val="00551E29"/>
    <w:rsid w:val="00553598"/>
    <w:rsid w:val="00553749"/>
    <w:rsid w:val="00553A5E"/>
    <w:rsid w:val="00553AB7"/>
    <w:rsid w:val="00554389"/>
    <w:rsid w:val="005577F6"/>
    <w:rsid w:val="00562E63"/>
    <w:rsid w:val="00563E9E"/>
    <w:rsid w:val="0056532D"/>
    <w:rsid w:val="0056533E"/>
    <w:rsid w:val="005654C0"/>
    <w:rsid w:val="00565EC2"/>
    <w:rsid w:val="00566956"/>
    <w:rsid w:val="00566F54"/>
    <w:rsid w:val="00566F78"/>
    <w:rsid w:val="00567B02"/>
    <w:rsid w:val="00570A80"/>
    <w:rsid w:val="00570DC7"/>
    <w:rsid w:val="005715D6"/>
    <w:rsid w:val="00571A31"/>
    <w:rsid w:val="00572BB2"/>
    <w:rsid w:val="00573065"/>
    <w:rsid w:val="00574176"/>
    <w:rsid w:val="00575AAA"/>
    <w:rsid w:val="00575E3B"/>
    <w:rsid w:val="00576B0C"/>
    <w:rsid w:val="00577BF3"/>
    <w:rsid w:val="005815E6"/>
    <w:rsid w:val="0058267D"/>
    <w:rsid w:val="00583AF0"/>
    <w:rsid w:val="00584158"/>
    <w:rsid w:val="00584816"/>
    <w:rsid w:val="0058492C"/>
    <w:rsid w:val="0058512E"/>
    <w:rsid w:val="00585BC9"/>
    <w:rsid w:val="00586173"/>
    <w:rsid w:val="00586290"/>
    <w:rsid w:val="00587C2C"/>
    <w:rsid w:val="0059041D"/>
    <w:rsid w:val="005906CC"/>
    <w:rsid w:val="00591802"/>
    <w:rsid w:val="005935AB"/>
    <w:rsid w:val="00593F46"/>
    <w:rsid w:val="00595604"/>
    <w:rsid w:val="005958E1"/>
    <w:rsid w:val="00596204"/>
    <w:rsid w:val="0059722B"/>
    <w:rsid w:val="005A19E0"/>
    <w:rsid w:val="005A246D"/>
    <w:rsid w:val="005A3453"/>
    <w:rsid w:val="005A38DB"/>
    <w:rsid w:val="005A4104"/>
    <w:rsid w:val="005A4816"/>
    <w:rsid w:val="005A6052"/>
    <w:rsid w:val="005A6254"/>
    <w:rsid w:val="005A6E60"/>
    <w:rsid w:val="005A7315"/>
    <w:rsid w:val="005A7384"/>
    <w:rsid w:val="005B235E"/>
    <w:rsid w:val="005B3202"/>
    <w:rsid w:val="005B384A"/>
    <w:rsid w:val="005B38C5"/>
    <w:rsid w:val="005B3DF3"/>
    <w:rsid w:val="005B3ED6"/>
    <w:rsid w:val="005B41B1"/>
    <w:rsid w:val="005B4216"/>
    <w:rsid w:val="005B4F0F"/>
    <w:rsid w:val="005B5BC6"/>
    <w:rsid w:val="005B6D8C"/>
    <w:rsid w:val="005C06A6"/>
    <w:rsid w:val="005C151A"/>
    <w:rsid w:val="005C1A2B"/>
    <w:rsid w:val="005C1E75"/>
    <w:rsid w:val="005C2F29"/>
    <w:rsid w:val="005C3BA2"/>
    <w:rsid w:val="005C3F57"/>
    <w:rsid w:val="005C3F62"/>
    <w:rsid w:val="005C4665"/>
    <w:rsid w:val="005C51AE"/>
    <w:rsid w:val="005C52AA"/>
    <w:rsid w:val="005C65D0"/>
    <w:rsid w:val="005C7E8C"/>
    <w:rsid w:val="005D0B38"/>
    <w:rsid w:val="005D46EE"/>
    <w:rsid w:val="005D5612"/>
    <w:rsid w:val="005D5BE6"/>
    <w:rsid w:val="005D6468"/>
    <w:rsid w:val="005D65E9"/>
    <w:rsid w:val="005D7E6E"/>
    <w:rsid w:val="005E037C"/>
    <w:rsid w:val="005E05D4"/>
    <w:rsid w:val="005E1649"/>
    <w:rsid w:val="005E19EB"/>
    <w:rsid w:val="005E1F12"/>
    <w:rsid w:val="005E2120"/>
    <w:rsid w:val="005E2A68"/>
    <w:rsid w:val="005E2DBE"/>
    <w:rsid w:val="005E4C78"/>
    <w:rsid w:val="005E760A"/>
    <w:rsid w:val="005F096F"/>
    <w:rsid w:val="005F402D"/>
    <w:rsid w:val="005F4FE6"/>
    <w:rsid w:val="005F5809"/>
    <w:rsid w:val="005F6917"/>
    <w:rsid w:val="005F703C"/>
    <w:rsid w:val="005F7AEF"/>
    <w:rsid w:val="00600426"/>
    <w:rsid w:val="00600D50"/>
    <w:rsid w:val="006014C3"/>
    <w:rsid w:val="00601797"/>
    <w:rsid w:val="00601F62"/>
    <w:rsid w:val="006022FF"/>
    <w:rsid w:val="00602B2F"/>
    <w:rsid w:val="00602B9C"/>
    <w:rsid w:val="00603442"/>
    <w:rsid w:val="00603979"/>
    <w:rsid w:val="00603BDE"/>
    <w:rsid w:val="006042A7"/>
    <w:rsid w:val="006046B6"/>
    <w:rsid w:val="00604FE8"/>
    <w:rsid w:val="00605AA1"/>
    <w:rsid w:val="00606E77"/>
    <w:rsid w:val="00610740"/>
    <w:rsid w:val="00610ACA"/>
    <w:rsid w:val="00611321"/>
    <w:rsid w:val="006114A6"/>
    <w:rsid w:val="00612404"/>
    <w:rsid w:val="00612E1A"/>
    <w:rsid w:val="0061385C"/>
    <w:rsid w:val="0061491D"/>
    <w:rsid w:val="00615850"/>
    <w:rsid w:val="0061608B"/>
    <w:rsid w:val="006164B6"/>
    <w:rsid w:val="00617F4C"/>
    <w:rsid w:val="006206B8"/>
    <w:rsid w:val="0062085C"/>
    <w:rsid w:val="00620E66"/>
    <w:rsid w:val="0062162E"/>
    <w:rsid w:val="00622504"/>
    <w:rsid w:val="00622746"/>
    <w:rsid w:val="00622A82"/>
    <w:rsid w:val="00624B05"/>
    <w:rsid w:val="00625212"/>
    <w:rsid w:val="00625533"/>
    <w:rsid w:val="00630292"/>
    <w:rsid w:val="00631EBD"/>
    <w:rsid w:val="006331C0"/>
    <w:rsid w:val="00633915"/>
    <w:rsid w:val="00634112"/>
    <w:rsid w:val="006354F6"/>
    <w:rsid w:val="0063578F"/>
    <w:rsid w:val="006359C6"/>
    <w:rsid w:val="006366E0"/>
    <w:rsid w:val="006368F9"/>
    <w:rsid w:val="0063740C"/>
    <w:rsid w:val="006406C2"/>
    <w:rsid w:val="006408CC"/>
    <w:rsid w:val="00640BBB"/>
    <w:rsid w:val="006417BB"/>
    <w:rsid w:val="0064538F"/>
    <w:rsid w:val="006461DB"/>
    <w:rsid w:val="00646C4D"/>
    <w:rsid w:val="00646CBB"/>
    <w:rsid w:val="0065071B"/>
    <w:rsid w:val="00652F44"/>
    <w:rsid w:val="006536D1"/>
    <w:rsid w:val="00653BAC"/>
    <w:rsid w:val="006544CF"/>
    <w:rsid w:val="00654610"/>
    <w:rsid w:val="006556F7"/>
    <w:rsid w:val="006563A1"/>
    <w:rsid w:val="006576CC"/>
    <w:rsid w:val="00660472"/>
    <w:rsid w:val="006633E2"/>
    <w:rsid w:val="00664DED"/>
    <w:rsid w:val="00664FDC"/>
    <w:rsid w:val="00666988"/>
    <w:rsid w:val="00666EB8"/>
    <w:rsid w:val="006674CF"/>
    <w:rsid w:val="00667D3B"/>
    <w:rsid w:val="006700FC"/>
    <w:rsid w:val="00670EDE"/>
    <w:rsid w:val="00671A55"/>
    <w:rsid w:val="00671B6D"/>
    <w:rsid w:val="00671C1C"/>
    <w:rsid w:val="00671ECC"/>
    <w:rsid w:val="00672134"/>
    <w:rsid w:val="00673C4A"/>
    <w:rsid w:val="00674CCA"/>
    <w:rsid w:val="00675804"/>
    <w:rsid w:val="00675CD2"/>
    <w:rsid w:val="006762FF"/>
    <w:rsid w:val="00677257"/>
    <w:rsid w:val="006773ED"/>
    <w:rsid w:val="00677837"/>
    <w:rsid w:val="00677AD2"/>
    <w:rsid w:val="00680C94"/>
    <w:rsid w:val="0068140B"/>
    <w:rsid w:val="00681758"/>
    <w:rsid w:val="00681914"/>
    <w:rsid w:val="00682CCA"/>
    <w:rsid w:val="00682F20"/>
    <w:rsid w:val="00683A4D"/>
    <w:rsid w:val="00684776"/>
    <w:rsid w:val="006858C5"/>
    <w:rsid w:val="00685A67"/>
    <w:rsid w:val="006861D1"/>
    <w:rsid w:val="00686419"/>
    <w:rsid w:val="006866EB"/>
    <w:rsid w:val="006870F0"/>
    <w:rsid w:val="006906DD"/>
    <w:rsid w:val="00691358"/>
    <w:rsid w:val="006939B3"/>
    <w:rsid w:val="00694610"/>
    <w:rsid w:val="006973C3"/>
    <w:rsid w:val="006978F0"/>
    <w:rsid w:val="006A0092"/>
    <w:rsid w:val="006A037D"/>
    <w:rsid w:val="006A03BC"/>
    <w:rsid w:val="006A3BFA"/>
    <w:rsid w:val="006A3DCC"/>
    <w:rsid w:val="006A3E3F"/>
    <w:rsid w:val="006A51F7"/>
    <w:rsid w:val="006A77C5"/>
    <w:rsid w:val="006B0040"/>
    <w:rsid w:val="006B0EF8"/>
    <w:rsid w:val="006B222A"/>
    <w:rsid w:val="006B22D8"/>
    <w:rsid w:val="006B4D1C"/>
    <w:rsid w:val="006B5380"/>
    <w:rsid w:val="006B55F5"/>
    <w:rsid w:val="006B7757"/>
    <w:rsid w:val="006C0A2C"/>
    <w:rsid w:val="006C34FA"/>
    <w:rsid w:val="006C595C"/>
    <w:rsid w:val="006C6CEA"/>
    <w:rsid w:val="006C7234"/>
    <w:rsid w:val="006D0282"/>
    <w:rsid w:val="006D0A31"/>
    <w:rsid w:val="006D19C3"/>
    <w:rsid w:val="006D204D"/>
    <w:rsid w:val="006D334A"/>
    <w:rsid w:val="006D403E"/>
    <w:rsid w:val="006D4100"/>
    <w:rsid w:val="006D46A8"/>
    <w:rsid w:val="006D5548"/>
    <w:rsid w:val="006D5762"/>
    <w:rsid w:val="006D6064"/>
    <w:rsid w:val="006D7E44"/>
    <w:rsid w:val="006E026F"/>
    <w:rsid w:val="006E086D"/>
    <w:rsid w:val="006E10F0"/>
    <w:rsid w:val="006E1632"/>
    <w:rsid w:val="006E1768"/>
    <w:rsid w:val="006E1EAD"/>
    <w:rsid w:val="006E2531"/>
    <w:rsid w:val="006E2F7F"/>
    <w:rsid w:val="006E361E"/>
    <w:rsid w:val="006E45BF"/>
    <w:rsid w:val="006E4EBE"/>
    <w:rsid w:val="006E539D"/>
    <w:rsid w:val="006E55FD"/>
    <w:rsid w:val="006E66C5"/>
    <w:rsid w:val="006F1819"/>
    <w:rsid w:val="006F2F15"/>
    <w:rsid w:val="006F34B7"/>
    <w:rsid w:val="006F58BD"/>
    <w:rsid w:val="006F58EA"/>
    <w:rsid w:val="006F5DFA"/>
    <w:rsid w:val="006F5EF2"/>
    <w:rsid w:val="006F6A2A"/>
    <w:rsid w:val="006F7D5B"/>
    <w:rsid w:val="007004D2"/>
    <w:rsid w:val="00700A09"/>
    <w:rsid w:val="00701C61"/>
    <w:rsid w:val="00703DA5"/>
    <w:rsid w:val="00704A23"/>
    <w:rsid w:val="00705C4F"/>
    <w:rsid w:val="00705FFC"/>
    <w:rsid w:val="00707390"/>
    <w:rsid w:val="00707D03"/>
    <w:rsid w:val="00711284"/>
    <w:rsid w:val="007112F6"/>
    <w:rsid w:val="007112FE"/>
    <w:rsid w:val="00711608"/>
    <w:rsid w:val="00712693"/>
    <w:rsid w:val="007126F4"/>
    <w:rsid w:val="007147B6"/>
    <w:rsid w:val="00714880"/>
    <w:rsid w:val="007164F5"/>
    <w:rsid w:val="00716632"/>
    <w:rsid w:val="00717B9E"/>
    <w:rsid w:val="00720991"/>
    <w:rsid w:val="00720E77"/>
    <w:rsid w:val="00721332"/>
    <w:rsid w:val="007229FD"/>
    <w:rsid w:val="00723A92"/>
    <w:rsid w:val="00724B47"/>
    <w:rsid w:val="007259AF"/>
    <w:rsid w:val="007262F9"/>
    <w:rsid w:val="0072782A"/>
    <w:rsid w:val="007324B1"/>
    <w:rsid w:val="00733496"/>
    <w:rsid w:val="00733F22"/>
    <w:rsid w:val="007353F3"/>
    <w:rsid w:val="00736451"/>
    <w:rsid w:val="007368A0"/>
    <w:rsid w:val="00740D23"/>
    <w:rsid w:val="00741950"/>
    <w:rsid w:val="00741985"/>
    <w:rsid w:val="00741F12"/>
    <w:rsid w:val="007425B6"/>
    <w:rsid w:val="00742D82"/>
    <w:rsid w:val="00743946"/>
    <w:rsid w:val="00743A3F"/>
    <w:rsid w:val="00744914"/>
    <w:rsid w:val="00744EC8"/>
    <w:rsid w:val="007450BF"/>
    <w:rsid w:val="007476AE"/>
    <w:rsid w:val="00747793"/>
    <w:rsid w:val="00750497"/>
    <w:rsid w:val="00750971"/>
    <w:rsid w:val="00750C0B"/>
    <w:rsid w:val="007513FF"/>
    <w:rsid w:val="00751848"/>
    <w:rsid w:val="00751AF9"/>
    <w:rsid w:val="00753C1B"/>
    <w:rsid w:val="00753DD3"/>
    <w:rsid w:val="007540CF"/>
    <w:rsid w:val="007545F9"/>
    <w:rsid w:val="007545FA"/>
    <w:rsid w:val="00754B4C"/>
    <w:rsid w:val="00754E91"/>
    <w:rsid w:val="007575D1"/>
    <w:rsid w:val="00757DD3"/>
    <w:rsid w:val="00757EF1"/>
    <w:rsid w:val="007609AD"/>
    <w:rsid w:val="007620A9"/>
    <w:rsid w:val="00762381"/>
    <w:rsid w:val="007632B8"/>
    <w:rsid w:val="00763CAF"/>
    <w:rsid w:val="00765077"/>
    <w:rsid w:val="00766213"/>
    <w:rsid w:val="007667E1"/>
    <w:rsid w:val="00767D7D"/>
    <w:rsid w:val="007710DA"/>
    <w:rsid w:val="0077139C"/>
    <w:rsid w:val="007729C6"/>
    <w:rsid w:val="007747CC"/>
    <w:rsid w:val="00774FC1"/>
    <w:rsid w:val="0077512A"/>
    <w:rsid w:val="007751D6"/>
    <w:rsid w:val="0077550F"/>
    <w:rsid w:val="007777E2"/>
    <w:rsid w:val="0077799D"/>
    <w:rsid w:val="00777ABD"/>
    <w:rsid w:val="007830FB"/>
    <w:rsid w:val="00784F02"/>
    <w:rsid w:val="00784F3D"/>
    <w:rsid w:val="007854A9"/>
    <w:rsid w:val="00786D8E"/>
    <w:rsid w:val="00790CBF"/>
    <w:rsid w:val="00790F15"/>
    <w:rsid w:val="007913BB"/>
    <w:rsid w:val="00791881"/>
    <w:rsid w:val="00793764"/>
    <w:rsid w:val="007937A3"/>
    <w:rsid w:val="00793CF3"/>
    <w:rsid w:val="00795189"/>
    <w:rsid w:val="00795747"/>
    <w:rsid w:val="00795AEC"/>
    <w:rsid w:val="00795DAC"/>
    <w:rsid w:val="00797FE6"/>
    <w:rsid w:val="007A10C4"/>
    <w:rsid w:val="007A1BB6"/>
    <w:rsid w:val="007A2132"/>
    <w:rsid w:val="007A2243"/>
    <w:rsid w:val="007A3112"/>
    <w:rsid w:val="007A39FD"/>
    <w:rsid w:val="007A3FFF"/>
    <w:rsid w:val="007A4562"/>
    <w:rsid w:val="007A5EFE"/>
    <w:rsid w:val="007A67D6"/>
    <w:rsid w:val="007A6CDB"/>
    <w:rsid w:val="007A7BCD"/>
    <w:rsid w:val="007B1488"/>
    <w:rsid w:val="007B1779"/>
    <w:rsid w:val="007B1BE8"/>
    <w:rsid w:val="007B1EA9"/>
    <w:rsid w:val="007B3425"/>
    <w:rsid w:val="007B4115"/>
    <w:rsid w:val="007B4DC1"/>
    <w:rsid w:val="007B54C8"/>
    <w:rsid w:val="007B6306"/>
    <w:rsid w:val="007B694A"/>
    <w:rsid w:val="007B741E"/>
    <w:rsid w:val="007C0596"/>
    <w:rsid w:val="007C1538"/>
    <w:rsid w:val="007C1AD6"/>
    <w:rsid w:val="007C2200"/>
    <w:rsid w:val="007C2DEC"/>
    <w:rsid w:val="007C356F"/>
    <w:rsid w:val="007C47C2"/>
    <w:rsid w:val="007C65F7"/>
    <w:rsid w:val="007C73C3"/>
    <w:rsid w:val="007D05E1"/>
    <w:rsid w:val="007D2221"/>
    <w:rsid w:val="007D2325"/>
    <w:rsid w:val="007D311D"/>
    <w:rsid w:val="007D3411"/>
    <w:rsid w:val="007D5A67"/>
    <w:rsid w:val="007D5AC3"/>
    <w:rsid w:val="007D5B05"/>
    <w:rsid w:val="007D5F43"/>
    <w:rsid w:val="007E147D"/>
    <w:rsid w:val="007E2E08"/>
    <w:rsid w:val="007E2E56"/>
    <w:rsid w:val="007E351B"/>
    <w:rsid w:val="007E3C32"/>
    <w:rsid w:val="007E468D"/>
    <w:rsid w:val="007E6011"/>
    <w:rsid w:val="007E73EC"/>
    <w:rsid w:val="007F00D9"/>
    <w:rsid w:val="007F060B"/>
    <w:rsid w:val="007F29D8"/>
    <w:rsid w:val="007F3279"/>
    <w:rsid w:val="007F3476"/>
    <w:rsid w:val="007F380D"/>
    <w:rsid w:val="007F3A88"/>
    <w:rsid w:val="007F4CD7"/>
    <w:rsid w:val="007F555C"/>
    <w:rsid w:val="007F5678"/>
    <w:rsid w:val="007F58E6"/>
    <w:rsid w:val="007F6E61"/>
    <w:rsid w:val="008006DA"/>
    <w:rsid w:val="00800C80"/>
    <w:rsid w:val="00800F36"/>
    <w:rsid w:val="008024CD"/>
    <w:rsid w:val="0080251D"/>
    <w:rsid w:val="00804895"/>
    <w:rsid w:val="00804ACC"/>
    <w:rsid w:val="00807063"/>
    <w:rsid w:val="008070A6"/>
    <w:rsid w:val="008071CE"/>
    <w:rsid w:val="0080732A"/>
    <w:rsid w:val="00810680"/>
    <w:rsid w:val="00811AEB"/>
    <w:rsid w:val="0081255E"/>
    <w:rsid w:val="00813FB1"/>
    <w:rsid w:val="00815E0C"/>
    <w:rsid w:val="00815F37"/>
    <w:rsid w:val="0081776F"/>
    <w:rsid w:val="00817867"/>
    <w:rsid w:val="00817D2F"/>
    <w:rsid w:val="00821159"/>
    <w:rsid w:val="00821749"/>
    <w:rsid w:val="00821DD0"/>
    <w:rsid w:val="00822EAA"/>
    <w:rsid w:val="00823567"/>
    <w:rsid w:val="00825435"/>
    <w:rsid w:val="00825E83"/>
    <w:rsid w:val="00826A28"/>
    <w:rsid w:val="00826EF0"/>
    <w:rsid w:val="00827475"/>
    <w:rsid w:val="0082793E"/>
    <w:rsid w:val="00830A93"/>
    <w:rsid w:val="008322DB"/>
    <w:rsid w:val="00832DE9"/>
    <w:rsid w:val="00833803"/>
    <w:rsid w:val="00833C3C"/>
    <w:rsid w:val="0083498B"/>
    <w:rsid w:val="00835A41"/>
    <w:rsid w:val="00835ECF"/>
    <w:rsid w:val="00836089"/>
    <w:rsid w:val="00836595"/>
    <w:rsid w:val="0083769F"/>
    <w:rsid w:val="00837A4D"/>
    <w:rsid w:val="00837C66"/>
    <w:rsid w:val="00837CCD"/>
    <w:rsid w:val="00837FEA"/>
    <w:rsid w:val="00842E4B"/>
    <w:rsid w:val="00843207"/>
    <w:rsid w:val="00843857"/>
    <w:rsid w:val="00844310"/>
    <w:rsid w:val="008447D1"/>
    <w:rsid w:val="00847401"/>
    <w:rsid w:val="008479ED"/>
    <w:rsid w:val="00847B33"/>
    <w:rsid w:val="00847DD3"/>
    <w:rsid w:val="00850046"/>
    <w:rsid w:val="00850090"/>
    <w:rsid w:val="008511B4"/>
    <w:rsid w:val="008511E8"/>
    <w:rsid w:val="00851317"/>
    <w:rsid w:val="00851445"/>
    <w:rsid w:val="00852FE3"/>
    <w:rsid w:val="0085337E"/>
    <w:rsid w:val="0085341F"/>
    <w:rsid w:val="0085373B"/>
    <w:rsid w:val="00853E2A"/>
    <w:rsid w:val="00854D8E"/>
    <w:rsid w:val="0085556E"/>
    <w:rsid w:val="008557EA"/>
    <w:rsid w:val="0085598B"/>
    <w:rsid w:val="0085626E"/>
    <w:rsid w:val="00856462"/>
    <w:rsid w:val="008564FC"/>
    <w:rsid w:val="008576F3"/>
    <w:rsid w:val="00860C16"/>
    <w:rsid w:val="008616C8"/>
    <w:rsid w:val="00861789"/>
    <w:rsid w:val="008623F4"/>
    <w:rsid w:val="00862EB4"/>
    <w:rsid w:val="00863174"/>
    <w:rsid w:val="00863210"/>
    <w:rsid w:val="0086350D"/>
    <w:rsid w:val="00865145"/>
    <w:rsid w:val="00865511"/>
    <w:rsid w:val="00865E41"/>
    <w:rsid w:val="00866AC7"/>
    <w:rsid w:val="0086738D"/>
    <w:rsid w:val="008705A9"/>
    <w:rsid w:val="00870A6F"/>
    <w:rsid w:val="00871203"/>
    <w:rsid w:val="0087124F"/>
    <w:rsid w:val="008717A2"/>
    <w:rsid w:val="008717F7"/>
    <w:rsid w:val="00871F20"/>
    <w:rsid w:val="0087310F"/>
    <w:rsid w:val="00874567"/>
    <w:rsid w:val="008768FE"/>
    <w:rsid w:val="00876E80"/>
    <w:rsid w:val="008771AD"/>
    <w:rsid w:val="00877219"/>
    <w:rsid w:val="00877D20"/>
    <w:rsid w:val="008802E7"/>
    <w:rsid w:val="00881175"/>
    <w:rsid w:val="00881340"/>
    <w:rsid w:val="0088158F"/>
    <w:rsid w:val="0088159C"/>
    <w:rsid w:val="00881995"/>
    <w:rsid w:val="00881B66"/>
    <w:rsid w:val="00881D97"/>
    <w:rsid w:val="00882BB5"/>
    <w:rsid w:val="00882C24"/>
    <w:rsid w:val="00882F6A"/>
    <w:rsid w:val="008831EE"/>
    <w:rsid w:val="00883B9B"/>
    <w:rsid w:val="00883CFF"/>
    <w:rsid w:val="008841CB"/>
    <w:rsid w:val="00884230"/>
    <w:rsid w:val="008844DE"/>
    <w:rsid w:val="008855EB"/>
    <w:rsid w:val="00886EEF"/>
    <w:rsid w:val="00890153"/>
    <w:rsid w:val="00890EA9"/>
    <w:rsid w:val="0089161D"/>
    <w:rsid w:val="008916D0"/>
    <w:rsid w:val="00891E8C"/>
    <w:rsid w:val="008921CB"/>
    <w:rsid w:val="00892351"/>
    <w:rsid w:val="00893174"/>
    <w:rsid w:val="00893F8D"/>
    <w:rsid w:val="0089699F"/>
    <w:rsid w:val="00896E9F"/>
    <w:rsid w:val="008972AF"/>
    <w:rsid w:val="00897EE2"/>
    <w:rsid w:val="008A04EF"/>
    <w:rsid w:val="008A09B7"/>
    <w:rsid w:val="008A1849"/>
    <w:rsid w:val="008A1B79"/>
    <w:rsid w:val="008A1D36"/>
    <w:rsid w:val="008A1E74"/>
    <w:rsid w:val="008A23BB"/>
    <w:rsid w:val="008A30B8"/>
    <w:rsid w:val="008A4836"/>
    <w:rsid w:val="008A65EF"/>
    <w:rsid w:val="008A6712"/>
    <w:rsid w:val="008A7D5A"/>
    <w:rsid w:val="008B1B99"/>
    <w:rsid w:val="008B22B6"/>
    <w:rsid w:val="008B2C6A"/>
    <w:rsid w:val="008B3175"/>
    <w:rsid w:val="008B35C6"/>
    <w:rsid w:val="008B3C09"/>
    <w:rsid w:val="008B43CF"/>
    <w:rsid w:val="008B43F5"/>
    <w:rsid w:val="008B54DC"/>
    <w:rsid w:val="008B55C9"/>
    <w:rsid w:val="008B73E1"/>
    <w:rsid w:val="008B7F4B"/>
    <w:rsid w:val="008C09F3"/>
    <w:rsid w:val="008C1171"/>
    <w:rsid w:val="008C1422"/>
    <w:rsid w:val="008C1EDE"/>
    <w:rsid w:val="008C26DC"/>
    <w:rsid w:val="008C358C"/>
    <w:rsid w:val="008C37DB"/>
    <w:rsid w:val="008C3CB8"/>
    <w:rsid w:val="008C3F04"/>
    <w:rsid w:val="008C426A"/>
    <w:rsid w:val="008C45FB"/>
    <w:rsid w:val="008C4B3C"/>
    <w:rsid w:val="008C532E"/>
    <w:rsid w:val="008C5619"/>
    <w:rsid w:val="008C5CB4"/>
    <w:rsid w:val="008C7881"/>
    <w:rsid w:val="008D0CC8"/>
    <w:rsid w:val="008D1E7B"/>
    <w:rsid w:val="008D22B0"/>
    <w:rsid w:val="008D23F3"/>
    <w:rsid w:val="008D2ACD"/>
    <w:rsid w:val="008D3425"/>
    <w:rsid w:val="008D3A01"/>
    <w:rsid w:val="008D3C61"/>
    <w:rsid w:val="008D5558"/>
    <w:rsid w:val="008D58C5"/>
    <w:rsid w:val="008D5D35"/>
    <w:rsid w:val="008D668C"/>
    <w:rsid w:val="008D7FED"/>
    <w:rsid w:val="008E13B6"/>
    <w:rsid w:val="008E177B"/>
    <w:rsid w:val="008E2975"/>
    <w:rsid w:val="008E30B4"/>
    <w:rsid w:val="008E3236"/>
    <w:rsid w:val="008E4CE6"/>
    <w:rsid w:val="008E7BE2"/>
    <w:rsid w:val="008F061F"/>
    <w:rsid w:val="008F10B4"/>
    <w:rsid w:val="008F1569"/>
    <w:rsid w:val="008F15CB"/>
    <w:rsid w:val="008F169D"/>
    <w:rsid w:val="008F2B29"/>
    <w:rsid w:val="008F2B95"/>
    <w:rsid w:val="008F2E97"/>
    <w:rsid w:val="008F5A01"/>
    <w:rsid w:val="008F5AC1"/>
    <w:rsid w:val="008F629D"/>
    <w:rsid w:val="008F64D1"/>
    <w:rsid w:val="009003F6"/>
    <w:rsid w:val="00900416"/>
    <w:rsid w:val="00901D53"/>
    <w:rsid w:val="00904285"/>
    <w:rsid w:val="0090428D"/>
    <w:rsid w:val="009046CF"/>
    <w:rsid w:val="009078E0"/>
    <w:rsid w:val="00910A55"/>
    <w:rsid w:val="00910B67"/>
    <w:rsid w:val="00911041"/>
    <w:rsid w:val="00911627"/>
    <w:rsid w:val="009124A6"/>
    <w:rsid w:val="009127C1"/>
    <w:rsid w:val="0091326E"/>
    <w:rsid w:val="00913992"/>
    <w:rsid w:val="00914002"/>
    <w:rsid w:val="009150D3"/>
    <w:rsid w:val="00915292"/>
    <w:rsid w:val="00915554"/>
    <w:rsid w:val="00916A8C"/>
    <w:rsid w:val="00917BB6"/>
    <w:rsid w:val="00920063"/>
    <w:rsid w:val="009202A0"/>
    <w:rsid w:val="00921285"/>
    <w:rsid w:val="00923450"/>
    <w:rsid w:val="00923596"/>
    <w:rsid w:val="00923AF6"/>
    <w:rsid w:val="00923C51"/>
    <w:rsid w:val="00924B3C"/>
    <w:rsid w:val="00924FA5"/>
    <w:rsid w:val="0092589B"/>
    <w:rsid w:val="00926CC1"/>
    <w:rsid w:val="00927233"/>
    <w:rsid w:val="00927AC7"/>
    <w:rsid w:val="009317AB"/>
    <w:rsid w:val="00932C71"/>
    <w:rsid w:val="00933019"/>
    <w:rsid w:val="00933FDE"/>
    <w:rsid w:val="0093552D"/>
    <w:rsid w:val="009355A4"/>
    <w:rsid w:val="00935E92"/>
    <w:rsid w:val="00936426"/>
    <w:rsid w:val="00940F50"/>
    <w:rsid w:val="0094125A"/>
    <w:rsid w:val="00942DCC"/>
    <w:rsid w:val="00943039"/>
    <w:rsid w:val="0094317F"/>
    <w:rsid w:val="009433DE"/>
    <w:rsid w:val="009434ED"/>
    <w:rsid w:val="0094525C"/>
    <w:rsid w:val="00947445"/>
    <w:rsid w:val="00947A5A"/>
    <w:rsid w:val="00947E92"/>
    <w:rsid w:val="00951288"/>
    <w:rsid w:val="009516B8"/>
    <w:rsid w:val="009517D9"/>
    <w:rsid w:val="0095185D"/>
    <w:rsid w:val="00952F80"/>
    <w:rsid w:val="0095397A"/>
    <w:rsid w:val="0095424D"/>
    <w:rsid w:val="00960F3B"/>
    <w:rsid w:val="009617D8"/>
    <w:rsid w:val="00962032"/>
    <w:rsid w:val="0096277E"/>
    <w:rsid w:val="009631BE"/>
    <w:rsid w:val="00963DFE"/>
    <w:rsid w:val="00963E5A"/>
    <w:rsid w:val="009647CA"/>
    <w:rsid w:val="00964F19"/>
    <w:rsid w:val="00965910"/>
    <w:rsid w:val="00965FEE"/>
    <w:rsid w:val="00966D7F"/>
    <w:rsid w:val="0096731E"/>
    <w:rsid w:val="00970BC1"/>
    <w:rsid w:val="00971520"/>
    <w:rsid w:val="0097166E"/>
    <w:rsid w:val="00971AF2"/>
    <w:rsid w:val="00973B99"/>
    <w:rsid w:val="00973F6A"/>
    <w:rsid w:val="009745D3"/>
    <w:rsid w:val="009758E4"/>
    <w:rsid w:val="00976F53"/>
    <w:rsid w:val="0097770D"/>
    <w:rsid w:val="00981936"/>
    <w:rsid w:val="00981DCF"/>
    <w:rsid w:val="009835D7"/>
    <w:rsid w:val="0098384F"/>
    <w:rsid w:val="00984488"/>
    <w:rsid w:val="009845ED"/>
    <w:rsid w:val="00984AD9"/>
    <w:rsid w:val="0098603D"/>
    <w:rsid w:val="00987118"/>
    <w:rsid w:val="00990489"/>
    <w:rsid w:val="009907D5"/>
    <w:rsid w:val="009907D6"/>
    <w:rsid w:val="00992A20"/>
    <w:rsid w:val="00993010"/>
    <w:rsid w:val="00993147"/>
    <w:rsid w:val="00993635"/>
    <w:rsid w:val="00994092"/>
    <w:rsid w:val="0099525A"/>
    <w:rsid w:val="00995C0E"/>
    <w:rsid w:val="00995F17"/>
    <w:rsid w:val="0099656D"/>
    <w:rsid w:val="009966CF"/>
    <w:rsid w:val="00996F33"/>
    <w:rsid w:val="009974AC"/>
    <w:rsid w:val="00997BFA"/>
    <w:rsid w:val="009A05A5"/>
    <w:rsid w:val="009A26F0"/>
    <w:rsid w:val="009A297F"/>
    <w:rsid w:val="009A38DA"/>
    <w:rsid w:val="009A3F98"/>
    <w:rsid w:val="009A417A"/>
    <w:rsid w:val="009A5E24"/>
    <w:rsid w:val="009B02DD"/>
    <w:rsid w:val="009B05A8"/>
    <w:rsid w:val="009B16A9"/>
    <w:rsid w:val="009B1FC8"/>
    <w:rsid w:val="009B39BE"/>
    <w:rsid w:val="009B3B56"/>
    <w:rsid w:val="009B43E6"/>
    <w:rsid w:val="009B4E5D"/>
    <w:rsid w:val="009B58CC"/>
    <w:rsid w:val="009B6DA3"/>
    <w:rsid w:val="009B72C5"/>
    <w:rsid w:val="009B75CA"/>
    <w:rsid w:val="009C225C"/>
    <w:rsid w:val="009C243F"/>
    <w:rsid w:val="009C392E"/>
    <w:rsid w:val="009C3AF4"/>
    <w:rsid w:val="009C4BC9"/>
    <w:rsid w:val="009C6681"/>
    <w:rsid w:val="009C6A97"/>
    <w:rsid w:val="009C73FA"/>
    <w:rsid w:val="009D0FE1"/>
    <w:rsid w:val="009D213F"/>
    <w:rsid w:val="009D27F2"/>
    <w:rsid w:val="009D2DAF"/>
    <w:rsid w:val="009D2E79"/>
    <w:rsid w:val="009D3729"/>
    <w:rsid w:val="009D3741"/>
    <w:rsid w:val="009D4A4A"/>
    <w:rsid w:val="009D5197"/>
    <w:rsid w:val="009D6942"/>
    <w:rsid w:val="009D77CC"/>
    <w:rsid w:val="009D7B90"/>
    <w:rsid w:val="009E0B61"/>
    <w:rsid w:val="009E0F75"/>
    <w:rsid w:val="009E1802"/>
    <w:rsid w:val="009E367A"/>
    <w:rsid w:val="009E5C45"/>
    <w:rsid w:val="009E6008"/>
    <w:rsid w:val="009E6C20"/>
    <w:rsid w:val="009E7360"/>
    <w:rsid w:val="009F0C11"/>
    <w:rsid w:val="009F13BB"/>
    <w:rsid w:val="009F13D7"/>
    <w:rsid w:val="009F2197"/>
    <w:rsid w:val="009F247F"/>
    <w:rsid w:val="009F380F"/>
    <w:rsid w:val="009F3D7C"/>
    <w:rsid w:val="009F677D"/>
    <w:rsid w:val="009F6F2F"/>
    <w:rsid w:val="009F733D"/>
    <w:rsid w:val="00A008CD"/>
    <w:rsid w:val="00A00B31"/>
    <w:rsid w:val="00A02E23"/>
    <w:rsid w:val="00A0316C"/>
    <w:rsid w:val="00A03FC5"/>
    <w:rsid w:val="00A04171"/>
    <w:rsid w:val="00A04EB3"/>
    <w:rsid w:val="00A053F1"/>
    <w:rsid w:val="00A055E4"/>
    <w:rsid w:val="00A05F88"/>
    <w:rsid w:val="00A06ADB"/>
    <w:rsid w:val="00A06B9E"/>
    <w:rsid w:val="00A06C1C"/>
    <w:rsid w:val="00A10035"/>
    <w:rsid w:val="00A1057F"/>
    <w:rsid w:val="00A120AF"/>
    <w:rsid w:val="00A134A8"/>
    <w:rsid w:val="00A150E4"/>
    <w:rsid w:val="00A161D5"/>
    <w:rsid w:val="00A17F20"/>
    <w:rsid w:val="00A202B4"/>
    <w:rsid w:val="00A209B1"/>
    <w:rsid w:val="00A21B06"/>
    <w:rsid w:val="00A21CD3"/>
    <w:rsid w:val="00A22F9A"/>
    <w:rsid w:val="00A23A5F"/>
    <w:rsid w:val="00A24EEC"/>
    <w:rsid w:val="00A2655B"/>
    <w:rsid w:val="00A26CD0"/>
    <w:rsid w:val="00A27D48"/>
    <w:rsid w:val="00A3179C"/>
    <w:rsid w:val="00A31F08"/>
    <w:rsid w:val="00A327C9"/>
    <w:rsid w:val="00A33B8C"/>
    <w:rsid w:val="00A33CCF"/>
    <w:rsid w:val="00A34AE8"/>
    <w:rsid w:val="00A34B64"/>
    <w:rsid w:val="00A34F45"/>
    <w:rsid w:val="00A40383"/>
    <w:rsid w:val="00A40AA4"/>
    <w:rsid w:val="00A40D5B"/>
    <w:rsid w:val="00A41804"/>
    <w:rsid w:val="00A41A68"/>
    <w:rsid w:val="00A41BC8"/>
    <w:rsid w:val="00A41E1D"/>
    <w:rsid w:val="00A41EB3"/>
    <w:rsid w:val="00A4427F"/>
    <w:rsid w:val="00A44D94"/>
    <w:rsid w:val="00A45047"/>
    <w:rsid w:val="00A455EA"/>
    <w:rsid w:val="00A45DC0"/>
    <w:rsid w:val="00A4659E"/>
    <w:rsid w:val="00A47790"/>
    <w:rsid w:val="00A47CC0"/>
    <w:rsid w:val="00A50095"/>
    <w:rsid w:val="00A50249"/>
    <w:rsid w:val="00A53380"/>
    <w:rsid w:val="00A5414F"/>
    <w:rsid w:val="00A54CA9"/>
    <w:rsid w:val="00A55BEB"/>
    <w:rsid w:val="00A57D33"/>
    <w:rsid w:val="00A6080D"/>
    <w:rsid w:val="00A61AAA"/>
    <w:rsid w:val="00A61FB3"/>
    <w:rsid w:val="00A621E4"/>
    <w:rsid w:val="00A62A27"/>
    <w:rsid w:val="00A62ADD"/>
    <w:rsid w:val="00A630A2"/>
    <w:rsid w:val="00A63DDA"/>
    <w:rsid w:val="00A64864"/>
    <w:rsid w:val="00A6522F"/>
    <w:rsid w:val="00A65865"/>
    <w:rsid w:val="00A659AB"/>
    <w:rsid w:val="00A66F1E"/>
    <w:rsid w:val="00A676D1"/>
    <w:rsid w:val="00A67EB9"/>
    <w:rsid w:val="00A72A3D"/>
    <w:rsid w:val="00A73DF5"/>
    <w:rsid w:val="00A74C62"/>
    <w:rsid w:val="00A74CA3"/>
    <w:rsid w:val="00A74CB0"/>
    <w:rsid w:val="00A75609"/>
    <w:rsid w:val="00A771B4"/>
    <w:rsid w:val="00A779CF"/>
    <w:rsid w:val="00A77F57"/>
    <w:rsid w:val="00A8184B"/>
    <w:rsid w:val="00A821E0"/>
    <w:rsid w:val="00A82D85"/>
    <w:rsid w:val="00A82FD7"/>
    <w:rsid w:val="00A8461D"/>
    <w:rsid w:val="00A850AA"/>
    <w:rsid w:val="00A850E1"/>
    <w:rsid w:val="00A853C6"/>
    <w:rsid w:val="00A85692"/>
    <w:rsid w:val="00A8653C"/>
    <w:rsid w:val="00A87DF9"/>
    <w:rsid w:val="00A9061A"/>
    <w:rsid w:val="00A90F08"/>
    <w:rsid w:val="00A92021"/>
    <w:rsid w:val="00A931FF"/>
    <w:rsid w:val="00A93713"/>
    <w:rsid w:val="00A94027"/>
    <w:rsid w:val="00A9448E"/>
    <w:rsid w:val="00A94A36"/>
    <w:rsid w:val="00A96BB7"/>
    <w:rsid w:val="00A97140"/>
    <w:rsid w:val="00A97750"/>
    <w:rsid w:val="00AA06F9"/>
    <w:rsid w:val="00AA0A9D"/>
    <w:rsid w:val="00AA1DA0"/>
    <w:rsid w:val="00AA2892"/>
    <w:rsid w:val="00AA2E25"/>
    <w:rsid w:val="00AA35C1"/>
    <w:rsid w:val="00AA36F3"/>
    <w:rsid w:val="00AA3BF1"/>
    <w:rsid w:val="00AA3F9E"/>
    <w:rsid w:val="00AA3FAA"/>
    <w:rsid w:val="00AA40B9"/>
    <w:rsid w:val="00AA5A75"/>
    <w:rsid w:val="00AA6062"/>
    <w:rsid w:val="00AA629A"/>
    <w:rsid w:val="00AA6DE4"/>
    <w:rsid w:val="00AA724A"/>
    <w:rsid w:val="00AB1BCF"/>
    <w:rsid w:val="00AB1EA0"/>
    <w:rsid w:val="00AB23EC"/>
    <w:rsid w:val="00AB2F66"/>
    <w:rsid w:val="00AB367F"/>
    <w:rsid w:val="00AB3D71"/>
    <w:rsid w:val="00AB40BB"/>
    <w:rsid w:val="00AB461C"/>
    <w:rsid w:val="00AB5ED5"/>
    <w:rsid w:val="00AB62DA"/>
    <w:rsid w:val="00AB6636"/>
    <w:rsid w:val="00AB7D05"/>
    <w:rsid w:val="00AB7E34"/>
    <w:rsid w:val="00AC022D"/>
    <w:rsid w:val="00AC257A"/>
    <w:rsid w:val="00AC2D35"/>
    <w:rsid w:val="00AC2E78"/>
    <w:rsid w:val="00AC2EAB"/>
    <w:rsid w:val="00AC32E0"/>
    <w:rsid w:val="00AC3D28"/>
    <w:rsid w:val="00AC3D2F"/>
    <w:rsid w:val="00AC55C7"/>
    <w:rsid w:val="00AC57F4"/>
    <w:rsid w:val="00AC5D68"/>
    <w:rsid w:val="00AC6617"/>
    <w:rsid w:val="00AC6676"/>
    <w:rsid w:val="00AC779B"/>
    <w:rsid w:val="00AD018C"/>
    <w:rsid w:val="00AD0326"/>
    <w:rsid w:val="00AD0C26"/>
    <w:rsid w:val="00AD206E"/>
    <w:rsid w:val="00AD329F"/>
    <w:rsid w:val="00AD414C"/>
    <w:rsid w:val="00AD6BA2"/>
    <w:rsid w:val="00AD6DB7"/>
    <w:rsid w:val="00AD7ACD"/>
    <w:rsid w:val="00AD7B66"/>
    <w:rsid w:val="00AE114F"/>
    <w:rsid w:val="00AE1D3C"/>
    <w:rsid w:val="00AE2612"/>
    <w:rsid w:val="00AE32EA"/>
    <w:rsid w:val="00AE5E47"/>
    <w:rsid w:val="00AE68CB"/>
    <w:rsid w:val="00AE72BB"/>
    <w:rsid w:val="00AE73F6"/>
    <w:rsid w:val="00AF1E38"/>
    <w:rsid w:val="00AF2799"/>
    <w:rsid w:val="00AF2BA0"/>
    <w:rsid w:val="00AF2BDC"/>
    <w:rsid w:val="00AF3D15"/>
    <w:rsid w:val="00AF3D61"/>
    <w:rsid w:val="00AF4067"/>
    <w:rsid w:val="00AF4212"/>
    <w:rsid w:val="00AF4372"/>
    <w:rsid w:val="00AF4AB2"/>
    <w:rsid w:val="00AF534D"/>
    <w:rsid w:val="00AF60B4"/>
    <w:rsid w:val="00AF69A3"/>
    <w:rsid w:val="00B02731"/>
    <w:rsid w:val="00B04348"/>
    <w:rsid w:val="00B04486"/>
    <w:rsid w:val="00B04DA7"/>
    <w:rsid w:val="00B06CF8"/>
    <w:rsid w:val="00B07A95"/>
    <w:rsid w:val="00B10358"/>
    <w:rsid w:val="00B11136"/>
    <w:rsid w:val="00B11FFF"/>
    <w:rsid w:val="00B1383B"/>
    <w:rsid w:val="00B143DA"/>
    <w:rsid w:val="00B14BB1"/>
    <w:rsid w:val="00B15396"/>
    <w:rsid w:val="00B15960"/>
    <w:rsid w:val="00B17AF3"/>
    <w:rsid w:val="00B2029F"/>
    <w:rsid w:val="00B2034E"/>
    <w:rsid w:val="00B210F5"/>
    <w:rsid w:val="00B21D81"/>
    <w:rsid w:val="00B227D9"/>
    <w:rsid w:val="00B22811"/>
    <w:rsid w:val="00B23F50"/>
    <w:rsid w:val="00B24B16"/>
    <w:rsid w:val="00B24D9D"/>
    <w:rsid w:val="00B25380"/>
    <w:rsid w:val="00B25616"/>
    <w:rsid w:val="00B25C81"/>
    <w:rsid w:val="00B266D5"/>
    <w:rsid w:val="00B26899"/>
    <w:rsid w:val="00B27250"/>
    <w:rsid w:val="00B30A7F"/>
    <w:rsid w:val="00B31525"/>
    <w:rsid w:val="00B322A8"/>
    <w:rsid w:val="00B32A89"/>
    <w:rsid w:val="00B346A6"/>
    <w:rsid w:val="00B34D4C"/>
    <w:rsid w:val="00B3501D"/>
    <w:rsid w:val="00B35795"/>
    <w:rsid w:val="00B35E95"/>
    <w:rsid w:val="00B363B1"/>
    <w:rsid w:val="00B36507"/>
    <w:rsid w:val="00B3672E"/>
    <w:rsid w:val="00B36FBE"/>
    <w:rsid w:val="00B370A1"/>
    <w:rsid w:val="00B414A3"/>
    <w:rsid w:val="00B43B35"/>
    <w:rsid w:val="00B43DDD"/>
    <w:rsid w:val="00B4462A"/>
    <w:rsid w:val="00B446D0"/>
    <w:rsid w:val="00B452A4"/>
    <w:rsid w:val="00B456FB"/>
    <w:rsid w:val="00B45C24"/>
    <w:rsid w:val="00B464C2"/>
    <w:rsid w:val="00B4724F"/>
    <w:rsid w:val="00B47A63"/>
    <w:rsid w:val="00B50E95"/>
    <w:rsid w:val="00B51BE5"/>
    <w:rsid w:val="00B52473"/>
    <w:rsid w:val="00B529BD"/>
    <w:rsid w:val="00B52D9E"/>
    <w:rsid w:val="00B53F9B"/>
    <w:rsid w:val="00B55006"/>
    <w:rsid w:val="00B560E8"/>
    <w:rsid w:val="00B56EB1"/>
    <w:rsid w:val="00B57118"/>
    <w:rsid w:val="00B5788D"/>
    <w:rsid w:val="00B57C84"/>
    <w:rsid w:val="00B57F81"/>
    <w:rsid w:val="00B60319"/>
    <w:rsid w:val="00B6216E"/>
    <w:rsid w:val="00B62654"/>
    <w:rsid w:val="00B63447"/>
    <w:rsid w:val="00B64D81"/>
    <w:rsid w:val="00B64EB3"/>
    <w:rsid w:val="00B65645"/>
    <w:rsid w:val="00B659C4"/>
    <w:rsid w:val="00B65D03"/>
    <w:rsid w:val="00B6639A"/>
    <w:rsid w:val="00B66840"/>
    <w:rsid w:val="00B67F34"/>
    <w:rsid w:val="00B67F5E"/>
    <w:rsid w:val="00B67FA8"/>
    <w:rsid w:val="00B70D91"/>
    <w:rsid w:val="00B70FFB"/>
    <w:rsid w:val="00B724CD"/>
    <w:rsid w:val="00B7258B"/>
    <w:rsid w:val="00B72A9F"/>
    <w:rsid w:val="00B73D31"/>
    <w:rsid w:val="00B74410"/>
    <w:rsid w:val="00B75EBF"/>
    <w:rsid w:val="00B77F13"/>
    <w:rsid w:val="00B80E32"/>
    <w:rsid w:val="00B80ED7"/>
    <w:rsid w:val="00B816C4"/>
    <w:rsid w:val="00B82629"/>
    <w:rsid w:val="00B83E2A"/>
    <w:rsid w:val="00B8438D"/>
    <w:rsid w:val="00B843D2"/>
    <w:rsid w:val="00B84742"/>
    <w:rsid w:val="00B848D6"/>
    <w:rsid w:val="00B84C52"/>
    <w:rsid w:val="00B86AF9"/>
    <w:rsid w:val="00B917D2"/>
    <w:rsid w:val="00B91A3D"/>
    <w:rsid w:val="00B91CF6"/>
    <w:rsid w:val="00B92476"/>
    <w:rsid w:val="00B9275C"/>
    <w:rsid w:val="00B95FAC"/>
    <w:rsid w:val="00B97074"/>
    <w:rsid w:val="00B97E38"/>
    <w:rsid w:val="00B97FEA"/>
    <w:rsid w:val="00BA0536"/>
    <w:rsid w:val="00BA0995"/>
    <w:rsid w:val="00BA0A76"/>
    <w:rsid w:val="00BA0B26"/>
    <w:rsid w:val="00BA17CA"/>
    <w:rsid w:val="00BA1FE4"/>
    <w:rsid w:val="00BA2398"/>
    <w:rsid w:val="00BA24CC"/>
    <w:rsid w:val="00BA287F"/>
    <w:rsid w:val="00BA2944"/>
    <w:rsid w:val="00BA2D1E"/>
    <w:rsid w:val="00BA2EA0"/>
    <w:rsid w:val="00BA38E7"/>
    <w:rsid w:val="00BA394E"/>
    <w:rsid w:val="00BA524C"/>
    <w:rsid w:val="00BA5651"/>
    <w:rsid w:val="00BA6FAC"/>
    <w:rsid w:val="00BA792E"/>
    <w:rsid w:val="00BB115C"/>
    <w:rsid w:val="00BB1176"/>
    <w:rsid w:val="00BB1905"/>
    <w:rsid w:val="00BB214E"/>
    <w:rsid w:val="00BB22AD"/>
    <w:rsid w:val="00BB254D"/>
    <w:rsid w:val="00BB2783"/>
    <w:rsid w:val="00BB2F84"/>
    <w:rsid w:val="00BB40FC"/>
    <w:rsid w:val="00BB429F"/>
    <w:rsid w:val="00BB4879"/>
    <w:rsid w:val="00BB4E1C"/>
    <w:rsid w:val="00BB50B9"/>
    <w:rsid w:val="00BB698D"/>
    <w:rsid w:val="00BC1B05"/>
    <w:rsid w:val="00BC2885"/>
    <w:rsid w:val="00BC3672"/>
    <w:rsid w:val="00BC36AE"/>
    <w:rsid w:val="00BC55CA"/>
    <w:rsid w:val="00BC55E9"/>
    <w:rsid w:val="00BC6B9A"/>
    <w:rsid w:val="00BC6DBB"/>
    <w:rsid w:val="00BC7037"/>
    <w:rsid w:val="00BC78C8"/>
    <w:rsid w:val="00BD0017"/>
    <w:rsid w:val="00BD1242"/>
    <w:rsid w:val="00BD12FA"/>
    <w:rsid w:val="00BD1E76"/>
    <w:rsid w:val="00BD28A9"/>
    <w:rsid w:val="00BD403E"/>
    <w:rsid w:val="00BD605A"/>
    <w:rsid w:val="00BD663C"/>
    <w:rsid w:val="00BD743B"/>
    <w:rsid w:val="00BE0218"/>
    <w:rsid w:val="00BE0D2D"/>
    <w:rsid w:val="00BE2497"/>
    <w:rsid w:val="00BE30E7"/>
    <w:rsid w:val="00BE4812"/>
    <w:rsid w:val="00BE4D73"/>
    <w:rsid w:val="00BE5942"/>
    <w:rsid w:val="00BE59BF"/>
    <w:rsid w:val="00BE734E"/>
    <w:rsid w:val="00BE7695"/>
    <w:rsid w:val="00BE79AF"/>
    <w:rsid w:val="00BF02CD"/>
    <w:rsid w:val="00BF08FA"/>
    <w:rsid w:val="00BF1D12"/>
    <w:rsid w:val="00BF36DC"/>
    <w:rsid w:val="00BF4EF4"/>
    <w:rsid w:val="00BF4FD6"/>
    <w:rsid w:val="00BF6A0C"/>
    <w:rsid w:val="00C00481"/>
    <w:rsid w:val="00C006AE"/>
    <w:rsid w:val="00C006DB"/>
    <w:rsid w:val="00C00A4A"/>
    <w:rsid w:val="00C014DD"/>
    <w:rsid w:val="00C02D0F"/>
    <w:rsid w:val="00C036A7"/>
    <w:rsid w:val="00C04F8A"/>
    <w:rsid w:val="00C050EA"/>
    <w:rsid w:val="00C06891"/>
    <w:rsid w:val="00C06A6B"/>
    <w:rsid w:val="00C06E51"/>
    <w:rsid w:val="00C079F8"/>
    <w:rsid w:val="00C12BD8"/>
    <w:rsid w:val="00C1397A"/>
    <w:rsid w:val="00C140ED"/>
    <w:rsid w:val="00C14354"/>
    <w:rsid w:val="00C1681F"/>
    <w:rsid w:val="00C16A5D"/>
    <w:rsid w:val="00C208AF"/>
    <w:rsid w:val="00C209B6"/>
    <w:rsid w:val="00C20D4C"/>
    <w:rsid w:val="00C2220F"/>
    <w:rsid w:val="00C2236D"/>
    <w:rsid w:val="00C22AD3"/>
    <w:rsid w:val="00C22DDB"/>
    <w:rsid w:val="00C23CC3"/>
    <w:rsid w:val="00C23FFA"/>
    <w:rsid w:val="00C240AF"/>
    <w:rsid w:val="00C2423E"/>
    <w:rsid w:val="00C2472F"/>
    <w:rsid w:val="00C24D24"/>
    <w:rsid w:val="00C24DCE"/>
    <w:rsid w:val="00C2613B"/>
    <w:rsid w:val="00C262DA"/>
    <w:rsid w:val="00C27134"/>
    <w:rsid w:val="00C279C9"/>
    <w:rsid w:val="00C27DF3"/>
    <w:rsid w:val="00C308C4"/>
    <w:rsid w:val="00C30A1B"/>
    <w:rsid w:val="00C3122A"/>
    <w:rsid w:val="00C31247"/>
    <w:rsid w:val="00C317F9"/>
    <w:rsid w:val="00C329F9"/>
    <w:rsid w:val="00C3376A"/>
    <w:rsid w:val="00C33B29"/>
    <w:rsid w:val="00C34C28"/>
    <w:rsid w:val="00C3663E"/>
    <w:rsid w:val="00C369E2"/>
    <w:rsid w:val="00C379D8"/>
    <w:rsid w:val="00C40ABD"/>
    <w:rsid w:val="00C43037"/>
    <w:rsid w:val="00C434E5"/>
    <w:rsid w:val="00C439DE"/>
    <w:rsid w:val="00C4412C"/>
    <w:rsid w:val="00C4468F"/>
    <w:rsid w:val="00C45AF9"/>
    <w:rsid w:val="00C461B1"/>
    <w:rsid w:val="00C46CF1"/>
    <w:rsid w:val="00C50B77"/>
    <w:rsid w:val="00C51359"/>
    <w:rsid w:val="00C51929"/>
    <w:rsid w:val="00C52BE0"/>
    <w:rsid w:val="00C534B5"/>
    <w:rsid w:val="00C5371D"/>
    <w:rsid w:val="00C54232"/>
    <w:rsid w:val="00C54A09"/>
    <w:rsid w:val="00C55693"/>
    <w:rsid w:val="00C55A15"/>
    <w:rsid w:val="00C560BD"/>
    <w:rsid w:val="00C56E83"/>
    <w:rsid w:val="00C56EBC"/>
    <w:rsid w:val="00C600E8"/>
    <w:rsid w:val="00C60930"/>
    <w:rsid w:val="00C60F99"/>
    <w:rsid w:val="00C6122D"/>
    <w:rsid w:val="00C61C83"/>
    <w:rsid w:val="00C63340"/>
    <w:rsid w:val="00C64D94"/>
    <w:rsid w:val="00C65919"/>
    <w:rsid w:val="00C662E9"/>
    <w:rsid w:val="00C66C7E"/>
    <w:rsid w:val="00C66F4A"/>
    <w:rsid w:val="00C672CC"/>
    <w:rsid w:val="00C67BCC"/>
    <w:rsid w:val="00C67CF8"/>
    <w:rsid w:val="00C70994"/>
    <w:rsid w:val="00C71F99"/>
    <w:rsid w:val="00C722AE"/>
    <w:rsid w:val="00C72D31"/>
    <w:rsid w:val="00C74989"/>
    <w:rsid w:val="00C75CDB"/>
    <w:rsid w:val="00C761EC"/>
    <w:rsid w:val="00C76437"/>
    <w:rsid w:val="00C765B1"/>
    <w:rsid w:val="00C7662D"/>
    <w:rsid w:val="00C77740"/>
    <w:rsid w:val="00C80758"/>
    <w:rsid w:val="00C810F1"/>
    <w:rsid w:val="00C81F24"/>
    <w:rsid w:val="00C8271C"/>
    <w:rsid w:val="00C82DA7"/>
    <w:rsid w:val="00C830A6"/>
    <w:rsid w:val="00C83785"/>
    <w:rsid w:val="00C83929"/>
    <w:rsid w:val="00C8612C"/>
    <w:rsid w:val="00C8689E"/>
    <w:rsid w:val="00C86FB8"/>
    <w:rsid w:val="00C9033F"/>
    <w:rsid w:val="00C913F8"/>
    <w:rsid w:val="00C93746"/>
    <w:rsid w:val="00C93A2F"/>
    <w:rsid w:val="00C94741"/>
    <w:rsid w:val="00C957A2"/>
    <w:rsid w:val="00C95DFD"/>
    <w:rsid w:val="00C96505"/>
    <w:rsid w:val="00C96C5B"/>
    <w:rsid w:val="00C96D62"/>
    <w:rsid w:val="00C96EE3"/>
    <w:rsid w:val="00C96F24"/>
    <w:rsid w:val="00C977D6"/>
    <w:rsid w:val="00C97DF8"/>
    <w:rsid w:val="00CA0115"/>
    <w:rsid w:val="00CA0760"/>
    <w:rsid w:val="00CA21E8"/>
    <w:rsid w:val="00CA24EB"/>
    <w:rsid w:val="00CA2D83"/>
    <w:rsid w:val="00CA2EAC"/>
    <w:rsid w:val="00CA378B"/>
    <w:rsid w:val="00CA4143"/>
    <w:rsid w:val="00CA444D"/>
    <w:rsid w:val="00CA4AF7"/>
    <w:rsid w:val="00CA4E46"/>
    <w:rsid w:val="00CA60FB"/>
    <w:rsid w:val="00CA615A"/>
    <w:rsid w:val="00CA6324"/>
    <w:rsid w:val="00CA680A"/>
    <w:rsid w:val="00CA79D5"/>
    <w:rsid w:val="00CB00E4"/>
    <w:rsid w:val="00CB12EB"/>
    <w:rsid w:val="00CB3EC2"/>
    <w:rsid w:val="00CB428A"/>
    <w:rsid w:val="00CB42F6"/>
    <w:rsid w:val="00CB4D9A"/>
    <w:rsid w:val="00CB5609"/>
    <w:rsid w:val="00CB5FD4"/>
    <w:rsid w:val="00CB62B0"/>
    <w:rsid w:val="00CB658F"/>
    <w:rsid w:val="00CB7768"/>
    <w:rsid w:val="00CB778D"/>
    <w:rsid w:val="00CC09DC"/>
    <w:rsid w:val="00CC21F6"/>
    <w:rsid w:val="00CC38F3"/>
    <w:rsid w:val="00CC3B34"/>
    <w:rsid w:val="00CC4412"/>
    <w:rsid w:val="00CC57F6"/>
    <w:rsid w:val="00CC5945"/>
    <w:rsid w:val="00CD1535"/>
    <w:rsid w:val="00CD16C9"/>
    <w:rsid w:val="00CD3A5D"/>
    <w:rsid w:val="00CD3F1E"/>
    <w:rsid w:val="00CD4FA3"/>
    <w:rsid w:val="00CD544E"/>
    <w:rsid w:val="00CD5985"/>
    <w:rsid w:val="00CD5BAE"/>
    <w:rsid w:val="00CD6964"/>
    <w:rsid w:val="00CD77B1"/>
    <w:rsid w:val="00CD793F"/>
    <w:rsid w:val="00CE01CB"/>
    <w:rsid w:val="00CE0419"/>
    <w:rsid w:val="00CE0A32"/>
    <w:rsid w:val="00CE0CED"/>
    <w:rsid w:val="00CE10D7"/>
    <w:rsid w:val="00CE2992"/>
    <w:rsid w:val="00CE3B70"/>
    <w:rsid w:val="00CE3E66"/>
    <w:rsid w:val="00CE45A5"/>
    <w:rsid w:val="00CE461E"/>
    <w:rsid w:val="00CE55E3"/>
    <w:rsid w:val="00CE5709"/>
    <w:rsid w:val="00CE5BEF"/>
    <w:rsid w:val="00CE625D"/>
    <w:rsid w:val="00CE7C9F"/>
    <w:rsid w:val="00CF0762"/>
    <w:rsid w:val="00CF0814"/>
    <w:rsid w:val="00CF0AE9"/>
    <w:rsid w:val="00CF0F5D"/>
    <w:rsid w:val="00CF18E1"/>
    <w:rsid w:val="00CF2557"/>
    <w:rsid w:val="00CF3CD3"/>
    <w:rsid w:val="00CF70ED"/>
    <w:rsid w:val="00D01877"/>
    <w:rsid w:val="00D01916"/>
    <w:rsid w:val="00D01C2E"/>
    <w:rsid w:val="00D01C72"/>
    <w:rsid w:val="00D040A8"/>
    <w:rsid w:val="00D04880"/>
    <w:rsid w:val="00D04E15"/>
    <w:rsid w:val="00D04EC7"/>
    <w:rsid w:val="00D05461"/>
    <w:rsid w:val="00D05D34"/>
    <w:rsid w:val="00D06BF2"/>
    <w:rsid w:val="00D10113"/>
    <w:rsid w:val="00D10CEA"/>
    <w:rsid w:val="00D13188"/>
    <w:rsid w:val="00D13300"/>
    <w:rsid w:val="00D13326"/>
    <w:rsid w:val="00D13977"/>
    <w:rsid w:val="00D140D1"/>
    <w:rsid w:val="00D1446D"/>
    <w:rsid w:val="00D15FF3"/>
    <w:rsid w:val="00D16472"/>
    <w:rsid w:val="00D175AF"/>
    <w:rsid w:val="00D20E39"/>
    <w:rsid w:val="00D218E3"/>
    <w:rsid w:val="00D21B8F"/>
    <w:rsid w:val="00D22C59"/>
    <w:rsid w:val="00D22FCD"/>
    <w:rsid w:val="00D23462"/>
    <w:rsid w:val="00D23860"/>
    <w:rsid w:val="00D24DEC"/>
    <w:rsid w:val="00D251F8"/>
    <w:rsid w:val="00D2547D"/>
    <w:rsid w:val="00D25E23"/>
    <w:rsid w:val="00D26988"/>
    <w:rsid w:val="00D26D38"/>
    <w:rsid w:val="00D2786A"/>
    <w:rsid w:val="00D27871"/>
    <w:rsid w:val="00D305A0"/>
    <w:rsid w:val="00D307BD"/>
    <w:rsid w:val="00D30807"/>
    <w:rsid w:val="00D31091"/>
    <w:rsid w:val="00D323BE"/>
    <w:rsid w:val="00D32ED1"/>
    <w:rsid w:val="00D334DC"/>
    <w:rsid w:val="00D338D1"/>
    <w:rsid w:val="00D33A02"/>
    <w:rsid w:val="00D33D39"/>
    <w:rsid w:val="00D34631"/>
    <w:rsid w:val="00D34A5B"/>
    <w:rsid w:val="00D3598F"/>
    <w:rsid w:val="00D36AF0"/>
    <w:rsid w:val="00D37C60"/>
    <w:rsid w:val="00D37DF3"/>
    <w:rsid w:val="00D412D0"/>
    <w:rsid w:val="00D41ECD"/>
    <w:rsid w:val="00D42D17"/>
    <w:rsid w:val="00D42F35"/>
    <w:rsid w:val="00D439A6"/>
    <w:rsid w:val="00D43B51"/>
    <w:rsid w:val="00D44186"/>
    <w:rsid w:val="00D45607"/>
    <w:rsid w:val="00D45B58"/>
    <w:rsid w:val="00D45CF3"/>
    <w:rsid w:val="00D46F94"/>
    <w:rsid w:val="00D47787"/>
    <w:rsid w:val="00D4790E"/>
    <w:rsid w:val="00D4796A"/>
    <w:rsid w:val="00D47BA5"/>
    <w:rsid w:val="00D505E9"/>
    <w:rsid w:val="00D50A18"/>
    <w:rsid w:val="00D50D99"/>
    <w:rsid w:val="00D51B13"/>
    <w:rsid w:val="00D520DE"/>
    <w:rsid w:val="00D52819"/>
    <w:rsid w:val="00D528C7"/>
    <w:rsid w:val="00D52BB9"/>
    <w:rsid w:val="00D52CB9"/>
    <w:rsid w:val="00D5459A"/>
    <w:rsid w:val="00D54F00"/>
    <w:rsid w:val="00D56685"/>
    <w:rsid w:val="00D57FAA"/>
    <w:rsid w:val="00D57FD3"/>
    <w:rsid w:val="00D600CC"/>
    <w:rsid w:val="00D60A90"/>
    <w:rsid w:val="00D61405"/>
    <w:rsid w:val="00D624AC"/>
    <w:rsid w:val="00D62895"/>
    <w:rsid w:val="00D62957"/>
    <w:rsid w:val="00D62A93"/>
    <w:rsid w:val="00D6479D"/>
    <w:rsid w:val="00D65A6C"/>
    <w:rsid w:val="00D66243"/>
    <w:rsid w:val="00D66803"/>
    <w:rsid w:val="00D705B1"/>
    <w:rsid w:val="00D71378"/>
    <w:rsid w:val="00D72243"/>
    <w:rsid w:val="00D725E7"/>
    <w:rsid w:val="00D7297D"/>
    <w:rsid w:val="00D731E2"/>
    <w:rsid w:val="00D737B1"/>
    <w:rsid w:val="00D75170"/>
    <w:rsid w:val="00D7547A"/>
    <w:rsid w:val="00D7768C"/>
    <w:rsid w:val="00D81C8C"/>
    <w:rsid w:val="00D82FD0"/>
    <w:rsid w:val="00D83035"/>
    <w:rsid w:val="00D8360F"/>
    <w:rsid w:val="00D837F4"/>
    <w:rsid w:val="00D83ECE"/>
    <w:rsid w:val="00D847AA"/>
    <w:rsid w:val="00D8500A"/>
    <w:rsid w:val="00D8689D"/>
    <w:rsid w:val="00D86E25"/>
    <w:rsid w:val="00D873CF"/>
    <w:rsid w:val="00D90862"/>
    <w:rsid w:val="00D90904"/>
    <w:rsid w:val="00D90AAF"/>
    <w:rsid w:val="00D91B82"/>
    <w:rsid w:val="00D9203A"/>
    <w:rsid w:val="00D92146"/>
    <w:rsid w:val="00D92920"/>
    <w:rsid w:val="00D944AC"/>
    <w:rsid w:val="00D94F6A"/>
    <w:rsid w:val="00D9532A"/>
    <w:rsid w:val="00D97C05"/>
    <w:rsid w:val="00DA0210"/>
    <w:rsid w:val="00DA04BC"/>
    <w:rsid w:val="00DA0B10"/>
    <w:rsid w:val="00DA10AA"/>
    <w:rsid w:val="00DA2161"/>
    <w:rsid w:val="00DA2388"/>
    <w:rsid w:val="00DA23A2"/>
    <w:rsid w:val="00DA3199"/>
    <w:rsid w:val="00DA3D1E"/>
    <w:rsid w:val="00DA3FD4"/>
    <w:rsid w:val="00DA41FB"/>
    <w:rsid w:val="00DA431D"/>
    <w:rsid w:val="00DA4550"/>
    <w:rsid w:val="00DA495B"/>
    <w:rsid w:val="00DA5173"/>
    <w:rsid w:val="00DA5CC6"/>
    <w:rsid w:val="00DA75B0"/>
    <w:rsid w:val="00DB0F4F"/>
    <w:rsid w:val="00DB2C13"/>
    <w:rsid w:val="00DB315C"/>
    <w:rsid w:val="00DB35C5"/>
    <w:rsid w:val="00DB575A"/>
    <w:rsid w:val="00DB6463"/>
    <w:rsid w:val="00DB68A4"/>
    <w:rsid w:val="00DC0176"/>
    <w:rsid w:val="00DC1136"/>
    <w:rsid w:val="00DC1949"/>
    <w:rsid w:val="00DC1D3F"/>
    <w:rsid w:val="00DC2786"/>
    <w:rsid w:val="00DC3009"/>
    <w:rsid w:val="00DC315E"/>
    <w:rsid w:val="00DC3297"/>
    <w:rsid w:val="00DC3663"/>
    <w:rsid w:val="00DC3B08"/>
    <w:rsid w:val="00DC4948"/>
    <w:rsid w:val="00DC7A24"/>
    <w:rsid w:val="00DD0231"/>
    <w:rsid w:val="00DD0E63"/>
    <w:rsid w:val="00DD143C"/>
    <w:rsid w:val="00DD14AE"/>
    <w:rsid w:val="00DD2013"/>
    <w:rsid w:val="00DD2A84"/>
    <w:rsid w:val="00DD3A04"/>
    <w:rsid w:val="00DD4C5A"/>
    <w:rsid w:val="00DD4EB3"/>
    <w:rsid w:val="00DD4F47"/>
    <w:rsid w:val="00DD5CF5"/>
    <w:rsid w:val="00DD6365"/>
    <w:rsid w:val="00DD79AA"/>
    <w:rsid w:val="00DE00CA"/>
    <w:rsid w:val="00DE074B"/>
    <w:rsid w:val="00DE1ACF"/>
    <w:rsid w:val="00DE1EBB"/>
    <w:rsid w:val="00DE3992"/>
    <w:rsid w:val="00DE3C9C"/>
    <w:rsid w:val="00DE3EC1"/>
    <w:rsid w:val="00DE5150"/>
    <w:rsid w:val="00DE5838"/>
    <w:rsid w:val="00DE5E50"/>
    <w:rsid w:val="00DF05CF"/>
    <w:rsid w:val="00DF08F1"/>
    <w:rsid w:val="00DF20C4"/>
    <w:rsid w:val="00DF2A16"/>
    <w:rsid w:val="00DF38D2"/>
    <w:rsid w:val="00DF623A"/>
    <w:rsid w:val="00DF6589"/>
    <w:rsid w:val="00DF6691"/>
    <w:rsid w:val="00DF6814"/>
    <w:rsid w:val="00DF6C20"/>
    <w:rsid w:val="00DF73E5"/>
    <w:rsid w:val="00E0118E"/>
    <w:rsid w:val="00E02509"/>
    <w:rsid w:val="00E02583"/>
    <w:rsid w:val="00E02A3F"/>
    <w:rsid w:val="00E02C82"/>
    <w:rsid w:val="00E05EFF"/>
    <w:rsid w:val="00E06C33"/>
    <w:rsid w:val="00E07CEF"/>
    <w:rsid w:val="00E07F06"/>
    <w:rsid w:val="00E100A7"/>
    <w:rsid w:val="00E102B7"/>
    <w:rsid w:val="00E10DB9"/>
    <w:rsid w:val="00E1130D"/>
    <w:rsid w:val="00E1320C"/>
    <w:rsid w:val="00E141CB"/>
    <w:rsid w:val="00E142E1"/>
    <w:rsid w:val="00E14CD1"/>
    <w:rsid w:val="00E15245"/>
    <w:rsid w:val="00E17E3C"/>
    <w:rsid w:val="00E17E8A"/>
    <w:rsid w:val="00E21B36"/>
    <w:rsid w:val="00E23E4A"/>
    <w:rsid w:val="00E255B3"/>
    <w:rsid w:val="00E26336"/>
    <w:rsid w:val="00E27896"/>
    <w:rsid w:val="00E306F6"/>
    <w:rsid w:val="00E30769"/>
    <w:rsid w:val="00E312B5"/>
    <w:rsid w:val="00E33C13"/>
    <w:rsid w:val="00E3406E"/>
    <w:rsid w:val="00E341D6"/>
    <w:rsid w:val="00E34245"/>
    <w:rsid w:val="00E345DF"/>
    <w:rsid w:val="00E34C66"/>
    <w:rsid w:val="00E35CF4"/>
    <w:rsid w:val="00E3657E"/>
    <w:rsid w:val="00E4113E"/>
    <w:rsid w:val="00E41629"/>
    <w:rsid w:val="00E422C0"/>
    <w:rsid w:val="00E42AA8"/>
    <w:rsid w:val="00E42C88"/>
    <w:rsid w:val="00E43282"/>
    <w:rsid w:val="00E43382"/>
    <w:rsid w:val="00E43865"/>
    <w:rsid w:val="00E43BE5"/>
    <w:rsid w:val="00E45B88"/>
    <w:rsid w:val="00E45E41"/>
    <w:rsid w:val="00E460FD"/>
    <w:rsid w:val="00E4652F"/>
    <w:rsid w:val="00E46E8D"/>
    <w:rsid w:val="00E506CC"/>
    <w:rsid w:val="00E52029"/>
    <w:rsid w:val="00E53E9E"/>
    <w:rsid w:val="00E542FA"/>
    <w:rsid w:val="00E544B4"/>
    <w:rsid w:val="00E54736"/>
    <w:rsid w:val="00E55572"/>
    <w:rsid w:val="00E571BE"/>
    <w:rsid w:val="00E577B9"/>
    <w:rsid w:val="00E61466"/>
    <w:rsid w:val="00E629DA"/>
    <w:rsid w:val="00E6342C"/>
    <w:rsid w:val="00E6439E"/>
    <w:rsid w:val="00E66171"/>
    <w:rsid w:val="00E66D36"/>
    <w:rsid w:val="00E67045"/>
    <w:rsid w:val="00E674EB"/>
    <w:rsid w:val="00E67817"/>
    <w:rsid w:val="00E67B74"/>
    <w:rsid w:val="00E701FD"/>
    <w:rsid w:val="00E7077E"/>
    <w:rsid w:val="00E71455"/>
    <w:rsid w:val="00E72711"/>
    <w:rsid w:val="00E729AE"/>
    <w:rsid w:val="00E731F2"/>
    <w:rsid w:val="00E733C4"/>
    <w:rsid w:val="00E74689"/>
    <w:rsid w:val="00E74AB3"/>
    <w:rsid w:val="00E74DB2"/>
    <w:rsid w:val="00E75054"/>
    <w:rsid w:val="00E765F3"/>
    <w:rsid w:val="00E767AD"/>
    <w:rsid w:val="00E80BFB"/>
    <w:rsid w:val="00E812CB"/>
    <w:rsid w:val="00E812E7"/>
    <w:rsid w:val="00E81968"/>
    <w:rsid w:val="00E81E39"/>
    <w:rsid w:val="00E82AB0"/>
    <w:rsid w:val="00E82C7B"/>
    <w:rsid w:val="00E845C4"/>
    <w:rsid w:val="00E84728"/>
    <w:rsid w:val="00E84A65"/>
    <w:rsid w:val="00E85944"/>
    <w:rsid w:val="00E866D4"/>
    <w:rsid w:val="00E868E0"/>
    <w:rsid w:val="00E86E03"/>
    <w:rsid w:val="00E8719E"/>
    <w:rsid w:val="00E87207"/>
    <w:rsid w:val="00E8731E"/>
    <w:rsid w:val="00E87369"/>
    <w:rsid w:val="00E875C7"/>
    <w:rsid w:val="00E9134F"/>
    <w:rsid w:val="00E91700"/>
    <w:rsid w:val="00E921B5"/>
    <w:rsid w:val="00E92A07"/>
    <w:rsid w:val="00E92DD7"/>
    <w:rsid w:val="00E9377A"/>
    <w:rsid w:val="00E93C7C"/>
    <w:rsid w:val="00E93CED"/>
    <w:rsid w:val="00E94120"/>
    <w:rsid w:val="00E94B42"/>
    <w:rsid w:val="00E953F4"/>
    <w:rsid w:val="00E965FF"/>
    <w:rsid w:val="00E96895"/>
    <w:rsid w:val="00E96D01"/>
    <w:rsid w:val="00EA0CD8"/>
    <w:rsid w:val="00EA1586"/>
    <w:rsid w:val="00EA1930"/>
    <w:rsid w:val="00EA2160"/>
    <w:rsid w:val="00EA246F"/>
    <w:rsid w:val="00EA3AFA"/>
    <w:rsid w:val="00EA41DF"/>
    <w:rsid w:val="00EA4DE3"/>
    <w:rsid w:val="00EA4E58"/>
    <w:rsid w:val="00EA5665"/>
    <w:rsid w:val="00EA6693"/>
    <w:rsid w:val="00EA6A3B"/>
    <w:rsid w:val="00EA6F92"/>
    <w:rsid w:val="00EA7AD7"/>
    <w:rsid w:val="00EB3A59"/>
    <w:rsid w:val="00EB464D"/>
    <w:rsid w:val="00EB4C00"/>
    <w:rsid w:val="00EB56B7"/>
    <w:rsid w:val="00EB6CB8"/>
    <w:rsid w:val="00EB72CB"/>
    <w:rsid w:val="00EC0022"/>
    <w:rsid w:val="00EC0973"/>
    <w:rsid w:val="00EC29B3"/>
    <w:rsid w:val="00EC5D84"/>
    <w:rsid w:val="00EC6C9E"/>
    <w:rsid w:val="00EC6FA3"/>
    <w:rsid w:val="00EC74E8"/>
    <w:rsid w:val="00EC760B"/>
    <w:rsid w:val="00EC7B52"/>
    <w:rsid w:val="00ED04C5"/>
    <w:rsid w:val="00ED04F5"/>
    <w:rsid w:val="00ED0ED5"/>
    <w:rsid w:val="00ED137D"/>
    <w:rsid w:val="00ED1641"/>
    <w:rsid w:val="00ED22B2"/>
    <w:rsid w:val="00ED2475"/>
    <w:rsid w:val="00ED253D"/>
    <w:rsid w:val="00ED2732"/>
    <w:rsid w:val="00ED2AA4"/>
    <w:rsid w:val="00ED4AA0"/>
    <w:rsid w:val="00ED5216"/>
    <w:rsid w:val="00ED749F"/>
    <w:rsid w:val="00EE0DB1"/>
    <w:rsid w:val="00EE1A6B"/>
    <w:rsid w:val="00EE1BE8"/>
    <w:rsid w:val="00EE1E10"/>
    <w:rsid w:val="00EE3260"/>
    <w:rsid w:val="00EE39DD"/>
    <w:rsid w:val="00EE4A7E"/>
    <w:rsid w:val="00EE4DB0"/>
    <w:rsid w:val="00EE4E0E"/>
    <w:rsid w:val="00EE61A4"/>
    <w:rsid w:val="00EE63C1"/>
    <w:rsid w:val="00EE6861"/>
    <w:rsid w:val="00EF0430"/>
    <w:rsid w:val="00EF0EEC"/>
    <w:rsid w:val="00EF0FA8"/>
    <w:rsid w:val="00EF2F8A"/>
    <w:rsid w:val="00EF37D9"/>
    <w:rsid w:val="00EF3DC5"/>
    <w:rsid w:val="00EF487F"/>
    <w:rsid w:val="00EF4A52"/>
    <w:rsid w:val="00EF4A5E"/>
    <w:rsid w:val="00EF4CD3"/>
    <w:rsid w:val="00EF5A97"/>
    <w:rsid w:val="00EF625C"/>
    <w:rsid w:val="00EF6409"/>
    <w:rsid w:val="00EF66EE"/>
    <w:rsid w:val="00EF79F4"/>
    <w:rsid w:val="00F00113"/>
    <w:rsid w:val="00F00F10"/>
    <w:rsid w:val="00F01539"/>
    <w:rsid w:val="00F01967"/>
    <w:rsid w:val="00F024B7"/>
    <w:rsid w:val="00F03102"/>
    <w:rsid w:val="00F04012"/>
    <w:rsid w:val="00F049F9"/>
    <w:rsid w:val="00F04E56"/>
    <w:rsid w:val="00F0505E"/>
    <w:rsid w:val="00F051F0"/>
    <w:rsid w:val="00F055BC"/>
    <w:rsid w:val="00F059A9"/>
    <w:rsid w:val="00F06667"/>
    <w:rsid w:val="00F07C84"/>
    <w:rsid w:val="00F10235"/>
    <w:rsid w:val="00F10272"/>
    <w:rsid w:val="00F1218A"/>
    <w:rsid w:val="00F131B1"/>
    <w:rsid w:val="00F133C7"/>
    <w:rsid w:val="00F1416A"/>
    <w:rsid w:val="00F14A63"/>
    <w:rsid w:val="00F14BA4"/>
    <w:rsid w:val="00F155F7"/>
    <w:rsid w:val="00F16797"/>
    <w:rsid w:val="00F1690E"/>
    <w:rsid w:val="00F16DF6"/>
    <w:rsid w:val="00F16F6E"/>
    <w:rsid w:val="00F20182"/>
    <w:rsid w:val="00F20482"/>
    <w:rsid w:val="00F205B2"/>
    <w:rsid w:val="00F214C4"/>
    <w:rsid w:val="00F2260A"/>
    <w:rsid w:val="00F2361E"/>
    <w:rsid w:val="00F238F7"/>
    <w:rsid w:val="00F242F4"/>
    <w:rsid w:val="00F2432B"/>
    <w:rsid w:val="00F2434C"/>
    <w:rsid w:val="00F24FB2"/>
    <w:rsid w:val="00F2562A"/>
    <w:rsid w:val="00F259BF"/>
    <w:rsid w:val="00F2666F"/>
    <w:rsid w:val="00F26CCA"/>
    <w:rsid w:val="00F32131"/>
    <w:rsid w:val="00F3257B"/>
    <w:rsid w:val="00F32C12"/>
    <w:rsid w:val="00F32FAD"/>
    <w:rsid w:val="00F340D0"/>
    <w:rsid w:val="00F34991"/>
    <w:rsid w:val="00F36B6D"/>
    <w:rsid w:val="00F375D8"/>
    <w:rsid w:val="00F40484"/>
    <w:rsid w:val="00F404A0"/>
    <w:rsid w:val="00F42D30"/>
    <w:rsid w:val="00F42D85"/>
    <w:rsid w:val="00F42FA8"/>
    <w:rsid w:val="00F453DD"/>
    <w:rsid w:val="00F45B67"/>
    <w:rsid w:val="00F45DDB"/>
    <w:rsid w:val="00F462D8"/>
    <w:rsid w:val="00F46B31"/>
    <w:rsid w:val="00F4733B"/>
    <w:rsid w:val="00F478DA"/>
    <w:rsid w:val="00F503E5"/>
    <w:rsid w:val="00F50407"/>
    <w:rsid w:val="00F51A8B"/>
    <w:rsid w:val="00F52EBD"/>
    <w:rsid w:val="00F539BC"/>
    <w:rsid w:val="00F53B8E"/>
    <w:rsid w:val="00F54408"/>
    <w:rsid w:val="00F553C2"/>
    <w:rsid w:val="00F607E5"/>
    <w:rsid w:val="00F61A06"/>
    <w:rsid w:val="00F61C7C"/>
    <w:rsid w:val="00F621F9"/>
    <w:rsid w:val="00F62BC5"/>
    <w:rsid w:val="00F63C04"/>
    <w:rsid w:val="00F64070"/>
    <w:rsid w:val="00F64592"/>
    <w:rsid w:val="00F64FC4"/>
    <w:rsid w:val="00F6543B"/>
    <w:rsid w:val="00F669D2"/>
    <w:rsid w:val="00F702DB"/>
    <w:rsid w:val="00F708EB"/>
    <w:rsid w:val="00F70A58"/>
    <w:rsid w:val="00F713B2"/>
    <w:rsid w:val="00F72791"/>
    <w:rsid w:val="00F75655"/>
    <w:rsid w:val="00F75AF1"/>
    <w:rsid w:val="00F75C9C"/>
    <w:rsid w:val="00F761CF"/>
    <w:rsid w:val="00F80073"/>
    <w:rsid w:val="00F80848"/>
    <w:rsid w:val="00F80D07"/>
    <w:rsid w:val="00F80F9C"/>
    <w:rsid w:val="00F811C6"/>
    <w:rsid w:val="00F81EE8"/>
    <w:rsid w:val="00F8250A"/>
    <w:rsid w:val="00F825BC"/>
    <w:rsid w:val="00F83385"/>
    <w:rsid w:val="00F83CD7"/>
    <w:rsid w:val="00F83D29"/>
    <w:rsid w:val="00F85A51"/>
    <w:rsid w:val="00F879CB"/>
    <w:rsid w:val="00F91512"/>
    <w:rsid w:val="00F9159C"/>
    <w:rsid w:val="00F9206C"/>
    <w:rsid w:val="00F92D2E"/>
    <w:rsid w:val="00F9361B"/>
    <w:rsid w:val="00F93FB4"/>
    <w:rsid w:val="00F94273"/>
    <w:rsid w:val="00F94341"/>
    <w:rsid w:val="00F95D3B"/>
    <w:rsid w:val="00F95F6A"/>
    <w:rsid w:val="00F9628A"/>
    <w:rsid w:val="00F966AB"/>
    <w:rsid w:val="00F9709E"/>
    <w:rsid w:val="00FA2221"/>
    <w:rsid w:val="00FA2801"/>
    <w:rsid w:val="00FA2917"/>
    <w:rsid w:val="00FA391C"/>
    <w:rsid w:val="00FA53D2"/>
    <w:rsid w:val="00FA57DE"/>
    <w:rsid w:val="00FA5D30"/>
    <w:rsid w:val="00FA5F14"/>
    <w:rsid w:val="00FA6669"/>
    <w:rsid w:val="00FA6A4F"/>
    <w:rsid w:val="00FA73A8"/>
    <w:rsid w:val="00FB08E3"/>
    <w:rsid w:val="00FB1F52"/>
    <w:rsid w:val="00FB260C"/>
    <w:rsid w:val="00FB2C6A"/>
    <w:rsid w:val="00FB3890"/>
    <w:rsid w:val="00FB45D4"/>
    <w:rsid w:val="00FB4FA7"/>
    <w:rsid w:val="00FB68E5"/>
    <w:rsid w:val="00FB6A0B"/>
    <w:rsid w:val="00FB6FB8"/>
    <w:rsid w:val="00FB71D7"/>
    <w:rsid w:val="00FB7224"/>
    <w:rsid w:val="00FB72A2"/>
    <w:rsid w:val="00FB74E2"/>
    <w:rsid w:val="00FB7FF7"/>
    <w:rsid w:val="00FC0396"/>
    <w:rsid w:val="00FC1FD4"/>
    <w:rsid w:val="00FC31A1"/>
    <w:rsid w:val="00FC4D5D"/>
    <w:rsid w:val="00FC5158"/>
    <w:rsid w:val="00FC53F1"/>
    <w:rsid w:val="00FC6687"/>
    <w:rsid w:val="00FC7396"/>
    <w:rsid w:val="00FC75E0"/>
    <w:rsid w:val="00FC77C9"/>
    <w:rsid w:val="00FC7AD1"/>
    <w:rsid w:val="00FD06D6"/>
    <w:rsid w:val="00FD08B5"/>
    <w:rsid w:val="00FD0E33"/>
    <w:rsid w:val="00FD39EB"/>
    <w:rsid w:val="00FD3E7E"/>
    <w:rsid w:val="00FD41F3"/>
    <w:rsid w:val="00FD4673"/>
    <w:rsid w:val="00FD4861"/>
    <w:rsid w:val="00FD4D97"/>
    <w:rsid w:val="00FD539E"/>
    <w:rsid w:val="00FD5DC0"/>
    <w:rsid w:val="00FD629F"/>
    <w:rsid w:val="00FD6CB6"/>
    <w:rsid w:val="00FD7127"/>
    <w:rsid w:val="00FD7821"/>
    <w:rsid w:val="00FD7A5A"/>
    <w:rsid w:val="00FD7C1C"/>
    <w:rsid w:val="00FE0C01"/>
    <w:rsid w:val="00FE175D"/>
    <w:rsid w:val="00FE175E"/>
    <w:rsid w:val="00FE20F7"/>
    <w:rsid w:val="00FE2A93"/>
    <w:rsid w:val="00FE35F4"/>
    <w:rsid w:val="00FE3B3F"/>
    <w:rsid w:val="00FE5965"/>
    <w:rsid w:val="00FE6539"/>
    <w:rsid w:val="00FE7A6E"/>
    <w:rsid w:val="00FE7C32"/>
    <w:rsid w:val="00FE7FD7"/>
    <w:rsid w:val="00FF0333"/>
    <w:rsid w:val="00FF15D6"/>
    <w:rsid w:val="00FF39CF"/>
    <w:rsid w:val="00FF41B8"/>
    <w:rsid w:val="00FF460D"/>
    <w:rsid w:val="00FF4C28"/>
    <w:rsid w:val="00FF53E4"/>
    <w:rsid w:val="00FF5724"/>
    <w:rsid w:val="00FF74CA"/>
    <w:rsid w:val="00FF7A95"/>
    <w:rsid w:val="01F521CD"/>
    <w:rsid w:val="02056B18"/>
    <w:rsid w:val="021F731A"/>
    <w:rsid w:val="028131FF"/>
    <w:rsid w:val="02B16CE1"/>
    <w:rsid w:val="02C700F1"/>
    <w:rsid w:val="02D33DAC"/>
    <w:rsid w:val="02E373F0"/>
    <w:rsid w:val="02FA0CA3"/>
    <w:rsid w:val="035522F0"/>
    <w:rsid w:val="036C632D"/>
    <w:rsid w:val="038732E9"/>
    <w:rsid w:val="0489432C"/>
    <w:rsid w:val="04E865C6"/>
    <w:rsid w:val="05503996"/>
    <w:rsid w:val="057A202C"/>
    <w:rsid w:val="05A25167"/>
    <w:rsid w:val="05AA2098"/>
    <w:rsid w:val="06047264"/>
    <w:rsid w:val="060C5F2B"/>
    <w:rsid w:val="064D184D"/>
    <w:rsid w:val="067A412C"/>
    <w:rsid w:val="06B62CBE"/>
    <w:rsid w:val="06EF2CCF"/>
    <w:rsid w:val="0729289C"/>
    <w:rsid w:val="07760BAA"/>
    <w:rsid w:val="07B251AE"/>
    <w:rsid w:val="07B90494"/>
    <w:rsid w:val="07E212EE"/>
    <w:rsid w:val="08BC2855"/>
    <w:rsid w:val="08C63700"/>
    <w:rsid w:val="090A7107"/>
    <w:rsid w:val="090E6883"/>
    <w:rsid w:val="092B4520"/>
    <w:rsid w:val="09420AAE"/>
    <w:rsid w:val="097906FF"/>
    <w:rsid w:val="09C256CF"/>
    <w:rsid w:val="0A6D0D95"/>
    <w:rsid w:val="0ADD6AE9"/>
    <w:rsid w:val="0C0408D6"/>
    <w:rsid w:val="0CC22A25"/>
    <w:rsid w:val="0CE045F1"/>
    <w:rsid w:val="0D1A5D55"/>
    <w:rsid w:val="0D6E13E2"/>
    <w:rsid w:val="0F696A4D"/>
    <w:rsid w:val="0F752FF0"/>
    <w:rsid w:val="0FBC0859"/>
    <w:rsid w:val="0FC66FC5"/>
    <w:rsid w:val="10106F79"/>
    <w:rsid w:val="10284C2D"/>
    <w:rsid w:val="113D447D"/>
    <w:rsid w:val="1148579C"/>
    <w:rsid w:val="11557109"/>
    <w:rsid w:val="119B1792"/>
    <w:rsid w:val="11D52407"/>
    <w:rsid w:val="1218300D"/>
    <w:rsid w:val="12313842"/>
    <w:rsid w:val="128123D2"/>
    <w:rsid w:val="13131363"/>
    <w:rsid w:val="13182B0F"/>
    <w:rsid w:val="1332625B"/>
    <w:rsid w:val="1339603E"/>
    <w:rsid w:val="13702641"/>
    <w:rsid w:val="139B1132"/>
    <w:rsid w:val="13EE0683"/>
    <w:rsid w:val="149134ED"/>
    <w:rsid w:val="15786BC0"/>
    <w:rsid w:val="1592776C"/>
    <w:rsid w:val="15C46334"/>
    <w:rsid w:val="161B527E"/>
    <w:rsid w:val="16CA7769"/>
    <w:rsid w:val="16DC5337"/>
    <w:rsid w:val="171F5780"/>
    <w:rsid w:val="172D4BBA"/>
    <w:rsid w:val="173C2D6C"/>
    <w:rsid w:val="17702A4D"/>
    <w:rsid w:val="17C76AD9"/>
    <w:rsid w:val="183F5CB1"/>
    <w:rsid w:val="18571D31"/>
    <w:rsid w:val="188367EC"/>
    <w:rsid w:val="18E555E7"/>
    <w:rsid w:val="18E837C4"/>
    <w:rsid w:val="19775DAF"/>
    <w:rsid w:val="19EC1B5C"/>
    <w:rsid w:val="1A14067E"/>
    <w:rsid w:val="1A377CDD"/>
    <w:rsid w:val="1A3C2084"/>
    <w:rsid w:val="1B5216CA"/>
    <w:rsid w:val="1B852F33"/>
    <w:rsid w:val="1C392D79"/>
    <w:rsid w:val="1C404EFF"/>
    <w:rsid w:val="1C547A87"/>
    <w:rsid w:val="1CA613B3"/>
    <w:rsid w:val="1CAB65DC"/>
    <w:rsid w:val="1CC75924"/>
    <w:rsid w:val="1D027794"/>
    <w:rsid w:val="1D0F675F"/>
    <w:rsid w:val="1D2A749F"/>
    <w:rsid w:val="1DF91397"/>
    <w:rsid w:val="1E0C793C"/>
    <w:rsid w:val="1EF61CC6"/>
    <w:rsid w:val="200E34D5"/>
    <w:rsid w:val="203A14A3"/>
    <w:rsid w:val="204C0584"/>
    <w:rsid w:val="2069699C"/>
    <w:rsid w:val="20E71F9A"/>
    <w:rsid w:val="210F1A41"/>
    <w:rsid w:val="211B1C34"/>
    <w:rsid w:val="21300AF7"/>
    <w:rsid w:val="21362454"/>
    <w:rsid w:val="215D597B"/>
    <w:rsid w:val="21797D0C"/>
    <w:rsid w:val="21D94E59"/>
    <w:rsid w:val="220866A3"/>
    <w:rsid w:val="225E0B1F"/>
    <w:rsid w:val="22631793"/>
    <w:rsid w:val="226D4BFC"/>
    <w:rsid w:val="234D3F36"/>
    <w:rsid w:val="23E51ED6"/>
    <w:rsid w:val="23F26034"/>
    <w:rsid w:val="244D2BCF"/>
    <w:rsid w:val="24992D39"/>
    <w:rsid w:val="25214326"/>
    <w:rsid w:val="25893620"/>
    <w:rsid w:val="25896297"/>
    <w:rsid w:val="263611D3"/>
    <w:rsid w:val="26EA788C"/>
    <w:rsid w:val="27052832"/>
    <w:rsid w:val="27076EF2"/>
    <w:rsid w:val="27095274"/>
    <w:rsid w:val="27AF0E96"/>
    <w:rsid w:val="27C43A1D"/>
    <w:rsid w:val="27DA7CB2"/>
    <w:rsid w:val="28446D9A"/>
    <w:rsid w:val="288F7D09"/>
    <w:rsid w:val="29143B49"/>
    <w:rsid w:val="29183834"/>
    <w:rsid w:val="2918755B"/>
    <w:rsid w:val="294C32E2"/>
    <w:rsid w:val="299B0A6F"/>
    <w:rsid w:val="29E92677"/>
    <w:rsid w:val="2A295021"/>
    <w:rsid w:val="2A2B6011"/>
    <w:rsid w:val="2B2F7E9A"/>
    <w:rsid w:val="2B554AD6"/>
    <w:rsid w:val="2B674404"/>
    <w:rsid w:val="2B7B675B"/>
    <w:rsid w:val="2C012652"/>
    <w:rsid w:val="2C0B037B"/>
    <w:rsid w:val="2C950938"/>
    <w:rsid w:val="2CDF39DD"/>
    <w:rsid w:val="2D0128D3"/>
    <w:rsid w:val="2D3E2F42"/>
    <w:rsid w:val="2DC22DEA"/>
    <w:rsid w:val="2DCC6AA6"/>
    <w:rsid w:val="2EFA40DB"/>
    <w:rsid w:val="2F713AA3"/>
    <w:rsid w:val="2F8C2CD0"/>
    <w:rsid w:val="2F924C07"/>
    <w:rsid w:val="2F9F465B"/>
    <w:rsid w:val="30073BB4"/>
    <w:rsid w:val="3024603F"/>
    <w:rsid w:val="302A1ADA"/>
    <w:rsid w:val="306A53C9"/>
    <w:rsid w:val="308B067F"/>
    <w:rsid w:val="310024B3"/>
    <w:rsid w:val="32B178B3"/>
    <w:rsid w:val="32CF78F9"/>
    <w:rsid w:val="332C058C"/>
    <w:rsid w:val="33661445"/>
    <w:rsid w:val="337E6F19"/>
    <w:rsid w:val="33AD4850"/>
    <w:rsid w:val="340D18C0"/>
    <w:rsid w:val="34BD55E4"/>
    <w:rsid w:val="353C0E2D"/>
    <w:rsid w:val="357F666A"/>
    <w:rsid w:val="3589428E"/>
    <w:rsid w:val="35F048FA"/>
    <w:rsid w:val="35F25212"/>
    <w:rsid w:val="36286EB9"/>
    <w:rsid w:val="37006450"/>
    <w:rsid w:val="378F55D9"/>
    <w:rsid w:val="37AC362D"/>
    <w:rsid w:val="37C631EE"/>
    <w:rsid w:val="37F31751"/>
    <w:rsid w:val="382A2A41"/>
    <w:rsid w:val="384D72A5"/>
    <w:rsid w:val="38926838"/>
    <w:rsid w:val="38AE1B43"/>
    <w:rsid w:val="393578EF"/>
    <w:rsid w:val="39736669"/>
    <w:rsid w:val="3A127C30"/>
    <w:rsid w:val="3A412D2C"/>
    <w:rsid w:val="3AAD091B"/>
    <w:rsid w:val="3BD52D4A"/>
    <w:rsid w:val="3BEE090D"/>
    <w:rsid w:val="3C0A2CA1"/>
    <w:rsid w:val="3C3C07B7"/>
    <w:rsid w:val="3CEC2B6C"/>
    <w:rsid w:val="3CFD5C00"/>
    <w:rsid w:val="3D1B4C0C"/>
    <w:rsid w:val="3D3E7664"/>
    <w:rsid w:val="3D711112"/>
    <w:rsid w:val="3DA23079"/>
    <w:rsid w:val="3E454B63"/>
    <w:rsid w:val="3F35607C"/>
    <w:rsid w:val="3F3F73AC"/>
    <w:rsid w:val="3F825B5E"/>
    <w:rsid w:val="3F9D0008"/>
    <w:rsid w:val="3FFE7B01"/>
    <w:rsid w:val="402F7339"/>
    <w:rsid w:val="40BC06DA"/>
    <w:rsid w:val="41685D9E"/>
    <w:rsid w:val="418307EA"/>
    <w:rsid w:val="41C537DA"/>
    <w:rsid w:val="42E54DF7"/>
    <w:rsid w:val="43F860E9"/>
    <w:rsid w:val="44355499"/>
    <w:rsid w:val="44705171"/>
    <w:rsid w:val="44C50BF3"/>
    <w:rsid w:val="44E623E5"/>
    <w:rsid w:val="4519008F"/>
    <w:rsid w:val="451C6A22"/>
    <w:rsid w:val="45282F37"/>
    <w:rsid w:val="453E5DD4"/>
    <w:rsid w:val="45A06096"/>
    <w:rsid w:val="45C90221"/>
    <w:rsid w:val="45EE2DEC"/>
    <w:rsid w:val="466916D1"/>
    <w:rsid w:val="468D718B"/>
    <w:rsid w:val="46D22C21"/>
    <w:rsid w:val="4729480B"/>
    <w:rsid w:val="47E3607F"/>
    <w:rsid w:val="48250DC7"/>
    <w:rsid w:val="483D231C"/>
    <w:rsid w:val="48700281"/>
    <w:rsid w:val="48CA4CE9"/>
    <w:rsid w:val="48E721BE"/>
    <w:rsid w:val="48EA3B26"/>
    <w:rsid w:val="49695A31"/>
    <w:rsid w:val="49764039"/>
    <w:rsid w:val="49D22F38"/>
    <w:rsid w:val="4A1431DB"/>
    <w:rsid w:val="4A2A1F96"/>
    <w:rsid w:val="4A7B2A70"/>
    <w:rsid w:val="4AEC6208"/>
    <w:rsid w:val="4B45519D"/>
    <w:rsid w:val="4B4F533B"/>
    <w:rsid w:val="4B5856BF"/>
    <w:rsid w:val="4BA032C9"/>
    <w:rsid w:val="4BBE7454"/>
    <w:rsid w:val="4BCB4867"/>
    <w:rsid w:val="4BE11211"/>
    <w:rsid w:val="4BFC6BCA"/>
    <w:rsid w:val="4C034F4A"/>
    <w:rsid w:val="4C7D6B2F"/>
    <w:rsid w:val="4C9E5C65"/>
    <w:rsid w:val="4D25406E"/>
    <w:rsid w:val="4D5D4E06"/>
    <w:rsid w:val="4DB03590"/>
    <w:rsid w:val="4DD35A29"/>
    <w:rsid w:val="4E3F66C2"/>
    <w:rsid w:val="4EAB1A7C"/>
    <w:rsid w:val="4F1C5536"/>
    <w:rsid w:val="4FA00102"/>
    <w:rsid w:val="500431E5"/>
    <w:rsid w:val="50140BB9"/>
    <w:rsid w:val="50AC0013"/>
    <w:rsid w:val="51056328"/>
    <w:rsid w:val="513901E0"/>
    <w:rsid w:val="51FA23A6"/>
    <w:rsid w:val="528172AA"/>
    <w:rsid w:val="52E33CDE"/>
    <w:rsid w:val="530A729F"/>
    <w:rsid w:val="5342499B"/>
    <w:rsid w:val="535A6830"/>
    <w:rsid w:val="53AD47EC"/>
    <w:rsid w:val="53C3212C"/>
    <w:rsid w:val="542425E2"/>
    <w:rsid w:val="54741D03"/>
    <w:rsid w:val="547E3B85"/>
    <w:rsid w:val="54993812"/>
    <w:rsid w:val="551E43D5"/>
    <w:rsid w:val="55610A8E"/>
    <w:rsid w:val="556A7A0B"/>
    <w:rsid w:val="55945546"/>
    <w:rsid w:val="55A559A5"/>
    <w:rsid w:val="55E04E82"/>
    <w:rsid w:val="55F25C38"/>
    <w:rsid w:val="55F9683C"/>
    <w:rsid w:val="563216CA"/>
    <w:rsid w:val="565D6949"/>
    <w:rsid w:val="571E5A0F"/>
    <w:rsid w:val="57603958"/>
    <w:rsid w:val="57D727B4"/>
    <w:rsid w:val="57DC128D"/>
    <w:rsid w:val="57E97649"/>
    <w:rsid w:val="584320E7"/>
    <w:rsid w:val="589C6BEB"/>
    <w:rsid w:val="59010248"/>
    <w:rsid w:val="59086274"/>
    <w:rsid w:val="59764B8D"/>
    <w:rsid w:val="5A5E7EEC"/>
    <w:rsid w:val="5BC8697B"/>
    <w:rsid w:val="5BFA4356"/>
    <w:rsid w:val="5C9B1B86"/>
    <w:rsid w:val="5CE214B3"/>
    <w:rsid w:val="5D7B413C"/>
    <w:rsid w:val="5D7C348F"/>
    <w:rsid w:val="5E007C1C"/>
    <w:rsid w:val="5F3F29C6"/>
    <w:rsid w:val="5F4038A5"/>
    <w:rsid w:val="5F4A5375"/>
    <w:rsid w:val="5F795ED8"/>
    <w:rsid w:val="5FD36154"/>
    <w:rsid w:val="5FE15C56"/>
    <w:rsid w:val="6015367E"/>
    <w:rsid w:val="607C44DA"/>
    <w:rsid w:val="60B63CF7"/>
    <w:rsid w:val="619E19B9"/>
    <w:rsid w:val="61C3048A"/>
    <w:rsid w:val="61CD3212"/>
    <w:rsid w:val="62133014"/>
    <w:rsid w:val="62354391"/>
    <w:rsid w:val="62635EC6"/>
    <w:rsid w:val="63025B9A"/>
    <w:rsid w:val="632C1FE8"/>
    <w:rsid w:val="63870D11"/>
    <w:rsid w:val="64377EC5"/>
    <w:rsid w:val="64B74DAD"/>
    <w:rsid w:val="64B90B25"/>
    <w:rsid w:val="64C00105"/>
    <w:rsid w:val="64E87E43"/>
    <w:rsid w:val="64FE224C"/>
    <w:rsid w:val="65B8549E"/>
    <w:rsid w:val="65F12506"/>
    <w:rsid w:val="660776E6"/>
    <w:rsid w:val="662C0466"/>
    <w:rsid w:val="66F44096"/>
    <w:rsid w:val="67420F14"/>
    <w:rsid w:val="6758023C"/>
    <w:rsid w:val="675F063E"/>
    <w:rsid w:val="67B80B77"/>
    <w:rsid w:val="682F340F"/>
    <w:rsid w:val="683C4C6E"/>
    <w:rsid w:val="68570D81"/>
    <w:rsid w:val="685D542F"/>
    <w:rsid w:val="687874D2"/>
    <w:rsid w:val="69166F5C"/>
    <w:rsid w:val="691F6EF5"/>
    <w:rsid w:val="6966007D"/>
    <w:rsid w:val="69694879"/>
    <w:rsid w:val="69B014EB"/>
    <w:rsid w:val="6A374FF4"/>
    <w:rsid w:val="6A792065"/>
    <w:rsid w:val="6AC01E63"/>
    <w:rsid w:val="6AD22940"/>
    <w:rsid w:val="6AD25191"/>
    <w:rsid w:val="6BAC6253"/>
    <w:rsid w:val="6BE50451"/>
    <w:rsid w:val="6BE623D6"/>
    <w:rsid w:val="6C0E79A8"/>
    <w:rsid w:val="6C9B45C8"/>
    <w:rsid w:val="6D4021AD"/>
    <w:rsid w:val="6D751306"/>
    <w:rsid w:val="6D8B7B9A"/>
    <w:rsid w:val="6D9317DE"/>
    <w:rsid w:val="6DBB17F6"/>
    <w:rsid w:val="6DF074A1"/>
    <w:rsid w:val="6E072901"/>
    <w:rsid w:val="6E396833"/>
    <w:rsid w:val="6E5221AF"/>
    <w:rsid w:val="6F246AA2"/>
    <w:rsid w:val="6F5C25A4"/>
    <w:rsid w:val="6F80261D"/>
    <w:rsid w:val="6F86085F"/>
    <w:rsid w:val="6FB67073"/>
    <w:rsid w:val="700B699B"/>
    <w:rsid w:val="700E4448"/>
    <w:rsid w:val="70F10D07"/>
    <w:rsid w:val="70FD57AC"/>
    <w:rsid w:val="710D5228"/>
    <w:rsid w:val="718C502C"/>
    <w:rsid w:val="71BB412E"/>
    <w:rsid w:val="71BD5FA9"/>
    <w:rsid w:val="71DB20DB"/>
    <w:rsid w:val="72676064"/>
    <w:rsid w:val="72720E38"/>
    <w:rsid w:val="728E2BC1"/>
    <w:rsid w:val="72CB7FAB"/>
    <w:rsid w:val="72FA3784"/>
    <w:rsid w:val="73634A7D"/>
    <w:rsid w:val="738569C1"/>
    <w:rsid w:val="741B0EB4"/>
    <w:rsid w:val="742A2540"/>
    <w:rsid w:val="74520036"/>
    <w:rsid w:val="74673D7C"/>
    <w:rsid w:val="74B13FC3"/>
    <w:rsid w:val="74B66966"/>
    <w:rsid w:val="74F71921"/>
    <w:rsid w:val="761D44F4"/>
    <w:rsid w:val="76B949B4"/>
    <w:rsid w:val="76C410FF"/>
    <w:rsid w:val="76CA104D"/>
    <w:rsid w:val="76FD7916"/>
    <w:rsid w:val="77881C74"/>
    <w:rsid w:val="77CB4516"/>
    <w:rsid w:val="77E43CB3"/>
    <w:rsid w:val="78B11DE7"/>
    <w:rsid w:val="79ED50A1"/>
    <w:rsid w:val="7A1E03A0"/>
    <w:rsid w:val="7A2844B3"/>
    <w:rsid w:val="7AB23BF5"/>
    <w:rsid w:val="7B007056"/>
    <w:rsid w:val="7B397845"/>
    <w:rsid w:val="7B4C229B"/>
    <w:rsid w:val="7C000FD4"/>
    <w:rsid w:val="7C417926"/>
    <w:rsid w:val="7C470A7F"/>
    <w:rsid w:val="7CA0464C"/>
    <w:rsid w:val="7CBC1AC4"/>
    <w:rsid w:val="7D746B93"/>
    <w:rsid w:val="7E314411"/>
    <w:rsid w:val="7E61605D"/>
    <w:rsid w:val="7E8C7862"/>
    <w:rsid w:val="7EAD7067"/>
    <w:rsid w:val="7ED72E5B"/>
    <w:rsid w:val="7F5C5130"/>
    <w:rsid w:val="7F72113B"/>
    <w:rsid w:val="7F774919"/>
    <w:rsid w:val="7F85714B"/>
    <w:rsid w:val="7FA947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9" w:semiHidden="0" w:name="heading 7"/>
    <w:lsdException w:qFormat="1" w:unhideWhenUsed="0" w:uiPriority="0" w:semiHidden="0" w:name="heading 8"/>
    <w:lsdException w:qFormat="1" w:unhideWhenUsed="0" w:uiPriority="0" w:semiHidden="0" w:name="heading 9"/>
    <w:lsdException w:uiPriority="0" w:semiHidden="0" w:name="index 1"/>
    <w:lsdException w:uiPriority="0" w:name="index 2"/>
    <w:lsdException w:uiPriority="0" w:name="index 3"/>
    <w:lsdException w:unhideWhenUsed="0" w:uiPriority="0" w:semiHidden="0" w:name="index 4"/>
    <w:lsdException w:uiPriority="0" w:name="index 5"/>
    <w:lsdException w:qFormat="1" w:unhideWhenUsed="0" w:uiPriority="0" w:name="index 6"/>
    <w:lsdException w:uiPriority="0" w:name="index 7"/>
    <w:lsdException w:uiPriority="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nhideWhenUsed="0"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0" w:semiHidden="0" w:name="footnote text"/>
    <w:lsdException w:qFormat="1" w:unhideWhenUsed="0" w:uiPriority="0" w:semiHidden="0" w:name="annotation text"/>
    <w:lsdException w:qFormat="1" w:uiPriority="0" w:semiHidden="0" w:name="header"/>
    <w:lsdException w:qFormat="1"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semiHidden="0" w:name="annotation reference"/>
    <w:lsdException w:unhideWhenUsed="0" w:uiPriority="0" w:semiHidden="0" w:name="line number"/>
    <w:lsdException w:qFormat="1" w:unhideWhenUsed="0" w:uiPriority="0" w:semiHidden="0" w:name="page number"/>
    <w:lsdException w:uiPriority="0" w:name="endnote reference"/>
    <w:lsdException w:uiPriority="0" w:semiHidden="0" w:name="endnote text"/>
    <w:lsdException w:unhideWhenUsed="0" w:uiPriority="0" w:semiHidden="0" w:name="table of authorities"/>
    <w:lsdException w:qFormat="1"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qFormat="1" w:uiPriority="99" w:semiHidden="0" w:name="Date"/>
    <w:lsdException w:qFormat="1" w:uiPriority="0" w:semiHidden="0" w:name="Body Text First Indent"/>
    <w:lsdException w:qFormat="1" w:uiPriority="0" w:semiHidden="0" w:name="Body Text First Indent 2"/>
    <w:lsdException w:unhideWhenUsed="0" w:uiPriority="0" w:semiHidden="0" w:name="Note Heading"/>
    <w:lsdException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iPriority="99" w:semiHidden="0" w:name="Hyperlink"/>
    <w:lsdException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iPriority="99" w:semiHidden="0" w:name="annotation subject"/>
    <w:lsdException w:qFormat="1" w:uiPriority="0" w:name="Table Simple 1"/>
    <w:lsdException w:uiPriority="0" w:name="Table Simple 2"/>
    <w:lsdException w:uiPriority="0" w:name="Table Simple 3"/>
    <w:lsdException w:qFormat="1"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qFormat="1" w:uiPriority="0" w:name="Table Grid 1"/>
    <w:lsdException w:qFormat="1" w:uiPriority="0" w:name="Table Grid 2"/>
    <w:lsdException w:uiPriority="0" w:name="Table Grid 3"/>
    <w:lsdException w:uiPriority="0" w:name="Table Grid 4"/>
    <w:lsdException w:qFormat="1"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qFormat="1"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59" w:semiHidden="0" w:name="Table Grid"/>
    <w:lsdException w:qFormat="1" w:uiPriority="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4"/>
    <w:next w:val="1"/>
    <w:link w:val="52"/>
    <w:qFormat/>
    <w:uiPriority w:val="0"/>
    <w:pPr>
      <w:numPr>
        <w:ilvl w:val="0"/>
      </w:numPr>
      <w:outlineLvl w:val="0"/>
    </w:pPr>
    <w:rPr>
      <w:kern w:val="44"/>
      <w:sz w:val="32"/>
      <w:szCs w:val="32"/>
    </w:rPr>
  </w:style>
  <w:style w:type="paragraph" w:styleId="5">
    <w:name w:val="heading 2"/>
    <w:basedOn w:val="1"/>
    <w:next w:val="1"/>
    <w:link w:val="53"/>
    <w:qFormat/>
    <w:uiPriority w:val="0"/>
    <w:pPr>
      <w:keepNext/>
      <w:keepLines/>
      <w:numPr>
        <w:ilvl w:val="1"/>
        <w:numId w:val="1"/>
      </w:numPr>
      <w:ind w:firstLineChars="0"/>
      <w:outlineLvl w:val="1"/>
    </w:pPr>
    <w:rPr>
      <w:rFonts w:eastAsia="黑体"/>
      <w:sz w:val="30"/>
      <w:szCs w:val="30"/>
    </w:rPr>
  </w:style>
  <w:style w:type="paragraph" w:styleId="4">
    <w:name w:val="heading 3"/>
    <w:basedOn w:val="1"/>
    <w:next w:val="1"/>
    <w:link w:val="51"/>
    <w:qFormat/>
    <w:uiPriority w:val="0"/>
    <w:pPr>
      <w:keepNext/>
      <w:keepLines/>
      <w:numPr>
        <w:ilvl w:val="2"/>
        <w:numId w:val="1"/>
      </w:numPr>
      <w:ind w:firstLineChars="0"/>
      <w:outlineLvl w:val="2"/>
    </w:pPr>
    <w:rPr>
      <w:rFonts w:eastAsia="黑体"/>
      <w:sz w:val="28"/>
      <w:szCs w:val="28"/>
    </w:rPr>
  </w:style>
  <w:style w:type="paragraph" w:styleId="6">
    <w:name w:val="heading 4"/>
    <w:basedOn w:val="1"/>
    <w:next w:val="1"/>
    <w:link w:val="54"/>
    <w:qFormat/>
    <w:uiPriority w:val="0"/>
    <w:pPr>
      <w:keepNext/>
      <w:keepLines/>
      <w:numPr>
        <w:ilvl w:val="3"/>
        <w:numId w:val="1"/>
      </w:numPr>
      <w:ind w:firstLineChars="0"/>
      <w:outlineLvl w:val="3"/>
    </w:pPr>
    <w:rPr>
      <w:b/>
    </w:rPr>
  </w:style>
  <w:style w:type="paragraph" w:styleId="7">
    <w:name w:val="heading 5"/>
    <w:basedOn w:val="1"/>
    <w:next w:val="1"/>
    <w:link w:val="55"/>
    <w:qFormat/>
    <w:uiPriority w:val="0"/>
    <w:pPr>
      <w:keepNext/>
      <w:keepLines/>
      <w:numPr>
        <w:ilvl w:val="4"/>
        <w:numId w:val="1"/>
      </w:numPr>
      <w:tabs>
        <w:tab w:val="left" w:pos="420"/>
      </w:tabs>
      <w:ind w:left="0" w:firstLineChars="0"/>
      <w:jc w:val="center"/>
      <w:outlineLvl w:val="4"/>
    </w:pPr>
    <w:rPr>
      <w:b/>
      <w:bCs/>
      <w:szCs w:val="21"/>
    </w:rPr>
  </w:style>
  <w:style w:type="paragraph" w:styleId="8">
    <w:name w:val="heading 6"/>
    <w:basedOn w:val="1"/>
    <w:next w:val="1"/>
    <w:link w:val="56"/>
    <w:qFormat/>
    <w:uiPriority w:val="0"/>
    <w:pPr>
      <w:keepLines/>
      <w:numPr>
        <w:ilvl w:val="5"/>
        <w:numId w:val="1"/>
      </w:numPr>
      <w:tabs>
        <w:tab w:val="left" w:pos="420"/>
      </w:tabs>
      <w:ind w:firstLineChars="0"/>
      <w:jc w:val="center"/>
      <w:outlineLvl w:val="5"/>
    </w:pPr>
    <w:rPr>
      <w:b/>
      <w:szCs w:val="21"/>
    </w:rPr>
  </w:style>
  <w:style w:type="paragraph" w:styleId="9">
    <w:name w:val="heading 7"/>
    <w:basedOn w:val="1"/>
    <w:next w:val="1"/>
    <w:link w:val="57"/>
    <w:qFormat/>
    <w:uiPriority w:val="9"/>
    <w:pPr>
      <w:keepNext/>
      <w:keepLines/>
      <w:tabs>
        <w:tab w:val="left" w:pos="1276"/>
      </w:tabs>
      <w:ind w:firstLine="0"/>
      <w:jc w:val="center"/>
      <w:outlineLvl w:val="6"/>
    </w:pPr>
    <w:rPr>
      <w:b/>
      <w:bCs/>
      <w:sz w:val="21"/>
    </w:rPr>
  </w:style>
  <w:style w:type="paragraph" w:styleId="10">
    <w:name w:val="heading 8"/>
    <w:basedOn w:val="1"/>
    <w:next w:val="1"/>
    <w:link w:val="58"/>
    <w:qFormat/>
    <w:uiPriority w:val="0"/>
    <w:pPr>
      <w:keepNext/>
      <w:keepLines/>
      <w:tabs>
        <w:tab w:val="left" w:pos="1418"/>
      </w:tabs>
      <w:spacing w:before="240" w:after="64" w:line="320" w:lineRule="auto"/>
      <w:ind w:left="1418" w:hanging="1418"/>
      <w:outlineLvl w:val="7"/>
    </w:pPr>
    <w:rPr>
      <w:rFonts w:ascii="Arial" w:hAnsi="Arial" w:eastAsia="黑体"/>
    </w:rPr>
  </w:style>
  <w:style w:type="paragraph" w:styleId="11">
    <w:name w:val="heading 9"/>
    <w:basedOn w:val="1"/>
    <w:next w:val="1"/>
    <w:link w:val="59"/>
    <w:qFormat/>
    <w:uiPriority w:val="0"/>
    <w:pPr>
      <w:keepNext/>
      <w:keepLines/>
      <w:tabs>
        <w:tab w:val="left" w:pos="1559"/>
      </w:tabs>
      <w:spacing w:before="240" w:after="64" w:line="320" w:lineRule="auto"/>
      <w:ind w:left="1559" w:hanging="1559"/>
      <w:outlineLvl w:val="8"/>
    </w:pPr>
    <w:rPr>
      <w:rFonts w:ascii="Arial" w:hAnsi="Arial" w:eastAsia="黑体"/>
      <w:szCs w:val="21"/>
    </w:rPr>
  </w:style>
  <w:style w:type="character" w:default="1" w:styleId="45">
    <w:name w:val="Default Paragraph Font"/>
    <w:semiHidden/>
    <w:unhideWhenUsed/>
    <w:qFormat/>
    <w:uiPriority w:val="1"/>
  </w:style>
  <w:style w:type="table" w:default="1" w:styleId="43">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macro"/>
    <w:link w:val="60"/>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djustRightInd w:val="0"/>
      <w:snapToGrid w:val="0"/>
      <w:jc w:val="center"/>
      <w:outlineLvl w:val="4"/>
    </w:pPr>
    <w:rPr>
      <w:rFonts w:ascii="Times New Roman" w:hAnsi="Times New Roman" w:eastAsia="宋体" w:cs="Times New Roman"/>
      <w:b/>
      <w:snapToGrid w:val="0"/>
      <w:kern w:val="24"/>
      <w:sz w:val="21"/>
      <w:szCs w:val="24"/>
      <w:lang w:val="en-US" w:eastAsia="zh-CN" w:bidi="ar-SA"/>
    </w:rPr>
  </w:style>
  <w:style w:type="paragraph" w:styleId="12">
    <w:name w:val="toc 7"/>
    <w:basedOn w:val="1"/>
    <w:next w:val="1"/>
    <w:unhideWhenUsed/>
    <w:qFormat/>
    <w:uiPriority w:val="39"/>
    <w:pPr>
      <w:spacing w:line="240" w:lineRule="auto"/>
      <w:ind w:left="2520" w:leftChars="1200" w:firstLine="0" w:firstLineChars="0"/>
    </w:pPr>
    <w:rPr>
      <w:rFonts w:asciiTheme="minorHAnsi" w:hAnsiTheme="minorHAnsi" w:eastAsiaTheme="minorEastAsia" w:cstheme="minorBidi"/>
      <w:sz w:val="21"/>
      <w:szCs w:val="22"/>
    </w:rPr>
  </w:style>
  <w:style w:type="paragraph" w:styleId="13">
    <w:name w:val="Normal Indent"/>
    <w:basedOn w:val="1"/>
    <w:next w:val="1"/>
    <w:link w:val="61"/>
    <w:qFormat/>
    <w:uiPriority w:val="0"/>
    <w:pPr>
      <w:spacing w:line="240" w:lineRule="auto"/>
      <w:ind w:firstLine="420"/>
    </w:pPr>
    <w:rPr>
      <w:sz w:val="21"/>
    </w:rPr>
  </w:style>
  <w:style w:type="paragraph" w:styleId="14">
    <w:name w:val="caption"/>
    <w:basedOn w:val="1"/>
    <w:next w:val="1"/>
    <w:qFormat/>
    <w:uiPriority w:val="35"/>
    <w:pPr>
      <w:spacing w:line="240" w:lineRule="auto"/>
      <w:ind w:firstLine="0" w:firstLineChars="0"/>
      <w:jc w:val="center"/>
    </w:pPr>
    <w:rPr>
      <w:b/>
      <w:kern w:val="0"/>
      <w:sz w:val="21"/>
      <w:szCs w:val="20"/>
    </w:rPr>
  </w:style>
  <w:style w:type="paragraph" w:styleId="15">
    <w:name w:val="Document Map"/>
    <w:basedOn w:val="1"/>
    <w:link w:val="62"/>
    <w:qFormat/>
    <w:uiPriority w:val="0"/>
    <w:pPr>
      <w:shd w:val="clear" w:color="auto" w:fill="000080"/>
      <w:spacing w:line="240" w:lineRule="auto"/>
      <w:ind w:firstLine="0" w:firstLineChars="0"/>
    </w:pPr>
    <w:rPr>
      <w:sz w:val="21"/>
    </w:rPr>
  </w:style>
  <w:style w:type="paragraph" w:styleId="16">
    <w:name w:val="annotation text"/>
    <w:basedOn w:val="1"/>
    <w:link w:val="63"/>
    <w:qFormat/>
    <w:uiPriority w:val="0"/>
    <w:pPr>
      <w:spacing w:line="240" w:lineRule="auto"/>
      <w:ind w:firstLine="0" w:firstLineChars="0"/>
      <w:jc w:val="left"/>
    </w:pPr>
    <w:rPr>
      <w:sz w:val="21"/>
    </w:rPr>
  </w:style>
  <w:style w:type="paragraph" w:styleId="17">
    <w:name w:val="index 6"/>
    <w:basedOn w:val="1"/>
    <w:next w:val="1"/>
    <w:semiHidden/>
    <w:qFormat/>
    <w:uiPriority w:val="0"/>
    <w:pPr>
      <w:ind w:left="1000" w:leftChars="1000" w:firstLine="0" w:firstLineChars="0"/>
    </w:pPr>
    <w:rPr>
      <w:kern w:val="0"/>
      <w:szCs w:val="20"/>
    </w:rPr>
  </w:style>
  <w:style w:type="paragraph" w:styleId="18">
    <w:name w:val="Body Text"/>
    <w:basedOn w:val="1"/>
    <w:next w:val="19"/>
    <w:link w:val="64"/>
    <w:qFormat/>
    <w:uiPriority w:val="0"/>
    <w:pPr>
      <w:autoSpaceDE w:val="0"/>
      <w:autoSpaceDN w:val="0"/>
      <w:spacing w:line="240" w:lineRule="auto"/>
      <w:ind w:firstLine="0" w:firstLineChars="0"/>
      <w:jc w:val="left"/>
    </w:pPr>
    <w:rPr>
      <w:rFonts w:ascii="宋体" w:hAnsi="宋体" w:cs="宋体"/>
      <w:kern w:val="0"/>
      <w:lang w:val="zh-CN" w:bidi="zh-CN"/>
    </w:rPr>
  </w:style>
  <w:style w:type="paragraph" w:customStyle="1" w:styleId="19">
    <w:name w:val="默认段落"/>
    <w:qFormat/>
    <w:uiPriority w:val="0"/>
    <w:pPr>
      <w:widowControl w:val="0"/>
      <w:overflowPunct w:val="0"/>
      <w:topLinePunct/>
      <w:adjustRightInd w:val="0"/>
      <w:snapToGrid w:val="0"/>
      <w:spacing w:line="360" w:lineRule="auto"/>
      <w:ind w:firstLine="200" w:firstLineChars="200"/>
      <w:jc w:val="both"/>
    </w:pPr>
    <w:rPr>
      <w:rFonts w:ascii="Calibri" w:hAnsi="Calibri" w:eastAsia="宋体" w:cs="Times New Roman"/>
      <w:sz w:val="24"/>
      <w:szCs w:val="24"/>
      <w:lang w:val="en-US" w:eastAsia="zh-CN" w:bidi="ar-SA"/>
    </w:rPr>
  </w:style>
  <w:style w:type="paragraph" w:styleId="20">
    <w:name w:val="Body Text Indent"/>
    <w:basedOn w:val="1"/>
    <w:next w:val="21"/>
    <w:link w:val="65"/>
    <w:qFormat/>
    <w:uiPriority w:val="0"/>
  </w:style>
  <w:style w:type="paragraph" w:customStyle="1" w:styleId="21">
    <w:name w:val="样式 正文文本缩进 + 行距: 1.5 倍行距"/>
    <w:basedOn w:val="1"/>
    <w:qFormat/>
    <w:uiPriority w:val="0"/>
    <w:pPr>
      <w:spacing w:after="120"/>
      <w:ind w:left="90" w:leftChars="32" w:firstLine="560"/>
    </w:pPr>
    <w:rPr>
      <w:rFonts w:cs="宋体"/>
      <w:kern w:val="0"/>
      <w:szCs w:val="20"/>
    </w:rPr>
  </w:style>
  <w:style w:type="paragraph" w:styleId="22">
    <w:name w:val="toc 5"/>
    <w:basedOn w:val="1"/>
    <w:next w:val="1"/>
    <w:qFormat/>
    <w:uiPriority w:val="39"/>
    <w:pPr>
      <w:autoSpaceDE w:val="0"/>
      <w:autoSpaceDN w:val="0"/>
      <w:spacing w:before="160" w:line="240" w:lineRule="auto"/>
      <w:ind w:left="2220" w:hanging="540" w:firstLineChars="0"/>
      <w:jc w:val="left"/>
    </w:pPr>
    <w:rPr>
      <w:rFonts w:ascii="宋体" w:hAnsi="宋体" w:cs="宋体"/>
      <w:b/>
      <w:bCs/>
      <w:i/>
      <w:kern w:val="0"/>
      <w:sz w:val="22"/>
      <w:szCs w:val="22"/>
      <w:lang w:val="zh-CN" w:bidi="zh-CN"/>
    </w:rPr>
  </w:style>
  <w:style w:type="paragraph" w:styleId="23">
    <w:name w:val="toc 3"/>
    <w:basedOn w:val="1"/>
    <w:next w:val="1"/>
    <w:qFormat/>
    <w:uiPriority w:val="39"/>
    <w:pPr>
      <w:ind w:left="840" w:leftChars="400"/>
    </w:pPr>
  </w:style>
  <w:style w:type="paragraph" w:styleId="24">
    <w:name w:val="Plain Text"/>
    <w:basedOn w:val="1"/>
    <w:link w:val="66"/>
    <w:qFormat/>
    <w:uiPriority w:val="0"/>
    <w:pPr>
      <w:overflowPunct w:val="0"/>
      <w:spacing w:after="160"/>
    </w:pPr>
    <w:rPr>
      <w:rFonts w:hAnsi="Courier New"/>
      <w:sz w:val="20"/>
      <w:szCs w:val="21"/>
    </w:rPr>
  </w:style>
  <w:style w:type="paragraph" w:styleId="25">
    <w:name w:val="toc 8"/>
    <w:basedOn w:val="1"/>
    <w:next w:val="1"/>
    <w:unhideWhenUsed/>
    <w:qFormat/>
    <w:uiPriority w:val="39"/>
    <w:pPr>
      <w:spacing w:line="240" w:lineRule="auto"/>
      <w:ind w:left="2940" w:leftChars="1400" w:firstLine="0" w:firstLineChars="0"/>
    </w:pPr>
    <w:rPr>
      <w:rFonts w:asciiTheme="minorHAnsi" w:hAnsiTheme="minorHAnsi" w:eastAsiaTheme="minorEastAsia" w:cstheme="minorBidi"/>
      <w:sz w:val="21"/>
      <w:szCs w:val="22"/>
    </w:rPr>
  </w:style>
  <w:style w:type="paragraph" w:styleId="26">
    <w:name w:val="Date"/>
    <w:basedOn w:val="1"/>
    <w:next w:val="1"/>
    <w:link w:val="67"/>
    <w:unhideWhenUsed/>
    <w:qFormat/>
    <w:uiPriority w:val="99"/>
    <w:pPr>
      <w:ind w:left="100" w:leftChars="2500" w:firstLine="0" w:firstLineChars="0"/>
    </w:pPr>
    <w:rPr>
      <w:kern w:val="0"/>
      <w:szCs w:val="20"/>
    </w:rPr>
  </w:style>
  <w:style w:type="paragraph" w:styleId="27">
    <w:name w:val="Body Text Indent 2"/>
    <w:basedOn w:val="1"/>
    <w:next w:val="1"/>
    <w:link w:val="68"/>
    <w:qFormat/>
    <w:uiPriority w:val="0"/>
    <w:pPr>
      <w:spacing w:after="120" w:line="480" w:lineRule="auto"/>
      <w:ind w:left="420" w:leftChars="200" w:firstLine="0" w:firstLineChars="0"/>
    </w:pPr>
    <w:rPr>
      <w:kern w:val="0"/>
      <w:szCs w:val="20"/>
    </w:rPr>
  </w:style>
  <w:style w:type="paragraph" w:styleId="28">
    <w:name w:val="Balloon Text"/>
    <w:basedOn w:val="1"/>
    <w:link w:val="69"/>
    <w:qFormat/>
    <w:uiPriority w:val="99"/>
    <w:pPr>
      <w:spacing w:line="240" w:lineRule="auto"/>
    </w:pPr>
    <w:rPr>
      <w:sz w:val="18"/>
      <w:szCs w:val="18"/>
    </w:rPr>
  </w:style>
  <w:style w:type="paragraph" w:styleId="29">
    <w:name w:val="footer"/>
    <w:basedOn w:val="1"/>
    <w:link w:val="70"/>
    <w:unhideWhenUsed/>
    <w:qFormat/>
    <w:uiPriority w:val="99"/>
    <w:pPr>
      <w:tabs>
        <w:tab w:val="center" w:pos="4153"/>
        <w:tab w:val="right" w:pos="8306"/>
      </w:tabs>
      <w:autoSpaceDE w:val="0"/>
      <w:autoSpaceDN w:val="0"/>
      <w:snapToGrid w:val="0"/>
      <w:spacing w:line="240" w:lineRule="auto"/>
      <w:ind w:firstLine="0" w:firstLineChars="0"/>
      <w:jc w:val="left"/>
    </w:pPr>
    <w:rPr>
      <w:rFonts w:ascii="宋体" w:hAnsi="宋体" w:cs="宋体"/>
      <w:kern w:val="0"/>
      <w:sz w:val="21"/>
      <w:szCs w:val="18"/>
      <w:lang w:val="zh-CN" w:bidi="zh-CN"/>
    </w:rPr>
  </w:style>
  <w:style w:type="paragraph" w:styleId="30">
    <w:name w:val="header"/>
    <w:basedOn w:val="1"/>
    <w:link w:val="71"/>
    <w:autoRedefine/>
    <w:unhideWhenUsed/>
    <w:qFormat/>
    <w:uiPriority w:val="0"/>
    <w:pPr>
      <w:tabs>
        <w:tab w:val="center" w:pos="4153"/>
        <w:tab w:val="right" w:pos="8306"/>
      </w:tabs>
      <w:autoSpaceDE w:val="0"/>
      <w:autoSpaceDN w:val="0"/>
      <w:snapToGrid w:val="0"/>
      <w:spacing w:line="240" w:lineRule="auto"/>
      <w:ind w:firstLine="0" w:firstLineChars="0"/>
      <w:jc w:val="left"/>
    </w:pPr>
    <w:rPr>
      <w:rFonts w:ascii="宋体" w:hAnsi="宋体" w:cs="宋体"/>
      <w:kern w:val="0"/>
      <w:sz w:val="18"/>
      <w:szCs w:val="18"/>
      <w:lang w:val="zh-CN" w:bidi="zh-CN"/>
    </w:rPr>
  </w:style>
  <w:style w:type="paragraph" w:styleId="31">
    <w:name w:val="toc 1"/>
    <w:basedOn w:val="1"/>
    <w:next w:val="1"/>
    <w:qFormat/>
    <w:uiPriority w:val="39"/>
  </w:style>
  <w:style w:type="paragraph" w:styleId="32">
    <w:name w:val="toc 4"/>
    <w:basedOn w:val="1"/>
    <w:next w:val="1"/>
    <w:unhideWhenUsed/>
    <w:qFormat/>
    <w:uiPriority w:val="39"/>
    <w:pPr>
      <w:spacing w:line="240" w:lineRule="auto"/>
      <w:ind w:left="1260" w:leftChars="600" w:firstLine="0" w:firstLineChars="0"/>
    </w:pPr>
    <w:rPr>
      <w:rFonts w:asciiTheme="minorHAnsi" w:hAnsiTheme="minorHAnsi" w:eastAsiaTheme="minorEastAsia" w:cstheme="minorBidi"/>
      <w:sz w:val="21"/>
      <w:szCs w:val="22"/>
    </w:rPr>
  </w:style>
  <w:style w:type="paragraph" w:styleId="33">
    <w:name w:val="List"/>
    <w:basedOn w:val="1"/>
    <w:qFormat/>
    <w:uiPriority w:val="0"/>
    <w:pPr>
      <w:ind w:left="200" w:hanging="200" w:hangingChars="200"/>
    </w:pPr>
    <w:rPr>
      <w:kern w:val="0"/>
      <w:szCs w:val="20"/>
    </w:rPr>
  </w:style>
  <w:style w:type="paragraph" w:styleId="34">
    <w:name w:val="toc 6"/>
    <w:basedOn w:val="1"/>
    <w:next w:val="1"/>
    <w:unhideWhenUsed/>
    <w:qFormat/>
    <w:uiPriority w:val="39"/>
    <w:pPr>
      <w:spacing w:line="240" w:lineRule="auto"/>
      <w:ind w:left="2100" w:leftChars="1000" w:firstLine="0" w:firstLineChars="0"/>
    </w:pPr>
    <w:rPr>
      <w:rFonts w:asciiTheme="minorHAnsi" w:hAnsiTheme="minorHAnsi" w:eastAsiaTheme="minorEastAsia" w:cstheme="minorBidi"/>
      <w:sz w:val="21"/>
      <w:szCs w:val="22"/>
    </w:rPr>
  </w:style>
  <w:style w:type="paragraph" w:styleId="35">
    <w:name w:val="Body Text Indent 3"/>
    <w:basedOn w:val="1"/>
    <w:link w:val="72"/>
    <w:qFormat/>
    <w:uiPriority w:val="0"/>
    <w:pPr>
      <w:spacing w:after="120" w:line="240" w:lineRule="auto"/>
      <w:ind w:left="420" w:leftChars="200" w:firstLine="0" w:firstLineChars="0"/>
    </w:pPr>
    <w:rPr>
      <w:sz w:val="16"/>
      <w:szCs w:val="16"/>
    </w:rPr>
  </w:style>
  <w:style w:type="paragraph" w:styleId="36">
    <w:name w:val="toc 2"/>
    <w:basedOn w:val="1"/>
    <w:next w:val="1"/>
    <w:qFormat/>
    <w:uiPriority w:val="39"/>
    <w:pPr>
      <w:ind w:left="420" w:leftChars="200"/>
    </w:pPr>
  </w:style>
  <w:style w:type="paragraph" w:styleId="37">
    <w:name w:val="toc 9"/>
    <w:basedOn w:val="1"/>
    <w:next w:val="1"/>
    <w:unhideWhenUsed/>
    <w:qFormat/>
    <w:uiPriority w:val="39"/>
    <w:pPr>
      <w:spacing w:line="240" w:lineRule="auto"/>
      <w:ind w:left="3360" w:leftChars="1600" w:firstLine="0" w:firstLineChars="0"/>
    </w:pPr>
    <w:rPr>
      <w:rFonts w:asciiTheme="minorHAnsi" w:hAnsiTheme="minorHAnsi" w:eastAsiaTheme="minorEastAsia" w:cstheme="minorBidi"/>
      <w:sz w:val="21"/>
      <w:szCs w:val="22"/>
    </w:rPr>
  </w:style>
  <w:style w:type="paragraph" w:styleId="38">
    <w:name w:val="Normal (Web)"/>
    <w:basedOn w:val="1"/>
    <w:qFormat/>
    <w:uiPriority w:val="0"/>
    <w:pPr>
      <w:spacing w:before="100" w:beforeAutospacing="1" w:after="100" w:afterAutospacing="1"/>
      <w:ind w:firstLine="0" w:firstLineChars="0"/>
      <w:jc w:val="left"/>
    </w:pPr>
    <w:rPr>
      <w:kern w:val="0"/>
      <w:szCs w:val="20"/>
    </w:rPr>
  </w:style>
  <w:style w:type="paragraph" w:styleId="39">
    <w:name w:val="Title"/>
    <w:basedOn w:val="1"/>
    <w:next w:val="1"/>
    <w:link w:val="73"/>
    <w:qFormat/>
    <w:uiPriority w:val="0"/>
    <w:pPr>
      <w:spacing w:before="240" w:after="60"/>
      <w:jc w:val="center"/>
      <w:outlineLvl w:val="0"/>
    </w:pPr>
    <w:rPr>
      <w:rFonts w:asciiTheme="majorHAnsi" w:hAnsiTheme="majorHAnsi" w:eastAsiaTheme="majorEastAsia" w:cstheme="majorBidi"/>
      <w:b/>
      <w:bCs/>
      <w:sz w:val="32"/>
      <w:szCs w:val="32"/>
    </w:rPr>
  </w:style>
  <w:style w:type="paragraph" w:styleId="40">
    <w:name w:val="annotation subject"/>
    <w:basedOn w:val="16"/>
    <w:next w:val="16"/>
    <w:link w:val="74"/>
    <w:unhideWhenUsed/>
    <w:qFormat/>
    <w:uiPriority w:val="99"/>
    <w:rPr>
      <w:b/>
      <w:bCs/>
    </w:rPr>
  </w:style>
  <w:style w:type="paragraph" w:styleId="41">
    <w:name w:val="Body Text First Indent"/>
    <w:basedOn w:val="18"/>
    <w:next w:val="42"/>
    <w:link w:val="76"/>
    <w:unhideWhenUsed/>
    <w:qFormat/>
    <w:uiPriority w:val="0"/>
    <w:pPr>
      <w:autoSpaceDE/>
      <w:autoSpaceDN/>
      <w:spacing w:after="120" w:line="360" w:lineRule="auto"/>
      <w:ind w:firstLine="420" w:firstLineChars="100"/>
      <w:jc w:val="both"/>
    </w:pPr>
    <w:rPr>
      <w:rFonts w:ascii="Times New Roman" w:hAnsi="Times New Roman" w:cs="Times New Roman"/>
      <w:kern w:val="2"/>
      <w:lang w:val="en-US" w:bidi="ar-SA"/>
    </w:rPr>
  </w:style>
  <w:style w:type="paragraph" w:styleId="42">
    <w:name w:val="Body Text First Indent 2"/>
    <w:basedOn w:val="20"/>
    <w:next w:val="1"/>
    <w:link w:val="75"/>
    <w:unhideWhenUsed/>
    <w:qFormat/>
    <w:uiPriority w:val="0"/>
    <w:pPr>
      <w:ind w:firstLine="420"/>
    </w:pPr>
  </w:style>
  <w:style w:type="table" w:styleId="44">
    <w:name w:val="Table Grid"/>
    <w:basedOn w:val="43"/>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6">
    <w:name w:val="Strong"/>
    <w:basedOn w:val="45"/>
    <w:qFormat/>
    <w:uiPriority w:val="0"/>
    <w:rPr>
      <w:b/>
    </w:rPr>
  </w:style>
  <w:style w:type="character" w:styleId="47">
    <w:name w:val="page number"/>
    <w:basedOn w:val="45"/>
    <w:qFormat/>
    <w:uiPriority w:val="0"/>
  </w:style>
  <w:style w:type="character" w:styleId="48">
    <w:name w:val="Emphasis"/>
    <w:basedOn w:val="45"/>
    <w:qFormat/>
    <w:uiPriority w:val="0"/>
    <w:rPr>
      <w:i/>
    </w:rPr>
  </w:style>
  <w:style w:type="character" w:styleId="49">
    <w:name w:val="Hyperlink"/>
    <w:basedOn w:val="45"/>
    <w:unhideWhenUsed/>
    <w:qFormat/>
    <w:uiPriority w:val="99"/>
    <w:rPr>
      <w:color w:val="0000FF" w:themeColor="hyperlink"/>
      <w:u w:val="single"/>
      <w14:textFill>
        <w14:solidFill>
          <w14:schemeClr w14:val="hlink"/>
        </w14:solidFill>
      </w14:textFill>
    </w:rPr>
  </w:style>
  <w:style w:type="character" w:styleId="50">
    <w:name w:val="annotation reference"/>
    <w:basedOn w:val="45"/>
    <w:unhideWhenUsed/>
    <w:qFormat/>
    <w:uiPriority w:val="99"/>
    <w:rPr>
      <w:sz w:val="21"/>
      <w:szCs w:val="21"/>
    </w:rPr>
  </w:style>
  <w:style w:type="character" w:customStyle="1" w:styleId="51">
    <w:name w:val="标题 3 字符"/>
    <w:link w:val="4"/>
    <w:qFormat/>
    <w:uiPriority w:val="0"/>
    <w:rPr>
      <w:rFonts w:eastAsia="黑体"/>
      <w:kern w:val="2"/>
      <w:sz w:val="28"/>
      <w:szCs w:val="28"/>
    </w:rPr>
  </w:style>
  <w:style w:type="character" w:customStyle="1" w:styleId="52">
    <w:name w:val="标题 1 字符"/>
    <w:link w:val="3"/>
    <w:qFormat/>
    <w:uiPriority w:val="0"/>
    <w:rPr>
      <w:rFonts w:eastAsia="黑体"/>
      <w:kern w:val="44"/>
      <w:sz w:val="32"/>
      <w:szCs w:val="32"/>
    </w:rPr>
  </w:style>
  <w:style w:type="character" w:customStyle="1" w:styleId="53">
    <w:name w:val="标题 2 字符"/>
    <w:link w:val="5"/>
    <w:qFormat/>
    <w:uiPriority w:val="0"/>
    <w:rPr>
      <w:rFonts w:eastAsia="黑体"/>
      <w:kern w:val="2"/>
      <w:sz w:val="30"/>
      <w:szCs w:val="30"/>
    </w:rPr>
  </w:style>
  <w:style w:type="character" w:customStyle="1" w:styleId="54">
    <w:name w:val="标题 4 字符"/>
    <w:link w:val="6"/>
    <w:qFormat/>
    <w:uiPriority w:val="0"/>
    <w:rPr>
      <w:b/>
      <w:kern w:val="2"/>
      <w:sz w:val="24"/>
      <w:szCs w:val="24"/>
    </w:rPr>
  </w:style>
  <w:style w:type="character" w:customStyle="1" w:styleId="55">
    <w:name w:val="标题 5 字符"/>
    <w:link w:val="7"/>
    <w:qFormat/>
    <w:uiPriority w:val="0"/>
    <w:rPr>
      <w:b/>
      <w:bCs/>
      <w:kern w:val="2"/>
      <w:sz w:val="24"/>
      <w:szCs w:val="21"/>
    </w:rPr>
  </w:style>
  <w:style w:type="character" w:customStyle="1" w:styleId="56">
    <w:name w:val="标题 6 字符"/>
    <w:link w:val="8"/>
    <w:qFormat/>
    <w:uiPriority w:val="0"/>
    <w:rPr>
      <w:b/>
      <w:kern w:val="2"/>
      <w:sz w:val="24"/>
      <w:szCs w:val="21"/>
    </w:rPr>
  </w:style>
  <w:style w:type="character" w:customStyle="1" w:styleId="57">
    <w:name w:val="标题 7 字符"/>
    <w:basedOn w:val="45"/>
    <w:link w:val="9"/>
    <w:qFormat/>
    <w:uiPriority w:val="0"/>
    <w:rPr>
      <w:rFonts w:ascii="Times New Roman" w:hAnsi="Times New Roman"/>
      <w:b/>
      <w:bCs/>
      <w:kern w:val="2"/>
      <w:sz w:val="21"/>
      <w:szCs w:val="24"/>
    </w:rPr>
  </w:style>
  <w:style w:type="character" w:customStyle="1" w:styleId="58">
    <w:name w:val="标题 8 字符"/>
    <w:basedOn w:val="45"/>
    <w:link w:val="10"/>
    <w:qFormat/>
    <w:uiPriority w:val="0"/>
    <w:rPr>
      <w:rFonts w:ascii="Arial" w:hAnsi="Arial" w:eastAsia="黑体"/>
      <w:kern w:val="2"/>
      <w:sz w:val="24"/>
      <w:szCs w:val="24"/>
    </w:rPr>
  </w:style>
  <w:style w:type="character" w:customStyle="1" w:styleId="59">
    <w:name w:val="标题 9 字符"/>
    <w:basedOn w:val="45"/>
    <w:link w:val="11"/>
    <w:qFormat/>
    <w:uiPriority w:val="0"/>
    <w:rPr>
      <w:rFonts w:ascii="Arial" w:hAnsi="Arial" w:eastAsia="黑体"/>
      <w:kern w:val="2"/>
      <w:sz w:val="24"/>
      <w:szCs w:val="21"/>
    </w:rPr>
  </w:style>
  <w:style w:type="character" w:customStyle="1" w:styleId="60">
    <w:name w:val="宏文本 字符"/>
    <w:basedOn w:val="45"/>
    <w:link w:val="2"/>
    <w:qFormat/>
    <w:uiPriority w:val="0"/>
    <w:rPr>
      <w:b/>
      <w:snapToGrid w:val="0"/>
      <w:kern w:val="24"/>
      <w:sz w:val="21"/>
      <w:szCs w:val="24"/>
    </w:rPr>
  </w:style>
  <w:style w:type="character" w:customStyle="1" w:styleId="61">
    <w:name w:val="正文缩进 字符"/>
    <w:basedOn w:val="45"/>
    <w:link w:val="13"/>
    <w:qFormat/>
    <w:uiPriority w:val="0"/>
    <w:rPr>
      <w:kern w:val="2"/>
      <w:sz w:val="21"/>
      <w:szCs w:val="24"/>
    </w:rPr>
  </w:style>
  <w:style w:type="character" w:customStyle="1" w:styleId="62">
    <w:name w:val="文档结构图 字符"/>
    <w:basedOn w:val="45"/>
    <w:link w:val="15"/>
    <w:qFormat/>
    <w:uiPriority w:val="0"/>
    <w:rPr>
      <w:kern w:val="2"/>
      <w:sz w:val="21"/>
      <w:szCs w:val="24"/>
      <w:shd w:val="clear" w:color="auto" w:fill="000080"/>
    </w:rPr>
  </w:style>
  <w:style w:type="character" w:customStyle="1" w:styleId="63">
    <w:name w:val="批注文字 字符"/>
    <w:basedOn w:val="45"/>
    <w:link w:val="16"/>
    <w:qFormat/>
    <w:uiPriority w:val="0"/>
    <w:rPr>
      <w:kern w:val="2"/>
      <w:sz w:val="21"/>
      <w:szCs w:val="24"/>
    </w:rPr>
  </w:style>
  <w:style w:type="character" w:customStyle="1" w:styleId="64">
    <w:name w:val="正文文本 字符"/>
    <w:basedOn w:val="45"/>
    <w:link w:val="18"/>
    <w:qFormat/>
    <w:uiPriority w:val="99"/>
    <w:rPr>
      <w:rFonts w:ascii="宋体" w:hAnsi="宋体" w:cs="宋体"/>
      <w:sz w:val="24"/>
      <w:szCs w:val="24"/>
      <w:lang w:val="zh-CN" w:bidi="zh-CN"/>
    </w:rPr>
  </w:style>
  <w:style w:type="character" w:customStyle="1" w:styleId="65">
    <w:name w:val="正文文本缩进 字符"/>
    <w:basedOn w:val="45"/>
    <w:link w:val="20"/>
    <w:qFormat/>
    <w:uiPriority w:val="0"/>
    <w:rPr>
      <w:kern w:val="2"/>
      <w:sz w:val="24"/>
      <w:szCs w:val="24"/>
    </w:rPr>
  </w:style>
  <w:style w:type="character" w:customStyle="1" w:styleId="66">
    <w:name w:val="纯文本 字符"/>
    <w:basedOn w:val="45"/>
    <w:link w:val="24"/>
    <w:qFormat/>
    <w:uiPriority w:val="0"/>
    <w:rPr>
      <w:rFonts w:hAnsi="Courier New"/>
      <w:kern w:val="2"/>
      <w:szCs w:val="21"/>
    </w:rPr>
  </w:style>
  <w:style w:type="character" w:customStyle="1" w:styleId="67">
    <w:name w:val="日期 字符"/>
    <w:basedOn w:val="45"/>
    <w:link w:val="26"/>
    <w:qFormat/>
    <w:uiPriority w:val="99"/>
    <w:rPr>
      <w:sz w:val="24"/>
    </w:rPr>
  </w:style>
  <w:style w:type="character" w:customStyle="1" w:styleId="68">
    <w:name w:val="正文文本缩进 2 字符"/>
    <w:basedOn w:val="45"/>
    <w:link w:val="27"/>
    <w:qFormat/>
    <w:uiPriority w:val="99"/>
    <w:rPr>
      <w:sz w:val="24"/>
    </w:rPr>
  </w:style>
  <w:style w:type="character" w:customStyle="1" w:styleId="69">
    <w:name w:val="批注框文本 字符"/>
    <w:basedOn w:val="45"/>
    <w:link w:val="28"/>
    <w:qFormat/>
    <w:uiPriority w:val="99"/>
    <w:rPr>
      <w:kern w:val="2"/>
      <w:sz w:val="18"/>
      <w:szCs w:val="18"/>
    </w:rPr>
  </w:style>
  <w:style w:type="character" w:customStyle="1" w:styleId="70">
    <w:name w:val="页脚 字符"/>
    <w:basedOn w:val="45"/>
    <w:link w:val="29"/>
    <w:qFormat/>
    <w:uiPriority w:val="99"/>
    <w:rPr>
      <w:rFonts w:ascii="宋体" w:hAnsi="宋体" w:cs="宋体"/>
      <w:sz w:val="21"/>
      <w:szCs w:val="18"/>
      <w:lang w:val="zh-CN" w:bidi="zh-CN"/>
    </w:rPr>
  </w:style>
  <w:style w:type="character" w:customStyle="1" w:styleId="71">
    <w:name w:val="页眉 字符"/>
    <w:basedOn w:val="45"/>
    <w:link w:val="30"/>
    <w:qFormat/>
    <w:uiPriority w:val="0"/>
    <w:rPr>
      <w:rFonts w:ascii="宋体" w:hAnsi="宋体" w:cs="宋体"/>
      <w:sz w:val="18"/>
      <w:szCs w:val="18"/>
      <w:lang w:val="zh-CN" w:bidi="zh-CN"/>
    </w:rPr>
  </w:style>
  <w:style w:type="character" w:customStyle="1" w:styleId="72">
    <w:name w:val="正文文本缩进 3 字符"/>
    <w:basedOn w:val="45"/>
    <w:link w:val="35"/>
    <w:qFormat/>
    <w:uiPriority w:val="0"/>
    <w:rPr>
      <w:kern w:val="2"/>
      <w:sz w:val="16"/>
      <w:szCs w:val="16"/>
    </w:rPr>
  </w:style>
  <w:style w:type="character" w:customStyle="1" w:styleId="73">
    <w:name w:val="标题 字符"/>
    <w:basedOn w:val="45"/>
    <w:link w:val="39"/>
    <w:qFormat/>
    <w:uiPriority w:val="0"/>
    <w:rPr>
      <w:rFonts w:asciiTheme="majorHAnsi" w:hAnsiTheme="majorHAnsi" w:eastAsiaTheme="majorEastAsia" w:cstheme="majorBidi"/>
      <w:b/>
      <w:bCs/>
      <w:kern w:val="2"/>
      <w:sz w:val="32"/>
      <w:szCs w:val="32"/>
    </w:rPr>
  </w:style>
  <w:style w:type="character" w:customStyle="1" w:styleId="74">
    <w:name w:val="批注主题 字符"/>
    <w:basedOn w:val="63"/>
    <w:link w:val="40"/>
    <w:qFormat/>
    <w:uiPriority w:val="99"/>
    <w:rPr>
      <w:b/>
      <w:bCs/>
      <w:kern w:val="2"/>
      <w:sz w:val="24"/>
      <w:szCs w:val="24"/>
    </w:rPr>
  </w:style>
  <w:style w:type="character" w:customStyle="1" w:styleId="75">
    <w:name w:val="正文首行缩进 2 字符"/>
    <w:basedOn w:val="65"/>
    <w:link w:val="42"/>
    <w:qFormat/>
    <w:uiPriority w:val="99"/>
    <w:rPr>
      <w:kern w:val="2"/>
      <w:sz w:val="24"/>
      <w:szCs w:val="24"/>
    </w:rPr>
  </w:style>
  <w:style w:type="character" w:customStyle="1" w:styleId="76">
    <w:name w:val="正文首行缩进 字符"/>
    <w:basedOn w:val="64"/>
    <w:link w:val="41"/>
    <w:qFormat/>
    <w:uiPriority w:val="99"/>
    <w:rPr>
      <w:rFonts w:ascii="宋体" w:hAnsi="宋体" w:cs="宋体"/>
      <w:kern w:val="2"/>
      <w:sz w:val="24"/>
      <w:szCs w:val="24"/>
      <w:lang w:val="zh-CN" w:bidi="zh-CN"/>
    </w:rPr>
  </w:style>
  <w:style w:type="paragraph" w:customStyle="1" w:styleId="77">
    <w:name w:val="样式1"/>
    <w:basedOn w:val="1"/>
    <w:link w:val="78"/>
    <w:qFormat/>
    <w:uiPriority w:val="0"/>
    <w:pPr>
      <w:spacing w:line="240" w:lineRule="exact"/>
      <w:ind w:firstLine="0" w:firstLineChars="0"/>
      <w:jc w:val="center"/>
    </w:pPr>
    <w:rPr>
      <w:sz w:val="21"/>
      <w:szCs w:val="21"/>
    </w:rPr>
  </w:style>
  <w:style w:type="character" w:customStyle="1" w:styleId="78">
    <w:name w:val="样式1 字符"/>
    <w:basedOn w:val="45"/>
    <w:link w:val="77"/>
    <w:qFormat/>
    <w:uiPriority w:val="0"/>
    <w:rPr>
      <w:kern w:val="2"/>
      <w:sz w:val="21"/>
      <w:szCs w:val="21"/>
    </w:rPr>
  </w:style>
  <w:style w:type="table" w:customStyle="1" w:styleId="79">
    <w:name w:val="Table Normal"/>
    <w:unhideWhenUsed/>
    <w:qFormat/>
    <w:uiPriority w:val="0"/>
    <w:pPr>
      <w:widowControl w:val="0"/>
      <w:autoSpaceDE w:val="0"/>
      <w:autoSpaceDN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80">
    <w:name w:val="Table Paragraph"/>
    <w:basedOn w:val="1"/>
    <w:qFormat/>
    <w:uiPriority w:val="1"/>
    <w:pPr>
      <w:autoSpaceDE w:val="0"/>
      <w:autoSpaceDN w:val="0"/>
      <w:spacing w:line="240" w:lineRule="auto"/>
      <w:ind w:firstLine="0" w:firstLineChars="0"/>
      <w:jc w:val="center"/>
    </w:pPr>
    <w:rPr>
      <w:rFonts w:eastAsia="Times New Roman"/>
      <w:kern w:val="0"/>
      <w:sz w:val="22"/>
      <w:szCs w:val="22"/>
      <w:lang w:val="zh-CN" w:bidi="zh-CN"/>
    </w:rPr>
  </w:style>
  <w:style w:type="paragraph" w:customStyle="1" w:styleId="81">
    <w:name w:val="样式2"/>
    <w:basedOn w:val="1"/>
    <w:qFormat/>
    <w:uiPriority w:val="0"/>
    <w:pPr>
      <w:ind w:firstLine="480"/>
    </w:pPr>
  </w:style>
  <w:style w:type="paragraph" w:customStyle="1" w:styleId="82">
    <w:name w:val="列表段落1"/>
    <w:basedOn w:val="1"/>
    <w:link w:val="83"/>
    <w:qFormat/>
    <w:uiPriority w:val="99"/>
    <w:pPr>
      <w:autoSpaceDE w:val="0"/>
      <w:autoSpaceDN w:val="0"/>
      <w:spacing w:line="240" w:lineRule="auto"/>
      <w:ind w:left="1988" w:hanging="709" w:firstLineChars="0"/>
      <w:jc w:val="left"/>
    </w:pPr>
    <w:rPr>
      <w:rFonts w:ascii="宋体" w:hAnsi="宋体" w:cs="宋体"/>
      <w:kern w:val="0"/>
      <w:sz w:val="22"/>
      <w:szCs w:val="22"/>
      <w:lang w:val="zh-CN" w:bidi="zh-CN"/>
    </w:rPr>
  </w:style>
  <w:style w:type="character" w:customStyle="1" w:styleId="83">
    <w:name w:val="列表段落 字符"/>
    <w:link w:val="82"/>
    <w:qFormat/>
    <w:uiPriority w:val="99"/>
    <w:rPr>
      <w:rFonts w:ascii="宋体" w:hAnsi="宋体" w:cs="宋体"/>
      <w:sz w:val="22"/>
      <w:szCs w:val="22"/>
      <w:lang w:val="zh-CN" w:bidi="zh-CN"/>
    </w:rPr>
  </w:style>
  <w:style w:type="character" w:customStyle="1" w:styleId="84">
    <w:name w:val="fontstyle01"/>
    <w:basedOn w:val="45"/>
    <w:qFormat/>
    <w:uiPriority w:val="0"/>
    <w:rPr>
      <w:rFonts w:hint="default" w:ascii="CIDFont+F1" w:hAnsi="CIDFont+F1"/>
      <w:color w:val="000000"/>
      <w:sz w:val="24"/>
      <w:szCs w:val="24"/>
    </w:rPr>
  </w:style>
  <w:style w:type="character" w:customStyle="1" w:styleId="85">
    <w:name w:val="fontstyle11"/>
    <w:basedOn w:val="45"/>
    <w:qFormat/>
    <w:uiPriority w:val="0"/>
    <w:rPr>
      <w:rFonts w:hint="default" w:ascii="CIDFont+F2" w:hAnsi="CIDFont+F2"/>
      <w:color w:val="000000"/>
      <w:sz w:val="24"/>
      <w:szCs w:val="24"/>
    </w:rPr>
  </w:style>
  <w:style w:type="character" w:customStyle="1" w:styleId="86">
    <w:name w:val="表格文字 Char"/>
    <w:link w:val="87"/>
    <w:qFormat/>
    <w:uiPriority w:val="0"/>
    <w:rPr>
      <w:kern w:val="2"/>
      <w:sz w:val="21"/>
      <w:szCs w:val="24"/>
    </w:rPr>
  </w:style>
  <w:style w:type="paragraph" w:customStyle="1" w:styleId="87">
    <w:name w:val="表格文字"/>
    <w:basedOn w:val="1"/>
    <w:link w:val="86"/>
    <w:qFormat/>
    <w:uiPriority w:val="0"/>
    <w:pPr>
      <w:adjustRightInd w:val="0"/>
      <w:snapToGrid w:val="0"/>
      <w:spacing w:line="240" w:lineRule="auto"/>
      <w:ind w:firstLine="0" w:firstLineChars="0"/>
      <w:jc w:val="center"/>
    </w:pPr>
    <w:rPr>
      <w:sz w:val="21"/>
    </w:rPr>
  </w:style>
  <w:style w:type="paragraph" w:customStyle="1" w:styleId="88">
    <w:name w:val="表号、图号"/>
    <w:basedOn w:val="1"/>
    <w:link w:val="89"/>
    <w:qFormat/>
    <w:uiPriority w:val="0"/>
    <w:pPr>
      <w:tabs>
        <w:tab w:val="left" w:pos="567"/>
      </w:tabs>
      <w:spacing w:line="240" w:lineRule="auto"/>
      <w:ind w:firstLine="0" w:firstLineChars="0"/>
      <w:jc w:val="center"/>
    </w:pPr>
    <w:rPr>
      <w:b/>
      <w:lang w:val="zh-CN"/>
    </w:rPr>
  </w:style>
  <w:style w:type="character" w:customStyle="1" w:styleId="89">
    <w:name w:val="表号、图号 Char"/>
    <w:link w:val="88"/>
    <w:qFormat/>
    <w:uiPriority w:val="0"/>
    <w:rPr>
      <w:b/>
      <w:kern w:val="2"/>
      <w:sz w:val="24"/>
      <w:szCs w:val="24"/>
      <w:lang w:val="zh-CN" w:eastAsia="zh-CN"/>
    </w:rPr>
  </w:style>
  <w:style w:type="paragraph" w:customStyle="1" w:styleId="90">
    <w:name w:val="图片名"/>
    <w:basedOn w:val="1"/>
    <w:qFormat/>
    <w:uiPriority w:val="0"/>
    <w:pPr>
      <w:tabs>
        <w:tab w:val="left" w:pos="1134"/>
        <w:tab w:val="left" w:pos="4740"/>
      </w:tabs>
      <w:adjustRightInd w:val="0"/>
      <w:snapToGrid w:val="0"/>
      <w:ind w:left="1134" w:hanging="1134" w:firstLineChars="0"/>
      <w:jc w:val="center"/>
    </w:pPr>
    <w:rPr>
      <w:b/>
      <w:lang w:val="zh-CN"/>
    </w:rPr>
  </w:style>
  <w:style w:type="paragraph" w:customStyle="1" w:styleId="91">
    <w:name w:val="表格内容"/>
    <w:basedOn w:val="1"/>
    <w:link w:val="92"/>
    <w:qFormat/>
    <w:uiPriority w:val="0"/>
    <w:pPr>
      <w:adjustRightInd w:val="0"/>
      <w:snapToGrid w:val="0"/>
      <w:spacing w:line="240" w:lineRule="auto"/>
      <w:ind w:firstLine="0" w:firstLineChars="0"/>
      <w:jc w:val="left"/>
    </w:pPr>
    <w:rPr>
      <w:rFonts w:hAnsi="宋体"/>
      <w:snapToGrid w:val="0"/>
      <w:kern w:val="0"/>
      <w:sz w:val="21"/>
      <w:szCs w:val="21"/>
    </w:rPr>
  </w:style>
  <w:style w:type="character" w:customStyle="1" w:styleId="92">
    <w:name w:val="表格内容 Char"/>
    <w:link w:val="91"/>
    <w:qFormat/>
    <w:uiPriority w:val="0"/>
    <w:rPr>
      <w:rFonts w:hAnsi="宋体"/>
      <w:snapToGrid w:val="0"/>
      <w:sz w:val="21"/>
      <w:szCs w:val="21"/>
    </w:rPr>
  </w:style>
  <w:style w:type="paragraph" w:customStyle="1" w:styleId="93">
    <w:name w:val="正文nlw"/>
    <w:basedOn w:val="1"/>
    <w:link w:val="94"/>
    <w:qFormat/>
    <w:uiPriority w:val="99"/>
    <w:pPr>
      <w:adjustRightInd w:val="0"/>
      <w:spacing w:line="240" w:lineRule="auto"/>
      <w:textAlignment w:val="baseline"/>
    </w:pPr>
    <w:rPr>
      <w:kern w:val="0"/>
    </w:rPr>
  </w:style>
  <w:style w:type="character" w:customStyle="1" w:styleId="94">
    <w:name w:val="正文nlw Char"/>
    <w:link w:val="93"/>
    <w:qFormat/>
    <w:uiPriority w:val="99"/>
    <w:rPr>
      <w:sz w:val="24"/>
      <w:szCs w:val="24"/>
    </w:rPr>
  </w:style>
  <w:style w:type="paragraph" w:customStyle="1" w:styleId="95">
    <w:name w:val="表格名称"/>
    <w:basedOn w:val="39"/>
    <w:qFormat/>
    <w:uiPriority w:val="0"/>
    <w:pPr>
      <w:spacing w:before="0" w:after="0" w:line="240" w:lineRule="auto"/>
      <w:ind w:firstLine="0" w:firstLineChars="0"/>
      <w:outlineLvl w:val="9"/>
    </w:pPr>
    <w:rPr>
      <w:rFonts w:ascii="Times New Roman" w:hAnsi="Times New Roman" w:eastAsia="宋体" w:cs="Arial"/>
      <w:bCs w:val="0"/>
      <w:sz w:val="24"/>
    </w:rPr>
  </w:style>
  <w:style w:type="paragraph" w:customStyle="1" w:styleId="96">
    <w:name w:val="图表"/>
    <w:basedOn w:val="95"/>
    <w:link w:val="97"/>
    <w:qFormat/>
    <w:uiPriority w:val="0"/>
  </w:style>
  <w:style w:type="character" w:customStyle="1" w:styleId="97">
    <w:name w:val="图表 Char"/>
    <w:link w:val="96"/>
    <w:qFormat/>
    <w:uiPriority w:val="0"/>
    <w:rPr>
      <w:rFonts w:cs="Arial"/>
      <w:b/>
      <w:kern w:val="2"/>
      <w:sz w:val="24"/>
      <w:szCs w:val="32"/>
    </w:rPr>
  </w:style>
  <w:style w:type="paragraph" w:customStyle="1" w:styleId="98">
    <w:name w:val="表格nlw"/>
    <w:basedOn w:val="1"/>
    <w:link w:val="99"/>
    <w:qFormat/>
    <w:uiPriority w:val="0"/>
    <w:pPr>
      <w:widowControl/>
      <w:spacing w:line="300" w:lineRule="exact"/>
      <w:ind w:firstLine="0" w:firstLineChars="0"/>
      <w:jc w:val="center"/>
    </w:pPr>
    <w:rPr>
      <w:kern w:val="0"/>
      <w:sz w:val="21"/>
      <w:szCs w:val="22"/>
    </w:rPr>
  </w:style>
  <w:style w:type="character" w:customStyle="1" w:styleId="99">
    <w:name w:val="表格nlw Char"/>
    <w:link w:val="98"/>
    <w:qFormat/>
    <w:uiPriority w:val="0"/>
    <w:rPr>
      <w:sz w:val="21"/>
      <w:szCs w:val="22"/>
    </w:rPr>
  </w:style>
  <w:style w:type="paragraph" w:customStyle="1" w:styleId="100">
    <w:name w:val="样式nlw"/>
    <w:basedOn w:val="1"/>
    <w:link w:val="101"/>
    <w:qFormat/>
    <w:uiPriority w:val="0"/>
    <w:pPr>
      <w:spacing w:line="240" w:lineRule="auto"/>
    </w:pPr>
    <w:rPr>
      <w:lang w:val="zh-CN"/>
    </w:rPr>
  </w:style>
  <w:style w:type="character" w:customStyle="1" w:styleId="101">
    <w:name w:val="样式nlw 字符"/>
    <w:link w:val="100"/>
    <w:qFormat/>
    <w:uiPriority w:val="0"/>
    <w:rPr>
      <w:kern w:val="2"/>
      <w:sz w:val="24"/>
      <w:szCs w:val="24"/>
      <w:lang w:val="zh-CN"/>
    </w:rPr>
  </w:style>
  <w:style w:type="character" w:customStyle="1" w:styleId="102">
    <w:name w:val="标准正文 Char"/>
    <w:link w:val="103"/>
    <w:qFormat/>
    <w:uiPriority w:val="0"/>
    <w:rPr>
      <w:rFonts w:ascii="宋体" w:hAnsi="宋体"/>
      <w:sz w:val="24"/>
      <w:szCs w:val="24"/>
      <w:lang w:val="zh-CN" w:eastAsia="zh-CN"/>
    </w:rPr>
  </w:style>
  <w:style w:type="paragraph" w:customStyle="1" w:styleId="103">
    <w:name w:val="标准正文"/>
    <w:basedOn w:val="1"/>
    <w:link w:val="102"/>
    <w:qFormat/>
    <w:uiPriority w:val="0"/>
    <w:pPr>
      <w:widowControl/>
      <w:ind w:firstLine="480"/>
      <w:jc w:val="left"/>
    </w:pPr>
    <w:rPr>
      <w:rFonts w:ascii="宋体" w:hAnsi="宋体"/>
      <w:kern w:val="0"/>
      <w:lang w:val="zh-CN"/>
    </w:rPr>
  </w:style>
  <w:style w:type="character" w:customStyle="1" w:styleId="104">
    <w:name w:val="5号表格 Char"/>
    <w:link w:val="105"/>
    <w:qFormat/>
    <w:uiPriority w:val="0"/>
    <w:rPr>
      <w:kern w:val="2"/>
      <w:sz w:val="24"/>
      <w:szCs w:val="22"/>
    </w:rPr>
  </w:style>
  <w:style w:type="paragraph" w:customStyle="1" w:styleId="105">
    <w:name w:val="五号表格"/>
    <w:basedOn w:val="106"/>
    <w:link w:val="104"/>
    <w:qFormat/>
    <w:uiPriority w:val="0"/>
    <w:pPr>
      <w:ind w:firstLine="0" w:firstLineChars="0"/>
      <w:jc w:val="center"/>
    </w:pPr>
    <w:rPr>
      <w:szCs w:val="22"/>
    </w:rPr>
  </w:style>
  <w:style w:type="paragraph" w:customStyle="1" w:styleId="106">
    <w:name w:val="无间隔1"/>
    <w:qFormat/>
    <w:uiPriority w:val="0"/>
    <w:pPr>
      <w:widowControl w:val="0"/>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07">
    <w:name w:val="未处理的提及1"/>
    <w:basedOn w:val="45"/>
    <w:unhideWhenUsed/>
    <w:qFormat/>
    <w:uiPriority w:val="99"/>
    <w:rPr>
      <w:color w:val="605E5C"/>
      <w:shd w:val="clear" w:color="auto" w:fill="E1DFDD"/>
    </w:rPr>
  </w:style>
  <w:style w:type="paragraph" w:customStyle="1" w:styleId="108">
    <w:name w:val="标1"/>
    <w:basedOn w:val="3"/>
    <w:link w:val="109"/>
    <w:qFormat/>
    <w:uiPriority w:val="0"/>
    <w:pPr>
      <w:keepLines w:val="0"/>
      <w:numPr>
        <w:numId w:val="0"/>
      </w:numPr>
      <w:tabs>
        <w:tab w:val="left" w:pos="0"/>
      </w:tabs>
      <w:spacing w:line="480" w:lineRule="auto"/>
      <w:ind w:left="432" w:hanging="432"/>
      <w:jc w:val="center"/>
    </w:pPr>
    <w:rPr>
      <w:b/>
      <w:color w:val="000000"/>
      <w:kern w:val="2"/>
    </w:rPr>
  </w:style>
  <w:style w:type="character" w:customStyle="1" w:styleId="109">
    <w:name w:val="标1 字符"/>
    <w:link w:val="108"/>
    <w:qFormat/>
    <w:uiPriority w:val="0"/>
    <w:rPr>
      <w:rFonts w:eastAsia="黑体"/>
      <w:b/>
      <w:color w:val="000000"/>
      <w:kern w:val="2"/>
      <w:sz w:val="32"/>
      <w:szCs w:val="32"/>
    </w:rPr>
  </w:style>
  <w:style w:type="paragraph" w:customStyle="1" w:styleId="110">
    <w:name w:val="标1.1"/>
    <w:basedOn w:val="5"/>
    <w:qFormat/>
    <w:uiPriority w:val="0"/>
    <w:pPr>
      <w:numPr>
        <w:ilvl w:val="0"/>
        <w:numId w:val="0"/>
      </w:numPr>
    </w:pPr>
    <w:rPr>
      <w:b/>
      <w:bCs/>
    </w:rPr>
  </w:style>
  <w:style w:type="paragraph" w:customStyle="1" w:styleId="111">
    <w:name w:val="标1.1.1"/>
    <w:basedOn w:val="1"/>
    <w:qFormat/>
    <w:uiPriority w:val="0"/>
    <w:pPr>
      <w:keepNext/>
      <w:keepLines/>
      <w:tabs>
        <w:tab w:val="left" w:pos="0"/>
        <w:tab w:val="left" w:pos="3570"/>
      </w:tabs>
      <w:spacing w:line="240" w:lineRule="auto"/>
      <w:ind w:firstLine="0" w:firstLineChars="0"/>
      <w:jc w:val="left"/>
      <w:outlineLvl w:val="2"/>
    </w:pPr>
    <w:rPr>
      <w:b/>
      <w:color w:val="000000"/>
      <w:sz w:val="28"/>
      <w:szCs w:val="28"/>
    </w:rPr>
  </w:style>
  <w:style w:type="paragraph" w:customStyle="1" w:styleId="112">
    <w:name w:val="标1.1.1.1"/>
    <w:basedOn w:val="6"/>
    <w:qFormat/>
    <w:uiPriority w:val="0"/>
    <w:pPr>
      <w:numPr>
        <w:ilvl w:val="0"/>
        <w:numId w:val="0"/>
      </w:numPr>
      <w:snapToGrid w:val="0"/>
      <w:spacing w:before="20" w:beforeLines="20" w:after="20" w:afterLines="20" w:line="240" w:lineRule="auto"/>
    </w:pPr>
    <w:rPr>
      <w:b w:val="0"/>
    </w:rPr>
  </w:style>
  <w:style w:type="paragraph" w:customStyle="1" w:styleId="113">
    <w:name w:val="标1.1.1.1.1"/>
    <w:basedOn w:val="7"/>
    <w:qFormat/>
    <w:uiPriority w:val="0"/>
    <w:pPr>
      <w:numPr>
        <w:ilvl w:val="0"/>
        <w:numId w:val="0"/>
      </w:numPr>
      <w:tabs>
        <w:tab w:val="clear" w:pos="420"/>
      </w:tabs>
      <w:snapToGrid w:val="0"/>
      <w:jc w:val="both"/>
    </w:pPr>
    <w:rPr>
      <w:b w:val="0"/>
      <w:bCs w:val="0"/>
      <w:szCs w:val="24"/>
    </w:rPr>
  </w:style>
  <w:style w:type="paragraph" w:customStyle="1" w:styleId="114">
    <w:name w:val="表1.1-1"/>
    <w:basedOn w:val="8"/>
    <w:link w:val="115"/>
    <w:qFormat/>
    <w:uiPriority w:val="0"/>
    <w:pPr>
      <w:keepNext/>
      <w:numPr>
        <w:ilvl w:val="0"/>
        <w:numId w:val="0"/>
      </w:numPr>
      <w:tabs>
        <w:tab w:val="clear" w:pos="420"/>
      </w:tabs>
      <w:snapToGrid w:val="0"/>
    </w:pPr>
    <w:rPr>
      <w:szCs w:val="24"/>
    </w:rPr>
  </w:style>
  <w:style w:type="character" w:customStyle="1" w:styleId="115">
    <w:name w:val="表1.1-1 字符"/>
    <w:link w:val="114"/>
    <w:qFormat/>
    <w:uiPriority w:val="0"/>
    <w:rPr>
      <w:b/>
      <w:kern w:val="2"/>
      <w:sz w:val="24"/>
      <w:szCs w:val="24"/>
    </w:rPr>
  </w:style>
  <w:style w:type="paragraph" w:customStyle="1" w:styleId="116">
    <w:name w:val="图1.1-1"/>
    <w:basedOn w:val="9"/>
    <w:qFormat/>
    <w:uiPriority w:val="0"/>
    <w:pPr>
      <w:tabs>
        <w:tab w:val="clear" w:pos="1276"/>
      </w:tabs>
      <w:snapToGrid w:val="0"/>
      <w:spacing w:line="240" w:lineRule="auto"/>
      <w:ind w:firstLineChars="0"/>
    </w:pPr>
    <w:rPr>
      <w:bCs w:val="0"/>
      <w:sz w:val="24"/>
    </w:rPr>
  </w:style>
  <w:style w:type="paragraph" w:customStyle="1" w:styleId="117">
    <w:name w:val="注："/>
    <w:next w:val="1"/>
    <w:qFormat/>
    <w:uiPriority w:val="0"/>
    <w:pPr>
      <w:widowControl w:val="0"/>
      <w:autoSpaceDE w:val="0"/>
      <w:autoSpaceDN w:val="0"/>
      <w:jc w:val="both"/>
    </w:pPr>
    <w:rPr>
      <w:rFonts w:ascii="宋体" w:hAnsi="Times New Roman" w:eastAsia="宋体" w:cs="宋体"/>
      <w:sz w:val="18"/>
      <w:szCs w:val="18"/>
      <w:lang w:val="en-US" w:eastAsia="zh-CN" w:bidi="ar-SA"/>
    </w:rPr>
  </w:style>
  <w:style w:type="paragraph" w:customStyle="1" w:styleId="118">
    <w:name w:val="Default"/>
    <w:unhideWhenUsed/>
    <w:qFormat/>
    <w:uiPriority w:val="0"/>
    <w:pPr>
      <w:widowControl w:val="0"/>
      <w:autoSpaceDE w:val="0"/>
      <w:autoSpaceDN w:val="0"/>
      <w:adjustRightInd w:val="0"/>
    </w:pPr>
    <w:rPr>
      <w:rFonts w:ascii="宋体" w:hAnsi="宋体" w:eastAsia="宋体" w:cs="Times New Roman"/>
      <w:color w:val="000000"/>
      <w:sz w:val="24"/>
      <w:lang w:val="en-US" w:eastAsia="zh-CN" w:bidi="ar-SA"/>
    </w:rPr>
  </w:style>
  <w:style w:type="character" w:customStyle="1" w:styleId="119">
    <w:name w:val="font51"/>
    <w:basedOn w:val="45"/>
    <w:qFormat/>
    <w:uiPriority w:val="0"/>
    <w:rPr>
      <w:rFonts w:hint="eastAsia" w:ascii="宋体" w:hAnsi="宋体" w:eastAsia="宋体" w:cs="宋体"/>
      <w:color w:val="000000"/>
      <w:sz w:val="21"/>
      <w:szCs w:val="21"/>
      <w:u w:val="none"/>
    </w:rPr>
  </w:style>
  <w:style w:type="character" w:customStyle="1" w:styleId="120">
    <w:name w:val="font41"/>
    <w:basedOn w:val="45"/>
    <w:qFormat/>
    <w:uiPriority w:val="0"/>
    <w:rPr>
      <w:rFonts w:hint="default" w:ascii="Times New Roman" w:hAnsi="Times New Roman" w:cs="Times New Roman"/>
      <w:color w:val="000000"/>
      <w:sz w:val="21"/>
      <w:szCs w:val="21"/>
      <w:u w:val="none"/>
    </w:rPr>
  </w:style>
  <w:style w:type="character" w:customStyle="1" w:styleId="121">
    <w:name w:val="font01"/>
    <w:basedOn w:val="45"/>
    <w:qFormat/>
    <w:uiPriority w:val="0"/>
    <w:rPr>
      <w:rFonts w:hint="default" w:ascii="Times New Roman" w:hAnsi="Times New Roman" w:cs="Times New Roman"/>
      <w:color w:val="000000"/>
      <w:sz w:val="21"/>
      <w:szCs w:val="21"/>
      <w:u w:val="none"/>
      <w:vertAlign w:val="superscript"/>
    </w:rPr>
  </w:style>
  <w:style w:type="paragraph" w:customStyle="1" w:styleId="122">
    <w:name w:val="a4New级"/>
    <w:basedOn w:val="1"/>
    <w:qFormat/>
    <w:uiPriority w:val="0"/>
    <w:pPr>
      <w:adjustRightInd w:val="0"/>
      <w:snapToGrid w:val="0"/>
      <w:jc w:val="left"/>
      <w:outlineLvl w:val="3"/>
    </w:pPr>
    <w:rPr>
      <w:b/>
      <w:szCs w:val="28"/>
    </w:rPr>
  </w:style>
  <w:style w:type="paragraph" w:customStyle="1" w:styleId="123">
    <w:name w:val="修订1"/>
    <w:hidden/>
    <w:semiHidden/>
    <w:qFormat/>
    <w:uiPriority w:val="99"/>
    <w:rPr>
      <w:rFonts w:ascii="Times New Roman" w:hAnsi="Times New Roman" w:eastAsia="宋体" w:cs="Times New Roman"/>
      <w:kern w:val="2"/>
      <w:sz w:val="24"/>
      <w:szCs w:val="24"/>
      <w:lang w:val="en-US" w:eastAsia="zh-CN" w:bidi="ar-SA"/>
    </w:rPr>
  </w:style>
  <w:style w:type="paragraph" w:customStyle="1" w:styleId="124">
    <w:name w:val="修订2"/>
    <w:hidden/>
    <w:semiHidden/>
    <w:qFormat/>
    <w:uiPriority w:val="99"/>
    <w:rPr>
      <w:rFonts w:ascii="Times New Roman" w:hAnsi="Times New Roman" w:eastAsia="宋体" w:cs="Times New Roman"/>
      <w:kern w:val="2"/>
      <w:sz w:val="24"/>
      <w:szCs w:val="24"/>
      <w:lang w:val="en-US" w:eastAsia="zh-CN" w:bidi="ar-SA"/>
    </w:rPr>
  </w:style>
  <w:style w:type="table" w:customStyle="1" w:styleId="125">
    <w:name w:val="Table Normal1"/>
    <w:unhideWhenUsed/>
    <w:qFormat/>
    <w:uiPriority w:val="0"/>
    <w:tblPr>
      <w:tblCellMar>
        <w:top w:w="0" w:type="dxa"/>
        <w:left w:w="0" w:type="dxa"/>
        <w:bottom w:w="0" w:type="dxa"/>
        <w:right w:w="0" w:type="dxa"/>
      </w:tblCellMar>
    </w:tblPr>
  </w:style>
  <w:style w:type="table" w:customStyle="1" w:styleId="126">
    <w:name w:val="Table Normal2"/>
    <w:unhideWhenUsed/>
    <w:qFormat/>
    <w:uiPriority w:val="0"/>
    <w:tblPr>
      <w:tblCellMar>
        <w:top w:w="0" w:type="dxa"/>
        <w:left w:w="0" w:type="dxa"/>
        <w:bottom w:w="0" w:type="dxa"/>
        <w:right w:w="0" w:type="dxa"/>
      </w:tblCellMar>
    </w:tblPr>
  </w:style>
  <w:style w:type="paragraph" w:styleId="127">
    <w:name w:val="List Paragraph"/>
    <w:basedOn w:val="1"/>
    <w:unhideWhenUsed/>
    <w:qFormat/>
    <w:uiPriority w:val="0"/>
    <w:pPr>
      <w:ind w:firstLine="420"/>
    </w:pPr>
  </w:style>
  <w:style w:type="paragraph" w:customStyle="1" w:styleId="128">
    <w:name w:val="05表格"/>
    <w:basedOn w:val="1"/>
    <w:qFormat/>
    <w:uiPriority w:val="0"/>
    <w:pPr>
      <w:widowControl/>
      <w:spacing w:before="100" w:beforeAutospacing="1" w:after="100" w:afterAutospacing="1" w:line="360" w:lineRule="exact"/>
      <w:ind w:left="-10" w:leftChars="-10" w:right="-10" w:rightChars="-10" w:firstLine="0" w:firstLineChars="0"/>
      <w:contextualSpacing/>
      <w:jc w:val="center"/>
      <w:textAlignment w:val="center"/>
    </w:pPr>
    <w:rPr>
      <w:rFonts w:ascii="Calibri" w:hAnsi="Calibri"/>
      <w:color w:val="000000"/>
      <w:kern w:val="0"/>
      <w:szCs w:val="20"/>
    </w:rPr>
  </w:style>
  <w:style w:type="paragraph" w:customStyle="1" w:styleId="129">
    <w:name w:val="环评表格"/>
    <w:basedOn w:val="1"/>
    <w:qFormat/>
    <w:uiPriority w:val="0"/>
    <w:pPr>
      <w:widowControl/>
      <w:topLinePunct/>
      <w:spacing w:line="240" w:lineRule="auto"/>
      <w:ind w:firstLine="0" w:firstLineChars="0"/>
      <w:contextualSpacing/>
      <w:jc w:val="center"/>
      <w:textAlignment w:val="center"/>
    </w:pPr>
    <w:rPr>
      <w:color w:val="000000"/>
      <w:kern w:val="0"/>
      <w:sz w:val="21"/>
      <w:szCs w:val="21"/>
    </w:rPr>
  </w:style>
  <w:style w:type="paragraph" w:customStyle="1" w:styleId="130">
    <w:name w:val="表文"/>
    <w:basedOn w:val="1"/>
    <w:qFormat/>
    <w:uiPriority w:val="0"/>
    <w:pPr>
      <w:spacing w:line="240" w:lineRule="auto"/>
      <w:ind w:firstLine="0" w:firstLineChars="0"/>
      <w:jc w:val="center"/>
    </w:pPr>
    <w:rPr>
      <w:b/>
      <w:color w:val="000000"/>
      <w:sz w:val="21"/>
      <w:szCs w:val="21"/>
    </w:rPr>
  </w:style>
  <w:style w:type="table" w:customStyle="1" w:styleId="131">
    <w:name w:val="Table Normal3"/>
    <w:unhideWhenUsed/>
    <w:qFormat/>
    <w:uiPriority w:val="0"/>
    <w:tblPr>
      <w:tblCellMar>
        <w:top w:w="0" w:type="dxa"/>
        <w:left w:w="0" w:type="dxa"/>
        <w:bottom w:w="0" w:type="dxa"/>
        <w:right w:w="0" w:type="dxa"/>
      </w:tblCellMar>
    </w:tblPr>
  </w:style>
  <w:style w:type="table" w:customStyle="1" w:styleId="132">
    <w:name w:val="Table Normal4"/>
    <w:unhideWhenUsed/>
    <w:qFormat/>
    <w:uiPriority w:val="0"/>
    <w:tblPr>
      <w:tblCellMar>
        <w:top w:w="0" w:type="dxa"/>
        <w:left w:w="0" w:type="dxa"/>
        <w:bottom w:w="0" w:type="dxa"/>
        <w:right w:w="0" w:type="dxa"/>
      </w:tblCellMar>
    </w:tblPr>
  </w:style>
  <w:style w:type="table" w:customStyle="1" w:styleId="133">
    <w:name w:val="Table Normal5"/>
    <w:unhideWhenUsed/>
    <w:qFormat/>
    <w:uiPriority w:val="0"/>
    <w:tblPr>
      <w:tblCellMar>
        <w:top w:w="0" w:type="dxa"/>
        <w:left w:w="0" w:type="dxa"/>
        <w:bottom w:w="0" w:type="dxa"/>
        <w:right w:w="0" w:type="dxa"/>
      </w:tblCellMar>
    </w:tblPr>
  </w:style>
  <w:style w:type="table" w:customStyle="1" w:styleId="134">
    <w:name w:val="Table Normal6"/>
    <w:unhideWhenUsed/>
    <w:qFormat/>
    <w:uiPriority w:val="0"/>
    <w:tblPr>
      <w:tblCellMar>
        <w:top w:w="0" w:type="dxa"/>
        <w:left w:w="0" w:type="dxa"/>
        <w:bottom w:w="0" w:type="dxa"/>
        <w:right w:w="0" w:type="dxa"/>
      </w:tblCellMar>
    </w:tblPr>
  </w:style>
  <w:style w:type="paragraph" w:customStyle="1" w:styleId="135">
    <w:name w:val="正文2"/>
    <w:qFormat/>
    <w:uiPriority w:val="0"/>
    <w:pPr>
      <w:jc w:val="both"/>
    </w:pPr>
    <w:rPr>
      <w:rFonts w:ascii="Calibri" w:hAnsi="Calibri" w:eastAsia="宋体" w:cs="Calibri"/>
      <w:kern w:val="2"/>
      <w:sz w:val="21"/>
      <w:szCs w:val="21"/>
      <w:lang w:val="en-US" w:eastAsia="zh-CN" w:bidi="ar-SA"/>
    </w:rPr>
  </w:style>
  <w:style w:type="table" w:customStyle="1" w:styleId="136">
    <w:name w:val="Table Normal7"/>
    <w:unhideWhenUsed/>
    <w:qFormat/>
    <w:uiPriority w:val="0"/>
    <w:tblPr>
      <w:tblCellMar>
        <w:top w:w="0" w:type="dxa"/>
        <w:left w:w="0" w:type="dxa"/>
        <w:bottom w:w="0" w:type="dxa"/>
        <w:right w:w="0" w:type="dxa"/>
      </w:tblCellMar>
    </w:tblPr>
  </w:style>
  <w:style w:type="paragraph" w:customStyle="1" w:styleId="137">
    <w:name w:val="Char Char Char2 Char"/>
    <w:basedOn w:val="1"/>
    <w:qFormat/>
    <w:uiPriority w:val="0"/>
    <w:pPr>
      <w:tabs>
        <w:tab w:val="left" w:pos="360"/>
      </w:tabs>
      <w:spacing w:line="480" w:lineRule="auto"/>
      <w:ind w:left="357" w:hanging="357" w:firstLineChars="0"/>
      <w:jc w:val="center"/>
    </w:pPr>
    <w:rPr>
      <w:b/>
      <w:sz w:val="36"/>
      <w:szCs w:val="36"/>
    </w:rPr>
  </w:style>
  <w:style w:type="paragraph" w:customStyle="1" w:styleId="138">
    <w:name w:val="Char3"/>
    <w:basedOn w:val="1"/>
    <w:qFormat/>
    <w:uiPriority w:val="0"/>
    <w:rPr>
      <w:rFonts w:ascii="宋体" w:hAnsi="宋体" w:cs="宋体"/>
    </w:rPr>
  </w:style>
  <w:style w:type="paragraph" w:customStyle="1" w:styleId="139">
    <w:name w:val="CM180"/>
    <w:basedOn w:val="1"/>
    <w:next w:val="1"/>
    <w:qFormat/>
    <w:uiPriority w:val="0"/>
    <w:pPr>
      <w:autoSpaceDE w:val="0"/>
      <w:autoSpaceDN w:val="0"/>
      <w:adjustRightInd w:val="0"/>
      <w:spacing w:after="635" w:line="240" w:lineRule="auto"/>
      <w:ind w:firstLine="0" w:firstLineChars="0"/>
      <w:jc w:val="left"/>
    </w:pPr>
    <w:rPr>
      <w:rFonts w:ascii="宋体"/>
      <w:kern w:val="0"/>
    </w:rPr>
  </w:style>
  <w:style w:type="paragraph" w:customStyle="1" w:styleId="140">
    <w:name w:val="xl40"/>
    <w:basedOn w:val="1"/>
    <w:qFormat/>
    <w:uiPriority w:val="0"/>
    <w:pPr>
      <w:widowControl/>
      <w:pBdr>
        <w:bottom w:val="single" w:color="auto" w:sz="8" w:space="0"/>
      </w:pBdr>
      <w:spacing w:before="100" w:after="100" w:line="240" w:lineRule="auto"/>
      <w:ind w:firstLine="0" w:firstLineChars="0"/>
      <w:jc w:val="center"/>
    </w:pPr>
    <w:rPr>
      <w:rFonts w:ascii="宋体"/>
      <w:kern w:val="0"/>
      <w:szCs w:val="20"/>
    </w:rPr>
  </w:style>
  <w:style w:type="character" w:customStyle="1" w:styleId="141">
    <w:name w:val="样式28 Char"/>
    <w:basedOn w:val="45"/>
    <w:link w:val="142"/>
    <w:qFormat/>
    <w:uiPriority w:val="0"/>
    <w:rPr>
      <w:kern w:val="2"/>
      <w:sz w:val="24"/>
      <w:szCs w:val="24"/>
    </w:rPr>
  </w:style>
  <w:style w:type="paragraph" w:customStyle="1" w:styleId="142">
    <w:name w:val="样式28"/>
    <w:basedOn w:val="1"/>
    <w:link w:val="141"/>
    <w:qFormat/>
    <w:uiPriority w:val="0"/>
    <w:pPr>
      <w:ind w:firstLine="480"/>
    </w:pPr>
  </w:style>
  <w:style w:type="paragraph" w:customStyle="1" w:styleId="143">
    <w:name w:val="样式55"/>
    <w:basedOn w:val="1"/>
    <w:qFormat/>
    <w:uiPriority w:val="0"/>
    <w:pPr>
      <w:widowControl/>
      <w:spacing w:line="300" w:lineRule="exact"/>
      <w:ind w:firstLine="0" w:firstLineChars="0"/>
      <w:jc w:val="center"/>
    </w:pPr>
    <w:rPr>
      <w:color w:val="000000"/>
      <w:sz w:val="21"/>
      <w:szCs w:val="21"/>
    </w:rPr>
  </w:style>
  <w:style w:type="character" w:customStyle="1" w:styleId="144">
    <w:name w:val="样式59 Char"/>
    <w:basedOn w:val="45"/>
    <w:link w:val="145"/>
    <w:qFormat/>
    <w:uiPriority w:val="0"/>
    <w:rPr>
      <w:rFonts w:ascii="黑体" w:eastAsia="黑体"/>
      <w:color w:val="000000"/>
      <w:kern w:val="2"/>
      <w:sz w:val="21"/>
      <w:szCs w:val="21"/>
    </w:rPr>
  </w:style>
  <w:style w:type="paragraph" w:customStyle="1" w:styleId="145">
    <w:name w:val="样式59"/>
    <w:basedOn w:val="1"/>
    <w:link w:val="144"/>
    <w:qFormat/>
    <w:uiPriority w:val="0"/>
    <w:pPr>
      <w:ind w:firstLine="0" w:firstLineChars="0"/>
      <w:jc w:val="center"/>
    </w:pPr>
    <w:rPr>
      <w:rFonts w:ascii="黑体" w:eastAsia="黑体"/>
      <w:color w:val="000000"/>
      <w:sz w:val="21"/>
      <w:szCs w:val="21"/>
    </w:rPr>
  </w:style>
  <w:style w:type="paragraph" w:customStyle="1" w:styleId="146">
    <w:name w:val="Char1"/>
    <w:basedOn w:val="1"/>
    <w:qFormat/>
    <w:uiPriority w:val="0"/>
    <w:pPr>
      <w:ind w:firstLine="0" w:firstLineChars="0"/>
    </w:pPr>
    <w:rPr>
      <w:rFonts w:ascii="Tahoma" w:hAnsi="Tahoma"/>
      <w:szCs w:val="20"/>
    </w:rPr>
  </w:style>
  <w:style w:type="character" w:customStyle="1" w:styleId="147">
    <w:name w:val="表—居中5号 Char"/>
    <w:basedOn w:val="45"/>
    <w:qFormat/>
    <w:uiPriority w:val="0"/>
    <w:rPr>
      <w:rFonts w:eastAsia="宋体"/>
      <w:sz w:val="21"/>
      <w:szCs w:val="24"/>
      <w:lang w:val="en-US" w:eastAsia="zh-CN" w:bidi="ar-SA"/>
    </w:rPr>
  </w:style>
  <w:style w:type="paragraph" w:customStyle="1" w:styleId="148">
    <w:name w:val="1图标题"/>
    <w:basedOn w:val="1"/>
    <w:next w:val="1"/>
    <w:qFormat/>
    <w:uiPriority w:val="0"/>
    <w:pPr>
      <w:widowControl/>
      <w:spacing w:afterLines="50"/>
      <w:ind w:firstLine="0" w:firstLineChars="0"/>
      <w:jc w:val="center"/>
    </w:pPr>
    <w:rPr>
      <w:rFonts w:eastAsia="黑体"/>
      <w:kern w:val="0"/>
      <w:sz w:val="21"/>
    </w:rPr>
  </w:style>
  <w:style w:type="paragraph" w:customStyle="1" w:styleId="149">
    <w:name w:val="表格及图"/>
    <w:basedOn w:val="1"/>
    <w:qFormat/>
    <w:uiPriority w:val="0"/>
    <w:pPr>
      <w:tabs>
        <w:tab w:val="left" w:pos="840"/>
      </w:tabs>
      <w:adjustRightInd w:val="0"/>
      <w:snapToGrid w:val="0"/>
      <w:spacing w:line="240" w:lineRule="auto"/>
      <w:ind w:firstLine="0" w:firstLineChars="0"/>
      <w:jc w:val="center"/>
    </w:pPr>
    <w:rPr>
      <w:b/>
      <w:sz w:val="21"/>
      <w:szCs w:val="22"/>
    </w:rPr>
  </w:style>
  <w:style w:type="character" w:styleId="150">
    <w:name w:val="Placeholder Text"/>
    <w:basedOn w:val="45"/>
    <w:semiHidden/>
    <w:qFormat/>
    <w:uiPriority w:val="99"/>
    <w:rPr>
      <w:color w:val="808080"/>
    </w:rPr>
  </w:style>
  <w:style w:type="paragraph" w:customStyle="1" w:styleId="151">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152">
    <w:name w:val="样式 Z正文 + 首行缩进:  2 字符1"/>
    <w:basedOn w:val="153"/>
    <w:qFormat/>
    <w:uiPriority w:val="0"/>
    <w:pPr>
      <w:tabs>
        <w:tab w:val="left" w:pos="0"/>
      </w:tabs>
      <w:ind w:firstLine="480"/>
    </w:pPr>
    <w:rPr>
      <w:rFonts w:ascii="Times New Roman" w:cs="宋体"/>
    </w:rPr>
  </w:style>
  <w:style w:type="paragraph" w:customStyle="1" w:styleId="153">
    <w:name w:val="Z正文"/>
    <w:basedOn w:val="154"/>
    <w:qFormat/>
    <w:uiPriority w:val="0"/>
    <w:pPr>
      <w:tabs>
        <w:tab w:val="left" w:pos="0"/>
      </w:tabs>
      <w:adjustRightInd w:val="0"/>
      <w:spacing w:after="0" w:line="240" w:lineRule="auto"/>
      <w:ind w:firstLine="560" w:firstLineChars="200"/>
    </w:pPr>
    <w:rPr>
      <w:rFonts w:eastAsia="仿宋_GB2312"/>
      <w:sz w:val="28"/>
      <w:szCs w:val="28"/>
    </w:rPr>
  </w:style>
  <w:style w:type="paragraph" w:customStyle="1" w:styleId="154">
    <w:name w:val="样式 标题 1标题 11Head 1wsah1一、标题2Part'Document章Ch + 加粗"/>
    <w:basedOn w:val="3"/>
    <w:qFormat/>
    <w:uiPriority w:val="0"/>
    <w:pPr>
      <w:keepNext w:val="0"/>
      <w:keepLines w:val="0"/>
      <w:numPr>
        <w:numId w:val="0"/>
      </w:numPr>
      <w:tabs>
        <w:tab w:val="left" w:pos="0"/>
      </w:tabs>
      <w:spacing w:before="240" w:after="60"/>
      <w:jc w:val="center"/>
    </w:pPr>
    <w:rPr>
      <w:rFonts w:ascii="黑体" w:eastAsia="宋体"/>
      <w:b/>
      <w:bCs/>
    </w:rPr>
  </w:style>
  <w:style w:type="paragraph" w:customStyle="1" w:styleId="155">
    <w:name w:val="样式 正文文本 + 首行缩进:  2 字符"/>
    <w:qFormat/>
    <w:uiPriority w:val="0"/>
    <w:pPr>
      <w:snapToGrid w:val="0"/>
      <w:spacing w:before="60" w:after="160" w:line="480" w:lineRule="exact"/>
      <w:ind w:right="113" w:firstLine="480" w:firstLineChars="200"/>
      <w:jc w:val="both"/>
    </w:pPr>
    <w:rPr>
      <w:rFonts w:ascii="宋体" w:hAnsi="宋体" w:eastAsia="宋体" w:cs="宋体"/>
      <w:sz w:val="24"/>
      <w:lang w:val="en-US" w:eastAsia="zh-CN" w:bidi="ar-SA"/>
    </w:rPr>
  </w:style>
  <w:style w:type="paragraph" w:customStyle="1" w:styleId="156">
    <w:name w:val="纯文本1"/>
    <w:basedOn w:val="1"/>
    <w:qFormat/>
    <w:uiPriority w:val="0"/>
    <w:pPr>
      <w:adjustRightInd w:val="0"/>
      <w:snapToGrid w:val="0"/>
      <w:spacing w:line="240" w:lineRule="auto"/>
      <w:ind w:firstLine="0" w:firstLineChars="0"/>
    </w:pPr>
    <w:rPr>
      <w:rFonts w:hint="eastAsia" w:ascii="宋体" w:hAnsi="Courier New"/>
      <w:kern w:val="0"/>
      <w:sz w:val="21"/>
      <w:szCs w:val="20"/>
    </w:rPr>
  </w:style>
  <w:style w:type="paragraph" w:customStyle="1" w:styleId="157">
    <w:name w:val="！！4正文"/>
    <w:qFormat/>
    <w:uiPriority w:val="0"/>
    <w:pPr>
      <w:tabs>
        <w:tab w:val="left" w:pos="420"/>
      </w:tabs>
      <w:spacing w:before="50" w:beforeLines="50" w:after="50" w:afterLines="50" w:line="360" w:lineRule="auto"/>
      <w:ind w:firstLine="200" w:firstLineChars="200"/>
      <w:jc w:val="both"/>
      <w:textAlignment w:val="baseline"/>
    </w:pPr>
    <w:rPr>
      <w:rFonts w:ascii="Times New Roman" w:hAnsi="Times New Roman" w:eastAsia="宋体" w:cs="Times New Roman"/>
      <w:sz w:val="28"/>
      <w:szCs w:val="24"/>
      <w:lang w:val="en-US" w:eastAsia="zh-CN" w:bidi="ar-SA"/>
    </w:rPr>
  </w:style>
  <w:style w:type="paragraph" w:customStyle="1" w:styleId="158">
    <w:name w:val="图表名"/>
    <w:basedOn w:val="1"/>
    <w:next w:val="1"/>
    <w:qFormat/>
    <w:uiPriority w:val="0"/>
    <w:pPr>
      <w:ind w:firstLine="0" w:firstLineChars="0"/>
      <w:jc w:val="center"/>
    </w:pPr>
    <w:rPr>
      <w:b/>
      <w:kern w:val="0"/>
      <w:szCs w:val="20"/>
    </w:rPr>
  </w:style>
  <w:style w:type="paragraph" w:customStyle="1" w:styleId="159">
    <w:name w:val="扉页标题"/>
    <w:basedOn w:val="1"/>
    <w:qFormat/>
    <w:uiPriority w:val="0"/>
    <w:pPr>
      <w:spacing w:beforeLines="50" w:afterLines="50" w:line="288" w:lineRule="auto"/>
      <w:ind w:firstLine="0" w:firstLineChars="0"/>
      <w:jc w:val="center"/>
    </w:pPr>
    <w:rPr>
      <w:rFonts w:ascii="Arial" w:hAnsi="Arial"/>
      <w:sz w:val="36"/>
    </w:rPr>
  </w:style>
  <w:style w:type="paragraph" w:customStyle="1" w:styleId="160">
    <w:name w:val="工可正文"/>
    <w:basedOn w:val="1"/>
    <w:qFormat/>
    <w:uiPriority w:val="0"/>
    <w:pPr>
      <w:adjustRightInd w:val="0"/>
      <w:snapToGrid w:val="0"/>
      <w:spacing w:beforeLines="50" w:line="360" w:lineRule="exact"/>
      <w:ind w:firstLine="496"/>
    </w:pPr>
    <w:rPr>
      <w:rFonts w:ascii="华文中宋" w:hAnsi="华文中宋" w:eastAsia="华文中宋"/>
      <w:spacing w:val="4"/>
    </w:rPr>
  </w:style>
  <w:style w:type="paragraph" w:customStyle="1" w:styleId="161">
    <w:name w:val="样式 首行缩进:  1 厘米"/>
    <w:basedOn w:val="1"/>
    <w:qFormat/>
    <w:uiPriority w:val="0"/>
    <w:pPr>
      <w:snapToGrid w:val="0"/>
      <w:spacing w:line="480" w:lineRule="atLeast"/>
      <w:ind w:firstLine="567" w:firstLineChars="0"/>
    </w:pPr>
    <w:rPr>
      <w:sz w:val="28"/>
      <w:szCs w:val="20"/>
    </w:rPr>
  </w:style>
  <w:style w:type="paragraph" w:customStyle="1" w:styleId="162">
    <w:name w:val="样式 样式 小4居中 + + 段前: 0.15 行 段后: 0.15 行1"/>
    <w:basedOn w:val="1"/>
    <w:qFormat/>
    <w:uiPriority w:val="0"/>
    <w:pPr>
      <w:snapToGrid w:val="0"/>
      <w:spacing w:beforeLines="15" w:afterLines="15"/>
      <w:ind w:firstLine="0" w:firstLineChars="0"/>
      <w:jc w:val="center"/>
    </w:pPr>
    <w:rPr>
      <w:kern w:val="0"/>
    </w:rPr>
  </w:style>
  <w:style w:type="paragraph" w:customStyle="1" w:styleId="163">
    <w:name w:val="07 环评表格内容"/>
    <w:basedOn w:val="1"/>
    <w:qFormat/>
    <w:uiPriority w:val="0"/>
    <w:pPr>
      <w:widowControl/>
      <w:topLinePunct/>
      <w:spacing w:line="240" w:lineRule="auto"/>
      <w:ind w:firstLine="0" w:firstLineChars="0"/>
      <w:contextualSpacing/>
      <w:jc w:val="center"/>
      <w:textAlignment w:val="center"/>
    </w:pPr>
    <w:rPr>
      <w:color w:val="000000"/>
      <w:kern w:val="0"/>
      <w:sz w:val="21"/>
      <w:szCs w:val="21"/>
    </w:rPr>
  </w:style>
  <w:style w:type="character" w:customStyle="1" w:styleId="164">
    <w:name w:val="15"/>
    <w:qFormat/>
    <w:uiPriority w:val="0"/>
    <w:rPr>
      <w:rFonts w:hint="default" w:ascii="Times New Roman" w:hAnsi="Times New Roman" w:eastAsia="宋体" w:cs="Times New Roman"/>
      <w:sz w:val="24"/>
      <w:szCs w:val="24"/>
    </w:rPr>
  </w:style>
  <w:style w:type="paragraph" w:customStyle="1" w:styleId="165">
    <w:name w:val="表格格式"/>
    <w:basedOn w:val="1"/>
    <w:qFormat/>
    <w:uiPriority w:val="0"/>
    <w:pPr>
      <w:spacing w:line="240" w:lineRule="auto"/>
      <w:ind w:firstLine="0" w:firstLineChars="0"/>
      <w:jc w:val="center"/>
    </w:pPr>
    <w:rPr>
      <w:kern w:val="0"/>
      <w:sz w:val="21"/>
      <w:szCs w:val="21"/>
    </w:rPr>
  </w:style>
  <w:style w:type="paragraph" w:customStyle="1" w:styleId="166">
    <w:name w:val="样式 样式 表头4 + 段前: 0.5 行 + 段前: 0.15 行 段后: 0.15 行"/>
    <w:basedOn w:val="1"/>
    <w:qFormat/>
    <w:uiPriority w:val="0"/>
    <w:pPr>
      <w:snapToGrid w:val="0"/>
      <w:spacing w:beforeLines="15" w:afterLines="15" w:line="480" w:lineRule="atLeast"/>
      <w:ind w:firstLine="0" w:firstLineChars="0"/>
      <w:jc w:val="left"/>
    </w:pPr>
    <w:rPr>
      <w:b/>
      <w:bCs/>
      <w:sz w:val="28"/>
    </w:rPr>
  </w:style>
  <w:style w:type="paragraph" w:customStyle="1" w:styleId="167">
    <w:name w:val="表格内容nlw"/>
    <w:basedOn w:val="33"/>
    <w:qFormat/>
    <w:uiPriority w:val="0"/>
    <w:pPr>
      <w:spacing w:line="300" w:lineRule="exact"/>
      <w:ind w:left="0" w:firstLine="0" w:firstLineChars="0"/>
      <w:jc w:val="center"/>
    </w:pPr>
    <w:rPr>
      <w:sz w:val="21"/>
    </w:rPr>
  </w:style>
  <w:style w:type="character" w:customStyle="1" w:styleId="168">
    <w:name w:val="font21"/>
    <w:basedOn w:val="45"/>
    <w:qFormat/>
    <w:uiPriority w:val="0"/>
    <w:rPr>
      <w:rFonts w:hint="eastAsia" w:ascii="宋体" w:hAnsi="宋体" w:eastAsia="宋体" w:cs="宋体"/>
      <w:color w:val="000000"/>
      <w:sz w:val="21"/>
      <w:szCs w:val="21"/>
      <w:u w:val="none"/>
    </w:rPr>
  </w:style>
  <w:style w:type="character" w:customStyle="1" w:styleId="169">
    <w:name w:val="font11"/>
    <w:basedOn w:val="45"/>
    <w:qFormat/>
    <w:uiPriority w:val="0"/>
    <w:rPr>
      <w:rFonts w:hint="default" w:ascii="Times New Roman" w:hAnsi="Times New Roman" w:cs="Times New Roman"/>
      <w:color w:val="000000"/>
      <w:sz w:val="21"/>
      <w:szCs w:val="21"/>
      <w:u w:val="none"/>
    </w:rPr>
  </w:style>
  <w:style w:type="character" w:customStyle="1" w:styleId="170">
    <w:name w:val="font31"/>
    <w:basedOn w:val="45"/>
    <w:qFormat/>
    <w:uiPriority w:val="0"/>
    <w:rPr>
      <w:rFonts w:hint="default" w:ascii="Times New Roman" w:hAnsi="Times New Roman" w:cs="Times New Roman"/>
      <w:color w:val="000000"/>
      <w:sz w:val="21"/>
      <w:szCs w:val="21"/>
      <w:u w:val="none"/>
      <w:vertAlign w:val="subscript"/>
    </w:rPr>
  </w:style>
  <w:style w:type="paragraph" w:customStyle="1" w:styleId="171">
    <w:name w:val="！！图标题"/>
    <w:basedOn w:val="1"/>
    <w:qFormat/>
    <w:uiPriority w:val="0"/>
    <w:pPr>
      <w:spacing w:line="300" w:lineRule="auto"/>
      <w:ind w:firstLine="0" w:firstLineChars="0"/>
      <w:jc w:val="center"/>
    </w:pPr>
    <w:rPr>
      <w:rFonts w:ascii="宋体" w:hAnsi="宋体"/>
      <w:b/>
      <w:kern w:val="0"/>
    </w:rPr>
  </w:style>
  <w:style w:type="paragraph" w:customStyle="1" w:styleId="172">
    <w:name w:val="样式 仿宋_GB2312 四号"/>
    <w:basedOn w:val="1"/>
    <w:qFormat/>
    <w:uiPriority w:val="0"/>
    <w:pPr>
      <w:adjustRightInd w:val="0"/>
      <w:ind w:firstLine="480"/>
      <w:textAlignment w:val="baseline"/>
    </w:pPr>
    <w:rPr>
      <w:rFonts w:ascii="宋体" w:hAnsi="宋体" w:cs="宋体"/>
      <w:kern w:val="0"/>
      <w:szCs w:val="20"/>
    </w:rPr>
  </w:style>
  <w:style w:type="paragraph" w:customStyle="1" w:styleId="173">
    <w:name w:val="表头"/>
    <w:basedOn w:val="13"/>
    <w:qFormat/>
    <w:uiPriority w:val="0"/>
    <w:pPr>
      <w:ind w:firstLine="0" w:firstLineChars="0"/>
      <w:jc w:val="center"/>
    </w:pPr>
    <w:rPr>
      <w:b/>
      <w:szCs w:val="28"/>
    </w:rPr>
  </w:style>
  <w:style w:type="paragraph" w:customStyle="1" w:styleId="174">
    <w:name w:val="表格文本"/>
    <w:basedOn w:val="1"/>
    <w:next w:val="1"/>
    <w:qFormat/>
    <w:uiPriority w:val="0"/>
    <w:pPr>
      <w:snapToGrid w:val="0"/>
      <w:spacing w:line="240" w:lineRule="auto"/>
      <w:ind w:firstLine="0" w:firstLineChars="0"/>
    </w:pPr>
    <w:rPr>
      <w:kern w:val="0"/>
      <w:sz w:val="21"/>
      <w:szCs w:val="21"/>
    </w:rPr>
  </w:style>
  <w:style w:type="paragraph" w:customStyle="1" w:styleId="175">
    <w:name w:val="新3级标题"/>
    <w:basedOn w:val="176"/>
    <w:qFormat/>
    <w:uiPriority w:val="0"/>
    <w:pPr>
      <w:adjustRightInd w:val="0"/>
      <w:snapToGrid w:val="0"/>
      <w:outlineLvl w:val="2"/>
    </w:pPr>
    <w:rPr>
      <w:kern w:val="2"/>
      <w:sz w:val="28"/>
      <w:szCs w:val="28"/>
    </w:rPr>
  </w:style>
  <w:style w:type="paragraph" w:customStyle="1" w:styleId="176">
    <w:name w:val="新4级标题"/>
    <w:basedOn w:val="177"/>
    <w:qFormat/>
    <w:uiPriority w:val="0"/>
    <w:pPr>
      <w:ind w:left="1680" w:hanging="420"/>
      <w:outlineLvl w:val="3"/>
    </w:pPr>
    <w:rPr>
      <w:sz w:val="24"/>
    </w:rPr>
  </w:style>
  <w:style w:type="paragraph" w:customStyle="1" w:styleId="177">
    <w:name w:val="新1级标题"/>
    <w:basedOn w:val="1"/>
    <w:qFormat/>
    <w:uiPriority w:val="0"/>
    <w:pPr>
      <w:ind w:left="986" w:firstLine="0" w:firstLineChars="0"/>
      <w:outlineLvl w:val="0"/>
    </w:pPr>
    <w:rPr>
      <w:rFonts w:eastAsia="黑体"/>
      <w:kern w:val="0"/>
      <w:sz w:val="32"/>
      <w:szCs w:val="32"/>
    </w:rPr>
  </w:style>
  <w:style w:type="paragraph" w:customStyle="1" w:styleId="178">
    <w:name w:val="报告正文"/>
    <w:basedOn w:val="1"/>
    <w:qFormat/>
    <w:uiPriority w:val="0"/>
    <w:pPr>
      <w:tabs>
        <w:tab w:val="left" w:pos="0"/>
      </w:tabs>
      <w:ind w:firstLine="0" w:firstLineChars="0"/>
    </w:pPr>
    <w:rPr>
      <w:color w:val="000000"/>
      <w:kern w:val="0"/>
      <w:szCs w:val="20"/>
    </w:rPr>
  </w:style>
  <w:style w:type="paragraph" w:customStyle="1" w:styleId="179">
    <w:name w:val="新5级标题 表格"/>
    <w:basedOn w:val="180"/>
    <w:qFormat/>
    <w:uiPriority w:val="0"/>
    <w:pPr>
      <w:ind w:left="2100" w:hanging="420"/>
      <w:outlineLvl w:val="4"/>
    </w:pPr>
  </w:style>
  <w:style w:type="paragraph" w:customStyle="1" w:styleId="180">
    <w:name w:val="表格标题"/>
    <w:basedOn w:val="1"/>
    <w:qFormat/>
    <w:uiPriority w:val="0"/>
    <w:pPr>
      <w:spacing w:line="240" w:lineRule="auto"/>
      <w:ind w:firstLine="0" w:firstLineChars="0"/>
      <w:jc w:val="center"/>
    </w:pPr>
    <w:rPr>
      <w:b/>
      <w:color w:val="000000"/>
      <w:kern w:val="0"/>
      <w:sz w:val="21"/>
      <w:szCs w:val="20"/>
    </w:rPr>
  </w:style>
  <w:style w:type="paragraph" w:customStyle="1" w:styleId="181">
    <w:name w:val="新6级标题 图名"/>
    <w:basedOn w:val="180"/>
    <w:qFormat/>
    <w:uiPriority w:val="0"/>
    <w:pPr>
      <w:ind w:left="2520" w:hanging="420"/>
      <w:outlineLvl w:val="5"/>
    </w:pPr>
  </w:style>
  <w:style w:type="paragraph" w:customStyle="1" w:styleId="182">
    <w:name w:val="新2级标题"/>
    <w:basedOn w:val="1"/>
    <w:qFormat/>
    <w:uiPriority w:val="0"/>
    <w:pPr>
      <w:ind w:left="840" w:firstLine="0" w:firstLineChars="0"/>
      <w:outlineLvl w:val="1"/>
    </w:pPr>
    <w:rPr>
      <w:rFonts w:eastAsia="黑体"/>
      <w:kern w:val="0"/>
      <w:sz w:val="30"/>
      <w:szCs w:val="30"/>
    </w:rPr>
  </w:style>
  <w:style w:type="paragraph" w:customStyle="1" w:styleId="183">
    <w:name w:val="a报告正文"/>
    <w:basedOn w:val="1"/>
    <w:qFormat/>
    <w:uiPriority w:val="0"/>
    <w:pPr>
      <w:adjustRightInd w:val="0"/>
      <w:snapToGrid w:val="0"/>
      <w:jc w:val="left"/>
      <w:textAlignment w:val="baseline"/>
    </w:pPr>
    <w:rPr>
      <w:rFonts w:ascii="宋体"/>
      <w:snapToGrid w:val="0"/>
      <w:kern w:val="0"/>
      <w:szCs w:val="20"/>
    </w:rPr>
  </w:style>
  <w:style w:type="paragraph" w:customStyle="1" w:styleId="184">
    <w:name w:val="三级表名"/>
    <w:basedOn w:val="1"/>
    <w:next w:val="1"/>
    <w:qFormat/>
    <w:uiPriority w:val="0"/>
    <w:pPr>
      <w:tabs>
        <w:tab w:val="left" w:pos="420"/>
      </w:tabs>
      <w:spacing w:line="240" w:lineRule="auto"/>
      <w:ind w:left="2520" w:firstLine="0" w:firstLineChars="0"/>
      <w:jc w:val="center"/>
    </w:pPr>
    <w:rPr>
      <w:b/>
      <w:kern w:val="0"/>
      <w:szCs w:val="20"/>
    </w:rPr>
  </w:style>
  <w:style w:type="paragraph" w:customStyle="1" w:styleId="185">
    <w:name w:val="表格"/>
    <w:basedOn w:val="33"/>
    <w:next w:val="1"/>
    <w:qFormat/>
    <w:uiPriority w:val="0"/>
    <w:pPr>
      <w:spacing w:line="240" w:lineRule="auto"/>
      <w:ind w:firstLine="0" w:firstLineChars="0"/>
      <w:jc w:val="center"/>
    </w:pPr>
    <w:rPr>
      <w:sz w:val="21"/>
    </w:rPr>
  </w:style>
  <w:style w:type="paragraph" w:customStyle="1" w:styleId="186">
    <w:name w:val="图片编号"/>
    <w:basedOn w:val="1"/>
    <w:link w:val="187"/>
    <w:qFormat/>
    <w:uiPriority w:val="0"/>
    <w:pPr>
      <w:overflowPunct w:val="0"/>
      <w:spacing w:after="160"/>
      <w:ind w:firstLine="0" w:firstLineChars="0"/>
      <w:jc w:val="center"/>
    </w:pPr>
    <w:rPr>
      <w:rFonts w:cstheme="minorBidi"/>
      <w:b/>
      <w:sz w:val="21"/>
      <w:szCs w:val="21"/>
    </w:rPr>
  </w:style>
  <w:style w:type="character" w:customStyle="1" w:styleId="187">
    <w:name w:val="图片编号 字符"/>
    <w:basedOn w:val="45"/>
    <w:link w:val="186"/>
    <w:qFormat/>
    <w:uiPriority w:val="0"/>
    <w:rPr>
      <w:rFonts w:cstheme="minorBidi"/>
      <w:b/>
      <w:kern w:val="2"/>
      <w:sz w:val="21"/>
      <w:szCs w:val="21"/>
    </w:rPr>
  </w:style>
  <w:style w:type="paragraph" w:customStyle="1" w:styleId="188">
    <w:name w:val="表格编号"/>
    <w:basedOn w:val="1"/>
    <w:link w:val="189"/>
    <w:qFormat/>
    <w:uiPriority w:val="0"/>
    <w:pPr>
      <w:overflowPunct w:val="0"/>
      <w:spacing w:after="160"/>
      <w:ind w:firstLine="0" w:firstLineChars="0"/>
      <w:jc w:val="center"/>
    </w:pPr>
    <w:rPr>
      <w:b/>
      <w:sz w:val="21"/>
    </w:rPr>
  </w:style>
  <w:style w:type="character" w:customStyle="1" w:styleId="189">
    <w:name w:val="表格编号 字符"/>
    <w:basedOn w:val="45"/>
    <w:link w:val="188"/>
    <w:qFormat/>
    <w:uiPriority w:val="0"/>
    <w:rPr>
      <w:b/>
      <w:kern w:val="2"/>
      <w:sz w:val="21"/>
      <w:szCs w:val="24"/>
    </w:rPr>
  </w:style>
  <w:style w:type="table" w:customStyle="1" w:styleId="190">
    <w:name w:val="网格型1"/>
    <w:basedOn w:val="43"/>
    <w:qFormat/>
    <w:uiPriority w:val="39"/>
    <w:pPr>
      <w:spacing w:after="160" w:line="278"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1">
    <w:name w:val="网格型2"/>
    <w:basedOn w:val="43"/>
    <w:qFormat/>
    <w:uiPriority w:val="0"/>
    <w:pPr>
      <w:spacing w:after="160" w:line="278"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2">
    <w:name w:val="Table Normal8"/>
    <w:basedOn w:val="43"/>
    <w:qFormat/>
    <w:uiPriority w:val="0"/>
    <w:rPr>
      <w:rFonts w:eastAsia="Times New Roman"/>
    </w:rPr>
    <w:tblPr>
      <w:tblCellMar>
        <w:left w:w="0" w:type="dxa"/>
        <w:right w:w="0" w:type="dxa"/>
      </w:tblCellMar>
    </w:tblPr>
  </w:style>
  <w:style w:type="table" w:customStyle="1" w:styleId="193">
    <w:name w:val="网格型3"/>
    <w:basedOn w:val="43"/>
    <w:qFormat/>
    <w:uiPriority w:val="0"/>
    <w:pPr>
      <w:spacing w:after="160" w:line="278"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94">
    <w:name w:val="hover27"/>
    <w:basedOn w:val="45"/>
    <w:qFormat/>
    <w:uiPriority w:val="0"/>
  </w:style>
  <w:style w:type="paragraph" w:customStyle="1" w:styleId="195">
    <w:name w:val="biaogebiaoti"/>
    <w:qFormat/>
    <w:uiPriority w:val="0"/>
    <w:pPr>
      <w:widowControl w:val="0"/>
      <w:overflowPunct w:val="0"/>
      <w:spacing w:after="160"/>
      <w:ind w:firstLine="200"/>
      <w:jc w:val="center"/>
    </w:pPr>
    <w:rPr>
      <w:rFonts w:ascii="Calibri" w:hAnsi="Calibri" w:eastAsia="宋体" w:cs="Times New Roman"/>
      <w:b/>
      <w:kern w:val="2"/>
      <w:sz w:val="21"/>
      <w:szCs w:val="24"/>
      <w:lang w:val="en-US" w:eastAsia="zh-CN" w:bidi="ar-SA"/>
    </w:rPr>
  </w:style>
  <w:style w:type="paragraph" w:customStyle="1" w:styleId="196">
    <w:name w:val="正文文本首行缩进1"/>
    <w:next w:val="42"/>
    <w:qFormat/>
    <w:uiPriority w:val="0"/>
    <w:pPr>
      <w:widowControl w:val="0"/>
      <w:spacing w:after="160" w:line="278" w:lineRule="auto"/>
      <w:ind w:firstLine="420" w:firstLineChars="100"/>
      <w:jc w:val="both"/>
    </w:pPr>
    <w:rPr>
      <w:rFonts w:hint="eastAsia" w:ascii="Calibri" w:hAnsi="Calibri" w:eastAsia="宋体" w:cs="方正大标宋简体"/>
      <w:sz w:val="24"/>
      <w:lang w:val="en-US" w:eastAsia="zh-CN" w:bidi="ar-SA"/>
    </w:rPr>
  </w:style>
  <w:style w:type="paragraph" w:customStyle="1" w:styleId="197">
    <w:name w:val="居中"/>
    <w:basedOn w:val="1"/>
    <w:link w:val="198"/>
    <w:qFormat/>
    <w:uiPriority w:val="0"/>
    <w:pPr>
      <w:overflowPunct w:val="0"/>
      <w:spacing w:after="160"/>
      <w:ind w:firstLine="0" w:firstLineChars="0"/>
      <w:jc w:val="center"/>
    </w:pPr>
    <w:rPr>
      <w:szCs w:val="21"/>
    </w:rPr>
  </w:style>
  <w:style w:type="character" w:customStyle="1" w:styleId="198">
    <w:name w:val="居中 字符"/>
    <w:basedOn w:val="45"/>
    <w:link w:val="197"/>
    <w:qFormat/>
    <w:uiPriority w:val="0"/>
    <w:rPr>
      <w:kern w:val="2"/>
      <w:sz w:val="24"/>
      <w:szCs w:val="21"/>
    </w:rPr>
  </w:style>
  <w:style w:type="paragraph" w:customStyle="1" w:styleId="199">
    <w:name w:val="表格两端对齐"/>
    <w:basedOn w:val="91"/>
    <w:link w:val="200"/>
    <w:qFormat/>
    <w:uiPriority w:val="0"/>
    <w:pPr>
      <w:overflowPunct w:val="0"/>
      <w:adjustRightInd/>
      <w:snapToGrid/>
      <w:spacing w:after="160"/>
      <w:jc w:val="both"/>
    </w:pPr>
    <w:rPr>
      <w:snapToGrid/>
      <w:kern w:val="2"/>
    </w:rPr>
  </w:style>
  <w:style w:type="character" w:customStyle="1" w:styleId="200">
    <w:name w:val="表格两端对齐 字符"/>
    <w:basedOn w:val="92"/>
    <w:link w:val="199"/>
    <w:qFormat/>
    <w:uiPriority w:val="0"/>
    <w:rPr>
      <w:rFonts w:hAnsi="宋体"/>
      <w:snapToGrid/>
      <w:kern w:val="2"/>
      <w:sz w:val="21"/>
      <w:szCs w:val="21"/>
    </w:rPr>
  </w:style>
  <w:style w:type="paragraph" w:styleId="201">
    <w:name w:val="No Spacing"/>
    <w:basedOn w:val="1"/>
    <w:link w:val="202"/>
    <w:qFormat/>
    <w:uiPriority w:val="1"/>
    <w:pPr>
      <w:spacing w:line="240" w:lineRule="auto"/>
      <w:ind w:firstLine="0" w:firstLineChars="0"/>
      <w:jc w:val="center"/>
    </w:pPr>
    <w:rPr>
      <w:bCs/>
      <w:sz w:val="13"/>
      <w:szCs w:val="21"/>
    </w:rPr>
  </w:style>
  <w:style w:type="character" w:customStyle="1" w:styleId="202">
    <w:name w:val="无间隔 字符"/>
    <w:basedOn w:val="45"/>
    <w:link w:val="201"/>
    <w:qFormat/>
    <w:uiPriority w:val="1"/>
    <w:rPr>
      <w:bCs/>
      <w:kern w:val="2"/>
      <w:sz w:val="13"/>
      <w:szCs w:val="21"/>
    </w:rPr>
  </w:style>
  <w:style w:type="paragraph" w:customStyle="1" w:styleId="203">
    <w:name w:val="Char Char Char Char Char Char Char"/>
    <w:basedOn w:val="1"/>
    <w:qFormat/>
    <w:uiPriority w:val="0"/>
    <w:pPr>
      <w:spacing w:after="160"/>
    </w:pPr>
    <w:rPr>
      <w:rFonts w:ascii="宋体" w:hAnsi="宋体" w:cs="宋体"/>
    </w:rPr>
  </w:style>
  <w:style w:type="paragraph" w:customStyle="1" w:styleId="204">
    <w:name w:val="表格小五"/>
    <w:basedOn w:val="201"/>
    <w:link w:val="205"/>
    <w:qFormat/>
    <w:uiPriority w:val="0"/>
    <w:rPr>
      <w:bCs w:val="0"/>
      <w:sz w:val="18"/>
    </w:rPr>
  </w:style>
  <w:style w:type="character" w:customStyle="1" w:styleId="205">
    <w:name w:val="表格小五 Char"/>
    <w:basedOn w:val="45"/>
    <w:link w:val="204"/>
    <w:qFormat/>
    <w:uiPriority w:val="0"/>
    <w:rPr>
      <w:rFonts w:eastAsia="仿宋_GB2312"/>
      <w:kern w:val="2"/>
      <w:sz w:val="18"/>
      <w:szCs w:val="21"/>
    </w:rPr>
  </w:style>
  <w:style w:type="paragraph" w:customStyle="1" w:styleId="206">
    <w:name w:val="序列号"/>
    <w:basedOn w:val="1"/>
    <w:link w:val="207"/>
    <w:qFormat/>
    <w:uiPriority w:val="0"/>
    <w:pPr>
      <w:widowControl/>
      <w:spacing w:after="160" w:line="480" w:lineRule="exact"/>
      <w:ind w:firstLine="0" w:firstLineChars="0"/>
      <w:jc w:val="center"/>
    </w:pPr>
    <w:rPr>
      <w:rFonts w:eastAsia="仿宋_GB2312" w:cs="Calibri"/>
      <w:b/>
      <w:szCs w:val="22"/>
    </w:rPr>
  </w:style>
  <w:style w:type="character" w:customStyle="1" w:styleId="207">
    <w:name w:val="序列号 Char"/>
    <w:basedOn w:val="45"/>
    <w:link w:val="206"/>
    <w:qFormat/>
    <w:uiPriority w:val="0"/>
    <w:rPr>
      <w:rFonts w:eastAsia="仿宋_GB2312" w:cs="Calibri"/>
      <w:b/>
      <w:kern w:val="2"/>
      <w:sz w:val="24"/>
      <w:szCs w:val="22"/>
    </w:rPr>
  </w:style>
  <w:style w:type="paragraph" w:customStyle="1" w:styleId="208">
    <w:name w:val="表格1"/>
    <w:basedOn w:val="1"/>
    <w:next w:val="1"/>
    <w:qFormat/>
    <w:uiPriority w:val="0"/>
    <w:pPr>
      <w:tabs>
        <w:tab w:val="left" w:pos="3105"/>
      </w:tabs>
      <w:spacing w:after="160" w:line="240" w:lineRule="exact"/>
      <w:ind w:firstLine="0" w:firstLineChars="0"/>
      <w:jc w:val="center"/>
    </w:pPr>
    <w:rPr>
      <w:rFonts w:ascii="宋体" w:hAnsi="宋体"/>
      <w:sz w:val="18"/>
      <w:szCs w:val="21"/>
    </w:rPr>
  </w:style>
  <w:style w:type="paragraph" w:customStyle="1" w:styleId="209">
    <w:name w:val="表格居中"/>
    <w:basedOn w:val="1"/>
    <w:next w:val="1"/>
    <w:qFormat/>
    <w:uiPriority w:val="0"/>
    <w:pPr>
      <w:overflowPunct w:val="0"/>
      <w:spacing w:after="160" w:line="240" w:lineRule="auto"/>
      <w:ind w:firstLine="0" w:firstLineChars="0"/>
      <w:jc w:val="center"/>
    </w:pPr>
    <w:rPr>
      <w:sz w:val="21"/>
      <w:szCs w:val="21"/>
    </w:rPr>
  </w:style>
  <w:style w:type="character" w:customStyle="1" w:styleId="210">
    <w:name w:val="font71"/>
    <w:qFormat/>
    <w:uiPriority w:val="0"/>
    <w:rPr>
      <w:rFonts w:hint="eastAsia" w:ascii="宋体" w:hAnsi="宋体" w:eastAsia="宋体" w:cs="宋体"/>
      <w:color w:val="000000"/>
      <w:sz w:val="22"/>
      <w:szCs w:val="22"/>
      <w:u w:val="none"/>
    </w:rPr>
  </w:style>
  <w:style w:type="table" w:customStyle="1" w:styleId="211">
    <w:name w:val="Table Normal9"/>
    <w:semiHidden/>
    <w:unhideWhenUsed/>
    <w:qFormat/>
    <w:uiPriority w:val="0"/>
    <w:pPr>
      <w:spacing w:after="160" w:line="278" w:lineRule="auto"/>
    </w:pPr>
    <w:tblPr>
      <w:tblCellMar>
        <w:top w:w="0" w:type="dxa"/>
        <w:left w:w="0" w:type="dxa"/>
        <w:bottom w:w="0" w:type="dxa"/>
        <w:right w:w="0" w:type="dxa"/>
      </w:tblCellMar>
    </w:tblPr>
  </w:style>
  <w:style w:type="paragraph" w:customStyle="1" w:styleId="212">
    <w:name w:val="正文首行缩进3"/>
    <w:qFormat/>
    <w:uiPriority w:val="0"/>
    <w:pPr>
      <w:widowControl w:val="0"/>
      <w:overflowPunct w:val="0"/>
      <w:spacing w:after="160" w:line="360" w:lineRule="auto"/>
      <w:ind w:firstLine="454" w:firstLineChars="200"/>
      <w:jc w:val="both"/>
    </w:pPr>
    <w:rPr>
      <w:rFonts w:ascii="Times New Roman" w:hAnsi="Times New Roman" w:eastAsia="宋体" w:cs="Times New Roman"/>
      <w:kern w:val="2"/>
      <w:sz w:val="24"/>
      <w:szCs w:val="21"/>
      <w:lang w:val="en-US" w:eastAsia="zh-CN" w:bidi="ar-SA"/>
    </w:rPr>
  </w:style>
  <w:style w:type="paragraph" w:customStyle="1" w:styleId="213">
    <w:name w:val="我的正文"/>
    <w:qFormat/>
    <w:uiPriority w:val="0"/>
    <w:pPr>
      <w:widowControl w:val="0"/>
      <w:spacing w:after="160" w:line="278" w:lineRule="auto"/>
      <w:ind w:firstLine="200" w:firstLineChars="200"/>
      <w:jc w:val="both"/>
    </w:pPr>
    <w:rPr>
      <w:rFonts w:ascii="Times New Roman" w:hAnsi="Times New Roman" w:eastAsia="宋体" w:cs="Times New Roman"/>
      <w:snapToGrid w:val="0"/>
      <w:sz w:val="28"/>
      <w:szCs w:val="21"/>
      <w:lang w:val="en-US" w:eastAsia="zh-CN" w:bidi="ar-SA"/>
    </w:rPr>
  </w:style>
  <w:style w:type="paragraph" w:customStyle="1" w:styleId="214">
    <w:name w:val="Table Text"/>
    <w:basedOn w:val="1"/>
    <w:semiHidden/>
    <w:qFormat/>
    <w:uiPriority w:val="0"/>
    <w:pPr>
      <w:overflowPunct w:val="0"/>
      <w:spacing w:after="160"/>
    </w:pPr>
    <w:rPr>
      <w:rFonts w:ascii="宋体" w:hAnsi="宋体" w:cs="宋体"/>
      <w:sz w:val="25"/>
      <w:szCs w:val="25"/>
      <w:lang w:eastAsia="en-US"/>
    </w:rPr>
  </w:style>
  <w:style w:type="paragraph" w:customStyle="1" w:styleId="215">
    <w:name w:val="【正文】"/>
    <w:qFormat/>
    <w:uiPriority w:val="0"/>
    <w:pPr>
      <w:widowControl w:val="0"/>
      <w:spacing w:before="120" w:after="120" w:line="312" w:lineRule="auto"/>
      <w:ind w:firstLine="200" w:firstLineChars="200"/>
      <w:jc w:val="both"/>
    </w:pPr>
    <w:rPr>
      <w:rFonts w:ascii="Times New Roman" w:hAnsi="Times New Roman" w:eastAsia="宋体" w:cs="Times New Roman"/>
      <w:sz w:val="24"/>
      <w:lang w:val="en-US" w:eastAsia="zh-CN" w:bidi="ar-SA"/>
    </w:rPr>
  </w:style>
  <w:style w:type="paragraph" w:customStyle="1" w:styleId="216">
    <w:name w:val="图表文字"/>
    <w:qFormat/>
    <w:uiPriority w:val="0"/>
    <w:pPr>
      <w:widowControl w:val="0"/>
      <w:adjustRightInd w:val="0"/>
      <w:snapToGrid w:val="0"/>
      <w:spacing w:after="160"/>
    </w:pPr>
    <w:rPr>
      <w:rFonts w:ascii="Times New Roman" w:hAnsi="Times New Roman" w:eastAsia="宋体" w:cs="Times New Roman"/>
      <w:sz w:val="21"/>
      <w:szCs w:val="24"/>
      <w:lang w:val="en-US" w:eastAsia="zh-CN" w:bidi="ar-SA"/>
    </w:rPr>
  </w:style>
  <w:style w:type="table" w:customStyle="1" w:styleId="217">
    <w:name w:val="Table Normal10"/>
    <w:unhideWhenUsed/>
    <w:qFormat/>
    <w:uiPriority w:val="0"/>
    <w:tblPr>
      <w:tblCellMar>
        <w:top w:w="0" w:type="dxa"/>
        <w:left w:w="0" w:type="dxa"/>
        <w:bottom w:w="0" w:type="dxa"/>
        <w:right w:w="0" w:type="dxa"/>
      </w:tblCellMar>
    </w:tblPr>
  </w:style>
  <w:style w:type="table" w:customStyle="1" w:styleId="218">
    <w:name w:val="网格型4"/>
    <w:basedOn w:val="4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9">
    <w:name w:val="Table Normal11"/>
    <w:unhideWhenUsed/>
    <w:qFormat/>
    <w:uiPriority w:val="0"/>
    <w:tblPr>
      <w:tblCellMar>
        <w:top w:w="0" w:type="dxa"/>
        <w:left w:w="0" w:type="dxa"/>
        <w:bottom w:w="0" w:type="dxa"/>
        <w:right w:w="0" w:type="dxa"/>
      </w:tblCellMar>
    </w:tblPr>
  </w:style>
  <w:style w:type="paragraph" w:customStyle="1" w:styleId="220">
    <w:name w:val="正文图、表标题"/>
    <w:basedOn w:val="1"/>
    <w:link w:val="221"/>
    <w:autoRedefine/>
    <w:qFormat/>
    <w:uiPriority w:val="0"/>
    <w:pPr>
      <w:spacing w:line="240" w:lineRule="auto"/>
      <w:ind w:firstLine="0" w:firstLineChars="0"/>
      <w:jc w:val="center"/>
    </w:pPr>
    <w:rPr>
      <w:rFonts w:cs="宋体"/>
      <w:b/>
      <w:spacing w:val="-2"/>
      <w:kern w:val="0"/>
      <w:sz w:val="21"/>
      <w:szCs w:val="18"/>
    </w:rPr>
  </w:style>
  <w:style w:type="character" w:customStyle="1" w:styleId="221">
    <w:name w:val="正文图、表标题 字符"/>
    <w:basedOn w:val="45"/>
    <w:link w:val="220"/>
    <w:qFormat/>
    <w:uiPriority w:val="0"/>
    <w:rPr>
      <w:rFonts w:cs="宋体"/>
      <w:b/>
      <w:spacing w:val="-2"/>
      <w:sz w:val="21"/>
      <w:szCs w:val="18"/>
    </w:rPr>
  </w:style>
  <w:style w:type="character" w:customStyle="1" w:styleId="222">
    <w:name w:val="表格内容 字符"/>
    <w:basedOn w:val="221"/>
    <w:qFormat/>
    <w:uiPriority w:val="0"/>
    <w:rPr>
      <w:rFonts w:cs="宋体"/>
      <w:b w:val="0"/>
      <w:spacing w:val="-2"/>
      <w:sz w:val="21"/>
      <w:szCs w:val="18"/>
    </w:rPr>
  </w:style>
  <w:style w:type="paragraph" w:customStyle="1" w:styleId="223">
    <w:name w:val="正文表头"/>
    <w:basedOn w:val="91"/>
    <w:link w:val="224"/>
    <w:autoRedefine/>
    <w:qFormat/>
    <w:uiPriority w:val="0"/>
    <w:pPr>
      <w:adjustRightInd/>
      <w:snapToGrid/>
      <w:jc w:val="center"/>
    </w:pPr>
    <w:rPr>
      <w:rFonts w:hAnsi="Times New Roman" w:cs="宋体"/>
      <w:b/>
      <w:snapToGrid/>
      <w:spacing w:val="-2"/>
    </w:rPr>
  </w:style>
  <w:style w:type="character" w:customStyle="1" w:styleId="224">
    <w:name w:val="正文表头 字符"/>
    <w:basedOn w:val="222"/>
    <w:link w:val="223"/>
    <w:qFormat/>
    <w:uiPriority w:val="0"/>
    <w:rPr>
      <w:rFonts w:cs="宋体"/>
      <w:b/>
      <w:spacing w:val="-2"/>
      <w:sz w:val="21"/>
      <w:szCs w:val="21"/>
    </w:rPr>
  </w:style>
  <w:style w:type="paragraph" w:customStyle="1" w:styleId="225">
    <w:name w:val="样式 小四 首行缩进: 2 字符"/>
    <w:basedOn w:val="1"/>
    <w:qFormat/>
    <w:uiPriority w:val="0"/>
    <w:pPr>
      <w:widowControl/>
      <w:snapToGrid w:val="0"/>
      <w:jc w:val="left"/>
    </w:pPr>
    <w:rPr>
      <w:kern w:val="0"/>
      <w:sz w:val="28"/>
      <w:szCs w:val="28"/>
    </w:rPr>
  </w:style>
  <w:style w:type="paragraph" w:customStyle="1" w:styleId="226">
    <w:name w:val="正文(首行缩进)"/>
    <w:basedOn w:val="1"/>
    <w:qFormat/>
    <w:uiPriority w:val="0"/>
    <w:pPr>
      <w:ind w:firstLine="510" w:firstLineChars="0"/>
    </w:pPr>
    <w:rPr>
      <w:rFonts w:ascii="宋体" w:hAnsi="宋体"/>
      <w:snapToGrid w:val="0"/>
      <w:kern w:val="0"/>
    </w:rPr>
  </w:style>
  <w:style w:type="paragraph" w:customStyle="1" w:styleId="227">
    <w:name w:val="表题"/>
    <w:basedOn w:val="178"/>
    <w:link w:val="228"/>
    <w:qFormat/>
    <w:uiPriority w:val="0"/>
    <w:pPr>
      <w:widowControl/>
      <w:tabs>
        <w:tab w:val="clear" w:pos="0"/>
      </w:tabs>
      <w:spacing w:beforeLines="20" w:afterLines="20" w:line="240" w:lineRule="auto"/>
      <w:jc w:val="center"/>
    </w:pPr>
    <w:rPr>
      <w:rFonts w:ascii="宋体" w:hAnsi="宋体" w:cs="宋体"/>
      <w:b/>
      <w:color w:val="auto"/>
      <w:szCs w:val="24"/>
    </w:rPr>
  </w:style>
  <w:style w:type="character" w:customStyle="1" w:styleId="228">
    <w:name w:val="表题 Char Char"/>
    <w:link w:val="227"/>
    <w:qFormat/>
    <w:uiPriority w:val="0"/>
    <w:rPr>
      <w:rFonts w:ascii="宋体" w:hAnsi="宋体" w:cs="宋体"/>
      <w:b/>
      <w:sz w:val="24"/>
      <w:szCs w:val="24"/>
    </w:rPr>
  </w:style>
  <w:style w:type="paragraph" w:customStyle="1" w:styleId="229">
    <w:name w:val="报告表正文"/>
    <w:basedOn w:val="1"/>
    <w:link w:val="230"/>
    <w:qFormat/>
    <w:uiPriority w:val="0"/>
    <w:pPr>
      <w:widowControl/>
      <w:ind w:firstLine="480"/>
      <w:jc w:val="left"/>
    </w:pPr>
    <w:rPr>
      <w:rFonts w:ascii="宋体" w:hAnsi="宋体" w:cs="宋体"/>
      <w:kern w:val="0"/>
    </w:rPr>
  </w:style>
  <w:style w:type="character" w:customStyle="1" w:styleId="230">
    <w:name w:val="报告表正文 Char"/>
    <w:basedOn w:val="45"/>
    <w:link w:val="229"/>
    <w:qFormat/>
    <w:uiPriority w:val="0"/>
    <w:rPr>
      <w:rFonts w:ascii="宋体" w:hAnsi="宋体" w:cs="宋体"/>
      <w:sz w:val="24"/>
      <w:szCs w:val="24"/>
    </w:rPr>
  </w:style>
  <w:style w:type="table" w:customStyle="1" w:styleId="231">
    <w:name w:val="表格样式2"/>
    <w:basedOn w:val="43"/>
    <w:qFormat/>
    <w:uiPriority w:val="0"/>
    <w:pPr>
      <w:jc w:val="center"/>
    </w:pPr>
    <w:rPr>
      <w:sz w:val="21"/>
    </w:rPr>
    <w:tblPr>
      <w:tblBorders>
        <w:top w:val="single" w:color="auto" w:sz="12" w:space="0"/>
        <w:bottom w:val="single" w:color="auto" w:sz="12" w:space="0"/>
        <w:insideH w:val="single" w:color="auto" w:sz="2" w:space="0"/>
        <w:insideV w:val="single" w:color="auto" w:sz="2" w:space="0"/>
      </w:tblBorders>
    </w:tblPr>
    <w:tcPr>
      <w:vAlign w:val="center"/>
    </w:tcPr>
  </w:style>
  <w:style w:type="paragraph" w:customStyle="1" w:styleId="232">
    <w:name w:val="标红—表格内容"/>
    <w:basedOn w:val="91"/>
    <w:link w:val="233"/>
    <w:autoRedefine/>
    <w:qFormat/>
    <w:uiPriority w:val="0"/>
    <w:pPr>
      <w:adjustRightInd/>
      <w:snapToGrid/>
      <w:jc w:val="both"/>
    </w:pPr>
    <w:rPr>
      <w:rFonts w:hAnsi="Times New Roman" w:cs="宋体"/>
      <w:snapToGrid/>
      <w:color w:val="FF0000"/>
      <w:spacing w:val="-2"/>
      <w:szCs w:val="18"/>
      <w:u w:val="single"/>
    </w:rPr>
  </w:style>
  <w:style w:type="character" w:customStyle="1" w:styleId="233">
    <w:name w:val="标红—表格内容 字符"/>
    <w:basedOn w:val="222"/>
    <w:link w:val="232"/>
    <w:qFormat/>
    <w:uiPriority w:val="0"/>
    <w:rPr>
      <w:rFonts w:cs="宋体"/>
      <w:color w:val="FF0000"/>
      <w:spacing w:val="-2"/>
      <w:sz w:val="21"/>
      <w:szCs w:val="18"/>
      <w:u w:val="single"/>
    </w:rPr>
  </w:style>
  <w:style w:type="paragraph" w:customStyle="1" w:styleId="234">
    <w:name w:val="列表段落2"/>
    <w:basedOn w:val="1"/>
    <w:next w:val="1"/>
    <w:qFormat/>
    <w:uiPriority w:val="0"/>
    <w:pPr>
      <w:widowControl/>
      <w:wordWrap w:val="0"/>
      <w:spacing w:line="240" w:lineRule="auto"/>
      <w:ind w:left="850" w:firstLine="0" w:firstLineChars="0"/>
    </w:pPr>
    <w:rPr>
      <w:kern w:val="0"/>
      <w:sz w:val="21"/>
      <w:szCs w:val="20"/>
    </w:rPr>
  </w:style>
  <w:style w:type="paragraph" w:customStyle="1" w:styleId="235">
    <w:name w:val="论证表头"/>
    <w:basedOn w:val="1"/>
    <w:link w:val="236"/>
    <w:qFormat/>
    <w:uiPriority w:val="0"/>
    <w:pPr>
      <w:keepNext/>
      <w:widowControl/>
      <w:spacing w:line="240" w:lineRule="auto"/>
      <w:ind w:firstLine="0" w:firstLineChars="0"/>
      <w:jc w:val="center"/>
    </w:pPr>
    <w:rPr>
      <w:rFonts w:cstheme="majorBidi"/>
      <w:b/>
      <w:szCs w:val="20"/>
    </w:rPr>
  </w:style>
  <w:style w:type="character" w:customStyle="1" w:styleId="236">
    <w:name w:val="论证表头 字符"/>
    <w:basedOn w:val="45"/>
    <w:link w:val="235"/>
    <w:qFormat/>
    <w:uiPriority w:val="0"/>
    <w:rPr>
      <w:rFonts w:cstheme="majorBidi"/>
      <w:b/>
      <w:kern w:val="2"/>
      <w:sz w:val="24"/>
    </w:rPr>
  </w:style>
  <w:style w:type="character" w:customStyle="1" w:styleId="237">
    <w:name w:val="正文加强 字符"/>
    <w:link w:val="238"/>
    <w:qFormat/>
    <w:uiPriority w:val="0"/>
    <w:rPr>
      <w:b/>
      <w:sz w:val="24"/>
      <w:szCs w:val="24"/>
    </w:rPr>
  </w:style>
  <w:style w:type="paragraph" w:customStyle="1" w:styleId="238">
    <w:name w:val="正文加强"/>
    <w:basedOn w:val="1"/>
    <w:link w:val="237"/>
    <w:qFormat/>
    <w:uiPriority w:val="0"/>
    <w:pPr>
      <w:snapToGrid w:val="0"/>
      <w:ind w:firstLine="0" w:firstLineChars="0"/>
    </w:pPr>
    <w:rPr>
      <w:b/>
      <w:kern w:val="0"/>
    </w:rPr>
  </w:style>
  <w:style w:type="character" w:customStyle="1" w:styleId="239">
    <w:name w:val="报告正文 Char Char"/>
    <w:qFormat/>
    <w:uiPriority w:val="1"/>
    <w:rPr>
      <w:rFonts w:ascii="Times New Roman" w:hAnsi="Times New Roman" w:eastAsia="宋体" w:cs="Times New Roman"/>
      <w:sz w:val="24"/>
    </w:rPr>
  </w:style>
  <w:style w:type="paragraph" w:customStyle="1" w:styleId="240">
    <w:name w:val="论证正文加粗"/>
    <w:basedOn w:val="1"/>
    <w:link w:val="241"/>
    <w:qFormat/>
    <w:uiPriority w:val="0"/>
    <w:pPr>
      <w:spacing w:line="240" w:lineRule="auto"/>
      <w:ind w:firstLine="0" w:firstLineChars="0"/>
      <w:jc w:val="left"/>
    </w:pPr>
    <w:rPr>
      <w:b/>
      <w:bCs/>
      <w:szCs w:val="21"/>
    </w:rPr>
  </w:style>
  <w:style w:type="character" w:customStyle="1" w:styleId="241">
    <w:name w:val="论证正文加粗 字符"/>
    <w:basedOn w:val="45"/>
    <w:link w:val="240"/>
    <w:qFormat/>
    <w:uiPriority w:val="0"/>
    <w:rPr>
      <w:b/>
      <w:bCs/>
      <w:kern w:val="2"/>
      <w:sz w:val="24"/>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45.wmf"/><Relationship Id="rId98" Type="http://schemas.openxmlformats.org/officeDocument/2006/relationships/oleObject" Target="embeddings/oleObject7.bin"/><Relationship Id="rId97" Type="http://schemas.openxmlformats.org/officeDocument/2006/relationships/image" Target="media/image44.wmf"/><Relationship Id="rId96" Type="http://schemas.openxmlformats.org/officeDocument/2006/relationships/oleObject" Target="embeddings/oleObject6.bin"/><Relationship Id="rId95" Type="http://schemas.openxmlformats.org/officeDocument/2006/relationships/image" Target="media/image43.wmf"/><Relationship Id="rId94" Type="http://schemas.openxmlformats.org/officeDocument/2006/relationships/oleObject" Target="embeddings/oleObject5.bin"/><Relationship Id="rId93" Type="http://schemas.openxmlformats.org/officeDocument/2006/relationships/image" Target="media/image42.wmf"/><Relationship Id="rId92" Type="http://schemas.openxmlformats.org/officeDocument/2006/relationships/oleObject" Target="embeddings/oleObject4.bin"/><Relationship Id="rId91" Type="http://schemas.openxmlformats.org/officeDocument/2006/relationships/image" Target="media/image41.wmf"/><Relationship Id="rId90" Type="http://schemas.openxmlformats.org/officeDocument/2006/relationships/oleObject" Target="embeddings/oleObject3.bin"/><Relationship Id="rId9" Type="http://schemas.openxmlformats.org/officeDocument/2006/relationships/footer" Target="footer3.xml"/><Relationship Id="rId89" Type="http://schemas.openxmlformats.org/officeDocument/2006/relationships/image" Target="media/image40.wmf"/><Relationship Id="rId88" Type="http://schemas.openxmlformats.org/officeDocument/2006/relationships/oleObject" Target="embeddings/oleObject2.bin"/><Relationship Id="rId87" Type="http://schemas.openxmlformats.org/officeDocument/2006/relationships/image" Target="media/image39.wmf"/><Relationship Id="rId86" Type="http://schemas.openxmlformats.org/officeDocument/2006/relationships/oleObject" Target="embeddings/oleObject1.bin"/><Relationship Id="rId85" Type="http://schemas.openxmlformats.org/officeDocument/2006/relationships/image" Target="media/image38.png"/><Relationship Id="rId84" Type="http://schemas.openxmlformats.org/officeDocument/2006/relationships/image" Target="media/image37.png"/><Relationship Id="rId83" Type="http://schemas.openxmlformats.org/officeDocument/2006/relationships/image" Target="media/image36.png"/><Relationship Id="rId82" Type="http://schemas.openxmlformats.org/officeDocument/2006/relationships/image" Target="media/image35.png"/><Relationship Id="rId81" Type="http://schemas.openxmlformats.org/officeDocument/2006/relationships/image" Target="media/image34.png"/><Relationship Id="rId80" Type="http://schemas.openxmlformats.org/officeDocument/2006/relationships/image" Target="media/image33.png"/><Relationship Id="rId8" Type="http://schemas.openxmlformats.org/officeDocument/2006/relationships/header" Target="header2.xml"/><Relationship Id="rId79" Type="http://schemas.openxmlformats.org/officeDocument/2006/relationships/image" Target="media/image32.png"/><Relationship Id="rId78" Type="http://schemas.openxmlformats.org/officeDocument/2006/relationships/image" Target="media/image31.png"/><Relationship Id="rId77" Type="http://schemas.openxmlformats.org/officeDocument/2006/relationships/image" Target="media/image30.png"/><Relationship Id="rId76" Type="http://schemas.openxmlformats.org/officeDocument/2006/relationships/image" Target="media/image29.png"/><Relationship Id="rId75" Type="http://schemas.openxmlformats.org/officeDocument/2006/relationships/image" Target="media/image28.png"/><Relationship Id="rId74" Type="http://schemas.openxmlformats.org/officeDocument/2006/relationships/image" Target="media/image27.emf"/><Relationship Id="rId73" Type="http://schemas.openxmlformats.org/officeDocument/2006/relationships/package" Target="embeddings/Microsoft_Visio___3.vsdx"/><Relationship Id="rId72" Type="http://schemas.openxmlformats.org/officeDocument/2006/relationships/image" Target="media/image26.jpeg"/><Relationship Id="rId71" Type="http://schemas.openxmlformats.org/officeDocument/2006/relationships/image" Target="media/image25.jpeg"/><Relationship Id="rId70" Type="http://schemas.openxmlformats.org/officeDocument/2006/relationships/image" Target="media/image24.jpeg"/><Relationship Id="rId7" Type="http://schemas.openxmlformats.org/officeDocument/2006/relationships/footer" Target="footer2.xml"/><Relationship Id="rId69" Type="http://schemas.openxmlformats.org/officeDocument/2006/relationships/image" Target="media/image23.png"/><Relationship Id="rId68" Type="http://schemas.openxmlformats.org/officeDocument/2006/relationships/image" Target="media/image22.jpeg"/><Relationship Id="rId67" Type="http://schemas.openxmlformats.org/officeDocument/2006/relationships/image" Target="media/image21.png"/><Relationship Id="rId66" Type="http://schemas.openxmlformats.org/officeDocument/2006/relationships/image" Target="media/image20.jpeg"/><Relationship Id="rId65" Type="http://schemas.openxmlformats.org/officeDocument/2006/relationships/image" Target="media/image19.jpeg"/><Relationship Id="rId64" Type="http://schemas.openxmlformats.org/officeDocument/2006/relationships/image" Target="media/image18.jpeg"/><Relationship Id="rId63" Type="http://schemas.openxmlformats.org/officeDocument/2006/relationships/image" Target="media/image17.jpeg"/><Relationship Id="rId62" Type="http://schemas.openxmlformats.org/officeDocument/2006/relationships/image" Target="media/image16.png"/><Relationship Id="rId61" Type="http://schemas.openxmlformats.org/officeDocument/2006/relationships/image" Target="media/image15.png"/><Relationship Id="rId60" Type="http://schemas.openxmlformats.org/officeDocument/2006/relationships/image" Target="media/image14.png"/><Relationship Id="rId6" Type="http://schemas.openxmlformats.org/officeDocument/2006/relationships/header" Target="header1.xml"/><Relationship Id="rId59" Type="http://schemas.openxmlformats.org/officeDocument/2006/relationships/image" Target="media/image13.jpeg"/><Relationship Id="rId58" Type="http://schemas.openxmlformats.org/officeDocument/2006/relationships/image" Target="media/image12.png"/><Relationship Id="rId57" Type="http://schemas.openxmlformats.org/officeDocument/2006/relationships/image" Target="media/image11.png"/><Relationship Id="rId56" Type="http://schemas.openxmlformats.org/officeDocument/2006/relationships/image" Target="media/image10.png"/><Relationship Id="rId55" Type="http://schemas.openxmlformats.org/officeDocument/2006/relationships/image" Target="media/image9.png"/><Relationship Id="rId54" Type="http://schemas.openxmlformats.org/officeDocument/2006/relationships/image" Target="media/image8.png"/><Relationship Id="rId53" Type="http://schemas.openxmlformats.org/officeDocument/2006/relationships/image" Target="media/image7.png"/><Relationship Id="rId52" Type="http://schemas.openxmlformats.org/officeDocument/2006/relationships/image" Target="media/image6.emf"/><Relationship Id="rId51" Type="http://schemas.openxmlformats.org/officeDocument/2006/relationships/package" Target="embeddings/Microsoft_Visio___2.vsdx"/><Relationship Id="rId50" Type="http://schemas.openxmlformats.org/officeDocument/2006/relationships/image" Target="media/image5.emf"/><Relationship Id="rId5" Type="http://schemas.openxmlformats.org/officeDocument/2006/relationships/footer" Target="footer1.xml"/><Relationship Id="rId49" Type="http://schemas.openxmlformats.org/officeDocument/2006/relationships/package" Target="embeddings/Microsoft_Visio___1.vsdx"/><Relationship Id="rId48" Type="http://schemas.openxmlformats.org/officeDocument/2006/relationships/image" Target="media/image4.png"/><Relationship Id="rId47" Type="http://schemas.openxmlformats.org/officeDocument/2006/relationships/image" Target="media/image3.png"/><Relationship Id="rId46" Type="http://schemas.openxmlformats.org/officeDocument/2006/relationships/image" Target="media/image2.wmf"/><Relationship Id="rId45" Type="http://schemas.openxmlformats.org/officeDocument/2006/relationships/image" Target="media/image1.png"/><Relationship Id="rId44" Type="http://schemas.openxmlformats.org/officeDocument/2006/relationships/theme" Target="theme/theme1.xml"/><Relationship Id="rId43" Type="http://schemas.openxmlformats.org/officeDocument/2006/relationships/header" Target="header29.xml"/><Relationship Id="rId42" Type="http://schemas.openxmlformats.org/officeDocument/2006/relationships/header" Target="header28.xml"/><Relationship Id="rId41" Type="http://schemas.openxmlformats.org/officeDocument/2006/relationships/header" Target="header27.xml"/><Relationship Id="rId40" Type="http://schemas.openxmlformats.org/officeDocument/2006/relationships/header" Target="header26.xml"/><Relationship Id="rId4" Type="http://schemas.openxmlformats.org/officeDocument/2006/relationships/endnotes" Target="endnotes.xml"/><Relationship Id="rId39" Type="http://schemas.openxmlformats.org/officeDocument/2006/relationships/header" Target="header25.xml"/><Relationship Id="rId38" Type="http://schemas.openxmlformats.org/officeDocument/2006/relationships/header" Target="header24.xml"/><Relationship Id="rId37" Type="http://schemas.openxmlformats.org/officeDocument/2006/relationships/header" Target="header23.xml"/><Relationship Id="rId36" Type="http://schemas.openxmlformats.org/officeDocument/2006/relationships/header" Target="header22.xml"/><Relationship Id="rId35" Type="http://schemas.openxmlformats.org/officeDocument/2006/relationships/header" Target="header21.xml"/><Relationship Id="rId34" Type="http://schemas.openxmlformats.org/officeDocument/2006/relationships/header" Target="header20.xml"/><Relationship Id="rId33" Type="http://schemas.openxmlformats.org/officeDocument/2006/relationships/header" Target="header19.xml"/><Relationship Id="rId32" Type="http://schemas.openxmlformats.org/officeDocument/2006/relationships/header" Target="header18.xml"/><Relationship Id="rId31" Type="http://schemas.openxmlformats.org/officeDocument/2006/relationships/header" Target="header17.xml"/><Relationship Id="rId30" Type="http://schemas.openxmlformats.org/officeDocument/2006/relationships/footer" Target="footer10.xml"/><Relationship Id="rId3" Type="http://schemas.openxmlformats.org/officeDocument/2006/relationships/footnotes" Target="footnotes.xml"/><Relationship Id="rId29" Type="http://schemas.openxmlformats.org/officeDocument/2006/relationships/header" Target="header16.xml"/><Relationship Id="rId28" Type="http://schemas.openxmlformats.org/officeDocument/2006/relationships/footer" Target="footer9.xml"/><Relationship Id="rId27" Type="http://schemas.openxmlformats.org/officeDocument/2006/relationships/footer" Target="footer8.xml"/><Relationship Id="rId26" Type="http://schemas.openxmlformats.org/officeDocument/2006/relationships/footer" Target="footer7.xml"/><Relationship Id="rId25" Type="http://schemas.openxmlformats.org/officeDocument/2006/relationships/header" Target="header15.xml"/><Relationship Id="rId24" Type="http://schemas.openxmlformats.org/officeDocument/2006/relationships/header" Target="header14.xml"/><Relationship Id="rId23" Type="http://schemas.openxmlformats.org/officeDocument/2006/relationships/header" Target="header13.xml"/><Relationship Id="rId22" Type="http://schemas.openxmlformats.org/officeDocument/2006/relationships/header" Target="header12.xml"/><Relationship Id="rId210" Type="http://schemas.openxmlformats.org/officeDocument/2006/relationships/fontTable" Target="fontTable.xml"/><Relationship Id="rId21" Type="http://schemas.openxmlformats.org/officeDocument/2006/relationships/header" Target="header11.xml"/><Relationship Id="rId209" Type="http://schemas.openxmlformats.org/officeDocument/2006/relationships/customXml" Target="../customXml/item3.xml"/><Relationship Id="rId208" Type="http://schemas.openxmlformats.org/officeDocument/2006/relationships/customXml" Target="../customXml/item2.xml"/><Relationship Id="rId207" Type="http://schemas.openxmlformats.org/officeDocument/2006/relationships/numbering" Target="numbering.xml"/><Relationship Id="rId206" Type="http://schemas.openxmlformats.org/officeDocument/2006/relationships/customXml" Target="../customXml/item1.xml"/><Relationship Id="rId205" Type="http://schemas.openxmlformats.org/officeDocument/2006/relationships/image" Target="media/image114.emf"/><Relationship Id="rId204" Type="http://schemas.openxmlformats.org/officeDocument/2006/relationships/package" Target="embeddings/Microsoft_Visio___4.vsdx"/><Relationship Id="rId203" Type="http://schemas.openxmlformats.org/officeDocument/2006/relationships/image" Target="media/image113.png"/><Relationship Id="rId202" Type="http://schemas.openxmlformats.org/officeDocument/2006/relationships/image" Target="media/image112.png"/><Relationship Id="rId201" Type="http://schemas.openxmlformats.org/officeDocument/2006/relationships/image" Target="media/image111.png"/><Relationship Id="rId200" Type="http://schemas.openxmlformats.org/officeDocument/2006/relationships/image" Target="media/image110.png"/><Relationship Id="rId20" Type="http://schemas.openxmlformats.org/officeDocument/2006/relationships/footer" Target="footer6.xml"/><Relationship Id="rId2" Type="http://schemas.openxmlformats.org/officeDocument/2006/relationships/settings" Target="settings.xml"/><Relationship Id="rId199" Type="http://schemas.openxmlformats.org/officeDocument/2006/relationships/image" Target="media/image109.png"/><Relationship Id="rId198" Type="http://schemas.openxmlformats.org/officeDocument/2006/relationships/image" Target="media/image108.png"/><Relationship Id="rId197" Type="http://schemas.openxmlformats.org/officeDocument/2006/relationships/image" Target="media/image107.png"/><Relationship Id="rId196" Type="http://schemas.openxmlformats.org/officeDocument/2006/relationships/image" Target="media/image106.png"/><Relationship Id="rId195" Type="http://schemas.openxmlformats.org/officeDocument/2006/relationships/image" Target="media/image105.png"/><Relationship Id="rId194" Type="http://schemas.openxmlformats.org/officeDocument/2006/relationships/image" Target="media/image104.png"/><Relationship Id="rId193" Type="http://schemas.openxmlformats.org/officeDocument/2006/relationships/image" Target="media/image103.png"/><Relationship Id="rId192" Type="http://schemas.openxmlformats.org/officeDocument/2006/relationships/image" Target="media/image102.png"/><Relationship Id="rId191" Type="http://schemas.openxmlformats.org/officeDocument/2006/relationships/image" Target="media/image101.png"/><Relationship Id="rId190" Type="http://schemas.openxmlformats.org/officeDocument/2006/relationships/image" Target="media/image100.png"/><Relationship Id="rId19" Type="http://schemas.openxmlformats.org/officeDocument/2006/relationships/footer" Target="footer5.xml"/><Relationship Id="rId189" Type="http://schemas.openxmlformats.org/officeDocument/2006/relationships/image" Target="media/image99.png"/><Relationship Id="rId188" Type="http://schemas.openxmlformats.org/officeDocument/2006/relationships/image" Target="media/image98.png"/><Relationship Id="rId187" Type="http://schemas.openxmlformats.org/officeDocument/2006/relationships/image" Target="media/image97.png"/><Relationship Id="rId186" Type="http://schemas.openxmlformats.org/officeDocument/2006/relationships/image" Target="media/image96.png"/><Relationship Id="rId185" Type="http://schemas.openxmlformats.org/officeDocument/2006/relationships/image" Target="media/image95.png"/><Relationship Id="rId184" Type="http://schemas.openxmlformats.org/officeDocument/2006/relationships/image" Target="media/image94.png"/><Relationship Id="rId183" Type="http://schemas.openxmlformats.org/officeDocument/2006/relationships/image" Target="media/image93.png"/><Relationship Id="rId182" Type="http://schemas.openxmlformats.org/officeDocument/2006/relationships/image" Target="media/image92.png"/><Relationship Id="rId181" Type="http://schemas.openxmlformats.org/officeDocument/2006/relationships/image" Target="media/image91.wmf"/><Relationship Id="rId180" Type="http://schemas.openxmlformats.org/officeDocument/2006/relationships/oleObject" Target="embeddings/oleObject43.bin"/><Relationship Id="rId18" Type="http://schemas.openxmlformats.org/officeDocument/2006/relationships/header" Target="header10.xml"/><Relationship Id="rId179" Type="http://schemas.openxmlformats.org/officeDocument/2006/relationships/image" Target="media/image90.wmf"/><Relationship Id="rId178" Type="http://schemas.openxmlformats.org/officeDocument/2006/relationships/oleObject" Target="embeddings/oleObject42.bin"/><Relationship Id="rId177" Type="http://schemas.openxmlformats.org/officeDocument/2006/relationships/oleObject" Target="embeddings/oleObject41.bin"/><Relationship Id="rId176" Type="http://schemas.openxmlformats.org/officeDocument/2006/relationships/oleObject" Target="embeddings/oleObject40.bin"/><Relationship Id="rId175" Type="http://schemas.openxmlformats.org/officeDocument/2006/relationships/image" Target="media/image89.wmf"/><Relationship Id="rId174" Type="http://schemas.openxmlformats.org/officeDocument/2006/relationships/oleObject" Target="embeddings/oleObject39.bin"/><Relationship Id="rId173" Type="http://schemas.openxmlformats.org/officeDocument/2006/relationships/image" Target="media/image88.wmf"/><Relationship Id="rId172" Type="http://schemas.openxmlformats.org/officeDocument/2006/relationships/oleObject" Target="embeddings/oleObject38.bin"/><Relationship Id="rId171" Type="http://schemas.openxmlformats.org/officeDocument/2006/relationships/image" Target="media/image87.wmf"/><Relationship Id="rId170" Type="http://schemas.openxmlformats.org/officeDocument/2006/relationships/oleObject" Target="embeddings/oleObject37.bin"/><Relationship Id="rId17" Type="http://schemas.openxmlformats.org/officeDocument/2006/relationships/header" Target="header9.xml"/><Relationship Id="rId169" Type="http://schemas.openxmlformats.org/officeDocument/2006/relationships/image" Target="media/image86.wmf"/><Relationship Id="rId168" Type="http://schemas.openxmlformats.org/officeDocument/2006/relationships/oleObject" Target="embeddings/oleObject36.bin"/><Relationship Id="rId167" Type="http://schemas.openxmlformats.org/officeDocument/2006/relationships/image" Target="media/image85.wmf"/><Relationship Id="rId166" Type="http://schemas.openxmlformats.org/officeDocument/2006/relationships/oleObject" Target="embeddings/oleObject35.bin"/><Relationship Id="rId165" Type="http://schemas.openxmlformats.org/officeDocument/2006/relationships/image" Target="media/image84.wmf"/><Relationship Id="rId164" Type="http://schemas.openxmlformats.org/officeDocument/2006/relationships/oleObject" Target="embeddings/oleObject34.bin"/><Relationship Id="rId163" Type="http://schemas.openxmlformats.org/officeDocument/2006/relationships/image" Target="media/image83.wmf"/><Relationship Id="rId162" Type="http://schemas.openxmlformats.org/officeDocument/2006/relationships/oleObject" Target="embeddings/oleObject33.bin"/><Relationship Id="rId161" Type="http://schemas.openxmlformats.org/officeDocument/2006/relationships/image" Target="media/image82.wmf"/><Relationship Id="rId160" Type="http://schemas.openxmlformats.org/officeDocument/2006/relationships/oleObject" Target="embeddings/oleObject32.bin"/><Relationship Id="rId16" Type="http://schemas.openxmlformats.org/officeDocument/2006/relationships/header" Target="header8.xml"/><Relationship Id="rId159" Type="http://schemas.openxmlformats.org/officeDocument/2006/relationships/image" Target="media/image81.wmf"/><Relationship Id="rId158" Type="http://schemas.openxmlformats.org/officeDocument/2006/relationships/oleObject" Target="embeddings/oleObject31.bin"/><Relationship Id="rId157" Type="http://schemas.openxmlformats.org/officeDocument/2006/relationships/image" Target="media/image80.wmf"/><Relationship Id="rId156" Type="http://schemas.openxmlformats.org/officeDocument/2006/relationships/oleObject" Target="embeddings/oleObject30.bin"/><Relationship Id="rId155" Type="http://schemas.openxmlformats.org/officeDocument/2006/relationships/image" Target="media/image79.wmf"/><Relationship Id="rId154" Type="http://schemas.openxmlformats.org/officeDocument/2006/relationships/oleObject" Target="embeddings/oleObject29.bin"/><Relationship Id="rId153" Type="http://schemas.openxmlformats.org/officeDocument/2006/relationships/image" Target="media/image78.png"/><Relationship Id="rId152" Type="http://schemas.openxmlformats.org/officeDocument/2006/relationships/image" Target="media/image77.png"/><Relationship Id="rId151" Type="http://schemas.openxmlformats.org/officeDocument/2006/relationships/image" Target="media/image76.png"/><Relationship Id="rId150" Type="http://schemas.openxmlformats.org/officeDocument/2006/relationships/image" Target="media/image75.png"/><Relationship Id="rId15" Type="http://schemas.openxmlformats.org/officeDocument/2006/relationships/header" Target="header7.xml"/><Relationship Id="rId149" Type="http://schemas.openxmlformats.org/officeDocument/2006/relationships/image" Target="media/image74.emf"/><Relationship Id="rId148" Type="http://schemas.openxmlformats.org/officeDocument/2006/relationships/image" Target="media/image73.emf"/><Relationship Id="rId147" Type="http://schemas.openxmlformats.org/officeDocument/2006/relationships/image" Target="media/image72.emf"/><Relationship Id="rId146" Type="http://schemas.openxmlformats.org/officeDocument/2006/relationships/image" Target="media/image71.emf"/><Relationship Id="rId145" Type="http://schemas.openxmlformats.org/officeDocument/2006/relationships/image" Target="media/image70.emf"/><Relationship Id="rId144" Type="http://schemas.openxmlformats.org/officeDocument/2006/relationships/image" Target="media/image69.png"/><Relationship Id="rId143" Type="http://schemas.openxmlformats.org/officeDocument/2006/relationships/image" Target="media/image68.png"/><Relationship Id="rId142" Type="http://schemas.openxmlformats.org/officeDocument/2006/relationships/image" Target="media/image67.png"/><Relationship Id="rId141" Type="http://schemas.openxmlformats.org/officeDocument/2006/relationships/image" Target="media/image66.wmf"/><Relationship Id="rId140" Type="http://schemas.openxmlformats.org/officeDocument/2006/relationships/oleObject" Target="embeddings/oleObject28.bin"/><Relationship Id="rId14" Type="http://schemas.openxmlformats.org/officeDocument/2006/relationships/header" Target="header6.xml"/><Relationship Id="rId139" Type="http://schemas.openxmlformats.org/officeDocument/2006/relationships/image" Target="media/image65.wmf"/><Relationship Id="rId138" Type="http://schemas.openxmlformats.org/officeDocument/2006/relationships/oleObject" Target="embeddings/oleObject27.bin"/><Relationship Id="rId137" Type="http://schemas.openxmlformats.org/officeDocument/2006/relationships/image" Target="media/image64.wmf"/><Relationship Id="rId136" Type="http://schemas.openxmlformats.org/officeDocument/2006/relationships/oleObject" Target="embeddings/oleObject26.bin"/><Relationship Id="rId135" Type="http://schemas.openxmlformats.org/officeDocument/2006/relationships/image" Target="media/image63.wmf"/><Relationship Id="rId134" Type="http://schemas.openxmlformats.org/officeDocument/2006/relationships/oleObject" Target="embeddings/oleObject25.bin"/><Relationship Id="rId133" Type="http://schemas.openxmlformats.org/officeDocument/2006/relationships/image" Target="media/image62.wmf"/><Relationship Id="rId132" Type="http://schemas.openxmlformats.org/officeDocument/2006/relationships/oleObject" Target="embeddings/oleObject24.bin"/><Relationship Id="rId131" Type="http://schemas.openxmlformats.org/officeDocument/2006/relationships/image" Target="media/image61.wmf"/><Relationship Id="rId130" Type="http://schemas.openxmlformats.org/officeDocument/2006/relationships/oleObject" Target="embeddings/oleObject23.bin"/><Relationship Id="rId13" Type="http://schemas.openxmlformats.org/officeDocument/2006/relationships/header" Target="header5.xml"/><Relationship Id="rId129" Type="http://schemas.openxmlformats.org/officeDocument/2006/relationships/image" Target="media/image60.wmf"/><Relationship Id="rId128" Type="http://schemas.openxmlformats.org/officeDocument/2006/relationships/oleObject" Target="embeddings/oleObject22.bin"/><Relationship Id="rId127" Type="http://schemas.openxmlformats.org/officeDocument/2006/relationships/image" Target="media/image59.wmf"/><Relationship Id="rId126" Type="http://schemas.openxmlformats.org/officeDocument/2006/relationships/oleObject" Target="embeddings/oleObject21.bin"/><Relationship Id="rId125" Type="http://schemas.openxmlformats.org/officeDocument/2006/relationships/image" Target="media/image58.wmf"/><Relationship Id="rId124" Type="http://schemas.openxmlformats.org/officeDocument/2006/relationships/oleObject" Target="embeddings/oleObject20.bin"/><Relationship Id="rId123" Type="http://schemas.openxmlformats.org/officeDocument/2006/relationships/image" Target="media/image57.wmf"/><Relationship Id="rId122" Type="http://schemas.openxmlformats.org/officeDocument/2006/relationships/oleObject" Target="embeddings/oleObject19.bin"/><Relationship Id="rId121" Type="http://schemas.openxmlformats.org/officeDocument/2006/relationships/image" Target="media/image56.wmf"/><Relationship Id="rId120" Type="http://schemas.openxmlformats.org/officeDocument/2006/relationships/oleObject" Target="embeddings/oleObject18.bin"/><Relationship Id="rId12" Type="http://schemas.openxmlformats.org/officeDocument/2006/relationships/header" Target="header4.xml"/><Relationship Id="rId119" Type="http://schemas.openxmlformats.org/officeDocument/2006/relationships/image" Target="media/image55.wmf"/><Relationship Id="rId118" Type="http://schemas.openxmlformats.org/officeDocument/2006/relationships/oleObject" Target="embeddings/oleObject17.bin"/><Relationship Id="rId117" Type="http://schemas.openxmlformats.org/officeDocument/2006/relationships/image" Target="media/image54.wmf"/><Relationship Id="rId116" Type="http://schemas.openxmlformats.org/officeDocument/2006/relationships/oleObject" Target="embeddings/oleObject16.bin"/><Relationship Id="rId115" Type="http://schemas.openxmlformats.org/officeDocument/2006/relationships/image" Target="media/image53.wmf"/><Relationship Id="rId114" Type="http://schemas.openxmlformats.org/officeDocument/2006/relationships/oleObject" Target="embeddings/oleObject15.bin"/><Relationship Id="rId113" Type="http://schemas.openxmlformats.org/officeDocument/2006/relationships/image" Target="media/image52.wmf"/><Relationship Id="rId112" Type="http://schemas.openxmlformats.org/officeDocument/2006/relationships/oleObject" Target="embeddings/oleObject14.bin"/><Relationship Id="rId111" Type="http://schemas.openxmlformats.org/officeDocument/2006/relationships/image" Target="media/image51.wmf"/><Relationship Id="rId110" Type="http://schemas.openxmlformats.org/officeDocument/2006/relationships/oleObject" Target="embeddings/oleObject13.bin"/><Relationship Id="rId11" Type="http://schemas.openxmlformats.org/officeDocument/2006/relationships/footer" Target="footer4.xml"/><Relationship Id="rId109" Type="http://schemas.openxmlformats.org/officeDocument/2006/relationships/image" Target="media/image50.wmf"/><Relationship Id="rId108" Type="http://schemas.openxmlformats.org/officeDocument/2006/relationships/oleObject" Target="embeddings/oleObject12.bin"/><Relationship Id="rId107" Type="http://schemas.openxmlformats.org/officeDocument/2006/relationships/image" Target="media/image49.wmf"/><Relationship Id="rId106" Type="http://schemas.openxmlformats.org/officeDocument/2006/relationships/oleObject" Target="embeddings/oleObject11.bin"/><Relationship Id="rId105" Type="http://schemas.openxmlformats.org/officeDocument/2006/relationships/image" Target="media/image48.wmf"/><Relationship Id="rId104" Type="http://schemas.openxmlformats.org/officeDocument/2006/relationships/oleObject" Target="embeddings/oleObject10.bin"/><Relationship Id="rId103" Type="http://schemas.openxmlformats.org/officeDocument/2006/relationships/image" Target="media/image47.wmf"/><Relationship Id="rId102" Type="http://schemas.openxmlformats.org/officeDocument/2006/relationships/oleObject" Target="embeddings/oleObject9.bin"/><Relationship Id="rId101" Type="http://schemas.openxmlformats.org/officeDocument/2006/relationships/image" Target="media/image46.wmf"/><Relationship Id="rId100" Type="http://schemas.openxmlformats.org/officeDocument/2006/relationships/oleObject" Target="embeddings/oleObject8.bin"/><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ontractReview xmlns="http://schemas.wps.cn/vas-ai-hub/contract-review">
  <reviewItems>
    <reviewItem>
      <errorID>0c522ac6-d4d9-419d-bf3d-e281f1c6d4f8</errorID>
      <errorWord>，。</errorWord>
      <group>L1_Punc</group>
      <groupName>标点问题</groupName>
      <ability>L2_Punc</ability>
      <abilityName>标点符号检查</abilityName>
      <candidateList>
        <item>，</item>
      </candidateList>
      <explain/>
      <paraID>4466EFDE</paraID>
      <start>49</start>
      <end>51</end>
      <status>unmodified</status>
      <modifiedWord/>
      <trackRevisions>false</trackRevisions>
    </reviewItem>
    <reviewItem>
      <errorID>6d3e94f0-0c7e-4162-8633-2bb25938f582</errorID>
      <errorWord>~</errorWord>
      <group>L1_Format</group>
      <groupName>格式问题</groupName>
      <ability>L2_HalfPunc</ability>
      <abilityName>全半角检查</abilityName>
      <candidateList>
        <item>～</item>
      </candidateList>
      <explain>文本全半角错误。</explain>
      <paraID>4466EFDE</paraID>
      <start>186</start>
      <end>187</end>
      <status>unmodified</status>
      <modifiedWord/>
      <trackRevisions>false</trackRevisions>
    </reviewItem>
    <reviewItem>
      <errorID>b35922e4-96d2-4c6e-9df8-89e4eb1cb1be</errorID>
      <errorWord>（</errorWord>
      <group>L1_Punc</group>
      <groupName>标点问题</groupName>
      <ability>L2_Punc</ability>
      <abilityName>标点符号检查</abilityName>
      <candidateList/>
      <explain>同一形式括号套用。</explain>
      <paraID>4466EFDE</paraID>
      <start>248</start>
      <end>249</end>
      <status>unmodified</status>
      <modifiedWord/>
      <trackRevisions>false</trackRevisions>
    </reviewItem>
    <reviewItem>
      <errorID>23a6a3f7-93af-4147-8e84-f3ceca42377b</errorID>
      <errorWord>）</errorWord>
      <group>L1_Punc</group>
      <groupName>标点问题</groupName>
      <ability>L2_Punc</ability>
      <abilityName>标点符号检查</abilityName>
      <candidateList/>
      <explain>同一形式括号套用。</explain>
      <paraID>4466EFDE</paraID>
      <start>250</start>
      <end>251</end>
      <status>unmodified</status>
      <modifiedWord/>
      <trackRevisions>false</trackRevisions>
    </reviewItem>
    <reviewItem>
      <errorID>d9ce6118-317a-4a3f-80af-fc96af5e5acd</errorID>
      <errorWord>（</errorWord>
      <group>L1_Punc</group>
      <groupName>标点问题</groupName>
      <ability>L2_Punc</ability>
      <abilityName>标点符号检查</abilityName>
      <candidateList/>
      <explain>同一形式括号套用。</explain>
      <paraID>4466EFDE</paraID>
      <start>254</start>
      <end>255</end>
      <status>unmodified</status>
      <modifiedWord/>
      <trackRevisions>false</trackRevisions>
    </reviewItem>
    <reviewItem>
      <errorID>2be94565-977e-4c28-a7d3-51556b838aa6</errorID>
      <errorWord>）</errorWord>
      <group>L1_Punc</group>
      <groupName>标点问题</groupName>
      <ability>L2_Punc</ability>
      <abilityName>标点符号检查</abilityName>
      <candidateList/>
      <explain>同一形式括号套用。</explain>
      <paraID>4466EFDE</paraID>
      <start>259</start>
      <end>260</end>
      <status>unmodified</status>
      <modifiedWord/>
      <trackRevisions>false</trackRevisions>
    </reviewItem>
    <reviewItem>
      <errorID>53f14d80-f1fd-4e1b-bba7-e18c6c638baa</errorID>
      <errorWord>，</errorWord>
      <group>L1_AI</group>
      <groupName>深度校对</groupName>
      <ability>L2_AI_Punc</ability>
      <abilityName>标点纠错</abilityName>
      <candidateList>
        <item>、</item>
      </candidateList>
      <explain/>
      <paraID>4466EFDE</paraID>
      <start>262</start>
      <end>263</end>
      <status>unmodified</status>
      <modifiedWord/>
      <trackRevisions>false</trackRevisions>
    </reviewItem>
    <reviewItem>
      <errorID>3c18119f-2bdc-49cd-9f60-629f06979eea</errorID>
      <errorWord>（</errorWord>
      <group>L1_Punc</group>
      <groupName>标点问题</groupName>
      <ability>L2_Punc</ability>
      <abilityName>标点符号检查</abilityName>
      <candidateList/>
      <explain>同一形式括号套用。</explain>
      <paraID>4466EFDE</paraID>
      <start>276</start>
      <end>277</end>
      <status>unmodified</status>
      <modifiedWord/>
      <trackRevisions>false</trackRevisions>
    </reviewItem>
    <reviewItem>
      <errorID>1e765d4e-ad86-45b4-be97-bdb4acf65c3b</errorID>
      <errorWord>）</errorWord>
      <group>L1_Punc</group>
      <groupName>标点问题</groupName>
      <ability>L2_Punc</ability>
      <abilityName>标点符号检查</abilityName>
      <candidateList/>
      <explain>同一形式括号套用。</explain>
      <paraID>4466EFDE</paraID>
      <start>278</start>
      <end>279</end>
      <status>unmodified</status>
      <modifiedWord/>
      <trackRevisions>false</trackRevisions>
    </reviewItem>
    <reviewItem>
      <errorID>a4c5196f-73b3-48bf-ac47-9b97995eaee7</errorID>
      <errorWord>（</errorWord>
      <group>L1_Punc</group>
      <groupName>标点问题</groupName>
      <ability>L2_Punc</ability>
      <abilityName>标点符号检查</abilityName>
      <candidateList/>
      <explain>同一形式括号套用。</explain>
      <paraID>4466EFDE</paraID>
      <start>282</start>
      <end>283</end>
      <status>unmodified</status>
      <modifiedWord/>
      <trackRevisions>false</trackRevisions>
    </reviewItem>
    <reviewItem>
      <errorID>af38af1c-cc89-4f8b-895f-7ba81d3992ee</errorID>
      <errorWord>）</errorWord>
      <group>L1_Punc</group>
      <groupName>标点问题</groupName>
      <ability>L2_Punc</ability>
      <abilityName>标点符号检查</abilityName>
      <candidateList/>
      <explain>同一形式括号套用。</explain>
      <paraID>4466EFDE</paraID>
      <start>287</start>
      <end>288</end>
      <status>unmodified</status>
      <modifiedWord/>
      <trackRevisions>false</trackRevisions>
    </reviewItem>
    <reviewItem>
      <errorID>9676440e-63ab-4694-a2a2-1f30b0fd8180</errorID>
      <errorWord>；）</errorWord>
      <group>L1_Punc</group>
      <groupName>标点问题</groupName>
      <ability>L2_Punc</ability>
      <abilityName>标点符号检查</abilityName>
      <candidateList>
        <item>）</item>
      </candidateList>
      <explain/>
      <paraID>4C861569</paraID>
      <start>109</start>
      <end>111</end>
      <status>unmodified</status>
      <modifiedWord/>
      <trackRevisions>false</trackRevisions>
    </reviewItem>
    <reviewItem>
      <errorID>15208b8f-c5fb-4e0f-9318-654150cca268</errorID>
      <errorWord>改造项目</errorWord>
      <group>L1_AI</group>
      <groupName>深度校对</groupName>
      <ability>L2_AI_Grammar</ability>
      <abilityName>语法纠错</abilityName>
      <candidateList>
        <item>改造</item>
      </candidateList>
      <explain/>
      <paraID>4C861569</paraID>
      <start>306</start>
      <end>310</end>
      <status>unmodified</status>
      <modifiedWord/>
      <trackRevisions>false</trackRevisions>
    </reviewItem>
    <reviewItem>
      <errorID>aa154ae4-072c-4ca2-a6bc-dc2ecb1b4f78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5474BCFC</paraID>
      <start>0</start>
      <end>2</end>
      <status>unmodified</status>
      <modifiedWord/>
      <trackRevisions>false</trackRevisions>
    </reviewItem>
    <reviewItem>
      <errorID>c80f1f48-4034-4e99-b8d7-c25a30d2a6c8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1D82E87D</paraID>
      <start>0</start>
      <end>2</end>
      <status>unmodified</status>
      <modifiedWord/>
      <trackRevisions>false</trackRevisions>
    </reviewItem>
    <reviewItem>
      <errorID>aa3855b4-593d-4b5d-bcbe-50e615a99fcb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421DCE30</paraID>
      <start>0</start>
      <end>2</end>
      <status>unmodified</status>
      <modifiedWord/>
      <trackRevisions>false</trackRevisions>
    </reviewItem>
    <reviewItem>
      <errorID>36757fe1-4ad2-4fa1-b52a-16efbc0e8c6d</errorID>
      <errorWord>油</errorWord>
      <group>L1_Word</group>
      <groupName>字词问题</groupName>
      <ability>L2_Typo</ability>
      <abilityName>字词错误</abilityName>
      <candidateList>
        <item>油等</item>
      </candidateList>
      <explain/>
      <paraID>421DCE30</paraID>
      <start>30</start>
      <end>31</end>
      <status>unmodified</status>
      <modifiedWord/>
      <trackRevisions>false</trackRevisions>
    </reviewItem>
    <reviewItem>
      <errorID>95e50ec9-6483-49d9-89b5-32ced9defca8</errorID>
      <errorWord>。</errorWord>
      <group>L1_AI</group>
      <groupName>深度校对</groupName>
      <ability>L2_AI_Punc</ability>
      <abilityName>标点纠错</abilityName>
      <candidateList>
        <item>，</item>
      </candidateList>
      <explain/>
      <paraID> 916601B</paraID>
      <start>256</start>
      <end>257</end>
      <status>unmodified</status>
      <modifiedWord/>
      <trackRevisions>false</trackRevisions>
    </reviewItem>
    <reviewItem>
      <errorID>872dc159-1a9f-45a3-b0e9-6f9bf0bf3b91</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3A719518</paraID>
      <start>15</start>
      <end>18</end>
      <status>unmodified</status>
      <modifiedWord/>
      <trackRevisions>false</trackRevisions>
    </reviewItem>
    <reviewItem>
      <errorID>233a2e12-41a3-4d84-b192-a1dbf39d993d</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3A719518</paraID>
      <start>32</start>
      <end>35</end>
      <status>unmodified</status>
      <modifiedWord/>
      <trackRevisions>false</trackRevisions>
    </reviewItem>
    <reviewItem>
      <errorID>75800796-1f43-4518-be7c-f3908dc915a3</errorID>
      <errorWord>及</errorWord>
      <group>L1_AI</group>
      <groupName>深度校对</groupName>
      <ability>L2_AI_Word</ability>
      <abilityName>字词纠错</abilityName>
      <candidateList>
        <item>和</item>
      </candidateList>
      <explain/>
      <paraID>3A719518</paraID>
      <start>120</start>
      <end>121</end>
      <status>unmodified</status>
      <modifiedWord/>
      <trackRevisions>false</trackRevisions>
    </reviewItem>
    <reviewItem>
      <errorID>be4c517a-e25d-4373-bd1d-cb79e788cddc</errorID>
      <errorWord>相关</errorWord>
      <group>L1_AI</group>
      <groupName>深度校对</groupName>
      <ability>L2_AI_Word</ability>
      <abilityName>字词纠错</abilityName>
      <candidateList>
        <item>与相关</item>
      </candidateList>
      <explain/>
      <paraID>3A719518</paraID>
      <start>139</start>
      <end>141</end>
      <status>unmodified</status>
      <modifiedWord/>
      <trackRevisions>false</trackRevisions>
    </reviewItem>
    <reviewItem>
      <errorID>4ef2315d-9833-4dc4-a4a1-25b16a08e3dc</errorID>
      <errorWord>及</errorWord>
      <group>L1_AI</group>
      <groupName>深度校对</groupName>
      <ability>L2_AI_Word</ability>
      <abilityName>字词纠错</abilityName>
      <candidateList>
        <item>以及</item>
      </candidateList>
      <explain/>
      <paraID>3A719518</paraID>
      <start>145</start>
      <end>146</end>
      <status>unmodified</status>
      <modifiedWord/>
      <trackRevisions>false</trackRevisions>
    </reviewItem>
    <reviewItem>
      <errorID>a29a7e71-02e9-46aa-9848-184d65d8456c</errorID>
      <errorWord>及</errorWord>
      <group>L1_AI</group>
      <groupName>深度校对</groupName>
      <ability>L2_AI_Word</ability>
      <abilityName>字词纠错</abilityName>
      <candidateList>
        <item>、</item>
      </candidateList>
      <explain/>
      <paraID>3A719518</paraID>
      <start>162</start>
      <end>163</end>
      <status>unmodified</status>
      <modifiedWord/>
      <trackRevisions>false</trackRevisions>
    </reviewItem>
    <reviewItem>
      <errorID>a625f15f-3a64-4df0-a389-909f3753ce22</errorID>
      <errorWord>、</errorWord>
      <group>L1_AI</group>
      <groupName>深度校对</groupName>
      <ability>L2_AI_Word</ability>
      <abilityName>字词纠错</abilityName>
      <candidateList>
        <item>和</item>
      </candidateList>
      <explain/>
      <paraID>3A719518</paraID>
      <start>170</start>
      <end>171</end>
      <status>unmodified</status>
      <modifiedWord/>
      <trackRevisions>false</trackRevisions>
    </reviewItem>
    <reviewItem>
      <errorID>014e4811-f6cf-4732-a22a-2c028ae7a236</errorID>
      <errorWord>及</errorWord>
      <group>L1_AI</group>
      <groupName>深度校对</groupName>
      <ability>L2_AI_Grammar</ability>
      <abilityName>语法纠错</abilityName>
      <candidateList>
        <item>情况以及</item>
      </candidateList>
      <explain/>
      <paraID>3A719518</paraID>
      <start>176</start>
      <end>177</end>
      <status>unmodified</status>
      <modifiedWord/>
      <trackRevisions>false</trackRevisions>
    </reviewItem>
    <reviewItem>
      <errorID>a6c4e1b0-39ff-4321-90e3-c80f2802598d</errorID>
      <errorWord>规划情况</errorWord>
      <group>L1_AI</group>
      <groupName>深度校对</groupName>
      <ability>L2_AI_Grammar</ability>
      <abilityName>语法纠错</abilityName>
      <candidateList>
        <item>规划</item>
      </candidateList>
      <explain/>
      <paraID>3A719518</paraID>
      <start>179</start>
      <end>183</end>
      <status>unmodified</status>
      <modifiedWord/>
      <trackRevisions>false</trackRevisions>
    </reviewItem>
    <reviewItem>
      <errorID>7a3eb069-36d7-44c1-a2a8-917cc626cc63</errorID>
      <errorWord>，</errorWord>
      <group>L1_AI</group>
      <groupName>深度校对</groupName>
      <ability>L2_AI_Punc</ability>
      <abilityName>标点纠错</abilityName>
      <candidateList>
        <item>。</item>
      </candidateList>
      <explain/>
      <paraID>3A719518</paraID>
      <start>196</start>
      <end>197</end>
      <status>unmodified</status>
      <modifiedWord/>
      <trackRevisions>false</trackRevisions>
    </reviewItem>
    <reviewItem>
      <errorID>cc0609b7-70f3-410d-be41-1a9e71148110</errorID>
      <errorWord>制订</errorWord>
      <group>L1_AI</group>
      <groupName>深度校对</groupName>
      <ability>L2_AI_Punc</ability>
      <abilityName>标点纠错</abilityName>
      <candidateList>
        <item>，制订</item>
      </candidateList>
      <explain/>
      <paraID>3A719518</paraID>
      <start>202</start>
      <end>204</end>
      <status>unmodified</status>
      <modifiedWord/>
      <trackRevisions>false</trackRevisions>
    </reviewItem>
    <reviewItem>
      <errorID>45136d38-28f0-4a38-8755-0af09098f29e</errorID>
      <errorWord>并委托广西</errorWord>
      <group>L1_AI</group>
      <groupName>深度校对</groupName>
      <ability>L2_AI_Word</ability>
      <abilityName>字词纠错</abilityName>
      <candidateList>
        <item>，并委托</item>
      </candidateList>
      <explain/>
      <paraID>3A719518</paraID>
      <start>217</start>
      <end>222</end>
      <status>unmodified</status>
      <modifiedWord/>
      <trackRevisions>false</trackRevisions>
    </reviewItem>
    <reviewItem>
      <errorID>778ad1c6-9870-45c1-b498-5240d91f6fe3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3C3DD185</paraID>
      <start>0</start>
      <end>2</end>
      <status>unmodified</status>
      <modifiedWord/>
      <trackRevisions>false</trackRevisions>
    </reviewItem>
    <reviewItem>
      <errorID>d4ff9f28-3570-4f26-9728-a41fd078faee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3079489D</paraID>
      <start>0</start>
      <end>2</end>
      <status>unmodified</status>
      <modifiedWord/>
      <trackRevisions>false</trackRevisions>
    </reviewItem>
    <reviewItem>
      <errorID>5a7d1efa-f9e7-48ba-b556-3b4f34ea93a7</errorID>
      <errorWord>内谈</errorWord>
      <group>L1_Word</group>
      <groupName>字词问题</groupName>
      <ability>L2_Typo</ability>
      <abilityName>字词错误</abilityName>
      <candidateList>
        <item>煤炭</item>
      </candidateList>
      <explain/>
      <paraID>589E0691</paraID>
      <start>25</start>
      <end>27</end>
      <status>unmodified</status>
      <modifiedWord/>
      <trackRevisions>false</trackRevisions>
    </reviewItem>
    <reviewItem>
      <errorID>0e93e13e-dacf-4c0d-acc1-c4191802b1a4</errorID>
      <errorWord>~</errorWord>
      <group>L1_Format</group>
      <groupName>格式问题</groupName>
      <ability>L2_HalfPunc</ability>
      <abilityName>全半角检查</abilityName>
      <candidateList>
        <item>～</item>
      </candidateList>
      <explain>文本全半角错误。</explain>
      <paraID>162F4481</paraID>
      <start>54</start>
      <end>55</end>
      <status>unmodified</status>
      <modifiedWord/>
      <trackRevisions>false</trackRevisions>
    </reviewItem>
    <reviewItem>
      <errorID>2c6f4b55-d05d-4237-b92f-cab2ccdfd46d</errorID>
      <errorWord>水污染排放</errorWord>
      <group>L1_Word</group>
      <groupName>字词问题</groupName>
      <ability>L2_Typo</ability>
      <abilityName>字词错误</abilityName>
      <candidateList>
        <item>水污染物排放</item>
      </candidateList>
      <explain/>
      <paraID>538A7157</paraID>
      <start>20</start>
      <end>25</end>
      <status>unmodified</status>
      <modifiedWord/>
      <trackRevisions>false</trackRevisions>
    </reviewItem>
    <reviewItem>
      <errorID>65375c01-9d52-46f6-b631-78bba5d36777</errorID>
      <errorWord>险</errorWord>
      <group>L1_Word</group>
      <groupName>字词问题</groupName>
      <ability>L2_Typo</ability>
      <abilityName>字词错误</abilityName>
      <candidateList>
        <item>险和</item>
      </candidateList>
      <explain/>
      <paraID>5FAA2382</paraID>
      <start>38</start>
      <end>39</end>
      <status>unmodified</status>
      <modifiedWord/>
      <trackRevisions>false</trackRevisions>
    </reviewItem>
    <reviewItem>
      <errorID>89ea55a0-362e-4d3b-aeca-5452a5a0af12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797067BB</paraID>
      <start>0</start>
      <end>2</end>
      <status>unmodified</status>
      <modifiedWord/>
      <trackRevisions>false</trackRevisions>
    </reviewItem>
    <reviewItem>
      <errorID>c0931212-586f-45cd-b428-a5009d4203d4</errorID>
      <errorWord>环保基础设施建设</errorWord>
      <group>L1_Political</group>
      <groupName>政治性问题</groupName>
      <ability>L2_Keyword</ability>
      <abilityName>固定表述</abilityName>
      <candidateList>
        <item>环境基础设施建设</item>
      </candidateList>
      <explain>词汇“环境基础设施建设”在特定场景下为固定表述形式，请确认此处的“环保基础设施建设”是否存在不当。</explain>
      <paraID> 2574C97</paraID>
      <start>297</start>
      <end>305</end>
      <status>unmodified</status>
      <modifiedWord/>
      <trackRevisions>false</trackRevisions>
    </reviewItem>
    <reviewItem>
      <errorID>52cda2d4-51bb-4dce-95df-7e922e6f9df0</errorID>
      <errorWord>鯛</errorWord>
      <group>L1_Word</group>
      <groupName>字词问题</groupName>
      <ability>L2_Fanti</ability>
      <abilityName>繁转简</abilityName>
      <candidateList>
        <item>鲷</item>
      </candidateList>
      <explain/>
      <paraID>73C439AC</paraID>
      <start>45</start>
      <end>46</end>
      <status>unmodified</status>
      <modifiedWord/>
      <trackRevisions>false</trackRevisions>
    </reviewItem>
    <reviewItem>
      <errorID>a3e7822f-5f50-47ce-ae5a-b3d031ccc793</errorID>
      <errorWord>着力于</errorWord>
      <group>L1_Word</group>
      <groupName>字词问题</groupName>
      <ability>L2_Typo</ability>
      <abilityName>字词错误</abilityName>
      <candidateList>
        <item>着力</item>
      </candidateList>
      <explain/>
      <paraID>73C439AC</paraID>
      <start>104</start>
      <end>107</end>
      <status>unmodified</status>
      <modifiedWord/>
      <trackRevisions>false</trackRevisions>
    </reviewItem>
    <reviewItem>
      <errorID>95090d57-e53a-4570-9b5f-af8c7a910257</errorID>
      <errorWord>，</errorWord>
      <group>L1_Word</group>
      <groupName>字词问题</groupName>
      <ability>L2_Typo</ability>
      <abilityName>字词错误</abilityName>
      <candidateList>
        <item>，在</item>
      </candidateList>
      <explain/>
      <paraID>73C439AC</paraID>
      <start>270</start>
      <end>271</end>
      <status>unmodified</status>
      <modifiedWord/>
      <trackRevisions>false</trackRevisions>
    </reviewItem>
    <reviewItem>
      <errorID>58878451-2f80-4642-b80e-6575195e975c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73FC8F0D</paraID>
      <start>0</start>
      <end>2</end>
      <status>unmodified</status>
      <modifiedWord/>
      <trackRevisions>false</trackRevisions>
    </reviewItem>
    <reviewItem>
      <errorID>4333bc6e-f19e-47f2-9205-ef67e6cfcf8a</errorID>
      <errorWord>中共中央办公厅国务院办公厅</errorWord>
      <group>L1_Political</group>
      <groupName>政治性问题</groupName>
      <ability>L2_Keyword</ability>
      <abilityName>固定表述</abilityName>
      <candidateList>
        <item>中共中央办公厅、国务院办公厅</item>
      </candidateList>
      <explain>注意检查当前固定表述标点是否使用规范。</explain>
      <paraID>3B08D4C4</paraID>
      <start>3</start>
      <end>17</end>
      <status>modified</status>
      <modifiedWord>中共中央办公厅、国务院办公厅</modifiedWord>
      <trackRevisions>false</trackRevisions>
    </reviewItem>
    <reviewItem>
      <errorID>5ffadb87-3d24-44a6-b1f3-d0313c930e08</errorID>
      <errorWord>．</errorWord>
      <group>L1_Format</group>
      <groupName>格式问题</groupName>
      <ability>L2_HalfPunc</ability>
      <abilityName>全半角检查</abilityName>
      <candidateList>
        <item>。</item>
      </candidateList>
      <explain>文本全半角错误。</explain>
      <paraID>4956E631</paraID>
      <start>2</start>
      <end>3</end>
      <status>unmodified</status>
      <modifiedWord/>
      <trackRevisions>false</trackRevisions>
    </reviewItem>
    <reviewItem>
      <errorID>f9689018-69fc-47d0-af28-6f5f7d34ffd2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5280A511</paraID>
      <start>0</start>
      <end>2</end>
      <status>unmodified</status>
      <modifiedWord/>
      <trackRevisions>false</trackRevisions>
    </reviewItem>
    <reviewItem>
      <errorID>05bb6e76-f6d6-42b4-a8dc-1348d068b5e6</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4F2A1826</paraID>
      <start>0</start>
      <end>2</end>
      <status>unmodified</status>
      <modifiedWord/>
      <trackRevisions>false</trackRevisions>
    </reviewItem>
    <reviewItem>
      <errorID>9112ad85-e321-47aa-81d1-3decf3b68175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A5F3C3F</paraID>
      <start>0</start>
      <end>2</end>
      <status>unmodified</status>
      <modifiedWord/>
      <trackRevisions>false</trackRevisions>
    </reviewItem>
    <reviewItem>
      <errorID>8dc3aed6-28e7-4b82-acbe-5d70ecde94bb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4CE80E94</paraID>
      <start>0</start>
      <end>2</end>
      <status>unmodified</status>
      <modifiedWord/>
      <trackRevisions>false</trackRevisions>
    </reviewItem>
    <reviewItem>
      <errorID>9dc3f4cc-0be7-4a93-aec2-e28c9eac6d57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6C4C7945</paraID>
      <start>0</start>
      <end>2</end>
      <status>unmodified</status>
      <modifiedWord/>
      <trackRevisions>false</trackRevisions>
    </reviewItem>
    <reviewItem>
      <errorID>714b7f06-9b2d-4a62-992f-d062c1d0cfa9</errorID>
      <errorWord>人工鱼礁</errorWord>
      <group>L1_Knowledge</group>
      <groupName>知识性问题</groupName>
      <ability>L2_Term</ability>
      <abilityName>专业术语</abilityName>
      <candidateList>
        <item>人工渔礁</item>
      </candidateList>
      <explain/>
      <paraID>7DE2B222</paraID>
      <start>22</start>
      <end>26</end>
      <status>modified</status>
      <modifiedWord>人工渔礁</modifiedWord>
      <trackRevisions>false</trackRevisions>
    </reviewItem>
    <reviewItem>
      <errorID>58e48d02-adf7-422e-bfb4-e0e4704cbcae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647F94AA</paraID>
      <start>27</start>
      <end>30</end>
      <status>unmodified</status>
      <modifiedWord/>
      <trackRevisions>false</trackRevisions>
    </reviewItem>
    <reviewItem>
      <errorID>154c09c2-b5ca-4c0f-9e00-b15f6a73b341</errorID>
      <errorWord>．</errorWord>
      <group>L1_Format</group>
      <groupName>格式问题</groupName>
      <ability>L2_HalfPunc</ability>
      <abilityName>全半角检查</abilityName>
      <candidateList>
        <item>。</item>
      </candidateList>
      <explain>文本全半角错误。</explain>
      <paraID>  458927</paraID>
      <start>2</start>
      <end>3</end>
      <status>unmodified</status>
      <modifiedWord/>
      <trackRevisions>false</trackRevisions>
    </reviewItem>
    <reviewItem>
      <errorID>895222ab-2bec-48d2-882f-89302e8a74c9</errorID>
      <errorWord>．</errorWord>
      <group>L1_Format</group>
      <groupName>格式问题</groupName>
      <ability>L2_HalfPunc</ability>
      <abilityName>全半角检查</abilityName>
      <candidateList>
        <item>。</item>
      </candidateList>
      <explain>文本全半角错误。</explain>
      <paraID>463109F9</paraID>
      <start>2</start>
      <end>3</end>
      <status>unmodified</status>
      <modifiedWord/>
      <trackRevisions>false</trackRevisions>
    </reviewItem>
    <reviewItem>
      <errorID>ba031cd4-826a-4eb8-a323-bc322cef432c</errorID>
      <errorWord>处理处理</errorWord>
      <group>L1_Word</group>
      <groupName>字词问题</groupName>
      <ability>L2_Typo</ability>
      <abilityName>字词错误</abilityName>
      <candidateList>
        <item>处理</item>
      </candidateList>
      <explain/>
      <paraID>62586FBE</paraID>
      <start>26</start>
      <end>30</end>
      <status>unmodified</status>
      <modifiedWord/>
      <trackRevisions>false</trackRevisions>
    </reviewItem>
    <reviewItem>
      <errorID>5f4bfc6c-2059-4dcf-a92b-489eb43121c0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5696ABE7</paraID>
      <start>0</start>
      <end>2</end>
      <status>unmodified</status>
      <modifiedWord/>
      <trackRevisions>false</trackRevisions>
    </reviewItem>
    <reviewItem>
      <errorID>66bc9972-055d-407d-9d8b-b5cd5aaec331</errorID>
      <errorWord>．</errorWord>
      <group>L1_Format</group>
      <groupName>格式问题</groupName>
      <ability>L2_HalfPunc</ability>
      <abilityName>全半角检查</abilityName>
      <candidateList>
        <item>。</item>
      </candidateList>
      <explain>文本全半角错误。</explain>
      <paraID>5696ABE7</paraID>
      <start>2</start>
      <end>3</end>
      <status>unmodified</status>
      <modifiedWord/>
      <trackRevisions>false</trackRevisions>
    </reviewItem>
    <reviewItem>
      <errorID>d02a0a69-2c27-4f37-a7c7-872d42605524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DDC2A96</paraID>
      <start>0</start>
      <end>2</end>
      <status>unmodified</status>
      <modifiedWord/>
      <trackRevisions>false</trackRevisions>
    </reviewItem>
    <reviewItem>
      <errorID>2edb33e7-a676-4930-8b9c-6cba66f3f9e2</errorID>
      <errorWord>设置</errorWord>
      <group>L1_Word</group>
      <groupName>字词问题</groupName>
      <ability>L2_Typo</ability>
      <abilityName>字词错误</abilityName>
      <candidateList>
        <item>设施</item>
      </candidateList>
      <explain/>
      <paraID> DDC2A96</paraID>
      <start>36</start>
      <end>38</end>
      <status>modified</status>
      <modifiedWord>设施</modifiedWord>
      <trackRevisions>false</trackRevisions>
    </reviewItem>
    <reviewItem>
      <errorID>57c543bd-4e11-4854-b404-48514e5d7cdc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E68AC03</paraID>
      <start>0</start>
      <end>2</end>
      <status>unmodified</status>
      <modifiedWord/>
      <trackRevisions>false</trackRevisions>
    </reviewItem>
    <reviewItem>
      <errorID>6ea092b8-642c-4ced-908f-7de4664838a1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E68AC03</paraID>
      <start>20</start>
      <end>21</end>
      <status>unmodified</status>
      <modifiedWord/>
      <trackRevisions>false</trackRevisions>
    </reviewItem>
    <reviewItem>
      <errorID>899b35a5-7430-4c78-af55-0bd925c3ae93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609BB17A</paraID>
      <start>17</start>
      <end>18</end>
      <status>unmodified</status>
      <modifiedWord/>
      <trackRevisions>false</trackRevisions>
    </reviewItem>
    <reviewItem>
      <errorID>ef1c6a1d-1c01-4b23-be73-0e2e0994581a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4FF46C9C</paraID>
      <start>124</start>
      <end>125</end>
      <status>unmodified</status>
      <modifiedWord/>
      <trackRevisions>false</trackRevisions>
    </reviewItem>
    <reviewItem>
      <errorID>1e1f9892-ce1a-40de-bd6c-44c175dde3a8</errorID>
      <errorWord>营运</errorWord>
      <group>L1_Word</group>
      <groupName>字词问题</groupName>
      <ability>L2_Typo</ability>
      <abilityName>字词错误</abilityName>
      <candidateList>
        <item>运营</item>
      </candidateList>
      <explain/>
      <paraID>67E3A688</paraID>
      <start>68</start>
      <end>70</end>
      <status>modified</status>
      <modifiedWord>运营</modifiedWord>
      <trackRevisions>false</trackRevisions>
    </reviewItem>
    <reviewItem>
      <errorID>9473e189-cae4-418f-aaa2-736caf4f23a0</errorID>
      <errorWord>角度是</errorWord>
      <group>L1_Word</group>
      <groupName>字词问题</groupName>
      <ability>L2_Typo</ability>
      <abilityName>字词错误</abilityName>
      <candidateList>
        <item>角度</item>
      </candidateList>
      <explain/>
      <paraID>67E3A688</paraID>
      <start>143</start>
      <end>146</end>
      <status>unmodified</status>
      <modifiedWord/>
      <trackRevisions>false</trackRevisions>
    </reviewItem>
    <reviewItem>
      <errorID>da011416-8a22-4520-a163-faf637f0fe95</errorID>
      <errorWord>农业部</errorWord>
      <group>L1_Knowledge</group>
      <groupName>知识性问题</groupName>
      <ability>L2_Knowledge</ability>
      <abilityName>其他知识</abilityName>
      <candidateList>
        <item>农业农村部</item>
      </candidateList>
      <explain/>
      <paraID>65E8C744</paraID>
      <start>28</start>
      <end>33</end>
      <status>modified</status>
      <modifiedWord>农业农村部</modifiedWord>
      <trackRevisions>false</trackRevisions>
    </reviewItem>
    <reviewItem>
      <errorID>ce9708ee-a581-4a73-8b0e-85735ccf4f6e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173AF965</paraID>
      <start>19</start>
      <end>20</end>
      <status>unmodified</status>
      <modifiedWord/>
      <trackRevisions>false</trackRevisions>
    </reviewItem>
    <reviewItem>
      <errorID>191843a2-f334-413d-a987-55c3c047b1fc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634F88A0</paraID>
      <start>24</start>
      <end>25</end>
      <status>unmodified</status>
      <modifiedWord/>
      <trackRevisions>false</trackRevisions>
    </reviewItem>
    <reviewItem>
      <errorID>e976ddbb-3d9b-416b-9def-e35fdad5d6c3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DB6A9D3</paraID>
      <start>17</start>
      <end>18</end>
      <status>unmodified</status>
      <modifiedWord/>
      <trackRevisions>false</trackRevisions>
    </reviewItem>
    <reviewItem>
      <errorID>40313adb-173d-40e1-8c10-e687063343bb</errorID>
      <errorWord>《</errorWord>
      <group>L1_Punc</group>
      <groupName>标点问题</groupName>
      <ability>L2_Punc</ability>
      <abilityName>标点符号检查</abilityName>
      <candidateList/>
      <explain>同一形式括号套用。</explain>
      <paraID>1D10C71B</paraID>
      <start>15</start>
      <end>16</end>
      <status>unmodified</status>
      <modifiedWord/>
      <trackRevisions>false</trackRevisions>
    </reviewItem>
    <reviewItem>
      <errorID>c4546691-689d-4632-a1fe-a46b36c8e810</errorID>
      <errorWord>》</errorWord>
      <group>L1_Punc</group>
      <groupName>标点问题</groupName>
      <ability>L2_Punc</ability>
      <abilityName>标点符号检查</abilityName>
      <candidateList/>
      <explain>同一形式括号套用。</explain>
      <paraID>1D10C71B</paraID>
      <start>40</start>
      <end>41</end>
      <status>unmodified</status>
      <modifiedWord/>
      <trackRevisions>false</trackRevisions>
    </reviewItem>
    <reviewItem>
      <errorID>cbcb25a8-6936-47fa-aeb9-dcbb474314ac</errorID>
      <errorWord>II</errorWord>
      <group>L1_Knowledge</group>
      <groupName>知识性问题</groupName>
      <ability>L2_Knowledge</ability>
      <abilityName>其他知识</abilityName>
      <candidateList>
        <item>Ⅱ</item>
      </candidateList>
      <explain/>
      <paraID> 599FB1F</paraID>
      <start>2</start>
      <end>4</end>
      <status>unmodified</status>
      <modifiedWord/>
      <trackRevisions>false</trackRevisions>
    </reviewItem>
    <reviewItem>
      <errorID>7db17fb4-3440-4e36-92b1-2d22099a42b5</errorID>
      <errorWord>IV</errorWord>
      <group>L1_Knowledge</group>
      <groupName>知识性问题</groupName>
      <ability>L2_Knowledge</ability>
      <abilityName>其他知识</abilityName>
      <candidateList>
        <item>Ⅳ</item>
      </candidateList>
      <explain/>
      <paraID>21F587F0</paraID>
      <start>2</start>
      <end>4</end>
      <status>unmodified</status>
      <modifiedWord/>
      <trackRevisions>false</trackRevisions>
    </reviewItem>
    <reviewItem>
      <errorID>a9b9a069-bb81-4a98-8e79-89f44f512f38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C3056CA</paraID>
      <start>31</start>
      <end>34</end>
      <status>unmodified</status>
      <modifiedWord/>
      <trackRevisions>false</trackRevisions>
    </reviewItem>
    <reviewItem>
      <errorID>fc665a3b-86c0-462d-a857-0d2863c55a11</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C3056CA</paraID>
      <start>75</start>
      <end>78</end>
      <status>unmodified</status>
      <modifiedWord/>
      <trackRevisions>false</trackRevisions>
    </reviewItem>
    <reviewItem>
      <errorID>4bdbbef6-e882-46b6-bf7e-e21ab48ed1af</errorID>
      <errorWord>根根据</errorWord>
      <group>L1_Word</group>
      <groupName>字词问题</groupName>
      <ability>L2_Typo</ability>
      <abilityName>字词错误</abilityName>
      <candidateList>
        <item>根据</item>
      </candidateList>
      <explain>❶〈介〉把某种事物作为结论的前提或语言行动的基础：～气象台的预报，明天要下雨｜～大家的意见，把计划修改一下。❷〈名〉作为根据的事物：说话要有～。❸〈动〉以某种事物为依据：财政支出必须～节约的原则。</explain>
      <paraID>355E66F0</paraID>
      <start>0</start>
      <end>3</end>
      <status>unmodified</status>
      <modifiedWord/>
      <trackRevisions>false</trackRevisions>
    </reviewItem>
    <reviewItem>
      <errorID>8b31b270-a9c7-41a2-aa44-1686c056dccb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355E66F0</paraID>
      <start>20</start>
      <end>21</end>
      <status>unmodified</status>
      <modifiedWord/>
      <trackRevisions>false</trackRevisions>
    </reviewItem>
    <reviewItem>
      <errorID>9a10a060-2cad-4e57-be61-804e73b3ea66</errorID>
      <errorWord>日</errorWord>
      <group>L1_Word</group>
      <groupName>字词问题</groupName>
      <ability>L2_Typo</ability>
      <abilityName>字词错误</abilityName>
      <candidateList>
        <item>日起</item>
      </candidateList>
      <explain/>
      <paraID>4C13FC37</paraID>
      <start>95</start>
      <end>97</end>
      <status>modified</status>
      <modifiedWord>日起</modifiedWord>
      <trackRevisions>false</trackRevisions>
    </reviewItem>
    <reviewItem>
      <errorID>e5e6e142-4454-44d7-95bf-51d8850bbfe9</errorID>
      <errorWord>（</errorWord>
      <group>L1_Format</group>
      <groupName>格式问题</groupName>
      <ability>L2_HalfPunc</ability>
      <abilityName>全半角检查</abilityName>
      <candidateList>
        <item>(</item>
      </candidateList>
      <explain>文本全半角错误。</explain>
      <paraID>5CB93623</paraID>
      <start>2</start>
      <end>3</end>
      <status>unmodified</status>
      <modifiedWord/>
      <trackRevisions>false</trackRevisions>
    </reviewItem>
    <reviewItem>
      <errorID>dfc3d255-1f5c-4fe6-ad8a-e936da5660eb</errorID>
      <errorWord>）</errorWord>
      <group>L1_Format</group>
      <groupName>格式问题</groupName>
      <ability>L2_HalfPunc</ability>
      <abilityName>全半角检查</abilityName>
      <candidateList>
        <item>)</item>
      </candidateList>
      <explain>文本全半角错误。</explain>
      <paraID>5CB93623</paraID>
      <start>8</start>
      <end>9</end>
      <status>unmodified</status>
      <modifiedWord/>
      <trackRevisions>false</trackRevisions>
    </reviewItem>
    <reviewItem>
      <errorID>f502d62b-c84b-4d73-9506-d5d5368aadd6</errorID>
      <errorWord>（</errorWord>
      <group>L1_Format</group>
      <groupName>格式问题</groupName>
      <ability>L2_HalfPunc</ability>
      <abilityName>全半角检查</abilityName>
      <candidateList>
        <item>(</item>
      </candidateList>
      <explain>文本全半角错误。</explain>
      <paraID>485ECA8F</paraID>
      <start>6</start>
      <end>7</end>
      <status>unmodified</status>
      <modifiedWord/>
      <trackRevisions>false</trackRevisions>
    </reviewItem>
    <reviewItem>
      <errorID>56ca4b33-35a3-480c-9153-0409b2c50992</errorID>
      <errorWord>）</errorWord>
      <group>L1_Format</group>
      <groupName>格式问题</groupName>
      <ability>L2_HalfPunc</ability>
      <abilityName>全半角检查</abilityName>
      <candidateList>
        <item>)</item>
      </candidateList>
      <explain>文本全半角错误。</explain>
      <paraID>485ECA8F</paraID>
      <start>12</start>
      <end>13</end>
      <status>unmodified</status>
      <modifiedWord/>
      <trackRevisions>false</trackRevisions>
    </reviewItem>
    <reviewItem>
      <errorID>6340528b-159f-4b69-bc3a-6a391e468b68</errorID>
      <errorWord>（</errorWord>
      <group>L1_Format</group>
      <groupName>格式问题</groupName>
      <ability>L2_HalfPunc</ability>
      <abilityName>全半角检查</abilityName>
      <candidateList>
        <item>(</item>
      </candidateList>
      <explain>文本全半角错误。</explain>
      <paraID>778DB4BA</paraID>
      <start>6</start>
      <end>7</end>
      <status>unmodified</status>
      <modifiedWord/>
      <trackRevisions>false</trackRevisions>
    </reviewItem>
    <reviewItem>
      <errorID>4b1422dd-0802-4394-b82e-b1c82253d33c</errorID>
      <errorWord>）</errorWord>
      <group>L1_Format</group>
      <groupName>格式问题</groupName>
      <ability>L2_HalfPunc</ability>
      <abilityName>全半角检查</abilityName>
      <candidateList>
        <item>)</item>
      </candidateList>
      <explain>文本全半角错误。</explain>
      <paraID>778DB4BA</paraID>
      <start>12</start>
      <end>13</end>
      <status>unmodified</status>
      <modifiedWord/>
      <trackRevisions>false</trackRevisions>
    </reviewItem>
    <reviewItem>
      <errorID>b5d7806a-8f52-4616-b4c9-775e8d4324e2</errorID>
      <errorWord>（</errorWord>
      <group>L1_Format</group>
      <groupName>格式问题</groupName>
      <ability>L2_HalfPunc</ability>
      <abilityName>全半角检查</abilityName>
      <candidateList>
        <item>(</item>
      </candidateList>
      <explain>文本全半角错误。</explain>
      <paraID>125B292D</paraID>
      <start>2</start>
      <end>3</end>
      <status>unmodified</status>
      <modifiedWord/>
      <trackRevisions>false</trackRevisions>
    </reviewItem>
    <reviewItem>
      <errorID>aa5bd4b8-e87a-40d3-9106-d14a11065d3b</errorID>
      <errorWord>）</errorWord>
      <group>L1_Format</group>
      <groupName>格式问题</groupName>
      <ability>L2_HalfPunc</ability>
      <abilityName>全半角检查</abilityName>
      <candidateList>
        <item>)</item>
      </candidateList>
      <explain>文本全半角错误。</explain>
      <paraID>125B292D</paraID>
      <start>8</start>
      <end>9</end>
      <status>unmodified</status>
      <modifiedWord/>
      <trackRevisions>false</trackRevisions>
    </reviewItem>
    <reviewItem>
      <errorID>4065e8ff-2fc0-4453-9e78-2c7104688f2c</errorID>
      <errorWord>(</errorWord>
      <group>L1_Format</group>
      <groupName>格式问题</groupName>
      <ability>L2_HalfPunc</ability>
      <abilityName>全半角检查</abilityName>
      <candidateList>
        <item>（</item>
      </candidateList>
      <explain>文本全半角错误。</explain>
      <paraID>11881B3A</paraID>
      <start>2</start>
      <end>3</end>
      <status>unmodified</status>
      <modifiedWord/>
      <trackRevisions>false</trackRevisions>
    </reviewItem>
    <reviewItem>
      <errorID>4a41939d-1420-46fd-b66b-d52d9d60c106</errorID>
      <errorWord>)</errorWord>
      <group>L1_Format</group>
      <groupName>格式问题</groupName>
      <ability>L2_HalfPunc</ability>
      <abilityName>全半角检查</abilityName>
      <candidateList>
        <item>）</item>
      </candidateList>
      <explain>文本全半角错误。</explain>
      <paraID>11881B3A</paraID>
      <start>4</start>
      <end>5</end>
      <status>unmodified</status>
      <modifiedWord/>
      <trackRevisions>false</trackRevisions>
    </reviewItem>
    <reviewItem>
      <errorID>3d9801b6-a6d2-40e0-9e56-8cf406af9d85</errorID>
      <errorWord>（</errorWord>
      <group>L1_Format</group>
      <groupName>格式问题</groupName>
      <ability>L2_HalfPunc</ability>
      <abilityName>全半角检查</abilityName>
      <candidateList>
        <item>(</item>
      </candidateList>
      <explain>文本全半角错误。</explain>
      <paraID>4F6EC2AB</paraID>
      <start>2</start>
      <end>3</end>
      <status>unmodified</status>
      <modifiedWord/>
      <trackRevisions>false</trackRevisions>
    </reviewItem>
    <reviewItem>
      <errorID>36a4c0fb-8af5-4290-ad45-e4764dd2b034</errorID>
      <errorWord>）</errorWord>
      <group>L1_Format</group>
      <groupName>格式问题</groupName>
      <ability>L2_HalfPunc</ability>
      <abilityName>全半角检查</abilityName>
      <candidateList>
        <item>)</item>
      </candidateList>
      <explain>文本全半角错误。</explain>
      <paraID>4F6EC2AB</paraID>
      <start>8</start>
      <end>9</end>
      <status>unmodified</status>
      <modifiedWord/>
      <trackRevisions>false</trackRevisions>
    </reviewItem>
    <reviewItem>
      <errorID>489cae20-cb70-4640-b2ba-644f2f4bc9da</errorID>
      <errorWord>（</errorWord>
      <group>L1_Format</group>
      <groupName>格式问题</groupName>
      <ability>L2_HalfPunc</ability>
      <abilityName>全半角检查</abilityName>
      <candidateList>
        <item>(</item>
      </candidateList>
      <explain>文本全半角错误。</explain>
      <paraID>672EFD66</paraID>
      <start>6</start>
      <end>7</end>
      <status>unmodified</status>
      <modifiedWord/>
      <trackRevisions>false</trackRevisions>
    </reviewItem>
    <reviewItem>
      <errorID>d23a5bbc-cac5-46ab-a111-76db66a42b70</errorID>
      <errorWord>）</errorWord>
      <group>L1_Format</group>
      <groupName>格式问题</groupName>
      <ability>L2_HalfPunc</ability>
      <abilityName>全半角检查</abilityName>
      <candidateList>
        <item>)</item>
      </candidateList>
      <explain>文本全半角错误。</explain>
      <paraID>672EFD66</paraID>
      <start>12</start>
      <end>13</end>
      <status>unmodified</status>
      <modifiedWord/>
      <trackRevisions>false</trackRevisions>
    </reviewItem>
    <reviewItem>
      <errorID>26072264-740e-4bf8-ba18-08432aa483a4</errorID>
      <errorWord>（</errorWord>
      <group>L1_Format</group>
      <groupName>格式问题</groupName>
      <ability>L2_HalfPunc</ability>
      <abilityName>全半角检查</abilityName>
      <candidateList>
        <item>(</item>
      </candidateList>
      <explain>文本全半角错误。</explain>
      <paraID>10BC25BF</paraID>
      <start>6</start>
      <end>7</end>
      <status>unmodified</status>
      <modifiedWord/>
      <trackRevisions>false</trackRevisions>
    </reviewItem>
    <reviewItem>
      <errorID>d6aa411e-8cf7-45e4-973c-2cbede614e60</errorID>
      <errorWord>）</errorWord>
      <group>L1_Format</group>
      <groupName>格式问题</groupName>
      <ability>L2_HalfPunc</ability>
      <abilityName>全半角检查</abilityName>
      <candidateList>
        <item>)</item>
      </candidateList>
      <explain>文本全半角错误。</explain>
      <paraID>10BC25BF</paraID>
      <start>12</start>
      <end>13</end>
      <status>unmodified</status>
      <modifiedWord/>
      <trackRevisions>false</trackRevisions>
    </reviewItem>
    <reviewItem>
      <errorID>57ea2152-c38e-45d6-a948-53cada967a29</errorID>
      <errorWord>（</errorWord>
      <group>L1_Format</group>
      <groupName>格式问题</groupName>
      <ability>L2_HalfPunc</ability>
      <abilityName>全半角检查</abilityName>
      <candidateList>
        <item>(</item>
      </candidateList>
      <explain>文本全半角错误。</explain>
      <paraID>1D00D540</paraID>
      <start>2</start>
      <end>3</end>
      <status>unmodified</status>
      <modifiedWord/>
      <trackRevisions>false</trackRevisions>
    </reviewItem>
    <reviewItem>
      <errorID>33a440e2-24e6-40b1-8209-de82a3e542f9</errorID>
      <errorWord>）</errorWord>
      <group>L1_Format</group>
      <groupName>格式问题</groupName>
      <ability>L2_HalfPunc</ability>
      <abilityName>全半角检查</abilityName>
      <candidateList>
        <item>)</item>
      </candidateList>
      <explain>文本全半角错误。</explain>
      <paraID>1D00D540</paraID>
      <start>8</start>
      <end>9</end>
      <status>unmodified</status>
      <modifiedWord/>
      <trackRevisions>false</trackRevisions>
    </reviewItem>
    <reviewItem>
      <errorID>4828e422-82e9-49f0-b425-53f02c74e437</errorID>
      <errorWord>(</errorWord>
      <group>L1_Format</group>
      <groupName>格式问题</groupName>
      <ability>L2_HalfPunc</ability>
      <abilityName>全半角检查</abilityName>
      <candidateList>
        <item>（</item>
      </candidateList>
      <explain>文本全半角错误。</explain>
      <paraID>391BCB25</paraID>
      <start>2</start>
      <end>3</end>
      <status>unmodified</status>
      <modifiedWord/>
      <trackRevisions>false</trackRevisions>
    </reviewItem>
    <reviewItem>
      <errorID>bc69eea9-4ba1-42af-871a-9784248c8eb6</errorID>
      <errorWord>)</errorWord>
      <group>L1_Format</group>
      <groupName>格式问题</groupName>
      <ability>L2_HalfPunc</ability>
      <abilityName>全半角检查</abilityName>
      <candidateList>
        <item>）</item>
      </candidateList>
      <explain>文本全半角错误。</explain>
      <paraID>391BCB25</paraID>
      <start>4</start>
      <end>5</end>
      <status>unmodified</status>
      <modifiedWord/>
      <trackRevisions>false</trackRevisions>
    </reviewItem>
    <reviewItem>
      <errorID>5b94943e-9e70-45ef-92ba-e9c71efb758d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C45BF5</paraID>
      <start>9</start>
      <end>10</end>
      <status>unmodified</status>
      <modifiedWord/>
      <trackRevisions>false</trackRevisions>
    </reviewItem>
    <reviewItem>
      <errorID>1d52f7de-728c-4030-8b8f-a36602e282c2</errorID>
      <errorWord>场</errorWord>
      <group>L1_Word</group>
      <groupName>字词问题</groupName>
      <ability>L2_Typo</ability>
      <abilityName>字词错误</abilityName>
      <candidateList>
        <item>厂</item>
      </candidateList>
      <explain>存在发音相同字词的误用。</explain>
      <paraID>10BDDC9B</paraID>
      <start>12</start>
      <end>13</end>
      <status>unmodified</status>
      <modifiedWord/>
      <trackRevisions>false</trackRevisions>
    </reviewItem>
    <reviewItem>
      <errorID>8d632bbf-8c06-4966-b269-e8b9d130ee71</errorID>
      <errorWord>程</errorWord>
      <group>L1_Word</group>
      <groupName>字词问题</groupName>
      <ability>L2_Typo</ability>
      <abilityName>字词错误</abilityName>
      <candidateList>
        <item>程中</item>
      </candidateList>
      <explain/>
      <paraID>25DF9492</paraID>
      <start>93</start>
      <end>94</end>
      <status>unmodified</status>
      <modifiedWord/>
      <trackRevisions>false</trackRevisions>
    </reviewItem>
    <reviewItem>
      <errorID>b117e386-9c24-4e26-8238-e69ff42ac604</errorID>
      <errorWord>~</errorWord>
      <group>L1_Format</group>
      <groupName>格式问题</groupName>
      <ability>L2_HalfPunc</ability>
      <abilityName>全半角检查</abilityName>
      <candidateList>
        <item>～</item>
      </candidateList>
      <explain>文本全半角错误。</explain>
      <paraID>49805FD2</paraID>
      <start>28</start>
      <end>29</end>
      <status>unmodified</status>
      <modifiedWord/>
      <trackRevisions>false</trackRevisions>
    </reviewItem>
    <reviewItem>
      <errorID>5ffe404b-af83-4c80-bfb1-7632045253ad</errorID>
      <errorWord>万</errorWord>
      <group>L1_Word</group>
      <groupName>字词问题</groupName>
      <ability>L2_Typo</ability>
      <abilityName>字词错误</abilityName>
      <candidateList>
        <item>万元</item>
      </candidateList>
      <explain/>
      <paraID>72017AE7</paraID>
      <start>5</start>
      <end>6</end>
      <status>unmodified</status>
      <modifiedWord/>
      <trackRevisions>false</trackRevisions>
    </reviewItem>
    <reviewItem>
      <errorID>e4a4683a-2273-4b5a-9fd0-3d07a6e09550</errorID>
      <errorWord>海拔高度</errorWord>
      <group>L1_Word</group>
      <groupName>字词问题</groupName>
      <ability>L2_Typo</ability>
      <abilityName>字词错误</abilityName>
      <candidateList>
        <item>海拔</item>
      </candidateList>
      <explain>〈名〉从平均海平面起算的高度。</explain>
      <paraID> EF6CA5C</paraID>
      <start>5</start>
      <end>9</end>
      <status>unmodified</status>
      <modifiedWord/>
      <trackRevisions>false</trackRevisions>
    </reviewItem>
    <reviewItem>
      <errorID>6d33906f-8263-4752-aba1-080d301e8b25</errorID>
      <errorWord>海拔高度</errorWord>
      <group>L1_Word</group>
      <groupName>字词问题</groupName>
      <ability>L2_Typo</ability>
      <abilityName>字词错误</abilityName>
      <candidateList>
        <item>海拔</item>
      </candidateList>
      <explain>〈名〉从平均海平面起算的高度。</explain>
      <paraID>3CA31998</paraID>
      <start>2</start>
      <end>6</end>
      <status>unmodified</status>
      <modifiedWord/>
      <trackRevisions>false</trackRevisions>
    </reviewItem>
    <reviewItem>
      <errorID>054fc948-9083-4871-86a9-e0d235161551</errorID>
      <errorWord>；</errorWord>
      <group>L1_Format</group>
      <groupName>格式问题</groupName>
      <ability>L2_HalfPunc</ability>
      <abilityName>全半角检查</abilityName>
      <candidateList>
        <item>;</item>
      </candidateList>
      <explain>文本全半角错误。</explain>
      <paraID>27777F7A</paraID>
      <start>4</start>
      <end>5</end>
      <status>unmodified</status>
      <modifiedWord/>
      <trackRevisions>false</trackRevisions>
    </reviewItem>
    <reviewItem>
      <errorID>c61906b0-54fd-4f65-b33d-97e1c405a763</errorID>
      <errorWord>；</errorWord>
      <group>L1_Format</group>
      <groupName>格式问题</groupName>
      <ability>L2_HalfPunc</ability>
      <abilityName>全半角检查</abilityName>
      <candidateList>
        <item>;</item>
      </candidateList>
      <explain>文本全半角错误。</explain>
      <paraID>27777F7A</paraID>
      <start>8</start>
      <end>9</end>
      <status>unmodified</status>
      <modifiedWord/>
      <trackRevisions>false</trackRevisions>
    </reviewItem>
    <reviewItem>
      <errorID>5eece899-dd05-4ed4-9a30-333d3be6417f</errorID>
      <errorWord>；</errorWord>
      <group>L1_Format</group>
      <groupName>格式问题</groupName>
      <ability>L2_HalfPunc</ability>
      <abilityName>全半角检查</abilityName>
      <candidateList>
        <item>;</item>
      </candidateList>
      <explain>文本全半角错误。</explain>
      <paraID>3165B4F7</paraID>
      <start>4</start>
      <end>5</end>
      <status>unmodified</status>
      <modifiedWord/>
      <trackRevisions>false</trackRevisions>
    </reviewItem>
    <reviewItem>
      <errorID>7da24d80-630b-4d67-a86e-9a57ef67bfb6</errorID>
      <errorWord>；</errorWord>
      <group>L1_Format</group>
      <groupName>格式问题</groupName>
      <ability>L2_HalfPunc</ability>
      <abilityName>全半角检查</abilityName>
      <candidateList>
        <item>;</item>
      </candidateList>
      <explain>文本全半角错误。</explain>
      <paraID>3165B4F7</paraID>
      <start>8</start>
      <end>9</end>
      <status>unmodified</status>
      <modifiedWord/>
      <trackRevisions>false</trackRevisions>
    </reviewItem>
    <reviewItem>
      <errorID>6b9e3226-39e5-4cdb-91b4-87507239c6df</errorID>
      <errorWord>；</errorWord>
      <group>L1_Format</group>
      <groupName>格式问题</groupName>
      <ability>L2_HalfPunc</ability>
      <abilityName>全半角检查</abilityName>
      <candidateList>
        <item>;</item>
      </candidateList>
      <explain>文本全半角错误。</explain>
      <paraID> 141A277</paraID>
      <start>4</start>
      <end>5</end>
      <status>unmodified</status>
      <modifiedWord/>
      <trackRevisions>false</trackRevisions>
    </reviewItem>
    <reviewItem>
      <errorID>28e73826-b104-4c63-89b8-d953b784612c</errorID>
      <errorWord>；</errorWord>
      <group>L1_Format</group>
      <groupName>格式问题</groupName>
      <ability>L2_HalfPunc</ability>
      <abilityName>全半角检查</abilityName>
      <candidateList>
        <item>;</item>
      </candidateList>
      <explain>文本全半角错误。</explain>
      <paraID> 141A277</paraID>
      <start>8</start>
      <end>9</end>
      <status>unmodified</status>
      <modifiedWord/>
      <trackRevisions>false</trackRevisions>
    </reviewItem>
    <reviewItem>
      <errorID>52cd20a7-f9a6-4b8e-a24a-782a9012eda3</errorID>
      <errorWord>；</errorWord>
      <group>L1_Format</group>
      <groupName>格式问题</groupName>
      <ability>L2_HalfPunc</ability>
      <abilityName>全半角检查</abilityName>
      <candidateList>
        <item>;</item>
      </candidateList>
      <explain>文本全半角错误。</explain>
      <paraID>71963219</paraID>
      <start>4</start>
      <end>5</end>
      <status>unmodified</status>
      <modifiedWord/>
      <trackRevisions>false</trackRevisions>
    </reviewItem>
    <reviewItem>
      <errorID>b5a00946-c752-466c-a22c-c4135a36f231</errorID>
      <errorWord>；</errorWord>
      <group>L1_Format</group>
      <groupName>格式问题</groupName>
      <ability>L2_HalfPunc</ability>
      <abilityName>全半角检查</abilityName>
      <candidateList>
        <item>;</item>
      </candidateList>
      <explain>文本全半角错误。</explain>
      <paraID>71963219</paraID>
      <start>8</start>
      <end>9</end>
      <status>unmodified</status>
      <modifiedWord/>
      <trackRevisions>false</trackRevisions>
    </reviewItem>
    <reviewItem>
      <errorID>419b79d6-f598-4b9f-b1ab-37f4f61d2c09</errorID>
      <errorWord>；</errorWord>
      <group>L1_Format</group>
      <groupName>格式问题</groupName>
      <ability>L2_HalfPunc</ability>
      <abilityName>全半角检查</abilityName>
      <candidateList>
        <item>;</item>
      </candidateList>
      <explain>文本全半角错误。</explain>
      <paraID> E4F381C</paraID>
      <start>4</start>
      <end>5</end>
      <status>unmodified</status>
      <modifiedWord/>
      <trackRevisions>false</trackRevisions>
    </reviewItem>
    <reviewItem>
      <errorID>02717106-1126-4f81-aa5c-5ae76b48d3fd</errorID>
      <errorWord>；</errorWord>
      <group>L1_Format</group>
      <groupName>格式问题</groupName>
      <ability>L2_HalfPunc</ability>
      <abilityName>全半角检查</abilityName>
      <candidateList>
        <item>;</item>
      </candidateList>
      <explain>文本全半角错误。</explain>
      <paraID> E4F381C</paraID>
      <start>8</start>
      <end>9</end>
      <status>unmodified</status>
      <modifiedWord/>
      <trackRevisions>false</trackRevisions>
    </reviewItem>
    <reviewItem>
      <errorID>3ec26c77-b31f-4820-9603-39ed40a860e0</errorID>
      <errorWord>；</errorWord>
      <group>L1_Format</group>
      <groupName>格式问题</groupName>
      <ability>L2_HalfPunc</ability>
      <abilityName>全半角检查</abilityName>
      <candidateList>
        <item>;</item>
      </candidateList>
      <explain>文本全半角错误。</explain>
      <paraID>434569E1</paraID>
      <start>4</start>
      <end>5</end>
      <status>unmodified</status>
      <modifiedWord/>
      <trackRevisions>false</trackRevisions>
    </reviewItem>
    <reviewItem>
      <errorID>8747d1ea-a6cc-4d94-b26a-c16decd6dd38</errorID>
      <errorWord>；</errorWord>
      <group>L1_Format</group>
      <groupName>格式问题</groupName>
      <ability>L2_HalfPunc</ability>
      <abilityName>全半角检查</abilityName>
      <candidateList>
        <item>;</item>
      </candidateList>
      <explain>文本全半角错误。</explain>
      <paraID>434569E1</paraID>
      <start>8</start>
      <end>9</end>
      <status>unmodified</status>
      <modifiedWord/>
      <trackRevisions>false</trackRevisions>
    </reviewItem>
    <reviewItem>
      <errorID>f8756d9e-f187-4e08-b272-a00640b8a7c6</errorID>
      <errorWord>；</errorWord>
      <group>L1_Format</group>
      <groupName>格式问题</groupName>
      <ability>L2_HalfPunc</ability>
      <abilityName>全半角检查</abilityName>
      <candidateList>
        <item>;</item>
      </candidateList>
      <explain>文本全半角错误。</explain>
      <paraID>63911B12</paraID>
      <start>5</start>
      <end>6</end>
      <status>unmodified</status>
      <modifiedWord/>
      <trackRevisions>false</trackRevisions>
    </reviewItem>
    <reviewItem>
      <errorID>1714057e-d0f3-478d-b447-b4d1b585b8cc</errorID>
      <errorWord>；</errorWord>
      <group>L1_Format</group>
      <groupName>格式问题</groupName>
      <ability>L2_HalfPunc</ability>
      <abilityName>全半角检查</abilityName>
      <candidateList>
        <item>;</item>
      </candidateList>
      <explain>文本全半角错误。</explain>
      <paraID>63911B12</paraID>
      <start>10</start>
      <end>11</end>
      <status>unmodified</status>
      <modifiedWord/>
      <trackRevisions>false</trackRevisions>
    </reviewItem>
    <reviewItem>
      <errorID>702626d8-546f-441a-bc65-0c2a666bc535</errorID>
      <errorWord>；</errorWord>
      <group>L1_Format</group>
      <groupName>格式问题</groupName>
      <ability>L2_HalfPunc</ability>
      <abilityName>全半角检查</abilityName>
      <candidateList>
        <item>;</item>
      </candidateList>
      <explain>文本全半角错误。</explain>
      <paraID>435AB037</paraID>
      <start>5</start>
      <end>6</end>
      <status>unmodified</status>
      <modifiedWord/>
      <trackRevisions>false</trackRevisions>
    </reviewItem>
    <reviewItem>
      <errorID>c89cf945-5b60-44ba-b600-d0c18ee2ff2a</errorID>
      <errorWord>；</errorWord>
      <group>L1_Format</group>
      <groupName>格式问题</groupName>
      <ability>L2_HalfPunc</ability>
      <abilityName>全半角检查</abilityName>
      <candidateList>
        <item>;</item>
      </candidateList>
      <explain>文本全半角错误。</explain>
      <paraID>435AB037</paraID>
      <start>10</start>
      <end>11</end>
      <status>unmodified</status>
      <modifiedWord/>
      <trackRevisions>false</trackRevisions>
    </reviewItem>
    <reviewItem>
      <errorID>a15a85ff-038e-47cf-83d5-30c472cb72ef</errorID>
      <errorWord>；</errorWord>
      <group>L1_Format</group>
      <groupName>格式问题</groupName>
      <ability>L2_HalfPunc</ability>
      <abilityName>全半角检查</abilityName>
      <candidateList>
        <item>;</item>
      </candidateList>
      <explain>文本全半角错误。</explain>
      <paraID>3BAFA353</paraID>
      <start>4</start>
      <end>5</end>
      <status>unmodified</status>
      <modifiedWord/>
      <trackRevisions>false</trackRevisions>
    </reviewItem>
    <reviewItem>
      <errorID>d16b9e8d-a270-4d29-b2af-4d87dcd24b8d</errorID>
      <errorWord>；</errorWord>
      <group>L1_Format</group>
      <groupName>格式问题</groupName>
      <ability>L2_HalfPunc</ability>
      <abilityName>全半角检查</abilityName>
      <candidateList>
        <item>;</item>
      </candidateList>
      <explain>文本全半角错误。</explain>
      <paraID>3BAFA353</paraID>
      <start>9</start>
      <end>10</end>
      <status>unmodified</status>
      <modifiedWord/>
      <trackRevisions>false</trackRevisions>
    </reviewItem>
    <reviewItem>
      <errorID>0080eab3-adb6-4674-8bc2-5c6d7dbf1bce</errorID>
      <errorWord>；</errorWord>
      <group>L1_Format</group>
      <groupName>格式问题</groupName>
      <ability>L2_HalfPunc</ability>
      <abilityName>全半角检查</abilityName>
      <candidateList>
        <item>;</item>
      </candidateList>
      <explain>文本全半角错误。</explain>
      <paraID>7E13FE0F</paraID>
      <start>4</start>
      <end>5</end>
      <status>unmodified</status>
      <modifiedWord/>
      <trackRevisions>false</trackRevisions>
    </reviewItem>
    <reviewItem>
      <errorID>ef72ebf9-f6a5-4adf-8448-00f13217e757</errorID>
      <errorWord>；</errorWord>
      <group>L1_Format</group>
      <groupName>格式问题</groupName>
      <ability>L2_HalfPunc</ability>
      <abilityName>全半角检查</abilityName>
      <candidateList>
        <item>;</item>
      </candidateList>
      <explain>文本全半角错误。</explain>
      <paraID>7E13FE0F</paraID>
      <start>9</start>
      <end>10</end>
      <status>unmodified</status>
      <modifiedWord/>
      <trackRevisions>false</trackRevisions>
    </reviewItem>
    <reviewItem>
      <errorID>db1e6d06-129b-429f-b209-6f6616688d93</errorID>
      <errorWord>；</errorWord>
      <group>L1_Format</group>
      <groupName>格式问题</groupName>
      <ability>L2_HalfPunc</ability>
      <abilityName>全半角检查</abilityName>
      <candidateList>
        <item>;</item>
      </candidateList>
      <explain>文本全半角错误。</explain>
      <paraID>5F9EB9DE</paraID>
      <start>4</start>
      <end>5</end>
      <status>unmodified</status>
      <modifiedWord/>
      <trackRevisions>false</trackRevisions>
    </reviewItem>
    <reviewItem>
      <errorID>c63200b9-fcb5-44df-aedb-1968e6954d8b</errorID>
      <errorWord>；</errorWord>
      <group>L1_Format</group>
      <groupName>格式问题</groupName>
      <ability>L2_HalfPunc</ability>
      <abilityName>全半角检查</abilityName>
      <candidateList>
        <item>;</item>
      </candidateList>
      <explain>文本全半角错误。</explain>
      <paraID>5F9EB9DE</paraID>
      <start>10</start>
      <end>11</end>
      <status>unmodified</status>
      <modifiedWord/>
      <trackRevisions>false</trackRevisions>
    </reviewItem>
    <reviewItem>
      <errorID>31302558-0c51-44b9-b66e-59ae77bf17e4</errorID>
      <errorWord>；</errorWord>
      <group>L1_Format</group>
      <groupName>格式问题</groupName>
      <ability>L2_HalfPunc</ability>
      <abilityName>全半角检查</abilityName>
      <candidateList>
        <item>;</item>
      </candidateList>
      <explain>文本全半角错误。</explain>
      <paraID>51AD8C5B</paraID>
      <start>5</start>
      <end>6</end>
      <status>unmodified</status>
      <modifiedWord/>
      <trackRevisions>false</trackRevisions>
    </reviewItem>
    <reviewItem>
      <errorID>e209b6e6-1e7c-48bb-86e2-f3ec7c7b85da</errorID>
      <errorWord>；</errorWord>
      <group>L1_Format</group>
      <groupName>格式问题</groupName>
      <ability>L2_HalfPunc</ability>
      <abilityName>全半角检查</abilityName>
      <candidateList>
        <item>;</item>
      </candidateList>
      <explain>文本全半角错误。</explain>
      <paraID>51AD8C5B</paraID>
      <start>10</start>
      <end>11</end>
      <status>unmodified</status>
      <modifiedWord/>
      <trackRevisions>false</trackRevisions>
    </reviewItem>
    <reviewItem>
      <errorID>20b1a829-a425-4db9-a267-56e4e249f4ba</errorID>
      <errorWord>相关的其它</errorWord>
      <group>L1_Word</group>
      <groupName>字词问题</groupName>
      <ability>L2_Alias</ability>
      <abilityName>也作/曾用词</abilityName>
      <candidateList>
        <item>相关的其他</item>
      </candidateList>
      <explain>词汇[相关的其它]为不规范表述或旧称，其规范书面表述为[相关的其他]。</explain>
      <paraID>4182676B</paraID>
      <start>71</start>
      <end>76</end>
      <status>modified</status>
      <modifiedWord>相关的其他</modifiedWord>
      <trackRevisions>false</trackRevisions>
    </reviewItem>
    <reviewItem>
      <errorID>26a23601-e6f8-4a7c-82ea-0dd8c0578ed6</errorID>
      <errorWord>项</errorWord>
      <group>L1_Word</group>
      <groupName>字词问题</groupName>
      <ability>L2_Typo</ability>
      <abilityName>字词错误</abilityName>
      <candidateList>
        <item>向</item>
      </candidateList>
      <explain>〈副〉向来：～有研究｜～无此例。</explain>
      <paraID>164FEEED</paraID>
      <start>24</start>
      <end>25</end>
      <status>unmodified</status>
      <modifiedWord/>
      <trackRevisions>false</trackRevisions>
    </reviewItem>
    <reviewItem>
      <errorID>c8e13c00-62b7-4613-b80a-9171f01d0492</errorID>
      <errorWord>定为</errorWord>
      <group>L1_Word</group>
      <groupName>字词问题</groupName>
      <ability>L2_Typo</ability>
      <abilityName>字词错误</abilityName>
      <candidateList>
        <item>为</item>
      </candidateList>
      <explain>（爲、為）wèi❶〈书〉帮助；卫护：～吕氏者右袒，～刘氏者左袒。❷〈介〉表示行为的对象；替：～你庆幸｜～人民服务｜～这本书写一篇序。❸〈介〉表示原因、目的：大家都～这件事高兴｜～建设伟大祖国而奋斗。❹〈书〉〈介〉对；向：不足～外人道。</explain>
      <paraID>1E8A7B90</paraID>
      <start>244</start>
      <end>246</end>
      <status>unmodified</status>
      <modifiedWord/>
      <trackRevisions>false</trackRevisions>
    </reviewItem>
    <reviewItem>
      <errorID>4ff2bd61-2013-42ca-88cc-e1ab65fb8c7c</errorID>
      <errorWord>'</errorWord>
      <group>L1_Format</group>
      <groupName>格式问题</groupName>
      <ability>L2_HalfPunc</ability>
      <abilityName>全半角检查</abilityName>
      <candidateList/>
      <explain>文本全半角错误。</explain>
      <paraID> B226481</paraID>
      <start>50</start>
      <end>51</end>
      <status>unmodified</status>
      <modifiedWord/>
      <trackRevisions>false</trackRevisions>
    </reviewItem>
    <reviewItem>
      <errorID>04f72ada-29ee-4aef-9bb1-e6283b2f8be1</errorID>
      <errorWord>'</errorWord>
      <group>L1_Format</group>
      <groupName>格式问题</groupName>
      <ability>L2_HalfPunc</ability>
      <abilityName>全半角检查</abilityName>
      <candidateList/>
      <explain>文本全半角错误。</explain>
      <paraID> B226481</paraID>
      <start>64</start>
      <end>65</end>
      <status>unmodified</status>
      <modifiedWord/>
      <trackRevisions>false</trackRevisions>
    </reviewItem>
    <reviewItem>
      <errorID>de451e9e-22fd-4b64-a587-6e588f23d80f</errorID>
      <errorWord>~</errorWord>
      <group>L1_Format</group>
      <groupName>格式问题</groupName>
      <ability>L2_HalfPunc</ability>
      <abilityName>全半角检查</abilityName>
      <candidateList>
        <item>～</item>
      </candidateList>
      <explain>文本全半角错误。</explain>
      <paraID>6372BE75</paraID>
      <start>3</start>
      <end>4</end>
      <status>unmodified</status>
      <modifiedWord/>
      <trackRevisions>false</trackRevisions>
    </reviewItem>
    <reviewItem>
      <errorID>2e72dab0-fec5-4a9c-9ecf-09ef33b6b447</errorID>
      <errorWord>污水处理场</errorWord>
      <group>L1_Word</group>
      <groupName>字词问题</groupName>
      <ability>L2_Typo</ability>
      <abilityName>字词错误</abilityName>
      <candidateList>
        <item>污水处理厂</item>
      </candidateList>
      <explain/>
      <paraID>51A56E6D</paraID>
      <start>97</start>
      <end>102</end>
      <status>modified</status>
      <modifiedWord>污水处理厂</modifiedWord>
      <trackRevisions>false</trackRevisions>
    </reviewItem>
    <reviewItem>
      <errorID>a726215c-66cc-4acf-ad7b-e69b5f333d30</errorID>
      <errorWord>一件</errorWord>
      <group>L1_Knowledge</group>
      <groupName>知识性问题</groupName>
      <ability>L2_Knowledge</ability>
      <abilityName>其他知识</abilityName>
      <candidateList>
        <item>一间</item>
      </candidateList>
      <explain/>
      <paraID>39EBCEF7</paraID>
      <start>39</start>
      <end>41</end>
      <status>unmodified</status>
      <modifiedWord/>
      <trackRevisions>false</trackRevisions>
    </reviewItem>
    <reviewItem>
      <errorID>01110fde-322a-495b-b6f2-bc5c2bc73d92</errorID>
      <errorWord>由阀门</errorWord>
      <group>L1_Word</group>
      <groupName>字词问题</groupName>
      <ability>L2_Typo</ability>
      <abilityName>字词错误</abilityName>
      <candidateList>
        <item>有阀门</item>
      </candidateList>
      <explain>存在发音相同字词的误用。</explain>
      <paraID>1E55F54A</paraID>
      <start>50</start>
      <end>53</end>
      <status>modified</status>
      <modifiedWord>有阀门</modifiedWord>
      <trackRevisions>false</trackRevisions>
    </reviewItem>
    <reviewItem>
      <errorID>50c21018-d1f5-4732-8290-626759a441e8</errorID>
      <errorWord>几</errorWord>
      <group>L1_Word</group>
      <groupName>字词问题</groupName>
      <ability>L2_Typo</ability>
      <abilityName>字词错误</abilityName>
      <candidateList>
        <item>及</item>
      </candidateList>
      <explain>存在发音相同字词的误用。</explain>
      <paraID>5866F5DD</paraID>
      <start>6</start>
      <end>7</end>
      <status>unmodified</status>
      <modifiedWord/>
      <trackRevisions>false</trackRevisions>
    </reviewItem>
    <reviewItem>
      <errorID>8c571b2e-8078-41df-887b-fb3d068a29bc</errorID>
      <errorWord>/.</errorWord>
      <group>L1_Punc</group>
      <groupName>标点问题</groupName>
      <ability>L2_Punc</ability>
      <abilityName>标点符号检查</abilityName>
      <candidateList>
        <item>/</item>
      </candidateList>
      <explain/>
      <paraID>  4675CA</paraID>
      <start>3</start>
      <end>5</end>
      <status>unmodified</status>
      <modifiedWord/>
      <trackRevisions>false</trackRevisions>
    </reviewItem>
    <reviewItem>
      <errorID>78061a0c-4198-4121-bb0d-cda55432b427</errorID>
      <errorWord>～</errorWord>
      <group>L1_Format</group>
      <groupName>格式问题</groupName>
      <ability>L2_HalfPunc</ability>
      <abilityName>全半角检查</abilityName>
      <candidateList>
        <item>~</item>
      </candidateList>
      <explain>文本全半角错误。</explain>
      <paraID>2A2163E8</paraID>
      <start>2</start>
      <end>3</end>
      <status>unmodified</status>
      <modifiedWord/>
      <trackRevisions>false</trackRevisions>
    </reviewItem>
    <reviewItem>
      <errorID>467d6af7-2ba8-47d0-9499-99ced4e520f5</errorID>
      <errorWord>～</errorWord>
      <group>L1_Format</group>
      <groupName>格式问题</groupName>
      <ability>L2_HalfPunc</ability>
      <abilityName>全半角检查</abilityName>
      <candidateList>
        <item>~</item>
      </candidateList>
      <explain>文本全半角错误。</explain>
      <paraID>7F761F09</paraID>
      <start>2</start>
      <end>3</end>
      <status>unmodified</status>
      <modifiedWord/>
      <trackRevisions>false</trackRevisions>
    </reviewItem>
    <reviewItem>
      <errorID>a46ec2b5-f74e-4adf-a6af-909a63e949bb</errorID>
      <errorWord>～</errorWord>
      <group>L1_Format</group>
      <groupName>格式问题</groupName>
      <ability>L2_HalfPunc</ability>
      <abilityName>全半角检查</abilityName>
      <candidateList>
        <item>~</item>
      </candidateList>
      <explain>文本全半角错误。</explain>
      <paraID>585C3B37</paraID>
      <start>2</start>
      <end>3</end>
      <status>unmodified</status>
      <modifiedWord/>
      <trackRevisions>false</trackRevisions>
    </reviewItem>
    <reviewItem>
      <errorID>62134e17-b620-4c1c-ac96-1778b3f0f439</errorID>
      <errorWord>～</errorWord>
      <group>L1_Format</group>
      <groupName>格式问题</groupName>
      <ability>L2_HalfPunc</ability>
      <abilityName>全半角检查</abilityName>
      <candidateList>
        <item>~</item>
      </candidateList>
      <explain>文本全半角错误。</explain>
      <paraID>79794FCD</paraID>
      <start>2</start>
      <end>3</end>
      <status>unmodified</status>
      <modifiedWord/>
      <trackRevisions>false</trackRevisions>
    </reviewItem>
    <reviewItem>
      <errorID>9b47eab3-cdd1-4370-857c-cd4289bc3f45</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79062739</paraID>
      <start>51</start>
      <end>52</end>
      <status>modified</status>
      <modifiedWord>地</modifiedWord>
      <trackRevisions>false</trackRevisions>
    </reviewItem>
    <reviewItem>
      <errorID>4c097744-d67c-406e-9fdd-9c99e52ed0cc</errorID>
      <errorWord>内臂</errorWord>
      <group>L1_Word</group>
      <groupName>字词问题</groupName>
      <ability>L2_Typo</ability>
      <abilityName>字词错误</abilityName>
      <candidateList>
        <item>内壁</item>
      </candidateList>
      <explain>存在发音相同字词的误用。</explain>
      <paraID>79062739</paraID>
      <start>84</start>
      <end>86</end>
      <status>modified</status>
      <modifiedWord>内壁</modifiedWord>
      <trackRevisions>false</trackRevisions>
    </reviewItem>
    <reviewItem>
      <errorID>e23c2dfd-f405-4566-96a9-a30d5806e79e</errorID>
      <errorWord>引自引自</errorWord>
      <group>L1_Word</group>
      <groupName>字词问题</groupName>
      <ability>L2_Typo</ability>
      <abilityName>字词错误</abilityName>
      <candidateList>
        <item>引自</item>
      </candidateList>
      <explain/>
      <paraID>60D4CDF1</paraID>
      <start>62</start>
      <end>64</end>
      <status>modified</status>
      <modifiedWord>引自</modifiedWord>
      <trackRevisions>false</trackRevisions>
    </reviewItem>
    <reviewItem>
      <errorID>f5891c84-b926-4c8b-8876-0194676c5362</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 F0D9977</paraID>
      <start>4</start>
      <end>5</end>
      <status>modified</status>
      <modifiedWord>地</modifiedWord>
      <trackRevisions>false</trackRevisions>
    </reviewItem>
    <reviewItem>
      <errorID>32778131-16fe-455c-847a-f6fdaf55080b</errorID>
      <errorWord>设</errorWord>
      <group>L1_Word</group>
      <groupName>字词问题</groupName>
      <ability>L2_Typo</ability>
      <abilityName>字词错误</abilityName>
      <candidateList>
        <item>设置</item>
      </candidateList>
      <explain>〈动〉❶设立：这座剧院是为儿童～的。❷安放；安装：～障碍。</explain>
      <paraID> F0D9977</paraID>
      <start>37</start>
      <end>38</end>
      <status>unmodified</status>
      <modifiedWord/>
      <trackRevisions>false</trackRevisions>
    </reviewItem>
    <reviewItem>
      <errorID>d4c40185-7c69-4dde-b332-95c312e67d5d</errorID>
      <errorWord>(</errorWord>
      <group>L1_Format</group>
      <groupName>格式问题</groupName>
      <ability>L2_HalfPunc</ability>
      <abilityName>全半角检查</abilityName>
      <candidateList>
        <item>（</item>
      </candidateList>
      <explain>文本全半角错误。</explain>
      <paraID>73A90DB9</paraID>
      <start>133</start>
      <end>134</end>
      <status>unmodified</status>
      <modifiedWord/>
      <trackRevisions>false</trackRevisions>
    </reviewItem>
    <reviewItem>
      <errorID>829a3860-43ec-4c25-81e1-e2cb0bfbcf60</errorID>
      <errorWord>)</errorWord>
      <group>L1_Format</group>
      <groupName>格式问题</groupName>
      <ability>L2_HalfPunc</ability>
      <abilityName>全半角检查</abilityName>
      <candidateList>
        <item>）</item>
      </candidateList>
      <explain>文本全半角错误。</explain>
      <paraID>73A90DB9</paraID>
      <start>139</start>
      <end>140</end>
      <status>unmodified</status>
      <modifiedWord/>
      <trackRevisions>false</trackRevisions>
    </reviewItem>
    <reviewItem>
      <errorID>9207b581-9cfb-41a5-84a2-1424ccc999a3</errorID>
      <errorWord>进入到</errorWord>
      <group>L1_Word</group>
      <groupName>字词问题</groupName>
      <ability>L2_Typo</ability>
      <abilityName>字词错误</abilityName>
      <candidateList>
        <item>进入</item>
      </candidateList>
      <explain>〈动〉支进到某个范围或某个时期里：～学校｜～新阶段◇～角色。</explain>
      <paraID>5536FE32</paraID>
      <start>5</start>
      <end>8</end>
      <status>unmodified</status>
      <modifiedWord/>
      <trackRevisions>false</trackRevisions>
    </reviewItem>
    <reviewItem>
      <errorID>6256e494-e97b-49b3-8a6b-6d2f9fdd9443</errorID>
      <errorWord>一一</errorWord>
      <group>L1_Word</group>
      <groupName>字词问题</groupName>
      <ability>L2_Typo</ability>
      <abilityName>字词错误</abilityName>
      <candidateList>
        <item>一</item>
      </candidateList>
      <explain/>
      <paraID>5536FE32</paraID>
      <start>32</start>
      <end>34</end>
      <status>unmodified</status>
      <modifiedWord/>
      <trackRevisions>false</trackRevisions>
    </reviewItem>
    <reviewItem>
      <errorID>f4622e07-dc7d-47b6-a595-aba03f8864e9</errorID>
      <errorWord>问断</errorWord>
      <group>L1_Word</group>
      <groupName>字词问题</groupName>
      <ability>L2_Typo</ability>
      <abilityName>字词错误</abilityName>
      <candidateList>
        <item>间断</item>
      </candidateList>
      <explain/>
      <paraID>5536FE32</paraID>
      <start>80</start>
      <end>82</end>
      <status>unmodified</status>
      <modifiedWord/>
      <trackRevisions>false</trackRevisions>
    </reviewItem>
    <reviewItem>
      <errorID>8ffaa3e5-1efc-49d3-9fec-5f8367a5b73c</errorID>
      <errorWord>位</errorWord>
      <group>L1_Knowledge</group>
      <groupName>知识性问题</groupName>
      <ability>L2_Knowledge</ability>
      <abilityName>其他知识</abilityName>
      <candidateList>
        <item>日</item>
      </candidateList>
      <explain/>
      <paraID>6EF1C64D</paraID>
      <start>163</start>
      <end>164</end>
      <status>unmodified</status>
      <modifiedWord/>
      <trackRevisions>false</trackRevisions>
    </reviewItem>
    <reviewItem>
      <errorID>0daa7572-e9dc-4533-9c2d-021750e38a1e</errorID>
      <errorWord>能为</errorWord>
      <group>L1_Word</group>
      <groupName>字词问题</groupName>
      <ability>L2_Typo</ability>
      <abilityName>字词错误</abilityName>
      <candidateList>
        <item>能力</item>
      </candidateList>
      <explain>存在字形相近字词的误用。</explain>
      <paraID>  12961E</paraID>
      <start>92</start>
      <end>94</end>
      <status>unmodified</status>
      <modifiedWord/>
      <trackRevisions>false</trackRevisions>
    </reviewItem>
    <reviewItem>
      <errorID>87133de6-fe5a-4b3d-8c69-d9a1059384bf</errorID>
      <errorWord>PH值</errorWord>
      <group>L1_Word</group>
      <groupName>字词问题</groupName>
      <ability>L2_Typo</ability>
      <abilityName>字词错误</abilityName>
      <candidateList>
        <item>pH值</item>
      </candidateList>
      <explain/>
      <paraID> 49BCF1D</paraID>
      <start>16</start>
      <end>19</end>
      <status>unmodified</status>
      <modifiedWord/>
      <trackRevisions>false</trackRevisions>
    </reviewItem>
    <reviewItem>
      <errorID>81d6f500-c320-4347-a668-75107ff63a8a</errorID>
      <errorWord>PH值</errorWord>
      <group>L1_Word</group>
      <groupName>字词问题</groupName>
      <ability>L2_Typo</ability>
      <abilityName>字词错误</abilityName>
      <candidateList>
        <item>pH值</item>
      </candidateList>
      <explain/>
      <paraID> 49BCF1D</paraID>
      <start>27</start>
      <end>30</end>
      <status>unmodified</status>
      <modifiedWord/>
      <trackRevisions>false</trackRevisions>
    </reviewItem>
    <reviewItem>
      <errorID>246a34de-02f4-4e5f-8b5e-094c582f46d7</errorID>
      <errorWord>PH值</errorWord>
      <group>L1_Word</group>
      <groupName>字词问题</groupName>
      <ability>L2_Typo</ability>
      <abilityName>字词错误</abilityName>
      <candidateList>
        <item>pH值</item>
      </candidateList>
      <explain/>
      <paraID> 49BCF1D</paraID>
      <start>48</start>
      <end>51</end>
      <status>unmodified</status>
      <modifiedWord/>
      <trackRevisions>false</trackRevisions>
    </reviewItem>
    <reviewItem>
      <errorID>5fc11c80-4bfe-429d-81b2-2a28b1e0236d</errorID>
      <errorWord>程</errorWord>
      <group>L1_Word</group>
      <groupName>字词问题</groupName>
      <ability>L2_Typo</ability>
      <abilityName>字词错误</abilityName>
      <candidateList>
        <item>程中</item>
      </candidateList>
      <explain/>
      <paraID>5D3FD290</paraID>
      <start>20</start>
      <end>21</end>
      <status>unmodified</status>
      <modifiedWord/>
      <trackRevisions>false</trackRevisions>
    </reviewItem>
    <reviewItem>
      <errorID>255caf4d-ced1-46d0-9bf0-02e8d0a85330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F470541</paraID>
      <start>156</start>
      <end>157</end>
      <status>unmodified</status>
      <modifiedWord/>
      <trackRevisions>false</trackRevisions>
    </reviewItem>
    <reviewItem>
      <errorID>6e303411-9ed9-4e5c-9e0f-bfec8960fe21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211E5A22</paraID>
      <start>10</start>
      <end>11</end>
      <status>unmodified</status>
      <modifiedWord/>
      <trackRevisions>false</trackRevisions>
    </reviewItem>
    <reviewItem>
      <errorID>352756b4-95ba-4c09-8b80-15e6a048f7db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39C5808F</paraID>
      <start>63</start>
      <end>64</end>
      <status>unmodified</status>
      <modifiedWord/>
      <trackRevisions>false</trackRevisions>
    </reviewItem>
    <reviewItem>
      <errorID>a4672ce7-b4b6-45b3-95d5-59eddd61ea83</errorID>
      <errorWord>~</errorWord>
      <group>L1_Format</group>
      <groupName>格式问题</groupName>
      <ability>L2_HalfPunc</ability>
      <abilityName>全半角检查</abilityName>
      <candidateList>
        <item>～</item>
      </candidateList>
      <explain>文本全半角错误。</explain>
      <paraID>19B4A056</paraID>
      <start>14</start>
      <end>15</end>
      <status>unmodified</status>
      <modifiedWord/>
      <trackRevisions>false</trackRevisions>
    </reviewItem>
    <reviewItem>
      <errorID>0679fc83-76a4-488a-b310-d7773fd3eaaf</errorID>
      <errorWord>~</errorWord>
      <group>L1_Format</group>
      <groupName>格式问题</groupName>
      <ability>L2_HalfPunc</ability>
      <abilityName>全半角检查</abilityName>
      <candidateList>
        <item>～</item>
      </candidateList>
      <explain>文本全半角错误。</explain>
      <paraID>19B4A056</paraID>
      <start>48</start>
      <end>49</end>
      <status>unmodified</status>
      <modifiedWord/>
      <trackRevisions>false</trackRevisions>
    </reviewItem>
    <reviewItem>
      <errorID>b82c4b8b-438d-4237-80df-c1018a2ab103</errorID>
      <errorWord>＝</errorWord>
      <group>L1_Format</group>
      <groupName>格式问题</groupName>
      <ability>L2_HalfPunc</ability>
      <abilityName>全半角检查</abilityName>
      <candidateList>
        <item>=</item>
      </candidateList>
      <explain>文本全半角错误。</explain>
      <paraID>5882C409</paraID>
      <start>1</start>
      <end>2</end>
      <status>unmodified</status>
      <modifiedWord/>
      <trackRevisions>false</trackRevisions>
    </reviewItem>
    <reviewItem>
      <errorID>e7c84519-15f1-4be5-889a-5da6917112ce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322B9F14</paraID>
      <start>95</start>
      <end>96</end>
      <status>unmodified</status>
      <modifiedWord/>
      <trackRevisions>false</trackRevisions>
    </reviewItem>
    <reviewItem>
      <errorID>1fb866c6-3be5-40a7-94bf-ea624b1d85a9</errorID>
      <errorWord>（</errorWord>
      <group>L1_Punc</group>
      <groupName>标点问题</groupName>
      <ability>L2_Punc</ability>
      <abilityName>标点符号检查</abilityName>
      <candidateList/>
      <explain>同一形式括号套用。</explain>
      <paraID> D2CCA2A</paraID>
      <start>7</start>
      <end>8</end>
      <status>unmodified</status>
      <modifiedWord/>
      <trackRevisions>false</trackRevisions>
    </reviewItem>
    <reviewItem>
      <errorID>3a3e79ef-e307-4c94-9625-d7a2b287d383</errorID>
      <errorWord>）</errorWord>
      <group>L1_Punc</group>
      <groupName>标点问题</groupName>
      <ability>L2_Punc</ability>
      <abilityName>标点符号检查</abilityName>
      <candidateList/>
      <explain>同一形式括号套用。</explain>
      <paraID> D2CCA2A</paraID>
      <start>9</start>
      <end>10</end>
      <status>unmodified</status>
      <modifiedWord/>
      <trackRevisions>false</trackRevisions>
    </reviewItem>
    <reviewItem>
      <errorID>515cd0db-7a40-4e61-92d2-0edf108b0d9c</errorID>
      <errorWord>的的</errorWord>
      <group>L1_Word</group>
      <groupName>字词问题</groupName>
      <ability>L2_Typo</ability>
      <abilityName>字词错误</abilityName>
      <candidateList>
        <item>的</item>
      </candidateList>
      <explain>“的”常用于连接修饰语与名词性中心语，表示属性、所属或描述。</explain>
      <paraID> 207DC5E</paraID>
      <start>27</start>
      <end>28</end>
      <status>modified</status>
      <modifiedWord>的</modifiedWord>
      <trackRevisions>false</trackRevisions>
    </reviewItem>
    <reviewItem>
      <errorID>c3fa5202-41ee-4408-ad1a-d8f43603bb54</errorID>
      <errorWord>~</errorWord>
      <group>L1_Format</group>
      <groupName>格式问题</groupName>
      <ability>L2_HalfPunc</ability>
      <abilityName>全半角检查</abilityName>
      <candidateList>
        <item>～</item>
      </candidateList>
      <explain>文本全半角错误。</explain>
      <paraID>7E91BB02</paraID>
      <start>9</start>
      <end>10</end>
      <status>unmodified</status>
      <modifiedWord/>
      <trackRevisions>false</trackRevisions>
    </reviewItem>
    <reviewItem>
      <errorID>dc9401c7-22ca-4106-afe4-c2333d389b17</errorID>
      <errorWord>50~85%</errorWord>
      <group>L1_Knowledge</group>
      <groupName>知识性问题</groupName>
      <ability>L2_Knowledge</ability>
      <abilityName>其他知识</abilityName>
      <candidateList>
        <item>50%～85%</item>
      </candidateList>
      <explain>1. “50~85%”中的单位“%”仅出现在后一个数字上，容易引起歧义；根据《现代汉语标点符号数字用法规范手册》，数字表示范围两边需要使用统一的格式。2. 根据标点国标 4.13 中的规则，数字、时间或地域连接符应使用（视觉上更长的）“—”或“～”。</explain>
      <paraID>6DB54133</paraID>
      <start>79</start>
      <end>85</end>
      <status>unmodified</status>
      <modifiedWord/>
      <trackRevisions>false</trackRevisions>
    </reviewItem>
    <reviewItem>
      <errorID>d7fbee9b-8013-437e-ac08-3cf80f22bc92</errorID>
      <errorWord>题</errorWord>
      <group>L1_Word</group>
      <groupName>字词问题</groupName>
      <ability>L2_Typo</ability>
      <abilityName>字词错误</abilityName>
      <candidateList>
        <item>题情</item>
      </candidateList>
      <explain/>
      <paraID>654F62BC</paraID>
      <start>5</start>
      <end>6</end>
      <status>unmodified</status>
      <modifiedWord/>
      <trackRevisions>false</trackRevisions>
    </reviewItem>
    <reviewItem>
      <errorID>ab7cff62-001b-4d94-b89e-b36caa52783f</errorID>
      <errorWord>引自引自</errorWord>
      <group>L1_Word</group>
      <groupName>字词问题</groupName>
      <ability>L2_Typo</ability>
      <abilityName>字词错误</abilityName>
      <candidateList>
        <item>引自</item>
      </candidateList>
      <explain/>
      <paraID>38E04105</paraID>
      <start>6</start>
      <end>8</end>
      <status>modified</status>
      <modifiedWord>引自</modifiedWord>
      <trackRevisions>false</trackRevisions>
    </reviewItem>
    <reviewItem>
      <errorID>0264e569-ccf2-4891-bffe-0150057b961a</errorID>
      <errorWord>设</errorWord>
      <group>L1_Word</group>
      <groupName>字词问题</groupName>
      <ability>L2_Typo</ability>
      <abilityName>字词错误</abilityName>
      <candidateList>
        <item>设置</item>
      </candidateList>
      <explain>〈动〉❶设立：这座剧院是为儿童～的。❷安放；安装：～障碍。</explain>
      <paraID> F4689D0</paraID>
      <start>97</start>
      <end>98</end>
      <status>unmodified</status>
      <modifiedWord/>
      <trackRevisions>false</trackRevisions>
    </reviewItem>
    <reviewItem>
      <errorID>3e512f87-ebf9-4629-b521-c51edc35fb0d</errorID>
      <errorWord>，</errorWord>
      <group>L1_Word</group>
      <groupName>字词问题</groupName>
      <ability>L2_Typo</ability>
      <abilityName>字词错误</abilityName>
      <candidateList>
        <item>，在</item>
      </candidateList>
      <explain/>
      <paraID> F4689D0</paraID>
      <start>158</start>
      <end>159</end>
      <status>unmodified</status>
      <modifiedWord/>
      <trackRevisions>false</trackRevisions>
    </reviewItem>
    <reviewItem>
      <errorID>87981309-b8e0-4904-beb4-d3e4ac82c9e9</errorID>
      <errorWord>&gt;</errorWord>
      <group>L1_Punc</group>
      <groupName>标点问题</groupName>
      <ability>L2_Punc</ability>
      <abilityName>标点符号检查</abilityName>
      <candidateList/>
      <explain/>
      <paraID> 6750881</paraID>
      <start>0</start>
      <end>1</end>
      <status>unmodified</status>
      <modifiedWord/>
      <trackRevisions>false</trackRevisions>
    </reviewItem>
    <reviewItem>
      <errorID>10afc485-c081-4a3d-b87a-d2a450b6da14</errorID>
      <errorWord>&gt;</errorWord>
      <group>L1_Punc</group>
      <groupName>标点问题</groupName>
      <ability>L2_Punc</ability>
      <abilityName>标点符号检查</abilityName>
      <candidateList/>
      <explain/>
      <paraID>36B7D4EE</paraID>
      <start>0</start>
      <end>1</end>
      <status>unmodified</status>
      <modifiedWord/>
      <trackRevisions>false</trackRevisions>
    </reviewItem>
    <reviewItem>
      <errorID>cb3333be-a8f7-4347-8e20-c44099b3b2d3</errorID>
      <errorWord>&gt;</errorWord>
      <group>L1_Punc</group>
      <groupName>标点问题</groupName>
      <ability>L2_Punc</ability>
      <abilityName>标点符号检查</abilityName>
      <candidateList/>
      <explain/>
      <paraID>6CABD0A6</paraID>
      <start>0</start>
      <end>1</end>
      <status>unmodified</status>
      <modifiedWord/>
      <trackRevisions>false</trackRevisions>
    </reviewItem>
    <reviewItem>
      <errorID>be939744-e66c-45df-8de7-3d8c1118a12a</errorID>
      <errorWord>&gt;</errorWord>
      <group>L1_Punc</group>
      <groupName>标点问题</groupName>
      <ability>L2_Punc</ability>
      <abilityName>标点符号检查</abilityName>
      <candidateList/>
      <explain/>
      <paraID>42062D64</paraID>
      <start>0</start>
      <end>1</end>
      <status>unmodified</status>
      <modifiedWord/>
      <trackRevisions>false</trackRevisions>
    </reviewItem>
    <reviewItem>
      <errorID>d0831a26-8d64-44ac-94c4-be548316f6f2</errorID>
      <errorWord>&gt;</errorWord>
      <group>L1_Punc</group>
      <groupName>标点问题</groupName>
      <ability>L2_Punc</ability>
      <abilityName>标点符号检查</abilityName>
      <candidateList/>
      <explain/>
      <paraID> FB3D494</paraID>
      <start>0</start>
      <end>1</end>
      <status>unmodified</status>
      <modifiedWord/>
      <trackRevisions>false</trackRevisions>
    </reviewItem>
    <reviewItem>
      <errorID>f220f056-5109-4123-a8e5-5797cb30eff1</errorID>
      <errorWord>&gt;</errorWord>
      <group>L1_Punc</group>
      <groupName>标点问题</groupName>
      <ability>L2_Punc</ability>
      <abilityName>标点符号检查</abilityName>
      <candidateList/>
      <explain/>
      <paraID>1A639491</paraID>
      <start>0</start>
      <end>1</end>
      <status>unmodified</status>
      <modifiedWord/>
      <trackRevisions>false</trackRevisions>
    </reviewItem>
    <reviewItem>
      <errorID>586db1d8-6ab4-489b-bf7b-f1ddae8f0a4a</errorID>
      <errorWord>&gt;</errorWord>
      <group>L1_Punc</group>
      <groupName>标点问题</groupName>
      <ability>L2_Punc</ability>
      <abilityName>标点符号检查</abilityName>
      <candidateList/>
      <explain/>
      <paraID>4DF66D23</paraID>
      <start>0</start>
      <end>1</end>
      <status>unmodified</status>
      <modifiedWord/>
      <trackRevisions>false</trackRevisions>
    </reviewItem>
    <reviewItem>
      <errorID>25d49677-fd2c-4228-92b9-e5d5c7fa4569</errorID>
      <errorWord>~</errorWord>
      <group>L1_Format</group>
      <groupName>格式问题</groupName>
      <ability>L2_HalfPunc</ability>
      <abilityName>全半角检查</abilityName>
      <candidateList>
        <item>～</item>
      </candidateList>
      <explain>文本全半角错误。</explain>
      <paraID> A963BFA</paraID>
      <start>62</start>
      <end>63</end>
      <status>unmodified</status>
      <modifiedWord/>
      <trackRevisions>false</trackRevisions>
    </reviewItem>
    <reviewItem>
      <errorID>a1c2551e-5ebc-4c18-98fe-6b761ae85ef1</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77E6A14F</paraID>
      <start>51</start>
      <end>52</end>
      <status>modified</status>
      <modifiedWord>地</modifiedWord>
      <trackRevisions>false</trackRevisions>
    </reviewItem>
    <reviewItem>
      <errorID>91a09632-7046-44b3-b873-a94467ce24cf</errorID>
      <errorWord>内臂</errorWord>
      <group>L1_Word</group>
      <groupName>字词问题</groupName>
      <ability>L2_Typo</ability>
      <abilityName>字词错误</abilityName>
      <candidateList>
        <item>内壁</item>
      </candidateList>
      <explain>存在发音相同字词的误用。</explain>
      <paraID>77E6A14F</paraID>
      <start>84</start>
      <end>86</end>
      <status>modified</status>
      <modifiedWord>内壁</modifiedWord>
      <trackRevisions>false</trackRevisions>
    </reviewItem>
    <reviewItem>
      <errorID>1498ea54-8f99-4806-a145-c5db431a98a0</errorID>
      <errorWord>~</errorWord>
      <group>L1_Format</group>
      <groupName>格式问题</groupName>
      <ability>L2_HalfPunc</ability>
      <abilityName>全半角检查</abilityName>
      <candidateList>
        <item>～</item>
      </candidateList>
      <explain>文本全半角错误。</explain>
      <paraID>392B8E99</paraID>
      <start>45</start>
      <end>46</end>
      <status>unmodified</status>
      <modifiedWord/>
      <trackRevisions>false</trackRevisions>
    </reviewItem>
    <reviewItem>
      <errorID>699daa64-bb49-4240-9b01-41a1a26656c6</errorID>
      <errorWord>~</errorWord>
      <group>L1_Format</group>
      <groupName>格式问题</groupName>
      <ability>L2_HalfPunc</ability>
      <abilityName>全半角检查</abilityName>
      <candidateList>
        <item>～</item>
      </candidateList>
      <explain>文本全半角错误。</explain>
      <paraID>79AC25E8</paraID>
      <start>15</start>
      <end>16</end>
      <status>unmodified</status>
      <modifiedWord/>
      <trackRevisions>false</trackRevisions>
    </reviewItem>
    <reviewItem>
      <errorID>315c4d64-fa0f-469d-bd51-ff22fd98dee1</errorID>
      <errorWord>)</errorWord>
      <group>L1_Format</group>
      <groupName>格式问题</groupName>
      <ability>L2_HalfPunc</ability>
      <abilityName>全半角检查</abilityName>
      <candidateList>
        <item>）</item>
      </candidateList>
      <explain>文本全半角错误。</explain>
      <paraID>5C463301</paraID>
      <start>33</start>
      <end>34</end>
      <status>unmodified</status>
      <modifiedWord/>
      <trackRevisions>false</trackRevisions>
    </reviewItem>
    <reviewItem>
      <errorID>b9e54751-1f91-4f25-a6ce-47e075068320</errorID>
      <errorWord>~</errorWord>
      <group>L1_Format</group>
      <groupName>格式问题</groupName>
      <ability>L2_HalfPunc</ability>
      <abilityName>全半角检查</abilityName>
      <candidateList>
        <item>～</item>
      </candidateList>
      <explain>文本全半角错误。</explain>
      <paraID>5C463301</paraID>
      <start>42</start>
      <end>43</end>
      <status>unmodified</status>
      <modifiedWord/>
      <trackRevisions>false</trackRevisions>
    </reviewItem>
    <reviewItem>
      <errorID>1cfd44ce-a6a1-45c9-a219-9df1eac716d9</errorID>
      <errorWord>~</errorWord>
      <group>L1_Format</group>
      <groupName>格式问题</groupName>
      <ability>L2_HalfPunc</ability>
      <abilityName>全半角检查</abilityName>
      <candidateList>
        <item>～</item>
      </candidateList>
      <explain>文本全半角错误。</explain>
      <paraID>32789830</paraID>
      <start>11</start>
      <end>12</end>
      <status>unmodified</status>
      <modifiedWord/>
      <trackRevisions>false</trackRevisions>
    </reviewItem>
    <reviewItem>
      <errorID>0aad096f-ecd1-4cae-852e-ff21cfa87517</errorID>
      <errorWord>好好</errorWord>
      <group>L1_Word</group>
      <groupName>字词问题</groupName>
      <ability>L2_Typo</ability>
      <abilityName>字词错误</abilityName>
      <candidateList>
        <item>好</item>
      </candidateList>
      <explain>〈动〉❶喜爱（跟“恶”wù相对）：嗜～｜～学｜～动脑筋｜～吃懒做｜他这个人～表现自己。❷常容易（发生某种事情）：刚会骑车的人～摔跤。</explain>
      <paraID>3EDA5C65</paraID>
      <start>53</start>
      <end>55</end>
      <status>unmodified</status>
      <modifiedWord/>
      <trackRevisions>false</trackRevisions>
    </reviewItem>
    <reviewItem>
      <errorID>c64055e5-8a4f-441f-92d5-0be8f43736fb</errorID>
      <errorWord>到</errorWord>
      <group>L1_Word</group>
      <groupName>字词问题</groupName>
      <ability>L2_Typo</ability>
      <abilityName>字词错误</abilityName>
      <candidateList>
        <item>至</item>
      </candidateList>
      <explain>存在字形相近字词的误用。</explain>
      <paraID>1F620EFB</paraID>
      <start>38</start>
      <end>39</end>
      <status>unmodified</status>
      <modifiedWord/>
      <trackRevisions>false</trackRevisions>
    </reviewItem>
    <reviewItem>
      <errorID>96383351-eeae-469a-aa9a-905ea50971d3</errorID>
      <errorWord>在</errorWord>
      <group>L1_Word</group>
      <groupName>字词问题</groupName>
      <ability>L2_Typo</ability>
      <abilityName>字词错误</abilityName>
      <candidateList>
        <item>再</item>
      </candidateList>
      <explain>存在发音相同字词的误用。</explain>
      <paraID>1F620EFB</paraID>
      <start>45</start>
      <end>46</end>
      <status>unmodified</status>
      <modifiedWord/>
      <trackRevisions>false</trackRevisions>
    </reviewItem>
    <reviewItem>
      <errorID>e9245b67-f525-4476-9d77-f52c7bbfa615</errorID>
      <errorWord>、以及</errorWord>
      <group>L1_Punc</group>
      <groupName>标点问题</groupName>
      <ability>L2_Punc</ability>
      <abilityName>标点符号检查</abilityName>
      <candidateList>
        <item>，以及</item>
      </candidateList>
      <explain>连接词前后不宜使用顿号，建议使用逗号。</explain>
      <paraID>41A9061D</paraID>
      <start>50</start>
      <end>53</end>
      <status>unmodified</status>
      <modifiedWord/>
      <trackRevisions>false</trackRevisions>
    </reviewItem>
    <reviewItem>
      <errorID>a6d47254-7f9a-4b8e-93e0-f391241e479d</errorID>
      <errorWord>《石化行业VOCs污染源排查工作指南》（以下简称指南）</errorWord>
      <group>L1_Knowledge</group>
      <groupName>知识性问题</groupName>
      <ability>L2_Knowledge</ability>
      <abilityName>其他知识</abilityName>
      <candidateList>
        <item>《石化行业VOCs污染源排查工作指南》（以下简称“指南”）</item>
      </candidateList>
      <explain>疑似政策文件、法律法规名称等书写不规范，请注意检查。</explain>
      <paraID>7AABAE68</paraID>
      <start>2</start>
      <end>29</end>
      <status>unmodified</status>
      <modifiedWord/>
      <trackRevisions>false</trackRevisions>
    </reviewItem>
    <reviewItem>
      <errorID>90304533-c9d8-484a-a9c2-589330033cc6</errorID>
      <errorWord>一-</errorWord>
      <group>L1_Punc</group>
      <groupName>标点问题</groupName>
      <ability>L2_Punc</ability>
      <abilityName>标点符号检查</abilityName>
      <candidateList>
        <item>一</item>
      </candidateList>
      <explain/>
      <paraID>32A9161E</paraID>
      <start>25</start>
      <end>27</end>
      <status>unmodified</status>
      <modifiedWord/>
      <trackRevisions>false</trackRevisions>
    </reviewItem>
    <reviewItem>
      <errorID>9ddb2b37-924f-4283-9b28-37e37a364e6a</errorID>
      <errorWord>其它</errorWord>
      <group>L1_Word</group>
      <groupName>字词问题</groupName>
      <ability>L2_Alias</ability>
      <abilityName>也作/曾用词</abilityName>
      <candidateList>
        <item>其他</item>
      </candidateList>
      <explain>词汇[其它]为不规范表述或旧称，其规范书面表述为[其他]。</explain>
      <paraID>3E2A534D</paraID>
      <start>0</start>
      <end>2</end>
      <status>modified</status>
      <modifiedWord>其他</modifiedWord>
      <trackRevisions>false</trackRevisions>
    </reviewItem>
    <reviewItem>
      <errorID>f915280c-e1ff-4dba-9b56-2539de42d432</errorID>
      <errorWord>其它</errorWord>
      <group>L1_Word</group>
      <groupName>字词问题</groupName>
      <ability>L2_Alias</ability>
      <abilityName>也作/曾用词</abilityName>
      <candidateList>
        <item>其他</item>
      </candidateList>
      <explain>词汇[其它]为不规范表述或旧称，其规范书面表述为[其他]。</explain>
      <paraID>6D52778F</paraID>
      <start>52</start>
      <end>54</end>
      <status>modified</status>
      <modifiedWord>其他</modifiedWord>
      <trackRevisions>false</trackRevisions>
    </reviewItem>
    <reviewItem>
      <errorID>a8d92373-5e72-4b30-a9dd-f97c59ae232d</errorID>
      <errorWord>（</errorWord>
      <group>L1_Format</group>
      <groupName>格式问题</groupName>
      <ability>L2_HalfPunc</ability>
      <abilityName>全半角检查</abilityName>
      <candidateList>
        <item>(</item>
      </candidateList>
      <explain>文本全半角错误。</explain>
      <paraID>1E9B5157</paraID>
      <start>12</start>
      <end>13</end>
      <status>unmodified</status>
      <modifiedWord/>
      <trackRevisions>false</trackRevisions>
    </reviewItem>
    <reviewItem>
      <errorID>ddc3c9f3-70df-4ac3-8f36-a9f4c94363d4</errorID>
      <errorWord>）</errorWord>
      <group>L1_Format</group>
      <groupName>格式问题</groupName>
      <ability>L2_HalfPunc</ability>
      <abilityName>全半角检查</abilityName>
      <candidateList>
        <item>)</item>
      </candidateList>
      <explain>文本全半角错误。</explain>
      <paraID>1E9B5157</paraID>
      <start>22</start>
      <end>23</end>
      <status>unmodified</status>
      <modifiedWord/>
      <trackRevisions>false</trackRevisions>
    </reviewItem>
    <reviewItem>
      <errorID>423b65c9-88e1-4e7f-8aab-dbf1a48bdd94</errorID>
      <errorWord>（</errorWord>
      <group>L1_Format</group>
      <groupName>格式问题</groupName>
      <ability>L2_HalfPunc</ability>
      <abilityName>全半角检查</abilityName>
      <candidateList>
        <item>(</item>
      </candidateList>
      <explain>文本全半角错误。</explain>
      <paraID>1E9B5157</paraID>
      <start>24</start>
      <end>25</end>
      <status>unmodified</status>
      <modifiedWord/>
      <trackRevisions>false</trackRevisions>
    </reviewItem>
    <reviewItem>
      <errorID>311aa3b8-a574-4c18-85b1-6cf9db099e1d</errorID>
      <errorWord>）</errorWord>
      <group>L1_Format</group>
      <groupName>格式问题</groupName>
      <ability>L2_HalfPunc</ability>
      <abilityName>全半角检查</abilityName>
      <candidateList>
        <item>)</item>
      </candidateList>
      <explain>文本全半角错误。</explain>
      <paraID>1E9B5157</paraID>
      <start>33</start>
      <end>34</end>
      <status>unmodified</status>
      <modifiedWord/>
      <trackRevisions>false</trackRevisions>
    </reviewItem>
    <reviewItem>
      <errorID>4cd5bef5-d5ea-42e5-ba0a-9d45d9e1a8de</errorID>
      <errorWord>(</errorWord>
      <group>L1_Format</group>
      <groupName>格式问题</groupName>
      <ability>L2_HalfPunc</ability>
      <abilityName>全半角检查</abilityName>
      <candidateList>
        <item>（</item>
      </candidateList>
      <explain>文本全半角错误。</explain>
      <paraID>478C2848</paraID>
      <start>19</start>
      <end>20</end>
      <status>unmodified</status>
      <modifiedWord/>
      <trackRevisions>false</trackRevisions>
    </reviewItem>
    <reviewItem>
      <errorID>bdb68347-8c90-4886-b5f2-6c63fa83580e</errorID>
      <errorWord>)</errorWord>
      <group>L1_Format</group>
      <groupName>格式问题</groupName>
      <ability>L2_HalfPunc</ability>
      <abilityName>全半角检查</abilityName>
      <candidateList>
        <item>）</item>
      </candidateList>
      <explain>文本全半角错误。</explain>
      <paraID>478C2848</paraID>
      <start>24</start>
      <end>25</end>
      <status>unmodified</status>
      <modifiedWord/>
      <trackRevisions>false</trackRevisions>
    </reviewItem>
    <reviewItem>
      <errorID>dc9ea0e6-0880-4dda-879c-e53c7bdd3278</errorID>
      <errorWord>饱和蒸气</errorWord>
      <group>L1_Word</group>
      <groupName>字词问题</groupName>
      <ability>L2_Typo</ability>
      <abilityName>字词错误</abilityName>
      <candidateList>
        <item>饱和蒸汽</item>
      </candidateList>
      <explain/>
      <paraID>76042AFC</paraID>
      <start>12</start>
      <end>16</end>
      <status>unmodified</status>
      <modifiedWord/>
      <trackRevisions>false</trackRevisions>
    </reviewItem>
    <reviewItem>
      <errorID>abdd1a6a-616c-4c59-bcbc-fe97d77cd2bb</errorID>
      <errorWord>(</errorWord>
      <group>L1_Format</group>
      <groupName>格式问题</groupName>
      <ability>L2_HalfPunc</ability>
      <abilityName>全半角检查</abilityName>
      <candidateList>
        <item>（</item>
      </candidateList>
      <explain>文本全半角错误。</explain>
      <paraID>76042AFC</paraID>
      <start>17</start>
      <end>18</end>
      <status>unmodified</status>
      <modifiedWord/>
      <trackRevisions>false</trackRevisions>
    </reviewItem>
    <reviewItem>
      <errorID>824781ce-28ba-46de-ad41-cb4650e1dc5c</errorID>
      <errorWord>)</errorWord>
      <group>L1_Format</group>
      <groupName>格式问题</groupName>
      <ability>L2_HalfPunc</ability>
      <abilityName>全半角检查</abilityName>
      <candidateList>
        <item>）</item>
      </candidateList>
      <explain>文本全半角错误。</explain>
      <paraID>76042AFC</paraID>
      <start>21</start>
      <end>22</end>
      <status>unmodified</status>
      <modifiedWord/>
      <trackRevisions>false</trackRevisions>
    </reviewItem>
    <reviewItem>
      <errorID>7e247918-3711-456e-ace2-68a3a73eff35</errorID>
      <errorWord>(</errorWord>
      <group>L1_Format</group>
      <groupName>格式问题</groupName>
      <ability>L2_HalfPunc</ability>
      <abilityName>全半角检查</abilityName>
      <candidateList>
        <item>（</item>
      </candidateList>
      <explain>文本全半角错误。</explain>
      <paraID>14BCEBFD</paraID>
      <start>7</start>
      <end>8</end>
      <status>unmodified</status>
      <modifiedWord/>
      <trackRevisions>false</trackRevisions>
    </reviewItem>
    <reviewItem>
      <errorID>a6ae11f9-b628-4143-a710-606071288969</errorID>
      <errorWord>)</errorWord>
      <group>L1_Format</group>
      <groupName>格式问题</groupName>
      <ability>L2_HalfPunc</ability>
      <abilityName>全半角检查</abilityName>
      <candidateList>
        <item>）</item>
      </candidateList>
      <explain>文本全半角错误。</explain>
      <paraID>14BCEBFD</paraID>
      <start>12</start>
      <end>13</end>
      <status>unmodified</status>
      <modifiedWord/>
      <trackRevisions>false</trackRevisions>
    </reviewItem>
    <reviewItem>
      <errorID>0e4babd6-9ce8-400e-8462-c7ad45fbf6a7</errorID>
      <errorWord>(</errorWord>
      <group>L1_Format</group>
      <groupName>格式问题</groupName>
      <ability>L2_HalfPunc</ability>
      <abilityName>全半角检查</abilityName>
      <candidateList>
        <item>（</item>
      </candidateList>
      <explain>文本全半角错误。</explain>
      <paraID>19AB3098</paraID>
      <start>6</start>
      <end>7</end>
      <status>unmodified</status>
      <modifiedWord/>
      <trackRevisions>false</trackRevisions>
    </reviewItem>
    <reviewItem>
      <errorID>3852213b-14b5-4e4c-ad00-1ea5e8c48cb8</errorID>
      <errorWord>)</errorWord>
      <group>L1_Format</group>
      <groupName>格式问题</groupName>
      <ability>L2_HalfPunc</ability>
      <abilityName>全半角检查</abilityName>
      <candidateList>
        <item>）</item>
      </candidateList>
      <explain>文本全半角错误。</explain>
      <paraID>19AB3098</paraID>
      <start>8</start>
      <end>9</end>
      <status>unmodified</status>
      <modifiedWord/>
      <trackRevisions>false</trackRevisions>
    </reviewItem>
    <reviewItem>
      <errorID>20af6151-6032-4f3b-aa0e-3cea36177bbf</errorID>
      <errorWord>饱和蒸气</errorWord>
      <group>L1_Word</group>
      <groupName>字词问题</groupName>
      <ability>L2_Typo</ability>
      <abilityName>字词错误</abilityName>
      <candidateList>
        <item>饱和蒸汽</item>
      </candidateList>
      <explain/>
      <paraID>13BA244E</paraID>
      <start>0</start>
      <end>4</end>
      <status>unmodified</status>
      <modifiedWord/>
      <trackRevisions>false</trackRevisions>
    </reviewItem>
    <reviewItem>
      <errorID>dba7a96f-3d06-463a-92ec-6fa0bb4dc6f6</errorID>
      <errorWord>(</errorWord>
      <group>L1_Format</group>
      <groupName>格式问题</groupName>
      <ability>L2_HalfPunc</ability>
      <abilityName>全半角检查</abilityName>
      <candidateList>
        <item>（</item>
      </candidateList>
      <explain>文本全半角错误。</explain>
      <paraID>59D87CB0</paraID>
      <start>4</start>
      <end>5</end>
      <status>unmodified</status>
      <modifiedWord/>
      <trackRevisions>false</trackRevisions>
    </reviewItem>
    <reviewItem>
      <errorID>df0ac637-77dd-4ee6-b804-489e9c86ab87</errorID>
      <errorWord>)</errorWord>
      <group>L1_Format</group>
      <groupName>格式问题</groupName>
      <ability>L2_HalfPunc</ability>
      <abilityName>全半角检查</abilityName>
      <candidateList>
        <item>）</item>
      </candidateList>
      <explain>文本全半角错误。</explain>
      <paraID>59D87CB0</paraID>
      <start>9</start>
      <end>10</end>
      <status>unmodified</status>
      <modifiedWord/>
      <trackRevisions>false</trackRevisions>
    </reviewItem>
    <reviewItem>
      <errorID>8e799128-87ab-45dc-85d4-4b0ad52db453</errorID>
      <errorWord>《石化行业VOCs污染源排查工作指南》（以下简称指南）</errorWord>
      <group>L1_Knowledge</group>
      <groupName>知识性问题</groupName>
      <ability>L2_Knowledge</ability>
      <abilityName>其他知识</abilityName>
      <candidateList>
        <item>《石化行业VOCs污染源排查工作指南》（以下简称“指南”）</item>
      </candidateList>
      <explain>疑似政策文件、法律法规名称等书写不规范，请注意检查。</explain>
      <paraID>29D9F950</paraID>
      <start>109</start>
      <end>136</end>
      <status>unmodified</status>
      <modifiedWord/>
      <trackRevisions>false</trackRevisions>
    </reviewItem>
    <reviewItem>
      <errorID>497b2a7a-93d9-43e8-a512-3f168f09a698</errorID>
      <errorWord>）</errorWord>
      <group>L1_Format</group>
      <groupName>格式问题</groupName>
      <ability>L2_HalfPunc</ability>
      <abilityName>全半角检查</abilityName>
      <candidateList>
        <item>)</item>
      </candidateList>
      <explain>文本全半角错误。</explain>
      <paraID>  67D736</paraID>
      <start>35</start>
      <end>36</end>
      <status>unmodified</status>
      <modifiedWord/>
      <trackRevisions>false</trackRevisions>
    </reviewItem>
    <reviewItem>
      <errorID>7d473902-2810-4fe3-bf79-4d9a2924f3bd</errorID>
      <errorWord>（</errorWord>
      <group>L1_Format</group>
      <groupName>格式问题</groupName>
      <ability>L2_HalfPunc</ability>
      <abilityName>全半角检查</abilityName>
      <candidateList>
        <item>(</item>
      </candidateList>
      <explain>文本全半角错误。</explain>
      <paraID>3E52355F</paraID>
      <start>3</start>
      <end>4</end>
      <status>unmodified</status>
      <modifiedWord/>
      <trackRevisions>false</trackRevisions>
    </reviewItem>
    <reviewItem>
      <errorID>ee2ca425-5db2-4091-b11f-ae782a485529</errorID>
      <errorWord>）</errorWord>
      <group>L1_Format</group>
      <groupName>格式问题</groupName>
      <ability>L2_HalfPunc</ability>
      <abilityName>全半角检查</abilityName>
      <candidateList>
        <item>)</item>
      </candidateList>
      <explain>文本全半角错误。</explain>
      <paraID>3E52355F</paraID>
      <start>8</start>
      <end>9</end>
      <status>unmodified</status>
      <modifiedWord/>
      <trackRevisions>false</trackRevisions>
    </reviewItem>
    <reviewItem>
      <errorID>5d412538-2cf7-44b6-9e97-15475590dbe5</errorID>
      <errorWord>（</errorWord>
      <group>L1_Format</group>
      <groupName>格式问题</groupName>
      <ability>L2_HalfPunc</ability>
      <abilityName>全半角检查</abilityName>
      <candidateList>
        <item>(</item>
      </candidateList>
      <explain>文本全半角错误。</explain>
      <paraID>72D661FD</paraID>
      <start>2</start>
      <end>3</end>
      <status>unmodified</status>
      <modifiedWord/>
      <trackRevisions>false</trackRevisions>
    </reviewItem>
    <reviewItem>
      <errorID>6c086f67-9266-4da7-a18e-127cbbef2b16</errorID>
      <errorWord>）</errorWord>
      <group>L1_Format</group>
      <groupName>格式问题</groupName>
      <ability>L2_HalfPunc</ability>
      <abilityName>全半角检查</abilityName>
      <candidateList>
        <item>)</item>
      </candidateList>
      <explain>文本全半角错误。</explain>
      <paraID>72D661FD</paraID>
      <start>7</start>
      <end>8</end>
      <status>unmodified</status>
      <modifiedWord/>
      <trackRevisions>false</trackRevisions>
    </reviewItem>
    <reviewItem>
      <errorID>9fe8c4b5-31e3-4727-937d-2634034d6bc3</errorID>
      <errorWord>（</errorWord>
      <group>L1_Format</group>
      <groupName>格式问题</groupName>
      <ability>L2_HalfPunc</ability>
      <abilityName>全半角检查</abilityName>
      <candidateList>
        <item>(</item>
      </candidateList>
      <explain>文本全半角错误。</explain>
      <paraID>57D15103</paraID>
      <start>1</start>
      <end>2</end>
      <status>unmodified</status>
      <modifiedWord/>
      <trackRevisions>false</trackRevisions>
    </reviewItem>
    <reviewItem>
      <errorID>b65be3f2-f738-4f9c-b979-bc18ca9b42e9</errorID>
      <errorWord>）</errorWord>
      <group>L1_Format</group>
      <groupName>格式问题</groupName>
      <ability>L2_HalfPunc</ability>
      <abilityName>全半角检查</abilityName>
      <candidateList>
        <item>)</item>
      </candidateList>
      <explain>文本全半角错误。</explain>
      <paraID>57D15103</paraID>
      <start>3</start>
      <end>4</end>
      <status>unmodified</status>
      <modifiedWord/>
      <trackRevisions>false</trackRevisions>
    </reviewItem>
    <reviewItem>
      <errorID>6d743769-f7c8-49f7-b1a3-18b531efb5f2</errorID>
      <errorWord>（</errorWord>
      <group>L1_Format</group>
      <groupName>格式问题</groupName>
      <ability>L2_HalfPunc</ability>
      <abilityName>全半角检查</abilityName>
      <candidateList>
        <item>(</item>
      </candidateList>
      <explain>文本全半角错误。</explain>
      <paraID>141DBD27</paraID>
      <start>2</start>
      <end>3</end>
      <status>unmodified</status>
      <modifiedWord/>
      <trackRevisions>false</trackRevisions>
    </reviewItem>
    <reviewItem>
      <errorID>0928b619-8720-45de-a406-fce5c58102ab</errorID>
      <errorWord>）</errorWord>
      <group>L1_Format</group>
      <groupName>格式问题</groupName>
      <ability>L2_HalfPunc</ability>
      <abilityName>全半角检查</abilityName>
      <candidateList>
        <item>)</item>
      </candidateList>
      <explain>文本全半角错误。</explain>
      <paraID>141DBD27</paraID>
      <start>12</start>
      <end>13</end>
      <status>unmodified</status>
      <modifiedWord/>
      <trackRevisions>false</trackRevisions>
    </reviewItem>
    <reviewItem>
      <errorID>229f3728-f01b-40ca-acbb-44085bb40ac6</errorID>
      <errorWord>（</errorWord>
      <group>L1_Format</group>
      <groupName>格式问题</groupName>
      <ability>L2_HalfPunc</ability>
      <abilityName>全半角检查</abilityName>
      <candidateList>
        <item>(</item>
      </candidateList>
      <explain>文本全半角错误。</explain>
      <paraID>77D60809</paraID>
      <start>2</start>
      <end>3</end>
      <status>unmodified</status>
      <modifiedWord/>
      <trackRevisions>false</trackRevisions>
    </reviewItem>
    <reviewItem>
      <errorID>cf3e99ca-0ffb-4481-9077-22a51749b12c</errorID>
      <errorWord>）</errorWord>
      <group>L1_Format</group>
      <groupName>格式问题</groupName>
      <ability>L2_HalfPunc</ability>
      <abilityName>全半角检查</abilityName>
      <candidateList>
        <item>)</item>
      </candidateList>
      <explain>文本全半角错误。</explain>
      <paraID>77D60809</paraID>
      <start>7</start>
      <end>8</end>
      <status>unmodified</status>
      <modifiedWord/>
      <trackRevisions>false</trackRevisions>
    </reviewItem>
    <reviewItem>
      <errorID>fee8a447-5760-4980-812c-ae1fd3a56d0d</errorID>
      <errorWord>（</errorWord>
      <group>L1_Format</group>
      <groupName>格式问题</groupName>
      <ability>L2_HalfPunc</ability>
      <abilityName>全半角检查</abilityName>
      <candidateList>
        <item>(</item>
      </candidateList>
      <explain>文本全半角错误。</explain>
      <paraID>68FF45F7</paraID>
      <start>2</start>
      <end>3</end>
      <status>unmodified</status>
      <modifiedWord/>
      <trackRevisions>false</trackRevisions>
    </reviewItem>
    <reviewItem>
      <errorID>ef21207e-0fac-4b85-9f7d-f4a1e36a3d5f</errorID>
      <errorWord>）</errorWord>
      <group>L1_Format</group>
      <groupName>格式问题</groupName>
      <ability>L2_HalfPunc</ability>
      <abilityName>全半角检查</abilityName>
      <candidateList>
        <item>)</item>
      </candidateList>
      <explain>文本全半角错误。</explain>
      <paraID>68FF45F7</paraID>
      <start>7</start>
      <end>8</end>
      <status>unmodified</status>
      <modifiedWord/>
      <trackRevisions>false</trackRevisions>
    </reviewItem>
    <reviewItem>
      <errorID>7659ab2c-b308-40ab-819c-c0327076fd8c</errorID>
      <errorWord>（</errorWord>
      <group>L1_Punc</group>
      <groupName>标点问题</groupName>
      <ability>L2_Punc</ability>
      <abilityName>标点符号检查</abilityName>
      <candidateList/>
      <explain>此处标点可能未正确匹配，请检查句子中是否存在标点冗余、缺失或使用错误的情况。</explain>
      <paraID>242C08F2</paraID>
      <start>3</start>
      <end>4</end>
      <status>unmodified</status>
      <modifiedWord/>
      <trackRevisions>false</trackRevisions>
    </reviewItem>
    <reviewItem>
      <errorID>33e76aab-d9e4-4e3c-bce8-539d90ccb91e</errorID>
      <errorWord>（</errorWord>
      <group>L1_Format</group>
      <groupName>格式问题</groupName>
      <ability>L2_HalfPunc</ability>
      <abilityName>全半角检查</abilityName>
      <candidateList>
        <item>(</item>
      </candidateList>
      <explain>文本全半角错误。</explain>
      <paraID>485FFB30</paraID>
      <start>2</start>
      <end>3</end>
      <status>unmodified</status>
      <modifiedWord/>
      <trackRevisions>false</trackRevisions>
    </reviewItem>
    <reviewItem>
      <errorID>35d9ee80-726b-41f4-a084-8806a119fa54</errorID>
      <errorWord>）</errorWord>
      <group>L1_Format</group>
      <groupName>格式问题</groupName>
      <ability>L2_HalfPunc</ability>
      <abilityName>全半角检查</abilityName>
      <candidateList>
        <item>)</item>
      </candidateList>
      <explain>文本全半角错误。</explain>
      <paraID>485FFB30</paraID>
      <start>7</start>
      <end>8</end>
      <status>unmodified</status>
      <modifiedWord/>
      <trackRevisions>false</trackRevisions>
    </reviewItem>
    <reviewItem>
      <errorID>ac001ae8-3f1a-4dbd-bff0-2cf83aafac1b</errorID>
      <errorWord>（</errorWord>
      <group>L1_Format</group>
      <groupName>格式问题</groupName>
      <ability>L2_HalfPunc</ability>
      <abilityName>全半角检查</abilityName>
      <candidateList>
        <item>(</item>
      </candidateList>
      <explain>文本全半角错误。</explain>
      <paraID>25344106</paraID>
      <start>2</start>
      <end>3</end>
      <status>unmodified</status>
      <modifiedWord/>
      <trackRevisions>false</trackRevisions>
    </reviewItem>
    <reviewItem>
      <errorID>737d2788-c0ee-4451-9f00-5ea1d291e8fe</errorID>
      <errorWord>）</errorWord>
      <group>L1_Format</group>
      <groupName>格式问题</groupName>
      <ability>L2_HalfPunc</ability>
      <abilityName>全半角检查</abilityName>
      <candidateList>
        <item>)</item>
      </candidateList>
      <explain>文本全半角错误。</explain>
      <paraID>25344106</paraID>
      <start>7</start>
      <end>8</end>
      <status>unmodified</status>
      <modifiedWord/>
      <trackRevisions>false</trackRevisions>
    </reviewItem>
    <reviewItem>
      <errorID>5ebd34cc-5da4-43c0-8a14-7be8a24ffe80</errorID>
      <errorWord>，</errorWord>
      <group>L1_Word</group>
      <groupName>字词问题</groupName>
      <ability>L2_Typo</ability>
      <abilityName>字词错误</abilityName>
      <candidateList>
        <item>，根</item>
      </candidateList>
      <explain/>
      <paraID>70C5B9F6</paraID>
      <start>19</start>
      <end>20</end>
      <status>unmodified</status>
      <modifiedWord/>
      <trackRevisions>false</trackRevisions>
    </reviewItem>
    <reviewItem>
      <errorID>c614a0b3-ded2-479a-b875-d1166d07a126</errorID>
      <errorWord>中</errorWord>
      <group>L1_Word</group>
      <groupName>字词问题</groupName>
      <ability>L2_Typo</ability>
      <abilityName>字词错误</abilityName>
      <candidateList>
        <item>种</item>
      </candidateList>
      <explain>（種）zhònɡ〈动〉种植：～田｜～麦子｜～棉花◇～牛痘。</explain>
      <paraID>14EE744F</paraID>
      <start>98</start>
      <end>99</end>
      <status>unmodified</status>
      <modifiedWord/>
      <trackRevisions>false</trackRevisions>
    </reviewItem>
    <reviewItem>
      <errorID>5a8518e4-9099-4fc0-93c5-4e47217f5787</errorID>
      <errorWord>泄露</errorWord>
      <group>L1_Word</group>
      <groupName>字词问题</groupName>
      <ability>L2_Typo</ability>
      <abilityName>字词错误</abilityName>
      <candidateList>
        <item>泄漏</item>
      </candidateList>
      <explain/>
      <paraID>14EE744F</paraID>
      <start>159</start>
      <end>161</end>
      <status>unmodified</status>
      <modifiedWord/>
      <trackRevisions>false</trackRevisions>
    </reviewItem>
    <reviewItem>
      <errorID>c669d327-b8a5-476d-88bf-d5d349f96d50</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38352453</paraID>
      <start>4</start>
      <end>5</end>
      <status>unmodified</status>
      <modifiedWord/>
      <trackRevisions>false</trackRevisions>
    </reviewItem>
    <reviewItem>
      <errorID>05a6912c-e8b2-42b2-8d7a-9bf3ebea3199</errorID>
      <errorWord>《广东省工业源挥发性有机物减排量核算方法》（试行）</errorWord>
      <group>L1_Knowledge</group>
      <groupName>知识性问题</groupName>
      <ability>L2_Knowledge</ability>
      <abilityName>其他知识</abilityName>
      <candidateList>
        <item>《广东省工业源挥发性有机物减排量核算方法（试行）》</item>
      </candidateList>
      <explain>疑似政策文件、法律法规名称等书写不规范，请注意检查。</explain>
      <paraID>7A634496</paraID>
      <start>84</start>
      <end>109</end>
      <status>unmodified</status>
      <modifiedWord/>
      <trackRevisions>false</trackRevisions>
    </reviewItem>
    <reviewItem>
      <errorID>5ce44877-0e15-49dd-8c9c-d7e6e0479e71</errorID>
      <errorWord>活性碳</errorWord>
      <group>L1_Word</group>
      <groupName>字词问题</groupName>
      <ability>L2_Typo</ability>
      <abilityName>字词错误</abilityName>
      <candidateList>
        <item>活性炭</item>
      </candidateList>
      <explain>〈名〉吸附能力很强的炭，把硬木、果壳、骨头等放在密闭容器中烧成炭再增加其孔隙后制成。防毒面具中用来过滤气体，工业上用来脱色、使溶液纯净，也可用于医药方面。</explain>
      <paraID>7A634496</paraID>
      <start>251</start>
      <end>254</end>
      <status>unmodified</status>
      <modifiedWord/>
      <trackRevisions>false</trackRevisions>
    </reviewItem>
    <reviewItem>
      <errorID>e41adf8d-baaf-420b-9530-6033e54f09f2</errorID>
      <errorWord>其它</errorWord>
      <group>L1_Word</group>
      <groupName>字词问题</groupName>
      <ability>L2_Alias</ability>
      <abilityName>也作/曾用词</abilityName>
      <candidateList>
        <item>其他</item>
      </candidateList>
      <explain>词汇[其它]为不规范表述或旧称，其规范书面表述为[其他]。</explain>
      <paraID>7A634496</paraID>
      <start>313</start>
      <end>315</end>
      <status>modified</status>
      <modifiedWord>其他</modifiedWord>
      <trackRevisions>false</trackRevisions>
    </reviewItem>
    <reviewItem>
      <errorID>e2d72d54-0e8c-4c87-b88f-b7c7c94fb036</errorID>
      <errorWord>50~85%</errorWord>
      <group>L1_Knowledge</group>
      <groupName>知识性问题</groupName>
      <ability>L2_Knowledge</ability>
      <abilityName>其他知识</abilityName>
      <candidateList>
        <item>50%～85%</item>
      </candidateList>
      <explain>1. “50~85%”中的单位“%”仅出现在后一个数字上，容易引起歧义；根据《现代汉语标点符号数字用法规范手册》，数字表示范围两边需要使用统一的格式。2. 根据标点国标 4.13 中的规则，数字、时间或地域连接符应使用（视觉上更长的）“—”或“～”。</explain>
      <paraID>6A12B286</paraID>
      <start>73</start>
      <end>79</end>
      <status>unmodified</status>
      <modifiedWord/>
      <trackRevisions>false</trackRevisions>
    </reviewItem>
    <reviewItem>
      <errorID>3c245dbd-dc9e-4ef1-825f-3487b336faa9</errorID>
      <errorWord>《石化行业VOCs污染源排查工作指南》（以下简称指南）</errorWord>
      <group>L1_Knowledge</group>
      <groupName>知识性问题</groupName>
      <ability>L2_Knowledge</ability>
      <abilityName>其他知识</abilityName>
      <candidateList>
        <item>《石化行业VOCs污染源排查工作指南》（以下简称“指南”）</item>
      </candidateList>
      <explain>疑似政策文件、法律法规名称等书写不规范，请注意检查。</explain>
      <paraID>7EB90A58</paraID>
      <start>217</start>
      <end>244</end>
      <status>unmodified</status>
      <modifiedWord/>
      <trackRevisions>false</trackRevisions>
    </reviewItem>
    <reviewItem>
      <errorID>d797e92d-d112-4b43-adde-819f0228cd2c</errorID>
      <errorWord>（</errorWord>
      <group>L1_Format</group>
      <groupName>格式问题</groupName>
      <ability>L2_HalfPunc</ability>
      <abilityName>全半角检查</abilityName>
      <candidateList>
        <item>(</item>
      </candidateList>
      <explain>文本全半角错误。</explain>
      <paraID>46457B42</paraID>
      <start>3</start>
      <end>4</end>
      <status>unmodified</status>
      <modifiedWord/>
      <trackRevisions>false</trackRevisions>
    </reviewItem>
    <reviewItem>
      <errorID>6447e59f-7cb2-422b-9d71-068c1e7d15b3</errorID>
      <errorWord>）</errorWord>
      <group>L1_Format</group>
      <groupName>格式问题</groupName>
      <ability>L2_HalfPunc</ability>
      <abilityName>全半角检查</abilityName>
      <candidateList>
        <item>)</item>
      </candidateList>
      <explain>文本全半角错误。</explain>
      <paraID>46457B42</paraID>
      <start>8</start>
      <end>9</end>
      <status>unmodified</status>
      <modifiedWord/>
      <trackRevisions>false</trackRevisions>
    </reviewItem>
    <reviewItem>
      <errorID>74b27568-7f11-413d-b4b0-9f25b41e0507</errorID>
      <errorWord>（</errorWord>
      <group>L1_Format</group>
      <groupName>格式问题</groupName>
      <ability>L2_HalfPunc</ability>
      <abilityName>全半角检查</abilityName>
      <candidateList>
        <item>(</item>
      </candidateList>
      <explain>文本全半角错误。</explain>
      <paraID>72967CB3</paraID>
      <start>2</start>
      <end>3</end>
      <status>unmodified</status>
      <modifiedWord/>
      <trackRevisions>false</trackRevisions>
    </reviewItem>
    <reviewItem>
      <errorID>3bef6e7b-c687-4f6b-b4ab-89cd79ae0710</errorID>
      <errorWord>）</errorWord>
      <group>L1_Format</group>
      <groupName>格式问题</groupName>
      <ability>L2_HalfPunc</ability>
      <abilityName>全半角检查</abilityName>
      <candidateList>
        <item>)</item>
      </candidateList>
      <explain>文本全半角错误。</explain>
      <paraID>72967CB3</paraID>
      <start>7</start>
      <end>8</end>
      <status>unmodified</status>
      <modifiedWord/>
      <trackRevisions>false</trackRevisions>
    </reviewItem>
    <reviewItem>
      <errorID>6cfbf4e8-f3fa-4bf0-83ff-36921d9b550e</errorID>
      <errorWord>（</errorWord>
      <group>L1_Format</group>
      <groupName>格式问题</groupName>
      <ability>L2_HalfPunc</ability>
      <abilityName>全半角检查</abilityName>
      <candidateList>
        <item>(</item>
      </candidateList>
      <explain>文本全半角错误。</explain>
      <paraID>7384FAF0</paraID>
      <start>1</start>
      <end>2</end>
      <status>unmodified</status>
      <modifiedWord/>
      <trackRevisions>false</trackRevisions>
    </reviewItem>
    <reviewItem>
      <errorID>850ed35e-cf1e-46e5-abec-0463107c7647</errorID>
      <errorWord>）</errorWord>
      <group>L1_Format</group>
      <groupName>格式问题</groupName>
      <ability>L2_HalfPunc</ability>
      <abilityName>全半角检查</abilityName>
      <candidateList>
        <item>)</item>
      </candidateList>
      <explain>文本全半角错误。</explain>
      <paraID>7384FAF0</paraID>
      <start>3</start>
      <end>4</end>
      <status>unmodified</status>
      <modifiedWord/>
      <trackRevisions>false</trackRevisions>
    </reviewItem>
    <reviewItem>
      <errorID>d08179a4-ef2b-4fc7-9953-a111cfde4e82</errorID>
      <errorWord>（</errorWord>
      <group>L1_Format</group>
      <groupName>格式问题</groupName>
      <ability>L2_HalfPunc</ability>
      <abilityName>全半角检查</abilityName>
      <candidateList>
        <item>(</item>
      </candidateList>
      <explain>文本全半角错误。</explain>
      <paraID>4F9BCE69</paraID>
      <start>2</start>
      <end>3</end>
      <status>unmodified</status>
      <modifiedWord/>
      <trackRevisions>false</trackRevisions>
    </reviewItem>
    <reviewItem>
      <errorID>5779a8c5-1a33-4e5c-9423-76389ead580a</errorID>
      <errorWord>）</errorWord>
      <group>L1_Format</group>
      <groupName>格式问题</groupName>
      <ability>L2_HalfPunc</ability>
      <abilityName>全半角检查</abilityName>
      <candidateList>
        <item>)</item>
      </candidateList>
      <explain>文本全半角错误。</explain>
      <paraID>4F9BCE69</paraID>
      <start>12</start>
      <end>13</end>
      <status>unmodified</status>
      <modifiedWord/>
      <trackRevisions>false</trackRevisions>
    </reviewItem>
    <reviewItem>
      <errorID>92c69e27-656c-4932-b758-64d7aca7cf15</errorID>
      <errorWord>（</errorWord>
      <group>L1_Format</group>
      <groupName>格式问题</groupName>
      <ability>L2_HalfPunc</ability>
      <abilityName>全半角检查</abilityName>
      <candidateList>
        <item>(</item>
      </candidateList>
      <explain>文本全半角错误。</explain>
      <paraID>6CE3F6CE</paraID>
      <start>2</start>
      <end>3</end>
      <status>unmodified</status>
      <modifiedWord/>
      <trackRevisions>false</trackRevisions>
    </reviewItem>
    <reviewItem>
      <errorID>94a33080-e621-434e-92d9-f5eccac11723</errorID>
      <errorWord>）</errorWord>
      <group>L1_Format</group>
      <groupName>格式问题</groupName>
      <ability>L2_HalfPunc</ability>
      <abilityName>全半角检查</abilityName>
      <candidateList>
        <item>)</item>
      </candidateList>
      <explain>文本全半角错误。</explain>
      <paraID>6CE3F6CE</paraID>
      <start>7</start>
      <end>8</end>
      <status>unmodified</status>
      <modifiedWord/>
      <trackRevisions>false</trackRevisions>
    </reviewItem>
    <reviewItem>
      <errorID>d1281b63-3532-4dec-995a-710780e8b57f</errorID>
      <errorWord>（</errorWord>
      <group>L1_Format</group>
      <groupName>格式问题</groupName>
      <ability>L2_HalfPunc</ability>
      <abilityName>全半角检查</abilityName>
      <candidateList>
        <item>(</item>
      </candidateList>
      <explain>文本全半角错误。</explain>
      <paraID>  801BED</paraID>
      <start>2</start>
      <end>3</end>
      <status>unmodified</status>
      <modifiedWord/>
      <trackRevisions>false</trackRevisions>
    </reviewItem>
    <reviewItem>
      <errorID>d0b9aa2f-8f63-40ac-b5e2-d2ae1898e4ca</errorID>
      <errorWord>）</errorWord>
      <group>L1_Format</group>
      <groupName>格式问题</groupName>
      <ability>L2_HalfPunc</ability>
      <abilityName>全半角检查</abilityName>
      <candidateList>
        <item>)</item>
      </candidateList>
      <explain>文本全半角错误。</explain>
      <paraID>  801BED</paraID>
      <start>7</start>
      <end>8</end>
      <status>unmodified</status>
      <modifiedWord/>
      <trackRevisions>false</trackRevisions>
    </reviewItem>
    <reviewItem>
      <errorID>f1402fa2-7642-4265-8b24-16b570580208</errorID>
      <errorWord>（</errorWord>
      <group>L1_Punc</group>
      <groupName>标点问题</groupName>
      <ability>L2_Punc</ability>
      <abilityName>标点符号检查</abilityName>
      <candidateList/>
      <explain>此处标点可能未正确匹配，请检查句子中是否存在标点冗余、缺失或使用错误的情况。</explain>
      <paraID>4DBBF38B</paraID>
      <start>3</start>
      <end>4</end>
      <status>unmodified</status>
      <modifiedWord/>
      <trackRevisions>false</trackRevisions>
    </reviewItem>
    <reviewItem>
      <errorID>781d9a81-2c08-48a7-a222-e16f07a6bfcc</errorID>
      <errorWord>（</errorWord>
      <group>L1_Format</group>
      <groupName>格式问题</groupName>
      <ability>L2_HalfPunc</ability>
      <abilityName>全半角检查</abilityName>
      <candidateList>
        <item>(</item>
      </candidateList>
      <explain>文本全半角错误。</explain>
      <paraID>3E7AE7ED</paraID>
      <start>2</start>
      <end>3</end>
      <status>unmodified</status>
      <modifiedWord/>
      <trackRevisions>false</trackRevisions>
    </reviewItem>
    <reviewItem>
      <errorID>cd322763-c015-49cd-a104-2f882514f4a6</errorID>
      <errorWord>）</errorWord>
      <group>L1_Format</group>
      <groupName>格式问题</groupName>
      <ability>L2_HalfPunc</ability>
      <abilityName>全半角检查</abilityName>
      <candidateList>
        <item>)</item>
      </candidateList>
      <explain>文本全半角错误。</explain>
      <paraID>3E7AE7ED</paraID>
      <start>7</start>
      <end>8</end>
      <status>unmodified</status>
      <modifiedWord/>
      <trackRevisions>false</trackRevisions>
    </reviewItem>
    <reviewItem>
      <errorID>d9c563c8-ba54-4c09-aa63-11537e15257c</errorID>
      <errorWord>（</errorWord>
      <group>L1_Format</group>
      <groupName>格式问题</groupName>
      <ability>L2_HalfPunc</ability>
      <abilityName>全半角检查</abilityName>
      <candidateList>
        <item>(</item>
      </candidateList>
      <explain>文本全半角错误。</explain>
      <paraID> C203888</paraID>
      <start>2</start>
      <end>3</end>
      <status>unmodified</status>
      <modifiedWord/>
      <trackRevisions>false</trackRevisions>
    </reviewItem>
    <reviewItem>
      <errorID>d24631f0-9f87-4143-9928-ee76138f4d8f</errorID>
      <errorWord>）</errorWord>
      <group>L1_Format</group>
      <groupName>格式问题</groupName>
      <ability>L2_HalfPunc</ability>
      <abilityName>全半角检查</abilityName>
      <candidateList>
        <item>)</item>
      </candidateList>
      <explain>文本全半角错误。</explain>
      <paraID> C203888</paraID>
      <start>7</start>
      <end>8</end>
      <status>unmodified</status>
      <modifiedWord/>
      <trackRevisions>false</trackRevisions>
    </reviewItem>
    <reviewItem>
      <errorID>3c52aca4-6183-4ea5-85dc-12b14cad2df3</errorID>
      <errorWord>其它重要</errorWord>
      <group>L1_Word</group>
      <groupName>字词问题</groupName>
      <ability>L2_Alias</ability>
      <abilityName>也作/曾用词</abilityName>
      <candidateList>
        <item>其他重要</item>
      </candidateList>
      <explain>词汇[其它重要]为不规范表述或旧称，其规范书面表述为[其他重要]。</explain>
      <paraID> 855A836</paraID>
      <start>271</start>
      <end>275</end>
      <status>modified</status>
      <modifiedWord>其他重要</modifiedWord>
      <trackRevisions>false</trackRevisions>
    </reviewItem>
    <reviewItem>
      <errorID>80526105-3e3e-4929-b30a-9403a026234a</errorID>
      <errorWord>-</errorWord>
      <group>L1_Format</group>
      <groupName>格式问题</groupName>
      <ability>L2_HalfPunc</ability>
      <abilityName>全半角检查</abilityName>
      <candidateList>
        <item>－</item>
      </candidateList>
      <explain>文本全半角错误。</explain>
      <paraID>2573EF23</paraID>
      <start>47</start>
      <end>48</end>
      <status>unmodified</status>
      <modifiedWord/>
      <trackRevisions>false</trackRevisions>
    </reviewItem>
    <reviewItem>
      <errorID>a6e7abcb-8f41-4ebf-a881-63667e1a9afd</errorID>
      <errorWord>~</errorWord>
      <group>L1_Format</group>
      <groupName>格式问题</groupName>
      <ability>L2_HalfPunc</ability>
      <abilityName>全半角检查</abilityName>
      <candidateList>
        <item>～</item>
      </candidateList>
      <explain>文本全半角错误。</explain>
      <paraID>2573EF23</paraID>
      <start>79</start>
      <end>80</end>
      <status>unmodified</status>
      <modifiedWord/>
      <trackRevisions>false</trackRevisions>
    </reviewItem>
    <reviewItem>
      <errorID>a5f15561-e19e-4920-97c4-9be37e5e6f49</errorID>
      <errorWord>~</errorWord>
      <group>L1_Format</group>
      <groupName>格式问题</groupName>
      <ability>L2_HalfPunc</ability>
      <abilityName>全半角检查</abilityName>
      <candidateList>
        <item>～</item>
      </candidateList>
      <explain>文本全半角错误。</explain>
      <paraID>6EFE0C6E</paraID>
      <start>78</start>
      <end>79</end>
      <status>unmodified</status>
      <modifiedWord/>
      <trackRevisions>false</trackRevisions>
    </reviewItem>
    <reviewItem>
      <errorID>e3100f8d-345c-4a70-88b6-bbaeec68dd80</errorID>
      <errorWord>~</errorWord>
      <group>L1_Format</group>
      <groupName>格式问题</groupName>
      <ability>L2_HalfPunc</ability>
      <abilityName>全半角检查</abilityName>
      <candidateList>
        <item>～</item>
      </candidateList>
      <explain>文本全半角错误。</explain>
      <paraID>7C14A58E</paraID>
      <start>69</start>
      <end>70</end>
      <status>unmodified</status>
      <modifiedWord/>
      <trackRevisions>false</trackRevisions>
    </reviewItem>
    <reviewItem>
      <errorID>d357ff80-b448-41bc-9f2b-3f26e025c678</errorID>
      <errorWord>~</errorWord>
      <group>L1_Format</group>
      <groupName>格式问题</groupName>
      <ability>L2_HalfPunc</ability>
      <abilityName>全半角检查</abilityName>
      <candidateList>
        <item>～</item>
      </candidateList>
      <explain>文本全半角错误。</explain>
      <paraID>7C14A58E</paraID>
      <start>98</start>
      <end>99</end>
      <status>unmodified</status>
      <modifiedWord/>
      <trackRevisions>false</trackRevisions>
    </reviewItem>
    <reviewItem>
      <errorID>9253891e-b5d6-4d69-8c0a-f4aaa364211d</errorID>
      <errorWord>多年地</errorWord>
      <group>L1_Word</group>
      <groupName>字词问题</groupName>
      <ability>L2_Typo</ability>
      <abilityName>字词错误</abilityName>
      <candidateList>
        <item>多年</item>
      </candidateList>
      <explain/>
      <paraID>7C14A58E</paraID>
      <start>137</start>
      <end>140</end>
      <status>unmodified</status>
      <modifiedWord/>
      <trackRevisions>false</trackRevisions>
    </reviewItem>
    <reviewItem>
      <errorID>df0acdbf-bf57-4aaf-ad7b-6f4dc02862dc</errorID>
      <errorWord>~</errorWord>
      <group>L1_Format</group>
      <groupName>格式问题</groupName>
      <ability>L2_HalfPunc</ability>
      <abilityName>全半角检查</abilityName>
      <candidateList>
        <item>～</item>
      </candidateList>
      <explain>文本全半角错误。</explain>
      <paraID> 59213E4</paraID>
      <start>67</start>
      <end>68</end>
      <status>unmodified</status>
      <modifiedWord/>
      <trackRevisions>false</trackRevisions>
    </reviewItem>
    <reviewItem>
      <errorID>53beb9fe-70b8-4985-bbf6-29a41f1401d8</errorID>
      <errorWord>~</errorWord>
      <group>L1_Format</group>
      <groupName>格式问题</groupName>
      <ability>L2_HalfPunc</ability>
      <abilityName>全半角检查</abilityName>
      <candidateList>
        <item>～</item>
      </candidateList>
      <explain>文本全半角错误。</explain>
      <paraID>57887373</paraID>
      <start>49</start>
      <end>50</end>
      <status>unmodified</status>
      <modifiedWord/>
      <trackRevisions>false</trackRevisions>
    </reviewItem>
    <reviewItem>
      <errorID>715b256c-7d22-4ed6-bc74-12bff4851343</errorID>
      <errorWord>~</errorWord>
      <group>L1_Format</group>
      <groupName>格式问题</groupName>
      <ability>L2_HalfPunc</ability>
      <abilityName>全半角检查</abilityName>
      <candidateList>
        <item>～</item>
      </candidateList>
      <explain>文本全半角错误。</explain>
      <paraID>34B17799</paraID>
      <start>63</start>
      <end>64</end>
      <status>unmodified</status>
      <modifiedWord/>
      <trackRevisions>false</trackRevisions>
    </reviewItem>
    <reviewItem>
      <errorID>0d4798cb-f830-4bce-9799-f8373e55ce5a</errorID>
      <errorWord>(</errorWord>
      <group>L1_Format</group>
      <groupName>格式问题</groupName>
      <ability>L2_HalfPunc</ability>
      <abilityName>全半角检查</abilityName>
      <candidateList>
        <item>（</item>
      </candidateList>
      <explain>文本全半角错误。</explain>
      <paraID>672BD28C</paraID>
      <start>87</start>
      <end>88</end>
      <status>unmodified</status>
      <modifiedWord/>
      <trackRevisions>false</trackRevisions>
    </reviewItem>
    <reviewItem>
      <errorID>5de9023c-ffc9-481d-97b9-16dcfe429955</errorID>
      <errorWord>)</errorWord>
      <group>L1_Format</group>
      <groupName>格式问题</groupName>
      <ability>L2_HalfPunc</ability>
      <abilityName>全半角检查</abilityName>
      <candidateList>
        <item>）</item>
      </candidateList>
      <explain>文本全半角错误。</explain>
      <paraID>672BD28C</paraID>
      <start>90</start>
      <end>91</end>
      <status>unmodified</status>
      <modifiedWord/>
      <trackRevisions>false</trackRevisions>
    </reviewItem>
    <reviewItem>
      <errorID>31bf1e5f-7bfc-4f60-8297-abd577038a0d</errorID>
      <errorWord>(</errorWord>
      <group>L1_Format</group>
      <groupName>格式问题</groupName>
      <ability>L2_HalfPunc</ability>
      <abilityName>全半角检查</abilityName>
      <candidateList>
        <item>（</item>
      </candidateList>
      <explain>文本全半角错误。</explain>
      <paraID> A5D9106</paraID>
      <start>11</start>
      <end>12</end>
      <status>unmodified</status>
      <modifiedWord/>
      <trackRevisions>false</trackRevisions>
    </reviewItem>
    <reviewItem>
      <errorID>43964746-baa5-4076-bc11-31e07fbbfb86</errorID>
      <errorWord>)</errorWord>
      <group>L1_Format</group>
      <groupName>格式问题</groupName>
      <ability>L2_HalfPunc</ability>
      <abilityName>全半角检查</abilityName>
      <candidateList>
        <item>）</item>
      </candidateList>
      <explain>文本全半角错误。</explain>
      <paraID> A5D9106</paraID>
      <start>14</start>
      <end>15</end>
      <status>unmodified</status>
      <modifiedWord/>
      <trackRevisions>false</trackRevisions>
    </reviewItem>
    <reviewItem>
      <errorID>1bc23c9e-eaae-4f94-8362-d8b1d250d027</errorID>
      <errorWord>~</errorWord>
      <group>L1_Format</group>
      <groupName>格式问题</groupName>
      <ability>L2_HalfPunc</ability>
      <abilityName>全半角检查</abilityName>
      <candidateList>
        <item>～</item>
      </candidateList>
      <explain>文本全半角错误。</explain>
      <paraID>5AC36787</paraID>
      <start>120</start>
      <end>121</end>
      <status>unmodified</status>
      <modifiedWord/>
      <trackRevisions>false</trackRevisions>
    </reviewItem>
    <reviewItem>
      <errorID>94672158-a1f1-4572-b8f5-a94f0cb0c728</errorID>
      <errorWord>二大类</errorWord>
      <group>L1_Word</group>
      <groupName>字词问题</groupName>
      <ability>L2_Typo</ability>
      <abilityName>字词错误</abilityName>
      <candidateList>
        <item>两大类</item>
      </candidateList>
      <explain/>
      <paraID>15F1DBFF</paraID>
      <start>53</start>
      <end>56</end>
      <status>unmodified</status>
      <modifiedWord/>
      <trackRevisions>false</trackRevisions>
    </reviewItem>
    <reviewItem>
      <errorID>46fe9692-bd55-4e69-9425-f0eabc37eab9</errorID>
      <errorWord>主要的生活和工业用水以地表水为主</errorWord>
      <group>L1_Grammar</group>
      <groupName>语法问题</groupName>
      <ability>L2_Grammar</ability>
      <abilityName>语法错误</abilityName>
      <candidateList>
        <item>的生活和工业用水以地表水为主</item>
      </candidateList>
      <explain/>
      <paraID>13AE3894</paraID>
      <start>150</start>
      <end>166</end>
      <status>unmodified</status>
      <modifiedWord/>
      <trackRevisions>false</trackRevisions>
    </reviewItem>
    <reviewItem>
      <errorID>4c46deae-ec89-4017-b7f1-8ec70047f0cc</errorID>
      <errorWord>二大类</errorWord>
      <group>L1_Word</group>
      <groupName>字词问题</groupName>
      <ability>L2_Typo</ability>
      <abilityName>字词错误</abilityName>
      <candidateList>
        <item>两大类</item>
      </candidateList>
      <explain/>
      <paraID>1DBD5139</paraID>
      <start>35</start>
      <end>38</end>
      <status>unmodified</status>
      <modifiedWord/>
      <trackRevisions>false</trackRevisions>
    </reviewItem>
    <reviewItem>
      <errorID>6db05025-b869-4d47-a5b0-a22074dbe3cd</errorID>
      <errorWord>~</errorWord>
      <group>L1_Format</group>
      <groupName>格式问题</groupName>
      <ability>L2_HalfPunc</ability>
      <abilityName>全半角检查</abilityName>
      <candidateList>
        <item>～</item>
      </candidateList>
      <explain>文本全半角错误。</explain>
      <paraID>75160AB2</paraID>
      <start>54</start>
      <end>55</end>
      <status>unmodified</status>
      <modifiedWord/>
      <trackRevisions>false</trackRevisions>
    </reviewItem>
    <reviewItem>
      <errorID>3259759b-0b3d-4bdf-8e81-9512ea9bf9c5</errorID>
      <errorWord>~</errorWord>
      <group>L1_Format</group>
      <groupName>格式问题</groupName>
      <ability>L2_HalfPunc</ability>
      <abilityName>全半角检查</abilityName>
      <candidateList>
        <item>～</item>
      </candidateList>
      <explain>文本全半角错误。</explain>
      <paraID>75160AB2</paraID>
      <start>87</start>
      <end>88</end>
      <status>unmodified</status>
      <modifiedWord/>
      <trackRevisions>false</trackRevisions>
    </reviewItem>
    <reviewItem>
      <errorID>48bf1021-b22b-4d2c-8120-d17b5009290d</errorID>
      <errorWord>~</errorWord>
      <group>L1_Format</group>
      <groupName>格式问题</groupName>
      <ability>L2_HalfPunc</ability>
      <abilityName>全半角检查</abilityName>
      <candidateList>
        <item>～</item>
      </candidateList>
      <explain>文本全半角错误。</explain>
      <paraID> 4FD95EA</paraID>
      <start>125</start>
      <end>126</end>
      <status>unmodified</status>
      <modifiedWord/>
      <trackRevisions>false</trackRevisions>
    </reviewItem>
    <reviewItem>
      <errorID>2cc1903c-acb4-4fb0-aceb-8a0235b62d5f</errorID>
      <errorWord>~</errorWord>
      <group>L1_Format</group>
      <groupName>格式问题</groupName>
      <ability>L2_HalfPunc</ability>
      <abilityName>全半角检查</abilityName>
      <candidateList>
        <item>～</item>
      </candidateList>
      <explain>文本全半角错误。</explain>
      <paraID> 4FD95EA</paraID>
      <start>144</start>
      <end>145</end>
      <status>unmodified</status>
      <modifiedWord/>
      <trackRevisions>false</trackRevisions>
    </reviewItem>
    <reviewItem>
      <errorID>2da4aca4-36d0-42a8-b379-ccec711811ad</errorID>
      <errorWord>修值</errorWord>
      <group>L1_Word</group>
      <groupName>字词问题</groupName>
      <ability>L2_Typo</ability>
      <abilityName>字词错误</abilityName>
      <candidateList>
        <item>修正</item>
      </candidateList>
      <explain/>
      <paraID> 4FD95EA</paraID>
      <start>174</start>
      <end>176</end>
      <status>unmodified</status>
      <modifiedWord/>
      <trackRevisions>false</trackRevisions>
    </reviewItem>
    <reviewItem>
      <errorID>610df902-ea40-4c26-b60e-7cf66a486bde</errorID>
      <errorWord>~</errorWord>
      <group>L1_Format</group>
      <groupName>格式问题</groupName>
      <ability>L2_HalfPunc</ability>
      <abilityName>全半角检查</abilityName>
      <candidateList>
        <item>～</item>
      </candidateList>
      <explain>文本全半角错误。</explain>
      <paraID> 4FD95EA</paraID>
      <start>182</start>
      <end>183</end>
      <status>unmodified</status>
      <modifiedWord/>
      <trackRevisions>false</trackRevisions>
    </reviewItem>
    <reviewItem>
      <errorID>f78b0fa2-b0e4-4f6c-84cc-aecf6ced7780</errorID>
      <errorWord>~</errorWord>
      <group>L1_Format</group>
      <groupName>格式问题</groupName>
      <ability>L2_HalfPunc</ability>
      <abilityName>全半角检查</abilityName>
      <candidateList>
        <item>～</item>
      </candidateList>
      <explain>文本全半角错误。</explain>
      <paraID> 4FD95EA</paraID>
      <start>205</start>
      <end>206</end>
      <status>unmodified</status>
      <modifiedWord/>
      <trackRevisions>false</trackRevisions>
    </reviewItem>
    <reviewItem>
      <errorID>0ecd1146-1f24-4f79-816b-94b628258201</errorID>
      <errorWord>主要为陇状低丘地貌为主</errorWord>
      <group>L1_Grammar</group>
      <groupName>语法问题</groupName>
      <ability>L2_Grammar</ability>
      <abilityName>语法错误</abilityName>
      <candidateList>
        <item>为陇状低丘地貌为主</item>
      </candidateList>
      <explain/>
      <paraID>138758B1</paraID>
      <start>50</start>
      <end>61</end>
      <status>unmodified</status>
      <modifiedWord/>
      <trackRevisions>false</trackRevisions>
    </reviewItem>
    <reviewItem>
      <errorID>8ea32a70-4a46-4e1d-ae66-39e0c2eca474</errorID>
      <errorWord>布</errorWord>
      <group>L1_Word</group>
      <groupName>字词问题</groupName>
      <ability>L2_Typo</ability>
      <abilityName>字词错误</abilityName>
      <candidateList>
        <item>布在</item>
      </candidateList>
      <explain/>
      <paraID>5F21C406</paraID>
      <start>11</start>
      <end>12</end>
      <status>unmodified</status>
      <modifiedWord/>
      <trackRevisions>false</trackRevisions>
    </reviewItem>
    <reviewItem>
      <errorID>d4f99af8-5df3-41f3-b134-f4943728de0b</errorID>
      <errorWord>(</errorWord>
      <group>L1_Format</group>
      <groupName>格式问题</groupName>
      <ability>L2_HalfPunc</ability>
      <abilityName>全半角检查</abilityName>
      <candidateList>
        <item>（</item>
      </candidateList>
      <explain>文本全半角错误。</explain>
      <paraID> 46311C2</paraID>
      <start>37</start>
      <end>38</end>
      <status>unmodified</status>
      <modifiedWord/>
      <trackRevisions>false</trackRevisions>
    </reviewItem>
    <reviewItem>
      <errorID>edb64544-a1c5-4885-a4a5-37d5705e485f</errorID>
      <errorWord>)</errorWord>
      <group>L1_Format</group>
      <groupName>格式问题</groupName>
      <ability>L2_HalfPunc</ability>
      <abilityName>全半角检查</abilityName>
      <candidateList>
        <item>）</item>
      </candidateList>
      <explain>文本全半角错误。</explain>
      <paraID> 46311C2</paraID>
      <start>46</start>
      <end>47</end>
      <status>unmodified</status>
      <modifiedWord/>
      <trackRevisions>false</trackRevisions>
    </reviewItem>
    <reviewItem>
      <errorID>5a237e92-9b0b-495e-858a-a10f2199b81d</errorID>
      <errorWord>(</errorWord>
      <group>L1_Format</group>
      <groupName>格式问题</groupName>
      <ability>L2_HalfPunc</ability>
      <abilityName>全半角检查</abilityName>
      <candidateList>
        <item>（</item>
      </candidateList>
      <explain>文本全半角错误。</explain>
      <paraID> 46311C2</paraID>
      <start>53</start>
      <end>54</end>
      <status>unmodified</status>
      <modifiedWord/>
      <trackRevisions>false</trackRevisions>
    </reviewItem>
    <reviewItem>
      <errorID>833e7cac-4bbc-48d1-91d5-82512d8034a7</errorID>
      <errorWord>)</errorWord>
      <group>L1_Format</group>
      <groupName>格式问题</groupName>
      <ability>L2_HalfPunc</ability>
      <abilityName>全半角检查</abilityName>
      <candidateList>
        <item>）</item>
      </candidateList>
      <explain>文本全半角错误。</explain>
      <paraID> 46311C2</paraID>
      <start>60</start>
      <end>61</end>
      <status>unmodified</status>
      <modifiedWord/>
      <trackRevisions>false</trackRevisions>
    </reviewItem>
    <reviewItem>
      <errorID>a5afdec0-1be9-4c51-b6f3-0bae773a6592</errorID>
      <errorWord>(</errorWord>
      <group>L1_Format</group>
      <groupName>格式问题</groupName>
      <ability>L2_HalfPunc</ability>
      <abilityName>全半角检查</abilityName>
      <candidateList>
        <item>（</item>
      </candidateList>
      <explain>文本全半角错误。</explain>
      <paraID>7FB1050C</paraID>
      <start>225</start>
      <end>226</end>
      <status>unmodified</status>
      <modifiedWord/>
      <trackRevisions>false</trackRevisions>
    </reviewItem>
    <reviewItem>
      <errorID>3165cc76-b05e-48ea-8dde-815b8c1039ff</errorID>
      <errorWord>)</errorWord>
      <group>L1_Format</group>
      <groupName>格式问题</groupName>
      <ability>L2_HalfPunc</ability>
      <abilityName>全半角检查</abilityName>
      <candidateList>
        <item>）</item>
      </candidateList>
      <explain>文本全半角错误。</explain>
      <paraID>7FB1050C</paraID>
      <start>234</start>
      <end>235</end>
      <status>unmodified</status>
      <modifiedWord/>
      <trackRevisions>false</trackRevisions>
    </reviewItem>
    <reviewItem>
      <errorID>a9bf9d79-0586-4e08-8274-4b5d380bfda6</errorID>
      <errorWord>5～10％</errorWord>
      <group>L1_Knowledge</group>
      <groupName>知识性问题</groupName>
      <ability>L2_Knowledge</ability>
      <abilityName>其他知识</abilityName>
      <candidateList>
        <item>5％～10％</item>
      </candidateList>
      <explain>1. “5～10％”中的单位“％”仅出现在后一个数字上，容易引起歧义；根据《现代汉语标点符号数字用法规范手册》，数字表示范围两边需要使用统一的格式。2. 根据标点国标 4.13 中的规则，数字、时间或地域连接符应使用（视觉上更长的）“—”或“～”。</explain>
      <paraID>7FB1050C</paraID>
      <start>258</start>
      <end>263</end>
      <status>unmodified</status>
      <modifiedWord/>
      <trackRevisions>false</trackRevisions>
    </reviewItem>
    <reviewItem>
      <errorID>23f751d4-3b89-4d7a-9aea-5ebfd29049e9</errorID>
      <errorWord>(</errorWord>
      <group>L1_Format</group>
      <groupName>格式问题</groupName>
      <ability>L2_HalfPunc</ability>
      <abilityName>全半角检查</abilityName>
      <candidateList>
        <item>（</item>
      </candidateList>
      <explain>文本全半角错误。</explain>
      <paraID>7FB1050C</paraID>
      <start>273</start>
      <end>274</end>
      <status>unmodified</status>
      <modifiedWord/>
      <trackRevisions>false</trackRevisions>
    </reviewItem>
    <reviewItem>
      <errorID>baa5868a-7058-49b6-9ae9-95b19356d0ae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7FB1050C</paraID>
      <start>276</start>
      <end>277</end>
      <status>unmodified</status>
      <modifiedWord/>
      <trackRevisions>false</trackRevisions>
    </reviewItem>
    <reviewItem>
      <errorID>0a773609-3418-41da-a53c-961fd4428e67</errorID>
      <errorWord>)</errorWord>
      <group>L1_Format</group>
      <groupName>格式问题</groupName>
      <ability>L2_HalfPunc</ability>
      <abilityName>全半角检查</abilityName>
      <candidateList>
        <item>）</item>
      </candidateList>
      <explain>文本全半角错误。</explain>
      <paraID>7FB1050C</paraID>
      <start>279</start>
      <end>280</end>
      <status>unmodified</status>
      <modifiedWord/>
      <trackRevisions>false</trackRevisions>
    </reviewItem>
    <reviewItem>
      <errorID>b8b62aba-df59-43f3-bbf8-78ce005cf7d0</errorID>
      <errorWord>93—98％</errorWord>
      <group>L1_Knowledge</group>
      <groupName>知识性问题</groupName>
      <ability>L2_Knowledge</ability>
      <abilityName>其他知识</abilityName>
      <candidateList>
        <item>93％—98％</item>
      </candidateList>
      <explain>1. “93—98％”中的单位“％”仅出现在后一个数字上，容易引起歧义；根据《现代汉语标点符号数字用法规范手册》，数字表示范围两边需要使用统一的格式。2. 根据标点国标 4.13 中的规则，数字、时间或地域连接符应使用（视觉上更长的）“—”或“～”。</explain>
      <paraID>7FB1050C</paraID>
      <start>301</start>
      <end>307</end>
      <status>unmodified</status>
      <modifiedWord/>
      <trackRevisions>false</trackRevisions>
    </reviewItem>
    <reviewItem>
      <errorID>3d2cf544-f301-4fa7-8933-e1a8d0518fce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4CD20D94</paraID>
      <start>17</start>
      <end>18</end>
      <status>unmodified</status>
      <modifiedWord/>
      <trackRevisions>false</trackRevisions>
    </reviewItem>
    <reviewItem>
      <errorID>6900379f-7159-426f-ad53-a0660400b084</errorID>
      <errorWord>年平</errorWord>
      <group>L1_Word</group>
      <groupName>字词问题</groupName>
      <ability>L2_Typo</ability>
      <abilityName>字词错误</abilityName>
      <candidateList>
        <item>平均</item>
      </candidateList>
      <explain/>
      <paraID>4CD20D94</paraID>
      <start>180</start>
      <end>182</end>
      <status>unmodified</status>
      <modifiedWord/>
      <trackRevisions>false</trackRevisions>
    </reviewItem>
    <reviewItem>
      <errorID>b90d4dbd-71bd-495f-9673-1c27c6135fc4</errorID>
      <errorWord>：</errorWord>
      <group>L1_Format</group>
      <groupName>格式问题</groupName>
      <ability>L2_HalfPunc</ability>
      <abilityName>全半角检查</abilityName>
      <candidateList>
        <item>:</item>
      </candidateList>
      <explain>文本全半角错误。</explain>
      <paraID>446C4973</paraID>
      <start>211</start>
      <end>212</end>
      <status>unmodified</status>
      <modifiedWord/>
      <trackRevisions>false</trackRevisions>
    </reviewItem>
    <reviewItem>
      <errorID>2c6f996b-1190-419c-8751-5d8a7c125031</errorID>
      <errorWord>：</errorWord>
      <group>L1_Format</group>
      <groupName>格式问题</groupName>
      <ability>L2_HalfPunc</ability>
      <abilityName>全半角检查</abilityName>
      <candidateList>
        <item>:</item>
      </candidateList>
      <explain>文本全半角错误。</explain>
      <paraID>446C4973</paraID>
      <start>217</start>
      <end>218</end>
      <status>unmodified</status>
      <modifiedWord/>
      <trackRevisions>false</trackRevisions>
    </reviewItem>
    <reviewItem>
      <errorID>a0a3a681-39c3-4eaf-ba90-98198ffcda0b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FDDBCC5</paraID>
      <start>17</start>
      <end>18</end>
      <status>unmodified</status>
      <modifiedWord/>
      <trackRevisions>false</trackRevisions>
    </reviewItem>
    <reviewItem>
      <errorID>febf2421-eb19-434a-af37-e31cc4b95dbb</errorID>
      <errorWord>-</errorWord>
      <group>L1_Format</group>
      <groupName>格式问题</groupName>
      <ability>L2_HalfPunc</ability>
      <abilityName>全半角检查</abilityName>
      <candidateList>
        <item>－</item>
      </candidateList>
      <explain>文本全半角错误。</explain>
      <paraID>20D12500</paraID>
      <start>135</start>
      <end>136</end>
      <status>unmodified</status>
      <modifiedWord/>
      <trackRevisions>false</trackRevisions>
    </reviewItem>
    <reviewItem>
      <errorID>ba4a98fe-fb6b-42c3-a8ba-490db84162b4</errorID>
      <errorWord>破外</errorWord>
      <group>L1_Word</group>
      <groupName>字词问题</groupName>
      <ability>L2_Typo</ability>
      <abilityName>字词错误</abilityName>
      <candidateList>
        <item>破坏</item>
      </candidateList>
      <explain>〈动〉❶使建筑物等损坏：～桥梁｜～文物。❷使事物受到损害：～生产｜～名誉。❸变革（社会制度、风俗习惯等）。❹违反（规章、条约等）：～协定｜～规矩。❺（物体的组织或结构）损坏：维生素C因受热而～。</explain>
      <paraID>1B44F1EE</paraID>
      <start>114</start>
      <end>116</end>
      <status>unmodified</status>
      <modifiedWord/>
      <trackRevisions>false</trackRevisions>
    </reviewItem>
    <reviewItem>
      <errorID>4856b670-f411-4e74-8c43-3f3eaab467a8</errorID>
      <errorWord>80～90%</errorWord>
      <group>L1_Knowledge</group>
      <groupName>知识性问题</groupName>
      <ability>L2_Knowledge</ability>
      <abilityName>其他知识</abilityName>
      <candidateList>
        <item>80%～90%</item>
      </candidateList>
      <explain>1. “80～90%”中的单位“%”仅出现在后一个数字上，容易引起歧义；根据《现代汉语标点符号数字用法规范手册》，数字表示范围两边需要使用统一的格式。2. 根据标点国标 4.13 中的规则，数字、时间或地域连接符应使用（视觉上更长的）“—”或“～”。</explain>
      <paraID>3F0204F0</paraID>
      <start>78</start>
      <end>84</end>
      <status>unmodified</status>
      <modifiedWord/>
      <trackRevisions>false</trackRevisions>
    </reviewItem>
    <reviewItem>
      <errorID>df3a7312-9c00-4c13-8451-2e7288fcaf01</errorID>
      <errorWord>50～60%</errorWord>
      <group>L1_Knowledge</group>
      <groupName>知识性问题</groupName>
      <ability>L2_Knowledge</ability>
      <abilityName>其他知识</abilityName>
      <candidateList>
        <item>50%～60%</item>
      </candidateList>
      <explain>1. “50～60%”中的单位“%”仅出现在后一个数字上，容易引起歧义；根据《现代汉语标点符号数字用法规范手册》，数字表示范围两边需要使用统一的格式。2. 根据标点国标 4.13 中的规则，数字、时间或地域连接符应使用（视觉上更长的）“—”或“～”。</explain>
      <paraID>3F0204F0</paraID>
      <start>121</start>
      <end>127</end>
      <status>unmodified</status>
      <modifiedWord/>
      <trackRevisions>false</trackRevisions>
    </reviewItem>
    <reviewItem>
      <errorID>b2923238-cc5d-4a58-a755-bb0d9717b2f7</errorID>
      <errorWord>30～40%</errorWord>
      <group>L1_Knowledge</group>
      <groupName>知识性问题</groupName>
      <ability>L2_Knowledge</ability>
      <abilityName>其他知识</abilityName>
      <candidateList>
        <item>30%～40%</item>
      </candidateList>
      <explain>1. “30～40%”中的单位“%”仅出现在后一个数字上，容易引起歧义；根据《现代汉语标点符号数字用法规范手册》，数字表示范围两边需要使用统一的格式。2. 根据标点国标 4.13 中的规则，数字、时间或地域连接符应使用（视觉上更长的）“—”或“～”。</explain>
      <paraID>3F0204F0</paraID>
      <start>153</start>
      <end>159</end>
      <status>unmodified</status>
      <modifiedWord/>
      <trackRevisions>false</trackRevisions>
    </reviewItem>
    <reviewItem>
      <errorID>55a7efd5-a1b9-48f9-a7fc-f1c436addd5b</errorID>
      <errorWord>耳环</errorWord>
      <group>L1_Word</group>
      <groupName>字词问题</groupName>
      <ability>L2_Typo</ability>
      <abilityName>字词错误</abilityName>
      <candidateList>
        <item>耳</item>
      </candidateList>
      <explain/>
      <paraID>4854A24B</paraID>
      <start>21</start>
      <end>23</end>
      <status>unmodified</status>
      <modifiedWord/>
      <trackRevisions>false</trackRevisions>
    </reviewItem>
    <reviewItem>
      <errorID>28ebbb24-6375-4d91-9aa2-a08a96dce7c3</errorID>
      <errorWord>(</errorWord>
      <group>L1_Format</group>
      <groupName>格式问题</groupName>
      <ability>L2_HalfPunc</ability>
      <abilityName>全半角检查</abilityName>
      <candidateList>
        <item>（</item>
      </candidateList>
      <explain>文本全半角错误。</explain>
      <paraID> 8A10688</paraID>
      <start>2</start>
      <end>3</end>
      <status>unmodified</status>
      <modifiedWord/>
      <trackRevisions>false</trackRevisions>
    </reviewItem>
    <reviewItem>
      <errorID>f1b80819-fd1a-4f7e-a458-37a3d3f6488e</errorID>
      <errorWord>)</errorWord>
      <group>L1_Format</group>
      <groupName>格式问题</groupName>
      <ability>L2_HalfPunc</ability>
      <abilityName>全半角检查</abilityName>
      <candidateList>
        <item>）</item>
      </candidateList>
      <explain>文本全半角错误。</explain>
      <paraID> 8A10688</paraID>
      <start>4</start>
      <end>5</end>
      <status>unmodified</status>
      <modifiedWord/>
      <trackRevisions>false</trackRevisions>
    </reviewItem>
    <reviewItem>
      <errorID>4854e531-5a06-4b35-a9b6-a5ce1f0c3dac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142C1133</paraID>
      <start>35</start>
      <end>36</end>
      <status>unmodified</status>
      <modifiedWord/>
      <trackRevisions>false</trackRevisions>
    </reviewItem>
    <reviewItem>
      <errorID>8cc767e2-f0c1-413d-8743-b1792ca9e9ac</errorID>
      <errorWord>须赤</errorWord>
      <group>L1_Word</group>
      <groupName>字词问题</groupName>
      <ability>L2_Typo</ability>
      <abilityName>字词错误</abilityName>
      <candidateList>
        <item>赤须</item>
      </candidateList>
      <explain/>
      <paraID>79294DC2</paraID>
      <start>125</start>
      <end>127</end>
      <status>unmodified</status>
      <modifiedWord/>
      <trackRevisions>false</trackRevisions>
    </reviewItem>
    <reviewItem>
      <errorID>078e094a-4521-4c83-b167-b3c2e3826141</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4A3694FE</paraID>
      <start>110</start>
      <end>113</end>
      <status>unmodified</status>
      <modifiedWord/>
      <trackRevisions>false</trackRevisions>
    </reviewItem>
    <reviewItem>
      <errorID>a358021f-ea43-4a27-939c-9d817e9b859c</errorID>
      <errorWord>2020年02月</errorWord>
      <group>L1_Knowledge</group>
      <groupName>知识性问题</groupName>
      <ability>L2_Time</ability>
      <abilityName>日期时间</abilityName>
      <candidateList>
        <item>2020年2月</item>
      </candidateList>
      <explain>根据日常书写习惯，月份一般会省略前导零。</explain>
      <paraID>152631F0</paraID>
      <start>0</start>
      <end>8</end>
      <status>unmodified</status>
      <modifiedWord/>
      <trackRevisions>false</trackRevisions>
    </reviewItem>
    <reviewItem>
      <errorID>a5385862-eca9-426c-b0fb-149b90c240fa</errorID>
      <errorWord>广西惟一</errorWord>
      <group>L1_Word</group>
      <groupName>字词问题</groupName>
      <ability>L2_Alias</ability>
      <abilityName>也作/曾用词</abilityName>
      <candidateList>
        <item>广西唯一</item>
      </candidateList>
      <explain>词汇[广西惟一]为不规范表述或旧称，其规范书面表述为[广西唯一]。</explain>
      <paraID>20FE7C11</paraID>
      <start>64</start>
      <end>68</end>
      <status>modified</status>
      <modifiedWord>广西唯一</modifiedWord>
      <trackRevisions>false</trackRevisions>
    </reviewItem>
    <reviewItem>
      <errorID>20e4d6fb-5c23-4f78-a2f9-947d64a0ec39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3107FA1A</paraID>
      <start>0</start>
      <end>2</end>
      <status>unmodified</status>
      <modifiedWord/>
      <trackRevisions>false</trackRevisions>
    </reviewItem>
    <reviewItem>
      <errorID>f02bf2c5-69ff-4264-b69e-21b33bd12cc9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52D1307D</paraID>
      <start>0</start>
      <end>2</end>
      <status>unmodified</status>
      <modifiedWord/>
      <trackRevisions>false</trackRevisions>
    </reviewItem>
    <reviewItem>
      <errorID>62e80010-163b-47d8-a5ea-eb5e17fca0bc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3C161EE8</paraID>
      <start>0</start>
      <end>2</end>
      <status>unmodified</status>
      <modifiedWord/>
      <trackRevisions>false</trackRevisions>
    </reviewItem>
    <reviewItem>
      <errorID>919fd91a-1a2e-4307-8a0e-400ad1cc9977</errorID>
      <errorWord>农业部</errorWord>
      <group>L1_Knowledge</group>
      <groupName>知识性问题</groupName>
      <ability>L2_Knowledge</ability>
      <abilityName>其他知识</abilityName>
      <candidateList>
        <item>农业农村部</item>
      </candidateList>
      <explain/>
      <paraID>5C06056D</paraID>
      <start>29</start>
      <end>34</end>
      <status>modified</status>
      <modifiedWord>农业农村部</modifiedWord>
      <trackRevisions>false</trackRevisions>
    </reviewItem>
    <reviewItem>
      <errorID>1fa9188c-0c06-413d-994b-f939dbc96496</errorID>
      <errorWord>农业部</errorWord>
      <group>L1_Knowledge</group>
      <groupName>知识性问题</groupName>
      <ability>L2_Knowledge</ability>
      <abilityName>其他知识</abilityName>
      <candidateList>
        <item>农业农村部</item>
      </candidateList>
      <explain/>
      <paraID>6E0B19FC</paraID>
      <start>2</start>
      <end>7</end>
      <status>modified</status>
      <modifiedWord>农业农村部</modifiedWord>
      <trackRevisions>false</trackRevisions>
    </reviewItem>
    <reviewItem>
      <errorID>e62befa8-2d82-40a5-9343-cb6ecb163b84</errorID>
      <errorWord>农业部</errorWord>
      <group>L1_Knowledge</group>
      <groupName>知识性问题</groupName>
      <ability>L2_Knowledge</ability>
      <abilityName>其他知识</abilityName>
      <candidateList>
        <item>农业农村部</item>
      </candidateList>
      <explain/>
      <paraID>3AF0CE43</paraID>
      <start>2</start>
      <end>7</end>
      <status>modified</status>
      <modifiedWord>农业农村部</modifiedWord>
      <trackRevisions>false</trackRevisions>
    </reviewItem>
    <reviewItem>
      <errorID>a88b3c0d-2e92-4eb9-88d0-1a0883333e72</errorID>
      <errorWord>~</errorWord>
      <group>L1_Format</group>
      <groupName>格式问题</groupName>
      <ability>L2_HalfPunc</ability>
      <abilityName>全半角检查</abilityName>
      <candidateList>
        <item>～</item>
      </candidateList>
      <explain>文本全半角错误。</explain>
      <paraID>3AF0CE43</paraID>
      <start>75</start>
      <end>76</end>
      <status>unmodified</status>
      <modifiedWord/>
      <trackRevisions>false</trackRevisions>
    </reviewItem>
    <reviewItem>
      <errorID>b445a1de-a5fe-4ad3-a3df-6125c1fcbb30</errorID>
      <errorWord>~</errorWord>
      <group>L1_Format</group>
      <groupName>格式问题</groupName>
      <ability>L2_HalfPunc</ability>
      <abilityName>全半角检查</abilityName>
      <candidateList>
        <item>～</item>
      </candidateList>
      <explain>文本全半角错误。</explain>
      <paraID>3AF0CE43</paraID>
      <start>101</start>
      <end>102</end>
      <status>unmodified</status>
      <modifiedWord/>
      <trackRevisions>false</trackRevisions>
    </reviewItem>
    <reviewItem>
      <errorID>14c433da-e4ee-4a2b-a23a-12ce7be4d286</errorID>
      <errorWord>~</errorWord>
      <group>L1_Format</group>
      <groupName>格式问题</groupName>
      <ability>L2_HalfPunc</ability>
      <abilityName>全半角检查</abilityName>
      <candidateList>
        <item>～</item>
      </candidateList>
      <explain>文本全半角错误。</explain>
      <paraID>3AF0CE43</paraID>
      <start>141</start>
      <end>142</end>
      <status>unmodified</status>
      <modifiedWord/>
      <trackRevisions>false</trackRevisions>
    </reviewItem>
    <reviewItem>
      <errorID>821b0ba1-f7e1-44e8-ae6f-13a0537cc84a</errorID>
      <errorWord>~</errorWord>
      <group>L1_Format</group>
      <groupName>格式问题</groupName>
      <ability>L2_HalfPunc</ability>
      <abilityName>全半角检查</abilityName>
      <candidateList>
        <item>～</item>
      </candidateList>
      <explain>文本全半角错误。</explain>
      <paraID>3AF0CE43</paraID>
      <start>162</start>
      <end>163</end>
      <status>unmodified</status>
      <modifiedWord/>
      <trackRevisions>false</trackRevisions>
    </reviewItem>
    <reviewItem>
      <errorID>ee1e619f-1113-43c1-83a3-ee916c8b43c2</errorID>
      <errorWord>~</errorWord>
      <group>L1_Format</group>
      <groupName>格式问题</groupName>
      <ability>L2_HalfPunc</ability>
      <abilityName>全半角检查</abilityName>
      <candidateList>
        <item>～</item>
      </candidateList>
      <explain>文本全半角错误。</explain>
      <paraID>3AF0CE43</paraID>
      <start>193</start>
      <end>194</end>
      <status>unmodified</status>
      <modifiedWord/>
      <trackRevisions>false</trackRevisions>
    </reviewItem>
    <reviewItem>
      <errorID>d74f3e9f-de5d-4e00-b64c-618250e7d343</errorID>
      <errorWord>~</errorWord>
      <group>L1_Format</group>
      <groupName>格式问题</groupName>
      <ability>L2_HalfPunc</ability>
      <abilityName>全半角检查</abilityName>
      <candidateList>
        <item>～</item>
      </candidateList>
      <explain>文本全半角错误。</explain>
      <paraID>3AF0CE43</paraID>
      <start>215</start>
      <end>216</end>
      <status>unmodified</status>
      <modifiedWord/>
      <trackRevisions>false</trackRevisions>
    </reviewItem>
    <reviewItem>
      <errorID>fb12d69b-cfe3-4419-a40b-bcfeb285e3ce</errorID>
      <errorWord>~</errorWord>
      <group>L1_Format</group>
      <groupName>格式问题</groupName>
      <ability>L2_HalfPunc</ability>
      <abilityName>全半角检查</abilityName>
      <candidateList>
        <item>～</item>
      </candidateList>
      <explain>文本全半角错误。</explain>
      <paraID>3AF0CE43</paraID>
      <start>257</start>
      <end>258</end>
      <status>unmodified</status>
      <modifiedWord/>
      <trackRevisions>false</trackRevisions>
    </reviewItem>
    <reviewItem>
      <errorID>61c62d49-83fe-4616-b97c-fde15486fcfc</errorID>
      <errorWord>~</errorWord>
      <group>L1_Format</group>
      <groupName>格式问题</groupName>
      <ability>L2_HalfPunc</ability>
      <abilityName>全半角检查</abilityName>
      <candidateList>
        <item>～</item>
      </candidateList>
      <explain>文本全半角错误。</explain>
      <paraID>3AF0CE43</paraID>
      <start>271</start>
      <end>272</end>
      <status>unmodified</status>
      <modifiedWord/>
      <trackRevisions>false</trackRevisions>
    </reviewItem>
    <reviewItem>
      <errorID>c851f0f6-4eee-4501-9012-4a36626b5aae</errorID>
      <errorWord>长年</errorWord>
      <group>L1_Word</group>
      <groupName>字词问题</groupName>
      <ability>L2_Typo</ability>
      <abilityName>字词错误</abilityName>
      <candidateList>
        <item>常年</item>
      </candidateList>
      <explain/>
      <paraID>28E25648</paraID>
      <start>50</start>
      <end>52</end>
      <status>modified</status>
      <modifiedWord>常年</modifiedWord>
      <trackRevisions>false</trackRevisions>
    </reviewItem>
    <reviewItem>
      <errorID>c1f0ff20-ee07-428d-abfa-50259e03fe94</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28E25648</paraID>
      <start>151</start>
      <end>154</end>
      <status>unmodified</status>
      <modifiedWord/>
      <trackRevisions>false</trackRevisions>
    </reviewItem>
    <reviewItem>
      <errorID>f5e53307-fb59-44b5-8b32-de08826a6d03</errorID>
      <errorWord>~</errorWord>
      <group>L1_Format</group>
      <groupName>格式问题</groupName>
      <ability>L2_HalfPunc</ability>
      <abilityName>全半角检查</abilityName>
      <candidateList>
        <item>～</item>
      </candidateList>
      <explain>文本全半角错误。</explain>
      <paraID>28E25648</paraID>
      <start>330</start>
      <end>331</end>
      <status>unmodified</status>
      <modifiedWord/>
      <trackRevisions>false</trackRevisions>
    </reviewItem>
    <reviewItem>
      <errorID>28953d04-e2c3-40c1-ae2c-aa5bd6cb6469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2BAA0E2C</paraID>
      <start>54</start>
      <end>55</end>
      <status>unmodified</status>
      <modifiedWord/>
      <trackRevisions>false</trackRevisions>
    </reviewItem>
    <reviewItem>
      <errorID>98497ef4-adbd-4f86-ac9f-d2b6c303e20b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2BAA0E2C</paraID>
      <start>79</start>
      <end>80</end>
      <status>unmodified</status>
      <modifiedWord/>
      <trackRevisions>false</trackRevisions>
    </reviewItem>
    <reviewItem>
      <errorID>3b9893cf-5051-4201-9278-10593728667a</errorID>
      <errorWord>-</errorWord>
      <group>L1_Format</group>
      <groupName>格式问题</groupName>
      <ability>L2_HalfPunc</ability>
      <abilityName>全半角检查</abilityName>
      <candidateList>
        <item>－</item>
      </candidateList>
      <explain>文本全半角错误。</explain>
      <paraID>2BAA0E2C</paraID>
      <start>169</start>
      <end>170</end>
      <status>unmodified</status>
      <modifiedWord/>
      <trackRevisions>false</trackRevisions>
    </reviewItem>
    <reviewItem>
      <errorID>387e5392-8b5d-4703-b934-c2b01937524c</errorID>
      <errorWord>-</errorWord>
      <group>L1_Format</group>
      <groupName>格式问题</groupName>
      <ability>L2_HalfPunc</ability>
      <abilityName>全半角检查</abilityName>
      <candidateList>
        <item>－</item>
      </candidateList>
      <explain>文本全半角错误。</explain>
      <paraID>35EE78D7</paraID>
      <start>60</start>
      <end>61</end>
      <status>unmodified</status>
      <modifiedWord/>
      <trackRevisions>false</trackRevisions>
    </reviewItem>
    <reviewItem>
      <errorID>37ed1cb9-9979-4c9d-b629-b217fc1e97bd</errorID>
      <errorWord>~</errorWord>
      <group>L1_Format</group>
      <groupName>格式问题</groupName>
      <ability>L2_HalfPunc</ability>
      <abilityName>全半角检查</abilityName>
      <candidateList>
        <item>～</item>
      </candidateList>
      <explain>文本全半角错误。</explain>
      <paraID>35EE78D7</paraID>
      <start>88</start>
      <end>89</end>
      <status>unmodified</status>
      <modifiedWord/>
      <trackRevisions>false</trackRevisions>
    </reviewItem>
    <reviewItem>
      <errorID>e6f2d057-a475-493e-a969-39c07ee97812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35EE78D7</paraID>
      <start>102</start>
      <end>103</end>
      <status>unmodified</status>
      <modifiedWord/>
      <trackRevisions>false</trackRevisions>
    </reviewItem>
    <reviewItem>
      <errorID>d558c101-df44-498b-9925-6dea84f8de02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35EE78D7</paraID>
      <start>141</start>
      <end>142</end>
      <status>unmodified</status>
      <modifiedWord/>
      <trackRevisions>false</trackRevisions>
    </reviewItem>
    <reviewItem>
      <errorID>eecc450f-9b31-4c21-9851-f000fe9d91a5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35EE78D7</paraID>
      <start>153</start>
      <end>154</end>
      <status>unmodified</status>
      <modifiedWord/>
      <trackRevisions>false</trackRevisions>
    </reviewItem>
    <reviewItem>
      <errorID>30c7d119-a44e-4a3a-88cd-7a3746de6c1d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35EE78D7</paraID>
      <start>187</start>
      <end>188</end>
      <status>unmodified</status>
      <modifiedWord/>
      <trackRevisions>false</trackRevisions>
    </reviewItem>
    <reviewItem>
      <errorID>7640c9c7-0914-4432-94b9-17dbb3fc7e8d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35EE78D7</paraID>
      <start>219</start>
      <end>220</end>
      <status>unmodified</status>
      <modifiedWord/>
      <trackRevisions>false</trackRevisions>
    </reviewItem>
    <reviewItem>
      <errorID>5f761c28-c711-48a6-b64d-4b0742ecac75</errorID>
      <errorWord>~</errorWord>
      <group>L1_Format</group>
      <groupName>格式问题</groupName>
      <ability>L2_HalfPunc</ability>
      <abilityName>全半角检查</abilityName>
      <candidateList>
        <item>～</item>
      </candidateList>
      <explain>文本全半角错误。</explain>
      <paraID>35EE78D7</paraID>
      <start>270</start>
      <end>271</end>
      <status>unmodified</status>
      <modifiedWord/>
      <trackRevisions>false</trackRevisions>
    </reviewItem>
    <reviewItem>
      <errorID>2db549f9-2345-467f-add0-24fdb82978a9</errorID>
      <errorWord>~</errorWord>
      <group>L1_Format</group>
      <groupName>格式问题</groupName>
      <ability>L2_HalfPunc</ability>
      <abilityName>全半角检查</abilityName>
      <candidateList>
        <item>～</item>
      </candidateList>
      <explain>文本全半角错误。</explain>
      <paraID>35EE78D7</paraID>
      <start>298</start>
      <end>299</end>
      <status>unmodified</status>
      <modifiedWord/>
      <trackRevisions>false</trackRevisions>
    </reviewItem>
    <reviewItem>
      <errorID>8eab4322-c0a9-4d2c-9734-b2e0452e68df</errorID>
      <errorWord>~</errorWord>
      <group>L1_Format</group>
      <groupName>格式问题</groupName>
      <ability>L2_HalfPunc</ability>
      <abilityName>全半角检查</abilityName>
      <candidateList>
        <item>～</item>
      </candidateList>
      <explain>文本全半角错误。</explain>
      <paraID>35EE78D7</paraID>
      <start>312</start>
      <end>313</end>
      <status>unmodified</status>
      <modifiedWord/>
      <trackRevisions>false</trackRevisions>
    </reviewItem>
    <reviewItem>
      <errorID>ec012432-8101-4e1c-9b54-05d2febfb169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16CE3E69</paraID>
      <start>168</start>
      <end>169</end>
      <status>unmodified</status>
      <modifiedWord/>
      <trackRevisions>false</trackRevisions>
    </reviewItem>
    <reviewItem>
      <errorID>4bf4f06a-cbf2-4ef5-8e70-a3731b32842d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1EEED52A</paraID>
      <start>5</start>
      <end>6</end>
      <status>unmodified</status>
      <modifiedWord/>
      <trackRevisions>false</trackRevisions>
    </reviewItem>
    <reviewItem>
      <errorID>6fd09c92-6260-4b62-9eff-692bdc3ffeb5</errorID>
      <errorWord>-</errorWord>
      <group>L1_Format</group>
      <groupName>格式问题</groupName>
      <ability>L2_HalfPunc</ability>
      <abilityName>全半角检查</abilityName>
      <candidateList>
        <item>－</item>
      </candidateList>
      <explain>文本全半角错误。</explain>
      <paraID>1EEED52A</paraID>
      <start>100</start>
      <end>101</end>
      <status>unmodified</status>
      <modifiedWord/>
      <trackRevisions>false</trackRevisions>
    </reviewItem>
    <reviewItem>
      <errorID>cb01abeb-a19d-4219-9e71-642e411d72cd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4B74620F</paraID>
      <start>145</start>
      <end>146</end>
      <status>unmodified</status>
      <modifiedWord/>
      <trackRevisions>false</trackRevisions>
    </reviewItem>
    <reviewItem>
      <errorID>4f7176df-9fb5-431b-9e16-2b6d62b33849</errorID>
      <errorWord>(</errorWord>
      <group>L1_Format</group>
      <groupName>格式问题</groupName>
      <ability>L2_HalfPunc</ability>
      <abilityName>全半角检查</abilityName>
      <candidateList>
        <item>（</item>
      </candidateList>
      <explain>文本全半角错误。</explain>
      <paraID>52DC51D2</paraID>
      <start>109</start>
      <end>110</end>
      <status>unmodified</status>
      <modifiedWord/>
      <trackRevisions>false</trackRevisions>
    </reviewItem>
    <reviewItem>
      <errorID>237e050c-b756-4511-8987-6cd1301720b0</errorID>
      <errorWord>)</errorWord>
      <group>L1_Format</group>
      <groupName>格式问题</groupName>
      <ability>L2_HalfPunc</ability>
      <abilityName>全半角检查</abilityName>
      <candidateList>
        <item>）</item>
      </candidateList>
      <explain>文本全半角错误。</explain>
      <paraID>52DC51D2</paraID>
      <start>121</start>
      <end>122</end>
      <status>unmodified</status>
      <modifiedWord/>
      <trackRevisions>false</trackRevisions>
    </reviewItem>
    <reviewItem>
      <errorID>db4cb598-c539-499e-8063-6cd5f583f6b7</errorID>
      <errorWord>（</errorWord>
      <group>L1_Format</group>
      <groupName>格式问题</groupName>
      <ability>L2_HalfPunc</ability>
      <abilityName>全半角检查</abilityName>
      <candidateList>
        <item>(</item>
      </candidateList>
      <explain>文本全半角错误。</explain>
      <paraID>67479F5A</paraID>
      <start>0</start>
      <end>1</end>
      <status>unmodified</status>
      <modifiedWord/>
      <trackRevisions>false</trackRevisions>
    </reviewItem>
    <reviewItem>
      <errorID>3df47d57-08cb-44d5-8595-643764acc678</errorID>
      <errorWord>）</errorWord>
      <group>L1_Format</group>
      <groupName>格式问题</groupName>
      <ability>L2_HalfPunc</ability>
      <abilityName>全半角检查</abilityName>
      <candidateList>
        <item>)</item>
      </candidateList>
      <explain>文本全半角错误。</explain>
      <paraID>67479F5A</paraID>
      <start>6</start>
      <end>7</end>
      <status>unmodified</status>
      <modifiedWord/>
      <trackRevisions>false</trackRevisions>
    </reviewItem>
    <reviewItem>
      <errorID>4d18d4ce-a2ed-46f1-a112-f4db8dc132ed</errorID>
      <errorWord>（</errorWord>
      <group>L1_Format</group>
      <groupName>格式问题</groupName>
      <ability>L2_HalfPunc</ability>
      <abilityName>全半角检查</abilityName>
      <candidateList>
        <item>(</item>
      </candidateList>
      <explain>文本全半角错误。</explain>
      <paraID>41B92346</paraID>
      <start>0</start>
      <end>1</end>
      <status>unmodified</status>
      <modifiedWord/>
      <trackRevisions>false</trackRevisions>
    </reviewItem>
    <reviewItem>
      <errorID>a52d8e08-ca41-475e-8b42-a3327845607d</errorID>
      <errorWord>）</errorWord>
      <group>L1_Format</group>
      <groupName>格式问题</groupName>
      <ability>L2_HalfPunc</ability>
      <abilityName>全半角检查</abilityName>
      <candidateList>
        <item>)</item>
      </candidateList>
      <explain>文本全半角错误。</explain>
      <paraID>41B92346</paraID>
      <start>6</start>
      <end>7</end>
      <status>unmodified</status>
      <modifiedWord/>
      <trackRevisions>false</trackRevisions>
    </reviewItem>
    <reviewItem>
      <errorID>727a7f56-796b-4ff2-910a-c727619cf7a9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7F0B703E</paraID>
      <start>0</start>
      <end>2</end>
      <status>unmodified</status>
      <modifiedWord/>
      <trackRevisions>false</trackRevisions>
    </reviewItem>
    <reviewItem>
      <errorID>ae5f251f-e736-40b4-b913-3584c8e93332</errorID>
      <errorWord>评价于</errorWord>
      <group>L1_Word</group>
      <groupName>字词问题</groupName>
      <ability>L2_Typo</ability>
      <abilityName>字词错误</abilityName>
      <candidateList>
        <item>评价</item>
      </candidateList>
      <explain/>
      <paraID>74DDF015</paraID>
      <start>2</start>
      <end>5</end>
      <status>unmodified</status>
      <modifiedWord/>
      <trackRevisions>false</trackRevisions>
    </reviewItem>
    <reviewItem>
      <errorID>c5e89302-d5be-412c-a175-05e58ab6ff86</errorID>
      <errorWord>12月03日</errorWord>
      <group>L1_Knowledge</group>
      <groupName>知识性问题</groupName>
      <ability>L2_Time</ability>
      <abilityName>日期时间</abilityName>
      <candidateList>
        <item>12月3日</item>
      </candidateList>
      <explain>根据日常书写习惯，日期一般会省略前导零。</explain>
      <paraID> A746A31</paraID>
      <start>26</start>
      <end>31</end>
      <status>modified</status>
      <modifiedWord>12月3日</modifiedWord>
      <trackRevisions>false</trackRevisions>
    </reviewItem>
    <reviewItem>
      <errorID>bd8df05a-8a2e-4e04-bfe9-60a5bfea1b9c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41310795</paraID>
      <start>0</start>
      <end>2</end>
      <status>unmodified</status>
      <modifiedWord/>
      <trackRevisions>false</trackRevisions>
    </reviewItem>
    <reviewItem>
      <errorID>2ecde850-b91f-4f49-8cf2-9249149ad1b9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EA79AA1</paraID>
      <start>0</start>
      <end>2</end>
      <status>unmodified</status>
      <modifiedWord/>
      <trackRevisions>false</trackRevisions>
    </reviewItem>
    <reviewItem>
      <errorID>9849a258-e184-430f-b6c2-53d1e0d58352</errorID>
      <errorWord>３</errorWord>
      <group>L1_Format</group>
      <groupName>格式问题</groupName>
      <ability>L2_HalfPunc</ability>
      <abilityName>全半角检查</abilityName>
      <candidateList>
        <item>3</item>
      </candidateList>
      <explain>文本全半角错误。</explain>
      <paraID>4EE3DE2A</paraID>
      <start>37</start>
      <end>38</end>
      <status>unmodified</status>
      <modifiedWord/>
      <trackRevisions>false</trackRevisions>
    </reviewItem>
    <reviewItem>
      <errorID>19d65b55-6a66-432a-8801-2ad48c1b7fbb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16CEDCA2</paraID>
      <start>0</start>
      <end>2</end>
      <status>unmodified</status>
      <modifiedWord/>
      <trackRevisions>false</trackRevisions>
    </reviewItem>
    <reviewItem>
      <errorID>a1ab6b49-6fed-43a1-b19d-93ea8f27f21e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5C00B1B3</paraID>
      <start>0</start>
      <end>2</end>
      <status>unmodified</status>
      <modifiedWord/>
      <trackRevisions>false</trackRevisions>
    </reviewItem>
    <reviewItem>
      <errorID>e9d85af3-6d76-47d7-8947-ac5f5cb8ca23</errorID>
      <errorWord>２</errorWord>
      <group>L1_Format</group>
      <groupName>格式问题</groupName>
      <ability>L2_HalfPunc</ability>
      <abilityName>全半角检查</abilityName>
      <candidateList>
        <item>2</item>
      </candidateList>
      <explain>文本全半角错误。</explain>
      <paraID>1EA5CFFF</paraID>
      <start>0</start>
      <end>1</end>
      <status>unmodified</status>
      <modifiedWord/>
      <trackRevisions>false</trackRevisions>
    </reviewItem>
    <reviewItem>
      <errorID>7bb968db-f779-43e2-9426-28eb4dfa3253</errorID>
      <errorWord>《</errorWord>
      <group>L1_Punc</group>
      <groupName>标点问题</groupName>
      <ability>L2_Punc</ability>
      <abilityName>标点符号检查</abilityName>
      <candidateList/>
      <explain>此处标点可能未正确匹配，请检查句子中是否存在标点冗余、缺失或使用错误的情况。</explain>
      <paraID>59160037</paraID>
      <start>2</start>
      <end>3</end>
      <status>unmodified</status>
      <modifiedWord/>
      <trackRevisions>false</trackRevisions>
    </reviewItem>
    <reviewItem>
      <errorID>e18ff3be-b1cc-41f3-89dd-6fe66bca40ff</errorID>
      <errorWord>重碳酸盐</errorWord>
      <group>L1_Knowledge</group>
      <groupName>知识性问题</groupName>
      <ability>L2_Term</ability>
      <abilityName>专业术语</abilityName>
      <candidateList>
        <item>碳酸氢盐</item>
      </candidateList>
      <explain>医学名词[重碳酸盐]为不规范表述或旧称，其规范书面表述为[碳酸氢盐]。</explain>
      <paraID>5348F7B5</paraID>
      <start>21</start>
      <end>25</end>
      <status>unmodified</status>
      <modifiedWord/>
      <trackRevisions>false</trackRevisions>
    </reviewItem>
    <reviewItem>
      <errorID>74819b49-b63a-4fad-8cf5-b2c6eb06fce8</errorID>
      <errorWord>重碳酸盐</errorWord>
      <group>L1_Knowledge</group>
      <groupName>知识性问题</groupName>
      <ability>L2_Term</ability>
      <abilityName>专业术语</abilityName>
      <candidateList>
        <item>碳酸氢盐</item>
      </candidateList>
      <explain>医学名词[重碳酸盐]为不规范表述或旧称，其规范书面表述为[碳酸氢盐]。</explain>
      <paraID> 62369EA</paraID>
      <start>0</start>
      <end>4</end>
      <status>unmodified</status>
      <modifiedWord/>
      <trackRevisions>false</trackRevisions>
    </reviewItem>
    <reviewItem>
      <errorID>0b7bca1b-b71a-4f88-a36c-f3e3ddacb695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74003087</paraID>
      <start>40</start>
      <end>41</end>
      <status>unmodified</status>
      <modifiedWord/>
      <trackRevisions>false</trackRevisions>
    </reviewItem>
    <reviewItem>
      <errorID>17124df8-6e9b-413e-af61-41d82c4e92e8</errorID>
      <errorWord>III类</errorWord>
      <group>L1_Knowledge</group>
      <groupName>知识性问题</groupName>
      <ability>L2_Knowledge</ability>
      <abilityName>其他知识</abilityName>
      <candidateList>
        <item>Ⅲ类</item>
      </candidateList>
      <explain/>
      <paraID>6BE5289D</paraID>
      <start>29</start>
      <end>33</end>
      <status>unmodified</status>
      <modifiedWord/>
      <trackRevisions>false</trackRevisions>
    </reviewItem>
    <reviewItem>
      <errorID>970a43ef-336c-40ac-8b71-08c5f6875ba0</errorID>
      <errorWord>重碳酸盐</errorWord>
      <group>L1_Knowledge</group>
      <groupName>知识性问题</groupName>
      <ability>L2_Term</ability>
      <abilityName>专业术语</abilityName>
      <candidateList>
        <item>碳酸氢盐</item>
      </candidateList>
      <explain>医学名词[重碳酸盐]为不规范表述或旧称，其规范书面表述为[碳酸氢盐]。</explain>
      <paraID>21A03CC4</paraID>
      <start>0</start>
      <end>4</end>
      <status>unmodified</status>
      <modifiedWord/>
      <trackRevisions>false</trackRevisions>
    </reviewItem>
    <reviewItem>
      <errorID>724a3f2f-5215-4751-a346-3c425e8a8e30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4534C2E3</paraID>
      <start>15</start>
      <end>16</end>
      <status>unmodified</status>
      <modifiedWord/>
      <trackRevisions>false</trackRevisions>
    </reviewItem>
    <reviewItem>
      <errorID>a28eddcb-cfc5-4d8e-b962-48baa4a159f5</errorID>
      <errorWord>（</errorWord>
      <group>L1_Punc</group>
      <groupName>标点问题</groupName>
      <ability>L2_Punc</ability>
      <abilityName>标点符号检查</abilityName>
      <candidateList>
        <item/>
      </candidateList>
      <explain>同一形式括号套用。</explain>
      <paraID>74EADA56</paraID>
      <start>59</start>
      <end>60</end>
      <status>unmodified</status>
      <modifiedWord/>
      <trackRevisions>false</trackRevisions>
    </reviewItem>
    <reviewItem>
      <errorID>8060f4ca-fff1-450d-b61c-1b5f009424c4</errorID>
      <errorWord>(</errorWord>
      <group>L1_Punc</group>
      <groupName>标点问题</groupName>
      <ability>L2_Punc</ability>
      <abilityName>标点符号检查</abilityName>
      <candidateList/>
      <explain>同一形式括号套用。</explain>
      <paraID>74EADA56</paraID>
      <start>66</start>
      <end>67</end>
      <status>unmodified</status>
      <modifiedWord/>
      <trackRevisions>false</trackRevisions>
    </reviewItem>
    <reviewItem>
      <errorID>3afbd8ad-bd0d-46f1-9a19-e147a3787b20</errorID>
      <errorWord>)</errorWord>
      <group>L1_Punc</group>
      <groupName>标点问题</groupName>
      <ability>L2_Punc</ability>
      <abilityName>标点符号检查</abilityName>
      <candidateList/>
      <explain>同一形式括号套用。</explain>
      <paraID>74EADA56</paraID>
      <start>68</start>
      <end>69</end>
      <status>unmodified</status>
      <modifiedWord/>
      <trackRevisions>false</trackRevisions>
    </reviewItem>
    <reviewItem>
      <errorID>6b21c687-a4e7-428e-b712-f18c399ce278</errorID>
      <errorWord>(</errorWord>
      <group>L1_Punc</group>
      <groupName>标点问题</groupName>
      <ability>L2_Punc</ability>
      <abilityName>标点符号检查</abilityName>
      <candidateList/>
      <explain>同一形式括号套用。</explain>
      <paraID>74EADA56</paraID>
      <start>76</start>
      <end>77</end>
      <status>unmodified</status>
      <modifiedWord/>
      <trackRevisions>false</trackRevisions>
    </reviewItem>
    <reviewItem>
      <errorID>6323f7ad-63d1-4843-82d6-f9c7f1a91e0e</errorID>
      <errorWord>)</errorWord>
      <group>L1_Punc</group>
      <groupName>标点问题</groupName>
      <ability>L2_Punc</ability>
      <abilityName>标点符号检查</abilityName>
      <candidateList/>
      <explain>同一形式括号套用。</explain>
      <paraID>74EADA56</paraID>
      <start>78</start>
      <end>79</end>
      <status>unmodified</status>
      <modifiedWord/>
      <trackRevisions>false</trackRevisions>
    </reviewItem>
    <reviewItem>
      <errorID>4bc78efb-c160-4a25-9269-cb9a231da3f7</errorID>
      <errorWord>）</errorWord>
      <group>L1_Punc</group>
      <groupName>标点问题</groupName>
      <ability>L2_Punc</ability>
      <abilityName>标点符号检查</abilityName>
      <candidateList/>
      <explain>同一形式括号套用。</explain>
      <paraID>74EADA56</paraID>
      <start>79</start>
      <end>80</end>
      <status>unmodified</status>
      <modifiedWord/>
      <trackRevisions>false</trackRevisions>
    </reviewItem>
    <reviewItem>
      <errorID>90cbaf6a-6070-4666-a99b-b164b2c624fd</errorID>
      <errorWord>（</errorWord>
      <group>L1_Punc</group>
      <groupName>标点问题</groupName>
      <ability>L2_Punc</ability>
      <abilityName>标点符号检查</abilityName>
      <candidateList>
        <item/>
      </candidateList>
      <explain>同一形式括号套用。</explain>
      <paraID>21095614</paraID>
      <start>15</start>
      <end>16</end>
      <status>unmodified</status>
      <modifiedWord/>
      <trackRevisions>false</trackRevisions>
    </reviewItem>
    <reviewItem>
      <errorID>29bbbca5-39e1-4fe6-94de-a4f508c05303</errorID>
      <errorWord>(</errorWord>
      <group>L1_Punc</group>
      <groupName>标点问题</groupName>
      <ability>L2_Punc</ability>
      <abilityName>标点符号检查</abilityName>
      <candidateList/>
      <explain>同一形式括号套用。</explain>
      <paraID>21095614</paraID>
      <start>21</start>
      <end>22</end>
      <status>unmodified</status>
      <modifiedWord/>
      <trackRevisions>false</trackRevisions>
    </reviewItem>
    <reviewItem>
      <errorID>50ae9516-5e14-482b-9876-f388b46bb630</errorID>
      <errorWord>)</errorWord>
      <group>L1_Punc</group>
      <groupName>标点问题</groupName>
      <ability>L2_Punc</ability>
      <abilityName>标点符号检查</abilityName>
      <candidateList/>
      <explain>同一形式括号套用。</explain>
      <paraID>21095614</paraID>
      <start>23</start>
      <end>24</end>
      <status>unmodified</status>
      <modifiedWord/>
      <trackRevisions>false</trackRevisions>
    </reviewItem>
    <reviewItem>
      <errorID>c159f19d-185c-47c4-9968-52d0e505444d</errorID>
      <errorWord>）</errorWord>
      <group>L1_Punc</group>
      <groupName>标点问题</groupName>
      <ability>L2_Punc</ability>
      <abilityName>标点符号检查</abilityName>
      <candidateList/>
      <explain>同一形式括号套用。</explain>
      <paraID>21095614</paraID>
      <start>24</start>
      <end>25</end>
      <status>unmodified</status>
      <modifiedWord/>
      <trackRevisions>false</trackRevisions>
    </reviewItem>
    <reviewItem>
      <errorID>0a50bc37-98f6-4f16-9b4b-e1b1b09727a4</errorID>
      <errorWord>(</errorWord>
      <group>L1_Format</group>
      <groupName>格式问题</groupName>
      <ability>L2_HalfPunc</ability>
      <abilityName>全半角检查</abilityName>
      <candidateList>
        <item>（</item>
      </candidateList>
      <explain>文本全半角错误。</explain>
      <paraID>27EAE938</paraID>
      <start>4</start>
      <end>5</end>
      <status>unmodified</status>
      <modifiedWord/>
      <trackRevisions>false</trackRevisions>
    </reviewItem>
    <reviewItem>
      <errorID>e496cdf7-2837-415e-b21c-6398c5fcf04d</errorID>
      <errorWord>)</errorWord>
      <group>L1_Format</group>
      <groupName>格式问题</groupName>
      <ability>L2_HalfPunc</ability>
      <abilityName>全半角检查</abilityName>
      <candidateList>
        <item>）</item>
      </candidateList>
      <explain>文本全半角错误。</explain>
      <paraID>27EAE938</paraID>
      <start>7</start>
      <end>8</end>
      <status>unmodified</status>
      <modifiedWord/>
      <trackRevisions>false</trackRevisions>
    </reviewItem>
    <reviewItem>
      <errorID>c5c2640b-67ea-4591-9775-877c9d2c9639</errorID>
      <errorWord>(</errorWord>
      <group>L1_Format</group>
      <groupName>格式问题</groupName>
      <ability>L2_HalfPunc</ability>
      <abilityName>全半角检查</abilityName>
      <candidateList>
        <item>（</item>
      </candidateList>
      <explain>文本全半角错误。</explain>
      <paraID>27EAE938</paraID>
      <start>13</start>
      <end>14</end>
      <status>unmodified</status>
      <modifiedWord/>
      <trackRevisions>false</trackRevisions>
    </reviewItem>
    <reviewItem>
      <errorID>c8f4fb62-64a1-4a2f-89de-074551a92e97</errorID>
      <errorWord>)</errorWord>
      <group>L1_Format</group>
      <groupName>格式问题</groupName>
      <ability>L2_HalfPunc</ability>
      <abilityName>全半角检查</abilityName>
      <candidateList>
        <item>）</item>
      </candidateList>
      <explain>文本全半角错误。</explain>
      <paraID>27EAE938</paraID>
      <start>17</start>
      <end>18</end>
      <status>unmodified</status>
      <modifiedWord/>
      <trackRevisions>false</trackRevisions>
    </reviewItem>
    <reviewItem>
      <errorID>e95f2145-24a3-4f48-9dd6-3246497343fc</errorID>
      <errorWord>(</errorWord>
      <group>L1_Format</group>
      <groupName>格式问题</groupName>
      <ability>L2_HalfPunc</ability>
      <abilityName>全半角检查</abilityName>
      <candidateList>
        <item>（</item>
      </candidateList>
      <explain>文本全半角错误。</explain>
      <paraID>4B01C842</paraID>
      <start>1</start>
      <end>2</end>
      <status>unmodified</status>
      <modifiedWord/>
      <trackRevisions>false</trackRevisions>
    </reviewItem>
    <reviewItem>
      <errorID>495afa1a-51ac-42e7-bd44-793795be9269</errorID>
      <errorWord>)</errorWord>
      <group>L1_Format</group>
      <groupName>格式问题</groupName>
      <ability>L2_HalfPunc</ability>
      <abilityName>全半角检查</abilityName>
      <candidateList>
        <item>）</item>
      </candidateList>
      <explain>文本全半角错误。</explain>
      <paraID>4B01C842</paraID>
      <start>4</start>
      <end>5</end>
      <status>unmodified</status>
      <modifiedWord/>
      <trackRevisions>false</trackRevisions>
    </reviewItem>
    <reviewItem>
      <errorID>8ef7a20e-0d1a-4e63-bb95-7decd2b7a4bf</errorID>
      <errorWord>(</errorWord>
      <group>L1_Format</group>
      <groupName>格式问题</groupName>
      <ability>L2_HalfPunc</ability>
      <abilityName>全半角检查</abilityName>
      <candidateList>
        <item>（</item>
      </candidateList>
      <explain>文本全半角错误。</explain>
      <paraID>7AB38855</paraID>
      <start>9</start>
      <end>10</end>
      <status>unmodified</status>
      <modifiedWord/>
      <trackRevisions>false</trackRevisions>
    </reviewItem>
    <reviewItem>
      <errorID>f4b7aada-8774-48b9-93d2-ff33521687d6</errorID>
      <errorWord>)</errorWord>
      <group>L1_Format</group>
      <groupName>格式问题</groupName>
      <ability>L2_HalfPunc</ability>
      <abilityName>全半角检查</abilityName>
      <candidateList>
        <item>）</item>
      </candidateList>
      <explain>文本全半角错误。</explain>
      <paraID>7AB38855</paraID>
      <start>14</start>
      <end>15</end>
      <status>unmodified</status>
      <modifiedWord/>
      <trackRevisions>false</trackRevisions>
    </reviewItem>
    <reviewItem>
      <errorID>a2379f31-db02-4a70-8ca6-00686b7ea419</errorID>
      <errorWord>(</errorWord>
      <group>L1_Format</group>
      <groupName>格式问题</groupName>
      <ability>L2_HalfPunc</ability>
      <abilityName>全半角检查</abilityName>
      <candidateList>
        <item>（</item>
      </candidateList>
      <explain>文本全半角错误。</explain>
      <paraID>799414B0</paraID>
      <start>9</start>
      <end>10</end>
      <status>unmodified</status>
      <modifiedWord/>
      <trackRevisions>false</trackRevisions>
    </reviewItem>
    <reviewItem>
      <errorID>d073705e-a714-4241-8894-ddd41f8576b5</errorID>
      <errorWord>)</errorWord>
      <group>L1_Format</group>
      <groupName>格式问题</groupName>
      <ability>L2_HalfPunc</ability>
      <abilityName>全半角检查</abilityName>
      <candidateList>
        <item>）</item>
      </candidateList>
      <explain>文本全半角错误。</explain>
      <paraID>799414B0</paraID>
      <start>14</start>
      <end>15</end>
      <status>unmodified</status>
      <modifiedWord/>
      <trackRevisions>false</trackRevisions>
    </reviewItem>
    <reviewItem>
      <errorID>561273b6-ad1d-4fed-8416-e330a4d1c394</errorID>
      <errorWord>(</errorWord>
      <group>L1_Format</group>
      <groupName>格式问题</groupName>
      <ability>L2_HalfPunc</ability>
      <abilityName>全半角检查</abilityName>
      <candidateList>
        <item>（</item>
      </candidateList>
      <explain>文本全半角错误。</explain>
      <paraID>6FE89A2C</paraID>
      <start>9</start>
      <end>10</end>
      <status>unmodified</status>
      <modifiedWord/>
      <trackRevisions>false</trackRevisions>
    </reviewItem>
    <reviewItem>
      <errorID>cfa1732f-f136-4950-add5-d4dba892fa45</errorID>
      <errorWord>)</errorWord>
      <group>L1_Format</group>
      <groupName>格式问题</groupName>
      <ability>L2_HalfPunc</ability>
      <abilityName>全半角检查</abilityName>
      <candidateList>
        <item>）</item>
      </candidateList>
      <explain>文本全半角错误。</explain>
      <paraID>6FE89A2C</paraID>
      <start>14</start>
      <end>15</end>
      <status>unmodified</status>
      <modifiedWord/>
      <trackRevisions>false</trackRevisions>
    </reviewItem>
    <reviewItem>
      <errorID>85f8fe7c-e3bd-40a0-8089-2acc0324cac7</errorID>
      <errorWord>(</errorWord>
      <group>L1_Format</group>
      <groupName>格式问题</groupName>
      <ability>L2_HalfPunc</ability>
      <abilityName>全半角检查</abilityName>
      <candidateList>
        <item>（</item>
      </candidateList>
      <explain>文本全半角错误。</explain>
      <paraID>65777DDE</paraID>
      <start>9</start>
      <end>10</end>
      <status>unmodified</status>
      <modifiedWord/>
      <trackRevisions>false</trackRevisions>
    </reviewItem>
    <reviewItem>
      <errorID>710cf1e5-3391-41a6-9fea-dee573437f48</errorID>
      <errorWord>)</errorWord>
      <group>L1_Format</group>
      <groupName>格式问题</groupName>
      <ability>L2_HalfPunc</ability>
      <abilityName>全半角检查</abilityName>
      <candidateList>
        <item>）</item>
      </candidateList>
      <explain>文本全半角错误。</explain>
      <paraID>65777DDE</paraID>
      <start>14</start>
      <end>15</end>
      <status>unmodified</status>
      <modifiedWord/>
      <trackRevisions>false</trackRevisions>
    </reviewItem>
    <reviewItem>
      <errorID>2e922e3e-bfd4-46a4-a31c-0198705bb43f</errorID>
      <errorWord>(</errorWord>
      <group>L1_Format</group>
      <groupName>格式问题</groupName>
      <ability>L2_HalfPunc</ability>
      <abilityName>全半角检查</abilityName>
      <candidateList>
        <item>（</item>
      </candidateList>
      <explain>文本全半角错误。</explain>
      <paraID>3E8E13E9</paraID>
      <start>9</start>
      <end>10</end>
      <status>unmodified</status>
      <modifiedWord/>
      <trackRevisions>false</trackRevisions>
    </reviewItem>
    <reviewItem>
      <errorID>66dfaa4c-6ed9-4fc5-b5c8-bc240d99d0a0</errorID>
      <errorWord>)</errorWord>
      <group>L1_Format</group>
      <groupName>格式问题</groupName>
      <ability>L2_HalfPunc</ability>
      <abilityName>全半角检查</abilityName>
      <candidateList>
        <item>）</item>
      </candidateList>
      <explain>文本全半角错误。</explain>
      <paraID>3E8E13E9</paraID>
      <start>14</start>
      <end>15</end>
      <status>unmodified</status>
      <modifiedWord/>
      <trackRevisions>false</trackRevisions>
    </reviewItem>
    <reviewItem>
      <errorID>f4ca4f9b-1a4a-44fd-b7c3-657b48bf1cbb</errorID>
      <errorWord>(</errorWord>
      <group>L1_Format</group>
      <groupName>格式问题</groupName>
      <ability>L2_HalfPunc</ability>
      <abilityName>全半角检查</abilityName>
      <candidateList>
        <item>（</item>
      </candidateList>
      <explain>文本全半角错误。</explain>
      <paraID>10613E9C</paraID>
      <start>9</start>
      <end>10</end>
      <status>unmodified</status>
      <modifiedWord/>
      <trackRevisions>false</trackRevisions>
    </reviewItem>
    <reviewItem>
      <errorID>e7a668c5-8a5d-45dd-bfa4-3a1cb642e0e4</errorID>
      <errorWord>)</errorWord>
      <group>L1_Format</group>
      <groupName>格式问题</groupName>
      <ability>L2_HalfPunc</ability>
      <abilityName>全半角检查</abilityName>
      <candidateList>
        <item>）</item>
      </candidateList>
      <explain>文本全半角错误。</explain>
      <paraID>10613E9C</paraID>
      <start>14</start>
      <end>15</end>
      <status>unmodified</status>
      <modifiedWord/>
      <trackRevisions>false</trackRevisions>
    </reviewItem>
    <reviewItem>
      <errorID>f5919502-313c-48f0-abdf-ba37d9bac09c</errorID>
      <errorWord>(</errorWord>
      <group>L1_Format</group>
      <groupName>格式问题</groupName>
      <ability>L2_HalfPunc</ability>
      <abilityName>全半角检查</abilityName>
      <candidateList>
        <item>（</item>
      </candidateList>
      <explain>文本全半角错误。</explain>
      <paraID>70746766</paraID>
      <start>9</start>
      <end>10</end>
      <status>unmodified</status>
      <modifiedWord/>
      <trackRevisions>false</trackRevisions>
    </reviewItem>
    <reviewItem>
      <errorID>c8085c47-6d60-4c8b-891d-9746fa843f71</errorID>
      <errorWord>)</errorWord>
      <group>L1_Format</group>
      <groupName>格式问题</groupName>
      <ability>L2_HalfPunc</ability>
      <abilityName>全半角检查</abilityName>
      <candidateList>
        <item>）</item>
      </candidateList>
      <explain>文本全半角错误。</explain>
      <paraID>70746766</paraID>
      <start>17</start>
      <end>18</end>
      <status>unmodified</status>
      <modifiedWord/>
      <trackRevisions>false</trackRevisions>
    </reviewItem>
    <reviewItem>
      <errorID>1962935d-38c0-4e9a-8123-4de36bcd4753</errorID>
      <errorWord>(</errorWord>
      <group>L1_Format</group>
      <groupName>格式问题</groupName>
      <ability>L2_HalfPunc</ability>
      <abilityName>全半角检查</abilityName>
      <candidateList>
        <item>（</item>
      </candidateList>
      <explain>文本全半角错误。</explain>
      <paraID>385E9F48</paraID>
      <start>5</start>
      <end>6</end>
      <status>unmodified</status>
      <modifiedWord/>
      <trackRevisions>false</trackRevisions>
    </reviewItem>
    <reviewItem>
      <errorID>7b2d8e6a-577d-4aef-8f04-3bb44dbcf150</errorID>
      <errorWord>)</errorWord>
      <group>L1_Format</group>
      <groupName>格式问题</groupName>
      <ability>L2_HalfPunc</ability>
      <abilityName>全半角检查</abilityName>
      <candidateList>
        <item>）</item>
      </candidateList>
      <explain>文本全半角错误。</explain>
      <paraID>385E9F48</paraID>
      <start>8</start>
      <end>9</end>
      <status>unmodified</status>
      <modifiedWord/>
      <trackRevisions>false</trackRevisions>
    </reviewItem>
    <reviewItem>
      <errorID>cf315447-485c-4907-88c4-47425c8744a2</errorID>
      <errorWord>~</errorWord>
      <group>L1_Format</group>
      <groupName>格式问题</groupName>
      <ability>L2_HalfPunc</ability>
      <abilityName>全半角检查</abilityName>
      <candidateList>
        <item>～</item>
      </candidateList>
      <explain>文本全半角错误。</explain>
      <paraID>6A967BD6</paraID>
      <start>2</start>
      <end>3</end>
      <status>unmodified</status>
      <modifiedWord/>
      <trackRevisions>false</trackRevisions>
    </reviewItem>
    <reviewItem>
      <errorID>03bdeffe-642c-4198-a679-f402343b26ed</errorID>
      <errorWord>~</errorWord>
      <group>L1_Format</group>
      <groupName>格式问题</groupName>
      <ability>L2_HalfPunc</ability>
      <abilityName>全半角检查</abilityName>
      <candidateList>
        <item>～</item>
      </candidateList>
      <explain>文本全半角错误。</explain>
      <paraID>33F5B02C</paraID>
      <start>3</start>
      <end>4</end>
      <status>unmodified</status>
      <modifiedWord/>
      <trackRevisions>false</trackRevisions>
    </reviewItem>
    <reviewItem>
      <errorID>9b89fd1f-f3e4-4967-982f-32d8c6b9c381</errorID>
      <errorWord>~</errorWord>
      <group>L1_Format</group>
      <groupName>格式问题</groupName>
      <ability>L2_HalfPunc</ability>
      <abilityName>全半角检查</abilityName>
      <candidateList>
        <item>～</item>
      </candidateList>
      <explain>文本全半角错误。</explain>
      <paraID>50D72479</paraID>
      <start>2</start>
      <end>3</end>
      <status>unmodified</status>
      <modifiedWord/>
      <trackRevisions>false</trackRevisions>
    </reviewItem>
    <reviewItem>
      <errorID>fa4d2a51-82ce-4b77-a13e-8786ee52b175</errorID>
      <errorWord>~</errorWord>
      <group>L1_Format</group>
      <groupName>格式问题</groupName>
      <ability>L2_HalfPunc</ability>
      <abilityName>全半角检查</abilityName>
      <candidateList>
        <item>～</item>
      </candidateList>
      <explain>文本全半角错误。</explain>
      <paraID>689F1830</paraID>
      <start>2</start>
      <end>3</end>
      <status>unmodified</status>
      <modifiedWord/>
      <trackRevisions>false</trackRevisions>
    </reviewItem>
    <reviewItem>
      <errorID>20b56cd1-363e-4847-9a20-1c8594235ae6</errorID>
      <errorWord>~</errorWord>
      <group>L1_Format</group>
      <groupName>格式问题</groupName>
      <ability>L2_HalfPunc</ability>
      <abilityName>全半角检查</abilityName>
      <candidateList>
        <item>～</item>
      </candidateList>
      <explain>文本全半角错误。</explain>
      <paraID>3A6FC84C</paraID>
      <start>3</start>
      <end>4</end>
      <status>unmodified</status>
      <modifiedWord/>
      <trackRevisions>false</trackRevisions>
    </reviewItem>
    <reviewItem>
      <errorID>f17bfb55-d722-44be-a924-4b3720ccd4d2</errorID>
      <errorWord>12025年11月</errorWord>
      <group>L1_Knowledge</group>
      <groupName>知识性问题</groupName>
      <ability>L2_Time</ability>
      <abilityName>日期时间</abilityName>
      <candidateList/>
      <explain>请检查此处年份表述是否正确。</explain>
      <paraID>6172DD18</paraID>
      <start>5</start>
      <end>14</end>
      <status>unmodified</status>
      <modifiedWord/>
      <trackRevisions>false</trackRevisions>
    </reviewItem>
    <reviewItem>
      <errorID>7504a285-8d90-44ca-bee1-c317fbcacca8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DD66E18</paraID>
      <start>0</start>
      <end>2</end>
      <status>unmodified</status>
      <modifiedWord/>
      <trackRevisions>false</trackRevisions>
    </reviewItem>
    <reviewItem>
      <errorID>46955c63-edd2-4caf-beeb-b0996ee83bcf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38DD5B2B</paraID>
      <start>0</start>
      <end>2</end>
      <status>unmodified</status>
      <modifiedWord/>
      <trackRevisions>false</trackRevisions>
    </reviewItem>
    <reviewItem>
      <errorID>e0b47fba-805a-44b6-bbba-5d5b76cacb87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4975639F</paraID>
      <start>0</start>
      <end>2</end>
      <status>unmodified</status>
      <modifiedWord/>
      <trackRevisions>false</trackRevisions>
    </reviewItem>
    <reviewItem>
      <errorID>495eccaa-18e0-46c0-9535-97dff6a37b37</errorID>
      <errorWord>如下</errorWord>
      <group>L1_Word</group>
      <groupName>字词问题</groupName>
      <ability>L2_Typo</ability>
      <abilityName>字词错误</abilityName>
      <candidateList>
        <item>下</item>
      </candidateList>
      <explain>〈动〉趋向动词。用在动词后。❶表示由高处到低处：坐～｜躺～｜传～一道命令。❷表示有空间，能容纳：坐得～｜这个剧场能容～上千人｜这间屋子太小，睡不～六个人。❸表示动作的完成或结果：打～基础｜定～计策｜准备～材料。</explain>
      <paraID>377BABCB</paraID>
      <start>9</start>
      <end>11</end>
      <status>unmodified</status>
      <modifiedWord/>
      <trackRevisions>false</trackRevisions>
    </reviewItem>
    <reviewItem>
      <errorID>da1e5967-cee1-4e81-a0c4-fecdca2c51c5</errorID>
      <errorWord>官网</errorWord>
      <group>L1_Word</group>
      <groupName>字词问题</groupName>
      <ability>L2_Typo</ability>
      <abilityName>字词错误</abilityName>
      <candidateList>
        <item>管网</item>
      </candidateList>
      <explain/>
      <paraID>1E7A6D34</paraID>
      <start>163</start>
      <end>165</end>
      <status>modified</status>
      <modifiedWord>管网</modifiedWord>
      <trackRevisions>false</trackRevisions>
    </reviewItem>
    <reviewItem>
      <errorID>b7ab78db-b2f2-45ca-a422-b02382b55de2</errorID>
      <errorWord>PH值</errorWord>
      <group>L1_Word</group>
      <groupName>字词问题</groupName>
      <ability>L2_Typo</ability>
      <abilityName>字词错误</abilityName>
      <candidateList>
        <item>pH值</item>
      </candidateList>
      <explain/>
      <paraID>2BC6CC66</paraID>
      <start>0</start>
      <end>3</end>
      <status>unmodified</status>
      <modifiedWord/>
      <trackRevisions>false</trackRevisions>
    </reviewItem>
    <reviewItem>
      <errorID>7e138f33-5968-4aed-8bed-bc0163049247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294D13E4</paraID>
      <start>0</start>
      <end>2</end>
      <status>unmodified</status>
      <modifiedWord/>
      <trackRevisions>false</trackRevisions>
    </reviewItem>
    <reviewItem>
      <errorID>b70eb473-8ee8-4a91-aad7-087c430efed4</errorID>
      <errorWord>容量法</errorWord>
      <group>L1_Knowledge</group>
      <groupName>知识性问题</groupName>
      <ability>L2_Term</ability>
      <abilityName>专业术语</abilityName>
      <candidateList>
        <item>滴定法</item>
      </candidateList>
      <explain>医学名词[容量法]为不规范表述或旧称，其规范书面表述为[滴定法]。</explain>
      <paraID>3BE3FF44</paraID>
      <start>9</start>
      <end>12</end>
      <status>unmodified</status>
      <modifiedWord/>
      <trackRevisions>false</trackRevisions>
    </reviewItem>
    <reviewItem>
      <errorID>5931928b-257a-4a4e-956f-16e5ce7248a3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7207860A</paraID>
      <start>0</start>
      <end>2</end>
      <status>unmodified</status>
      <modifiedWord/>
      <trackRevisions>false</trackRevisions>
    </reviewItem>
    <reviewItem>
      <errorID>8679c5a3-e2e5-44e4-8b35-bad280cd9179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26EEC348</paraID>
      <start>0</start>
      <end>2</end>
      <status>unmodified</status>
      <modifiedWord/>
      <trackRevisions>false</trackRevisions>
    </reviewItem>
    <reviewItem>
      <errorID>b9fb0b5f-f320-4865-accc-92e24fd2686d</errorID>
      <errorWord>如下</errorWord>
      <group>L1_Word</group>
      <groupName>字词问题</groupName>
      <ability>L2_Typo</ability>
      <abilityName>字词错误</abilityName>
      <candidateList>
        <item>下</item>
      </candidateList>
      <explain>〈动〉趋向动词。用在动词后。❶表示由高处到低处：坐～｜躺～｜传～一道命令。❷表示有空间，能容纳：坐得～｜这个剧场能容～上千人｜这间屋子太小，睡不～六个人。❸表示动作的完成或结果：打～基础｜定～计策｜准备～材料。</explain>
      <paraID>30C66AE3</paraID>
      <start>12</start>
      <end>14</end>
      <status>unmodified</status>
      <modifiedWord/>
      <trackRevisions>false</trackRevisions>
    </reviewItem>
    <reviewItem>
      <errorID>7f5c024e-98e8-4d83-b15e-cc528606cb8e</errorID>
      <errorWord>（</errorWord>
      <group>L1_Format</group>
      <groupName>格式问题</groupName>
      <ability>L2_HalfPunc</ability>
      <abilityName>全半角检查</abilityName>
      <candidateList>
        <item>(</item>
      </candidateList>
      <explain>文本全半角错误。</explain>
      <paraID>6F31D9F0</paraID>
      <start>0</start>
      <end>1</end>
      <status>unmodified</status>
      <modifiedWord/>
      <trackRevisions>false</trackRevisions>
    </reviewItem>
    <reviewItem>
      <errorID>783f97e7-6b88-44d1-a260-70b709e1cabd</errorID>
      <errorWord>）</errorWord>
      <group>L1_Format</group>
      <groupName>格式问题</groupName>
      <ability>L2_HalfPunc</ability>
      <abilityName>全半角检查</abilityName>
      <candidateList>
        <item>)</item>
      </candidateList>
      <explain>文本全半角错误。</explain>
      <paraID>6F31D9F0</paraID>
      <start>6</start>
      <end>7</end>
      <status>unmodified</status>
      <modifiedWord/>
      <trackRevisions>false</trackRevisions>
    </reviewItem>
    <reviewItem>
      <errorID>8bba7afd-60bc-4f02-a454-b0bca2d20821</errorID>
      <errorWord>（</errorWord>
      <group>L1_Format</group>
      <groupName>格式问题</groupName>
      <ability>L2_HalfPunc</ability>
      <abilityName>全半角检查</abilityName>
      <candidateList>
        <item>(</item>
      </candidateList>
      <explain>文本全半角错误。</explain>
      <paraID>40474856</paraID>
      <start>0</start>
      <end>1</end>
      <status>unmodified</status>
      <modifiedWord/>
      <trackRevisions>false</trackRevisions>
    </reviewItem>
    <reviewItem>
      <errorID>ebbdcc98-ba0d-4784-b8c2-8da1269041bd</errorID>
      <errorWord>）</errorWord>
      <group>L1_Format</group>
      <groupName>格式问题</groupName>
      <ability>L2_HalfPunc</ability>
      <abilityName>全半角检查</abilityName>
      <candidateList>
        <item>)</item>
      </candidateList>
      <explain>文本全半角错误。</explain>
      <paraID>40474856</paraID>
      <start>6</start>
      <end>7</end>
      <status>unmodified</status>
      <modifiedWord/>
      <trackRevisions>false</trackRevisions>
    </reviewItem>
    <reviewItem>
      <errorID>d55fb1d9-dd74-44b1-9c41-438070923780</errorID>
      <errorWord>（</errorWord>
      <group>L1_Format</group>
      <groupName>格式问题</groupName>
      <ability>L2_HalfPunc</ability>
      <abilityName>全半角检查</abilityName>
      <candidateList>
        <item>(</item>
      </candidateList>
      <explain>文本全半角错误。</explain>
      <paraID>175A7400</paraID>
      <start>0</start>
      <end>1</end>
      <status>unmodified</status>
      <modifiedWord/>
      <trackRevisions>false</trackRevisions>
    </reviewItem>
    <reviewItem>
      <errorID>989fd26e-0e03-4705-98d9-12ee80579614</errorID>
      <errorWord>）</errorWord>
      <group>L1_Format</group>
      <groupName>格式问题</groupName>
      <ability>L2_HalfPunc</ability>
      <abilityName>全半角检查</abilityName>
      <candidateList>
        <item>)</item>
      </candidateList>
      <explain>文本全半角错误。</explain>
      <paraID>175A7400</paraID>
      <start>6</start>
      <end>7</end>
      <status>unmodified</status>
      <modifiedWord/>
      <trackRevisions>false</trackRevisions>
    </reviewItem>
    <reviewItem>
      <errorID>fcafdb8b-020d-4063-b083-42d6d1877a74</errorID>
      <errorWord>（</errorWord>
      <group>L1_Format</group>
      <groupName>格式问题</groupName>
      <ability>L2_HalfPunc</ability>
      <abilityName>全半角检查</abilityName>
      <candidateList>
        <item>(</item>
      </candidateList>
      <explain>文本全半角错误。</explain>
      <paraID>7BAC4CD7</paraID>
      <start>0</start>
      <end>1</end>
      <status>unmodified</status>
      <modifiedWord/>
      <trackRevisions>false</trackRevisions>
    </reviewItem>
    <reviewItem>
      <errorID>9ad0a825-8007-4a35-91a8-0899ef06cab0</errorID>
      <errorWord>）</errorWord>
      <group>L1_Format</group>
      <groupName>格式问题</groupName>
      <ability>L2_HalfPunc</ability>
      <abilityName>全半角检查</abilityName>
      <candidateList>
        <item>)</item>
      </candidateList>
      <explain>文本全半角错误。</explain>
      <paraID>7BAC4CD7</paraID>
      <start>6</start>
      <end>7</end>
      <status>unmodified</status>
      <modifiedWord/>
      <trackRevisions>false</trackRevisions>
    </reviewItem>
    <reviewItem>
      <errorID>0c2b5ad6-5ae8-491c-b742-ddbbc111b5ce</errorID>
      <errorWord>（</errorWord>
      <group>L1_Format</group>
      <groupName>格式问题</groupName>
      <ability>L2_HalfPunc</ability>
      <abilityName>全半角检查</abilityName>
      <candidateList>
        <item>(</item>
      </candidateList>
      <explain>文本全半角错误。</explain>
      <paraID>347E7DC2</paraID>
      <start>0</start>
      <end>1</end>
      <status>unmodified</status>
      <modifiedWord/>
      <trackRevisions>false</trackRevisions>
    </reviewItem>
    <reviewItem>
      <errorID>40959c59-546d-40f1-85bb-5e12852188b8</errorID>
      <errorWord>）</errorWord>
      <group>L1_Format</group>
      <groupName>格式问题</groupName>
      <ability>L2_HalfPunc</ability>
      <abilityName>全半角检查</abilityName>
      <candidateList>
        <item>)</item>
      </candidateList>
      <explain>文本全半角错误。</explain>
      <paraID>347E7DC2</paraID>
      <start>6</start>
      <end>7</end>
      <status>unmodified</status>
      <modifiedWord/>
      <trackRevisions>false</trackRevisions>
    </reviewItem>
    <reviewItem>
      <errorID>08944379-a5e4-4479-9c76-0f65bbc88406</errorID>
      <errorWord>（</errorWord>
      <group>L1_Format</group>
      <groupName>格式问题</groupName>
      <ability>L2_HalfPunc</ability>
      <abilityName>全半角检查</abilityName>
      <candidateList>
        <item>(</item>
      </candidateList>
      <explain>文本全半角错误。</explain>
      <paraID> E17800F</paraID>
      <start>0</start>
      <end>1</end>
      <status>unmodified</status>
      <modifiedWord/>
      <trackRevisions>false</trackRevisions>
    </reviewItem>
    <reviewItem>
      <errorID>9880ed96-1fcf-4878-90fd-e1e9f103fd81</errorID>
      <errorWord>）</errorWord>
      <group>L1_Format</group>
      <groupName>格式问题</groupName>
      <ability>L2_HalfPunc</ability>
      <abilityName>全半角检查</abilityName>
      <candidateList>
        <item>)</item>
      </candidateList>
      <explain>文本全半角错误。</explain>
      <paraID> E17800F</paraID>
      <start>6</start>
      <end>7</end>
      <status>unmodified</status>
      <modifiedWord/>
      <trackRevisions>false</trackRevisions>
    </reviewItem>
    <reviewItem>
      <errorID>074da3c7-7fbc-40d6-ac11-9bb97cb408b0</errorID>
      <errorWord>（</errorWord>
      <group>L1_Format</group>
      <groupName>格式问题</groupName>
      <ability>L2_HalfPunc</ability>
      <abilityName>全半角检查</abilityName>
      <candidateList>
        <item>(</item>
      </candidateList>
      <explain>文本全半角错误。</explain>
      <paraID>12FEEE71</paraID>
      <start>0</start>
      <end>1</end>
      <status>unmodified</status>
      <modifiedWord/>
      <trackRevisions>false</trackRevisions>
    </reviewItem>
    <reviewItem>
      <errorID>b2d0dc52-cdb1-46ec-bcf5-1cd63cb1ed93</errorID>
      <errorWord>）</errorWord>
      <group>L1_Format</group>
      <groupName>格式问题</groupName>
      <ability>L2_HalfPunc</ability>
      <abilityName>全半角检查</abilityName>
      <candidateList>
        <item>)</item>
      </candidateList>
      <explain>文本全半角错误。</explain>
      <paraID>12FEEE71</paraID>
      <start>6</start>
      <end>7</end>
      <status>unmodified</status>
      <modifiedWord/>
      <trackRevisions>false</trackRevisions>
    </reviewItem>
    <reviewItem>
      <errorID>1933133d-89da-4765-ba77-b5e3cbbd43fb</errorID>
      <errorWord>（</errorWord>
      <group>L1_Format</group>
      <groupName>格式问题</groupName>
      <ability>L2_HalfPunc</ability>
      <abilityName>全半角检查</abilityName>
      <candidateList>
        <item>(</item>
      </candidateList>
      <explain>文本全半角错误。</explain>
      <paraID>10399D67</paraID>
      <start>0</start>
      <end>1</end>
      <status>unmodified</status>
      <modifiedWord/>
      <trackRevisions>false</trackRevisions>
    </reviewItem>
    <reviewItem>
      <errorID>f4461a8b-0300-4d4f-b464-f367ebe9b9be</errorID>
      <errorWord>）</errorWord>
      <group>L1_Format</group>
      <groupName>格式问题</groupName>
      <ability>L2_HalfPunc</ability>
      <abilityName>全半角检查</abilityName>
      <candidateList>
        <item>)</item>
      </candidateList>
      <explain>文本全半角错误。</explain>
      <paraID>10399D67</paraID>
      <start>6</start>
      <end>7</end>
      <status>unmodified</status>
      <modifiedWord/>
      <trackRevisions>false</trackRevisions>
    </reviewItem>
    <reviewItem>
      <errorID>10095062-da12-43db-ac31-40ab4ab10e02</errorID>
      <errorWord>（</errorWord>
      <group>L1_Format</group>
      <groupName>格式问题</groupName>
      <ability>L2_HalfPunc</ability>
      <abilityName>全半角检查</abilityName>
      <candidateList>
        <item>(</item>
      </candidateList>
      <explain>文本全半角错误。</explain>
      <paraID> C816BE2</paraID>
      <start>0</start>
      <end>1</end>
      <status>unmodified</status>
      <modifiedWord/>
      <trackRevisions>false</trackRevisions>
    </reviewItem>
    <reviewItem>
      <errorID>15d848c0-8404-4632-977a-59f0d537b8a7</errorID>
      <errorWord>）</errorWord>
      <group>L1_Format</group>
      <groupName>格式问题</groupName>
      <ability>L2_HalfPunc</ability>
      <abilityName>全半角检查</abilityName>
      <candidateList>
        <item>)</item>
      </candidateList>
      <explain>文本全半角错误。</explain>
      <paraID> C816BE2</paraID>
      <start>6</start>
      <end>7</end>
      <status>unmodified</status>
      <modifiedWord/>
      <trackRevisions>false</trackRevisions>
    </reviewItem>
    <reviewItem>
      <errorID>7bfe0674-6569-41c0-af80-95043a7a845b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7B4278C5</paraID>
      <start>0</start>
      <end>2</end>
      <status>unmodified</status>
      <modifiedWord/>
      <trackRevisions>false</trackRevisions>
    </reviewItem>
    <reviewItem>
      <errorID>b12f9294-2f93-4361-a4d0-4d58f8e7c9fb</errorID>
      <errorWord>~</errorWord>
      <group>L1_Format</group>
      <groupName>格式问题</groupName>
      <ability>L2_HalfPunc</ability>
      <abilityName>全半角检查</abilityName>
      <candidateList>
        <item>～</item>
      </candidateList>
      <explain>文本全半角错误。</explain>
      <paraID>4A952E5B</paraID>
      <start>23</start>
      <end>24</end>
      <status>unmodified</status>
      <modifiedWord/>
      <trackRevisions>false</trackRevisions>
    </reviewItem>
    <reviewItem>
      <errorID>efc2e934-a25b-40de-9104-0601152e7c75</errorID>
      <errorWord>~</errorWord>
      <group>L1_Format</group>
      <groupName>格式问题</groupName>
      <ability>L2_HalfPunc</ability>
      <abilityName>全半角检查</abilityName>
      <candidateList>
        <item>～</item>
      </candidateList>
      <explain>文本全半角错误。</explain>
      <paraID>582044A8</paraID>
      <start>24</start>
      <end>25</end>
      <status>unmodified</status>
      <modifiedWord/>
      <trackRevisions>false</trackRevisions>
    </reviewItem>
    <reviewItem>
      <errorID>cf7fd452-abce-4921-be69-ea027bc39024</errorID>
      <errorWord>~</errorWord>
      <group>L1_Format</group>
      <groupName>格式问题</groupName>
      <ability>L2_HalfPunc</ability>
      <abilityName>全半角检查</abilityName>
      <candidateList>
        <item>～</item>
      </candidateList>
      <explain>文本全半角错误。</explain>
      <paraID>49619109</paraID>
      <start>20</start>
      <end>21</end>
      <status>unmodified</status>
      <modifiedWord/>
      <trackRevisions>false</trackRevisions>
    </reviewItem>
    <reviewItem>
      <errorID>cdbac704-6138-42a5-ab12-efadf229c7c9</errorID>
      <errorWord>~</errorWord>
      <group>L1_Format</group>
      <groupName>格式问题</groupName>
      <ability>L2_HalfPunc</ability>
      <abilityName>全半角检查</abilityName>
      <candidateList>
        <item>～</item>
      </candidateList>
      <explain>文本全半角错误。</explain>
      <paraID>3F05E727</paraID>
      <start>22</start>
      <end>23</end>
      <status>unmodified</status>
      <modifiedWord/>
      <trackRevisions>false</trackRevisions>
    </reviewItem>
    <reviewItem>
      <errorID>f58689fe-ecee-4d47-b215-29db6c267169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34DF1BEC</paraID>
      <start>17</start>
      <end>18</end>
      <status>unmodified</status>
      <modifiedWord/>
      <trackRevisions>false</trackRevisions>
    </reviewItem>
    <reviewItem>
      <errorID>c9d478ea-d360-4f08-b8e7-161fbe2e081d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34DF1BEC</paraID>
      <start>46</start>
      <end>47</end>
      <status>unmodified</status>
      <modifiedWord/>
      <trackRevisions>false</trackRevisions>
    </reviewItem>
    <reviewItem>
      <errorID>d6928b7c-6b33-4856-b2cd-eef7b4957a81</errorID>
      <errorWord>&gt;</errorWord>
      <group>L1_Format</group>
      <groupName>格式问题</groupName>
      <ability>L2_HalfPunc</ability>
      <abilityName>全半角检查</abilityName>
      <candidateList>
        <item>〉</item>
      </candidateList>
      <explain>文本全半角错误。</explain>
      <paraID>  62644E</paraID>
      <start>15</start>
      <end>16</end>
      <status>unmodified</status>
      <modifiedWord/>
      <trackRevisions>false</trackRevisions>
    </reviewItem>
    <reviewItem>
      <errorID>2ea0c77e-7770-4014-a996-2c47f0b1c097</errorID>
      <errorWord>&gt;</errorWord>
      <group>L1_Format</group>
      <groupName>格式问题</groupName>
      <ability>L2_HalfPunc</ability>
      <abilityName>全半角检查</abilityName>
      <candidateList>
        <item>〉</item>
      </candidateList>
      <explain>文本全半角错误。</explain>
      <paraID>  62644E</paraID>
      <start>18</start>
      <end>19</end>
      <status>unmodified</status>
      <modifiedWord/>
      <trackRevisions>false</trackRevisions>
    </reviewItem>
    <reviewItem>
      <errorID>a4ffd848-7995-4f84-a2c0-fc23a9e11633</errorID>
      <errorWord>)</errorWord>
      <group>L1_Format</group>
      <groupName>格式问题</groupName>
      <ability>L2_HalfPunc</ability>
      <abilityName>全半角检查</abilityName>
      <candidateList>
        <item>）</item>
      </candidateList>
      <explain>文本全半角错误。</explain>
      <paraID>402EE4B4</paraID>
      <start>19</start>
      <end>20</end>
      <status>unmodified</status>
      <modifiedWord/>
      <trackRevisions>false</trackRevisions>
    </reviewItem>
    <reviewItem>
      <errorID>84a55409-bdd3-4d69-b91a-eac1d89a41c6</errorID>
      <errorWord>)</errorWord>
      <group>L1_Format</group>
      <groupName>格式问题</groupName>
      <ability>L2_HalfPunc</ability>
      <abilityName>全半角检查</abilityName>
      <candidateList>
        <item>）</item>
      </candidateList>
      <explain>文本全半角错误。</explain>
      <paraID>620892C6</paraID>
      <start>19</start>
      <end>20</end>
      <status>unmodified</status>
      <modifiedWord/>
      <trackRevisions>false</trackRevisions>
    </reviewItem>
    <reviewItem>
      <errorID>908cc610-1e81-4188-9502-a78bacbc9ec8</errorID>
      <errorWord>年平</errorWord>
      <group>L1_Word</group>
      <groupName>字词问题</groupName>
      <ability>L2_Typo</ability>
      <abilityName>字词错误</abilityName>
      <candidateList>
        <item>平均</item>
      </candidateList>
      <explain/>
      <paraID>3BB13835</paraID>
      <start>25</start>
      <end>27</end>
      <status>unmodified</status>
      <modifiedWord/>
      <trackRevisions>false</trackRevisions>
    </reviewItem>
    <reviewItem>
      <errorID>7b100a87-d9ae-40a9-9826-0b3acd3e28f9</errorID>
      <errorWord>年平</errorWord>
      <group>L1_Word</group>
      <groupName>字词问题</groupName>
      <ability>L2_Typo</ability>
      <abilityName>字词错误</abilityName>
      <candidateList>
        <item>年均</item>
      </candidateList>
      <explain/>
      <paraID>3BB13835</paraID>
      <start>52</start>
      <end>54</end>
      <status>unmodified</status>
      <modifiedWord/>
      <trackRevisions>false</trackRevisions>
    </reviewItem>
    <reviewItem>
      <errorID>71e75ff0-d67c-474a-b5ed-c3c1e5f75ab1</errorID>
      <errorWord>-</errorWord>
      <group>L1_Format</group>
      <groupName>格式问题</groupName>
      <ability>L2_HalfPunc</ability>
      <abilityName>全半角检查</abilityName>
      <candidateList>
        <item>－</item>
      </candidateList>
      <explain>文本全半角错误。</explain>
      <paraID>333191CC</paraID>
      <start>88</start>
      <end>89</end>
      <status>unmodified</status>
      <modifiedWord/>
      <trackRevisions>false</trackRevisions>
    </reviewItem>
    <reviewItem>
      <errorID>73e0934b-d10b-4b9e-9af4-fbcd32a62a7e</errorID>
      <errorWord>)</errorWord>
      <group>L1_Format</group>
      <groupName>格式问题</groupName>
      <ability>L2_HalfPunc</ability>
      <abilityName>全半角检查</abilityName>
      <candidateList>
        <item>）</item>
      </candidateList>
      <explain>文本全半角错误。</explain>
      <paraID>333191CC</paraID>
      <start>137</start>
      <end>138</end>
      <status>unmodified</status>
      <modifiedWord/>
      <trackRevisions>false</trackRevisions>
    </reviewItem>
    <reviewItem>
      <errorID>35b64063-ddf6-4d99-8089-2fafc85b5ee8</errorID>
      <errorWord>主要以工业区及海域为主</errorWord>
      <group>L1_Grammar</group>
      <groupName>语法问题</groupName>
      <ability>L2_Grammar</ability>
      <abilityName>语法错误</abilityName>
      <candidateList>
        <item>以工业区及海域为主</item>
      </candidateList>
      <explain/>
      <paraID>656C2CF7</paraID>
      <start>14</start>
      <end>25</end>
      <status>unmodified</status>
      <modifiedWord/>
      <trackRevisions>false</trackRevisions>
    </reviewItem>
    <reviewItem>
      <errorID>f8e96776-ab9d-4cac-abd0-b676760634c3</errorID>
      <errorWord>主要以工业区及海域为主</errorWord>
      <group>L1_Grammar</group>
      <groupName>语法问题</groupName>
      <ability>L2_Grammar</ability>
      <abilityName>语法错误</abilityName>
      <candidateList>
        <item>以工业区及海域为主</item>
      </candidateList>
      <explain/>
      <paraID> 205E0C4</paraID>
      <start>28</start>
      <end>39</end>
      <status>unmodified</status>
      <modifiedWord/>
      <trackRevisions>false</trackRevisions>
    </reviewItem>
    <reviewItem>
      <errorID>a17d95e3-1e75-4d86-87ab-d26a8eb5e5f5</errorID>
      <errorWord>海拔高度</errorWord>
      <group>L1_Word</group>
      <groupName>字词问题</groupName>
      <ability>L2_Typo</ability>
      <abilityName>字词错误</abilityName>
      <candidateList>
        <item>海拔</item>
      </candidateList>
      <explain>〈名〉从平均海平面起算的高度。</explain>
      <paraID>13DFE064</paraID>
      <start>5</start>
      <end>9</end>
      <status>unmodified</status>
      <modifiedWord/>
      <trackRevisions>false</trackRevisions>
    </reviewItem>
    <reviewItem>
      <errorID>7f570541-29e3-45f4-82e8-f9d3fe58cc2f</errorID>
      <errorWord>海拔高度</errorWord>
      <group>L1_Word</group>
      <groupName>字词问题</groupName>
      <ability>L2_Typo</ability>
      <abilityName>字词错误</abilityName>
      <candidateList>
        <item>海拔</item>
      </candidateList>
      <explain>〈名〉从平均海平面起算的高度。</explain>
      <paraID>6AAA13C8</paraID>
      <start>2</start>
      <end>6</end>
      <status>unmodified</status>
      <modifiedWord/>
      <trackRevisions>false</trackRevisions>
    </reviewItem>
    <reviewItem>
      <errorID>2427dfcf-a3ec-4ad8-a168-bb82f5a50762</errorID>
      <errorWord>；</errorWord>
      <group>L1_Format</group>
      <groupName>格式问题</groupName>
      <ability>L2_HalfPunc</ability>
      <abilityName>全半角检查</abilityName>
      <candidateList>
        <item>;</item>
      </candidateList>
      <explain>文本全半角错误。</explain>
      <paraID>4742E62C</paraID>
      <start>4</start>
      <end>5</end>
      <status>unmodified</status>
      <modifiedWord/>
      <trackRevisions>false</trackRevisions>
    </reviewItem>
    <reviewItem>
      <errorID>b267cf78-f738-4c37-aa23-50ef819219e8</errorID>
      <errorWord>；</errorWord>
      <group>L1_Format</group>
      <groupName>格式问题</groupName>
      <ability>L2_HalfPunc</ability>
      <abilityName>全半角检查</abilityName>
      <candidateList>
        <item>;</item>
      </candidateList>
      <explain>文本全半角错误。</explain>
      <paraID>4742E62C</paraID>
      <start>9</start>
      <end>10</end>
      <status>unmodified</status>
      <modifiedWord/>
      <trackRevisions>false</trackRevisions>
    </reviewItem>
    <reviewItem>
      <errorID>3330d63f-6e47-4b0b-a5b2-3033026c796b</errorID>
      <errorWord>；</errorWord>
      <group>L1_Format</group>
      <groupName>格式问题</groupName>
      <ability>L2_HalfPunc</ability>
      <abilityName>全半角检查</abilityName>
      <candidateList>
        <item>;</item>
      </candidateList>
      <explain>文本全半角错误。</explain>
      <paraID>5A77B9D5</paraID>
      <start>4</start>
      <end>5</end>
      <status>unmodified</status>
      <modifiedWord/>
      <trackRevisions>false</trackRevisions>
    </reviewItem>
    <reviewItem>
      <errorID>6cf3e1b5-1bb2-456a-8376-bc4a2c5817ba</errorID>
      <errorWord>；</errorWord>
      <group>L1_Format</group>
      <groupName>格式问题</groupName>
      <ability>L2_HalfPunc</ability>
      <abilityName>全半角检查</abilityName>
      <candidateList>
        <item>;</item>
      </candidateList>
      <explain>文本全半角错误。</explain>
      <paraID>5A77B9D5</paraID>
      <start>9</start>
      <end>10</end>
      <status>unmodified</status>
      <modifiedWord/>
      <trackRevisions>false</trackRevisions>
    </reviewItem>
    <reviewItem>
      <errorID>0621a744-97a5-4b3f-b931-bf8790c61c9e</errorID>
      <errorWord>；</errorWord>
      <group>L1_Format</group>
      <groupName>格式问题</groupName>
      <ability>L2_HalfPunc</ability>
      <abilityName>全半角检查</abilityName>
      <candidateList>
        <item>;</item>
      </candidateList>
      <explain>文本全半角错误。</explain>
      <paraID>574EC444</paraID>
      <start>4</start>
      <end>5</end>
      <status>unmodified</status>
      <modifiedWord/>
      <trackRevisions>false</trackRevisions>
    </reviewItem>
    <reviewItem>
      <errorID>9bdd5dcd-6691-4d3a-beff-3d86193504f3</errorID>
      <errorWord>；</errorWord>
      <group>L1_Format</group>
      <groupName>格式问题</groupName>
      <ability>L2_HalfPunc</ability>
      <abilityName>全半角检查</abilityName>
      <candidateList>
        <item>;</item>
      </candidateList>
      <explain>文本全半角错误。</explain>
      <paraID>574EC444</paraID>
      <start>9</start>
      <end>10</end>
      <status>unmodified</status>
      <modifiedWord/>
      <trackRevisions>false</trackRevisions>
    </reviewItem>
    <reviewItem>
      <errorID>2b3b0c73-78b4-4e54-b561-81f1222c781d</errorID>
      <errorWord>；</errorWord>
      <group>L1_Format</group>
      <groupName>格式问题</groupName>
      <ability>L2_HalfPunc</ability>
      <abilityName>全半角检查</abilityName>
      <candidateList>
        <item>;</item>
      </candidateList>
      <explain>文本全半角错误。</explain>
      <paraID>4CB28D3B</paraID>
      <start>4</start>
      <end>5</end>
      <status>unmodified</status>
      <modifiedWord/>
      <trackRevisions>false</trackRevisions>
    </reviewItem>
    <reviewItem>
      <errorID>c1f39063-9f84-43be-9a77-8b629692765c</errorID>
      <errorWord>；</errorWord>
      <group>L1_Format</group>
      <groupName>格式问题</groupName>
      <ability>L2_HalfPunc</ability>
      <abilityName>全半角检查</abilityName>
      <candidateList>
        <item>;</item>
      </candidateList>
      <explain>文本全半角错误。</explain>
      <paraID>4CB28D3B</paraID>
      <start>9</start>
      <end>10</end>
      <status>unmodified</status>
      <modifiedWord/>
      <trackRevisions>false</trackRevisions>
    </reviewItem>
    <reviewItem>
      <errorID>6f2c1427-5661-4f73-b7b1-2fe7284311fc</errorID>
      <errorWord>；</errorWord>
      <group>L1_Format</group>
      <groupName>格式问题</groupName>
      <ability>L2_HalfPunc</ability>
      <abilityName>全半角检查</abilityName>
      <candidateList>
        <item>;</item>
      </candidateList>
      <explain>文本全半角错误。</explain>
      <paraID>6C138772</paraID>
      <start>4</start>
      <end>5</end>
      <status>unmodified</status>
      <modifiedWord/>
      <trackRevisions>false</trackRevisions>
    </reviewItem>
    <reviewItem>
      <errorID>992e15f5-6a19-4ba9-bfe6-1f383d739ec9</errorID>
      <errorWord>；</errorWord>
      <group>L1_Format</group>
      <groupName>格式问题</groupName>
      <ability>L2_HalfPunc</ability>
      <abilityName>全半角检查</abilityName>
      <candidateList>
        <item>;</item>
      </candidateList>
      <explain>文本全半角错误。</explain>
      <paraID>6C138772</paraID>
      <start>9</start>
      <end>10</end>
      <status>unmodified</status>
      <modifiedWord/>
      <trackRevisions>false</trackRevisions>
    </reviewItem>
    <reviewItem>
      <errorID>c1a21b90-b79e-4ba2-8a71-9d133a3def94</errorID>
      <errorWord>；</errorWord>
      <group>L1_Format</group>
      <groupName>格式问题</groupName>
      <ability>L2_HalfPunc</ability>
      <abilityName>全半角检查</abilityName>
      <candidateList>
        <item>;</item>
      </candidateList>
      <explain>文本全半角错误。</explain>
      <paraID>4FF266C1</paraID>
      <start>4</start>
      <end>5</end>
      <status>unmodified</status>
      <modifiedWord/>
      <trackRevisions>false</trackRevisions>
    </reviewItem>
    <reviewItem>
      <errorID>662929e0-c578-4844-870b-e0f7c1d0ff72</errorID>
      <errorWord>；</errorWord>
      <group>L1_Format</group>
      <groupName>格式问题</groupName>
      <ability>L2_HalfPunc</ability>
      <abilityName>全半角检查</abilityName>
      <candidateList>
        <item>;</item>
      </candidateList>
      <explain>文本全半角错误。</explain>
      <paraID>4FF266C1</paraID>
      <start>9</start>
      <end>10</end>
      <status>unmodified</status>
      <modifiedWord/>
      <trackRevisions>false</trackRevisions>
    </reviewItem>
    <reviewItem>
      <errorID>41eac1be-a15e-4a09-9a9d-c7a4772b5075</errorID>
      <errorWord>；</errorWord>
      <group>L1_Format</group>
      <groupName>格式问题</groupName>
      <ability>L2_HalfPunc</ability>
      <abilityName>全半角检查</abilityName>
      <candidateList>
        <item>;</item>
      </candidateList>
      <explain>文本全半角错误。</explain>
      <paraID>2AA0CE56</paraID>
      <start>5</start>
      <end>6</end>
      <status>unmodified</status>
      <modifiedWord/>
      <trackRevisions>false</trackRevisions>
    </reviewItem>
    <reviewItem>
      <errorID>7de49788-ea4e-4175-92b4-d778ecbadd26</errorID>
      <errorWord>；</errorWord>
      <group>L1_Format</group>
      <groupName>格式问题</groupName>
      <ability>L2_HalfPunc</ability>
      <abilityName>全半角检查</abilityName>
      <candidateList>
        <item>;</item>
      </candidateList>
      <explain>文本全半角错误。</explain>
      <paraID>2AA0CE56</paraID>
      <start>11</start>
      <end>12</end>
      <status>unmodified</status>
      <modifiedWord/>
      <trackRevisions>false</trackRevisions>
    </reviewItem>
    <reviewItem>
      <errorID>13780649-a39d-417f-a787-23bda815f383</errorID>
      <errorWord>；</errorWord>
      <group>L1_Format</group>
      <groupName>格式问题</groupName>
      <ability>L2_HalfPunc</ability>
      <abilityName>全半角检查</abilityName>
      <candidateList>
        <item>;</item>
      </candidateList>
      <explain>文本全半角错误。</explain>
      <paraID>20E19B0F</paraID>
      <start>5</start>
      <end>6</end>
      <status>unmodified</status>
      <modifiedWord/>
      <trackRevisions>false</trackRevisions>
    </reviewItem>
    <reviewItem>
      <errorID>44094f5c-e9c1-49e0-8710-cbb9ca14ec3f</errorID>
      <errorWord>；</errorWord>
      <group>L1_Format</group>
      <groupName>格式问题</groupName>
      <ability>L2_HalfPunc</ability>
      <abilityName>全半角检查</abilityName>
      <candidateList>
        <item>;</item>
      </candidateList>
      <explain>文本全半角错误。</explain>
      <paraID>20E19B0F</paraID>
      <start>11</start>
      <end>12</end>
      <status>unmodified</status>
      <modifiedWord/>
      <trackRevisions>false</trackRevisions>
    </reviewItem>
    <reviewItem>
      <errorID>1171cd4d-af1d-4397-a058-0117aa5963a9</errorID>
      <errorWord>；</errorWord>
      <group>L1_Format</group>
      <groupName>格式问题</groupName>
      <ability>L2_HalfPunc</ability>
      <abilityName>全半角检查</abilityName>
      <candidateList>
        <item>;</item>
      </candidateList>
      <explain>文本全半角错误。</explain>
      <paraID> 6B29FB4</paraID>
      <start>4</start>
      <end>5</end>
      <status>unmodified</status>
      <modifiedWord/>
      <trackRevisions>false</trackRevisions>
    </reviewItem>
    <reviewItem>
      <errorID>b4b496e1-40f3-4d91-b4a3-2dca892ebd0b</errorID>
      <errorWord>；</errorWord>
      <group>L1_Format</group>
      <groupName>格式问题</groupName>
      <ability>L2_HalfPunc</ability>
      <abilityName>全半角检查</abilityName>
      <candidateList>
        <item>;</item>
      </candidateList>
      <explain>文本全半角错误。</explain>
      <paraID> 6B29FB4</paraID>
      <start>9</start>
      <end>10</end>
      <status>unmodified</status>
      <modifiedWord/>
      <trackRevisions>false</trackRevisions>
    </reviewItem>
    <reviewItem>
      <errorID>18849152-bbc8-476d-8fa0-35e375204d81</errorID>
      <errorWord>；</errorWord>
      <group>L1_Format</group>
      <groupName>格式问题</groupName>
      <ability>L2_HalfPunc</ability>
      <abilityName>全半角检查</abilityName>
      <candidateList>
        <item>;</item>
      </candidateList>
      <explain>文本全半角错误。</explain>
      <paraID>681A1434</paraID>
      <start>4</start>
      <end>5</end>
      <status>unmodified</status>
      <modifiedWord/>
      <trackRevisions>false</trackRevisions>
    </reviewItem>
    <reviewItem>
      <errorID>0f92818f-dcc9-4b7e-b326-e7e40bde16fd</errorID>
      <errorWord>；</errorWord>
      <group>L1_Format</group>
      <groupName>格式问题</groupName>
      <ability>L2_HalfPunc</ability>
      <abilityName>全半角检查</abilityName>
      <candidateList>
        <item>;</item>
      </candidateList>
      <explain>文本全半角错误。</explain>
      <paraID>681A1434</paraID>
      <start>9</start>
      <end>10</end>
      <status>unmodified</status>
      <modifiedWord/>
      <trackRevisions>false</trackRevisions>
    </reviewItem>
    <reviewItem>
      <errorID>858397f4-c67a-4023-8947-751bdacfd94f</errorID>
      <errorWord>；</errorWord>
      <group>L1_Format</group>
      <groupName>格式问题</groupName>
      <ability>L2_HalfPunc</ability>
      <abilityName>全半角检查</abilityName>
      <candidateList>
        <item>;</item>
      </candidateList>
      <explain>文本全半角错误。</explain>
      <paraID>39748105</paraID>
      <start>4</start>
      <end>5</end>
      <status>unmodified</status>
      <modifiedWord/>
      <trackRevisions>false</trackRevisions>
    </reviewItem>
    <reviewItem>
      <errorID>f05944d1-31a8-49ca-90b2-66e38ced74d1</errorID>
      <errorWord>；</errorWord>
      <group>L1_Format</group>
      <groupName>格式问题</groupName>
      <ability>L2_HalfPunc</ability>
      <abilityName>全半角检查</abilityName>
      <candidateList>
        <item>;</item>
      </candidateList>
      <explain>文本全半角错误。</explain>
      <paraID>39748105</paraID>
      <start>10</start>
      <end>11</end>
      <status>unmodified</status>
      <modifiedWord/>
      <trackRevisions>false</trackRevisions>
    </reviewItem>
    <reviewItem>
      <errorID>1acc9933-6f1f-4f6d-932d-2bdcee181e3f</errorID>
      <errorWord>；</errorWord>
      <group>L1_Format</group>
      <groupName>格式问题</groupName>
      <ability>L2_HalfPunc</ability>
      <abilityName>全半角检查</abilityName>
      <candidateList>
        <item>;</item>
      </candidateList>
      <explain>文本全半角错误。</explain>
      <paraID> 33CE723</paraID>
      <start>5</start>
      <end>6</end>
      <status>unmodified</status>
      <modifiedWord/>
      <trackRevisions>false</trackRevisions>
    </reviewItem>
    <reviewItem>
      <errorID>e4dffe25-f449-4a5b-8768-2afe9f86e1e3</errorID>
      <errorWord>；</errorWord>
      <group>L1_Format</group>
      <groupName>格式问题</groupName>
      <ability>L2_HalfPunc</ability>
      <abilityName>全半角检查</abilityName>
      <candidateList>
        <item>;</item>
      </candidateList>
      <explain>文本全半角错误。</explain>
      <paraID> 33CE723</paraID>
      <start>11</start>
      <end>12</end>
      <status>unmodified</status>
      <modifiedWord/>
      <trackRevisions>false</trackRevisions>
    </reviewItem>
    <reviewItem>
      <errorID>c1b3e002-4a37-4f2b-a4ac-b1e642d33490</errorID>
      <errorWord>(</errorWord>
      <group>L1_Format</group>
      <groupName>格式问题</groupName>
      <ability>L2_HalfPunc</ability>
      <abilityName>全半角检查</abilityName>
      <candidateList>
        <item>（</item>
      </candidateList>
      <explain>文本全半角错误。</explain>
      <paraID>32E6E4FC</paraID>
      <start>18</start>
      <end>19</end>
      <status>unmodified</status>
      <modifiedWord/>
      <trackRevisions>false</trackRevisions>
    </reviewItem>
    <reviewItem>
      <errorID>36b3d09c-ae1e-4e69-b02c-97c63963dc02</errorID>
      <errorWord>)</errorWord>
      <group>L1_Format</group>
      <groupName>格式问题</groupName>
      <ability>L2_HalfPunc</ability>
      <abilityName>全半角检查</abilityName>
      <candidateList>
        <item>）</item>
      </candidateList>
      <explain>文本全半角错误。</explain>
      <paraID>32E6E4FC</paraID>
      <start>29</start>
      <end>30</end>
      <status>unmodified</status>
      <modifiedWord/>
      <trackRevisions>false</trackRevisions>
    </reviewItem>
    <reviewItem>
      <errorID>6ab25ecc-f019-4af4-9494-cb9804bbe90a</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 72ACE81</paraID>
      <start>105</start>
      <end>106</end>
      <status>modified</status>
      <modifiedWord>地</modifiedWord>
      <trackRevisions>false</trackRevisions>
    </reviewItem>
    <reviewItem>
      <errorID>2cfdec63-c845-481f-9880-eabfadc4deb9</errorID>
      <errorWord>(</errorWord>
      <group>L1_Format</group>
      <groupName>格式问题</groupName>
      <ability>L2_HalfPunc</ability>
      <abilityName>全半角检查</abilityName>
      <candidateList>
        <item>（</item>
      </candidateList>
      <explain>文本全半角错误。</explain>
      <paraID>5584A1F6</paraID>
      <start>14</start>
      <end>15</end>
      <status>unmodified</status>
      <modifiedWord/>
      <trackRevisions>false</trackRevisions>
    </reviewItem>
    <reviewItem>
      <errorID>f114819a-5134-47b3-a448-443352a6b0ce</errorID>
      <errorWord>(</errorWord>
      <group>L1_Format</group>
      <groupName>格式问题</groupName>
      <ability>L2_HalfPunc</ability>
      <abilityName>全半角检查</abilityName>
      <candidateList>
        <item>（</item>
      </candidateList>
      <explain>文本全半角错误。</explain>
      <paraID>2D646483</paraID>
      <start>21</start>
      <end>22</end>
      <status>unmodified</status>
      <modifiedWord/>
      <trackRevisions>false</trackRevisions>
    </reviewItem>
    <reviewItem>
      <errorID>cbfbc424-910d-4c61-ba06-604edd2adfd3</errorID>
      <errorWord>)</errorWord>
      <group>L1_Format</group>
      <groupName>格式问题</groupName>
      <ability>L2_HalfPunc</ability>
      <abilityName>全半角检查</abilityName>
      <candidateList>
        <item>）</item>
      </candidateList>
      <explain>文本全半角错误。</explain>
      <paraID>2D646483</paraID>
      <start>26</start>
      <end>27</end>
      <status>unmodified</status>
      <modifiedWord/>
      <trackRevisions>false</trackRevisions>
    </reviewItem>
    <reviewItem>
      <errorID>34a6835e-af57-4264-9655-e546a91ef707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474B8EF9</paraID>
      <start>506</start>
      <end>507</end>
      <status>unmodified</status>
      <modifiedWord/>
      <trackRevisions>false</trackRevisions>
    </reviewItem>
    <reviewItem>
      <errorID>334bb631-e0a2-4091-b6ea-c24f31194378</errorID>
      <errorWord>，</errorWord>
      <group>L1_Word</group>
      <groupName>字词问题</groupName>
      <ability>L2_Typo</ability>
      <abilityName>字词错误</abilityName>
      <candidateList>
        <item>，依</item>
      </candidateList>
      <explain/>
      <paraID>474B8EF9</paraID>
      <start>722</start>
      <end>723</end>
      <status>unmodified</status>
      <modifiedWord/>
      <trackRevisions>false</trackRevisions>
    </reviewItem>
    <reviewItem>
      <errorID>55eb17c0-6f9d-47ea-a25d-75f215aac902</errorID>
      <errorWord>，</errorWord>
      <group>L1_Word</group>
      <groupName>字词问题</groupName>
      <ability>L2_Typo</ability>
      <abilityName>字词错误</abilityName>
      <candidateList>
        <item>，依</item>
      </candidateList>
      <explain/>
      <paraID>4F9A18A8</paraID>
      <start>259</start>
      <end>260</end>
      <status>unmodified</status>
      <modifiedWord/>
      <trackRevisions>false</trackRevisions>
    </reviewItem>
    <reviewItem>
      <errorID>c1a87434-5bdd-40b7-bf21-9c1cfe953688</errorID>
      <errorWord>泄露</errorWord>
      <group>L1_Word</group>
      <groupName>字词问题</groupName>
      <ability>L2_Typo</ability>
      <abilityName>字词错误</abilityName>
      <candidateList>
        <item>泄漏</item>
      </candidateList>
      <explain/>
      <paraID>5D6DFFDA</paraID>
      <start>60</start>
      <end>62</end>
      <status>unmodified</status>
      <modifiedWord/>
      <trackRevisions>false</trackRevisions>
    </reviewItem>
    <reviewItem>
      <errorID>0738e7a3-4486-4057-a773-63fbda317b03</errorID>
      <errorWord>(</errorWord>
      <group>L1_Format</group>
      <groupName>格式问题</groupName>
      <ability>L2_HalfPunc</ability>
      <abilityName>全半角检查</abilityName>
      <candidateList>
        <item>（</item>
      </candidateList>
      <explain>文本全半角错误。</explain>
      <paraID>42A4381D</paraID>
      <start>18</start>
      <end>19</end>
      <status>unmodified</status>
      <modifiedWord/>
      <trackRevisions>false</trackRevisions>
    </reviewItem>
    <reviewItem>
      <errorID>660acdb7-cfd3-4950-8d7e-49af85fbbf17</errorID>
      <errorWord>)</errorWord>
      <group>L1_Format</group>
      <groupName>格式问题</groupName>
      <ability>L2_HalfPunc</ability>
      <abilityName>全半角检查</abilityName>
      <candidateList>
        <item>）</item>
      </candidateList>
      <explain>文本全半角错误。</explain>
      <paraID>42A4381D</paraID>
      <start>29</start>
      <end>30</end>
      <status>unmodified</status>
      <modifiedWord/>
      <trackRevisions>false</trackRevisions>
    </reviewItem>
    <reviewItem>
      <errorID>39f52b90-59af-438e-a08d-1ce02910da21</errorID>
      <errorWord>，</errorWord>
      <group>L1_Word</group>
      <groupName>字词问题</groupName>
      <ability>L2_Typo</ability>
      <abilityName>字词错误</abilityName>
      <candidateList>
        <item>，在</item>
      </candidateList>
      <explain/>
      <paraID>42A4381D</paraID>
      <start>64</start>
      <end>65</end>
      <status>unmodified</status>
      <modifiedWord/>
      <trackRevisions>false</trackRevisions>
    </reviewItem>
    <reviewItem>
      <errorID>f36e4429-fa4a-432a-bfa6-5383bd4d1c1e</errorID>
      <errorWord>的的</errorWord>
      <group>L1_Word</group>
      <groupName>字词问题</groupName>
      <ability>L2_Typo</ability>
      <abilityName>字词错误</abilityName>
      <candidateList>
        <item>的</item>
      </candidateList>
      <explain>“的”常用于连接修饰语与名词性中心语，表示属性、所属或描述。</explain>
      <paraID> 5AA2F9F</paraID>
      <start>31</start>
      <end>32</end>
      <status>modified</status>
      <modifiedWord>的</modifiedWord>
      <trackRevisions>false</trackRevisions>
    </reviewItem>
    <reviewItem>
      <errorID>2e2d6d69-5de1-47b7-bb20-ce4f53b6d554</errorID>
      <errorWord>（</errorWord>
      <group>L1_Format</group>
      <groupName>格式问题</groupName>
      <ability>L2_HalfPunc</ability>
      <abilityName>全半角检查</abilityName>
      <candidateList>
        <item>(</item>
      </candidateList>
      <explain>文本全半角错误。</explain>
      <paraID>36DAEDC8</paraID>
      <start>0</start>
      <end>1</end>
      <status>unmodified</status>
      <modifiedWord/>
      <trackRevisions>false</trackRevisions>
    </reviewItem>
    <reviewItem>
      <errorID>4b9efa2a-3ea1-479f-a594-7cc2d2ee9b1c</errorID>
      <errorWord>）</errorWord>
      <group>L1_Format</group>
      <groupName>格式问题</groupName>
      <ability>L2_HalfPunc</ability>
      <abilityName>全半角检查</abilityName>
      <candidateList>
        <item>)</item>
      </candidateList>
      <explain>文本全半角错误。</explain>
      <paraID>36DAEDC8</paraID>
      <start>2</start>
      <end>3</end>
      <status>unmodified</status>
      <modifiedWord/>
      <trackRevisions>false</trackRevisions>
    </reviewItem>
    <reviewItem>
      <errorID>fc5fedd7-3e25-4e5a-82cc-48782ea6549a</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664F26B4</paraID>
      <start>4</start>
      <end>5</end>
      <status>unmodified</status>
      <modifiedWord/>
      <trackRevisions>false</trackRevisions>
    </reviewItem>
    <reviewItem>
      <errorID>89bb4b76-d64d-4396-b4f0-cc1691bb92d8</errorID>
      <errorWord>：/</errorWord>
      <group>L1_Punc</group>
      <groupName>标点问题</groupName>
      <ability>L2_Punc</ability>
      <abilityName>标点符号检查</abilityName>
      <candidateList>
        <item>：</item>
      </candidateList>
      <explain/>
      <paraID>52E6FD11</paraID>
      <start>9</start>
      <end>11</end>
      <status>unmodified</status>
      <modifiedWord/>
      <trackRevisions>false</trackRevisions>
    </reviewItem>
    <reviewItem>
      <errorID>a09c831c-7db8-4eb0-8bf1-c3b3746984d6</errorID>
      <errorWord>饱和蒸气</errorWord>
      <group>L1_Word</group>
      <groupName>字词问题</groupName>
      <ability>L2_Typo</ability>
      <abilityName>字词错误</abilityName>
      <candidateList>
        <item>饱和蒸汽</item>
      </candidateList>
      <explain/>
      <paraID>61EFA0F5</paraID>
      <start>0</start>
      <end>4</end>
      <status>unmodified</status>
      <modifiedWord/>
      <trackRevisions>false</trackRevisions>
    </reviewItem>
    <reviewItem>
      <errorID>652103bb-bc6a-4a47-b923-2f93c7c17d79</errorID>
      <errorWord>)</errorWord>
      <group>L1_Format</group>
      <groupName>格式问题</groupName>
      <ability>L2_HalfPunc</ability>
      <abilityName>全半角检查</abilityName>
      <candidateList>
        <item>）</item>
      </candidateList>
      <explain>文本全半角错误。</explain>
      <paraID>3700A5EC</paraID>
      <start>18</start>
      <end>19</end>
      <status>unmodified</status>
      <modifiedWord/>
      <trackRevisions>false</trackRevisions>
    </reviewItem>
    <reviewItem>
      <errorID>f6a0fb70-291b-4caf-b27d-2704da2f24cf</errorID>
      <errorWord>)</errorWord>
      <group>L1_Format</group>
      <groupName>格式问题</groupName>
      <ability>L2_HalfPunc</ability>
      <abilityName>全半角检查</abilityName>
      <candidateList>
        <item>）</item>
      </candidateList>
      <explain>文本全半角错误。</explain>
      <paraID>3700A5EC</paraID>
      <start>39</start>
      <end>40</end>
      <status>unmodified</status>
      <modifiedWord/>
      <trackRevisions>false</trackRevisions>
    </reviewItem>
    <reviewItem>
      <errorID>c656799d-a8e6-4ab2-ac91-09da93e94c73</errorID>
      <errorWord>:</errorWord>
      <group>L1_Format</group>
      <groupName>格式问题</groupName>
      <ability>L2_HalfPunc</ability>
      <abilityName>全半角检查</abilityName>
      <candidateList>
        <item>：</item>
      </candidateList>
      <explain>文本全半角错误。</explain>
      <paraID>25EC5F28</paraID>
      <start>4</start>
      <end>5</end>
      <status>unmodified</status>
      <modifiedWord/>
      <trackRevisions>false</trackRevisions>
    </reviewItem>
    <reviewItem>
      <errorID>3ad2a6eb-d0e8-4185-b937-516e19eaa59a</errorID>
      <errorWord>:</errorWord>
      <group>L1_Format</group>
      <groupName>格式问题</groupName>
      <ability>L2_HalfPunc</ability>
      <abilityName>全半角检查</abilityName>
      <candidateList>
        <item>：</item>
      </candidateList>
      <explain>文本全半角错误。</explain>
      <paraID>25EC5F28</paraID>
      <start>63</start>
      <end>64</end>
      <status>unmodified</status>
      <modifiedWord/>
      <trackRevisions>false</trackRevisions>
    </reviewItem>
    <reviewItem>
      <errorID>4181d859-77a9-4465-8087-7db25e3a6c06</errorID>
      <errorWord>:</errorWord>
      <group>L1_Format</group>
      <groupName>格式问题</groupName>
      <ability>L2_HalfPunc</ability>
      <abilityName>全半角检查</abilityName>
      <candidateList>
        <item>：</item>
      </candidateList>
      <explain>文本全半角错误。</explain>
      <paraID>2F2FA8E5</paraID>
      <start>27</start>
      <end>28</end>
      <status>unmodified</status>
      <modifiedWord/>
      <trackRevisions>false</trackRevisions>
    </reviewItem>
    <reviewItem>
      <errorID>1af7277d-fa84-4239-9abc-cbf221775877</errorID>
      <errorWord>其它不</errorWord>
      <group>L1_Word</group>
      <groupName>字词问题</groupName>
      <ability>L2_Alias</ability>
      <abilityName>也作/曾用词</abilityName>
      <candidateList>
        <item>其他不</item>
      </candidateList>
      <explain>词汇[其它不]为不规范表述或旧称，其规范书面表述为[其他不]。</explain>
      <paraID>2F2FA8E5</paraID>
      <start>32</start>
      <end>35</end>
      <status>modified</status>
      <modifiedWord>其他不</modifiedWord>
      <trackRevisions>false</trackRevisions>
    </reviewItem>
    <reviewItem>
      <errorID>ea1cc180-e741-437c-b402-d251c62f1b85</errorID>
      <errorWord>:</errorWord>
      <group>L1_Format</group>
      <groupName>格式问题</groupName>
      <ability>L2_HalfPunc</ability>
      <abilityName>全半角检查</abilityName>
      <candidateList>
        <item>：</item>
      </candidateList>
      <explain>文本全半角错误。</explain>
      <paraID>2F2FA8E5</paraID>
      <start>62</start>
      <end>63</end>
      <status>unmodified</status>
      <modifiedWord/>
      <trackRevisions>false</trackRevisions>
    </reviewItem>
    <reviewItem>
      <errorID>f3034dcb-a804-4493-bf36-920bd1cf5d09</errorID>
      <errorWord>：/</errorWord>
      <group>L1_Punc</group>
      <groupName>标点问题</groupName>
      <ability>L2_Punc</ability>
      <abilityName>标点符号检查</abilityName>
      <candidateList>
        <item>：</item>
      </candidateList>
      <explain/>
      <paraID>1F13F89E</paraID>
      <start>9</start>
      <end>11</end>
      <status>unmodified</status>
      <modifiedWord/>
      <trackRevisions>false</trackRevisions>
    </reviewItem>
    <reviewItem>
      <errorID>f187a579-d6bd-4c67-ada4-893844ad7582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33822EFD</paraID>
      <start>0</start>
      <end>2</end>
      <status>unmodified</status>
      <modifiedWord/>
      <trackRevisions>false</trackRevisions>
    </reviewItem>
    <reviewItem>
      <errorID>9cb6bf98-2765-4a5d-96ef-9421c0f4d58a</errorID>
      <errorWord>饱和蒸气</errorWord>
      <group>L1_Word</group>
      <groupName>字词问题</groupName>
      <ability>L2_Typo</ability>
      <abilityName>字词错误</abilityName>
      <candidateList>
        <item>饱和蒸汽</item>
      </candidateList>
      <explain/>
      <paraID> 4FEE88D</paraID>
      <start>0</start>
      <end>4</end>
      <status>unmodified</status>
      <modifiedWord/>
      <trackRevisions>false</trackRevisions>
    </reviewItem>
    <reviewItem>
      <errorID>e632071f-db6d-415a-bcdc-ba58e8fc5cbf</errorID>
      <errorWord>批复</errorWord>
      <group>L1_Word</group>
      <groupName>字词问题</groupName>
      <ability>L2_Typo</ability>
      <abilityName>字词错误</abilityName>
      <candidateList>
        <item>皮肤</item>
      </candidateList>
      <explain/>
      <paraID>1319D745</paraID>
      <start>5</start>
      <end>7</end>
      <status>modified</status>
      <modifiedWord>皮肤</modifiedWord>
      <trackRevisions>false</trackRevisions>
    </reviewItem>
    <reviewItem>
      <errorID>bb2e0340-9f24-405b-8fe1-c022884aa49f</errorID>
      <errorWord>)</errorWord>
      <group>L1_Format</group>
      <groupName>格式问题</groupName>
      <ability>L2_HalfPunc</ability>
      <abilityName>全半角检查</abilityName>
      <candidateList>
        <item>）</item>
      </candidateList>
      <explain>文本全半角错误。</explain>
      <paraID>61643E6B</paraID>
      <start>18</start>
      <end>19</end>
      <status>unmodified</status>
      <modifiedWord/>
      <trackRevisions>false</trackRevisions>
    </reviewItem>
    <reviewItem>
      <errorID>37f1838d-e398-4159-9e61-cc6536df55a2</errorID>
      <errorWord>)</errorWord>
      <group>L1_Format</group>
      <groupName>格式问题</groupName>
      <ability>L2_HalfPunc</ability>
      <abilityName>全半角检查</abilityName>
      <candidateList>
        <item>）</item>
      </candidateList>
      <explain>文本全半角错误。</explain>
      <paraID>61643E6B</paraID>
      <start>39</start>
      <end>40</end>
      <status>unmodified</status>
      <modifiedWord/>
      <trackRevisions>false</trackRevisions>
    </reviewItem>
    <reviewItem>
      <errorID>c2b050f2-1d36-4dc6-9f1c-d8b32c951245</errorID>
      <errorWord>,</errorWord>
      <group>L1_Format</group>
      <groupName>格式问题</groupName>
      <ability>L2_HalfPunc</ability>
      <abilityName>全半角检查</abilityName>
      <candidateList>
        <item>，</item>
      </candidateList>
      <explain>文本全半角错误。</explain>
      <paraID> 5A930B0</paraID>
      <start>6</start>
      <end>7</end>
      <status>unmodified</status>
      <modifiedWord/>
      <trackRevisions>false</trackRevisions>
    </reviewItem>
    <reviewItem>
      <errorID>9cc0640c-12c9-41ac-94a3-2371bde46f34</errorID>
      <errorWord>眼脸</errorWord>
      <group>L1_Word</group>
      <groupName>字词问题</groupName>
      <ability>L2_Typo</ability>
      <abilityName>字词错误</abilityName>
      <candidateList>
        <item>眼睑</item>
      </candidateList>
      <explain>〈名〉眼睛周围能开闭的皮，边缘长着睫毛。眼睑和睫毛都有保护眼球的作用。通称眼皮。</explain>
      <paraID>1F916948</paraID>
      <start>65</start>
      <end>67</end>
      <status>modified</status>
      <modifiedWord>眼睑</modifiedWord>
      <trackRevisions>false</trackRevisions>
    </reviewItem>
    <reviewItem>
      <errorID>b65dafbd-d05c-4376-8e7e-5c0f7a47629a</errorID>
      <errorWord>其它不</errorWord>
      <group>L1_Word</group>
      <groupName>字词问题</groupName>
      <ability>L2_Alias</ability>
      <abilityName>也作/曾用词</abilityName>
      <candidateList>
        <item>其他不</item>
      </candidateList>
      <explain>词汇[其它不]为不规范表述或旧称，其规范书面表述为[其他不]。</explain>
      <paraID>49629506</paraID>
      <start>32</start>
      <end>35</end>
      <status>modified</status>
      <modifiedWord>其他不</modifiedWord>
      <trackRevisions>false</trackRevisions>
    </reviewItem>
    <reviewItem>
      <errorID>a2c7c8a1-6246-482e-9631-3be8b567752d</errorID>
      <errorWord>:</errorWord>
      <group>L1_Format</group>
      <groupName>格式问题</groupName>
      <ability>L2_HalfPunc</ability>
      <abilityName>全半角检查</abilityName>
      <candidateList>
        <item>：</item>
      </candidateList>
      <explain>文本全半角错误。</explain>
      <paraID>49629506</paraID>
      <start>62</start>
      <end>63</end>
      <status>unmodified</status>
      <modifiedWord/>
      <trackRevisions>false</trackRevisions>
    </reviewItem>
    <reviewItem>
      <errorID>a0900ab8-3f7f-422e-b8d3-948c3cebce06</errorID>
      <errorWord>：/</errorWord>
      <group>L1_Punc</group>
      <groupName>标点问题</groupName>
      <ability>L2_Punc</ability>
      <abilityName>标点符号检查</abilityName>
      <candidateList>
        <item>：</item>
      </candidateList>
      <explain/>
      <paraID>76960D63</paraID>
      <start>3</start>
      <end>5</end>
      <status>unmodified</status>
      <modifiedWord/>
      <trackRevisions>false</trackRevisions>
    </reviewItem>
    <reviewItem>
      <errorID>6a48b90b-e789-4dc4-9469-0f144daf850e</errorID>
      <errorWord>：/</errorWord>
      <group>L1_Punc</group>
      <groupName>标点问题</groupName>
      <ability>L2_Punc</ability>
      <abilityName>标点符号检查</abilityName>
      <candidateList>
        <item>：</item>
      </candidateList>
      <explain/>
      <paraID>758C8952</paraID>
      <start>3</start>
      <end>5</end>
      <status>unmodified</status>
      <modifiedWord/>
      <trackRevisions>false</trackRevisions>
    </reviewItem>
    <reviewItem>
      <errorID>9013e0a6-489d-451a-8e31-13a0d2c37c29</errorID>
      <errorWord>(</errorWord>
      <group>L1_Format</group>
      <groupName>格式问题</groupName>
      <ability>L2_HalfPunc</ability>
      <abilityName>全半角检查</abilityName>
      <candidateList>
        <item>（</item>
      </candidateList>
      <explain>文本全半角错误。</explain>
      <paraID>49067F50</paraID>
      <start>4</start>
      <end>5</end>
      <status>unmodified</status>
      <modifiedWord/>
      <trackRevisions>false</trackRevisions>
    </reviewItem>
    <reviewItem>
      <errorID>60beba51-0ae0-4660-bdcc-939a9f976f75</errorID>
      <errorWord>～</errorWord>
      <group>L1_Format</group>
      <groupName>格式问题</groupName>
      <ability>L2_HalfPunc</ability>
      <abilityName>全半角检查</abilityName>
      <candidateList>
        <item>~</item>
      </candidateList>
      <explain>文本全半角错误。</explain>
      <paraID>4FEBE44D</paraID>
      <start>2</start>
      <end>3</end>
      <status>unmodified</status>
      <modifiedWord/>
      <trackRevisions>false</trackRevisions>
    </reviewItem>
    <reviewItem>
      <errorID>5fc81dda-3538-4498-9f68-0d161b435e43</errorID>
      <errorWord>：</errorWord>
      <group>L1_Format</group>
      <groupName>格式问题</groupName>
      <ability>L2_HalfPunc</ability>
      <abilityName>全半角检查</abilityName>
      <candidateList>
        <item>:</item>
      </candidateList>
      <explain>文本全半角错误。</explain>
      <paraID>4387A96B</paraID>
      <start>4</start>
      <end>5</end>
      <status>unmodified</status>
      <modifiedWord/>
      <trackRevisions>false</trackRevisions>
    </reviewItem>
    <reviewItem>
      <errorID>0f78b5ca-6a8d-4b25-abbc-833967b8de0c</errorID>
      <errorWord>(</errorWord>
      <group>L1_Format</group>
      <groupName>格式问题</groupName>
      <ability>L2_HalfPunc</ability>
      <abilityName>全半角检查</abilityName>
      <candidateList>
        <item>（</item>
      </candidateList>
      <explain>文本全半角错误。</explain>
      <paraID>4387A96B</paraID>
      <start>19</start>
      <end>20</end>
      <status>unmodified</status>
      <modifiedWord/>
      <trackRevisions>false</trackRevisions>
    </reviewItem>
    <reviewItem>
      <errorID>318f8d21-668a-4dd6-a22f-10724f1297b8</errorID>
      <errorWord>)</errorWord>
      <group>L1_Format</group>
      <groupName>格式问题</groupName>
      <ability>L2_HalfPunc</ability>
      <abilityName>全半角检查</abilityName>
      <candidateList>
        <item>）</item>
      </candidateList>
      <explain>文本全半角错误。</explain>
      <paraID>4387A96B</paraID>
      <start>24</start>
      <end>25</end>
      <status>unmodified</status>
      <modifiedWord/>
      <trackRevisions>false</trackRevisions>
    </reviewItem>
    <reviewItem>
      <errorID>3fa8b612-600b-42dc-96b8-259d5b631b2b</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74AD963F</paraID>
      <start>11</start>
      <end>14</end>
      <status>unmodified</status>
      <modifiedWord/>
      <trackRevisions>false</trackRevisions>
    </reviewItem>
    <reviewItem>
      <errorID>fbf2f10f-8a52-4076-9ad7-12db66f036ff</errorID>
      <errorWord>紫绀</errorWord>
      <group>L1_Knowledge</group>
      <groupName>知识性问题</groupName>
      <ability>L2_Term</ability>
      <abilityName>专业术语</abilityName>
      <candidateList>
        <item>发绀</item>
      </candidateList>
      <explain>医学名词[紫绀]为不规范表述或旧称，其规范书面表述为[发绀]。</explain>
      <paraID>74AD963F</paraID>
      <start>34</start>
      <end>36</end>
      <status>unmodified</status>
      <modifiedWord/>
      <trackRevisions>false</trackRevisions>
    </reviewItem>
    <reviewItem>
      <errorID>ca143b5c-e49a-4049-863f-d6d847850964</errorID>
      <errorWord>(</errorWord>
      <group>L1_Format</group>
      <groupName>格式问题</groupName>
      <ability>L2_HalfPunc</ability>
      <abilityName>全半角检查</abilityName>
      <candidateList>
        <item>（</item>
      </candidateList>
      <explain>文本全半角错误。</explain>
      <paraID> 95873E8</paraID>
      <start>2</start>
      <end>3</end>
      <status>unmodified</status>
      <modifiedWord/>
      <trackRevisions>false</trackRevisions>
    </reviewItem>
    <reviewItem>
      <errorID>3d6f3619-437b-46a2-a9d8-c097fec88d6f</errorID>
      <errorWord>)</errorWord>
      <group>L1_Format</group>
      <groupName>格式问题</groupName>
      <ability>L2_HalfPunc</ability>
      <abilityName>全半角检查</abilityName>
      <candidateList>
        <item>）</item>
      </candidateList>
      <explain>文本全半角错误。</explain>
      <paraID> 95873E8</paraID>
      <start>4</start>
      <end>5</end>
      <status>unmodified</status>
      <modifiedWord/>
      <trackRevisions>false</trackRevisions>
    </reviewItem>
    <reviewItem>
      <errorID>32f8b71a-691a-4cb1-a9e8-439902418e3b</errorID>
      <errorWord>(</errorWord>
      <group>L1_Format</group>
      <groupName>格式问题</groupName>
      <ability>L2_HalfPunc</ability>
      <abilityName>全半角检查</abilityName>
      <candidateList>
        <item>（</item>
      </candidateList>
      <explain>文本全半角错误。</explain>
      <paraID>36DFAABE</paraID>
      <start>4</start>
      <end>5</end>
      <status>unmodified</status>
      <modifiedWord/>
      <trackRevisions>false</trackRevisions>
    </reviewItem>
    <reviewItem>
      <errorID>3cab63fc-fbf2-4236-814d-761bbb99df78</errorID>
      <errorWord>)</errorWord>
      <group>L1_Format</group>
      <groupName>格式问题</groupName>
      <ability>L2_HalfPunc</ability>
      <abilityName>全半角检查</abilityName>
      <candidateList>
        <item>）</item>
      </candidateList>
      <explain>文本全半角错误。</explain>
      <paraID>36DFAABE</paraID>
      <start>6</start>
      <end>7</end>
      <status>unmodified</status>
      <modifiedWord/>
      <trackRevisions>false</trackRevisions>
    </reviewItem>
    <reviewItem>
      <errorID>160cabd1-3701-4af7-a824-274ffabd8323</errorID>
      <errorWord>其它</errorWord>
      <group>L1_Word</group>
      <groupName>字词问题</groupName>
      <ability>L2_Alias</ability>
      <abilityName>也作/曾用词</abilityName>
      <candidateList>
        <item>其他</item>
      </candidateList>
      <explain>词汇[其它]为不规范表述或旧称，其规范书面表述为[其他]。</explain>
      <paraID>5AF8C5E8</paraID>
      <start>103</start>
      <end>105</end>
      <status>modified</status>
      <modifiedWord>其他</modifiedWord>
      <trackRevisions>false</trackRevisions>
    </reviewItem>
    <reviewItem>
      <errorID>2bc4f168-e762-4565-af21-0788c0de67c5</errorID>
      <errorWord>：/</errorWord>
      <group>L1_Punc</group>
      <groupName>标点问题</groupName>
      <ability>L2_Punc</ability>
      <abilityName>标点符号检查</abilityName>
      <candidateList>
        <item>：</item>
      </candidateList>
      <explain/>
      <paraID>4978F71E</paraID>
      <start>3</start>
      <end>5</end>
      <status>unmodified</status>
      <modifiedWord/>
      <trackRevisions>false</trackRevisions>
    </reviewItem>
    <reviewItem>
      <errorID>df8a7a87-b8c2-4381-b754-246ee49197d1</errorID>
      <errorWord>：/</errorWord>
      <group>L1_Punc</group>
      <groupName>标点问题</groupName>
      <ability>L2_Punc</ability>
      <abilityName>标点符号检查</abilityName>
      <candidateList>
        <item>：</item>
      </candidateList>
      <explain/>
      <paraID>40AD257F</paraID>
      <start>3</start>
      <end>5</end>
      <status>unmodified</status>
      <modifiedWord/>
      <trackRevisions>false</trackRevisions>
    </reviewItem>
    <reviewItem>
      <errorID>68125147-4ff2-4a4d-903a-b205c9e6f6a0</errorID>
      <errorWord>：/</errorWord>
      <group>L1_Punc</group>
      <groupName>标点问题</groupName>
      <ability>L2_Punc</ability>
      <abilityName>标点符号检查</abilityName>
      <candidateList>
        <item>：</item>
      </candidateList>
      <explain/>
      <paraID>7F678658</paraID>
      <start>4</start>
      <end>6</end>
      <status>unmodified</status>
      <modifiedWord/>
      <trackRevisions>false</trackRevisions>
    </reviewItem>
    <reviewItem>
      <errorID>2c5b254a-fb88-4b98-9d05-d9ed49b5a46b</errorID>
      <errorWord>：/</errorWord>
      <group>L1_Punc</group>
      <groupName>标点问题</groupName>
      <ability>L2_Punc</ability>
      <abilityName>标点符号检查</abilityName>
      <candidateList>
        <item>：</item>
      </candidateList>
      <explain/>
      <paraID>4199D973</paraID>
      <start>4</start>
      <end>6</end>
      <status>unmodified</status>
      <modifiedWord/>
      <trackRevisions>false</trackRevisions>
    </reviewItem>
    <reviewItem>
      <errorID>5711d299-a7ce-4e22-9e0b-8ba4cd708bc8</errorID>
      <errorWord>：/</errorWord>
      <group>L1_Punc</group>
      <groupName>标点问题</groupName>
      <ability>L2_Punc</ability>
      <abilityName>标点符号检查</abilityName>
      <candidateList>
        <item>：</item>
      </candidateList>
      <explain/>
      <paraID>71416472</paraID>
      <start>9</start>
      <end>11</end>
      <status>unmodified</status>
      <modifiedWord/>
      <trackRevisions>false</trackRevisions>
    </reviewItem>
    <reviewItem>
      <errorID>53efc183-efa3-4fd5-a3e9-7582d67bc8d4</errorID>
      <errorWord>：/</errorWord>
      <group>L1_Punc</group>
      <groupName>标点问题</groupName>
      <ability>L2_Punc</ability>
      <abilityName>标点符号检查</abilityName>
      <candidateList>
        <item>：</item>
      </candidateList>
      <explain/>
      <paraID>44032A53</paraID>
      <start>3</start>
      <end>5</end>
      <status>unmodified</status>
      <modifiedWord/>
      <trackRevisions>false</trackRevisions>
    </reviewItem>
    <reviewItem>
      <errorID>605f1439-91dd-4339-8dc4-186e6b7ea841</errorID>
      <errorWord>饱和蒸气</errorWord>
      <group>L1_Word</group>
      <groupName>字词问题</groupName>
      <ability>L2_Typo</ability>
      <abilityName>字词错误</abilityName>
      <candidateList>
        <item>饱和蒸汽</item>
      </candidateList>
      <explain/>
      <paraID> 581F630</paraID>
      <start>0</start>
      <end>4</end>
      <status>unmodified</status>
      <modifiedWord/>
      <trackRevisions>false</trackRevisions>
    </reviewItem>
    <reviewItem>
      <errorID>f370b1a5-84fb-4c1c-abec-cc97dfa293ca</errorID>
      <errorWord>：</errorWord>
      <group>L1_Format</group>
      <groupName>格式问题</groupName>
      <ability>L2_HalfPunc</ability>
      <abilityName>全半角检查</abilityName>
      <candidateList>
        <item>:</item>
      </candidateList>
      <explain>文本全半角错误。</explain>
      <paraID>52ACE05B</paraID>
      <start>38</start>
      <end>39</end>
      <status>unmodified</status>
      <modifiedWord/>
      <trackRevisions>false</trackRevisions>
    </reviewItem>
    <reviewItem>
      <errorID>e2d34805-7882-4068-bbc9-61ae6fc0ec0d</errorID>
      <errorWord>：</errorWord>
      <group>L1_Format</group>
      <groupName>格式问题</groupName>
      <ability>L2_HalfPunc</ability>
      <abilityName>全半角检查</abilityName>
      <candidateList>
        <item>:</item>
      </candidateList>
      <explain>文本全半角错误。</explain>
      <paraID>4D27E18B</paraID>
      <start>19</start>
      <end>20</end>
      <status>unmodified</status>
      <modifiedWord/>
      <trackRevisions>false</trackRevisions>
    </reviewItem>
    <reviewItem>
      <errorID>8130b13a-76be-47cc-934e-fc36fc0e1d61</errorID>
      <errorWord>咔挫</errorWord>
      <group>L1_Word</group>
      <groupName>字词问题</groupName>
      <ability>L2_Typo</ability>
      <abilityName>字词错误</abilityName>
      <candidateList>
        <item>咔唑</item>
      </candidateList>
      <explain>存在字形相近字词的误用。</explain>
      <paraID>24949223</paraID>
      <start>15</start>
      <end>17</end>
      <status>unmodified</status>
      <modifiedWord/>
      <trackRevisions>false</trackRevisions>
    </reviewItem>
    <reviewItem>
      <errorID>aa39d823-5360-4d16-95ba-f35173d5a646</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1CFF2897</paraID>
      <start>60</start>
      <end>63</end>
      <status>unmodified</status>
      <modifiedWord/>
      <trackRevisions>false</trackRevisions>
    </reviewItem>
    <reviewItem>
      <errorID>92727620-5040-4b3f-8a0d-86cd03e16800</errorID>
      <errorWord>~</errorWord>
      <group>L1_Format</group>
      <groupName>格式问题</groupName>
      <ability>L2_HalfPunc</ability>
      <abilityName>全半角检查</abilityName>
      <candidateList>
        <item>～</item>
      </candidateList>
      <explain>文本全半角错误。</explain>
      <paraID>3699449F</paraID>
      <start>3</start>
      <end>4</end>
      <status>unmodified</status>
      <modifiedWord/>
      <trackRevisions>false</trackRevisions>
    </reviewItem>
    <reviewItem>
      <errorID>73632bd2-10d8-4c68-8187-eda93f342464</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72F7D1E1</paraID>
      <start>0</start>
      <end>2</end>
      <status>unmodified</status>
      <modifiedWord/>
      <trackRevisions>false</trackRevisions>
    </reviewItem>
    <reviewItem>
      <errorID>c151e0a9-5284-4d33-b94f-6648bee73fdf</errorID>
      <errorWord>见</errorWord>
      <group>L1_Word</group>
      <groupName>字词问题</groupName>
      <ability>L2_Typo</ability>
      <abilityName>字词错误</abilityName>
      <candidateList>
        <item>见下</item>
      </candidateList>
      <explain/>
      <paraID>5B610304</paraID>
      <start>64</start>
      <end>65</end>
      <status>unmodified</status>
      <modifiedWord/>
      <trackRevisions>false</trackRevisions>
    </reviewItem>
    <reviewItem>
      <errorID>64211deb-3b09-4a0d-94cf-261e3935e4a9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19DD19A4</paraID>
      <start>207</start>
      <end>208</end>
      <status>unmodified</status>
      <modifiedWord/>
      <trackRevisions>false</trackRevisions>
    </reviewItem>
    <reviewItem>
      <errorID>14e2ef1e-0c16-46ee-836c-56b07a2ae6a6</errorID>
      <errorWord>(</errorWord>
      <group>L1_Format</group>
      <groupName>格式问题</groupName>
      <ability>L2_HalfPunc</ability>
      <abilityName>全半角检查</abilityName>
      <candidateList>
        <item>（</item>
      </candidateList>
      <explain>文本全半角错误。</explain>
      <paraID>33B539CA</paraID>
      <start>18</start>
      <end>19</end>
      <status>unmodified</status>
      <modifiedWord/>
      <trackRevisions>false</trackRevisions>
    </reviewItem>
    <reviewItem>
      <errorID>5d2af41c-21db-41b5-b45f-a456f787f0bc</errorID>
      <errorWord>)</errorWord>
      <group>L1_Format</group>
      <groupName>格式问题</groupName>
      <ability>L2_HalfPunc</ability>
      <abilityName>全半角检查</abilityName>
      <candidateList>
        <item>）</item>
      </candidateList>
      <explain>文本全半角错误。</explain>
      <paraID>33B539CA</paraID>
      <start>29</start>
      <end>30</end>
      <status>unmodified</status>
      <modifiedWord/>
      <trackRevisions>false</trackRevisions>
    </reviewItem>
    <reviewItem>
      <errorID>4ad4d29e-0997-41c7-8158-b029ef59f9e5</errorID>
      <errorWord>(</errorWord>
      <group>L1_Format</group>
      <groupName>格式问题</groupName>
      <ability>L2_HalfPunc</ability>
      <abilityName>全半角检查</abilityName>
      <candidateList>
        <item>（</item>
      </candidateList>
      <explain>文本全半角错误。</explain>
      <paraID>1CE28AC9</paraID>
      <start>6</start>
      <end>7</end>
      <status>unmodified</status>
      <modifiedWord/>
      <trackRevisions>false</trackRevisions>
    </reviewItem>
    <reviewItem>
      <errorID>a83e4206-caab-414d-b8af-d5e7fd2dd42b</errorID>
      <errorWord>)</errorWord>
      <group>L1_Format</group>
      <groupName>格式问题</groupName>
      <ability>L2_HalfPunc</ability>
      <abilityName>全半角检查</abilityName>
      <candidateList>
        <item>）</item>
      </candidateList>
      <explain>文本全半角错误。</explain>
      <paraID>1CE28AC9</paraID>
      <start>8</start>
      <end>9</end>
      <status>unmodified</status>
      <modifiedWord/>
      <trackRevisions>false</trackRevisions>
    </reviewItem>
    <reviewItem>
      <errorID>4b1753c3-46de-49fe-8ea1-fe85b3852ead</errorID>
      <errorWord>(</errorWord>
      <group>L1_Format</group>
      <groupName>格式问题</groupName>
      <ability>L2_HalfPunc</ability>
      <abilityName>全半角检查</abilityName>
      <candidateList>
        <item>（</item>
      </candidateList>
      <explain>文本全半角错误。</explain>
      <paraID>39F30102</paraID>
      <start>12</start>
      <end>13</end>
      <status>unmodified</status>
      <modifiedWord/>
      <trackRevisions>false</trackRevisions>
    </reviewItem>
    <reviewItem>
      <errorID>c20af5c0-6009-4acb-bde4-c41636d05e88</errorID>
      <errorWord>)</errorWord>
      <group>L1_Format</group>
      <groupName>格式问题</groupName>
      <ability>L2_HalfPunc</ability>
      <abilityName>全半角检查</abilityName>
      <candidateList>
        <item>）</item>
      </candidateList>
      <explain>文本全半角错误。</explain>
      <paraID>39F30102</paraID>
      <start>14</start>
      <end>15</end>
      <status>unmodified</status>
      <modifiedWord/>
      <trackRevisions>false</trackRevisions>
    </reviewItem>
    <reviewItem>
      <errorID>f8cc6e21-6c93-4f54-8b74-e10182f70e40</errorID>
      <errorWord>(</errorWord>
      <group>L1_Format</group>
      <groupName>格式问题</groupName>
      <ability>L2_HalfPunc</ability>
      <abilityName>全半角检查</abilityName>
      <candidateList>
        <item>（</item>
      </candidateList>
      <explain>文本全半角错误。</explain>
      <paraID>66648BF1</paraID>
      <start>4</start>
      <end>5</end>
      <status>unmodified</status>
      <modifiedWord/>
      <trackRevisions>false</trackRevisions>
    </reviewItem>
    <reviewItem>
      <errorID>198e29d1-88f5-4e32-8c8c-2398f31ef5ed</errorID>
      <errorWord>)</errorWord>
      <group>L1_Format</group>
      <groupName>格式问题</groupName>
      <ability>L2_HalfPunc</ability>
      <abilityName>全半角检查</abilityName>
      <candidateList>
        <item>）</item>
      </candidateList>
      <explain>文本全半角错误。</explain>
      <paraID>66648BF1</paraID>
      <start>7</start>
      <end>8</end>
      <status>unmodified</status>
      <modifiedWord/>
      <trackRevisions>false</trackRevisions>
    </reviewItem>
    <reviewItem>
      <errorID>da83f9fe-a9ba-4a40-b6bc-ce3c3b6f2411</errorID>
      <errorWord>(</errorWord>
      <group>L1_Format</group>
      <groupName>格式问题</groupName>
      <ability>L2_HalfPunc</ability>
      <abilityName>全半角检查</abilityName>
      <candidateList>
        <item>（</item>
      </candidateList>
      <explain>文本全半角错误。</explain>
      <paraID>3A598201</paraID>
      <start>4</start>
      <end>5</end>
      <status>unmodified</status>
      <modifiedWord/>
      <trackRevisions>false</trackRevisions>
    </reviewItem>
    <reviewItem>
      <errorID>ecff8968-7ff5-4851-bc74-5e2a499dbeaf</errorID>
      <errorWord>)</errorWord>
      <group>L1_Format</group>
      <groupName>格式问题</groupName>
      <ability>L2_HalfPunc</ability>
      <abilityName>全半角检查</abilityName>
      <candidateList>
        <item>）</item>
      </candidateList>
      <explain>文本全半角错误。</explain>
      <paraID>3A598201</paraID>
      <start>7</start>
      <end>8</end>
      <status>unmodified</status>
      <modifiedWord/>
      <trackRevisions>false</trackRevisions>
    </reviewItem>
    <reviewItem>
      <errorID>d4801cdf-2be4-40a9-bb66-f78328f4f4dd</errorID>
      <errorWord>(</errorWord>
      <group>L1_Format</group>
      <groupName>格式问题</groupName>
      <ability>L2_HalfPunc</ability>
      <abilityName>全半角检查</abilityName>
      <candidateList>
        <item>（</item>
      </candidateList>
      <explain>文本全半角错误。</explain>
      <paraID>16DD37F5</paraID>
      <start>4</start>
      <end>5</end>
      <status>unmodified</status>
      <modifiedWord/>
      <trackRevisions>false</trackRevisions>
    </reviewItem>
    <reviewItem>
      <errorID>6f4c1b8a-74b1-4328-b774-cd20bc5f09da</errorID>
      <errorWord>)</errorWord>
      <group>L1_Format</group>
      <groupName>格式问题</groupName>
      <ability>L2_HalfPunc</ability>
      <abilityName>全半角检查</abilityName>
      <candidateList>
        <item>）</item>
      </candidateList>
      <explain>文本全半角错误。</explain>
      <paraID>16DD37F5</paraID>
      <start>7</start>
      <end>8</end>
      <status>unmodified</status>
      <modifiedWord/>
      <trackRevisions>false</trackRevisions>
    </reviewItem>
    <reviewItem>
      <errorID>ca794418-c1db-48b6-b3d8-a2a3c5284b86</errorID>
      <errorWord>(</errorWord>
      <group>L1_Format</group>
      <groupName>格式问题</groupName>
      <ability>L2_HalfPunc</ability>
      <abilityName>全半角检查</abilityName>
      <candidateList>
        <item>（</item>
      </candidateList>
      <explain>文本全半角错误。</explain>
      <paraID>3FB87271</paraID>
      <start>4</start>
      <end>5</end>
      <status>unmodified</status>
      <modifiedWord/>
      <trackRevisions>false</trackRevisions>
    </reviewItem>
    <reviewItem>
      <errorID>2f6e5afc-397d-4662-981c-38c44fd6c7ca</errorID>
      <errorWord>)</errorWord>
      <group>L1_Format</group>
      <groupName>格式问题</groupName>
      <ability>L2_HalfPunc</ability>
      <abilityName>全半角检查</abilityName>
      <candidateList>
        <item>）</item>
      </candidateList>
      <explain>文本全半角错误。</explain>
      <paraID>3FB87271</paraID>
      <start>7</start>
      <end>8</end>
      <status>unmodified</status>
      <modifiedWord/>
      <trackRevisions>false</trackRevisions>
    </reviewItem>
    <reviewItem>
      <errorID>48691668-b712-41fc-815a-830eee93e476</errorID>
      <errorWord>(</errorWord>
      <group>L1_Format</group>
      <groupName>格式问题</groupName>
      <ability>L2_HalfPunc</ability>
      <abilityName>全半角检查</abilityName>
      <candidateList>
        <item>（</item>
      </candidateList>
      <explain>文本全半角错误。</explain>
      <paraID>23E29889</paraID>
      <start>7</start>
      <end>8</end>
      <status>unmodified</status>
      <modifiedWord/>
      <trackRevisions>false</trackRevisions>
    </reviewItem>
    <reviewItem>
      <errorID>993e99b6-3b25-4f14-975a-cef1b63c0e8a</errorID>
      <errorWord>)</errorWord>
      <group>L1_Format</group>
      <groupName>格式问题</groupName>
      <ability>L2_HalfPunc</ability>
      <abilityName>全半角检查</abilityName>
      <candidateList>
        <item>）</item>
      </candidateList>
      <explain>文本全半角错误。</explain>
      <paraID>23E29889</paraID>
      <start>10</start>
      <end>11</end>
      <status>unmodified</status>
      <modifiedWord/>
      <trackRevisions>false</trackRevisions>
    </reviewItem>
    <reviewItem>
      <errorID>dce97be5-6592-427b-9cbf-c49c6f16c59b</errorID>
      <errorWord>(</errorWord>
      <group>L1_Format</group>
      <groupName>格式问题</groupName>
      <ability>L2_HalfPunc</ability>
      <abilityName>全半角检查</abilityName>
      <candidateList>
        <item>（</item>
      </candidateList>
      <explain>文本全半角错误。</explain>
      <paraID>3A2CA9CE</paraID>
      <start>7</start>
      <end>8</end>
      <status>unmodified</status>
      <modifiedWord/>
      <trackRevisions>false</trackRevisions>
    </reviewItem>
    <reviewItem>
      <errorID>fbf666e6-e4ae-456d-9a7f-a95df6c48a35</errorID>
      <errorWord>)</errorWord>
      <group>L1_Format</group>
      <groupName>格式问题</groupName>
      <ability>L2_HalfPunc</ability>
      <abilityName>全半角检查</abilityName>
      <candidateList>
        <item>）</item>
      </candidateList>
      <explain>文本全半角错误。</explain>
      <paraID>3A2CA9CE</paraID>
      <start>10</start>
      <end>11</end>
      <status>unmodified</status>
      <modifiedWord/>
      <trackRevisions>false</trackRevisions>
    </reviewItem>
    <reviewItem>
      <errorID>ecd5cbc2-1eb3-4dc1-adf1-b8240525ae80</errorID>
      <errorWord>(</errorWord>
      <group>L1_Format</group>
      <groupName>格式问题</groupName>
      <ability>L2_HalfPunc</ability>
      <abilityName>全半角检查</abilityName>
      <candidateList>
        <item>（</item>
      </candidateList>
      <explain>文本全半角错误。</explain>
      <paraID>595B9D59</paraID>
      <start>7</start>
      <end>8</end>
      <status>unmodified</status>
      <modifiedWord/>
      <trackRevisions>false</trackRevisions>
    </reviewItem>
    <reviewItem>
      <errorID>ee53c6b6-4c96-44cf-8ee3-3982be6b883e</errorID>
      <errorWord>)</errorWord>
      <group>L1_Format</group>
      <groupName>格式问题</groupName>
      <ability>L2_HalfPunc</ability>
      <abilityName>全半角检查</abilityName>
      <candidateList>
        <item>）</item>
      </candidateList>
      <explain>文本全半角错误。</explain>
      <paraID>595B9D59</paraID>
      <start>10</start>
      <end>11</end>
      <status>unmodified</status>
      <modifiedWord/>
      <trackRevisions>false</trackRevisions>
    </reviewItem>
    <reviewItem>
      <errorID>ccb60d7e-aaa6-45fa-9a91-d821c3609e0c</errorID>
      <errorWord>III</errorWord>
      <group>L1_Knowledge</group>
      <groupName>知识性问题</groupName>
      <ability>L2_Knowledge</ability>
      <abilityName>其他知识</abilityName>
      <candidateList>
        <item>Ⅲ</item>
      </candidateList>
      <explain/>
      <paraID>1236C066</paraID>
      <start>54</start>
      <end>57</end>
      <status>unmodified</status>
      <modifiedWord/>
      <trackRevisions>false</trackRevisions>
    </reviewItem>
    <reviewItem>
      <errorID>ad08a59b-77a0-431a-b5ce-6dcd3b13042a</errorID>
      <errorWord>'</errorWord>
      <group>L1_Format</group>
      <groupName>格式问题</groupName>
      <ability>L2_HalfPunc</ability>
      <abilityName>全半角检查</abilityName>
      <candidateList/>
      <explain>文本全半角错误。</explain>
      <paraID>3D9EE9C5</paraID>
      <start>55</start>
      <end>56</end>
      <status>unmodified</status>
      <modifiedWord/>
      <trackRevisions>false</trackRevisions>
    </reviewItem>
    <reviewItem>
      <errorID>20f133ae-ad0a-417e-a70d-bb5e7c2c6e05</errorID>
      <errorWord>'</errorWord>
      <group>L1_Format</group>
      <groupName>格式问题</groupName>
      <ability>L2_HalfPunc</ability>
      <abilityName>全半角检查</abilityName>
      <candidateList/>
      <explain>文本全半角错误。</explain>
      <paraID>3D9EE9C5</paraID>
      <start>69</start>
      <end>70</end>
      <status>unmodified</status>
      <modifiedWord/>
      <trackRevisions>false</trackRevisions>
    </reviewItem>
    <reviewItem>
      <errorID>5d0ffb51-eb8f-4fe8-ae7c-5de8ae34ff20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42978BB1</paraID>
      <start>24</start>
      <end>25</end>
      <status>unmodified</status>
      <modifiedWord/>
      <trackRevisions>false</trackRevisions>
    </reviewItem>
    <reviewItem>
      <errorID>2005f0f2-88c8-49f9-b1c3-bf8f627c127e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4AD6DFBD</paraID>
      <start>7</start>
      <end>8</end>
      <status>unmodified</status>
      <modifiedWord/>
      <trackRevisions>false</trackRevisions>
    </reviewItem>
    <reviewItem>
      <errorID>f148d36c-da34-424e-876b-842a2a962876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305238B7</paraID>
      <start>10</start>
      <end>11</end>
      <status>unmodified</status>
      <modifiedWord/>
      <trackRevisions>false</trackRevisions>
    </reviewItem>
    <reviewItem>
      <errorID>cc65d6b6-b860-46dd-93fc-232fff0e7548</errorID>
      <errorWord>其</errorWord>
      <group>L1_Word</group>
      <groupName>字词问题</groupName>
      <ability>L2_Typo</ability>
      <abilityName>字词错误</abilityName>
      <candidateList>
        <item>起</item>
      </candidateList>
      <explain>〈动〉趋向动词。❶用在动词后，表示向上：抬～箱子往外走。❷用在动词后，表示力量够得上或够不上：经得～考验｜太贵了，买不～。注意动词和“起”之间常有“得”字或“不”字。❸用在动词后，表示事物随动作出现：乐队奏～迎宾曲｜会场响～热烈掌声。❹用在动词后，表示动作涉及人或事：他多次问～过你｜想～一件事。</explain>
      <paraID>5D56A343</paraID>
      <start>29</start>
      <end>30</end>
      <status>unmodified</status>
      <modifiedWord/>
      <trackRevisions>false</trackRevisions>
    </reviewItem>
    <reviewItem>
      <errorID>dd3b4cb4-3e29-4248-b5cc-e421b5a38519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3D11097</paraID>
      <start>4</start>
      <end>5</end>
      <status>unmodified</status>
      <modifiedWord/>
      <trackRevisions>false</trackRevisions>
    </reviewItem>
    <reviewItem>
      <errorID>b7ce8f80-bb60-4f01-a5a4-b408829a2514</errorID>
      <errorWord>主要以小事故为主</errorWord>
      <group>L1_Grammar</group>
      <groupName>语法问题</groupName>
      <ability>L2_Grammar</ability>
      <abilityName>语法错误</abilityName>
      <candidateList>
        <item>以小事故为主</item>
      </candidateList>
      <explain/>
      <paraID> 3D11097</paraID>
      <start>34</start>
      <end>42</end>
      <status>unmodified</status>
      <modifiedWord/>
      <trackRevisions>false</trackRevisions>
    </reviewItem>
    <reviewItem>
      <errorID>08691690-6ad9-4f10-9748-9a86b8a5804c</errorID>
      <errorWord>~</errorWord>
      <group>L1_Format</group>
      <groupName>格式问题</groupName>
      <ability>L2_HalfPunc</ability>
      <abilityName>全半角检查</abilityName>
      <candidateList>
        <item>～</item>
      </candidateList>
      <explain>文本全半角错误。</explain>
      <paraID> 6761400</paraID>
      <start>10</start>
      <end>11</end>
      <status>unmodified</status>
      <modifiedWord/>
      <trackRevisions>false</trackRevisions>
    </reviewItem>
    <reviewItem>
      <errorID>70f7263c-031c-43cc-8fd7-9345cae09acd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6B17804C</paraID>
      <start>12</start>
      <end>13</end>
      <status>unmodified</status>
      <modifiedWord/>
      <trackRevisions>false</trackRevisions>
    </reviewItem>
    <reviewItem>
      <errorID>f04dd5a5-ed75-4a05-a907-ad08e67627d3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2983E480</paraID>
      <start>48</start>
      <end>49</end>
      <status>unmodified</status>
      <modifiedWord/>
      <trackRevisions>false</trackRevisions>
    </reviewItem>
    <reviewItem>
      <errorID>42eb4401-4625-4ca5-b828-73b670b52dfa</errorID>
      <errorWord>＇</errorWord>
      <group>L1_Format</group>
      <groupName>格式问题</groupName>
      <ability>L2_HalfPunc</ability>
      <abilityName>全半角检查</abilityName>
      <candidateList>
        <item>'</item>
      </candidateList>
      <explain>文本全半角错误。</explain>
      <paraID> 951B7C2</paraID>
      <start>5</start>
      <end>6</end>
      <status>unmodified</status>
      <modifiedWord/>
      <trackRevisions>false</trackRevisions>
    </reviewItem>
    <reviewItem>
      <errorID>39ac7420-7d31-47f1-864a-fa153b4d7092</errorID>
      <errorWord>＇</errorWord>
      <group>L1_Format</group>
      <groupName>格式问题</groupName>
      <ability>L2_HalfPunc</ability>
      <abilityName>全半角检查</abilityName>
      <candidateList>
        <item>'</item>
      </candidateList>
      <explain>文本全半角错误。</explain>
      <paraID> 951B7C2</paraID>
      <start>17</start>
      <end>18</end>
      <status>unmodified</status>
      <modifiedWord/>
      <trackRevisions>false</trackRevisions>
    </reviewItem>
    <reviewItem>
      <errorID>19105629-0166-4ff3-8f7e-322cedfaa640</errorID>
      <errorWord>＇</errorWord>
      <group>L1_Format</group>
      <groupName>格式问题</groupName>
      <ability>L2_HalfPunc</ability>
      <abilityName>全半角检查</abilityName>
      <candidateList>
        <item>'</item>
      </candidateList>
      <explain>文本全半角错误。</explain>
      <paraID>6068D47F</paraID>
      <start>5</start>
      <end>6</end>
      <status>unmodified</status>
      <modifiedWord/>
      <trackRevisions>false</trackRevisions>
    </reviewItem>
    <reviewItem>
      <errorID>3387d867-2361-4558-bb94-215954b93ff9</errorID>
      <errorWord>＇</errorWord>
      <group>L1_Format</group>
      <groupName>格式问题</groupName>
      <ability>L2_HalfPunc</ability>
      <abilityName>全半角检查</abilityName>
      <candidateList>
        <item>'</item>
      </candidateList>
      <explain>文本全半角错误。</explain>
      <paraID>6068D47F</paraID>
      <start>17</start>
      <end>18</end>
      <status>unmodified</status>
      <modifiedWord/>
      <trackRevisions>false</trackRevisions>
    </reviewItem>
    <reviewItem>
      <errorID>00cb60a9-d0fa-4cf5-8729-556d031972e1</errorID>
      <errorWord>＇</errorWord>
      <group>L1_Format</group>
      <groupName>格式问题</groupName>
      <ability>L2_HalfPunc</ability>
      <abilityName>全半角检查</abilityName>
      <candidateList>
        <item>'</item>
      </candidateList>
      <explain>文本全半角错误。</explain>
      <paraID>47C6992B</paraID>
      <start>5</start>
      <end>6</end>
      <status>unmodified</status>
      <modifiedWord/>
      <trackRevisions>false</trackRevisions>
    </reviewItem>
    <reviewItem>
      <errorID>9b98dd4e-6dfe-4d23-983e-a67f2abd2d1f</errorID>
      <errorWord>＇</errorWord>
      <group>L1_Format</group>
      <groupName>格式问题</groupName>
      <ability>L2_HalfPunc</ability>
      <abilityName>全半角检查</abilityName>
      <candidateList>
        <item>'</item>
      </candidateList>
      <explain>文本全半角错误。</explain>
      <paraID>47C6992B</paraID>
      <start>17</start>
      <end>18</end>
      <status>unmodified</status>
      <modifiedWord/>
      <trackRevisions>false</trackRevisions>
    </reviewItem>
    <reviewItem>
      <errorID>44b9e264-3324-4469-8db4-414d34fd3723</errorID>
      <errorWord>＇</errorWord>
      <group>L1_Format</group>
      <groupName>格式问题</groupName>
      <ability>L2_HalfPunc</ability>
      <abilityName>全半角检查</abilityName>
      <candidateList>
        <item>'</item>
      </candidateList>
      <explain>文本全半角错误。</explain>
      <paraID>75313569</paraID>
      <start>5</start>
      <end>6</end>
      <status>unmodified</status>
      <modifiedWord/>
      <trackRevisions>false</trackRevisions>
    </reviewItem>
    <reviewItem>
      <errorID>22059174-473b-4542-b0da-72877ef17349</errorID>
      <errorWord>＇</errorWord>
      <group>L1_Format</group>
      <groupName>格式问题</groupName>
      <ability>L2_HalfPunc</ability>
      <abilityName>全半角检查</abilityName>
      <candidateList>
        <item>'</item>
      </candidateList>
      <explain>文本全半角错误。</explain>
      <paraID>75313569</paraID>
      <start>16</start>
      <end>17</end>
      <status>unmodified</status>
      <modifiedWord/>
      <trackRevisions>false</trackRevisions>
    </reviewItem>
    <reviewItem>
      <errorID>b6603e5a-0d98-4004-9437-22b8d2ebb1a9</errorID>
      <errorWord>＇</errorWord>
      <group>L1_Format</group>
      <groupName>格式问题</groupName>
      <ability>L2_HalfPunc</ability>
      <abilityName>全半角检查</abilityName>
      <candidateList>
        <item>'</item>
      </candidateList>
      <explain>文本全半角错误。</explain>
      <paraID> 5CC9AD9</paraID>
      <start>5</start>
      <end>6</end>
      <status>unmodified</status>
      <modifiedWord/>
      <trackRevisions>false</trackRevisions>
    </reviewItem>
    <reviewItem>
      <errorID>bd5f86eb-d1ff-4819-883c-7a403616d805</errorID>
      <errorWord>＇</errorWord>
      <group>L1_Format</group>
      <groupName>格式问题</groupName>
      <ability>L2_HalfPunc</ability>
      <abilityName>全半角检查</abilityName>
      <candidateList>
        <item>'</item>
      </candidateList>
      <explain>文本全半角错误。</explain>
      <paraID> 5CC9AD9</paraID>
      <start>16</start>
      <end>17</end>
      <status>unmodified</status>
      <modifiedWord/>
      <trackRevisions>false</trackRevisions>
    </reviewItem>
    <reviewItem>
      <errorID>fd618bf1-e06c-4022-af1a-ae716a25d56c</errorID>
      <errorWord>＇</errorWord>
      <group>L1_Format</group>
      <groupName>格式问题</groupName>
      <ability>L2_HalfPunc</ability>
      <abilityName>全半角检查</abilityName>
      <candidateList>
        <item>'</item>
      </candidateList>
      <explain>文本全半角错误。</explain>
      <paraID>1523B785</paraID>
      <start>5</start>
      <end>6</end>
      <status>unmodified</status>
      <modifiedWord/>
      <trackRevisions>false</trackRevisions>
    </reviewItem>
    <reviewItem>
      <errorID>e7a42ad6-1529-4bd7-b1a7-9858dee389e4</errorID>
      <errorWord>＇</errorWord>
      <group>L1_Format</group>
      <groupName>格式问题</groupName>
      <ability>L2_HalfPunc</ability>
      <abilityName>全半角检查</abilityName>
      <candidateList>
        <item>'</item>
      </candidateList>
      <explain>文本全半角错误。</explain>
      <paraID>1523B785</paraID>
      <start>14</start>
      <end>15</end>
      <status>unmodified</status>
      <modifiedWord/>
      <trackRevisions>false</trackRevisions>
    </reviewItem>
    <reviewItem>
      <errorID>61632f96-9d80-488d-907c-93a64393fd6e</errorID>
      <errorWord>＇</errorWord>
      <group>L1_Format</group>
      <groupName>格式问题</groupName>
      <ability>L2_HalfPunc</ability>
      <abilityName>全半角检查</abilityName>
      <candidateList>
        <item>'</item>
      </candidateList>
      <explain>文本全半角错误。</explain>
      <paraID>1ACF4415</paraID>
      <start>5</start>
      <end>6</end>
      <status>unmodified</status>
      <modifiedWord/>
      <trackRevisions>false</trackRevisions>
    </reviewItem>
    <reviewItem>
      <errorID>3ab583ee-ccba-447a-a468-fae467dea704</errorID>
      <errorWord>＇</errorWord>
      <group>L1_Format</group>
      <groupName>格式问题</groupName>
      <ability>L2_HalfPunc</ability>
      <abilityName>全半角检查</abilityName>
      <candidateList>
        <item>'</item>
      </candidateList>
      <explain>文本全半角错误。</explain>
      <paraID>1ACF4415</paraID>
      <start>17</start>
      <end>18</end>
      <status>unmodified</status>
      <modifiedWord/>
      <trackRevisions>false</trackRevisions>
    </reviewItem>
    <reviewItem>
      <errorID>d5446dc0-d4f7-4d1e-8e70-0a43f5085709</errorID>
      <errorWord>＇</errorWord>
      <group>L1_Format</group>
      <groupName>格式问题</groupName>
      <ability>L2_HalfPunc</ability>
      <abilityName>全半角检查</abilityName>
      <candidateList>
        <item>'</item>
      </candidateList>
      <explain>文本全半角错误。</explain>
      <paraID>6446DA46</paraID>
      <start>5</start>
      <end>6</end>
      <status>unmodified</status>
      <modifiedWord/>
      <trackRevisions>false</trackRevisions>
    </reviewItem>
    <reviewItem>
      <errorID>f049caba-0ab1-4449-a092-7ca4e3bed35b</errorID>
      <errorWord>＇</errorWord>
      <group>L1_Format</group>
      <groupName>格式问题</groupName>
      <ability>L2_HalfPunc</ability>
      <abilityName>全半角检查</abilityName>
      <candidateList>
        <item>'</item>
      </candidateList>
      <explain>文本全半角错误。</explain>
      <paraID>6446DA46</paraID>
      <start>17</start>
      <end>18</end>
      <status>unmodified</status>
      <modifiedWord/>
      <trackRevisions>false</trackRevisions>
    </reviewItem>
    <reviewItem>
      <errorID>d416ee06-a5f8-48fd-b9f9-dde9eaf438d5</errorID>
      <errorWord>＇</errorWord>
      <group>L1_Format</group>
      <groupName>格式问题</groupName>
      <ability>L2_HalfPunc</ability>
      <abilityName>全半角检查</abilityName>
      <candidateList>
        <item>'</item>
      </candidateList>
      <explain>文本全半角错误。</explain>
      <paraID>39785BC6</paraID>
      <start>5</start>
      <end>6</end>
      <status>unmodified</status>
      <modifiedWord/>
      <trackRevisions>false</trackRevisions>
    </reviewItem>
    <reviewItem>
      <errorID>77d72888-ad43-404a-ad81-5c9d4e80f61a</errorID>
      <errorWord>＇</errorWord>
      <group>L1_Format</group>
      <groupName>格式问题</groupName>
      <ability>L2_HalfPunc</ability>
      <abilityName>全半角检查</abilityName>
      <candidateList>
        <item>'</item>
      </candidateList>
      <explain>文本全半角错误。</explain>
      <paraID>39785BC6</paraID>
      <start>15</start>
      <end>16</end>
      <status>unmodified</status>
      <modifiedWord/>
      <trackRevisions>false</trackRevisions>
    </reviewItem>
    <reviewItem>
      <errorID>c45e9854-bded-404e-bb17-d477b57a4a44</errorID>
      <errorWord>＇</errorWord>
      <group>L1_Format</group>
      <groupName>格式问题</groupName>
      <ability>L2_HalfPunc</ability>
      <abilityName>全半角检查</abilityName>
      <candidateList>
        <item>'</item>
      </candidateList>
      <explain>文本全半角错误。</explain>
      <paraID>68FEBCD1</paraID>
      <start>7</start>
      <end>8</end>
      <status>unmodified</status>
      <modifiedWord/>
      <trackRevisions>false</trackRevisions>
    </reviewItem>
    <reviewItem>
      <errorID>a8db9d76-32e4-44d1-9a70-e8a0c66f09ce</errorID>
      <errorWord>＇</errorWord>
      <group>L1_Format</group>
      <groupName>格式问题</groupName>
      <ability>L2_HalfPunc</ability>
      <abilityName>全半角检查</abilityName>
      <candidateList>
        <item>'</item>
      </candidateList>
      <explain>文本全半角错误。</explain>
      <paraID>68FEBCD1</paraID>
      <start>16</start>
      <end>17</end>
      <status>unmodified</status>
      <modifiedWord/>
      <trackRevisions>false</trackRevisions>
    </reviewItem>
    <reviewItem>
      <errorID>6c128d56-6b8c-49f1-9c59-986c950fdb6b</errorID>
      <errorWord>＇</errorWord>
      <group>L1_Format</group>
      <groupName>格式问题</groupName>
      <ability>L2_HalfPunc</ability>
      <abilityName>全半角检查</abilityName>
      <candidateList>
        <item>'</item>
      </candidateList>
      <explain>文本全半角错误。</explain>
      <paraID>38E311AB</paraID>
      <start>9</start>
      <end>10</end>
      <status>unmodified</status>
      <modifiedWord/>
      <trackRevisions>false</trackRevisions>
    </reviewItem>
    <reviewItem>
      <errorID>3907b0ec-5f3b-417c-92c8-f06412da8411</errorID>
      <errorWord>＇</errorWord>
      <group>L1_Format</group>
      <groupName>格式问题</groupName>
      <ability>L2_HalfPunc</ability>
      <abilityName>全半角检查</abilityName>
      <candidateList>
        <item>'</item>
      </candidateList>
      <explain>文本全半角错误。</explain>
      <paraID>38E311AB</paraID>
      <start>22</start>
      <end>23</end>
      <status>unmodified</status>
      <modifiedWord/>
      <trackRevisions>false</trackRevisions>
    </reviewItem>
    <reviewItem>
      <errorID>e4662a24-6405-469e-9a88-a7de31fef83d</errorID>
      <errorWord>＇</errorWord>
      <group>L1_Format</group>
      <groupName>格式问题</groupName>
      <ability>L2_HalfPunc</ability>
      <abilityName>全半角检查</abilityName>
      <candidateList>
        <item>'</item>
      </candidateList>
      <explain>文本全半角错误。</explain>
      <paraID>1709C62B</paraID>
      <start>9</start>
      <end>10</end>
      <status>unmodified</status>
      <modifiedWord/>
      <trackRevisions>false</trackRevisions>
    </reviewItem>
    <reviewItem>
      <errorID>ea5c7c85-1a72-47a5-9016-7272cde077c8</errorID>
      <errorWord>＇</errorWord>
      <group>L1_Format</group>
      <groupName>格式问题</groupName>
      <ability>L2_HalfPunc</ability>
      <abilityName>全半角检查</abilityName>
      <candidateList>
        <item>'</item>
      </candidateList>
      <explain>文本全半角错误。</explain>
      <paraID>1709C62B</paraID>
      <start>22</start>
      <end>23</end>
      <status>unmodified</status>
      <modifiedWord/>
      <trackRevisions>false</trackRevisions>
    </reviewItem>
    <reviewItem>
      <errorID>c8410139-11ed-4ffa-8f32-3d0f1c59f287</errorID>
      <errorWord>没</errorWord>
      <group>L1_Word</group>
      <groupName>字词问题</groupName>
      <ability>L2_Typo</ability>
      <abilityName>字词错误</abilityName>
      <candidateList>
        <item>没有</item>
      </candidateList>
      <explain>〈副〉❶表示“已然”的否定：他还～回来｜天还～黑呢。❷表示“曾经”的否定：老张上个星期～回来过｜银行昨天～开门。</explain>
      <paraID>15ED3A33</paraID>
      <start>176</start>
      <end>177</end>
      <status>unmodified</status>
      <modifiedWord/>
      <trackRevisions>false</trackRevisions>
    </reviewItem>
    <reviewItem>
      <errorID>bb8c644c-a40b-43f0-acaf-5da707d2725c</errorID>
      <errorWord>（</errorWord>
      <group>L1_Format</group>
      <groupName>格式问题</groupName>
      <ability>L2_HalfPunc</ability>
      <abilityName>全半角检查</abilityName>
      <candidateList>
        <item>(</item>
      </candidateList>
      <explain>文本全半角错误。</explain>
      <paraID> 6F4D59F</paraID>
      <start>10</start>
      <end>11</end>
      <status>unmodified</status>
      <modifiedWord/>
      <trackRevisions>false</trackRevisions>
    </reviewItem>
    <reviewItem>
      <errorID>9345c387-ec38-425f-9279-fa48c613bfac</errorID>
      <errorWord>）</errorWord>
      <group>L1_Format</group>
      <groupName>格式问题</groupName>
      <ability>L2_HalfPunc</ability>
      <abilityName>全半角检查</abilityName>
      <candidateList>
        <item>)</item>
      </candidateList>
      <explain>文本全半角错误。</explain>
      <paraID> 6F4D59F</paraID>
      <start>14</start>
      <end>15</end>
      <status>unmodified</status>
      <modifiedWord/>
      <trackRevisions>false</trackRevisions>
    </reviewItem>
    <reviewItem>
      <errorID>db6973ac-e9c9-42b5-a9d7-b85047893b2c</errorID>
      <errorWord>（</errorWord>
      <group>L1_Format</group>
      <groupName>格式问题</groupName>
      <ability>L2_HalfPunc</ability>
      <abilityName>全半角检查</abilityName>
      <candidateList>
        <item>(</item>
      </candidateList>
      <explain>文本全半角错误。</explain>
      <paraID>4F3AC18C</paraID>
      <start>10</start>
      <end>11</end>
      <status>unmodified</status>
      <modifiedWord/>
      <trackRevisions>false</trackRevisions>
    </reviewItem>
    <reviewItem>
      <errorID>748a1c37-305b-4fa5-aa1d-421a17d2c953</errorID>
      <errorWord>）</errorWord>
      <group>L1_Format</group>
      <groupName>格式问题</groupName>
      <ability>L2_HalfPunc</ability>
      <abilityName>全半角检查</abilityName>
      <candidateList>
        <item>)</item>
      </candidateList>
      <explain>文本全半角错误。</explain>
      <paraID>4F3AC18C</paraID>
      <start>14</start>
      <end>15</end>
      <status>unmodified</status>
      <modifiedWord/>
      <trackRevisions>false</trackRevisions>
    </reviewItem>
    <reviewItem>
      <errorID>27c41b7b-1f05-4448-896e-da20e403f2a8</errorID>
      <errorWord>（</errorWord>
      <group>L1_Format</group>
      <groupName>格式问题</groupName>
      <ability>L2_HalfPunc</ability>
      <abilityName>全半角检查</abilityName>
      <candidateList>
        <item>(</item>
      </candidateList>
      <explain>文本全半角错误。</explain>
      <paraID>25AE5F87</paraID>
      <start>10</start>
      <end>11</end>
      <status>unmodified</status>
      <modifiedWord/>
      <trackRevisions>false</trackRevisions>
    </reviewItem>
    <reviewItem>
      <errorID>d26d83a7-b0cc-4112-a4da-a82d2e1d6559</errorID>
      <errorWord>）</errorWord>
      <group>L1_Format</group>
      <groupName>格式问题</groupName>
      <ability>L2_HalfPunc</ability>
      <abilityName>全半角检查</abilityName>
      <candidateList>
        <item>)</item>
      </candidateList>
      <explain>文本全半角错误。</explain>
      <paraID>25AE5F87</paraID>
      <start>14</start>
      <end>15</end>
      <status>unmodified</status>
      <modifiedWord/>
      <trackRevisions>false</trackRevisions>
    </reviewItem>
    <reviewItem>
      <errorID>190a36dd-ed30-4600-ad92-94ba935df789</errorID>
      <errorWord>（</errorWord>
      <group>L1_Format</group>
      <groupName>格式问题</groupName>
      <ability>L2_HalfPunc</ability>
      <abilityName>全半角检查</abilityName>
      <candidateList>
        <item>(</item>
      </candidateList>
      <explain>文本全半角错误。</explain>
      <paraID>5AD95CDB</paraID>
      <start>10</start>
      <end>11</end>
      <status>unmodified</status>
      <modifiedWord/>
      <trackRevisions>false</trackRevisions>
    </reviewItem>
    <reviewItem>
      <errorID>196f0580-74b2-406d-96e2-aa84abb0f0a9</errorID>
      <errorWord>）</errorWord>
      <group>L1_Format</group>
      <groupName>格式问题</groupName>
      <ability>L2_HalfPunc</ability>
      <abilityName>全半角检查</abilityName>
      <candidateList>
        <item>)</item>
      </candidateList>
      <explain>文本全半角错误。</explain>
      <paraID>5AD95CDB</paraID>
      <start>14</start>
      <end>15</end>
      <status>unmodified</status>
      <modifiedWord/>
      <trackRevisions>false</trackRevisions>
    </reviewItem>
    <reviewItem>
      <errorID>491048f4-a3af-48a0-a4cb-c223db9d0670</errorID>
      <errorWord>（</errorWord>
      <group>L1_Format</group>
      <groupName>格式问题</groupName>
      <ability>L2_HalfPunc</ability>
      <abilityName>全半角检查</abilityName>
      <candidateList>
        <item>(</item>
      </candidateList>
      <explain>文本全半角错误。</explain>
      <paraID>52BAA98D</paraID>
      <start>10</start>
      <end>11</end>
      <status>unmodified</status>
      <modifiedWord/>
      <trackRevisions>false</trackRevisions>
    </reviewItem>
    <reviewItem>
      <errorID>e5bb4426-e2be-447a-a953-d5b212d35994</errorID>
      <errorWord>）</errorWord>
      <group>L1_Format</group>
      <groupName>格式问题</groupName>
      <ability>L2_HalfPunc</ability>
      <abilityName>全半角检查</abilityName>
      <candidateList>
        <item>)</item>
      </candidateList>
      <explain>文本全半角错误。</explain>
      <paraID>52BAA98D</paraID>
      <start>14</start>
      <end>15</end>
      <status>unmodified</status>
      <modifiedWord/>
      <trackRevisions>false</trackRevisions>
    </reviewItem>
    <reviewItem>
      <errorID>4f144bb3-d9ee-4045-8eed-cdcf14b2a5cc</errorID>
      <errorWord>（</errorWord>
      <group>L1_Format</group>
      <groupName>格式问题</groupName>
      <ability>L2_HalfPunc</ability>
      <abilityName>全半角检查</abilityName>
      <candidateList>
        <item>(</item>
      </candidateList>
      <explain>文本全半角错误。</explain>
      <paraID>7445053D</paraID>
      <start>10</start>
      <end>11</end>
      <status>unmodified</status>
      <modifiedWord/>
      <trackRevisions>false</trackRevisions>
    </reviewItem>
    <reviewItem>
      <errorID>20d780bd-8237-4f14-9b76-4e4834a61b34</errorID>
      <errorWord>）</errorWord>
      <group>L1_Format</group>
      <groupName>格式问题</groupName>
      <ability>L2_HalfPunc</ability>
      <abilityName>全半角检查</abilityName>
      <candidateList>
        <item>)</item>
      </candidateList>
      <explain>文本全半角错误。</explain>
      <paraID>7445053D</paraID>
      <start>14</start>
      <end>15</end>
      <status>unmodified</status>
      <modifiedWord/>
      <trackRevisions>false</trackRevisions>
    </reviewItem>
    <reviewItem>
      <errorID>e73ace36-fd94-428a-b6f3-3c72890acd4e</errorID>
      <errorWord>(</errorWord>
      <group>L1_Format</group>
      <groupName>格式问题</groupName>
      <ability>L2_HalfPunc</ability>
      <abilityName>全半角检查</abilityName>
      <candidateList>
        <item>（</item>
      </candidateList>
      <explain>文本全半角错误。</explain>
      <paraID>358DC5B8</paraID>
      <start>37</start>
      <end>38</end>
      <status>unmodified</status>
      <modifiedWord/>
      <trackRevisions>false</trackRevisions>
    </reviewItem>
    <reviewItem>
      <errorID>62ec1be8-5d9e-4eb6-ba34-6968ca4df33b</errorID>
      <errorWord>)</errorWord>
      <group>L1_Format</group>
      <groupName>格式问题</groupName>
      <ability>L2_HalfPunc</ability>
      <abilityName>全半角检查</abilityName>
      <candidateList>
        <item>）</item>
      </candidateList>
      <explain>文本全半角错误。</explain>
      <paraID>358DC5B8</paraID>
      <start>49</start>
      <end>50</end>
      <status>unmodified</status>
      <modifiedWord/>
      <trackRevisions>false</trackRevisions>
    </reviewItem>
    <reviewItem>
      <errorID>a472ffca-9c52-4b8a-8f82-c7f636d8e45c</errorID>
      <errorWord>消防等</errorWord>
      <group>L1_Word</group>
      <groupName>字词问题</groupName>
      <ability>L2_Typo</ability>
      <abilityName>字词错误</abilityName>
      <candidateList>
        <item>消防</item>
      </candidateList>
      <explain/>
      <paraID>29404407</paraID>
      <start>131</start>
      <end>134</end>
      <status>unmodified</status>
      <modifiedWord/>
      <trackRevisions>false</trackRevisions>
    </reviewItem>
    <reviewItem>
      <errorID>6a68715d-e958-41e6-b6f2-ce2394de0a39</errorID>
      <errorWord>《建设项目环境风险评价技术导则（HJ169-2018）》</errorWord>
      <group>L1_Knowledge</group>
      <groupName>知识性问题</groupName>
      <ability>L2_Knowledge</ability>
      <abilityName>其他知识</abilityName>
      <candidateList>
        <item>《建设项目环境风险评价技术导则》（HJ169-2018）</item>
      </candidateList>
      <explain>疑似政策文件、法律法规名称等书写不规范，请注意检查。</explain>
      <paraID> BBFAF49</paraID>
      <start>2</start>
      <end>30</end>
      <status>unmodified</status>
      <modifiedWord/>
      <trackRevisions>false</trackRevisions>
    </reviewItem>
    <reviewItem>
      <errorID>f169b763-be3d-4637-9444-bafda3d64958</errorID>
      <errorWord>)</errorWord>
      <group>L1_Format</group>
      <groupName>格式问题</groupName>
      <ability>L2_HalfPunc</ability>
      <abilityName>全半角检查</abilityName>
      <candidateList>
        <item>）</item>
      </candidateList>
      <explain>文本全半角错误。</explain>
      <paraID> 7FC6D04</paraID>
      <start>13</start>
      <end>14</end>
      <status>unmodified</status>
      <modifiedWord/>
      <trackRevisions>false</trackRevisions>
    </reviewItem>
    <reviewItem>
      <errorID>e38e73e6-e461-49ab-92cd-a651c23772ff</errorID>
      <errorWord>)</errorWord>
      <group>L1_Format</group>
      <groupName>格式问题</groupName>
      <ability>L2_HalfPunc</ability>
      <abilityName>全半角检查</abilityName>
      <candidateList>
        <item>）</item>
      </candidateList>
      <explain>文本全半角错误。</explain>
      <paraID> 7FC6D04</paraID>
      <start>30</start>
      <end>31</end>
      <status>unmodified</status>
      <modifiedWord/>
      <trackRevisions>false</trackRevisions>
    </reviewItem>
    <reviewItem>
      <errorID>a417e4ba-6136-400a-ba3f-3592b7a0d227</errorID>
      <errorWord>。</errorWord>
      <group>L1_Format</group>
      <groupName>格式问题</groupName>
      <ability>L2_HalfPunc</ability>
      <abilityName>全半角检查</abilityName>
      <candidateList>
        <item>.</item>
      </candidateList>
      <explain>文本全半角错误。</explain>
      <paraID>79EEDD4F</paraID>
      <start>11</start>
      <end>12</end>
      <status>unmodified</status>
      <modifiedWord/>
      <trackRevisions>false</trackRevisions>
    </reviewItem>
    <reviewItem>
      <errorID>d2382745-6c4c-4206-b247-b7344f099e54</errorID>
      <errorWord>：</errorWord>
      <group>L1_Format</group>
      <groupName>格式问题</groupName>
      <ability>L2_HalfPunc</ability>
      <abilityName>全半角检查</abilityName>
      <candidateList>
        <item>:</item>
      </candidateList>
      <explain>文本全半角错误。</explain>
      <paraID>6E53D9AB</paraID>
      <start>4</start>
      <end>5</end>
      <status>unmodified</status>
      <modifiedWord/>
      <trackRevisions>false</trackRevisions>
    </reviewItem>
    <reviewItem>
      <errorID>2017a16e-d11c-4880-aa7f-ef7cf6f4107c</errorID>
      <errorWord>，</errorWord>
      <group>L1_Format</group>
      <groupName>格式问题</groupName>
      <ability>L2_HalfPunc</ability>
      <abilityName>全半角检查</abilityName>
      <candidateList>
        <item>,</item>
      </candidateList>
      <explain>文本全半角错误。</explain>
      <paraID>6E53D9AB</paraID>
      <start>12</start>
      <end>13</end>
      <status>unmodified</status>
      <modifiedWord/>
      <trackRevisions>false</trackRevisions>
    </reviewItem>
    <reviewItem>
      <errorID>51878d64-f19c-4019-ab77-735cbaaed865</errorID>
      <errorWord>：</errorWord>
      <group>L1_Format</group>
      <groupName>格式问题</groupName>
      <ability>L2_HalfPunc</ability>
      <abilityName>全半角检查</abilityName>
      <candidateList>
        <item>:</item>
      </candidateList>
      <explain>文本全半角错误。</explain>
      <paraID>76791F2E</paraID>
      <start>11</start>
      <end>12</end>
      <status>unmodified</status>
      <modifiedWord/>
      <trackRevisions>false</trackRevisions>
    </reviewItem>
    <reviewItem>
      <errorID>fc092a1d-d54c-47f1-849e-5400bdd182d7</errorID>
      <errorWord>：</errorWord>
      <group>L1_Format</group>
      <groupName>格式问题</groupName>
      <ability>L2_HalfPunc</ability>
      <abilityName>全半角检查</abilityName>
      <candidateList>
        <item>:</item>
      </candidateList>
      <explain>文本全半角错误。</explain>
      <paraID>66FA3FE9</paraID>
      <start>4</start>
      <end>5</end>
      <status>unmodified</status>
      <modifiedWord/>
      <trackRevisions>false</trackRevisions>
    </reviewItem>
    <reviewItem>
      <errorID>f3d05c6a-4efe-47c4-a239-99c9fa9845fa</errorID>
      <errorWord>：＞</errorWord>
      <group>L1_Format</group>
      <groupName>格式问题</groupName>
      <ability>L2_HalfPunc</ability>
      <abilityName>全半角检查</abilityName>
      <candidateList>
        <item>:&gt;</item>
      </candidateList>
      <explain>文本全半角错误。</explain>
      <paraID>261D3C27</paraID>
      <start>11</start>
      <end>13</end>
      <status>unmodified</status>
      <modifiedWord/>
      <trackRevisions>false</trackRevisions>
    </reviewItem>
    <reviewItem>
      <errorID>63193ca1-8175-4f9f-b2e0-9ebafc67359f</errorID>
      <errorWord>(</errorWord>
      <group>L1_Format</group>
      <groupName>格式问题</groupName>
      <ability>L2_HalfPunc</ability>
      <abilityName>全半角检查</abilityName>
      <candidateList>
        <item>（</item>
      </candidateList>
      <explain>文本全半角错误。</explain>
      <paraID>7486ABE2</paraID>
      <start>2</start>
      <end>3</end>
      <status>unmodified</status>
      <modifiedWord/>
      <trackRevisions>false</trackRevisions>
    </reviewItem>
    <reviewItem>
      <errorID>91a72ec5-1e8a-49d6-9d27-70afc60f6689</errorID>
      <errorWord>)</errorWord>
      <group>L1_Format</group>
      <groupName>格式问题</groupName>
      <ability>L2_HalfPunc</ability>
      <abilityName>全半角检查</abilityName>
      <candidateList>
        <item>）</item>
      </candidateList>
      <explain>文本全半角错误。</explain>
      <paraID>7486ABE2</paraID>
      <start>13</start>
      <end>14</end>
      <status>unmodified</status>
      <modifiedWord/>
      <trackRevisions>false</trackRevisions>
    </reviewItem>
    <reviewItem>
      <errorID>581778e9-fa8c-47ed-be2b-b0c5f3b41bad</errorID>
      <errorWord>(</errorWord>
      <group>L1_Format</group>
      <groupName>格式问题</groupName>
      <ability>L2_HalfPunc</ability>
      <abilityName>全半角检查</abilityName>
      <candidateList>
        <item>（</item>
      </candidateList>
      <explain>文本全半角错误。</explain>
      <paraID>12835573</paraID>
      <start>2</start>
      <end>3</end>
      <status>unmodified</status>
      <modifiedWord/>
      <trackRevisions>false</trackRevisions>
    </reviewItem>
    <reviewItem>
      <errorID>8496b792-c6e8-49b1-952b-4c801ae2f7a4</errorID>
      <errorWord>)</errorWord>
      <group>L1_Format</group>
      <groupName>格式问题</groupName>
      <ability>L2_HalfPunc</ability>
      <abilityName>全半角检查</abilityName>
      <candidateList>
        <item>）</item>
      </candidateList>
      <explain>文本全半角错误。</explain>
      <paraID>12835573</paraID>
      <start>5</start>
      <end>6</end>
      <status>unmodified</status>
      <modifiedWord/>
      <trackRevisions>false</trackRevisions>
    </reviewItem>
    <reviewItem>
      <errorID>ad35cca6-8a43-4045-9cf2-ec0f82b2f47b</errorID>
      <errorWord>(</errorWord>
      <group>L1_Format</group>
      <groupName>格式问题</groupName>
      <ability>L2_HalfPunc</ability>
      <abilityName>全半角检查</abilityName>
      <candidateList>
        <item>（</item>
      </candidateList>
      <explain>文本全半角错误。</explain>
      <paraID>2373DE4C</paraID>
      <start>2</start>
      <end>3</end>
      <status>unmodified</status>
      <modifiedWord/>
      <trackRevisions>false</trackRevisions>
    </reviewItem>
    <reviewItem>
      <errorID>52995817-0746-4aef-b6d3-6754f99b2936</errorID>
      <errorWord>)</errorWord>
      <group>L1_Format</group>
      <groupName>格式问题</groupName>
      <ability>L2_HalfPunc</ability>
      <abilityName>全半角检查</abilityName>
      <candidateList>
        <item>）</item>
      </candidateList>
      <explain>文本全半角错误。</explain>
      <paraID>2373DE4C</paraID>
      <start>5</start>
      <end>6</end>
      <status>unmodified</status>
      <modifiedWord/>
      <trackRevisions>false</trackRevisions>
    </reviewItem>
    <reviewItem>
      <errorID>5e98ecc5-fba6-4cca-979e-625f7d514e43</errorID>
      <errorWord>操作失误码</errorWord>
      <group>L1_Word</group>
      <groupName>字词问题</groupName>
      <ability>L2_Typo</ability>
      <abilityName>字词错误</abilityName>
      <candidateList>
        <item>操作失误</item>
      </candidateList>
      <explain/>
      <paraID>779721F4</paraID>
      <start>12</start>
      <end>16</end>
      <status>modified</status>
      <modifiedWord>操作失误</modifiedWord>
      <trackRevisions>false</trackRevisions>
    </reviewItem>
    <reviewItem>
      <errorID>db0207d4-5650-4b40-9ab3-89260d95cde7</errorID>
      <errorWord>其它</errorWord>
      <group>L1_Word</group>
      <groupName>字词问题</groupName>
      <ability>L2_Alias</ability>
      <abilityName>也作/曾用词</abilityName>
      <candidateList>
        <item>其他</item>
      </candidateList>
      <explain>词汇[其它]为不规范表述或旧称，其规范书面表述为[其他]。</explain>
      <paraID>779721F4</paraID>
      <start>19</start>
      <end>21</end>
      <status>modified</status>
      <modifiedWord>其他</modifiedWord>
      <trackRevisions>false</trackRevisions>
    </reviewItem>
    <reviewItem>
      <errorID>b910565c-434e-4024-943d-01f80851ed88</errorID>
      <errorWord>況</errorWord>
      <group>L1_Word</group>
      <groupName>字词问题</groupName>
      <ability>L2_Fanti</ability>
      <abilityName>繁转简</abilityName>
      <candidateList>
        <item>况</item>
      </candidateList>
      <explain/>
      <paraID>7ACDE45C</paraID>
      <start>22</start>
      <end>23</end>
      <status>unmodified</status>
      <modifiedWord/>
      <trackRevisions>false</trackRevisions>
    </reviewItem>
    <reviewItem>
      <errorID>e1ccda15-2017-496c-bf3f-39d5f9388ea6</errorID>
      <errorWord>载</errorWord>
      <group>L1_Word</group>
      <groupName>字词问题</groupName>
      <ability>L2_Typo</ability>
      <abilityName>字词错误</abilityName>
      <candidateList>
        <item>在</item>
      </candidateList>
      <explain>❶〈动〉存在；生存：精神永～｜留得青山～，不怕没柴烧｜父母都～。❷〈动〉表示人或事物的位置：我今天晚上不～厂里｜你的钢笔～桌子上呢。❸〈动〉留在：～职｜～位。❹〈动〉参加（某团体）；属于（某团体）：～党｜～组织。❺〈动〉在于；决定于：事～人为｜学习好，主要～自己努力。❻“在”和“所”连用，表示强调，下面多连“不”：～所不辞｜～所不惜｜～所不计｜～所难免。</explain>
      <paraID>25AFAA34</paraID>
      <start>114</start>
      <end>115</end>
      <status>unmodified</status>
      <modifiedWord/>
      <trackRevisions>false</trackRevisions>
    </reviewItem>
    <reviewItem>
      <errorID>db93620f-5949-4bfa-9460-aaec0082ae48</errorID>
      <errorWord>~</errorWord>
      <group>L1_Format</group>
      <groupName>格式问题</groupName>
      <ability>L2_HalfPunc</ability>
      <abilityName>全半角检查</abilityName>
      <candidateList>
        <item>～</item>
      </candidateList>
      <explain>文本全半角错误。</explain>
      <paraID>1F0316B6</paraID>
      <start>1</start>
      <end>2</end>
      <status>unmodified</status>
      <modifiedWord/>
      <trackRevisions>false</trackRevisions>
    </reviewItem>
    <reviewItem>
      <errorID>237c9c72-96ca-42f8-8d0d-466a39ae5de2</errorID>
      <errorWord>~</errorWord>
      <group>L1_Format</group>
      <groupName>格式问题</groupName>
      <ability>L2_HalfPunc</ability>
      <abilityName>全半角检查</abilityName>
      <candidateList>
        <item>～</item>
      </candidateList>
      <explain>文本全半角错误。</explain>
      <paraID>548B1830</paraID>
      <start>1</start>
      <end>2</end>
      <status>unmodified</status>
      <modifiedWord/>
      <trackRevisions>false</trackRevisions>
    </reviewItem>
    <reviewItem>
      <errorID>fbf17637-3171-4bd5-8b63-56aab94bad09</errorID>
      <errorWord>~</errorWord>
      <group>L1_Format</group>
      <groupName>格式问题</groupName>
      <ability>L2_HalfPunc</ability>
      <abilityName>全半角检查</abilityName>
      <candidateList>
        <item>～</item>
      </candidateList>
      <explain>文本全半角错误。</explain>
      <paraID>16EA7D07</paraID>
      <start>1</start>
      <end>2</end>
      <status>unmodified</status>
      <modifiedWord/>
      <trackRevisions>false</trackRevisions>
    </reviewItem>
    <reviewItem>
      <errorID>8dd32c37-a5f1-481a-a79f-a791224dc214</errorID>
      <errorWord>~</errorWord>
      <group>L1_Format</group>
      <groupName>格式问题</groupName>
      <ability>L2_HalfPunc</ability>
      <abilityName>全半角检查</abilityName>
      <candidateList>
        <item>～</item>
      </candidateList>
      <explain>文本全半角错误。</explain>
      <paraID>52C613C3</paraID>
      <start>1</start>
      <end>2</end>
      <status>unmodified</status>
      <modifiedWord/>
      <trackRevisions>false</trackRevisions>
    </reviewItem>
    <reviewItem>
      <errorID>b0ece69a-4e03-48dd-9666-7272451bdc58</errorID>
      <errorWord>~</errorWord>
      <group>L1_Format</group>
      <groupName>格式问题</groupName>
      <ability>L2_HalfPunc</ability>
      <abilityName>全半角检查</abilityName>
      <candidateList>
        <item>～</item>
      </candidateList>
      <explain>文本全半角错误。</explain>
      <paraID>194F6019</paraID>
      <start>1</start>
      <end>2</end>
      <status>unmodified</status>
      <modifiedWord/>
      <trackRevisions>false</trackRevisions>
    </reviewItem>
    <reviewItem>
      <errorID>4b027814-b929-49ae-b3dc-1dc3602c9d5b</errorID>
      <errorWord>~</errorWord>
      <group>L1_Format</group>
      <groupName>格式问题</groupName>
      <ability>L2_HalfPunc</ability>
      <abilityName>全半角检查</abilityName>
      <candidateList>
        <item>～</item>
      </candidateList>
      <explain>文本全半角错误。</explain>
      <paraID>15264C31</paraID>
      <start>1</start>
      <end>2</end>
      <status>unmodified</status>
      <modifiedWord/>
      <trackRevisions>false</trackRevisions>
    </reviewItem>
    <reviewItem>
      <errorID>4f1bcf7a-0ec1-49f7-81ff-f9f180379996</errorID>
      <errorWord>~</errorWord>
      <group>L1_Format</group>
      <groupName>格式问题</groupName>
      <ability>L2_HalfPunc</ability>
      <abilityName>全半角检查</abilityName>
      <candidateList>
        <item>～</item>
      </candidateList>
      <explain>文本全半角错误。</explain>
      <paraID>78B54758</paraID>
      <start>1</start>
      <end>2</end>
      <status>unmodified</status>
      <modifiedWord/>
      <trackRevisions>false</trackRevisions>
    </reviewItem>
    <reviewItem>
      <errorID>2924f13b-d105-41cc-8cc7-e06709e7dca9</errorID>
      <errorWord>~</errorWord>
      <group>L1_Format</group>
      <groupName>格式问题</groupName>
      <ability>L2_HalfPunc</ability>
      <abilityName>全半角检查</abilityName>
      <candidateList>
        <item>～</item>
      </candidateList>
      <explain>文本全半角错误。</explain>
      <paraID>5D7EF361</paraID>
      <start>1</start>
      <end>2</end>
      <status>unmodified</status>
      <modifiedWord/>
      <trackRevisions>false</trackRevisions>
    </reviewItem>
    <reviewItem>
      <errorID>f799525e-667f-447d-8ec8-4ddbe4d942ff</errorID>
      <errorWord>常压常压</errorWord>
      <group>L1_Word</group>
      <groupName>字词问题</groupName>
      <ability>L2_Typo</ability>
      <abilityName>字词错误</abilityName>
      <candidateList>
        <item>常压</item>
      </candidateList>
      <explain/>
      <paraID>3D67EC47</paraID>
      <start>12</start>
      <end>14</end>
      <status>modified</status>
      <modifiedWord>常压</modifiedWord>
      <trackRevisions>false</trackRevisions>
    </reviewItem>
    <reviewItem>
      <errorID>ab1ca1d2-7cbc-46cc-b54d-bd9794f7dfc0</errorID>
      <errorWord>重点浓度</errorWord>
      <group>L1_Word</group>
      <groupName>字词问题</groupName>
      <ability>L2_Typo</ability>
      <abilityName>字词错误</abilityName>
      <candidateList>
        <item>终点浓度</item>
      </candidateList>
      <explain/>
      <paraID>16AE2A0C</paraID>
      <start>22</start>
      <end>26</end>
      <status>unmodified</status>
      <modifiedWord/>
      <trackRevisions>false</trackRevisions>
    </reviewItem>
    <reviewItem>
      <errorID>679a01d1-85f9-4fe6-9827-afa5151604b1</errorID>
      <errorWord>后可</errorWord>
      <group>L1_Word</group>
      <groupName>字词问题</groupName>
      <ability>L2_Typo</ability>
      <abilityName>字词错误</abilityName>
      <candidateList>
        <item>后</item>
      </candidateList>
      <explain>❶君主的妻子：皇～｜～妃。❷古代称君主：商之先～。❸（Hòu）〈名〉姓。</explain>
      <paraID>3D3FCBF2</paraID>
      <start>2</start>
      <end>4</end>
      <status>unmodified</status>
      <modifiedWord/>
      <trackRevisions>false</trackRevisions>
    </reviewItem>
    <reviewItem>
      <errorID>3dc9da99-fc84-49d9-8275-33e864b89514</errorID>
      <errorWord>年内的</errorWord>
      <group>L1_Word</group>
      <groupName>字词问题</groupName>
      <ability>L2_Typo</ability>
      <abilityName>字词错误</abilityName>
      <candidateList>
        <item>年内</item>
      </candidateList>
      <explain/>
      <paraID>5FF1D3B9</paraID>
      <start>119</start>
      <end>122</end>
      <status>unmodified</status>
      <modifiedWord/>
      <trackRevisions>false</trackRevisions>
    </reviewItem>
    <reviewItem>
      <errorID>66d638c9-d6a5-467a-a8d7-60e334542d49</errorID>
      <errorWord>（</errorWord>
      <group>L1_Format</group>
      <groupName>格式问题</groupName>
      <ability>L2_HalfPunc</ability>
      <abilityName>全半角检查</abilityName>
      <candidateList>
        <item>(</item>
      </candidateList>
      <explain>文本全半角错误。</explain>
      <paraID>48E08488</paraID>
      <start>4</start>
      <end>5</end>
      <status>unmodified</status>
      <modifiedWord/>
      <trackRevisions>false</trackRevisions>
    </reviewItem>
    <reviewItem>
      <errorID>8bc7df1d-b513-4eb9-84d9-5582435b992e</errorID>
      <errorWord>）</errorWord>
      <group>L1_Format</group>
      <groupName>格式问题</groupName>
      <ability>L2_HalfPunc</ability>
      <abilityName>全半角检查</abilityName>
      <candidateList>
        <item>)</item>
      </candidateList>
      <explain>文本全半角错误。</explain>
      <paraID>48E08488</paraID>
      <start>11</start>
      <end>12</end>
      <status>unmodified</status>
      <modifiedWord/>
      <trackRevisions>false</trackRevisions>
    </reviewItem>
    <reviewItem>
      <errorID>bf4af145-3926-41a0-8ed7-8fdcdcc8a7b0</errorID>
      <errorWord>（</errorWord>
      <group>L1_Format</group>
      <groupName>格式问题</groupName>
      <ability>L2_HalfPunc</ability>
      <abilityName>全半角检查</abilityName>
      <candidateList>
        <item>(</item>
      </candidateList>
      <explain>文本全半角错误。</explain>
      <paraID>2E2C4469</paraID>
      <start>1</start>
      <end>2</end>
      <status>unmodified</status>
      <modifiedWord/>
      <trackRevisions>false</trackRevisions>
    </reviewItem>
    <reviewItem>
      <errorID>c60092f8-808c-4ab3-aaa9-d0b86e5004ac</errorID>
      <errorWord>）</errorWord>
      <group>L1_Format</group>
      <groupName>格式问题</groupName>
      <ability>L2_HalfPunc</ability>
      <abilityName>全半角检查</abilityName>
      <candidateList>
        <item>)</item>
      </candidateList>
      <explain>文本全半角错误。</explain>
      <paraID>2E2C4469</paraID>
      <start>4</start>
      <end>5</end>
      <status>unmodified</status>
      <modifiedWord/>
      <trackRevisions>false</trackRevisions>
    </reviewItem>
    <reviewItem>
      <errorID>b10007e9-8dcb-48fa-acac-9df0b4f5cafa</errorID>
      <errorWord>（</errorWord>
      <group>L1_Format</group>
      <groupName>格式问题</groupName>
      <ability>L2_HalfPunc</ability>
      <abilityName>全半角检查</abilityName>
      <candidateList>
        <item>(</item>
      </candidateList>
      <explain>文本全半角错误。</explain>
      <paraID>73493108</paraID>
      <start>1</start>
      <end>2</end>
      <status>unmodified</status>
      <modifiedWord/>
      <trackRevisions>false</trackRevisions>
    </reviewItem>
    <reviewItem>
      <errorID>54f6ccaf-e019-4b3b-8da1-ac1f7bed2538</errorID>
      <errorWord>）</errorWord>
      <group>L1_Format</group>
      <groupName>格式问题</groupName>
      <ability>L2_HalfPunc</ability>
      <abilityName>全半角检查</abilityName>
      <candidateList>
        <item>)</item>
      </candidateList>
      <explain>文本全半角错误。</explain>
      <paraID>73493108</paraID>
      <start>8</start>
      <end>9</end>
      <status>unmodified</status>
      <modifiedWord/>
      <trackRevisions>false</trackRevisions>
    </reviewItem>
    <reviewItem>
      <errorID>0010834e-b82a-45ec-9283-1d2f152e2ea6</errorID>
      <errorWord>（</errorWord>
      <group>L1_Format</group>
      <groupName>格式问题</groupName>
      <ability>L2_HalfPunc</ability>
      <abilityName>全半角检查</abilityName>
      <candidateList>
        <item>(</item>
      </candidateList>
      <explain>文本全半角错误。</explain>
      <paraID>59EAE548</paraID>
      <start>1</start>
      <end>2</end>
      <status>unmodified</status>
      <modifiedWord/>
      <trackRevisions>false</trackRevisions>
    </reviewItem>
    <reviewItem>
      <errorID>f7cf6409-214b-4cfb-90c2-f0219a2d644a</errorID>
      <errorWord>）</errorWord>
      <group>L1_Format</group>
      <groupName>格式问题</groupName>
      <ability>L2_HalfPunc</ability>
      <abilityName>全半角检查</abilityName>
      <candidateList>
        <item>)</item>
      </candidateList>
      <explain>文本全半角错误。</explain>
      <paraID>59EAE548</paraID>
      <start>3</start>
      <end>4</end>
      <status>unmodified</status>
      <modifiedWord/>
      <trackRevisions>false</trackRevisions>
    </reviewItem>
    <reviewItem>
      <errorID>a6d6134f-0469-42bc-af0f-ad7c8a8e0fa0</errorID>
      <errorWord>（</errorWord>
      <group>L1_Format</group>
      <groupName>格式问题</groupName>
      <ability>L2_HalfPunc</ability>
      <abilityName>全半角检查</abilityName>
      <candidateList>
        <item>(</item>
      </candidateList>
      <explain>文本全半角错误。</explain>
      <paraID>236AF238</paraID>
      <start>2</start>
      <end>3</end>
      <status>unmodified</status>
      <modifiedWord/>
      <trackRevisions>false</trackRevisions>
    </reviewItem>
    <reviewItem>
      <errorID>15f908cf-d161-4e75-98b7-3c5cc6a02918</errorID>
      <errorWord>）</errorWord>
      <group>L1_Format</group>
      <groupName>格式问题</groupName>
      <ability>L2_HalfPunc</ability>
      <abilityName>全半角检查</abilityName>
      <candidateList>
        <item>)</item>
      </candidateList>
      <explain>文本全半角错误。</explain>
      <paraID>236AF238</paraID>
      <start>7</start>
      <end>8</end>
      <status>unmodified</status>
      <modifiedWord/>
      <trackRevisions>false</trackRevisions>
    </reviewItem>
    <reviewItem>
      <errorID>c5a93410-4b65-4f33-be9e-3d3f7ab5b3d6</errorID>
      <errorWord>（</errorWord>
      <group>L1_Format</group>
      <groupName>格式问题</groupName>
      <ability>L2_HalfPunc</ability>
      <abilityName>全半角检查</abilityName>
      <candidateList>
        <item>(</item>
      </candidateList>
      <explain>文本全半角错误。</explain>
      <paraID>4DA94BE9</paraID>
      <start>1</start>
      <end>2</end>
      <status>unmodified</status>
      <modifiedWord/>
      <trackRevisions>false</trackRevisions>
    </reviewItem>
    <reviewItem>
      <errorID>9e724dc7-7d18-43a6-956a-5e69f3058625</errorID>
      <errorWord>）</errorWord>
      <group>L1_Format</group>
      <groupName>格式问题</groupName>
      <ability>L2_HalfPunc</ability>
      <abilityName>全半角检查</abilityName>
      <candidateList>
        <item>)</item>
      </candidateList>
      <explain>文本全半角错误。</explain>
      <paraID>4DA94BE9</paraID>
      <start>3</start>
      <end>4</end>
      <status>unmodified</status>
      <modifiedWord/>
      <trackRevisions>false</trackRevisions>
    </reviewItem>
    <reviewItem>
      <errorID>66969fe6-553e-4a1a-b6cb-45076a9d1bc5</errorID>
      <errorWord>（</errorWord>
      <group>L1_Format</group>
      <groupName>格式问题</groupName>
      <ability>L2_HalfPunc</ability>
      <abilityName>全半角检查</abilityName>
      <candidateList>
        <item>(</item>
      </candidateList>
      <explain>文本全半角错误。</explain>
      <paraID>21B66B2C</paraID>
      <start>1</start>
      <end>2</end>
      <status>unmodified</status>
      <modifiedWord/>
      <trackRevisions>false</trackRevisions>
    </reviewItem>
    <reviewItem>
      <errorID>2b5539ed-d406-4529-b5b8-a37b2f968311</errorID>
      <errorWord>）</errorWord>
      <group>L1_Format</group>
      <groupName>格式问题</groupName>
      <ability>L2_HalfPunc</ability>
      <abilityName>全半角检查</abilityName>
      <candidateList>
        <item>)</item>
      </candidateList>
      <explain>文本全半角错误。</explain>
      <paraID>21B66B2C</paraID>
      <start>5</start>
      <end>6</end>
      <status>unmodified</status>
      <modifiedWord/>
      <trackRevisions>false</trackRevisions>
    </reviewItem>
    <reviewItem>
      <errorID>e175dc85-390a-4d90-ae6f-3f99a71f05b6</errorID>
      <errorWord>（</errorWord>
      <group>L1_Format</group>
      <groupName>格式问题</groupName>
      <ability>L2_HalfPunc</ability>
      <abilityName>全半角检查</abilityName>
      <candidateList>
        <item>(</item>
      </candidateList>
      <explain>文本全半角错误。</explain>
      <paraID>13C98C93</paraID>
      <start>1</start>
      <end>2</end>
      <status>unmodified</status>
      <modifiedWord/>
      <trackRevisions>false</trackRevisions>
    </reviewItem>
    <reviewItem>
      <errorID>5e84d19f-30f1-4fda-b455-f95bb90e392a</errorID>
      <errorWord>）</errorWord>
      <group>L1_Format</group>
      <groupName>格式问题</groupName>
      <ability>L2_HalfPunc</ability>
      <abilityName>全半角检查</abilityName>
      <candidateList>
        <item>)</item>
      </candidateList>
      <explain>文本全半角错误。</explain>
      <paraID>13C98C93</paraID>
      <start>3</start>
      <end>4</end>
      <status>unmodified</status>
      <modifiedWord/>
      <trackRevisions>false</trackRevisions>
    </reviewItem>
    <reviewItem>
      <errorID>949dff4c-341c-4baf-9d36-2640f0dcb87d</errorID>
      <errorWord>（</errorWord>
      <group>L1_Format</group>
      <groupName>格式问题</groupName>
      <ability>L2_HalfPunc</ability>
      <abilityName>全半角检查</abilityName>
      <candidateList>
        <item>(</item>
      </candidateList>
      <explain>文本全半角错误。</explain>
      <paraID>3AC95DC1</paraID>
      <start>1</start>
      <end>2</end>
      <status>unmodified</status>
      <modifiedWord/>
      <trackRevisions>false</trackRevisions>
    </reviewItem>
    <reviewItem>
      <errorID>9394b0b6-5ad4-400c-bf1c-28eab7802979</errorID>
      <errorWord>）</errorWord>
      <group>L1_Format</group>
      <groupName>格式问题</groupName>
      <ability>L2_HalfPunc</ability>
      <abilityName>全半角检查</abilityName>
      <candidateList>
        <item>)</item>
      </candidateList>
      <explain>文本全半角错误。</explain>
      <paraID>3AC95DC1</paraID>
      <start>5</start>
      <end>6</end>
      <status>unmodified</status>
      <modifiedWord/>
      <trackRevisions>false</trackRevisions>
    </reviewItem>
    <reviewItem>
      <errorID>5dcb0504-5798-4e5c-83bb-af76a859a78a</errorID>
      <errorWord>（</errorWord>
      <group>L1_Format</group>
      <groupName>格式问题</groupName>
      <ability>L2_HalfPunc</ability>
      <abilityName>全半角检查</abilityName>
      <candidateList>
        <item>(</item>
      </candidateList>
      <explain>文本全半角错误。</explain>
      <paraID>4E76EB28</paraID>
      <start>2</start>
      <end>3</end>
      <status>unmodified</status>
      <modifiedWord/>
      <trackRevisions>false</trackRevisions>
    </reviewItem>
    <reviewItem>
      <errorID>813f127a-d3f2-41c6-8f5c-c7e9d462f42a</errorID>
      <errorWord>）</errorWord>
      <group>L1_Format</group>
      <groupName>格式问题</groupName>
      <ability>L2_HalfPunc</ability>
      <abilityName>全半角检查</abilityName>
      <candidateList>
        <item>)</item>
      </candidateList>
      <explain>文本全半角错误。</explain>
      <paraID>4E76EB28</paraID>
      <start>7</start>
      <end>8</end>
      <status>unmodified</status>
      <modifiedWord/>
      <trackRevisions>false</trackRevisions>
    </reviewItem>
    <reviewItem>
      <errorID>0b52481d-f555-4dc5-910e-b8d8bd9b903e</errorID>
      <errorWord>、</errorWord>
      <group>L1_Punc</group>
      <groupName>标点问题</groupName>
      <ability>L2_Punc</ability>
      <abilityName>标点符号检查</abilityName>
      <candidateList>
        <item>.</item>
      </candidateList>
      <explain/>
      <paraID> 7108931</paraID>
      <start>1</start>
      <end>2</end>
      <status>unmodified</status>
      <modifiedWord/>
      <trackRevisions>false</trackRevisions>
    </reviewItem>
    <reviewItem>
      <errorID>fe7c9fd0-8055-43fb-b546-4850f18fd8c6</errorID>
      <errorWord>、</errorWord>
      <group>L1_Punc</group>
      <groupName>标点问题</groupName>
      <ability>L2_Punc</ability>
      <abilityName>标点符号检查</abilityName>
      <candidateList>
        <item>.</item>
      </candidateList>
      <explain/>
      <paraID>54F5139F</paraID>
      <start>1</start>
      <end>2</end>
      <status>unmodified</status>
      <modifiedWord/>
      <trackRevisions>false</trackRevisions>
    </reviewItem>
    <reviewItem>
      <errorID>2002f2c7-4622-4344-90a5-65380ab5d5fa</errorID>
      <errorWord>泄露</errorWord>
      <group>L1_Word</group>
      <groupName>字词问题</groupName>
      <ability>L2_Typo</ability>
      <abilityName>字词错误</abilityName>
      <candidateList>
        <item>泄漏</item>
      </candidateList>
      <explain>存在发音相同字词的误用。</explain>
      <paraID>497D3310</paraID>
      <start>2</start>
      <end>4</end>
      <status>unmodified</status>
      <modifiedWord/>
      <trackRevisions>false</trackRevisions>
    </reviewItem>
    <reviewItem>
      <errorID>e8e1ca76-be0e-4c1d-b191-545328e392a7</errorID>
      <errorWord>泄露</errorWord>
      <group>L1_Word</group>
      <groupName>字词问题</groupName>
      <ability>L2_Typo</ability>
      <abilityName>字词错误</abilityName>
      <candidateList>
        <item>泄漏</item>
      </candidateList>
      <explain/>
      <paraID>4F07451C</paraID>
      <start>58</start>
      <end>60</end>
      <status>unmodified</status>
      <modifiedWord/>
      <trackRevisions>false</trackRevisions>
    </reviewItem>
    <reviewItem>
      <errorID>a831e8e7-cb55-4882-9a82-e47b470409ed</errorID>
      <errorWord>案</errorWord>
      <group>L1_Word</group>
      <groupName>字词问题</groupName>
      <ability>L2_Typo</ability>
      <abilityName>字词错误</abilityName>
      <candidateList>
        <item>按</item>
      </candidateList>
      <explain>存在发音相同字词的误用。</explain>
      <paraID>4DE82A68</paraID>
      <start>119</start>
      <end>120</end>
      <status>unmodified</status>
      <modifiedWord/>
      <trackRevisions>false</trackRevisions>
    </reviewItem>
    <reviewItem>
      <errorID>0767beeb-6844-4c10-b4f0-16949bc0fbe7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67DC616</paraID>
      <start>0</start>
      <end>2</end>
      <status>unmodified</status>
      <modifiedWord/>
      <trackRevisions>false</trackRevisions>
    </reviewItem>
    <reviewItem>
      <errorID>1c355fe9-228c-4a46-b257-58beebab3738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36C37B32</paraID>
      <start>0</start>
      <end>2</end>
      <status>unmodified</status>
      <modifiedWord/>
      <trackRevisions>false</trackRevisions>
    </reviewItem>
    <reviewItem>
      <errorID>ab76f97a-e0e3-4f2c-844c-60b8c64c9dc0</errorID>
      <errorWord>分</errorWord>
      <group>L1_Word</group>
      <groupName>字词问题</groupName>
      <ability>L2_Typo</ability>
      <abilityName>字词错误</abilityName>
      <candidateList>
        <item>分为</item>
      </candidateList>
      <explain/>
      <paraID>598A914D</paraID>
      <start>49</start>
      <end>50</end>
      <status>unmodified</status>
      <modifiedWord/>
      <trackRevisions>false</trackRevisions>
    </reviewItem>
    <reviewItem>
      <errorID>c041c524-cec7-48f9-a385-df85a09d9d07</errorID>
      <errorWord>距</errorWord>
      <group>L1_Word</group>
      <groupName>字词问题</groupName>
      <ability>L2_Typo</ability>
      <abilityName>字词错误</abilityName>
      <candidateList>
        <item>距离</item>
      </candidateList>
      <explain>❶〈动〉在空间或时间上相隔：天津～北京约有一百二十公里｜现在～唐代已经有一千多年。❷〈名〉相隔的长度：等～｜拉开一定的～◇他的看法和你有～。</explain>
      <paraID>66F252CF</paraID>
      <start>3</start>
      <end>4</end>
      <status>unmodified</status>
      <modifiedWord/>
      <trackRevisions>false</trackRevisions>
    </reviewItem>
    <reviewItem>
      <errorID>c80bd8b9-e999-4f43-a252-4a4df2081b84</errorID>
      <errorWord>(</errorWord>
      <group>L1_Format</group>
      <groupName>格式问题</groupName>
      <ability>L2_HalfPunc</ability>
      <abilityName>全半角检查</abilityName>
      <candidateList>
        <item>（</item>
      </candidateList>
      <explain>文本全半角错误。</explain>
      <paraID>795FB147</paraID>
      <start>41</start>
      <end>42</end>
      <status>unmodified</status>
      <modifiedWord/>
      <trackRevisions>false</trackRevisions>
    </reviewItem>
    <reviewItem>
      <errorID>df0afc78-729b-4353-81d8-d1187d91de74</errorID>
      <errorWord>)</errorWord>
      <group>L1_Format</group>
      <groupName>格式问题</groupName>
      <ability>L2_HalfPunc</ability>
      <abilityName>全半角检查</abilityName>
      <candidateList>
        <item>）</item>
      </candidateList>
      <explain>文本全半角错误。</explain>
      <paraID>795FB147</paraID>
      <start>44</start>
      <end>45</end>
      <status>unmodified</status>
      <modifiedWord/>
      <trackRevisions>false</trackRevisions>
    </reviewItem>
    <reviewItem>
      <errorID>0e666814-5eaa-41d7-a29d-4157d9d99c05</errorID>
      <errorWord>重点浓度</errorWord>
      <group>L1_Word</group>
      <groupName>字词问题</groupName>
      <ability>L2_Typo</ability>
      <abilityName>字词错误</abilityName>
      <candidateList>
        <item>终点浓度</item>
      </candidateList>
      <explain/>
      <paraID>355F4081</paraID>
      <start>16</start>
      <end>20</end>
      <status>unmodified</status>
      <modifiedWord/>
      <trackRevisions>false</trackRevisions>
    </reviewItem>
    <reviewItem>
      <errorID>db641c8c-b8b0-402e-8914-8602ed0d5754</errorID>
      <errorWord>(</errorWord>
      <group>L1_Format</group>
      <groupName>格式问题</groupName>
      <ability>L2_HalfPunc</ability>
      <abilityName>全半角检查</abilityName>
      <candidateList>
        <item>（</item>
      </candidateList>
      <explain>文本全半角错误。</explain>
      <paraID>1C66739C</paraID>
      <start>2</start>
      <end>3</end>
      <status>unmodified</status>
      <modifiedWord/>
      <trackRevisions>false</trackRevisions>
    </reviewItem>
    <reviewItem>
      <errorID>e57b24c4-17c9-437e-9cec-e651873455fa</errorID>
      <errorWord>)</errorWord>
      <group>L1_Format</group>
      <groupName>格式问题</groupName>
      <ability>L2_HalfPunc</ability>
      <abilityName>全半角检查</abilityName>
      <candidateList>
        <item>）</item>
      </candidateList>
      <explain>文本全半角错误。</explain>
      <paraID>1C66739C</paraID>
      <start>4</start>
      <end>5</end>
      <status>unmodified</status>
      <modifiedWord/>
      <trackRevisions>false</trackRevisions>
    </reviewItem>
    <reviewItem>
      <errorID>8f64c9ac-f2df-49d5-8814-875c816fe193</errorID>
      <errorWord>(</errorWord>
      <group>L1_Format</group>
      <groupName>格式问题</groupName>
      <ability>L2_HalfPunc</ability>
      <abilityName>全半角检查</abilityName>
      <candidateList>
        <item>（</item>
      </candidateList>
      <explain>文本全半角错误。</explain>
      <paraID>5FE90EE6</paraID>
      <start>6</start>
      <end>7</end>
      <status>unmodified</status>
      <modifiedWord/>
      <trackRevisions>false</trackRevisions>
    </reviewItem>
    <reviewItem>
      <errorID>d870aa9f-54aa-42ed-ac1c-ed385a2ade4f</errorID>
      <errorWord>)</errorWord>
      <group>L1_Format</group>
      <groupName>格式问题</groupName>
      <ability>L2_HalfPunc</ability>
      <abilityName>全半角检查</abilityName>
      <candidateList>
        <item>）</item>
      </candidateList>
      <explain>文本全半角错误。</explain>
      <paraID>5FE90EE6</paraID>
      <start>10</start>
      <end>11</end>
      <status>unmodified</status>
      <modifiedWord/>
      <trackRevisions>false</trackRevisions>
    </reviewItem>
    <reviewItem>
      <errorID>a5eb07e9-ef57-4a04-9f63-06d4e3bc42c8</errorID>
      <errorWord>(</errorWord>
      <group>L1_Format</group>
      <groupName>格式问题</groupName>
      <ability>L2_HalfPunc</ability>
      <abilityName>全半角检查</abilityName>
      <candidateList>
        <item>（</item>
      </candidateList>
      <explain>文本全半角错误。</explain>
      <paraID> AED87B1</paraID>
      <start>4</start>
      <end>5</end>
      <status>unmodified</status>
      <modifiedWord/>
      <trackRevisions>false</trackRevisions>
    </reviewItem>
    <reviewItem>
      <errorID>b8dce7c7-2106-4e0d-9cae-60d773f08d52</errorID>
      <errorWord>)</errorWord>
      <group>L1_Format</group>
      <groupName>格式问题</groupName>
      <ability>L2_HalfPunc</ability>
      <abilityName>全半角检查</abilityName>
      <candidateList>
        <item>）</item>
      </candidateList>
      <explain>文本全半角错误。</explain>
      <paraID> AED87B1</paraID>
      <start>10</start>
      <end>11</end>
      <status>unmodified</status>
      <modifiedWord/>
      <trackRevisions>false</trackRevisions>
    </reviewItem>
    <reviewItem>
      <errorID>588a6061-eb81-4e71-98b6-7f96b64a65aa</errorID>
      <errorWord>(</errorWord>
      <group>L1_Format</group>
      <groupName>格式问题</groupName>
      <ability>L2_HalfPunc</ability>
      <abilityName>全半角检查</abilityName>
      <candidateList>
        <item>（</item>
      </candidateList>
      <explain>文本全半角错误。</explain>
      <paraID>557B479F</paraID>
      <start>6</start>
      <end>7</end>
      <status>unmodified</status>
      <modifiedWord/>
      <trackRevisions>false</trackRevisions>
    </reviewItem>
    <reviewItem>
      <errorID>0d555403-3189-4b95-88cd-7b2574395829</errorID>
      <errorWord>)</errorWord>
      <group>L1_Format</group>
      <groupName>格式问题</groupName>
      <ability>L2_HalfPunc</ability>
      <abilityName>全半角检查</abilityName>
      <candidateList>
        <item>）</item>
      </candidateList>
      <explain>文本全半角错误。</explain>
      <paraID>557B479F</paraID>
      <start>10</start>
      <end>11</end>
      <status>unmodified</status>
      <modifiedWord/>
      <trackRevisions>false</trackRevisions>
    </reviewItem>
    <reviewItem>
      <errorID>61f9ce5a-4acb-4fcf-ba77-801f53839557</errorID>
      <errorWord>(</errorWord>
      <group>L1_Format</group>
      <groupName>格式问题</groupName>
      <ability>L2_HalfPunc</ability>
      <abilityName>全半角检查</abilityName>
      <candidateList>
        <item>（</item>
      </candidateList>
      <explain>文本全半角错误。</explain>
      <paraID>7577930C</paraID>
      <start>4</start>
      <end>5</end>
      <status>unmodified</status>
      <modifiedWord/>
      <trackRevisions>false</trackRevisions>
    </reviewItem>
    <reviewItem>
      <errorID>917cfc8b-5313-495e-b220-1a011d31157a</errorID>
      <errorWord>)</errorWord>
      <group>L1_Format</group>
      <groupName>格式问题</groupName>
      <ability>L2_HalfPunc</ability>
      <abilityName>全半角检查</abilityName>
      <candidateList>
        <item>）</item>
      </candidateList>
      <explain>文本全半角错误。</explain>
      <paraID>7577930C</paraID>
      <start>10</start>
      <end>11</end>
      <status>unmodified</status>
      <modifiedWord/>
      <trackRevisions>false</trackRevisions>
    </reviewItem>
    <reviewItem>
      <errorID>146b65b5-5c6b-455f-a127-d18aa61ee368</errorID>
      <errorWord>(</errorWord>
      <group>L1_Format</group>
      <groupName>格式问题</groupName>
      <ability>L2_HalfPunc</ability>
      <abilityName>全半角检查</abilityName>
      <candidateList>
        <item>（</item>
      </candidateList>
      <explain>文本全半角错误。</explain>
      <paraID> 7512FF8</paraID>
      <start>6</start>
      <end>7</end>
      <status>unmodified</status>
      <modifiedWord/>
      <trackRevisions>false</trackRevisions>
    </reviewItem>
    <reviewItem>
      <errorID>58130b79-283d-4d3c-9f99-7064382e58bc</errorID>
      <errorWord>)</errorWord>
      <group>L1_Format</group>
      <groupName>格式问题</groupName>
      <ability>L2_HalfPunc</ability>
      <abilityName>全半角检查</abilityName>
      <candidateList>
        <item>）</item>
      </candidateList>
      <explain>文本全半角错误。</explain>
      <paraID> 7512FF8</paraID>
      <start>10</start>
      <end>11</end>
      <status>unmodified</status>
      <modifiedWord/>
      <trackRevisions>false</trackRevisions>
    </reviewItem>
    <reviewItem>
      <errorID>9b309fb2-47f1-4c47-9388-f7437c834e36</errorID>
      <errorWord>(</errorWord>
      <group>L1_Format</group>
      <groupName>格式问题</groupName>
      <ability>L2_HalfPunc</ability>
      <abilityName>全半角检查</abilityName>
      <candidateList>
        <item>（</item>
      </candidateList>
      <explain>文本全半角错误。</explain>
      <paraID>50A9F344</paraID>
      <start>4</start>
      <end>5</end>
      <status>unmodified</status>
      <modifiedWord/>
      <trackRevisions>false</trackRevisions>
    </reviewItem>
    <reviewItem>
      <errorID>966940ab-9010-4479-bba3-d0062773355d</errorID>
      <errorWord>)</errorWord>
      <group>L1_Format</group>
      <groupName>格式问题</groupName>
      <ability>L2_HalfPunc</ability>
      <abilityName>全半角检查</abilityName>
      <candidateList>
        <item>）</item>
      </candidateList>
      <explain>文本全半角错误。</explain>
      <paraID>50A9F344</paraID>
      <start>10</start>
      <end>11</end>
      <status>unmodified</status>
      <modifiedWord/>
      <trackRevisions>false</trackRevisions>
    </reviewItem>
    <reviewItem>
      <errorID>a91ccd75-c489-471e-86a7-0ff74fce2673</errorID>
      <errorWord>(</errorWord>
      <group>L1_Format</group>
      <groupName>格式问题</groupName>
      <ability>L2_HalfPunc</ability>
      <abilityName>全半角检查</abilityName>
      <candidateList>
        <item>（</item>
      </candidateList>
      <explain>文本全半角错误。</explain>
      <paraID>22E65E0F</paraID>
      <start>6</start>
      <end>7</end>
      <status>unmodified</status>
      <modifiedWord/>
      <trackRevisions>false</trackRevisions>
    </reviewItem>
    <reviewItem>
      <errorID>df266859-9a1c-47b2-a1f1-7c8c0156e684</errorID>
      <errorWord>)</errorWord>
      <group>L1_Format</group>
      <groupName>格式问题</groupName>
      <ability>L2_HalfPunc</ability>
      <abilityName>全半角检查</abilityName>
      <candidateList>
        <item>）</item>
      </candidateList>
      <explain>文本全半角错误。</explain>
      <paraID>22E65E0F</paraID>
      <start>10</start>
      <end>11</end>
      <status>unmodified</status>
      <modifiedWord/>
      <trackRevisions>false</trackRevisions>
    </reviewItem>
    <reviewItem>
      <errorID>135fa7e2-2444-4691-87c9-22be43fd8e9d</errorID>
      <errorWord>(</errorWord>
      <group>L1_Format</group>
      <groupName>格式问题</groupName>
      <ability>L2_HalfPunc</ability>
      <abilityName>全半角检查</abilityName>
      <candidateList>
        <item>（</item>
      </candidateList>
      <explain>文本全半角错误。</explain>
      <paraID>7AB31D91</paraID>
      <start>4</start>
      <end>5</end>
      <status>unmodified</status>
      <modifiedWord/>
      <trackRevisions>false</trackRevisions>
    </reviewItem>
    <reviewItem>
      <errorID>53978c7f-b470-4b1e-b7e1-e4ac1b7d0176</errorID>
      <errorWord>)</errorWord>
      <group>L1_Format</group>
      <groupName>格式问题</groupName>
      <ability>L2_HalfPunc</ability>
      <abilityName>全半角检查</abilityName>
      <candidateList>
        <item>）</item>
      </candidateList>
      <explain>文本全半角错误。</explain>
      <paraID>7AB31D91</paraID>
      <start>10</start>
      <end>11</end>
      <status>unmodified</status>
      <modifiedWord/>
      <trackRevisions>false</trackRevisions>
    </reviewItem>
    <reviewItem>
      <errorID>51568dd5-5f09-4437-a0a1-f840b66ec955</errorID>
      <errorWord>(</errorWord>
      <group>L1_Format</group>
      <groupName>格式问题</groupName>
      <ability>L2_HalfPunc</ability>
      <abilityName>全半角检查</abilityName>
      <candidateList>
        <item>（</item>
      </candidateList>
      <explain>文本全半角错误。</explain>
      <paraID>2B9C36E5</paraID>
      <start>6</start>
      <end>7</end>
      <status>unmodified</status>
      <modifiedWord/>
      <trackRevisions>false</trackRevisions>
    </reviewItem>
    <reviewItem>
      <errorID>ab0e604c-e029-41d5-b431-31941fdccb45</errorID>
      <errorWord>)</errorWord>
      <group>L1_Format</group>
      <groupName>格式问题</groupName>
      <ability>L2_HalfPunc</ability>
      <abilityName>全半角检查</abilityName>
      <candidateList>
        <item>）</item>
      </candidateList>
      <explain>文本全半角错误。</explain>
      <paraID>2B9C36E5</paraID>
      <start>10</start>
      <end>11</end>
      <status>unmodified</status>
      <modifiedWord/>
      <trackRevisions>false</trackRevisions>
    </reviewItem>
    <reviewItem>
      <errorID>3c3fc652-50fe-483a-8d37-1b72f1ceb0fe</errorID>
      <errorWord>(</errorWord>
      <group>L1_Format</group>
      <groupName>格式问题</groupName>
      <ability>L2_HalfPunc</ability>
      <abilityName>全半角检查</abilityName>
      <candidateList>
        <item>（</item>
      </candidateList>
      <explain>文本全半角错误。</explain>
      <paraID>22F2AFA2</paraID>
      <start>4</start>
      <end>5</end>
      <status>unmodified</status>
      <modifiedWord/>
      <trackRevisions>false</trackRevisions>
    </reviewItem>
    <reviewItem>
      <errorID>69233350-2315-4ae6-a378-f047fb7246d0</errorID>
      <errorWord>)</errorWord>
      <group>L1_Format</group>
      <groupName>格式问题</groupName>
      <ability>L2_HalfPunc</ability>
      <abilityName>全半角检查</abilityName>
      <candidateList>
        <item>）</item>
      </candidateList>
      <explain>文本全半角错误。</explain>
      <paraID>22F2AFA2</paraID>
      <start>10</start>
      <end>11</end>
      <status>unmodified</status>
      <modifiedWord/>
      <trackRevisions>false</trackRevisions>
    </reviewItem>
    <reviewItem>
      <errorID>3825c71c-bea9-43a1-bb82-fab9a9d885ff</errorID>
      <errorWord>(</errorWord>
      <group>L1_Format</group>
      <groupName>格式问题</groupName>
      <ability>L2_HalfPunc</ability>
      <abilityName>全半角检查</abilityName>
      <candidateList>
        <item>（</item>
      </candidateList>
      <explain>文本全半角错误。</explain>
      <paraID>1B86C6BC</paraID>
      <start>2</start>
      <end>3</end>
      <status>unmodified</status>
      <modifiedWord/>
      <trackRevisions>false</trackRevisions>
    </reviewItem>
    <reviewItem>
      <errorID>e3cfbc59-4bad-4f74-9971-afc670df4ea8</errorID>
      <errorWord>)</errorWord>
      <group>L1_Format</group>
      <groupName>格式问题</groupName>
      <ability>L2_HalfPunc</ability>
      <abilityName>全半角检查</abilityName>
      <candidateList>
        <item>）</item>
      </candidateList>
      <explain>文本全半角错误。</explain>
      <paraID>1B86C6BC</paraID>
      <start>4</start>
      <end>5</end>
      <status>unmodified</status>
      <modifiedWord/>
      <trackRevisions>false</trackRevisions>
    </reviewItem>
    <reviewItem>
      <errorID>1d9168bd-415c-4ace-b3df-65777368bf64</errorID>
      <errorWord>(</errorWord>
      <group>L1_Format</group>
      <groupName>格式问题</groupName>
      <ability>L2_HalfPunc</ability>
      <abilityName>全半角检查</abilityName>
      <candidateList>
        <item>（</item>
      </candidateList>
      <explain>文本全半角错误。</explain>
      <paraID>65B9014B</paraID>
      <start>6</start>
      <end>7</end>
      <status>unmodified</status>
      <modifiedWord/>
      <trackRevisions>false</trackRevisions>
    </reviewItem>
    <reviewItem>
      <errorID>f22195ef-5731-4779-832f-62073e8538a4</errorID>
      <errorWord>)</errorWord>
      <group>L1_Format</group>
      <groupName>格式问题</groupName>
      <ability>L2_HalfPunc</ability>
      <abilityName>全半角检查</abilityName>
      <candidateList>
        <item>）</item>
      </candidateList>
      <explain>文本全半角错误。</explain>
      <paraID>65B9014B</paraID>
      <start>10</start>
      <end>11</end>
      <status>unmodified</status>
      <modifiedWord/>
      <trackRevisions>false</trackRevisions>
    </reviewItem>
    <reviewItem>
      <errorID>71046c37-a8f6-480f-b916-accd43939b60</errorID>
      <errorWord>(</errorWord>
      <group>L1_Format</group>
      <groupName>格式问题</groupName>
      <ability>L2_HalfPunc</ability>
      <abilityName>全半角检查</abilityName>
      <candidateList>
        <item>（</item>
      </candidateList>
      <explain>文本全半角错误。</explain>
      <paraID>561F7442</paraID>
      <start>4</start>
      <end>5</end>
      <status>unmodified</status>
      <modifiedWord/>
      <trackRevisions>false</trackRevisions>
    </reviewItem>
    <reviewItem>
      <errorID>602e00fe-ac83-43a3-87b9-ee0cb43e4b41</errorID>
      <errorWord>)</errorWord>
      <group>L1_Format</group>
      <groupName>格式问题</groupName>
      <ability>L2_HalfPunc</ability>
      <abilityName>全半角检查</abilityName>
      <candidateList>
        <item>）</item>
      </candidateList>
      <explain>文本全半角错误。</explain>
      <paraID>561F7442</paraID>
      <start>10</start>
      <end>11</end>
      <status>unmodified</status>
      <modifiedWord/>
      <trackRevisions>false</trackRevisions>
    </reviewItem>
    <reviewItem>
      <errorID>b290b8d7-f4f8-46d1-b60c-6d8848e7afa9</errorID>
      <errorWord>(</errorWord>
      <group>L1_Format</group>
      <groupName>格式问题</groupName>
      <ability>L2_HalfPunc</ability>
      <abilityName>全半角检查</abilityName>
      <candidateList>
        <item>（</item>
      </candidateList>
      <explain>文本全半角错误。</explain>
      <paraID>64476A81</paraID>
      <start>6</start>
      <end>7</end>
      <status>unmodified</status>
      <modifiedWord/>
      <trackRevisions>false</trackRevisions>
    </reviewItem>
    <reviewItem>
      <errorID>9be1f330-f7ae-409f-bfed-45678422d92f</errorID>
      <errorWord>)</errorWord>
      <group>L1_Format</group>
      <groupName>格式问题</groupName>
      <ability>L2_HalfPunc</ability>
      <abilityName>全半角检查</abilityName>
      <candidateList>
        <item>）</item>
      </candidateList>
      <explain>文本全半角错误。</explain>
      <paraID>64476A81</paraID>
      <start>10</start>
      <end>11</end>
      <status>unmodified</status>
      <modifiedWord/>
      <trackRevisions>false</trackRevisions>
    </reviewItem>
    <reviewItem>
      <errorID>c6b45d42-0b27-4137-a793-5bd0bff04d99</errorID>
      <errorWord>(</errorWord>
      <group>L1_Format</group>
      <groupName>格式问题</groupName>
      <ability>L2_HalfPunc</ability>
      <abilityName>全半角检查</abilityName>
      <candidateList>
        <item>（</item>
      </candidateList>
      <explain>文本全半角错误。</explain>
      <paraID>39EB0A1D</paraID>
      <start>4</start>
      <end>5</end>
      <status>unmodified</status>
      <modifiedWord/>
      <trackRevisions>false</trackRevisions>
    </reviewItem>
    <reviewItem>
      <errorID>15618cf3-a52f-401f-9b20-048083defa69</errorID>
      <errorWord>)</errorWord>
      <group>L1_Format</group>
      <groupName>格式问题</groupName>
      <ability>L2_HalfPunc</ability>
      <abilityName>全半角检查</abilityName>
      <candidateList>
        <item>）</item>
      </candidateList>
      <explain>文本全半角错误。</explain>
      <paraID>39EB0A1D</paraID>
      <start>10</start>
      <end>11</end>
      <status>unmodified</status>
      <modifiedWord/>
      <trackRevisions>false</trackRevisions>
    </reviewItem>
    <reviewItem>
      <errorID>587624ec-a5b3-4960-9eda-4911e71ed67b</errorID>
      <errorWord>(</errorWord>
      <group>L1_Format</group>
      <groupName>格式问题</groupName>
      <ability>L2_HalfPunc</ability>
      <abilityName>全半角检查</abilityName>
      <candidateList>
        <item>（</item>
      </candidateList>
      <explain>文本全半角错误。</explain>
      <paraID>1682077E</paraID>
      <start>6</start>
      <end>7</end>
      <status>unmodified</status>
      <modifiedWord/>
      <trackRevisions>false</trackRevisions>
    </reviewItem>
    <reviewItem>
      <errorID>3be34e97-4eee-4da2-bb08-980b1cf5f5d3</errorID>
      <errorWord>)</errorWord>
      <group>L1_Format</group>
      <groupName>格式问题</groupName>
      <ability>L2_HalfPunc</ability>
      <abilityName>全半角检查</abilityName>
      <candidateList>
        <item>）</item>
      </candidateList>
      <explain>文本全半角错误。</explain>
      <paraID>1682077E</paraID>
      <start>10</start>
      <end>11</end>
      <status>unmodified</status>
      <modifiedWord/>
      <trackRevisions>false</trackRevisions>
    </reviewItem>
    <reviewItem>
      <errorID>4ef43218-366c-4521-bc4f-4be6a36375e5</errorID>
      <errorWord>(</errorWord>
      <group>L1_Format</group>
      <groupName>格式问题</groupName>
      <ability>L2_HalfPunc</ability>
      <abilityName>全半角检查</abilityName>
      <candidateList>
        <item>（</item>
      </candidateList>
      <explain>文本全半角错误。</explain>
      <paraID>39DC2078</paraID>
      <start>4</start>
      <end>5</end>
      <status>unmodified</status>
      <modifiedWord/>
      <trackRevisions>false</trackRevisions>
    </reviewItem>
    <reviewItem>
      <errorID>e75e276f-2e4d-423a-a3ac-cdfb80bf1198</errorID>
      <errorWord>)</errorWord>
      <group>L1_Format</group>
      <groupName>格式问题</groupName>
      <ability>L2_HalfPunc</ability>
      <abilityName>全半角检查</abilityName>
      <candidateList>
        <item>）</item>
      </candidateList>
      <explain>文本全半角错误。</explain>
      <paraID>39DC2078</paraID>
      <start>10</start>
      <end>11</end>
      <status>unmodified</status>
      <modifiedWord/>
      <trackRevisions>false</trackRevisions>
    </reviewItem>
    <reviewItem>
      <errorID>3f28866f-cda4-4356-926f-de2e9dab8c4c</errorID>
      <errorWord>血</errorWord>
      <group>L1_Word</group>
      <groupName>字词问题</groupName>
      <ability>L2_Typo</ability>
      <abilityName>字词错误</abilityName>
      <candidateList>
        <item>血液</item>
      </candidateList>
      <explain/>
      <paraID>583D6520</paraID>
      <start>43</start>
      <end>44</end>
      <status>unmodified</status>
      <modifiedWord/>
      <trackRevisions>false</trackRevisions>
    </reviewItem>
    <reviewItem>
      <errorID>d69fe93c-12fd-4f0b-aad1-e61282011de2</errorID>
      <errorWord>毒</errorWord>
      <group>L1_Word</group>
      <groupName>字词问题</groupName>
      <ability>L2_Typo</ability>
      <abilityName>字词错误</abilityName>
      <candidateList>
        <item>毒有</item>
      </candidateList>
      <explain/>
      <paraID>583D6520</paraID>
      <start>348</start>
      <end>349</end>
      <status>unmodified</status>
      <modifiedWord/>
      <trackRevisions>false</trackRevisions>
    </reviewItem>
    <reviewItem>
      <errorID>aae72bb4-2ac8-4ff3-869d-2803bf1a2fe2</errorID>
      <errorWord>且且</errorWord>
      <group>L1_Word</group>
      <groupName>字词问题</groupName>
      <ability>L2_Typo</ability>
      <abilityName>字词错误</abilityName>
      <candidateList>
        <item>且</item>
      </candidateList>
      <explain>〈书〉〈连〉❶尚且：死～不怕，困难又算什么？｜君～如此，况他人乎？❷并且；而且：既高～大｜他很聪明，～十分努力，因此成绩优异。</explain>
      <paraID>5CF31CAA</paraID>
      <start>44</start>
      <end>46</end>
      <status>unmodified</status>
      <modifiedWord/>
      <trackRevisions>false</trackRevisions>
    </reviewItem>
    <reviewItem>
      <errorID>e9103fdf-4d4c-46f9-b336-38683a694e00</errorID>
      <errorWord>x,</errorWord>
      <group>L1_Format</group>
      <groupName>格式问题</groupName>
      <ability>L2_Ordinal</ability>
      <abilityName>序号格式</abilityName>
      <candidateList>
        <item>x.</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54D2445E</paraID>
      <start>0</start>
      <end>2</end>
      <status>unmodified</status>
      <modifiedWord/>
      <trackRevisions>false</trackRevisions>
    </reviewItem>
    <reviewItem>
      <errorID>15bae3e4-91b5-427e-b5c6-214e3072e940</errorID>
      <errorWord>是</errorWord>
      <group>L1_Word</group>
      <groupName>字词问题</groupName>
      <ability>L2_Typo</ability>
      <abilityName>字词错误</abilityName>
      <candidateList>
        <item/>
      </candidateList>
      <explain/>
      <paraID>35B12FE4</paraID>
      <start>65</start>
      <end>66</end>
      <status>unmodified</status>
      <modifiedWord/>
      <trackRevisions>false</trackRevisions>
    </reviewItem>
    <reviewItem>
      <errorID>2577e0a6-3ebc-43b6-9462-3d8a6b4c3fa2</errorID>
      <errorWord>，</errorWord>
      <group>L1_Punc</group>
      <groupName>标点问题</groupName>
      <ability>L2_Punc</ability>
      <abilityName>标点符号检查</abilityName>
      <candidateList/>
      <explain/>
      <paraID>6986FE7D</paraID>
      <start>25</start>
      <end>26</end>
      <status>unmodified</status>
      <modifiedWord/>
      <trackRevisions>false</trackRevisions>
    </reviewItem>
    <reviewItem>
      <errorID>113571e6-6cd4-46e5-9bdd-8aaff39766ed</errorID>
      <errorWord>粘</errorWord>
      <group>L1_Word</group>
      <groupName>字词问题</groupName>
      <ability>L2_Typo</ability>
      <abilityName>字词错误</abilityName>
      <candidateList>
        <item>黏</item>
      </candidateList>
      <explain>存在发音相同字词的误用。</explain>
      <paraID>7ADDF83E</paraID>
      <start>32</start>
      <end>33</end>
      <status>unmodified</status>
      <modifiedWord/>
      <trackRevisions>false</trackRevisions>
    </reviewItem>
    <reviewItem>
      <errorID>f5c8d1bb-e1b9-4ef3-854e-73d6f29bb9b7</errorID>
      <errorWord>，</errorWord>
      <group>L1_Punc</group>
      <groupName>标点问题</groupName>
      <ability>L2_Punc</ability>
      <abilityName>标点符号检查</abilityName>
      <candidateList/>
      <explain/>
      <paraID>308965E0</paraID>
      <start>25</start>
      <end>26</end>
      <status>unmodified</status>
      <modifiedWord/>
      <trackRevisions>false</trackRevisions>
    </reviewItem>
    <reviewItem>
      <errorID>b55861d2-6b71-4b73-aad5-b7c0ef859346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596B0627</paraID>
      <start>0</start>
      <end>2</end>
      <status>unmodified</status>
      <modifiedWord/>
      <trackRevisions>false</trackRevisions>
    </reviewItem>
    <reviewItem>
      <errorID>bc573820-6c0c-4f8e-bb76-bf70f300c366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4F3534D9</paraID>
      <start>0</start>
      <end>2</end>
      <status>unmodified</status>
      <modifiedWord/>
      <trackRevisions>false</trackRevisions>
    </reviewItem>
    <reviewItem>
      <errorID>a77b66aa-855b-4b41-9975-78716ab69577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534C979D</paraID>
      <start>0</start>
      <end>2</end>
      <status>unmodified</status>
      <modifiedWord/>
      <trackRevisions>false</trackRevisions>
    </reviewItem>
    <reviewItem>
      <errorID>14a13e04-797f-44f0-82c4-e7e8e739cd96</errorID>
      <errorWord>边界开</errorWord>
      <group>L1_Word</group>
      <groupName>字词问题</groupName>
      <ability>L2_Typo</ability>
      <abilityName>字词错误</abilityName>
      <candidateList>
        <item>边界</item>
      </candidateList>
      <explain/>
      <paraID>7685751C</paraID>
      <start>62</start>
      <end>65</end>
      <status>unmodified</status>
      <modifiedWord/>
      <trackRevisions>false</trackRevisions>
    </reviewItem>
    <reviewItem>
      <errorID>4339a1f0-6840-4f60-be32-36d5f07e5790</errorID>
      <errorWord>~</errorWord>
      <group>L1_Format</group>
      <groupName>格式问题</groupName>
      <ability>L2_HalfPunc</ability>
      <abilityName>全半角检查</abilityName>
      <candidateList>
        <item>～</item>
      </candidateList>
      <explain>文本全半角错误。</explain>
      <paraID>7685751C</paraID>
      <start>72</start>
      <end>73</end>
      <status>unmodified</status>
      <modifiedWord/>
      <trackRevisions>false</trackRevisions>
    </reviewItem>
    <reviewItem>
      <errorID>14dcaece-6bb8-4fb2-9ec3-3fbabb1d267e</errorID>
      <errorWord>（</errorWord>
      <group>L1_Punc</group>
      <groupName>标点问题</groupName>
      <ability>L2_Punc</ability>
      <abilityName>标点符号检查</abilityName>
      <candidateList/>
      <explain>同一形式括号套用。</explain>
      <paraID>7685751C</paraID>
      <start>233</start>
      <end>234</end>
      <status>unmodified</status>
      <modifiedWord/>
      <trackRevisions>false</trackRevisions>
    </reviewItem>
    <reviewItem>
      <errorID>a103dab4-352f-46a6-af1d-1eb6be852832</errorID>
      <errorWord>）</errorWord>
      <group>L1_Punc</group>
      <groupName>标点问题</groupName>
      <ability>L2_Punc</ability>
      <abilityName>标点符号检查</abilityName>
      <candidateList/>
      <explain>同一形式括号套用。</explain>
      <paraID>7685751C</paraID>
      <start>247</start>
      <end>248</end>
      <status>unmodified</status>
      <modifiedWord/>
      <trackRevisions>false</trackRevisions>
    </reviewItem>
    <reviewItem>
      <errorID>7c97c69e-e877-45ed-9857-4aaeeb5b45d3</errorID>
      <errorWord>（</errorWord>
      <group>L1_Punc</group>
      <groupName>标点问题</groupName>
      <ability>L2_Punc</ability>
      <abilityName>标点符号检查</abilityName>
      <candidateList/>
      <explain>同一形式括号套用。</explain>
      <paraID>7685751C</paraID>
      <start>257</start>
      <end>258</end>
      <status>unmodified</status>
      <modifiedWord/>
      <trackRevisions>false</trackRevisions>
    </reviewItem>
    <reviewItem>
      <errorID>a2f15562-be88-47a6-b416-9ba2156fd217</errorID>
      <errorWord>）</errorWord>
      <group>L1_Punc</group>
      <groupName>标点问题</groupName>
      <ability>L2_Punc</ability>
      <abilityName>标点符号检查</abilityName>
      <candidateList/>
      <explain>同一形式括号套用。</explain>
      <paraID>7685751C</paraID>
      <start>270</start>
      <end>271</end>
      <status>unmodified</status>
      <modifiedWord/>
      <trackRevisions>false</trackRevisions>
    </reviewItem>
    <reviewItem>
      <errorID>d01376d2-f282-46f6-9d04-f56117223acb</errorID>
      <errorWord>（</errorWord>
      <group>L1_Punc</group>
      <groupName>标点问题</groupName>
      <ability>L2_Punc</ability>
      <abilityName>标点符号检查</abilityName>
      <candidateList/>
      <explain>同一形式括号套用。</explain>
      <paraID>7685751C</paraID>
      <start>280</start>
      <end>281</end>
      <status>unmodified</status>
      <modifiedWord/>
      <trackRevisions>false</trackRevisions>
    </reviewItem>
    <reviewItem>
      <errorID>683fa30c-b40f-422a-8582-0e3949927450</errorID>
      <errorWord>）</errorWord>
      <group>L1_Punc</group>
      <groupName>标点问题</groupName>
      <ability>L2_Punc</ability>
      <abilityName>标点符号检查</abilityName>
      <candidateList/>
      <explain>同一形式括号套用。</explain>
      <paraID>7685751C</paraID>
      <start>295</start>
      <end>296</end>
      <status>unmodified</status>
      <modifiedWord/>
      <trackRevisions>false</trackRevisions>
    </reviewItem>
    <reviewItem>
      <errorID>2723e69d-abba-4c3c-bce5-e434b130d306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78EA9EC4</paraID>
      <start>126</start>
      <end>127</end>
      <status>unmodified</status>
      <modifiedWord/>
      <trackRevisions>false</trackRevisions>
    </reviewItem>
    <reviewItem>
      <errorID>8a81666c-b944-470c-a081-7d3bd2b6987b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16BA2B53</paraID>
      <start>0</start>
      <end>2</end>
      <status>unmodified</status>
      <modifiedWord/>
      <trackRevisions>false</trackRevisions>
    </reviewItem>
    <reviewItem>
      <errorID>880d9f56-8a9f-43eb-aea2-c1cdfb2c6e55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7F1CDE7F</paraID>
      <start>16</start>
      <end>17</end>
      <status>unmodified</status>
      <modifiedWord/>
      <trackRevisions>false</trackRevisions>
    </reviewItem>
    <reviewItem>
      <errorID>bd7eb7ea-8c7a-4960-b187-371f453c3539</errorID>
      <errorWord>(</errorWord>
      <group>L1_Format</group>
      <groupName>格式问题</groupName>
      <ability>L2_HalfPunc</ability>
      <abilityName>全半角检查</abilityName>
      <candidateList>
        <item>（</item>
      </candidateList>
      <explain>文本全半角错误。</explain>
      <paraID>788B19C2</paraID>
      <start>51</start>
      <end>52</end>
      <status>unmodified</status>
      <modifiedWord/>
      <trackRevisions>false</trackRevisions>
    </reviewItem>
    <reviewItem>
      <errorID>c82cb6fe-873f-4d14-8d2c-fa9cdc5ff390</errorID>
      <errorWord>)</errorWord>
      <group>L1_Format</group>
      <groupName>格式问题</groupName>
      <ability>L2_HalfPunc</ability>
      <abilityName>全半角检查</abilityName>
      <candidateList>
        <item>）</item>
      </candidateList>
      <explain>文本全半角错误。</explain>
      <paraID>788B19C2</paraID>
      <start>54</start>
      <end>55</end>
      <status>unmodified</status>
      <modifiedWord/>
      <trackRevisions>false</trackRevisions>
    </reviewItem>
    <reviewItem>
      <errorID>d42577a6-545c-4a9e-b4bf-ca2bf656288d</errorID>
      <errorWord>(</errorWord>
      <group>L1_Format</group>
      <groupName>格式问题</groupName>
      <ability>L2_HalfPunc</ability>
      <abilityName>全半角检查</abilityName>
      <candidateList>
        <item>（</item>
      </candidateList>
      <explain>文本全半角错误。</explain>
      <paraID>788B19C2</paraID>
      <start>58</start>
      <end>59</end>
      <status>unmodified</status>
      <modifiedWord/>
      <trackRevisions>false</trackRevisions>
    </reviewItem>
    <reviewItem>
      <errorID>b4570b4a-39e6-499d-afb0-6a3f3243b845</errorID>
      <errorWord>)</errorWord>
      <group>L1_Format</group>
      <groupName>格式问题</groupName>
      <ability>L2_HalfPunc</ability>
      <abilityName>全半角检查</abilityName>
      <candidateList>
        <item>）</item>
      </candidateList>
      <explain>文本全半角错误。</explain>
      <paraID>788B19C2</paraID>
      <start>64</start>
      <end>65</end>
      <status>unmodified</status>
      <modifiedWord/>
      <trackRevisions>false</trackRevisions>
    </reviewItem>
    <reviewItem>
      <errorID>8afc82c9-9a60-4634-a46f-2617148ff406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B681BEB</paraID>
      <start>0</start>
      <end>2</end>
      <status>unmodified</status>
      <modifiedWord/>
      <trackRevisions>false</trackRevisions>
    </reviewItem>
    <reviewItem>
      <errorID>7b38e8c7-f2b2-42fd-b9be-6989b2908010</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3403C456</paraID>
      <start>90</start>
      <end>91</end>
      <status>modified</status>
      <modifiedWord>地</modifiedWord>
      <trackRevisions>false</trackRevisions>
    </reviewItem>
    <reviewItem>
      <errorID>e8afce9b-5056-404b-96af-a28f4cf14546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6B084139</paraID>
      <start>0</start>
      <end>2</end>
      <status>unmodified</status>
      <modifiedWord/>
      <trackRevisions>false</trackRevisions>
    </reviewItem>
    <reviewItem>
      <errorID>60da2841-0ddf-4b42-a07e-af2903e96c17</errorID>
      <errorWord>模型的</errorWord>
      <group>L1_Word</group>
      <groupName>字词问题</groupName>
      <ability>L2_Typo</ability>
      <abilityName>字词错误</abilityName>
      <candidateList>
        <item>模型</item>
      </candidateList>
      <explain/>
      <paraID>36BB1F85</paraID>
      <start>30</start>
      <end>32</end>
      <status>modified</status>
      <modifiedWord>模型</modifiedWord>
      <trackRevisions>false</trackRevisions>
    </reviewItem>
    <reviewItem>
      <errorID>d6ba819f-b04a-4ac3-a4df-53e240f8822d</errorID>
      <errorWord>~</errorWord>
      <group>L1_Format</group>
      <groupName>格式问题</groupName>
      <ability>L2_HalfPunc</ability>
      <abilityName>全半角检查</abilityName>
      <candidateList>
        <item>～</item>
      </candidateList>
      <explain>文本全半角错误。</explain>
      <paraID>36BB1F85</paraID>
      <start>60</start>
      <end>61</end>
      <status>unmodified</status>
      <modifiedWord/>
      <trackRevisions>false</trackRevisions>
    </reviewItem>
    <reviewItem>
      <errorID>539e8e6f-39f5-4db0-99a4-1f3c96d53c35</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36BB1F85</paraID>
      <start>144</start>
      <end>145</end>
      <status>modified</status>
      <modifiedWord>地</modifiedWord>
      <trackRevisions>false</trackRevisions>
    </reviewItem>
    <reviewItem>
      <errorID>9349a911-36dc-409a-bba6-492a4b4c07b3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5B81350B</paraID>
      <start>0</start>
      <end>2</end>
      <status>unmodified</status>
      <modifiedWord/>
      <trackRevisions>false</trackRevisions>
    </reviewItem>
    <reviewItem>
      <errorID>bf8ca4ed-9f0a-488c-abd7-8b14ad184614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301B3AFC</paraID>
      <start>0</start>
      <end>2</end>
      <status>unmodified</status>
      <modifiedWord/>
      <trackRevisions>false</trackRevisions>
    </reviewItem>
    <reviewItem>
      <errorID>1149b03b-3b29-460f-8d1e-da8a838f7158</errorID>
      <errorWord>潮流潮流</errorWord>
      <group>L1_Word</group>
      <groupName>字词问题</groupName>
      <ability>L2_Typo</ability>
      <abilityName>字词错误</abilityName>
      <candidateList>
        <item>潮流</item>
      </candidateList>
      <explain/>
      <paraID>1FB2940A</paraID>
      <start>48</start>
      <end>50</end>
      <status>modified</status>
      <modifiedWord>潮流</modifiedWord>
      <trackRevisions>false</trackRevisions>
    </reviewItem>
    <reviewItem>
      <errorID>1259fe1e-90cf-4a6d-b85c-80e1b68dbbc2</errorID>
      <errorWord>东南南</errorWord>
      <group>L1_Word</group>
      <groupName>字词问题</groupName>
      <ability>L2_Typo</ability>
      <abilityName>字词错误</abilityName>
      <candidateList>
        <item>东南</item>
      </candidateList>
      <explain/>
      <paraID>1FB2940A</paraID>
      <start>66</start>
      <end>68</end>
      <status>modified</status>
      <modifiedWord>东南</modifiedWord>
      <trackRevisions>false</trackRevisions>
    </reviewItem>
    <reviewItem>
      <errorID>8d06b4c7-2160-4147-8cfa-790fc8f88835</errorID>
      <errorWord>的粘性</errorWord>
      <group>L1_Word</group>
      <groupName>字词问题</groupName>
      <ability>L2_Typo</ability>
      <abilityName>字词错误</abilityName>
      <candidateList>
        <item>的黏性</item>
      </candidateList>
      <explain/>
      <paraID>175C0C60</paraID>
      <start>234</start>
      <end>237</end>
      <status>unmodified</status>
      <modifiedWord/>
      <trackRevisions>false</trackRevisions>
    </reviewItem>
    <reviewItem>
      <errorID>17cacef4-788a-41c3-bb36-a567b30d25dc</errorID>
      <errorWord>的粘性</errorWord>
      <group>L1_Word</group>
      <groupName>字词问题</groupName>
      <ability>L2_Typo</ability>
      <abilityName>字词错误</abilityName>
      <candidateList>
        <item>的黏性</item>
      </candidateList>
      <explain/>
      <paraID>175C0C60</paraID>
      <start>323</start>
      <end>326</end>
      <status>unmodified</status>
      <modifiedWord/>
      <trackRevisions>false</trackRevisions>
    </reviewItem>
    <reviewItem>
      <errorID>a6446f1e-8628-43e2-944b-ab4806db7bf3</errorID>
      <errorWord>沉人</errorWord>
      <group>L1_Word</group>
      <groupName>字词问题</groupName>
      <ability>L2_Typo</ability>
      <abilityName>字词错误</abilityName>
      <candidateList>
        <item>沉入</item>
      </candidateList>
      <explain/>
      <paraID>175C0C60</paraID>
      <start>388</start>
      <end>390</end>
      <status>unmodified</status>
      <modifiedWord/>
      <trackRevisions>false</trackRevisions>
    </reviewItem>
    <reviewItem>
      <errorID>6443ac20-23a0-4a1e-aeb6-9da47909656d</errorID>
      <errorWord>(</errorWord>
      <group>L1_Format</group>
      <groupName>格式问题</groupName>
      <ability>L2_HalfPunc</ability>
      <abilityName>全半角检查</abilityName>
      <candidateList>
        <item>（</item>
      </candidateList>
      <explain>文本全半角错误。</explain>
      <paraID>6FDE13D3</paraID>
      <start>4</start>
      <end>5</end>
      <status>unmodified</status>
      <modifiedWord/>
      <trackRevisions>false</trackRevisions>
    </reviewItem>
    <reviewItem>
      <errorID>b4580cfb-e46a-4dde-9838-cad5bf6eeec1</errorID>
      <errorWord>)</errorWord>
      <group>L1_Format</group>
      <groupName>格式问题</groupName>
      <ability>L2_HalfPunc</ability>
      <abilityName>全半角检查</abilityName>
      <candidateList>
        <item>）</item>
      </candidateList>
      <explain>文本全半角错误。</explain>
      <paraID>6FDE13D3</paraID>
      <start>49</start>
      <end>50</end>
      <status>unmodified</status>
      <modifiedWord/>
      <trackRevisions>false</trackRevisions>
    </reviewItem>
    <reviewItem>
      <errorID>388af57d-eeff-433f-880c-c01d2bcbaee2</errorID>
      <errorWord>(</errorWord>
      <group>L1_Format</group>
      <groupName>格式问题</groupName>
      <ability>L2_HalfPunc</ability>
      <abilityName>全半角检查</abilityName>
      <candidateList>
        <item>（</item>
      </candidateList>
      <explain>文本全半角错误。</explain>
      <paraID>6FDE13D3</paraID>
      <start>85</start>
      <end>86</end>
      <status>unmodified</status>
      <modifiedWord/>
      <trackRevisions>false</trackRevisions>
    </reviewItem>
    <reviewItem>
      <errorID>fca49353-2075-4887-9def-880d81ed85de</errorID>
      <errorWord>)</errorWord>
      <group>L1_Format</group>
      <groupName>格式问题</groupName>
      <ability>L2_HalfPunc</ability>
      <abilityName>全半角检查</abilityName>
      <candidateList>
        <item>）</item>
      </candidateList>
      <explain>文本全半角错误。</explain>
      <paraID>6FDE13D3</paraID>
      <start>130</start>
      <end>131</end>
      <status>unmodified</status>
      <modifiedWord/>
      <trackRevisions>false</trackRevisions>
    </reviewItem>
    <reviewItem>
      <errorID>6053985f-2a8c-4e61-90bd-469ab538703d</errorID>
      <errorWord>(</errorWord>
      <group>L1_Format</group>
      <groupName>格式问题</groupName>
      <ability>L2_HalfPunc</ability>
      <abilityName>全半角检查</abilityName>
      <candidateList>
        <item>（</item>
      </candidateList>
      <explain>文本全半角错误。</explain>
      <paraID>3B3CE01C</paraID>
      <start>9</start>
      <end>10</end>
      <status>unmodified</status>
      <modifiedWord/>
      <trackRevisions>false</trackRevisions>
    </reviewItem>
    <reviewItem>
      <errorID>3586070e-3f0b-46e9-9176-37b9cb96dcd1</errorID>
      <errorWord>)</errorWord>
      <group>L1_Format</group>
      <groupName>格式问题</groupName>
      <ability>L2_HalfPunc</ability>
      <abilityName>全半角检查</abilityName>
      <candidateList>
        <item>）</item>
      </candidateList>
      <explain>文本全半角错误。</explain>
      <paraID>3B3CE01C</paraID>
      <start>54</start>
      <end>55</end>
      <status>unmodified</status>
      <modifiedWord/>
      <trackRevisions>false</trackRevisions>
    </reviewItem>
    <reviewItem>
      <errorID>181af82d-90d0-4a81-8c8a-4cf95fabd74b</errorID>
      <errorWord>修正的</errorWord>
      <group>L1_Word</group>
      <groupName>字词问题</groupName>
      <ability>L2_Typo</ability>
      <abilityName>字词错误</abilityName>
      <candidateList>
        <item>修正</item>
      </candidateList>
      <explain/>
      <paraID> A6AD65A</paraID>
      <start>3</start>
      <end>6</end>
      <status>unmodified</status>
      <modifiedWord/>
      <trackRevisions>false</trackRevisions>
    </reviewItem>
    <reviewItem>
      <errorID>39b5121b-4006-4d0e-88c0-1ebab1f81f75</errorID>
      <errorWord>：</errorWord>
      <group>L1_Punc</group>
      <groupName>标点问题</groupName>
      <ability>L2_Punc</ability>
      <abilityName>标点符号检查</abilityName>
      <candidateList/>
      <explain/>
      <paraID>334DE886</paraID>
      <start>1</start>
      <end>2</end>
      <status>unmodified</status>
      <modifiedWord/>
      <trackRevisions>false</trackRevisions>
    </reviewItem>
    <reviewItem>
      <errorID>da221d64-8796-4c12-ab75-fca24e539ab6</errorID>
      <errorWord>)</errorWord>
      <group>L1_Format</group>
      <groupName>格式问题</groupName>
      <ability>L2_HalfPunc</ability>
      <abilityName>全半角检查</abilityName>
      <candidateList>
        <item>）</item>
      </candidateList>
      <explain>文本全半角错误。</explain>
      <paraID>5304F21A</paraID>
      <start>13</start>
      <end>14</end>
      <status>unmodified</status>
      <modifiedWord/>
      <trackRevisions>false</trackRevisions>
    </reviewItem>
    <reviewItem>
      <errorID>d1318f33-ff2d-462a-8d61-16524bd1df8b</errorID>
      <errorWord>泄露</errorWord>
      <group>L1_Word</group>
      <groupName>字词问题</groupName>
      <ability>L2_Typo</ability>
      <abilityName>字词错误</abilityName>
      <candidateList>
        <item>泄漏</item>
      </candidateList>
      <explain>存在发音相同字词的误用。</explain>
      <paraID>5047C473</paraID>
      <start>0</start>
      <end>2</end>
      <status>unmodified</status>
      <modifiedWord/>
      <trackRevisions>false</trackRevisions>
    </reviewItem>
    <reviewItem>
      <errorID>a59b3d7e-a400-4e5d-8236-c2d22e45e409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3944A6E3</paraID>
      <start>0</start>
      <end>2</end>
      <status>unmodified</status>
      <modifiedWord/>
      <trackRevisions>false</trackRevisions>
    </reviewItem>
    <reviewItem>
      <errorID>a38e9c35-e2fb-411d-ab74-94b5f0dbd58c</errorID>
      <errorWord>-</errorWord>
      <group>L1_Format</group>
      <groupName>格式问题</groupName>
      <ability>L2_HalfPunc</ability>
      <abilityName>全半角检查</abilityName>
      <candidateList>
        <item>－</item>
      </candidateList>
      <explain>文本全半角错误。</explain>
      <paraID>3944A6E3</paraID>
      <start>5</start>
      <end>6</end>
      <status>unmodified</status>
      <modifiedWord/>
      <trackRevisions>false</trackRevisions>
    </reviewItem>
    <reviewItem>
      <errorID>54bdf943-9eaa-49dd-9820-22505735434a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10604BD4</paraID>
      <start>0</start>
      <end>2</end>
      <status>unmodified</status>
      <modifiedWord/>
      <trackRevisions>false</trackRevisions>
    </reviewItem>
    <reviewItem>
      <errorID>2ed8aa57-64b1-4ab0-b034-9173f41fbc66</errorID>
      <errorWord>-</errorWord>
      <group>L1_Format</group>
      <groupName>格式问题</groupName>
      <ability>L2_HalfPunc</ability>
      <abilityName>全半角检查</abilityName>
      <candidateList>
        <item>－</item>
      </candidateList>
      <explain>文本全半角错误。</explain>
      <paraID>10604BD4</paraID>
      <start>5</start>
      <end>6</end>
      <status>unmodified</status>
      <modifiedWord/>
      <trackRevisions>false</trackRevisions>
    </reviewItem>
    <reviewItem>
      <errorID>dd03b4ad-0191-4501-b3f7-b66760290269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2342864</paraID>
      <start>0</start>
      <end>2</end>
      <status>unmodified</status>
      <modifiedWord/>
      <trackRevisions>false</trackRevisions>
    </reviewItem>
    <reviewItem>
      <errorID>8ee6c814-ddd4-4823-ac3e-cd7ddda7fdc2</errorID>
      <errorWord>-</errorWord>
      <group>L1_Format</group>
      <groupName>格式问题</groupName>
      <ability>L2_HalfPunc</ability>
      <abilityName>全半角检查</abilityName>
      <candidateList>
        <item>－</item>
      </candidateList>
      <explain>文本全半角错误。</explain>
      <paraID> 2342864</paraID>
      <start>5</start>
      <end>6</end>
      <status>unmodified</status>
      <modifiedWord/>
      <trackRevisions>false</trackRevisions>
    </reviewItem>
    <reviewItem>
      <errorID>6b4cb6be-5e06-48ed-8ea6-51afecafc24f</errorID>
      <errorWord>，</errorWord>
      <group>L1_Word</group>
      <groupName>字词问题</groupName>
      <ability>L2_Typo</ability>
      <abilityName>字词错误</abilityName>
      <candidateList>
        <item>，油</item>
      </candidateList>
      <explain/>
      <paraID>16B72B2C</paraID>
      <start>134</start>
      <end>135</end>
      <status>unmodified</status>
      <modifiedWord/>
      <trackRevisions>false</trackRevisions>
    </reviewItem>
    <reviewItem>
      <errorID>c3280660-f110-4498-8de8-b2e5cf3fb645</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2247C6DE</paraID>
      <start>77</start>
      <end>78</end>
      <status>modified</status>
      <modifiedWord>地</modifiedWord>
      <trackRevisions>false</trackRevisions>
    </reviewItem>
    <reviewItem>
      <errorID>55d26546-46d2-4c2b-adc8-09b6de8bc9ff</errorID>
      <errorWord>因</errorWord>
      <group>L1_Word</group>
      <groupName>字词问题</groupName>
      <ability>L2_Typo</ability>
      <abilityName>字词错误</abilityName>
      <candidateList>
        <item>的</item>
      </candidateList>
      <explain>存在字形相近字词的误用。</explain>
      <paraID>21E5179F</paraID>
      <start>12</start>
      <end>13</end>
      <status>unmodified</status>
      <modifiedWord/>
      <trackRevisions>false</trackRevisions>
    </reviewItem>
    <reviewItem>
      <errorID>2c9e5e7f-53c7-4b40-8603-7ad9916321f4</errorID>
      <errorWord>设</errorWord>
      <group>L1_Word</group>
      <groupName>字词问题</groupName>
      <ability>L2_Typo</ability>
      <abilityName>字词错误</abilityName>
      <candidateList>
        <item>设置</item>
      </candidateList>
      <explain>〈动〉❶设立：这座剧院是为儿童～的。❷安放；安装：～障碍。</explain>
      <paraID>19A0B57C</paraID>
      <start>18</start>
      <end>19</end>
      <status>unmodified</status>
      <modifiedWord/>
      <trackRevisions>false</trackRevisions>
    </reviewItem>
    <reviewItem>
      <errorID>09ad5ee2-8f26-4615-9d05-a28dbc10253b</errorID>
      <errorWord>主要是</errorWord>
      <group>L1_Word</group>
      <groupName>字词问题</groupName>
      <ability>L2_Typo</ability>
      <abilityName>字词错误</abilityName>
      <candidateList>
        <item>主要</item>
      </candidateList>
      <explain>〈形〉属性词。有关事物中最重要的；起决定作用的：～原因｜～目的｜～人物。</explain>
      <paraID>78407D43</paraID>
      <start>37</start>
      <end>40</end>
      <status>unmodified</status>
      <modifiedWord/>
      <trackRevisions>false</trackRevisions>
    </reviewItem>
    <reviewItem>
      <errorID>84ac24e0-5001-4a1c-8cc8-13dd79a8d8ff</errorID>
      <errorWord>参考据</errorWord>
      <group>L1_Word</group>
      <groupName>字词问题</groupName>
      <ability>L2_Typo</ability>
      <abilityName>字词错误</abilityName>
      <candidateList>
        <item>参考</item>
      </candidateList>
      <explain/>
      <paraID>4CB59858</paraID>
      <start>55</start>
      <end>58</end>
      <status>unmodified</status>
      <modifiedWord/>
      <trackRevisions>false</trackRevisions>
    </reviewItem>
    <reviewItem>
      <errorID>4d6065b9-2936-4249-9475-4a2545b8500b</errorID>
      <errorWord>(</errorWord>
      <group>L1_Format</group>
      <groupName>格式问题</groupName>
      <ability>L2_HalfPunc</ability>
      <abilityName>全半角检查</abilityName>
      <candidateList>
        <item>（</item>
      </candidateList>
      <explain>文本全半角错误。</explain>
      <paraID> 44AB94F</paraID>
      <start>2</start>
      <end>3</end>
      <status>unmodified</status>
      <modifiedWord/>
      <trackRevisions>false</trackRevisions>
    </reviewItem>
    <reviewItem>
      <errorID>5d65e31c-7c57-41d4-8b12-fa25f8e4b3ac</errorID>
      <errorWord>)</errorWord>
      <group>L1_Format</group>
      <groupName>格式问题</groupName>
      <ability>L2_HalfPunc</ability>
      <abilityName>全半角检查</abilityName>
      <candidateList>
        <item>）</item>
      </candidateList>
      <explain>文本全半角错误。</explain>
      <paraID> 44AB94F</paraID>
      <start>11</start>
      <end>12</end>
      <status>unmodified</status>
      <modifiedWord/>
      <trackRevisions>false</trackRevisions>
    </reviewItem>
    <reviewItem>
      <errorID>3c85b052-b3bb-44e0-9b32-af2ce6243422</errorID>
      <errorWord>到其它</errorWord>
      <group>L1_Word</group>
      <groupName>字词问题</groupName>
      <ability>L2_Alias</ability>
      <abilityName>也作/曾用词</abilityName>
      <candidateList>
        <item>到其他</item>
      </candidateList>
      <explain>词汇[到其它]为不规范表述或旧称，其规范书面表述为[到其他]。</explain>
      <paraID>29471EFA</paraID>
      <start>12</start>
      <end>15</end>
      <status>unmodified</status>
      <modifiedWord/>
      <trackRevisions>false</trackRevisions>
    </reviewItem>
    <reviewItem>
      <errorID>3630b731-3aca-4722-ac70-5273285ab749</errorID>
      <errorWord>n：</errorWord>
      <group>L1_Format</group>
      <groupName>格式问题</groupName>
      <ability>L2_Ordinal</ability>
      <abilityName>序号格式</abilityName>
      <candidateList>
        <item>n.</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44E8C350</paraID>
      <start>0</start>
      <end>2</end>
      <status>unmodified</status>
      <modifiedWord/>
      <trackRevisions>false</trackRevisions>
    </reviewItem>
    <reviewItem>
      <errorID>6cbfa3e7-2edf-437c-9ecb-b01a72e43ab2</errorID>
      <errorWord>。</errorWord>
      <group>L1_Format</group>
      <groupName>格式问题</groupName>
      <ability>L2_HalfPunc</ability>
      <abilityName>全半角检查</abilityName>
      <candidateList>
        <item>.</item>
      </candidateList>
      <explain>文本全半角错误。</explain>
      <paraID>3099ACB4</paraID>
      <start>111</start>
      <end>112</end>
      <status>unmodified</status>
      <modifiedWord/>
      <trackRevisions>false</trackRevisions>
    </reviewItem>
    <reviewItem>
      <errorID>af6df841-b026-4941-b039-d636166faca0</errorID>
      <errorWord>保修</errorWord>
      <group>L1_Word</group>
      <groupName>字词问题</groupName>
      <ability>L2_Typo</ability>
      <abilityName>字词错误</abilityName>
      <candidateList>
        <item>报修</item>
      </candidateList>
      <explain>存在发音相同字词的误用。</explain>
      <paraID>48A89EF2</paraID>
      <start>50</start>
      <end>52</end>
      <status>unmodified</status>
      <modifiedWord/>
      <trackRevisions>false</trackRevisions>
    </reviewItem>
    <reviewItem>
      <errorID>3564532c-7865-4c8d-82e2-c2479b3ca742</errorID>
      <errorWord>其它不</errorWord>
      <group>L1_Word</group>
      <groupName>字词问题</groupName>
      <ability>L2_Alias</ability>
      <abilityName>也作/曾用词</abilityName>
      <candidateList>
        <item>其他不</item>
      </candidateList>
      <explain>词汇[其它不]为不规范表述或旧称，其规范书面表述为[其他不]。</explain>
      <paraID>63626160</paraID>
      <start>16</start>
      <end>19</end>
      <status>modified</status>
      <modifiedWord>其他不</modifiedWord>
      <trackRevisions>false</trackRevisions>
    </reviewItem>
    <reviewItem>
      <errorID>8bb8fddc-f67b-4d91-9b79-6658a52b436d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1AD98B46</paraID>
      <start>0</start>
      <end>2</end>
      <status>unmodified</status>
      <modifiedWord/>
      <trackRevisions>false</trackRevisions>
    </reviewItem>
    <reviewItem>
      <errorID>a368317f-dd49-4d66-b9b9-3f868f2e660f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4937884E</paraID>
      <start>0</start>
      <end>2</end>
      <status>unmodified</status>
      <modifiedWord/>
      <trackRevisions>false</trackRevisions>
    </reviewItem>
    <reviewItem>
      <errorID>452b5b33-9d92-4d74-ae40-0fe94facd6b7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234F3A3E</paraID>
      <start>0</start>
      <end>2</end>
      <status>unmodified</status>
      <modifiedWord/>
      <trackRevisions>false</trackRevisions>
    </reviewItem>
    <reviewItem>
      <errorID>8add7881-68f9-4ac6-8352-1ab934a562e7</errorID>
      <errorWord>提高</errorWord>
      <group>L1_Grammar</group>
      <groupName>语法问题</groupName>
      <ability>L2_Grammar</ability>
      <abilityName>语法错误</abilityName>
      <candidateList>
        <item>增强</item>
      </candidateList>
      <explain>“提高～意识”搭配不当，建议修改为“增强～意识”。</explain>
      <paraID>234F3A3E</paraID>
      <start>13</start>
      <end>15</end>
      <status>modified</status>
      <modifiedWord>增强</modifiedWord>
      <trackRevisions>false</trackRevisions>
    </reviewItem>
    <reviewItem>
      <errorID>f47eb642-da8b-4fe5-8222-2d79c207108b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36177B64</paraID>
      <start>0</start>
      <end>2</end>
      <status>unmodified</status>
      <modifiedWord/>
      <trackRevisions>false</trackRevisions>
    </reviewItem>
    <reviewItem>
      <errorID>922c9130-130c-4dc9-a459-4e926e6b6366</errorID>
      <errorWord>泄露</errorWord>
      <group>L1_Word</group>
      <groupName>字词问题</groupName>
      <ability>L2_Typo</ability>
      <abilityName>字词错误</abilityName>
      <candidateList>
        <item>泄漏</item>
      </candidateList>
      <explain/>
      <paraID>4838AA9B</paraID>
      <start>246</start>
      <end>248</end>
      <status>unmodified</status>
      <modifiedWord/>
      <trackRevisions>false</trackRevisions>
    </reviewItem>
    <reviewItem>
      <errorID>7f36af5b-801a-43c8-bdcc-62638ac3dcd2</errorID>
      <errorWord>其它</errorWord>
      <group>L1_Word</group>
      <groupName>字词问题</groupName>
      <ability>L2_Alias</ability>
      <abilityName>也作/曾用词</abilityName>
      <candidateList>
        <item>其他</item>
      </candidateList>
      <explain>词汇[其它]为不规范表述或旧称，其规范书面表述为[其他]。</explain>
      <paraID>143B5CE2</paraID>
      <start>66</start>
      <end>68</end>
      <status>modified</status>
      <modifiedWord>其他</modifiedWord>
      <trackRevisions>false</trackRevisions>
    </reviewItem>
    <reviewItem>
      <errorID>ab6b299c-3b72-45df-815c-dc208d48f3b8</errorID>
      <errorWord>，，</errorWord>
      <group>L1_Punc</group>
      <groupName>标点问题</groupName>
      <ability>L2_Punc</ability>
      <abilityName>标点符号检查</abilityName>
      <candidateList>
        <item>，</item>
      </candidateList>
      <explain/>
      <paraID> B956A0E</paraID>
      <start>9</start>
      <end>11</end>
      <status>unmodified</status>
      <modifiedWord/>
      <trackRevisions>false</trackRevisions>
    </reviewItem>
    <reviewItem>
      <errorID>7fe48e14-7c8e-4b50-88f5-0a10bb9d8bc0</errorID>
      <errorWord>输运</errorWord>
      <group>L1_Word</group>
      <groupName>字词问题</groupName>
      <ability>L2_Typo</ability>
      <abilityName>字词错误</abilityName>
      <candidateList>
        <item>运输</item>
      </candidateList>
      <explain/>
      <paraID>45F72070</paraID>
      <start>99</start>
      <end>101</end>
      <status>unmodified</status>
      <modifiedWord/>
      <trackRevisions>false</trackRevisions>
    </reviewItem>
    <reviewItem>
      <errorID>234266b6-5949-4792-933c-b2b1cb272649</errorID>
      <errorWord>上述的</errorWord>
      <group>L1_Word</group>
      <groupName>字词问题</groupName>
      <ability>L2_Typo</ability>
      <abilityName>字词错误</abilityName>
      <candidateList>
        <item>上述</item>
      </candidateList>
      <explain>〈形〉属性词。上面所说的：～各条，望切实执行。</explain>
      <paraID>202D47BC</paraID>
      <start>4</start>
      <end>7</end>
      <status>unmodified</status>
      <modifiedWord/>
      <trackRevisions>false</trackRevisions>
    </reviewItem>
    <reviewItem>
      <errorID>2d21daad-ee1e-4727-81ec-0ee0ba9520c4</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330A56B5</paraID>
      <start>12</start>
      <end>14</end>
      <status>unmodified</status>
      <modifiedWord/>
      <trackRevisions>false</trackRevisions>
    </reviewItem>
    <reviewItem>
      <errorID>e45f45b5-71b2-4aa4-9aeb-7823d42e4f89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79554092</paraID>
      <start>0</start>
      <end>2</end>
      <status>unmodified</status>
      <modifiedWord/>
      <trackRevisions>false</trackRevisions>
    </reviewItem>
    <reviewItem>
      <errorID>acba882a-33b6-4185-a476-015f0b80cefc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39E1B843</paraID>
      <start>0</start>
      <end>2</end>
      <status>unmodified</status>
      <modifiedWord/>
      <trackRevisions>false</trackRevisions>
    </reviewItem>
    <reviewItem>
      <errorID>79254561-4ecc-4ca3-a69a-974f5fb13631</errorID>
      <errorWord>所在</errorWord>
      <group>L1_Word</group>
      <groupName>字词问题</groupName>
      <ability>L2_Typo</ability>
      <abilityName>字词错误</abilityName>
      <candidateList>
        <item>在</item>
      </candidateList>
      <explain>❶〈动〉存在；生存：精神永～｜留得青山～，不怕没柴烧｜父母都～。❷〈动〉表示人或事物的位置：我今天晚上不～厂里｜你的钢笔～桌子上呢。❸〈动〉留在：～职｜～位。❹〈动〉参加（某团体）；属于（某团体）：～党｜～组织。❺〈动〉在于；决定于：事～人为｜学习好，主要～自己努力。❻“在”和“所”连用，表示强调，下面多连“不”：～所不辞｜～所不惜｜～所不计｜～所难免。</explain>
      <paraID>2366AC72</paraID>
      <start>93</start>
      <end>95</end>
      <status>unmodified</status>
      <modifiedWord/>
      <trackRevisions>false</trackRevisions>
    </reviewItem>
    <reviewItem>
      <errorID>7884b51f-5608-402f-b8ca-c4322eb205dc</errorID>
      <errorWord>进行处理进行处理</errorWord>
      <group>L1_Word</group>
      <groupName>字词问题</groupName>
      <ability>L2_Typo</ability>
      <abilityName>字词错误</abilityName>
      <candidateList>
        <item>进行处理</item>
      </candidateList>
      <explain/>
      <paraID>2366AC72</paraID>
      <start>230</start>
      <end>234</end>
      <status>modified</status>
      <modifiedWord>进行处理</modifiedWord>
      <trackRevisions>false</trackRevisions>
    </reviewItem>
    <reviewItem>
      <errorID>551d290b-7683-43df-874d-9c5146d201bf</errorID>
      <errorWord>其它</errorWord>
      <group>L1_Word</group>
      <groupName>字词问题</groupName>
      <ability>L2_Alias</ability>
      <abilityName>也作/曾用词</abilityName>
      <candidateList>
        <item>其他</item>
      </candidateList>
      <explain>词汇[其它]为不规范表述或旧称，其规范书面表述为[其他]。</explain>
      <paraID>4FC35B60</paraID>
      <start>0</start>
      <end>2</end>
      <status>modified</status>
      <modifiedWord>其他</modifiedWord>
      <trackRevisions>false</trackRevisions>
    </reviewItem>
    <reviewItem>
      <errorID>9667f350-ba3e-4ff6-94eb-43d95bf4b516</errorID>
      <errorWord>~</errorWord>
      <group>L1_Format</group>
      <groupName>格式问题</groupName>
      <ability>L2_HalfPunc</ability>
      <abilityName>全半角检查</abilityName>
      <candidateList>
        <item>～</item>
      </candidateList>
      <explain>文本全半角错误。</explain>
      <paraID>7F704B12</paraID>
      <start>63</start>
      <end>64</end>
      <status>unmodified</status>
      <modifiedWord/>
      <trackRevisions>false</trackRevisions>
    </reviewItem>
    <reviewItem>
      <errorID>e18273b6-94ce-4b61-9838-38ee33a645fa</errorID>
      <errorWord>领导工作小组</errorWord>
      <group>L1_Word</group>
      <groupName>字词问题</groupName>
      <ability>L2_Typo</ability>
      <abilityName>字词错误</abilityName>
      <candidateList>
        <item>工作领导小组</item>
      </candidateList>
      <explain/>
      <paraID>388CD03B</paraID>
      <start>166</start>
      <end>172</end>
      <status>modified</status>
      <modifiedWord>工作领导小组</modifiedWord>
      <trackRevisions>false</trackRevisions>
    </reviewItem>
    <reviewItem>
      <errorID>c71ba012-3fbf-4082-8d30-afa134667ea4</errorID>
      <errorWord>其它事项</errorWord>
      <group>L1_Word</group>
      <groupName>字词问题</groupName>
      <ability>L2_Typo</ability>
      <abilityName>字词错误</abilityName>
      <candidateList>
        <item>其他事项</item>
      </candidateList>
      <explain/>
      <paraID>7511F93A</paraID>
      <start>109</start>
      <end>113</end>
      <status>modified</status>
      <modifiedWord>其他事项</modifiedWord>
      <trackRevisions>false</trackRevisions>
    </reviewItem>
    <reviewItem>
      <errorID>ab301e36-467a-4bb2-acab-c0c5c2e59709</errorID>
      <errorWord>其它事项</errorWord>
      <group>L1_Word</group>
      <groupName>字词问题</groupName>
      <ability>L2_Typo</ability>
      <abilityName>字词错误</abilityName>
      <candidateList>
        <item>其他事项</item>
      </candidateList>
      <explain/>
      <paraID>3C8C2960</paraID>
      <start>13</start>
      <end>17</end>
      <status>modified</status>
      <modifiedWord>其他事项</modifiedWord>
      <trackRevisions>false</trackRevisions>
    </reviewItem>
    <reviewItem>
      <errorID>e5bf3a54-1e6d-4f64-9121-c746ac3d2dfc</errorID>
      <errorWord>，</errorWord>
      <group>L1_Word</group>
      <groupName>字词问题</groupName>
      <ability>L2_Typo</ability>
      <abilityName>字词错误</abilityName>
      <candidateList>
        <item>，在</item>
      </candidateList>
      <explain/>
      <paraID>2EEBB2AE</paraID>
      <start>29</start>
      <end>30</end>
      <status>unmodified</status>
      <modifiedWord/>
      <trackRevisions>false</trackRevisions>
    </reviewItem>
    <reviewItem>
      <errorID>c31f8e55-5c56-4ca6-8b09-56caf10c9d66</errorID>
      <errorWord>其它</errorWord>
      <group>L1_Word</group>
      <groupName>字词问题</groupName>
      <ability>L2_Alias</ability>
      <abilityName>也作/曾用词</abilityName>
      <candidateList>
        <item>其他</item>
      </candidateList>
      <explain>词汇[其它]为不规范表述或旧称，其规范书面表述为[其他]。</explain>
      <paraID>5437FBD8</paraID>
      <start>65</start>
      <end>67</end>
      <status>modified</status>
      <modifiedWord>其他</modifiedWord>
      <trackRevisions>false</trackRevisions>
    </reviewItem>
    <reviewItem>
      <errorID>d9799abf-bdbb-4f01-8fa8-99a7315b03a2</errorID>
      <errorWord>效验</errorWord>
      <group>L1_Word</group>
      <groupName>字词问题</groupName>
      <ability>L2_Typo</ability>
      <abilityName>字词错误</abilityName>
      <candidateList>
        <item>校验</item>
      </candidateList>
      <explain>〈动〉校准并检验：原子钟的长期稳定性还要以地球公转周期为准来～。</explain>
      <paraID>6D82EC0E</paraID>
      <start>34</start>
      <end>36</end>
      <status>modified</status>
      <modifiedWord>校验</modifiedWord>
      <trackRevisions>false</trackRevisions>
    </reviewItem>
    <reviewItem>
      <errorID>1d0c3ed3-6ff9-445c-b2ab-7df952616f4a</errorID>
      <errorWord>引发着</errorWord>
      <group>L1_Word</group>
      <groupName>字词问题</groupName>
      <ability>L2_Typo</ability>
      <abilityName>字词错误</abilityName>
      <candidateList>
        <item>引发</item>
      </candidateList>
      <explain>〈动〉引起；触发：天象观测～了大家对天文学的浓厚兴趣。</explain>
      <paraID>123DAC2B</paraID>
      <start>20</start>
      <end>23</end>
      <status>unmodified</status>
      <modifiedWord/>
      <trackRevisions>false</trackRevisions>
    </reviewItem>
    <reviewItem>
      <errorID>33c7f879-42da-41ce-9aa0-39b5970077ed</errorID>
      <errorWord>类型</errorWord>
      <group>L1_Word</group>
      <groupName>字词问题</groupName>
      <ability>L2_Typo</ability>
      <abilityName>字词错误</abilityName>
      <candidateList>
        <item>类</item>
      </candidateList>
      <explain/>
      <paraID>45551DCC</paraID>
      <start>86</start>
      <end>88</end>
      <status>unmodified</status>
      <modifiedWord/>
      <trackRevisions>false</trackRevisions>
    </reviewItem>
    <reviewItem>
      <errorID>1f445c99-c2e2-4559-a28e-093afdeef26f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7F4DCB0A</paraID>
      <start>9</start>
      <end>10</end>
      <status>unmodified</status>
      <modifiedWord/>
      <trackRevisions>false</trackRevisions>
    </reviewItem>
    <reviewItem>
      <errorID>884e779d-0422-4205-9dd9-24dd3c09cfef</errorID>
      <errorWord>接受</errorWord>
      <group>L1_Word</group>
      <groupName>字词问题</groupName>
      <ability>L2_Typo</ability>
      <abilityName>字词错误</abilityName>
      <candidateList>
        <item>接收</item>
      </candidateList>
      <explain>〈动〉❶收受：～来稿｜～无线电信号。❷根据法令把机构、财产等拿过来：～逆产。❸接纳：～新会员。</explain>
      <paraID>3324D3DE</paraID>
      <start>57</start>
      <end>59</end>
      <status>modified</status>
      <modifiedWord>接收</modifiedWord>
      <trackRevisions>false</trackRevisions>
    </reviewItem>
    <reviewItem>
      <errorID>7e416e15-2bc2-4995-a321-8df5427a675f</errorID>
      <errorWord>式</errorWord>
      <group>L1_Word</group>
      <groupName>字词问题</groupName>
      <ability>L2_Typo</ability>
      <abilityName>字词错误</abilityName>
      <candidateList>
        <item>式在</item>
      </candidateList>
      <explain/>
      <paraID>17362765</paraID>
      <start>44</start>
      <end>45</end>
      <status>unmodified</status>
      <modifiedWord/>
      <trackRevisions>false</trackRevisions>
    </reviewItem>
    <reviewItem>
      <errorID>c2d043f3-21de-4406-b437-784c88bd62fa</errorID>
      <errorWord>有</errorWord>
      <group>L1_Word</group>
      <groupName>字词问题</groupName>
      <ability>L2_Typo</ability>
      <abilityName>字词错误</abilityName>
      <candidateList>
        <item>有一</item>
      </candidateList>
      <explain/>
      <paraID>623459DB</paraID>
      <start>65</start>
      <end>66</end>
      <status>unmodified</status>
      <modifiedWord/>
      <trackRevisions>false</trackRevisions>
    </reviewItem>
    <reviewItem>
      <errorID>d520d677-3e7e-4f6e-aa42-ad54fb0489b9</errorID>
      <errorWord>减少</errorWord>
      <group>L1_Word</group>
      <groupName>字词问题</groupName>
      <ability>L2_Typo</ability>
      <abilityName>字词错误</abilityName>
      <candidateList>
        <item>减小</item>
      </candidateList>
      <explain/>
      <paraID>31FE51A6</paraID>
      <start>87</start>
      <end>89</end>
      <status>unmodified</status>
      <modifiedWord/>
      <trackRevisions>false</trackRevisions>
    </reviewItem>
    <reviewItem>
      <errorID>bda769fb-7df5-42f1-b00b-b6936d288c50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1831976C</paraID>
      <start>74</start>
      <end>75</end>
      <status>unmodified</status>
      <modifiedWord/>
      <trackRevisions>false</trackRevisions>
    </reviewItem>
    <reviewItem>
      <errorID>53917403-72c5-411c-a599-3619387b947d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44D17D03</paraID>
      <start>0</start>
      <end>2</end>
      <status>unmodified</status>
      <modifiedWord/>
      <trackRevisions>false</trackRevisions>
    </reviewItem>
    <reviewItem>
      <errorID>086f8aa7-6d10-46d6-a44b-7ff2de7f093b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5C8D0315</paraID>
      <start>0</start>
      <end>2</end>
      <status>unmodified</status>
      <modifiedWord/>
      <trackRevisions>false</trackRevisions>
    </reviewItem>
    <reviewItem>
      <errorID>02755ff5-08eb-43fb-bbc2-f6ae123166a6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28BC13C6</paraID>
      <start>0</start>
      <end>2</end>
      <status>unmodified</status>
      <modifiedWord/>
      <trackRevisions>false</trackRevisions>
    </reviewItem>
    <reviewItem>
      <errorID>544a6c09-f0c2-481f-82bf-af3a464ea9cb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2E62FC90</paraID>
      <start>0</start>
      <end>2</end>
      <status>unmodified</status>
      <modifiedWord/>
      <trackRevisions>false</trackRevisions>
    </reviewItem>
    <reviewItem>
      <errorID>fff7daa7-318d-46fe-ac7d-eab2a6393614</errorID>
      <errorWord>能为</errorWord>
      <group>L1_Word</group>
      <groupName>字词问题</groupName>
      <ability>L2_Typo</ability>
      <abilityName>字词错误</abilityName>
      <candidateList>
        <item>能力</item>
      </candidateList>
      <explain>存在字形相近字词的误用。</explain>
      <paraID>12306747</paraID>
      <start>45</start>
      <end>47</end>
      <status>unmodified</status>
      <modifiedWord/>
      <trackRevisions>false</trackRevisions>
    </reviewItem>
    <reviewItem>
      <errorID>24377258-2d44-4c4f-b6a0-856b2d9d796d</errorID>
      <errorWord>[2017]第004号</errorWord>
      <group>L1_Knowledge</group>
      <groupName>知识性问题</groupName>
      <ability>L2_Knowledge</ability>
      <abilityName>其他知识</abilityName>
      <candidateList>
        <item>〔2017〕4号</item>
      </candidateList>
      <explain>发文字号格式错误。</explain>
      <paraID>65F6D9CB</paraID>
      <start>42</start>
      <end>53</end>
      <status>unmodified</status>
      <modifiedWord/>
      <trackRevisions>false</trackRevisions>
    </reviewItem>
    <reviewItem>
      <errorID>6f8f67c9-b66a-4778-88ba-270495d1a2e1</errorID>
      <errorWord>减震措施</errorWord>
      <group>L1_Knowledge</group>
      <groupName>知识性问题</groupName>
      <ability>L2_Term</ability>
      <abilityName>专业术语</abilityName>
      <candidateList>
        <item>减振措施</item>
      </candidateList>
      <explain/>
      <paraID>2B5AD5E5</paraID>
      <start>39</start>
      <end>43</end>
      <status>unmodified</status>
      <modifiedWord/>
      <trackRevisions>false</trackRevisions>
    </reviewItem>
    <reviewItem>
      <errorID>447ba00f-e8b5-4283-b960-77d627810739</errorID>
      <errorWord>固体废物为</errorWord>
      <group>L1_Word</group>
      <groupName>字词问题</groupName>
      <ability>L2_Typo</ability>
      <abilityName>字词错误</abilityName>
      <candidateList>
        <item>固体废物</item>
      </candidateList>
      <explain/>
      <paraID>52DB7853</paraID>
      <start>60</start>
      <end>64</end>
      <status>modified</status>
      <modifiedWord>固体废物</modifiedWord>
      <trackRevisions>false</trackRevisions>
    </reviewItem>
    <reviewItem>
      <errorID>a9576d78-e01e-47a7-8f4b-cdf1b178c7b1</errorID>
      <errorWord>用做</errorWord>
      <group>L1_Word</group>
      <groupName>字词问题</groupName>
      <ability>L2_Typo</ability>
      <abilityName>字词错误</abilityName>
      <candidateList>
        <item>用作</item>
      </candidateList>
      <explain/>
      <paraID>6AAC69B0</paraID>
      <start>32</start>
      <end>34</end>
      <status>modified</status>
      <modifiedWord>用作</modifiedWord>
      <trackRevisions>false</trackRevisions>
    </reviewItem>
    <reviewItem>
      <errorID>c5915539-228e-4682-b32e-a40cc870aba2</errorID>
      <errorWord>用做</errorWord>
      <group>L1_Word</group>
      <groupName>字词问题</groupName>
      <ability>L2_Typo</ability>
      <abilityName>字词错误</abilityName>
      <candidateList>
        <item>用作</item>
      </candidateList>
      <explain/>
      <paraID>5FF106E6</paraID>
      <start>11</start>
      <end>13</end>
      <status>modified</status>
      <modifiedWord>用作</modifiedWord>
      <trackRevisions>false</trackRevisions>
    </reviewItem>
    <reviewItem>
      <errorID>cd2147b9-f9c2-4b38-944e-d0b34f076483</errorID>
      <errorWord>三</errorWord>
      <group>L1_Word</group>
      <groupName>字词问题</groupName>
      <ability>L2_Typo</ability>
      <abilityName>字词错误</abilityName>
      <candidateList>
        <item>三个</item>
      </candidateList>
      <explain/>
      <paraID>40288F38</paraID>
      <start>176</start>
      <end>178</end>
      <status>modified</status>
      <modifiedWord>三个</modifiedWord>
      <trackRevisions>false</trackRevisions>
    </reviewItem>
    <reviewItem>
      <errorID>ed94bc1d-739d-48d3-8d54-ecf2348cb320</errorID>
      <errorWord>费</errorWord>
      <group>L1_Word</group>
      <groupName>字词问题</groupName>
      <ability>L2_Typo</ability>
      <abilityName>字词错误</abilityName>
      <candidateList>
        <item>费用</item>
      </candidateList>
      <explain/>
      <paraID>3E0DF2D4</paraID>
      <start>44</start>
      <end>46</end>
      <status>modified</status>
      <modifiedWord>费用</modifiedWord>
      <trackRevisions>false</trackRevisions>
    </reviewItem>
    <reviewItem>
      <errorID>444d1c61-65a9-42ea-b36c-df94cda6d934</errorID>
      <errorWord>考虑其它</errorWord>
      <group>L1_Word</group>
      <groupName>字词问题</groupName>
      <ability>L2_Alias</ability>
      <abilityName>也作/曾用词</abilityName>
      <candidateList>
        <item>考虑其他</item>
      </candidateList>
      <explain>词汇[考虑其它]为不规范表述或旧称，其规范书面表述为[考虑其他]。</explain>
      <paraID>555D449E</paraID>
      <start>31</start>
      <end>35</end>
      <status>modified</status>
      <modifiedWord>考虑其他</modifiedWord>
      <trackRevisions>false</trackRevisions>
    </reviewItem>
    <reviewItem>
      <errorID>d55909dd-0149-47b9-a217-37ac6924b18a</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555D449E</paraID>
      <start>96</start>
      <end>97</end>
      <status>modified</status>
      <modifiedWord>地</modifiedWord>
      <trackRevisions>false</trackRevisions>
    </reviewItem>
    <reviewItem>
      <errorID>66708299-3d0f-4b98-9b50-43d8ffa87d76</errorID>
      <errorWord>如</errorWord>
      <group>L1_Word</group>
      <groupName>字词问题</groupName>
      <ability>L2_Typo</ability>
      <abilityName>字词错误</abilityName>
      <candidateList>
        <item>如下</item>
      </candidateList>
      <explain>〈动〉如同下面所叙述或列举的：列举～｜现将应注意的事情说明～。</explain>
      <paraID>5C00AF67</paraID>
      <start>69</start>
      <end>70</end>
      <status>unmodified</status>
      <modifiedWord/>
      <trackRevisions>false</trackRevisions>
    </reviewItem>
    <reviewItem>
      <errorID>d5227703-939b-4fd2-8287-f3c1b76b0af9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2155EB05</paraID>
      <start>0</start>
      <end>2</end>
      <status>unmodified</status>
      <modifiedWord/>
      <trackRevisions>false</trackRevisions>
    </reviewItem>
    <reviewItem>
      <errorID>315e8d26-b5fb-41e9-903f-41f6a5113902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7825E82B</paraID>
      <start>0</start>
      <end>2</end>
      <status>unmodified</status>
      <modifiedWord/>
      <trackRevisions>false</trackRevisions>
    </reviewItem>
    <reviewItem>
      <errorID>59850a34-1c31-42ee-ad2c-b56b7e298206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6148B327</paraID>
      <start>0</start>
      <end>2</end>
      <status>unmodified</status>
      <modifiedWord/>
      <trackRevisions>false</trackRevisions>
    </reviewItem>
    <reviewItem>
      <errorID>3316043e-e751-4635-8a3f-6b715005c413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3D0DD0FC</paraID>
      <start>0</start>
      <end>2</end>
      <status>unmodified</status>
      <modifiedWord/>
      <trackRevisions>false</trackRevisions>
    </reviewItem>
    <reviewItem>
      <errorID>6d761a79-46b6-482d-9a52-258a1cb07ac2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56172A03</paraID>
      <start>0</start>
      <end>2</end>
      <status>unmodified</status>
      <modifiedWord/>
      <trackRevisions>false</trackRevisions>
    </reviewItem>
    <reviewItem>
      <errorID>aa25f41e-1e48-496b-b632-000d6c90ba60</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51B3A675</paraID>
      <start>0</start>
      <end>2</end>
      <status>unmodified</status>
      <modifiedWord/>
      <trackRevisions>false</trackRevisions>
    </reviewItem>
    <reviewItem>
      <errorID>a4863aa9-4256-437e-a7f5-1efe221abce1</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7405A986</paraID>
      <start>0</start>
      <end>2</end>
      <status>unmodified</status>
      <modifiedWord/>
      <trackRevisions>false</trackRevisions>
    </reviewItem>
    <reviewItem>
      <errorID>246d2dbd-36f2-4f68-9a5c-a1eb7774187b</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18455D69</paraID>
      <start>0</start>
      <end>2</end>
      <status>unmodified</status>
      <modifiedWord/>
      <trackRevisions>false</trackRevisions>
    </reviewItem>
    <reviewItem>
      <errorID>dbcfc26c-78ed-4877-910c-2cff5c7f64fb</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381D55FE</paraID>
      <start>0</start>
      <end>2</end>
      <status>unmodified</status>
      <modifiedWord/>
      <trackRevisions>false</trackRevisions>
    </reviewItem>
    <reviewItem>
      <errorID>7762bc3a-fb7b-44b0-8346-b1cd76c3f1b0</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5878CABD</paraID>
      <start>0</start>
      <end>3</end>
      <status>unmodified</status>
      <modifiedWord/>
      <trackRevisions>false</trackRevisions>
    </reviewItem>
    <reviewItem>
      <errorID>4831d623-0710-4b48-8340-969e5e66eb86</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2D0689DB</paraID>
      <start>0</start>
      <end>3</end>
      <status>unmodified</status>
      <modifiedWord/>
      <trackRevisions>false</trackRevisions>
    </reviewItem>
    <reviewItem>
      <errorID>2bb1be25-9ba7-49c5-9cb6-445f256f97d7</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6EE35E30</paraID>
      <start>0</start>
      <end>3</end>
      <status>unmodified</status>
      <modifiedWord/>
      <trackRevisions>false</trackRevisions>
    </reviewItem>
    <reviewItem>
      <errorID>958cbcf9-cb84-4863-8d18-657989b636d9</errorID>
      <errorWord>（</errorWord>
      <group>L1_Format</group>
      <groupName>格式问题</groupName>
      <ability>L2_HalfPunc</ability>
      <abilityName>全半角检查</abilityName>
      <candidateList>
        <item>(</item>
      </candidateList>
      <explain>文本全半角错误。</explain>
      <paraID>2156338C</paraID>
      <start>4</start>
      <end>5</end>
      <status>unmodified</status>
      <modifiedWord/>
      <trackRevisions>false</trackRevisions>
    </reviewItem>
    <reviewItem>
      <errorID>2c3f9133-4e14-49b7-8d3a-c71317b047f2</errorID>
      <errorWord>）</errorWord>
      <group>L1_Format</group>
      <groupName>格式问题</groupName>
      <ability>L2_HalfPunc</ability>
      <abilityName>全半角检查</abilityName>
      <candidateList>
        <item>)</item>
      </candidateList>
      <explain>文本全半角错误。</explain>
      <paraID>2156338C</paraID>
      <start>6</start>
      <end>7</end>
      <status>unmodified</status>
      <modifiedWord/>
      <trackRevisions>false</trackRevisions>
    </reviewItem>
    <reviewItem>
      <errorID>03c4f17f-50e8-4e5f-b922-66ea4cca3d4e</errorID>
      <errorWord>(</errorWord>
      <group>L1_Format</group>
      <groupName>格式问题</groupName>
      <ability>L2_HalfPunc</ability>
      <abilityName>全半角检查</abilityName>
      <candidateList>
        <item>（</item>
      </candidateList>
      <explain>文本全半角错误。</explain>
      <paraID>4F8FFEBD</paraID>
      <start>38</start>
      <end>39</end>
      <status>unmodified</status>
      <modifiedWord/>
      <trackRevisions>false</trackRevisions>
    </reviewItem>
    <reviewItem>
      <errorID>ef321a3e-ced8-4176-a5d5-264365c5954f</errorID>
      <errorWord>)</errorWord>
      <group>L1_Format</group>
      <groupName>格式问题</groupName>
      <ability>L2_HalfPunc</ability>
      <abilityName>全半角检查</abilityName>
      <candidateList>
        <item>）</item>
      </candidateList>
      <explain>文本全半角错误。</explain>
      <paraID>4F8FFEBD</paraID>
      <start>46</start>
      <end>47</end>
      <status>unmodified</status>
      <modifiedWord/>
      <trackRevisions>false</trackRevisions>
    </reviewItem>
    <reviewItem>
      <errorID>5bfba331-8cf2-4dbf-9e74-ea9ca5dc8acd</errorID>
      <errorWord>(</errorWord>
      <group>L1_Format</group>
      <groupName>格式问题</groupName>
      <ability>L2_HalfPunc</ability>
      <abilityName>全半角检查</abilityName>
      <candidateList>
        <item>（</item>
      </candidateList>
      <explain>文本全半角错误。</explain>
      <paraID>4F8FFEBD</paraID>
      <start>90</start>
      <end>91</end>
      <status>unmodified</status>
      <modifiedWord/>
      <trackRevisions>false</trackRevisions>
    </reviewItem>
    <reviewItem>
      <errorID>2dd737e9-445f-40fc-9f64-052dc782ba8d</errorID>
      <errorWord>)</errorWord>
      <group>L1_Format</group>
      <groupName>格式问题</groupName>
      <ability>L2_HalfPunc</ability>
      <abilityName>全半角检查</abilityName>
      <candidateList>
        <item>）</item>
      </candidateList>
      <explain>文本全半角错误。</explain>
      <paraID>4F8FFEBD</paraID>
      <start>94</start>
      <end>95</end>
      <status>unmodified</status>
      <modifiedWord/>
      <trackRevisions>false</trackRevisions>
    </reviewItem>
    <reviewItem>
      <errorID>a9cbfe15-5c96-49c5-af5a-1ac24432256f</errorID>
      <errorWord>(</errorWord>
      <group>L1_Format</group>
      <groupName>格式问题</groupName>
      <ability>L2_HalfPunc</ability>
      <abilityName>全半角检查</abilityName>
      <candidateList>
        <item>（</item>
      </candidateList>
      <explain>文本全半角错误。</explain>
      <paraID>4F8FFEBD</paraID>
      <start>98</start>
      <end>99</end>
      <status>unmodified</status>
      <modifiedWord/>
      <trackRevisions>false</trackRevisions>
    </reviewItem>
    <reviewItem>
      <errorID>a2d6a5a4-9d59-488a-89f3-39e7fd9833d5</errorID>
      <errorWord>)</errorWord>
      <group>L1_Format</group>
      <groupName>格式问题</groupName>
      <ability>L2_HalfPunc</ability>
      <abilityName>全半角检查</abilityName>
      <candidateList>
        <item>）</item>
      </candidateList>
      <explain>文本全半角错误。</explain>
      <paraID>4F8FFEBD</paraID>
      <start>104</start>
      <end>105</end>
      <status>unmodified</status>
      <modifiedWord/>
      <trackRevisions>false</trackRevisions>
    </reviewItem>
    <reviewItem>
      <errorID>1d982e09-4315-46e9-b774-93739a7629dd</errorID>
      <errorWord>(</errorWord>
      <group>L1_Format</group>
      <groupName>格式问题</groupName>
      <ability>L2_HalfPunc</ability>
      <abilityName>全半角检查</abilityName>
      <candidateList>
        <item>（</item>
      </candidateList>
      <explain>文本全半角错误。</explain>
      <paraID>4F8FFEBD</paraID>
      <start>110</start>
      <end>111</end>
      <status>unmodified</status>
      <modifiedWord/>
      <trackRevisions>false</trackRevisions>
    </reviewItem>
    <reviewItem>
      <errorID>8bba6cce-357c-454a-9222-8c7fca41b8ed</errorID>
      <errorWord>)</errorWord>
      <group>L1_Format</group>
      <groupName>格式问题</groupName>
      <ability>L2_HalfPunc</ability>
      <abilityName>全半角检查</abilityName>
      <candidateList>
        <item>）</item>
      </candidateList>
      <explain>文本全半角错误。</explain>
      <paraID>4F8FFEBD</paraID>
      <start>114</start>
      <end>115</end>
      <status>unmodified</status>
      <modifiedWord/>
      <trackRevisions>false</trackRevisions>
    </reviewItem>
    <reviewItem>
      <errorID>60894420-45f5-427d-98cb-08a10ad588a6</errorID>
      <errorWord>(</errorWord>
      <group>L1_Format</group>
      <groupName>格式问题</groupName>
      <ability>L2_HalfPunc</ability>
      <abilityName>全半角检查</abilityName>
      <candidateList>
        <item>（</item>
      </candidateList>
      <explain>文本全半角错误。</explain>
      <paraID>4F8FFEBD</paraID>
      <start>122</start>
      <end>123</end>
      <status>unmodified</status>
      <modifiedWord/>
      <trackRevisions>false</trackRevisions>
    </reviewItem>
    <reviewItem>
      <errorID>87c6c7ef-5930-4fc2-be43-9423183abc45</errorID>
      <errorWord>)</errorWord>
      <group>L1_Format</group>
      <groupName>格式问题</groupName>
      <ability>L2_HalfPunc</ability>
      <abilityName>全半角检查</abilityName>
      <candidateList>
        <item>）</item>
      </candidateList>
      <explain>文本全半角错误。</explain>
      <paraID>4F8FFEBD</paraID>
      <start>127</start>
      <end>128</end>
      <status>unmodified</status>
      <modifiedWord/>
      <trackRevisions>false</trackRevisions>
    </reviewItem>
    <reviewItem>
      <errorID>580add39-12db-41d5-9ca8-ba250dbfc686</errorID>
      <errorWord>[2016]81号</errorWord>
      <group>L1_Knowledge</group>
      <groupName>知识性问题</groupName>
      <ability>L2_Knowledge</ability>
      <abilityName>其他知识</abilityName>
      <candidateList>
        <item>〔2016〕81号</item>
      </candidateList>
      <explain>发文字号格式错误。</explain>
      <paraID>5F5A2556</paraID>
      <start>35</start>
      <end>44</end>
      <status>unmodified</status>
      <modifiedWord/>
      <trackRevisions>false</trackRevisions>
    </reviewItem>
    <reviewItem>
      <errorID>3c62f72a-a893-4e0e-810a-4a83c33dce38</errorID>
      <errorWord>-</errorWord>
      <group>L1_Format</group>
      <groupName>格式问题</groupName>
      <ability>L2_HalfPunc</ability>
      <abilityName>全半角检查</abilityName>
      <candidateList>
        <item>－</item>
      </candidateList>
      <explain>文本全半角错误。</explain>
      <paraID>20574383</paraID>
      <start>55</start>
      <end>56</end>
      <status>unmodified</status>
      <modifiedWord/>
      <trackRevisions>false</trackRevisions>
    </reviewItem>
    <reviewItem>
      <errorID>02bd2d36-01b5-42d5-a659-a1995cd27dec</errorID>
      <errorWord>目的是为了</errorWord>
      <group>L1_Word</group>
      <groupName>字词问题</groupName>
      <ability>L2_Typo</ability>
      <abilityName>字词错误</abilityName>
      <candidateList>
        <item>目的是</item>
      </candidateList>
      <explain/>
      <paraID>59C11420</paraID>
      <start>7</start>
      <end>12</end>
      <status>unmodified</status>
      <modifiedWord/>
      <trackRevisions>false</trackRevisions>
    </reviewItem>
    <reviewItem>
      <errorID>90af272a-7826-4262-baa8-d3ec2d8692d7</errorID>
      <errorWord>补充的</errorWord>
      <group>L1_Word</group>
      <groupName>字词问题</groupName>
      <ability>L2_Typo</ability>
      <abilityName>字词错误</abilityName>
      <candidateList>
        <item>补充</item>
      </candidateList>
      <explain/>
      <paraID>66D37B75</paraID>
      <start>111</start>
      <end>114</end>
      <status>unmodified</status>
      <modifiedWord/>
      <trackRevisions>false</trackRevisions>
    </reviewItem>
    <reviewItem>
      <errorID>ebcb510c-bd8d-4a88-b64d-3add2041b6ac</errorID>
      <errorWord>《</errorWord>
      <group>L1_Punc</group>
      <groupName>标点问题</groupName>
      <ability>L2_Punc</ability>
      <abilityName>标点符号检查</abilityName>
      <candidateList/>
      <explain>同一形式括号套用。</explain>
      <paraID>4514B5A4</paraID>
      <start>7</start>
      <end>8</end>
      <status>unmodified</status>
      <modifiedWord/>
      <trackRevisions>false</trackRevisions>
    </reviewItem>
    <reviewItem>
      <errorID>6cff08cf-fef2-4a04-9779-2a88ccdabb4f</errorID>
      <errorWord>》</errorWord>
      <group>L1_Punc</group>
      <groupName>标点问题</groupName>
      <ability>L2_Punc</ability>
      <abilityName>标点符号检查</abilityName>
      <candidateList/>
      <explain>同一形式括号套用。</explain>
      <paraID>4514B5A4</paraID>
      <start>24</start>
      <end>25</end>
      <status>unmodified</status>
      <modifiedWord/>
      <trackRevisions>false</trackRevisions>
    </reviewItem>
    <reviewItem>
      <errorID>13a9b26c-1285-4023-953e-b9bb43c3ab6b</errorID>
      <errorWord>(</errorWord>
      <group>L1_Format</group>
      <groupName>格式问题</groupName>
      <ability>L2_HalfPunc</ability>
      <abilityName>全半角检查</abilityName>
      <candidateList>
        <item>（</item>
      </candidateList>
      <explain>文本全半角错误。</explain>
      <paraID>467829A0</paraID>
      <start>109</start>
      <end>110</end>
      <status>unmodified</status>
      <modifiedWord/>
      <trackRevisions>false</trackRevisions>
    </reviewItem>
    <reviewItem>
      <errorID>a6c6ca86-11d6-4a68-b954-d6926be66041</errorID>
      <errorWord>)</errorWord>
      <group>L1_Format</group>
      <groupName>格式问题</groupName>
      <ability>L2_HalfPunc</ability>
      <abilityName>全半角检查</abilityName>
      <candidateList>
        <item>）</item>
      </candidateList>
      <explain>文本全半角错误。</explain>
      <paraID>467829A0</paraID>
      <start>121</start>
      <end>122</end>
      <status>unmodified</status>
      <modifiedWord/>
      <trackRevisions>false</trackRevisions>
    </reviewItem>
    <reviewItem>
      <errorID>59898ce0-dd13-4ca3-b0c7-604cb536ce7f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2C5B98DE</paraID>
      <start>0</start>
      <end>2</end>
      <status>unmodified</status>
      <modifiedWord/>
      <trackRevisions>false</trackRevisions>
    </reviewItem>
    <reviewItem>
      <errorID>e30b6a8e-1ada-4669-8137-ec1b87228fe0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2CEA1CEE</paraID>
      <start>0</start>
      <end>2</end>
      <status>unmodified</status>
      <modifiedWord/>
      <trackRevisions>false</trackRevisions>
    </reviewItem>
    <reviewItem>
      <errorID>a2f1977f-7ff1-4663-b5a5-3b46b5084040</errorID>
      <errorWord>~</errorWord>
      <group>L1_Format</group>
      <groupName>格式问题</groupName>
      <ability>L2_HalfPunc</ability>
      <abilityName>全半角检查</abilityName>
      <candidateList>
        <item>～</item>
      </candidateList>
      <explain>文本全半角错误。</explain>
      <paraID>2C64A91C</paraID>
      <start>137</start>
      <end>138</end>
      <status>unmodified</status>
      <modifiedWord/>
      <trackRevisions>false</trackRevisions>
    </reviewItem>
    <reviewItem>
      <errorID>db404d21-8d70-4634-ae77-f7f4acf48b67</errorID>
      <errorWord>~</errorWord>
      <group>L1_Format</group>
      <groupName>格式问题</groupName>
      <ability>L2_HalfPunc</ability>
      <abilityName>全半角检查</abilityName>
      <candidateList>
        <item>～</item>
      </candidateList>
      <explain>文本全半角错误。</explain>
      <paraID>2C64A91C</paraID>
      <start>238</start>
      <end>239</end>
      <status>unmodified</status>
      <modifiedWord/>
      <trackRevisions>false</trackRevisions>
    </reviewItem>
    <reviewItem>
      <errorID>3b139d3c-7828-4c80-b928-16d98ea0e518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2CB85810</paraID>
      <start>0</start>
      <end>2</end>
      <status>unmodified</status>
      <modifiedWord/>
      <trackRevisions>false</trackRevisions>
    </reviewItem>
    <reviewItem>
      <errorID>0f3e534f-8295-4f0c-a44c-1bd9c3c4f1fd</errorID>
      <errorWord>~</errorWord>
      <group>L1_Format</group>
      <groupName>格式问题</groupName>
      <ability>L2_HalfPunc</ability>
      <abilityName>全半角检查</abilityName>
      <candidateList>
        <item>～</item>
      </candidateList>
      <explain>文本全半角错误。</explain>
      <paraID>37171CD4</paraID>
      <start>143</start>
      <end>144</end>
      <status>unmodified</status>
      <modifiedWord/>
      <trackRevisions>false</trackRevisions>
    </reviewItem>
    <reviewItem>
      <errorID>3c6d0a25-ac7c-420f-958e-b4525d69db19</errorID>
      <errorWord>~</errorWord>
      <group>L1_Format</group>
      <groupName>格式问题</groupName>
      <ability>L2_HalfPunc</ability>
      <abilityName>全半角检查</abilityName>
      <candidateList>
        <item>～</item>
      </candidateList>
      <explain>文本全半角错误。</explain>
      <paraID>37171CD4</paraID>
      <start>231</start>
      <end>232</end>
      <status>unmodified</status>
      <modifiedWord/>
      <trackRevisions>false</trackRevisions>
    </reviewItem>
    <reviewItem>
      <errorID>c2ea686b-2591-4f9c-96f0-11ce9709bf1f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CB9C1A4</paraID>
      <start>0</start>
      <end>2</end>
      <status>unmodified</status>
      <modifiedWord/>
      <trackRevisions>false</trackRevisions>
    </reviewItem>
    <reviewItem>
      <errorID>622c832b-8b79-487c-abef-16762313b5c6</errorID>
      <errorWord>交有</errorWord>
      <group>L1_Word</group>
      <groupName>字词问题</groupName>
      <ability>L2_Typo</ability>
      <abilityName>字词错误</abilityName>
      <candidateList>
        <item>交由</item>
      </candidateList>
      <explain/>
      <paraID>7835C954</paraID>
      <start>44</start>
      <end>46</end>
      <status>modified</status>
      <modifiedWord>交由</modifiedWord>
      <trackRevisions>false</trackRevisions>
    </reviewItem>
    <reviewItem>
      <errorID>83681d0e-88da-4f30-9213-4edf78f238f5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B3B566A</paraID>
      <start>0</start>
      <end>2</end>
      <status>unmodified</status>
      <modifiedWord/>
      <trackRevisions>false</trackRevisions>
    </reviewItem>
    <reviewItem>
      <errorID>731ce565-d66d-4c46-8079-b460989a6dec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AB6C6E1</paraID>
      <start>0</start>
      <end>2</end>
      <status>unmodified</status>
      <modifiedWord/>
      <trackRevisions>false</trackRevisions>
    </reviewItem>
    <reviewItem>
      <errorID>799321e6-d4d3-4c0f-9db6-a67a2eaddfa4</errorID>
      <errorWord>噪</errorWord>
      <group>L1_Word</group>
      <groupName>字词问题</groupName>
      <ability>L2_Typo</ability>
      <abilityName>字词错误</abilityName>
      <candidateList>
        <item>噪声</item>
      </candidateList>
      <explain/>
      <paraID>2FCF5970</paraID>
      <start>6</start>
      <end>7</end>
      <status>unmodified</status>
      <modifiedWord/>
      <trackRevisions>false</trackRevisions>
    </reviewItem>
    <reviewItem>
      <errorID>67c0fabd-a57c-4a72-99cc-4817942ea5c8</errorID>
      <errorWord>职工</errorWord>
      <group>L1_Word</group>
      <groupName>字词问题</groupName>
      <ability>L2_Typo</ability>
      <abilityName>字词错误</abilityName>
      <candidateList>
        <item>施工</item>
      </candidateList>
      <explain>〈动〉按照设计的规格和要求建筑房屋、桥梁、道路、水利工程等。</explain>
      <paraID>45CEF7E7</paraID>
      <start>162</start>
      <end>164</end>
      <status>unmodified</status>
      <modifiedWord/>
      <trackRevisions>false</trackRevisions>
    </reviewItem>
    <reviewItem>
      <errorID>2c7bf5bb-4d75-4e16-b5f7-9f3d47c26f92</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3009245F</paraID>
      <start>35</start>
      <end>36</end>
      <status>modified</status>
      <modifiedWord>地</modifiedWord>
      <trackRevisions>false</trackRevisions>
    </reviewItem>
    <reviewItem>
      <errorID>50ed832f-618d-4d6b-9569-f234e471c3e0</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4B753630</paraID>
      <start>43</start>
      <end>44</end>
      <status>modified</status>
      <modifiedWord>地</modifiedWord>
      <trackRevisions>false</trackRevisions>
    </reviewItem>
    <reviewItem>
      <errorID>d85d031b-a597-4a2f-9bb0-364c57136bf9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2C5A5246</paraID>
      <start>97</start>
      <end>98</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EA76DDA-08C4-4481-B747-B758522DFC22}">
  <ds:schemaRefs/>
</ds:datastoreItem>
</file>

<file path=customXml/itemProps3.xml><?xml version="1.0" encoding="utf-8"?>
<ds:datastoreItem xmlns:ds="http://schemas.openxmlformats.org/officeDocument/2006/customXml" ds:itemID="{20100408-a3b2-4f1c-b9bb-24dc361784da}">
  <ds:schemaRefs/>
</ds:datastoreItem>
</file>

<file path=docProps/app.xml><?xml version="1.0" encoding="utf-8"?>
<Properties xmlns="http://schemas.openxmlformats.org/officeDocument/2006/extended-properties" xmlns:vt="http://schemas.openxmlformats.org/officeDocument/2006/docPropsVTypes">
  <Template>Normal.dotm</Template>
  <Company>Organization</Company>
  <Pages>265</Pages>
  <Words>4767</Words>
  <Characters>5178</Characters>
  <Lines>1605</Lines>
  <Paragraphs>452</Paragraphs>
  <TotalTime>17</TotalTime>
  <ScaleCrop>false</ScaleCrop>
  <LinksUpToDate>false</LinksUpToDate>
  <CharactersWithSpaces>5178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2026-01-08T01:10:00Z</dcterms:created>
  <dc:creator>Administrator</dc:creator>
  <cp:lastModifiedBy>岁月如歌</cp:lastModifiedBy>
  <cp:lastPrinted>2026-03-05T07:38:00Z</cp:lastPrinted>
  <dcterms:modified xsi:type="dcterms:W3CDTF">2026-03-18T06:48:01Z</dcterms:modified>
  <cp:revision>208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B46115117BC74ECA9CC5B0EE167AB5BC_13</vt:lpwstr>
  </property>
  <property fmtid="{D5CDD505-2E9C-101B-9397-08002B2CF9AE}" pid="4" name="KSOTemplateDocerSaveRecord">
    <vt:lpwstr>eyJoZGlkIjoiNWYwYjdkYjZlZGM2NWFlNjkyM2U1MWM0ZTNmZWEwZTIiLCJ1c2VySWQiOiIxMDM3NjMxMjY0In0=</vt:lpwstr>
  </property>
</Properties>
</file>